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color w:val="auto"/>
          <w:sz w:val="30"/>
          <w:szCs w:val="30"/>
        </w:rPr>
      </w:pPr>
      <w:bookmarkStart w:id="0" w:name="_Hlt101843627"/>
      <w:bookmarkEnd w:id="0"/>
      <w:bookmarkStart w:id="1" w:name="_Hlt101233737"/>
      <w:bookmarkEnd w:id="1"/>
      <w:r>
        <w:rPr>
          <w:rFonts w:hint="eastAsia" w:ascii="宋体" w:hAnsi="宋体"/>
          <w:b/>
          <w:color w:val="auto"/>
          <w:sz w:val="30"/>
          <w:szCs w:val="30"/>
        </w:rPr>
        <w:t xml:space="preserve">项目编号：510108202100288 </w:t>
      </w:r>
    </w:p>
    <w:p>
      <w:pPr>
        <w:spacing w:line="360" w:lineRule="auto"/>
        <w:jc w:val="left"/>
        <w:rPr>
          <w:rFonts w:hint="eastAsia" w:ascii="宋体" w:hAnsi="宋体" w:eastAsia="宋体"/>
          <w:b/>
          <w:color w:val="auto"/>
          <w:sz w:val="30"/>
          <w:szCs w:val="30"/>
          <w:lang w:val="en-US" w:eastAsia="zh-CN"/>
        </w:rPr>
      </w:pPr>
      <w:r>
        <w:rPr>
          <w:rFonts w:hint="eastAsia" w:ascii="宋体" w:hAnsi="宋体"/>
          <w:b/>
          <w:color w:val="auto"/>
          <w:sz w:val="30"/>
          <w:szCs w:val="30"/>
        </w:rPr>
        <w:t>内部编号：ZCLCZD-2021-F0001</w:t>
      </w:r>
    </w:p>
    <w:p>
      <w:pPr>
        <w:pStyle w:val="2"/>
        <w:spacing w:line="360" w:lineRule="auto"/>
        <w:rPr>
          <w:color w:val="auto"/>
        </w:rPr>
      </w:pPr>
    </w:p>
    <w:p>
      <w:pPr>
        <w:spacing w:line="360" w:lineRule="auto"/>
        <w:jc w:val="center"/>
        <w:rPr>
          <w:rFonts w:ascii="宋体" w:hAnsi="宋体"/>
          <w:b/>
          <w:color w:val="auto"/>
          <w:sz w:val="52"/>
          <w:szCs w:val="52"/>
        </w:rPr>
      </w:pPr>
      <w:bookmarkStart w:id="2" w:name="_Toc18738"/>
      <w:bookmarkStart w:id="3" w:name="_Toc10017"/>
      <w:bookmarkStart w:id="4" w:name="_Toc6636"/>
      <w:r>
        <w:rPr>
          <w:rFonts w:hint="eastAsia" w:ascii="宋体" w:hAnsi="宋体"/>
          <w:b/>
          <w:color w:val="auto"/>
          <w:sz w:val="44"/>
          <w:szCs w:val="44"/>
          <w:highlight w:val="none"/>
          <w:lang w:val="en-US" w:eastAsia="zh-CN"/>
        </w:rPr>
        <w:t>青龙街道智慧社区软件升级服务（一期）项目</w:t>
      </w:r>
    </w:p>
    <w:p>
      <w:pPr>
        <w:spacing w:line="360" w:lineRule="auto"/>
        <w:jc w:val="center"/>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竞争性磋商</w:t>
      </w:r>
      <w:bookmarkEnd w:id="2"/>
    </w:p>
    <w:p>
      <w:pPr>
        <w:spacing w:line="360" w:lineRule="auto"/>
        <w:jc w:val="center"/>
        <w:rPr>
          <w:rFonts w:ascii="宋体" w:hAnsi="宋体"/>
          <w:b/>
          <w:color w:val="auto"/>
          <w:sz w:val="32"/>
          <w:szCs w:val="40"/>
        </w:rPr>
      </w:pPr>
      <w:bookmarkStart w:id="5" w:name="_Toc15473"/>
      <w:r>
        <w:rPr>
          <w:rFonts w:hint="eastAsia" w:ascii="宋体" w:hAnsi="宋体"/>
          <w:b/>
          <w:color w:val="auto"/>
          <w:sz w:val="72"/>
          <w:szCs w:val="72"/>
        </w:rPr>
        <w:t>采购文件</w:t>
      </w:r>
      <w:bookmarkEnd w:id="3"/>
      <w:bookmarkEnd w:id="4"/>
      <w:bookmarkEnd w:id="5"/>
    </w:p>
    <w:p>
      <w:pPr>
        <w:spacing w:line="360" w:lineRule="auto"/>
        <w:jc w:val="center"/>
        <w:rPr>
          <w:rFonts w:ascii="宋体" w:hAnsi="宋体"/>
          <w:b/>
          <w:color w:val="auto"/>
          <w:w w:val="90"/>
          <w:sz w:val="36"/>
          <w:szCs w:val="36"/>
        </w:rPr>
      </w:pPr>
      <w:r>
        <w:rPr>
          <w:rFonts w:hint="eastAsia" w:ascii="宋体" w:hAnsi="宋体"/>
          <w:color w:val="auto"/>
          <w:sz w:val="44"/>
          <w:szCs w:val="44"/>
        </w:rPr>
        <w:t xml:space="preserve"> </w:t>
      </w:r>
      <w:r>
        <w:rPr>
          <w:rFonts w:hint="eastAsia" w:ascii="宋体" w:hAnsi="宋体"/>
          <w:color w:val="auto"/>
          <w:sz w:val="44"/>
          <w:szCs w:val="44"/>
        </w:rPr>
        <w:tab/>
      </w:r>
    </w:p>
    <w:p>
      <w:pPr>
        <w:pStyle w:val="2"/>
        <w:spacing w:line="360" w:lineRule="auto"/>
        <w:rPr>
          <w:rFonts w:ascii="宋体" w:hAnsi="宋体"/>
          <w:b/>
          <w:color w:val="auto"/>
          <w:w w:val="90"/>
          <w:sz w:val="36"/>
          <w:szCs w:val="36"/>
        </w:rPr>
      </w:pPr>
    </w:p>
    <w:p>
      <w:pPr>
        <w:spacing w:line="360" w:lineRule="auto"/>
        <w:rPr>
          <w:rFonts w:ascii="宋体" w:hAnsi="宋体"/>
          <w:b/>
          <w:color w:val="auto"/>
          <w:w w:val="90"/>
          <w:sz w:val="36"/>
          <w:szCs w:val="36"/>
        </w:rPr>
      </w:pPr>
    </w:p>
    <w:p>
      <w:pPr>
        <w:spacing w:line="360" w:lineRule="auto"/>
        <w:rPr>
          <w:color w:val="auto"/>
        </w:rPr>
      </w:pPr>
    </w:p>
    <w:p>
      <w:pPr>
        <w:spacing w:line="360" w:lineRule="auto"/>
        <w:jc w:val="center"/>
        <w:rPr>
          <w:rFonts w:ascii="宋体" w:hAnsi="宋体"/>
          <w:b/>
          <w:color w:val="auto"/>
          <w:w w:val="90"/>
          <w:sz w:val="36"/>
          <w:szCs w:val="36"/>
        </w:rPr>
      </w:pPr>
      <w:r>
        <w:rPr>
          <w:rFonts w:hint="eastAsia" w:ascii="宋体" w:hAnsi="宋体"/>
          <w:b/>
          <w:color w:val="auto"/>
          <w:w w:val="90"/>
          <w:sz w:val="36"/>
          <w:szCs w:val="36"/>
        </w:rPr>
        <w:t>中国·四川</w:t>
      </w:r>
    </w:p>
    <w:p>
      <w:pPr>
        <w:pStyle w:val="2"/>
        <w:spacing w:line="360" w:lineRule="auto"/>
        <w:rPr>
          <w:color w:val="auto"/>
        </w:rPr>
      </w:pPr>
    </w:p>
    <w:p>
      <w:pPr>
        <w:spacing w:line="360" w:lineRule="auto"/>
        <w:jc w:val="center"/>
        <w:rPr>
          <w:rFonts w:hint="eastAsia" w:ascii="宋体" w:hAnsi="宋体" w:eastAsia="宋体"/>
          <w:b/>
          <w:color w:val="auto"/>
          <w:w w:val="90"/>
          <w:sz w:val="36"/>
          <w:szCs w:val="36"/>
          <w:lang w:eastAsia="zh-CN"/>
        </w:rPr>
      </w:pPr>
      <w:r>
        <w:rPr>
          <w:rFonts w:hint="eastAsia" w:ascii="宋体" w:hAnsi="宋体"/>
          <w:b/>
          <w:color w:val="auto"/>
          <w:w w:val="90"/>
          <w:sz w:val="36"/>
          <w:szCs w:val="36"/>
        </w:rPr>
        <w:t>采购人：</w:t>
      </w:r>
      <w:r>
        <w:rPr>
          <w:rFonts w:hint="eastAsia" w:ascii="宋体" w:hAnsi="宋体"/>
          <w:b/>
          <w:color w:val="auto"/>
          <w:w w:val="90"/>
          <w:sz w:val="36"/>
          <w:szCs w:val="36"/>
          <w:lang w:eastAsia="zh-CN"/>
        </w:rPr>
        <w:t>成都市成华区人民政府青龙街道办事处</w:t>
      </w:r>
    </w:p>
    <w:p>
      <w:pPr>
        <w:spacing w:line="360" w:lineRule="auto"/>
        <w:jc w:val="center"/>
        <w:rPr>
          <w:rFonts w:hint="eastAsia" w:ascii="宋体" w:hAnsi="宋体" w:eastAsia="宋体"/>
          <w:b/>
          <w:color w:val="auto"/>
          <w:w w:val="90"/>
          <w:sz w:val="36"/>
          <w:szCs w:val="36"/>
          <w:lang w:eastAsia="zh-CN"/>
        </w:rPr>
      </w:pPr>
      <w:r>
        <w:rPr>
          <w:rFonts w:hint="eastAsia" w:ascii="宋体" w:hAnsi="宋体"/>
          <w:b/>
          <w:color w:val="auto"/>
          <w:w w:val="90"/>
          <w:sz w:val="36"/>
          <w:szCs w:val="36"/>
        </w:rPr>
        <w:t>代理机构：</w:t>
      </w:r>
      <w:r>
        <w:rPr>
          <w:rFonts w:hint="eastAsia" w:ascii="宋体" w:hAnsi="宋体"/>
          <w:b/>
          <w:color w:val="auto"/>
          <w:w w:val="90"/>
          <w:sz w:val="36"/>
          <w:szCs w:val="36"/>
          <w:lang w:eastAsia="zh-CN"/>
        </w:rPr>
        <w:t>四川力诚卓达项目管理有限公司</w:t>
      </w:r>
    </w:p>
    <w:p>
      <w:pPr>
        <w:spacing w:line="360" w:lineRule="auto"/>
        <w:jc w:val="center"/>
        <w:rPr>
          <w:rFonts w:ascii="宋体" w:hAnsi="宋体"/>
          <w:b/>
          <w:color w:val="auto"/>
          <w:w w:val="90"/>
          <w:sz w:val="36"/>
          <w:szCs w:val="36"/>
        </w:rPr>
      </w:pPr>
      <w:r>
        <w:rPr>
          <w:rFonts w:hint="eastAsia" w:ascii="宋体" w:hAnsi="宋体"/>
          <w:b/>
          <w:color w:val="auto"/>
          <w:w w:val="90"/>
          <w:sz w:val="36"/>
          <w:szCs w:val="36"/>
        </w:rPr>
        <w:t>共同编制</w:t>
      </w:r>
    </w:p>
    <w:p>
      <w:pPr>
        <w:spacing w:line="360" w:lineRule="auto"/>
        <w:jc w:val="center"/>
        <w:rPr>
          <w:rFonts w:ascii="宋体" w:hAnsi="宋体"/>
          <w:b/>
          <w:color w:val="auto"/>
          <w:w w:val="90"/>
          <w:sz w:val="36"/>
          <w:szCs w:val="36"/>
        </w:rPr>
      </w:pPr>
      <w:r>
        <w:rPr>
          <w:rFonts w:hint="eastAsia" w:ascii="宋体" w:hAnsi="宋体"/>
          <w:b/>
          <w:color w:val="auto"/>
          <w:w w:val="90"/>
          <w:sz w:val="36"/>
          <w:szCs w:val="36"/>
        </w:rPr>
        <w:t>二○二</w:t>
      </w:r>
      <w:r>
        <w:rPr>
          <w:rFonts w:hint="eastAsia" w:ascii="宋体" w:hAnsi="宋体"/>
          <w:b/>
          <w:color w:val="auto"/>
          <w:w w:val="90"/>
          <w:sz w:val="36"/>
          <w:szCs w:val="36"/>
          <w:lang w:eastAsia="zh-CN"/>
        </w:rPr>
        <w:t>一</w:t>
      </w:r>
      <w:r>
        <w:rPr>
          <w:rFonts w:hint="eastAsia" w:ascii="宋体" w:hAnsi="宋体"/>
          <w:b/>
          <w:color w:val="auto"/>
          <w:w w:val="90"/>
          <w:sz w:val="36"/>
          <w:szCs w:val="36"/>
        </w:rPr>
        <w:t>年</w:t>
      </w:r>
      <w:r>
        <w:rPr>
          <w:rFonts w:hint="eastAsia" w:ascii="宋体" w:hAnsi="宋体"/>
          <w:b/>
          <w:color w:val="auto"/>
          <w:w w:val="90"/>
          <w:sz w:val="36"/>
          <w:szCs w:val="36"/>
          <w:lang w:eastAsia="zh-CN"/>
        </w:rPr>
        <w:t>十一</w:t>
      </w:r>
      <w:r>
        <w:rPr>
          <w:rFonts w:hint="eastAsia" w:ascii="宋体" w:hAnsi="宋体"/>
          <w:b/>
          <w:color w:val="auto"/>
          <w:w w:val="90"/>
          <w:sz w:val="36"/>
          <w:szCs w:val="36"/>
        </w:rPr>
        <w:t>月</w:t>
      </w:r>
      <w:r>
        <w:rPr>
          <w:rFonts w:hint="eastAsia" w:ascii="宋体" w:hAnsi="宋体"/>
          <w:b/>
          <w:color w:val="auto"/>
          <w:w w:val="90"/>
          <w:sz w:val="36"/>
          <w:szCs w:val="36"/>
        </w:rPr>
        <w:br w:type="page"/>
      </w:r>
    </w:p>
    <w:p>
      <w:pPr>
        <w:spacing w:line="360" w:lineRule="auto"/>
        <w:jc w:val="center"/>
        <w:rPr>
          <w:sz w:val="44"/>
          <w:szCs w:val="44"/>
        </w:rPr>
      </w:pPr>
      <w:bookmarkStart w:id="6" w:name="_Toc9019_WPSOffice_Type2"/>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bookmarkEnd w:id="6"/>
    <w:p>
      <w:pPr>
        <w:pStyle w:val="16"/>
        <w:tabs>
          <w:tab w:val="right" w:leader="dot" w:pos="9129"/>
        </w:tabs>
        <w:spacing w:line="360" w:lineRule="auto"/>
        <w:rPr>
          <w:sz w:val="24"/>
          <w:szCs w:val="32"/>
        </w:rPr>
      </w:pPr>
      <w:r>
        <w:rPr>
          <w:sz w:val="24"/>
          <w:szCs w:val="32"/>
        </w:rPr>
        <w:fldChar w:fldCharType="begin"/>
      </w:r>
      <w:r>
        <w:rPr>
          <w:sz w:val="24"/>
          <w:szCs w:val="32"/>
        </w:rPr>
        <w:instrText xml:space="preserve">TOC \o "1-1" \h \u </w:instrText>
      </w:r>
      <w:r>
        <w:rPr>
          <w:sz w:val="24"/>
          <w:szCs w:val="32"/>
        </w:rPr>
        <w:fldChar w:fldCharType="separate"/>
      </w:r>
      <w:r>
        <w:fldChar w:fldCharType="begin"/>
      </w:r>
      <w:r>
        <w:instrText xml:space="preserve"> HYPERLINK \l "_Toc11976" </w:instrText>
      </w:r>
      <w:r>
        <w:fldChar w:fldCharType="separate"/>
      </w:r>
      <w:r>
        <w:rPr>
          <w:rFonts w:hint="eastAsia"/>
          <w:sz w:val="24"/>
          <w:szCs w:val="32"/>
        </w:rPr>
        <w:t>第一章  磋商邀请</w:t>
      </w:r>
      <w:r>
        <w:rPr>
          <w:sz w:val="24"/>
          <w:szCs w:val="32"/>
        </w:rPr>
        <w:tab/>
      </w:r>
      <w:r>
        <w:rPr>
          <w:sz w:val="24"/>
          <w:szCs w:val="32"/>
        </w:rPr>
        <w:fldChar w:fldCharType="begin"/>
      </w:r>
      <w:r>
        <w:rPr>
          <w:sz w:val="24"/>
          <w:szCs w:val="32"/>
        </w:rPr>
        <w:instrText xml:space="preserve"> PAGEREF _Toc11976 </w:instrText>
      </w:r>
      <w:r>
        <w:rPr>
          <w:sz w:val="24"/>
          <w:szCs w:val="32"/>
        </w:rPr>
        <w:fldChar w:fldCharType="separate"/>
      </w:r>
      <w:r>
        <w:rPr>
          <w:sz w:val="24"/>
          <w:szCs w:val="32"/>
        </w:rPr>
        <w:t>- 3 -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"_Toc16992" </w:instrText>
      </w:r>
      <w:r>
        <w:fldChar w:fldCharType="separate"/>
      </w:r>
      <w:r>
        <w:rPr>
          <w:rFonts w:hint="eastAsia"/>
          <w:sz w:val="24"/>
          <w:szCs w:val="32"/>
        </w:rPr>
        <w:t>第二章  磋商须知</w:t>
      </w:r>
      <w:r>
        <w:rPr>
          <w:sz w:val="24"/>
          <w:szCs w:val="32"/>
        </w:rPr>
        <w:tab/>
      </w:r>
      <w:r>
        <w:rPr>
          <w:sz w:val="24"/>
          <w:szCs w:val="32"/>
        </w:rPr>
        <w:fldChar w:fldCharType="begin"/>
      </w:r>
      <w:r>
        <w:rPr>
          <w:sz w:val="24"/>
          <w:szCs w:val="32"/>
        </w:rPr>
        <w:instrText xml:space="preserve"> PAGEREF _Toc16992 </w:instrText>
      </w:r>
      <w:r>
        <w:rPr>
          <w:sz w:val="24"/>
          <w:szCs w:val="32"/>
        </w:rPr>
        <w:fldChar w:fldCharType="separate"/>
      </w:r>
      <w:r>
        <w:rPr>
          <w:sz w:val="24"/>
          <w:szCs w:val="32"/>
        </w:rPr>
        <w:t>- 6 -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"_Toc3274" </w:instrText>
      </w:r>
      <w:r>
        <w:fldChar w:fldCharType="separate"/>
      </w:r>
      <w:r>
        <w:rPr>
          <w:rFonts w:hint="eastAsia"/>
          <w:sz w:val="24"/>
          <w:szCs w:val="32"/>
        </w:rPr>
        <w:t>第三章  供应商资格条件要求</w:t>
      </w:r>
      <w:r>
        <w:rPr>
          <w:sz w:val="24"/>
          <w:szCs w:val="32"/>
        </w:rPr>
        <w:tab/>
      </w:r>
      <w:r>
        <w:rPr>
          <w:sz w:val="24"/>
          <w:szCs w:val="32"/>
        </w:rPr>
        <w:fldChar w:fldCharType="begin"/>
      </w:r>
      <w:r>
        <w:rPr>
          <w:sz w:val="24"/>
          <w:szCs w:val="32"/>
        </w:rPr>
        <w:instrText xml:space="preserve"> PAGEREF _Toc3274 </w:instrText>
      </w:r>
      <w:r>
        <w:rPr>
          <w:sz w:val="24"/>
          <w:szCs w:val="32"/>
        </w:rPr>
        <w:fldChar w:fldCharType="separate"/>
      </w:r>
      <w:r>
        <w:rPr>
          <w:sz w:val="24"/>
          <w:szCs w:val="32"/>
        </w:rPr>
        <w:t>- 21 -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"_Toc17387" </w:instrText>
      </w:r>
      <w:r>
        <w:fldChar w:fldCharType="separate"/>
      </w:r>
      <w:r>
        <w:rPr>
          <w:rFonts w:hint="eastAsia"/>
          <w:sz w:val="24"/>
          <w:szCs w:val="32"/>
        </w:rPr>
        <w:t>第四章  供应商资格证明材料</w:t>
      </w:r>
      <w:r>
        <w:rPr>
          <w:sz w:val="24"/>
          <w:szCs w:val="32"/>
        </w:rPr>
        <w:tab/>
      </w:r>
      <w:r>
        <w:rPr>
          <w:sz w:val="24"/>
          <w:szCs w:val="32"/>
        </w:rPr>
        <w:fldChar w:fldCharType="begin"/>
      </w:r>
      <w:r>
        <w:rPr>
          <w:sz w:val="24"/>
          <w:szCs w:val="32"/>
        </w:rPr>
        <w:instrText xml:space="preserve"> PAGEREF _Toc17387 </w:instrText>
      </w:r>
      <w:r>
        <w:rPr>
          <w:sz w:val="24"/>
          <w:szCs w:val="32"/>
        </w:rPr>
        <w:fldChar w:fldCharType="separate"/>
      </w:r>
      <w:r>
        <w:rPr>
          <w:sz w:val="24"/>
          <w:szCs w:val="32"/>
        </w:rPr>
        <w:t>- 22 -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"_Toc10654" </w:instrText>
      </w:r>
      <w:r>
        <w:fldChar w:fldCharType="separate"/>
      </w:r>
      <w:r>
        <w:rPr>
          <w:rFonts w:hint="eastAsia"/>
          <w:sz w:val="24"/>
          <w:szCs w:val="32"/>
        </w:rPr>
        <w:t xml:space="preserve">第五章  </w:t>
      </w:r>
      <w:r>
        <w:rPr>
          <w:rFonts w:hint="eastAsia" w:ascii="宋体" w:hAnsi="宋体" w:cs="宋体"/>
          <w:sz w:val="24"/>
          <w:szCs w:val="32"/>
        </w:rPr>
        <w:t>采购项目技术、服务、政府采购合同内容条款及其他商务要求</w:t>
      </w:r>
      <w:r>
        <w:rPr>
          <w:sz w:val="24"/>
          <w:szCs w:val="32"/>
        </w:rPr>
        <w:tab/>
      </w:r>
      <w:r>
        <w:rPr>
          <w:sz w:val="24"/>
          <w:szCs w:val="32"/>
        </w:rPr>
        <w:fldChar w:fldCharType="begin"/>
      </w:r>
      <w:r>
        <w:rPr>
          <w:sz w:val="24"/>
          <w:szCs w:val="32"/>
        </w:rPr>
        <w:instrText xml:space="preserve"> PAGEREF _Toc10654 </w:instrText>
      </w:r>
      <w:r>
        <w:rPr>
          <w:sz w:val="24"/>
          <w:szCs w:val="32"/>
        </w:rPr>
        <w:fldChar w:fldCharType="separate"/>
      </w:r>
      <w:r>
        <w:rPr>
          <w:sz w:val="24"/>
          <w:szCs w:val="32"/>
        </w:rPr>
        <w:t>- 24 -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"_Toc11441" </w:instrText>
      </w:r>
      <w:r>
        <w:fldChar w:fldCharType="separate"/>
      </w:r>
      <w:r>
        <w:rPr>
          <w:rFonts w:hint="eastAsia"/>
          <w:sz w:val="24"/>
          <w:szCs w:val="32"/>
        </w:rPr>
        <w:t>第六章 磋商内容、磋商过程中可实质性变动的内容</w:t>
      </w:r>
      <w:r>
        <w:rPr>
          <w:sz w:val="24"/>
          <w:szCs w:val="32"/>
        </w:rPr>
        <w:tab/>
      </w:r>
      <w:r>
        <w:rPr>
          <w:sz w:val="24"/>
          <w:szCs w:val="32"/>
        </w:rPr>
        <w:fldChar w:fldCharType="begin"/>
      </w:r>
      <w:r>
        <w:rPr>
          <w:sz w:val="24"/>
          <w:szCs w:val="32"/>
        </w:rPr>
        <w:instrText xml:space="preserve"> PAGEREF _Toc11441 </w:instrText>
      </w:r>
      <w:r>
        <w:rPr>
          <w:sz w:val="24"/>
          <w:szCs w:val="32"/>
        </w:rPr>
        <w:fldChar w:fldCharType="separate"/>
      </w:r>
      <w:r>
        <w:rPr>
          <w:sz w:val="24"/>
          <w:szCs w:val="32"/>
        </w:rPr>
        <w:t>- 35 -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"_Toc18082" </w:instrText>
      </w:r>
      <w:r>
        <w:fldChar w:fldCharType="separate"/>
      </w:r>
      <w:r>
        <w:rPr>
          <w:rFonts w:hint="eastAsia"/>
          <w:sz w:val="24"/>
          <w:szCs w:val="32"/>
        </w:rPr>
        <w:t>第七章 响应文件格式</w:t>
      </w:r>
      <w:r>
        <w:rPr>
          <w:sz w:val="24"/>
          <w:szCs w:val="32"/>
        </w:rPr>
        <w:tab/>
      </w:r>
      <w:r>
        <w:rPr>
          <w:sz w:val="24"/>
          <w:szCs w:val="32"/>
        </w:rPr>
        <w:fldChar w:fldCharType="begin"/>
      </w:r>
      <w:r>
        <w:rPr>
          <w:sz w:val="24"/>
          <w:szCs w:val="32"/>
        </w:rPr>
        <w:instrText xml:space="preserve"> PAGEREF _Toc18082 </w:instrText>
      </w:r>
      <w:r>
        <w:rPr>
          <w:sz w:val="24"/>
          <w:szCs w:val="32"/>
        </w:rPr>
        <w:fldChar w:fldCharType="separate"/>
      </w:r>
      <w:r>
        <w:rPr>
          <w:sz w:val="24"/>
          <w:szCs w:val="32"/>
        </w:rPr>
        <w:t>- 36 -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"_Toc4157" </w:instrText>
      </w:r>
      <w:r>
        <w:fldChar w:fldCharType="separate"/>
      </w:r>
      <w:r>
        <w:rPr>
          <w:rFonts w:hint="eastAsia"/>
          <w:sz w:val="24"/>
          <w:szCs w:val="32"/>
        </w:rPr>
        <w:t>第八章  评审方法</w:t>
      </w:r>
      <w:r>
        <w:rPr>
          <w:sz w:val="24"/>
          <w:szCs w:val="32"/>
        </w:rPr>
        <w:tab/>
      </w:r>
      <w:r>
        <w:rPr>
          <w:sz w:val="24"/>
          <w:szCs w:val="32"/>
        </w:rPr>
        <w:fldChar w:fldCharType="begin"/>
      </w:r>
      <w:r>
        <w:rPr>
          <w:sz w:val="24"/>
          <w:szCs w:val="32"/>
        </w:rPr>
        <w:instrText xml:space="preserve"> PAGEREF _Toc4157 </w:instrText>
      </w:r>
      <w:r>
        <w:rPr>
          <w:sz w:val="24"/>
          <w:szCs w:val="32"/>
        </w:rPr>
        <w:fldChar w:fldCharType="separate"/>
      </w:r>
      <w:r>
        <w:rPr>
          <w:sz w:val="24"/>
          <w:szCs w:val="32"/>
        </w:rPr>
        <w:t>- 59 -</w:t>
      </w:r>
      <w:r>
        <w:rPr>
          <w:sz w:val="24"/>
          <w:szCs w:val="32"/>
        </w:rPr>
        <w:fldChar w:fldCharType="end"/>
      </w:r>
      <w:r>
        <w:rPr>
          <w:sz w:val="24"/>
          <w:szCs w:val="32"/>
        </w:rPr>
        <w:fldChar w:fldCharType="end"/>
      </w:r>
    </w:p>
    <w:p>
      <w:pPr>
        <w:pStyle w:val="16"/>
        <w:tabs>
          <w:tab w:val="right" w:leader="dot" w:pos="9129"/>
        </w:tabs>
        <w:spacing w:line="360" w:lineRule="auto"/>
        <w:rPr>
          <w:sz w:val="24"/>
          <w:szCs w:val="32"/>
        </w:rPr>
      </w:pPr>
      <w:r>
        <w:fldChar w:fldCharType="begin"/>
      </w:r>
      <w:r>
        <w:instrText xml:space="preserve"> HYPERLINK \l "_Toc10837" </w:instrText>
      </w:r>
      <w:r>
        <w:fldChar w:fldCharType="separate"/>
      </w:r>
      <w:r>
        <w:rPr>
          <w:rFonts w:hint="eastAsia"/>
          <w:sz w:val="24"/>
          <w:szCs w:val="32"/>
        </w:rPr>
        <w:t>第九章  政府采购合同（草案）</w:t>
      </w:r>
      <w:r>
        <w:rPr>
          <w:sz w:val="24"/>
          <w:szCs w:val="32"/>
        </w:rPr>
        <w:tab/>
      </w:r>
      <w:r>
        <w:rPr>
          <w:sz w:val="24"/>
          <w:szCs w:val="32"/>
        </w:rPr>
        <w:fldChar w:fldCharType="begin"/>
      </w:r>
      <w:r>
        <w:rPr>
          <w:sz w:val="24"/>
          <w:szCs w:val="32"/>
        </w:rPr>
        <w:instrText xml:space="preserve"> PAGEREF _Toc10837 </w:instrText>
      </w:r>
      <w:r>
        <w:rPr>
          <w:sz w:val="24"/>
          <w:szCs w:val="32"/>
        </w:rPr>
        <w:fldChar w:fldCharType="separate"/>
      </w:r>
      <w:r>
        <w:rPr>
          <w:sz w:val="24"/>
          <w:szCs w:val="32"/>
        </w:rPr>
        <w:t>- 70 -</w:t>
      </w:r>
      <w:r>
        <w:rPr>
          <w:sz w:val="24"/>
          <w:szCs w:val="32"/>
        </w:rPr>
        <w:fldChar w:fldCharType="end"/>
      </w:r>
      <w:r>
        <w:rPr>
          <w:sz w:val="24"/>
          <w:szCs w:val="32"/>
        </w:rPr>
        <w:fldChar w:fldCharType="end"/>
      </w:r>
    </w:p>
    <w:p>
      <w:pPr>
        <w:spacing w:line="360" w:lineRule="auto"/>
      </w:pPr>
      <w:r>
        <w:rPr>
          <w:sz w:val="24"/>
          <w:szCs w:val="32"/>
        </w:rPr>
        <w:fldChar w:fldCharType="end"/>
      </w:r>
    </w:p>
    <w:p>
      <w:pPr>
        <w:spacing w:line="360" w:lineRule="auto"/>
      </w:pPr>
    </w:p>
    <w:p>
      <w:pPr>
        <w:spacing w:line="360" w:lineRule="auto"/>
      </w:pPr>
    </w:p>
    <w:p>
      <w:pPr>
        <w:pStyle w:val="3"/>
        <w:spacing w:line="360" w:lineRule="auto"/>
        <w:jc w:val="center"/>
        <w:sectPr>
          <w:headerReference r:id="rId3" w:type="default"/>
          <w:footerReference r:id="rId4" w:type="default"/>
          <w:pgSz w:w="11849" w:h="16781"/>
          <w:pgMar w:top="1440" w:right="1304" w:bottom="1440" w:left="1417" w:header="850" w:footer="992" w:gutter="0"/>
          <w:pgNumType w:fmt="numberInDash" w:start="1"/>
          <w:cols w:space="0" w:num="1"/>
          <w:docGrid w:type="lines" w:linePitch="312" w:charSpace="0"/>
        </w:sectPr>
      </w:pPr>
      <w:bookmarkStart w:id="7" w:name="_Toc25399_WPSOffice_Level1"/>
    </w:p>
    <w:p>
      <w:pPr>
        <w:pStyle w:val="3"/>
        <w:spacing w:before="0" w:after="0" w:line="360" w:lineRule="auto"/>
        <w:jc w:val="center"/>
      </w:pPr>
      <w:bookmarkStart w:id="8" w:name="_Toc7773_WPSOffice_Level1"/>
      <w:bookmarkStart w:id="9" w:name="_Toc11976"/>
      <w:r>
        <w:rPr>
          <w:rFonts w:hint="eastAsia"/>
        </w:rPr>
        <w:t>第一章  磋商邀请</w:t>
      </w:r>
      <w:bookmarkEnd w:id="7"/>
      <w:bookmarkEnd w:id="8"/>
      <w:bookmarkEnd w:id="9"/>
    </w:p>
    <w:p>
      <w:pPr>
        <w:spacing w:line="360" w:lineRule="auto"/>
        <w:ind w:firstLine="480" w:firstLineChars="200"/>
        <w:jc w:val="left"/>
        <w:rPr>
          <w:rFonts w:ascii="宋体" w:hAnsi="宋体"/>
          <w:sz w:val="24"/>
        </w:rPr>
      </w:pPr>
      <w:r>
        <w:rPr>
          <w:rFonts w:hint="eastAsia" w:ascii="宋体" w:hAnsi="宋体"/>
          <w:sz w:val="24"/>
          <w:u w:val="single"/>
          <w:lang w:eastAsia="zh-CN"/>
        </w:rPr>
        <w:t>四川力诚卓达项目管理有限公司</w:t>
      </w:r>
      <w:r>
        <w:rPr>
          <w:rFonts w:hint="eastAsia" w:ascii="宋体" w:hAnsi="宋体"/>
          <w:sz w:val="24"/>
        </w:rPr>
        <w:t>（采购代理机构）受</w:t>
      </w:r>
      <w:r>
        <w:rPr>
          <w:rFonts w:hint="eastAsia" w:ascii="宋体" w:hAnsi="宋体"/>
          <w:sz w:val="24"/>
          <w:u w:val="single"/>
          <w:lang w:eastAsia="zh-CN"/>
        </w:rPr>
        <w:t>成都市成华区人民政府青龙街道办事处</w:t>
      </w:r>
      <w:r>
        <w:rPr>
          <w:rFonts w:hint="eastAsia" w:ascii="宋体" w:hAnsi="宋体"/>
          <w:sz w:val="24"/>
        </w:rPr>
        <w:t>（采购人）委托，拟对</w:t>
      </w:r>
      <w:r>
        <w:rPr>
          <w:rFonts w:hint="eastAsia" w:ascii="宋体" w:hAnsi="宋体"/>
          <w:sz w:val="24"/>
          <w:u w:val="single"/>
          <w:lang w:eastAsia="zh-CN"/>
        </w:rPr>
        <w:t>青龙街道智慧社区软件升级服务（一期）项目</w:t>
      </w:r>
      <w:r>
        <w:rPr>
          <w:rFonts w:hint="eastAsia" w:ascii="宋体" w:hAnsi="宋体"/>
          <w:sz w:val="24"/>
        </w:rPr>
        <w:t>采用竞争性磋商方式进行采购，特邀请符合本次采购要求的供应商参加本项目的竞争性磋商。</w:t>
      </w:r>
    </w:p>
    <w:p>
      <w:pPr>
        <w:spacing w:line="360" w:lineRule="auto"/>
        <w:ind w:firstLine="482" w:firstLineChars="200"/>
        <w:jc w:val="left"/>
        <w:rPr>
          <w:rFonts w:ascii="宋体" w:hAnsi="宋体"/>
          <w:b/>
          <w:sz w:val="24"/>
        </w:rPr>
      </w:pPr>
      <w:r>
        <w:rPr>
          <w:rFonts w:hint="eastAsia" w:ascii="宋体" w:hAnsi="宋体"/>
          <w:b/>
          <w:sz w:val="24"/>
        </w:rPr>
        <w:t>一、采购项目基本情况</w:t>
      </w:r>
    </w:p>
    <w:p>
      <w:pPr>
        <w:spacing w:line="360" w:lineRule="auto"/>
        <w:ind w:firstLine="480" w:firstLineChars="200"/>
        <w:jc w:val="left"/>
        <w:rPr>
          <w:rFonts w:ascii="宋体" w:hAnsi="宋体"/>
          <w:sz w:val="24"/>
        </w:rPr>
      </w:pPr>
      <w:r>
        <w:rPr>
          <w:rFonts w:hint="eastAsia" w:ascii="宋体" w:hAnsi="宋体"/>
          <w:sz w:val="24"/>
        </w:rPr>
        <w:t xml:space="preserve">1.项目编号：510108202100288 </w:t>
      </w:r>
    </w:p>
    <w:p>
      <w:pPr>
        <w:spacing w:line="360" w:lineRule="auto"/>
        <w:ind w:firstLine="480" w:firstLineChars="200"/>
        <w:jc w:val="left"/>
        <w:rPr>
          <w:rFonts w:ascii="宋体" w:hAnsi="宋体"/>
          <w:sz w:val="24"/>
        </w:rPr>
      </w:pPr>
      <w:r>
        <w:rPr>
          <w:rFonts w:hint="eastAsia" w:ascii="宋体" w:hAnsi="宋体"/>
          <w:sz w:val="24"/>
        </w:rPr>
        <w:t>2.采购项目名称：</w:t>
      </w:r>
      <w:r>
        <w:rPr>
          <w:rFonts w:hint="eastAsia" w:ascii="宋体" w:hAnsi="宋体"/>
          <w:sz w:val="24"/>
          <w:lang w:eastAsia="zh-CN"/>
        </w:rPr>
        <w:t>青龙街道智慧社区软件升级服务（一期）项目</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3.采购人：</w:t>
      </w:r>
      <w:r>
        <w:rPr>
          <w:rFonts w:hint="eastAsia" w:ascii="宋体" w:hAnsi="宋体"/>
          <w:sz w:val="24"/>
          <w:lang w:eastAsia="zh-CN"/>
        </w:rPr>
        <w:t>成都市成华区人民政府青龙街道办事处</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4.采购代理机构：</w:t>
      </w:r>
      <w:r>
        <w:rPr>
          <w:rFonts w:hint="eastAsia" w:ascii="宋体" w:hAnsi="宋体"/>
          <w:sz w:val="24"/>
          <w:lang w:eastAsia="zh-CN"/>
        </w:rPr>
        <w:t>四川力诚卓达项目管理有限公司</w:t>
      </w:r>
    </w:p>
    <w:p>
      <w:pPr>
        <w:spacing w:line="360" w:lineRule="auto"/>
        <w:ind w:firstLine="482" w:firstLineChars="200"/>
        <w:jc w:val="left"/>
        <w:rPr>
          <w:rFonts w:ascii="宋体" w:hAnsi="宋体"/>
          <w:b/>
          <w:sz w:val="24"/>
        </w:rPr>
      </w:pPr>
      <w:r>
        <w:rPr>
          <w:rFonts w:hint="eastAsia" w:ascii="宋体" w:hAnsi="宋体"/>
          <w:b/>
          <w:sz w:val="24"/>
        </w:rPr>
        <w:t>二、资金情况</w:t>
      </w:r>
    </w:p>
    <w:p>
      <w:pPr>
        <w:spacing w:line="360" w:lineRule="auto"/>
        <w:ind w:firstLine="480" w:firstLineChars="200"/>
        <w:jc w:val="left"/>
        <w:rPr>
          <w:rFonts w:ascii="宋体" w:hAnsi="宋体" w:cs="宋体"/>
          <w:sz w:val="24"/>
        </w:rPr>
      </w:pPr>
      <w:r>
        <w:rPr>
          <w:rFonts w:hint="eastAsia" w:ascii="宋体" w:hAnsi="宋体"/>
          <w:sz w:val="24"/>
        </w:rPr>
        <w:t>1.资金来源：</w:t>
      </w:r>
      <w:r>
        <w:rPr>
          <w:rFonts w:hint="eastAsia" w:ascii="宋体" w:hAnsi="宋体" w:cs="宋体"/>
          <w:sz w:val="24"/>
        </w:rPr>
        <w:t>财政性资金；比例100%；已落实；</w:t>
      </w:r>
    </w:p>
    <w:p>
      <w:pPr>
        <w:spacing w:line="360" w:lineRule="auto"/>
        <w:ind w:firstLine="480" w:firstLineChars="200"/>
        <w:jc w:val="left"/>
        <w:rPr>
          <w:rFonts w:ascii="宋体" w:hAnsi="宋体" w:cs="宋体"/>
          <w:bCs/>
          <w:sz w:val="24"/>
        </w:rPr>
      </w:pPr>
      <w:r>
        <w:rPr>
          <w:rFonts w:hint="eastAsia" w:ascii="宋体" w:hAnsi="宋体"/>
          <w:sz w:val="24"/>
        </w:rPr>
        <w:t>2.</w:t>
      </w:r>
      <w:r>
        <w:rPr>
          <w:rFonts w:hint="eastAsia" w:ascii="宋体" w:hAnsi="宋体" w:cs="宋体"/>
          <w:spacing w:val="-4"/>
          <w:sz w:val="24"/>
        </w:rPr>
        <w:t>采购预算：1</w:t>
      </w:r>
      <w:r>
        <w:rPr>
          <w:rFonts w:hint="eastAsia" w:ascii="宋体" w:hAnsi="宋体" w:cs="宋体"/>
          <w:spacing w:val="-4"/>
          <w:sz w:val="24"/>
          <w:lang w:val="en-US" w:eastAsia="zh-CN"/>
        </w:rPr>
        <w:t>00</w:t>
      </w:r>
      <w:r>
        <w:rPr>
          <w:rFonts w:hint="eastAsia" w:ascii="宋体" w:hAnsi="宋体" w:cs="宋体"/>
          <w:bCs/>
          <w:sz w:val="24"/>
        </w:rPr>
        <w:t>万元。</w:t>
      </w:r>
    </w:p>
    <w:p>
      <w:pPr>
        <w:spacing w:line="360" w:lineRule="auto"/>
        <w:ind w:firstLine="482" w:firstLineChars="200"/>
        <w:jc w:val="left"/>
        <w:rPr>
          <w:rFonts w:ascii="宋体" w:hAnsi="宋体"/>
          <w:b/>
          <w:sz w:val="24"/>
        </w:rPr>
      </w:pPr>
      <w:r>
        <w:rPr>
          <w:rFonts w:hint="eastAsia" w:ascii="宋体" w:hAnsi="宋体"/>
          <w:b/>
          <w:sz w:val="24"/>
        </w:rPr>
        <w:t>三、采购项目简介：</w:t>
      </w:r>
    </w:p>
    <w:p>
      <w:pPr>
        <w:spacing w:line="360" w:lineRule="auto"/>
        <w:ind w:firstLine="480" w:firstLineChars="200"/>
        <w:jc w:val="left"/>
        <w:rPr>
          <w:rFonts w:ascii="宋体" w:hAnsi="宋体"/>
          <w:sz w:val="24"/>
        </w:rPr>
      </w:pPr>
      <w:bookmarkStart w:id="10" w:name="PO_默认文件内容_2"/>
      <w:bookmarkStart w:id="11" w:name="PO_默认文件内容_3"/>
      <w:r>
        <w:rPr>
          <w:rFonts w:hint="eastAsia" w:ascii="宋体" w:hAnsi="宋体"/>
          <w:sz w:val="24"/>
        </w:rPr>
        <w:t>1.本项目为</w:t>
      </w:r>
      <w:r>
        <w:rPr>
          <w:rFonts w:hint="eastAsia" w:ascii="宋体" w:hAnsi="宋体"/>
          <w:sz w:val="24"/>
          <w:lang w:eastAsia="zh-CN"/>
        </w:rPr>
        <w:t>青龙街道智慧社区软件升级服务（一期）项目</w:t>
      </w:r>
      <w:r>
        <w:rPr>
          <w:rFonts w:hint="eastAsia" w:ascii="宋体" w:hAnsi="宋体"/>
          <w:sz w:val="24"/>
        </w:rPr>
        <w:t>，详见磋商文件第五章。</w:t>
      </w:r>
    </w:p>
    <w:p>
      <w:pPr>
        <w:spacing w:line="360" w:lineRule="auto"/>
        <w:ind w:firstLine="480" w:firstLineChars="200"/>
        <w:jc w:val="left"/>
        <w:rPr>
          <w:rFonts w:ascii="宋体" w:hAnsi="宋体"/>
          <w:sz w:val="24"/>
        </w:rPr>
      </w:pPr>
      <w:r>
        <w:rPr>
          <w:rFonts w:hint="eastAsia" w:ascii="宋体" w:hAnsi="宋体"/>
          <w:sz w:val="24"/>
        </w:rPr>
        <w:t>2.采购预算：</w:t>
      </w:r>
      <w:r>
        <w:rPr>
          <w:rFonts w:hint="eastAsia" w:ascii="宋体" w:hAnsi="宋体"/>
          <w:sz w:val="24"/>
          <w:lang w:val="en-US" w:eastAsia="zh-CN"/>
        </w:rPr>
        <w:t>100</w:t>
      </w:r>
      <w:r>
        <w:rPr>
          <w:rFonts w:hint="eastAsia" w:ascii="宋体" w:hAnsi="宋体"/>
          <w:sz w:val="24"/>
        </w:rPr>
        <w:t>万元</w:t>
      </w:r>
      <w:r>
        <w:rPr>
          <w:rFonts w:hint="eastAsia" w:ascii="宋体" w:hAnsi="宋体" w:cs="宋体"/>
          <w:bCs/>
          <w:sz w:val="24"/>
        </w:rPr>
        <w:t>。</w:t>
      </w:r>
    </w:p>
    <w:bookmarkEnd w:id="10"/>
    <w:bookmarkEnd w:id="11"/>
    <w:p>
      <w:pPr>
        <w:spacing w:line="360" w:lineRule="auto"/>
        <w:ind w:firstLine="482" w:firstLineChars="200"/>
        <w:jc w:val="left"/>
        <w:rPr>
          <w:rFonts w:ascii="宋体" w:hAnsi="宋体"/>
          <w:b/>
          <w:sz w:val="24"/>
        </w:rPr>
      </w:pPr>
      <w:r>
        <w:rPr>
          <w:rFonts w:hint="eastAsia" w:ascii="宋体" w:hAnsi="宋体"/>
          <w:b/>
          <w:sz w:val="24"/>
        </w:rPr>
        <w:t>四、供应商邀请方式</w:t>
      </w:r>
    </w:p>
    <w:p>
      <w:pPr>
        <w:wordWrap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公告方式：本次竞争性磋商邀请在四川政府采购网（</w:t>
      </w:r>
      <w:r>
        <w:rPr>
          <w:rFonts w:hint="eastAsia"/>
        </w:rPr>
        <w:fldChar w:fldCharType="begin"/>
      </w:r>
      <w:r>
        <w:instrText xml:space="preserve"> HYPERLINK "http://www.ccgp-sichuan.gov.cn/" </w:instrText>
      </w:r>
      <w:r>
        <w:rPr>
          <w:rFonts w:hint="eastAsia"/>
        </w:rPr>
        <w:fldChar w:fldCharType="separate"/>
      </w:r>
      <w:r>
        <w:rPr>
          <w:rStyle w:val="24"/>
          <w:rFonts w:hint="eastAsia" w:asciiTheme="minorEastAsia" w:hAnsiTheme="minorEastAsia" w:eastAsiaTheme="minorEastAsia" w:cstheme="minorEastAsia"/>
          <w:color w:val="auto"/>
          <w:sz w:val="24"/>
        </w:rPr>
        <w:t>http://www.ccgp-sichuan.gov.cn</w:t>
      </w:r>
      <w:r>
        <w:rPr>
          <w:rStyle w:val="24"/>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sz w:val="24"/>
        </w:rPr>
        <w:t>）上以公告形式发布。本项目采购公告期限为采购公告发布之日起3个工作日。</w:t>
      </w:r>
    </w:p>
    <w:p>
      <w:pPr>
        <w:spacing w:line="360" w:lineRule="auto"/>
        <w:ind w:firstLine="482" w:firstLineChars="200"/>
        <w:jc w:val="left"/>
        <w:rPr>
          <w:rFonts w:ascii="宋体" w:hAnsi="宋体"/>
          <w:b/>
          <w:sz w:val="24"/>
        </w:rPr>
      </w:pPr>
      <w:r>
        <w:rPr>
          <w:rFonts w:hint="eastAsia" w:ascii="宋体" w:hAnsi="宋体"/>
          <w:b/>
          <w:sz w:val="24"/>
        </w:rPr>
        <w:t>五、供应商参加本次政府采购活动应具备下列条件</w:t>
      </w:r>
    </w:p>
    <w:p>
      <w:pPr>
        <w:spacing w:line="360" w:lineRule="auto"/>
        <w:ind w:firstLine="480" w:firstLineChars="200"/>
        <w:jc w:val="left"/>
        <w:rPr>
          <w:rFonts w:ascii="宋体" w:hAnsi="宋体"/>
          <w:sz w:val="24"/>
        </w:rPr>
      </w:pPr>
      <w:r>
        <w:rPr>
          <w:rFonts w:hint="eastAsia" w:ascii="宋体" w:hAnsi="宋体"/>
          <w:sz w:val="24"/>
        </w:rPr>
        <w:t>1.具有独立承担民事责任的能力；</w:t>
      </w:r>
    </w:p>
    <w:p>
      <w:pPr>
        <w:spacing w:line="360" w:lineRule="auto"/>
        <w:ind w:firstLine="480" w:firstLineChars="200"/>
        <w:jc w:val="left"/>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jc w:val="left"/>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4.有依法缴纳税收和社会保障资金的良好记录；</w:t>
      </w:r>
    </w:p>
    <w:p>
      <w:pPr>
        <w:spacing w:line="360" w:lineRule="auto"/>
        <w:ind w:firstLine="480" w:firstLineChars="200"/>
        <w:jc w:val="left"/>
        <w:rPr>
          <w:rFonts w:ascii="宋体" w:hAnsi="宋体"/>
          <w:sz w:val="24"/>
        </w:rPr>
      </w:pPr>
      <w:r>
        <w:rPr>
          <w:rFonts w:hint="eastAsia" w:ascii="宋体" w:hAnsi="宋体"/>
          <w:sz w:val="24"/>
        </w:rPr>
        <w:t>5.参加政府采购活动前三年内，在经营活动中没有重大违法记录；</w:t>
      </w:r>
    </w:p>
    <w:p>
      <w:pPr>
        <w:spacing w:line="360" w:lineRule="auto"/>
        <w:ind w:firstLine="480" w:firstLineChars="200"/>
        <w:jc w:val="left"/>
        <w:rPr>
          <w:rFonts w:ascii="宋体" w:hAnsi="宋体"/>
          <w:sz w:val="24"/>
        </w:rPr>
      </w:pPr>
      <w:r>
        <w:rPr>
          <w:rFonts w:hint="eastAsia" w:ascii="宋体" w:hAnsi="宋体"/>
          <w:sz w:val="24"/>
        </w:rPr>
        <w:t>6.法律、行政法规规定的其他条件。</w:t>
      </w:r>
    </w:p>
    <w:p>
      <w:pPr>
        <w:spacing w:line="360" w:lineRule="auto"/>
        <w:ind w:firstLine="480" w:firstLineChars="200"/>
        <w:jc w:val="left"/>
        <w:rPr>
          <w:rFonts w:ascii="宋体" w:hAnsi="宋体"/>
          <w:sz w:val="24"/>
        </w:rPr>
      </w:pPr>
      <w:r>
        <w:rPr>
          <w:rFonts w:hint="eastAsia" w:ascii="宋体" w:hAnsi="宋体"/>
          <w:sz w:val="24"/>
        </w:rPr>
        <w:t>7.根据采购项目提出的特殊条件：</w:t>
      </w:r>
    </w:p>
    <w:p>
      <w:pPr>
        <w:spacing w:line="360" w:lineRule="auto"/>
        <w:ind w:firstLine="480" w:firstLineChars="200"/>
        <w:jc w:val="left"/>
        <w:rPr>
          <w:rFonts w:ascii="宋体" w:hAnsi="宋体" w:cs="宋体"/>
          <w:sz w:val="24"/>
        </w:rPr>
      </w:pPr>
      <w:r>
        <w:rPr>
          <w:rFonts w:hint="eastAsia" w:ascii="宋体" w:hAnsi="宋体" w:cs="宋体"/>
          <w:sz w:val="24"/>
        </w:rPr>
        <w:t>7.1供应商及其现任法定代表人（非法人机构则为主要负责人）不得具有行贿犯罪记录；</w:t>
      </w:r>
    </w:p>
    <w:p>
      <w:pPr>
        <w:spacing w:line="360" w:lineRule="auto"/>
        <w:ind w:firstLine="480" w:firstLineChars="200"/>
        <w:jc w:val="left"/>
        <w:rPr>
          <w:rFonts w:ascii="宋体" w:hAnsi="宋体"/>
          <w:sz w:val="24"/>
        </w:rPr>
      </w:pPr>
      <w:r>
        <w:rPr>
          <w:rFonts w:hint="eastAsia" w:ascii="宋体" w:hAnsi="宋体"/>
          <w:sz w:val="24"/>
        </w:rPr>
        <w:t>7.</w:t>
      </w:r>
      <w:r>
        <w:rPr>
          <w:rFonts w:hint="eastAsia" w:ascii="宋体" w:hAnsi="宋体"/>
          <w:sz w:val="24"/>
          <w:lang w:val="en-US" w:eastAsia="zh-CN"/>
        </w:rPr>
        <w:t>2</w:t>
      </w:r>
      <w:r>
        <w:rPr>
          <w:rFonts w:hint="eastAsia" w:ascii="宋体" w:hAnsi="宋体"/>
          <w:sz w:val="24"/>
        </w:rPr>
        <w:t>本次磋商不接受联合体响应。</w:t>
      </w:r>
    </w:p>
    <w:p>
      <w:pPr>
        <w:spacing w:line="360" w:lineRule="auto"/>
        <w:ind w:firstLine="482" w:firstLineChars="200"/>
        <w:jc w:val="left"/>
        <w:rPr>
          <w:rFonts w:ascii="宋体" w:hAnsi="宋体"/>
          <w:b/>
          <w:sz w:val="24"/>
        </w:rPr>
      </w:pPr>
      <w:r>
        <w:rPr>
          <w:rFonts w:hint="eastAsia" w:ascii="宋体" w:hAnsi="宋体"/>
          <w:b/>
          <w:sz w:val="24"/>
        </w:rPr>
        <w:t>六、禁止参加本次采购活动的供应商</w:t>
      </w:r>
    </w:p>
    <w:p>
      <w:pPr>
        <w:spacing w:line="360" w:lineRule="auto"/>
        <w:ind w:firstLine="480" w:firstLineChars="200"/>
        <w:jc w:val="left"/>
        <w:rPr>
          <w:rFonts w:ascii="宋体" w:hAnsi="宋体"/>
          <w:sz w:val="24"/>
        </w:rPr>
      </w:pPr>
      <w:r>
        <w:rPr>
          <w:rFonts w:hint="eastAsia" w:ascii="宋体" w:hAnsi="宋体"/>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jc w:val="left"/>
        <w:rPr>
          <w:rFonts w:ascii="宋体" w:hAnsi="宋体"/>
          <w:sz w:val="24"/>
        </w:rPr>
      </w:pPr>
      <w:r>
        <w:rPr>
          <w:rFonts w:hint="eastAsia" w:ascii="宋体" w:hAnsi="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2" w:firstLineChars="200"/>
        <w:jc w:val="left"/>
        <w:rPr>
          <w:rFonts w:ascii="宋体" w:hAnsi="宋体"/>
          <w:b/>
          <w:sz w:val="24"/>
        </w:rPr>
      </w:pPr>
      <w:r>
        <w:rPr>
          <w:rFonts w:hint="eastAsia" w:ascii="宋体" w:hAnsi="宋体"/>
          <w:b/>
          <w:sz w:val="24"/>
        </w:rPr>
        <w:t>七、磋商文件获取方式、时间、地点：</w:t>
      </w:r>
    </w:p>
    <w:p>
      <w:pPr>
        <w:spacing w:line="360" w:lineRule="auto"/>
        <w:ind w:firstLine="480" w:firstLineChars="200"/>
        <w:rPr>
          <w:rFonts w:ascii="宋体" w:hAnsi="宋体" w:cs="宋体"/>
          <w:sz w:val="24"/>
        </w:rPr>
      </w:pPr>
      <w:r>
        <w:rPr>
          <w:rFonts w:hint="eastAsia" w:ascii="宋体" w:hAnsi="宋体" w:cs="宋体"/>
          <w:sz w:val="24"/>
        </w:rPr>
        <w:t>获取时间：2021年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日-2021年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获取地点：政府采购云平台（https://www.zcygov.cn/）。</w:t>
      </w:r>
    </w:p>
    <w:p>
      <w:pPr>
        <w:spacing w:line="360" w:lineRule="auto"/>
        <w:ind w:firstLine="480" w:firstLineChars="200"/>
        <w:jc w:val="left"/>
        <w:rPr>
          <w:rFonts w:ascii="宋体" w:hAnsi="宋体" w:cs="宋体"/>
          <w:sz w:val="24"/>
        </w:rPr>
      </w:pPr>
      <w:r>
        <w:rPr>
          <w:rFonts w:hint="eastAsia" w:ascii="宋体" w:hAnsi="宋体" w:cs="宋体"/>
          <w:sz w:val="24"/>
        </w:rPr>
        <w:t>磋商文件获取方式：凡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提示：（1）本项目磋商文件免费获取。（2）供应商只有在“政府采购云平台”完成获取磋商文件申请并下载磋商文件后才视作依法参与本项目。</w:t>
      </w:r>
    </w:p>
    <w:p>
      <w:pPr>
        <w:spacing w:line="360" w:lineRule="auto"/>
        <w:ind w:firstLine="482" w:firstLineChars="200"/>
        <w:jc w:val="left"/>
        <w:rPr>
          <w:rFonts w:ascii="宋体" w:hAnsi="宋体"/>
          <w:sz w:val="24"/>
        </w:rPr>
      </w:pPr>
      <w:r>
        <w:rPr>
          <w:rFonts w:hint="eastAsia" w:ascii="宋体" w:hAnsi="宋体"/>
          <w:b/>
          <w:sz w:val="24"/>
        </w:rPr>
        <w:t>八、递交响应文件截止时间</w:t>
      </w:r>
      <w:r>
        <w:rPr>
          <w:rFonts w:hint="eastAsia" w:ascii="宋体" w:hAnsi="宋体"/>
          <w:sz w:val="24"/>
        </w:rPr>
        <w:t>：2021年</w:t>
      </w:r>
      <w:r>
        <w:rPr>
          <w:rFonts w:hint="eastAsia" w:ascii="宋体" w:hAnsi="宋体" w:cs="宋体"/>
          <w:sz w:val="24"/>
          <w:lang w:val="en-US" w:eastAsia="zh-CN"/>
        </w:rPr>
        <w:t>12</w:t>
      </w:r>
      <w:r>
        <w:rPr>
          <w:rFonts w:hint="eastAsia" w:ascii="宋体" w:hAnsi="宋体"/>
          <w:sz w:val="24"/>
        </w:rPr>
        <w:t>月</w:t>
      </w:r>
      <w:r>
        <w:rPr>
          <w:rFonts w:hint="eastAsia" w:ascii="宋体" w:hAnsi="宋体" w:cs="宋体"/>
          <w:sz w:val="24"/>
          <w:lang w:val="en-US" w:eastAsia="zh-CN"/>
        </w:rPr>
        <w:t>13</w:t>
      </w:r>
      <w:r>
        <w:rPr>
          <w:rFonts w:hint="eastAsia" w:ascii="宋体" w:hAnsi="宋体"/>
          <w:sz w:val="24"/>
        </w:rPr>
        <w:t>日</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3</w:t>
      </w:r>
      <w:r>
        <w:rPr>
          <w:rFonts w:hint="eastAsia" w:ascii="宋体" w:hAnsi="宋体"/>
          <w:sz w:val="24"/>
        </w:rPr>
        <w:t>0(北京时间)。</w:t>
      </w:r>
    </w:p>
    <w:p>
      <w:pPr>
        <w:spacing w:line="360" w:lineRule="auto"/>
        <w:ind w:firstLine="482" w:firstLineChars="200"/>
        <w:jc w:val="left"/>
        <w:rPr>
          <w:rFonts w:ascii="宋体" w:hAnsi="宋体"/>
          <w:b/>
          <w:sz w:val="24"/>
        </w:rPr>
      </w:pPr>
      <w:r>
        <w:rPr>
          <w:rFonts w:hint="eastAsia" w:ascii="宋体" w:hAnsi="宋体"/>
          <w:b/>
          <w:sz w:val="24"/>
        </w:rPr>
        <w:t>九、递交响应文件地点：</w:t>
      </w:r>
      <w:r>
        <w:rPr>
          <w:rFonts w:hint="eastAsia" w:ascii="宋体" w:hAnsi="宋体"/>
          <w:bCs/>
          <w:sz w:val="24"/>
        </w:rPr>
        <w:t>响应文件必须在递交响应文件截止时间前送达磋商地点。逾期送达或未按磋商文件要求进行密封标注的响应文件，采购人/采购代理机构恕不接收。本次采购不接收邮寄的响应文件。</w:t>
      </w:r>
    </w:p>
    <w:p>
      <w:pPr>
        <w:spacing w:line="360" w:lineRule="auto"/>
        <w:ind w:firstLine="482" w:firstLineChars="200"/>
        <w:jc w:val="left"/>
        <w:rPr>
          <w:rFonts w:ascii="宋体" w:hAnsi="宋体"/>
          <w:sz w:val="24"/>
        </w:rPr>
      </w:pPr>
      <w:r>
        <w:rPr>
          <w:rFonts w:hint="eastAsia" w:ascii="宋体" w:hAnsi="宋体"/>
          <w:b/>
          <w:sz w:val="24"/>
        </w:rPr>
        <w:t>十、响应文件开启时间：</w:t>
      </w:r>
      <w:r>
        <w:rPr>
          <w:rFonts w:hint="eastAsia" w:ascii="宋体" w:hAnsi="宋体"/>
          <w:sz w:val="24"/>
        </w:rPr>
        <w:t>2021年</w:t>
      </w:r>
      <w:r>
        <w:rPr>
          <w:rFonts w:hint="eastAsia" w:ascii="宋体" w:hAnsi="宋体" w:cs="宋体"/>
          <w:sz w:val="24"/>
          <w:lang w:val="en-US" w:eastAsia="zh-CN"/>
        </w:rPr>
        <w:t>12</w:t>
      </w:r>
      <w:r>
        <w:rPr>
          <w:rFonts w:hint="eastAsia" w:ascii="宋体" w:hAnsi="宋体"/>
          <w:sz w:val="24"/>
        </w:rPr>
        <w:t>月</w:t>
      </w:r>
      <w:r>
        <w:rPr>
          <w:rFonts w:hint="eastAsia" w:ascii="宋体" w:hAnsi="宋体" w:cs="宋体"/>
          <w:sz w:val="24"/>
          <w:lang w:val="en-US" w:eastAsia="zh-CN"/>
        </w:rPr>
        <w:t>13</w:t>
      </w:r>
      <w:r>
        <w:rPr>
          <w:rFonts w:hint="eastAsia" w:ascii="宋体" w:hAnsi="宋体"/>
          <w:sz w:val="24"/>
        </w:rPr>
        <w:t>日</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hint="eastAsia" w:ascii="宋体" w:hAnsi="宋体"/>
          <w:bCs/>
          <w:sz w:val="24"/>
        </w:rPr>
        <w:t>（北京时间）在磋商地点开启。</w:t>
      </w:r>
    </w:p>
    <w:p>
      <w:pPr>
        <w:spacing w:line="360" w:lineRule="auto"/>
        <w:ind w:firstLine="482" w:firstLineChars="200"/>
        <w:jc w:val="left"/>
        <w:rPr>
          <w:rFonts w:ascii="宋体" w:hAnsi="宋体"/>
          <w:sz w:val="24"/>
        </w:rPr>
      </w:pPr>
      <w:r>
        <w:rPr>
          <w:rFonts w:hint="eastAsia" w:ascii="宋体" w:hAnsi="宋体"/>
          <w:b/>
          <w:sz w:val="24"/>
        </w:rPr>
        <w:t>十一、磋商</w:t>
      </w:r>
      <w:r>
        <w:rPr>
          <w:rFonts w:ascii="宋体" w:hAnsi="宋体"/>
          <w:b/>
          <w:sz w:val="24"/>
        </w:rPr>
        <w:t>地点：</w:t>
      </w:r>
      <w:r>
        <w:rPr>
          <w:rFonts w:hint="eastAsia" w:ascii="宋体" w:hAnsi="宋体"/>
          <w:b/>
          <w:sz w:val="24"/>
          <w:lang w:eastAsia="zh-CN"/>
        </w:rPr>
        <w:t>成都市高新区天府大道北段1700号环球中心W6区20楼19号</w:t>
      </w:r>
      <w:r>
        <w:rPr>
          <w:rFonts w:hint="eastAsia" w:ascii="宋体" w:hAnsi="宋体"/>
          <w:sz w:val="24"/>
        </w:rPr>
        <w:t>。</w:t>
      </w:r>
    </w:p>
    <w:p>
      <w:pPr>
        <w:spacing w:line="360" w:lineRule="auto"/>
        <w:ind w:firstLine="482" w:firstLineChars="200"/>
        <w:jc w:val="left"/>
        <w:rPr>
          <w:rFonts w:ascii="宋体" w:hAnsi="宋体"/>
          <w:b/>
          <w:sz w:val="24"/>
        </w:rPr>
      </w:pPr>
      <w:r>
        <w:rPr>
          <w:rFonts w:hint="eastAsia" w:ascii="宋体" w:hAnsi="宋体"/>
          <w:b/>
          <w:sz w:val="24"/>
        </w:rPr>
        <w:t>十二、供应商信用融资：</w:t>
      </w:r>
    </w:p>
    <w:p>
      <w:pPr>
        <w:spacing w:line="360" w:lineRule="auto"/>
        <w:ind w:firstLine="480" w:firstLineChars="200"/>
        <w:jc w:val="left"/>
        <w:rPr>
          <w:rFonts w:ascii="宋体" w:hAnsi="宋体"/>
          <w:bCs/>
          <w:sz w:val="24"/>
        </w:rPr>
      </w:pPr>
      <w:r>
        <w:rPr>
          <w:rFonts w:hint="eastAsia" w:ascii="宋体" w:hAnsi="宋体"/>
          <w:bCs/>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80" w:firstLineChars="200"/>
        <w:jc w:val="left"/>
        <w:rPr>
          <w:rFonts w:ascii="宋体" w:hAnsi="宋体"/>
          <w:bCs/>
          <w:sz w:val="24"/>
        </w:rPr>
      </w:pPr>
      <w:r>
        <w:rPr>
          <w:rFonts w:hint="eastAsia" w:ascii="宋体" w:hAnsi="宋体"/>
          <w:bCs/>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磋商文件附件“成财采[2019]17号”）。</w:t>
      </w:r>
    </w:p>
    <w:p>
      <w:pPr>
        <w:spacing w:line="360" w:lineRule="auto"/>
        <w:ind w:firstLine="482" w:firstLineChars="200"/>
        <w:jc w:val="left"/>
        <w:rPr>
          <w:rFonts w:ascii="宋体" w:hAnsi="宋体"/>
          <w:b/>
          <w:sz w:val="24"/>
        </w:rPr>
      </w:pPr>
      <w:r>
        <w:rPr>
          <w:rFonts w:hint="eastAsia" w:ascii="宋体" w:hAnsi="宋体"/>
          <w:b/>
          <w:sz w:val="24"/>
        </w:rPr>
        <w:t>十三、联系方式</w:t>
      </w:r>
    </w:p>
    <w:p>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rPr>
        <w:t>采 购 人：</w:t>
      </w:r>
      <w:r>
        <w:rPr>
          <w:rFonts w:hint="eastAsia" w:ascii="宋体" w:hAnsi="宋体"/>
          <w:b/>
          <w:bCs/>
          <w:sz w:val="24"/>
          <w:lang w:eastAsia="zh-CN"/>
        </w:rPr>
        <w:t>成都市成华区人民政府青龙街道办事处</w:t>
      </w:r>
    </w:p>
    <w:p>
      <w:pPr>
        <w:spacing w:line="360" w:lineRule="auto"/>
        <w:ind w:firstLine="480" w:firstLineChars="200"/>
        <w:jc w:val="left"/>
        <w:rPr>
          <w:rFonts w:ascii="宋体" w:hAnsi="宋体"/>
          <w:sz w:val="24"/>
        </w:rPr>
      </w:pPr>
      <w:r>
        <w:rPr>
          <w:rFonts w:hint="eastAsia" w:ascii="宋体" w:hAnsi="宋体"/>
          <w:sz w:val="24"/>
        </w:rPr>
        <w:t>地    址：</w:t>
      </w:r>
      <w:r>
        <w:rPr>
          <w:rFonts w:hint="eastAsia" w:ascii="宋体" w:hAnsi="宋体"/>
          <w:sz w:val="24"/>
          <w:lang w:val="en-US" w:eastAsia="zh-CN"/>
        </w:rPr>
        <w:t>成都市成华区致强路266号</w:t>
      </w:r>
    </w:p>
    <w:p>
      <w:pPr>
        <w:pStyle w:val="37"/>
        <w:ind w:firstLine="480"/>
        <w:rPr>
          <w:rFonts w:ascii="宋体" w:hAnsi="宋体" w:cs="宋体"/>
          <w:color w:val="auto"/>
          <w:sz w:val="24"/>
        </w:rPr>
      </w:pPr>
      <w:r>
        <w:rPr>
          <w:rFonts w:hint="eastAsia" w:ascii="宋体" w:hAnsi="宋体" w:cs="宋体"/>
          <w:color w:val="auto"/>
          <w:sz w:val="24"/>
        </w:rPr>
        <w:t>联 系 人：</w:t>
      </w:r>
      <w:r>
        <w:rPr>
          <w:rFonts w:hint="eastAsia" w:ascii="宋体" w:hAnsi="宋体" w:cs="宋体"/>
          <w:color w:val="auto"/>
          <w:sz w:val="24"/>
          <w:lang w:val="en-US" w:eastAsia="zh-CN"/>
        </w:rPr>
        <w:t>何</w:t>
      </w:r>
      <w:r>
        <w:rPr>
          <w:rFonts w:hint="eastAsia" w:ascii="宋体" w:hAnsi="宋体" w:cs="宋体"/>
          <w:color w:val="auto"/>
          <w:sz w:val="24"/>
        </w:rPr>
        <w:t xml:space="preserve">老师 </w:t>
      </w:r>
    </w:p>
    <w:p>
      <w:pPr>
        <w:pStyle w:val="37"/>
        <w:ind w:firstLine="480"/>
        <w:rPr>
          <w:rFonts w:hint="eastAsia" w:ascii="宋体" w:hAnsi="宋体" w:eastAsia="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18382444744</w:t>
      </w:r>
    </w:p>
    <w:p>
      <w:pPr>
        <w:spacing w:line="360" w:lineRule="auto"/>
        <w:ind w:firstLine="482" w:firstLineChars="200"/>
        <w:jc w:val="left"/>
        <w:rPr>
          <w:rFonts w:hint="eastAsia" w:ascii="宋体" w:hAnsi="宋体" w:eastAsia="宋体"/>
          <w:b/>
          <w:bCs/>
          <w:sz w:val="24"/>
          <w:lang w:eastAsia="zh-CN"/>
        </w:rPr>
      </w:pPr>
      <w:r>
        <w:rPr>
          <w:rFonts w:hint="eastAsia" w:ascii="宋体" w:hAnsi="宋体"/>
          <w:b/>
          <w:bCs/>
          <w:sz w:val="24"/>
        </w:rPr>
        <w:t>采购代理机构：</w:t>
      </w:r>
      <w:r>
        <w:rPr>
          <w:rFonts w:hint="eastAsia" w:ascii="宋体" w:hAnsi="宋体"/>
          <w:b/>
          <w:bCs/>
          <w:sz w:val="24"/>
          <w:lang w:eastAsia="zh-CN"/>
        </w:rPr>
        <w:t>四川力诚卓达项目管理有限公司</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成都市高新区天府大道北段1700号环球中心W6区20楼19号</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人：李先生</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color w:val="auto"/>
          <w:sz w:val="24"/>
          <w:szCs w:val="24"/>
          <w:highlight w:val="none"/>
          <w:lang w:eastAsia="zh-CN"/>
        </w:rPr>
        <w:t>028-85178937</w:t>
      </w:r>
      <w:bookmarkStart w:id="309" w:name="_GoBack"/>
      <w:bookmarkEnd w:id="309"/>
    </w:p>
    <w:p>
      <w:pPr>
        <w:spacing w:line="360" w:lineRule="auto"/>
        <w:jc w:val="right"/>
      </w:pPr>
      <w:r>
        <w:rPr>
          <w:rFonts w:hint="eastAsia" w:ascii="宋体" w:hAnsi="宋体"/>
          <w:sz w:val="24"/>
        </w:rPr>
        <w:t>2021年</w:t>
      </w:r>
      <w:r>
        <w:rPr>
          <w:rFonts w:hint="eastAsia" w:ascii="宋体" w:hAnsi="宋体"/>
          <w:sz w:val="24"/>
          <w:lang w:val="en-US" w:eastAsia="zh-CN"/>
        </w:rPr>
        <w:t>11</w:t>
      </w:r>
      <w:r>
        <w:rPr>
          <w:rFonts w:hint="eastAsia" w:ascii="宋体" w:hAnsi="宋体"/>
          <w:sz w:val="24"/>
        </w:rPr>
        <w:t>月</w:t>
      </w:r>
      <w:bookmarkStart w:id="12" w:name="_Toc1282"/>
      <w:bookmarkStart w:id="13" w:name="_Toc217446031"/>
      <w:bookmarkStart w:id="14" w:name="_Toc213397009"/>
      <w:bookmarkStart w:id="15" w:name="_Toc213496267"/>
      <w:bookmarkStart w:id="16" w:name="_Toc9280_WPSOffice_Level1"/>
      <w:bookmarkStart w:id="17" w:name="_Toc213396759"/>
      <w:bookmarkStart w:id="18" w:name="_Toc8230_WPSOffice_Level1"/>
      <w:bookmarkStart w:id="19" w:name="_Toc213396945"/>
      <w:r>
        <w:rPr>
          <w:rFonts w:hint="eastAsia" w:ascii="宋体" w:hAnsi="宋体"/>
          <w:sz w:val="24"/>
          <w:lang w:val="en-US" w:eastAsia="zh-CN"/>
        </w:rPr>
        <w:t>30日</w:t>
      </w:r>
      <w:r>
        <w:rPr>
          <w:rFonts w:hint="eastAsia"/>
        </w:rPr>
        <w:br w:type="page"/>
      </w:r>
    </w:p>
    <w:p>
      <w:pPr>
        <w:pStyle w:val="3"/>
        <w:spacing w:before="0" w:after="0" w:line="360" w:lineRule="auto"/>
        <w:jc w:val="center"/>
      </w:pPr>
      <w:bookmarkStart w:id="20" w:name="_Toc16992"/>
      <w:r>
        <w:rPr>
          <w:rFonts w:hint="eastAsia"/>
        </w:rPr>
        <w:t>第二章  磋商须知</w:t>
      </w:r>
      <w:bookmarkEnd w:id="12"/>
      <w:bookmarkEnd w:id="13"/>
      <w:bookmarkEnd w:id="14"/>
      <w:bookmarkEnd w:id="15"/>
      <w:bookmarkEnd w:id="16"/>
      <w:bookmarkEnd w:id="17"/>
      <w:bookmarkEnd w:id="18"/>
      <w:bookmarkEnd w:id="19"/>
      <w:bookmarkEnd w:id="20"/>
    </w:p>
    <w:p>
      <w:pPr>
        <w:pStyle w:val="4"/>
        <w:spacing w:before="0" w:after="0" w:line="360" w:lineRule="auto"/>
        <w:jc w:val="center"/>
      </w:pPr>
      <w:bookmarkStart w:id="21" w:name="_Toc6814_WPSOffice_Level2"/>
      <w:r>
        <w:rPr>
          <w:rFonts w:hint="eastAsia"/>
        </w:rPr>
        <w:t>一、供应商须知附表</w:t>
      </w:r>
      <w:bookmarkEnd w:id="21"/>
    </w:p>
    <w:tbl>
      <w:tblPr>
        <w:tblStyle w:val="28"/>
        <w:tblW w:w="9136" w:type="dxa"/>
        <w:jc w:val="center"/>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645"/>
        <w:gridCol w:w="2152"/>
        <w:gridCol w:w="633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tblHeader/>
          <w:jc w:val="center"/>
        </w:trPr>
        <w:tc>
          <w:tcPr>
            <w:tcW w:w="645" w:type="dxa"/>
            <w:vAlign w:val="center"/>
          </w:tcPr>
          <w:p>
            <w:pPr>
              <w:pStyle w:val="34"/>
              <w:spacing w:line="240" w:lineRule="auto"/>
              <w:jc w:val="center"/>
              <w:rPr>
                <w:b/>
                <w:kern w:val="2"/>
                <w:sz w:val="21"/>
                <w:szCs w:val="21"/>
                <w:lang w:val="zh-CN"/>
              </w:rPr>
            </w:pPr>
            <w:r>
              <w:rPr>
                <w:rFonts w:hint="eastAsia"/>
                <w:b/>
                <w:kern w:val="2"/>
                <w:sz w:val="21"/>
                <w:szCs w:val="21"/>
                <w:lang w:val="zh-CN"/>
              </w:rPr>
              <w:t>序号</w:t>
            </w:r>
          </w:p>
        </w:tc>
        <w:tc>
          <w:tcPr>
            <w:tcW w:w="2152" w:type="dxa"/>
            <w:vAlign w:val="center"/>
          </w:tcPr>
          <w:p>
            <w:pPr>
              <w:pStyle w:val="34"/>
              <w:spacing w:line="240" w:lineRule="auto"/>
              <w:ind w:firstLine="422" w:firstLineChars="200"/>
              <w:jc w:val="center"/>
              <w:rPr>
                <w:b/>
                <w:kern w:val="2"/>
                <w:sz w:val="21"/>
                <w:szCs w:val="21"/>
                <w:lang w:val="zh-CN"/>
              </w:rPr>
            </w:pPr>
            <w:r>
              <w:rPr>
                <w:rFonts w:hint="eastAsia"/>
                <w:b/>
                <w:kern w:val="2"/>
                <w:sz w:val="21"/>
                <w:szCs w:val="21"/>
                <w:lang w:val="zh-CN"/>
              </w:rPr>
              <w:t>应知事项</w:t>
            </w:r>
          </w:p>
        </w:tc>
        <w:tc>
          <w:tcPr>
            <w:tcW w:w="6339" w:type="dxa"/>
            <w:vAlign w:val="center"/>
          </w:tcPr>
          <w:p>
            <w:pPr>
              <w:pStyle w:val="34"/>
              <w:spacing w:line="240" w:lineRule="auto"/>
              <w:jc w:val="center"/>
              <w:rPr>
                <w:b/>
                <w:kern w:val="2"/>
                <w:sz w:val="21"/>
                <w:szCs w:val="21"/>
                <w:lang w:val="zh-CN"/>
              </w:rPr>
            </w:pPr>
            <w:r>
              <w:rPr>
                <w:rFonts w:hint="eastAsia"/>
                <w:b/>
                <w:kern w:val="2"/>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p>
        </w:tc>
        <w:tc>
          <w:tcPr>
            <w:tcW w:w="2152" w:type="dxa"/>
            <w:vAlign w:val="center"/>
          </w:tcPr>
          <w:p>
            <w:pPr>
              <w:pStyle w:val="34"/>
              <w:spacing w:line="240" w:lineRule="auto"/>
              <w:jc w:val="center"/>
              <w:rPr>
                <w:bCs/>
                <w:kern w:val="2"/>
                <w:sz w:val="21"/>
                <w:szCs w:val="21"/>
                <w:lang w:val="zh-CN"/>
              </w:rPr>
            </w:pPr>
            <w:r>
              <w:rPr>
                <w:rFonts w:hint="eastAsia"/>
                <w:bCs/>
                <w:kern w:val="2"/>
                <w:sz w:val="21"/>
                <w:szCs w:val="21"/>
                <w:lang w:val="zh-CN"/>
              </w:rPr>
              <w:t>确定邀请磋商的供应商数量和方式</w:t>
            </w:r>
          </w:p>
        </w:tc>
        <w:tc>
          <w:tcPr>
            <w:tcW w:w="6339"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本次磋商邀请的供应商数量：不限制。</w:t>
            </w:r>
          </w:p>
          <w:p>
            <w:pPr>
              <w:pStyle w:val="34"/>
              <w:spacing w:line="240" w:lineRule="auto"/>
              <w:ind w:firstLine="420" w:firstLineChars="200"/>
              <w:rPr>
                <w:bCs/>
                <w:kern w:val="2"/>
                <w:sz w:val="21"/>
                <w:szCs w:val="21"/>
                <w:lang w:val="zh-CN"/>
              </w:rPr>
            </w:pPr>
            <w:r>
              <w:rPr>
                <w:rFonts w:hint="eastAsia"/>
                <w:bCs/>
                <w:kern w:val="2"/>
                <w:sz w:val="21"/>
                <w:szCs w:val="21"/>
                <w:lang w:val="zh-CN"/>
              </w:rPr>
              <w:t>本次采购采取发布公告的方式邀请参加磋商的供应商。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rPr>
            </w:pPr>
            <w:r>
              <w:rPr>
                <w:rFonts w:hint="eastAsia"/>
                <w:bCs/>
                <w:kern w:val="2"/>
                <w:sz w:val="21"/>
                <w:szCs w:val="21"/>
              </w:rPr>
              <w:t>2</w:t>
            </w:r>
          </w:p>
        </w:tc>
        <w:tc>
          <w:tcPr>
            <w:tcW w:w="2152" w:type="dxa"/>
            <w:vAlign w:val="center"/>
          </w:tcPr>
          <w:p>
            <w:pPr>
              <w:pStyle w:val="34"/>
              <w:spacing w:line="240" w:lineRule="auto"/>
              <w:jc w:val="center"/>
              <w:rPr>
                <w:bCs/>
                <w:kern w:val="2"/>
                <w:sz w:val="21"/>
                <w:szCs w:val="21"/>
                <w:lang w:val="zh-CN"/>
              </w:rPr>
            </w:pPr>
            <w:r>
              <w:rPr>
                <w:rFonts w:hint="eastAsia"/>
                <w:bCs/>
                <w:kern w:val="2"/>
                <w:sz w:val="21"/>
                <w:szCs w:val="21"/>
                <w:lang w:val="zh-CN"/>
              </w:rPr>
              <w:t>采购预算</w:t>
            </w:r>
          </w:p>
          <w:p>
            <w:pPr>
              <w:pStyle w:val="34"/>
              <w:spacing w:line="240" w:lineRule="auto"/>
              <w:jc w:val="center"/>
              <w:rPr>
                <w:bCs/>
                <w:kern w:val="2"/>
                <w:sz w:val="21"/>
                <w:szCs w:val="21"/>
                <w:lang w:val="zh-CN"/>
              </w:rPr>
            </w:pPr>
            <w:r>
              <w:rPr>
                <w:rFonts w:hint="eastAsia"/>
                <w:bCs/>
                <w:kern w:val="2"/>
                <w:sz w:val="21"/>
                <w:szCs w:val="21"/>
                <w:lang w:val="zh-CN"/>
              </w:rPr>
              <w:t>（实质性要求）</w:t>
            </w:r>
          </w:p>
        </w:tc>
        <w:tc>
          <w:tcPr>
            <w:tcW w:w="6339" w:type="dxa"/>
            <w:vAlign w:val="center"/>
          </w:tcPr>
          <w:p>
            <w:pPr>
              <w:pStyle w:val="34"/>
              <w:spacing w:line="240" w:lineRule="auto"/>
              <w:ind w:left="420" w:leftChars="200"/>
              <w:rPr>
                <w:b/>
                <w:color w:val="auto"/>
                <w:kern w:val="2"/>
                <w:sz w:val="21"/>
                <w:szCs w:val="21"/>
                <w:lang w:val="zh-CN"/>
              </w:rPr>
            </w:pPr>
            <w:r>
              <w:rPr>
                <w:rFonts w:hint="eastAsia"/>
                <w:b/>
                <w:color w:val="auto"/>
                <w:kern w:val="2"/>
                <w:sz w:val="21"/>
                <w:szCs w:val="21"/>
                <w:lang w:val="zh-CN"/>
              </w:rPr>
              <w:t>采购预算：</w:t>
            </w:r>
            <w:r>
              <w:rPr>
                <w:rFonts w:hint="eastAsia"/>
                <w:b/>
                <w:color w:val="auto"/>
                <w:kern w:val="2"/>
                <w:sz w:val="21"/>
                <w:szCs w:val="21"/>
                <w:lang w:val="en-US" w:eastAsia="zh-CN"/>
              </w:rPr>
              <w:t>100</w:t>
            </w:r>
            <w:r>
              <w:rPr>
                <w:rFonts w:hint="eastAsia"/>
                <w:b/>
                <w:color w:val="auto"/>
                <w:kern w:val="2"/>
                <w:sz w:val="21"/>
                <w:szCs w:val="21"/>
                <w:lang w:val="zh-CN"/>
              </w:rPr>
              <w:t>万元。（大写：人民币壹佰万元整）</w:t>
            </w:r>
          </w:p>
          <w:p>
            <w:pPr>
              <w:pStyle w:val="34"/>
              <w:spacing w:line="240" w:lineRule="auto"/>
              <w:ind w:left="420" w:leftChars="200"/>
              <w:rPr>
                <w:b/>
                <w:color w:val="auto"/>
                <w:kern w:val="2"/>
                <w:sz w:val="21"/>
                <w:szCs w:val="21"/>
                <w:lang w:val="zh-CN"/>
              </w:rPr>
            </w:pPr>
            <w:r>
              <w:rPr>
                <w:rFonts w:hint="eastAsia"/>
                <w:bCs/>
                <w:color w:val="auto"/>
                <w:kern w:val="2"/>
                <w:sz w:val="21"/>
                <w:szCs w:val="21"/>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rPr>
            </w:pPr>
            <w:r>
              <w:rPr>
                <w:rFonts w:hint="eastAsia"/>
                <w:bCs/>
                <w:kern w:val="2"/>
                <w:sz w:val="21"/>
                <w:szCs w:val="21"/>
              </w:rPr>
              <w:t>3</w:t>
            </w:r>
          </w:p>
        </w:tc>
        <w:tc>
          <w:tcPr>
            <w:tcW w:w="2152" w:type="dxa"/>
            <w:vAlign w:val="center"/>
          </w:tcPr>
          <w:p>
            <w:pPr>
              <w:pStyle w:val="34"/>
              <w:spacing w:line="240" w:lineRule="auto"/>
              <w:jc w:val="center"/>
              <w:rPr>
                <w:bCs/>
                <w:kern w:val="2"/>
                <w:sz w:val="21"/>
                <w:szCs w:val="21"/>
              </w:rPr>
            </w:pPr>
            <w:r>
              <w:rPr>
                <w:rFonts w:hint="eastAsia"/>
                <w:bCs/>
                <w:kern w:val="2"/>
                <w:sz w:val="21"/>
                <w:szCs w:val="21"/>
                <w:lang w:val="zh-CN"/>
              </w:rPr>
              <w:t>最高限价</w:t>
            </w:r>
          </w:p>
          <w:p>
            <w:pPr>
              <w:pStyle w:val="34"/>
              <w:spacing w:line="240" w:lineRule="auto"/>
              <w:jc w:val="center"/>
              <w:rPr>
                <w:bCs/>
                <w:kern w:val="2"/>
                <w:sz w:val="21"/>
                <w:szCs w:val="21"/>
                <w:lang w:val="zh-CN"/>
              </w:rPr>
            </w:pPr>
            <w:r>
              <w:rPr>
                <w:rFonts w:hint="eastAsia"/>
                <w:bCs/>
                <w:kern w:val="2"/>
                <w:sz w:val="21"/>
                <w:szCs w:val="21"/>
                <w:lang w:val="zh-CN"/>
              </w:rPr>
              <w:t>（实质性要求）</w:t>
            </w:r>
          </w:p>
        </w:tc>
        <w:tc>
          <w:tcPr>
            <w:tcW w:w="6339" w:type="dxa"/>
            <w:vAlign w:val="center"/>
          </w:tcPr>
          <w:p>
            <w:pPr>
              <w:pStyle w:val="34"/>
              <w:spacing w:line="240" w:lineRule="auto"/>
              <w:ind w:left="420" w:leftChars="200"/>
              <w:rPr>
                <w:b/>
                <w:color w:val="auto"/>
                <w:kern w:val="2"/>
                <w:sz w:val="21"/>
                <w:szCs w:val="21"/>
                <w:highlight w:val="none"/>
                <w:lang w:val="zh-CN"/>
              </w:rPr>
            </w:pPr>
            <w:r>
              <w:rPr>
                <w:rFonts w:hint="eastAsia"/>
                <w:b/>
                <w:color w:val="auto"/>
                <w:kern w:val="2"/>
                <w:sz w:val="21"/>
                <w:szCs w:val="21"/>
                <w:highlight w:val="none"/>
                <w:lang w:val="zh-CN"/>
              </w:rPr>
              <w:t>最高限价：</w:t>
            </w:r>
            <w:r>
              <w:rPr>
                <w:rFonts w:hint="eastAsia"/>
                <w:b/>
                <w:color w:val="auto"/>
                <w:kern w:val="2"/>
                <w:sz w:val="21"/>
                <w:szCs w:val="21"/>
                <w:lang w:val="en-US" w:eastAsia="zh-CN"/>
              </w:rPr>
              <w:t>100</w:t>
            </w:r>
            <w:r>
              <w:rPr>
                <w:rFonts w:hint="eastAsia"/>
                <w:b/>
                <w:color w:val="auto"/>
                <w:kern w:val="2"/>
                <w:sz w:val="21"/>
                <w:szCs w:val="21"/>
                <w:lang w:val="zh-CN"/>
              </w:rPr>
              <w:t>万元。（大写：人民币壹佰万元整）</w:t>
            </w:r>
          </w:p>
          <w:p>
            <w:pPr>
              <w:pStyle w:val="34"/>
              <w:spacing w:line="240" w:lineRule="auto"/>
              <w:ind w:left="420" w:leftChars="200"/>
              <w:rPr>
                <w:bCs/>
                <w:color w:val="auto"/>
                <w:kern w:val="2"/>
                <w:sz w:val="21"/>
                <w:szCs w:val="21"/>
              </w:rPr>
            </w:pPr>
            <w:r>
              <w:rPr>
                <w:rFonts w:hint="eastAsia"/>
                <w:bCs/>
                <w:color w:val="auto"/>
                <w:kern w:val="2"/>
                <w:sz w:val="21"/>
                <w:szCs w:val="21"/>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trHeight w:val="419" w:hRule="atLeast"/>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rPr>
              <w:t>4</w:t>
            </w:r>
          </w:p>
        </w:tc>
        <w:tc>
          <w:tcPr>
            <w:tcW w:w="2152" w:type="dxa"/>
            <w:vAlign w:val="center"/>
          </w:tcPr>
          <w:p>
            <w:pPr>
              <w:pStyle w:val="34"/>
              <w:spacing w:line="240" w:lineRule="auto"/>
              <w:jc w:val="center"/>
              <w:rPr>
                <w:bCs/>
                <w:kern w:val="2"/>
                <w:sz w:val="21"/>
                <w:szCs w:val="21"/>
              </w:rPr>
            </w:pPr>
            <w:r>
              <w:rPr>
                <w:rFonts w:hint="eastAsia"/>
                <w:bCs/>
                <w:kern w:val="2"/>
                <w:sz w:val="21"/>
                <w:szCs w:val="21"/>
                <w:lang w:val="zh-CN"/>
              </w:rPr>
              <w:t>是否接受联合体</w:t>
            </w:r>
          </w:p>
          <w:p>
            <w:pPr>
              <w:pStyle w:val="34"/>
              <w:spacing w:line="240" w:lineRule="auto"/>
              <w:jc w:val="center"/>
              <w:rPr>
                <w:bCs/>
                <w:kern w:val="2"/>
                <w:sz w:val="21"/>
                <w:szCs w:val="21"/>
                <w:lang w:val="zh-CN"/>
              </w:rPr>
            </w:pPr>
            <w:r>
              <w:rPr>
                <w:rFonts w:hint="eastAsia"/>
                <w:bCs/>
                <w:kern w:val="2"/>
                <w:sz w:val="21"/>
                <w:szCs w:val="21"/>
                <w:lang w:val="zh-CN"/>
              </w:rPr>
              <w:t>（实质性要求）</w:t>
            </w:r>
          </w:p>
        </w:tc>
        <w:tc>
          <w:tcPr>
            <w:tcW w:w="6339" w:type="dxa"/>
            <w:vAlign w:val="center"/>
          </w:tcPr>
          <w:p>
            <w:pPr>
              <w:pStyle w:val="34"/>
              <w:spacing w:line="240" w:lineRule="auto"/>
              <w:ind w:firstLine="420" w:firstLineChars="200"/>
              <w:rPr>
                <w:bCs/>
                <w:color w:val="auto"/>
                <w:kern w:val="2"/>
                <w:sz w:val="21"/>
                <w:szCs w:val="21"/>
                <w:lang w:val="zh-CN"/>
              </w:rPr>
            </w:pPr>
            <w:r>
              <w:rPr>
                <w:rFonts w:hint="eastAsia"/>
                <w:bCs/>
                <w:color w:val="auto"/>
                <w:kern w:val="2"/>
                <w:sz w:val="21"/>
                <w:szCs w:val="21"/>
                <w:lang w:val="zh-CN"/>
              </w:rPr>
              <w:t>不接受联合体</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5</w:t>
            </w:r>
          </w:p>
        </w:tc>
        <w:tc>
          <w:tcPr>
            <w:tcW w:w="2152" w:type="dxa"/>
            <w:vAlign w:val="center"/>
          </w:tcPr>
          <w:p>
            <w:pPr>
              <w:pStyle w:val="34"/>
              <w:spacing w:line="240" w:lineRule="auto"/>
              <w:jc w:val="center"/>
              <w:rPr>
                <w:bCs/>
                <w:kern w:val="2"/>
                <w:sz w:val="21"/>
                <w:szCs w:val="21"/>
              </w:rPr>
            </w:pPr>
            <w:r>
              <w:rPr>
                <w:rFonts w:hint="eastAsia"/>
                <w:bCs/>
                <w:kern w:val="2"/>
                <w:sz w:val="21"/>
                <w:szCs w:val="21"/>
              </w:rPr>
              <w:t>低于成本价不正当竞争预防措施</w:t>
            </w:r>
          </w:p>
          <w:p>
            <w:pPr>
              <w:pStyle w:val="34"/>
              <w:spacing w:line="240" w:lineRule="auto"/>
              <w:jc w:val="center"/>
              <w:rPr>
                <w:bCs/>
                <w:kern w:val="2"/>
                <w:sz w:val="21"/>
                <w:szCs w:val="21"/>
              </w:rPr>
            </w:pPr>
            <w:r>
              <w:rPr>
                <w:rFonts w:hint="eastAsia"/>
                <w:bCs/>
                <w:kern w:val="2"/>
                <w:sz w:val="21"/>
                <w:szCs w:val="21"/>
              </w:rPr>
              <w:t>（实质性要求）</w:t>
            </w:r>
          </w:p>
        </w:tc>
        <w:tc>
          <w:tcPr>
            <w:tcW w:w="6339" w:type="dxa"/>
            <w:vAlign w:val="center"/>
          </w:tcPr>
          <w:p>
            <w:pPr>
              <w:pStyle w:val="35"/>
              <w:tabs>
                <w:tab w:val="left" w:pos="314"/>
              </w:tabs>
              <w:spacing w:line="240" w:lineRule="auto"/>
              <w:ind w:firstLine="420" w:firstLineChars="200"/>
              <w:jc w:val="left"/>
              <w:rPr>
                <w:bCs/>
                <w:color w:val="auto"/>
                <w:sz w:val="21"/>
                <w:szCs w:val="21"/>
                <w:lang w:bidi="ar-SA"/>
              </w:rPr>
            </w:pPr>
            <w:r>
              <w:rPr>
                <w:rFonts w:hint="eastAsia"/>
                <w:bCs/>
                <w:color w:val="auto"/>
                <w:sz w:val="21"/>
                <w:szCs w:val="21"/>
                <w:lang w:bidi="ar-SA"/>
              </w:rPr>
              <w:t>（</w:t>
            </w:r>
            <w:r>
              <w:rPr>
                <w:rFonts w:hint="eastAsia"/>
                <w:bCs/>
                <w:color w:val="auto"/>
                <w:sz w:val="21"/>
                <w:szCs w:val="21"/>
                <w:lang w:val="en-US" w:bidi="ar-SA"/>
              </w:rPr>
              <w:t>1</w:t>
            </w:r>
            <w:r>
              <w:rPr>
                <w:rFonts w:hint="eastAsia"/>
                <w:bCs/>
                <w:color w:val="auto"/>
                <w:sz w:val="21"/>
                <w:szCs w:val="21"/>
                <w:lang w:bidi="ar-SA"/>
              </w:rPr>
              <w:t>）在评审过程中，磋商小组认为供应商的报价明显低于其他有效供应商的报价，有可能影响产品质量或者不能诚信履约的，应当要求其在评审现场合理的时间内提供书面说明，必要时提交相关证明材料；供应商不能证明其报价合理性的，磋商小组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5"/>
              <w:tabs>
                <w:tab w:val="left" w:pos="314"/>
              </w:tabs>
              <w:spacing w:line="240" w:lineRule="auto"/>
              <w:ind w:firstLine="420" w:firstLineChars="200"/>
              <w:jc w:val="left"/>
              <w:rPr>
                <w:bCs/>
                <w:color w:val="auto"/>
                <w:sz w:val="21"/>
                <w:szCs w:val="21"/>
                <w:lang w:bidi="ar-SA"/>
              </w:rPr>
            </w:pPr>
            <w:r>
              <w:rPr>
                <w:rFonts w:hint="eastAsia"/>
                <w:bCs/>
                <w:color w:val="auto"/>
                <w:sz w:val="21"/>
                <w:szCs w:val="21"/>
                <w:lang w:bidi="ar-SA"/>
              </w:rPr>
              <w:t>（</w:t>
            </w:r>
            <w:r>
              <w:rPr>
                <w:rFonts w:hint="eastAsia"/>
                <w:bCs/>
                <w:color w:val="auto"/>
                <w:sz w:val="21"/>
                <w:szCs w:val="21"/>
                <w:lang w:val="en-US" w:bidi="ar-SA"/>
              </w:rPr>
              <w:t>2</w:t>
            </w:r>
            <w:r>
              <w:rPr>
                <w:rFonts w:hint="eastAsia"/>
                <w:bCs/>
                <w:color w:val="auto"/>
                <w:sz w:val="21"/>
                <w:szCs w:val="21"/>
                <w:lang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5"/>
              <w:tabs>
                <w:tab w:val="left" w:pos="314"/>
              </w:tabs>
              <w:spacing w:line="240" w:lineRule="auto"/>
              <w:ind w:firstLine="420" w:firstLineChars="200"/>
              <w:jc w:val="left"/>
              <w:rPr>
                <w:bCs/>
                <w:color w:val="auto"/>
                <w:sz w:val="21"/>
                <w:szCs w:val="21"/>
              </w:rPr>
            </w:pPr>
            <w:r>
              <w:rPr>
                <w:rFonts w:hint="eastAsia"/>
                <w:bCs/>
                <w:color w:val="auto"/>
                <w:sz w:val="21"/>
                <w:szCs w:val="21"/>
                <w:lang w:bidi="ar-SA"/>
              </w:rPr>
              <w:t>（</w:t>
            </w:r>
            <w:r>
              <w:rPr>
                <w:rFonts w:hint="eastAsia"/>
                <w:bCs/>
                <w:color w:val="auto"/>
                <w:sz w:val="21"/>
                <w:szCs w:val="21"/>
                <w:lang w:val="en-US" w:bidi="ar-SA"/>
              </w:rPr>
              <w:t>3</w:t>
            </w:r>
            <w:r>
              <w:rPr>
                <w:rFonts w:hint="eastAsia"/>
                <w:bCs/>
                <w:color w:val="auto"/>
                <w:sz w:val="21"/>
                <w:szCs w:val="21"/>
                <w:lang w:bidi="ar-SA"/>
              </w:rPr>
              <w:t>）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trHeight w:val="648" w:hRule="atLeast"/>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6</w:t>
            </w:r>
          </w:p>
        </w:tc>
        <w:tc>
          <w:tcPr>
            <w:tcW w:w="2152" w:type="dxa"/>
            <w:vAlign w:val="center"/>
          </w:tcPr>
          <w:p>
            <w:pPr>
              <w:pStyle w:val="34"/>
              <w:spacing w:line="240" w:lineRule="auto"/>
              <w:jc w:val="center"/>
              <w:rPr>
                <w:bCs/>
                <w:kern w:val="2"/>
                <w:sz w:val="21"/>
                <w:szCs w:val="21"/>
              </w:rPr>
            </w:pPr>
            <w:r>
              <w:rPr>
                <w:rFonts w:hint="eastAsia"/>
                <w:bCs/>
                <w:kern w:val="2"/>
                <w:sz w:val="21"/>
                <w:szCs w:val="21"/>
              </w:rPr>
              <w:t>小微企业（监狱企业、残疾人福利性单位视同小微企业）价格扣除和扶持不发达地区和少数民族地区政策</w:t>
            </w:r>
          </w:p>
          <w:p>
            <w:pPr>
              <w:pStyle w:val="34"/>
              <w:spacing w:line="240" w:lineRule="auto"/>
              <w:jc w:val="center"/>
              <w:rPr>
                <w:bCs/>
                <w:kern w:val="2"/>
                <w:sz w:val="21"/>
                <w:szCs w:val="21"/>
              </w:rPr>
            </w:pPr>
            <w:r>
              <w:rPr>
                <w:rFonts w:hint="eastAsia"/>
                <w:sz w:val="21"/>
                <w:szCs w:val="21"/>
              </w:rPr>
              <w:t>（实质性要求）</w:t>
            </w:r>
          </w:p>
        </w:tc>
        <w:tc>
          <w:tcPr>
            <w:tcW w:w="6339" w:type="dxa"/>
          </w:tcPr>
          <w:p>
            <w:pPr>
              <w:pStyle w:val="34"/>
              <w:spacing w:line="240" w:lineRule="auto"/>
              <w:ind w:firstLine="422" w:firstLineChars="200"/>
              <w:rPr>
                <w:rFonts w:hint="eastAsia" w:ascii="宋体" w:hAnsi="宋体" w:eastAsia="宋体" w:cs="宋体"/>
                <w:bCs/>
                <w:kern w:val="2"/>
                <w:sz w:val="21"/>
                <w:szCs w:val="21"/>
              </w:rPr>
            </w:pPr>
            <w:r>
              <w:rPr>
                <w:rFonts w:hint="eastAsia" w:ascii="宋体" w:hAnsi="宋体" w:eastAsia="宋体" w:cs="宋体"/>
                <w:b/>
                <w:bCs/>
                <w:sz w:val="21"/>
                <w:szCs w:val="21"/>
              </w:rPr>
              <w:t>一、小微企业（监狱企业、残疾人福利性单位均视同小微企业）价格扣除</w:t>
            </w:r>
          </w:p>
          <w:p>
            <w:pPr>
              <w:pStyle w:val="34"/>
              <w:spacing w:line="24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1、根据《政府采购促进中小企业发展管理办法》（财库[2020]46号）、《关于政府采购支持监狱企业发展有关问题的通知》（财库[2014]68号）、《三部门联合发布关于促进残疾人就业政府采购政策的通知》（财库[2017]141号）的规定，对小型和微型企业、监狱企业及残疾人福利性单位产品的价格给予10%的价格扣除，用扣除后的价格参与评标。</w:t>
            </w:r>
          </w:p>
          <w:p>
            <w:pPr>
              <w:spacing w:line="240" w:lineRule="auto"/>
              <w:ind w:firstLine="420" w:firstLineChars="200"/>
              <w:rPr>
                <w:rFonts w:hint="eastAsia" w:ascii="宋体" w:hAnsi="宋体" w:eastAsia="宋体" w:cs="宋体"/>
                <w:b/>
                <w:bCs/>
                <w:sz w:val="21"/>
                <w:szCs w:val="21"/>
              </w:rPr>
            </w:pPr>
            <w:r>
              <w:rPr>
                <w:rFonts w:hint="eastAsia" w:ascii="宋体" w:hAnsi="宋体" w:eastAsia="宋体" w:cs="宋体"/>
                <w:bCs/>
                <w:sz w:val="21"/>
                <w:szCs w:val="21"/>
              </w:rPr>
              <w:t>2、参加政府采购活动的中小企业应当提供《中小企业声明函》原件，监狱企业应当</w:t>
            </w:r>
            <w:r>
              <w:rPr>
                <w:rFonts w:hint="eastAsia" w:ascii="宋体" w:hAnsi="宋体" w:eastAsia="宋体" w:cs="宋体"/>
                <w:bCs/>
                <w:sz w:val="21"/>
                <w:szCs w:val="21"/>
                <w:lang w:val="zh-TW" w:eastAsia="zh-TW"/>
              </w:rPr>
              <w:t>提供由省级及以上监狱管理局、戒毒管理局（含新疆生产建设兵团）出具的供应商属于监狱企业的证明文件</w:t>
            </w:r>
            <w:r>
              <w:rPr>
                <w:rFonts w:hint="eastAsia" w:ascii="宋体" w:hAnsi="宋体" w:eastAsia="宋体" w:cs="宋体"/>
                <w:bCs/>
                <w:sz w:val="21"/>
                <w:szCs w:val="21"/>
                <w:lang w:val="zh-TW"/>
              </w:rPr>
              <w:t>复印件（加盖鲜章），残疾人福利性单位应当提供《残疾人福利性单位声明函》原件。</w:t>
            </w:r>
          </w:p>
          <w:p>
            <w:pPr>
              <w:pStyle w:val="34"/>
              <w:spacing w:line="240" w:lineRule="auto"/>
              <w:ind w:firstLine="422" w:firstLineChars="200"/>
              <w:rPr>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、符合扶持不发达地区和少数民族地区政策条件的，在同等条件下享有优先采购的机会。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rPr>
            </w:pPr>
            <w:r>
              <w:rPr>
                <w:rFonts w:hint="eastAsia"/>
                <w:bCs/>
                <w:kern w:val="2"/>
                <w:sz w:val="21"/>
                <w:szCs w:val="21"/>
              </w:rPr>
              <w:t>7</w:t>
            </w:r>
          </w:p>
        </w:tc>
        <w:tc>
          <w:tcPr>
            <w:tcW w:w="2152" w:type="dxa"/>
            <w:vAlign w:val="center"/>
          </w:tcPr>
          <w:p>
            <w:pPr>
              <w:spacing w:line="240" w:lineRule="auto"/>
              <w:ind w:left="105" w:leftChars="50" w:right="105" w:rightChars="50"/>
              <w:jc w:val="center"/>
              <w:rPr>
                <w:rFonts w:ascii="宋体" w:hAnsi="宋体" w:cs="宋体"/>
                <w:kern w:val="0"/>
                <w:sz w:val="21"/>
                <w:szCs w:val="21"/>
              </w:rPr>
            </w:pPr>
            <w:r>
              <w:rPr>
                <w:rFonts w:hint="eastAsia" w:ascii="宋体" w:hAnsi="宋体" w:cs="宋体"/>
                <w:kern w:val="0"/>
                <w:sz w:val="21"/>
                <w:szCs w:val="21"/>
              </w:rPr>
              <w:t>节能、环保及无线局域网产品政府采购政策</w:t>
            </w:r>
          </w:p>
          <w:p>
            <w:pPr>
              <w:spacing w:line="240" w:lineRule="auto"/>
              <w:ind w:right="105" w:rightChars="50"/>
              <w:rPr>
                <w:rFonts w:ascii="宋体" w:hAnsi="宋体" w:cs="宋体"/>
                <w:bCs/>
                <w:sz w:val="21"/>
                <w:szCs w:val="21"/>
                <w:lang w:val="zh-CN"/>
              </w:rPr>
            </w:pPr>
          </w:p>
        </w:tc>
        <w:tc>
          <w:tcPr>
            <w:tcW w:w="6339" w:type="dxa"/>
            <w:vAlign w:val="center"/>
          </w:tcPr>
          <w:p>
            <w:pPr>
              <w:spacing w:line="240" w:lineRule="auto"/>
              <w:ind w:right="105" w:rightChars="50" w:firstLine="422" w:firstLineChars="200"/>
              <w:rPr>
                <w:rFonts w:ascii="宋体" w:hAnsi="宋体" w:cs="宋体"/>
                <w:b/>
                <w:sz w:val="21"/>
                <w:szCs w:val="21"/>
              </w:rPr>
            </w:pPr>
            <w:r>
              <w:rPr>
                <w:rFonts w:hint="eastAsia" w:ascii="宋体" w:hAnsi="宋体" w:cs="宋体"/>
                <w:b/>
                <w:sz w:val="21"/>
                <w:szCs w:val="21"/>
              </w:rPr>
              <w:t>一、节能、环保产品政府采购政策：</w:t>
            </w:r>
          </w:p>
          <w:p>
            <w:pPr>
              <w:spacing w:line="240" w:lineRule="auto"/>
              <w:ind w:right="105" w:rightChars="50" w:firstLine="420" w:firstLineChars="200"/>
              <w:rPr>
                <w:rFonts w:ascii="宋体" w:hAnsi="宋体" w:cs="宋体"/>
                <w:sz w:val="21"/>
                <w:szCs w:val="21"/>
              </w:rPr>
            </w:pPr>
            <w:r>
              <w:rPr>
                <w:rFonts w:hint="eastAsia" w:ascii="宋体" w:hAnsi="宋体" w:cs="宋体"/>
                <w:sz w:val="21"/>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240" w:lineRule="auto"/>
              <w:ind w:right="105" w:rightChars="50" w:firstLine="420" w:firstLineChars="200"/>
              <w:rPr>
                <w:rFonts w:ascii="宋体" w:hAnsi="宋体" w:cs="宋体"/>
                <w:sz w:val="21"/>
                <w:szCs w:val="21"/>
              </w:rPr>
            </w:pPr>
            <w:r>
              <w:rPr>
                <w:rFonts w:hint="eastAsia" w:ascii="宋体" w:hAnsi="宋体" w:cs="宋体"/>
                <w:sz w:val="21"/>
                <w:szCs w:val="21"/>
              </w:rPr>
              <w:t>本项目采购的产品属于品目清单强制采购范围的，供应商应按上述要求提供产品认证证书复印件并加盖供应商单位公章（鲜章），否则响应无效。</w:t>
            </w:r>
            <w:r>
              <w:rPr>
                <w:rFonts w:hint="eastAsia" w:ascii="宋体" w:hAnsi="宋体" w:cs="宋体"/>
                <w:b/>
                <w:sz w:val="21"/>
                <w:szCs w:val="21"/>
              </w:rPr>
              <w:t>（实质性要求）</w:t>
            </w:r>
          </w:p>
          <w:p>
            <w:pPr>
              <w:spacing w:line="240" w:lineRule="auto"/>
              <w:ind w:right="105" w:rightChars="50" w:firstLine="420" w:firstLineChars="200"/>
              <w:rPr>
                <w:rFonts w:ascii="宋体" w:hAnsi="宋体" w:cs="宋体"/>
                <w:sz w:val="21"/>
                <w:szCs w:val="21"/>
              </w:rPr>
            </w:pPr>
            <w:r>
              <w:rPr>
                <w:rFonts w:hint="eastAsia" w:ascii="宋体" w:hAnsi="宋体" w:cs="宋体"/>
                <w:sz w:val="21"/>
                <w:szCs w:val="21"/>
              </w:rPr>
              <w:t>本项目采购的产品属于品目清单优先采购范围的，按照第八章《综合评分明细表》的规则进行加分。</w:t>
            </w:r>
          </w:p>
          <w:p>
            <w:pPr>
              <w:spacing w:line="240" w:lineRule="auto"/>
              <w:ind w:right="105" w:rightChars="50" w:firstLine="420" w:firstLineChars="200"/>
              <w:rPr>
                <w:rFonts w:ascii="宋体" w:hAnsi="宋体" w:cs="宋体"/>
                <w:sz w:val="21"/>
                <w:szCs w:val="21"/>
              </w:rPr>
            </w:pPr>
            <w:r>
              <w:rPr>
                <w:rFonts w:hint="eastAsia" w:ascii="宋体" w:hAnsi="宋体" w:cs="宋体"/>
                <w:sz w:val="21"/>
                <w:szCs w:val="21"/>
              </w:rPr>
              <w:t>注：对政府采购节能产品、环境标志产品实施品目清单管理。财政部、发展改革委、生态环境部等部门确定实施政府优先采购和强制采购的产品类别，以品目清单的形式发布并适时调整。</w:t>
            </w:r>
          </w:p>
          <w:p>
            <w:pPr>
              <w:spacing w:line="240" w:lineRule="auto"/>
              <w:ind w:right="105" w:rightChars="50" w:firstLine="422" w:firstLineChars="200"/>
              <w:rPr>
                <w:rFonts w:ascii="宋体" w:hAnsi="宋体" w:cs="宋体"/>
                <w:b/>
                <w:sz w:val="21"/>
                <w:szCs w:val="21"/>
              </w:rPr>
            </w:pPr>
            <w:r>
              <w:rPr>
                <w:rFonts w:hint="eastAsia" w:ascii="宋体" w:hAnsi="宋体" w:cs="宋体"/>
                <w:b/>
                <w:sz w:val="21"/>
                <w:szCs w:val="21"/>
              </w:rPr>
              <w:t>二、无线局域网产品政府采购政策：</w:t>
            </w:r>
          </w:p>
          <w:p>
            <w:pPr>
              <w:spacing w:line="240" w:lineRule="auto"/>
              <w:ind w:right="105" w:rightChars="50" w:firstLine="420" w:firstLineChars="200"/>
              <w:rPr>
                <w:rFonts w:ascii="宋体" w:hAnsi="宋体" w:cs="宋体"/>
                <w:bCs/>
                <w:sz w:val="21"/>
                <w:szCs w:val="21"/>
                <w:lang w:val="zh-CN"/>
              </w:rPr>
            </w:pPr>
            <w:r>
              <w:rPr>
                <w:rFonts w:hint="eastAsia" w:ascii="宋体" w:hAnsi="宋体" w:cs="宋体"/>
                <w:sz w:val="21"/>
                <w:szCs w:val="21"/>
              </w:rPr>
              <w:t>本项目采购的产品若属于中国政府采购网公布的《无线局域网认证产品政府采购清单》的，按照第八章《综合评分明细表》的规则进行加分。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rPr>
              <w:t>8</w:t>
            </w:r>
          </w:p>
        </w:tc>
        <w:tc>
          <w:tcPr>
            <w:tcW w:w="2152" w:type="dxa"/>
            <w:vAlign w:val="center"/>
          </w:tcPr>
          <w:p>
            <w:pPr>
              <w:pStyle w:val="34"/>
              <w:spacing w:line="240" w:lineRule="auto"/>
              <w:jc w:val="center"/>
              <w:rPr>
                <w:bCs/>
                <w:kern w:val="2"/>
                <w:sz w:val="21"/>
                <w:szCs w:val="21"/>
                <w:lang w:val="zh-CN"/>
              </w:rPr>
            </w:pPr>
            <w:r>
              <w:rPr>
                <w:rFonts w:hint="eastAsia"/>
                <w:bCs/>
                <w:kern w:val="2"/>
                <w:sz w:val="21"/>
                <w:szCs w:val="21"/>
                <w:lang w:val="zh-CN"/>
              </w:rPr>
              <w:t>磋商情况公告</w:t>
            </w:r>
          </w:p>
        </w:tc>
        <w:tc>
          <w:tcPr>
            <w:tcW w:w="6339"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供应商资格审查情况、磋商情况、报价情况、磋商结果等在四川政府采购网上采购结果公告栏中予以公告。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rPr>
            </w:pPr>
            <w:r>
              <w:rPr>
                <w:rFonts w:hint="eastAsia"/>
                <w:bCs/>
                <w:kern w:val="2"/>
                <w:sz w:val="21"/>
                <w:szCs w:val="21"/>
              </w:rPr>
              <w:t>9</w:t>
            </w:r>
          </w:p>
        </w:tc>
        <w:tc>
          <w:tcPr>
            <w:tcW w:w="2152" w:type="dxa"/>
            <w:vAlign w:val="center"/>
          </w:tcPr>
          <w:p>
            <w:pPr>
              <w:pStyle w:val="34"/>
              <w:spacing w:line="240" w:lineRule="auto"/>
              <w:jc w:val="center"/>
              <w:rPr>
                <w:bCs/>
                <w:kern w:val="2"/>
                <w:sz w:val="21"/>
                <w:szCs w:val="21"/>
                <w:lang w:val="zh-CN"/>
              </w:rPr>
            </w:pPr>
            <w:r>
              <w:rPr>
                <w:rFonts w:hint="eastAsia"/>
                <w:bCs/>
                <w:kern w:val="2"/>
                <w:sz w:val="21"/>
                <w:szCs w:val="21"/>
                <w:lang w:val="zh-CN"/>
              </w:rPr>
              <w:t>磋商保证金</w:t>
            </w:r>
          </w:p>
          <w:p>
            <w:pPr>
              <w:pStyle w:val="34"/>
              <w:spacing w:line="240" w:lineRule="auto"/>
              <w:jc w:val="center"/>
              <w:rPr>
                <w:bCs/>
                <w:kern w:val="2"/>
                <w:sz w:val="21"/>
                <w:szCs w:val="21"/>
                <w:lang w:val="zh-CN"/>
              </w:rPr>
            </w:pPr>
            <w:r>
              <w:rPr>
                <w:rFonts w:hint="eastAsia"/>
                <w:sz w:val="21"/>
                <w:szCs w:val="21"/>
              </w:rPr>
              <w:t>（实质性要求）</w:t>
            </w:r>
          </w:p>
        </w:tc>
        <w:tc>
          <w:tcPr>
            <w:tcW w:w="6339" w:type="dxa"/>
            <w:vAlign w:val="center"/>
          </w:tcPr>
          <w:p>
            <w:pPr>
              <w:spacing w:line="240" w:lineRule="auto"/>
              <w:ind w:firstLine="422" w:firstLineChars="200"/>
              <w:jc w:val="left"/>
              <w:rPr>
                <w:rFonts w:ascii="宋体" w:hAnsi="宋体" w:cs="宋体"/>
                <w:bCs/>
                <w:sz w:val="21"/>
                <w:szCs w:val="21"/>
              </w:rPr>
            </w:pPr>
            <w:r>
              <w:rPr>
                <w:rFonts w:hint="eastAsia" w:ascii="宋体" w:hAnsi="宋体" w:cs="宋体"/>
                <w:b/>
                <w:sz w:val="21"/>
                <w:szCs w:val="21"/>
                <w:lang w:val="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rPr>
            </w:pPr>
            <w:r>
              <w:rPr>
                <w:rFonts w:hint="eastAsia"/>
                <w:bCs/>
                <w:kern w:val="2"/>
                <w:sz w:val="21"/>
                <w:szCs w:val="21"/>
              </w:rPr>
              <w:t>10</w:t>
            </w:r>
          </w:p>
        </w:tc>
        <w:tc>
          <w:tcPr>
            <w:tcW w:w="2152" w:type="dxa"/>
            <w:shd w:val="clear" w:color="auto" w:fill="auto"/>
            <w:vAlign w:val="center"/>
          </w:tcPr>
          <w:p>
            <w:pPr>
              <w:pStyle w:val="34"/>
              <w:spacing w:line="240" w:lineRule="auto"/>
              <w:jc w:val="center"/>
              <w:rPr>
                <w:bCs/>
                <w:color w:val="auto"/>
                <w:kern w:val="2"/>
                <w:sz w:val="21"/>
                <w:szCs w:val="21"/>
                <w:lang w:val="zh-CN"/>
              </w:rPr>
            </w:pPr>
            <w:r>
              <w:rPr>
                <w:rFonts w:hint="eastAsia"/>
                <w:bCs/>
                <w:color w:val="auto"/>
                <w:kern w:val="2"/>
                <w:sz w:val="21"/>
                <w:szCs w:val="21"/>
                <w:lang w:val="zh-CN"/>
              </w:rPr>
              <w:t>履约保证金</w:t>
            </w:r>
          </w:p>
        </w:tc>
        <w:tc>
          <w:tcPr>
            <w:tcW w:w="6339" w:type="dxa"/>
            <w:shd w:val="clear" w:color="auto" w:fill="auto"/>
            <w:vAlign w:val="center"/>
          </w:tcPr>
          <w:p>
            <w:pPr>
              <w:pStyle w:val="34"/>
              <w:spacing w:line="240" w:lineRule="auto"/>
              <w:ind w:firstLine="420" w:firstLineChars="200"/>
              <w:rPr>
                <w:bCs/>
                <w:color w:val="auto"/>
                <w:kern w:val="2"/>
                <w:sz w:val="21"/>
                <w:szCs w:val="21"/>
              </w:rPr>
            </w:pPr>
            <w:r>
              <w:rPr>
                <w:rFonts w:hint="eastAsia"/>
                <w:bCs/>
                <w:color w:val="auto"/>
                <w:kern w:val="2"/>
                <w:sz w:val="21"/>
                <w:szCs w:val="21"/>
              </w:rPr>
              <w:t>本项目不收取。</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r>
              <w:rPr>
                <w:rFonts w:hint="eastAsia"/>
                <w:bCs/>
                <w:kern w:val="2"/>
                <w:sz w:val="21"/>
                <w:szCs w:val="21"/>
              </w:rPr>
              <w:t>1</w:t>
            </w:r>
          </w:p>
        </w:tc>
        <w:tc>
          <w:tcPr>
            <w:tcW w:w="2152" w:type="dxa"/>
            <w:vAlign w:val="center"/>
          </w:tcPr>
          <w:p>
            <w:pPr>
              <w:pStyle w:val="34"/>
              <w:spacing w:line="240" w:lineRule="auto"/>
              <w:jc w:val="center"/>
              <w:rPr>
                <w:bCs/>
                <w:color w:val="auto"/>
                <w:kern w:val="2"/>
                <w:sz w:val="21"/>
                <w:szCs w:val="21"/>
                <w:lang w:val="zh-CN"/>
              </w:rPr>
            </w:pPr>
            <w:r>
              <w:rPr>
                <w:rFonts w:hint="eastAsia"/>
                <w:bCs/>
                <w:color w:val="auto"/>
                <w:kern w:val="2"/>
                <w:sz w:val="21"/>
                <w:szCs w:val="21"/>
              </w:rPr>
              <w:t>磋商</w:t>
            </w:r>
            <w:r>
              <w:rPr>
                <w:rFonts w:hint="eastAsia"/>
                <w:bCs/>
                <w:color w:val="auto"/>
                <w:kern w:val="2"/>
                <w:sz w:val="21"/>
                <w:szCs w:val="21"/>
                <w:lang w:val="zh-CN"/>
              </w:rPr>
              <w:t>文件咨询</w:t>
            </w:r>
          </w:p>
        </w:tc>
        <w:tc>
          <w:tcPr>
            <w:tcW w:w="6339" w:type="dxa"/>
            <w:vAlign w:val="center"/>
          </w:tcPr>
          <w:p>
            <w:pPr>
              <w:pStyle w:val="34"/>
              <w:spacing w:line="240" w:lineRule="auto"/>
              <w:ind w:firstLine="420" w:firstLineChars="200"/>
              <w:rPr>
                <w:bCs/>
                <w:color w:val="auto"/>
                <w:kern w:val="2"/>
                <w:sz w:val="21"/>
                <w:szCs w:val="21"/>
                <w:lang w:val="zh-CN"/>
              </w:rPr>
            </w:pPr>
            <w:r>
              <w:rPr>
                <w:rFonts w:hint="eastAsia"/>
                <w:bCs/>
                <w:color w:val="auto"/>
                <w:kern w:val="2"/>
                <w:sz w:val="21"/>
                <w:szCs w:val="21"/>
                <w:lang w:val="zh-CN"/>
              </w:rPr>
              <w:t>联系人：</w:t>
            </w:r>
            <w:r>
              <w:rPr>
                <w:rFonts w:hint="eastAsia"/>
                <w:bCs/>
                <w:color w:val="auto"/>
                <w:kern w:val="2"/>
                <w:sz w:val="21"/>
                <w:szCs w:val="21"/>
              </w:rPr>
              <w:t>李先生</w:t>
            </w:r>
            <w:r>
              <w:rPr>
                <w:rFonts w:hint="eastAsia"/>
                <w:bCs/>
                <w:color w:val="auto"/>
                <w:kern w:val="2"/>
                <w:sz w:val="21"/>
                <w:szCs w:val="21"/>
                <w:lang w:val="zh-CN"/>
              </w:rPr>
              <w:t xml:space="preserve">   联系电话：  028-85178937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r>
              <w:rPr>
                <w:rFonts w:hint="eastAsia"/>
                <w:bCs/>
                <w:kern w:val="2"/>
                <w:sz w:val="21"/>
                <w:szCs w:val="21"/>
              </w:rPr>
              <w:t>2</w:t>
            </w:r>
          </w:p>
        </w:tc>
        <w:tc>
          <w:tcPr>
            <w:tcW w:w="2152" w:type="dxa"/>
            <w:vAlign w:val="center"/>
          </w:tcPr>
          <w:p>
            <w:pPr>
              <w:pStyle w:val="34"/>
              <w:spacing w:line="240" w:lineRule="auto"/>
              <w:jc w:val="center"/>
              <w:rPr>
                <w:bCs/>
                <w:color w:val="auto"/>
                <w:kern w:val="2"/>
                <w:sz w:val="21"/>
                <w:szCs w:val="21"/>
                <w:lang w:val="zh-CN"/>
              </w:rPr>
            </w:pPr>
            <w:r>
              <w:rPr>
                <w:rFonts w:hint="eastAsia"/>
                <w:bCs/>
                <w:color w:val="auto"/>
                <w:kern w:val="2"/>
                <w:sz w:val="21"/>
                <w:szCs w:val="21"/>
                <w:lang w:val="zh-CN"/>
              </w:rPr>
              <w:t>磋商过程、结果工作咨询</w:t>
            </w:r>
          </w:p>
        </w:tc>
        <w:tc>
          <w:tcPr>
            <w:tcW w:w="6339" w:type="dxa"/>
            <w:vAlign w:val="center"/>
          </w:tcPr>
          <w:p>
            <w:pPr>
              <w:pStyle w:val="34"/>
              <w:spacing w:line="240" w:lineRule="auto"/>
              <w:ind w:firstLine="420" w:firstLineChars="200"/>
              <w:rPr>
                <w:bCs/>
                <w:color w:val="auto"/>
                <w:kern w:val="2"/>
                <w:sz w:val="21"/>
                <w:szCs w:val="21"/>
                <w:lang w:val="zh-CN"/>
              </w:rPr>
            </w:pPr>
            <w:r>
              <w:rPr>
                <w:rFonts w:hint="eastAsia"/>
                <w:bCs/>
                <w:color w:val="auto"/>
                <w:kern w:val="2"/>
                <w:sz w:val="21"/>
                <w:szCs w:val="21"/>
                <w:lang w:val="zh-CN"/>
              </w:rPr>
              <w:t>联系人：</w:t>
            </w:r>
            <w:r>
              <w:rPr>
                <w:rFonts w:hint="eastAsia"/>
                <w:bCs/>
                <w:color w:val="auto"/>
                <w:kern w:val="2"/>
                <w:sz w:val="21"/>
                <w:szCs w:val="21"/>
              </w:rPr>
              <w:t>李先生</w:t>
            </w:r>
            <w:r>
              <w:rPr>
                <w:rFonts w:hint="eastAsia"/>
                <w:bCs/>
                <w:color w:val="auto"/>
                <w:kern w:val="2"/>
                <w:sz w:val="21"/>
                <w:szCs w:val="21"/>
                <w:lang w:val="zh-CN"/>
              </w:rPr>
              <w:t xml:space="preserve">   联系电话：  028-85178937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r>
              <w:rPr>
                <w:rFonts w:hint="eastAsia"/>
                <w:bCs/>
                <w:kern w:val="2"/>
                <w:sz w:val="21"/>
                <w:szCs w:val="21"/>
              </w:rPr>
              <w:t>3</w:t>
            </w:r>
          </w:p>
        </w:tc>
        <w:tc>
          <w:tcPr>
            <w:tcW w:w="2152" w:type="dxa"/>
            <w:vAlign w:val="center"/>
          </w:tcPr>
          <w:p>
            <w:pPr>
              <w:pStyle w:val="34"/>
              <w:spacing w:line="240" w:lineRule="auto"/>
              <w:jc w:val="center"/>
              <w:rPr>
                <w:bCs/>
                <w:kern w:val="2"/>
                <w:sz w:val="21"/>
                <w:szCs w:val="21"/>
                <w:lang w:val="zh-CN"/>
              </w:rPr>
            </w:pPr>
            <w:r>
              <w:rPr>
                <w:rFonts w:hint="eastAsia"/>
                <w:bCs/>
                <w:kern w:val="2"/>
                <w:sz w:val="21"/>
                <w:szCs w:val="21"/>
                <w:lang w:val="zh-CN"/>
              </w:rPr>
              <w:t>成交通知书领取</w:t>
            </w:r>
          </w:p>
        </w:tc>
        <w:tc>
          <w:tcPr>
            <w:tcW w:w="6339"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采购结果公告在四川政府采购网上发布后，请成交供应商凭有效身份证明证件到四川力诚卓达项目管理有限公司领取成交通知书。</w:t>
            </w:r>
          </w:p>
          <w:p>
            <w:pPr>
              <w:pStyle w:val="34"/>
              <w:spacing w:line="240" w:lineRule="auto"/>
              <w:ind w:firstLine="420" w:firstLineChars="200"/>
              <w:rPr>
                <w:bCs/>
                <w:kern w:val="2"/>
                <w:sz w:val="21"/>
                <w:szCs w:val="21"/>
                <w:lang w:val="zh-CN"/>
              </w:rPr>
            </w:pPr>
            <w:r>
              <w:rPr>
                <w:rFonts w:hint="eastAsia"/>
                <w:bCs/>
                <w:kern w:val="2"/>
                <w:sz w:val="21"/>
                <w:szCs w:val="21"/>
                <w:lang w:val="zh-CN"/>
              </w:rPr>
              <w:t>联系电话：028-85178937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r>
              <w:rPr>
                <w:rFonts w:hint="eastAsia"/>
                <w:bCs/>
                <w:kern w:val="2"/>
                <w:sz w:val="21"/>
                <w:szCs w:val="21"/>
              </w:rPr>
              <w:t>4</w:t>
            </w:r>
          </w:p>
        </w:tc>
        <w:tc>
          <w:tcPr>
            <w:tcW w:w="2152" w:type="dxa"/>
            <w:vAlign w:val="center"/>
          </w:tcPr>
          <w:p>
            <w:pPr>
              <w:pStyle w:val="34"/>
              <w:spacing w:line="240" w:lineRule="auto"/>
              <w:jc w:val="center"/>
              <w:rPr>
                <w:bCs/>
                <w:kern w:val="2"/>
                <w:sz w:val="21"/>
                <w:szCs w:val="21"/>
                <w:lang w:val="zh-CN"/>
              </w:rPr>
            </w:pPr>
            <w:r>
              <w:rPr>
                <w:rFonts w:hint="eastAsia"/>
                <w:bCs/>
                <w:kern w:val="2"/>
                <w:sz w:val="21"/>
                <w:szCs w:val="21"/>
                <w:lang w:val="zh-CN"/>
              </w:rPr>
              <w:t>供应商询问</w:t>
            </w:r>
          </w:p>
        </w:tc>
        <w:tc>
          <w:tcPr>
            <w:tcW w:w="6339" w:type="dxa"/>
          </w:tcPr>
          <w:p>
            <w:pPr>
              <w:pStyle w:val="34"/>
              <w:spacing w:line="240" w:lineRule="auto"/>
              <w:ind w:firstLine="420" w:firstLineChars="200"/>
              <w:rPr>
                <w:bCs/>
                <w:kern w:val="2"/>
                <w:sz w:val="21"/>
                <w:szCs w:val="21"/>
                <w:lang w:val="zh-CN"/>
              </w:rPr>
            </w:pPr>
            <w:r>
              <w:rPr>
                <w:rFonts w:hint="eastAsia"/>
                <w:bCs/>
                <w:kern w:val="2"/>
                <w:sz w:val="21"/>
                <w:szCs w:val="21"/>
                <w:lang w:val="zh-CN"/>
              </w:rPr>
              <w:t>根据委托代理协议约定，供应商询问由四川力诚卓达项目管理有限公司负责答复。</w:t>
            </w:r>
          </w:p>
          <w:p>
            <w:pPr>
              <w:pStyle w:val="34"/>
              <w:spacing w:line="240" w:lineRule="auto"/>
              <w:ind w:firstLine="420" w:firstLineChars="200"/>
              <w:rPr>
                <w:bCs/>
                <w:kern w:val="2"/>
                <w:sz w:val="21"/>
                <w:szCs w:val="21"/>
                <w:lang w:val="zh-CN"/>
              </w:rPr>
            </w:pPr>
            <w:r>
              <w:rPr>
                <w:rFonts w:hint="eastAsia"/>
                <w:bCs/>
                <w:kern w:val="2"/>
                <w:sz w:val="21"/>
                <w:szCs w:val="21"/>
                <w:lang w:val="zh-CN"/>
              </w:rPr>
              <w:t>联系人：</w:t>
            </w:r>
            <w:r>
              <w:rPr>
                <w:rFonts w:hint="eastAsia"/>
                <w:bCs/>
                <w:kern w:val="2"/>
                <w:sz w:val="21"/>
                <w:szCs w:val="21"/>
              </w:rPr>
              <w:t>李先生</w:t>
            </w:r>
            <w:r>
              <w:rPr>
                <w:rFonts w:hint="eastAsia"/>
                <w:bCs/>
                <w:kern w:val="2"/>
                <w:sz w:val="21"/>
                <w:szCs w:val="21"/>
                <w:lang w:val="zh-CN"/>
              </w:rPr>
              <w:t xml:space="preserve">   联系电话：  028-85178937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r>
              <w:rPr>
                <w:rFonts w:hint="eastAsia"/>
                <w:bCs/>
                <w:kern w:val="2"/>
                <w:sz w:val="21"/>
                <w:szCs w:val="21"/>
              </w:rPr>
              <w:t>5</w:t>
            </w:r>
          </w:p>
        </w:tc>
        <w:tc>
          <w:tcPr>
            <w:tcW w:w="2152"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bCs/>
                <w:kern w:val="2"/>
                <w:sz w:val="21"/>
                <w:szCs w:val="21"/>
                <w:lang w:val="zh-CN"/>
              </w:rPr>
            </w:pPr>
            <w:r>
              <w:rPr>
                <w:rFonts w:hint="eastAsia"/>
                <w:bCs/>
                <w:kern w:val="2"/>
                <w:sz w:val="21"/>
                <w:szCs w:val="21"/>
                <w:lang w:val="zh-CN"/>
              </w:rPr>
              <w:t>供应商质疑</w:t>
            </w:r>
          </w:p>
        </w:tc>
        <w:tc>
          <w:tcPr>
            <w:tcW w:w="6339" w:type="dxa"/>
            <w:tcBorders>
              <w:top w:val="single" w:color="auto" w:sz="8" w:space="0"/>
              <w:left w:val="single" w:color="auto" w:sz="8" w:space="0"/>
              <w:bottom w:val="single" w:color="auto" w:sz="8" w:space="0"/>
            </w:tcBorders>
            <w:vAlign w:val="center"/>
          </w:tcPr>
          <w:p>
            <w:pPr>
              <w:spacing w:line="240" w:lineRule="auto"/>
              <w:ind w:right="105" w:rightChars="50" w:firstLine="420" w:firstLineChars="200"/>
              <w:jc w:val="left"/>
              <w:rPr>
                <w:rFonts w:ascii="宋体" w:hAnsi="宋体" w:cs="宋体"/>
                <w:sz w:val="21"/>
                <w:szCs w:val="21"/>
              </w:rPr>
            </w:pPr>
            <w:bookmarkStart w:id="22" w:name="PO_默认文件内容_30"/>
            <w:r>
              <w:rPr>
                <w:rFonts w:hint="eastAsia" w:ascii="宋体" w:hAnsi="宋体" w:cs="宋体"/>
                <w:sz w:val="21"/>
                <w:szCs w:val="21"/>
              </w:rPr>
              <w:t>根据委托代理协议约定，供应商质疑由</w:t>
            </w:r>
            <w:r>
              <w:rPr>
                <w:rFonts w:hint="eastAsia" w:ascii="宋体" w:hAnsi="宋体" w:cs="宋体"/>
                <w:sz w:val="21"/>
                <w:szCs w:val="21"/>
                <w:lang w:val="zh-CN"/>
              </w:rPr>
              <w:t>采购代理机构负责答复。</w:t>
            </w:r>
          </w:p>
          <w:p>
            <w:pPr>
              <w:spacing w:line="240" w:lineRule="auto"/>
              <w:ind w:firstLine="420" w:firstLineChars="200"/>
              <w:rPr>
                <w:rFonts w:ascii="宋体" w:hAnsi="宋体" w:cs="宋体"/>
                <w:sz w:val="21"/>
                <w:szCs w:val="21"/>
                <w:lang w:val="zh-CN"/>
              </w:rPr>
            </w:pPr>
            <w:r>
              <w:rPr>
                <w:rFonts w:hint="eastAsia" w:ascii="宋体" w:hAnsi="宋体" w:cs="宋体"/>
                <w:sz w:val="21"/>
                <w:szCs w:val="21"/>
                <w:lang w:val="zh-CN"/>
              </w:rPr>
              <w:t>联 系 人：</w:t>
            </w:r>
            <w:r>
              <w:rPr>
                <w:rFonts w:hint="eastAsia" w:ascii="宋体" w:hAnsi="宋体" w:cs="宋体"/>
                <w:sz w:val="21"/>
                <w:szCs w:val="21"/>
              </w:rPr>
              <w:t>李先生</w:t>
            </w:r>
          </w:p>
          <w:p>
            <w:pPr>
              <w:spacing w:line="240" w:lineRule="auto"/>
              <w:ind w:firstLine="420" w:firstLineChars="200"/>
              <w:rPr>
                <w:rFonts w:ascii="宋体" w:hAnsi="宋体" w:cs="宋体"/>
                <w:sz w:val="21"/>
                <w:szCs w:val="21"/>
                <w:lang w:val="zh-CN"/>
              </w:rPr>
            </w:pPr>
            <w:r>
              <w:rPr>
                <w:rFonts w:hint="eastAsia" w:ascii="宋体" w:hAnsi="宋体" w:cs="宋体"/>
                <w:sz w:val="21"/>
                <w:szCs w:val="21"/>
                <w:lang w:val="zh-CN"/>
              </w:rPr>
              <w:t>联系电话：</w:t>
            </w:r>
            <w:r>
              <w:rPr>
                <w:rFonts w:hint="eastAsia" w:ascii="宋体" w:hAnsi="宋体" w:cs="宋体"/>
                <w:bCs/>
                <w:sz w:val="21"/>
                <w:szCs w:val="21"/>
                <w:lang w:val="zh-CN"/>
              </w:rPr>
              <w:t>028-85178937</w:t>
            </w:r>
          </w:p>
          <w:p>
            <w:pPr>
              <w:spacing w:line="240" w:lineRule="auto"/>
              <w:ind w:right="105" w:rightChars="50" w:firstLine="420" w:firstLineChars="200"/>
              <w:jc w:val="left"/>
              <w:rPr>
                <w:rFonts w:ascii="宋体" w:hAnsi="宋体" w:cs="宋体"/>
                <w:sz w:val="21"/>
                <w:szCs w:val="21"/>
                <w:lang w:val="zh-CN"/>
              </w:rPr>
            </w:pPr>
            <w:r>
              <w:rPr>
                <w:rFonts w:hint="eastAsia" w:ascii="宋体" w:hAnsi="宋体" w:cs="宋体"/>
                <w:sz w:val="21"/>
                <w:szCs w:val="21"/>
                <w:lang w:val="zh-CN"/>
              </w:rPr>
              <w:t>地址：成都市高新区天府大道北段1700号环球中心W6区20楼19号。</w:t>
            </w:r>
          </w:p>
          <w:p>
            <w:pPr>
              <w:pStyle w:val="34"/>
              <w:spacing w:line="240" w:lineRule="auto"/>
              <w:ind w:firstLine="420" w:firstLineChars="200"/>
              <w:rPr>
                <w:bCs/>
                <w:kern w:val="2"/>
                <w:sz w:val="21"/>
                <w:szCs w:val="21"/>
                <w:lang w:val="zh-CN"/>
              </w:rPr>
            </w:pPr>
            <w:r>
              <w:rPr>
                <w:rFonts w:hint="eastAsia"/>
                <w:sz w:val="21"/>
                <w:szCs w:val="21"/>
                <w:lang w:val="zh-CN"/>
              </w:rPr>
              <w:t>注：根据《中华人民共和国政府采购法》等规定，供应商质疑不得超出采购文件、采购过程、采购结果的范围</w:t>
            </w:r>
            <w:bookmarkEnd w:id="22"/>
            <w:r>
              <w:rPr>
                <w:rFonts w:hint="eastAsia"/>
                <w:sz w:val="21"/>
                <w:szCs w:val="21"/>
                <w:lang w:val="zh-CN"/>
              </w:rPr>
              <w:t>,</w:t>
            </w:r>
            <w:r>
              <w:rPr>
                <w:rFonts w:hint="eastAsia"/>
                <w:sz w:val="21"/>
                <w:szCs w:val="21"/>
              </w:rPr>
              <w:t xml:space="preserve"> </w:t>
            </w:r>
            <w:r>
              <w:rPr>
                <w:rFonts w:hint="eastAsia"/>
                <w:sz w:val="21"/>
                <w:szCs w:val="21"/>
                <w:lang w:val="zh-CN"/>
              </w:rPr>
              <w:t>供应商针对同一采购程序环节的质疑应在法定质疑期内一次性提出。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r>
              <w:rPr>
                <w:rFonts w:hint="eastAsia"/>
                <w:bCs/>
                <w:kern w:val="2"/>
                <w:sz w:val="21"/>
                <w:szCs w:val="21"/>
              </w:rPr>
              <w:t>6</w:t>
            </w:r>
          </w:p>
        </w:tc>
        <w:tc>
          <w:tcPr>
            <w:tcW w:w="2152"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bCs/>
                <w:kern w:val="2"/>
                <w:sz w:val="21"/>
                <w:szCs w:val="21"/>
                <w:lang w:val="zh-CN"/>
              </w:rPr>
            </w:pPr>
            <w:r>
              <w:rPr>
                <w:rFonts w:hint="eastAsia"/>
                <w:bCs/>
                <w:kern w:val="2"/>
                <w:sz w:val="21"/>
                <w:szCs w:val="21"/>
                <w:lang w:val="zh-CN"/>
              </w:rPr>
              <w:t>供应商投诉</w:t>
            </w:r>
          </w:p>
        </w:tc>
        <w:tc>
          <w:tcPr>
            <w:tcW w:w="6339" w:type="dxa"/>
            <w:tcBorders>
              <w:top w:val="single" w:color="auto" w:sz="8" w:space="0"/>
              <w:left w:val="single" w:color="auto" w:sz="8" w:space="0"/>
              <w:bottom w:val="single" w:color="auto" w:sz="8" w:space="0"/>
            </w:tcBorders>
            <w:vAlign w:val="center"/>
          </w:tcPr>
          <w:p>
            <w:pPr>
              <w:spacing w:line="240" w:lineRule="auto"/>
              <w:ind w:firstLine="420" w:firstLineChars="200"/>
              <w:jc w:val="left"/>
              <w:rPr>
                <w:rFonts w:ascii="宋体" w:hAnsi="宋体" w:cs="宋体"/>
                <w:sz w:val="21"/>
                <w:szCs w:val="21"/>
                <w:lang w:val="zh-CN"/>
              </w:rPr>
            </w:pPr>
            <w:r>
              <w:rPr>
                <w:rFonts w:hint="eastAsia" w:ascii="宋体" w:hAnsi="宋体" w:cs="宋体"/>
                <w:sz w:val="21"/>
                <w:szCs w:val="21"/>
                <w:lang w:val="zh-CN"/>
              </w:rPr>
              <w:t>投诉受理单位：本项目同级财政部门，即</w:t>
            </w:r>
            <w:r>
              <w:rPr>
                <w:rFonts w:hint="eastAsia" w:ascii="宋体" w:hAnsi="宋体" w:cs="宋体"/>
                <w:sz w:val="21"/>
                <w:szCs w:val="21"/>
              </w:rPr>
              <w:t>成华</w:t>
            </w:r>
            <w:r>
              <w:rPr>
                <w:rFonts w:hint="eastAsia" w:ascii="宋体" w:hAnsi="宋体" w:cs="宋体"/>
                <w:sz w:val="21"/>
                <w:szCs w:val="21"/>
                <w:lang w:val="zh-CN"/>
              </w:rPr>
              <w:t>区财政局。</w:t>
            </w:r>
          </w:p>
          <w:p>
            <w:pPr>
              <w:pStyle w:val="2"/>
              <w:spacing w:line="24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联系电话：028-84356267</w:t>
            </w:r>
          </w:p>
          <w:p>
            <w:pPr>
              <w:pStyle w:val="34"/>
              <w:spacing w:line="240" w:lineRule="auto"/>
              <w:ind w:firstLine="420" w:firstLineChars="200"/>
              <w:rPr>
                <w:bCs/>
                <w:kern w:val="2"/>
                <w:sz w:val="21"/>
                <w:szCs w:val="21"/>
                <w:lang w:val="zh-CN"/>
              </w:rPr>
            </w:pPr>
            <w:r>
              <w:rPr>
                <w:rFonts w:hint="eastAsia"/>
                <w:kern w:val="2"/>
                <w:sz w:val="21"/>
                <w:szCs w:val="21"/>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kern w:val="2"/>
                <w:sz w:val="21"/>
                <w:szCs w:val="21"/>
                <w:lang w:val="zh-CN"/>
              </w:rPr>
            </w:pPr>
            <w:r>
              <w:rPr>
                <w:rFonts w:hint="eastAsia"/>
                <w:bCs/>
                <w:kern w:val="2"/>
                <w:sz w:val="21"/>
                <w:szCs w:val="21"/>
                <w:lang w:val="zh-CN"/>
              </w:rPr>
              <w:t>1</w:t>
            </w:r>
            <w:r>
              <w:rPr>
                <w:rFonts w:hint="eastAsia"/>
                <w:bCs/>
                <w:kern w:val="2"/>
                <w:sz w:val="21"/>
                <w:szCs w:val="21"/>
              </w:rPr>
              <w:t>7</w:t>
            </w:r>
          </w:p>
        </w:tc>
        <w:tc>
          <w:tcPr>
            <w:tcW w:w="2152"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bCs/>
                <w:kern w:val="2"/>
                <w:sz w:val="21"/>
                <w:szCs w:val="21"/>
                <w:lang w:val="zh-CN"/>
              </w:rPr>
            </w:pPr>
            <w:r>
              <w:rPr>
                <w:rFonts w:hint="eastAsia"/>
                <w:bCs/>
                <w:kern w:val="2"/>
                <w:sz w:val="21"/>
                <w:szCs w:val="21"/>
                <w:lang w:val="zh-CN"/>
              </w:rPr>
              <w:t>政府采购合同备案</w:t>
            </w:r>
          </w:p>
        </w:tc>
        <w:tc>
          <w:tcPr>
            <w:tcW w:w="6339" w:type="dxa"/>
            <w:tcBorders>
              <w:top w:val="single" w:color="auto" w:sz="8" w:space="0"/>
              <w:left w:val="single" w:color="auto" w:sz="8" w:space="0"/>
              <w:bottom w:val="single" w:color="auto" w:sz="8" w:space="0"/>
            </w:tcBorders>
            <w:vAlign w:val="center"/>
          </w:tcPr>
          <w:p>
            <w:pPr>
              <w:pStyle w:val="34"/>
              <w:spacing w:line="240" w:lineRule="auto"/>
              <w:ind w:firstLine="420" w:firstLineChars="200"/>
              <w:rPr>
                <w:bCs/>
                <w:kern w:val="2"/>
                <w:sz w:val="21"/>
                <w:szCs w:val="21"/>
                <w:lang w:val="zh-CN"/>
              </w:rPr>
            </w:pPr>
            <w:bookmarkStart w:id="23" w:name="PO_默认文件内容_18"/>
            <w:r>
              <w:rPr>
                <w:rFonts w:hint="eastAsia"/>
                <w:bCs/>
                <w:kern w:val="2"/>
                <w:sz w:val="21"/>
                <w:szCs w:val="21"/>
                <w:lang w:val="zh-CN"/>
              </w:rPr>
              <w:t>政府采购合同签订之日起2个工作日内，政府采购合同将在四川政府采购网公告；政府采购合同签订之日起七个工作日内，政府采购合同将向采购项目同级财政部门备案。</w:t>
            </w:r>
            <w:bookmarkEnd w:id="23"/>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kern w:val="2"/>
                <w:sz w:val="21"/>
                <w:szCs w:val="21"/>
                <w:lang w:val="zh-CN"/>
              </w:rPr>
            </w:pPr>
            <w:r>
              <w:rPr>
                <w:rFonts w:hint="eastAsia"/>
                <w:bCs/>
                <w:kern w:val="2"/>
                <w:sz w:val="21"/>
                <w:szCs w:val="21"/>
              </w:rPr>
              <w:t>18</w:t>
            </w:r>
          </w:p>
        </w:tc>
        <w:tc>
          <w:tcPr>
            <w:tcW w:w="2152"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bCs/>
                <w:kern w:val="2"/>
                <w:sz w:val="21"/>
                <w:szCs w:val="21"/>
                <w:lang w:val="zh-CN"/>
              </w:rPr>
            </w:pPr>
            <w:r>
              <w:rPr>
                <w:rFonts w:hint="eastAsia"/>
                <w:bCs/>
                <w:kern w:val="2"/>
                <w:sz w:val="21"/>
                <w:szCs w:val="21"/>
              </w:rPr>
              <w:t>代理服务费</w:t>
            </w:r>
          </w:p>
        </w:tc>
        <w:tc>
          <w:tcPr>
            <w:tcW w:w="6339" w:type="dxa"/>
            <w:tcBorders>
              <w:top w:val="single" w:color="auto" w:sz="8" w:space="0"/>
              <w:left w:val="single" w:color="auto" w:sz="8" w:space="0"/>
              <w:bottom w:val="single" w:color="auto" w:sz="8" w:space="0"/>
            </w:tcBorders>
            <w:vAlign w:val="center"/>
          </w:tcPr>
          <w:p>
            <w:pPr>
              <w:pStyle w:val="34"/>
              <w:tabs>
                <w:tab w:val="left" w:pos="317"/>
              </w:tabs>
              <w:spacing w:line="240" w:lineRule="auto"/>
              <w:ind w:firstLine="420" w:firstLineChars="200"/>
              <w:jc w:val="both"/>
              <w:rPr>
                <w:bCs/>
                <w:color w:val="auto"/>
                <w:kern w:val="2"/>
                <w:sz w:val="21"/>
                <w:szCs w:val="21"/>
              </w:rPr>
            </w:pPr>
            <w:r>
              <w:rPr>
                <w:rFonts w:hint="eastAsia"/>
                <w:bCs/>
                <w:color w:val="auto"/>
                <w:kern w:val="2"/>
                <w:sz w:val="21"/>
                <w:szCs w:val="21"/>
              </w:rPr>
              <w:t>根据“成本+合理利润”原则，代理服务费</w:t>
            </w:r>
            <w:r>
              <w:rPr>
                <w:rFonts w:hint="eastAsia"/>
                <w:bCs/>
                <w:color w:val="auto"/>
                <w:kern w:val="2"/>
                <w:sz w:val="21"/>
                <w:szCs w:val="21"/>
                <w:lang w:val="en-US" w:eastAsia="zh-CN"/>
              </w:rPr>
              <w:t>1</w:t>
            </w:r>
            <w:r>
              <w:rPr>
                <w:rFonts w:hint="eastAsia"/>
                <w:bCs/>
                <w:color w:val="auto"/>
                <w:kern w:val="2"/>
                <w:sz w:val="21"/>
                <w:szCs w:val="21"/>
              </w:rPr>
              <w:t>500</w:t>
            </w:r>
            <w:r>
              <w:rPr>
                <w:rFonts w:hint="eastAsia"/>
                <w:bCs/>
                <w:color w:val="auto"/>
                <w:kern w:val="2"/>
                <w:sz w:val="21"/>
                <w:szCs w:val="21"/>
                <w:lang w:val="en-US" w:eastAsia="zh-CN"/>
              </w:rPr>
              <w:t>0</w:t>
            </w:r>
            <w:r>
              <w:rPr>
                <w:rFonts w:hint="eastAsia"/>
                <w:bCs/>
                <w:color w:val="auto"/>
                <w:kern w:val="2"/>
                <w:sz w:val="21"/>
                <w:szCs w:val="21"/>
              </w:rPr>
              <w:t>元</w:t>
            </w:r>
            <w:r>
              <w:rPr>
                <w:rFonts w:hint="eastAsia"/>
                <w:bCs/>
                <w:color w:val="auto"/>
                <w:kern w:val="2"/>
                <w:sz w:val="21"/>
                <w:szCs w:val="21"/>
                <w:lang w:eastAsia="zh-CN"/>
              </w:rPr>
              <w:t>（壹万伍仟元）</w:t>
            </w:r>
            <w:r>
              <w:rPr>
                <w:rFonts w:hint="eastAsia"/>
                <w:bCs/>
                <w:color w:val="auto"/>
                <w:kern w:val="2"/>
                <w:sz w:val="21"/>
                <w:szCs w:val="21"/>
              </w:rPr>
              <w:t>。由中标（成交）人在领取中标（成交）通知书时一次性支付。</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kern w:val="2"/>
                <w:sz w:val="21"/>
                <w:szCs w:val="21"/>
              </w:rPr>
            </w:pPr>
            <w:r>
              <w:rPr>
                <w:rFonts w:hint="eastAsia"/>
                <w:bCs/>
                <w:kern w:val="2"/>
                <w:sz w:val="21"/>
                <w:szCs w:val="21"/>
              </w:rPr>
              <w:t>19</w:t>
            </w:r>
          </w:p>
        </w:tc>
        <w:tc>
          <w:tcPr>
            <w:tcW w:w="2152" w:type="dxa"/>
            <w:tcBorders>
              <w:top w:val="single" w:color="auto" w:sz="8" w:space="0"/>
              <w:left w:val="single" w:color="auto" w:sz="8" w:space="0"/>
              <w:bottom w:val="single" w:color="auto" w:sz="8" w:space="0"/>
              <w:right w:val="single" w:color="auto" w:sz="8" w:space="0"/>
            </w:tcBorders>
            <w:vAlign w:val="center"/>
          </w:tcPr>
          <w:p>
            <w:pPr>
              <w:pStyle w:val="34"/>
              <w:spacing w:line="240" w:lineRule="auto"/>
              <w:ind w:left="96"/>
              <w:jc w:val="center"/>
              <w:rPr>
                <w:bCs/>
                <w:kern w:val="2"/>
                <w:sz w:val="21"/>
                <w:szCs w:val="21"/>
              </w:rPr>
            </w:pPr>
            <w:r>
              <w:rPr>
                <w:rFonts w:hint="eastAsia"/>
                <w:bCs/>
                <w:kern w:val="2"/>
                <w:sz w:val="21"/>
                <w:szCs w:val="21"/>
              </w:rPr>
              <w:t>政府采购信用融资政策</w:t>
            </w:r>
          </w:p>
        </w:tc>
        <w:tc>
          <w:tcPr>
            <w:tcW w:w="6339" w:type="dxa"/>
            <w:tcBorders>
              <w:top w:val="single" w:color="auto" w:sz="8" w:space="0"/>
              <w:left w:val="single" w:color="auto" w:sz="8" w:space="0"/>
              <w:bottom w:val="single" w:color="auto" w:sz="8" w:space="0"/>
            </w:tcBorders>
            <w:vAlign w:val="center"/>
          </w:tcPr>
          <w:p>
            <w:pPr>
              <w:pStyle w:val="34"/>
              <w:spacing w:line="240" w:lineRule="auto"/>
              <w:ind w:firstLine="420" w:firstLineChars="200"/>
              <w:rPr>
                <w:bCs/>
                <w:color w:val="auto"/>
                <w:kern w:val="2"/>
                <w:sz w:val="21"/>
                <w:szCs w:val="21"/>
              </w:rPr>
            </w:pPr>
            <w:r>
              <w:rPr>
                <w:rFonts w:hint="eastAsia"/>
                <w:bCs/>
                <w:color w:val="auto"/>
                <w:kern w:val="2"/>
                <w:sz w:val="21"/>
                <w:szCs w:val="21"/>
              </w:rPr>
              <w:t>根据《四川省财政厅关于推进四川省政府采购供应商信用融资工作的通知》（川财采〔2018〕123 号）、《成都市财政局中国人民银行成都分行营业管理部关于印发&lt;成都市中小企业政府采购信用融资暂行办法&gt;和&lt;成都市级支持中小企业政府采购信用融资实施方案&gt;的通知》（成财采【2019】17 号）规定，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kern w:val="2"/>
                <w:sz w:val="21"/>
                <w:szCs w:val="21"/>
              </w:rPr>
            </w:pPr>
            <w:r>
              <w:rPr>
                <w:rFonts w:hint="eastAsia"/>
                <w:bCs/>
                <w:kern w:val="2"/>
                <w:sz w:val="21"/>
                <w:szCs w:val="21"/>
              </w:rPr>
              <w:t>20</w:t>
            </w:r>
          </w:p>
        </w:tc>
        <w:tc>
          <w:tcPr>
            <w:tcW w:w="2152" w:type="dxa"/>
            <w:tcBorders>
              <w:top w:val="single" w:color="auto" w:sz="8" w:space="0"/>
              <w:left w:val="single" w:color="auto" w:sz="8" w:space="0"/>
              <w:bottom w:val="single" w:color="auto" w:sz="8" w:space="0"/>
              <w:right w:val="single" w:color="auto" w:sz="8" w:space="0"/>
            </w:tcBorders>
            <w:vAlign w:val="center"/>
          </w:tcPr>
          <w:p>
            <w:pPr>
              <w:pStyle w:val="34"/>
              <w:spacing w:line="240" w:lineRule="auto"/>
              <w:ind w:left="96"/>
              <w:jc w:val="center"/>
              <w:rPr>
                <w:bCs/>
                <w:kern w:val="2"/>
                <w:sz w:val="21"/>
                <w:szCs w:val="21"/>
              </w:rPr>
            </w:pPr>
            <w:r>
              <w:rPr>
                <w:rFonts w:hint="eastAsia"/>
                <w:bCs/>
                <w:kern w:val="2"/>
                <w:sz w:val="21"/>
                <w:szCs w:val="21"/>
              </w:rPr>
              <w:t>响应文件份数</w:t>
            </w:r>
          </w:p>
        </w:tc>
        <w:tc>
          <w:tcPr>
            <w:tcW w:w="6339" w:type="dxa"/>
            <w:tcBorders>
              <w:top w:val="single" w:color="auto" w:sz="8" w:space="0"/>
              <w:left w:val="single" w:color="auto" w:sz="8" w:space="0"/>
              <w:bottom w:val="single" w:color="auto" w:sz="8" w:space="0"/>
            </w:tcBorders>
            <w:vAlign w:val="center"/>
          </w:tcPr>
          <w:p>
            <w:pPr>
              <w:pStyle w:val="34"/>
              <w:spacing w:line="240" w:lineRule="auto"/>
              <w:ind w:firstLine="422" w:firstLineChars="200"/>
              <w:rPr>
                <w:b/>
                <w:kern w:val="2"/>
                <w:sz w:val="21"/>
                <w:szCs w:val="21"/>
              </w:rPr>
            </w:pPr>
            <w:r>
              <w:rPr>
                <w:rFonts w:hint="eastAsia"/>
                <w:b/>
                <w:kern w:val="2"/>
                <w:sz w:val="21"/>
                <w:szCs w:val="21"/>
              </w:rPr>
              <w:t>正本壹套，副本壹套，电子文档壹份（U盘或光盘制作）</w:t>
            </w:r>
          </w:p>
          <w:p>
            <w:pPr>
              <w:pStyle w:val="34"/>
              <w:spacing w:line="240" w:lineRule="auto"/>
              <w:ind w:firstLine="422" w:firstLineChars="200"/>
              <w:rPr>
                <w:bCs/>
                <w:kern w:val="2"/>
                <w:sz w:val="21"/>
                <w:szCs w:val="21"/>
              </w:rPr>
            </w:pPr>
            <w:r>
              <w:rPr>
                <w:rFonts w:hint="eastAsia"/>
                <w:b/>
                <w:kern w:val="2"/>
                <w:sz w:val="21"/>
                <w:szCs w:val="21"/>
              </w:rPr>
              <w:t>包括资格性响应文件及其他响应文件。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color w:val="auto"/>
                <w:kern w:val="2"/>
                <w:sz w:val="21"/>
                <w:szCs w:val="21"/>
              </w:rPr>
            </w:pPr>
            <w:r>
              <w:rPr>
                <w:rFonts w:hint="eastAsia"/>
                <w:bCs/>
                <w:color w:val="auto"/>
                <w:kern w:val="2"/>
                <w:sz w:val="21"/>
                <w:szCs w:val="21"/>
              </w:rPr>
              <w:t>21</w:t>
            </w:r>
          </w:p>
        </w:tc>
        <w:tc>
          <w:tcPr>
            <w:tcW w:w="2152" w:type="dxa"/>
            <w:tcBorders>
              <w:top w:val="single" w:color="auto" w:sz="8" w:space="0"/>
              <w:left w:val="single" w:color="auto" w:sz="8" w:space="0"/>
              <w:bottom w:val="single" w:color="auto" w:sz="8" w:space="0"/>
              <w:right w:val="single" w:color="auto" w:sz="8" w:space="0"/>
            </w:tcBorders>
            <w:vAlign w:val="center"/>
          </w:tcPr>
          <w:p>
            <w:pPr>
              <w:spacing w:line="24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进口产品</w:t>
            </w:r>
          </w:p>
          <w:p>
            <w:pPr>
              <w:spacing w:line="240" w:lineRule="auto"/>
              <w:jc w:val="center"/>
              <w:rPr>
                <w:bCs/>
                <w:color w:val="auto"/>
                <w:sz w:val="21"/>
                <w:szCs w:val="21"/>
              </w:rPr>
            </w:pPr>
            <w:r>
              <w:rPr>
                <w:rFonts w:hint="eastAsia" w:ascii="宋体" w:hAnsi="宋体" w:cs="宋体"/>
                <w:b/>
                <w:color w:val="auto"/>
                <w:sz w:val="21"/>
                <w:szCs w:val="21"/>
                <w:lang w:val="zh-CN"/>
              </w:rPr>
              <w:t>（实质性要求）</w:t>
            </w:r>
          </w:p>
        </w:tc>
        <w:tc>
          <w:tcPr>
            <w:tcW w:w="6339" w:type="dxa"/>
            <w:tcBorders>
              <w:top w:val="single" w:color="auto" w:sz="8" w:space="0"/>
              <w:left w:val="single" w:color="auto" w:sz="8" w:space="0"/>
              <w:bottom w:val="single" w:color="auto" w:sz="8" w:space="0"/>
            </w:tcBorders>
            <w:vAlign w:val="center"/>
          </w:tcPr>
          <w:p>
            <w:pPr>
              <w:spacing w:line="240" w:lineRule="auto"/>
              <w:ind w:firstLine="420" w:firstLineChars="200"/>
              <w:rPr>
                <w:bCs/>
                <w:color w:val="auto"/>
                <w:sz w:val="21"/>
                <w:szCs w:val="21"/>
              </w:rPr>
            </w:pPr>
            <w:r>
              <w:rPr>
                <w:rFonts w:hint="eastAsia" w:ascii="宋体" w:hAnsi="宋体" w:cs="宋体"/>
                <w:bCs/>
                <w:color w:val="auto"/>
                <w:sz w:val="21"/>
                <w:szCs w:val="21"/>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bottom w:val="single" w:color="auto" w:sz="8" w:space="0"/>
              <w:right w:val="single" w:color="auto" w:sz="8" w:space="0"/>
            </w:tcBorders>
            <w:vAlign w:val="center"/>
          </w:tcPr>
          <w:p>
            <w:pPr>
              <w:pStyle w:val="34"/>
              <w:spacing w:line="240" w:lineRule="auto"/>
              <w:ind w:firstLine="420" w:firstLineChars="200"/>
              <w:rPr>
                <w:bCs/>
                <w:kern w:val="2"/>
                <w:sz w:val="21"/>
                <w:szCs w:val="21"/>
              </w:rPr>
            </w:pPr>
            <w:r>
              <w:rPr>
                <w:rFonts w:hint="eastAsia"/>
                <w:bCs/>
                <w:kern w:val="2"/>
                <w:sz w:val="21"/>
                <w:szCs w:val="21"/>
              </w:rPr>
              <w:t>22</w:t>
            </w:r>
          </w:p>
        </w:tc>
        <w:tc>
          <w:tcPr>
            <w:tcW w:w="2152" w:type="dxa"/>
            <w:tcBorders>
              <w:top w:val="single" w:color="auto" w:sz="8" w:space="0"/>
              <w:left w:val="single" w:color="auto" w:sz="8" w:space="0"/>
              <w:bottom w:val="single" w:color="auto" w:sz="8" w:space="0"/>
              <w:right w:val="single" w:color="auto" w:sz="8" w:space="0"/>
            </w:tcBorders>
            <w:vAlign w:val="center"/>
          </w:tcPr>
          <w:p>
            <w:pPr>
              <w:pStyle w:val="34"/>
              <w:spacing w:line="240" w:lineRule="auto"/>
              <w:jc w:val="center"/>
              <w:rPr>
                <w:b/>
                <w:sz w:val="21"/>
                <w:szCs w:val="21"/>
                <w:lang w:val="zh-CN"/>
              </w:rPr>
            </w:pPr>
            <w:r>
              <w:rPr>
                <w:rFonts w:hint="eastAsia"/>
                <w:bCs/>
                <w:color w:val="000000" w:themeColor="text1"/>
                <w:kern w:val="2"/>
                <w:sz w:val="21"/>
                <w:szCs w:val="21"/>
                <w14:textFill>
                  <w14:solidFill>
                    <w14:schemeClr w14:val="tx1"/>
                  </w14:solidFill>
                </w14:textFill>
              </w:rPr>
              <w:t>建议品牌或者供应商(如涉及)</w:t>
            </w:r>
          </w:p>
        </w:tc>
        <w:tc>
          <w:tcPr>
            <w:tcW w:w="6339" w:type="dxa"/>
            <w:tcBorders>
              <w:top w:val="single" w:color="auto" w:sz="8" w:space="0"/>
              <w:left w:val="single" w:color="auto" w:sz="8" w:space="0"/>
              <w:bottom w:val="single" w:color="auto" w:sz="8" w:space="0"/>
            </w:tcBorders>
            <w:vAlign w:val="center"/>
          </w:tcPr>
          <w:p>
            <w:pPr>
              <w:pStyle w:val="34"/>
              <w:spacing w:line="240" w:lineRule="auto"/>
              <w:rPr>
                <w:bCs/>
                <w:sz w:val="21"/>
                <w:szCs w:val="21"/>
              </w:rPr>
            </w:pPr>
            <w:r>
              <w:rPr>
                <w:rFonts w:hint="eastAsia"/>
                <w:bCs/>
                <w:color w:val="000000" w:themeColor="text1"/>
                <w:kern w:val="2"/>
                <w:sz w:val="21"/>
                <w:szCs w:val="21"/>
                <w14:textFill>
                  <w14:solidFill>
                    <w14:schemeClr w14:val="tx1"/>
                  </w14:solidFill>
                </w14:textFill>
              </w:rPr>
              <w:t xml:space="preserve">    若参数文件涉及建议品牌或者供应商，其目的是为了准确清楚说明采购项目的技术标准和要求，其意思表示为“参照或相当于”建议品牌或者供应商，其品牌或供应商具有可替代性。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45" w:type="dxa"/>
            <w:tcBorders>
              <w:top w:val="single" w:color="auto" w:sz="8" w:space="0"/>
              <w:right w:val="single" w:color="auto" w:sz="8" w:space="0"/>
            </w:tcBorders>
            <w:vAlign w:val="center"/>
          </w:tcPr>
          <w:p>
            <w:pPr>
              <w:pStyle w:val="34"/>
              <w:spacing w:line="240" w:lineRule="auto"/>
              <w:ind w:firstLine="420" w:firstLineChars="200"/>
              <w:rPr>
                <w:bCs/>
                <w:kern w:val="2"/>
                <w:sz w:val="21"/>
                <w:szCs w:val="21"/>
              </w:rPr>
            </w:pPr>
            <w:r>
              <w:rPr>
                <w:rFonts w:hint="eastAsia"/>
                <w:bCs/>
                <w:kern w:val="2"/>
                <w:sz w:val="21"/>
                <w:szCs w:val="21"/>
              </w:rPr>
              <w:t>23</w:t>
            </w:r>
          </w:p>
        </w:tc>
        <w:tc>
          <w:tcPr>
            <w:tcW w:w="2152" w:type="dxa"/>
            <w:tcBorders>
              <w:top w:val="single" w:color="auto" w:sz="8" w:space="0"/>
              <w:left w:val="single" w:color="auto" w:sz="8" w:space="0"/>
              <w:right w:val="single" w:color="auto" w:sz="8" w:space="0"/>
            </w:tcBorders>
            <w:vAlign w:val="center"/>
          </w:tcPr>
          <w:p>
            <w:pPr>
              <w:pStyle w:val="34"/>
              <w:spacing w:line="240" w:lineRule="auto"/>
              <w:ind w:left="96"/>
              <w:jc w:val="center"/>
              <w:rPr>
                <w:bCs/>
                <w:kern w:val="2"/>
                <w:sz w:val="21"/>
                <w:szCs w:val="21"/>
              </w:rPr>
            </w:pPr>
            <w:r>
              <w:rPr>
                <w:rFonts w:hint="eastAsia"/>
                <w:bCs/>
                <w:kern w:val="2"/>
                <w:sz w:val="21"/>
                <w:szCs w:val="21"/>
              </w:rPr>
              <w:t>备注</w:t>
            </w:r>
          </w:p>
        </w:tc>
        <w:tc>
          <w:tcPr>
            <w:tcW w:w="6339" w:type="dxa"/>
            <w:tcBorders>
              <w:top w:val="single" w:color="auto" w:sz="8" w:space="0"/>
              <w:left w:val="single" w:color="auto" w:sz="8" w:space="0"/>
            </w:tcBorders>
            <w:vAlign w:val="center"/>
          </w:tcPr>
          <w:p>
            <w:pPr>
              <w:pStyle w:val="34"/>
              <w:spacing w:line="240" w:lineRule="auto"/>
              <w:ind w:firstLine="420" w:firstLineChars="200"/>
              <w:rPr>
                <w:bCs/>
                <w:kern w:val="2"/>
                <w:sz w:val="21"/>
                <w:szCs w:val="21"/>
              </w:rPr>
            </w:pPr>
            <w:r>
              <w:rPr>
                <w:rFonts w:hint="eastAsia"/>
                <w:bCs/>
                <w:kern w:val="2"/>
                <w:sz w:val="21"/>
                <w:szCs w:val="21"/>
              </w:rPr>
              <w:t>若采购文件中同一事项表述与供应商须知附表内容不一致的，以供应商须知附表为准。</w:t>
            </w:r>
          </w:p>
        </w:tc>
      </w:tr>
    </w:tbl>
    <w:p>
      <w:pPr>
        <w:pStyle w:val="4"/>
        <w:spacing w:before="0" w:after="0" w:line="360" w:lineRule="auto"/>
        <w:jc w:val="center"/>
      </w:pPr>
      <w:bookmarkStart w:id="24" w:name="_Toc24300_WPSOffice_Level2"/>
      <w:r>
        <w:rPr>
          <w:rFonts w:hint="eastAsia"/>
        </w:rPr>
        <w:t>二、总  则</w:t>
      </w:r>
      <w:bookmarkEnd w:id="24"/>
    </w:p>
    <w:p>
      <w:pPr>
        <w:pStyle w:val="5"/>
        <w:keepNext w:val="0"/>
        <w:keepLines w:val="0"/>
        <w:spacing w:before="0" w:after="0" w:line="360" w:lineRule="auto"/>
        <w:ind w:firstLine="482" w:firstLineChars="200"/>
        <w:rPr>
          <w:rFonts w:ascii="宋体" w:hAnsi="宋体"/>
          <w:sz w:val="24"/>
          <w:szCs w:val="24"/>
        </w:rPr>
      </w:pPr>
      <w:bookmarkStart w:id="25" w:name="_Toc183682342"/>
      <w:bookmarkStart w:id="26" w:name="_Toc183582205"/>
      <w:bookmarkStart w:id="27" w:name="_Toc217446034"/>
      <w:r>
        <w:rPr>
          <w:rFonts w:hint="eastAsia" w:ascii="宋体" w:hAnsi="宋体"/>
          <w:sz w:val="24"/>
          <w:szCs w:val="24"/>
        </w:rPr>
        <w:t>1</w:t>
      </w:r>
      <w:r>
        <w:rPr>
          <w:rFonts w:ascii="宋体" w:hAnsi="宋体"/>
          <w:sz w:val="24"/>
          <w:szCs w:val="24"/>
        </w:rPr>
        <w:t>.</w:t>
      </w:r>
      <w:bookmarkEnd w:id="25"/>
      <w:bookmarkEnd w:id="26"/>
      <w:r>
        <w:rPr>
          <w:rFonts w:hint="eastAsia" w:ascii="宋体" w:hAnsi="宋体"/>
          <w:sz w:val="24"/>
          <w:szCs w:val="24"/>
        </w:rPr>
        <w:t>适用范围</w:t>
      </w:r>
      <w:bookmarkEnd w:id="27"/>
    </w:p>
    <w:p>
      <w:pPr>
        <w:tabs>
          <w:tab w:val="left" w:pos="7665"/>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1本磋商文件仅适用于本次磋商所叙述的服务采购。</w:t>
      </w:r>
    </w:p>
    <w:p>
      <w:pPr>
        <w:tabs>
          <w:tab w:val="left" w:pos="7665"/>
        </w:tabs>
        <w:spacing w:line="360" w:lineRule="auto"/>
        <w:ind w:firstLine="480" w:firstLineChars="200"/>
        <w:rPr>
          <w:rFonts w:ascii="宋体" w:hAnsi="宋体"/>
          <w:sz w:val="24"/>
        </w:rPr>
      </w:pPr>
      <w:r>
        <w:rPr>
          <w:rFonts w:hint="eastAsia" w:ascii="宋体" w:hAnsi="宋体"/>
          <w:sz w:val="24"/>
        </w:rPr>
        <w:t>1.2本磋商文件的解释权归采购人和采购代理机构所有。</w:t>
      </w:r>
    </w:p>
    <w:p>
      <w:pPr>
        <w:spacing w:line="360" w:lineRule="auto"/>
        <w:rPr>
          <w:rFonts w:ascii="宋体" w:hAnsi="宋体" w:cs="宋体"/>
          <w:szCs w:val="21"/>
        </w:rPr>
      </w:pPr>
    </w:p>
    <w:p>
      <w:pPr>
        <w:pStyle w:val="5"/>
        <w:keepNext w:val="0"/>
        <w:keepLines w:val="0"/>
        <w:spacing w:before="0" w:after="0" w:line="360" w:lineRule="auto"/>
        <w:ind w:firstLine="482" w:firstLineChars="200"/>
        <w:rPr>
          <w:rFonts w:ascii="宋体" w:hAnsi="宋体"/>
          <w:sz w:val="24"/>
          <w:szCs w:val="24"/>
        </w:rPr>
      </w:pPr>
      <w:bookmarkStart w:id="28" w:name="_Toc183582206"/>
      <w:bookmarkStart w:id="29" w:name="_Toc217446035"/>
      <w:bookmarkStart w:id="30" w:name="_Toc183682343"/>
      <w:r>
        <w:rPr>
          <w:rFonts w:ascii="宋体" w:hAnsi="宋体"/>
          <w:sz w:val="24"/>
          <w:szCs w:val="24"/>
        </w:rPr>
        <w:t>2.</w:t>
      </w:r>
      <w:bookmarkEnd w:id="28"/>
      <w:bookmarkEnd w:id="29"/>
      <w:bookmarkEnd w:id="30"/>
      <w:r>
        <w:rPr>
          <w:rFonts w:hint="eastAsia" w:ascii="宋体" w:hAnsi="宋体"/>
          <w:sz w:val="24"/>
          <w:szCs w:val="24"/>
        </w:rPr>
        <w:t>采购主体</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1本次磋商的采购人是</w:t>
      </w:r>
      <w:r>
        <w:rPr>
          <w:rFonts w:hint="eastAsia" w:ascii="宋体" w:hAnsi="宋体"/>
          <w:b/>
          <w:bCs/>
          <w:sz w:val="24"/>
          <w:u w:val="single"/>
          <w:lang w:eastAsia="zh-CN"/>
        </w:rPr>
        <w:t>成都市成华区人民政府青龙街道办事处</w:t>
      </w:r>
      <w:r>
        <w:rPr>
          <w:rFonts w:hint="eastAsia" w:ascii="宋体" w:hAnsi="宋体"/>
          <w:b/>
          <w:bCs/>
          <w:sz w:val="24"/>
        </w:rPr>
        <w:t>。</w:t>
      </w:r>
    </w:p>
    <w:p>
      <w:pPr>
        <w:tabs>
          <w:tab w:val="left" w:pos="7665"/>
        </w:tabs>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2本次磋商的采购代理机构是</w:t>
      </w:r>
      <w:r>
        <w:rPr>
          <w:rFonts w:hint="eastAsia" w:ascii="宋体" w:hAnsi="宋体"/>
          <w:b/>
          <w:bCs/>
          <w:sz w:val="24"/>
          <w:u w:val="single"/>
          <w:lang w:eastAsia="zh-CN"/>
        </w:rPr>
        <w:t>四川力诚卓达项目管理有限公司</w:t>
      </w:r>
      <w:r>
        <w:rPr>
          <w:rFonts w:hint="eastAsia" w:ascii="宋体" w:hAnsi="宋体"/>
          <w:sz w:val="24"/>
        </w:rPr>
        <w:t>。</w:t>
      </w:r>
    </w:p>
    <w:p>
      <w:pPr>
        <w:spacing w:line="360" w:lineRule="auto"/>
      </w:pPr>
      <w:bookmarkStart w:id="31" w:name="_Toc217390843"/>
      <w:bookmarkStart w:id="32" w:name="_Toc217446036"/>
      <w:bookmarkStart w:id="33" w:name="_Toc183582207"/>
      <w:bookmarkStart w:id="34" w:name="_Toc183682344"/>
    </w:p>
    <w:p>
      <w:pPr>
        <w:pStyle w:val="5"/>
        <w:keepNext w:val="0"/>
        <w:keepLines w:val="0"/>
        <w:spacing w:before="0" w:after="0" w:line="360" w:lineRule="auto"/>
        <w:ind w:firstLine="482" w:firstLineChars="200"/>
        <w:rPr>
          <w:rFonts w:ascii="宋体" w:hAnsi="宋体"/>
          <w:sz w:val="24"/>
          <w:szCs w:val="24"/>
        </w:rPr>
      </w:pPr>
      <w:r>
        <w:rPr>
          <w:rFonts w:ascii="宋体" w:hAnsi="宋体"/>
          <w:sz w:val="24"/>
          <w:szCs w:val="24"/>
        </w:rPr>
        <w:t>3.</w:t>
      </w:r>
      <w:r>
        <w:rPr>
          <w:rFonts w:hint="eastAsia" w:ascii="宋体" w:hAnsi="宋体"/>
          <w:sz w:val="24"/>
          <w:szCs w:val="24"/>
        </w:rPr>
        <w:t>合格</w:t>
      </w:r>
      <w:bookmarkEnd w:id="31"/>
      <w:bookmarkEnd w:id="32"/>
      <w:bookmarkEnd w:id="33"/>
      <w:bookmarkEnd w:id="34"/>
      <w:r>
        <w:rPr>
          <w:rFonts w:hint="eastAsia" w:ascii="宋体" w:hAnsi="宋体"/>
          <w:sz w:val="24"/>
          <w:szCs w:val="24"/>
        </w:rPr>
        <w:t>供应商（实质性要求）</w:t>
      </w:r>
    </w:p>
    <w:p>
      <w:pPr>
        <w:tabs>
          <w:tab w:val="left" w:pos="7665"/>
        </w:tabs>
        <w:spacing w:line="360" w:lineRule="auto"/>
        <w:ind w:firstLine="480" w:firstLineChars="200"/>
        <w:rPr>
          <w:rFonts w:ascii="宋体" w:hAnsi="宋体"/>
          <w:sz w:val="24"/>
        </w:rPr>
      </w:pPr>
      <w:r>
        <w:rPr>
          <w:rFonts w:hint="eastAsia" w:ascii="宋体" w:hAnsi="宋体"/>
          <w:sz w:val="24"/>
        </w:rPr>
        <w:t>合格供应商应具备以下条件：</w:t>
      </w:r>
    </w:p>
    <w:p>
      <w:pPr>
        <w:tabs>
          <w:tab w:val="left" w:pos="7665"/>
        </w:tabs>
        <w:spacing w:line="360" w:lineRule="auto"/>
        <w:ind w:firstLine="480" w:firstLineChars="200"/>
        <w:rPr>
          <w:rFonts w:ascii="宋体" w:hAnsi="宋体"/>
          <w:spacing w:val="-4"/>
          <w:sz w:val="24"/>
        </w:rPr>
      </w:pPr>
      <w:r>
        <w:rPr>
          <w:rFonts w:hint="eastAsia" w:ascii="宋体" w:hAnsi="宋体"/>
          <w:sz w:val="24"/>
        </w:rPr>
        <w:t>3.1具备法律法规和本采购文件规定的资格条件</w:t>
      </w:r>
      <w:r>
        <w:rPr>
          <w:rFonts w:hint="eastAsia" w:ascii="宋体" w:hAnsi="宋体"/>
          <w:spacing w:val="-4"/>
          <w:sz w:val="24"/>
        </w:rPr>
        <w:t>；</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3.2不属于禁止参加本项目采购活动的供应商；</w:t>
      </w:r>
    </w:p>
    <w:p>
      <w:pPr>
        <w:tabs>
          <w:tab w:val="left" w:pos="7665"/>
        </w:tabs>
        <w:spacing w:line="360" w:lineRule="auto"/>
        <w:ind w:firstLine="464" w:firstLineChars="200"/>
        <w:rPr>
          <w:rFonts w:ascii="宋体" w:hAnsi="宋体"/>
          <w:spacing w:val="-4"/>
          <w:sz w:val="24"/>
        </w:rPr>
      </w:pPr>
      <w:r>
        <w:rPr>
          <w:rFonts w:hint="eastAsia" w:ascii="宋体" w:hAnsi="宋体"/>
          <w:spacing w:val="-4"/>
          <w:sz w:val="24"/>
        </w:rPr>
        <w:t>3.3按照规定</w:t>
      </w:r>
      <w:r>
        <w:rPr>
          <w:rFonts w:hint="eastAsia" w:ascii="宋体" w:hAnsi="宋体"/>
          <w:sz w:val="24"/>
        </w:rPr>
        <w:t>获取了磋商文件，属于实质性参加政府采购活动的供应商。</w:t>
      </w:r>
    </w:p>
    <w:p>
      <w:pPr>
        <w:spacing w:line="360" w:lineRule="auto"/>
      </w:pPr>
      <w:bookmarkStart w:id="35" w:name="_Toc217446037"/>
      <w:bookmarkStart w:id="36" w:name="_Toc183682345"/>
      <w:bookmarkStart w:id="37" w:name="_Toc183582208"/>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4.磋商费用</w:t>
      </w:r>
      <w:bookmarkEnd w:id="35"/>
      <w:bookmarkEnd w:id="36"/>
      <w:bookmarkEnd w:id="37"/>
    </w:p>
    <w:p>
      <w:pPr>
        <w:tabs>
          <w:tab w:val="left" w:pos="7665"/>
        </w:tabs>
        <w:spacing w:line="360" w:lineRule="auto"/>
        <w:ind w:firstLine="480"/>
        <w:rPr>
          <w:rFonts w:ascii="宋体" w:hAnsi="宋体"/>
          <w:sz w:val="24"/>
        </w:rPr>
      </w:pPr>
      <w:r>
        <w:rPr>
          <w:rFonts w:hint="eastAsia" w:ascii="宋体" w:hAnsi="宋体"/>
          <w:sz w:val="24"/>
        </w:rPr>
        <w:t>供应商应自行承担参加磋商活动的全部费用。</w:t>
      </w:r>
    </w:p>
    <w:p>
      <w:pPr>
        <w:spacing w:line="360" w:lineRule="auto"/>
        <w:rPr>
          <w:rFonts w:ascii="Times New Roman"/>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5.充分、公平竞争保障措施（实质性要求）</w:t>
      </w:r>
    </w:p>
    <w:p>
      <w:pPr>
        <w:tabs>
          <w:tab w:val="left" w:pos="7665"/>
        </w:tabs>
        <w:spacing w:line="360" w:lineRule="auto"/>
        <w:ind w:firstLine="480" w:firstLineChars="200"/>
        <w:rPr>
          <w:rFonts w:ascii="宋体" w:hAnsi="宋体"/>
          <w:sz w:val="24"/>
        </w:rPr>
      </w:pPr>
      <w:r>
        <w:rPr>
          <w:rFonts w:hint="eastAsia" w:ascii="宋体"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360" w:lineRule="auto"/>
        <w:ind w:firstLine="480" w:firstLineChars="200"/>
        <w:rPr>
          <w:rFonts w:ascii="宋体" w:hAnsi="宋体"/>
          <w:sz w:val="24"/>
        </w:rPr>
      </w:pPr>
      <w:r>
        <w:rPr>
          <w:rFonts w:hint="eastAsia" w:ascii="宋体" w:hAnsi="宋体"/>
          <w:sz w:val="24"/>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360" w:lineRule="auto"/>
        <w:ind w:firstLine="480" w:firstLineChars="200"/>
        <w:rPr>
          <w:rFonts w:ascii="宋体" w:hAnsi="宋体"/>
          <w:sz w:val="24"/>
        </w:rPr>
      </w:pPr>
      <w:r>
        <w:rPr>
          <w:rFonts w:hint="eastAsia" w:ascii="宋体" w:hAnsi="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360" w:lineRule="auto"/>
        <w:ind w:firstLine="480" w:firstLineChars="200"/>
        <w:rPr>
          <w:rFonts w:ascii="宋体" w:hAnsi="宋体"/>
          <w:sz w:val="24"/>
        </w:rPr>
      </w:pPr>
      <w:r>
        <w:rPr>
          <w:rFonts w:hint="eastAsia" w:ascii="宋体" w:hAnsi="宋体"/>
          <w:sz w:val="24"/>
        </w:rPr>
        <w:t>5.4供应商实际控制人或者中高级管理人员，同时是采购代理机构工作人员，不得参与本项目政府采购活动。</w:t>
      </w:r>
    </w:p>
    <w:p>
      <w:pPr>
        <w:tabs>
          <w:tab w:val="left" w:pos="7665"/>
        </w:tabs>
        <w:spacing w:line="360" w:lineRule="auto"/>
        <w:ind w:firstLine="480" w:firstLineChars="200"/>
        <w:rPr>
          <w:rFonts w:ascii="宋体" w:hAnsi="宋体"/>
          <w:sz w:val="24"/>
        </w:rPr>
      </w:pPr>
      <w:r>
        <w:rPr>
          <w:rFonts w:hint="eastAsia" w:ascii="宋体" w:hAnsi="宋体"/>
          <w:sz w:val="24"/>
        </w:rPr>
        <w:t>5.5同一母公司的两家以上的子公司只能组成联合体参加本项目同一合同项下的采购活动，不得以不同供应商身份同时参加本项目同一合同项下的采购活动。</w:t>
      </w:r>
    </w:p>
    <w:p>
      <w:pPr>
        <w:tabs>
          <w:tab w:val="left" w:pos="7665"/>
        </w:tabs>
        <w:spacing w:line="360" w:lineRule="auto"/>
        <w:ind w:firstLine="480" w:firstLineChars="200"/>
        <w:rPr>
          <w:rFonts w:ascii="宋体" w:hAnsi="宋体"/>
          <w:sz w:val="24"/>
        </w:rPr>
      </w:pPr>
      <w:r>
        <w:rPr>
          <w:rFonts w:hint="eastAsia" w:ascii="宋体" w:hAnsi="宋体"/>
          <w:sz w:val="24"/>
        </w:rPr>
        <w:t>5.6供应商与采购代理机构存在关联关系，或者是采购代理机构的母公司或子公司，不得参加本项目政府采购活动。</w:t>
      </w:r>
    </w:p>
    <w:p>
      <w:pPr>
        <w:tabs>
          <w:tab w:val="left" w:pos="7665"/>
        </w:tabs>
        <w:spacing w:line="360" w:lineRule="auto"/>
        <w:ind w:firstLine="480" w:firstLineChars="200"/>
        <w:rPr>
          <w:rFonts w:ascii="宋体" w:hAnsi="宋体"/>
          <w:sz w:val="24"/>
        </w:rPr>
      </w:pPr>
      <w:r>
        <w:rPr>
          <w:rFonts w:hint="eastAsia" w:ascii="宋体" w:hAnsi="宋体"/>
          <w:sz w:val="24"/>
        </w:rPr>
        <w:t>5.7回避。政府采购活动中，采购人员及相关人员与供应商有下列利害关系之一的，应当回避：</w:t>
      </w:r>
    </w:p>
    <w:p>
      <w:pPr>
        <w:tabs>
          <w:tab w:val="left" w:pos="7665"/>
        </w:tabs>
        <w:spacing w:line="360" w:lineRule="auto"/>
        <w:ind w:firstLine="480" w:firstLineChars="200"/>
        <w:rPr>
          <w:rFonts w:ascii="宋体" w:hAnsi="宋体"/>
          <w:sz w:val="24"/>
        </w:rPr>
      </w:pPr>
      <w:r>
        <w:rPr>
          <w:rFonts w:hint="eastAsia" w:ascii="宋体" w:hAnsi="宋体"/>
          <w:sz w:val="24"/>
        </w:rPr>
        <w:t>（1）参加采购活动前3年内与供应商存在劳动关系；</w:t>
      </w:r>
    </w:p>
    <w:p>
      <w:pPr>
        <w:tabs>
          <w:tab w:val="left" w:pos="7665"/>
        </w:tabs>
        <w:spacing w:line="360" w:lineRule="auto"/>
        <w:ind w:firstLine="480" w:firstLineChars="200"/>
        <w:rPr>
          <w:rFonts w:ascii="宋体" w:hAnsi="宋体"/>
          <w:sz w:val="24"/>
        </w:rPr>
      </w:pPr>
      <w:r>
        <w:rPr>
          <w:rFonts w:hint="eastAsia" w:ascii="宋体" w:hAnsi="宋体"/>
          <w:sz w:val="24"/>
        </w:rPr>
        <w:t>（2）参加采购活动前3年内担任供应商的董事、监事；</w:t>
      </w:r>
    </w:p>
    <w:p>
      <w:pPr>
        <w:tabs>
          <w:tab w:val="left" w:pos="7665"/>
        </w:tabs>
        <w:spacing w:line="360" w:lineRule="auto"/>
        <w:ind w:firstLine="480" w:firstLineChars="200"/>
        <w:rPr>
          <w:rFonts w:ascii="宋体" w:hAnsi="宋体"/>
          <w:sz w:val="24"/>
        </w:rPr>
      </w:pPr>
      <w:r>
        <w:rPr>
          <w:rFonts w:hint="eastAsia" w:ascii="宋体" w:hAnsi="宋体"/>
          <w:sz w:val="24"/>
        </w:rPr>
        <w:t>（3）参加采购活动前3年内是供应商的控股股东或者实际控制人；</w:t>
      </w:r>
    </w:p>
    <w:p>
      <w:pPr>
        <w:tabs>
          <w:tab w:val="left" w:pos="7665"/>
        </w:tabs>
        <w:spacing w:line="360" w:lineRule="auto"/>
        <w:ind w:firstLine="480" w:firstLineChars="200"/>
        <w:rPr>
          <w:rFonts w:ascii="宋体" w:hAnsi="宋体"/>
          <w:sz w:val="24"/>
        </w:rPr>
      </w:pPr>
      <w:r>
        <w:rPr>
          <w:rFonts w:hint="eastAsia" w:ascii="宋体" w:hAnsi="宋体"/>
          <w:sz w:val="24"/>
        </w:rPr>
        <w:t>（4）与供应商的法定代表人或者负责人有夫妻、直系血亲、三代以内旁系血亲或者近姻亲关系；</w:t>
      </w:r>
    </w:p>
    <w:p>
      <w:pPr>
        <w:tabs>
          <w:tab w:val="left" w:pos="7665"/>
        </w:tabs>
        <w:spacing w:line="360" w:lineRule="auto"/>
        <w:ind w:firstLine="480" w:firstLineChars="200"/>
        <w:rPr>
          <w:rFonts w:ascii="宋体" w:hAnsi="宋体"/>
          <w:sz w:val="24"/>
        </w:rPr>
      </w:pPr>
      <w:r>
        <w:rPr>
          <w:rFonts w:hint="eastAsia" w:ascii="宋体" w:hAnsi="宋体"/>
          <w:sz w:val="24"/>
        </w:rPr>
        <w:t>（5）与供应商有其他可能影响政府采购活动公平、公正进行的关系。</w:t>
      </w:r>
    </w:p>
    <w:p>
      <w:pPr>
        <w:tabs>
          <w:tab w:val="left" w:pos="7665"/>
        </w:tabs>
        <w:spacing w:line="360" w:lineRule="auto"/>
        <w:ind w:firstLine="480" w:firstLineChars="200"/>
        <w:rPr>
          <w:rFonts w:ascii="宋体" w:hAnsi="宋体"/>
          <w:sz w:val="24"/>
        </w:rPr>
      </w:pPr>
      <w:r>
        <w:rPr>
          <w:rFonts w:hint="eastAsia" w:ascii="宋体"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ind w:firstLine="480" w:firstLineChars="200"/>
        <w:rPr>
          <w:rFonts w:ascii="宋体" w:hAnsi="宋体"/>
          <w:sz w:val="24"/>
        </w:rPr>
      </w:pPr>
      <w:r>
        <w:rPr>
          <w:rFonts w:hint="eastAsia" w:ascii="宋体"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6.磋商保证金（实质性要求）（本项目不收取）</w:t>
      </w:r>
    </w:p>
    <w:p>
      <w:pPr>
        <w:spacing w:line="360" w:lineRule="auto"/>
        <w:ind w:firstLine="470" w:firstLineChars="196"/>
        <w:rPr>
          <w:rFonts w:ascii="宋体" w:hAnsi="宋体"/>
          <w:sz w:val="24"/>
        </w:rPr>
      </w:pPr>
      <w:r>
        <w:rPr>
          <w:rFonts w:hint="eastAsia" w:ascii="宋体" w:hAnsi="宋体"/>
          <w:sz w:val="24"/>
        </w:rPr>
        <w:t>6.1供应商必须以人民币为计量单位提交磋商文件规定数额的磋商保证金。联合体磋商的，可以由联合体的一方或者共同提交磋商保证金，以一方名义提交磋商保证金的，对联合体各方均具有约束力。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sz w:val="24"/>
        </w:rPr>
      </w:pPr>
      <w:r>
        <w:rPr>
          <w:rFonts w:hint="eastAsia" w:ascii="宋体" w:hAnsi="宋体"/>
          <w:sz w:val="24"/>
        </w:rPr>
        <w:t>6.2未按磋商文件要求在规定时间前交纳规定数额磋商保证金的响应文件无效。</w:t>
      </w:r>
    </w:p>
    <w:p>
      <w:pPr>
        <w:spacing w:line="360" w:lineRule="auto"/>
        <w:ind w:firstLine="470" w:firstLineChars="196"/>
        <w:rPr>
          <w:rFonts w:ascii="宋体" w:hAnsi="宋体"/>
          <w:sz w:val="24"/>
        </w:rPr>
      </w:pPr>
      <w:r>
        <w:rPr>
          <w:rFonts w:hint="eastAsia" w:ascii="宋体" w:hAnsi="宋体"/>
          <w:sz w:val="24"/>
        </w:rPr>
        <w:t>6.3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sz w:val="24"/>
        </w:rPr>
      </w:pPr>
      <w:r>
        <w:rPr>
          <w:rFonts w:hint="eastAsia" w:ascii="宋体" w:hAnsi="宋体"/>
          <w:sz w:val="24"/>
        </w:rPr>
        <w:t>6.4发生下列情形之一的，采购代理机构将不予退还磋商保证金：</w:t>
      </w:r>
    </w:p>
    <w:p>
      <w:pPr>
        <w:spacing w:line="360" w:lineRule="auto"/>
        <w:ind w:firstLine="470" w:firstLineChars="196"/>
        <w:rPr>
          <w:rFonts w:ascii="宋体" w:hAnsi="宋体"/>
          <w:sz w:val="24"/>
        </w:rPr>
      </w:pPr>
      <w:r>
        <w:rPr>
          <w:rFonts w:hint="eastAsia" w:ascii="宋体" w:hAnsi="宋体"/>
          <w:sz w:val="24"/>
        </w:rPr>
        <w:t>（1）在磋商文件规定的递交响应文件截止时间后撤回响应文件的；</w:t>
      </w:r>
    </w:p>
    <w:p>
      <w:pPr>
        <w:spacing w:line="360" w:lineRule="auto"/>
        <w:ind w:firstLine="470" w:firstLineChars="196"/>
        <w:rPr>
          <w:rFonts w:ascii="宋体" w:hAnsi="宋体"/>
          <w:sz w:val="24"/>
        </w:rPr>
      </w:pPr>
      <w:r>
        <w:rPr>
          <w:rFonts w:hint="eastAsia" w:ascii="宋体" w:hAnsi="宋体"/>
          <w:sz w:val="24"/>
        </w:rPr>
        <w:t>（2）在采购人确定成交供应商之前放弃成交候选资格的；</w:t>
      </w:r>
    </w:p>
    <w:p>
      <w:pPr>
        <w:spacing w:line="360" w:lineRule="auto"/>
        <w:ind w:firstLine="470" w:firstLineChars="196"/>
        <w:rPr>
          <w:rFonts w:ascii="宋体" w:hAnsi="宋体"/>
          <w:sz w:val="24"/>
        </w:rPr>
      </w:pPr>
      <w:r>
        <w:rPr>
          <w:rFonts w:hint="eastAsia" w:ascii="宋体" w:hAnsi="宋体"/>
          <w:sz w:val="24"/>
        </w:rPr>
        <w:t>（3）成交后放弃、不领取或者不接收成交通知书的；</w:t>
      </w:r>
    </w:p>
    <w:p>
      <w:pPr>
        <w:spacing w:line="360" w:lineRule="auto"/>
        <w:ind w:firstLine="470" w:firstLineChars="196"/>
        <w:rPr>
          <w:rFonts w:ascii="宋体" w:hAnsi="宋体"/>
          <w:sz w:val="24"/>
        </w:rPr>
      </w:pPr>
      <w:r>
        <w:rPr>
          <w:rFonts w:hint="eastAsia" w:ascii="宋体" w:hAnsi="宋体"/>
          <w:sz w:val="24"/>
        </w:rPr>
        <w:t>（4）由于成交供应商的原因未能按照磋商文件的规定与采购人签订合同的；</w:t>
      </w:r>
    </w:p>
    <w:p>
      <w:pPr>
        <w:spacing w:line="360" w:lineRule="auto"/>
        <w:ind w:firstLine="470" w:firstLineChars="196"/>
        <w:rPr>
          <w:rFonts w:ascii="宋体" w:hAnsi="宋体"/>
          <w:sz w:val="24"/>
        </w:rPr>
      </w:pPr>
      <w:r>
        <w:rPr>
          <w:rFonts w:hint="eastAsia" w:ascii="宋体" w:hAnsi="宋体"/>
          <w:sz w:val="24"/>
        </w:rPr>
        <w:t>（5）由于成交供应商的原因未能按照磋商文件的规定交纳履约保证金的；</w:t>
      </w:r>
    </w:p>
    <w:p>
      <w:pPr>
        <w:spacing w:line="360" w:lineRule="auto"/>
        <w:ind w:firstLine="470" w:firstLineChars="196"/>
        <w:rPr>
          <w:rFonts w:ascii="宋体" w:hAnsi="宋体"/>
          <w:sz w:val="24"/>
        </w:rPr>
      </w:pPr>
      <w:r>
        <w:rPr>
          <w:rFonts w:hint="eastAsia" w:ascii="宋体" w:hAnsi="宋体"/>
          <w:sz w:val="24"/>
        </w:rPr>
        <w:t>（6）供应商在政府采购活动中提供虚假材料的；</w:t>
      </w:r>
    </w:p>
    <w:p>
      <w:pPr>
        <w:spacing w:line="360" w:lineRule="auto"/>
        <w:ind w:firstLine="470" w:firstLineChars="196"/>
        <w:rPr>
          <w:rFonts w:ascii="宋体" w:hAnsi="宋体"/>
          <w:sz w:val="24"/>
        </w:rPr>
      </w:pPr>
      <w:r>
        <w:rPr>
          <w:rFonts w:hint="eastAsia" w:ascii="宋体" w:hAnsi="宋体"/>
          <w:sz w:val="24"/>
        </w:rPr>
        <w:t>（7）报价有效期内，供应商在政府采购活动中有违法、违规、违纪行为。</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7.响应文件有效期（实质性要求）</w:t>
      </w:r>
    </w:p>
    <w:p>
      <w:pPr>
        <w:spacing w:line="360" w:lineRule="auto"/>
        <w:ind w:firstLine="470" w:firstLineChars="196"/>
        <w:rPr>
          <w:rFonts w:ascii="宋体" w:hAnsi="宋体"/>
          <w:sz w:val="24"/>
        </w:rPr>
      </w:pPr>
      <w:r>
        <w:rPr>
          <w:rFonts w:hint="eastAsia" w:ascii="宋体" w:hAnsi="宋体"/>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宋体" w:hAnsi="宋体"/>
          <w:b/>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8.联合体竞争性磋商（实质性要求）</w:t>
      </w:r>
    </w:p>
    <w:p>
      <w:pPr>
        <w:spacing w:line="360" w:lineRule="auto"/>
        <w:ind w:firstLine="470" w:firstLineChars="196"/>
        <w:rPr>
          <w:rFonts w:ascii="宋体" w:hAnsi="宋体"/>
          <w:sz w:val="24"/>
        </w:rPr>
      </w:pPr>
      <w:r>
        <w:rPr>
          <w:rFonts w:hint="eastAsia" w:ascii="宋体" w:hAnsi="宋体"/>
          <w:sz w:val="24"/>
        </w:rPr>
        <w:t>本项目不接受联合体参与采购活动。</w:t>
      </w:r>
    </w:p>
    <w:p>
      <w:pPr>
        <w:spacing w:line="360" w:lineRule="auto"/>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9.知识产权（实质性要求）</w:t>
      </w:r>
    </w:p>
    <w:p>
      <w:pPr>
        <w:spacing w:line="360" w:lineRule="auto"/>
        <w:ind w:firstLine="480" w:firstLineChars="200"/>
        <w:rPr>
          <w:rFonts w:ascii="宋体" w:hAnsi="宋体"/>
          <w:sz w:val="24"/>
        </w:rPr>
      </w:pPr>
      <w:r>
        <w:rPr>
          <w:rFonts w:hint="eastAsia" w:ascii="宋体" w:hAnsi="宋体"/>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宋体" w:hAnsi="宋体"/>
          <w:sz w:val="24"/>
        </w:rPr>
      </w:pPr>
      <w:r>
        <w:rPr>
          <w:rFonts w:hint="eastAsia" w:ascii="宋体" w:hAnsi="宋体"/>
          <w:sz w:val="24"/>
        </w:rPr>
        <w:t>9.2除非磋商文件特别规定，采购人享有本项目实施过程中产生的知识成果及知识产权。</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.3</w:t>
      </w:r>
      <w:r>
        <w:rPr>
          <w:rFonts w:hint="eastAsia" w:ascii="宋体"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如采用供应商所不拥有的知识产权，则在报价中必须包括合法获取该知识产权的相关费用。 </w:t>
      </w:r>
    </w:p>
    <w:p>
      <w:pPr>
        <w:pStyle w:val="4"/>
        <w:spacing w:before="0" w:after="0" w:line="360" w:lineRule="auto"/>
        <w:jc w:val="center"/>
      </w:pPr>
      <w:bookmarkStart w:id="38" w:name="_Toc183582209"/>
      <w:bookmarkStart w:id="39" w:name="_Toc77400779"/>
      <w:bookmarkStart w:id="40" w:name="_Toc183682346"/>
      <w:bookmarkStart w:id="41" w:name="_Toc217446038"/>
      <w:bookmarkStart w:id="42" w:name="_Toc89075875"/>
      <w:bookmarkStart w:id="43" w:name="_Toc7502_WPSOffice_Level2"/>
      <w:r>
        <w:rPr>
          <w:rFonts w:hint="eastAsia"/>
        </w:rPr>
        <w:t>三、磋商文件</w:t>
      </w:r>
      <w:bookmarkEnd w:id="38"/>
      <w:bookmarkEnd w:id="39"/>
      <w:bookmarkEnd w:id="40"/>
      <w:bookmarkEnd w:id="41"/>
      <w:bookmarkEnd w:id="42"/>
      <w:bookmarkEnd w:id="43"/>
    </w:p>
    <w:p>
      <w:pPr>
        <w:pStyle w:val="5"/>
        <w:keepNext w:val="0"/>
        <w:keepLines w:val="0"/>
        <w:spacing w:before="0" w:after="0" w:line="360" w:lineRule="auto"/>
        <w:ind w:firstLine="482" w:firstLineChars="200"/>
        <w:rPr>
          <w:rFonts w:ascii="宋体" w:hAnsi="宋体"/>
          <w:sz w:val="24"/>
          <w:szCs w:val="24"/>
        </w:rPr>
      </w:pPr>
      <w:bookmarkStart w:id="44" w:name="_Toc217446039"/>
      <w:bookmarkStart w:id="45" w:name="_Toc183682347"/>
      <w:bookmarkStart w:id="46" w:name="_Toc183582210"/>
      <w:r>
        <w:rPr>
          <w:rFonts w:hint="eastAsia" w:ascii="宋体" w:hAnsi="宋体"/>
          <w:sz w:val="24"/>
          <w:szCs w:val="24"/>
        </w:rPr>
        <w:t>10.磋商文件的构成</w:t>
      </w:r>
      <w:bookmarkEnd w:id="44"/>
      <w:bookmarkEnd w:id="45"/>
      <w:bookmarkEnd w:id="46"/>
      <w:r>
        <w:rPr>
          <w:rFonts w:hint="eastAsia" w:ascii="宋体" w:hAnsi="宋体"/>
          <w:sz w:val="24"/>
          <w:szCs w:val="24"/>
        </w:rPr>
        <w:t>（实质性要求）</w:t>
      </w:r>
    </w:p>
    <w:p>
      <w:pPr>
        <w:tabs>
          <w:tab w:val="left" w:pos="720"/>
        </w:tabs>
        <w:spacing w:line="360" w:lineRule="auto"/>
        <w:ind w:firstLine="480" w:firstLineChars="200"/>
        <w:rPr>
          <w:rFonts w:ascii="宋体" w:hAnsi="宋体"/>
          <w:sz w:val="24"/>
        </w:rPr>
      </w:pPr>
      <w:r>
        <w:rPr>
          <w:rFonts w:hint="eastAsia" w:ascii="宋体" w:hAnsi="宋体"/>
          <w:sz w:val="24"/>
        </w:rPr>
        <w:t>10</w:t>
      </w:r>
      <w:r>
        <w:rPr>
          <w:rFonts w:ascii="宋体" w:hAnsi="宋体"/>
          <w:b/>
          <w:bCs/>
          <w:sz w:val="24"/>
        </w:rPr>
        <w:t>.</w:t>
      </w:r>
      <w:r>
        <w:rPr>
          <w:rFonts w:hint="eastAsia" w:ascii="宋体" w:hAnsi="宋体"/>
          <w:sz w:val="24"/>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rPr>
      </w:pPr>
      <w:r>
        <w:rPr>
          <w:rFonts w:hint="eastAsia" w:ascii="宋体" w:hAnsi="宋体"/>
          <w:sz w:val="24"/>
        </w:rPr>
        <w:t>10</w:t>
      </w:r>
      <w:r>
        <w:rPr>
          <w:rFonts w:hint="eastAsia" w:ascii="宋体" w:hAnsi="宋体"/>
          <w:b/>
          <w:bCs/>
          <w:sz w:val="24"/>
        </w:rPr>
        <w:t>.</w:t>
      </w:r>
      <w:r>
        <w:rPr>
          <w:rFonts w:hint="eastAsia" w:ascii="宋体" w:hAnsi="宋体"/>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rPr>
          <w:rFonts w:ascii="宋体" w:hAnsi="宋体"/>
          <w:sz w:val="24"/>
        </w:rPr>
      </w:pPr>
      <w:bookmarkStart w:id="47" w:name="_Toc183582211"/>
      <w:bookmarkStart w:id="48" w:name="_Toc183682348"/>
      <w:bookmarkStart w:id="49" w:name="_Toc217446040"/>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11.磋商文件的澄清</w:t>
      </w:r>
      <w:bookmarkEnd w:id="47"/>
      <w:bookmarkEnd w:id="48"/>
      <w:r>
        <w:rPr>
          <w:rFonts w:hint="eastAsia" w:ascii="宋体" w:hAnsi="宋体"/>
          <w:sz w:val="24"/>
          <w:szCs w:val="24"/>
        </w:rPr>
        <w:t>和修改</w:t>
      </w:r>
      <w:bookmarkEnd w:id="49"/>
    </w:p>
    <w:p>
      <w:pPr>
        <w:tabs>
          <w:tab w:val="left" w:pos="720"/>
        </w:tabs>
        <w:spacing w:line="360" w:lineRule="auto"/>
        <w:ind w:firstLine="480" w:firstLineChars="200"/>
        <w:rPr>
          <w:rFonts w:ascii="宋体" w:hAnsi="宋体"/>
          <w:sz w:val="24"/>
        </w:rPr>
      </w:pPr>
      <w:r>
        <w:rPr>
          <w:rFonts w:hint="eastAsia" w:ascii="宋体" w:hAnsi="宋体"/>
          <w:sz w:val="24"/>
        </w:rPr>
        <w:t>11.1在递交响应文件截止时间前，采购人、采购代理机构可以对磋商文件进行澄清或者修改。</w:t>
      </w:r>
    </w:p>
    <w:p>
      <w:pPr>
        <w:tabs>
          <w:tab w:val="left" w:pos="720"/>
        </w:tabs>
        <w:spacing w:line="360" w:lineRule="auto"/>
        <w:ind w:firstLine="480" w:firstLineChars="200"/>
        <w:rPr>
          <w:rFonts w:ascii="宋体" w:hAnsi="宋体"/>
          <w:sz w:val="24"/>
        </w:rPr>
      </w:pPr>
      <w:r>
        <w:rPr>
          <w:rFonts w:hint="eastAsia" w:ascii="宋体" w:hAnsi="宋体"/>
          <w:sz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sz w:val="24"/>
        </w:rPr>
        <w:t>提交</w:t>
      </w:r>
      <w:r>
        <w:rPr>
          <w:rFonts w:hint="eastAsia" w:ascii="宋体" w:hAnsi="宋体"/>
          <w:sz w:val="24"/>
        </w:rPr>
        <w:t>首次响应文件截</w:t>
      </w:r>
      <w:r>
        <w:rPr>
          <w:rFonts w:hint="eastAsia" w:ascii="宋体" w:hAnsi="宋体" w:cs="宋体"/>
          <w:sz w:val="24"/>
        </w:rPr>
        <w:t>止之日起5日前</w:t>
      </w:r>
      <w:r>
        <w:rPr>
          <w:rFonts w:hint="eastAsia" w:ascii="宋体" w:hAnsi="宋体"/>
          <w:sz w:val="24"/>
        </w:rPr>
        <w:t>；不足上述时间的，应当顺延递交响应文件的截止时间。</w:t>
      </w:r>
    </w:p>
    <w:p>
      <w:pPr>
        <w:tabs>
          <w:tab w:val="left" w:pos="720"/>
        </w:tabs>
        <w:spacing w:line="360" w:lineRule="auto"/>
        <w:ind w:firstLine="480" w:firstLineChars="200"/>
        <w:rPr>
          <w:rFonts w:ascii="宋体" w:hAnsi="宋体"/>
          <w:sz w:val="24"/>
        </w:rPr>
      </w:pPr>
      <w:r>
        <w:rPr>
          <w:rFonts w:hint="eastAsia" w:ascii="宋体" w:hAnsi="宋体"/>
          <w:sz w:val="24"/>
        </w:rPr>
        <w:t>11.3供应商认为采购代理机构需要对磋商文件进行澄清或者修改的，可以在首次响应文件截止之日起3日前以书面形式向采购代理机构提出申请，由采购代理机构决定是否采纳供应商的申请事项。</w:t>
      </w:r>
    </w:p>
    <w:p>
      <w:pPr>
        <w:spacing w:line="360" w:lineRule="auto"/>
        <w:rPr>
          <w:rFonts w:ascii="宋体" w:hAnsi="宋体"/>
          <w:szCs w:val="21"/>
        </w:rPr>
      </w:pPr>
    </w:p>
    <w:p>
      <w:pPr>
        <w:pStyle w:val="5"/>
        <w:keepNext w:val="0"/>
        <w:keepLines w:val="0"/>
        <w:spacing w:before="0" w:after="0" w:line="360" w:lineRule="auto"/>
        <w:ind w:firstLine="482" w:firstLineChars="200"/>
        <w:rPr>
          <w:rFonts w:ascii="宋体" w:hAnsi="宋体"/>
          <w:sz w:val="24"/>
          <w:szCs w:val="24"/>
        </w:rPr>
      </w:pPr>
      <w:bookmarkStart w:id="50" w:name="_Toc208848971"/>
      <w:bookmarkStart w:id="51" w:name="_Toc217446041"/>
      <w:r>
        <w:rPr>
          <w:rFonts w:hint="eastAsia" w:ascii="宋体" w:hAnsi="宋体"/>
          <w:sz w:val="24"/>
          <w:szCs w:val="24"/>
        </w:rPr>
        <w:t>12.答疑会和现场考察</w:t>
      </w:r>
      <w:bookmarkEnd w:id="50"/>
      <w:bookmarkEnd w:id="51"/>
    </w:p>
    <w:p>
      <w:pPr>
        <w:tabs>
          <w:tab w:val="left" w:pos="720"/>
        </w:tabs>
        <w:spacing w:line="360" w:lineRule="auto"/>
        <w:ind w:firstLine="480" w:firstLineChars="200"/>
        <w:rPr>
          <w:rFonts w:ascii="宋体" w:hAnsi="宋体"/>
          <w:sz w:val="24"/>
        </w:rPr>
      </w:pPr>
      <w:bookmarkStart w:id="52" w:name="_Toc183582214"/>
      <w:bookmarkStart w:id="53" w:name="_Toc89075876"/>
      <w:bookmarkStart w:id="54" w:name="_Toc77400780"/>
      <w:bookmarkStart w:id="55" w:name="_Toc217446042"/>
      <w:bookmarkStart w:id="56" w:name="_Toc183682351"/>
      <w:r>
        <w:rPr>
          <w:rFonts w:hint="eastAsia" w:ascii="宋体" w:hAnsi="宋体"/>
          <w:sz w:val="24"/>
        </w:rPr>
        <w:t>本项目不举办答疑会和现场考察,由供应商自行现场考察。</w:t>
      </w:r>
    </w:p>
    <w:p>
      <w:pPr>
        <w:pStyle w:val="4"/>
        <w:spacing w:before="0" w:after="0" w:line="360" w:lineRule="auto"/>
        <w:jc w:val="center"/>
      </w:pPr>
      <w:bookmarkStart w:id="57" w:name="_Toc3317_WPSOffice_Level2"/>
      <w:r>
        <w:rPr>
          <w:rFonts w:hint="eastAsia"/>
        </w:rPr>
        <w:t>四、响应文件</w:t>
      </w:r>
      <w:bookmarkEnd w:id="52"/>
      <w:bookmarkEnd w:id="53"/>
      <w:bookmarkEnd w:id="54"/>
      <w:bookmarkEnd w:id="55"/>
      <w:bookmarkEnd w:id="56"/>
      <w:bookmarkEnd w:id="57"/>
    </w:p>
    <w:p>
      <w:pPr>
        <w:pStyle w:val="5"/>
        <w:keepNext w:val="0"/>
        <w:keepLines w:val="0"/>
        <w:spacing w:before="0" w:after="0" w:line="360" w:lineRule="auto"/>
        <w:ind w:firstLine="482" w:firstLineChars="200"/>
        <w:rPr>
          <w:rFonts w:ascii="宋体" w:hAnsi="宋体"/>
          <w:sz w:val="24"/>
          <w:szCs w:val="24"/>
        </w:rPr>
      </w:pPr>
      <w:bookmarkStart w:id="58" w:name="_Toc183582215"/>
      <w:bookmarkStart w:id="59" w:name="_Toc217446043"/>
      <w:bookmarkStart w:id="60" w:name="_Toc183682352"/>
      <w:r>
        <w:rPr>
          <w:rFonts w:hint="eastAsia" w:ascii="宋体" w:hAnsi="宋体"/>
          <w:sz w:val="24"/>
          <w:szCs w:val="24"/>
        </w:rPr>
        <w:t>13.响应文件的组成</w:t>
      </w:r>
    </w:p>
    <w:p>
      <w:pPr>
        <w:spacing w:line="360" w:lineRule="auto"/>
        <w:ind w:left="2" w:leftChars="1" w:firstLine="480" w:firstLineChars="200"/>
        <w:rPr>
          <w:rFonts w:ascii="宋体" w:hAnsi="宋体"/>
          <w:sz w:val="24"/>
        </w:rPr>
      </w:pPr>
      <w:r>
        <w:rPr>
          <w:rFonts w:hint="eastAsia" w:ascii="宋体" w:hAnsi="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bCs w:val="0"/>
          <w:sz w:val="24"/>
          <w:szCs w:val="24"/>
        </w:rPr>
      </w:pPr>
      <w:r>
        <w:rPr>
          <w:rFonts w:hint="eastAsia" w:ascii="宋体" w:hAnsi="宋体"/>
          <w:bCs w:val="0"/>
          <w:sz w:val="24"/>
          <w:szCs w:val="24"/>
        </w:rPr>
        <w:t>14.响应文件的语言</w:t>
      </w:r>
      <w:bookmarkEnd w:id="58"/>
      <w:bookmarkEnd w:id="59"/>
      <w:bookmarkEnd w:id="60"/>
      <w:r>
        <w:rPr>
          <w:rFonts w:hint="eastAsia" w:ascii="宋体" w:hAnsi="宋体"/>
          <w:bCs w:val="0"/>
          <w:sz w:val="24"/>
          <w:szCs w:val="24"/>
        </w:rPr>
        <w:t>（实质性要求）</w:t>
      </w:r>
    </w:p>
    <w:p>
      <w:pPr>
        <w:spacing w:line="360" w:lineRule="auto"/>
        <w:ind w:firstLine="480" w:firstLineChars="200"/>
        <w:rPr>
          <w:rFonts w:ascii="宋体" w:hAnsi="宋体"/>
          <w:sz w:val="24"/>
        </w:rPr>
      </w:pPr>
      <w:r>
        <w:rPr>
          <w:rFonts w:hint="eastAsia" w:ascii="宋体" w:hAnsi="宋体"/>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sz w:val="24"/>
        </w:rPr>
      </w:pPr>
      <w:r>
        <w:rPr>
          <w:rFonts w:hint="eastAsia" w:ascii="宋体" w:hAnsi="宋体"/>
          <w:sz w:val="24"/>
        </w:rPr>
        <w:t>14.2 翻译的中文资料与外文资料如果出现差异和矛盾，以中文为准。但不能故意错误翻译，否则，供应商的响应文件将作为无效处理。</w:t>
      </w:r>
    </w:p>
    <w:p>
      <w:pPr>
        <w:spacing w:line="360" w:lineRule="auto"/>
        <w:rPr>
          <w:rFonts w:ascii="宋体" w:hAnsi="宋体"/>
          <w:sz w:val="24"/>
        </w:rPr>
      </w:pPr>
      <w:bookmarkStart w:id="61" w:name="_Toc217446044"/>
      <w:bookmarkStart w:id="62" w:name="_Toc183682353"/>
      <w:bookmarkStart w:id="63" w:name="_Toc183582216"/>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15.计量单位</w:t>
      </w:r>
      <w:bookmarkEnd w:id="61"/>
      <w:bookmarkEnd w:id="62"/>
      <w:bookmarkEnd w:id="63"/>
      <w:r>
        <w:rPr>
          <w:rFonts w:hint="eastAsia" w:ascii="宋体" w:hAnsi="宋体"/>
          <w:sz w:val="24"/>
          <w:szCs w:val="24"/>
        </w:rPr>
        <w:t>（实质性要求）</w:t>
      </w:r>
    </w:p>
    <w:p>
      <w:pPr>
        <w:spacing w:line="360" w:lineRule="auto"/>
        <w:ind w:firstLine="470" w:firstLineChars="196"/>
        <w:rPr>
          <w:rFonts w:ascii="宋体" w:hAnsi="宋体"/>
          <w:sz w:val="24"/>
        </w:rPr>
      </w:pPr>
      <w:r>
        <w:rPr>
          <w:rFonts w:hint="eastAsia" w:ascii="宋体" w:hAnsi="宋体"/>
          <w:sz w:val="24"/>
        </w:rPr>
        <w:t>除磋商文件中另有规定外，本次采购项目所有合同项下的报价均采用国家法定的计量单位。</w:t>
      </w:r>
    </w:p>
    <w:p>
      <w:pPr>
        <w:spacing w:line="360" w:lineRule="auto"/>
        <w:rPr>
          <w:rFonts w:ascii="宋体" w:hAnsi="宋体"/>
          <w:b/>
          <w:bCs/>
          <w:sz w:val="24"/>
        </w:rPr>
      </w:pPr>
      <w:bookmarkStart w:id="64" w:name="_Toc217446045"/>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16.报价（实质性要求）</w:t>
      </w:r>
    </w:p>
    <w:p>
      <w:pPr>
        <w:spacing w:line="360" w:lineRule="auto"/>
        <w:ind w:firstLine="468" w:firstLineChars="195"/>
        <w:rPr>
          <w:rFonts w:ascii="宋体" w:hAnsi="宋体"/>
          <w:bCs/>
          <w:sz w:val="24"/>
        </w:rPr>
      </w:pPr>
      <w:r>
        <w:rPr>
          <w:rFonts w:hint="eastAsia" w:ascii="宋体" w:hAnsi="宋体"/>
          <w:bCs/>
          <w:sz w:val="24"/>
        </w:rPr>
        <w:t>16.1本次磋商项目的</w:t>
      </w:r>
      <w:r>
        <w:rPr>
          <w:rFonts w:hint="eastAsia" w:ascii="宋体" w:hAnsi="宋体"/>
          <w:sz w:val="24"/>
        </w:rPr>
        <w:t>报价货币为</w:t>
      </w:r>
      <w:r>
        <w:rPr>
          <w:rFonts w:hint="eastAsia" w:ascii="宋体" w:hAnsi="宋体"/>
          <w:bCs/>
          <w:sz w:val="24"/>
        </w:rPr>
        <w:t>人民币，报价以磋商文件规定为准。</w:t>
      </w:r>
    </w:p>
    <w:p>
      <w:pPr>
        <w:spacing w:line="360" w:lineRule="auto"/>
        <w:ind w:firstLine="468" w:firstLineChars="195"/>
        <w:rPr>
          <w:rFonts w:ascii="宋体" w:hAnsi="宋体"/>
          <w:bCs/>
          <w:sz w:val="24"/>
        </w:rPr>
      </w:pPr>
      <w:r>
        <w:rPr>
          <w:rFonts w:hint="eastAsia" w:ascii="宋体" w:hAnsi="宋体"/>
          <w:bCs/>
          <w:sz w:val="24"/>
        </w:rPr>
        <w:t>16.2供应商的报价是其响应本项目要求的全部工作内容的价格体现，包括供应商完成本项目所需的一切费用。</w:t>
      </w:r>
    </w:p>
    <w:p>
      <w:pPr>
        <w:spacing w:line="360" w:lineRule="auto"/>
        <w:ind w:firstLine="468" w:firstLineChars="195"/>
        <w:rPr>
          <w:rFonts w:ascii="宋体" w:hAnsi="宋体"/>
          <w:bCs/>
          <w:sz w:val="24"/>
        </w:rPr>
      </w:pPr>
      <w:r>
        <w:rPr>
          <w:rFonts w:hint="eastAsia" w:ascii="宋体" w:hAnsi="宋体"/>
          <w:bCs/>
          <w:sz w:val="24"/>
        </w:rPr>
        <w:t>16.3供应商报价超过政府采购预算或最高限价（具体详见“供应商须知附表”）的，视为无效报价，将被淘汰。</w:t>
      </w:r>
    </w:p>
    <w:p>
      <w:pPr>
        <w:spacing w:line="360" w:lineRule="auto"/>
        <w:rPr>
          <w:rFonts w:ascii="宋体" w:hAnsi="宋体"/>
          <w:bCs/>
          <w:sz w:val="24"/>
        </w:rPr>
      </w:pPr>
    </w:p>
    <w:bookmarkEnd w:id="64"/>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17.响应文件格式</w:t>
      </w:r>
    </w:p>
    <w:p>
      <w:pPr>
        <w:spacing w:line="360" w:lineRule="auto"/>
        <w:ind w:left="2" w:leftChars="1" w:firstLine="480" w:firstLineChars="200"/>
        <w:rPr>
          <w:rFonts w:ascii="宋体" w:hAnsi="宋体"/>
          <w:bCs/>
          <w:sz w:val="24"/>
        </w:rPr>
      </w:pPr>
      <w:r>
        <w:rPr>
          <w:rFonts w:hint="eastAsia" w:ascii="宋体" w:hAnsi="宋体"/>
          <w:bCs/>
          <w:sz w:val="24"/>
        </w:rPr>
        <w:t>17.1供应商应执行磋商文件第七章的规定要求。</w:t>
      </w:r>
    </w:p>
    <w:p>
      <w:pPr>
        <w:spacing w:line="360" w:lineRule="auto"/>
        <w:ind w:left="2" w:leftChars="1" w:firstLine="480" w:firstLineChars="200"/>
        <w:rPr>
          <w:rFonts w:ascii="宋体" w:hAnsi="宋体"/>
          <w:sz w:val="24"/>
        </w:rPr>
      </w:pPr>
      <w:r>
        <w:rPr>
          <w:rFonts w:hint="eastAsia" w:ascii="宋体" w:hAnsi="宋体"/>
          <w:sz w:val="24"/>
        </w:rPr>
        <w:t>17.2对于没有格式要求的磋商文件由供应商自行编写。</w:t>
      </w:r>
    </w:p>
    <w:p>
      <w:pPr>
        <w:spacing w:line="360" w:lineRule="auto"/>
        <w:rPr>
          <w:rFonts w:ascii="宋体" w:hAnsi="宋体"/>
          <w:sz w:val="24"/>
        </w:rPr>
      </w:pPr>
      <w:bookmarkStart w:id="65" w:name="_Toc217446051"/>
      <w:bookmarkStart w:id="66" w:name="_Toc183582224"/>
      <w:bookmarkStart w:id="67" w:name="_Toc183682361"/>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18.响应文件的编制和签署</w:t>
      </w:r>
    </w:p>
    <w:p>
      <w:pPr>
        <w:spacing w:line="360" w:lineRule="auto"/>
        <w:ind w:firstLine="468" w:firstLineChars="195"/>
        <w:rPr>
          <w:rFonts w:ascii="宋体" w:hAnsi="宋体"/>
          <w:bCs/>
          <w:sz w:val="24"/>
        </w:rPr>
      </w:pPr>
      <w:r>
        <w:rPr>
          <w:rFonts w:hint="eastAsia" w:ascii="宋体" w:hAnsi="宋体"/>
          <w:sz w:val="24"/>
        </w:rPr>
        <w:t>18.1</w:t>
      </w:r>
      <w:r>
        <w:rPr>
          <w:rFonts w:hint="eastAsia" w:ascii="宋体" w:hAnsi="宋体"/>
          <w:b/>
          <w:bCs/>
          <w:sz w:val="24"/>
        </w:rPr>
        <w:t>资格性响应文件正本壹份副本</w:t>
      </w:r>
      <w:r>
        <w:rPr>
          <w:rFonts w:hint="eastAsia" w:ascii="宋体" w:hAnsi="宋体"/>
          <w:b/>
          <w:sz w:val="24"/>
        </w:rPr>
        <w:t>壹</w:t>
      </w:r>
      <w:r>
        <w:rPr>
          <w:rFonts w:hint="eastAsia" w:ascii="宋体" w:hAnsi="宋体"/>
          <w:b/>
          <w:bCs/>
          <w:sz w:val="24"/>
        </w:rPr>
        <w:t>份</w:t>
      </w:r>
      <w:r>
        <w:rPr>
          <w:rFonts w:hint="eastAsia" w:ascii="宋体" w:hAnsi="宋体"/>
          <w:bCs/>
          <w:sz w:val="24"/>
        </w:rPr>
        <w:t>，并在其封面上清楚地标明资格性响应文件、项目名称、项目编号、采购包号及名称（若有）、供应商名称以及“正本”或“副本”字样。若正本和副本（或电子文档）有不一致的内容，以正本书面响应文件为准。</w:t>
      </w:r>
    </w:p>
    <w:p>
      <w:pPr>
        <w:spacing w:line="360" w:lineRule="auto"/>
        <w:ind w:firstLine="468" w:firstLineChars="195"/>
        <w:rPr>
          <w:rFonts w:ascii="宋体" w:hAnsi="宋体"/>
          <w:bCs/>
          <w:sz w:val="24"/>
        </w:rPr>
      </w:pPr>
      <w:r>
        <w:rPr>
          <w:rFonts w:hint="eastAsia" w:ascii="宋体" w:hAnsi="宋体"/>
          <w:bCs/>
          <w:sz w:val="24"/>
        </w:rPr>
        <w:t>18.2</w:t>
      </w:r>
      <w:r>
        <w:rPr>
          <w:rFonts w:hint="eastAsia" w:ascii="宋体" w:hAnsi="宋体"/>
          <w:b/>
          <w:sz w:val="24"/>
        </w:rPr>
        <w:t>其他响应文件正本壹份副本壹份</w:t>
      </w:r>
      <w:r>
        <w:rPr>
          <w:rFonts w:hint="eastAsia" w:ascii="宋体" w:hAnsi="宋体"/>
          <w:bCs/>
          <w:sz w:val="24"/>
        </w:rPr>
        <w:t>，并在其封面上清楚地标明其他响应文件、项目名称、项目编号、采购包号及名称（若有）、供应商名称以及“正本”或“副本”字样。若正本和副本有不一致的内容，以正本书面响应文件为准。</w:t>
      </w:r>
    </w:p>
    <w:p>
      <w:pPr>
        <w:spacing w:line="360" w:lineRule="auto"/>
        <w:ind w:firstLine="468" w:firstLineChars="195"/>
        <w:rPr>
          <w:rFonts w:ascii="宋体" w:hAnsi="宋体"/>
          <w:b/>
          <w:sz w:val="24"/>
        </w:rPr>
      </w:pPr>
      <w:r>
        <w:rPr>
          <w:rFonts w:hint="eastAsia" w:ascii="宋体" w:hAnsi="宋体"/>
          <w:bCs/>
          <w:sz w:val="24"/>
        </w:rPr>
        <w:t>18.3</w:t>
      </w:r>
      <w:r>
        <w:rPr>
          <w:rFonts w:hint="eastAsia" w:ascii="宋体" w:hAnsi="宋体"/>
          <w:b/>
          <w:sz w:val="24"/>
        </w:rPr>
        <w:t>响应文件电子文档（包含资格性响应文件和其他响应文件，U盘或光盘制作）壹份。</w:t>
      </w:r>
    </w:p>
    <w:bookmarkEnd w:id="65"/>
    <w:bookmarkEnd w:id="66"/>
    <w:bookmarkEnd w:id="67"/>
    <w:p>
      <w:pPr>
        <w:spacing w:line="360" w:lineRule="auto"/>
        <w:ind w:firstLine="468" w:firstLineChars="195"/>
        <w:rPr>
          <w:rFonts w:ascii="宋体" w:hAnsi="宋体"/>
          <w:bCs/>
          <w:sz w:val="24"/>
        </w:rPr>
      </w:pPr>
      <w:r>
        <w:rPr>
          <w:rFonts w:hint="eastAsia" w:ascii="宋体" w:hAnsi="宋体"/>
          <w:bCs/>
          <w:sz w:val="24"/>
        </w:rPr>
        <w:t>18.4响应文件正本和副本均需在规定签章处签字和盖章。响应文件副本可采用正本的复印件。</w:t>
      </w:r>
    </w:p>
    <w:p>
      <w:pPr>
        <w:spacing w:line="360" w:lineRule="auto"/>
        <w:ind w:firstLine="468" w:firstLineChars="195"/>
        <w:rPr>
          <w:rFonts w:ascii="宋体" w:hAnsi="宋体"/>
          <w:bCs/>
          <w:sz w:val="24"/>
        </w:rPr>
      </w:pPr>
      <w:r>
        <w:rPr>
          <w:rFonts w:hint="eastAsia" w:ascii="宋体" w:hAnsi="宋体"/>
          <w:bCs/>
          <w:sz w:val="24"/>
        </w:rPr>
        <w:t>18.5响应文件的打印和书写应清楚工整，任何行间插字、涂改或增删，必须由供应商的法定代表人或其授权代表签字并盖供应商公章。</w:t>
      </w:r>
    </w:p>
    <w:p>
      <w:pPr>
        <w:spacing w:line="360" w:lineRule="auto"/>
        <w:ind w:firstLine="468" w:firstLineChars="195"/>
        <w:rPr>
          <w:rFonts w:ascii="宋体" w:hAnsi="宋体"/>
          <w:bCs/>
          <w:sz w:val="24"/>
        </w:rPr>
      </w:pPr>
      <w:r>
        <w:rPr>
          <w:rFonts w:hint="eastAsia" w:ascii="宋体" w:hAnsi="宋体"/>
          <w:bCs/>
          <w:sz w:val="24"/>
        </w:rPr>
        <w:t>18.6</w:t>
      </w:r>
      <w:r>
        <w:rPr>
          <w:rFonts w:hint="eastAsia" w:ascii="宋体" w:hAnsi="宋体"/>
          <w:b/>
          <w:sz w:val="24"/>
        </w:rPr>
        <w:t>（实质性要求）</w:t>
      </w:r>
      <w:r>
        <w:rPr>
          <w:rFonts w:hint="eastAsia" w:ascii="宋体" w:hAnsi="宋体"/>
          <w:bCs/>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rPr>
      </w:pPr>
      <w:r>
        <w:rPr>
          <w:rFonts w:hint="eastAsia" w:ascii="宋体" w:hAnsi="宋体"/>
          <w:bCs/>
          <w:sz w:val="24"/>
        </w:rPr>
        <w:t>18.7响应文件正本和副本需要逐页编目编码。</w:t>
      </w:r>
    </w:p>
    <w:p>
      <w:pPr>
        <w:tabs>
          <w:tab w:val="left" w:pos="1080"/>
        </w:tabs>
        <w:spacing w:line="360" w:lineRule="auto"/>
        <w:ind w:firstLine="460" w:firstLineChars="192"/>
        <w:rPr>
          <w:rFonts w:ascii="宋体" w:hAnsi="宋体"/>
          <w:sz w:val="24"/>
        </w:rPr>
      </w:pPr>
      <w:r>
        <w:rPr>
          <w:rFonts w:hint="eastAsia" w:ascii="宋体" w:hAnsi="宋体"/>
          <w:sz w:val="24"/>
        </w:rPr>
        <w:t>18.8响应文件正本和副本应当采用胶装方式装订成册，不得散装或者合页装订。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hint="eastAsia" w:ascii="宋体" w:hAnsi="宋体"/>
          <w:sz w:val="24"/>
        </w:rPr>
        <w:t>18.9响应文件应根据磋商文件的要求制作，签署、盖章。</w:t>
      </w:r>
    </w:p>
    <w:p>
      <w:pPr>
        <w:tabs>
          <w:tab w:val="left" w:pos="1080"/>
        </w:tabs>
        <w:spacing w:line="360" w:lineRule="auto"/>
        <w:ind w:firstLine="460" w:firstLineChars="192"/>
        <w:rPr>
          <w:rFonts w:ascii="宋体" w:hAnsi="宋体"/>
          <w:sz w:val="24"/>
        </w:rPr>
      </w:pPr>
      <w:r>
        <w:rPr>
          <w:rFonts w:hint="eastAsia" w:ascii="宋体" w:hAnsi="宋体"/>
          <w:sz w:val="24"/>
        </w:rPr>
        <w:t>18.10响应文件统一用</w:t>
      </w:r>
      <w:r>
        <w:rPr>
          <w:rFonts w:ascii="宋体" w:hAnsi="宋体"/>
          <w:sz w:val="24"/>
        </w:rPr>
        <w:t>A4</w:t>
      </w:r>
      <w:r>
        <w:rPr>
          <w:rFonts w:hint="eastAsia" w:ascii="宋体" w:hAnsi="宋体"/>
          <w:sz w:val="24"/>
        </w:rPr>
        <w:t>幅面纸印制，除另有规定外。</w:t>
      </w:r>
    </w:p>
    <w:p>
      <w:pPr>
        <w:spacing w:line="360" w:lineRule="auto"/>
        <w:rPr>
          <w:rFonts w:ascii="宋体" w:hAnsi="宋体"/>
          <w:b/>
          <w:sz w:val="24"/>
        </w:rPr>
      </w:pPr>
      <w:bookmarkStart w:id="68" w:name="_Toc89075877"/>
      <w:bookmarkStart w:id="69" w:name="_Toc183682363"/>
      <w:bookmarkStart w:id="70" w:name="_Toc217446053"/>
      <w:bookmarkStart w:id="71" w:name="_Toc77400781"/>
      <w:bookmarkStart w:id="72" w:name="_Toc183582226"/>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rPr>
      </w:pPr>
      <w:r>
        <w:rPr>
          <w:rFonts w:hint="eastAsia" w:ascii="宋体" w:hAnsi="宋体"/>
          <w:sz w:val="24"/>
        </w:rPr>
        <w:t>19.1响应文件可以单独密封包装，也可以所有响应文件密封包装在一个密封袋内。</w:t>
      </w:r>
    </w:p>
    <w:p>
      <w:pPr>
        <w:tabs>
          <w:tab w:val="left" w:pos="1080"/>
        </w:tabs>
        <w:spacing w:line="360" w:lineRule="auto"/>
        <w:ind w:firstLine="460" w:firstLineChars="192"/>
        <w:rPr>
          <w:rFonts w:ascii="宋体" w:hAnsi="宋体"/>
          <w:sz w:val="24"/>
        </w:rPr>
      </w:pPr>
      <w:r>
        <w:rPr>
          <w:rFonts w:hint="eastAsia" w:ascii="宋体" w:hAnsi="宋体"/>
          <w:sz w:val="24"/>
        </w:rPr>
        <w:t>19.2响应文件密封袋的最外层应清楚地标明采购项目名称、采购项目编号、包号（若有）、供应商名称。</w:t>
      </w:r>
    </w:p>
    <w:p>
      <w:pPr>
        <w:tabs>
          <w:tab w:val="left" w:pos="1080"/>
        </w:tabs>
        <w:spacing w:line="360" w:lineRule="auto"/>
        <w:ind w:firstLine="460" w:firstLineChars="192"/>
        <w:rPr>
          <w:rFonts w:ascii="宋体" w:hAnsi="宋体"/>
          <w:sz w:val="24"/>
        </w:rPr>
      </w:pPr>
      <w:r>
        <w:rPr>
          <w:rFonts w:hint="eastAsia" w:ascii="宋体" w:hAnsi="宋体"/>
          <w:sz w:val="24"/>
        </w:rPr>
        <w:t>19.3所有外层密封袋的封口处应粘贴牢固。</w:t>
      </w:r>
    </w:p>
    <w:p>
      <w:pPr>
        <w:tabs>
          <w:tab w:val="left" w:pos="1080"/>
        </w:tabs>
        <w:spacing w:line="360" w:lineRule="auto"/>
        <w:ind w:firstLine="460" w:firstLineChars="192"/>
        <w:rPr>
          <w:rFonts w:ascii="宋体" w:hAnsi="宋体"/>
          <w:sz w:val="24"/>
        </w:rPr>
      </w:pPr>
      <w:r>
        <w:rPr>
          <w:rFonts w:hint="eastAsia" w:ascii="宋体" w:hAnsi="宋体"/>
          <w:sz w:val="24"/>
        </w:rPr>
        <w:t>19.4未按以上要求进行密封和标注的响应文件，采购人、采购代理机构将拒收或者在时间允许的范围内，要求修改完善后接收。</w:t>
      </w:r>
    </w:p>
    <w:p>
      <w:pPr>
        <w:spacing w:line="360" w:lineRule="auto"/>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20.响应文件的递交</w:t>
      </w:r>
    </w:p>
    <w:p>
      <w:pPr>
        <w:tabs>
          <w:tab w:val="left" w:pos="1080"/>
        </w:tabs>
        <w:spacing w:line="360" w:lineRule="auto"/>
        <w:ind w:firstLine="460" w:firstLineChars="192"/>
        <w:rPr>
          <w:rFonts w:ascii="宋体" w:hAnsi="宋体"/>
          <w:sz w:val="24"/>
        </w:rPr>
      </w:pPr>
      <w:r>
        <w:rPr>
          <w:rFonts w:hint="eastAsia" w:ascii="宋体" w:hAnsi="宋体"/>
          <w:sz w:val="24"/>
        </w:rPr>
        <w:t>20.1资格性响应文件和其他响应文件应于递交响应文件截止时间前送达指定地点，采购代理机构拒绝接收截止时间后送达的响应文件。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sz w:val="24"/>
        </w:rPr>
      </w:pPr>
      <w:r>
        <w:rPr>
          <w:rFonts w:hint="eastAsia" w:ascii="宋体" w:hAnsi="宋体"/>
          <w:sz w:val="24"/>
        </w:rPr>
        <w:t>20.2采购代理机构将向通过资格审查的供应商发出磋商邀请；告知未通过资格审查的供应商未通过的原因。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sz w:val="24"/>
        </w:rPr>
      </w:pPr>
      <w:r>
        <w:rPr>
          <w:rFonts w:hint="eastAsia" w:ascii="宋体" w:hAnsi="宋体"/>
          <w:sz w:val="24"/>
        </w:rPr>
        <w:t>20.3报价表在磋商后，磋商小组要求供应商进行最后报价时递交。</w:t>
      </w:r>
    </w:p>
    <w:p>
      <w:pPr>
        <w:tabs>
          <w:tab w:val="left" w:pos="1080"/>
        </w:tabs>
        <w:spacing w:line="360" w:lineRule="auto"/>
        <w:ind w:firstLine="460" w:firstLineChars="192"/>
        <w:rPr>
          <w:rFonts w:ascii="宋体" w:hAnsi="宋体"/>
          <w:sz w:val="24"/>
        </w:rPr>
      </w:pPr>
      <w:r>
        <w:rPr>
          <w:rFonts w:hint="eastAsia" w:ascii="宋体" w:hAnsi="宋体"/>
          <w:sz w:val="24"/>
        </w:rPr>
        <w:t>20.4本次采购不接收邮寄的响应文件。</w:t>
      </w:r>
    </w:p>
    <w:p>
      <w:pPr>
        <w:spacing w:line="360" w:lineRule="auto"/>
        <w:rPr>
          <w:rFonts w:ascii="宋体" w:hAnsi="宋体"/>
          <w:szCs w:val="21"/>
        </w:rPr>
      </w:pPr>
    </w:p>
    <w:bookmarkEnd w:id="68"/>
    <w:bookmarkEnd w:id="69"/>
    <w:bookmarkEnd w:id="70"/>
    <w:bookmarkEnd w:id="71"/>
    <w:bookmarkEnd w:id="72"/>
    <w:p>
      <w:pPr>
        <w:pStyle w:val="5"/>
        <w:keepNext w:val="0"/>
        <w:keepLines w:val="0"/>
        <w:spacing w:before="0" w:after="0" w:line="360" w:lineRule="auto"/>
        <w:ind w:firstLine="482" w:firstLineChars="200"/>
        <w:rPr>
          <w:rFonts w:ascii="宋体" w:hAnsi="宋体"/>
          <w:sz w:val="24"/>
          <w:szCs w:val="24"/>
        </w:rPr>
      </w:pPr>
      <w:bookmarkStart w:id="73" w:name="_Toc183682365"/>
      <w:bookmarkStart w:id="74" w:name="_Toc183582228"/>
      <w:bookmarkStart w:id="75" w:name="_Toc217446055"/>
      <w:r>
        <w:rPr>
          <w:rFonts w:hint="eastAsia" w:ascii="宋体" w:hAnsi="宋体"/>
          <w:sz w:val="24"/>
          <w:szCs w:val="24"/>
        </w:rPr>
        <w:t>21.响应文件的修改和撤回（补充、修改响应文件的密封和标注按照本章“19.响应文件的密封和标注”规定处理）</w:t>
      </w:r>
    </w:p>
    <w:p>
      <w:pPr>
        <w:pStyle w:val="8"/>
        <w:spacing w:line="360" w:lineRule="auto"/>
        <w:ind w:firstLine="48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r>
        <w:rPr>
          <w:rFonts w:hint="eastAsia" w:ascii="宋体" w:hAnsi="宋体"/>
          <w:sz w:val="24"/>
        </w:rPr>
        <w:t>21</w:t>
      </w:r>
      <w:r>
        <w:rPr>
          <w:rFonts w:ascii="宋体" w:hAnsi="宋体"/>
          <w:sz w:val="24"/>
        </w:rPr>
        <w:t>.</w:t>
      </w:r>
      <w:r>
        <w:rPr>
          <w:rFonts w:hint="eastAsia" w:ascii="宋体" w:hAnsi="宋体"/>
          <w:sz w:val="24"/>
        </w:rPr>
        <w:t>3供应商不得在递交截止时间起至响应文件有效期期满前撤销其响应文件。否则其磋商保证金将按相关规定被没收。</w:t>
      </w:r>
    </w:p>
    <w:p>
      <w:pPr>
        <w:spacing w:line="360" w:lineRule="auto"/>
        <w:ind w:firstLine="480"/>
        <w:rPr>
          <w:rFonts w:ascii="宋体" w:hAnsi="宋体"/>
          <w:sz w:val="24"/>
        </w:rPr>
      </w:pPr>
      <w:r>
        <w:rPr>
          <w:rFonts w:hint="eastAsia" w:ascii="宋体" w:hAnsi="宋体"/>
          <w:sz w:val="24"/>
        </w:rPr>
        <w:t>21.4响应文件中报价如果出现下列不一致的，可按以下原则进行修改：</w:t>
      </w:r>
    </w:p>
    <w:p>
      <w:pPr>
        <w:spacing w:line="360" w:lineRule="auto"/>
        <w:ind w:firstLine="480"/>
        <w:rPr>
          <w:rFonts w:ascii="宋体" w:hAnsi="宋体"/>
          <w:sz w:val="24"/>
        </w:rPr>
      </w:pPr>
      <w:r>
        <w:rPr>
          <w:rFonts w:hint="eastAsia" w:ascii="宋体" w:hAnsi="宋体"/>
          <w:sz w:val="24"/>
        </w:rPr>
        <w:t>（1）</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360" w:lineRule="auto"/>
        <w:ind w:firstLine="480"/>
        <w:rPr>
          <w:rFonts w:ascii="宋体" w:hAnsi="宋体"/>
          <w:sz w:val="24"/>
        </w:rPr>
      </w:pPr>
      <w:r>
        <w:rPr>
          <w:rFonts w:hint="eastAsia" w:ascii="宋体" w:hAnsi="宋体"/>
          <w:sz w:val="24"/>
        </w:rPr>
        <w:t>（2）</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360" w:lineRule="auto"/>
        <w:ind w:firstLine="480"/>
        <w:rPr>
          <w:rFonts w:ascii="宋体" w:hAnsi="宋体"/>
          <w:sz w:val="24"/>
        </w:rPr>
      </w:pPr>
      <w:r>
        <w:rPr>
          <w:rFonts w:hint="eastAsia" w:ascii="宋体" w:hAnsi="宋体"/>
          <w:sz w:val="24"/>
        </w:rPr>
        <w:t>（3）单价金额小数点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sz w:val="24"/>
        </w:rPr>
      </w:pPr>
      <w:r>
        <w:rPr>
          <w:rFonts w:hint="eastAsia" w:ascii="宋体" w:hAnsi="宋体"/>
          <w:sz w:val="24"/>
        </w:rPr>
        <w:t>21.5供应商对其提交的响应文件的真实性、合法性承担法律责任。</w:t>
      </w:r>
      <w:bookmarkEnd w:id="73"/>
      <w:bookmarkEnd w:id="74"/>
      <w:bookmarkEnd w:id="75"/>
    </w:p>
    <w:p>
      <w:pPr>
        <w:pStyle w:val="4"/>
        <w:spacing w:before="0" w:after="0" w:line="360" w:lineRule="auto"/>
        <w:jc w:val="center"/>
      </w:pPr>
      <w:bookmarkStart w:id="76" w:name="_Toc6025_WPSOffice_Level2"/>
      <w:bookmarkStart w:id="77" w:name="_Toc183582231"/>
      <w:bookmarkStart w:id="78" w:name="_Toc183682368"/>
      <w:bookmarkStart w:id="79" w:name="_Toc89075878"/>
      <w:bookmarkStart w:id="80" w:name="_Toc77400782"/>
      <w:bookmarkStart w:id="81" w:name="_Toc217446056"/>
      <w:r>
        <w:rPr>
          <w:rFonts w:hint="eastAsia"/>
        </w:rPr>
        <w:t>五、评审</w:t>
      </w:r>
      <w:bookmarkEnd w:id="76"/>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22.磋商小组的组建及其评审工作按照有关法律制度和本文件第八章的规定进行。</w:t>
      </w:r>
    </w:p>
    <w:p>
      <w:pPr>
        <w:pStyle w:val="4"/>
        <w:spacing w:before="0" w:after="0" w:line="360" w:lineRule="auto"/>
        <w:jc w:val="center"/>
      </w:pPr>
      <w:bookmarkStart w:id="82" w:name="_Toc7528_WPSOffice_Level2"/>
      <w:r>
        <w:rPr>
          <w:rFonts w:hint="eastAsia"/>
        </w:rPr>
        <w:t>六、成交事项</w:t>
      </w:r>
      <w:bookmarkEnd w:id="82"/>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23.确定成交供应商</w:t>
      </w:r>
    </w:p>
    <w:p>
      <w:pPr>
        <w:spacing w:line="360" w:lineRule="auto"/>
        <w:ind w:firstLine="480"/>
        <w:rPr>
          <w:rFonts w:ascii="宋体" w:hAnsi="宋体"/>
          <w:sz w:val="24"/>
        </w:rPr>
      </w:pPr>
      <w:r>
        <w:rPr>
          <w:rFonts w:hint="eastAsia" w:ascii="宋体" w:hAnsi="宋体"/>
          <w:sz w:val="24"/>
        </w:rPr>
        <w:t>采购人将按磋商小组推荐的成交候选供应商顺序确定成交供应商。</w:t>
      </w:r>
    </w:p>
    <w:p>
      <w:pPr>
        <w:spacing w:line="360" w:lineRule="auto"/>
        <w:ind w:firstLine="480"/>
        <w:rPr>
          <w:rFonts w:ascii="宋体" w:hAnsi="宋体"/>
          <w:sz w:val="24"/>
        </w:rPr>
      </w:pPr>
      <w:r>
        <w:rPr>
          <w:rFonts w:hint="eastAsia" w:ascii="宋体" w:hAnsi="宋体"/>
          <w:sz w:val="24"/>
        </w:rPr>
        <w:t>23.1采购代理机构自评审结束后2个工作日内将磋商报告及有关资料送交采购人确定成交供应商。</w:t>
      </w:r>
    </w:p>
    <w:p>
      <w:pPr>
        <w:spacing w:line="360" w:lineRule="auto"/>
        <w:ind w:firstLine="480"/>
        <w:rPr>
          <w:rFonts w:ascii="宋体" w:hAnsi="宋体"/>
          <w:sz w:val="24"/>
        </w:rPr>
      </w:pPr>
      <w:r>
        <w:rPr>
          <w:rFonts w:hint="eastAsia" w:ascii="宋体" w:hAnsi="宋体"/>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rPr>
          <w:rFonts w:ascii="宋体" w:hAnsi="宋体"/>
          <w:sz w:val="24"/>
        </w:rPr>
      </w:pPr>
      <w:r>
        <w:rPr>
          <w:rFonts w:hint="eastAsia" w:ascii="宋体" w:hAnsi="宋体"/>
          <w:sz w:val="24"/>
        </w:rPr>
        <w:t>23.3采购人确定成交供应商过程中，发现成交候选供应商有下列情形之一的，应当不予确定其为成交供应商：</w:t>
      </w:r>
    </w:p>
    <w:p>
      <w:pPr>
        <w:spacing w:line="360" w:lineRule="auto"/>
        <w:ind w:firstLine="480"/>
        <w:rPr>
          <w:rFonts w:ascii="宋体" w:hAnsi="宋体"/>
          <w:sz w:val="24"/>
        </w:rPr>
      </w:pPr>
      <w:r>
        <w:rPr>
          <w:rFonts w:hint="eastAsia" w:ascii="宋体" w:hAnsi="宋体"/>
          <w:sz w:val="24"/>
        </w:rPr>
        <w:t>（1）发现成交候选供应商存在禁止参加本项目采购活动的违法行为的；</w:t>
      </w:r>
    </w:p>
    <w:p>
      <w:pPr>
        <w:spacing w:line="360" w:lineRule="auto"/>
        <w:ind w:firstLine="480"/>
        <w:rPr>
          <w:rFonts w:ascii="宋体" w:hAnsi="宋体"/>
          <w:sz w:val="24"/>
        </w:rPr>
      </w:pPr>
      <w:r>
        <w:rPr>
          <w:rFonts w:hint="eastAsia" w:ascii="宋体" w:hAnsi="宋体"/>
          <w:sz w:val="24"/>
        </w:rPr>
        <w:t>（2）成交候选供应商因不可抗力，不能继续参加政府采购活动；</w:t>
      </w:r>
    </w:p>
    <w:p>
      <w:pPr>
        <w:spacing w:line="360" w:lineRule="auto"/>
        <w:ind w:firstLine="480"/>
        <w:rPr>
          <w:rFonts w:ascii="宋体" w:hAnsi="宋体"/>
          <w:sz w:val="24"/>
        </w:rPr>
      </w:pPr>
      <w:r>
        <w:rPr>
          <w:rFonts w:hint="eastAsia" w:ascii="宋体" w:hAnsi="宋体"/>
          <w:sz w:val="24"/>
        </w:rPr>
        <w:t>（3）成交候选供应商无偿赠与或者低于成本价竞争；</w:t>
      </w:r>
    </w:p>
    <w:p>
      <w:pPr>
        <w:spacing w:line="360" w:lineRule="auto"/>
        <w:ind w:firstLine="480"/>
        <w:rPr>
          <w:rFonts w:ascii="宋体" w:hAnsi="宋体"/>
          <w:sz w:val="24"/>
        </w:rPr>
      </w:pPr>
      <w:r>
        <w:rPr>
          <w:rFonts w:hint="eastAsia" w:ascii="宋体" w:hAnsi="宋体"/>
          <w:sz w:val="24"/>
        </w:rPr>
        <w:t>（4）成交候选供应商提供虚假材料；</w:t>
      </w:r>
    </w:p>
    <w:p>
      <w:pPr>
        <w:spacing w:line="360" w:lineRule="auto"/>
        <w:ind w:firstLine="480"/>
        <w:rPr>
          <w:rFonts w:ascii="宋体" w:hAnsi="宋体"/>
          <w:sz w:val="24"/>
        </w:rPr>
      </w:pPr>
      <w:r>
        <w:rPr>
          <w:rFonts w:hint="eastAsia" w:ascii="宋体" w:hAnsi="宋体"/>
          <w:sz w:val="24"/>
        </w:rPr>
        <w:t>（5）成交候选供应商恶意串通。</w:t>
      </w:r>
    </w:p>
    <w:p>
      <w:pPr>
        <w:spacing w:line="360" w:lineRule="auto"/>
        <w:ind w:firstLine="480"/>
        <w:rPr>
          <w:rFonts w:ascii="宋体" w:hAnsi="宋体"/>
          <w:sz w:val="24"/>
        </w:rPr>
      </w:pPr>
      <w:r>
        <w:rPr>
          <w:rFonts w:hint="eastAsia" w:ascii="宋体" w:hAnsi="宋体"/>
          <w:sz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24.成交结果</w:t>
      </w:r>
    </w:p>
    <w:p>
      <w:pPr>
        <w:spacing w:line="360" w:lineRule="auto"/>
        <w:ind w:firstLine="480"/>
        <w:rPr>
          <w:rFonts w:ascii="宋体" w:hAnsi="宋体"/>
          <w:sz w:val="24"/>
        </w:rPr>
      </w:pPr>
      <w:r>
        <w:rPr>
          <w:rFonts w:hint="eastAsia" w:ascii="宋体" w:hAnsi="宋体"/>
          <w:sz w:val="24"/>
        </w:rPr>
        <w:t>24.1采购人确定成交供应商后，将及时书面通知采购代理机构，发出成交通知书并发布成交结果公告。</w:t>
      </w:r>
    </w:p>
    <w:p>
      <w:pPr>
        <w:spacing w:line="360" w:lineRule="auto"/>
        <w:ind w:firstLine="480"/>
        <w:rPr>
          <w:rFonts w:ascii="宋体" w:hAnsi="宋体"/>
          <w:sz w:val="24"/>
        </w:rPr>
      </w:pPr>
      <w:r>
        <w:rPr>
          <w:rFonts w:hint="eastAsia" w:ascii="宋体" w:hAnsi="宋体"/>
          <w:sz w:val="24"/>
        </w:rPr>
        <w:t>24.2成交供应商应当及时领取成交通知书。</w:t>
      </w:r>
    </w:p>
    <w:p>
      <w:pPr>
        <w:spacing w:line="360" w:lineRule="auto"/>
        <w:ind w:firstLine="480"/>
        <w:rPr>
          <w:rFonts w:ascii="宋体" w:hAnsi="宋体"/>
          <w:sz w:val="24"/>
        </w:rPr>
      </w:pPr>
      <w:r>
        <w:rPr>
          <w:rFonts w:hint="eastAsia" w:ascii="宋体" w:hAnsi="宋体"/>
          <w:sz w:val="24"/>
        </w:rPr>
        <w:t>24.3成交供应商不能及时领取成交通知书，采购人或者采购代理机应当通过邮寄、快递等方式将项目成交通知书送达成交供应商。</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25.成交通知书</w:t>
      </w:r>
    </w:p>
    <w:p>
      <w:pPr>
        <w:spacing w:line="360" w:lineRule="auto"/>
        <w:ind w:firstLine="480"/>
        <w:rPr>
          <w:rFonts w:ascii="宋体" w:hAnsi="宋体"/>
          <w:sz w:val="24"/>
        </w:rPr>
      </w:pPr>
      <w:r>
        <w:rPr>
          <w:rFonts w:hint="eastAsia" w:ascii="宋体" w:hAnsi="宋体"/>
          <w:sz w:val="24"/>
        </w:rPr>
        <w:t>25.1成交通知书为签订政府采购合同的依据之一，是合同的有效组成部分。</w:t>
      </w:r>
    </w:p>
    <w:p>
      <w:pPr>
        <w:spacing w:line="360" w:lineRule="auto"/>
        <w:ind w:firstLine="480"/>
        <w:rPr>
          <w:rFonts w:ascii="宋体" w:hAnsi="宋体"/>
          <w:sz w:val="24"/>
        </w:rPr>
      </w:pPr>
      <w:r>
        <w:rPr>
          <w:rFonts w:hint="eastAsia" w:ascii="宋体" w:hAnsi="宋体"/>
          <w:sz w:val="24"/>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rPr>
          <w:rFonts w:ascii="宋体" w:hAnsi="宋体"/>
          <w:sz w:val="24"/>
        </w:rPr>
      </w:pPr>
      <w:r>
        <w:rPr>
          <w:rFonts w:hint="eastAsia" w:ascii="宋体" w:hAnsi="宋体"/>
          <w:sz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spacing w:before="0" w:after="0" w:line="360" w:lineRule="auto"/>
        <w:jc w:val="center"/>
      </w:pPr>
      <w:bookmarkStart w:id="83" w:name="_Toc17511_WPSOffice_Level2"/>
      <w:r>
        <w:rPr>
          <w:rFonts w:hint="eastAsia"/>
        </w:rPr>
        <w:t>七、合同事项</w:t>
      </w:r>
      <w:bookmarkEnd w:id="83"/>
    </w:p>
    <w:p>
      <w:pPr>
        <w:pStyle w:val="5"/>
        <w:keepNext w:val="0"/>
        <w:keepLines w:val="0"/>
        <w:spacing w:before="0" w:after="0" w:line="360" w:lineRule="auto"/>
        <w:ind w:firstLine="482" w:firstLineChars="200"/>
        <w:rPr>
          <w:rFonts w:ascii="宋体" w:hAnsi="宋体"/>
          <w:sz w:val="24"/>
          <w:szCs w:val="24"/>
        </w:rPr>
      </w:pPr>
      <w:bookmarkStart w:id="84" w:name="_Toc101338364"/>
      <w:bookmarkStart w:id="85" w:name="_Toc430773927"/>
      <w:bookmarkStart w:id="86" w:name="_Toc101174151"/>
      <w:bookmarkStart w:id="87" w:name="_Toc101250646"/>
      <w:bookmarkStart w:id="88" w:name="_Toc209847069"/>
      <w:r>
        <w:rPr>
          <w:rFonts w:hint="eastAsia" w:ascii="宋体" w:hAnsi="宋体"/>
          <w:sz w:val="24"/>
          <w:szCs w:val="24"/>
        </w:rPr>
        <w:t>26.签订合同</w:t>
      </w:r>
      <w:bookmarkEnd w:id="84"/>
      <w:bookmarkEnd w:id="85"/>
      <w:bookmarkEnd w:id="86"/>
      <w:bookmarkEnd w:id="87"/>
      <w:bookmarkEnd w:id="88"/>
    </w:p>
    <w:p>
      <w:pPr>
        <w:spacing w:line="360" w:lineRule="auto"/>
        <w:ind w:firstLine="480" w:firstLineChars="200"/>
        <w:rPr>
          <w:rFonts w:ascii="宋体" w:hAnsi="宋体"/>
          <w:sz w:val="24"/>
        </w:rPr>
      </w:pPr>
      <w:r>
        <w:rPr>
          <w:rFonts w:hint="eastAsia" w:ascii="宋体" w:hAnsi="宋体"/>
          <w:sz w:val="24"/>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hint="eastAsia" w:ascii="宋体" w:hAnsi="宋体"/>
          <w:sz w:val="24"/>
        </w:rPr>
        <w:t>26.2磋商文件、成交供应商的响应文件及双方确认的澄清文件等，均为有法律约束力的合同组成部分。</w:t>
      </w:r>
    </w:p>
    <w:p>
      <w:pPr>
        <w:spacing w:line="360" w:lineRule="auto"/>
        <w:ind w:firstLine="480" w:firstLineChars="200"/>
        <w:rPr>
          <w:rFonts w:ascii="宋体" w:hAnsi="宋体"/>
          <w:sz w:val="24"/>
        </w:rPr>
      </w:pPr>
      <w:r>
        <w:rPr>
          <w:rFonts w:hint="eastAsia" w:ascii="宋体" w:hAnsi="宋体"/>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rPr>
      </w:pPr>
      <w:r>
        <w:rPr>
          <w:rFonts w:hint="eastAsia" w:ascii="宋体" w:hAnsi="宋体"/>
          <w:sz w:val="24"/>
        </w:rPr>
        <w:t>26.4成交供应商因不可抗力原因不能履行采购合同或放弃成交的，采购人可以与排在成交供应商之后第一位的成交候选人签订采购合同，以此类推。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rPr>
      </w:pPr>
      <w:r>
        <w:rPr>
          <w:rFonts w:hint="eastAsia" w:ascii="宋体" w:hAnsi="宋体"/>
          <w:sz w:val="24"/>
        </w:rPr>
        <w:t>26.5竞争性磋商文件、成交供应商提交的响应文件、磋商中的最后报价、成交供应商承诺书、成交通知书等均称为有法律约束力的合同组成内容。</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27.合同分包（实质性要求）</w:t>
      </w:r>
    </w:p>
    <w:p>
      <w:pPr>
        <w:spacing w:line="360" w:lineRule="auto"/>
        <w:ind w:firstLine="480" w:firstLineChars="200"/>
        <w:rPr>
          <w:rFonts w:ascii="宋体" w:hAnsi="宋体"/>
          <w:sz w:val="24"/>
        </w:rPr>
      </w:pPr>
      <w:r>
        <w:rPr>
          <w:rFonts w:hint="eastAsia" w:ascii="宋体" w:hAnsi="宋体"/>
          <w:sz w:val="24"/>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sz w:val="24"/>
        </w:rPr>
      </w:pPr>
      <w:r>
        <w:rPr>
          <w:rFonts w:hint="eastAsia" w:ascii="宋体" w:hAnsi="宋体"/>
          <w:sz w:val="24"/>
        </w:rPr>
        <w:t>分包履行合同的部分应当为采购项目的非主体、非关键性工作，不属于成交供应商的主要合同义务。</w:t>
      </w:r>
    </w:p>
    <w:p>
      <w:pPr>
        <w:spacing w:line="360" w:lineRule="auto"/>
        <w:ind w:firstLine="480" w:firstLineChars="200"/>
        <w:rPr>
          <w:rFonts w:ascii="宋体" w:hAnsi="宋体"/>
          <w:sz w:val="24"/>
        </w:rPr>
      </w:pPr>
      <w:r>
        <w:rPr>
          <w:rFonts w:hint="eastAsia" w:ascii="宋体" w:hAnsi="宋体"/>
          <w:sz w:val="24"/>
        </w:rPr>
        <w:t>27.2采购合同实行分包履行的，成交供应商就采购项目和分包项目向采购人负责，分包供应商就分包项目承担责任。</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28.合同转包（实质性要求）</w:t>
      </w:r>
    </w:p>
    <w:p>
      <w:pPr>
        <w:spacing w:line="360" w:lineRule="auto"/>
        <w:ind w:firstLine="480" w:firstLineChars="200"/>
        <w:rPr>
          <w:rFonts w:ascii="宋体" w:hAnsi="宋体"/>
          <w:sz w:val="24"/>
        </w:rPr>
      </w:pPr>
      <w:r>
        <w:rPr>
          <w:rFonts w:hint="eastAsia" w:ascii="宋体" w:hAnsi="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sz w:val="24"/>
        </w:rPr>
      </w:pPr>
      <w:r>
        <w:rPr>
          <w:rFonts w:hint="eastAsia" w:ascii="宋体" w:hAnsi="宋体"/>
          <w:sz w:val="24"/>
        </w:rPr>
        <w:t>成交供应商转包的，视同拒绝履行政府采购合同义务，将依法追究法律责任。</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29.补充合同</w:t>
      </w:r>
    </w:p>
    <w:p>
      <w:pPr>
        <w:spacing w:line="360" w:lineRule="auto"/>
        <w:ind w:firstLine="480" w:firstLineChars="200"/>
        <w:rPr>
          <w:rFonts w:ascii="宋体" w:hAnsi="宋体"/>
          <w:sz w:val="24"/>
        </w:rPr>
      </w:pPr>
      <w:r>
        <w:rPr>
          <w:rFonts w:hint="eastAsia" w:ascii="宋体" w:hAnsi="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30.履约保证金（实质性要求）</w:t>
      </w:r>
    </w:p>
    <w:p>
      <w:pPr>
        <w:spacing w:line="360" w:lineRule="auto"/>
        <w:ind w:firstLine="480" w:firstLineChars="200"/>
        <w:rPr>
          <w:rFonts w:ascii="宋体" w:hAnsi="宋体"/>
          <w:sz w:val="24"/>
        </w:rPr>
      </w:pPr>
      <w:r>
        <w:rPr>
          <w:rFonts w:hint="eastAsia" w:ascii="宋体" w:hAnsi="宋体"/>
          <w:sz w:val="24"/>
        </w:rPr>
        <w:t>详见“供应商须知附表”。</w:t>
      </w:r>
    </w:p>
    <w:p>
      <w:pPr>
        <w:spacing w:line="360" w:lineRule="auto"/>
        <w:rPr>
          <w:rFonts w:ascii="Times New Roman"/>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31.合同公告</w:t>
      </w:r>
    </w:p>
    <w:p>
      <w:pPr>
        <w:spacing w:line="360" w:lineRule="auto"/>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32.合同备案</w:t>
      </w:r>
    </w:p>
    <w:p>
      <w:pPr>
        <w:spacing w:line="360" w:lineRule="auto"/>
        <w:ind w:firstLine="480" w:firstLineChars="200"/>
        <w:rPr>
          <w:rFonts w:ascii="宋体" w:hAnsi="宋体"/>
          <w:sz w:val="24"/>
        </w:rPr>
      </w:pPr>
      <w:r>
        <w:rPr>
          <w:rFonts w:hint="eastAsia" w:ascii="宋体" w:hAnsi="宋体"/>
          <w:sz w:val="24"/>
        </w:rPr>
        <w:t>采购人应当将政府采购合同副本自签订（双方当事人均已签字盖章）之日起七个工作日内报同级财政部门备案。</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33.履行合同</w:t>
      </w:r>
    </w:p>
    <w:p>
      <w:pPr>
        <w:spacing w:line="360" w:lineRule="auto"/>
        <w:ind w:firstLine="480" w:firstLineChars="200"/>
        <w:rPr>
          <w:rFonts w:ascii="宋体" w:hAnsi="宋体"/>
          <w:sz w:val="24"/>
        </w:rPr>
      </w:pPr>
      <w:r>
        <w:rPr>
          <w:rFonts w:hint="eastAsia" w:ascii="宋体" w:hAnsi="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hint="eastAsia" w:ascii="宋体" w:hAnsi="宋体"/>
          <w:sz w:val="24"/>
        </w:rPr>
        <w:t>33.2 在合同履行过程中，如发生合同纠纷，合同双方应按照《民法典》的有关规定进行处理。</w:t>
      </w:r>
    </w:p>
    <w:p>
      <w:pPr>
        <w:spacing w:line="360" w:lineRule="auto"/>
        <w:rPr>
          <w:rFonts w:ascii="宋体" w:hAnsi="宋体"/>
          <w:sz w:val="24"/>
        </w:rPr>
      </w:pP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34.验收</w:t>
      </w:r>
    </w:p>
    <w:p>
      <w:pPr>
        <w:spacing w:line="360" w:lineRule="auto"/>
        <w:ind w:firstLine="480" w:firstLineChars="200"/>
        <w:rPr>
          <w:rFonts w:ascii="宋体" w:hAnsi="宋体" w:cs="宋体"/>
          <w:sz w:val="24"/>
        </w:rPr>
      </w:pPr>
      <w:r>
        <w:rPr>
          <w:rFonts w:hint="eastAsia" w:ascii="宋体" w:hAnsi="宋体" w:cs="宋体"/>
          <w:sz w:val="24"/>
        </w:rPr>
        <w:t>34.1本项目采购人及其委托的采购代理机构将按照政府采购相关法律法规以及《财政部关于进一步加强政府采购需求和履约验收管理的指导意见》（财库〔2016〕205号）的要求进行验收。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sz w:val="24"/>
        </w:rPr>
      </w:pPr>
      <w:r>
        <w:rPr>
          <w:rFonts w:hint="eastAsia" w:ascii="宋体" w:hAnsi="宋体" w:cs="宋体"/>
          <w:sz w:val="24"/>
        </w:rPr>
        <w:t>34.2 验收结果合格的，成交人凭验收报告办理相关手</w:t>
      </w:r>
      <w:r>
        <w:rPr>
          <w:rFonts w:hint="eastAsia" w:ascii="宋体" w:hAnsi="宋体" w:cs="宋体"/>
          <w:sz w:val="24"/>
          <w:highlight w:val="none"/>
        </w:rPr>
        <w:t>续；验收结果不合格的，将不予支付采购资金，还可能会报告本项目同级财政部门按照政府采购法律法规有</w:t>
      </w:r>
      <w:r>
        <w:rPr>
          <w:rFonts w:hint="eastAsia" w:ascii="宋体" w:hAnsi="宋体" w:cs="宋体"/>
          <w:sz w:val="24"/>
        </w:rPr>
        <w:t>关规定给予行政处罚或者以失信行为记入诚信档案。</w:t>
      </w:r>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35.资金支付</w:t>
      </w:r>
    </w:p>
    <w:p>
      <w:pPr>
        <w:spacing w:line="360" w:lineRule="auto"/>
        <w:ind w:firstLine="480" w:firstLineChars="200"/>
        <w:rPr>
          <w:rFonts w:ascii="宋体" w:hAnsi="宋体"/>
          <w:sz w:val="24"/>
        </w:rPr>
      </w:pPr>
      <w:r>
        <w:rPr>
          <w:rFonts w:hint="eastAsia" w:ascii="宋体" w:hAnsi="宋体"/>
          <w:sz w:val="24"/>
        </w:rPr>
        <w:t>采购人将按照政府采购合同规定，及时向成交供应商支付采购资金。支付方式详见“第五章  采购项目技术、服务、政府采购合同内容条款及其他商务要求”</w:t>
      </w:r>
      <w:r>
        <w:rPr>
          <w:rFonts w:hint="eastAsia" w:ascii="宋体" w:hAnsi="宋体"/>
          <w:sz w:val="24"/>
          <w:lang w:val="zh-TW"/>
        </w:rPr>
        <w:t>。</w:t>
      </w:r>
    </w:p>
    <w:p>
      <w:pPr>
        <w:pStyle w:val="4"/>
        <w:spacing w:before="0" w:after="0" w:line="360" w:lineRule="auto"/>
        <w:jc w:val="center"/>
        <w:rPr>
          <w:rFonts w:ascii="宋体" w:hAnsi="宋体"/>
          <w:sz w:val="24"/>
        </w:rPr>
      </w:pPr>
      <w:bookmarkStart w:id="89" w:name="_Toc26946_WPSOffice_Level2"/>
      <w:r>
        <w:rPr>
          <w:rFonts w:hint="eastAsia"/>
        </w:rPr>
        <w:t>八、磋商纪律要求</w:t>
      </w:r>
      <w:bookmarkEnd w:id="89"/>
    </w:p>
    <w:p>
      <w:pPr>
        <w:pStyle w:val="5"/>
        <w:keepNext w:val="0"/>
        <w:keepLines w:val="0"/>
        <w:spacing w:before="0" w:after="0" w:line="360" w:lineRule="auto"/>
        <w:ind w:firstLine="482" w:firstLineChars="200"/>
        <w:rPr>
          <w:rFonts w:ascii="宋体" w:hAnsi="宋体"/>
          <w:sz w:val="24"/>
          <w:szCs w:val="24"/>
        </w:rPr>
      </w:pPr>
      <w:r>
        <w:rPr>
          <w:rFonts w:hint="eastAsia" w:ascii="宋体" w:hAnsi="宋体"/>
          <w:sz w:val="24"/>
          <w:szCs w:val="24"/>
        </w:rPr>
        <w:t>36.供应商不得具有的情形</w:t>
      </w:r>
    </w:p>
    <w:p>
      <w:pPr>
        <w:tabs>
          <w:tab w:val="left" w:pos="851"/>
        </w:tabs>
        <w:spacing w:line="360" w:lineRule="auto"/>
        <w:ind w:firstLine="480" w:firstLineChars="200"/>
        <w:rPr>
          <w:rFonts w:ascii="宋体" w:hAnsi="宋体"/>
          <w:sz w:val="24"/>
        </w:rPr>
      </w:pPr>
      <w:r>
        <w:rPr>
          <w:rFonts w:hint="eastAsia" w:ascii="宋体" w:hAnsi="宋体"/>
          <w:sz w:val="24"/>
        </w:rPr>
        <w:t>供应商参加本项目磋商不得有下列情形：</w:t>
      </w:r>
    </w:p>
    <w:p>
      <w:pPr>
        <w:tabs>
          <w:tab w:val="left" w:pos="851"/>
        </w:tabs>
        <w:spacing w:line="360" w:lineRule="auto"/>
        <w:ind w:firstLine="480" w:firstLineChars="200"/>
        <w:rPr>
          <w:rFonts w:ascii="宋体" w:hAnsi="宋体"/>
          <w:sz w:val="24"/>
        </w:rPr>
      </w:pPr>
      <w:r>
        <w:rPr>
          <w:rFonts w:hint="eastAsia" w:ascii="宋体" w:hAnsi="宋体"/>
          <w:sz w:val="24"/>
        </w:rPr>
        <w:t>（1）提供虚假材料谋取成交；</w:t>
      </w:r>
    </w:p>
    <w:p>
      <w:pPr>
        <w:tabs>
          <w:tab w:val="left" w:pos="851"/>
        </w:tabs>
        <w:spacing w:line="360" w:lineRule="auto"/>
        <w:ind w:firstLine="480" w:firstLineChars="200"/>
        <w:rPr>
          <w:rFonts w:ascii="宋体" w:hAnsi="宋体"/>
          <w:sz w:val="24"/>
        </w:rPr>
      </w:pPr>
      <w:r>
        <w:rPr>
          <w:rFonts w:hint="eastAsia" w:ascii="宋体" w:hAnsi="宋体"/>
          <w:sz w:val="24"/>
        </w:rPr>
        <w:t>（2）采取不正当手段诋毁、排挤其他供应商；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sz w:val="24"/>
        </w:rPr>
        <w:t>（3）与采购人、采购代理机构、或其他供应商恶意串通；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sz w:val="24"/>
        </w:rPr>
        <w:t>（4）向采购人、采购代理机构、磋商小组成员行贿或者提供其他不正当利益；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sz w:val="24"/>
        </w:rPr>
        <w:t>（5）在磋商过程中与采购人、采购代理机构进行协商；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sz w:val="24"/>
        </w:rPr>
        <w:t>（6）成交后无正当理由拒不与采购人签订政府采购合同；</w:t>
      </w:r>
    </w:p>
    <w:p>
      <w:pPr>
        <w:tabs>
          <w:tab w:val="left" w:pos="851"/>
        </w:tabs>
        <w:spacing w:line="360" w:lineRule="auto"/>
        <w:ind w:firstLine="480" w:firstLineChars="200"/>
        <w:rPr>
          <w:rFonts w:ascii="宋体" w:hAnsi="宋体"/>
          <w:sz w:val="24"/>
        </w:rPr>
      </w:pPr>
      <w:r>
        <w:rPr>
          <w:rFonts w:hint="eastAsia" w:ascii="宋体" w:hAnsi="宋体"/>
          <w:sz w:val="24"/>
        </w:rPr>
        <w:t>（7）未按照磋商文件确定的事项签订政府采购合同；</w:t>
      </w:r>
    </w:p>
    <w:p>
      <w:pPr>
        <w:tabs>
          <w:tab w:val="left" w:pos="851"/>
        </w:tabs>
        <w:spacing w:line="360" w:lineRule="auto"/>
        <w:ind w:firstLine="480" w:firstLineChars="200"/>
        <w:rPr>
          <w:rFonts w:ascii="宋体" w:hAnsi="宋体"/>
          <w:sz w:val="24"/>
        </w:rPr>
      </w:pPr>
      <w:r>
        <w:rPr>
          <w:rFonts w:hint="eastAsia" w:ascii="宋体" w:hAnsi="宋体"/>
          <w:sz w:val="24"/>
        </w:rPr>
        <w:t>（8）将政府采购合同转包或者违规分包；</w:t>
      </w:r>
    </w:p>
    <w:p>
      <w:pPr>
        <w:tabs>
          <w:tab w:val="left" w:pos="851"/>
        </w:tabs>
        <w:spacing w:line="360" w:lineRule="auto"/>
        <w:ind w:firstLine="480" w:firstLineChars="200"/>
        <w:rPr>
          <w:rFonts w:ascii="宋体" w:hAnsi="宋体"/>
          <w:sz w:val="24"/>
        </w:rPr>
      </w:pPr>
      <w:r>
        <w:rPr>
          <w:rFonts w:hint="eastAsia" w:ascii="宋体" w:hAnsi="宋体"/>
          <w:sz w:val="24"/>
        </w:rPr>
        <w:t>（9）提供假冒伪劣产品；</w:t>
      </w:r>
    </w:p>
    <w:p>
      <w:pPr>
        <w:tabs>
          <w:tab w:val="left" w:pos="851"/>
        </w:tabs>
        <w:spacing w:line="360" w:lineRule="auto"/>
        <w:ind w:firstLine="480" w:firstLineChars="200"/>
        <w:rPr>
          <w:rFonts w:ascii="宋体" w:hAnsi="宋体"/>
          <w:sz w:val="24"/>
        </w:rPr>
      </w:pPr>
      <w:r>
        <w:rPr>
          <w:rFonts w:hint="eastAsia" w:ascii="宋体" w:hAnsi="宋体"/>
          <w:sz w:val="24"/>
        </w:rPr>
        <w:t>（10）擅自变更、中止或者终止政府采购合同；</w:t>
      </w:r>
    </w:p>
    <w:p>
      <w:pPr>
        <w:tabs>
          <w:tab w:val="left" w:pos="851"/>
        </w:tabs>
        <w:spacing w:line="360" w:lineRule="auto"/>
        <w:ind w:firstLine="480" w:firstLineChars="200"/>
        <w:rPr>
          <w:rFonts w:ascii="宋体" w:hAnsi="宋体"/>
          <w:sz w:val="24"/>
        </w:rPr>
      </w:pPr>
      <w:r>
        <w:rPr>
          <w:rFonts w:hint="eastAsia" w:ascii="宋体" w:hAnsi="宋体"/>
          <w:sz w:val="24"/>
        </w:rPr>
        <w:t>（11）拒绝有关部门的监督检查或者向监督检查部门提供虚假情况；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sz w:val="24"/>
        </w:rPr>
        <w:t>（12）法律法规规定的其他情形。</w:t>
      </w:r>
    </w:p>
    <w:p>
      <w:pPr>
        <w:tabs>
          <w:tab w:val="left" w:pos="851"/>
        </w:tabs>
        <w:spacing w:line="360" w:lineRule="auto"/>
        <w:ind w:firstLine="480" w:firstLineChars="200"/>
        <w:rPr>
          <w:rFonts w:ascii="宋体" w:hAnsi="宋体"/>
          <w:sz w:val="24"/>
        </w:rPr>
      </w:pPr>
      <w:r>
        <w:rPr>
          <w:rFonts w:hint="eastAsia" w:ascii="宋体" w:hAnsi="宋体"/>
          <w:sz w:val="24"/>
        </w:rPr>
        <w:t>供应商有上述情形的，按照规定追究法律责任，具备（1）-（10）条情形之一的，同时将取消被确认为成交供应商的资格或者认定成交无效。</w:t>
      </w:r>
    </w:p>
    <w:p>
      <w:pPr>
        <w:pStyle w:val="4"/>
        <w:spacing w:before="0" w:after="0" w:line="360" w:lineRule="auto"/>
        <w:jc w:val="center"/>
      </w:pPr>
      <w:bookmarkStart w:id="90" w:name="_Toc8729_WPSOffice_Level2"/>
      <w:r>
        <w:rPr>
          <w:rFonts w:hint="eastAsia"/>
        </w:rPr>
        <w:t>九、询问、质疑和投诉</w:t>
      </w:r>
      <w:bookmarkEnd w:id="90"/>
    </w:p>
    <w:p>
      <w:pPr>
        <w:tabs>
          <w:tab w:val="left" w:pos="851"/>
        </w:tabs>
        <w:spacing w:line="360" w:lineRule="auto"/>
        <w:ind w:firstLine="495"/>
        <w:rPr>
          <w:rFonts w:ascii="宋体" w:hAnsi="宋体"/>
          <w:sz w:val="24"/>
        </w:rPr>
      </w:pPr>
      <w:r>
        <w:rPr>
          <w:rFonts w:hint="eastAsia" w:ascii="宋体" w:hAnsi="宋体"/>
          <w:sz w:val="24"/>
        </w:rPr>
        <w:t>37.询问、质疑、投诉的接收和处理严格按照《中华人民共和国政府采购法》、《中华人民共和国政府采购法实施条例》、《财政部关于加强政府采购供应商投诉受理审查工作的通知》和四川省的有关规定办理（详细规定请在中国政府采购网政策法规模块查询）。</w:t>
      </w:r>
    </w:p>
    <w:p>
      <w:pPr>
        <w:pStyle w:val="4"/>
        <w:spacing w:before="0" w:after="0" w:line="360" w:lineRule="auto"/>
        <w:jc w:val="center"/>
      </w:pPr>
      <w:bookmarkStart w:id="91" w:name="_Toc25233_WPSOffice_Level2"/>
      <w:r>
        <w:rPr>
          <w:rFonts w:hint="eastAsia"/>
        </w:rPr>
        <w:t>十、其  他</w:t>
      </w:r>
      <w:bookmarkEnd w:id="91"/>
    </w:p>
    <w:p>
      <w:pPr>
        <w:tabs>
          <w:tab w:val="left" w:pos="851"/>
        </w:tabs>
        <w:spacing w:line="360" w:lineRule="auto"/>
        <w:ind w:firstLine="480" w:firstLineChars="200"/>
        <w:jc w:val="left"/>
        <w:rPr>
          <w:rFonts w:ascii="宋体" w:hAnsi="宋体"/>
          <w:sz w:val="24"/>
        </w:rPr>
      </w:pPr>
      <w:r>
        <w:rPr>
          <w:rFonts w:hint="eastAsia" w:ascii="宋体" w:hAnsi="宋体"/>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kern w:val="0"/>
          <w:sz w:val="24"/>
        </w:rPr>
      </w:pPr>
      <w:r>
        <w:rPr>
          <w:rFonts w:hint="eastAsia" w:ascii="宋体" w:hAnsi="宋体"/>
          <w:sz w:val="24"/>
        </w:rPr>
        <w:t>39.</w:t>
      </w:r>
      <w:r>
        <w:rPr>
          <w:rFonts w:hint="eastAsia" w:ascii="宋体" w:hAnsi="宋体"/>
          <w:b/>
          <w:sz w:val="24"/>
        </w:rPr>
        <w:t>（实质性要求）</w:t>
      </w:r>
      <w:r>
        <w:rPr>
          <w:rFonts w:ascii="宋体" w:hAnsi="宋体"/>
          <w:sz w:val="24"/>
        </w:rPr>
        <w:t>国家</w:t>
      </w:r>
      <w:r>
        <w:rPr>
          <w:rFonts w:hint="eastAsia" w:ascii="宋体" w:hAnsi="宋体"/>
          <w:sz w:val="24"/>
        </w:rPr>
        <w:t>或行业主管部门</w:t>
      </w:r>
      <w:r>
        <w:rPr>
          <w:rFonts w:ascii="宋体" w:hAnsi="宋体"/>
          <w:sz w:val="24"/>
        </w:rPr>
        <w:t>对</w:t>
      </w:r>
      <w:r>
        <w:rPr>
          <w:rFonts w:hint="eastAsia" w:ascii="宋体" w:hAnsi="宋体"/>
          <w:sz w:val="24"/>
        </w:rPr>
        <w:t>供应商和采购产品的</w:t>
      </w:r>
      <w:r>
        <w:rPr>
          <w:rFonts w:ascii="宋体" w:hAnsi="宋体"/>
          <w:sz w:val="24"/>
        </w:rPr>
        <w:t>技术</w:t>
      </w:r>
      <w:r>
        <w:rPr>
          <w:rFonts w:hint="eastAsia" w:ascii="宋体" w:hAnsi="宋体"/>
          <w:sz w:val="24"/>
        </w:rPr>
        <w:t>标准、</w:t>
      </w:r>
      <w:r>
        <w:rPr>
          <w:rFonts w:ascii="宋体" w:hAnsi="宋体"/>
          <w:sz w:val="24"/>
        </w:rPr>
        <w:t>质量</w:t>
      </w:r>
      <w:r>
        <w:rPr>
          <w:rFonts w:hint="eastAsia" w:ascii="宋体" w:hAnsi="宋体"/>
          <w:sz w:val="24"/>
        </w:rPr>
        <w:t>标准和资格资质条件</w:t>
      </w:r>
      <w:r>
        <w:rPr>
          <w:rFonts w:ascii="宋体" w:hAnsi="宋体"/>
          <w:sz w:val="24"/>
        </w:rPr>
        <w:t>等有</w:t>
      </w:r>
      <w:r>
        <w:rPr>
          <w:rFonts w:hint="eastAsia" w:ascii="宋体" w:hAnsi="宋体"/>
          <w:sz w:val="24"/>
        </w:rPr>
        <w:t>强制性规定</w:t>
      </w:r>
      <w:r>
        <w:rPr>
          <w:rFonts w:ascii="宋体" w:hAnsi="宋体"/>
          <w:sz w:val="24"/>
        </w:rPr>
        <w:t>的</w:t>
      </w:r>
      <w:r>
        <w:rPr>
          <w:rFonts w:hint="eastAsia" w:ascii="宋体" w:hAnsi="宋体"/>
          <w:sz w:val="24"/>
        </w:rPr>
        <w:t>，必须符合其要求。</w:t>
      </w:r>
    </w:p>
    <w:p>
      <w:pPr>
        <w:spacing w:line="360" w:lineRule="auto"/>
        <w:ind w:firstLine="480" w:firstLineChars="200"/>
        <w:jc w:val="left"/>
      </w:pPr>
      <w:bookmarkStart w:id="92" w:name="_Toc5647"/>
      <w:bookmarkStart w:id="93" w:name="_Toc9334"/>
      <w:r>
        <w:rPr>
          <w:rFonts w:hint="eastAsia" w:ascii="宋体" w:hAnsi="宋体"/>
          <w:sz w:val="24"/>
        </w:rPr>
        <w:t>40.采用竞争性磋商采购方式采购的政府购买服务项目（含政府和社会资本合作项目），在采购过程中符合要求的供应商（社会资本）只有2家的，竞争性磋商采购活动可以继续进行。</w:t>
      </w:r>
      <w:bookmarkEnd w:id="92"/>
      <w:bookmarkEnd w:id="93"/>
      <w:bookmarkStart w:id="94" w:name="_Toc19505"/>
      <w:bookmarkStart w:id="95" w:name="_Toc23044"/>
      <w:r>
        <w:rPr>
          <w:rFonts w:hint="eastAsia" w:ascii="宋体" w:hAnsi="宋体"/>
          <w:sz w:val="24"/>
        </w:rPr>
        <w:t>磋商小组按采购文件要求向采购人推荐2名成交候选供应商并依次排序，采购人按照磋商小组推荐的成交候选供应商顺序确定成交供应商。</w:t>
      </w:r>
      <w:bookmarkEnd w:id="94"/>
      <w:bookmarkEnd w:id="95"/>
    </w:p>
    <w:p>
      <w:pPr>
        <w:pStyle w:val="3"/>
        <w:spacing w:before="0" w:after="0" w:line="360" w:lineRule="auto"/>
        <w:jc w:val="center"/>
      </w:pPr>
      <w:r>
        <w:rPr>
          <w:rFonts w:hint="eastAsia"/>
        </w:rPr>
        <w:br w:type="page"/>
      </w:r>
      <w:bookmarkStart w:id="96" w:name="_Toc3274"/>
      <w:bookmarkStart w:id="97" w:name="_Toc1712_WPSOffice_Level1"/>
      <w:bookmarkStart w:id="98" w:name="_Toc15229_WPSOffice_Level1"/>
      <w:r>
        <w:rPr>
          <w:rFonts w:hint="eastAsia"/>
        </w:rPr>
        <w:t>第三章  供应商资格条件要求</w:t>
      </w:r>
      <w:bookmarkEnd w:id="96"/>
      <w:bookmarkEnd w:id="97"/>
      <w:bookmarkEnd w:id="98"/>
    </w:p>
    <w:p>
      <w:pPr>
        <w:pStyle w:val="4"/>
        <w:keepNext w:val="0"/>
        <w:keepLines w:val="0"/>
        <w:spacing w:before="0" w:after="0" w:line="360" w:lineRule="auto"/>
        <w:rPr>
          <w:rFonts w:ascii="宋体" w:hAnsi="宋体" w:eastAsia="宋体"/>
          <w:sz w:val="24"/>
          <w:szCs w:val="24"/>
        </w:rPr>
      </w:pPr>
      <w:r>
        <w:rPr>
          <w:rFonts w:hint="eastAsia" w:ascii="宋体" w:hAnsi="宋体" w:eastAsia="宋体"/>
          <w:sz w:val="24"/>
          <w:szCs w:val="24"/>
        </w:rPr>
        <w:t>一、供应商资格、资质性及其他类似效力要求</w:t>
      </w:r>
    </w:p>
    <w:p>
      <w:pPr>
        <w:spacing w:line="360" w:lineRule="auto"/>
        <w:ind w:firstLine="482" w:firstLineChars="200"/>
        <w:rPr>
          <w:rFonts w:ascii="宋体" w:hAnsi="宋体"/>
          <w:b/>
          <w:bCs/>
          <w:sz w:val="24"/>
        </w:rPr>
      </w:pPr>
      <w:bookmarkStart w:id="99" w:name="_Toc24503_WPSOffice_Level2"/>
      <w:bookmarkStart w:id="100" w:name="_Toc9860_WPSOffice_Level2"/>
      <w:r>
        <w:rPr>
          <w:rFonts w:hint="eastAsia" w:ascii="宋体" w:hAnsi="宋体"/>
          <w:b/>
          <w:bCs/>
          <w:sz w:val="24"/>
        </w:rPr>
        <w:t>（一）资格要求：</w:t>
      </w:r>
      <w:bookmarkEnd w:id="99"/>
      <w:bookmarkEnd w:id="100"/>
    </w:p>
    <w:p>
      <w:pPr>
        <w:spacing w:line="360" w:lineRule="auto"/>
        <w:ind w:firstLine="480" w:firstLineChars="200"/>
        <w:rPr>
          <w:rFonts w:ascii="宋体" w:hAnsi="宋体"/>
          <w:sz w:val="24"/>
        </w:rPr>
      </w:pPr>
      <w:r>
        <w:rPr>
          <w:rFonts w:hint="eastAsia" w:ascii="宋体" w:hAnsi="宋体"/>
          <w:sz w:val="24"/>
        </w:rPr>
        <w:t>1、具备《中华人民共和国政府采购法》第二十二条第一款规定的条件：</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（4）有依法缴纳税收和社会保障资金的良好记录；</w:t>
      </w:r>
    </w:p>
    <w:p>
      <w:pPr>
        <w:spacing w:line="360" w:lineRule="auto"/>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（6）法律、行政法规规定的其他条件。</w:t>
      </w:r>
    </w:p>
    <w:p>
      <w:pPr>
        <w:spacing w:line="360" w:lineRule="auto"/>
        <w:ind w:firstLine="482" w:firstLineChars="200"/>
        <w:rPr>
          <w:rFonts w:ascii="宋体" w:hAnsi="宋体"/>
          <w:b/>
          <w:bCs/>
          <w:sz w:val="24"/>
        </w:rPr>
      </w:pPr>
      <w:bookmarkStart w:id="101" w:name="_Toc11574_WPSOffice_Level2"/>
      <w:bookmarkStart w:id="102" w:name="_Toc12093_WPSOffice_Level2"/>
      <w:r>
        <w:rPr>
          <w:rFonts w:hint="eastAsia" w:ascii="宋体" w:hAnsi="宋体"/>
          <w:b/>
          <w:bCs/>
          <w:sz w:val="24"/>
        </w:rPr>
        <w:t>（二）根据采购项目提出的特殊条件：</w:t>
      </w:r>
      <w:bookmarkEnd w:id="101"/>
      <w:bookmarkEnd w:id="102"/>
    </w:p>
    <w:p>
      <w:pPr>
        <w:spacing w:line="360" w:lineRule="auto"/>
        <w:ind w:firstLine="480" w:firstLineChars="200"/>
        <w:rPr>
          <w:rFonts w:ascii="宋体" w:hAnsi="宋体"/>
          <w:sz w:val="24"/>
        </w:rPr>
      </w:pPr>
      <w:bookmarkStart w:id="103" w:name="_Toc12366_WPSOffice_Level2"/>
      <w:bookmarkStart w:id="104" w:name="_Toc8836_WPSOffice_Level2"/>
      <w:r>
        <w:rPr>
          <w:rFonts w:hint="eastAsia" w:ascii="宋体" w:hAnsi="宋体"/>
          <w:sz w:val="24"/>
        </w:rPr>
        <w:t>（1）供应商及其现任法定代表人不得具有行贿犯罪记录；</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）本次磋商不接受联合体响应。</w:t>
      </w:r>
    </w:p>
    <w:p>
      <w:pPr>
        <w:spacing w:line="360" w:lineRule="auto"/>
        <w:ind w:firstLine="482" w:firstLineChars="200"/>
        <w:rPr>
          <w:rFonts w:ascii="宋体" w:hAnsi="宋体"/>
          <w:b/>
          <w:bCs/>
          <w:sz w:val="24"/>
        </w:rPr>
      </w:pPr>
      <w:r>
        <w:rPr>
          <w:rFonts w:hint="eastAsia" w:ascii="宋体" w:hAnsi="宋体"/>
          <w:b/>
          <w:bCs/>
          <w:sz w:val="24"/>
        </w:rPr>
        <w:t>（三）其他类似效力要求：</w:t>
      </w:r>
      <w:bookmarkEnd w:id="103"/>
      <w:bookmarkEnd w:id="104"/>
    </w:p>
    <w:p>
      <w:pPr>
        <w:spacing w:line="360" w:lineRule="auto"/>
        <w:ind w:firstLine="480" w:firstLineChars="200"/>
        <w:rPr>
          <w:rFonts w:ascii="宋体" w:hAnsi="宋体"/>
          <w:sz w:val="24"/>
        </w:rPr>
      </w:pPr>
      <w:bookmarkStart w:id="105" w:name="_Toc443658843"/>
      <w:r>
        <w:rPr>
          <w:rFonts w:hint="eastAsia" w:ascii="宋体" w:hAnsi="宋体"/>
          <w:sz w:val="24"/>
        </w:rPr>
        <w:t>（1）参加本次磋商活动代表的证明材料。</w:t>
      </w:r>
    </w:p>
    <w:p>
      <w:pPr>
        <w:pStyle w:val="4"/>
        <w:keepNext w:val="0"/>
        <w:keepLines w:val="0"/>
        <w:spacing w:before="0" w:after="0" w:line="360" w:lineRule="auto"/>
        <w:rPr>
          <w:rFonts w:hint="eastAsia"/>
        </w:rPr>
      </w:pPr>
      <w:r>
        <w:rPr>
          <w:rFonts w:hint="eastAsia" w:ascii="宋体" w:hAnsi="宋体" w:eastAsia="宋体"/>
          <w:sz w:val="24"/>
          <w:szCs w:val="24"/>
        </w:rPr>
        <w:t>二、报价产品的资格、资质性及其他类似效力要求</w:t>
      </w:r>
      <w:bookmarkEnd w:id="105"/>
      <w:r>
        <w:rPr>
          <w:rFonts w:hint="eastAsia" w:ascii="宋体" w:hAnsi="宋体" w:eastAsia="宋体"/>
          <w:sz w:val="24"/>
          <w:szCs w:val="24"/>
        </w:rPr>
        <w:t>：无。</w:t>
      </w:r>
    </w:p>
    <w:p>
      <w:pPr>
        <w:spacing w:line="360" w:lineRule="auto"/>
        <w:ind w:firstLine="480" w:firstLineChars="200"/>
        <w:rPr>
          <w:rFonts w:ascii="宋体" w:hAnsi="宋体"/>
          <w:sz w:val="24"/>
        </w:rPr>
      </w:pPr>
      <w:r>
        <w:rPr>
          <w:rFonts w:hint="eastAsia" w:ascii="宋体" w:hAnsi="宋体"/>
          <w:sz w:val="24"/>
        </w:rPr>
        <w:t>注：1、重大违法记录是指供应商因违法经营受到刑事处罚或者责令停产停业、吊销许可证成者执照、较大数额罚款等行政处罚。供应商在参加政府采购活动前3年内因违法经营被禁止在一定期限内参加政府采购活动,期限届满的,可以参加政府采购活动。</w:t>
      </w:r>
    </w:p>
    <w:p>
      <w:pPr>
        <w:spacing w:line="360" w:lineRule="auto"/>
        <w:ind w:firstLine="480" w:firstLineChars="200"/>
        <w:rPr>
          <w:rFonts w:ascii="宋体" w:hAnsi="宋体"/>
          <w:sz w:val="24"/>
        </w:rPr>
      </w:pPr>
      <w:r>
        <w:rPr>
          <w:rFonts w:hint="eastAsia" w:ascii="宋体" w:hAnsi="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若提供虚假承诺将被视为虚假响应,取消成交资格。</w:t>
      </w:r>
    </w:p>
    <w:p>
      <w:pPr>
        <w:spacing w:line="360" w:lineRule="auto"/>
        <w:ind w:firstLine="480" w:firstLineChars="200"/>
        <w:rPr>
          <w:rFonts w:ascii="宋体" w:hAnsi="宋体"/>
          <w:sz w:val="24"/>
        </w:rPr>
      </w:pPr>
      <w:r>
        <w:rPr>
          <w:rFonts w:hint="eastAsia" w:ascii="宋体" w:hAnsi="宋体"/>
          <w:sz w:val="24"/>
        </w:rPr>
        <w:t>3、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spacing w:line="360" w:lineRule="auto"/>
        <w:ind w:firstLine="480" w:firstLineChars="200"/>
        <w:jc w:val="center"/>
      </w:pPr>
      <w:r>
        <w:rPr>
          <w:rFonts w:hint="eastAsia" w:ascii="宋体" w:hAnsi="宋体"/>
          <w:sz w:val="24"/>
        </w:rPr>
        <w:t>4、供应商应对其所提供的资格证明材料来源的合法性、真实性承担法律责任。</w:t>
      </w:r>
      <w:r>
        <w:rPr>
          <w:rFonts w:hint="eastAsia"/>
        </w:rPr>
        <w:br w:type="page"/>
      </w:r>
      <w:bookmarkStart w:id="106" w:name="_Toc17387"/>
      <w:bookmarkStart w:id="107" w:name="_Toc8156_WPSOffice_Level1"/>
      <w:bookmarkStart w:id="108" w:name="_Toc1390_WPSOffice_Level1"/>
    </w:p>
    <w:p>
      <w:pPr>
        <w:pStyle w:val="3"/>
        <w:jc w:val="center"/>
      </w:pPr>
      <w:r>
        <w:rPr>
          <w:rFonts w:hint="eastAsia"/>
        </w:rPr>
        <w:t>第四章  供应商资格证明材料</w:t>
      </w:r>
      <w:bookmarkEnd w:id="106"/>
      <w:bookmarkEnd w:id="107"/>
      <w:bookmarkEnd w:id="108"/>
    </w:p>
    <w:p>
      <w:pPr>
        <w:pStyle w:val="4"/>
        <w:keepNext w:val="0"/>
        <w:keepLines w:val="0"/>
        <w:spacing w:before="0" w:after="0" w:line="360" w:lineRule="auto"/>
        <w:rPr>
          <w:rFonts w:ascii="宋体" w:hAnsi="宋体" w:eastAsia="宋体"/>
          <w:sz w:val="24"/>
          <w:szCs w:val="24"/>
        </w:rPr>
      </w:pPr>
      <w:bookmarkStart w:id="109" w:name="_Toc29661_WPSOffice_Level2"/>
      <w:bookmarkStart w:id="110" w:name="_Toc2507_WPSOffice_Level2"/>
      <w:r>
        <w:rPr>
          <w:rFonts w:hint="eastAsia" w:ascii="宋体" w:hAnsi="宋体" w:eastAsia="宋体"/>
          <w:sz w:val="24"/>
          <w:szCs w:val="24"/>
        </w:rPr>
        <w:t>一、应当提供的供应商资格、资质性及其他类似效力要求的相关证明材料</w:t>
      </w:r>
      <w:bookmarkEnd w:id="109"/>
      <w:bookmarkEnd w:id="110"/>
    </w:p>
    <w:p>
      <w:pPr>
        <w:tabs>
          <w:tab w:val="left" w:pos="7665"/>
        </w:tabs>
        <w:snapToGrid w:val="0"/>
        <w:spacing w:line="360" w:lineRule="auto"/>
        <w:ind w:firstLine="482" w:firstLineChars="200"/>
        <w:rPr>
          <w:rFonts w:ascii="宋体" w:hAnsi="宋体" w:cs="宋体"/>
          <w:b/>
          <w:bCs/>
          <w:sz w:val="24"/>
        </w:rPr>
      </w:pPr>
      <w:bookmarkStart w:id="111" w:name="_Toc443658848"/>
      <w:r>
        <w:rPr>
          <w:rFonts w:hint="eastAsia" w:ascii="宋体" w:hAnsi="宋体" w:cs="宋体"/>
          <w:b/>
          <w:bCs/>
          <w:sz w:val="24"/>
        </w:rPr>
        <w:t>（一）《中华人民共和国政府采购法》第二十二条第一款第（一）至（六）规定的条件：</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副本复印件）。注：根据特定行业情形，银行、保险、石油石化、电力、通信等有行业特定情况的，取得营业执照的分支机构可以分公司名义参与</w:t>
      </w:r>
      <w:r>
        <w:rPr>
          <w:rFonts w:hint="eastAsia" w:ascii="宋体" w:hAnsi="宋体" w:cs="宋体"/>
          <w:sz w:val="24"/>
          <w:lang w:eastAsia="zh-CN"/>
        </w:rPr>
        <w:t>磋商</w:t>
      </w:r>
      <w:r>
        <w:rPr>
          <w:rFonts w:hint="eastAsia" w:ascii="宋体" w:hAnsi="宋体" w:cs="宋体"/>
          <w:sz w:val="24"/>
        </w:rPr>
        <w:t>，</w:t>
      </w:r>
      <w:r>
        <w:rPr>
          <w:rFonts w:hint="eastAsia" w:ascii="宋体" w:hAnsi="宋体" w:cs="宋体"/>
          <w:sz w:val="24"/>
          <w:lang w:eastAsia="zh-CN"/>
        </w:rPr>
        <w:t>响应</w:t>
      </w:r>
      <w:r>
        <w:rPr>
          <w:rFonts w:hint="eastAsia" w:ascii="宋体" w:hAnsi="宋体" w:cs="宋体"/>
          <w:sz w:val="24"/>
        </w:rPr>
        <w:t>文件中涉及的“法定代表人”在前述特定行业中即对应为分支机构“负责人”。</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2）具备健全的财务会计制度的证明材料。（①可提供2019或2020年经审计的财务报告复印件（至少包含审计报告和审计报告中所涉及的财务报表和报表附注）；②也可提供2019或2020年度供应商内部的财务报表复印件（至少包含资产负债表）；③也可提供距文件递交截止日一年内银行出具的资信证明（复印件）；④供应商注册时间至文件递交截止日不足1年的，也可提供在工商备案的公司章程（复印件））。</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（3）提供具备良好商业信誉的承诺函原件（格式详见第七章）。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（4）提供具有依法缴纳税收和社会保障资金的良好记录的承诺函原件（格式详见第七章）。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（5）提供具备履行合同所必需的设备和专业技术能力的承诺函原件（格式详见第七章）。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（6）提供参加政府采购活动前3年内在经营活动中没有重大违法记录的承诺函原件（格式详见第七章）。</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（7）提供具备法律、行政法规规定的其他条件的承诺函原件（格式详见第七章）。</w:t>
      </w:r>
    </w:p>
    <w:p>
      <w:pPr>
        <w:tabs>
          <w:tab w:val="left" w:pos="7665"/>
        </w:tabs>
        <w:snapToGrid w:val="0"/>
        <w:spacing w:line="360" w:lineRule="auto"/>
        <w:ind w:firstLine="482" w:firstLineChars="200"/>
        <w:rPr>
          <w:rFonts w:ascii="宋体" w:hAnsi="宋体" w:cs="宋体"/>
          <w:b/>
          <w:bCs/>
          <w:sz w:val="24"/>
        </w:rPr>
      </w:pPr>
      <w:r>
        <w:rPr>
          <w:rFonts w:hint="eastAsia" w:ascii="宋体" w:hAnsi="宋体" w:cs="宋体"/>
          <w:b/>
          <w:bCs/>
          <w:sz w:val="24"/>
        </w:rPr>
        <w:t>（二）根据采购项目提出的特殊条件：</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（1）提供供应商及现任法定代表人不具有行贿犯罪记录的承诺函原件。（格式详见第七章）</w:t>
      </w:r>
    </w:p>
    <w:p>
      <w:pPr>
        <w:tabs>
          <w:tab w:val="left" w:pos="7665"/>
        </w:tabs>
        <w:snapToGrid w:val="0"/>
        <w:spacing w:line="360" w:lineRule="auto"/>
        <w:ind w:firstLine="482" w:firstLineChars="200"/>
        <w:rPr>
          <w:rFonts w:ascii="宋体" w:hAnsi="宋体" w:cs="宋体"/>
          <w:b/>
          <w:bCs/>
          <w:sz w:val="24"/>
        </w:rPr>
      </w:pPr>
      <w:r>
        <w:rPr>
          <w:rFonts w:hint="eastAsia" w:ascii="宋体" w:hAnsi="宋体" w:cs="宋体"/>
          <w:b/>
          <w:bCs/>
          <w:sz w:val="24"/>
        </w:rPr>
        <w:t>（三）其他类似效力要求：</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（1）法定代表人/单位负责人授权书原件及法定代表人/单位负责人、授权代表身份证明材料复印件（法定代表人/单位负责人授权他人参与磋商时需要提供）。</w:t>
      </w:r>
    </w:p>
    <w:p>
      <w:pPr>
        <w:tabs>
          <w:tab w:val="left" w:pos="7665"/>
        </w:tabs>
        <w:snapToGrid w:val="0"/>
        <w:spacing w:line="360" w:lineRule="auto"/>
        <w:ind w:firstLine="480" w:firstLineChars="200"/>
        <w:rPr>
          <w:rFonts w:ascii="宋体" w:hAnsi="宋体" w:cs="宋体"/>
          <w:sz w:val="24"/>
        </w:rPr>
      </w:pPr>
      <w:r>
        <w:rPr>
          <w:rFonts w:hint="eastAsia" w:ascii="宋体" w:hAnsi="宋体" w:cs="宋体"/>
          <w:sz w:val="24"/>
        </w:rPr>
        <w:t>（2）法定代表人/单位负责人证明书原件及法定代表人/单位负责人身份证明材料复印件（法定代表人/单位负责人亲自参加磋商时需要提供）。</w:t>
      </w:r>
    </w:p>
    <w:p>
      <w:pPr>
        <w:tabs>
          <w:tab w:val="left" w:pos="7665"/>
        </w:tabs>
        <w:snapToGrid w:val="0"/>
        <w:spacing w:line="360" w:lineRule="auto"/>
        <w:ind w:firstLine="480" w:firstLineChars="200"/>
        <w:rPr>
          <w:rFonts w:ascii="宋体" w:hAnsi="宋体" w:cs="宋体"/>
          <w:sz w:val="24"/>
        </w:rPr>
      </w:pPr>
    </w:p>
    <w:p>
      <w:pPr>
        <w:pStyle w:val="4"/>
        <w:keepNext w:val="0"/>
        <w:keepLines w:val="0"/>
        <w:spacing w:before="0" w:after="0" w:line="360" w:lineRule="auto"/>
        <w:rPr>
          <w:rFonts w:ascii="宋体" w:hAnsi="宋体" w:eastAsia="宋体"/>
          <w:sz w:val="24"/>
          <w:szCs w:val="24"/>
        </w:rPr>
      </w:pPr>
      <w:bookmarkStart w:id="112" w:name="_Toc20115_WPSOffice_Level2"/>
      <w:bookmarkStart w:id="113" w:name="_Toc24332_WPSOffice_Level2"/>
      <w:r>
        <w:rPr>
          <w:rFonts w:hint="eastAsia" w:ascii="宋体" w:hAnsi="宋体" w:eastAsia="宋体"/>
          <w:sz w:val="24"/>
          <w:szCs w:val="24"/>
        </w:rPr>
        <w:t>二、应当提供的报价产品的资格、资质性及其他类似效力要求的相关证明材料：</w:t>
      </w:r>
      <w:bookmarkEnd w:id="111"/>
      <w:bookmarkEnd w:id="112"/>
      <w:bookmarkEnd w:id="113"/>
    </w:p>
    <w:p>
      <w:pPr>
        <w:tabs>
          <w:tab w:val="left" w:pos="7665"/>
        </w:tabs>
        <w:snapToGrid w:val="0"/>
        <w:spacing w:line="360" w:lineRule="auto"/>
        <w:ind w:firstLine="480" w:firstLineChars="200"/>
        <w:rPr>
          <w:rFonts w:ascii="宋体" w:hAnsi="宋体" w:cs="宋体"/>
          <w:bCs/>
          <w:sz w:val="24"/>
        </w:rPr>
      </w:pPr>
      <w:r>
        <w:rPr>
          <w:rFonts w:hint="eastAsia" w:ascii="宋体" w:hAnsi="宋体" w:cs="宋体"/>
          <w:bCs/>
          <w:sz w:val="24"/>
        </w:rPr>
        <w:t>无。</w:t>
      </w:r>
    </w:p>
    <w:p>
      <w:pPr>
        <w:pStyle w:val="37"/>
        <w:snapToGrid w:val="0"/>
        <w:ind w:firstLine="0" w:firstLineChars="0"/>
        <w:rPr>
          <w:rFonts w:ascii="宋体" w:hAnsi="宋体"/>
          <w:sz w:val="24"/>
        </w:rPr>
      </w:pPr>
    </w:p>
    <w:p>
      <w:pPr>
        <w:tabs>
          <w:tab w:val="left" w:pos="7665"/>
        </w:tabs>
        <w:snapToGrid w:val="0"/>
        <w:spacing w:line="360" w:lineRule="auto"/>
        <w:ind w:firstLine="482" w:firstLineChars="200"/>
        <w:rPr>
          <w:rFonts w:ascii="宋体" w:hAnsi="宋体"/>
          <w:b/>
          <w:sz w:val="24"/>
        </w:rPr>
      </w:pPr>
    </w:p>
    <w:p>
      <w:pPr>
        <w:tabs>
          <w:tab w:val="left" w:pos="7665"/>
        </w:tabs>
        <w:snapToGrid w:val="0"/>
        <w:spacing w:line="360" w:lineRule="auto"/>
        <w:ind w:firstLine="482" w:firstLineChars="200"/>
        <w:rPr>
          <w:rFonts w:ascii="宋体" w:hAnsi="宋体"/>
          <w:b/>
          <w:sz w:val="24"/>
        </w:rPr>
      </w:pPr>
    </w:p>
    <w:p>
      <w:pPr>
        <w:pStyle w:val="37"/>
        <w:snapToGrid w:val="0"/>
        <w:ind w:firstLine="0" w:firstLineChars="0"/>
        <w:rPr>
          <w:rFonts w:ascii="宋体" w:hAnsi="宋体"/>
          <w:sz w:val="24"/>
        </w:rPr>
      </w:pPr>
      <w:r>
        <w:rPr>
          <w:rFonts w:hint="eastAsia" w:ascii="宋体" w:hAnsi="宋体"/>
          <w:sz w:val="24"/>
        </w:rPr>
        <w:t>说明：</w:t>
      </w:r>
    </w:p>
    <w:p>
      <w:pPr>
        <w:pStyle w:val="37"/>
        <w:snapToGrid w:val="0"/>
        <w:ind w:firstLine="0" w:firstLineChars="0"/>
        <w:rPr>
          <w:rFonts w:ascii="宋体" w:hAnsi="宋体"/>
          <w:b/>
          <w:bCs/>
          <w:sz w:val="24"/>
        </w:rPr>
      </w:pPr>
      <w:r>
        <w:rPr>
          <w:rFonts w:hint="eastAsia" w:ascii="宋体" w:hAnsi="宋体"/>
          <w:b/>
          <w:bCs/>
          <w:sz w:val="24"/>
        </w:rPr>
        <w:t>（1）供应商提供的以上资格证明材料为复印件的均应加盖供应商公章。</w:t>
      </w:r>
    </w:p>
    <w:p>
      <w:pPr>
        <w:pStyle w:val="37"/>
        <w:snapToGrid w:val="0"/>
        <w:ind w:firstLine="0" w:firstLineChars="0"/>
        <w:rPr>
          <w:rFonts w:ascii="宋体" w:hAnsi="宋体"/>
          <w:b/>
          <w:bCs/>
          <w:sz w:val="24"/>
        </w:rPr>
      </w:pPr>
      <w:r>
        <w:rPr>
          <w:rFonts w:hint="eastAsia" w:ascii="宋体" w:hAnsi="宋体"/>
          <w:b/>
          <w:bCs/>
          <w:sz w:val="24"/>
        </w:rPr>
        <w:t>（2）供应商所提供的资格证明材料应当真实、有效。</w:t>
      </w:r>
    </w:p>
    <w:p>
      <w:pPr>
        <w:pStyle w:val="3"/>
        <w:spacing w:before="0" w:after="0" w:line="360" w:lineRule="auto"/>
        <w:jc w:val="center"/>
        <w:rPr>
          <w:rFonts w:ascii="宋体" w:hAnsi="宋体" w:cs="宋体"/>
        </w:rPr>
      </w:pPr>
      <w:r>
        <w:rPr>
          <w:rFonts w:ascii="宋体"/>
          <w:sz w:val="24"/>
        </w:rPr>
        <w:br w:type="page"/>
      </w:r>
      <w:bookmarkStart w:id="114" w:name="_Toc14938_WPSOffice_Level1"/>
      <w:bookmarkStart w:id="115" w:name="_Toc23697_WPSOffice_Level1"/>
      <w:bookmarkStart w:id="116" w:name="_Toc10654"/>
      <w:r>
        <w:rPr>
          <w:rFonts w:hint="eastAsia"/>
          <w:color w:val="auto"/>
        </w:rPr>
        <w:t xml:space="preserve">第五章  </w:t>
      </w:r>
      <w:bookmarkEnd w:id="114"/>
      <w:bookmarkEnd w:id="115"/>
      <w:r>
        <w:rPr>
          <w:rFonts w:hint="eastAsia" w:ascii="宋体" w:hAnsi="宋体" w:cs="宋体"/>
          <w:color w:val="auto"/>
        </w:rPr>
        <w:t>采购项目技术、服务、政府采购合同内容条款及其他商务要求</w:t>
      </w:r>
      <w:bookmarkEnd w:id="116"/>
    </w:p>
    <w:bookmarkEnd w:id="77"/>
    <w:bookmarkEnd w:id="78"/>
    <w:bookmarkEnd w:id="79"/>
    <w:bookmarkEnd w:id="80"/>
    <w:bookmarkEnd w:id="81"/>
    <w:p>
      <w:pPr>
        <w:snapToGrid w:val="0"/>
        <w:spacing w:line="360" w:lineRule="auto"/>
        <w:rPr>
          <w:rFonts w:ascii="宋体" w:hAnsi="宋体" w:cs="宋体"/>
          <w:sz w:val="24"/>
          <w:szCs w:val="32"/>
        </w:rPr>
      </w:pPr>
      <w:bookmarkStart w:id="117" w:name="_Toc24444_WPSOffice_Level2"/>
      <w:bookmarkStart w:id="118" w:name="_Toc183582232"/>
      <w:bookmarkStart w:id="119" w:name="_Toc217446057"/>
      <w:bookmarkStart w:id="120" w:name="_Toc18368236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32"/>
        </w:rPr>
      </w:pPr>
      <w:r>
        <w:rPr>
          <w:rFonts w:hint="eastAsia" w:ascii="宋体" w:hAnsi="宋体" w:cs="宋体"/>
          <w:sz w:val="24"/>
          <w:szCs w:val="32"/>
        </w:rPr>
        <w:t>本项目为</w:t>
      </w:r>
      <w:r>
        <w:rPr>
          <w:rFonts w:hint="eastAsia" w:ascii="宋体" w:hAnsi="宋体"/>
          <w:sz w:val="24"/>
          <w:lang w:eastAsia="zh-CN"/>
        </w:rPr>
        <w:t>青龙街道智慧社区软件升级服务（一期）项目</w:t>
      </w:r>
      <w:r>
        <w:rPr>
          <w:rFonts w:hint="eastAsia" w:ascii="宋体" w:hAnsi="宋体"/>
          <w:sz w:val="24"/>
        </w:rPr>
        <w:t>，共</w:t>
      </w:r>
      <w:r>
        <w:rPr>
          <w:rFonts w:hint="eastAsia" w:ascii="宋体" w:hAnsi="宋体"/>
          <w:sz w:val="24"/>
          <w:lang w:eastAsia="zh-CN"/>
        </w:rPr>
        <w:t>一个</w:t>
      </w:r>
      <w:r>
        <w:rPr>
          <w:rFonts w:hint="eastAsia" w:ascii="宋体" w:hAnsi="宋体"/>
          <w:sz w:val="24"/>
        </w:rPr>
        <w:t>包</w:t>
      </w:r>
      <w:r>
        <w:rPr>
          <w:rFonts w:hint="eastAsia" w:ascii="宋体" w:hAnsi="宋体" w:cs="宋体"/>
          <w:sz w:val="24"/>
          <w:szCs w:val="32"/>
        </w:rPr>
        <w:t>。</w:t>
      </w:r>
    </w:p>
    <w:bookmarkEnd w:id="117"/>
    <w:p>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项目背景</w:t>
      </w:r>
    </w:p>
    <w:p>
      <w:pPr>
        <w:spacing w:line="360" w:lineRule="auto"/>
        <w:ind w:firstLine="480" w:firstLineChars="200"/>
        <w:jc w:val="left"/>
        <w:rPr>
          <w:rFonts w:hint="eastAsia" w:ascii="宋体" w:hAnsi="宋体" w:eastAsia="宋体" w:cs="宋体"/>
        </w:rPr>
      </w:pPr>
      <w:r>
        <w:rPr>
          <w:rFonts w:hint="eastAsia" w:ascii="宋体" w:hAnsi="宋体" w:eastAsia="宋体" w:cs="宋体"/>
          <w:color w:val="000000"/>
          <w:sz w:val="24"/>
          <w:szCs w:val="24"/>
        </w:rPr>
        <w:t>随着成都市社区治理发展工作的径深化推进，自2020年起，成都市及相关职能部门相继出台关于智慧社区建设相关指导文件若干，旨在指引成都市智慧社区建设工作深入开展。2020年10月13日，成都市人民政府出台《成都市智慧城市建设行动方案（2020—2022）》；2020年6月18日，中共成都市委城乡社区发展治理委员会出台《天府智慧小区建设导则 1.0 版》；2021年3月成都市城乡社区发展治理工作领导小组出台《关于开展镇（街道）“四个一”管理机制改革试点的指导意见》；2021年7月成都市规划和自然资源局、成都市委社治委出台《未来美好公园社区规划导则（阶段方案）》。</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建设意义与目标</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智慧社区是信息化技术与现代治理理念的一次全新融合，是国家新时期基层治理的一次创新，是利用大数据、云计算、互联网、物联网、5G、人工智能等技术作为依托的一种治理技术手段，其呈现可视化的信息集成、舆情分析、一屏统揽、智慧调度四大功能，以建立可视化、实时化、精细化、流程化的“智慧街道（社区）”应用平台，实现对街道（社区）各类问题的时间的集中发现、协同派遣、快速处置，以提升信息传递便捷度，加快信息的传递速度，避免传统社区中普遍存在的信息孤岛问题，加强街道（社区）中各主体的交流与沟通，推进各项治理工作深化改革与创新，不断提升街道城市管理水平、居民安全宜居感触、环境综合治理能力及公共服务供给效能。其现实意义是：重塑社区治理理念，创新社区治理模式。通过智慧社区建设，树立现代化治理理念，构建现代化治理体系，建成现代化治理工具，夯实现代化治理根基，达成现代化治理目标。具体如下：</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1、通过智慧社区系统建设，将街道、社区各项治理工作进行全盘梳理，帮助基层工作者形成现代治理思维，奠定现代治理数字基础，减轻社区两委工作压力。</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2、通过智慧社区建设实现发动居民参与社区治理，构建共组织、共管理、共发展的智慧共同体，推进问题联治、工作联动、平安联创，筑牢社会综合治理防风险、促法治、保平安的底线。</w:t>
      </w:r>
    </w:p>
    <w:p>
      <w:pPr>
        <w:spacing w:line="360" w:lineRule="auto"/>
        <w:ind w:firstLine="480" w:firstLineChars="200"/>
        <w:jc w:val="left"/>
        <w:rPr>
          <w:rFonts w:hint="eastAsia" w:ascii="宋体" w:hAnsi="宋体" w:eastAsia="宋体" w:cs="宋体"/>
        </w:rPr>
      </w:pPr>
      <w:r>
        <w:rPr>
          <w:rFonts w:hint="eastAsia" w:ascii="宋体" w:hAnsi="宋体" w:eastAsia="宋体" w:cs="宋体"/>
          <w:color w:val="000000"/>
          <w:sz w:val="24"/>
          <w:szCs w:val="24"/>
        </w:rPr>
        <w:t>3、通过智慧社区建设为基层治理单元提供更加坚实的综合治理平台和居民便捷服务平台，提升基层治理效能，增强居民认同感和归宿感，筑牢治理根基。</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建设现状</w:t>
      </w:r>
    </w:p>
    <w:p>
      <w:pPr>
        <w:pStyle w:val="2"/>
        <w:ind w:left="42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前未建设智慧街道综治平台。智慧街道和智慧社区是相互作用、相辅相成的。智慧街道是智慧社区的扩展集合，而智慧社区是智慧街道的重要组成。街道对社区提供支持和引导，它们都以方便民众生活，解决民生问题为根本目的。智慧社区是自下而上进行管理，主要针对社区住户日常生活的难点及物业的管理的问题进行解决。智慧街道是自上而下进行管理，由基层党建引领，不仅涉及街道下属社区的管理，还涉及街道环境建设、基层党员管理、民众为题解决等诸多问题。构建以内部办公、业务管理、监督管理、数据展示为主体的集成化智慧街道综治平台是智慧街道建设必不可少的要素。</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建设原则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根据调研实际及目前其它区域智慧社区建设中所反映出的系列问题，建议青龙街道智慧社区建设遵循以下工作原则：</w:t>
      </w:r>
    </w:p>
    <w:p>
      <w:pPr>
        <w:spacing w:line="360" w:lineRule="auto"/>
        <w:ind w:firstLine="480" w:firstLineChars="200"/>
        <w:jc w:val="left"/>
        <w:rPr>
          <w:rFonts w:hint="eastAsia" w:ascii="宋体" w:hAnsi="宋体" w:eastAsia="宋体" w:cs="宋体"/>
          <w:color w:val="000000"/>
          <w:sz w:val="24"/>
          <w:szCs w:val="24"/>
        </w:rPr>
      </w:pPr>
      <w:bookmarkStart w:id="121" w:name="_Toc9756"/>
      <w:bookmarkStart w:id="122" w:name="_Toc26997"/>
      <w:r>
        <w:rPr>
          <w:rFonts w:hint="eastAsia" w:ascii="宋体" w:hAnsi="宋体" w:eastAsia="宋体" w:cs="宋体"/>
          <w:color w:val="000000"/>
          <w:sz w:val="24"/>
          <w:szCs w:val="24"/>
        </w:rPr>
        <w:t>4.1以规策划 以规统筹</w:t>
      </w:r>
      <w:bookmarkEnd w:id="121"/>
      <w:bookmarkEnd w:id="122"/>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充分梳理成都市及各职能部门和成华区所出台的各项针对智慧社区建设要求，对青龙街道智慧社区建设提出总体性的建设规划计划循序推进，按照街道-社区两级体系整体考虑，同时兼顾未来与区智慧治理中心贯通，构建基于“党建”、“治理”、“发展”、“服务”四大功能版块的智慧社区系统。</w:t>
      </w:r>
    </w:p>
    <w:p>
      <w:pPr>
        <w:spacing w:line="360" w:lineRule="auto"/>
        <w:ind w:firstLine="480" w:firstLineChars="200"/>
        <w:jc w:val="left"/>
        <w:rPr>
          <w:rFonts w:hint="eastAsia" w:ascii="宋体" w:hAnsi="宋体" w:eastAsia="宋体" w:cs="宋体"/>
          <w:color w:val="000000"/>
          <w:sz w:val="24"/>
          <w:szCs w:val="24"/>
        </w:rPr>
      </w:pPr>
      <w:bookmarkStart w:id="123" w:name="_Toc15526"/>
      <w:bookmarkStart w:id="124" w:name="_Toc10998"/>
      <w:r>
        <w:rPr>
          <w:rFonts w:hint="eastAsia" w:ascii="宋体" w:hAnsi="宋体" w:eastAsia="宋体" w:cs="宋体"/>
          <w:color w:val="000000"/>
          <w:sz w:val="24"/>
          <w:szCs w:val="24"/>
        </w:rPr>
        <w:t>4.2以实而建 以需而建</w:t>
      </w:r>
      <w:bookmarkEnd w:id="123"/>
      <w:bookmarkEnd w:id="124"/>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依据目前青龙街道各社区发展实际水平，并结合调研中所反馈的实际需求（例如：治理减负、居民生活服务等）为导向，以实用性和便于操作性为原则，根据各社区实际治理发展需求进行开发建设，不做假大空建设，让社区用得起、让居民用得好。</w:t>
      </w:r>
    </w:p>
    <w:p>
      <w:pPr>
        <w:spacing w:line="360" w:lineRule="auto"/>
        <w:ind w:firstLine="480" w:firstLineChars="200"/>
        <w:jc w:val="left"/>
        <w:rPr>
          <w:rFonts w:hint="eastAsia" w:ascii="宋体" w:hAnsi="宋体" w:eastAsia="宋体" w:cs="宋体"/>
          <w:color w:val="000000"/>
          <w:sz w:val="24"/>
          <w:szCs w:val="24"/>
        </w:rPr>
      </w:pPr>
      <w:bookmarkStart w:id="125" w:name="_Toc2056"/>
      <w:bookmarkStart w:id="126" w:name="_Toc6869"/>
      <w:r>
        <w:rPr>
          <w:rFonts w:hint="eastAsia" w:ascii="宋体" w:hAnsi="宋体" w:eastAsia="宋体" w:cs="宋体"/>
          <w:color w:val="000000"/>
          <w:sz w:val="24"/>
          <w:szCs w:val="24"/>
        </w:rPr>
        <w:t>4.3减负增能 长效运转</w:t>
      </w:r>
      <w:bookmarkEnd w:id="125"/>
      <w:bookmarkEnd w:id="126"/>
    </w:p>
    <w:p>
      <w:pPr>
        <w:spacing w:line="360" w:lineRule="auto"/>
        <w:ind w:firstLine="480" w:firstLineChars="200"/>
        <w:jc w:val="left"/>
        <w:rPr>
          <w:rFonts w:hint="eastAsia" w:ascii="宋体" w:hAnsi="宋体" w:eastAsia="宋体" w:cs="宋体"/>
        </w:rPr>
      </w:pPr>
      <w:r>
        <w:rPr>
          <w:rFonts w:hint="eastAsia" w:ascii="宋体" w:hAnsi="宋体" w:eastAsia="宋体" w:cs="宋体"/>
          <w:color w:val="000000"/>
          <w:sz w:val="24"/>
          <w:szCs w:val="24"/>
        </w:rPr>
        <w:t>智慧社区建设，首先应立足于社区减负这一维度，通过智慧社区建设有效提升社区工作者的工作效能，减轻社区工作者的工作压力。其次，智慧社区建设应包含系统建设与人才培养两个方面内容，系统长效运转必须依托于专职专业的智慧社区人才作为支撑。</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建设内容</w:t>
      </w:r>
    </w:p>
    <w:p>
      <w:pPr>
        <w:spacing w:line="360" w:lineRule="auto"/>
        <w:ind w:firstLine="482" w:firstLineChars="200"/>
        <w:jc w:val="left"/>
        <w:rPr>
          <w:rFonts w:hint="eastAsia" w:ascii="宋体" w:hAnsi="宋体" w:eastAsia="宋体" w:cs="宋体"/>
          <w:color w:val="000000"/>
          <w:sz w:val="24"/>
          <w:szCs w:val="24"/>
        </w:rPr>
      </w:pPr>
      <w:bookmarkStart w:id="127" w:name="_Toc31934"/>
      <w:bookmarkStart w:id="128" w:name="_Toc11083"/>
      <w:r>
        <w:rPr>
          <w:rFonts w:hint="eastAsia" w:ascii="宋体" w:hAnsi="宋体" w:eastAsia="宋体" w:cs="宋体"/>
          <w:b/>
          <w:bCs/>
          <w:color w:val="000000"/>
          <w:sz w:val="24"/>
          <w:szCs w:val="24"/>
        </w:rPr>
        <w:t>5.1</w:t>
      </w:r>
      <w:r>
        <w:rPr>
          <w:rFonts w:hint="eastAsia" w:ascii="宋体" w:hAnsi="宋体" w:eastAsia="宋体" w:cs="宋体"/>
          <w:color w:val="000000"/>
          <w:sz w:val="24"/>
          <w:szCs w:val="24"/>
        </w:rPr>
        <w:t>智慧社区治理平台</w:t>
      </w:r>
      <w:bookmarkEnd w:id="127"/>
      <w:r>
        <w:rPr>
          <w:rFonts w:hint="eastAsia" w:ascii="宋体" w:hAnsi="宋体" w:eastAsia="宋体" w:cs="宋体"/>
          <w:color w:val="000000"/>
          <w:sz w:val="24"/>
          <w:szCs w:val="24"/>
        </w:rPr>
        <w:t>升级改造</w:t>
      </w:r>
      <w:bookmarkEnd w:id="128"/>
    </w:p>
    <w:p>
      <w:pPr>
        <w:spacing w:line="360" w:lineRule="auto"/>
        <w:ind w:firstLine="482" w:firstLineChars="200"/>
        <w:jc w:val="left"/>
        <w:rPr>
          <w:rFonts w:hint="eastAsia" w:ascii="宋体" w:hAnsi="宋体" w:eastAsia="宋体" w:cs="宋体"/>
          <w:color w:val="000000"/>
          <w:sz w:val="24"/>
          <w:szCs w:val="24"/>
        </w:rPr>
      </w:pPr>
      <w:bookmarkStart w:id="129" w:name="_Toc14619"/>
      <w:bookmarkStart w:id="130" w:name="_Toc24664"/>
      <w:r>
        <w:rPr>
          <w:rFonts w:hint="eastAsia" w:ascii="宋体" w:hAnsi="宋体" w:eastAsia="宋体" w:cs="宋体"/>
          <w:b/>
          <w:bCs/>
          <w:color w:val="000000"/>
          <w:sz w:val="24"/>
          <w:szCs w:val="24"/>
        </w:rPr>
        <w:t>5.1.1</w:t>
      </w:r>
      <w:r>
        <w:rPr>
          <w:rFonts w:hint="eastAsia" w:ascii="宋体" w:hAnsi="宋体" w:eastAsia="宋体" w:cs="宋体"/>
          <w:color w:val="000000"/>
          <w:sz w:val="24"/>
          <w:szCs w:val="24"/>
        </w:rPr>
        <w:t>现有社区治理平台升级改造</w:t>
      </w:r>
      <w:bookmarkEnd w:id="129"/>
      <w:bookmarkEnd w:id="130"/>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紧密围绕“党建”、“治理”、“服务”、“安全”四大板块，优化改造社区现有智慧治理系统，促进社区治理各项工作全面梳理，规范数据结构，形成基础数据沉淀。</w:t>
      </w:r>
    </w:p>
    <w:p>
      <w:pPr>
        <w:spacing w:line="360" w:lineRule="auto"/>
        <w:ind w:firstLine="482" w:firstLineChars="200"/>
        <w:jc w:val="left"/>
        <w:rPr>
          <w:rFonts w:hint="eastAsia" w:ascii="宋体" w:hAnsi="宋体" w:eastAsia="宋体" w:cs="宋体"/>
          <w:color w:val="000000"/>
          <w:sz w:val="24"/>
          <w:szCs w:val="24"/>
        </w:rPr>
      </w:pPr>
      <w:bookmarkStart w:id="131" w:name="_Toc19547"/>
      <w:bookmarkStart w:id="132" w:name="_Toc17599"/>
      <w:r>
        <w:rPr>
          <w:rFonts w:hint="eastAsia" w:ascii="宋体" w:hAnsi="宋体" w:eastAsia="宋体" w:cs="宋体"/>
          <w:b/>
          <w:bCs/>
          <w:color w:val="000000"/>
          <w:sz w:val="24"/>
          <w:szCs w:val="24"/>
        </w:rPr>
        <w:t>5.1.2</w:t>
      </w:r>
      <w:r>
        <w:rPr>
          <w:rFonts w:hint="eastAsia" w:ascii="宋体" w:hAnsi="宋体" w:eastAsia="宋体" w:cs="宋体"/>
          <w:color w:val="000000"/>
          <w:sz w:val="24"/>
          <w:szCs w:val="24"/>
        </w:rPr>
        <w:t>可视化大屏系统的升级改造</w:t>
      </w:r>
      <w:bookmarkEnd w:id="131"/>
      <w:bookmarkEnd w:id="132"/>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社区智慧党建可视化大屏</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社区智慧治理可视化大屏</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社区智慧安防可视化大屏</w:t>
      </w:r>
    </w:p>
    <w:p>
      <w:pPr>
        <w:spacing w:line="360" w:lineRule="auto"/>
        <w:ind w:firstLine="482" w:firstLineChars="200"/>
        <w:jc w:val="left"/>
        <w:rPr>
          <w:rFonts w:hint="eastAsia" w:ascii="宋体" w:hAnsi="宋体" w:eastAsia="宋体" w:cs="宋体"/>
          <w:color w:val="000000"/>
          <w:sz w:val="24"/>
          <w:szCs w:val="24"/>
        </w:rPr>
      </w:pPr>
      <w:bookmarkStart w:id="133" w:name="_Toc25803"/>
      <w:bookmarkStart w:id="134" w:name="_Toc9683"/>
      <w:r>
        <w:rPr>
          <w:rFonts w:hint="eastAsia" w:ascii="宋体" w:hAnsi="宋体" w:eastAsia="宋体" w:cs="宋体"/>
          <w:b/>
          <w:bCs/>
          <w:color w:val="000000"/>
          <w:sz w:val="24"/>
          <w:szCs w:val="24"/>
        </w:rPr>
        <w:t>5.1.3</w:t>
      </w:r>
      <w:bookmarkEnd w:id="133"/>
      <w:bookmarkEnd w:id="134"/>
      <w:r>
        <w:rPr>
          <w:rFonts w:hint="eastAsia" w:ascii="宋体" w:hAnsi="宋体" w:eastAsia="宋体" w:cs="宋体"/>
          <w:color w:val="000000"/>
          <w:sz w:val="24"/>
          <w:szCs w:val="24"/>
        </w:rPr>
        <w:t>构建社区端信息发布终端</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将信息发布终端采用分布式模式进行独立部署，通过统一管理模式实现对各前端展示内容进行独立控制，前端可分屏展示、可定制独立系统模块进行个性化内容呈现，实现图文信息、视频信息、数据信息等的可视化呈现，发布系统由国产化芯片组成，可依据各社区需求实现个性化系统的开发与部署。</w:t>
      </w:r>
    </w:p>
    <w:p>
      <w:pPr>
        <w:spacing w:line="360" w:lineRule="auto"/>
        <w:ind w:firstLine="482" w:firstLineChars="200"/>
        <w:jc w:val="left"/>
        <w:rPr>
          <w:rFonts w:hint="eastAsia" w:ascii="宋体" w:hAnsi="宋体" w:eastAsia="宋体" w:cs="宋体"/>
          <w:color w:val="000000"/>
          <w:sz w:val="24"/>
          <w:szCs w:val="24"/>
        </w:rPr>
      </w:pPr>
      <w:bookmarkStart w:id="135" w:name="_Toc23320"/>
      <w:bookmarkStart w:id="136" w:name="_Toc21807"/>
      <w:r>
        <w:rPr>
          <w:rFonts w:hint="eastAsia" w:ascii="宋体" w:hAnsi="宋体" w:eastAsia="宋体" w:cs="宋体"/>
          <w:b/>
          <w:bCs/>
          <w:color w:val="000000"/>
          <w:sz w:val="24"/>
          <w:szCs w:val="24"/>
        </w:rPr>
        <w:t>5.1.4</w:t>
      </w:r>
      <w:r>
        <w:rPr>
          <w:rFonts w:hint="eastAsia" w:ascii="宋体" w:hAnsi="宋体" w:eastAsia="宋体" w:cs="宋体"/>
          <w:color w:val="000000"/>
          <w:sz w:val="24"/>
          <w:szCs w:val="24"/>
        </w:rPr>
        <w:t>社区指挥中心</w:t>
      </w:r>
      <w:bookmarkEnd w:id="135"/>
      <w:r>
        <w:rPr>
          <w:rFonts w:hint="eastAsia" w:ascii="宋体" w:hAnsi="宋体" w:eastAsia="宋体" w:cs="宋体"/>
          <w:color w:val="000000"/>
          <w:sz w:val="24"/>
          <w:szCs w:val="24"/>
        </w:rPr>
        <w:t>建设及各前端设备数据对接</w:t>
      </w:r>
      <w:bookmarkEnd w:id="136"/>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对管辖范围的各种监控视频进行统一集成，实时监控，统一调度指挥。</w:t>
      </w:r>
    </w:p>
    <w:p>
      <w:pPr>
        <w:spacing w:line="360" w:lineRule="auto"/>
        <w:ind w:firstLine="482" w:firstLineChars="200"/>
        <w:jc w:val="left"/>
        <w:rPr>
          <w:rFonts w:hint="eastAsia" w:ascii="宋体" w:hAnsi="宋体" w:eastAsia="宋体" w:cs="宋体"/>
          <w:color w:val="000000"/>
          <w:sz w:val="24"/>
          <w:szCs w:val="24"/>
        </w:rPr>
      </w:pPr>
      <w:bookmarkStart w:id="137" w:name="_Toc1559"/>
      <w:r>
        <w:rPr>
          <w:rFonts w:hint="eastAsia" w:ascii="宋体" w:hAnsi="宋体" w:eastAsia="宋体" w:cs="宋体"/>
          <w:b/>
          <w:bCs/>
          <w:color w:val="000000"/>
          <w:sz w:val="24"/>
          <w:szCs w:val="24"/>
        </w:rPr>
        <w:t>5.1.5</w:t>
      </w:r>
      <w:r>
        <w:rPr>
          <w:rFonts w:hint="eastAsia" w:ascii="宋体" w:hAnsi="宋体" w:eastAsia="宋体" w:cs="宋体"/>
          <w:color w:val="000000"/>
          <w:sz w:val="24"/>
          <w:szCs w:val="24"/>
        </w:rPr>
        <w:t>构建标准数据接口系统</w:t>
      </w:r>
      <w:bookmarkEnd w:id="137"/>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通过对社区的各项业务和数据进行标准化管理，再基于标准化的基础实现标准化接口系统的建设，最终实现与上级平台的数据对接、信息传输和内容同步，进而高效的推动社区的各项工作有序开展并为社区工作者肩负增效。</w:t>
      </w:r>
    </w:p>
    <w:p>
      <w:pPr>
        <w:spacing w:line="360" w:lineRule="auto"/>
        <w:ind w:firstLine="482" w:firstLineChars="200"/>
        <w:jc w:val="left"/>
        <w:rPr>
          <w:rFonts w:hint="eastAsia" w:ascii="宋体" w:hAnsi="宋体" w:eastAsia="宋体" w:cs="宋体"/>
          <w:color w:val="000000"/>
          <w:sz w:val="24"/>
          <w:szCs w:val="24"/>
        </w:rPr>
      </w:pPr>
      <w:bookmarkStart w:id="138" w:name="_Toc26542"/>
      <w:bookmarkStart w:id="139" w:name="_Toc21010"/>
      <w:r>
        <w:rPr>
          <w:rFonts w:hint="eastAsia" w:ascii="宋体" w:hAnsi="宋体" w:eastAsia="宋体" w:cs="宋体"/>
          <w:b/>
          <w:bCs/>
          <w:color w:val="000000"/>
          <w:sz w:val="24"/>
          <w:szCs w:val="24"/>
        </w:rPr>
        <w:t>5.2</w:t>
      </w:r>
      <w:r>
        <w:rPr>
          <w:rFonts w:hint="eastAsia" w:ascii="宋体" w:hAnsi="宋体" w:eastAsia="宋体" w:cs="宋体"/>
          <w:color w:val="000000"/>
          <w:sz w:val="24"/>
          <w:szCs w:val="24"/>
        </w:rPr>
        <w:t>智慧街道综合管理平台</w:t>
      </w:r>
      <w:bookmarkEnd w:id="138"/>
      <w:r>
        <w:rPr>
          <w:rFonts w:hint="eastAsia" w:ascii="宋体" w:hAnsi="宋体" w:eastAsia="宋体" w:cs="宋体"/>
          <w:color w:val="000000"/>
          <w:sz w:val="24"/>
          <w:szCs w:val="24"/>
        </w:rPr>
        <w:t>建设</w:t>
      </w:r>
      <w:bookmarkEnd w:id="139"/>
    </w:p>
    <w:p>
      <w:pPr>
        <w:spacing w:line="360" w:lineRule="auto"/>
        <w:ind w:firstLine="482" w:firstLineChars="200"/>
        <w:jc w:val="left"/>
        <w:rPr>
          <w:rFonts w:hint="eastAsia" w:ascii="宋体" w:hAnsi="宋体" w:eastAsia="宋体" w:cs="宋体"/>
          <w:color w:val="000000"/>
          <w:sz w:val="24"/>
          <w:szCs w:val="24"/>
        </w:rPr>
      </w:pPr>
      <w:bookmarkStart w:id="140" w:name="_Toc10343"/>
      <w:bookmarkStart w:id="141" w:name="_Toc25403"/>
      <w:r>
        <w:rPr>
          <w:rFonts w:hint="eastAsia" w:ascii="宋体" w:hAnsi="宋体" w:eastAsia="宋体" w:cs="宋体"/>
          <w:b/>
          <w:bCs/>
          <w:color w:val="000000"/>
          <w:sz w:val="24"/>
          <w:szCs w:val="24"/>
        </w:rPr>
        <w:t xml:space="preserve">5.2.1 </w:t>
      </w:r>
      <w:r>
        <w:rPr>
          <w:rFonts w:hint="eastAsia" w:ascii="宋体" w:hAnsi="宋体" w:eastAsia="宋体" w:cs="宋体"/>
          <w:color w:val="000000"/>
          <w:sz w:val="24"/>
          <w:szCs w:val="24"/>
        </w:rPr>
        <w:t>对智慧社区治理平台进行集成</w:t>
      </w:r>
      <w:bookmarkEnd w:id="140"/>
      <w:bookmarkEnd w:id="141"/>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街道实际管理需求为出发点，解决目前街道使用条件下发的应用系统，实现数据上报，进一步完善街道管理所需的技术数据资源整合，建立完善的街道立体化管理体系，满足业务部门日常业务管理需要，最终形成“强治理数据”与“微治理数据”的全覆盖、全监督及有效整合，为民生服务、基层治理奠定基础数据资源保障。</w:t>
      </w:r>
    </w:p>
    <w:p>
      <w:pPr>
        <w:spacing w:line="360" w:lineRule="auto"/>
        <w:ind w:firstLine="482" w:firstLineChars="200"/>
        <w:jc w:val="left"/>
        <w:rPr>
          <w:rFonts w:hint="eastAsia" w:ascii="宋体" w:hAnsi="宋体" w:eastAsia="宋体" w:cs="宋体"/>
          <w:color w:val="000000"/>
          <w:sz w:val="24"/>
          <w:szCs w:val="24"/>
        </w:rPr>
      </w:pPr>
      <w:bookmarkStart w:id="142" w:name="_Toc23782"/>
      <w:bookmarkStart w:id="143" w:name="_Toc12222"/>
      <w:r>
        <w:rPr>
          <w:rFonts w:hint="eastAsia" w:ascii="宋体" w:hAnsi="宋体" w:eastAsia="宋体" w:cs="宋体"/>
          <w:b/>
          <w:bCs/>
          <w:color w:val="000000"/>
          <w:sz w:val="24"/>
          <w:szCs w:val="24"/>
        </w:rPr>
        <w:t xml:space="preserve">5.2.2 </w:t>
      </w:r>
      <w:r>
        <w:rPr>
          <w:rFonts w:hint="eastAsia" w:ascii="宋体" w:hAnsi="宋体" w:eastAsia="宋体" w:cs="宋体"/>
          <w:color w:val="000000"/>
          <w:sz w:val="24"/>
          <w:szCs w:val="24"/>
        </w:rPr>
        <w:t>对智慧社区可视化大屏系统集成</w:t>
      </w:r>
      <w:bookmarkEnd w:id="142"/>
      <w:bookmarkEnd w:id="143"/>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基于街道层面集成社区智慧党建、智慧治理、智慧安防可视化大屏。</w:t>
      </w:r>
    </w:p>
    <w:p>
      <w:pPr>
        <w:spacing w:line="360" w:lineRule="auto"/>
        <w:ind w:firstLine="482" w:firstLineChars="200"/>
        <w:jc w:val="left"/>
        <w:rPr>
          <w:rFonts w:hint="eastAsia" w:ascii="宋体" w:hAnsi="宋体" w:eastAsia="宋体" w:cs="宋体"/>
          <w:color w:val="000000"/>
          <w:sz w:val="24"/>
          <w:szCs w:val="24"/>
        </w:rPr>
      </w:pPr>
      <w:bookmarkStart w:id="144" w:name="_Toc1639"/>
      <w:bookmarkStart w:id="145" w:name="_Toc801"/>
      <w:r>
        <w:rPr>
          <w:rFonts w:hint="eastAsia" w:ascii="宋体" w:hAnsi="宋体" w:eastAsia="宋体" w:cs="宋体"/>
          <w:b/>
          <w:bCs/>
          <w:color w:val="000000"/>
          <w:sz w:val="24"/>
          <w:szCs w:val="24"/>
        </w:rPr>
        <w:t xml:space="preserve">5.2.3 </w:t>
      </w:r>
      <w:r>
        <w:rPr>
          <w:rFonts w:hint="eastAsia" w:ascii="宋体" w:hAnsi="宋体" w:eastAsia="宋体" w:cs="宋体"/>
          <w:color w:val="000000"/>
          <w:sz w:val="24"/>
          <w:szCs w:val="24"/>
        </w:rPr>
        <w:t>智慧商圈系统建设</w:t>
      </w:r>
      <w:bookmarkEnd w:id="144"/>
      <w:bookmarkEnd w:id="145"/>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紧密围绕居民微生活服务业，以辖域人口资源、消费资源为撬动，吸引和筛选辖域内优质商家在平台系统进行在线服务提供，鼓励商家在提供服务的同时提供相应公益服务、积分兑换、就业岗位、福利放送等内容。以此，推动商居联盟线上线下协同发展，促进治理多元化建设。</w:t>
      </w:r>
    </w:p>
    <w:p>
      <w:pPr>
        <w:spacing w:line="360" w:lineRule="auto"/>
        <w:ind w:firstLine="482" w:firstLineChars="200"/>
        <w:jc w:val="left"/>
        <w:rPr>
          <w:rFonts w:hint="eastAsia" w:ascii="宋体" w:hAnsi="宋体" w:eastAsia="宋体" w:cs="宋体"/>
          <w:color w:val="000000"/>
          <w:sz w:val="24"/>
          <w:szCs w:val="24"/>
        </w:rPr>
      </w:pPr>
      <w:bookmarkStart w:id="146" w:name="_Toc2322"/>
      <w:bookmarkStart w:id="147" w:name="_Toc18811"/>
      <w:r>
        <w:rPr>
          <w:rFonts w:hint="eastAsia" w:ascii="宋体" w:hAnsi="宋体" w:eastAsia="宋体" w:cs="宋体"/>
          <w:b/>
          <w:bCs/>
          <w:color w:val="000000"/>
          <w:sz w:val="24"/>
          <w:szCs w:val="24"/>
        </w:rPr>
        <w:t xml:space="preserve">5.2.4 </w:t>
      </w:r>
      <w:r>
        <w:rPr>
          <w:rFonts w:hint="eastAsia" w:ascii="宋体" w:hAnsi="宋体" w:eastAsia="宋体" w:cs="宋体"/>
          <w:color w:val="000000"/>
          <w:sz w:val="24"/>
          <w:szCs w:val="24"/>
        </w:rPr>
        <w:t>基于GIS地图的指挥平台集成</w:t>
      </w:r>
      <w:bookmarkEnd w:id="146"/>
      <w:bookmarkEnd w:id="147"/>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基于街道层面集成社区的GIS地图指挥平台。</w:t>
      </w:r>
    </w:p>
    <w:p>
      <w:pPr>
        <w:spacing w:line="360" w:lineRule="auto"/>
        <w:ind w:firstLine="482" w:firstLineChars="200"/>
        <w:jc w:val="left"/>
        <w:rPr>
          <w:rFonts w:hint="eastAsia" w:ascii="宋体" w:hAnsi="宋体" w:eastAsia="宋体" w:cs="宋体"/>
          <w:color w:val="000000"/>
          <w:sz w:val="24"/>
          <w:szCs w:val="24"/>
        </w:rPr>
      </w:pPr>
      <w:bookmarkStart w:id="148" w:name="_Toc18468"/>
      <w:bookmarkStart w:id="149" w:name="_Toc12734"/>
      <w:r>
        <w:rPr>
          <w:rFonts w:hint="eastAsia" w:ascii="宋体" w:hAnsi="宋体" w:eastAsia="宋体" w:cs="宋体"/>
          <w:b/>
          <w:bCs/>
          <w:color w:val="000000"/>
          <w:sz w:val="24"/>
          <w:szCs w:val="24"/>
        </w:rPr>
        <w:t xml:space="preserve">5.2.5 </w:t>
      </w:r>
      <w:r>
        <w:rPr>
          <w:rFonts w:hint="eastAsia" w:ascii="宋体" w:hAnsi="宋体" w:eastAsia="宋体" w:cs="宋体"/>
          <w:color w:val="000000"/>
          <w:sz w:val="24"/>
          <w:szCs w:val="24"/>
        </w:rPr>
        <w:t>街道指挥中心</w:t>
      </w:r>
      <w:bookmarkEnd w:id="148"/>
      <w:bookmarkEnd w:id="149"/>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基于街道层面集成社区指挥中心的视频监控和统一调度指挥。</w:t>
      </w:r>
    </w:p>
    <w:p>
      <w:pPr>
        <w:spacing w:line="360" w:lineRule="auto"/>
        <w:ind w:firstLine="482" w:firstLineChars="200"/>
        <w:jc w:val="left"/>
        <w:rPr>
          <w:rFonts w:hint="eastAsia" w:ascii="宋体" w:hAnsi="宋体" w:eastAsia="宋体" w:cs="宋体"/>
          <w:color w:val="000000"/>
          <w:sz w:val="24"/>
          <w:szCs w:val="24"/>
        </w:rPr>
      </w:pPr>
      <w:bookmarkStart w:id="150" w:name="_Toc10408"/>
      <w:r>
        <w:rPr>
          <w:rFonts w:hint="eastAsia" w:ascii="宋体" w:hAnsi="宋体" w:eastAsia="宋体" w:cs="宋体"/>
          <w:b/>
          <w:bCs/>
          <w:color w:val="000000"/>
          <w:sz w:val="24"/>
          <w:szCs w:val="24"/>
        </w:rPr>
        <w:t>5.2.6</w:t>
      </w:r>
      <w:r>
        <w:rPr>
          <w:rFonts w:hint="eastAsia" w:ascii="宋体" w:hAnsi="宋体" w:eastAsia="宋体" w:cs="宋体"/>
          <w:color w:val="000000"/>
          <w:sz w:val="24"/>
          <w:szCs w:val="24"/>
        </w:rPr>
        <w:t xml:space="preserve"> 街道信息发布系统</w:t>
      </w:r>
      <w:bookmarkEnd w:id="150"/>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基于街道层面集成前端各个信息发布屏，通过统一管理平台实现对各前端系统进行图文信息、视频信息的发布或者推送及数据的可视化呈现。</w:t>
      </w:r>
    </w:p>
    <w:p>
      <w:pPr>
        <w:spacing w:line="360" w:lineRule="auto"/>
        <w:ind w:firstLine="482" w:firstLineChars="200"/>
        <w:jc w:val="left"/>
        <w:rPr>
          <w:rFonts w:hint="eastAsia" w:ascii="宋体" w:hAnsi="宋体" w:eastAsia="宋体" w:cs="宋体"/>
          <w:color w:val="000000"/>
          <w:sz w:val="24"/>
          <w:szCs w:val="24"/>
        </w:rPr>
      </w:pPr>
      <w:bookmarkStart w:id="151" w:name="_Toc15268"/>
      <w:bookmarkStart w:id="152" w:name="_Toc23698"/>
      <w:r>
        <w:rPr>
          <w:rFonts w:hint="eastAsia" w:ascii="宋体" w:hAnsi="宋体" w:eastAsia="宋体" w:cs="宋体"/>
          <w:b/>
          <w:bCs/>
          <w:color w:val="000000"/>
          <w:sz w:val="24"/>
          <w:szCs w:val="24"/>
        </w:rPr>
        <w:t>5.3</w:t>
      </w:r>
      <w:r>
        <w:rPr>
          <w:rFonts w:hint="eastAsia" w:ascii="宋体" w:hAnsi="宋体" w:eastAsia="宋体" w:cs="宋体"/>
          <w:color w:val="000000"/>
          <w:sz w:val="24"/>
          <w:szCs w:val="24"/>
        </w:rPr>
        <w:t>居民互动服务平台（小程序升级）</w:t>
      </w:r>
      <w:bookmarkEnd w:id="151"/>
      <w:bookmarkEnd w:id="152"/>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以多元发动、服务供给、便民生活为出发点，以微信生态小程序为居民应用端口，以居民“刚需”、“高频”服务需求及诉求为切入点，升级优化现有小程序，提高居民的日常使用率，保证系统平台活力。</w:t>
      </w:r>
    </w:p>
    <w:p>
      <w:pPr>
        <w:spacing w:line="360" w:lineRule="auto"/>
        <w:ind w:firstLine="482" w:firstLineChars="200"/>
        <w:jc w:val="left"/>
        <w:rPr>
          <w:rFonts w:hint="eastAsia" w:ascii="宋体" w:hAnsi="宋体" w:eastAsia="宋体" w:cs="宋体"/>
          <w:color w:val="000000"/>
          <w:sz w:val="24"/>
          <w:szCs w:val="24"/>
        </w:rPr>
      </w:pPr>
      <w:bookmarkStart w:id="153" w:name="_Toc22945"/>
      <w:bookmarkStart w:id="154" w:name="_Toc16289"/>
      <w:r>
        <w:rPr>
          <w:rFonts w:hint="eastAsia" w:ascii="宋体" w:hAnsi="宋体" w:eastAsia="宋体" w:cs="宋体"/>
          <w:b/>
          <w:bCs/>
          <w:color w:val="000000"/>
          <w:sz w:val="24"/>
          <w:szCs w:val="24"/>
        </w:rPr>
        <w:t>5.4</w:t>
      </w:r>
      <w:r>
        <w:rPr>
          <w:rFonts w:hint="eastAsia" w:ascii="宋体" w:hAnsi="宋体" w:eastAsia="宋体" w:cs="宋体"/>
          <w:color w:val="000000"/>
          <w:sz w:val="24"/>
          <w:szCs w:val="24"/>
        </w:rPr>
        <w:t>智慧社区人才培养（线下培训）</w:t>
      </w:r>
      <w:bookmarkEnd w:id="153"/>
      <w:bookmarkEnd w:id="154"/>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为保障智慧社区长期有效运转，对街道及每一个社区进行阶段式专题培训，每个社区至少培养一名专职专业智慧社区人才，负责智慧社区系统日常运营、数据更新、系统操作及维护。</w:t>
      </w:r>
    </w:p>
    <w:p>
      <w:pPr>
        <w:spacing w:line="360" w:lineRule="auto"/>
        <w:ind w:firstLine="482" w:firstLineChars="200"/>
        <w:jc w:val="left"/>
        <w:rPr>
          <w:rFonts w:hint="eastAsia" w:ascii="宋体" w:hAnsi="宋体" w:eastAsia="宋体" w:cs="宋体"/>
          <w:color w:val="000000"/>
          <w:sz w:val="24"/>
          <w:szCs w:val="24"/>
        </w:rPr>
      </w:pPr>
      <w:bookmarkStart w:id="155" w:name="_Toc32587"/>
      <w:bookmarkStart w:id="156" w:name="_Toc11404"/>
      <w:r>
        <w:rPr>
          <w:rFonts w:hint="eastAsia" w:ascii="宋体" w:hAnsi="宋体" w:eastAsia="宋体" w:cs="宋体"/>
          <w:b/>
          <w:bCs/>
          <w:color w:val="000000"/>
          <w:sz w:val="24"/>
          <w:szCs w:val="24"/>
        </w:rPr>
        <w:t>5.5</w:t>
      </w:r>
      <w:r>
        <w:rPr>
          <w:rFonts w:hint="eastAsia" w:ascii="宋体" w:hAnsi="宋体" w:eastAsia="宋体" w:cs="宋体"/>
          <w:color w:val="000000"/>
          <w:sz w:val="24"/>
          <w:szCs w:val="24"/>
        </w:rPr>
        <w:t>标准化全源数据模型建设</w:t>
      </w:r>
      <w:bookmarkEnd w:id="155"/>
      <w:bookmarkEnd w:id="156"/>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充分结合公安、民政、住建、妇联等职能部门要求，对各类治理数据进行标准化模型设计，确保各端口数据无缝衔接。以单向读取、双向沟通、云端存储、IP设定、身份验证等手段保障数据安全性。标准化的全源数据库将有效实现用数据代替臆测，用客观代替主观，用信息化形成属性分类。</w:t>
      </w:r>
    </w:p>
    <w:p>
      <w:pPr>
        <w:spacing w:line="360" w:lineRule="auto"/>
        <w:ind w:firstLine="482" w:firstLineChars="200"/>
        <w:jc w:val="left"/>
        <w:rPr>
          <w:rFonts w:hint="eastAsia" w:ascii="宋体" w:hAnsi="宋体" w:eastAsia="宋体" w:cs="宋体"/>
          <w:color w:val="000000"/>
          <w:sz w:val="24"/>
          <w:szCs w:val="24"/>
        </w:rPr>
      </w:pPr>
      <w:bookmarkStart w:id="157" w:name="_Toc15992"/>
      <w:bookmarkStart w:id="158" w:name="_Toc7794"/>
      <w:r>
        <w:rPr>
          <w:rFonts w:hint="eastAsia" w:ascii="宋体" w:hAnsi="宋体" w:eastAsia="宋体" w:cs="宋体"/>
          <w:b/>
          <w:bCs/>
          <w:color w:val="000000"/>
          <w:sz w:val="24"/>
          <w:szCs w:val="24"/>
        </w:rPr>
        <w:t>5.6</w:t>
      </w:r>
      <w:r>
        <w:rPr>
          <w:rFonts w:hint="eastAsia" w:ascii="宋体" w:hAnsi="宋体" w:eastAsia="宋体" w:cs="宋体"/>
          <w:color w:val="000000"/>
          <w:sz w:val="24"/>
          <w:szCs w:val="24"/>
        </w:rPr>
        <w:t>智能小区建设</w:t>
      </w:r>
      <w:bookmarkEnd w:id="157"/>
      <w:bookmarkEnd w:id="158"/>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通过摄像头（人脸识别、测温）、门禁道闸、户外大屏等智慧硬件构建立体化智慧社区基础底座，以物联网、互联网链接软件系统平台，打通动态数据采集端口，实现数据动态监测，远程实时调度。</w:t>
      </w:r>
    </w:p>
    <w:p>
      <w:pPr>
        <w:spacing w:line="360" w:lineRule="auto"/>
        <w:ind w:firstLine="482" w:firstLineChars="200"/>
        <w:jc w:val="left"/>
        <w:rPr>
          <w:rFonts w:hint="eastAsia" w:ascii="宋体" w:hAnsi="宋体" w:eastAsia="宋体" w:cs="宋体"/>
          <w:color w:val="000000"/>
          <w:sz w:val="24"/>
          <w:szCs w:val="24"/>
        </w:rPr>
      </w:pPr>
      <w:bookmarkStart w:id="159" w:name="_Toc19702"/>
      <w:bookmarkStart w:id="160" w:name="_Toc24738"/>
      <w:r>
        <w:rPr>
          <w:rFonts w:hint="eastAsia" w:ascii="宋体" w:hAnsi="宋体" w:eastAsia="宋体" w:cs="宋体"/>
          <w:b/>
          <w:bCs/>
          <w:color w:val="000000"/>
          <w:sz w:val="24"/>
          <w:szCs w:val="24"/>
        </w:rPr>
        <w:t>5.7</w:t>
      </w:r>
      <w:r>
        <w:rPr>
          <w:rFonts w:hint="eastAsia" w:ascii="宋体" w:hAnsi="宋体" w:eastAsia="宋体" w:cs="宋体"/>
          <w:color w:val="000000"/>
          <w:sz w:val="24"/>
          <w:szCs w:val="24"/>
        </w:rPr>
        <w:t>治理工具建设</w:t>
      </w:r>
      <w:bookmarkEnd w:id="159"/>
      <w:bookmarkEnd w:id="160"/>
    </w:p>
    <w:p>
      <w:pPr>
        <w:spacing w:line="360" w:lineRule="auto"/>
        <w:ind w:firstLine="480" w:firstLineChars="200"/>
        <w:jc w:val="left"/>
        <w:rPr>
          <w:rFonts w:hint="eastAsia" w:ascii="宋体" w:hAnsi="宋体" w:eastAsia="宋体" w:cs="宋体"/>
        </w:rPr>
      </w:pPr>
      <w:r>
        <w:rPr>
          <w:rFonts w:hint="eastAsia" w:ascii="宋体" w:hAnsi="宋体" w:eastAsia="宋体" w:cs="宋体"/>
          <w:color w:val="000000"/>
          <w:sz w:val="24"/>
          <w:szCs w:val="24"/>
        </w:rPr>
        <w:t>根据基层工作街道204项、社区70项，治理工作六大类分类特点，构建若干治理工具，如：一键触达、一键呼叫、活动通知、投诉意见、轨迹分析、数据采集、在线预约等实用性治理工具，补充基层治理手段，提升治理效能，减轻工作压力。</w:t>
      </w:r>
    </w:p>
    <w:p>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服务清单及技术</w:t>
      </w:r>
      <w:r>
        <w:rPr>
          <w:rFonts w:hint="eastAsia" w:ascii="宋体" w:hAnsi="宋体" w:eastAsia="宋体" w:cs="宋体"/>
          <w:sz w:val="24"/>
          <w:szCs w:val="24"/>
          <w:lang w:eastAsia="zh-CN"/>
        </w:rPr>
        <w:t>参数</w:t>
      </w:r>
      <w:r>
        <w:rPr>
          <w:rFonts w:hint="eastAsia" w:ascii="宋体" w:hAnsi="宋体" w:eastAsia="宋体" w:cs="宋体"/>
          <w:sz w:val="24"/>
          <w:szCs w:val="24"/>
        </w:rPr>
        <w:t>要求</w:t>
      </w:r>
    </w:p>
    <w:tbl>
      <w:tblPr>
        <w:tblStyle w:val="28"/>
        <w:tblW w:w="9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7"/>
        <w:gridCol w:w="766"/>
        <w:gridCol w:w="901"/>
        <w:gridCol w:w="5442"/>
        <w:gridCol w:w="464"/>
        <w:gridCol w:w="707"/>
        <w:gridCol w:w="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功能</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模块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子项</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功能</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技术参数要求</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应用对象</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95"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智慧社区治理</w:t>
            </w:r>
            <w:r>
              <w:rPr>
                <w:rFonts w:hint="eastAsia" w:ascii="宋体" w:hAnsi="宋体" w:eastAsia="宋体" w:cs="宋体"/>
                <w:i w:val="0"/>
                <w:color w:val="000000"/>
                <w:kern w:val="0"/>
                <w:sz w:val="21"/>
                <w:szCs w:val="21"/>
                <w:u w:val="none"/>
                <w:lang w:eastAsia="zh-CN" w:bidi="ar"/>
              </w:rPr>
              <w:t>云</w:t>
            </w:r>
            <w:r>
              <w:rPr>
                <w:rFonts w:hint="eastAsia" w:ascii="宋体" w:hAnsi="宋体" w:eastAsia="宋体" w:cs="宋体"/>
                <w:i w:val="0"/>
                <w:color w:val="000000"/>
                <w:kern w:val="0"/>
                <w:sz w:val="21"/>
                <w:szCs w:val="21"/>
                <w:u w:val="none"/>
                <w:lang w:val="en-US" w:eastAsia="zh-CN" w:bidi="ar"/>
              </w:rPr>
              <w:t>平台升级改造</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党组织、党员管理功能的升级改造</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将现有系统的党组织、党员管理进行升级改造为具有数据关联性的智慧党建系统：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（1）将党组织管理、在册党员管理、流动党员管理数据模板进行标准化。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（2）提供各模板数据一键导入及数据导出功能。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（3）将党建宣传工作、党组织活动发布和签到及党建会议、党建课程在线学习以及党员积分管理、党建工作、党委动态结合进智慧党建系统。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（4）实现对流动党员进行在线认证机制，通过在线认证完成党员归属问题解决。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（5）通过可视化界面设计完成对辖区党员实行亮身份及组织架构呈现。</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45"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组织机构管理、网格管理、小区院落管理、人群管理、议事会管理功能的升级改造</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将现有系统分离化的组织机构管理、网格管理、小区院落管理、人群管理、议事会管理功能升级改造，整合为智慧治理系统：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（1）升级改造为社区-&gt;网格-&gt;小区的数据结构体系。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（2）将小区院落、重点人群、住户数据模板进行标准化并实现模板一键导入及数据导出功能；建设小区、房屋、住户、车辆数据之间的关联性。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（3）将组织机构管理升级优化，将组织机构的精细化分类为：社会组织及成员管理、社区合伙人(个人/组织)管理、自组织及成员管理、驻区单位管理等；实现各分类组织的模板数据一键导入及数据导出功能。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（4）将议事会管理功能升级改造为自治组织管理，分为业委会及成员管理、居务监督委员会管理、居民议事会管理、居民代表管理、人员公示5个子板块。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（5）增加志愿者及志愿者积分管理板块，志愿者商城积分兑换，志愿者登记等。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（6）增加街区管理板块，包含街区、门牌号、店铺及店铺员工管理4个子板块并提供数据模板的一键导入和数据导出功能。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（7）增加空间管理板块，实现社区空间的在线展现并提供小程序用户的空间在线预约、预约查询、预约黑名单、预约开放设置等功能。</w:t>
            </w:r>
          </w:p>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（8）增加物业模块，对物业的公示、报修、缴费查询、财务公开及一键呼叫与身份认证功能。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（9）社区事务管理，对各项业务（卫生与健康类、创业就业类、民生服务类等）进行梳理并对办事指南、业务申请、咨询热线进行呈现。</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6"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网格管理、停车场管理、门禁管理系统、未成年人/重点人群/特殊人群管理功能的升级改造</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将现有系统的网格管理、停车场管理、门禁管理系统、未成年人/重点人群/特殊人群管理升级改造为智慧安全系统: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（1）对网格、网格人员、网格事件、社区管理员、进行集成化管理；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（2）对车辆、停车场、门禁道闸、高空抛物、人群聚集、信息发布系统、公共场所等进行监测管理；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（3）升级优化人群标签，形成精细化分类:离休干部、孤寡老人、留守儿童、残疾人士、低保人员、吸毒人员、邪教人员、优抚人员等。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（4）提供对接社区管辖范围类各小区的监控终端及门禁设备的能力和数据分析、预警能力。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（5）实现各安全终端数据边缘分析与处理能力，通过对指定行为实现边缘算法的模型训练与部署能力以及行为告警。</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75"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社区活动管理、圈子管理、资讯发布管理、横幅管理、投票管理功能的升级改造</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将现有系统的社区活动管理、圈子管理、资讯发布管理、横幅管理、投票管理功能升级改造为社区治理工具：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优化改造社区活动管理，建设社区活动二维码，形成线上活动发布，用户在线扫码参与活动的流程闭环，打造用户积分体系并统计用户参与活动记录，用户活动现场实现活动签到功能。优化改造投票管理，实现如投票人限制的自定义功能以及跟踪分析各活动报名人员信息，投票人员明细，是否业主等。优化改造咨讯发布、横幅管理功能，形成资讯发布的区分化：社区通告、社区文章、群众之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）根据基层工作街道204项、社区70项，进行治理工作六大类分类特点，构建若干治理工具，如：红袖套、书记信箱、办事咨询、纠纷调节等。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）建设短信群发功能，实现短信模板自定义、发送人群筛选的一键群发功能，针对妇女筛查、高龄老人、用户特长可实现精准通知。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）构建社区安全教育、健康防疫阵地以及心灵驿站平台搭建。</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5"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建设智慧服务系统</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整合各类公共事物办事指南，进行集成化；</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根据居民生活服务需求将维修维保、家政服务、活动植入等；</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咨询服务、便民电话本、人员通讯录等；</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便民信息服务如房屋租赁、土地招商、就业信息等；</w:t>
            </w:r>
          </w:p>
          <w:p>
            <w:pPr>
              <w:keepNext w:val="0"/>
              <w:keepLines w:val="0"/>
              <w:widowControl/>
              <w:numPr>
                <w:ilvl w:val="0"/>
                <w:numId w:val="4"/>
              </w:numPr>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房屋管理服务如户主绑定、家庭成员管理、访客登记。</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可视化大屏系统的升级改造</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基于系统的升级改造，升级改造社区可视化大屏系统：</w:t>
            </w:r>
            <w:r>
              <w:rPr>
                <w:rFonts w:hint="eastAsia" w:ascii="宋体" w:hAnsi="宋体" w:eastAsia="宋体" w:cs="宋体"/>
                <w:sz w:val="21"/>
                <w:szCs w:val="21"/>
                <w:lang w:val="en-US" w:eastAsia="zh-CN"/>
              </w:rPr>
              <w:br w:type="textWrapping"/>
            </w: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sz w:val="21"/>
                <w:szCs w:val="21"/>
                <w:lang w:val="en-US" w:eastAsia="zh-CN"/>
              </w:rPr>
              <w:t>社区智慧党建可视化大屏</w:t>
            </w:r>
            <w:r>
              <w:rPr>
                <w:rFonts w:hint="eastAsia" w:ascii="宋体" w:hAnsi="宋体" w:eastAsia="宋体" w:cs="宋体"/>
                <w:sz w:val="21"/>
                <w:szCs w:val="21"/>
                <w:lang w:val="en-US" w:eastAsia="zh-CN"/>
              </w:rPr>
              <w:br w:type="textWrapping"/>
            </w:r>
            <w:r>
              <w:rPr>
                <w:rFonts w:hint="eastAsia" w:ascii="宋体" w:hAnsi="宋体" w:eastAsia="宋体" w:cs="宋体"/>
                <w:sz w:val="21"/>
                <w:szCs w:val="21"/>
              </w:rPr>
              <w:t>▲</w:t>
            </w:r>
            <w:r>
              <w:rPr>
                <w:rFonts w:hint="eastAsia" w:ascii="宋体" w:hAnsi="宋体" w:eastAsia="宋体" w:cs="宋体"/>
                <w:i w:val="0"/>
                <w:color w:val="000000"/>
                <w:kern w:val="0"/>
                <w:sz w:val="21"/>
                <w:szCs w:val="21"/>
                <w:u w:val="none"/>
                <w:lang w:val="en-US" w:eastAsia="zh-CN" w:bidi="ar"/>
              </w:rPr>
              <w:t>（2）社区智慧治理可视化大屏</w:t>
            </w:r>
            <w:r>
              <w:rPr>
                <w:rFonts w:hint="eastAsia" w:ascii="宋体" w:hAnsi="宋体" w:eastAsia="宋体" w:cs="宋体"/>
                <w:sz w:val="21"/>
                <w:szCs w:val="21"/>
                <w:lang w:val="en-US" w:eastAsia="zh-CN"/>
              </w:rPr>
              <w:br w:type="textWrapping"/>
            </w:r>
            <w:r>
              <w:rPr>
                <w:rFonts w:hint="eastAsia" w:ascii="宋体" w:hAnsi="宋体" w:eastAsia="宋体" w:cs="宋体"/>
                <w:i w:val="0"/>
                <w:color w:val="000000"/>
                <w:kern w:val="0"/>
                <w:sz w:val="21"/>
                <w:szCs w:val="21"/>
                <w:u w:val="none"/>
                <w:lang w:val="en-US" w:eastAsia="zh-CN" w:bidi="ar"/>
              </w:rPr>
              <w:t>（3）社区智慧安防可视化大屏</w:t>
            </w:r>
          </w:p>
          <w:p>
            <w:pPr>
              <w:pStyle w:val="2"/>
              <w:spacing w:line="240" w:lineRule="auto"/>
              <w:rPr>
                <w:rFonts w:hint="eastAsia" w:ascii="宋体" w:hAnsi="宋体" w:eastAsia="宋体" w:cs="宋体"/>
                <w:sz w:val="21"/>
                <w:szCs w:val="21"/>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（4）提供相关智慧社区软件著作权复印件（加盖供应商公章）。</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智慧街道综合管理</w:t>
            </w:r>
            <w:r>
              <w:rPr>
                <w:rFonts w:hint="eastAsia" w:ascii="宋体" w:hAnsi="宋体" w:eastAsia="宋体" w:cs="宋体"/>
                <w:i w:val="0"/>
                <w:color w:val="000000"/>
                <w:kern w:val="0"/>
                <w:sz w:val="21"/>
                <w:szCs w:val="21"/>
                <w:u w:val="none"/>
                <w:lang w:eastAsia="zh-CN" w:bidi="ar"/>
              </w:rPr>
              <w:t>云</w:t>
            </w:r>
            <w:r>
              <w:rPr>
                <w:rFonts w:hint="eastAsia" w:ascii="宋体" w:hAnsi="宋体" w:eastAsia="宋体" w:cs="宋体"/>
                <w:i w:val="0"/>
                <w:color w:val="000000"/>
                <w:kern w:val="0"/>
                <w:sz w:val="21"/>
                <w:szCs w:val="21"/>
                <w:u w:val="none"/>
                <w:lang w:val="en-US" w:eastAsia="zh-CN" w:bidi="ar"/>
              </w:rPr>
              <w:t>平台</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街道-社区治理平台数据集成</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（1）实现街道-社区的智慧党建、智慧治理、智慧安全、智慧服务四大子系统及治理工具的两级数据交互和集成</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可视化大屏系统集成</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sz w:val="21"/>
                <w:szCs w:val="21"/>
                <w:lang w:val="en-US" w:eastAsia="zh-CN"/>
              </w:rPr>
              <w:t>基于街道层面集成社区智慧党建、智慧治理、智慧安防可视化大屏</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街道智慧商圈系统</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sz w:val="21"/>
                <w:szCs w:val="21"/>
                <w:lang w:val="en-US" w:eastAsia="zh-CN"/>
              </w:rPr>
              <w:t>整合辖域内各类商家资源，实现线上统筹管理，活动发布、优惠券发放、用户积分兑换；商家信息登记、商户导航、商户呼叫等功能</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街道/社区/商家/居民</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基于GIS地图的指挥平台集成</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基于街道层面集成社区的GIS地图指挥平台，实现对街道管辖社区数据的整体</w:t>
            </w:r>
            <w:r>
              <w:rPr>
                <w:rFonts w:hint="eastAsia" w:ascii="宋体" w:hAnsi="宋体" w:eastAsia="宋体" w:cs="宋体"/>
                <w:sz w:val="21"/>
                <w:szCs w:val="21"/>
                <w:lang w:eastAsia="zh-CN"/>
              </w:rPr>
              <w:t>可视化</w:t>
            </w:r>
            <w:r>
              <w:rPr>
                <w:rFonts w:hint="eastAsia" w:ascii="宋体" w:hAnsi="宋体" w:eastAsia="宋体" w:cs="宋体"/>
                <w:sz w:val="21"/>
                <w:szCs w:val="21"/>
                <w:lang w:val="en-US" w:eastAsia="zh-CN"/>
              </w:rPr>
              <w:t>呈现</w:t>
            </w:r>
            <w:r>
              <w:rPr>
                <w:rFonts w:hint="eastAsia" w:ascii="宋体" w:hAnsi="宋体" w:eastAsia="宋体" w:cs="宋体"/>
                <w:sz w:val="21"/>
                <w:szCs w:val="21"/>
                <w:lang w:eastAsia="zh-CN"/>
              </w:rPr>
              <w:t>。</w:t>
            </w:r>
          </w:p>
          <w:p>
            <w:pPr>
              <w:pStyle w:val="2"/>
              <w:spacing w:line="240" w:lineRule="auto"/>
              <w:rPr>
                <w:rFonts w:hint="eastAsia" w:ascii="宋体" w:hAnsi="宋体" w:eastAsia="宋体" w:cs="宋体"/>
                <w:sz w:val="21"/>
                <w:szCs w:val="21"/>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kern w:val="2"/>
                <w:sz w:val="21"/>
                <w:szCs w:val="21"/>
                <w:lang w:val="en-US" w:eastAsia="zh-CN" w:bidi="ar-SA"/>
              </w:rPr>
              <w:t>（2）提供相关物联网三维或二维可视化软件著作权</w:t>
            </w:r>
            <w:r>
              <w:rPr>
                <w:rFonts w:hint="eastAsia" w:ascii="宋体" w:hAnsi="宋体" w:eastAsia="宋体" w:cs="宋体"/>
                <w:i w:val="0"/>
                <w:color w:val="000000"/>
                <w:kern w:val="0"/>
                <w:sz w:val="21"/>
                <w:szCs w:val="21"/>
                <w:u w:val="none"/>
                <w:lang w:val="en-US" w:eastAsia="zh-CN" w:bidi="ar"/>
              </w:rPr>
              <w:t>复印件（加盖供应商公章）。</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信息发布系统</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对</w:t>
            </w:r>
            <w:r>
              <w:rPr>
                <w:rFonts w:hint="eastAsia" w:ascii="宋体" w:hAnsi="宋体" w:eastAsia="宋体" w:cs="宋体"/>
                <w:sz w:val="21"/>
                <w:szCs w:val="21"/>
                <w:lang w:val="en-US" w:eastAsia="zh-CN"/>
              </w:rPr>
              <w:t>指定的信息发布屏推送图文信息、视频信息，设定信息展现时间、展现时长，可进一步实现分屏显示和运行监控、自定义数据可视化呈现等</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街道统一调度平台集成</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sz w:val="21"/>
                <w:szCs w:val="21"/>
                <w:lang w:val="en-US" w:eastAsia="zh-CN"/>
              </w:rPr>
              <w:t>基于街道层面集成社区指挥中心的视频监控和统一调度</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居民互动服务平台</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小程序优化改造</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优化改造现有小程序：主要分为居民用户端和网格员端：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（1）基于智慧社区治理平台的升级改造，对数据接口进行相应的优化升级。建立以微信生态小程序为基础的居民应用端口，实现居民意见诉求、事务查询、服务查找、积分在线兑换商品等功能；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（2）增加网格员功能板块，实现房屋、小区、住户、商铺数据的在线快速录取和数据统计；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sz w:val="21"/>
                <w:szCs w:val="21"/>
                <w:lang w:val="en-US" w:eastAsia="zh-CN"/>
              </w:rPr>
              <w:t>通过网格模块实现对各网格住房数据、住户数据、商铺数据、小区数据、楼栋楼层、房屋性质、商铺员工信息等进行管理、检索。</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街道/社区/居民</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全源数据</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基础数据源标准化服务</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i w:val="0"/>
                <w:color w:val="000000"/>
                <w:kern w:val="0"/>
                <w:sz w:val="21"/>
                <w:szCs w:val="21"/>
                <w:u w:val="none"/>
                <w:lang w:val="en-US" w:eastAsia="zh-CN" w:bidi="ar"/>
              </w:rPr>
              <w:t>（1）根据各小区（院落）实际进行规划，各项基础数据初始化、各项指标确认、各种非标数据标准处理</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信息发布屏</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信息展示</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lang w:eastAsia="zh-CN"/>
              </w:rPr>
              <w:t>整机采用高集成模组化设计，标准化电器设计，工作状态一目了然，可实现快速维；</w:t>
            </w:r>
          </w:p>
          <w:p>
            <w:pPr>
              <w:keepNext w:val="0"/>
              <w:keepLines w:val="0"/>
              <w:widowControl/>
              <w:suppressLineNumbers w:val="0"/>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lang w:val="en-US" w:eastAsia="zh-CN"/>
              </w:rPr>
              <w:t>远程升级、统一管控、运行监控、国产芯片、2G内存8G存储、IO接口4路光耦输入4路继电器输出、4路100MRJ45</w:t>
            </w:r>
            <w:r>
              <w:rPr>
                <w:rFonts w:hint="eastAsia" w:ascii="宋体" w:hAnsi="宋体" w:eastAsia="宋体" w:cs="宋体"/>
                <w:sz w:val="21"/>
                <w:szCs w:val="21"/>
                <w:lang w:eastAsia="zh-CN"/>
              </w:rPr>
              <w:t>；</w:t>
            </w:r>
            <w:r>
              <w:rPr>
                <w:rFonts w:hint="eastAsia" w:ascii="宋体" w:hAnsi="宋体" w:eastAsia="宋体" w:cs="宋体"/>
                <w:kern w:val="2"/>
                <w:sz w:val="21"/>
                <w:szCs w:val="21"/>
                <w:lang w:eastAsia="zh-CN" w:bidi="ar-SA"/>
              </w:rPr>
              <w:t>不少于ip65防水等级，采用全户外金属烤漆，防潮、抗紫外线、抗氧化；</w:t>
            </w:r>
            <w:r>
              <w:rPr>
                <w:rFonts w:hint="eastAsia" w:ascii="宋体" w:hAnsi="宋体" w:eastAsia="宋体" w:cs="宋体"/>
                <w:sz w:val="21"/>
                <w:szCs w:val="21"/>
                <w:lang w:eastAsia="zh-CN"/>
              </w:rPr>
              <w:t>采用高亮工业级背光，亮度可达≥1500cd/㎡，加上6MM超白高透防爆钢化玻璃，强光下图像清晰可见；可视面积≥122cm*68cm；</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采用智慧精准温控系统，既散热节能的同时丝毫不影响显示效果；自动环境光感，高温保护，防雷电，防漏电保护，过压超载及防水防盗等全方位保护；</w:t>
            </w:r>
            <w:r>
              <w:rPr>
                <w:rFonts w:hint="eastAsia" w:ascii="宋体" w:hAnsi="宋体" w:eastAsia="宋体" w:cs="宋体"/>
                <w:sz w:val="21"/>
                <w:szCs w:val="21"/>
                <w:lang w:val="en-US" w:eastAsia="zh-CN"/>
              </w:rPr>
              <w:t>支持linux或window操作系统、CPU四核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可实现系统自动烧写并支持LVDS、可视化系统接入与呈现</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超</w:t>
            </w:r>
            <w:r>
              <w:rPr>
                <w:rFonts w:hint="eastAsia" w:ascii="宋体" w:hAnsi="宋体" w:eastAsia="宋体" w:cs="宋体"/>
                <w:kern w:val="2"/>
                <w:sz w:val="21"/>
                <w:szCs w:val="21"/>
                <w:lang w:val="en-US" w:eastAsia="zh-CN" w:bidi="ar-SA"/>
              </w:rPr>
              <w:t>长使用寿命，7*24小时不间断工作，可达5万小时以上。</w:t>
            </w:r>
          </w:p>
          <w:p>
            <w:pPr>
              <w:pStyle w:val="2"/>
              <w:spacing w:line="240" w:lineRule="auto"/>
              <w:rPr>
                <w:rFonts w:hint="eastAsia" w:ascii="宋体" w:hAnsi="宋体" w:eastAsia="宋体" w:cs="宋体"/>
                <w:sz w:val="21"/>
                <w:szCs w:val="21"/>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auto"/>
                <w:kern w:val="2"/>
                <w:sz w:val="21"/>
                <w:szCs w:val="21"/>
                <w:lang w:val="en-US" w:eastAsia="zh-CN" w:bidi="ar-SA"/>
              </w:rPr>
              <w:t>（3）提供相关</w:t>
            </w:r>
            <w:r>
              <w:rPr>
                <w:rFonts w:hint="eastAsia" w:ascii="宋体" w:hAnsi="宋体" w:eastAsia="宋体" w:cs="宋体"/>
                <w:color w:val="auto"/>
                <w:kern w:val="2"/>
                <w:sz w:val="21"/>
                <w:szCs w:val="21"/>
                <w:lang w:eastAsia="zh-CN" w:bidi="ar-SA"/>
              </w:rPr>
              <w:t>信息发布</w:t>
            </w:r>
            <w:r>
              <w:rPr>
                <w:rFonts w:hint="eastAsia" w:ascii="宋体" w:hAnsi="宋体" w:eastAsia="宋体" w:cs="宋体"/>
                <w:color w:val="auto"/>
                <w:kern w:val="2"/>
                <w:sz w:val="21"/>
                <w:szCs w:val="21"/>
                <w:lang w:val="en-US" w:eastAsia="zh-CN" w:bidi="ar-SA"/>
              </w:rPr>
              <w:t>软件著作权</w:t>
            </w:r>
            <w:r>
              <w:rPr>
                <w:rFonts w:hint="eastAsia" w:ascii="宋体" w:hAnsi="宋体" w:eastAsia="宋体" w:cs="宋体"/>
                <w:i w:val="0"/>
                <w:color w:val="000000"/>
                <w:kern w:val="0"/>
                <w:sz w:val="21"/>
                <w:szCs w:val="21"/>
                <w:u w:val="none"/>
                <w:lang w:val="en-US" w:eastAsia="zh-CN" w:bidi="ar"/>
              </w:rPr>
              <w:t>复印件（加盖供应商公章）。</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专线宽带服务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（1）专线宽带</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云主机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（1）云主机</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街道/社区</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rPr>
          <w:rFonts w:hint="eastAsia"/>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rPr>
          <w:rFonts w:hint="eastAsia" w:ascii="宋体" w:hAnsi="宋体" w:eastAsia="宋体" w:cs="宋体"/>
          <w:color w:val="auto"/>
          <w:sz w:val="24"/>
          <w:szCs w:val="24"/>
        </w:rPr>
      </w:pPr>
      <w:r>
        <w:rPr>
          <w:rFonts w:hint="eastAsia" w:ascii="宋体" w:hAnsi="宋体" w:cs="宋体"/>
          <w:b/>
          <w:bCs/>
          <w:color w:val="auto"/>
          <w:sz w:val="24"/>
          <w:szCs w:val="32"/>
          <w:highlight w:val="none"/>
        </w:rPr>
        <w:t>★</w:t>
      </w:r>
      <w:r>
        <w:rPr>
          <w:rFonts w:hint="eastAsia" w:ascii="宋体" w:hAnsi="宋体" w:cs="宋体"/>
          <w:b/>
          <w:bCs/>
          <w:color w:val="auto"/>
          <w:sz w:val="24"/>
          <w:szCs w:val="32"/>
          <w:highlight w:val="none"/>
          <w:lang w:eastAsia="zh-CN"/>
        </w:rPr>
        <w:t>七、</w:t>
      </w:r>
      <w:r>
        <w:rPr>
          <w:rFonts w:hint="eastAsia" w:ascii="宋体" w:hAnsi="宋体" w:eastAsia="宋体" w:cs="宋体"/>
          <w:color w:val="auto"/>
          <w:sz w:val="24"/>
          <w:szCs w:val="24"/>
        </w:rPr>
        <w:t>商务要求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（1）质保期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从安装调试验收合格之日起，质保期不少于1年。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（2）项目工期要求及交货地点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工期：确保合同签订生效后90个工作日内完成配送、安装、调试，并交付采购人验收、使用。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交货地点:采购人指定交货地点。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（3）付款方式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第一批次付款：付款金额：合同总金额的70%。</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下列条件全部满足，可申请项目第一批次进度付款：1、合同签订生效；2、根据采购人要求，中标人安排项目所需技术人员进场并正常开展工作；3、熟悉采购人现有环境及建设方案，并提交经采购人认可的项目实施方案和计划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第二批次付款：付款金额：合同总金额的25%。</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下列条件全部满足，可申请项目</w:t>
      </w:r>
      <w:r>
        <w:rPr>
          <w:rFonts w:hint="eastAsia" w:ascii="宋体" w:hAnsi="宋体" w:eastAsia="宋体" w:cs="宋体"/>
          <w:color w:val="000000" w:themeColor="text1"/>
          <w:sz w:val="24"/>
          <w:szCs w:val="24"/>
          <w14:textFill>
            <w14:solidFill>
              <w14:schemeClr w14:val="tx1"/>
            </w14:solidFill>
          </w14:textFill>
        </w:rPr>
        <w:t>第二批次进度付款：1、如有硬件设备供货的，硬件设备均应安装到位，提交了产品对应的厂家售后服务承诺及供货证明；2、软件平台建设完成开始投入使用。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第三批次付款付款金额：合同总金额的5%。初验完成后1个月系统运行无异常故障。（具体以采购合同所定为准）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（4）组织推广活动要求</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要求成交供应商实施完成后在一个月内组织不少于3场不限人员的培训推广活动，组织推广活动的人员须签到查验，供</w:t>
      </w:r>
      <w:r>
        <w:rPr>
          <w:rFonts w:hint="eastAsia" w:ascii="宋体" w:hAnsi="宋体" w:eastAsia="宋体" w:cs="宋体"/>
          <w:color w:val="000000" w:themeColor="text1"/>
          <w:sz w:val="24"/>
          <w:szCs w:val="24"/>
          <w14:textFill>
            <w14:solidFill>
              <w14:schemeClr w14:val="tx1"/>
            </w14:solidFill>
          </w14:textFill>
        </w:rPr>
        <w:t>应商需提供承诺函。</w:t>
      </w:r>
      <w:r>
        <w:rPr>
          <w:rFonts w:hint="eastAsia" w:ascii="宋体" w:hAnsi="宋体" w:eastAsia="宋体" w:cs="宋体"/>
          <w:b/>
          <w:bCs/>
          <w:color w:val="000000" w:themeColor="text1"/>
          <w:sz w:val="24"/>
          <w:szCs w:val="24"/>
          <w14:textFill>
            <w14:solidFill>
              <w14:schemeClr w14:val="tx1"/>
            </w14:solidFill>
          </w14:textFill>
        </w:rPr>
        <w:t>（实质性要求）</w:t>
      </w:r>
    </w:p>
    <w:p>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验收标准</w:t>
      </w:r>
    </w:p>
    <w:p>
      <w:pPr>
        <w:spacing w:line="360" w:lineRule="auto"/>
        <w:ind w:firstLine="480" w:firstLineChars="200"/>
        <w:rPr>
          <w:rFonts w:hint="eastAsia"/>
          <w:lang w:eastAsia="zh-CN"/>
        </w:rPr>
      </w:pPr>
      <w:r>
        <w:rPr>
          <w:rFonts w:hint="eastAsia" w:ascii="宋体" w:hAnsi="宋体" w:cs="宋体"/>
          <w:sz w:val="24"/>
          <w:szCs w:val="24"/>
          <w:lang w:eastAsia="zh-CN"/>
        </w:rPr>
        <w:t>严格按照《磋商文件》、《合同》、《财政部关于进一步加强政府采购需求和履约验收管理的指导意见》（财库〔2016〕205号）文件等相关要求及国家现行的有关法律法规进行验收。</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rPr>
          <w:rFonts w:hint="eastAsia" w:ascii="宋体" w:hAnsi="宋体" w:eastAsia="宋体" w:cs="宋体"/>
          <w:sz w:val="24"/>
          <w:szCs w:val="24"/>
        </w:rPr>
      </w:pPr>
      <w:r>
        <w:rPr>
          <w:rFonts w:hint="eastAsia" w:ascii="宋体" w:hAnsi="宋体" w:cs="宋体"/>
          <w:b/>
          <w:bCs/>
          <w:color w:val="auto"/>
          <w:sz w:val="24"/>
          <w:szCs w:val="32"/>
          <w:highlight w:val="none"/>
          <w:lang w:eastAsia="zh-CN"/>
        </w:rPr>
        <w:t>八、</w:t>
      </w:r>
      <w:r>
        <w:rPr>
          <w:rFonts w:hint="eastAsia" w:ascii="宋体" w:hAnsi="宋体" w:eastAsia="宋体" w:cs="宋体"/>
          <w:sz w:val="24"/>
          <w:szCs w:val="24"/>
        </w:rPr>
        <w:t>其他服务要求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（1）管理要求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服务期间由供应商负责设备安全管理工作（除被盗、人为破坏和不可抗因素导致的破坏外），概由供应商负责。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服务期间供应商负责免费维护和升级，保证设备及网络正常使用，平台图像显示清晰。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（3）日常运维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供应商投资的设备和承载网络，在合同期内由供应商提供7×24小时的服务保障及网络故障电话申报。开展日常巡检。供应商每月定期对每个监控点的通讯效果和图像效果进行巡检，开展主动性、预防性的检查，对涉及的设备告警、性能、运行状态进行检查分析。同时核对客户的工程技术资料、维护路由、终端设备和内部组网等，保持客户资料的准确性和可用性，对客户端网络资源进行预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）故障响应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对采购人有关维护和技术问题的服务请求，供应商应立即响应，4小时内到达现场，8小时内排除；供应商应派专业技术维修工程师提供现场服务，进行技术调试、故障诊断和排除。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）使用培训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为确保工程在验收后正常运行，供应商为采购人的相关人员在项目验收前进行免费培训，内容如下：①系统组成及原理；②常用的维护操作方法；③系统实际操作技能。</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rPr>
          <w:rFonts w:hint="eastAsia" w:ascii="宋体" w:hAnsi="宋体" w:eastAsia="宋体" w:cs="宋体"/>
          <w:sz w:val="24"/>
          <w:szCs w:val="24"/>
        </w:rPr>
      </w:pPr>
      <w:r>
        <w:rPr>
          <w:rFonts w:hint="eastAsia" w:ascii="宋体" w:hAnsi="宋体" w:cs="宋体"/>
          <w:b/>
          <w:bCs/>
          <w:color w:val="auto"/>
          <w:sz w:val="24"/>
          <w:szCs w:val="32"/>
          <w:highlight w:val="none"/>
          <w:lang w:eastAsia="zh-CN"/>
        </w:rPr>
        <w:t>九、</w:t>
      </w:r>
      <w:r>
        <w:rPr>
          <w:rFonts w:hint="eastAsia" w:ascii="宋体" w:hAnsi="宋体" w:eastAsia="宋体" w:cs="宋体"/>
          <w:sz w:val="24"/>
          <w:szCs w:val="24"/>
        </w:rPr>
        <w:t>项目实施要求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（1）供应商必须制定出详细的切实可行的项目计划，并严格按照计划和规范执行，做好质量保证和质量控制。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（2）供应商应在其组织内部指派一名担负相当责任的项目经理，负责与招标人协调以保证整个工程项目的及时完成。中途不得变更项目经理。项目经理至少应担负下列责任：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与</w:t>
      </w:r>
      <w:r>
        <w:rPr>
          <w:rFonts w:hint="eastAsia" w:ascii="宋体" w:hAnsi="宋体" w:cs="宋体"/>
          <w:sz w:val="24"/>
          <w:szCs w:val="24"/>
          <w:lang w:eastAsia="zh-CN"/>
        </w:rPr>
        <w:t>采购人</w:t>
      </w:r>
      <w:r>
        <w:rPr>
          <w:rFonts w:hint="eastAsia" w:ascii="宋体" w:hAnsi="宋体" w:eastAsia="宋体" w:cs="宋体"/>
          <w:sz w:val="24"/>
          <w:szCs w:val="24"/>
        </w:rPr>
        <w:t>保持联系。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保持与</w:t>
      </w:r>
      <w:r>
        <w:rPr>
          <w:rFonts w:hint="eastAsia" w:ascii="宋体" w:hAnsi="宋体" w:cs="宋体"/>
          <w:sz w:val="24"/>
          <w:szCs w:val="24"/>
          <w:lang w:eastAsia="zh-CN"/>
        </w:rPr>
        <w:t>采购人</w:t>
      </w:r>
      <w:r>
        <w:rPr>
          <w:rFonts w:hint="eastAsia" w:ascii="宋体" w:hAnsi="宋体" w:eastAsia="宋体" w:cs="宋体"/>
          <w:sz w:val="24"/>
          <w:szCs w:val="24"/>
        </w:rPr>
        <w:t>的高效及时的联系，在项目执行期间，项目经理应提供每周7天，每天24小时的移动电话联系方式。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调整工程进度，调度</w:t>
      </w:r>
      <w:r>
        <w:rPr>
          <w:rFonts w:hint="eastAsia" w:ascii="宋体" w:hAnsi="宋体" w:eastAsia="宋体" w:cs="宋体"/>
          <w:sz w:val="24"/>
          <w:szCs w:val="24"/>
          <w:lang w:eastAsia="zh-CN"/>
        </w:rPr>
        <w:t>供应商</w:t>
      </w:r>
      <w:r>
        <w:rPr>
          <w:rFonts w:hint="eastAsia" w:ascii="宋体" w:hAnsi="宋体" w:eastAsia="宋体" w:cs="宋体"/>
          <w:sz w:val="24"/>
          <w:szCs w:val="24"/>
        </w:rPr>
        <w:t>资源。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在协商和相互认可的基础上，管理项目的变更。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鉴别和控制项目风险。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参与项目验收及项目的售后服务管理。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rPr>
          <w:rFonts w:hint="eastAsia" w:ascii="宋体" w:hAnsi="宋体" w:eastAsia="宋体" w:cs="宋体"/>
          <w:sz w:val="24"/>
          <w:szCs w:val="24"/>
        </w:rPr>
      </w:pPr>
      <w:r>
        <w:rPr>
          <w:rFonts w:hint="eastAsia" w:ascii="宋体" w:hAnsi="宋体" w:cs="宋体"/>
          <w:b/>
          <w:bCs/>
          <w:color w:val="auto"/>
          <w:sz w:val="24"/>
          <w:szCs w:val="32"/>
          <w:highlight w:val="none"/>
          <w:lang w:eastAsia="zh-CN"/>
        </w:rPr>
        <w:t>十、</w:t>
      </w:r>
      <w:r>
        <w:rPr>
          <w:rFonts w:hint="eastAsia" w:ascii="宋体" w:hAnsi="宋体" w:eastAsia="宋体" w:cs="宋体"/>
          <w:sz w:val="24"/>
          <w:szCs w:val="24"/>
        </w:rPr>
        <w:t>售后服务要求</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1、保修期与维护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（1）要求提供全面、优质、及时的售后服务；</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要求本项目提供不少于一年质保服务，自验收合格之日起计算。在质保期内，由于硬件设备及系统本身的原因造成故障或损伤，供应商须免费修复或更换。硬件维修、更换和软件故障排除等所需一切支出（包括工程师差旅费等支出）由供应商负责</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终身享有软件平台使用权，供应商应在采购人未增加模块或子系统情况下，保证此次采购平台运行良好，3年内提供免费升级、维护、优化等服务。3年后双方协商改版或有偿维护服务。若3年内应采购人要求需要增设应用模块，参照此次采购报价结合市场情况协商收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（3）质量保修期内要求对采购人有关维护和技术问题的服务请求，供应商应立即响应，4小时内到达现场，8小时内排除；供应商应派专业技术维修工程师提供现场服务，进行技术调试、故障诊断和排除。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（4）所有货物保修服务均为供应商上门保修，由此产生的一切费用均由供应商承担；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（5）保修期结束后，中标方有责任继续有偿对货物在必要时进行定期维护和修理，</w:t>
      </w:r>
      <w:r>
        <w:rPr>
          <w:rFonts w:hint="eastAsia" w:ascii="宋体" w:hAnsi="宋体" w:eastAsia="宋体" w:cs="宋体"/>
          <w:sz w:val="24"/>
          <w:szCs w:val="24"/>
          <w:lang w:eastAsia="zh-CN"/>
        </w:rPr>
        <w:t>供应商</w:t>
      </w:r>
      <w:r>
        <w:rPr>
          <w:rFonts w:hint="eastAsia" w:ascii="宋体" w:hAnsi="宋体" w:eastAsia="宋体" w:cs="宋体"/>
          <w:sz w:val="24"/>
          <w:szCs w:val="24"/>
        </w:rPr>
        <w:t>在投标文件中必须明确说明。</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2、伴随服务要求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（1）中标人需向采购人提供项目设备安装工程，包括供货送货、现场验货、管线敷设、安装调试、初验、终验等；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（2）中标人应负责提供系统安装所需的安装辅材，并完成布线和连接，确保现场工作质量，顺利完成设备的安装、调试和开通，并解决技术疑难。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（3）破路后及时放管并回填路面，破路过程中及时清扫破路而产生的泥土、沙石、不能影响市容卫生和交通，同时迅速恢复原有路面结构。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rPr>
          <w:rFonts w:hint="eastAsia" w:ascii="宋体" w:hAnsi="宋体" w:eastAsia="宋体" w:cs="宋体"/>
          <w:sz w:val="24"/>
          <w:szCs w:val="24"/>
        </w:rPr>
      </w:pPr>
      <w:r>
        <w:rPr>
          <w:rFonts w:hint="eastAsia" w:ascii="宋体" w:hAnsi="宋体" w:cs="宋体"/>
          <w:b/>
          <w:bCs/>
          <w:color w:val="auto"/>
          <w:sz w:val="24"/>
          <w:szCs w:val="32"/>
          <w:highlight w:val="none"/>
          <w:lang w:eastAsia="zh-CN"/>
        </w:rPr>
        <w:t>十一、</w:t>
      </w:r>
      <w:r>
        <w:rPr>
          <w:rFonts w:hint="eastAsia" w:ascii="宋体" w:hAnsi="宋体" w:eastAsia="宋体" w:cs="宋体"/>
          <w:sz w:val="24"/>
          <w:szCs w:val="24"/>
        </w:rPr>
        <w:t>培训要求</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1、基础培训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供应商应对采购人相关业务人员进行操作培训，以便业务人员能够熟练地操作所涉及的系统。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对采购人相关维护人员进行技术培训，使采购人维护人员达到能熟练掌握系统软件和应用软件的使用，熟悉系统整体结构，能够独立分析系统故障，管理系统设备，掌握系统内部和外部接口，具备系统管理和系统扩建、升级的能力，承担全面的技术管理工作。供应商应在采购人所在地对招标方技术人员进行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培训内容应包括但不限于以下内容：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1）设备的原理和技术性能、操作维护方法、安装调测、故障排除；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2）软件系统的原理技术性能、部署、维护、故障排除；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3）在系统建成后应针对不同的对象分层次完成培训任务，并通过对使用人员实际操作技能的严格测试保证使用者的能力；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4）常用软件的安装和使用；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5）系统的管理和维护。</w:t>
      </w:r>
    </w:p>
    <w:p>
      <w:pPr>
        <w:spacing w:line="360" w:lineRule="auto"/>
        <w:ind w:firstLine="480" w:firstLineChars="200"/>
        <w:jc w:val="left"/>
        <w:rPr>
          <w:rFonts w:ascii="宋体" w:hAnsi="宋体" w:cs="宋体"/>
          <w:color w:val="auto"/>
          <w:sz w:val="24"/>
          <w:highlight w:val="none"/>
        </w:rPr>
      </w:pPr>
    </w:p>
    <w:p>
      <w:pPr>
        <w:snapToGrid w:val="0"/>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注：本章标注“★”项为本项目实质性要求，不允许负偏离。</w:t>
      </w:r>
    </w:p>
    <w:p>
      <w:pPr>
        <w:spacing w:line="360" w:lineRule="auto"/>
        <w:ind w:firstLine="480" w:firstLineChars="200"/>
        <w:jc w:val="left"/>
      </w:pPr>
      <w:r>
        <w:rPr>
          <w:rFonts w:hint="eastAsia" w:ascii="宋体" w:hAnsi="宋体" w:cs="宋体"/>
          <w:sz w:val="24"/>
        </w:rPr>
        <w:br w:type="page"/>
      </w:r>
    </w:p>
    <w:p>
      <w:pPr>
        <w:pStyle w:val="3"/>
        <w:numPr>
          <w:ilvl w:val="0"/>
          <w:numId w:val="5"/>
        </w:numPr>
        <w:spacing w:before="0" w:after="0" w:line="360" w:lineRule="auto"/>
        <w:jc w:val="center"/>
      </w:pPr>
      <w:bookmarkStart w:id="161" w:name="_Toc19570_WPSOffice_Level1"/>
      <w:bookmarkStart w:id="162" w:name="_Toc23248_WPSOffice_Level1"/>
      <w:r>
        <w:rPr>
          <w:rFonts w:hint="eastAsia"/>
        </w:rPr>
        <w:t xml:space="preserve">  </w:t>
      </w:r>
      <w:bookmarkStart w:id="163" w:name="_Toc11441"/>
      <w:r>
        <w:rPr>
          <w:rFonts w:hint="eastAsia"/>
        </w:rPr>
        <w:t>磋商内容、磋商过程中可实质性变动的内容</w:t>
      </w:r>
      <w:bookmarkEnd w:id="163"/>
    </w:p>
    <w:p>
      <w:pPr>
        <w:spacing w:line="360" w:lineRule="auto"/>
        <w:ind w:firstLine="480" w:firstLineChars="200"/>
      </w:pPr>
      <w:r>
        <w:rPr>
          <w:rFonts w:hint="eastAsia"/>
          <w:sz w:val="24"/>
          <w:szCs w:val="32"/>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r>
        <w:rPr>
          <w:rFonts w:hint="eastAsia" w:ascii="宋体" w:cs="宋体"/>
        </w:rPr>
        <w:br w:type="page"/>
      </w:r>
      <w:bookmarkEnd w:id="161"/>
      <w:bookmarkEnd w:id="162"/>
    </w:p>
    <w:p>
      <w:pPr>
        <w:pStyle w:val="3"/>
        <w:numPr>
          <w:ilvl w:val="0"/>
          <w:numId w:val="5"/>
        </w:numPr>
        <w:spacing w:before="0" w:after="0" w:line="360" w:lineRule="auto"/>
        <w:jc w:val="center"/>
      </w:pPr>
      <w:r>
        <w:rPr>
          <w:rFonts w:hint="eastAsia"/>
        </w:rPr>
        <w:t xml:space="preserve">  </w:t>
      </w:r>
      <w:bookmarkStart w:id="164" w:name="_Toc18082"/>
      <w:r>
        <w:rPr>
          <w:rFonts w:hint="eastAsia"/>
        </w:rPr>
        <w:t>响应文件格式</w:t>
      </w:r>
      <w:bookmarkEnd w:id="164"/>
    </w:p>
    <w:p>
      <w:pPr>
        <w:spacing w:line="360" w:lineRule="auto"/>
        <w:rPr>
          <w:sz w:val="24"/>
        </w:rPr>
      </w:pPr>
    </w:p>
    <w:p>
      <w:pPr>
        <w:spacing w:line="360" w:lineRule="auto"/>
        <w:rPr>
          <w:sz w:val="24"/>
        </w:rPr>
      </w:pPr>
      <w:r>
        <w:rPr>
          <w:rFonts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sz w:val="24"/>
        </w:rPr>
      </w:pPr>
      <w:r>
        <w:rPr>
          <w:rFonts w:hint="eastAsia"/>
          <w:sz w:val="24"/>
        </w:rPr>
        <w:t>（二）本章所制响应文件格式有关表格中的备注栏，由供应商根据自身响应情况作解释性说明，不作为必填项。</w:t>
      </w:r>
    </w:p>
    <w:p>
      <w:pPr>
        <w:numPr>
          <w:ilvl w:val="0"/>
          <w:numId w:val="6"/>
        </w:numPr>
        <w:spacing w:line="360" w:lineRule="auto"/>
        <w:rPr>
          <w:sz w:val="24"/>
        </w:rPr>
      </w:pPr>
      <w:r>
        <w:rPr>
          <w:rFonts w:hint="eastAsia"/>
          <w:sz w:val="24"/>
        </w:rPr>
        <w:t>本章所制响应文件格式中需要填写的相关内容事项，可能会与本采购项目无关，在不改变响应文件原义、不影响本项目采购需求的情况下，供应商可以不予填写。</w:t>
      </w:r>
    </w:p>
    <w:p>
      <w:pPr>
        <w:pStyle w:val="2"/>
        <w:numPr>
          <w:ilvl w:val="0"/>
          <w:numId w:val="6"/>
        </w:numPr>
        <w:spacing w:line="360" w:lineRule="auto"/>
        <w:rPr>
          <w:rFonts w:ascii="Times New Roman" w:eastAsia="宋体"/>
          <w:sz w:val="24"/>
          <w:szCs w:val="24"/>
        </w:rPr>
      </w:pPr>
      <w:r>
        <w:rPr>
          <w:rFonts w:hint="eastAsia" w:ascii="Times New Roman" w:eastAsia="宋体"/>
          <w:sz w:val="24"/>
          <w:szCs w:val="24"/>
        </w:rPr>
        <w:t>本章所制响应文件格式中“注”的部分，供应商在编制响应文件时可以删除，也可以保留。</w:t>
      </w:r>
    </w:p>
    <w:p>
      <w:pPr>
        <w:pStyle w:val="2"/>
        <w:numPr>
          <w:ilvl w:val="0"/>
          <w:numId w:val="6"/>
        </w:numPr>
        <w:spacing w:line="360" w:lineRule="auto"/>
        <w:rPr>
          <w:rFonts w:ascii="Times New Roman" w:eastAsia="宋体"/>
          <w:sz w:val="24"/>
          <w:szCs w:val="24"/>
        </w:rPr>
      </w:pPr>
      <w:r>
        <w:rPr>
          <w:rFonts w:hint="eastAsia" w:ascii="Times New Roman" w:eastAsia="宋体"/>
          <w:sz w:val="24"/>
          <w:szCs w:val="24"/>
        </w:rPr>
        <w:t>本章所制响应文件格式中涉及“法定代表人”的描述，在非法人机构参与磋商情况下可修改为“负责人”，在自然人参与磋商情况下可修改为“本人”。</w:t>
      </w:r>
    </w:p>
    <w:p>
      <w:pPr>
        <w:pStyle w:val="2"/>
        <w:numPr>
          <w:ilvl w:val="0"/>
          <w:numId w:val="6"/>
        </w:numPr>
        <w:spacing w:line="360" w:lineRule="auto"/>
        <w:rPr>
          <w:rFonts w:ascii="Times New Roman" w:eastAsia="宋体"/>
          <w:sz w:val="24"/>
          <w:szCs w:val="24"/>
        </w:rPr>
      </w:pPr>
      <w:r>
        <w:rPr>
          <w:rFonts w:hint="eastAsia" w:ascii="Times New Roman" w:eastAsia="宋体"/>
          <w:sz w:val="24"/>
          <w:szCs w:val="24"/>
        </w:rPr>
        <w:t>本章所制响应文件格式中涉及加盖供应商公章的地方，在自然人参与磋商情况下可删除，仅由自然人本人或其响应代表签字即可。</w:t>
      </w:r>
    </w:p>
    <w:p>
      <w:pPr>
        <w:pStyle w:val="2"/>
        <w:spacing w:line="360" w:lineRule="auto"/>
        <w:rPr>
          <w:rFonts w:ascii="宋体" w:hAnsi="宋体" w:eastAsia="宋体"/>
        </w:rPr>
      </w:pPr>
      <w:r>
        <w:br w:type="page"/>
      </w:r>
      <w:bookmarkStart w:id="165" w:name="_Toc15373_WPSOffice_Level2"/>
      <w:bookmarkStart w:id="166" w:name="_Toc14906_WPSOffice_Level2"/>
      <w:r>
        <w:rPr>
          <w:rFonts w:hint="eastAsia" w:ascii="宋体" w:hAnsi="宋体" w:eastAsia="宋体"/>
        </w:rPr>
        <w:t>（封面格式）</w:t>
      </w:r>
      <w:bookmarkEnd w:id="165"/>
      <w:bookmarkEnd w:id="166"/>
    </w:p>
    <w:p>
      <w:pPr>
        <w:autoSpaceDE w:val="0"/>
        <w:autoSpaceDN w:val="0"/>
        <w:adjustRightInd w:val="0"/>
        <w:spacing w:line="360" w:lineRule="auto"/>
        <w:ind w:firstLine="1680" w:firstLineChars="200"/>
        <w:jc w:val="center"/>
        <w:rPr>
          <w:rFonts w:ascii="宋体" w:hAnsi="宋体"/>
          <w:sz w:val="84"/>
          <w:szCs w:val="84"/>
        </w:rPr>
      </w:pPr>
    </w:p>
    <w:p>
      <w:pPr>
        <w:autoSpaceDE w:val="0"/>
        <w:autoSpaceDN w:val="0"/>
        <w:adjustRightInd w:val="0"/>
        <w:spacing w:line="360" w:lineRule="auto"/>
        <w:ind w:firstLine="1680" w:firstLineChars="200"/>
        <w:jc w:val="center"/>
        <w:rPr>
          <w:rFonts w:ascii="宋体" w:hAnsi="宋体"/>
          <w:sz w:val="84"/>
          <w:szCs w:val="84"/>
        </w:rPr>
      </w:pPr>
    </w:p>
    <w:p>
      <w:pPr>
        <w:autoSpaceDE w:val="0"/>
        <w:autoSpaceDN w:val="0"/>
        <w:adjustRightInd w:val="0"/>
        <w:spacing w:line="360" w:lineRule="auto"/>
        <w:jc w:val="center"/>
        <w:rPr>
          <w:rFonts w:ascii="宋体" w:hAnsi="宋体"/>
          <w:sz w:val="84"/>
          <w:szCs w:val="84"/>
        </w:rPr>
      </w:pPr>
      <w:bookmarkStart w:id="167" w:name="_Toc2971_WPSOffice_Level2"/>
      <w:bookmarkStart w:id="168" w:name="_Toc7834_WPSOffice_Level2"/>
      <w:r>
        <w:rPr>
          <w:rFonts w:hint="eastAsia" w:ascii="宋体" w:hAnsi="宋体"/>
          <w:sz w:val="84"/>
          <w:szCs w:val="84"/>
        </w:rPr>
        <w:t>资格性</w:t>
      </w:r>
      <w:r>
        <w:rPr>
          <w:rFonts w:hint="eastAsia" w:hAnsi="宋体"/>
          <w:sz w:val="84"/>
          <w:szCs w:val="84"/>
        </w:rPr>
        <w:t>响应文件</w:t>
      </w:r>
      <w:bookmarkEnd w:id="167"/>
      <w:bookmarkEnd w:id="168"/>
    </w:p>
    <w:p>
      <w:pPr>
        <w:autoSpaceDE w:val="0"/>
        <w:autoSpaceDN w:val="0"/>
        <w:adjustRightInd w:val="0"/>
        <w:spacing w:line="360" w:lineRule="auto"/>
        <w:ind w:firstLine="880" w:firstLineChars="200"/>
        <w:jc w:val="center"/>
        <w:rPr>
          <w:rFonts w:ascii="宋体" w:hAnsi="宋体"/>
          <w:sz w:val="44"/>
        </w:rPr>
      </w:pPr>
    </w:p>
    <w:p>
      <w:pPr>
        <w:autoSpaceDE w:val="0"/>
        <w:autoSpaceDN w:val="0"/>
        <w:adjustRightInd w:val="0"/>
        <w:spacing w:line="360" w:lineRule="auto"/>
        <w:jc w:val="center"/>
        <w:rPr>
          <w:rFonts w:ascii="宋体" w:hAnsi="宋体"/>
          <w:sz w:val="44"/>
        </w:rPr>
      </w:pPr>
      <w:bookmarkStart w:id="169" w:name="_Toc15121_WPSOffice_Level2"/>
      <w:bookmarkStart w:id="170" w:name="_Toc17870_WPSOffice_Level2"/>
      <w:r>
        <w:rPr>
          <w:rFonts w:hint="eastAsia" w:ascii="宋体" w:hAnsi="宋体"/>
          <w:sz w:val="44"/>
        </w:rPr>
        <w:t>（正本/副本）</w:t>
      </w:r>
      <w:bookmarkEnd w:id="169"/>
      <w:bookmarkEnd w:id="170"/>
    </w:p>
    <w:p>
      <w:pPr>
        <w:pStyle w:val="2"/>
        <w:spacing w:line="360" w:lineRule="auto"/>
        <w:rPr>
          <w:rFonts w:ascii="宋体" w:hAnsi="宋体"/>
          <w:sz w:val="44"/>
        </w:rPr>
      </w:pPr>
    </w:p>
    <w:p>
      <w:pPr>
        <w:pStyle w:val="2"/>
        <w:spacing w:line="360" w:lineRule="auto"/>
        <w:rPr>
          <w:rFonts w:ascii="宋体" w:hAnsi="宋体"/>
          <w:sz w:val="44"/>
        </w:rPr>
      </w:pPr>
    </w:p>
    <w:p>
      <w:pPr>
        <w:pStyle w:val="2"/>
        <w:spacing w:line="360" w:lineRule="auto"/>
        <w:rPr>
          <w:rFonts w:ascii="宋体" w:hAnsi="宋体"/>
          <w:sz w:val="44"/>
        </w:rPr>
      </w:pP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项目编号：</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采购包号：</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rPr>
      </w:pP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供 应 商：</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（公章）</w:t>
      </w: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日    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360" w:lineRule="auto"/>
        <w:jc w:val="center"/>
        <w:rPr>
          <w:b/>
          <w:bCs/>
          <w:sz w:val="28"/>
          <w:szCs w:val="36"/>
        </w:rPr>
      </w:pPr>
      <w:r>
        <w:br w:type="page"/>
      </w:r>
      <w:r>
        <w:rPr>
          <w:rFonts w:hint="eastAsia"/>
          <w:b/>
          <w:bCs/>
          <w:sz w:val="28"/>
          <w:szCs w:val="36"/>
        </w:rPr>
        <w:t>目录（自拟）</w:t>
      </w:r>
    </w:p>
    <w:p>
      <w:pPr>
        <w:pStyle w:val="4"/>
        <w:spacing w:before="0" w:after="0" w:line="360" w:lineRule="auto"/>
        <w:jc w:val="center"/>
      </w:pPr>
      <w:r>
        <w:br w:type="page"/>
      </w:r>
      <w:bookmarkStart w:id="171" w:name="_Toc27332_WPSOffice_Level2"/>
      <w:bookmarkStart w:id="172" w:name="_Toc4892_WPSOffice_Level2"/>
      <w:r>
        <w:rPr>
          <w:rFonts w:hint="eastAsia"/>
        </w:rPr>
        <w:t>一、法定代表人授权书</w:t>
      </w:r>
    </w:p>
    <w:p>
      <w:pPr>
        <w:spacing w:line="360" w:lineRule="auto"/>
        <w:rPr>
          <w:rFonts w:ascii="宋体" w:hAnsi="宋体"/>
          <w:sz w:val="24"/>
        </w:rPr>
      </w:pPr>
      <w:r>
        <w:rPr>
          <w:rFonts w:hint="eastAsia" w:ascii="宋体" w:hAnsi="宋体"/>
          <w:sz w:val="24"/>
          <w:u w:val="single"/>
          <w:lang w:eastAsia="zh-CN"/>
        </w:rPr>
        <w:t>四川力诚卓达项目管理有限公司</w:t>
      </w:r>
      <w:r>
        <w:rPr>
          <w:rFonts w:hint="eastAsia" w:ascii="宋体" w:hAnsi="宋体"/>
          <w:sz w:val="24"/>
        </w:rPr>
        <w:t>（采购代理机构名称）：</w:t>
      </w:r>
    </w:p>
    <w:p>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w:t>
      </w:r>
      <w:r>
        <w:rPr>
          <w:rFonts w:hint="eastAsia" w:hAnsi="宋体"/>
          <w:sz w:val="24"/>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 “ </w:t>
      </w:r>
      <w:r>
        <w:rPr>
          <w:rFonts w:hint="eastAsia" w:ascii="宋体" w:hAnsi="宋体"/>
          <w:sz w:val="24"/>
          <w:u w:val="single"/>
        </w:rPr>
        <w:t xml:space="preserve">             </w:t>
      </w:r>
      <w:r>
        <w:rPr>
          <w:rFonts w:hint="eastAsia" w:ascii="宋体" w:hAnsi="宋体"/>
          <w:sz w:val="24"/>
        </w:rPr>
        <w:t>” 项目（项目编号：</w:t>
      </w:r>
      <w:r>
        <w:rPr>
          <w:rFonts w:hint="eastAsia" w:ascii="宋体" w:hAnsi="宋体"/>
          <w:sz w:val="24"/>
          <w:u w:val="single"/>
        </w:rPr>
        <w:t xml:space="preserve">         ，</w:t>
      </w:r>
      <w:r>
        <w:rPr>
          <w:rFonts w:hint="eastAsia" w:ascii="宋体" w:hAnsi="宋体"/>
          <w:sz w:val="24"/>
        </w:rPr>
        <w:t>采购包号：</w:t>
      </w:r>
      <w:r>
        <w:rPr>
          <w:rFonts w:hint="eastAsia" w:ascii="宋体" w:hAnsi="宋体"/>
          <w:sz w:val="24"/>
          <w:u w:val="single"/>
        </w:rPr>
        <w:t xml:space="preserve">       </w:t>
      </w:r>
      <w:r>
        <w:rPr>
          <w:rFonts w:hint="eastAsia" w:ascii="宋体" w:hAnsi="宋体"/>
          <w:sz w:val="24"/>
        </w:rPr>
        <w:t>）磋商采购活动的合法代表，全权处理该项目有关磋商采购、签订合同以及执行合同等一切事宜。</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ind w:firstLine="480" w:firstLineChars="200"/>
        <w:rPr>
          <w:rFonts w:ascii="宋体" w:hAnsi="宋体"/>
          <w:bCs/>
          <w:sz w:val="24"/>
        </w:rPr>
      </w:pPr>
    </w:p>
    <w:p>
      <w:pPr>
        <w:spacing w:line="360" w:lineRule="auto"/>
        <w:rPr>
          <w:rFonts w:ascii="宋体" w:hAnsi="宋体" w:cs="宋体"/>
          <w:sz w:val="24"/>
          <w:szCs w:val="32"/>
        </w:rPr>
      </w:pPr>
      <w:r>
        <w:rPr>
          <w:rFonts w:hint="eastAsia" w:ascii="宋体" w:hAnsi="宋体" w:cs="宋体"/>
          <w:sz w:val="24"/>
          <w:szCs w:val="32"/>
        </w:rPr>
        <w:t>附：（1）法定代表人有效身份证明材料正反面复印件</w:t>
      </w:r>
    </w:p>
    <w:p>
      <w:pPr>
        <w:spacing w:line="360" w:lineRule="auto"/>
        <w:ind w:firstLine="480" w:firstLineChars="200"/>
        <w:rPr>
          <w:rFonts w:ascii="宋体" w:hAnsi="宋体" w:cs="宋体"/>
          <w:sz w:val="24"/>
          <w:szCs w:val="32"/>
        </w:rPr>
      </w:pPr>
      <w:r>
        <w:rPr>
          <w:rFonts w:hint="eastAsia" w:ascii="宋体" w:hAnsi="宋体" w:cs="宋体"/>
          <w:sz w:val="24"/>
          <w:szCs w:val="32"/>
        </w:rPr>
        <w:t>（2）授权代表有效身份证明材料正反面复印件</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法定代表人</w:t>
      </w:r>
      <w:r>
        <w:rPr>
          <w:rFonts w:hint="eastAsia" w:asciiTheme="minorEastAsia" w:hAnsiTheme="minorEastAsia" w:eastAsiaTheme="minorEastAsia"/>
          <w:sz w:val="24"/>
        </w:rPr>
        <w:t>（签字或加盖个人名章）</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授权代表</w:t>
      </w:r>
      <w:r>
        <w:rPr>
          <w:rFonts w:hint="eastAsia" w:asciiTheme="minorEastAsia" w:hAnsiTheme="minorEastAsia" w:eastAsiaTheme="minorEastAsia"/>
          <w:sz w:val="24"/>
        </w:rPr>
        <w:t>（签字或加盖个人名章）</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hAnsi="宋体"/>
          <w:sz w:val="24"/>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（盖章）</w:t>
      </w:r>
    </w:p>
    <w:p>
      <w:pPr>
        <w:spacing w:line="360" w:lineRule="auto"/>
        <w:ind w:firstLine="480" w:firstLineChars="200"/>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法定代表人不亲自参加磋商，而授权代表参加磋商的适用。</w:t>
      </w:r>
    </w:p>
    <w:p>
      <w:pPr>
        <w:pStyle w:val="7"/>
        <w:spacing w:line="360" w:lineRule="auto"/>
        <w:ind w:firstLine="482" w:firstLineChars="200"/>
        <w:rPr>
          <w:rFonts w:cs="宋体"/>
          <w:color w:val="auto"/>
          <w:sz w:val="24"/>
          <w:szCs w:val="24"/>
        </w:rPr>
      </w:pPr>
      <w:r>
        <w:rPr>
          <w:rFonts w:hint="eastAsia" w:cs="宋体"/>
          <w:b/>
          <w:color w:val="auto"/>
          <w:sz w:val="24"/>
          <w:szCs w:val="24"/>
        </w:rPr>
        <w:t>2、供应商为法人单位时提供“法定代表人授权书”，供应商为其他组织时提供“单位负责人授权书”，供应商为自然人时提供“自然人身份证明材料”。</w:t>
      </w:r>
    </w:p>
    <w:p>
      <w:pPr>
        <w:spacing w:line="360" w:lineRule="auto"/>
        <w:ind w:firstLine="482" w:firstLineChars="200"/>
        <w:rPr>
          <w:rFonts w:ascii="黑体"/>
        </w:rPr>
      </w:pPr>
      <w:r>
        <w:rPr>
          <w:rFonts w:hint="eastAsia" w:ascii="宋体" w:hAnsi="宋体" w:cs="宋体"/>
          <w:b/>
          <w:sz w:val="24"/>
        </w:rPr>
        <w:t>3、身份证明材料包括居民身份证或户口本或军官证或护照等。</w:t>
      </w:r>
      <w:r>
        <w:rPr>
          <w:sz w:val="24"/>
        </w:rPr>
        <w:br w:type="page"/>
      </w:r>
      <w:bookmarkEnd w:id="171"/>
      <w:bookmarkEnd w:id="172"/>
    </w:p>
    <w:p>
      <w:pPr>
        <w:pStyle w:val="4"/>
        <w:spacing w:before="0" w:after="0" w:line="360" w:lineRule="auto"/>
        <w:jc w:val="center"/>
      </w:pPr>
      <w:r>
        <w:rPr>
          <w:rFonts w:hint="eastAsia"/>
        </w:rPr>
        <w:t>一、法定代表人证明书</w:t>
      </w:r>
    </w:p>
    <w:p>
      <w:pPr>
        <w:pStyle w:val="2"/>
        <w:tabs>
          <w:tab w:val="left" w:pos="1519"/>
          <w:tab w:val="left" w:pos="5419"/>
        </w:tabs>
        <w:spacing w:before="241" w:line="360" w:lineRule="auto"/>
        <w:ind w:left="800" w:right="4964"/>
        <w:rPr>
          <w:rFonts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
        <w:tabs>
          <w:tab w:val="left" w:pos="1519"/>
          <w:tab w:val="left" w:pos="5419"/>
        </w:tabs>
        <w:spacing w:before="241" w:line="360" w:lineRule="auto"/>
        <w:ind w:left="800" w:right="4964"/>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
        <w:tabs>
          <w:tab w:val="left" w:pos="1519"/>
          <w:tab w:val="left" w:pos="3079"/>
          <w:tab w:val="left" w:pos="4399"/>
          <w:tab w:val="left" w:pos="5719"/>
          <w:tab w:val="left" w:pos="7939"/>
        </w:tabs>
        <w:spacing w:before="1" w:line="360" w:lineRule="auto"/>
        <w:ind w:left="800"/>
        <w:rPr>
          <w:rFonts w:ascii="宋体" w:hAnsi="宋体" w:eastAsia="宋体" w:cs="宋体"/>
          <w:sz w:val="24"/>
          <w:szCs w:val="24"/>
        </w:rPr>
      </w:pPr>
      <w:r>
        <w:rPr>
          <w:rFonts w:hint="eastAsia" w:ascii="宋体" w:hAnsi="宋体" w:eastAsia="宋体" w:cs="宋体"/>
          <w:sz w:val="24"/>
          <w:szCs w:val="24"/>
        </w:rPr>
        <w:t>姓</w:t>
      </w:r>
      <w:r>
        <w:rPr>
          <w:rFonts w:hint="eastAsia" w:ascii="宋体" w:hAnsi="宋体" w:eastAsia="宋体" w:cs="宋体"/>
          <w:sz w:val="24"/>
          <w:szCs w:val="24"/>
        </w:rPr>
        <w:tab/>
      </w:r>
      <w:r>
        <w:rPr>
          <w:rFonts w:hint="eastAsia" w:ascii="宋体" w:hAnsi="宋体" w:eastAsia="宋体" w:cs="宋体"/>
          <w:sz w:val="24"/>
          <w:szCs w:val="24"/>
        </w:rPr>
        <w:t>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pPr>
        <w:pStyle w:val="2"/>
        <w:tabs>
          <w:tab w:val="left" w:pos="3295"/>
          <w:tab w:val="left" w:pos="4759"/>
          <w:tab w:val="left" w:pos="6871"/>
        </w:tabs>
        <w:spacing w:before="132" w:line="360" w:lineRule="auto"/>
        <w:ind w:left="320" w:right="317" w:firstLine="480"/>
        <w:rPr>
          <w:rFonts w:ascii="宋体" w:hAnsi="宋体" w:eastAsia="宋体" w:cs="宋体"/>
          <w:sz w:val="24"/>
          <w:szCs w:val="24"/>
        </w:rPr>
      </w:pPr>
      <w:r>
        <w:rPr>
          <w:rFonts w:hint="eastAsia" w:ascii="宋体" w:hAnsi="宋体" w:eastAsia="宋体" w:cs="宋体"/>
          <w:sz w:val="24"/>
          <w:szCs w:val="24"/>
        </w:rPr>
        <w:t>本人系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(供应商名称)的法定代表人/单位负责人。就参加</w:t>
      </w:r>
      <w:r>
        <w:rPr>
          <w:rFonts w:hint="eastAsia" w:ascii="宋体" w:hAnsi="宋体" w:eastAsia="宋体" w:cs="宋体"/>
          <w:spacing w:val="-16"/>
          <w:sz w:val="24"/>
          <w:szCs w:val="24"/>
        </w:rPr>
        <w:t>你</w:t>
      </w:r>
      <w:r>
        <w:rPr>
          <w:rFonts w:hint="eastAsia" w:ascii="宋体" w:hAnsi="宋体" w:eastAsia="宋体" w:cs="宋体"/>
          <w:sz w:val="24"/>
          <w:szCs w:val="24"/>
        </w:rPr>
        <w:t>单位组织</w:t>
      </w:r>
      <w:r>
        <w:rPr>
          <w:rFonts w:hint="eastAsia" w:ascii="宋体" w:hAnsi="宋体" w:eastAsia="宋体" w:cs="宋体"/>
          <w:spacing w:val="-24"/>
          <w:sz w:val="24"/>
          <w:szCs w:val="24"/>
        </w:rPr>
        <w:t>的</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(项目名称)(项目编号</w:t>
      </w:r>
      <w:r>
        <w:rPr>
          <w:rFonts w:hint="eastAsia" w:ascii="宋体" w:hAnsi="宋体" w:eastAsia="宋体" w:cs="宋体"/>
          <w:spacing w:val="-24"/>
          <w:sz w:val="24"/>
          <w:szCs w:val="24"/>
        </w:rPr>
        <w:t>：</w:t>
      </w:r>
      <w:r>
        <w:rPr>
          <w:rFonts w:hint="eastAsia" w:ascii="宋体" w:hAnsi="宋体" w:eastAsia="宋体" w:cs="宋体"/>
          <w:spacing w:val="-24"/>
          <w:sz w:val="24"/>
          <w:szCs w:val="24"/>
          <w:u w:val="single"/>
        </w:rPr>
        <w:t xml:space="preserve">         </w:t>
      </w:r>
      <w:r>
        <w:rPr>
          <w:rFonts w:hint="eastAsia" w:ascii="宋体" w:hAnsi="宋体" w:eastAsia="宋体" w:cs="宋体"/>
          <w:spacing w:val="-24"/>
          <w:sz w:val="24"/>
          <w:szCs w:val="24"/>
          <w:u w:val="single"/>
        </w:rPr>
        <w:tab/>
      </w:r>
      <w:r>
        <w:rPr>
          <w:rFonts w:hint="eastAsia" w:ascii="宋体" w:hAnsi="宋体" w:eastAsia="宋体" w:cs="宋体"/>
          <w:spacing w:val="-24"/>
          <w:sz w:val="24"/>
          <w:szCs w:val="24"/>
        </w:rPr>
        <w:t>采购包号</w:t>
      </w:r>
      <w:r>
        <w:rPr>
          <w:rFonts w:hint="eastAsia" w:ascii="宋体" w:hAnsi="宋体" w:eastAsia="宋体" w:cs="宋体"/>
          <w:spacing w:val="-24"/>
          <w:sz w:val="24"/>
          <w:szCs w:val="24"/>
          <w:u w:val="single"/>
        </w:rPr>
        <w:t xml:space="preserve">：         </w:t>
      </w:r>
      <w:r>
        <w:rPr>
          <w:rFonts w:hint="eastAsia" w:ascii="宋体" w:hAnsi="宋体" w:eastAsia="宋体" w:cs="宋体"/>
          <w:spacing w:val="-12"/>
          <w:sz w:val="24"/>
          <w:szCs w:val="24"/>
        </w:rPr>
        <w:t>)”</w:t>
      </w:r>
      <w:r>
        <w:rPr>
          <w:rFonts w:hint="eastAsia" w:ascii="宋体" w:hAnsi="宋体" w:eastAsia="宋体" w:cs="宋体"/>
          <w:sz w:val="24"/>
          <w:szCs w:val="24"/>
        </w:rPr>
        <w:t>的政府采购活动</w:t>
      </w:r>
      <w:r>
        <w:rPr>
          <w:rFonts w:hint="eastAsia" w:ascii="宋体" w:hAnsi="宋体" w:eastAsia="宋体" w:cs="宋体"/>
          <w:spacing w:val="-22"/>
          <w:sz w:val="24"/>
          <w:szCs w:val="24"/>
        </w:rPr>
        <w:t>、</w:t>
      </w:r>
      <w:r>
        <w:rPr>
          <w:rFonts w:hint="eastAsia" w:ascii="宋体" w:hAnsi="宋体" w:eastAsia="宋体" w:cs="宋体"/>
          <w:sz w:val="24"/>
          <w:szCs w:val="24"/>
        </w:rPr>
        <w:t>合同签</w:t>
      </w:r>
      <w:r>
        <w:rPr>
          <w:rFonts w:hint="eastAsia" w:ascii="宋体" w:hAnsi="宋体" w:eastAsia="宋体" w:cs="宋体"/>
          <w:spacing w:val="-16"/>
          <w:sz w:val="24"/>
          <w:szCs w:val="24"/>
        </w:rPr>
        <w:t>订</w:t>
      </w:r>
      <w:r>
        <w:rPr>
          <w:rFonts w:hint="eastAsia" w:ascii="宋体" w:hAnsi="宋体" w:eastAsia="宋体" w:cs="宋体"/>
          <w:sz w:val="24"/>
          <w:szCs w:val="24"/>
        </w:rPr>
        <w:t>以及合同履约等一切事宜，我单位均予承认，所产生的法律后果均由我单位承担。</w:t>
      </w:r>
    </w:p>
    <w:p>
      <w:pPr>
        <w:pStyle w:val="2"/>
        <w:spacing w:before="1" w:line="360" w:lineRule="auto"/>
        <w:ind w:left="800"/>
        <w:rPr>
          <w:rFonts w:ascii="宋体" w:hAnsi="宋体" w:eastAsia="宋体" w:cs="宋体"/>
          <w:sz w:val="24"/>
          <w:szCs w:val="24"/>
        </w:rPr>
      </w:pPr>
      <w:r>
        <w:rPr>
          <w:rFonts w:hint="eastAsia" w:ascii="宋体" w:hAnsi="宋体" w:eastAsia="宋体" w:cs="宋体"/>
          <w:sz w:val="24"/>
          <w:szCs w:val="24"/>
        </w:rPr>
        <w:t>特此证明。</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cs="宋体"/>
          <w:sz w:val="24"/>
          <w:szCs w:val="32"/>
        </w:rPr>
      </w:pPr>
      <w:r>
        <w:rPr>
          <w:rFonts w:hint="eastAsia" w:ascii="宋体" w:hAnsi="宋体" w:cs="宋体"/>
          <w:sz w:val="24"/>
          <w:szCs w:val="32"/>
        </w:rPr>
        <w:t>附：（1）法定代表人有效身份证明材料正反面复印件</w:t>
      </w:r>
    </w:p>
    <w:p>
      <w:pPr>
        <w:spacing w:line="360" w:lineRule="auto"/>
        <w:ind w:firstLine="480" w:firstLineChars="200"/>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pStyle w:val="2"/>
        <w:spacing w:line="360" w:lineRule="auto"/>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法定代表人</w:t>
      </w:r>
      <w:r>
        <w:rPr>
          <w:rFonts w:hint="eastAsia" w:asciiTheme="minorEastAsia" w:hAnsiTheme="minorEastAsia" w:eastAsiaTheme="minorEastAsia"/>
          <w:sz w:val="24"/>
        </w:rPr>
        <w:t>（签字或加盖个人名章）</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hAnsi="宋体"/>
          <w:sz w:val="24"/>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（盖章）</w:t>
      </w:r>
    </w:p>
    <w:p>
      <w:pPr>
        <w:spacing w:line="360" w:lineRule="auto"/>
        <w:ind w:firstLine="480" w:firstLineChars="200"/>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spacing w:line="360" w:lineRule="auto"/>
        <w:rPr>
          <w:b/>
          <w:sz w:val="24"/>
        </w:rPr>
      </w:pPr>
      <w:r>
        <w:rPr>
          <w:rFonts w:hint="eastAsia" w:ascii="宋体" w:hAnsi="宋体" w:cs="宋体"/>
          <w:sz w:val="24"/>
        </w:rPr>
        <w:t>注：</w:t>
      </w:r>
      <w:r>
        <w:rPr>
          <w:rFonts w:hint="eastAsia" w:ascii="宋体" w:hAnsi="宋体" w:cs="宋体"/>
          <w:b/>
          <w:bCs/>
          <w:sz w:val="24"/>
        </w:rPr>
        <w:t>1、</w:t>
      </w:r>
      <w:r>
        <w:rPr>
          <w:b/>
          <w:sz w:val="24"/>
        </w:rPr>
        <w:t>法定代表人亲自参加磋商时适用本证明书。</w:t>
      </w:r>
    </w:p>
    <w:p>
      <w:pPr>
        <w:spacing w:line="360" w:lineRule="auto"/>
        <w:ind w:firstLine="482" w:firstLineChars="200"/>
      </w:pPr>
      <w:r>
        <w:rPr>
          <w:rFonts w:hint="eastAsia" w:ascii="宋体" w:hAnsi="宋体" w:cs="宋体"/>
          <w:b/>
          <w:bCs/>
          <w:sz w:val="24"/>
        </w:rPr>
        <w:t>2、身份证明材料包括居民身份证或户口本或军官证或护照等。</w:t>
      </w:r>
      <w:r>
        <w:rPr>
          <w:rFonts w:hint="eastAsia"/>
        </w:rPr>
        <w:br w:type="page"/>
      </w:r>
    </w:p>
    <w:p>
      <w:pPr>
        <w:pStyle w:val="4"/>
        <w:spacing w:before="0" w:after="0" w:line="360" w:lineRule="auto"/>
        <w:jc w:val="center"/>
      </w:pPr>
      <w:r>
        <w:rPr>
          <w:rFonts w:hint="eastAsia"/>
        </w:rPr>
        <w:t>二、承诺函</w:t>
      </w:r>
    </w:p>
    <w:p>
      <w:pPr>
        <w:spacing w:line="360" w:lineRule="auto"/>
        <w:rPr>
          <w:rFonts w:ascii="宋体" w:hAnsi="宋体"/>
          <w:sz w:val="24"/>
        </w:rPr>
      </w:pPr>
      <w:r>
        <w:rPr>
          <w:rFonts w:hint="eastAsia" w:ascii="宋体" w:hAnsi="宋体"/>
          <w:sz w:val="24"/>
          <w:u w:val="single"/>
          <w:lang w:eastAsia="zh-CN"/>
        </w:rPr>
        <w:t>四川力诚卓达项目管理有限公司</w:t>
      </w:r>
      <w:r>
        <w:rPr>
          <w:rFonts w:hint="eastAsia" w:ascii="宋体" w:hAnsi="宋体"/>
          <w:sz w:val="24"/>
        </w:rPr>
        <w:t>（采购代理机构名称）：</w:t>
      </w:r>
    </w:p>
    <w:p>
      <w:pPr>
        <w:widowControl/>
        <w:spacing w:line="360" w:lineRule="auto"/>
        <w:ind w:firstLine="480" w:firstLineChars="200"/>
        <w:jc w:val="left"/>
        <w:rPr>
          <w:rFonts w:ascii="宋体"/>
          <w:sz w:val="24"/>
        </w:rPr>
      </w:pPr>
      <w:r>
        <w:rPr>
          <w:rFonts w:hint="eastAsia" w:ascii="宋体"/>
          <w:sz w:val="24"/>
        </w:rPr>
        <w:t>我公司作为本次采购项目的供应商，根据磋商文件要求，现郑重承诺如下：</w:t>
      </w:r>
    </w:p>
    <w:p>
      <w:pPr>
        <w:widowControl/>
        <w:spacing w:line="360" w:lineRule="auto"/>
        <w:ind w:firstLine="480" w:firstLineChars="200"/>
        <w:jc w:val="left"/>
        <w:rPr>
          <w:rFonts w:ascii="宋体"/>
          <w:sz w:val="24"/>
        </w:rPr>
      </w:pPr>
      <w:r>
        <w:rPr>
          <w:rFonts w:hint="eastAsia" w:ascii="宋体"/>
          <w:sz w:val="24"/>
        </w:rPr>
        <w:t>一、具备《中华人民共和国政府采购法》第二十二条第一款和本项目规定的条件：</w:t>
      </w:r>
    </w:p>
    <w:p>
      <w:pPr>
        <w:widowControl/>
        <w:spacing w:line="360" w:lineRule="auto"/>
        <w:ind w:firstLine="480" w:firstLineChars="200"/>
        <w:jc w:val="left"/>
        <w:rPr>
          <w:rFonts w:ascii="宋体"/>
          <w:sz w:val="24"/>
        </w:rPr>
      </w:pPr>
      <w:r>
        <w:rPr>
          <w:rFonts w:hint="eastAsia" w:ascii="宋体"/>
          <w:sz w:val="24"/>
        </w:rPr>
        <w:t>（一）具有独立承担民事责任的能力；</w:t>
      </w:r>
    </w:p>
    <w:p>
      <w:pPr>
        <w:widowControl/>
        <w:spacing w:line="360" w:lineRule="auto"/>
        <w:ind w:firstLine="480" w:firstLineChars="200"/>
        <w:jc w:val="left"/>
        <w:rPr>
          <w:rFonts w:ascii="宋体"/>
          <w:sz w:val="24"/>
        </w:rPr>
      </w:pPr>
      <w:r>
        <w:rPr>
          <w:rFonts w:hint="eastAsia" w:ascii="宋体"/>
          <w:sz w:val="24"/>
        </w:rPr>
        <w:t>（二）具有良好的商业信誉和健全的财务会计制度；</w:t>
      </w:r>
    </w:p>
    <w:p>
      <w:pPr>
        <w:widowControl/>
        <w:spacing w:line="360" w:lineRule="auto"/>
        <w:ind w:firstLine="480" w:firstLineChars="200"/>
        <w:jc w:val="left"/>
        <w:rPr>
          <w:rFonts w:ascii="宋体"/>
          <w:sz w:val="24"/>
        </w:rPr>
      </w:pPr>
      <w:r>
        <w:rPr>
          <w:rFonts w:hint="eastAsia" w:ascii="宋体"/>
          <w:sz w:val="24"/>
        </w:rPr>
        <w:t>（三）具有履行合同所必需的设备和专业技术能力；</w:t>
      </w:r>
    </w:p>
    <w:p>
      <w:pPr>
        <w:widowControl/>
        <w:spacing w:line="360" w:lineRule="auto"/>
        <w:ind w:firstLine="480" w:firstLineChars="200"/>
        <w:jc w:val="left"/>
        <w:rPr>
          <w:rFonts w:ascii="宋体"/>
          <w:sz w:val="24"/>
        </w:rPr>
      </w:pPr>
      <w:r>
        <w:rPr>
          <w:rFonts w:hint="eastAsia" w:ascii="宋体"/>
          <w:sz w:val="24"/>
        </w:rPr>
        <w:t>（四）有依法缴纳税收和社会保障资金的良好记录；</w:t>
      </w:r>
    </w:p>
    <w:p>
      <w:pPr>
        <w:widowControl/>
        <w:spacing w:line="360" w:lineRule="auto"/>
        <w:ind w:firstLine="480" w:firstLineChars="200"/>
        <w:jc w:val="left"/>
        <w:rPr>
          <w:rFonts w:ascii="宋体"/>
          <w:sz w:val="24"/>
        </w:rPr>
      </w:pPr>
      <w:r>
        <w:rPr>
          <w:rFonts w:hint="eastAsia" w:ascii="宋体"/>
          <w:sz w:val="24"/>
        </w:rPr>
        <w:t>（五）参加政府采购活动前三年内，在经营活动中没有重大违法记录；</w:t>
      </w:r>
    </w:p>
    <w:p>
      <w:pPr>
        <w:widowControl/>
        <w:spacing w:line="360" w:lineRule="auto"/>
        <w:ind w:firstLine="480" w:firstLineChars="200"/>
        <w:jc w:val="left"/>
        <w:rPr>
          <w:rFonts w:ascii="宋体"/>
          <w:sz w:val="24"/>
        </w:rPr>
      </w:pPr>
      <w:r>
        <w:rPr>
          <w:rFonts w:hint="eastAsia" w:ascii="宋体"/>
          <w:sz w:val="24"/>
        </w:rPr>
        <w:t>（六）法律、行政法规规定的其他条件；</w:t>
      </w:r>
    </w:p>
    <w:p>
      <w:pPr>
        <w:widowControl/>
        <w:spacing w:line="360" w:lineRule="auto"/>
        <w:ind w:firstLine="480" w:firstLineChars="200"/>
        <w:jc w:val="left"/>
        <w:rPr>
          <w:rFonts w:ascii="宋体"/>
          <w:sz w:val="24"/>
        </w:rPr>
      </w:pPr>
      <w:r>
        <w:rPr>
          <w:rFonts w:hint="eastAsia" w:ascii="宋体"/>
          <w:sz w:val="24"/>
        </w:rPr>
        <w:t>（七）根据采购项目提出的特殊条件</w:t>
      </w:r>
      <w:r>
        <w:rPr>
          <w:rFonts w:ascii="宋体"/>
          <w:sz w:val="24"/>
        </w:rPr>
        <w:t>。</w:t>
      </w:r>
    </w:p>
    <w:p>
      <w:pPr>
        <w:widowControl/>
        <w:spacing w:line="360" w:lineRule="auto"/>
        <w:ind w:firstLine="480" w:firstLineChars="200"/>
        <w:jc w:val="left"/>
        <w:rPr>
          <w:rFonts w:ascii="宋体"/>
          <w:sz w:val="24"/>
        </w:rPr>
      </w:pPr>
      <w:r>
        <w:rPr>
          <w:rFonts w:ascii="宋体"/>
          <w:sz w:val="24"/>
        </w:rPr>
        <w:t>二、完全接受和满足本项目</w:t>
      </w:r>
      <w:r>
        <w:rPr>
          <w:rFonts w:hint="eastAsia" w:ascii="宋体"/>
          <w:sz w:val="24"/>
        </w:rPr>
        <w:t>磋商文件</w:t>
      </w:r>
      <w:r>
        <w:rPr>
          <w:rFonts w:ascii="宋体"/>
          <w:sz w:val="24"/>
        </w:rPr>
        <w:t>中规定的实质性要求，如对</w:t>
      </w:r>
      <w:r>
        <w:rPr>
          <w:rFonts w:hint="eastAsia" w:ascii="宋体"/>
          <w:sz w:val="24"/>
        </w:rPr>
        <w:t>磋商文件</w:t>
      </w:r>
      <w:r>
        <w:rPr>
          <w:rFonts w:ascii="宋体"/>
          <w:sz w:val="24"/>
        </w:rPr>
        <w:t>有异议，</w:t>
      </w:r>
      <w:r>
        <w:rPr>
          <w:rFonts w:hint="eastAsia" w:ascii="宋体"/>
          <w:sz w:val="24"/>
        </w:rPr>
        <w:t>已经在磋商文件递交截止时间届满前依法进行维权救济，不存在对磋商文件有异议的同时又参加磋商</w:t>
      </w:r>
      <w:r>
        <w:rPr>
          <w:rFonts w:ascii="宋体"/>
          <w:sz w:val="24"/>
        </w:rPr>
        <w:t>以求侥幸</w:t>
      </w:r>
      <w:r>
        <w:rPr>
          <w:rFonts w:hint="eastAsia" w:ascii="宋体"/>
          <w:sz w:val="24"/>
        </w:rPr>
        <w:t>成交</w:t>
      </w:r>
      <w:r>
        <w:rPr>
          <w:rFonts w:ascii="宋体"/>
          <w:sz w:val="24"/>
        </w:rPr>
        <w:t>或者为实现其他非法目的的行为。</w:t>
      </w:r>
    </w:p>
    <w:p>
      <w:pPr>
        <w:widowControl/>
        <w:spacing w:line="360" w:lineRule="auto"/>
        <w:ind w:firstLine="480" w:firstLineChars="200"/>
        <w:jc w:val="left"/>
        <w:rPr>
          <w:rFonts w:ascii="宋体"/>
          <w:sz w:val="24"/>
        </w:rPr>
      </w:pPr>
      <w:r>
        <w:rPr>
          <w:rFonts w:hint="eastAsia" w:ascii="宋体"/>
          <w:sz w:val="24"/>
        </w:rPr>
        <w:t>三、参加本次磋商采购活动，不存在与单位负责人为同一人或者存在直接控股、管理关系的其他供应商参与同一合同项下的政府采购活动的行为。</w:t>
      </w:r>
    </w:p>
    <w:p>
      <w:pPr>
        <w:widowControl/>
        <w:spacing w:line="360" w:lineRule="auto"/>
        <w:ind w:firstLine="480" w:firstLineChars="200"/>
        <w:jc w:val="left"/>
        <w:rPr>
          <w:rFonts w:ascii="宋体"/>
          <w:sz w:val="24"/>
        </w:rPr>
      </w:pPr>
      <w:r>
        <w:rPr>
          <w:rFonts w:hint="eastAsia" w:ascii="宋体"/>
          <w:sz w:val="24"/>
        </w:rPr>
        <w:t>四、参加本次磋商采购活动，不存在和其他供应商在同一合同项下的采购项目中，同时委托同一个自然人、同一家庭的人员、同一单位的人员作为代理人的行为。本供应商未对本次采购项目提供过整体设计、规范编制或者项目管理、监理、检测等服务。未为采购人、采购代理机构在确定采购需求、编制采购文件过程中提供咨询论证。</w:t>
      </w:r>
    </w:p>
    <w:p>
      <w:pPr>
        <w:widowControl/>
        <w:spacing w:line="360" w:lineRule="auto"/>
        <w:ind w:firstLine="480" w:firstLineChars="200"/>
        <w:jc w:val="left"/>
        <w:rPr>
          <w:rFonts w:ascii="宋体"/>
          <w:sz w:val="24"/>
        </w:rPr>
      </w:pPr>
      <w:r>
        <w:rPr>
          <w:rFonts w:hint="eastAsia" w:ascii="宋体"/>
          <w:sz w:val="24"/>
        </w:rPr>
        <w:t>五、截至响应文件递交截止日未被列入失信被执行人、重大税收违法案件当事人名单、政府采购严重违法失信行为记录名单。</w:t>
      </w:r>
    </w:p>
    <w:p>
      <w:pPr>
        <w:widowControl/>
        <w:spacing w:line="360" w:lineRule="auto"/>
        <w:ind w:firstLine="480" w:firstLineChars="200"/>
        <w:jc w:val="left"/>
        <w:rPr>
          <w:rFonts w:ascii="宋体"/>
          <w:sz w:val="24"/>
        </w:rPr>
      </w:pPr>
      <w:r>
        <w:rPr>
          <w:rFonts w:hint="eastAsia" w:ascii="宋体"/>
          <w:sz w:val="24"/>
        </w:rPr>
        <w:t>六、如本项目评标过程中需要提供样品，则我公司提供的样品即为成交后将要提供的成交产品，我公司对提供样品的性能和质量负责，因样品存在缺陷或者不符合采购文件要求导致未能成交的，我公司愿意承担相应不利后果。</w:t>
      </w:r>
    </w:p>
    <w:p>
      <w:pPr>
        <w:widowControl/>
        <w:spacing w:line="360" w:lineRule="auto"/>
        <w:ind w:firstLine="480" w:firstLineChars="200"/>
        <w:jc w:val="left"/>
        <w:rPr>
          <w:rFonts w:ascii="宋体"/>
          <w:sz w:val="24"/>
        </w:rPr>
      </w:pPr>
      <w:r>
        <w:rPr>
          <w:rFonts w:hint="eastAsia" w:ascii="宋体"/>
          <w:sz w:val="24"/>
        </w:rPr>
        <w:t>七、我公司及其现任法定代表人（非法人机构则为主要负责人）不具有行贿犯罪记录。</w:t>
      </w:r>
    </w:p>
    <w:p>
      <w:pPr>
        <w:widowControl/>
        <w:spacing w:line="360" w:lineRule="auto"/>
        <w:ind w:firstLine="480" w:firstLineChars="200"/>
        <w:jc w:val="left"/>
        <w:rPr>
          <w:rFonts w:ascii="宋体"/>
          <w:sz w:val="24"/>
        </w:rPr>
      </w:pPr>
      <w:r>
        <w:rPr>
          <w:rFonts w:hint="eastAsia" w:ascii="宋体"/>
          <w:sz w:val="24"/>
        </w:rPr>
        <w:t>本公司对上述承诺的内容事项真实性负责。如经查实上述承诺的内容事项存在虚假，我公司愿意接受以提供虚假材料谋取成交追究法律责任。</w:t>
      </w:r>
    </w:p>
    <w:p>
      <w:pPr>
        <w:widowControl/>
        <w:spacing w:line="360" w:lineRule="auto"/>
        <w:ind w:firstLine="480" w:firstLineChars="200"/>
        <w:jc w:val="left"/>
        <w:rPr>
          <w:rFonts w:asci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bookmarkStart w:id="173" w:name="_Toc31492_WPSOffice_Level2"/>
      <w:bookmarkStart w:id="174" w:name="_Toc4159_WPSOffice_Level2"/>
      <w:r>
        <w:rPr>
          <w:sz w:val="30"/>
          <w:szCs w:val="30"/>
        </w:rPr>
        <w:br w:type="page"/>
      </w:r>
      <w:bookmarkEnd w:id="173"/>
      <w:bookmarkEnd w:id="174"/>
      <w:bookmarkStart w:id="175" w:name="_Toc8425"/>
    </w:p>
    <w:p>
      <w:pPr>
        <w:pStyle w:val="4"/>
        <w:spacing w:before="0" w:after="0" w:line="360" w:lineRule="auto"/>
        <w:jc w:val="center"/>
      </w:pPr>
      <w:r>
        <w:rPr>
          <w:rFonts w:hint="eastAsia"/>
          <w:lang w:eastAsia="zh-CN"/>
        </w:rPr>
        <w:t>三</w:t>
      </w:r>
      <w:r>
        <w:rPr>
          <w:rFonts w:hint="eastAsia"/>
        </w:rPr>
        <w:t>、其他资格证明资料及相关说明等</w:t>
      </w:r>
      <w:bookmarkEnd w:id="175"/>
    </w:p>
    <w:p>
      <w:pPr>
        <w:adjustRightInd w:val="0"/>
        <w:snapToGrid w:val="0"/>
        <w:spacing w:after="156" w:afterLines="50" w:line="360" w:lineRule="auto"/>
        <w:ind w:firstLine="480" w:firstLineChars="200"/>
        <w:rPr>
          <w:rFonts w:ascii="宋体" w:hAnsi="宋体" w:cs="宋体"/>
          <w:sz w:val="24"/>
        </w:rPr>
      </w:pPr>
      <w:r>
        <w:rPr>
          <w:rFonts w:hint="eastAsia" w:ascii="宋体" w:hAnsi="宋体" w:cs="宋体"/>
          <w:sz w:val="24"/>
        </w:rPr>
        <w:t xml:space="preserve">对照“第四章  </w:t>
      </w:r>
      <w:r>
        <w:rPr>
          <w:rFonts w:hint="eastAsia" w:hAnsi="宋体" w:cs="宋体"/>
          <w:sz w:val="24"/>
        </w:rPr>
        <w:t>供应商资格证明材料</w:t>
      </w:r>
      <w:r>
        <w:rPr>
          <w:rFonts w:hint="eastAsia" w:ascii="宋体" w:hAnsi="宋体" w:cs="宋体"/>
          <w:sz w:val="24"/>
        </w:rPr>
        <w:t>”等具体要求提供。</w:t>
      </w:r>
    </w:p>
    <w:p>
      <w:pPr>
        <w:autoSpaceDE w:val="0"/>
        <w:autoSpaceDN w:val="0"/>
        <w:adjustRightInd w:val="0"/>
        <w:spacing w:line="360" w:lineRule="auto"/>
        <w:ind w:firstLine="602" w:firstLineChars="200"/>
        <w:jc w:val="center"/>
        <w:rPr>
          <w:rFonts w:ascii="宋体" w:hAnsi="宋体"/>
          <w:sz w:val="28"/>
        </w:rPr>
      </w:pPr>
      <w:r>
        <w:rPr>
          <w:rFonts w:ascii="宋体" w:hAnsi="宋体"/>
          <w:b/>
          <w:sz w:val="30"/>
          <w:szCs w:val="30"/>
        </w:rPr>
        <w:br w:type="page"/>
      </w:r>
      <w:bookmarkStart w:id="176" w:name="_Toc18398_WPSOffice_Level2"/>
      <w:bookmarkStart w:id="177" w:name="_Toc11589_WPSOffice_Level2"/>
      <w:r>
        <w:rPr>
          <w:rFonts w:hint="eastAsia" w:ascii="宋体" w:hAnsi="宋体"/>
          <w:sz w:val="28"/>
        </w:rPr>
        <w:t>（封面格式）</w:t>
      </w:r>
      <w:bookmarkEnd w:id="176"/>
      <w:bookmarkEnd w:id="177"/>
    </w:p>
    <w:p>
      <w:pPr>
        <w:autoSpaceDE w:val="0"/>
        <w:autoSpaceDN w:val="0"/>
        <w:adjustRightInd w:val="0"/>
        <w:spacing w:line="360" w:lineRule="auto"/>
        <w:ind w:firstLine="1680" w:firstLineChars="200"/>
        <w:jc w:val="center"/>
        <w:rPr>
          <w:rFonts w:ascii="宋体" w:hAnsi="宋体"/>
          <w:sz w:val="84"/>
          <w:szCs w:val="84"/>
        </w:rPr>
      </w:pPr>
    </w:p>
    <w:p>
      <w:pPr>
        <w:autoSpaceDE w:val="0"/>
        <w:autoSpaceDN w:val="0"/>
        <w:adjustRightInd w:val="0"/>
        <w:spacing w:line="360" w:lineRule="auto"/>
        <w:ind w:firstLine="1680" w:firstLineChars="200"/>
        <w:rPr>
          <w:rFonts w:ascii="宋体" w:hAnsi="宋体"/>
          <w:sz w:val="84"/>
          <w:szCs w:val="84"/>
        </w:rPr>
      </w:pPr>
      <w:bookmarkStart w:id="178" w:name="_Toc25492_WPSOffice_Level2"/>
      <w:bookmarkStart w:id="179" w:name="_Toc1892_WPSOffice_Level2"/>
      <w:r>
        <w:rPr>
          <w:rFonts w:hint="eastAsia" w:ascii="宋体" w:hAnsi="宋体"/>
          <w:sz w:val="84"/>
          <w:szCs w:val="84"/>
        </w:rPr>
        <w:t>其他</w:t>
      </w:r>
      <w:r>
        <w:rPr>
          <w:rFonts w:hint="eastAsia" w:hAnsi="宋体"/>
          <w:sz w:val="84"/>
          <w:szCs w:val="84"/>
        </w:rPr>
        <w:t>响应文件</w:t>
      </w:r>
      <w:bookmarkEnd w:id="178"/>
      <w:bookmarkEnd w:id="179"/>
    </w:p>
    <w:p>
      <w:pPr>
        <w:autoSpaceDE w:val="0"/>
        <w:autoSpaceDN w:val="0"/>
        <w:adjustRightInd w:val="0"/>
        <w:spacing w:line="360" w:lineRule="auto"/>
        <w:ind w:firstLine="880" w:firstLineChars="200"/>
        <w:jc w:val="center"/>
        <w:rPr>
          <w:rFonts w:ascii="宋体" w:hAnsi="宋体"/>
          <w:sz w:val="44"/>
        </w:rPr>
      </w:pPr>
    </w:p>
    <w:p>
      <w:pPr>
        <w:autoSpaceDE w:val="0"/>
        <w:autoSpaceDN w:val="0"/>
        <w:adjustRightInd w:val="0"/>
        <w:spacing w:line="360" w:lineRule="auto"/>
        <w:ind w:firstLine="3080" w:firstLineChars="700"/>
        <w:rPr>
          <w:rFonts w:ascii="宋体" w:hAnsi="宋体"/>
          <w:sz w:val="44"/>
        </w:rPr>
      </w:pPr>
      <w:bookmarkStart w:id="180" w:name="_Toc26337_WPSOffice_Level2"/>
      <w:bookmarkStart w:id="181" w:name="_Toc22614_WPSOffice_Level2"/>
      <w:r>
        <w:rPr>
          <w:rFonts w:hint="eastAsia" w:ascii="宋体" w:hAnsi="宋体"/>
          <w:sz w:val="44"/>
        </w:rPr>
        <w:t>（正本/副本）</w:t>
      </w:r>
      <w:bookmarkEnd w:id="180"/>
      <w:bookmarkEnd w:id="181"/>
    </w:p>
    <w:p>
      <w:pPr>
        <w:pStyle w:val="2"/>
        <w:spacing w:line="360" w:lineRule="auto"/>
        <w:rPr>
          <w:rFonts w:ascii="宋体" w:hAnsi="宋体"/>
          <w:sz w:val="44"/>
        </w:rPr>
      </w:pPr>
    </w:p>
    <w:p>
      <w:pPr>
        <w:pStyle w:val="2"/>
        <w:spacing w:line="360" w:lineRule="auto"/>
        <w:rPr>
          <w:rFonts w:ascii="宋体" w:hAnsi="宋体"/>
          <w:sz w:val="44"/>
        </w:rPr>
      </w:pPr>
    </w:p>
    <w:p>
      <w:pPr>
        <w:autoSpaceDE w:val="0"/>
        <w:autoSpaceDN w:val="0"/>
        <w:adjustRightInd w:val="0"/>
        <w:snapToGrid w:val="0"/>
        <w:spacing w:after="156" w:afterLines="50" w:line="360" w:lineRule="auto"/>
        <w:ind w:firstLine="640" w:firstLineChars="200"/>
        <w:rPr>
          <w:rFonts w:ascii="宋体" w:hAnsi="宋体"/>
          <w:sz w:val="32"/>
          <w:szCs w:val="32"/>
        </w:rPr>
      </w:pPr>
      <w:bookmarkStart w:id="182" w:name="_Toc30289_WPSOffice_Level2"/>
      <w:bookmarkStart w:id="183" w:name="_Toc14986_WPSOffice_Level2"/>
      <w:r>
        <w:rPr>
          <w:rFonts w:hint="eastAsia" w:ascii="宋体" w:hAnsi="宋体"/>
          <w:sz w:val="32"/>
          <w:szCs w:val="32"/>
        </w:rPr>
        <w:t>项目编号：</w:t>
      </w:r>
      <w:bookmarkEnd w:id="182"/>
      <w:bookmarkEnd w:id="183"/>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u w:val="single"/>
        </w:rPr>
      </w:pPr>
      <w:bookmarkStart w:id="184" w:name="_Toc30244_WPSOffice_Level2"/>
      <w:bookmarkStart w:id="185" w:name="_Toc27590_WPSOffice_Level2"/>
      <w:r>
        <w:rPr>
          <w:rFonts w:hint="eastAsia" w:ascii="宋体" w:hAnsi="宋体"/>
          <w:sz w:val="32"/>
          <w:szCs w:val="32"/>
        </w:rPr>
        <w:t>项目名称：</w:t>
      </w:r>
      <w:bookmarkEnd w:id="184"/>
      <w:bookmarkEnd w:id="185"/>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rPr>
      </w:pPr>
      <w:bookmarkStart w:id="186" w:name="_Toc30720_WPSOffice_Level2"/>
      <w:bookmarkStart w:id="187" w:name="_Toc1272_WPSOffice_Level2"/>
      <w:r>
        <w:rPr>
          <w:rFonts w:hint="eastAsia" w:ascii="宋体" w:hAnsi="宋体"/>
          <w:sz w:val="32"/>
          <w:szCs w:val="32"/>
        </w:rPr>
        <w:t>采购包号：</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640" w:firstLineChars="200"/>
        <w:rPr>
          <w:rFonts w:ascii="宋体" w:hAnsi="宋体"/>
          <w:sz w:val="32"/>
          <w:szCs w:val="32"/>
        </w:rPr>
      </w:pPr>
    </w:p>
    <w:p>
      <w:pPr>
        <w:autoSpaceDE w:val="0"/>
        <w:autoSpaceDN w:val="0"/>
        <w:adjustRightInd w:val="0"/>
        <w:snapToGrid w:val="0"/>
        <w:spacing w:after="156" w:afterLines="50" w:line="360" w:lineRule="auto"/>
        <w:ind w:firstLine="640" w:firstLineChars="200"/>
        <w:rPr>
          <w:rFonts w:ascii="宋体" w:hAnsi="宋体"/>
          <w:sz w:val="32"/>
          <w:szCs w:val="32"/>
        </w:rPr>
      </w:pPr>
      <w:r>
        <w:rPr>
          <w:rFonts w:hint="eastAsia" w:ascii="宋体" w:hAnsi="宋体"/>
          <w:sz w:val="32"/>
          <w:szCs w:val="32"/>
        </w:rPr>
        <w:t>供 应 商：</w:t>
      </w:r>
      <w:r>
        <w:rPr>
          <w:rFonts w:ascii="宋体" w:hAnsi="宋体"/>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（公章）</w:t>
      </w:r>
      <w:bookmarkEnd w:id="186"/>
      <w:bookmarkEnd w:id="187"/>
    </w:p>
    <w:p>
      <w:pPr>
        <w:autoSpaceDE w:val="0"/>
        <w:autoSpaceDN w:val="0"/>
        <w:adjustRightInd w:val="0"/>
        <w:snapToGrid w:val="0"/>
        <w:spacing w:after="156" w:afterLines="50" w:line="360" w:lineRule="auto"/>
        <w:ind w:firstLine="640" w:firstLineChars="200"/>
        <w:rPr>
          <w:rFonts w:ascii="宋体" w:hAnsi="宋体"/>
          <w:sz w:val="32"/>
          <w:szCs w:val="32"/>
        </w:rPr>
      </w:pPr>
      <w:bookmarkStart w:id="188" w:name="_Toc18121_WPSOffice_Level2"/>
      <w:bookmarkStart w:id="189" w:name="_Toc20218_WPSOffice_Level2"/>
      <w:r>
        <w:rPr>
          <w:rFonts w:hint="eastAsia" w:ascii="宋体" w:hAnsi="宋体"/>
          <w:sz w:val="32"/>
          <w:szCs w:val="32"/>
        </w:rPr>
        <w:t>日    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bookmarkEnd w:id="188"/>
      <w:bookmarkEnd w:id="189"/>
    </w:p>
    <w:p>
      <w:pPr>
        <w:spacing w:line="360" w:lineRule="auto"/>
        <w:jc w:val="center"/>
        <w:rPr>
          <w:szCs w:val="28"/>
        </w:rPr>
      </w:pPr>
      <w:r>
        <w:br w:type="page"/>
      </w:r>
      <w:bookmarkStart w:id="190" w:name="_Toc217446087"/>
      <w:r>
        <w:rPr>
          <w:rFonts w:hint="eastAsia"/>
          <w:b/>
          <w:bCs/>
          <w:sz w:val="28"/>
          <w:szCs w:val="36"/>
        </w:rPr>
        <w:t>目录（自拟）</w:t>
      </w:r>
    </w:p>
    <w:p>
      <w:pPr>
        <w:spacing w:line="360" w:lineRule="auto"/>
      </w:pPr>
      <w:r>
        <w:rPr>
          <w:rFonts w:hint="eastAsia"/>
        </w:rPr>
        <w:br w:type="page"/>
      </w:r>
    </w:p>
    <w:p>
      <w:pPr>
        <w:pStyle w:val="4"/>
        <w:spacing w:before="0" w:after="0" w:line="360" w:lineRule="auto"/>
        <w:jc w:val="center"/>
      </w:pPr>
      <w:r>
        <w:rPr>
          <w:rFonts w:hint="eastAsia"/>
        </w:rPr>
        <w:t>一、响应函</w:t>
      </w:r>
    </w:p>
    <w:p>
      <w:pPr>
        <w:pStyle w:val="12"/>
        <w:spacing w:after="0" w:line="360" w:lineRule="auto"/>
        <w:ind w:left="0" w:leftChars="0"/>
        <w:jc w:val="left"/>
        <w:rPr>
          <w:rFonts w:ascii="宋体" w:hAnsi="宋体"/>
          <w:bCs/>
          <w:sz w:val="24"/>
        </w:rPr>
      </w:pPr>
      <w:r>
        <w:rPr>
          <w:rFonts w:hint="eastAsia" w:ascii="宋体" w:hAnsi="宋体"/>
          <w:sz w:val="24"/>
          <w:u w:val="single"/>
          <w:lang w:eastAsia="zh-CN"/>
        </w:rPr>
        <w:t>四川力诚卓达项目管理有限公司</w:t>
      </w:r>
      <w:r>
        <w:rPr>
          <w:rFonts w:hint="eastAsia" w:ascii="宋体" w:hAnsi="宋体"/>
          <w:bCs/>
          <w:sz w:val="24"/>
        </w:rPr>
        <w:t>（采购代理机构名称）：</w:t>
      </w:r>
    </w:p>
    <w:p>
      <w:pPr>
        <w:pStyle w:val="12"/>
        <w:spacing w:after="0" w:line="360" w:lineRule="auto"/>
        <w:ind w:left="0" w:leftChars="0" w:firstLine="480" w:firstLineChars="200"/>
        <w:jc w:val="left"/>
        <w:rPr>
          <w:rFonts w:ascii="宋体" w:hAnsi="宋体"/>
          <w:bCs/>
          <w:sz w:val="24"/>
        </w:rPr>
      </w:pPr>
      <w:r>
        <w:rPr>
          <w:rFonts w:hint="eastAsia" w:ascii="宋体" w:hAnsi="宋体"/>
          <w:bCs/>
          <w:sz w:val="24"/>
        </w:rPr>
        <w:t>我方全面研究了 “</w:t>
      </w:r>
      <w:r>
        <w:rPr>
          <w:rFonts w:hint="eastAsia" w:ascii="宋体" w:hAnsi="宋体"/>
          <w:bCs/>
          <w:sz w:val="24"/>
          <w:u w:val="single"/>
        </w:rPr>
        <w:t xml:space="preserve">           </w:t>
      </w:r>
      <w:r>
        <w:rPr>
          <w:rFonts w:hint="eastAsia" w:ascii="宋体" w:hAnsi="宋体"/>
          <w:bCs/>
          <w:sz w:val="24"/>
        </w:rPr>
        <w:t>”（项目名称）（项目编号：</w:t>
      </w:r>
      <w:r>
        <w:rPr>
          <w:rFonts w:hint="eastAsia" w:ascii="宋体" w:hAnsi="宋体"/>
          <w:bCs/>
          <w:sz w:val="24"/>
          <w:u w:val="single"/>
        </w:rPr>
        <w:t xml:space="preserve">       </w:t>
      </w:r>
      <w:r>
        <w:rPr>
          <w:rFonts w:hint="eastAsia" w:ascii="宋体" w:hAnsi="宋体"/>
          <w:sz w:val="24"/>
        </w:rPr>
        <w:t>采购包号：</w:t>
      </w:r>
      <w:r>
        <w:rPr>
          <w:rFonts w:hint="eastAsia" w:ascii="宋体" w:hAnsi="宋体"/>
          <w:sz w:val="24"/>
          <w:u w:val="single"/>
        </w:rPr>
        <w:t xml:space="preserve">      </w:t>
      </w:r>
      <w:r>
        <w:rPr>
          <w:rFonts w:hint="eastAsia" w:ascii="宋体" w:hAnsi="宋体"/>
          <w:bCs/>
          <w:sz w:val="24"/>
        </w:rPr>
        <w:t>）磋商文件，决定参加贵单位组织的本项目磋商采购。</w:t>
      </w:r>
    </w:p>
    <w:p>
      <w:pPr>
        <w:pStyle w:val="12"/>
        <w:spacing w:after="0" w:line="360" w:lineRule="auto"/>
        <w:ind w:left="0" w:leftChars="0" w:firstLine="480" w:firstLineChars="200"/>
        <w:jc w:val="left"/>
        <w:rPr>
          <w:rFonts w:ascii="宋体" w:hAnsi="宋体" w:cs="宋体"/>
          <w:bCs/>
          <w:sz w:val="24"/>
        </w:rPr>
      </w:pPr>
      <w:r>
        <w:rPr>
          <w:rFonts w:hint="eastAsia" w:ascii="宋体" w:hAnsi="宋体" w:cs="宋体"/>
          <w:bCs/>
          <w:sz w:val="24"/>
        </w:rPr>
        <w:t>1、我方自愿按照磋商文件规定的各项要求向采购人提供所需服务。报价为“最终报价表”中所述价格。</w:t>
      </w:r>
    </w:p>
    <w:p>
      <w:pPr>
        <w:pStyle w:val="12"/>
        <w:numPr>
          <w:ilvl w:val="0"/>
          <w:numId w:val="7"/>
        </w:numPr>
        <w:spacing w:after="0" w:line="360" w:lineRule="auto"/>
        <w:ind w:left="0" w:leftChars="0" w:firstLine="480" w:firstLineChars="200"/>
        <w:jc w:val="left"/>
        <w:rPr>
          <w:rFonts w:ascii="宋体" w:hAnsi="宋体" w:cs="宋体"/>
          <w:bCs/>
          <w:sz w:val="24"/>
        </w:rPr>
      </w:pPr>
      <w:r>
        <w:rPr>
          <w:rFonts w:hint="eastAsia" w:ascii="宋体" w:hAnsi="宋体" w:cs="宋体"/>
          <w:bCs/>
          <w:sz w:val="24"/>
        </w:rPr>
        <w:t>一旦我方成交，我方将严格履行合同规定的责任和义务，保证于合同签字生效后按合同约定时间完成，并交付采购人验收、使用。</w:t>
      </w:r>
    </w:p>
    <w:p>
      <w:pPr>
        <w:pStyle w:val="12"/>
        <w:spacing w:after="0" w:line="360" w:lineRule="auto"/>
        <w:ind w:left="0" w:leftChars="0" w:firstLine="480" w:firstLineChars="200"/>
        <w:jc w:val="left"/>
        <w:rPr>
          <w:rFonts w:ascii="宋体" w:hAnsi="宋体"/>
          <w:bCs/>
          <w:sz w:val="24"/>
        </w:rPr>
      </w:pPr>
      <w:r>
        <w:rPr>
          <w:rFonts w:hint="eastAsia" w:ascii="宋体" w:hAnsi="宋体"/>
          <w:bCs/>
          <w:sz w:val="24"/>
        </w:rPr>
        <w:t>3、我方为本项目提交的响应文件正本</w:t>
      </w:r>
      <w:r>
        <w:rPr>
          <w:rFonts w:hint="eastAsia" w:ascii="宋体" w:hAnsi="宋体"/>
          <w:bCs/>
          <w:sz w:val="24"/>
          <w:u w:val="single"/>
        </w:rPr>
        <w:t xml:space="preserve"> 壹 </w:t>
      </w:r>
      <w:r>
        <w:rPr>
          <w:rFonts w:hint="eastAsia" w:ascii="宋体" w:hAnsi="宋体"/>
          <w:bCs/>
          <w:sz w:val="24"/>
        </w:rPr>
        <w:t>份、副本</w:t>
      </w:r>
      <w:r>
        <w:rPr>
          <w:rFonts w:hint="eastAsia" w:ascii="宋体" w:hAnsi="宋体"/>
          <w:bCs/>
          <w:sz w:val="24"/>
          <w:u w:val="single"/>
        </w:rPr>
        <w:t xml:space="preserve"> </w:t>
      </w:r>
      <w:r>
        <w:rPr>
          <w:rFonts w:hint="eastAsia" w:ascii="宋体" w:hAnsi="宋体"/>
          <w:sz w:val="24"/>
          <w:u w:val="single"/>
        </w:rPr>
        <w:t xml:space="preserve">壹 </w:t>
      </w:r>
      <w:r>
        <w:rPr>
          <w:rFonts w:hint="eastAsia" w:ascii="宋体" w:hAnsi="宋体"/>
          <w:bCs/>
          <w:sz w:val="24"/>
        </w:rPr>
        <w:t>份、电子文档</w:t>
      </w:r>
      <w:r>
        <w:rPr>
          <w:rFonts w:hint="eastAsia" w:ascii="宋体" w:hAnsi="宋体"/>
          <w:bCs/>
          <w:sz w:val="24"/>
          <w:u w:val="single"/>
        </w:rPr>
        <w:t xml:space="preserve"> 壹 </w:t>
      </w:r>
      <w:r>
        <w:rPr>
          <w:rFonts w:hint="eastAsia" w:ascii="宋体" w:hAnsi="宋体"/>
          <w:bCs/>
          <w:sz w:val="24"/>
        </w:rPr>
        <w:t>份，本次磋商，我方递交的</w:t>
      </w:r>
      <w:r>
        <w:rPr>
          <w:rFonts w:hint="eastAsia" w:ascii="宋体" w:hAnsi="宋体"/>
          <w:sz w:val="24"/>
        </w:rPr>
        <w:t>响应文件有效期为递交磋商响应文件截止之日起</w:t>
      </w:r>
      <w:r>
        <w:rPr>
          <w:rFonts w:hint="eastAsia" w:ascii="宋体" w:hAnsi="宋体"/>
          <w:sz w:val="24"/>
          <w:u w:val="single"/>
        </w:rPr>
        <w:t>90天</w:t>
      </w:r>
      <w:r>
        <w:rPr>
          <w:rFonts w:hint="eastAsia" w:ascii="宋体" w:hAnsi="宋体"/>
          <w:bCs/>
          <w:sz w:val="24"/>
        </w:rPr>
        <w:t>。</w:t>
      </w:r>
    </w:p>
    <w:p>
      <w:pPr>
        <w:pStyle w:val="12"/>
        <w:spacing w:after="0" w:line="360" w:lineRule="auto"/>
        <w:ind w:left="0" w:leftChars="0" w:firstLine="480" w:firstLineChars="200"/>
        <w:jc w:val="left"/>
        <w:rPr>
          <w:rFonts w:ascii="宋体" w:hAnsi="宋体"/>
          <w:bCs/>
          <w:sz w:val="24"/>
        </w:rPr>
      </w:pPr>
      <w:r>
        <w:rPr>
          <w:rFonts w:hint="eastAsia" w:ascii="宋体" w:hAnsi="宋体"/>
          <w:bCs/>
          <w:sz w:val="24"/>
        </w:rPr>
        <w:t>4、我方愿意提供贵单位可能另外要求的，与磋商有关的文件资料，并保证我方已提供和将要提供的文件资料是真实、准确的。</w:t>
      </w:r>
    </w:p>
    <w:p>
      <w:pPr>
        <w:pStyle w:val="12"/>
        <w:spacing w:after="0" w:line="360" w:lineRule="auto"/>
        <w:ind w:left="0" w:leftChars="0" w:firstLine="480" w:firstLineChars="200"/>
        <w:jc w:val="left"/>
        <w:rPr>
          <w:rFonts w:ascii="宋体" w:hAnsi="宋体"/>
          <w:bCs/>
          <w:sz w:val="24"/>
        </w:rPr>
      </w:pPr>
      <w:r>
        <w:rPr>
          <w:rFonts w:hint="eastAsia" w:ascii="宋体" w:hAnsi="宋体"/>
          <w:bCs/>
          <w:sz w:val="24"/>
        </w:rPr>
        <w:t>5、国家或行业主管部门对采购产品的技术标准、质量标准和资格资质条件等有强制性规定的，我方承诺符合其要求。</w:t>
      </w:r>
    </w:p>
    <w:p>
      <w:pPr>
        <w:pStyle w:val="12"/>
        <w:spacing w:after="0" w:line="360" w:lineRule="auto"/>
        <w:ind w:left="0" w:leftChars="0" w:firstLine="480" w:firstLineChars="200"/>
        <w:jc w:val="left"/>
        <w:rPr>
          <w:bCs/>
          <w:sz w:val="24"/>
        </w:rPr>
      </w:pPr>
      <w:r>
        <w:rPr>
          <w:rFonts w:hint="eastAsia" w:ascii="宋体" w:hAnsi="宋体"/>
          <w:bCs/>
          <w:sz w:val="24"/>
        </w:rPr>
        <w:t>6、我方完全理解采购人不一定将合同授予最低报价的供应商的行为。</w:t>
      </w:r>
    </w:p>
    <w:p>
      <w:pPr>
        <w:adjustRightInd w:val="0"/>
        <w:spacing w:line="360" w:lineRule="auto"/>
        <w:jc w:val="left"/>
        <w:rPr>
          <w:rFonts w:ascii="宋体" w:hAnsi="宋体"/>
          <w:sz w:val="24"/>
        </w:rPr>
      </w:pPr>
      <w:bookmarkStart w:id="191" w:name="_Toc217446085"/>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bookmarkEnd w:id="190"/>
    <w:bookmarkEnd w:id="191"/>
    <w:p>
      <w:bookmarkStart w:id="192" w:name="_Toc17152_WPSOffice_Level2"/>
      <w:bookmarkStart w:id="193" w:name="_Toc4636_WPSOffice_Level2"/>
      <w:r>
        <w:rPr>
          <w:rFonts w:hint="eastAsia"/>
        </w:rPr>
        <w:br w:type="page"/>
      </w:r>
    </w:p>
    <w:p>
      <w:pPr>
        <w:pStyle w:val="4"/>
        <w:spacing w:line="360" w:lineRule="auto"/>
        <w:jc w:val="center"/>
      </w:pPr>
      <w:r>
        <w:rPr>
          <w:rFonts w:hint="eastAsia"/>
        </w:rPr>
        <w:t>二、第一次报价一览表</w:t>
      </w:r>
    </w:p>
    <w:tbl>
      <w:tblPr>
        <w:tblStyle w:val="28"/>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kern w:val="0"/>
                <w:szCs w:val="21"/>
              </w:rPr>
            </w:pPr>
            <w:r>
              <w:rPr>
                <w:rFonts w:hint="eastAsia" w:ascii="宋体" w:hAnsi="宋体" w:cs="宋体"/>
                <w:kern w:val="0"/>
                <w:szCs w:val="21"/>
              </w:rPr>
              <w:t>项目名称</w:t>
            </w:r>
          </w:p>
        </w:tc>
        <w:tc>
          <w:tcPr>
            <w:tcW w:w="7373" w:type="dxa"/>
            <w:vAlign w:val="center"/>
          </w:tcPr>
          <w:p>
            <w:pPr>
              <w:tabs>
                <w:tab w:val="left" w:pos="7513"/>
              </w:tabs>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kern w:val="0"/>
                <w:szCs w:val="21"/>
              </w:rPr>
            </w:pPr>
            <w:r>
              <w:rPr>
                <w:rFonts w:hint="eastAsia" w:ascii="宋体" w:hAnsi="宋体" w:cs="宋体"/>
                <w:kern w:val="0"/>
                <w:szCs w:val="21"/>
              </w:rPr>
              <w:t>项目编号</w:t>
            </w:r>
          </w:p>
        </w:tc>
        <w:tc>
          <w:tcPr>
            <w:tcW w:w="7373" w:type="dxa"/>
            <w:vAlign w:val="center"/>
          </w:tcPr>
          <w:p>
            <w:pPr>
              <w:tabs>
                <w:tab w:val="left" w:pos="7513"/>
              </w:tabs>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kern w:val="0"/>
                <w:szCs w:val="21"/>
              </w:rPr>
            </w:pPr>
            <w:r>
              <w:rPr>
                <w:rFonts w:hint="eastAsia" w:ascii="宋体" w:hAnsi="宋体" w:cs="宋体"/>
                <w:kern w:val="0"/>
                <w:szCs w:val="21"/>
              </w:rPr>
              <w:t>供应商名称</w:t>
            </w:r>
          </w:p>
        </w:tc>
        <w:tc>
          <w:tcPr>
            <w:tcW w:w="7373" w:type="dxa"/>
            <w:vAlign w:val="center"/>
          </w:tcPr>
          <w:p>
            <w:pPr>
              <w:tabs>
                <w:tab w:val="left" w:pos="7513"/>
              </w:tabs>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70" w:type="dxa"/>
            <w:vAlign w:val="center"/>
          </w:tcPr>
          <w:p>
            <w:pPr>
              <w:tabs>
                <w:tab w:val="left" w:pos="7513"/>
              </w:tabs>
              <w:jc w:val="center"/>
              <w:rPr>
                <w:rFonts w:ascii="宋体" w:hAnsi="宋体" w:cs="宋体"/>
                <w:kern w:val="0"/>
                <w:szCs w:val="21"/>
              </w:rPr>
            </w:pPr>
            <w:r>
              <w:rPr>
                <w:rFonts w:hint="eastAsia" w:ascii="宋体" w:hAnsi="宋体" w:cs="宋体"/>
                <w:kern w:val="0"/>
                <w:szCs w:val="21"/>
              </w:rPr>
              <w:t>报价合计</w:t>
            </w:r>
          </w:p>
        </w:tc>
        <w:tc>
          <w:tcPr>
            <w:tcW w:w="7373" w:type="dxa"/>
            <w:vAlign w:val="center"/>
          </w:tcPr>
          <w:p>
            <w:pPr>
              <w:tabs>
                <w:tab w:val="left" w:pos="7513"/>
              </w:tabs>
              <w:spacing w:line="360" w:lineRule="auto"/>
              <w:jc w:val="center"/>
              <w:rPr>
                <w:rFonts w:ascii="宋体" w:hAnsi="宋体" w:cs="宋体"/>
                <w:kern w:val="0"/>
                <w:szCs w:val="21"/>
              </w:rPr>
            </w:pPr>
            <w:r>
              <w:rPr>
                <w:rFonts w:hint="eastAsia" w:ascii="宋体" w:hAnsi="宋体" w:cs="宋体"/>
                <w:kern w:val="0"/>
                <w:szCs w:val="21"/>
              </w:rPr>
              <w:t>人民币：</w:t>
            </w:r>
            <w:r>
              <w:rPr>
                <w:rFonts w:hint="eastAsia" w:ascii="宋体" w:hAnsi="宋体" w:cs="宋体"/>
                <w:kern w:val="0"/>
                <w:szCs w:val="21"/>
                <w:u w:val="single"/>
              </w:rPr>
              <w:t xml:space="preserve">                    </w:t>
            </w:r>
            <w:r>
              <w:rPr>
                <w:rFonts w:hint="eastAsia" w:ascii="宋体" w:hAnsi="宋体" w:cs="宋体"/>
                <w:kern w:val="0"/>
                <w:szCs w:val="21"/>
              </w:rPr>
              <w:t>元</w:t>
            </w:r>
          </w:p>
          <w:p>
            <w:pPr>
              <w:tabs>
                <w:tab w:val="left" w:pos="7513"/>
              </w:tabs>
              <w:spacing w:line="360" w:lineRule="auto"/>
              <w:jc w:val="center"/>
              <w:rPr>
                <w:rFonts w:ascii="宋体" w:hAnsi="宋体" w:cs="宋体"/>
                <w:kern w:val="0"/>
                <w:szCs w:val="21"/>
              </w:rPr>
            </w:pPr>
            <w:r>
              <w:rPr>
                <w:rFonts w:hint="eastAsia" w:ascii="宋体" w:hAnsi="宋体" w:cs="宋体"/>
                <w:kern w:val="0"/>
                <w:szCs w:val="21"/>
              </w:rPr>
              <w:t>（大写：</w:t>
            </w:r>
            <w:r>
              <w:rPr>
                <w:rFonts w:hint="eastAsia" w:ascii="宋体" w:hAnsi="宋体" w:cs="宋体"/>
                <w:kern w:val="0"/>
                <w:szCs w:val="21"/>
                <w:u w:val="single"/>
              </w:rPr>
              <w:t xml:space="preserve">                    </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970" w:type="dxa"/>
            <w:vAlign w:val="center"/>
          </w:tcPr>
          <w:p>
            <w:pPr>
              <w:tabs>
                <w:tab w:val="left" w:pos="7513"/>
              </w:tabs>
              <w:spacing w:line="360" w:lineRule="auto"/>
              <w:jc w:val="center"/>
              <w:rPr>
                <w:rFonts w:ascii="宋体" w:hAnsi="宋体" w:cs="宋体"/>
                <w:kern w:val="0"/>
                <w:szCs w:val="21"/>
              </w:rPr>
            </w:pPr>
            <w:r>
              <w:rPr>
                <w:rFonts w:hint="eastAsia" w:ascii="宋体" w:hAnsi="宋体" w:cs="宋体"/>
                <w:kern w:val="0"/>
                <w:szCs w:val="21"/>
              </w:rPr>
              <w:t>备注</w:t>
            </w:r>
          </w:p>
        </w:tc>
        <w:tc>
          <w:tcPr>
            <w:tcW w:w="7373" w:type="dxa"/>
            <w:vAlign w:val="center"/>
          </w:tcPr>
          <w:p>
            <w:pPr>
              <w:tabs>
                <w:tab w:val="left" w:pos="7513"/>
              </w:tabs>
              <w:spacing w:line="360" w:lineRule="auto"/>
              <w:jc w:val="center"/>
              <w:rPr>
                <w:rFonts w:ascii="宋体" w:hAnsi="宋体" w:cs="宋体"/>
                <w:kern w:val="0"/>
                <w:szCs w:val="21"/>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 1.所有报价均用人民币表示。</w:t>
      </w:r>
    </w:p>
    <w:p>
      <w:pPr>
        <w:spacing w:line="360" w:lineRule="auto"/>
        <w:ind w:firstLine="480" w:firstLineChars="200"/>
        <w:rPr>
          <w:rFonts w:ascii="宋体" w:hAnsi="宋体"/>
          <w:sz w:val="24"/>
        </w:rPr>
      </w:pPr>
      <w:r>
        <w:rPr>
          <w:rFonts w:hint="eastAsia" w:ascii="宋体" w:hAnsi="宋体"/>
          <w:sz w:val="24"/>
        </w:rPr>
        <w:t>2.表格如不能完全表达相关内容，供应商可自行补充。</w:t>
      </w:r>
    </w:p>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ind w:firstLine="480" w:firstLineChars="200"/>
        <w:rPr>
          <w:rFonts w:ascii="新宋体" w:hAnsi="新宋体" w:eastAsia="新宋体"/>
          <w:sz w:val="24"/>
        </w:rPr>
      </w:pPr>
      <w:r>
        <w:rPr>
          <w:rFonts w:ascii="宋体" w:hAnsi="宋体"/>
          <w:sz w:val="24"/>
        </w:rPr>
        <w:br w:type="page"/>
      </w:r>
    </w:p>
    <w:p>
      <w:pPr>
        <w:pStyle w:val="4"/>
        <w:spacing w:line="360" w:lineRule="auto"/>
        <w:jc w:val="center"/>
      </w:pPr>
      <w:r>
        <w:rPr>
          <w:rFonts w:hint="eastAsia"/>
        </w:rPr>
        <w:t>三、分项报价明细表</w:t>
      </w:r>
    </w:p>
    <w:p>
      <w:pPr>
        <w:rPr>
          <w:rStyle w:val="40"/>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注: 1.</w:t>
      </w:r>
      <w:r>
        <w:rPr>
          <w:rFonts w:hint="eastAsia" w:ascii="宋体" w:hAnsi="宋体"/>
          <w:sz w:val="24"/>
          <w:lang w:eastAsia="zh-CN"/>
        </w:rPr>
        <w:t>格式自拟</w:t>
      </w:r>
      <w:r>
        <w:rPr>
          <w:rFonts w:hint="eastAsia" w:ascii="宋体" w:hAnsi="宋体"/>
          <w:sz w:val="24"/>
        </w:rPr>
        <w:t>。</w:t>
      </w:r>
    </w:p>
    <w:p>
      <w:pPr>
        <w:adjustRightInd w:val="0"/>
        <w:spacing w:line="360" w:lineRule="auto"/>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.“分项报价明细合计”应与“第一次报价一览表”报价相等。</w:t>
      </w:r>
    </w:p>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hint="eastAsia"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rPr>
          <w:rStyle w:val="40"/>
        </w:rPr>
      </w:pPr>
      <w:r>
        <w:rPr>
          <w:rStyle w:val="40"/>
          <w:rFonts w:hint="eastAsia"/>
        </w:rPr>
        <w:br w:type="page"/>
      </w:r>
    </w:p>
    <w:p>
      <w:pPr>
        <w:pStyle w:val="4"/>
        <w:spacing w:line="360" w:lineRule="auto"/>
        <w:jc w:val="center"/>
        <w:rPr>
          <w:rStyle w:val="40"/>
          <w:b/>
          <w:bCs/>
        </w:rPr>
      </w:pPr>
      <w:r>
        <w:rPr>
          <w:rStyle w:val="40"/>
          <w:rFonts w:hint="eastAsia"/>
          <w:b/>
          <w:bCs/>
        </w:rPr>
        <w:t>四、商务、技术、服务应答表</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tbl>
      <w:tblPr>
        <w:tblStyle w:val="29"/>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9"/>
        <w:gridCol w:w="1839"/>
        <w:gridCol w:w="223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vAlign w:val="center"/>
          </w:tcPr>
          <w:p>
            <w:pPr>
              <w:spacing w:line="360" w:lineRule="auto"/>
              <w:jc w:val="center"/>
              <w:rPr>
                <w:rFonts w:ascii="宋体" w:hAnsi="宋体"/>
                <w:szCs w:val="21"/>
              </w:rPr>
            </w:pPr>
            <w:r>
              <w:rPr>
                <w:rFonts w:hint="eastAsia" w:ascii="宋体" w:hAnsi="宋体"/>
                <w:szCs w:val="21"/>
              </w:rPr>
              <w:t>序号</w:t>
            </w:r>
          </w:p>
        </w:tc>
        <w:tc>
          <w:tcPr>
            <w:tcW w:w="1989" w:type="dxa"/>
            <w:vAlign w:val="center"/>
          </w:tcPr>
          <w:p>
            <w:pPr>
              <w:spacing w:line="360" w:lineRule="auto"/>
              <w:jc w:val="center"/>
              <w:rPr>
                <w:rFonts w:ascii="宋体" w:hAnsi="宋体"/>
                <w:szCs w:val="21"/>
              </w:rPr>
            </w:pPr>
            <w:r>
              <w:rPr>
                <w:rFonts w:hint="eastAsia" w:ascii="宋体" w:hAnsi="宋体"/>
                <w:szCs w:val="21"/>
              </w:rPr>
              <w:t>磋商文件要求</w:t>
            </w:r>
          </w:p>
        </w:tc>
        <w:tc>
          <w:tcPr>
            <w:tcW w:w="1839" w:type="dxa"/>
            <w:vAlign w:val="center"/>
          </w:tcPr>
          <w:p>
            <w:pPr>
              <w:spacing w:line="360" w:lineRule="auto"/>
              <w:jc w:val="center"/>
              <w:rPr>
                <w:rFonts w:ascii="宋体" w:hAnsi="宋体"/>
                <w:szCs w:val="21"/>
              </w:rPr>
            </w:pPr>
            <w:r>
              <w:rPr>
                <w:rFonts w:hint="eastAsia" w:ascii="宋体" w:hAnsi="宋体"/>
                <w:szCs w:val="21"/>
              </w:rPr>
              <w:t>响应文件应答</w:t>
            </w:r>
          </w:p>
        </w:tc>
        <w:tc>
          <w:tcPr>
            <w:tcW w:w="2234" w:type="dxa"/>
            <w:vAlign w:val="center"/>
          </w:tcPr>
          <w:p>
            <w:pPr>
              <w:spacing w:line="360" w:lineRule="auto"/>
              <w:jc w:val="center"/>
              <w:rPr>
                <w:rFonts w:ascii="宋体" w:hAnsi="宋体"/>
                <w:szCs w:val="21"/>
              </w:rPr>
            </w:pPr>
            <w:r>
              <w:rPr>
                <w:rFonts w:hint="eastAsia" w:ascii="宋体" w:hAnsi="宋体"/>
                <w:szCs w:val="21"/>
              </w:rPr>
              <w:t>偏离情况（正偏离或负偏离或无偏离）</w:t>
            </w:r>
          </w:p>
        </w:tc>
        <w:tc>
          <w:tcPr>
            <w:tcW w:w="2425"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234" w:type="dxa"/>
          </w:tcPr>
          <w:p>
            <w:pPr>
              <w:spacing w:line="360" w:lineRule="auto"/>
              <w:jc w:val="center"/>
              <w:rPr>
                <w:rFonts w:ascii="宋体" w:hAnsi="宋体"/>
                <w:szCs w:val="21"/>
              </w:rPr>
            </w:pPr>
          </w:p>
        </w:tc>
        <w:tc>
          <w:tcPr>
            <w:tcW w:w="242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234" w:type="dxa"/>
          </w:tcPr>
          <w:p>
            <w:pPr>
              <w:spacing w:line="360" w:lineRule="auto"/>
              <w:jc w:val="center"/>
              <w:rPr>
                <w:rFonts w:ascii="宋体" w:hAnsi="宋体"/>
                <w:szCs w:val="21"/>
              </w:rPr>
            </w:pPr>
          </w:p>
        </w:tc>
        <w:tc>
          <w:tcPr>
            <w:tcW w:w="242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234" w:type="dxa"/>
          </w:tcPr>
          <w:p>
            <w:pPr>
              <w:spacing w:line="360" w:lineRule="auto"/>
              <w:jc w:val="center"/>
              <w:rPr>
                <w:rFonts w:ascii="宋体" w:hAnsi="宋体"/>
                <w:szCs w:val="21"/>
              </w:rPr>
            </w:pPr>
          </w:p>
        </w:tc>
        <w:tc>
          <w:tcPr>
            <w:tcW w:w="242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234" w:type="dxa"/>
          </w:tcPr>
          <w:p>
            <w:pPr>
              <w:spacing w:line="360" w:lineRule="auto"/>
              <w:jc w:val="center"/>
              <w:rPr>
                <w:rFonts w:ascii="宋体" w:hAnsi="宋体"/>
                <w:szCs w:val="21"/>
              </w:rPr>
            </w:pPr>
          </w:p>
        </w:tc>
        <w:tc>
          <w:tcPr>
            <w:tcW w:w="242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234" w:type="dxa"/>
          </w:tcPr>
          <w:p>
            <w:pPr>
              <w:spacing w:line="360" w:lineRule="auto"/>
              <w:jc w:val="center"/>
              <w:rPr>
                <w:rFonts w:ascii="宋体" w:hAnsi="宋体"/>
                <w:szCs w:val="21"/>
              </w:rPr>
            </w:pPr>
          </w:p>
        </w:tc>
        <w:tc>
          <w:tcPr>
            <w:tcW w:w="242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234" w:type="dxa"/>
          </w:tcPr>
          <w:p>
            <w:pPr>
              <w:spacing w:line="360" w:lineRule="auto"/>
              <w:jc w:val="center"/>
              <w:rPr>
                <w:rFonts w:ascii="宋体" w:hAnsi="宋体"/>
                <w:szCs w:val="21"/>
              </w:rPr>
            </w:pPr>
          </w:p>
        </w:tc>
        <w:tc>
          <w:tcPr>
            <w:tcW w:w="242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4" w:type="dxa"/>
          </w:tcPr>
          <w:p>
            <w:pPr>
              <w:spacing w:line="360" w:lineRule="auto"/>
              <w:jc w:val="center"/>
              <w:rPr>
                <w:rFonts w:ascii="宋体" w:hAnsi="宋体"/>
                <w:szCs w:val="21"/>
              </w:rPr>
            </w:pPr>
          </w:p>
        </w:tc>
        <w:tc>
          <w:tcPr>
            <w:tcW w:w="1989" w:type="dxa"/>
          </w:tcPr>
          <w:p>
            <w:pPr>
              <w:spacing w:line="360" w:lineRule="auto"/>
              <w:jc w:val="center"/>
              <w:rPr>
                <w:rFonts w:ascii="宋体" w:hAnsi="宋体"/>
                <w:szCs w:val="21"/>
              </w:rPr>
            </w:pPr>
          </w:p>
        </w:tc>
        <w:tc>
          <w:tcPr>
            <w:tcW w:w="1839" w:type="dxa"/>
          </w:tcPr>
          <w:p>
            <w:pPr>
              <w:spacing w:line="360" w:lineRule="auto"/>
              <w:jc w:val="center"/>
              <w:rPr>
                <w:rFonts w:ascii="宋体" w:hAnsi="宋体"/>
                <w:szCs w:val="21"/>
              </w:rPr>
            </w:pPr>
          </w:p>
        </w:tc>
        <w:tc>
          <w:tcPr>
            <w:tcW w:w="2234" w:type="dxa"/>
          </w:tcPr>
          <w:p>
            <w:pPr>
              <w:spacing w:line="360" w:lineRule="auto"/>
              <w:jc w:val="center"/>
              <w:rPr>
                <w:rFonts w:ascii="宋体" w:hAnsi="宋体"/>
                <w:szCs w:val="21"/>
              </w:rPr>
            </w:pPr>
          </w:p>
        </w:tc>
        <w:tc>
          <w:tcPr>
            <w:tcW w:w="2425" w:type="dxa"/>
          </w:tcPr>
          <w:p>
            <w:pPr>
              <w:spacing w:line="360" w:lineRule="auto"/>
              <w:jc w:val="center"/>
              <w:rPr>
                <w:rFonts w:ascii="宋体" w:hAnsi="宋体"/>
                <w:szCs w:val="21"/>
              </w:rPr>
            </w:pPr>
          </w:p>
        </w:tc>
      </w:tr>
    </w:tbl>
    <w:p>
      <w:pPr>
        <w:spacing w:line="360" w:lineRule="auto"/>
      </w:pPr>
    </w:p>
    <w:p>
      <w:pPr>
        <w:spacing w:line="360" w:lineRule="auto"/>
        <w:rPr>
          <w:rFonts w:ascii="宋体" w:hAnsi="宋体"/>
          <w:sz w:val="24"/>
          <w:highlight w:val="yellow"/>
        </w:rPr>
      </w:pPr>
      <w:r>
        <w:rPr>
          <w:rFonts w:hint="eastAsia" w:ascii="宋体" w:hAnsi="宋体"/>
          <w:sz w:val="24"/>
        </w:rPr>
        <w:t>注：1.供应商必须把磋商文件</w:t>
      </w:r>
      <w:r>
        <w:rPr>
          <w:rFonts w:hint="eastAsia" w:ascii="宋体" w:hAnsi="宋体"/>
          <w:b/>
          <w:bCs/>
          <w:sz w:val="24"/>
        </w:rPr>
        <w:t>第五章全部“商务要求”</w:t>
      </w:r>
      <w:r>
        <w:rPr>
          <w:rFonts w:hint="eastAsia" w:ascii="宋体" w:hAnsi="宋体"/>
          <w:b/>
          <w:bCs/>
          <w:sz w:val="24"/>
          <w:lang w:eastAsia="zh-CN"/>
        </w:rPr>
        <w:t>、“其他服务要求”、“项目实施要求”、“售后服务要求”、“培训要求”</w:t>
      </w:r>
      <w:r>
        <w:rPr>
          <w:rFonts w:hint="eastAsia" w:ascii="宋体" w:hAnsi="宋体"/>
          <w:b/>
          <w:bCs/>
          <w:sz w:val="24"/>
          <w:highlight w:val="none"/>
        </w:rPr>
        <w:t>及“</w:t>
      </w:r>
      <w:r>
        <w:rPr>
          <w:rFonts w:hint="eastAsia" w:ascii="宋体" w:hAnsi="宋体"/>
          <w:b/>
          <w:bCs/>
          <w:sz w:val="24"/>
          <w:highlight w:val="none"/>
          <w:lang w:eastAsia="zh-CN"/>
        </w:rPr>
        <w:t>服务清单及</w:t>
      </w:r>
      <w:r>
        <w:rPr>
          <w:rFonts w:hint="eastAsia" w:ascii="宋体" w:hAnsi="宋体"/>
          <w:b/>
          <w:bCs/>
          <w:sz w:val="24"/>
          <w:highlight w:val="none"/>
        </w:rPr>
        <w:t>技术参数要求”</w:t>
      </w:r>
      <w:r>
        <w:rPr>
          <w:rFonts w:hint="eastAsia" w:ascii="宋体" w:hAnsi="宋体"/>
          <w:sz w:val="24"/>
          <w:highlight w:val="none"/>
        </w:rPr>
        <w:t>列入此表，逐条应答。</w:t>
      </w:r>
    </w:p>
    <w:p>
      <w:pPr>
        <w:spacing w:line="360" w:lineRule="auto"/>
        <w:ind w:firstLine="480" w:firstLineChars="200"/>
        <w:jc w:val="left"/>
        <w:rPr>
          <w:rFonts w:ascii="宋体" w:hAnsi="宋体"/>
          <w:sz w:val="24"/>
        </w:rPr>
      </w:pPr>
      <w:r>
        <w:rPr>
          <w:rFonts w:hint="eastAsia" w:ascii="宋体" w:hAnsi="宋体"/>
          <w:sz w:val="24"/>
        </w:rPr>
        <w:t>2.供应商应当根据磋商文件要求据实填写，不得虚假响应，虚假响应的，其响应文件无效并按规定追究其相关责任。</w:t>
      </w:r>
    </w:p>
    <w:p>
      <w:pPr>
        <w:spacing w:line="360" w:lineRule="auto"/>
        <w:jc w:val="left"/>
        <w:rPr>
          <w:rFonts w:ascii="宋体" w:hAnsi="宋体"/>
          <w:sz w:val="24"/>
        </w:rPr>
      </w:pPr>
    </w:p>
    <w:p>
      <w:pPr>
        <w:adjustRightInd w:val="0"/>
        <w:spacing w:line="360" w:lineRule="auto"/>
        <w:ind w:firstLine="480" w:firstLineChars="200"/>
        <w:jc w:val="left"/>
        <w:rPr>
          <w:rFonts w:ascii="新宋体" w:hAnsi="新宋体" w:eastAsia="新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pStyle w:val="4"/>
        <w:spacing w:before="0" w:after="0" w:line="360" w:lineRule="auto"/>
        <w:jc w:val="center"/>
      </w:pPr>
      <w:r>
        <w:rPr>
          <w:rFonts w:hint="eastAsia"/>
        </w:rPr>
        <w:br w:type="page"/>
      </w:r>
      <w:r>
        <w:rPr>
          <w:rFonts w:hint="eastAsia"/>
        </w:rPr>
        <w:t>五</w:t>
      </w:r>
      <w:r>
        <w:rPr>
          <w:rStyle w:val="40"/>
          <w:rFonts w:hint="eastAsia"/>
          <w:b/>
          <w:bCs/>
        </w:rPr>
        <w:t>、供应商基本情况表</w:t>
      </w:r>
      <w:bookmarkEnd w:id="192"/>
      <w:bookmarkEnd w:id="193"/>
    </w:p>
    <w:tbl>
      <w:tblPr>
        <w:tblStyle w:val="28"/>
        <w:tblW w:w="934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7"/>
        <w:gridCol w:w="1063"/>
        <w:gridCol w:w="1323"/>
        <w:gridCol w:w="1394"/>
        <w:gridCol w:w="1441"/>
        <w:gridCol w:w="176"/>
        <w:gridCol w:w="1114"/>
        <w:gridCol w:w="11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hAnsi="宋体"/>
                <w:kern w:val="0"/>
                <w:szCs w:val="21"/>
              </w:rPr>
              <w:t>供应商</w:t>
            </w:r>
            <w:r>
              <w:rPr>
                <w:rFonts w:hint="eastAsia" w:ascii="宋体" w:hAnsi="宋体"/>
                <w:kern w:val="0"/>
                <w:szCs w:val="21"/>
              </w:rPr>
              <w:t>名称</w:t>
            </w:r>
          </w:p>
        </w:tc>
        <w:tc>
          <w:tcPr>
            <w:tcW w:w="7696" w:type="dxa"/>
            <w:gridSpan w:val="7"/>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注册地址</w:t>
            </w:r>
          </w:p>
        </w:tc>
        <w:tc>
          <w:tcPr>
            <w:tcW w:w="3780" w:type="dxa"/>
            <w:gridSpan w:val="3"/>
            <w:vAlign w:val="center"/>
          </w:tcPr>
          <w:p>
            <w:pPr>
              <w:autoSpaceDE w:val="0"/>
              <w:autoSpaceDN w:val="0"/>
              <w:adjustRightInd w:val="0"/>
              <w:spacing w:line="360" w:lineRule="auto"/>
              <w:jc w:val="center"/>
              <w:rPr>
                <w:rFonts w:ascii="宋体" w:hAnsi="宋体"/>
                <w:kern w:val="0"/>
                <w:szCs w:val="21"/>
              </w:rPr>
            </w:pPr>
          </w:p>
        </w:tc>
        <w:tc>
          <w:tcPr>
            <w:tcW w:w="144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邮政编码</w:t>
            </w:r>
          </w:p>
        </w:tc>
        <w:tc>
          <w:tcPr>
            <w:tcW w:w="2475" w:type="dxa"/>
            <w:gridSpan w:val="3"/>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Merge w:val="restart"/>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联系方式</w:t>
            </w: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联系人</w:t>
            </w:r>
          </w:p>
        </w:tc>
        <w:tc>
          <w:tcPr>
            <w:tcW w:w="2717" w:type="dxa"/>
            <w:gridSpan w:val="2"/>
            <w:vAlign w:val="center"/>
          </w:tcPr>
          <w:p>
            <w:pPr>
              <w:autoSpaceDE w:val="0"/>
              <w:autoSpaceDN w:val="0"/>
              <w:adjustRightInd w:val="0"/>
              <w:spacing w:line="360" w:lineRule="auto"/>
              <w:jc w:val="center"/>
              <w:rPr>
                <w:rFonts w:ascii="宋体" w:hAnsi="宋体"/>
                <w:kern w:val="0"/>
                <w:szCs w:val="21"/>
              </w:rPr>
            </w:pPr>
          </w:p>
        </w:tc>
        <w:tc>
          <w:tcPr>
            <w:tcW w:w="144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电话</w:t>
            </w:r>
          </w:p>
        </w:tc>
        <w:tc>
          <w:tcPr>
            <w:tcW w:w="2475" w:type="dxa"/>
            <w:gridSpan w:val="3"/>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Merge w:val="continue"/>
            <w:vAlign w:val="center"/>
          </w:tcPr>
          <w:p>
            <w:pPr>
              <w:autoSpaceDE w:val="0"/>
              <w:autoSpaceDN w:val="0"/>
              <w:adjustRightInd w:val="0"/>
              <w:spacing w:line="360" w:lineRule="auto"/>
              <w:jc w:val="center"/>
              <w:rPr>
                <w:rFonts w:ascii="宋体" w:hAnsi="宋体"/>
                <w:kern w:val="0"/>
                <w:szCs w:val="21"/>
              </w:rPr>
            </w:pP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传真</w:t>
            </w:r>
          </w:p>
        </w:tc>
        <w:tc>
          <w:tcPr>
            <w:tcW w:w="2717" w:type="dxa"/>
            <w:gridSpan w:val="2"/>
            <w:vAlign w:val="center"/>
          </w:tcPr>
          <w:p>
            <w:pPr>
              <w:autoSpaceDE w:val="0"/>
              <w:autoSpaceDN w:val="0"/>
              <w:adjustRightInd w:val="0"/>
              <w:spacing w:line="360" w:lineRule="auto"/>
              <w:jc w:val="center"/>
              <w:rPr>
                <w:rFonts w:ascii="宋体" w:hAnsi="宋体"/>
                <w:kern w:val="0"/>
                <w:szCs w:val="21"/>
              </w:rPr>
            </w:pPr>
          </w:p>
        </w:tc>
        <w:tc>
          <w:tcPr>
            <w:tcW w:w="1441"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网址</w:t>
            </w:r>
          </w:p>
        </w:tc>
        <w:tc>
          <w:tcPr>
            <w:tcW w:w="2475" w:type="dxa"/>
            <w:gridSpan w:val="3"/>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组织结构</w:t>
            </w:r>
          </w:p>
        </w:tc>
        <w:tc>
          <w:tcPr>
            <w:tcW w:w="7696" w:type="dxa"/>
            <w:gridSpan w:val="7"/>
            <w:vAlign w:val="center"/>
          </w:tcPr>
          <w:p>
            <w:pPr>
              <w:autoSpaceDE w:val="0"/>
              <w:autoSpaceDN w:val="0"/>
              <w:adjustRightIn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法定代表人</w:t>
            </w: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姓名</w:t>
            </w:r>
          </w:p>
        </w:tc>
        <w:tc>
          <w:tcPr>
            <w:tcW w:w="1323" w:type="dxa"/>
            <w:vAlign w:val="center"/>
          </w:tcPr>
          <w:p>
            <w:pPr>
              <w:autoSpaceDE w:val="0"/>
              <w:autoSpaceDN w:val="0"/>
              <w:adjustRightInd w:val="0"/>
              <w:spacing w:line="360" w:lineRule="auto"/>
              <w:jc w:val="center"/>
              <w:rPr>
                <w:rFonts w:ascii="宋体" w:hAnsi="宋体"/>
                <w:kern w:val="0"/>
                <w:szCs w:val="21"/>
              </w:rPr>
            </w:pPr>
          </w:p>
        </w:tc>
        <w:tc>
          <w:tcPr>
            <w:tcW w:w="1394"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技术职称</w:t>
            </w:r>
          </w:p>
        </w:tc>
        <w:tc>
          <w:tcPr>
            <w:tcW w:w="1441" w:type="dxa"/>
            <w:vAlign w:val="center"/>
          </w:tcPr>
          <w:p>
            <w:pPr>
              <w:autoSpaceDE w:val="0"/>
              <w:autoSpaceDN w:val="0"/>
              <w:adjustRightInd w:val="0"/>
              <w:spacing w:line="360" w:lineRule="auto"/>
              <w:jc w:val="center"/>
              <w:rPr>
                <w:rFonts w:ascii="宋体" w:hAnsi="宋体"/>
                <w:kern w:val="0"/>
                <w:szCs w:val="21"/>
              </w:rPr>
            </w:pPr>
          </w:p>
        </w:tc>
        <w:tc>
          <w:tcPr>
            <w:tcW w:w="1290"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电话</w:t>
            </w:r>
          </w:p>
        </w:tc>
        <w:tc>
          <w:tcPr>
            <w:tcW w:w="1185" w:type="dxa"/>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技术负责人</w:t>
            </w:r>
          </w:p>
        </w:tc>
        <w:tc>
          <w:tcPr>
            <w:tcW w:w="1063"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姓名</w:t>
            </w:r>
          </w:p>
        </w:tc>
        <w:tc>
          <w:tcPr>
            <w:tcW w:w="1323" w:type="dxa"/>
            <w:vAlign w:val="center"/>
          </w:tcPr>
          <w:p>
            <w:pPr>
              <w:autoSpaceDE w:val="0"/>
              <w:autoSpaceDN w:val="0"/>
              <w:adjustRightInd w:val="0"/>
              <w:spacing w:line="360" w:lineRule="auto"/>
              <w:jc w:val="center"/>
              <w:rPr>
                <w:rFonts w:ascii="宋体" w:hAnsi="宋体"/>
                <w:kern w:val="0"/>
                <w:szCs w:val="21"/>
              </w:rPr>
            </w:pPr>
          </w:p>
        </w:tc>
        <w:tc>
          <w:tcPr>
            <w:tcW w:w="1394"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技术职称</w:t>
            </w:r>
          </w:p>
        </w:tc>
        <w:tc>
          <w:tcPr>
            <w:tcW w:w="1441" w:type="dxa"/>
            <w:vAlign w:val="center"/>
          </w:tcPr>
          <w:p>
            <w:pPr>
              <w:autoSpaceDE w:val="0"/>
              <w:autoSpaceDN w:val="0"/>
              <w:adjustRightInd w:val="0"/>
              <w:spacing w:line="360" w:lineRule="auto"/>
              <w:jc w:val="center"/>
              <w:rPr>
                <w:rFonts w:ascii="宋体" w:hAnsi="宋体"/>
                <w:kern w:val="0"/>
                <w:szCs w:val="21"/>
              </w:rPr>
            </w:pPr>
          </w:p>
        </w:tc>
        <w:tc>
          <w:tcPr>
            <w:tcW w:w="1290"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电话</w:t>
            </w:r>
          </w:p>
        </w:tc>
        <w:tc>
          <w:tcPr>
            <w:tcW w:w="1185" w:type="dxa"/>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成立时间</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5310" w:type="dxa"/>
            <w:gridSpan w:val="5"/>
            <w:vAlign w:val="center"/>
          </w:tcPr>
          <w:p>
            <w:pPr>
              <w:autoSpaceDE w:val="0"/>
              <w:autoSpaceDN w:val="0"/>
              <w:adjustRightInd w:val="0"/>
              <w:spacing w:line="360" w:lineRule="auto"/>
              <w:ind w:firstLine="1470" w:firstLineChars="700"/>
              <w:rPr>
                <w:rFonts w:ascii="宋体" w:hAnsi="宋体"/>
                <w:kern w:val="0"/>
                <w:szCs w:val="21"/>
              </w:rPr>
            </w:pPr>
            <w:r>
              <w:rPr>
                <w:rFonts w:hint="eastAsia" w:ascii="宋体" w:hAnsi="宋体"/>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企业资质等级</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restart"/>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其中</w:t>
            </w: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项目经理</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营业执照号</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高级职称人员</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注册资金</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中级职称人员</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开户银行</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初级职称人员</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账号</w:t>
            </w:r>
          </w:p>
        </w:tc>
        <w:tc>
          <w:tcPr>
            <w:tcW w:w="2386" w:type="dxa"/>
            <w:gridSpan w:val="2"/>
            <w:vAlign w:val="center"/>
          </w:tcPr>
          <w:p>
            <w:pPr>
              <w:autoSpaceDE w:val="0"/>
              <w:autoSpaceDN w:val="0"/>
              <w:adjustRightInd w:val="0"/>
              <w:spacing w:line="360" w:lineRule="auto"/>
              <w:jc w:val="center"/>
              <w:rPr>
                <w:rFonts w:ascii="宋体" w:hAnsi="宋体"/>
                <w:kern w:val="0"/>
                <w:szCs w:val="21"/>
              </w:rPr>
            </w:pPr>
          </w:p>
        </w:tc>
        <w:tc>
          <w:tcPr>
            <w:tcW w:w="1394" w:type="dxa"/>
            <w:vMerge w:val="continue"/>
            <w:vAlign w:val="center"/>
          </w:tcPr>
          <w:p>
            <w:pPr>
              <w:autoSpaceDE w:val="0"/>
              <w:autoSpaceDN w:val="0"/>
              <w:adjustRightInd w:val="0"/>
              <w:spacing w:line="360" w:lineRule="auto"/>
              <w:jc w:val="center"/>
              <w:rPr>
                <w:rFonts w:ascii="宋体" w:hAnsi="宋体"/>
                <w:kern w:val="0"/>
                <w:szCs w:val="21"/>
              </w:rPr>
            </w:pPr>
          </w:p>
        </w:tc>
        <w:tc>
          <w:tcPr>
            <w:tcW w:w="1617" w:type="dxa"/>
            <w:gridSpan w:val="2"/>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技工</w:t>
            </w:r>
          </w:p>
        </w:tc>
        <w:tc>
          <w:tcPr>
            <w:tcW w:w="2299" w:type="dxa"/>
            <w:gridSpan w:val="2"/>
            <w:vAlign w:val="center"/>
          </w:tcPr>
          <w:p>
            <w:pPr>
              <w:autoSpaceDE w:val="0"/>
              <w:autoSpaceDN w:val="0"/>
              <w:adjustRightInd w:val="0"/>
              <w:spacing w:line="360" w:lineRule="auto"/>
              <w:jc w:val="cente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经营范围</w:t>
            </w:r>
          </w:p>
        </w:tc>
        <w:tc>
          <w:tcPr>
            <w:tcW w:w="7696" w:type="dxa"/>
            <w:gridSpan w:val="7"/>
            <w:vAlign w:val="center"/>
          </w:tcPr>
          <w:p>
            <w:pPr>
              <w:autoSpaceDE w:val="0"/>
              <w:autoSpaceDN w:val="0"/>
              <w:adjustRightInd w:val="0"/>
              <w:spacing w:line="360" w:lineRule="auto"/>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647" w:type="dxa"/>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备注</w:t>
            </w:r>
          </w:p>
        </w:tc>
        <w:tc>
          <w:tcPr>
            <w:tcW w:w="7696" w:type="dxa"/>
            <w:gridSpan w:val="7"/>
          </w:tcPr>
          <w:p>
            <w:pPr>
              <w:autoSpaceDE w:val="0"/>
              <w:autoSpaceDN w:val="0"/>
              <w:adjustRightInd w:val="0"/>
              <w:spacing w:line="360" w:lineRule="auto"/>
              <w:jc w:val="left"/>
              <w:rPr>
                <w:rFonts w:ascii="宋体" w:hAnsi="宋体"/>
                <w:kern w:val="0"/>
                <w:szCs w:val="21"/>
              </w:rPr>
            </w:pPr>
          </w:p>
        </w:tc>
      </w:tr>
    </w:tbl>
    <w:p>
      <w:pPr>
        <w:adjustRightInd w:val="0"/>
        <w:spacing w:line="360" w:lineRule="auto"/>
        <w:ind w:firstLine="480" w:firstLineChars="200"/>
        <w:jc w:val="left"/>
        <w:rPr>
          <w:rFonts w:ascii="新宋体" w:hAnsi="新宋体" w:eastAsia="新宋体"/>
          <w:sz w:val="24"/>
        </w:rPr>
      </w:pPr>
      <w:bookmarkStart w:id="194" w:name="_Toc217446089"/>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ind w:firstLine="420" w:firstLineChars="200"/>
      </w:pPr>
      <w:r>
        <w:rPr>
          <w:rFonts w:hint="eastAsia"/>
        </w:rPr>
        <w:br w:type="page"/>
      </w:r>
      <w:bookmarkStart w:id="195" w:name="_Toc562_WPSOffice_Level2"/>
      <w:bookmarkStart w:id="196" w:name="_Toc1968_WPSOffice_Level2"/>
    </w:p>
    <w:p>
      <w:pPr>
        <w:pStyle w:val="4"/>
        <w:spacing w:before="0" w:after="0" w:line="360" w:lineRule="auto"/>
        <w:jc w:val="center"/>
      </w:pPr>
      <w:r>
        <w:rPr>
          <w:rFonts w:hint="eastAsia"/>
        </w:rPr>
        <w:t>六、供应商类似项目业绩一览表</w:t>
      </w:r>
      <w:bookmarkEnd w:id="194"/>
      <w:bookmarkEnd w:id="195"/>
      <w:bookmarkEnd w:id="196"/>
    </w:p>
    <w:tbl>
      <w:tblPr>
        <w:tblStyle w:val="28"/>
        <w:tblW w:w="923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4"/>
        <w:gridCol w:w="1415"/>
        <w:gridCol w:w="1243"/>
        <w:gridCol w:w="1350"/>
        <w:gridCol w:w="9"/>
        <w:gridCol w:w="1452"/>
        <w:gridCol w:w="11"/>
        <w:gridCol w:w="1424"/>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70" w:type="dxa"/>
            <w:tcBorders>
              <w:top w:val="single" w:color="auto" w:sz="4" w:space="0"/>
            </w:tcBorders>
            <w:vAlign w:val="center"/>
          </w:tcPr>
          <w:p>
            <w:pPr>
              <w:spacing w:line="360" w:lineRule="auto"/>
              <w:ind w:firstLine="105" w:firstLineChars="50"/>
              <w:jc w:val="center"/>
              <w:rPr>
                <w:rFonts w:ascii="宋体" w:hAnsi="宋体" w:cs="Arial"/>
                <w:b/>
                <w:szCs w:val="21"/>
              </w:rPr>
            </w:pPr>
            <w:r>
              <w:rPr>
                <w:rFonts w:hint="eastAsia" w:ascii="宋体" w:hAnsi="宋体" w:cs="Arial"/>
                <w:b/>
                <w:szCs w:val="21"/>
              </w:rPr>
              <w:t>年份</w:t>
            </w:r>
          </w:p>
        </w:tc>
        <w:tc>
          <w:tcPr>
            <w:tcW w:w="1544" w:type="dxa"/>
            <w:vAlign w:val="center"/>
          </w:tcPr>
          <w:p>
            <w:pPr>
              <w:spacing w:line="360" w:lineRule="auto"/>
              <w:jc w:val="center"/>
              <w:rPr>
                <w:rFonts w:ascii="宋体" w:hAnsi="宋体" w:cs="Arial"/>
                <w:b/>
                <w:szCs w:val="21"/>
              </w:rPr>
            </w:pPr>
            <w:r>
              <w:rPr>
                <w:rFonts w:hint="eastAsia" w:ascii="宋体" w:hAnsi="宋体" w:cs="Arial"/>
                <w:b/>
                <w:szCs w:val="21"/>
              </w:rPr>
              <w:t>用户名称</w:t>
            </w:r>
          </w:p>
        </w:tc>
        <w:tc>
          <w:tcPr>
            <w:tcW w:w="1415" w:type="dxa"/>
            <w:vAlign w:val="center"/>
          </w:tcPr>
          <w:p>
            <w:pPr>
              <w:spacing w:line="360" w:lineRule="auto"/>
              <w:jc w:val="center"/>
              <w:rPr>
                <w:rFonts w:ascii="宋体" w:hAnsi="宋体" w:cs="Arial"/>
                <w:b/>
                <w:szCs w:val="21"/>
              </w:rPr>
            </w:pPr>
            <w:r>
              <w:rPr>
                <w:rFonts w:ascii="宋体" w:hAnsi="宋体" w:cs="Arial"/>
                <w:b/>
                <w:szCs w:val="21"/>
              </w:rPr>
              <w:t>项目名称</w:t>
            </w:r>
          </w:p>
        </w:tc>
        <w:tc>
          <w:tcPr>
            <w:tcW w:w="1243" w:type="dxa"/>
            <w:vAlign w:val="center"/>
          </w:tcPr>
          <w:p>
            <w:pPr>
              <w:spacing w:line="360" w:lineRule="auto"/>
              <w:jc w:val="center"/>
              <w:rPr>
                <w:rFonts w:ascii="宋体" w:hAnsi="宋体" w:cs="Arial"/>
                <w:b/>
                <w:szCs w:val="21"/>
              </w:rPr>
            </w:pPr>
            <w:r>
              <w:rPr>
                <w:rFonts w:ascii="宋体" w:hAnsi="宋体" w:cs="Arial"/>
                <w:b/>
                <w:szCs w:val="21"/>
              </w:rPr>
              <w:t>完成时间</w:t>
            </w:r>
          </w:p>
        </w:tc>
        <w:tc>
          <w:tcPr>
            <w:tcW w:w="1350" w:type="dxa"/>
            <w:vAlign w:val="center"/>
          </w:tcPr>
          <w:p>
            <w:pPr>
              <w:spacing w:line="360" w:lineRule="auto"/>
              <w:ind w:firstLine="105" w:firstLineChars="50"/>
              <w:jc w:val="center"/>
              <w:rPr>
                <w:rFonts w:ascii="宋体" w:hAnsi="宋体" w:cs="Arial"/>
                <w:b/>
                <w:szCs w:val="21"/>
              </w:rPr>
            </w:pPr>
            <w:r>
              <w:rPr>
                <w:rFonts w:ascii="宋体" w:hAnsi="宋体" w:cs="Arial"/>
                <w:b/>
                <w:szCs w:val="21"/>
              </w:rPr>
              <w:t>合同金额</w:t>
            </w:r>
          </w:p>
        </w:tc>
        <w:tc>
          <w:tcPr>
            <w:tcW w:w="1472" w:type="dxa"/>
            <w:gridSpan w:val="3"/>
            <w:tcBorders>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是否通过验收</w:t>
            </w:r>
          </w:p>
        </w:tc>
        <w:tc>
          <w:tcPr>
            <w:tcW w:w="1437" w:type="dxa"/>
            <w:gridSpan w:val="2"/>
            <w:tcBorders>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tcBorders>
              <w:right w:val="single" w:color="auto" w:sz="4" w:space="0"/>
            </w:tcBorders>
            <w:vAlign w:val="center"/>
          </w:tcPr>
          <w:p>
            <w:pPr>
              <w:spacing w:line="360" w:lineRule="auto"/>
              <w:jc w:val="center"/>
              <w:rPr>
                <w:rFonts w:ascii="宋体" w:hAnsi="宋体" w:cs="Arial"/>
                <w:szCs w:val="21"/>
              </w:rPr>
            </w:pPr>
          </w:p>
        </w:tc>
        <w:tc>
          <w:tcPr>
            <w:tcW w:w="1415" w:type="dxa"/>
            <w:tcBorders>
              <w:left w:val="single" w:color="auto" w:sz="4" w:space="0"/>
            </w:tcBorders>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0" w:type="dxa"/>
            <w:vAlign w:val="center"/>
          </w:tcPr>
          <w:p>
            <w:pPr>
              <w:spacing w:line="360" w:lineRule="auto"/>
              <w:jc w:val="center"/>
              <w:rPr>
                <w:rFonts w:ascii="宋体" w:hAnsi="宋体" w:cs="Arial"/>
                <w:szCs w:val="21"/>
              </w:rPr>
            </w:pPr>
          </w:p>
        </w:tc>
        <w:tc>
          <w:tcPr>
            <w:tcW w:w="1472" w:type="dxa"/>
            <w:gridSpan w:val="3"/>
            <w:tcBorders>
              <w:right w:val="single" w:color="auto" w:sz="4" w:space="0"/>
            </w:tcBorders>
            <w:vAlign w:val="center"/>
          </w:tcPr>
          <w:p>
            <w:pPr>
              <w:spacing w:line="360" w:lineRule="auto"/>
              <w:jc w:val="center"/>
              <w:rPr>
                <w:rFonts w:ascii="宋体" w:hAnsi="宋体" w:cs="Arial"/>
                <w:szCs w:val="21"/>
              </w:rPr>
            </w:pPr>
          </w:p>
        </w:tc>
        <w:tc>
          <w:tcPr>
            <w:tcW w:w="1437" w:type="dxa"/>
            <w:gridSpan w:val="2"/>
            <w:tcBorders>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360" w:lineRule="auto"/>
              <w:jc w:val="center"/>
              <w:rPr>
                <w:rFonts w:ascii="宋体" w:hAnsi="宋体" w:cs="Arial"/>
                <w:szCs w:val="21"/>
              </w:rPr>
            </w:pPr>
          </w:p>
        </w:tc>
        <w:tc>
          <w:tcPr>
            <w:tcW w:w="1544"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15"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243"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359"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63"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7"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9" w:type="dxa"/>
            <w:gridSpan w:val="2"/>
            <w:tcBorders>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9" w:type="dxa"/>
            <w:gridSpan w:val="2"/>
            <w:tcBorders>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600" w:hRule="atLeast"/>
          <w:jc w:val="center"/>
        </w:trPr>
        <w:tc>
          <w:tcPr>
            <w:tcW w:w="770" w:type="dxa"/>
            <w:vAlign w:val="center"/>
          </w:tcPr>
          <w:p>
            <w:pPr>
              <w:spacing w:line="360" w:lineRule="auto"/>
              <w:jc w:val="center"/>
              <w:rPr>
                <w:rFonts w:ascii="宋体" w:hAnsi="宋体" w:cs="Arial"/>
                <w:szCs w:val="21"/>
              </w:rPr>
            </w:pPr>
          </w:p>
        </w:tc>
        <w:tc>
          <w:tcPr>
            <w:tcW w:w="1544" w:type="dxa"/>
            <w:vAlign w:val="center"/>
          </w:tcPr>
          <w:p>
            <w:pPr>
              <w:spacing w:line="360" w:lineRule="auto"/>
              <w:jc w:val="center"/>
              <w:rPr>
                <w:rFonts w:ascii="宋体" w:hAnsi="宋体" w:cs="Arial"/>
                <w:szCs w:val="21"/>
              </w:rPr>
            </w:pPr>
          </w:p>
        </w:tc>
        <w:tc>
          <w:tcPr>
            <w:tcW w:w="1415" w:type="dxa"/>
            <w:vAlign w:val="center"/>
          </w:tcPr>
          <w:p>
            <w:pPr>
              <w:spacing w:line="360" w:lineRule="auto"/>
              <w:jc w:val="center"/>
              <w:rPr>
                <w:rFonts w:ascii="宋体" w:hAnsi="宋体" w:cs="Arial"/>
                <w:szCs w:val="21"/>
              </w:rPr>
            </w:pPr>
          </w:p>
        </w:tc>
        <w:tc>
          <w:tcPr>
            <w:tcW w:w="1243" w:type="dxa"/>
            <w:vAlign w:val="center"/>
          </w:tcPr>
          <w:p>
            <w:pPr>
              <w:spacing w:line="360" w:lineRule="auto"/>
              <w:jc w:val="center"/>
              <w:rPr>
                <w:rFonts w:ascii="宋体" w:hAnsi="宋体" w:cs="Arial"/>
                <w:szCs w:val="21"/>
              </w:rPr>
            </w:pPr>
          </w:p>
        </w:tc>
        <w:tc>
          <w:tcPr>
            <w:tcW w:w="1359" w:type="dxa"/>
            <w:gridSpan w:val="2"/>
            <w:tcBorders>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510" w:hRule="atLeast"/>
          <w:jc w:val="center"/>
        </w:trPr>
        <w:tc>
          <w:tcPr>
            <w:tcW w:w="770" w:type="dxa"/>
            <w:tcBorders>
              <w:bottom w:val="single" w:color="auto" w:sz="4" w:space="0"/>
            </w:tcBorders>
            <w:vAlign w:val="center"/>
          </w:tcPr>
          <w:p>
            <w:pPr>
              <w:spacing w:line="360" w:lineRule="auto"/>
              <w:jc w:val="center"/>
              <w:rPr>
                <w:rFonts w:ascii="宋体" w:hAnsi="宋体" w:cs="Arial"/>
                <w:szCs w:val="21"/>
              </w:rPr>
            </w:pPr>
          </w:p>
        </w:tc>
        <w:tc>
          <w:tcPr>
            <w:tcW w:w="1544" w:type="dxa"/>
            <w:tcBorders>
              <w:bottom w:val="single" w:color="auto" w:sz="4" w:space="0"/>
            </w:tcBorders>
            <w:vAlign w:val="center"/>
          </w:tcPr>
          <w:p>
            <w:pPr>
              <w:spacing w:line="360" w:lineRule="auto"/>
              <w:jc w:val="center"/>
              <w:rPr>
                <w:rFonts w:ascii="宋体" w:hAnsi="宋体" w:cs="Arial"/>
                <w:szCs w:val="21"/>
              </w:rPr>
            </w:pPr>
          </w:p>
        </w:tc>
        <w:tc>
          <w:tcPr>
            <w:tcW w:w="1415" w:type="dxa"/>
            <w:tcBorders>
              <w:bottom w:val="single" w:color="auto" w:sz="4" w:space="0"/>
            </w:tcBorders>
            <w:vAlign w:val="center"/>
          </w:tcPr>
          <w:p>
            <w:pPr>
              <w:spacing w:line="360" w:lineRule="auto"/>
              <w:jc w:val="center"/>
              <w:rPr>
                <w:rFonts w:ascii="宋体" w:hAnsi="宋体" w:cs="Arial"/>
                <w:szCs w:val="21"/>
              </w:rPr>
            </w:pPr>
          </w:p>
        </w:tc>
        <w:tc>
          <w:tcPr>
            <w:tcW w:w="1243" w:type="dxa"/>
            <w:tcBorders>
              <w:bottom w:val="single" w:color="auto" w:sz="4" w:space="0"/>
            </w:tcBorders>
            <w:vAlign w:val="center"/>
          </w:tcPr>
          <w:p>
            <w:pPr>
              <w:spacing w:line="360" w:lineRule="auto"/>
              <w:jc w:val="center"/>
              <w:rPr>
                <w:rFonts w:ascii="宋体" w:hAnsi="宋体" w:cs="Arial"/>
                <w:szCs w:val="21"/>
              </w:rPr>
            </w:pPr>
          </w:p>
        </w:tc>
        <w:tc>
          <w:tcPr>
            <w:tcW w:w="1359" w:type="dxa"/>
            <w:gridSpan w:val="2"/>
            <w:tcBorders>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615"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450" w:hRule="atLeast"/>
          <w:jc w:val="center"/>
        </w:trPr>
        <w:tc>
          <w:tcPr>
            <w:tcW w:w="770"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bottom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gridAfter w:val="1"/>
          <w:wAfter w:w="13" w:type="dxa"/>
          <w:cantSplit/>
          <w:trHeight w:val="435" w:hRule="atLeast"/>
          <w:jc w:val="center"/>
        </w:trPr>
        <w:tc>
          <w:tcPr>
            <w:tcW w:w="770" w:type="dxa"/>
            <w:tcBorders>
              <w:top w:val="single" w:color="auto" w:sz="4" w:space="0"/>
            </w:tcBorders>
            <w:vAlign w:val="center"/>
          </w:tcPr>
          <w:p>
            <w:pPr>
              <w:spacing w:line="360" w:lineRule="auto"/>
              <w:jc w:val="center"/>
              <w:rPr>
                <w:rFonts w:ascii="宋体" w:hAnsi="宋体" w:cs="Arial"/>
                <w:szCs w:val="21"/>
              </w:rPr>
            </w:pPr>
          </w:p>
        </w:tc>
        <w:tc>
          <w:tcPr>
            <w:tcW w:w="1544" w:type="dxa"/>
            <w:tcBorders>
              <w:top w:val="single" w:color="auto" w:sz="4" w:space="0"/>
            </w:tcBorders>
            <w:vAlign w:val="center"/>
          </w:tcPr>
          <w:p>
            <w:pPr>
              <w:spacing w:line="360" w:lineRule="auto"/>
              <w:jc w:val="center"/>
              <w:rPr>
                <w:rFonts w:ascii="宋体" w:hAnsi="宋体" w:cs="Arial"/>
                <w:szCs w:val="21"/>
              </w:rPr>
            </w:pPr>
          </w:p>
        </w:tc>
        <w:tc>
          <w:tcPr>
            <w:tcW w:w="1415" w:type="dxa"/>
            <w:tcBorders>
              <w:top w:val="single" w:color="auto" w:sz="4" w:space="0"/>
            </w:tcBorders>
            <w:vAlign w:val="center"/>
          </w:tcPr>
          <w:p>
            <w:pPr>
              <w:spacing w:line="360" w:lineRule="auto"/>
              <w:jc w:val="center"/>
              <w:rPr>
                <w:rFonts w:ascii="宋体" w:hAnsi="宋体" w:cs="Arial"/>
                <w:szCs w:val="21"/>
              </w:rPr>
            </w:pPr>
          </w:p>
        </w:tc>
        <w:tc>
          <w:tcPr>
            <w:tcW w:w="1243" w:type="dxa"/>
            <w:tcBorders>
              <w:top w:val="single" w:color="auto" w:sz="4" w:space="0"/>
            </w:tcBorders>
            <w:vAlign w:val="center"/>
          </w:tcPr>
          <w:p>
            <w:pPr>
              <w:spacing w:line="360" w:lineRule="auto"/>
              <w:jc w:val="center"/>
              <w:rPr>
                <w:rFonts w:ascii="宋体" w:hAnsi="宋体" w:cs="Arial"/>
                <w:szCs w:val="21"/>
              </w:rPr>
            </w:pPr>
          </w:p>
        </w:tc>
        <w:tc>
          <w:tcPr>
            <w:tcW w:w="1359" w:type="dxa"/>
            <w:gridSpan w:val="2"/>
            <w:tcBorders>
              <w:top w:val="single" w:color="auto" w:sz="4" w:space="0"/>
              <w:right w:val="single" w:color="auto" w:sz="4" w:space="0"/>
            </w:tcBorders>
            <w:vAlign w:val="center"/>
          </w:tcPr>
          <w:p>
            <w:pPr>
              <w:spacing w:line="360" w:lineRule="auto"/>
              <w:jc w:val="center"/>
              <w:rPr>
                <w:rFonts w:ascii="宋体" w:hAnsi="宋体" w:cs="Arial"/>
                <w:szCs w:val="21"/>
              </w:rPr>
            </w:pPr>
          </w:p>
        </w:tc>
        <w:tc>
          <w:tcPr>
            <w:tcW w:w="1452" w:type="dxa"/>
            <w:tcBorders>
              <w:top w:val="single" w:color="auto" w:sz="4" w:space="0"/>
              <w:left w:val="single" w:color="auto" w:sz="4" w:space="0"/>
              <w:right w:val="single" w:color="auto" w:sz="4" w:space="0"/>
            </w:tcBorders>
            <w:vAlign w:val="center"/>
          </w:tcPr>
          <w:p>
            <w:pPr>
              <w:spacing w:line="360" w:lineRule="auto"/>
              <w:jc w:val="center"/>
              <w:rPr>
                <w:rFonts w:ascii="宋体" w:hAnsi="宋体" w:cs="Arial"/>
                <w:szCs w:val="21"/>
              </w:rPr>
            </w:pPr>
          </w:p>
        </w:tc>
        <w:tc>
          <w:tcPr>
            <w:tcW w:w="1435"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Arial"/>
                <w:szCs w:val="21"/>
              </w:rPr>
            </w:pPr>
          </w:p>
        </w:tc>
      </w:tr>
    </w:tbl>
    <w:p>
      <w:pPr>
        <w:adjustRightInd w:val="0"/>
        <w:spacing w:line="360" w:lineRule="auto"/>
        <w:ind w:firstLine="480" w:firstLineChars="200"/>
        <w:jc w:val="left"/>
        <w:rPr>
          <w:rFonts w:ascii="新宋体" w:hAnsi="新宋体" w:eastAsia="新宋体"/>
          <w:sz w:val="24"/>
        </w:rPr>
      </w:pPr>
      <w:bookmarkStart w:id="197" w:name="_Toc217446091"/>
    </w:p>
    <w:p>
      <w:pPr>
        <w:adjustRightInd w:val="0"/>
        <w:spacing w:line="360" w:lineRule="auto"/>
        <w:ind w:firstLine="480" w:firstLineChars="200"/>
        <w:jc w:val="left"/>
        <w:rPr>
          <w:rFonts w:ascii="新宋体" w:hAnsi="新宋体" w:eastAsia="新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pStyle w:val="4"/>
        <w:spacing w:before="0" w:after="0" w:line="360" w:lineRule="auto"/>
        <w:jc w:val="center"/>
      </w:pPr>
      <w:r>
        <w:rPr>
          <w:rFonts w:hint="eastAsia"/>
          <w:kern w:val="0"/>
        </w:rPr>
        <w:br w:type="page"/>
      </w:r>
      <w:bookmarkStart w:id="198" w:name="_Toc13243_WPSOffice_Level2"/>
      <w:bookmarkStart w:id="199" w:name="_Toc19674_WPSOffice_Level2"/>
      <w:r>
        <w:rPr>
          <w:rFonts w:hint="eastAsia"/>
          <w:kern w:val="0"/>
        </w:rPr>
        <w:t>七</w:t>
      </w:r>
      <w:r>
        <w:rPr>
          <w:rFonts w:hint="eastAsia"/>
        </w:rPr>
        <w:t>、供应商本项目管理、技术、服务人员情况表</w:t>
      </w:r>
      <w:bookmarkEnd w:id="197"/>
      <w:bookmarkEnd w:id="198"/>
      <w:bookmarkEnd w:id="199"/>
    </w:p>
    <w:p>
      <w:pPr>
        <w:snapToGrid w:val="0"/>
        <w:spacing w:line="360" w:lineRule="auto"/>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项目名称：</w:t>
      </w:r>
      <w:r>
        <w:rPr>
          <w:rFonts w:hint="eastAsia" w:asciiTheme="minorEastAsia" w:hAnsiTheme="minorEastAsia" w:eastAsiaTheme="minorEastAsia" w:cstheme="minorEastAsia"/>
          <w:bCs/>
          <w:sz w:val="24"/>
          <w:u w:val="single"/>
        </w:rPr>
        <w:t xml:space="preserve">            </w:t>
      </w:r>
    </w:p>
    <w:p>
      <w:pPr>
        <w:snapToGrid w:val="0"/>
        <w:spacing w:line="360" w:lineRule="auto"/>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项目编号：</w:t>
      </w:r>
      <w:r>
        <w:rPr>
          <w:rFonts w:hint="eastAsia" w:asciiTheme="minorEastAsia" w:hAnsiTheme="minorEastAsia" w:eastAsiaTheme="minorEastAsia" w:cstheme="minorEastAsia"/>
          <w:bCs/>
          <w:sz w:val="24"/>
          <w:u w:val="single"/>
        </w:rPr>
        <w:t xml:space="preserve">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采购包号：</w:t>
      </w:r>
      <w:r>
        <w:rPr>
          <w:rFonts w:hint="eastAsia" w:asciiTheme="minorEastAsia" w:hAnsiTheme="minorEastAsia" w:eastAsiaTheme="minorEastAsia" w:cstheme="minorEastAsia"/>
          <w:sz w:val="24"/>
          <w:u w:val="single"/>
        </w:rPr>
        <w:t xml:space="preserve">            </w:t>
      </w:r>
    </w:p>
    <w:tbl>
      <w:tblPr>
        <w:tblStyle w:val="28"/>
        <w:tblW w:w="9135" w:type="dxa"/>
        <w:jc w:val="center"/>
        <w:tblInd w:w="0" w:type="dxa"/>
        <w:tblLayout w:type="fixed"/>
        <w:tblCellMar>
          <w:top w:w="0" w:type="dxa"/>
          <w:left w:w="0" w:type="dxa"/>
          <w:bottom w:w="0" w:type="dxa"/>
          <w:right w:w="0" w:type="dxa"/>
        </w:tblCellMar>
      </w:tblPr>
      <w:tblGrid>
        <w:gridCol w:w="833"/>
        <w:gridCol w:w="1654"/>
        <w:gridCol w:w="1387"/>
        <w:gridCol w:w="1245"/>
        <w:gridCol w:w="1268"/>
        <w:gridCol w:w="1106"/>
        <w:gridCol w:w="1642"/>
      </w:tblGrid>
      <w:tr>
        <w:tblPrEx>
          <w:tblLayout w:type="fixed"/>
          <w:tblCellMar>
            <w:top w:w="0" w:type="dxa"/>
            <w:left w:w="0" w:type="dxa"/>
            <w:bottom w:w="0" w:type="dxa"/>
            <w:right w:w="0" w:type="dxa"/>
          </w:tblCellMar>
        </w:tblPrEx>
        <w:trPr>
          <w:trHeight w:val="614" w:hRule="atLeast"/>
          <w:jc w:val="center"/>
        </w:trPr>
        <w:tc>
          <w:tcPr>
            <w:tcW w:w="83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654" w:type="dxa"/>
            <w:vMerge w:val="restart"/>
            <w:tcBorders>
              <w:top w:val="single" w:color="auto" w:sz="4" w:space="0"/>
              <w:left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职务</w:t>
            </w:r>
          </w:p>
        </w:tc>
        <w:tc>
          <w:tcPr>
            <w:tcW w:w="1387" w:type="dxa"/>
            <w:vMerge w:val="restart"/>
            <w:tcBorders>
              <w:top w:val="single" w:color="auto" w:sz="4" w:space="0"/>
              <w:left w:val="nil"/>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姓名</w:t>
            </w:r>
          </w:p>
        </w:tc>
        <w:tc>
          <w:tcPr>
            <w:tcW w:w="251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执业或职业资格</w:t>
            </w:r>
          </w:p>
        </w:tc>
        <w:tc>
          <w:tcPr>
            <w:tcW w:w="27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职称</w:t>
            </w:r>
          </w:p>
        </w:tc>
      </w:tr>
      <w:tr>
        <w:tblPrEx>
          <w:tblLayout w:type="fixed"/>
          <w:tblCellMar>
            <w:top w:w="0" w:type="dxa"/>
            <w:left w:w="0" w:type="dxa"/>
            <w:bottom w:w="0" w:type="dxa"/>
            <w:right w:w="0" w:type="dxa"/>
          </w:tblCellMar>
        </w:tblPrEx>
        <w:trPr>
          <w:trHeight w:val="614" w:hRule="atLeast"/>
          <w:jc w:val="center"/>
        </w:trPr>
        <w:tc>
          <w:tcPr>
            <w:tcW w:w="83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654"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387" w:type="dxa"/>
            <w:vMerge w:val="continue"/>
            <w:tcBorders>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12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证书编号</w:t>
            </w:r>
          </w:p>
        </w:tc>
        <w:tc>
          <w:tcPr>
            <w:tcW w:w="110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职称专业</w:t>
            </w:r>
          </w:p>
        </w:tc>
        <w:tc>
          <w:tcPr>
            <w:tcW w:w="164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级别</w:t>
            </w:r>
          </w:p>
        </w:tc>
      </w:tr>
      <w:tr>
        <w:tblPrEx>
          <w:tblLayout w:type="fixed"/>
          <w:tblCellMar>
            <w:top w:w="0" w:type="dxa"/>
            <w:left w:w="0" w:type="dxa"/>
            <w:bottom w:w="0" w:type="dxa"/>
            <w:right w:w="0" w:type="dxa"/>
          </w:tblCellMar>
        </w:tblPrEx>
        <w:trPr>
          <w:trHeight w:val="58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w:t>
            </w:r>
          </w:p>
        </w:tc>
        <w:tc>
          <w:tcPr>
            <w:tcW w:w="16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项目负责人</w:t>
            </w:r>
          </w:p>
          <w:p>
            <w:pPr>
              <w:spacing w:line="360" w:lineRule="auto"/>
              <w:jc w:val="center"/>
              <w:rPr>
                <w:rFonts w:ascii="宋体" w:hAnsi="宋体" w:cs="宋体"/>
                <w:szCs w:val="21"/>
              </w:rPr>
            </w:pPr>
            <w:r>
              <w:rPr>
                <w:rFonts w:hint="eastAsia" w:ascii="宋体" w:hAnsi="宋体" w:cs="宋体"/>
                <w:szCs w:val="21"/>
              </w:rPr>
              <w:t>（项目经理）</w:t>
            </w:r>
          </w:p>
        </w:tc>
        <w:tc>
          <w:tcPr>
            <w:tcW w:w="13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2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10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642"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Cs w:val="21"/>
              </w:rPr>
            </w:pPr>
          </w:p>
        </w:tc>
      </w:tr>
      <w:tr>
        <w:tblPrEx>
          <w:tblLayout w:type="fixed"/>
          <w:tblCellMar>
            <w:top w:w="0" w:type="dxa"/>
            <w:left w:w="0" w:type="dxa"/>
            <w:bottom w:w="0" w:type="dxa"/>
            <w:right w:w="0" w:type="dxa"/>
          </w:tblCellMar>
        </w:tblPrEx>
        <w:trPr>
          <w:trHeight w:val="58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1.2</w:t>
            </w:r>
          </w:p>
        </w:tc>
        <w:tc>
          <w:tcPr>
            <w:tcW w:w="16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p>
        </w:tc>
        <w:tc>
          <w:tcPr>
            <w:tcW w:w="13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2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10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642"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Cs w:val="21"/>
              </w:rPr>
            </w:pPr>
          </w:p>
        </w:tc>
      </w:tr>
      <w:tr>
        <w:tblPrEx>
          <w:tblLayout w:type="fixed"/>
          <w:tblCellMar>
            <w:top w:w="0" w:type="dxa"/>
            <w:left w:w="0" w:type="dxa"/>
            <w:bottom w:w="0" w:type="dxa"/>
            <w:right w:w="0" w:type="dxa"/>
          </w:tblCellMar>
        </w:tblPrEx>
        <w:trPr>
          <w:trHeight w:val="589"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65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p>
        </w:tc>
        <w:tc>
          <w:tcPr>
            <w:tcW w:w="13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24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2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10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c>
          <w:tcPr>
            <w:tcW w:w="1642"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Cs w:val="21"/>
              </w:rPr>
            </w:pPr>
          </w:p>
        </w:tc>
      </w:tr>
    </w:tbl>
    <w:p>
      <w:pPr>
        <w:adjustRightInd w:val="0"/>
        <w:spacing w:line="360" w:lineRule="auto"/>
        <w:ind w:firstLine="482" w:firstLineChars="200"/>
        <w:jc w:val="left"/>
        <w:rPr>
          <w:rFonts w:ascii="新宋体" w:hAnsi="新宋体" w:eastAsia="新宋体"/>
          <w:b/>
          <w:sz w:val="24"/>
        </w:rPr>
      </w:pPr>
    </w:p>
    <w:p>
      <w:pPr>
        <w:adjustRightInd w:val="0"/>
        <w:spacing w:line="360" w:lineRule="auto"/>
        <w:ind w:firstLine="482" w:firstLineChars="200"/>
        <w:jc w:val="left"/>
        <w:rPr>
          <w:rFonts w:ascii="新宋体" w:hAnsi="新宋体" w:eastAsia="新宋体"/>
          <w:b/>
          <w:sz w:val="24"/>
        </w:rPr>
      </w:pPr>
    </w:p>
    <w:p>
      <w:pPr>
        <w:adjustRightInd w:val="0"/>
        <w:spacing w:line="360" w:lineRule="auto"/>
        <w:ind w:firstLine="480" w:firstLineChars="200"/>
        <w:jc w:val="left"/>
        <w:rPr>
          <w:rFonts w:ascii="宋体" w:hAnsi="宋体" w:cs="宋体"/>
          <w:sz w:val="24"/>
        </w:rPr>
      </w:pPr>
      <w:r>
        <w:rPr>
          <w:rFonts w:hint="eastAsia" w:ascii="宋体" w:hAnsi="宋体" w:cs="宋体"/>
          <w:bCs/>
          <w:sz w:val="24"/>
        </w:rPr>
        <w:t>注：1、本格式为参考格式，供应商可根据实际情况进行调整</w:t>
      </w:r>
      <w:r>
        <w:rPr>
          <w:rFonts w:hint="eastAsia" w:ascii="宋体" w:hAnsi="宋体" w:cs="宋体"/>
          <w:sz w:val="24"/>
        </w:rPr>
        <w:t>。</w:t>
      </w:r>
    </w:p>
    <w:p>
      <w:pPr>
        <w:adjustRightInd w:val="0"/>
        <w:spacing w:line="360" w:lineRule="auto"/>
        <w:ind w:firstLine="480" w:firstLineChars="200"/>
        <w:jc w:val="left"/>
        <w:rPr>
          <w:rFonts w:ascii="新宋体" w:hAnsi="新宋体" w:eastAsia="新宋体"/>
          <w:sz w:val="24"/>
        </w:rPr>
      </w:pPr>
    </w:p>
    <w:p>
      <w:pPr>
        <w:pStyle w:val="2"/>
        <w:spacing w:line="360" w:lineRule="auto"/>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rPr>
          <w:rFonts w:ascii="宋体" w:hAnsi="宋体"/>
          <w:bCs/>
          <w:sz w:val="24"/>
        </w:rPr>
      </w:pPr>
    </w:p>
    <w:p>
      <w:pPr>
        <w:adjustRightInd w:val="0"/>
        <w:spacing w:line="360" w:lineRule="auto"/>
        <w:ind w:firstLine="560" w:firstLineChars="200"/>
        <w:jc w:val="left"/>
        <w:rPr>
          <w:rFonts w:ascii="宋体" w:hAnsi="宋体"/>
          <w:sz w:val="28"/>
        </w:rPr>
        <w:sectPr>
          <w:headerReference r:id="rId5" w:type="default"/>
          <w:footerReference r:id="rId6" w:type="default"/>
          <w:pgSz w:w="11849" w:h="16781"/>
          <w:pgMar w:top="1440" w:right="1304" w:bottom="1440" w:left="1417" w:header="850" w:footer="992" w:gutter="0"/>
          <w:pgNumType w:fmt="numberInDash"/>
          <w:cols w:space="0" w:num="1"/>
          <w:docGrid w:type="lines" w:linePitch="312" w:charSpace="0"/>
        </w:sectPr>
      </w:pPr>
    </w:p>
    <w:p>
      <w:pPr>
        <w:pStyle w:val="4"/>
        <w:spacing w:before="0" w:after="0" w:line="360" w:lineRule="auto"/>
        <w:jc w:val="center"/>
      </w:pPr>
      <w:bookmarkStart w:id="200" w:name="_Toc4498_WPSOffice_Level2"/>
      <w:bookmarkStart w:id="201" w:name="_Toc29279_WPSOffice_Level2"/>
      <w:r>
        <w:rPr>
          <w:rFonts w:hint="eastAsia"/>
        </w:rPr>
        <w:t>八、关于知识产权的承诺函</w:t>
      </w:r>
    </w:p>
    <w:p>
      <w:pPr>
        <w:pStyle w:val="12"/>
        <w:spacing w:after="0" w:line="360" w:lineRule="auto"/>
        <w:ind w:left="0" w:leftChars="0"/>
        <w:jc w:val="left"/>
        <w:rPr>
          <w:rFonts w:ascii="宋体" w:hAnsi="宋体"/>
          <w:bCs/>
          <w:sz w:val="24"/>
        </w:rPr>
      </w:pPr>
      <w:r>
        <w:rPr>
          <w:rFonts w:hint="eastAsia" w:ascii="宋体" w:hAnsi="宋体"/>
          <w:sz w:val="24"/>
          <w:u w:val="single"/>
          <w:lang w:eastAsia="zh-CN"/>
        </w:rPr>
        <w:t>四川力诚卓达项目管理有限公司</w:t>
      </w:r>
      <w:r>
        <w:rPr>
          <w:rFonts w:hint="eastAsia" w:ascii="宋体" w:hAnsi="宋体"/>
          <w:bCs/>
          <w:sz w:val="24"/>
        </w:rPr>
        <w:t>（采购代理机构名称）：</w:t>
      </w:r>
    </w:p>
    <w:p>
      <w:pPr>
        <w:pStyle w:val="12"/>
        <w:spacing w:after="0" w:line="360" w:lineRule="auto"/>
        <w:ind w:left="0" w:leftChars="0" w:firstLine="480" w:firstLineChars="200"/>
        <w:jc w:val="left"/>
        <w:rPr>
          <w:rFonts w:ascii="宋体" w:hAnsi="宋体"/>
          <w:bCs/>
          <w:sz w:val="24"/>
        </w:rPr>
      </w:pPr>
      <w:r>
        <w:rPr>
          <w:rFonts w:hint="eastAsia" w:ascii="宋体" w:hAnsi="宋体"/>
          <w:bCs/>
          <w:sz w:val="24"/>
        </w:rPr>
        <w:t>我方作为本次采购项目的供应商，根据磋商文件要求，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12"/>
        <w:spacing w:after="0" w:line="360" w:lineRule="auto"/>
        <w:ind w:left="0" w:leftChars="0" w:firstLine="480" w:firstLineChars="200"/>
        <w:jc w:val="left"/>
        <w:rPr>
          <w:rFonts w:ascii="宋体" w:hAnsi="宋体"/>
          <w:bCs/>
          <w:sz w:val="24"/>
        </w:rPr>
      </w:pPr>
    </w:p>
    <w:p>
      <w:pPr>
        <w:pStyle w:val="12"/>
        <w:spacing w:line="360" w:lineRule="auto"/>
        <w:rPr>
          <w:bCs/>
          <w:sz w:val="24"/>
        </w:rPr>
      </w:pPr>
    </w:p>
    <w:p>
      <w:pPr>
        <w:adjustRightInd w:val="0"/>
        <w:spacing w:line="360" w:lineRule="auto"/>
        <w:ind w:firstLine="480" w:firstLineChars="200"/>
        <w:jc w:val="left"/>
        <w:rPr>
          <w:rFonts w:ascii="新宋体" w:hAnsi="新宋体" w:eastAsia="新宋体"/>
          <w:sz w:val="24"/>
        </w:rPr>
      </w:pPr>
      <w:r>
        <w:rPr>
          <w:rFonts w:hint="eastAsia" w:ascii="宋体" w:hAnsi="宋体" w:cs="宋体"/>
          <w:sz w:val="24"/>
        </w:rPr>
        <w:t>注：本承诺函为参考格式，供应商可根据磋商文件第二章总则中第 9 条及第五章相关要求进行承诺。</w:t>
      </w:r>
    </w:p>
    <w:p>
      <w:pPr>
        <w:adjustRightInd w:val="0"/>
        <w:spacing w:line="360" w:lineRule="auto"/>
        <w:ind w:firstLine="480" w:firstLineChars="200"/>
        <w:jc w:val="left"/>
        <w:rPr>
          <w:rFonts w:ascii="新宋体" w:hAnsi="新宋体" w:eastAsia="新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pPr>
    </w:p>
    <w:p>
      <w:pPr>
        <w:spacing w:line="360" w:lineRule="auto"/>
      </w:pPr>
      <w:r>
        <w:rPr>
          <w:rFonts w:hint="eastAsia"/>
        </w:rPr>
        <w:br w:type="page"/>
      </w:r>
    </w:p>
    <w:p>
      <w:pPr>
        <w:pStyle w:val="4"/>
        <w:spacing w:before="0" w:after="0" w:line="360" w:lineRule="auto"/>
        <w:jc w:val="center"/>
      </w:pPr>
      <w:r>
        <w:rPr>
          <w:rFonts w:hint="eastAsia"/>
        </w:rPr>
        <w:t>九、</w:t>
      </w:r>
      <w:r>
        <w:rPr>
          <w:rFonts w:hint="eastAsia"/>
          <w:lang w:eastAsia="zh-CN"/>
        </w:rPr>
        <w:t>服务</w:t>
      </w:r>
      <w:r>
        <w:rPr>
          <w:rFonts w:hint="eastAsia"/>
        </w:rPr>
        <w:t>方案</w:t>
      </w:r>
    </w:p>
    <w:p>
      <w:pPr>
        <w:spacing w:line="360" w:lineRule="auto"/>
        <w:jc w:val="center"/>
      </w:pPr>
      <w:r>
        <w:rPr>
          <w:rFonts w:hint="eastAsia"/>
          <w:sz w:val="24"/>
          <w:szCs w:val="32"/>
        </w:rPr>
        <w:t>（格式自拟）</w:t>
      </w:r>
      <w:r>
        <w:rPr>
          <w:rFonts w:hint="eastAsia"/>
        </w:rPr>
        <w:br w:type="page"/>
      </w:r>
    </w:p>
    <w:p>
      <w:pPr>
        <w:pStyle w:val="4"/>
        <w:spacing w:before="0" w:after="0" w:line="360" w:lineRule="auto"/>
        <w:jc w:val="center"/>
        <w:rPr>
          <w:rFonts w:cs="仿宋_GB2312"/>
          <w:sz w:val="28"/>
        </w:rPr>
      </w:pPr>
      <w:r>
        <w:rPr>
          <w:rFonts w:hint="eastAsia"/>
        </w:rPr>
        <w:t>十、其他资料及相关说明等</w:t>
      </w:r>
      <w:bookmarkEnd w:id="200"/>
      <w:bookmarkEnd w:id="201"/>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格式自拟。</w:t>
      </w:r>
    </w:p>
    <w:p>
      <w:pPr>
        <w:adjustRightInd w:val="0"/>
        <w:snapToGrid w:val="0"/>
        <w:spacing w:line="360" w:lineRule="auto"/>
        <w:ind w:firstLine="480" w:firstLineChars="200"/>
        <w:rPr>
          <w:sz w:val="24"/>
        </w:rPr>
      </w:pPr>
    </w:p>
    <w:p>
      <w:pPr>
        <w:rPr>
          <w:sz w:val="24"/>
        </w:rPr>
      </w:pPr>
      <w:r>
        <w:rPr>
          <w:sz w:val="24"/>
        </w:rPr>
        <w:br w:type="page"/>
      </w:r>
    </w:p>
    <w:p/>
    <w:p>
      <w:pPr>
        <w:pStyle w:val="4"/>
        <w:spacing w:before="0" w:after="0" w:line="360" w:lineRule="auto"/>
        <w:jc w:val="center"/>
        <w:rPr>
          <w:rFonts w:ascii="仿宋" w:hAnsi="仿宋" w:eastAsia="仿宋"/>
          <w:sz w:val="24"/>
        </w:rPr>
      </w:pPr>
      <w:bookmarkStart w:id="202" w:name="_Toc15294"/>
      <w:r>
        <w:rPr>
          <w:rStyle w:val="40"/>
          <w:rFonts w:hint="eastAsia"/>
          <w:b/>
          <w:bCs/>
          <w:lang w:eastAsia="zh-CN"/>
        </w:rPr>
        <w:t>十一</w:t>
      </w:r>
      <w:r>
        <w:rPr>
          <w:rStyle w:val="40"/>
          <w:rFonts w:hint="eastAsia"/>
          <w:b/>
          <w:bCs/>
        </w:rPr>
        <w:t>、中小企业（监狱企业）声明函</w:t>
      </w:r>
      <w:bookmarkEnd w:id="202"/>
    </w:p>
    <w:p>
      <w:pPr>
        <w:adjustRightInd w:val="0"/>
        <w:spacing w:line="360" w:lineRule="auto"/>
        <w:ind w:firstLine="480" w:firstLineChars="200"/>
        <w:jc w:val="left"/>
        <w:rPr>
          <w:rFonts w:ascii="宋体" w:hAnsi="宋体"/>
          <w:sz w:val="24"/>
        </w:rPr>
      </w:pPr>
      <w:r>
        <w:rPr>
          <w:rFonts w:hint="eastAsia" w:ascii="宋体" w:hAnsi="宋体"/>
          <w:sz w:val="24"/>
        </w:rPr>
        <w:t>本公司郑重声明，根据《政府采购促进中小企业发展管理办法》（财库〔2020）46号）的规定，本公司参加</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（项目名称）釆购活动,服务全部由符合政策要求的中小企业承接。相关企业（含联合体中的中小企业、签订分包意向协议的中小企业）的具体情况如下：</w:t>
      </w:r>
    </w:p>
    <w:p>
      <w:pPr>
        <w:numPr>
          <w:ilvl w:val="0"/>
          <w:numId w:val="8"/>
        </w:numPr>
        <w:adjustRightInd w:val="0"/>
        <w:spacing w:line="360" w:lineRule="auto"/>
        <w:ind w:firstLine="480" w:firstLineChars="200"/>
        <w:jc w:val="left"/>
        <w:rPr>
          <w:rFonts w:ascii="宋体" w:hAnsi="宋体"/>
          <w:sz w:val="24"/>
        </w:rPr>
      </w:pP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软件和信息技术服务业</w:t>
      </w:r>
      <w:r>
        <w:rPr>
          <w:rFonts w:hint="eastAsia" w:ascii="宋体" w:hAnsi="宋体"/>
          <w:sz w:val="24"/>
        </w:rPr>
        <w:t>（釆购文件中明确的所属行业）、承建（承接）企业为</w:t>
      </w:r>
      <w:r>
        <w:rPr>
          <w:rFonts w:hint="eastAsia" w:ascii="宋体" w:hAnsi="宋体"/>
          <w:sz w:val="24"/>
          <w:u w:val="single"/>
        </w:rPr>
        <w:t xml:space="preserve">          </w:t>
      </w:r>
      <w:r>
        <w:rPr>
          <w:rFonts w:hint="eastAsia" w:ascii="宋体" w:hAnsi="宋体"/>
          <w:sz w:val="24"/>
        </w:rPr>
        <w:t>（企业名称）,从业人员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w:t>
      </w:r>
      <w:r>
        <w:rPr>
          <w:rFonts w:hint="eastAsia" w:ascii="宋体" w:hAnsi="宋体"/>
          <w:sz w:val="24"/>
        </w:rPr>
        <w:t>（中型企业、小型企业、微型企业、监狱企业）。</w:t>
      </w:r>
    </w:p>
    <w:p>
      <w:pPr>
        <w:adjustRightInd w:val="0"/>
        <w:spacing w:line="360" w:lineRule="auto"/>
        <w:ind w:firstLine="482" w:firstLineChars="200"/>
        <w:jc w:val="left"/>
        <w:rPr>
          <w:rFonts w:ascii="宋体" w:hAnsi="宋体"/>
          <w:b/>
          <w:bCs/>
          <w:sz w:val="24"/>
        </w:rPr>
      </w:pPr>
      <w:r>
        <w:rPr>
          <w:rFonts w:hint="eastAsia" w:ascii="宋体" w:hAnsi="宋体"/>
          <w:b/>
          <w:bCs/>
          <w:sz w:val="24"/>
        </w:rPr>
        <w:t>......</w:t>
      </w:r>
    </w:p>
    <w:p>
      <w:pPr>
        <w:adjustRightInd w:val="0"/>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tabs>
          <w:tab w:val="left" w:pos="7665"/>
        </w:tabs>
        <w:spacing w:line="400" w:lineRule="exact"/>
        <w:ind w:firstLine="480" w:firstLineChars="200"/>
        <w:rPr>
          <w:rFonts w:ascii="宋体" w:hAnsi="宋体" w:cs="宋体"/>
          <w:sz w:val="24"/>
        </w:rPr>
      </w:pPr>
    </w:p>
    <w:p>
      <w:pPr>
        <w:tabs>
          <w:tab w:val="left" w:pos="7665"/>
        </w:tabs>
        <w:spacing w:line="400" w:lineRule="exact"/>
        <w:rPr>
          <w:rFonts w:ascii="宋体" w:hAnsi="宋体" w:cs="宋体"/>
          <w:sz w:val="24"/>
        </w:rPr>
      </w:pPr>
      <w:r>
        <w:rPr>
          <w:rFonts w:hint="eastAsia" w:ascii="宋体" w:hAnsi="宋体" w:cs="宋体"/>
          <w:sz w:val="24"/>
        </w:rPr>
        <w:t>注：</w:t>
      </w:r>
    </w:p>
    <w:p>
      <w:pPr>
        <w:tabs>
          <w:tab w:val="left" w:pos="7665"/>
        </w:tabs>
        <w:spacing w:line="360" w:lineRule="auto"/>
        <w:ind w:firstLine="480" w:firstLineChars="200"/>
        <w:rPr>
          <w:rFonts w:ascii="宋体" w:hAnsi="宋体" w:cs="宋体"/>
          <w:sz w:val="24"/>
        </w:rPr>
      </w:pPr>
      <w:r>
        <w:rPr>
          <w:rFonts w:hint="eastAsia" w:ascii="宋体" w:hAnsi="宋体" w:cs="宋体"/>
          <w:sz w:val="24"/>
        </w:rPr>
        <w:t>1.从业人员、营业收入、资产总额填报上一年度数据，无上一年度数据的新成立企业可不填报。</w:t>
      </w:r>
    </w:p>
    <w:p>
      <w:pPr>
        <w:tabs>
          <w:tab w:val="left" w:pos="7665"/>
        </w:tabs>
        <w:spacing w:line="360" w:lineRule="auto"/>
        <w:ind w:firstLine="480" w:firstLineChars="200"/>
        <w:rPr>
          <w:rFonts w:ascii="宋体" w:hAnsi="宋体" w:cs="宋体"/>
          <w:sz w:val="24"/>
        </w:rPr>
      </w:pPr>
      <w:r>
        <w:rPr>
          <w:rFonts w:hint="eastAsia" w:ascii="宋体" w:hAnsi="宋体" w:cs="宋体"/>
          <w:sz w:val="24"/>
        </w:rPr>
        <w:t>2.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tabs>
          <w:tab w:val="left" w:pos="7665"/>
        </w:tabs>
        <w:spacing w:line="360" w:lineRule="auto"/>
        <w:ind w:firstLine="480" w:firstLineChars="200"/>
        <w:rPr>
          <w:rFonts w:ascii="宋体" w:hAnsi="宋体" w:cs="宋体"/>
          <w:sz w:val="24"/>
        </w:rPr>
      </w:pPr>
      <w:r>
        <w:rPr>
          <w:rFonts w:hint="eastAsia" w:ascii="宋体" w:hAnsi="宋体" w:cs="宋体"/>
          <w:sz w:val="24"/>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r>
        <w:br w:type="page"/>
      </w:r>
    </w:p>
    <w:p>
      <w:pPr>
        <w:pStyle w:val="2"/>
      </w:pPr>
    </w:p>
    <w:p>
      <w:pPr>
        <w:pStyle w:val="4"/>
        <w:spacing w:before="0" w:after="0" w:line="360" w:lineRule="auto"/>
        <w:jc w:val="center"/>
        <w:rPr>
          <w:rFonts w:ascii="仿宋" w:hAnsi="仿宋" w:eastAsia="仿宋" w:cs="宋体"/>
          <w:spacing w:val="6"/>
          <w:sz w:val="24"/>
        </w:rPr>
      </w:pPr>
      <w:bookmarkStart w:id="203" w:name="_Toc17725"/>
      <w:r>
        <w:rPr>
          <w:rFonts w:hint="eastAsia"/>
          <w:lang w:eastAsia="zh-CN"/>
        </w:rPr>
        <w:t>十二</w:t>
      </w:r>
      <w:r>
        <w:rPr>
          <w:rFonts w:hint="eastAsia"/>
        </w:rPr>
        <w:t>、残疾人福利性单位声明函</w:t>
      </w:r>
      <w:bookmarkEnd w:id="203"/>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w:t>
      </w:r>
      <w:r>
        <w:rPr>
          <w:rFonts w:hint="eastAsia" w:ascii="宋体" w:hAnsi="宋体" w:cs="宋体"/>
          <w:b/>
          <w:bCs/>
          <w:spacing w:val="6"/>
          <w:sz w:val="24"/>
        </w:rPr>
        <w:t>本单位为符合条件的残疾人福利性单位</w:t>
      </w:r>
      <w:r>
        <w:rPr>
          <w:rFonts w:hint="eastAsia" w:ascii="宋体" w:hAnsi="宋体" w:cs="宋体"/>
          <w:spacing w:val="6"/>
          <w:sz w:val="24"/>
        </w:rPr>
        <w:t>，且本单位参加</w:t>
      </w:r>
      <w:r>
        <w:rPr>
          <w:rFonts w:hint="eastAsia" w:ascii="宋体" w:hAnsi="宋体" w:cs="宋体"/>
          <w:sz w:val="24"/>
          <w:u w:val="single"/>
        </w:rPr>
        <w:t xml:space="preserve"> XXXX </w:t>
      </w:r>
      <w:r>
        <w:rPr>
          <w:rFonts w:hint="eastAsia" w:ascii="宋体" w:hAnsi="宋体" w:cs="宋体"/>
          <w:spacing w:val="6"/>
          <w:sz w:val="24"/>
        </w:rPr>
        <w:t>单位的</w:t>
      </w:r>
      <w:r>
        <w:rPr>
          <w:rFonts w:hint="eastAsia" w:ascii="宋体" w:hAnsi="宋体" w:cs="宋体"/>
          <w:sz w:val="24"/>
          <w:u w:val="single"/>
        </w:rPr>
        <w:t xml:space="preserve"> XXXX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仿宋" w:hAnsi="仿宋" w:eastAsia="仿宋" w:cs="宋体"/>
          <w:spacing w:val="6"/>
          <w:sz w:val="24"/>
        </w:rPr>
      </w:pPr>
    </w:p>
    <w:p>
      <w:pPr>
        <w:spacing w:line="360" w:lineRule="auto"/>
        <w:rPr>
          <w:rFonts w:ascii="仿宋" w:hAnsi="仿宋" w:eastAsia="仿宋" w:cs="宋体"/>
          <w:spacing w:val="6"/>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供应商名称（盖章）：</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360" w:lineRule="auto"/>
        <w:rPr>
          <w:rFonts w:ascii="仿宋" w:hAnsi="仿宋" w:eastAsia="仿宋" w:cs="宋体"/>
          <w:sz w:val="24"/>
        </w:rPr>
      </w:pPr>
    </w:p>
    <w:p>
      <w:pPr>
        <w:spacing w:line="360" w:lineRule="auto"/>
        <w:rPr>
          <w:rFonts w:ascii="宋体" w:hAnsi="宋体" w:cs="宋体"/>
          <w:sz w:val="24"/>
        </w:rPr>
      </w:pPr>
      <w:r>
        <w:rPr>
          <w:rFonts w:hint="eastAsia" w:ascii="宋体" w:hAnsi="宋体" w:cs="宋体"/>
          <w:sz w:val="24"/>
        </w:rPr>
        <w:t>注：</w:t>
      </w:r>
    </w:p>
    <w:p>
      <w:pPr>
        <w:spacing w:after="160" w:line="360" w:lineRule="auto"/>
        <w:rPr>
          <w:rFonts w:ascii="宋体" w:hAnsi="宋体" w:cs="宋体"/>
          <w:sz w:val="24"/>
        </w:rPr>
      </w:pPr>
      <w:r>
        <w:rPr>
          <w:rFonts w:hint="eastAsia" w:ascii="宋体" w:hAnsi="宋体" w:cs="宋体"/>
          <w:sz w:val="24"/>
        </w:rPr>
        <w:t>1.残疾人福利性单位视同小型、微型企业，享受预留份额、评审中价格扣除等促进中小企业发展的政府采购政策。残疾人福利性单位属于小型、微型企业的，不重复享受政策。</w:t>
      </w:r>
    </w:p>
    <w:p>
      <w:pPr>
        <w:spacing w:after="160" w:line="360" w:lineRule="auto"/>
        <w:sectPr>
          <w:headerReference r:id="rId7" w:type="default"/>
          <w:footerReference r:id="rId8" w:type="default"/>
          <w:footerReference r:id="rId9" w:type="even"/>
          <w:pgSz w:w="11849" w:h="16781"/>
          <w:pgMar w:top="1440" w:right="1304" w:bottom="1440" w:left="1417" w:header="850" w:footer="992" w:gutter="0"/>
          <w:cols w:space="0" w:num="1"/>
          <w:docGrid w:type="lines" w:linePitch="312" w:charSpace="0"/>
        </w:sectPr>
      </w:pPr>
      <w:r>
        <w:rPr>
          <w:rFonts w:hint="eastAsia" w:ascii="宋体" w:hAnsi="宋体" w:cs="宋体"/>
          <w:b/>
          <w:bCs/>
          <w:sz w:val="24"/>
        </w:rPr>
        <w:t>2.供应商为非残疾人福利性单位的，可不提供此声明</w:t>
      </w:r>
    </w:p>
    <w:p>
      <w:pPr>
        <w:pStyle w:val="4"/>
        <w:spacing w:line="360" w:lineRule="auto"/>
        <w:jc w:val="center"/>
      </w:pPr>
      <w:r>
        <w:rPr>
          <w:rFonts w:hint="eastAsia"/>
        </w:rPr>
        <w:t>最终报价表</w:t>
      </w:r>
    </w:p>
    <w:tbl>
      <w:tblPr>
        <w:tblStyle w:val="28"/>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ascii="宋体" w:hAnsi="宋体" w:cs="宋体"/>
                <w:kern w:val="0"/>
                <w:szCs w:val="21"/>
              </w:rPr>
            </w:pPr>
            <w:r>
              <w:rPr>
                <w:rFonts w:hint="eastAsia" w:ascii="宋体" w:hAnsi="宋体" w:cs="宋体"/>
                <w:kern w:val="0"/>
                <w:szCs w:val="21"/>
              </w:rPr>
              <w:t>项目名称</w:t>
            </w:r>
          </w:p>
        </w:tc>
        <w:tc>
          <w:tcPr>
            <w:tcW w:w="7371" w:type="dxa"/>
            <w:vAlign w:val="center"/>
          </w:tcPr>
          <w:p>
            <w:pPr>
              <w:tabs>
                <w:tab w:val="left" w:pos="7513"/>
              </w:tabs>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ascii="宋体" w:hAnsi="宋体" w:cs="宋体"/>
                <w:kern w:val="0"/>
                <w:szCs w:val="21"/>
              </w:rPr>
            </w:pPr>
            <w:r>
              <w:rPr>
                <w:rFonts w:hint="eastAsia" w:ascii="宋体" w:hAnsi="宋体" w:cs="宋体"/>
                <w:kern w:val="0"/>
                <w:szCs w:val="21"/>
              </w:rPr>
              <w:t>项目编号</w:t>
            </w:r>
          </w:p>
        </w:tc>
        <w:tc>
          <w:tcPr>
            <w:tcW w:w="7371" w:type="dxa"/>
            <w:vAlign w:val="center"/>
          </w:tcPr>
          <w:p>
            <w:pPr>
              <w:tabs>
                <w:tab w:val="left" w:pos="7513"/>
              </w:tabs>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ascii="宋体" w:hAnsi="宋体" w:cs="宋体"/>
                <w:kern w:val="0"/>
                <w:szCs w:val="21"/>
              </w:rPr>
            </w:pPr>
            <w:r>
              <w:rPr>
                <w:rFonts w:hint="eastAsia" w:ascii="宋体" w:hAnsi="宋体" w:cs="宋体"/>
                <w:kern w:val="0"/>
                <w:szCs w:val="21"/>
              </w:rPr>
              <w:t>报价合计</w:t>
            </w:r>
          </w:p>
        </w:tc>
        <w:tc>
          <w:tcPr>
            <w:tcW w:w="7371" w:type="dxa"/>
            <w:vAlign w:val="center"/>
          </w:tcPr>
          <w:p>
            <w:pPr>
              <w:tabs>
                <w:tab w:val="left" w:pos="7513"/>
              </w:tabs>
              <w:spacing w:line="360" w:lineRule="auto"/>
              <w:jc w:val="center"/>
              <w:rPr>
                <w:rFonts w:ascii="宋体" w:hAnsi="宋体" w:cs="宋体"/>
                <w:kern w:val="0"/>
                <w:szCs w:val="21"/>
              </w:rPr>
            </w:pPr>
          </w:p>
          <w:p>
            <w:pPr>
              <w:tabs>
                <w:tab w:val="left" w:pos="7513"/>
              </w:tabs>
              <w:spacing w:line="360" w:lineRule="auto"/>
              <w:jc w:val="center"/>
              <w:rPr>
                <w:rFonts w:ascii="宋体" w:hAnsi="宋体" w:cs="宋体"/>
                <w:kern w:val="0"/>
                <w:szCs w:val="21"/>
              </w:rPr>
            </w:pPr>
            <w:r>
              <w:rPr>
                <w:rFonts w:hint="eastAsia" w:ascii="宋体" w:hAnsi="宋体" w:cs="宋体"/>
                <w:kern w:val="0"/>
                <w:szCs w:val="21"/>
              </w:rPr>
              <w:t>人民币：</w:t>
            </w:r>
            <w:r>
              <w:rPr>
                <w:rFonts w:hint="eastAsia" w:ascii="宋体" w:hAnsi="宋体" w:cs="宋体"/>
                <w:kern w:val="0"/>
                <w:szCs w:val="21"/>
                <w:u w:val="single"/>
              </w:rPr>
              <w:t xml:space="preserve">                    </w:t>
            </w:r>
            <w:r>
              <w:rPr>
                <w:rFonts w:hint="eastAsia" w:ascii="宋体" w:hAnsi="宋体" w:cs="宋体"/>
                <w:kern w:val="0"/>
                <w:szCs w:val="21"/>
              </w:rPr>
              <w:t>元</w:t>
            </w:r>
          </w:p>
          <w:p>
            <w:pPr>
              <w:tabs>
                <w:tab w:val="left" w:pos="7513"/>
              </w:tabs>
              <w:spacing w:line="360" w:lineRule="auto"/>
              <w:jc w:val="center"/>
              <w:rPr>
                <w:rFonts w:ascii="宋体" w:hAnsi="宋体" w:cs="宋体"/>
                <w:kern w:val="0"/>
                <w:szCs w:val="21"/>
              </w:rPr>
            </w:pPr>
          </w:p>
          <w:p>
            <w:pPr>
              <w:tabs>
                <w:tab w:val="left" w:pos="7513"/>
              </w:tabs>
              <w:spacing w:line="360" w:lineRule="auto"/>
              <w:jc w:val="center"/>
              <w:rPr>
                <w:rFonts w:ascii="宋体" w:hAnsi="宋体" w:cs="宋体"/>
                <w:kern w:val="0"/>
                <w:szCs w:val="21"/>
              </w:rPr>
            </w:pPr>
            <w:r>
              <w:rPr>
                <w:rFonts w:hint="eastAsia" w:ascii="宋体" w:hAnsi="宋体" w:cs="宋体"/>
                <w:kern w:val="0"/>
                <w:szCs w:val="21"/>
              </w:rPr>
              <w:t>（大写：</w:t>
            </w:r>
            <w:r>
              <w:rPr>
                <w:rFonts w:hint="eastAsia" w:ascii="宋体" w:hAnsi="宋体" w:cs="宋体"/>
                <w:kern w:val="0"/>
                <w:szCs w:val="21"/>
                <w:u w:val="single"/>
              </w:rPr>
              <w:t xml:space="preserve">                    </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72" w:type="dxa"/>
            <w:vAlign w:val="center"/>
          </w:tcPr>
          <w:p>
            <w:pPr>
              <w:tabs>
                <w:tab w:val="left" w:pos="7513"/>
              </w:tabs>
              <w:jc w:val="center"/>
              <w:rPr>
                <w:rFonts w:ascii="宋体" w:hAnsi="宋体" w:cs="宋体"/>
                <w:kern w:val="0"/>
                <w:szCs w:val="21"/>
              </w:rPr>
            </w:pPr>
            <w:r>
              <w:rPr>
                <w:rFonts w:hint="eastAsia" w:ascii="宋体" w:hAnsi="宋体" w:cs="宋体"/>
                <w:kern w:val="0"/>
                <w:szCs w:val="21"/>
              </w:rPr>
              <w:t>备注</w:t>
            </w:r>
          </w:p>
        </w:tc>
        <w:tc>
          <w:tcPr>
            <w:tcW w:w="7371" w:type="dxa"/>
            <w:vAlign w:val="center"/>
          </w:tcPr>
          <w:p>
            <w:pPr>
              <w:tabs>
                <w:tab w:val="left" w:pos="7513"/>
              </w:tabs>
              <w:jc w:val="center"/>
              <w:rPr>
                <w:rFonts w:ascii="宋体" w:hAnsi="宋体" w:cs="宋体"/>
                <w:kern w:val="0"/>
                <w:szCs w:val="21"/>
              </w:rPr>
            </w:pPr>
          </w:p>
        </w:tc>
      </w:tr>
    </w:tbl>
    <w:p>
      <w:pPr>
        <w:spacing w:line="360" w:lineRule="auto"/>
        <w:ind w:firstLine="482" w:firstLineChars="200"/>
        <w:jc w:val="left"/>
        <w:rPr>
          <w:rFonts w:ascii="宋体" w:hAnsi="宋体" w:cs="宋体"/>
          <w:b/>
          <w:bCs/>
          <w:sz w:val="24"/>
        </w:rPr>
      </w:pPr>
    </w:p>
    <w:p>
      <w:pPr>
        <w:spacing w:line="360" w:lineRule="auto"/>
        <w:ind w:firstLine="482" w:firstLineChars="200"/>
        <w:jc w:val="left"/>
        <w:rPr>
          <w:rFonts w:ascii="宋体" w:hAnsi="宋体" w:cs="宋体"/>
          <w:b/>
          <w:bCs/>
          <w:sz w:val="24"/>
        </w:rPr>
      </w:pPr>
    </w:p>
    <w:p>
      <w:pPr>
        <w:spacing w:line="360" w:lineRule="auto"/>
        <w:rPr>
          <w:rFonts w:ascii="宋体" w:hAnsi="宋体" w:cs="宋体"/>
          <w:sz w:val="24"/>
        </w:rPr>
      </w:pPr>
      <w:r>
        <w:rPr>
          <w:rFonts w:hint="eastAsia" w:ascii="宋体" w:hAnsi="宋体" w:cs="宋体"/>
          <w:b/>
          <w:bCs/>
          <w:sz w:val="24"/>
        </w:rPr>
        <w:t>注：此页不作为响应文件的组成部分，持空白页至磋商现场根据实际需要填写</w:t>
      </w:r>
      <w:r>
        <w:rPr>
          <w:rFonts w:hint="eastAsia" w:ascii="宋体"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法定代表人或授权代表（签字或加盖个人名章）：</w:t>
      </w:r>
      <w:r>
        <w:rPr>
          <w:rFonts w:hint="eastAsia" w:ascii="宋体" w:hAnsi="宋体"/>
          <w:sz w:val="24"/>
          <w:u w:val="single"/>
        </w:rPr>
        <w:t xml:space="preserve">           </w:t>
      </w:r>
    </w:p>
    <w:p>
      <w:pPr>
        <w:spacing w:line="360" w:lineRule="auto"/>
        <w:ind w:firstLine="480" w:firstLineChars="200"/>
        <w:rPr>
          <w:rFonts w:ascii="新宋体" w:hAnsi="新宋体" w:eastAsia="新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pStyle w:val="3"/>
        <w:jc w:val="center"/>
      </w:pPr>
      <w:r>
        <w:rPr>
          <w:rFonts w:hint="eastAsia"/>
        </w:rPr>
        <w:br w:type="page"/>
      </w:r>
      <w:bookmarkStart w:id="204" w:name="_Toc32541_WPSOffice_Level1"/>
      <w:bookmarkStart w:id="205" w:name="_Toc4157"/>
      <w:bookmarkStart w:id="206" w:name="_Toc8290_WPSOffice_Level1"/>
      <w:r>
        <w:rPr>
          <w:rStyle w:val="58"/>
          <w:rFonts w:hint="eastAsia"/>
          <w:b/>
          <w:bCs/>
        </w:rPr>
        <w:t>第八章  评审方法</w:t>
      </w:r>
      <w:bookmarkEnd w:id="204"/>
      <w:bookmarkEnd w:id="205"/>
      <w:bookmarkEnd w:id="206"/>
    </w:p>
    <w:p>
      <w:pPr>
        <w:pStyle w:val="4"/>
        <w:keepNext w:val="0"/>
        <w:keepLines w:val="0"/>
        <w:spacing w:before="0" w:after="0" w:line="360" w:lineRule="auto"/>
        <w:ind w:firstLine="472" w:firstLineChars="196"/>
        <w:rPr>
          <w:rFonts w:ascii="宋体" w:hAnsi="宋体" w:eastAsia="宋体"/>
          <w:sz w:val="24"/>
          <w:szCs w:val="24"/>
        </w:rPr>
      </w:pPr>
      <w:bookmarkStart w:id="207" w:name="_Toc28831_WPSOffice_Level2"/>
      <w:bookmarkStart w:id="208" w:name="_Toc3628_WPSOffice_Level2"/>
      <w:bookmarkStart w:id="209" w:name="_Toc209847065"/>
      <w:bookmarkStart w:id="210" w:name="_Toc101338358"/>
      <w:bookmarkStart w:id="211" w:name="_Toc101250640"/>
      <w:bookmarkStart w:id="212" w:name="_Toc101174146"/>
      <w:bookmarkStart w:id="213" w:name="_Toc430773924"/>
      <w:r>
        <w:rPr>
          <w:rFonts w:hint="eastAsia" w:ascii="宋体" w:hAnsi="宋体" w:eastAsia="宋体"/>
          <w:sz w:val="24"/>
          <w:szCs w:val="24"/>
        </w:rPr>
        <w:t>1.总则</w:t>
      </w:r>
      <w:bookmarkEnd w:id="207"/>
      <w:bookmarkEnd w:id="208"/>
    </w:p>
    <w:p>
      <w:pPr>
        <w:spacing w:line="360" w:lineRule="auto"/>
        <w:ind w:firstLine="470" w:firstLineChars="196"/>
        <w:rPr>
          <w:rFonts w:ascii="宋体" w:hAnsi="宋体"/>
          <w:sz w:val="24"/>
        </w:rPr>
      </w:pPr>
      <w:r>
        <w:rPr>
          <w:rFonts w:hint="eastAsia" w:ascii="宋体" w:hAnsi="宋体"/>
          <w:sz w:val="24"/>
        </w:rPr>
        <w:t>1.1根据《中华人民共和国政府采购法》、《中华人民共和国政府采购法实施条例》、《政府采购竞争性磋商采购方式管理暂行办法》等法律制度，结合本采购项目特点制定本磋商方法。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ascii="宋体" w:hAnsi="宋体"/>
          <w:sz w:val="24"/>
        </w:rPr>
      </w:pPr>
      <w:r>
        <w:rPr>
          <w:rFonts w:hint="eastAsia" w:ascii="宋体" w:hAnsi="宋体"/>
          <w:sz w:val="24"/>
        </w:rPr>
        <w:t>1.2磋商工作由采购代理机构负责组织，具体磋商由采购人/采购代理机构依法组建的磋商小组负责。</w:t>
      </w:r>
    </w:p>
    <w:p>
      <w:pPr>
        <w:spacing w:line="360" w:lineRule="auto"/>
        <w:ind w:firstLine="470" w:firstLineChars="196"/>
        <w:rPr>
          <w:rFonts w:ascii="宋体" w:hAnsi="宋体"/>
          <w:sz w:val="24"/>
        </w:rPr>
      </w:pPr>
      <w:r>
        <w:rPr>
          <w:rFonts w:hint="eastAsia" w:ascii="宋体" w:hAnsi="宋体"/>
          <w:sz w:val="24"/>
        </w:rPr>
        <w:t>1.3磋商工作应遵循公平、公正、科学及择优的原则，并以相同的磋商程序和标准对待所有的供应商。</w:t>
      </w:r>
    </w:p>
    <w:p>
      <w:pPr>
        <w:spacing w:line="360" w:lineRule="auto"/>
        <w:ind w:firstLine="470" w:firstLineChars="196"/>
        <w:rPr>
          <w:rFonts w:ascii="宋体" w:hAnsi="宋体"/>
          <w:sz w:val="24"/>
        </w:rPr>
      </w:pPr>
      <w:r>
        <w:rPr>
          <w:rFonts w:hint="eastAsia" w:ascii="宋体" w:hAnsi="宋体"/>
          <w:sz w:val="24"/>
        </w:rPr>
        <w:t>1.4磋商小组按照磋商文件规定的磋商程序、评分方法和标准进行评审，并独立履行下列职责：</w:t>
      </w:r>
    </w:p>
    <w:p>
      <w:pPr>
        <w:spacing w:line="360" w:lineRule="auto"/>
        <w:ind w:firstLine="480" w:firstLineChars="200"/>
        <w:rPr>
          <w:rFonts w:ascii="宋体" w:hAnsi="宋体"/>
          <w:sz w:val="24"/>
        </w:rPr>
      </w:pPr>
      <w:r>
        <w:rPr>
          <w:rFonts w:hint="eastAsia" w:ascii="宋体" w:hAnsi="宋体"/>
          <w:sz w:val="24"/>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ascii="宋体" w:hAnsi="宋体"/>
          <w:sz w:val="24"/>
        </w:rPr>
      </w:pPr>
      <w:r>
        <w:rPr>
          <w:rFonts w:hint="eastAsia" w:ascii="宋体" w:hAnsi="宋体"/>
          <w:sz w:val="24"/>
        </w:rPr>
        <w:t>（2）审查供应商响应文件是否满足磋商文件要求，并作出公正评价；</w:t>
      </w:r>
    </w:p>
    <w:p>
      <w:pPr>
        <w:spacing w:line="360" w:lineRule="auto"/>
        <w:ind w:firstLine="470" w:firstLineChars="196"/>
        <w:rPr>
          <w:rFonts w:ascii="宋体" w:hAnsi="宋体"/>
          <w:sz w:val="24"/>
        </w:rPr>
      </w:pPr>
      <w:r>
        <w:rPr>
          <w:rFonts w:hint="eastAsia" w:ascii="宋体" w:hAnsi="宋体"/>
          <w:sz w:val="24"/>
        </w:rPr>
        <w:t>（3）根据需要要求供应商对响应文件中含义不明确、同类问题表述不一致或者有明显文字和计算错误的内容等作出必要的澄清、说明或者更正；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宋体" w:hAnsi="宋体"/>
          <w:sz w:val="24"/>
        </w:rPr>
      </w:pPr>
      <w:r>
        <w:rPr>
          <w:rFonts w:hint="eastAsia" w:ascii="宋体" w:hAnsi="宋体"/>
          <w:sz w:val="24"/>
        </w:rPr>
        <w:t>（4）推荐成交供应商，或者受采购人委托确定成交供应商；</w:t>
      </w:r>
    </w:p>
    <w:p>
      <w:pPr>
        <w:spacing w:line="360" w:lineRule="auto"/>
        <w:ind w:firstLine="470" w:firstLineChars="196"/>
        <w:rPr>
          <w:rFonts w:ascii="宋体" w:hAnsi="宋体"/>
          <w:sz w:val="24"/>
        </w:rPr>
      </w:pPr>
      <w:r>
        <w:rPr>
          <w:rFonts w:hint="eastAsia" w:ascii="宋体" w:hAnsi="宋体"/>
          <w:sz w:val="24"/>
        </w:rPr>
        <w:t>（5）起草评审报告并进行签署；</w:t>
      </w:r>
    </w:p>
    <w:p>
      <w:pPr>
        <w:spacing w:line="360" w:lineRule="auto"/>
        <w:ind w:firstLine="470" w:firstLineChars="196"/>
        <w:rPr>
          <w:rFonts w:ascii="宋体" w:hAnsi="宋体"/>
          <w:sz w:val="24"/>
        </w:rPr>
      </w:pPr>
      <w:r>
        <w:rPr>
          <w:rFonts w:hint="eastAsia" w:ascii="宋体" w:hAnsi="宋体"/>
          <w:sz w:val="24"/>
        </w:rPr>
        <w:t>（6）向采购人/采购代理机构、财政部门或者其他监督部门报告非法干预评审工作的行为；</w:t>
      </w:r>
    </w:p>
    <w:p>
      <w:pPr>
        <w:spacing w:line="360" w:lineRule="auto"/>
        <w:ind w:firstLine="470" w:firstLineChars="196"/>
        <w:rPr>
          <w:rFonts w:ascii="宋体" w:hAnsi="宋体"/>
          <w:sz w:val="24"/>
        </w:rPr>
      </w:pPr>
      <w:r>
        <w:rPr>
          <w:rFonts w:hint="eastAsia" w:ascii="宋体" w:hAnsi="宋体"/>
          <w:sz w:val="24"/>
        </w:rPr>
        <w:t>（7）法律、法规和规章规定的其他职责。</w:t>
      </w:r>
    </w:p>
    <w:p>
      <w:pPr>
        <w:spacing w:line="360" w:lineRule="auto"/>
        <w:ind w:firstLine="470" w:firstLineChars="196"/>
        <w:rPr>
          <w:rFonts w:ascii="宋体" w:hAnsi="宋体"/>
          <w:sz w:val="24"/>
        </w:rPr>
      </w:pPr>
      <w:r>
        <w:rPr>
          <w:rFonts w:hint="eastAsia" w:ascii="宋体" w:hAnsi="宋体"/>
          <w:sz w:val="24"/>
        </w:rPr>
        <w:t>1.5</w:t>
      </w:r>
      <w:r>
        <w:rPr>
          <w:rFonts w:hint="eastAsia" w:ascii="宋体" w:hAnsi="宋体"/>
          <w:b/>
          <w:bCs/>
          <w:sz w:val="24"/>
        </w:rPr>
        <w:t>（实质性要求）</w:t>
      </w:r>
      <w:r>
        <w:rPr>
          <w:rFonts w:hint="eastAsia" w:ascii="宋体" w:hAnsi="宋体"/>
          <w:sz w:val="24"/>
        </w:rPr>
        <w:t>磋商过程独立、保密。供应商非法干预磋商过程的，其响应文件作无效处理。</w:t>
      </w:r>
    </w:p>
    <w:p>
      <w:pPr>
        <w:spacing w:line="360" w:lineRule="auto"/>
      </w:pPr>
    </w:p>
    <w:p>
      <w:pPr>
        <w:pStyle w:val="4"/>
        <w:keepNext w:val="0"/>
        <w:keepLines w:val="0"/>
        <w:spacing w:before="0" w:after="0" w:line="360" w:lineRule="auto"/>
        <w:ind w:firstLine="472" w:firstLineChars="196"/>
        <w:rPr>
          <w:rFonts w:ascii="宋体" w:hAnsi="宋体" w:eastAsia="宋体"/>
          <w:sz w:val="24"/>
          <w:szCs w:val="24"/>
        </w:rPr>
      </w:pPr>
      <w:bookmarkStart w:id="214" w:name="_Toc28315_WPSOffice_Level2"/>
      <w:bookmarkStart w:id="215" w:name="_Toc17993_WPSOffice_Level2"/>
      <w:r>
        <w:rPr>
          <w:rFonts w:hint="eastAsia" w:ascii="宋体" w:hAnsi="宋体" w:eastAsia="宋体"/>
          <w:sz w:val="24"/>
          <w:szCs w:val="24"/>
        </w:rPr>
        <w:t>2.磋商程序</w:t>
      </w:r>
      <w:bookmarkEnd w:id="214"/>
      <w:bookmarkEnd w:id="215"/>
    </w:p>
    <w:p>
      <w:pPr>
        <w:spacing w:line="360" w:lineRule="auto"/>
        <w:ind w:firstLine="470" w:firstLineChars="196"/>
        <w:rPr>
          <w:rFonts w:ascii="宋体" w:hAnsi="宋体"/>
          <w:sz w:val="24"/>
        </w:rPr>
      </w:pPr>
      <w:r>
        <w:rPr>
          <w:rFonts w:hint="eastAsia" w:ascii="宋体" w:hAnsi="宋体"/>
          <w:sz w:val="24"/>
        </w:rPr>
        <w:t>2.1审查磋商文件和停止评审。</w:t>
      </w:r>
    </w:p>
    <w:p>
      <w:pPr>
        <w:spacing w:line="360" w:lineRule="auto"/>
        <w:ind w:firstLine="470" w:firstLineChars="196"/>
        <w:rPr>
          <w:rFonts w:ascii="宋体" w:hAnsi="宋体"/>
          <w:sz w:val="24"/>
        </w:rPr>
      </w:pPr>
      <w:r>
        <w:rPr>
          <w:rFonts w:hint="eastAsia" w:ascii="宋体" w:hAnsi="宋体"/>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0" w:firstLineChars="196"/>
        <w:rPr>
          <w:rFonts w:ascii="宋体" w:hAnsi="宋体"/>
          <w:sz w:val="24"/>
        </w:rPr>
      </w:pPr>
      <w:r>
        <w:rPr>
          <w:rFonts w:hint="eastAsia" w:ascii="宋体" w:hAnsi="宋体"/>
          <w:sz w:val="24"/>
        </w:rPr>
        <w:t>2.1.2 本磋商文件有下列情形之一的，磋商小组应当停止评审：</w:t>
      </w:r>
    </w:p>
    <w:p>
      <w:pPr>
        <w:spacing w:line="360" w:lineRule="auto"/>
        <w:ind w:firstLine="470" w:firstLineChars="196"/>
        <w:rPr>
          <w:rFonts w:ascii="宋体" w:hAnsi="宋体"/>
          <w:sz w:val="24"/>
        </w:rPr>
      </w:pPr>
      <w:r>
        <w:rPr>
          <w:rFonts w:hint="eastAsia" w:ascii="宋体" w:hAnsi="宋体"/>
          <w:sz w:val="24"/>
        </w:rPr>
        <w:t>（1）磋商文件的规定存在歧义、重大缺陷的；</w:t>
      </w:r>
    </w:p>
    <w:p>
      <w:pPr>
        <w:spacing w:line="360" w:lineRule="auto"/>
        <w:ind w:firstLine="470" w:firstLineChars="196"/>
        <w:rPr>
          <w:rFonts w:ascii="宋体" w:hAnsi="宋体"/>
          <w:sz w:val="24"/>
        </w:rPr>
      </w:pPr>
      <w:r>
        <w:rPr>
          <w:rFonts w:hint="eastAsia" w:ascii="宋体" w:hAnsi="宋体"/>
          <w:sz w:val="24"/>
        </w:rPr>
        <w:t>（2）磋商文件明显以不合理条件对供应商实行差别待遇或者歧视待遇的；</w:t>
      </w:r>
    </w:p>
    <w:p>
      <w:pPr>
        <w:spacing w:line="360" w:lineRule="auto"/>
        <w:ind w:firstLine="470" w:firstLineChars="196"/>
        <w:rPr>
          <w:rFonts w:ascii="宋体" w:hAnsi="宋体"/>
          <w:sz w:val="24"/>
        </w:rPr>
      </w:pPr>
      <w:r>
        <w:rPr>
          <w:rFonts w:hint="eastAsia" w:ascii="宋体" w:hAnsi="宋体"/>
          <w:sz w:val="24"/>
        </w:rPr>
        <w:t>（3）采购项目属于国家规定的优先、强制采购范围，但是磋商文件未依法体现优先、强制采购相关规定的；</w:t>
      </w:r>
    </w:p>
    <w:p>
      <w:pPr>
        <w:spacing w:line="360" w:lineRule="auto"/>
        <w:ind w:firstLine="470" w:firstLineChars="196"/>
        <w:rPr>
          <w:rFonts w:ascii="宋体" w:hAnsi="宋体"/>
          <w:sz w:val="24"/>
        </w:rPr>
      </w:pPr>
      <w:r>
        <w:rPr>
          <w:rFonts w:hint="eastAsia" w:ascii="宋体" w:hAnsi="宋体"/>
          <w:sz w:val="24"/>
        </w:rPr>
        <w:t>（4）采购项目属于政府采购促进中小企业发展的范围，但是磋商文件未依法体现促进中小企业发展相关规定的；</w:t>
      </w:r>
    </w:p>
    <w:p>
      <w:pPr>
        <w:spacing w:line="360" w:lineRule="auto"/>
        <w:ind w:firstLine="470" w:firstLineChars="196"/>
        <w:rPr>
          <w:rFonts w:ascii="宋体" w:hAnsi="宋体"/>
          <w:sz w:val="24"/>
        </w:rPr>
      </w:pPr>
      <w:r>
        <w:rPr>
          <w:rFonts w:hint="eastAsia" w:ascii="宋体" w:hAnsi="宋体"/>
          <w:sz w:val="24"/>
        </w:rPr>
        <w:t>（5）磋商文件将供应商的资格条件列为评分因素的；</w:t>
      </w:r>
    </w:p>
    <w:p>
      <w:pPr>
        <w:spacing w:line="360" w:lineRule="auto"/>
        <w:ind w:firstLine="470" w:firstLineChars="196"/>
        <w:rPr>
          <w:rFonts w:ascii="宋体" w:hAnsi="宋体"/>
          <w:sz w:val="24"/>
        </w:rPr>
      </w:pPr>
      <w:r>
        <w:rPr>
          <w:rFonts w:hint="eastAsia" w:ascii="宋体" w:hAnsi="宋体"/>
          <w:sz w:val="24"/>
        </w:rPr>
        <w:t>（6）磋商文件载明的成交原则不合法的；</w:t>
      </w:r>
    </w:p>
    <w:p>
      <w:pPr>
        <w:spacing w:line="360" w:lineRule="auto"/>
        <w:ind w:firstLine="470" w:firstLineChars="196"/>
        <w:rPr>
          <w:rFonts w:ascii="宋体" w:hAnsi="宋体"/>
          <w:sz w:val="24"/>
        </w:rPr>
      </w:pPr>
      <w:r>
        <w:rPr>
          <w:rFonts w:hint="eastAsia" w:ascii="宋体" w:hAnsi="宋体"/>
          <w:sz w:val="24"/>
        </w:rPr>
        <w:t>（7）磋商文件有违反国家其他有关强制性规定的情形。</w:t>
      </w:r>
    </w:p>
    <w:p>
      <w:pPr>
        <w:spacing w:line="360" w:lineRule="auto"/>
        <w:ind w:firstLine="470" w:firstLineChars="196"/>
        <w:rPr>
          <w:rFonts w:ascii="宋体" w:hAnsi="宋体"/>
          <w:sz w:val="24"/>
        </w:rPr>
      </w:pPr>
      <w:r>
        <w:rPr>
          <w:rFonts w:hint="eastAsia" w:ascii="宋体" w:hAnsi="宋体"/>
          <w:sz w:val="24"/>
        </w:rPr>
        <w:t>2.1.3 出现本条2.1.2规定应当停止评审情形的，磋商小组应当向采购人书面说明情况。除本条规定的情形外，磋商小组不得以任何方式和理由停止评审。</w:t>
      </w:r>
    </w:p>
    <w:p>
      <w:pPr>
        <w:spacing w:line="360" w:lineRule="auto"/>
        <w:ind w:firstLine="470" w:firstLineChars="196"/>
        <w:rPr>
          <w:rFonts w:ascii="宋体" w:hAnsi="宋体"/>
          <w:sz w:val="24"/>
        </w:rPr>
      </w:pPr>
      <w:r>
        <w:rPr>
          <w:rFonts w:hint="eastAsia" w:ascii="宋体" w:hAnsi="宋体"/>
          <w:sz w:val="24"/>
        </w:rPr>
        <w:t>2.2资格性审查。</w:t>
      </w:r>
    </w:p>
    <w:p>
      <w:pPr>
        <w:spacing w:line="360" w:lineRule="auto"/>
        <w:ind w:firstLine="470" w:firstLineChars="196"/>
        <w:rPr>
          <w:rFonts w:ascii="宋体" w:hAnsi="宋体"/>
          <w:sz w:val="24"/>
        </w:rPr>
      </w:pPr>
      <w:r>
        <w:rPr>
          <w:rFonts w:hint="eastAsia" w:ascii="宋体" w:hAnsi="宋体"/>
          <w:sz w:val="24"/>
        </w:rPr>
        <w:t>2.2.1本项目需要磋商小组进行资格性检查。</w:t>
      </w:r>
    </w:p>
    <w:p>
      <w:pPr>
        <w:spacing w:line="360" w:lineRule="auto"/>
        <w:ind w:firstLine="470" w:firstLineChars="196"/>
        <w:rPr>
          <w:rFonts w:ascii="宋体" w:hAnsi="宋体"/>
          <w:sz w:val="24"/>
        </w:rPr>
      </w:pPr>
      <w:r>
        <w:rPr>
          <w:rFonts w:hint="eastAsia" w:ascii="宋体" w:hAnsi="宋体"/>
          <w:sz w:val="24"/>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0" w:firstLineChars="196"/>
        <w:rPr>
          <w:rFonts w:ascii="宋体" w:hAnsi="宋体"/>
          <w:sz w:val="24"/>
        </w:rPr>
      </w:pPr>
      <w:r>
        <w:rPr>
          <w:rFonts w:hint="eastAsia" w:ascii="宋体" w:hAnsi="宋体"/>
          <w:sz w:val="24"/>
        </w:rPr>
        <w:t>2.2.2资格性审查结束后，磋商小组应当出具资格性审查报告，没有通过资格审查的供应商，磋商小组应当在资格审查报告中说明原因。</w:t>
      </w:r>
    </w:p>
    <w:p>
      <w:pPr>
        <w:spacing w:line="360" w:lineRule="auto"/>
        <w:ind w:firstLine="470" w:firstLineChars="196"/>
        <w:rPr>
          <w:rFonts w:ascii="宋体" w:hAnsi="宋体"/>
          <w:sz w:val="24"/>
        </w:rPr>
      </w:pPr>
      <w:r>
        <w:rPr>
          <w:rFonts w:hint="eastAsia" w:ascii="宋体" w:hAnsi="宋体"/>
          <w:sz w:val="24"/>
        </w:rPr>
        <w:t>2.2.3磋商小组应依据磋商文件规定的实质性要求，对符合资格的响应文件进行有效性、完整性和响应程度审查，以确定参加磋商的供应商名单。</w:t>
      </w:r>
    </w:p>
    <w:p>
      <w:pPr>
        <w:spacing w:line="360" w:lineRule="auto"/>
        <w:ind w:firstLine="470" w:firstLineChars="196"/>
        <w:rPr>
          <w:rFonts w:ascii="宋体" w:hAnsi="宋体"/>
          <w:sz w:val="24"/>
        </w:rPr>
      </w:pPr>
      <w:r>
        <w:rPr>
          <w:rFonts w:hint="eastAsia" w:ascii="宋体" w:hAnsi="宋体"/>
          <w:sz w:val="24"/>
        </w:rPr>
        <w:t>2.2.4采购人或者采购代理机构宣布未通过资格性审查的供应商名单时，应当告知供应商未通过审查的原因。</w:t>
      </w:r>
    </w:p>
    <w:p>
      <w:pPr>
        <w:spacing w:line="360" w:lineRule="auto"/>
        <w:ind w:firstLine="470" w:firstLineChars="196"/>
        <w:rPr>
          <w:rFonts w:ascii="宋体" w:hAnsi="宋体"/>
          <w:sz w:val="24"/>
        </w:rPr>
      </w:pPr>
      <w:r>
        <w:rPr>
          <w:rFonts w:hint="eastAsia" w:ascii="宋体" w:hAnsi="宋体"/>
          <w:sz w:val="24"/>
        </w:rPr>
        <w:t>2.3 通过资格性审查的供应商不足3家的（本章2.3.1的情况除外），终止本次采购活动，并发布终止采购活动公告。</w:t>
      </w:r>
    </w:p>
    <w:p>
      <w:pPr>
        <w:spacing w:line="360" w:lineRule="auto"/>
        <w:ind w:firstLine="470" w:firstLineChars="196"/>
        <w:rPr>
          <w:rFonts w:ascii="宋体" w:hAnsi="宋体"/>
          <w:sz w:val="24"/>
        </w:rPr>
      </w:pPr>
      <w:r>
        <w:rPr>
          <w:rFonts w:hint="eastAsia" w:ascii="宋体" w:hAnsi="宋体"/>
          <w:sz w:val="24"/>
        </w:rPr>
        <w:t>2.3.1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p>
    <w:p>
      <w:pPr>
        <w:spacing w:line="360" w:lineRule="auto"/>
        <w:ind w:firstLine="470" w:firstLineChars="196"/>
        <w:rPr>
          <w:rFonts w:ascii="宋体" w:hAnsi="宋体"/>
          <w:sz w:val="24"/>
        </w:rPr>
      </w:pPr>
      <w:r>
        <w:rPr>
          <w:rFonts w:hint="eastAsia" w:ascii="宋体" w:hAnsi="宋体"/>
          <w:sz w:val="24"/>
        </w:rPr>
        <w:t>2.4磋商。</w:t>
      </w:r>
    </w:p>
    <w:p>
      <w:pPr>
        <w:spacing w:line="360" w:lineRule="auto"/>
        <w:ind w:firstLine="470" w:firstLineChars="196"/>
        <w:rPr>
          <w:rFonts w:ascii="宋体" w:hAnsi="宋体"/>
          <w:sz w:val="24"/>
        </w:rPr>
      </w:pPr>
      <w:r>
        <w:rPr>
          <w:rFonts w:hint="eastAsia" w:ascii="宋体" w:hAnsi="宋体"/>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0" w:firstLineChars="196"/>
        <w:rPr>
          <w:rFonts w:ascii="宋体" w:hAnsi="宋体"/>
          <w:sz w:val="24"/>
        </w:rPr>
      </w:pPr>
      <w:r>
        <w:rPr>
          <w:rFonts w:hint="eastAsia" w:ascii="宋体" w:hAnsi="宋体"/>
          <w:sz w:val="24"/>
        </w:rPr>
        <w:t>2.4.2每轮磋商开始前，磋商小组应根据磋商文件的规定，并结合各供应商的响应文件拟定磋商内容。</w:t>
      </w:r>
    </w:p>
    <w:p>
      <w:pPr>
        <w:spacing w:line="360" w:lineRule="auto"/>
        <w:ind w:firstLine="470" w:firstLineChars="196"/>
        <w:rPr>
          <w:rFonts w:ascii="宋体" w:hAnsi="宋体"/>
          <w:sz w:val="24"/>
        </w:rPr>
      </w:pPr>
      <w:r>
        <w:rPr>
          <w:rFonts w:hint="eastAsia" w:ascii="宋体" w:hAnsi="宋体"/>
          <w:sz w:val="24"/>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0" w:firstLineChars="196"/>
        <w:rPr>
          <w:rFonts w:ascii="宋体" w:hAnsi="宋体"/>
          <w:sz w:val="24"/>
        </w:rPr>
      </w:pPr>
      <w:r>
        <w:rPr>
          <w:rFonts w:hint="eastAsia" w:ascii="宋体" w:hAnsi="宋体"/>
          <w:sz w:val="24"/>
        </w:rPr>
        <w:t>2.4.4对磋商文件作出的实质性变动是磋商文件的有效组成部分，磋商小组应当及时以书面形式同时通知所有参加磋商的供应商。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sz w:val="24"/>
        </w:rPr>
      </w:pPr>
      <w:r>
        <w:rPr>
          <w:rFonts w:hint="eastAsia" w:ascii="宋体" w:hAnsi="宋体"/>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0" w:firstLineChars="196"/>
        <w:rPr>
          <w:rFonts w:ascii="宋体" w:hAnsi="宋体"/>
          <w:sz w:val="24"/>
        </w:rPr>
      </w:pPr>
      <w:r>
        <w:rPr>
          <w:rFonts w:hint="eastAsia" w:ascii="宋体" w:hAnsi="宋体"/>
          <w:sz w:val="24"/>
        </w:rPr>
        <w:t>2.4.6磋商过程中，磋商的任何一方不得透露与磋商有关的其他供应商的技术资料、价格和其他信息。</w:t>
      </w:r>
    </w:p>
    <w:p>
      <w:pPr>
        <w:spacing w:line="360" w:lineRule="auto"/>
        <w:ind w:firstLine="470" w:firstLineChars="196"/>
        <w:rPr>
          <w:rFonts w:ascii="宋体" w:hAnsi="宋体"/>
          <w:sz w:val="24"/>
        </w:rPr>
      </w:pPr>
      <w:r>
        <w:rPr>
          <w:rFonts w:hint="eastAsia" w:ascii="宋体" w:hAnsi="宋体"/>
          <w:sz w:val="24"/>
        </w:rPr>
        <w:t>2.4.7磋商过程中，磋商小组发现或者知晓供应商存在违法、违纪行为的，磋商小组应当将该供应商响应文件作无效处理，不允许其提交最后报价。</w:t>
      </w:r>
    </w:p>
    <w:p>
      <w:pPr>
        <w:spacing w:line="360" w:lineRule="auto"/>
        <w:ind w:firstLine="470" w:firstLineChars="196"/>
        <w:rPr>
          <w:rFonts w:ascii="宋体" w:hAnsi="宋体"/>
          <w:sz w:val="24"/>
        </w:rPr>
      </w:pPr>
      <w:r>
        <w:rPr>
          <w:rFonts w:hint="eastAsia" w:ascii="宋体" w:hAnsi="宋体"/>
          <w:sz w:val="24"/>
        </w:rPr>
        <w:t xml:space="preserve">2.4.8磋商完成后，磋商小组应出具磋商情况记录表，磋商情况记录表需包含磋商内容、磋商意见、实质性变动内容等。   </w:t>
      </w:r>
    </w:p>
    <w:p>
      <w:pPr>
        <w:spacing w:line="360" w:lineRule="auto"/>
        <w:ind w:firstLine="470" w:firstLineChars="196"/>
        <w:rPr>
          <w:rFonts w:ascii="宋体" w:hAnsi="宋体"/>
          <w:sz w:val="24"/>
        </w:rPr>
      </w:pPr>
      <w:r>
        <w:rPr>
          <w:rFonts w:hint="eastAsia" w:ascii="宋体" w:hAnsi="宋体"/>
          <w:sz w:val="24"/>
        </w:rPr>
        <w:t>2.5最后报价。</w:t>
      </w:r>
    </w:p>
    <w:p>
      <w:pPr>
        <w:spacing w:line="360" w:lineRule="auto"/>
        <w:ind w:firstLine="470" w:firstLineChars="196"/>
        <w:rPr>
          <w:rFonts w:ascii="宋体" w:hAnsi="宋体"/>
          <w:sz w:val="24"/>
        </w:rPr>
      </w:pPr>
      <w:r>
        <w:rPr>
          <w:rFonts w:hint="eastAsia" w:ascii="宋体" w:hAnsi="宋体"/>
          <w:sz w:val="24"/>
        </w:rPr>
        <w:t>2.5.1除首次响应文件中的报价以外，供应商报价采用现场报价（除现场报价以响应文件报价为准的情形之外，以现场报价为准），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70" w:firstLineChars="196"/>
        <w:rPr>
          <w:rFonts w:ascii="宋体" w:hAnsi="宋体"/>
          <w:sz w:val="24"/>
        </w:rPr>
      </w:pPr>
      <w:r>
        <w:rPr>
          <w:rFonts w:hint="eastAsia" w:ascii="宋体" w:hAnsi="宋体"/>
          <w:sz w:val="24"/>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pPr>
        <w:spacing w:line="360" w:lineRule="auto"/>
        <w:ind w:firstLine="470" w:firstLineChars="196"/>
        <w:rPr>
          <w:rFonts w:ascii="宋体" w:hAnsi="宋体"/>
          <w:sz w:val="24"/>
        </w:rPr>
      </w:pPr>
      <w:r>
        <w:rPr>
          <w:rFonts w:hint="eastAsia" w:ascii="宋体" w:hAnsi="宋体"/>
          <w:sz w:val="24"/>
        </w:rPr>
        <w:t>2.5.3符合</w:t>
      </w:r>
      <w:bookmarkStart w:id="216" w:name="_Toc30986"/>
      <w:r>
        <w:rPr>
          <w:rFonts w:hint="eastAsia" w:ascii="宋体" w:hAnsi="宋体"/>
          <w:sz w:val="24"/>
        </w:rPr>
        <w:t>《政府采购竞争性磋商采购方式管理暂行办法财库》〔2014〕214号</w:t>
      </w:r>
      <w:bookmarkEnd w:id="216"/>
      <w:r>
        <w:rPr>
          <w:rFonts w:hint="eastAsia" w:ascii="宋体" w:hAnsi="宋体"/>
          <w:sz w:val="24"/>
        </w:rPr>
        <w:t>第三条第四项情形的，提交最后报价的供应商可以为2家。</w:t>
      </w:r>
    </w:p>
    <w:p>
      <w:pPr>
        <w:spacing w:line="360" w:lineRule="auto"/>
        <w:ind w:firstLine="480" w:firstLineChars="200"/>
        <w:rPr>
          <w:rFonts w:ascii="宋体" w:hAnsi="宋体"/>
          <w:sz w:val="24"/>
        </w:rPr>
      </w:pPr>
      <w:r>
        <w:rPr>
          <w:rFonts w:hint="eastAsia" w:ascii="宋体" w:hAnsi="宋体"/>
          <w:sz w:val="24"/>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70" w:firstLineChars="196"/>
        <w:rPr>
          <w:rFonts w:ascii="宋体" w:hAnsi="宋体"/>
          <w:sz w:val="24"/>
        </w:rPr>
      </w:pPr>
      <w:r>
        <w:rPr>
          <w:rFonts w:hint="eastAsia" w:ascii="宋体" w:hAnsi="宋体"/>
          <w:sz w:val="24"/>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470" w:firstLineChars="196"/>
        <w:rPr>
          <w:rFonts w:ascii="宋体" w:hAnsi="宋体"/>
          <w:sz w:val="24"/>
        </w:rPr>
      </w:pPr>
      <w:r>
        <w:rPr>
          <w:rFonts w:hint="eastAsia" w:ascii="宋体" w:hAnsi="宋体"/>
          <w:sz w:val="24"/>
        </w:rPr>
        <w:t>2.5.6报价如果出现下列不一致的，可按以下原则进行修改：</w:t>
      </w:r>
    </w:p>
    <w:p>
      <w:pPr>
        <w:spacing w:line="360" w:lineRule="auto"/>
        <w:ind w:firstLine="480" w:firstLineChars="200"/>
        <w:rPr>
          <w:rFonts w:ascii="宋体" w:hAnsi="宋体"/>
          <w:sz w:val="24"/>
        </w:rPr>
      </w:pPr>
      <w:r>
        <w:rPr>
          <w:rFonts w:hint="eastAsia" w:ascii="宋体" w:hAnsi="宋体"/>
          <w:sz w:val="24"/>
        </w:rPr>
        <w:t>（1）大写金额和小写金额不一致的，以大写金额为准，但大写金额文字存在错误的，应当先对大写金额的文字错误进行澄清、说明或者更正，再行修正。</w:t>
      </w:r>
    </w:p>
    <w:p>
      <w:pPr>
        <w:spacing w:line="360" w:lineRule="auto"/>
        <w:ind w:firstLine="470" w:firstLineChars="196"/>
        <w:rPr>
          <w:rFonts w:ascii="宋体" w:hAnsi="宋体"/>
          <w:sz w:val="24"/>
        </w:rPr>
      </w:pPr>
      <w:r>
        <w:rPr>
          <w:rFonts w:hint="eastAsia" w:ascii="宋体" w:hAnsi="宋体"/>
          <w:sz w:val="24"/>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70" w:firstLineChars="196"/>
        <w:rPr>
          <w:rFonts w:ascii="宋体" w:hAnsi="宋体"/>
          <w:sz w:val="24"/>
        </w:rPr>
      </w:pPr>
      <w:r>
        <w:rPr>
          <w:rFonts w:hint="eastAsia" w:ascii="宋体" w:hAnsi="宋体"/>
          <w:sz w:val="24"/>
        </w:rPr>
        <w:t>（3）单价金额小数点或者百分比有明显错位的，以总价为准，修正单价。</w:t>
      </w:r>
    </w:p>
    <w:p>
      <w:pPr>
        <w:spacing w:line="360" w:lineRule="auto"/>
        <w:ind w:firstLine="470" w:firstLineChars="196"/>
        <w:rPr>
          <w:rFonts w:ascii="宋体" w:hAnsi="宋体"/>
          <w:sz w:val="24"/>
        </w:rPr>
      </w:pPr>
      <w:r>
        <w:rPr>
          <w:rFonts w:hint="eastAsia" w:ascii="宋体" w:hAnsi="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70" w:firstLineChars="196"/>
        <w:rPr>
          <w:rFonts w:ascii="宋体" w:hAnsi="宋体"/>
          <w:sz w:val="24"/>
        </w:rPr>
      </w:pPr>
      <w:r>
        <w:rPr>
          <w:rFonts w:hint="eastAsia" w:ascii="宋体" w:hAnsi="宋体"/>
          <w:sz w:val="24"/>
        </w:rPr>
        <w:t>不得未经澄清、说明或者更正，直接将供应商响应文件作为无效处理。对不同文字文本响应文件的解释发生异议的，以中文文本为准。</w:t>
      </w:r>
    </w:p>
    <w:p>
      <w:pPr>
        <w:spacing w:line="360" w:lineRule="auto"/>
        <w:ind w:firstLine="470" w:firstLineChars="196"/>
        <w:rPr>
          <w:rFonts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spacing w:line="360" w:lineRule="auto"/>
        <w:ind w:firstLine="470" w:firstLineChars="196"/>
        <w:rPr>
          <w:rFonts w:ascii="宋体" w:hAnsi="宋体" w:cs="宋体"/>
          <w:sz w:val="24"/>
        </w:rPr>
      </w:pPr>
      <w:r>
        <w:rPr>
          <w:rFonts w:hint="eastAsia" w:ascii="宋体" w:hAnsi="宋体" w:cs="宋体"/>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w:t>
      </w:r>
    </w:p>
    <w:p>
      <w:pPr>
        <w:spacing w:line="360" w:lineRule="auto"/>
        <w:ind w:firstLine="470" w:firstLineChars="196"/>
        <w:rPr>
          <w:rFonts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70" w:firstLineChars="196"/>
        <w:rPr>
          <w:rFonts w:ascii="宋体" w:hAnsi="宋体"/>
          <w:sz w:val="24"/>
        </w:rPr>
      </w:pPr>
      <w:r>
        <w:rPr>
          <w:rFonts w:hint="eastAsia" w:ascii="宋体" w:hAnsi="宋体"/>
          <w:sz w:val="24"/>
        </w:rPr>
        <w:t>2.9采购组织单位现场复核评审结果。</w:t>
      </w:r>
    </w:p>
    <w:p>
      <w:pPr>
        <w:spacing w:line="360" w:lineRule="auto"/>
        <w:ind w:firstLine="470" w:firstLineChars="196"/>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70" w:firstLineChars="196"/>
        <w:rPr>
          <w:rFonts w:ascii="宋体" w:hAnsi="宋体"/>
          <w:sz w:val="24"/>
        </w:rPr>
      </w:pPr>
      <w:r>
        <w:rPr>
          <w:rFonts w:hint="eastAsia" w:ascii="宋体" w:hAnsi="宋体"/>
          <w:sz w:val="24"/>
        </w:rPr>
        <w:t>（1）资格性审查认定错误的；</w:t>
      </w:r>
    </w:p>
    <w:p>
      <w:pPr>
        <w:spacing w:line="360" w:lineRule="auto"/>
        <w:ind w:firstLine="470" w:firstLineChars="196"/>
        <w:rPr>
          <w:rFonts w:ascii="宋体" w:hAnsi="宋体"/>
          <w:sz w:val="24"/>
        </w:rPr>
      </w:pPr>
      <w:r>
        <w:rPr>
          <w:rFonts w:hint="eastAsia" w:ascii="宋体" w:hAnsi="宋体"/>
          <w:sz w:val="24"/>
        </w:rPr>
        <w:t>（2）分值汇总计算错误的；</w:t>
      </w:r>
    </w:p>
    <w:p>
      <w:pPr>
        <w:spacing w:line="360" w:lineRule="auto"/>
        <w:ind w:firstLine="470" w:firstLineChars="196"/>
        <w:rPr>
          <w:rFonts w:ascii="宋体" w:hAnsi="宋体"/>
          <w:sz w:val="24"/>
        </w:rPr>
      </w:pPr>
      <w:r>
        <w:rPr>
          <w:rFonts w:hint="eastAsia" w:ascii="宋体" w:hAnsi="宋体"/>
          <w:sz w:val="24"/>
        </w:rPr>
        <w:t>（3）分项评分超出评分标准范围的；</w:t>
      </w:r>
    </w:p>
    <w:p>
      <w:pPr>
        <w:spacing w:line="360" w:lineRule="auto"/>
        <w:ind w:firstLine="470" w:firstLineChars="196"/>
        <w:rPr>
          <w:rFonts w:ascii="宋体" w:hAnsi="宋体"/>
          <w:sz w:val="24"/>
        </w:rPr>
      </w:pPr>
      <w:r>
        <w:rPr>
          <w:rFonts w:hint="eastAsia" w:ascii="宋体" w:hAnsi="宋体"/>
          <w:sz w:val="24"/>
        </w:rPr>
        <w:t>（4）客观评分不一致的。</w:t>
      </w:r>
    </w:p>
    <w:p>
      <w:pPr>
        <w:spacing w:line="360" w:lineRule="auto"/>
        <w:ind w:firstLine="470" w:firstLineChars="196"/>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w:t>
      </w:r>
      <w:r>
        <w:rPr>
          <w:rFonts w:hint="eastAsia" w:ascii="宋体" w:hAnsi="宋体"/>
          <w:sz w:val="24"/>
          <w:lang w:val="en-US" w:eastAsia="zh-CN"/>
        </w:rPr>
        <w:t>按</w:t>
      </w:r>
      <w:r>
        <w:rPr>
          <w:rFonts w:hint="eastAsia" w:ascii="宋体" w:hAnsi="宋体"/>
          <w:sz w:val="24"/>
        </w:rPr>
        <w:t>照规定程序要求继续组织实施采购活动，不得擅自中止采购活动。采购人/采购代理机构认为磋商小组评审结果不合法的，应当书面报告采购项目同级财政部门。</w:t>
      </w:r>
    </w:p>
    <w:p>
      <w:pPr>
        <w:spacing w:line="360" w:lineRule="auto"/>
        <w:ind w:firstLine="470" w:firstLineChars="196"/>
        <w:rPr>
          <w:rFonts w:ascii="宋体" w:hAnsi="宋体"/>
          <w:sz w:val="24"/>
        </w:rPr>
      </w:pPr>
      <w:r>
        <w:rPr>
          <w:rFonts w:hint="eastAsia" w:ascii="宋体" w:hAnsi="宋体"/>
          <w:sz w:val="24"/>
        </w:rPr>
        <w:t>采购人/采购代理机构复核过程中，磋商小组成员不得离开评审现场。</w:t>
      </w:r>
    </w:p>
    <w:p>
      <w:pPr>
        <w:spacing w:line="360" w:lineRule="auto"/>
        <w:ind w:firstLine="470" w:firstLineChars="196"/>
        <w:rPr>
          <w:rFonts w:ascii="宋体" w:hAnsi="宋体"/>
          <w:sz w:val="24"/>
        </w:rPr>
      </w:pPr>
      <w:r>
        <w:rPr>
          <w:rFonts w:hint="eastAsia" w:ascii="宋体" w:hAnsi="宋体"/>
          <w:sz w:val="24"/>
        </w:rPr>
        <w:t>2.9.2有下列情形之一的，不得现场修改评审结果：</w:t>
      </w:r>
    </w:p>
    <w:p>
      <w:pPr>
        <w:spacing w:line="360" w:lineRule="auto"/>
        <w:ind w:firstLine="470" w:firstLineChars="196"/>
        <w:rPr>
          <w:rFonts w:ascii="宋体" w:hAnsi="宋体"/>
          <w:sz w:val="24"/>
        </w:rPr>
      </w:pPr>
      <w:r>
        <w:rPr>
          <w:rFonts w:hint="eastAsia" w:ascii="宋体" w:hAnsi="宋体"/>
          <w:sz w:val="24"/>
        </w:rPr>
        <w:t>（1）磋商小组已经出具磋商报告并且离开评审现场的；</w:t>
      </w:r>
    </w:p>
    <w:p>
      <w:pPr>
        <w:spacing w:line="360" w:lineRule="auto"/>
        <w:ind w:firstLine="470" w:firstLineChars="196"/>
        <w:rPr>
          <w:rFonts w:ascii="宋体" w:hAnsi="宋体"/>
          <w:sz w:val="24"/>
        </w:rPr>
      </w:pPr>
      <w:r>
        <w:rPr>
          <w:rFonts w:hint="eastAsia" w:ascii="宋体" w:hAnsi="宋体"/>
          <w:sz w:val="24"/>
        </w:rPr>
        <w:t>（2）采购人/采购代理机构现场复核时，复核工作人员数量不足的；</w:t>
      </w:r>
    </w:p>
    <w:p>
      <w:pPr>
        <w:spacing w:line="360" w:lineRule="auto"/>
        <w:ind w:firstLine="470" w:firstLineChars="196"/>
        <w:rPr>
          <w:rFonts w:ascii="宋体" w:hAnsi="宋体"/>
          <w:sz w:val="24"/>
        </w:rPr>
      </w:pPr>
      <w:r>
        <w:rPr>
          <w:rFonts w:hint="eastAsia" w:ascii="宋体" w:hAnsi="宋体"/>
          <w:sz w:val="24"/>
        </w:rPr>
        <w:t>（3）采购人/采购代理机构现场复核时，没有采购监督人员现场监督的；</w:t>
      </w:r>
    </w:p>
    <w:p>
      <w:pPr>
        <w:spacing w:line="360" w:lineRule="auto"/>
        <w:ind w:firstLine="470" w:firstLineChars="196"/>
        <w:rPr>
          <w:rFonts w:ascii="宋体" w:hAnsi="宋体"/>
          <w:sz w:val="24"/>
        </w:rPr>
      </w:pPr>
      <w:r>
        <w:rPr>
          <w:rFonts w:hint="eastAsia" w:ascii="宋体" w:hAnsi="宋体"/>
          <w:sz w:val="24"/>
        </w:rPr>
        <w:t>（4）采购人/采购代理机构现场复核内容超出规定范围的；</w:t>
      </w:r>
    </w:p>
    <w:p>
      <w:pPr>
        <w:spacing w:line="360" w:lineRule="auto"/>
        <w:ind w:firstLine="470" w:firstLineChars="196"/>
        <w:rPr>
          <w:rFonts w:ascii="宋体" w:hAnsi="宋体"/>
          <w:sz w:val="24"/>
        </w:rPr>
      </w:pPr>
      <w:r>
        <w:rPr>
          <w:rFonts w:hint="eastAsia" w:ascii="宋体" w:hAnsi="宋体"/>
          <w:sz w:val="24"/>
        </w:rPr>
        <w:t>（5）采购人/采购代理机构未提供书面建议的。</w:t>
      </w:r>
    </w:p>
    <w:p>
      <w:pPr>
        <w:spacing w:line="360" w:lineRule="auto"/>
        <w:ind w:firstLine="470" w:firstLineChars="196"/>
        <w:rPr>
          <w:rFonts w:ascii="宋体" w:hAnsi="宋体"/>
          <w:sz w:val="24"/>
        </w:rPr>
      </w:pPr>
      <w:r>
        <w:rPr>
          <w:rFonts w:hint="eastAsia" w:ascii="宋体" w:hAnsi="宋体"/>
          <w:sz w:val="24"/>
        </w:rPr>
        <w:t>2.10编写磋商报告。磋商小组推荐成交候选供应商后，应向采购人/采购代理机构出具磋商报告。磋商报告应当包括以下主要内容：</w:t>
      </w:r>
    </w:p>
    <w:p>
      <w:pPr>
        <w:spacing w:line="360" w:lineRule="auto"/>
        <w:ind w:firstLine="470" w:firstLineChars="196"/>
        <w:rPr>
          <w:rFonts w:ascii="宋体" w:hAnsi="宋体"/>
          <w:sz w:val="24"/>
        </w:rPr>
      </w:pPr>
      <w:r>
        <w:rPr>
          <w:rFonts w:hint="eastAsia" w:ascii="宋体" w:hAnsi="宋体"/>
          <w:sz w:val="24"/>
        </w:rPr>
        <w:t>（1）邀请供应商参加采购活动的具体方式和相关情况；</w:t>
      </w:r>
    </w:p>
    <w:p>
      <w:pPr>
        <w:spacing w:line="360" w:lineRule="auto"/>
        <w:ind w:firstLine="470" w:firstLineChars="196"/>
        <w:rPr>
          <w:rFonts w:ascii="宋体" w:hAnsi="宋体"/>
          <w:sz w:val="24"/>
        </w:rPr>
      </w:pPr>
      <w:r>
        <w:rPr>
          <w:rFonts w:hint="eastAsia" w:ascii="宋体" w:hAnsi="宋体"/>
          <w:sz w:val="24"/>
        </w:rPr>
        <w:t>（2）响应文件开启日期和地点；</w:t>
      </w:r>
    </w:p>
    <w:p>
      <w:pPr>
        <w:spacing w:line="360" w:lineRule="auto"/>
        <w:ind w:firstLine="470" w:firstLineChars="196"/>
        <w:rPr>
          <w:rFonts w:ascii="宋体" w:hAnsi="宋体"/>
          <w:sz w:val="24"/>
        </w:rPr>
      </w:pPr>
      <w:r>
        <w:rPr>
          <w:rFonts w:hint="eastAsia" w:ascii="宋体" w:hAnsi="宋体"/>
          <w:sz w:val="24"/>
        </w:rPr>
        <w:t>（3）获取磋商文件的供应商名单和磋商小组成员名单；</w:t>
      </w:r>
    </w:p>
    <w:p>
      <w:pPr>
        <w:spacing w:line="360" w:lineRule="auto"/>
        <w:ind w:firstLine="470" w:firstLineChars="196"/>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360" w:lineRule="auto"/>
        <w:ind w:firstLine="470" w:firstLineChars="196"/>
        <w:rPr>
          <w:rFonts w:ascii="宋体" w:hAnsi="宋体"/>
          <w:sz w:val="24"/>
        </w:rPr>
      </w:pPr>
      <w:r>
        <w:rPr>
          <w:rFonts w:hint="eastAsia" w:ascii="宋体" w:hAnsi="宋体"/>
          <w:sz w:val="24"/>
        </w:rPr>
        <w:t>（5）提出的成交候选供应商的排序名单及理由。</w:t>
      </w:r>
    </w:p>
    <w:p>
      <w:pPr>
        <w:spacing w:line="360" w:lineRule="auto"/>
        <w:ind w:firstLine="470" w:firstLineChars="196"/>
        <w:rPr>
          <w:rFonts w:ascii="宋体" w:hAnsi="宋体"/>
          <w:sz w:val="24"/>
        </w:rPr>
      </w:pPr>
      <w:r>
        <w:rPr>
          <w:rFonts w:hint="eastAsia" w:ascii="宋体"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70" w:firstLineChars="196"/>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70" w:firstLineChars="196"/>
        <w:rPr>
          <w:rFonts w:ascii="宋体" w:hAnsi="宋体"/>
          <w:sz w:val="24"/>
        </w:rPr>
      </w:pPr>
      <w:r>
        <w:rPr>
          <w:rFonts w:hint="eastAsia" w:ascii="宋体" w:hAnsi="宋体"/>
          <w:sz w:val="24"/>
        </w:rPr>
        <w:t>2.12供应商澄清、说明</w:t>
      </w:r>
    </w:p>
    <w:p>
      <w:pPr>
        <w:spacing w:line="360" w:lineRule="auto"/>
        <w:ind w:firstLine="470" w:firstLineChars="196"/>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70" w:firstLineChars="196"/>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70" w:firstLineChars="196"/>
        <w:rPr>
          <w:rFonts w:ascii="宋体" w:hAnsi="宋体"/>
          <w:sz w:val="24"/>
        </w:rPr>
      </w:pPr>
      <w:r>
        <w:rPr>
          <w:rFonts w:hint="eastAsia" w:ascii="宋体" w:hAnsi="宋体"/>
          <w:sz w:val="24"/>
        </w:rPr>
        <w:t>2.13终止磋商采购活动。</w:t>
      </w:r>
    </w:p>
    <w:p>
      <w:pPr>
        <w:spacing w:line="360" w:lineRule="auto"/>
        <w:ind w:firstLine="470" w:firstLineChars="196"/>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360" w:lineRule="auto"/>
        <w:ind w:firstLine="470" w:firstLineChars="196"/>
        <w:rPr>
          <w:rFonts w:ascii="宋体" w:hAnsi="宋体"/>
          <w:sz w:val="24"/>
        </w:rPr>
      </w:pPr>
      <w:r>
        <w:rPr>
          <w:rFonts w:hint="eastAsia" w:ascii="宋体" w:hAnsi="宋体"/>
          <w:sz w:val="24"/>
        </w:rPr>
        <w:t>（1）因情况变化，不再符合规定的竞争性磋商采购方式适用情形的；</w:t>
      </w:r>
    </w:p>
    <w:p>
      <w:pPr>
        <w:spacing w:line="360" w:lineRule="auto"/>
        <w:ind w:firstLine="470" w:firstLineChars="196"/>
        <w:rPr>
          <w:rFonts w:ascii="宋体" w:hAnsi="宋体"/>
          <w:sz w:val="24"/>
        </w:rPr>
      </w:pPr>
      <w:r>
        <w:rPr>
          <w:rFonts w:hint="eastAsia" w:ascii="宋体" w:hAnsi="宋体"/>
          <w:sz w:val="24"/>
        </w:rPr>
        <w:t>（2）出现影响采购公正的违法、违规行为的；</w:t>
      </w:r>
    </w:p>
    <w:p>
      <w:pPr>
        <w:spacing w:line="360" w:lineRule="auto"/>
        <w:ind w:firstLine="470" w:firstLineChars="196"/>
        <w:rPr>
          <w:rFonts w:ascii="宋体" w:hAnsi="宋体"/>
          <w:szCs w:val="21"/>
        </w:rPr>
      </w:pPr>
      <w:r>
        <w:rPr>
          <w:rFonts w:hint="eastAsia" w:ascii="宋体" w:hAnsi="宋体"/>
          <w:sz w:val="24"/>
        </w:rPr>
        <w:t>（3）除本章2.3.1和2.5.3的情况外，在采购过程中符合要求的供应商或者报价未超过采购预算的供应商不足3家的。</w:t>
      </w:r>
    </w:p>
    <w:p>
      <w:pPr>
        <w:spacing w:line="360" w:lineRule="auto"/>
        <w:rPr>
          <w:rFonts w:ascii="宋体" w:hAnsi="宋体" w:cs="宋体"/>
          <w:szCs w:val="21"/>
        </w:rPr>
      </w:pPr>
    </w:p>
    <w:p>
      <w:pPr>
        <w:pStyle w:val="4"/>
        <w:keepNext w:val="0"/>
        <w:keepLines w:val="0"/>
        <w:spacing w:before="0" w:after="0" w:line="360" w:lineRule="auto"/>
        <w:ind w:firstLine="472" w:firstLineChars="196"/>
        <w:rPr>
          <w:rFonts w:ascii="宋体" w:hAnsi="宋体" w:eastAsia="宋体"/>
          <w:sz w:val="24"/>
          <w:szCs w:val="24"/>
        </w:rPr>
      </w:pPr>
      <w:bookmarkStart w:id="217" w:name="_Toc7215_WPSOffice_Level2"/>
      <w:bookmarkStart w:id="218" w:name="_Toc5686_WPSOffice_Level2"/>
      <w:r>
        <w:rPr>
          <w:rFonts w:hint="eastAsia" w:ascii="宋体" w:hAnsi="宋体" w:eastAsia="宋体"/>
          <w:sz w:val="24"/>
          <w:szCs w:val="24"/>
        </w:rPr>
        <w:t>3.综合评分</w:t>
      </w:r>
      <w:bookmarkEnd w:id="217"/>
      <w:bookmarkEnd w:id="218"/>
    </w:p>
    <w:p>
      <w:pPr>
        <w:spacing w:line="360" w:lineRule="auto"/>
        <w:ind w:firstLine="470" w:firstLineChars="196"/>
        <w:rPr>
          <w:sz w:val="24"/>
        </w:rPr>
      </w:pPr>
      <w:r>
        <w:rPr>
          <w:rFonts w:hint="eastAsia" w:ascii="宋体"/>
          <w:sz w:val="24"/>
        </w:rPr>
        <w:t>3.1</w:t>
      </w:r>
      <w:r>
        <w:rPr>
          <w:rFonts w:hint="eastAsia"/>
          <w:sz w:val="24"/>
        </w:rPr>
        <w:t>本次综合评分的因素是：价格</w:t>
      </w:r>
      <w:r>
        <w:rPr>
          <w:rFonts w:hint="eastAsia"/>
          <w:szCs w:val="21"/>
        </w:rPr>
        <w:t>、</w:t>
      </w:r>
      <w:r>
        <w:rPr>
          <w:rFonts w:hint="eastAsia"/>
          <w:sz w:val="24"/>
        </w:rPr>
        <w:t>商务、技术等。</w:t>
      </w:r>
    </w:p>
    <w:p>
      <w:pPr>
        <w:spacing w:line="360" w:lineRule="auto"/>
        <w:ind w:firstLine="470" w:firstLineChars="196"/>
        <w:rPr>
          <w:rFonts w:ascii="宋体"/>
          <w:sz w:val="24"/>
        </w:rPr>
      </w:pPr>
      <w:r>
        <w:rPr>
          <w:rFonts w:hint="eastAsia" w:ascii="宋体"/>
          <w:sz w:val="24"/>
        </w:rPr>
        <w:t>3.2</w:t>
      </w:r>
      <w:r>
        <w:rPr>
          <w:rFonts w:hint="eastAsia"/>
          <w:sz w:val="24"/>
        </w:rPr>
        <w:t xml:space="preserve"> 除价格因素外</w:t>
      </w:r>
      <w:r>
        <w:rPr>
          <w:rFonts w:hint="eastAsia" w:ascii="宋体"/>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70" w:firstLineChars="196"/>
        <w:rPr>
          <w:rFonts w:ascii="宋体"/>
          <w:sz w:val="24"/>
        </w:rPr>
      </w:pPr>
      <w:r>
        <w:rPr>
          <w:rFonts w:hint="eastAsia" w:ascii="宋体"/>
          <w:sz w:val="24"/>
        </w:rPr>
        <w:t>3.3综合评分明细表</w:t>
      </w:r>
    </w:p>
    <w:p>
      <w:pPr>
        <w:pStyle w:val="10"/>
        <w:tabs>
          <w:tab w:val="left" w:pos="600"/>
        </w:tabs>
        <w:spacing w:line="360" w:lineRule="auto"/>
        <w:ind w:firstLine="0"/>
        <w:rPr>
          <w:rFonts w:ascii="宋体"/>
          <w:sz w:val="24"/>
          <w:szCs w:val="24"/>
        </w:rPr>
      </w:pPr>
      <w:r>
        <w:rPr>
          <w:rFonts w:hint="eastAsia" w:ascii="宋体"/>
          <w:sz w:val="24"/>
          <w:szCs w:val="24"/>
        </w:rPr>
        <w:t>3.3.1综合评分明细表的制定以科学合理、降低评委会自由裁量权为原则。</w:t>
      </w:r>
    </w:p>
    <w:p>
      <w:pPr>
        <w:spacing w:line="360" w:lineRule="auto"/>
        <w:rPr>
          <w:b/>
        </w:rPr>
      </w:pPr>
      <w:r>
        <w:rPr>
          <w:rFonts w:hint="eastAsia" w:ascii="宋体" w:hAnsi="宋体"/>
          <w:b/>
          <w:sz w:val="24"/>
        </w:rPr>
        <w:t>3.3.2综合评分明细表：</w:t>
      </w:r>
      <w:r>
        <w:rPr>
          <w:rFonts w:hint="eastAsia"/>
          <w:b/>
        </w:rPr>
        <w:t xml:space="preserve"> </w:t>
      </w:r>
    </w:p>
    <w:tbl>
      <w:tblPr>
        <w:tblStyle w:val="28"/>
        <w:tblpPr w:leftFromText="180" w:rightFromText="180" w:vertAnchor="text" w:horzAnchor="page" w:tblpX="1472" w:tblpY="285"/>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26"/>
        <w:gridCol w:w="777"/>
        <w:gridCol w:w="551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ind w:firstLine="28"/>
              <w:jc w:val="center"/>
              <w:rPr>
                <w:rFonts w:ascii="宋体" w:hAnsi="宋体" w:cs="宋体"/>
                <w:sz w:val="21"/>
                <w:szCs w:val="21"/>
              </w:rPr>
            </w:pPr>
            <w:r>
              <w:rPr>
                <w:rFonts w:hint="eastAsia" w:ascii="宋体" w:hAnsi="宋体" w:cs="宋体"/>
                <w:sz w:val="21"/>
                <w:szCs w:val="21"/>
              </w:rPr>
              <w:t>序号</w:t>
            </w:r>
          </w:p>
        </w:tc>
        <w:tc>
          <w:tcPr>
            <w:tcW w:w="1226" w:type="dxa"/>
            <w:vAlign w:val="center"/>
          </w:tcPr>
          <w:p>
            <w:pPr>
              <w:spacing w:line="240" w:lineRule="auto"/>
              <w:jc w:val="center"/>
              <w:rPr>
                <w:rFonts w:ascii="宋体" w:hAnsi="宋体" w:cs="宋体"/>
                <w:sz w:val="21"/>
                <w:szCs w:val="21"/>
              </w:rPr>
            </w:pPr>
            <w:r>
              <w:rPr>
                <w:rFonts w:hint="eastAsia" w:ascii="宋体" w:hAnsi="宋体" w:cs="宋体"/>
                <w:sz w:val="21"/>
                <w:szCs w:val="21"/>
              </w:rPr>
              <w:t>评分因素及权重</w:t>
            </w:r>
          </w:p>
        </w:tc>
        <w:tc>
          <w:tcPr>
            <w:tcW w:w="777" w:type="dxa"/>
            <w:vAlign w:val="center"/>
          </w:tcPr>
          <w:p>
            <w:pPr>
              <w:spacing w:line="240" w:lineRule="auto"/>
              <w:ind w:firstLine="28"/>
              <w:jc w:val="center"/>
              <w:rPr>
                <w:rFonts w:ascii="宋体" w:hAnsi="宋体" w:cs="宋体"/>
                <w:sz w:val="21"/>
                <w:szCs w:val="21"/>
              </w:rPr>
            </w:pPr>
            <w:r>
              <w:rPr>
                <w:rFonts w:hint="eastAsia" w:ascii="宋体" w:hAnsi="宋体" w:cs="宋体"/>
                <w:sz w:val="21"/>
                <w:szCs w:val="21"/>
              </w:rPr>
              <w:t>分值</w:t>
            </w:r>
          </w:p>
        </w:tc>
        <w:tc>
          <w:tcPr>
            <w:tcW w:w="5511" w:type="dxa"/>
            <w:vAlign w:val="center"/>
          </w:tcPr>
          <w:p>
            <w:pPr>
              <w:spacing w:line="240" w:lineRule="auto"/>
              <w:ind w:firstLine="28"/>
              <w:jc w:val="center"/>
              <w:rPr>
                <w:rFonts w:ascii="宋体" w:hAnsi="宋体" w:cs="宋体"/>
                <w:sz w:val="21"/>
                <w:szCs w:val="21"/>
              </w:rPr>
            </w:pPr>
            <w:r>
              <w:rPr>
                <w:rFonts w:hint="eastAsia" w:ascii="宋体" w:hAnsi="宋体" w:cs="宋体"/>
                <w:sz w:val="21"/>
                <w:szCs w:val="21"/>
              </w:rPr>
              <w:t>评分标准</w:t>
            </w:r>
          </w:p>
        </w:tc>
        <w:tc>
          <w:tcPr>
            <w:tcW w:w="1067" w:type="dxa"/>
            <w:vAlign w:val="center"/>
          </w:tcPr>
          <w:p>
            <w:pPr>
              <w:spacing w:line="240"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jc w:val="center"/>
              <w:rPr>
                <w:rFonts w:ascii="宋体" w:hAnsi="宋体" w:cs="宋体"/>
                <w:sz w:val="21"/>
                <w:szCs w:val="21"/>
              </w:rPr>
            </w:pPr>
            <w:r>
              <w:rPr>
                <w:rFonts w:hint="eastAsia" w:ascii="宋体" w:hAnsi="宋体" w:cs="宋体"/>
                <w:sz w:val="21"/>
                <w:szCs w:val="21"/>
              </w:rPr>
              <w:t>1</w:t>
            </w:r>
          </w:p>
        </w:tc>
        <w:tc>
          <w:tcPr>
            <w:tcW w:w="1226" w:type="dxa"/>
            <w:vAlign w:val="center"/>
          </w:tcPr>
          <w:p>
            <w:pPr>
              <w:spacing w:line="240" w:lineRule="auto"/>
              <w:jc w:val="center"/>
              <w:rPr>
                <w:rFonts w:ascii="宋体" w:hAnsi="宋体" w:cs="宋体"/>
                <w:sz w:val="21"/>
                <w:szCs w:val="21"/>
              </w:rPr>
            </w:pPr>
            <w:r>
              <w:rPr>
                <w:rFonts w:hint="eastAsia" w:ascii="宋体" w:hAnsi="宋体" w:cs="宋体"/>
                <w:sz w:val="21"/>
                <w:szCs w:val="21"/>
              </w:rPr>
              <w:t>响应报价</w:t>
            </w:r>
            <w:r>
              <w:rPr>
                <w:rFonts w:hint="eastAsia" w:ascii="宋体" w:hAnsi="宋体" w:cs="宋体"/>
                <w:sz w:val="21"/>
                <w:szCs w:val="21"/>
                <w:lang w:val="en-US" w:eastAsia="zh-CN"/>
              </w:rPr>
              <w:t>1</w:t>
            </w:r>
            <w:r>
              <w:rPr>
                <w:rFonts w:hint="eastAsia" w:ascii="宋体" w:hAnsi="宋体" w:cs="宋体"/>
                <w:sz w:val="21"/>
                <w:szCs w:val="21"/>
              </w:rPr>
              <w:t>0%</w:t>
            </w:r>
          </w:p>
        </w:tc>
        <w:tc>
          <w:tcPr>
            <w:tcW w:w="777" w:type="dxa"/>
            <w:vAlign w:val="center"/>
          </w:tcPr>
          <w:p>
            <w:pPr>
              <w:spacing w:line="240" w:lineRule="auto"/>
              <w:jc w:val="center"/>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0分</w:t>
            </w:r>
          </w:p>
        </w:tc>
        <w:tc>
          <w:tcPr>
            <w:tcW w:w="5511" w:type="dxa"/>
            <w:vAlign w:val="center"/>
          </w:tcPr>
          <w:p>
            <w:pPr>
              <w:keepNext/>
              <w:keepLines/>
              <w:wordWrap w:val="0"/>
              <w:topLinePunct/>
              <w:spacing w:line="240" w:lineRule="auto"/>
              <w:jc w:val="left"/>
              <w:rPr>
                <w:rFonts w:hint="eastAsia" w:ascii="宋体" w:hAnsi="宋体" w:cs="宋体"/>
                <w:sz w:val="21"/>
                <w:szCs w:val="21"/>
              </w:rPr>
            </w:pPr>
            <w:r>
              <w:rPr>
                <w:rFonts w:hint="eastAsia" w:ascii="宋体" w:hAnsi="宋体" w:cs="宋体"/>
                <w:sz w:val="21"/>
                <w:szCs w:val="21"/>
              </w:rPr>
              <w:t>满足磋商文件要求且响应价格最低的响应报价为评审基准价，其价格分为满分。其他供应商的价格分统一按照下列公式计算：响应报价得分=(评审基准价／响应报价)*</w:t>
            </w:r>
            <w:r>
              <w:rPr>
                <w:rFonts w:hint="eastAsia" w:ascii="宋体" w:hAnsi="宋体" w:cs="宋体"/>
                <w:sz w:val="21"/>
                <w:szCs w:val="21"/>
                <w:lang w:val="en-US" w:eastAsia="zh-CN"/>
              </w:rPr>
              <w:t>1</w:t>
            </w:r>
            <w:r>
              <w:rPr>
                <w:rFonts w:hint="eastAsia" w:ascii="宋体" w:hAnsi="宋体" w:cs="宋体"/>
                <w:sz w:val="21"/>
                <w:szCs w:val="21"/>
              </w:rPr>
              <w:t>0分。</w:t>
            </w:r>
          </w:p>
          <w:p>
            <w:pPr>
              <w:keepNext/>
              <w:keepLines/>
              <w:wordWrap w:val="0"/>
              <w:topLinePunct/>
              <w:spacing w:line="240" w:lineRule="auto"/>
              <w:jc w:val="left"/>
              <w:rPr>
                <w:sz w:val="21"/>
                <w:szCs w:val="21"/>
              </w:rPr>
            </w:pPr>
            <w:r>
              <w:rPr>
                <w:rFonts w:hint="eastAsia" w:ascii="宋体" w:hAnsi="宋体" w:eastAsia="宋体" w:cs="宋体"/>
                <w:color w:val="auto"/>
                <w:sz w:val="21"/>
                <w:szCs w:val="21"/>
                <w:highlight w:val="none"/>
              </w:rPr>
              <w:t>注：小微企业价格扣除按照本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须知附表规定执行。</w:t>
            </w:r>
          </w:p>
        </w:tc>
        <w:tc>
          <w:tcPr>
            <w:tcW w:w="1067"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jc w:val="center"/>
              <w:rPr>
                <w:rFonts w:ascii="宋体" w:hAnsi="宋体" w:cs="宋体"/>
                <w:sz w:val="21"/>
                <w:szCs w:val="21"/>
              </w:rPr>
            </w:pPr>
            <w:r>
              <w:rPr>
                <w:rFonts w:hint="eastAsia" w:ascii="宋体" w:hAnsi="宋体" w:cs="宋体"/>
                <w:sz w:val="21"/>
                <w:szCs w:val="21"/>
              </w:rPr>
              <w:t>2</w:t>
            </w:r>
          </w:p>
        </w:tc>
        <w:tc>
          <w:tcPr>
            <w:tcW w:w="1226" w:type="dxa"/>
            <w:vAlign w:val="center"/>
          </w:tcPr>
          <w:p>
            <w:pPr>
              <w:spacing w:line="240" w:lineRule="auto"/>
              <w:jc w:val="center"/>
              <w:rPr>
                <w:rFonts w:ascii="宋体" w:hAnsi="宋体" w:cs="宋体"/>
                <w:sz w:val="21"/>
                <w:szCs w:val="21"/>
              </w:rPr>
            </w:pPr>
            <w:r>
              <w:rPr>
                <w:rFonts w:hint="eastAsia" w:ascii="宋体" w:hAnsi="宋体" w:cs="宋体"/>
                <w:sz w:val="21"/>
                <w:szCs w:val="21"/>
              </w:rPr>
              <w:t>履约能力</w:t>
            </w:r>
            <w:r>
              <w:rPr>
                <w:rFonts w:hint="eastAsia" w:ascii="宋体" w:hAnsi="宋体" w:cs="宋体"/>
                <w:sz w:val="21"/>
                <w:szCs w:val="21"/>
                <w:lang w:val="en-US" w:eastAsia="zh-CN"/>
              </w:rPr>
              <w:t>20</w:t>
            </w:r>
            <w:r>
              <w:rPr>
                <w:rFonts w:hint="eastAsia" w:ascii="宋体" w:hAnsi="宋体" w:cs="宋体"/>
                <w:sz w:val="21"/>
                <w:szCs w:val="21"/>
              </w:rPr>
              <w:t>%</w:t>
            </w:r>
          </w:p>
        </w:tc>
        <w:tc>
          <w:tcPr>
            <w:tcW w:w="777" w:type="dxa"/>
            <w:vAlign w:val="center"/>
          </w:tcPr>
          <w:p>
            <w:pPr>
              <w:spacing w:line="240" w:lineRule="auto"/>
              <w:jc w:val="center"/>
              <w:rPr>
                <w:rFonts w:ascii="宋体" w:hAnsi="宋体" w:cs="宋体"/>
                <w:sz w:val="21"/>
                <w:szCs w:val="21"/>
              </w:rPr>
            </w:pPr>
            <w:r>
              <w:rPr>
                <w:rFonts w:hint="eastAsia" w:ascii="宋体" w:hAnsi="宋体" w:cs="宋体"/>
                <w:sz w:val="21"/>
                <w:szCs w:val="21"/>
                <w:lang w:val="en-US" w:eastAsia="zh-CN"/>
              </w:rPr>
              <w:t>20</w:t>
            </w:r>
            <w:r>
              <w:rPr>
                <w:rFonts w:hint="eastAsia" w:ascii="宋体" w:hAnsi="宋体" w:cs="宋体"/>
                <w:sz w:val="21"/>
                <w:szCs w:val="21"/>
              </w:rPr>
              <w:t>分</w:t>
            </w:r>
          </w:p>
        </w:tc>
        <w:tc>
          <w:tcPr>
            <w:tcW w:w="5511" w:type="dxa"/>
            <w:vAlign w:val="center"/>
          </w:tcPr>
          <w:p>
            <w:pPr>
              <w:keepNext/>
              <w:keepLines/>
              <w:wordWrap w:val="0"/>
              <w:topLinePunct/>
              <w:spacing w:line="240" w:lineRule="auto"/>
              <w:jc w:val="left"/>
              <w:rPr>
                <w:rFonts w:ascii="宋体" w:hAnsi="宋体" w:cs="宋体"/>
                <w:sz w:val="21"/>
                <w:szCs w:val="21"/>
              </w:rPr>
            </w:pPr>
            <w:r>
              <w:rPr>
                <w:rFonts w:hint="eastAsia" w:ascii="宋体" w:hAnsi="宋体" w:cs="宋体"/>
                <w:sz w:val="21"/>
                <w:szCs w:val="21"/>
              </w:rPr>
              <w:t>供应商自2018年1月1日（含）以来每有1个类似项目业绩的得</w:t>
            </w:r>
            <w:r>
              <w:rPr>
                <w:rFonts w:hint="eastAsia" w:ascii="宋体" w:hAnsi="宋体" w:cs="宋体"/>
                <w:sz w:val="21"/>
                <w:szCs w:val="21"/>
                <w:lang w:val="en-US" w:eastAsia="zh-CN"/>
              </w:rPr>
              <w:t>2</w:t>
            </w:r>
            <w:r>
              <w:rPr>
                <w:rFonts w:hint="eastAsia" w:ascii="宋体" w:hAnsi="宋体" w:cs="宋体"/>
                <w:sz w:val="21"/>
                <w:szCs w:val="21"/>
              </w:rPr>
              <w:t>分，最多得</w:t>
            </w:r>
            <w:r>
              <w:rPr>
                <w:rFonts w:hint="eastAsia" w:ascii="宋体" w:hAnsi="宋体" w:cs="宋体"/>
                <w:sz w:val="21"/>
                <w:szCs w:val="21"/>
                <w:lang w:val="en-US" w:eastAsia="zh-CN"/>
              </w:rPr>
              <w:t>20</w:t>
            </w:r>
            <w:r>
              <w:rPr>
                <w:rFonts w:hint="eastAsia" w:ascii="宋体" w:hAnsi="宋体" w:cs="宋体"/>
                <w:sz w:val="21"/>
                <w:szCs w:val="21"/>
              </w:rPr>
              <w:t>分。</w:t>
            </w:r>
          </w:p>
          <w:p>
            <w:pPr>
              <w:pStyle w:val="2"/>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注：提供中标（成交）通知书复印件或合同复印件并加盖鲜章。</w:t>
            </w:r>
          </w:p>
        </w:tc>
        <w:tc>
          <w:tcPr>
            <w:tcW w:w="1067"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226"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eastAsia="zh-CN"/>
              </w:rPr>
              <w:t>人员配置</w:t>
            </w:r>
            <w:r>
              <w:rPr>
                <w:rFonts w:hint="eastAsia" w:ascii="宋体" w:hAnsi="宋体" w:cs="宋体"/>
                <w:sz w:val="21"/>
                <w:szCs w:val="21"/>
                <w:lang w:val="en-US" w:eastAsia="zh-CN"/>
              </w:rPr>
              <w:t>8%</w:t>
            </w:r>
          </w:p>
        </w:tc>
        <w:tc>
          <w:tcPr>
            <w:tcW w:w="777" w:type="dxa"/>
            <w:vAlign w:val="center"/>
          </w:tcPr>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8分</w:t>
            </w:r>
          </w:p>
        </w:tc>
        <w:tc>
          <w:tcPr>
            <w:tcW w:w="5511" w:type="dxa"/>
            <w:vAlign w:val="center"/>
          </w:tcPr>
          <w:p>
            <w:pPr>
              <w:keepNext/>
              <w:keepLines/>
              <w:wordWrap w:val="0"/>
              <w:topLinePunct/>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每配备一名</w:t>
            </w:r>
            <w:r>
              <w:rPr>
                <w:rFonts w:hint="eastAsia" w:ascii="宋体" w:hAnsi="宋体" w:eastAsia="宋体" w:cs="宋体"/>
                <w:sz w:val="21"/>
                <w:szCs w:val="21"/>
              </w:rPr>
              <w:t>通信相关专业</w:t>
            </w:r>
            <w:r>
              <w:rPr>
                <w:rFonts w:hint="eastAsia" w:ascii="宋体" w:hAnsi="宋体" w:eastAsia="宋体" w:cs="宋体"/>
                <w:sz w:val="21"/>
                <w:szCs w:val="21"/>
                <w:lang w:eastAsia="zh-CN"/>
              </w:rPr>
              <w:t>中级职称人员得</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每配备一名</w:t>
            </w:r>
            <w:r>
              <w:rPr>
                <w:rFonts w:hint="eastAsia" w:ascii="宋体" w:hAnsi="宋体" w:eastAsia="宋体" w:cs="宋体"/>
                <w:sz w:val="21"/>
                <w:szCs w:val="21"/>
              </w:rPr>
              <w:t>通信相关专业</w:t>
            </w:r>
            <w:r>
              <w:rPr>
                <w:rFonts w:hint="eastAsia" w:ascii="宋体" w:hAnsi="宋体" w:eastAsia="宋体" w:cs="宋体"/>
                <w:sz w:val="21"/>
                <w:szCs w:val="21"/>
                <w:lang w:eastAsia="zh-CN"/>
              </w:rPr>
              <w:t>高级及以上职称人员得</w:t>
            </w:r>
            <w:r>
              <w:rPr>
                <w:rFonts w:hint="eastAsia" w:ascii="宋体" w:hAnsi="宋体" w:eastAsia="宋体" w:cs="宋体"/>
                <w:sz w:val="21"/>
                <w:szCs w:val="21"/>
                <w:lang w:val="en-US" w:eastAsia="zh-CN"/>
              </w:rPr>
              <w:t>4分，本项共8分。</w:t>
            </w:r>
          </w:p>
          <w:p>
            <w:pPr>
              <w:keepNext/>
              <w:keepLines/>
              <w:wordWrap w:val="0"/>
              <w:topLinePunct/>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注：人员不重复计分，提供人员相关证书复印件及在职证明材料并加盖供应商公章。</w:t>
            </w:r>
          </w:p>
        </w:tc>
        <w:tc>
          <w:tcPr>
            <w:tcW w:w="1067"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1226" w:type="dxa"/>
            <w:vAlign w:val="center"/>
          </w:tcPr>
          <w:p>
            <w:pPr>
              <w:spacing w:line="240" w:lineRule="auto"/>
              <w:jc w:val="center"/>
              <w:rPr>
                <w:rFonts w:ascii="宋体" w:hAnsi="宋体" w:cs="宋体"/>
                <w:sz w:val="21"/>
                <w:szCs w:val="21"/>
                <w:highlight w:val="none"/>
              </w:rPr>
            </w:pPr>
            <w:r>
              <w:rPr>
                <w:rFonts w:hint="eastAsia" w:ascii="宋体" w:hAnsi="宋体" w:cs="宋体"/>
                <w:sz w:val="21"/>
                <w:szCs w:val="21"/>
                <w:highlight w:val="none"/>
              </w:rPr>
              <w:t>技术参数及指标</w:t>
            </w:r>
            <w:r>
              <w:rPr>
                <w:rFonts w:hint="eastAsia" w:ascii="宋体" w:hAnsi="宋体" w:cs="宋体"/>
                <w:sz w:val="21"/>
                <w:szCs w:val="21"/>
                <w:highlight w:val="none"/>
                <w:lang w:val="en-US" w:eastAsia="zh-CN"/>
              </w:rPr>
              <w:t>30</w:t>
            </w:r>
            <w:r>
              <w:rPr>
                <w:rFonts w:hint="eastAsia" w:ascii="宋体" w:hAnsi="宋体" w:cs="宋体"/>
                <w:sz w:val="21"/>
                <w:szCs w:val="21"/>
                <w:highlight w:val="none"/>
              </w:rPr>
              <w:t>%</w:t>
            </w:r>
          </w:p>
        </w:tc>
        <w:tc>
          <w:tcPr>
            <w:tcW w:w="777" w:type="dxa"/>
            <w:vAlign w:val="center"/>
          </w:tcPr>
          <w:p>
            <w:pPr>
              <w:spacing w:line="240" w:lineRule="auto"/>
              <w:jc w:val="center"/>
              <w:rPr>
                <w:rFonts w:ascii="宋体" w:hAnsi="宋体" w:cs="宋体"/>
                <w:sz w:val="21"/>
                <w:szCs w:val="21"/>
                <w:highlight w:val="none"/>
              </w:rPr>
            </w:pPr>
            <w:r>
              <w:rPr>
                <w:rFonts w:hint="eastAsia" w:ascii="宋体" w:hAnsi="宋体" w:cs="宋体"/>
                <w:sz w:val="21"/>
                <w:szCs w:val="21"/>
                <w:highlight w:val="none"/>
                <w:lang w:val="en-US" w:eastAsia="zh-CN"/>
              </w:rPr>
              <w:t>30</w:t>
            </w:r>
            <w:r>
              <w:rPr>
                <w:rFonts w:hint="eastAsia" w:ascii="宋体" w:hAnsi="宋体" w:cs="宋体"/>
                <w:sz w:val="21"/>
                <w:szCs w:val="21"/>
                <w:highlight w:val="none"/>
              </w:rPr>
              <w:t>分</w:t>
            </w:r>
          </w:p>
        </w:tc>
        <w:tc>
          <w:tcPr>
            <w:tcW w:w="5511" w:type="dxa"/>
            <w:vAlign w:val="center"/>
          </w:tcPr>
          <w:p>
            <w:pPr>
              <w:spacing w:line="240" w:lineRule="auto"/>
              <w:rPr>
                <w:rFonts w:ascii="宋体" w:hAnsi="宋体" w:cs="宋体"/>
                <w:sz w:val="21"/>
                <w:szCs w:val="21"/>
              </w:rPr>
            </w:pPr>
            <w:r>
              <w:rPr>
                <w:rFonts w:hint="eastAsia" w:ascii="宋体" w:hAnsi="宋体" w:cs="宋体"/>
                <w:sz w:val="21"/>
                <w:szCs w:val="21"/>
              </w:rPr>
              <w:t>供应商所提供产品的技术参数完全满足磋商文件第五章</w:t>
            </w:r>
            <w:r>
              <w:rPr>
                <w:rFonts w:hint="eastAsia" w:ascii="宋体" w:hAnsi="宋体" w:cs="宋体"/>
                <w:sz w:val="21"/>
                <w:szCs w:val="21"/>
                <w:lang w:eastAsia="zh-CN"/>
              </w:rPr>
              <w:t>技术</w:t>
            </w:r>
            <w:r>
              <w:rPr>
                <w:rFonts w:hint="eastAsia" w:ascii="宋体" w:hAnsi="宋体" w:cs="宋体"/>
                <w:sz w:val="21"/>
                <w:szCs w:val="21"/>
              </w:rPr>
              <w:t>参数要求的，得</w:t>
            </w:r>
            <w:r>
              <w:rPr>
                <w:rFonts w:hint="eastAsia" w:ascii="宋体" w:hAnsi="宋体" w:cs="宋体"/>
                <w:sz w:val="21"/>
                <w:szCs w:val="21"/>
                <w:lang w:val="en-US" w:eastAsia="zh-CN"/>
              </w:rPr>
              <w:t>30</w:t>
            </w:r>
            <w:r>
              <w:rPr>
                <w:rFonts w:hint="eastAsia" w:ascii="宋体" w:hAnsi="宋体" w:cs="宋体"/>
                <w:sz w:val="21"/>
                <w:szCs w:val="21"/>
              </w:rPr>
              <w:t>分；供应商所提供产品的技术参数不满足要求的，则在</w:t>
            </w:r>
            <w:r>
              <w:rPr>
                <w:rFonts w:hint="eastAsia" w:ascii="宋体" w:hAnsi="宋体" w:cs="宋体"/>
                <w:sz w:val="21"/>
                <w:szCs w:val="21"/>
                <w:lang w:val="en-US" w:eastAsia="zh-CN"/>
              </w:rPr>
              <w:t>30</w:t>
            </w:r>
            <w:r>
              <w:rPr>
                <w:rFonts w:hint="eastAsia" w:ascii="宋体" w:hAnsi="宋体" w:cs="宋体"/>
                <w:sz w:val="21"/>
                <w:szCs w:val="21"/>
              </w:rPr>
              <w:t>分的基础上，按以下原则扣分：</w:t>
            </w:r>
          </w:p>
          <w:p>
            <w:pPr>
              <w:spacing w:line="240" w:lineRule="auto"/>
              <w:rPr>
                <w:rFonts w:hint="eastAsia" w:ascii="宋体" w:hAnsi="宋体" w:cs="宋体"/>
                <w:sz w:val="21"/>
                <w:szCs w:val="21"/>
              </w:rPr>
            </w:pPr>
            <w:r>
              <w:rPr>
                <w:rFonts w:hint="eastAsia" w:ascii="宋体" w:hAnsi="宋体" w:cs="宋体"/>
                <w:sz w:val="21"/>
                <w:szCs w:val="21"/>
              </w:rPr>
              <w:t>每有一项</w:t>
            </w:r>
            <w:r>
              <w:rPr>
                <w:rFonts w:hint="eastAsia" w:ascii="宋体" w:hAnsi="宋体" w:cs="宋体"/>
                <w:sz w:val="21"/>
                <w:szCs w:val="21"/>
                <w:lang w:eastAsia="zh-CN"/>
              </w:rPr>
              <w:t>标“</w:t>
            </w:r>
            <w:r>
              <w:rPr>
                <w:rFonts w:hint="eastAsia" w:ascii="宋体" w:hAnsi="宋体" w:cs="宋体"/>
                <w:sz w:val="21"/>
                <w:szCs w:val="21"/>
                <w:lang w:val="en-US" w:eastAsia="zh-CN"/>
              </w:rPr>
              <w:t>▲</w:t>
            </w:r>
            <w:r>
              <w:rPr>
                <w:rFonts w:hint="eastAsia" w:ascii="宋体" w:hAnsi="宋体" w:cs="宋体"/>
                <w:sz w:val="21"/>
                <w:szCs w:val="21"/>
                <w:lang w:eastAsia="zh-CN"/>
              </w:rPr>
              <w:t>”项（以</w:t>
            </w:r>
            <w:r>
              <w:rPr>
                <w:rFonts w:hint="eastAsia" w:ascii="宋体" w:hAnsi="宋体" w:cs="宋体"/>
                <w:sz w:val="21"/>
                <w:szCs w:val="21"/>
              </w:rPr>
              <w:t>（X）为一项，共</w:t>
            </w:r>
            <w:r>
              <w:rPr>
                <w:rFonts w:hint="eastAsia" w:ascii="宋体" w:hAnsi="宋体" w:cs="宋体"/>
                <w:sz w:val="21"/>
                <w:szCs w:val="21"/>
                <w:lang w:val="en-US" w:eastAsia="zh-CN"/>
              </w:rPr>
              <w:t>18</w:t>
            </w:r>
            <w:r>
              <w:rPr>
                <w:rFonts w:hint="eastAsia" w:ascii="宋体" w:hAnsi="宋体" w:cs="宋体"/>
                <w:sz w:val="21"/>
                <w:szCs w:val="21"/>
              </w:rPr>
              <w:t>项）技术参数不满足要求的扣</w:t>
            </w:r>
            <w:r>
              <w:rPr>
                <w:rFonts w:hint="eastAsia" w:ascii="宋体" w:hAnsi="宋体" w:cs="宋体"/>
                <w:sz w:val="21"/>
                <w:szCs w:val="21"/>
                <w:lang w:val="en-US" w:eastAsia="zh-CN"/>
              </w:rPr>
              <w:t>1</w:t>
            </w:r>
            <w:r>
              <w:rPr>
                <w:rFonts w:hint="eastAsia" w:ascii="宋体" w:hAnsi="宋体" w:cs="宋体"/>
                <w:sz w:val="21"/>
                <w:szCs w:val="21"/>
              </w:rPr>
              <w:t>，最高扣</w:t>
            </w:r>
            <w:r>
              <w:rPr>
                <w:rFonts w:hint="eastAsia" w:ascii="宋体" w:hAnsi="宋体" w:cs="宋体"/>
                <w:sz w:val="21"/>
                <w:szCs w:val="21"/>
                <w:lang w:val="en-US" w:eastAsia="zh-CN"/>
              </w:rPr>
              <w:t>18</w:t>
            </w:r>
            <w:r>
              <w:rPr>
                <w:rFonts w:hint="eastAsia" w:ascii="宋体" w:hAnsi="宋体" w:cs="宋体"/>
                <w:sz w:val="21"/>
                <w:szCs w:val="21"/>
              </w:rPr>
              <w:t>分。</w:t>
            </w:r>
          </w:p>
          <w:p>
            <w:pPr>
              <w:spacing w:line="240" w:lineRule="auto"/>
              <w:rPr>
                <w:rFonts w:hint="eastAsia" w:ascii="宋体" w:hAnsi="宋体" w:cs="宋体"/>
                <w:sz w:val="21"/>
                <w:szCs w:val="21"/>
              </w:rPr>
            </w:pPr>
            <w:r>
              <w:rPr>
                <w:rFonts w:hint="eastAsia" w:ascii="宋体" w:hAnsi="宋体" w:cs="宋体"/>
                <w:sz w:val="21"/>
                <w:szCs w:val="21"/>
              </w:rPr>
              <w:t>每有一项</w:t>
            </w:r>
            <w:r>
              <w:rPr>
                <w:rFonts w:hint="eastAsia" w:ascii="宋体" w:hAnsi="宋体" w:cs="宋体"/>
                <w:sz w:val="21"/>
                <w:szCs w:val="21"/>
                <w:lang w:eastAsia="zh-CN"/>
              </w:rPr>
              <w:t>非“</w:t>
            </w:r>
            <w:r>
              <w:rPr>
                <w:rFonts w:hint="eastAsia" w:ascii="宋体" w:hAnsi="宋体" w:cs="宋体"/>
                <w:sz w:val="21"/>
                <w:szCs w:val="21"/>
                <w:lang w:val="en-US" w:eastAsia="zh-CN"/>
              </w:rPr>
              <w:t>▲</w:t>
            </w:r>
            <w:r>
              <w:rPr>
                <w:rFonts w:hint="eastAsia" w:ascii="宋体" w:hAnsi="宋体" w:cs="宋体"/>
                <w:sz w:val="21"/>
                <w:szCs w:val="21"/>
                <w:lang w:eastAsia="zh-CN"/>
              </w:rPr>
              <w:t>”项（以</w:t>
            </w:r>
            <w:r>
              <w:rPr>
                <w:rFonts w:hint="eastAsia" w:ascii="宋体" w:hAnsi="宋体" w:cs="宋体"/>
                <w:sz w:val="21"/>
                <w:szCs w:val="21"/>
              </w:rPr>
              <w:t>（X）为一项，共</w:t>
            </w:r>
            <w:r>
              <w:rPr>
                <w:rFonts w:hint="eastAsia" w:ascii="宋体" w:hAnsi="宋体" w:cs="宋体"/>
                <w:sz w:val="21"/>
                <w:szCs w:val="21"/>
                <w:lang w:val="en-US" w:eastAsia="zh-CN"/>
              </w:rPr>
              <w:t>30</w:t>
            </w:r>
            <w:r>
              <w:rPr>
                <w:rFonts w:hint="eastAsia" w:ascii="宋体" w:hAnsi="宋体" w:cs="宋体"/>
                <w:sz w:val="21"/>
                <w:szCs w:val="21"/>
              </w:rPr>
              <w:t>项）技术参数不满足要求的扣</w:t>
            </w:r>
            <w:r>
              <w:rPr>
                <w:rFonts w:hint="eastAsia" w:ascii="宋体" w:hAnsi="宋体" w:cs="宋体"/>
                <w:sz w:val="21"/>
                <w:szCs w:val="21"/>
                <w:lang w:val="en-US" w:eastAsia="zh-CN"/>
              </w:rPr>
              <w:t>0.4</w:t>
            </w:r>
            <w:r>
              <w:rPr>
                <w:rFonts w:hint="eastAsia" w:ascii="宋体" w:hAnsi="宋体" w:cs="宋体"/>
                <w:sz w:val="21"/>
                <w:szCs w:val="21"/>
              </w:rPr>
              <w:t>，最高扣</w:t>
            </w:r>
            <w:r>
              <w:rPr>
                <w:rFonts w:hint="eastAsia" w:ascii="宋体" w:hAnsi="宋体" w:cs="宋体"/>
                <w:sz w:val="21"/>
                <w:szCs w:val="21"/>
                <w:lang w:val="en-US" w:eastAsia="zh-CN"/>
              </w:rPr>
              <w:t>12</w:t>
            </w:r>
            <w:r>
              <w:rPr>
                <w:rFonts w:hint="eastAsia" w:ascii="宋体" w:hAnsi="宋体" w:cs="宋体"/>
                <w:sz w:val="21"/>
                <w:szCs w:val="21"/>
              </w:rPr>
              <w:t>分。</w:t>
            </w:r>
          </w:p>
          <w:p>
            <w:pPr>
              <w:pStyle w:val="2"/>
              <w:spacing w:line="240" w:lineRule="auto"/>
              <w:rPr>
                <w:sz w:val="21"/>
                <w:szCs w:val="21"/>
              </w:rPr>
            </w:pPr>
            <w:r>
              <w:rPr>
                <w:rFonts w:hint="eastAsia" w:ascii="宋体" w:hAnsi="宋体" w:eastAsia="宋体" w:cs="宋体"/>
                <w:sz w:val="21"/>
                <w:szCs w:val="21"/>
              </w:rPr>
              <w:t>注：磋商文件第五章要求提供佐证材料的，以具体佐证材料为准，若未提供不予认定。未要求提供佐证材料的以供应商响应为准。</w:t>
            </w:r>
          </w:p>
        </w:tc>
        <w:tc>
          <w:tcPr>
            <w:tcW w:w="1067"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ind w:firstLine="28"/>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226" w:type="dxa"/>
            <w:vAlign w:val="center"/>
          </w:tcPr>
          <w:p>
            <w:pPr>
              <w:spacing w:line="240" w:lineRule="auto"/>
              <w:jc w:val="center"/>
              <w:rPr>
                <w:rFonts w:hint="eastAsia" w:ascii="宋体" w:hAnsi="宋体" w:cs="宋体"/>
                <w:sz w:val="21"/>
                <w:szCs w:val="21"/>
              </w:rPr>
            </w:pPr>
            <w:r>
              <w:rPr>
                <w:rFonts w:hint="eastAsia" w:ascii="宋体" w:hAnsi="宋体" w:cs="宋体"/>
                <w:sz w:val="21"/>
                <w:szCs w:val="21"/>
                <w:lang w:eastAsia="zh-CN"/>
              </w:rPr>
              <w:t>技术实施</w:t>
            </w:r>
            <w:r>
              <w:rPr>
                <w:rFonts w:hint="eastAsia" w:ascii="宋体" w:hAnsi="宋体" w:cs="宋体"/>
                <w:sz w:val="21"/>
                <w:szCs w:val="21"/>
              </w:rPr>
              <w:t>方案</w:t>
            </w:r>
          </w:p>
          <w:p>
            <w:pPr>
              <w:spacing w:line="240" w:lineRule="auto"/>
              <w:jc w:val="center"/>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w:t>
            </w:r>
          </w:p>
        </w:tc>
        <w:tc>
          <w:tcPr>
            <w:tcW w:w="777" w:type="dxa"/>
            <w:vAlign w:val="center"/>
          </w:tcPr>
          <w:p>
            <w:pPr>
              <w:spacing w:line="240" w:lineRule="auto"/>
              <w:ind w:firstLine="28"/>
              <w:jc w:val="center"/>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分</w:t>
            </w:r>
          </w:p>
        </w:tc>
        <w:tc>
          <w:tcPr>
            <w:tcW w:w="5511" w:type="dxa"/>
            <w:vAlign w:val="center"/>
          </w:tcPr>
          <w:p>
            <w:pPr>
              <w:spacing w:line="240" w:lineRule="auto"/>
              <w:rPr>
                <w:rFonts w:ascii="宋体" w:hAnsi="宋体" w:cs="宋体"/>
                <w:sz w:val="21"/>
                <w:szCs w:val="21"/>
              </w:rPr>
            </w:pPr>
            <w:r>
              <w:rPr>
                <w:rFonts w:hint="eastAsia" w:ascii="宋体" w:hAnsi="宋体" w:cs="宋体"/>
                <w:sz w:val="21"/>
                <w:szCs w:val="21"/>
              </w:rPr>
              <w:t>根据供应商提供的对项目的</w:t>
            </w:r>
            <w:r>
              <w:rPr>
                <w:rFonts w:hint="eastAsia" w:ascii="宋体" w:hAnsi="宋体" w:cs="宋体"/>
                <w:sz w:val="21"/>
                <w:szCs w:val="21"/>
                <w:lang w:eastAsia="zh-CN"/>
              </w:rPr>
              <w:t>技术实施</w:t>
            </w:r>
            <w:r>
              <w:rPr>
                <w:rFonts w:hint="eastAsia" w:ascii="宋体" w:hAnsi="宋体" w:cs="宋体"/>
                <w:sz w:val="21"/>
                <w:szCs w:val="21"/>
              </w:rPr>
              <w:t>方案内容进行评审，内容至少包含：</w:t>
            </w:r>
            <w:r>
              <w:rPr>
                <w:rFonts w:hint="eastAsia" w:ascii="宋体" w:hAnsi="宋体" w:eastAsia="宋体" w:cs="宋体"/>
                <w:color w:val="auto"/>
                <w:sz w:val="21"/>
                <w:szCs w:val="21"/>
                <w:highlight w:val="none"/>
              </w:rPr>
              <w:t>①项目的前期考察和实际论证；②</w:t>
            </w:r>
            <w:r>
              <w:rPr>
                <w:rFonts w:hint="eastAsia" w:ascii="宋体" w:hAnsi="宋体" w:cs="宋体"/>
                <w:color w:val="auto"/>
                <w:sz w:val="21"/>
                <w:szCs w:val="21"/>
                <w:highlight w:val="none"/>
                <w:lang w:eastAsia="zh-CN"/>
              </w:rPr>
              <w:t>设备安装调试方案</w:t>
            </w:r>
            <w:r>
              <w:rPr>
                <w:rFonts w:hint="eastAsia" w:ascii="宋体" w:hAnsi="宋体" w:eastAsia="宋体" w:cs="宋体"/>
                <w:color w:val="auto"/>
                <w:sz w:val="21"/>
                <w:szCs w:val="21"/>
                <w:highlight w:val="none"/>
              </w:rPr>
              <w:t>；③项目实施重难点分析应对；④</w:t>
            </w:r>
            <w:r>
              <w:rPr>
                <w:rFonts w:hint="eastAsia" w:ascii="宋体" w:hAnsi="宋体" w:cs="宋体"/>
                <w:color w:val="auto"/>
                <w:sz w:val="21"/>
                <w:szCs w:val="21"/>
                <w:highlight w:val="none"/>
                <w:lang w:eastAsia="zh-CN"/>
              </w:rPr>
              <w:t>进度计划安排</w:t>
            </w: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eastAsia="zh-CN"/>
              </w:rPr>
              <w:t>应预案</w:t>
            </w:r>
            <w:r>
              <w:rPr>
                <w:rFonts w:hint="eastAsia" w:ascii="宋体" w:hAnsi="宋体" w:eastAsia="宋体" w:cs="宋体"/>
                <w:color w:val="auto"/>
                <w:sz w:val="21"/>
                <w:szCs w:val="21"/>
                <w:highlight w:val="none"/>
              </w:rPr>
              <w:t>；</w:t>
            </w:r>
            <w:r>
              <w:rPr>
                <w:rFonts w:hint="eastAsia" w:ascii="宋体" w:hAnsi="宋体" w:cs="宋体"/>
                <w:sz w:val="21"/>
                <w:szCs w:val="21"/>
              </w:rPr>
              <w:t>进行综合评审，内容齐全且符合本项目特点及实际情况，满足项目实际要求的得</w:t>
            </w:r>
            <w:r>
              <w:rPr>
                <w:rFonts w:hint="eastAsia" w:ascii="宋体" w:hAnsi="宋体" w:cs="宋体"/>
                <w:sz w:val="21"/>
                <w:szCs w:val="21"/>
                <w:lang w:val="en-US" w:eastAsia="zh-CN"/>
              </w:rPr>
              <w:t>10</w:t>
            </w:r>
            <w:r>
              <w:rPr>
                <w:rFonts w:hint="eastAsia" w:ascii="宋体" w:hAnsi="宋体" w:cs="宋体"/>
                <w:sz w:val="21"/>
                <w:szCs w:val="21"/>
              </w:rPr>
              <w:t>分。每有一项内容缺失扣</w:t>
            </w:r>
            <w:r>
              <w:rPr>
                <w:rFonts w:hint="eastAsia" w:ascii="宋体" w:hAnsi="宋体" w:cs="宋体"/>
                <w:sz w:val="21"/>
                <w:szCs w:val="21"/>
                <w:lang w:val="en-US" w:eastAsia="zh-CN"/>
              </w:rPr>
              <w:t>2</w:t>
            </w:r>
            <w:r>
              <w:rPr>
                <w:rFonts w:hint="eastAsia" w:ascii="宋体" w:hAnsi="宋体" w:cs="宋体"/>
                <w:sz w:val="21"/>
                <w:szCs w:val="21"/>
              </w:rPr>
              <w:t>分，每有一项存在内容缺陷的扣</w:t>
            </w:r>
            <w:r>
              <w:rPr>
                <w:rFonts w:hint="eastAsia" w:ascii="宋体" w:hAnsi="宋体" w:cs="宋体"/>
                <w:sz w:val="21"/>
                <w:szCs w:val="21"/>
                <w:lang w:val="en-US" w:eastAsia="zh-CN"/>
              </w:rPr>
              <w:t>1</w:t>
            </w:r>
            <w:r>
              <w:rPr>
                <w:rFonts w:hint="eastAsia" w:ascii="宋体" w:hAnsi="宋体" w:cs="宋体"/>
                <w:sz w:val="21"/>
                <w:szCs w:val="21"/>
              </w:rPr>
              <w:t>分，扣完为止。（缺陷是指内容与实际情况不匹配、凭空编造、存在逻辑漏洞、科学原理错误、不可能实现的夸大情形以及涉及的规范标准与本项目要求不一致、内容简略、内容与本项目无关等任意一种情形）</w:t>
            </w:r>
          </w:p>
        </w:tc>
        <w:tc>
          <w:tcPr>
            <w:tcW w:w="1067"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226"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eastAsia="zh-CN"/>
              </w:rPr>
              <w:t>售后服务</w:t>
            </w:r>
            <w:r>
              <w:rPr>
                <w:rFonts w:hint="eastAsia" w:ascii="宋体" w:hAnsi="宋体" w:cs="宋体"/>
                <w:sz w:val="21"/>
                <w:szCs w:val="21"/>
                <w:lang w:val="en-US" w:eastAsia="zh-CN"/>
              </w:rPr>
              <w:t>10%</w:t>
            </w:r>
          </w:p>
        </w:tc>
        <w:tc>
          <w:tcPr>
            <w:tcW w:w="777" w:type="dxa"/>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10分</w:t>
            </w:r>
          </w:p>
        </w:tc>
        <w:tc>
          <w:tcPr>
            <w:tcW w:w="5511" w:type="dxa"/>
            <w:vAlign w:val="center"/>
          </w:tcPr>
          <w:p>
            <w:pPr>
              <w:spacing w:line="240" w:lineRule="auto"/>
              <w:rPr>
                <w:rFonts w:hint="eastAsia" w:ascii="宋体" w:hAnsi="宋体" w:cs="宋体"/>
                <w:sz w:val="21"/>
                <w:szCs w:val="21"/>
              </w:rPr>
            </w:pPr>
            <w:r>
              <w:rPr>
                <w:rFonts w:hint="eastAsia" w:ascii="宋体" w:hAnsi="宋体" w:cs="宋体"/>
                <w:sz w:val="21"/>
                <w:szCs w:val="21"/>
              </w:rPr>
              <w:t>根据供应商提供的对项目的</w:t>
            </w:r>
            <w:r>
              <w:rPr>
                <w:rFonts w:hint="eastAsia" w:ascii="宋体" w:hAnsi="宋体" w:cs="宋体"/>
                <w:sz w:val="21"/>
                <w:szCs w:val="21"/>
                <w:lang w:eastAsia="zh-CN"/>
              </w:rPr>
              <w:t>售后服务</w:t>
            </w:r>
            <w:r>
              <w:rPr>
                <w:rFonts w:hint="eastAsia" w:ascii="宋体" w:hAnsi="宋体" w:cs="宋体"/>
                <w:sz w:val="21"/>
                <w:szCs w:val="21"/>
              </w:rPr>
              <w:t>方案内容进行评审，内容至少包含：①人员安排</w:t>
            </w:r>
            <w:r>
              <w:rPr>
                <w:rFonts w:hint="eastAsia" w:ascii="宋体" w:hAnsi="宋体" w:cs="宋体"/>
                <w:sz w:val="21"/>
                <w:szCs w:val="21"/>
                <w:lang w:eastAsia="zh-CN"/>
              </w:rPr>
              <w:t>；</w:t>
            </w:r>
            <w:r>
              <w:rPr>
                <w:rFonts w:hint="eastAsia" w:ascii="宋体" w:hAnsi="宋体" w:cs="宋体"/>
                <w:sz w:val="21"/>
                <w:szCs w:val="21"/>
              </w:rPr>
              <w:t>②响应时间及故障排除时间</w:t>
            </w:r>
            <w:r>
              <w:rPr>
                <w:rFonts w:hint="eastAsia" w:ascii="宋体" w:hAnsi="宋体" w:cs="宋体"/>
                <w:sz w:val="21"/>
                <w:szCs w:val="21"/>
                <w:lang w:eastAsia="zh-CN"/>
              </w:rPr>
              <w:t>；</w:t>
            </w:r>
            <w:r>
              <w:rPr>
                <w:rFonts w:hint="eastAsia" w:ascii="宋体" w:hAnsi="宋体" w:cs="宋体"/>
                <w:sz w:val="21"/>
                <w:szCs w:val="21"/>
              </w:rPr>
              <w:t>③售后服务</w:t>
            </w:r>
            <w:r>
              <w:rPr>
                <w:rFonts w:hint="eastAsia" w:ascii="宋体" w:hAnsi="宋体" w:cs="宋体"/>
                <w:sz w:val="21"/>
                <w:szCs w:val="21"/>
                <w:lang w:eastAsia="zh-CN"/>
              </w:rPr>
              <w:t>流程；</w:t>
            </w:r>
            <w:r>
              <w:rPr>
                <w:rFonts w:hint="eastAsia" w:ascii="宋体" w:hAnsi="宋体" w:cs="宋体"/>
                <w:sz w:val="21"/>
                <w:szCs w:val="21"/>
              </w:rPr>
              <w:t>④备品备件计划</w:t>
            </w:r>
            <w:r>
              <w:rPr>
                <w:rFonts w:hint="eastAsia" w:ascii="宋体" w:hAnsi="宋体" w:cs="宋体"/>
                <w:sz w:val="21"/>
                <w:szCs w:val="21"/>
                <w:lang w:eastAsia="zh-CN"/>
              </w:rPr>
              <w:t>；</w:t>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eastAsia="zh-CN"/>
              </w:rPr>
              <w:t>培训计划</w:t>
            </w:r>
            <w:r>
              <w:rPr>
                <w:rFonts w:hint="eastAsia" w:ascii="宋体" w:hAnsi="宋体" w:cs="宋体"/>
                <w:sz w:val="21"/>
                <w:szCs w:val="21"/>
              </w:rPr>
              <w:t>，进行综合评审，内容齐全且符合本项目特点及实际情况，满足项目实际要求的得</w:t>
            </w:r>
            <w:r>
              <w:rPr>
                <w:rFonts w:hint="eastAsia" w:ascii="宋体" w:hAnsi="宋体" w:cs="宋体"/>
                <w:sz w:val="21"/>
                <w:szCs w:val="21"/>
                <w:lang w:val="en-US" w:eastAsia="zh-CN"/>
              </w:rPr>
              <w:t>10</w:t>
            </w:r>
            <w:r>
              <w:rPr>
                <w:rFonts w:hint="eastAsia" w:ascii="宋体" w:hAnsi="宋体" w:cs="宋体"/>
                <w:sz w:val="21"/>
                <w:szCs w:val="21"/>
              </w:rPr>
              <w:t>分。每有一项内容缺失扣</w:t>
            </w:r>
            <w:r>
              <w:rPr>
                <w:rFonts w:hint="eastAsia" w:ascii="宋体" w:hAnsi="宋体" w:cs="宋体"/>
                <w:sz w:val="21"/>
                <w:szCs w:val="21"/>
                <w:lang w:val="en-US" w:eastAsia="zh-CN"/>
              </w:rPr>
              <w:t>2</w:t>
            </w:r>
            <w:r>
              <w:rPr>
                <w:rFonts w:hint="eastAsia" w:ascii="宋体" w:hAnsi="宋体" w:cs="宋体"/>
                <w:sz w:val="21"/>
                <w:szCs w:val="21"/>
              </w:rPr>
              <w:t>分，每有一项存在内容缺陷的扣</w:t>
            </w:r>
            <w:r>
              <w:rPr>
                <w:rFonts w:hint="eastAsia" w:ascii="宋体" w:hAnsi="宋体" w:cs="宋体"/>
                <w:sz w:val="21"/>
                <w:szCs w:val="21"/>
                <w:lang w:val="en-US" w:eastAsia="zh-CN"/>
              </w:rPr>
              <w:t>1</w:t>
            </w:r>
            <w:r>
              <w:rPr>
                <w:rFonts w:hint="eastAsia" w:ascii="宋体" w:hAnsi="宋体" w:cs="宋体"/>
                <w:sz w:val="21"/>
                <w:szCs w:val="21"/>
              </w:rPr>
              <w:t>分，扣完为止。（缺陷是指内容与实际情况不匹配、凭空编造、存在逻辑漏洞、科学原理错误、不可能实现的夸大情形以及涉及的规范标准与本项目要求不一致、内容简略、内容与本项目无关等任意一种情形）</w:t>
            </w:r>
          </w:p>
        </w:tc>
        <w:tc>
          <w:tcPr>
            <w:tcW w:w="1067"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ind w:firstLine="28"/>
              <w:jc w:val="center"/>
              <w:rPr>
                <w:rFonts w:hint="eastAsia" w:ascii="宋体" w:hAnsi="宋体" w:cs="宋体"/>
                <w:sz w:val="21"/>
                <w:szCs w:val="21"/>
                <w:lang w:val="en-US" w:eastAsia="zh-CN"/>
              </w:rPr>
            </w:pPr>
            <w:r>
              <w:rPr>
                <w:rFonts w:hint="eastAsia" w:ascii="宋体" w:hAnsi="宋体" w:cs="宋体"/>
                <w:sz w:val="21"/>
                <w:szCs w:val="21"/>
                <w:lang w:val="en-US" w:eastAsia="zh-CN"/>
              </w:rPr>
              <w:t>7</w:t>
            </w:r>
          </w:p>
        </w:tc>
        <w:tc>
          <w:tcPr>
            <w:tcW w:w="1226" w:type="dxa"/>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平台</w:t>
            </w:r>
          </w:p>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开发</w:t>
            </w:r>
          </w:p>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设计</w:t>
            </w:r>
          </w:p>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方案</w:t>
            </w:r>
          </w:p>
          <w:p>
            <w:pPr>
              <w:spacing w:line="240" w:lineRule="auto"/>
              <w:jc w:val="center"/>
              <w:rPr>
                <w:rFonts w:hint="eastAsia" w:ascii="宋体" w:hAnsi="宋体" w:cs="宋体"/>
                <w:sz w:val="21"/>
                <w:szCs w:val="21"/>
                <w:lang w:eastAsia="zh-CN"/>
              </w:rPr>
            </w:pPr>
            <w:r>
              <w:rPr>
                <w:rFonts w:hint="default" w:ascii="宋体" w:hAnsi="宋体" w:eastAsia="宋体" w:cs="宋体"/>
                <w:sz w:val="21"/>
                <w:szCs w:val="21"/>
              </w:rPr>
              <w:t>10</w:t>
            </w:r>
            <w:r>
              <w:rPr>
                <w:rFonts w:hint="eastAsia" w:ascii="宋体" w:hAnsi="宋体" w:eastAsia="宋体" w:cs="宋体"/>
                <w:sz w:val="21"/>
                <w:szCs w:val="21"/>
              </w:rPr>
              <w:t>%</w:t>
            </w:r>
          </w:p>
        </w:tc>
        <w:tc>
          <w:tcPr>
            <w:tcW w:w="777" w:type="dxa"/>
            <w:vAlign w:val="center"/>
          </w:tcPr>
          <w:p>
            <w:pPr>
              <w:spacing w:line="24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10分</w:t>
            </w:r>
          </w:p>
        </w:tc>
        <w:tc>
          <w:tcPr>
            <w:tcW w:w="55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智慧街道（社区）两级平台</w:t>
            </w:r>
            <w:r>
              <w:rPr>
                <w:rFonts w:hint="eastAsia" w:ascii="宋体" w:hAnsi="宋体" w:eastAsia="宋体" w:cs="宋体"/>
                <w:sz w:val="21"/>
                <w:szCs w:val="21"/>
              </w:rPr>
              <w:t>根据甲方实际需求提供定制化开发，包括以下内容：</w:t>
            </w:r>
          </w:p>
          <w:p>
            <w:pPr>
              <w:spacing w:line="240" w:lineRule="auto"/>
              <w:rPr>
                <w:rFonts w:hint="eastAsia" w:ascii="宋体" w:hAnsi="宋体" w:eastAsia="宋体" w:cs="宋体"/>
                <w:sz w:val="21"/>
                <w:szCs w:val="21"/>
              </w:rPr>
            </w:pPr>
            <w:r>
              <w:rPr>
                <w:rFonts w:hint="eastAsia" w:ascii="宋体" w:hAnsi="宋体" w:eastAsia="宋体" w:cs="宋体"/>
                <w:sz w:val="21"/>
                <w:szCs w:val="21"/>
              </w:rPr>
              <w:t>总体要求：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整体系统要遵从社区工作实际、体现社区发展治理的核心理念，且已有应用技术相对成熟：</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系统架构设计能够将社区各项发展治理工作进行有效梳理和归类，对社区各项治理要素进行充分体现；</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按照成都市智慧社区建设相关文件精神搭建“智慧党建”、“智慧治理”、“智慧安全”、“智慧服务”四大模块，构建基础数据库；</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整体系统针对不同用户主体进行个性化、定制化功能开发，如：满足对居民使用小程序端、社区管理者后台及大数据可视化等的需求定制化开发支持</w:t>
            </w:r>
            <w:r>
              <w:rPr>
                <w:rFonts w:hint="eastAsia" w:ascii="宋体" w:hAnsi="宋体" w:eastAsia="宋体" w:cs="宋体"/>
                <w:sz w:val="21"/>
                <w:szCs w:val="21"/>
                <w:lang w:val="en-US" w:eastAsia="zh-CN"/>
              </w:rPr>
              <w:t>以及信息发布终端多网口预留</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系统必须具备居民可实际操作功能，例如：</w:t>
            </w:r>
            <w:r>
              <w:rPr>
                <w:rFonts w:hint="eastAsia" w:ascii="宋体" w:hAnsi="宋体" w:eastAsia="宋体" w:cs="宋体"/>
                <w:sz w:val="21"/>
                <w:szCs w:val="21"/>
                <w:lang w:val="en-US" w:eastAsia="zh-CN"/>
              </w:rPr>
              <w:t>网格管理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书记信箱</w:t>
            </w:r>
            <w:r>
              <w:rPr>
                <w:rFonts w:hint="eastAsia" w:ascii="宋体" w:hAnsi="宋体" w:eastAsia="宋体" w:cs="宋体"/>
                <w:sz w:val="21"/>
                <w:szCs w:val="21"/>
              </w:rPr>
              <w:t>、调节预约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社区商圈、便民信息</w:t>
            </w:r>
            <w:r>
              <w:rPr>
                <w:rFonts w:hint="eastAsia" w:ascii="宋体" w:hAnsi="宋体" w:eastAsia="宋体" w:cs="宋体"/>
                <w:sz w:val="21"/>
                <w:szCs w:val="21"/>
              </w:rPr>
              <w:t>、志愿申报、党员身份认证、商家信息采集编辑、</w:t>
            </w:r>
            <w:r>
              <w:rPr>
                <w:rFonts w:hint="eastAsia" w:ascii="宋体" w:hAnsi="宋体" w:eastAsia="宋体" w:cs="宋体"/>
                <w:sz w:val="21"/>
                <w:szCs w:val="21"/>
                <w:lang w:val="en-US" w:eastAsia="zh-CN"/>
              </w:rPr>
              <w:t>安全教育、健康防疫、物业服务、社区事务、一键求助、</w:t>
            </w:r>
            <w:r>
              <w:rPr>
                <w:rFonts w:hint="eastAsia" w:ascii="宋体" w:hAnsi="宋体" w:eastAsia="宋体" w:cs="宋体"/>
                <w:sz w:val="21"/>
                <w:szCs w:val="21"/>
              </w:rPr>
              <w:t>工作报告等并满足社区提出的任何定制化需求功能的开发；</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系统要能体现实时数据推送，清晰知晓用户端客户变化量并能够满足社区提出的各种统计报表</w:t>
            </w:r>
            <w:r>
              <w:rPr>
                <w:rFonts w:hint="eastAsia" w:ascii="宋体" w:hAnsi="宋体" w:eastAsia="宋体" w:cs="宋体"/>
                <w:sz w:val="21"/>
                <w:szCs w:val="21"/>
                <w:lang w:val="en-US" w:eastAsia="zh-CN"/>
              </w:rPr>
              <w:t>与数据分析</w:t>
            </w:r>
            <w:r>
              <w:rPr>
                <w:rFonts w:hint="eastAsia" w:ascii="宋体" w:hAnsi="宋体" w:eastAsia="宋体" w:cs="宋体"/>
                <w:sz w:val="21"/>
                <w:szCs w:val="21"/>
              </w:rPr>
              <w:t>的定制化开发需求。</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以上功能</w:t>
            </w:r>
            <w:r>
              <w:rPr>
                <w:rFonts w:hint="default" w:ascii="宋体" w:hAnsi="宋体" w:eastAsia="宋体" w:cs="宋体"/>
                <w:sz w:val="21"/>
                <w:szCs w:val="21"/>
              </w:rPr>
              <w:t>要求图文并茂的提供设计思路和开发方案。</w:t>
            </w:r>
            <w:r>
              <w:rPr>
                <w:rFonts w:hint="eastAsia" w:ascii="宋体" w:hAnsi="宋体" w:eastAsia="宋体" w:cs="宋体"/>
                <w:sz w:val="21"/>
                <w:szCs w:val="21"/>
              </w:rPr>
              <w:t>要求方案满足</w:t>
            </w:r>
            <w:r>
              <w:rPr>
                <w:rFonts w:hint="eastAsia" w:ascii="宋体" w:hAnsi="宋体" w:eastAsia="宋体" w:cs="宋体"/>
                <w:sz w:val="21"/>
                <w:szCs w:val="21"/>
                <w:lang w:val="en-US" w:eastAsia="zh-CN"/>
              </w:rPr>
              <w:t>青龙街道</w:t>
            </w:r>
            <w:r>
              <w:rPr>
                <w:rFonts w:hint="default" w:ascii="宋体" w:hAnsi="宋体" w:eastAsia="宋体" w:cs="宋体"/>
                <w:sz w:val="21"/>
                <w:szCs w:val="21"/>
                <w:lang w:eastAsia="zh-CN"/>
              </w:rPr>
              <w:t>及社区的</w:t>
            </w:r>
            <w:r>
              <w:rPr>
                <w:rFonts w:hint="eastAsia" w:ascii="宋体" w:hAnsi="宋体" w:eastAsia="宋体" w:cs="宋体"/>
                <w:sz w:val="21"/>
                <w:szCs w:val="21"/>
              </w:rPr>
              <w:t>实际需求、不存在凭空编造、逻辑漏洞以及不可能实现的夸大情形等情况。方案内容完整且完全满足要求的得</w:t>
            </w:r>
            <w:r>
              <w:rPr>
                <w:rFonts w:hint="default" w:ascii="宋体" w:hAnsi="宋体" w:eastAsia="宋体" w:cs="宋体"/>
                <w:sz w:val="21"/>
                <w:szCs w:val="21"/>
              </w:rPr>
              <w:t>10</w:t>
            </w:r>
            <w:r>
              <w:rPr>
                <w:rFonts w:hint="eastAsia" w:ascii="宋体" w:hAnsi="宋体" w:eastAsia="宋体" w:cs="宋体"/>
                <w:sz w:val="21"/>
                <w:szCs w:val="21"/>
              </w:rPr>
              <w:t>分；</w:t>
            </w:r>
            <w:r>
              <w:rPr>
                <w:rFonts w:hint="eastAsia" w:ascii="宋体" w:hAnsi="宋体" w:cs="宋体"/>
                <w:sz w:val="21"/>
                <w:szCs w:val="21"/>
              </w:rPr>
              <w:t>每有一项内容缺失扣</w:t>
            </w:r>
            <w:r>
              <w:rPr>
                <w:rFonts w:hint="eastAsia" w:ascii="宋体" w:hAnsi="宋体" w:cs="宋体"/>
                <w:sz w:val="21"/>
                <w:szCs w:val="21"/>
                <w:lang w:val="en-US" w:eastAsia="zh-CN"/>
              </w:rPr>
              <w:t>2</w:t>
            </w:r>
            <w:r>
              <w:rPr>
                <w:rFonts w:hint="eastAsia" w:ascii="宋体" w:hAnsi="宋体" w:cs="宋体"/>
                <w:sz w:val="21"/>
                <w:szCs w:val="21"/>
              </w:rPr>
              <w:t>分，每有一项存在内容缺陷的扣</w:t>
            </w:r>
            <w:r>
              <w:rPr>
                <w:rFonts w:hint="eastAsia" w:ascii="宋体" w:hAnsi="宋体" w:cs="宋体"/>
                <w:sz w:val="21"/>
                <w:szCs w:val="21"/>
                <w:lang w:val="en-US" w:eastAsia="zh-CN"/>
              </w:rPr>
              <w:t>1</w:t>
            </w:r>
            <w:r>
              <w:rPr>
                <w:rFonts w:hint="eastAsia" w:ascii="宋体" w:hAnsi="宋体" w:cs="宋体"/>
                <w:sz w:val="21"/>
                <w:szCs w:val="21"/>
              </w:rPr>
              <w:t>分，扣完为止。（缺陷是指内容与实际情况不匹配、凭空编造、存在逻辑漏洞、科学原理错误、不可能实现的夸大情形以及涉及的规范标准与本项目要求不一致、内容简略、内容与本项目无关等任意一种情形）</w:t>
            </w:r>
          </w:p>
        </w:tc>
        <w:tc>
          <w:tcPr>
            <w:tcW w:w="1067" w:type="dxa"/>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226" w:type="dxa"/>
            <w:vAlign w:val="center"/>
          </w:tcPr>
          <w:p>
            <w:pPr>
              <w:spacing w:line="240" w:lineRule="auto"/>
              <w:jc w:val="center"/>
              <w:rPr>
                <w:rFonts w:ascii="宋体" w:hAnsi="宋体" w:cs="宋体"/>
                <w:sz w:val="21"/>
                <w:szCs w:val="21"/>
              </w:rPr>
            </w:pPr>
            <w:r>
              <w:rPr>
                <w:rFonts w:hint="eastAsia" w:ascii="宋体" w:hAnsi="宋体" w:cs="宋体"/>
                <w:color w:val="000000"/>
                <w:kern w:val="0"/>
                <w:sz w:val="21"/>
                <w:szCs w:val="21"/>
              </w:rPr>
              <w:t>节能、环境标志产品2%</w:t>
            </w:r>
          </w:p>
        </w:tc>
        <w:tc>
          <w:tcPr>
            <w:tcW w:w="777" w:type="dxa"/>
            <w:vAlign w:val="center"/>
          </w:tcPr>
          <w:p>
            <w:pPr>
              <w:spacing w:line="240" w:lineRule="auto"/>
              <w:jc w:val="center"/>
              <w:rPr>
                <w:rFonts w:ascii="宋体" w:hAnsi="宋体" w:cs="宋体"/>
                <w:sz w:val="21"/>
                <w:szCs w:val="21"/>
              </w:rPr>
            </w:pPr>
            <w:r>
              <w:rPr>
                <w:rFonts w:hint="eastAsia" w:ascii="宋体" w:hAnsi="宋体" w:cs="宋体"/>
                <w:sz w:val="21"/>
                <w:szCs w:val="21"/>
              </w:rPr>
              <w:t>2分</w:t>
            </w:r>
          </w:p>
        </w:tc>
        <w:tc>
          <w:tcPr>
            <w:tcW w:w="5511" w:type="dxa"/>
            <w:vAlign w:val="center"/>
          </w:tcPr>
          <w:p>
            <w:pPr>
              <w:spacing w:line="240" w:lineRule="auto"/>
              <w:rPr>
                <w:rFonts w:ascii="宋体" w:hAnsi="宋体" w:cs="宋体"/>
                <w:sz w:val="21"/>
                <w:szCs w:val="21"/>
              </w:rPr>
            </w:pPr>
            <w:r>
              <w:rPr>
                <w:rFonts w:hint="eastAsia" w:ascii="宋体" w:hAnsi="宋体" w:cs="宋体"/>
                <w:sz w:val="21"/>
                <w:szCs w:val="21"/>
              </w:rPr>
              <w:t>报价产品中属于政府采购优先采购范围的，则每有一项为节能产品或者环境标志产品的得1分，非节能、环境标志产品的、无线局域网产品的不得分。本项最多得2分。</w:t>
            </w:r>
          </w:p>
          <w:p>
            <w:pPr>
              <w:spacing w:line="240" w:lineRule="auto"/>
              <w:rPr>
                <w:rFonts w:ascii="宋体" w:hAnsi="宋体" w:cs="宋体"/>
                <w:sz w:val="21"/>
                <w:szCs w:val="21"/>
              </w:rPr>
            </w:pPr>
            <w:r>
              <w:rPr>
                <w:rFonts w:hint="eastAsia" w:ascii="宋体" w:hAnsi="宋体" w:cs="宋体"/>
                <w:sz w:val="21"/>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240" w:lineRule="auto"/>
              <w:rPr>
                <w:rFonts w:ascii="宋体" w:hAnsi="宋体" w:cs="宋体"/>
                <w:sz w:val="21"/>
                <w:szCs w:val="21"/>
              </w:rPr>
            </w:pPr>
            <w:r>
              <w:rPr>
                <w:rFonts w:hint="eastAsia" w:ascii="宋体" w:hAnsi="宋体" w:cs="宋体"/>
                <w:sz w:val="21"/>
                <w:szCs w:val="21"/>
              </w:rPr>
              <w:t>2. 报价产品属于优先采购范围内的节能产品或者环境标志产品的，提供国家确定的认证机构出具的、处于有效期之内的节能产品、环境标志产品认证证书复印件加盖供应商公章（鲜章）。</w:t>
            </w:r>
          </w:p>
        </w:tc>
        <w:tc>
          <w:tcPr>
            <w:tcW w:w="1067" w:type="dxa"/>
            <w:vAlign w:val="center"/>
          </w:tcPr>
          <w:p>
            <w:pPr>
              <w:spacing w:line="240" w:lineRule="auto"/>
              <w:jc w:val="center"/>
              <w:rPr>
                <w:rFonts w:ascii="宋体" w:hAnsi="宋体" w:cs="宋体"/>
                <w:sz w:val="21"/>
                <w:szCs w:val="21"/>
              </w:rPr>
            </w:pPr>
          </w:p>
        </w:tc>
      </w:tr>
    </w:tbl>
    <w:p>
      <w:pPr>
        <w:spacing w:line="360" w:lineRule="auto"/>
        <w:rPr>
          <w:b/>
        </w:rPr>
      </w:pPr>
      <w:r>
        <w:rPr>
          <w:rFonts w:hint="eastAsia"/>
          <w:b/>
        </w:rPr>
        <w:br w:type="page"/>
      </w:r>
    </w:p>
    <w:p>
      <w:pPr>
        <w:pStyle w:val="2"/>
      </w:pPr>
    </w:p>
    <w:p>
      <w:pPr>
        <w:spacing w:line="360" w:lineRule="auto"/>
        <w:ind w:firstLine="240" w:firstLineChars="100"/>
      </w:pPr>
      <w:r>
        <w:rPr>
          <w:rFonts w:hint="eastAsia"/>
          <w:sz w:val="24"/>
        </w:rPr>
        <w:t>注：评分的取值按四舍五入法，保留小数点后两位。</w:t>
      </w:r>
      <w:bookmarkEnd w:id="209"/>
      <w:bookmarkEnd w:id="210"/>
      <w:bookmarkEnd w:id="211"/>
      <w:bookmarkEnd w:id="212"/>
      <w:bookmarkStart w:id="219" w:name="_Toc21472_WPSOffice_Level2"/>
    </w:p>
    <w:p>
      <w:pPr>
        <w:pStyle w:val="4"/>
        <w:keepNext w:val="0"/>
        <w:keepLines w:val="0"/>
        <w:spacing w:before="0" w:after="0" w:line="360" w:lineRule="auto"/>
        <w:ind w:firstLine="472" w:firstLineChars="196"/>
        <w:rPr>
          <w:rFonts w:ascii="宋体" w:hAnsi="宋体" w:eastAsia="宋体"/>
          <w:sz w:val="24"/>
          <w:szCs w:val="24"/>
        </w:rPr>
      </w:pPr>
      <w:bookmarkStart w:id="220" w:name="_Toc32701_WPSOffice_Level2"/>
      <w:r>
        <w:rPr>
          <w:rFonts w:hint="eastAsia" w:ascii="宋体" w:hAnsi="宋体" w:eastAsia="宋体"/>
          <w:sz w:val="24"/>
          <w:szCs w:val="24"/>
        </w:rPr>
        <w:t>4.磋商纪律及注意事项</w:t>
      </w:r>
      <w:bookmarkEnd w:id="219"/>
      <w:bookmarkEnd w:id="220"/>
    </w:p>
    <w:p>
      <w:pPr>
        <w:tabs>
          <w:tab w:val="left" w:pos="851"/>
        </w:tabs>
        <w:spacing w:line="360" w:lineRule="auto"/>
        <w:ind w:firstLine="480" w:firstLineChars="200"/>
        <w:rPr>
          <w:rFonts w:ascii="宋体" w:hAnsi="宋体"/>
          <w:sz w:val="24"/>
        </w:rPr>
      </w:pPr>
      <w:r>
        <w:rPr>
          <w:rFonts w:hint="eastAsia" w:ascii="宋体"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sz w:val="24"/>
        </w:rPr>
      </w:pPr>
      <w:r>
        <w:rPr>
          <w:rFonts w:hint="eastAsia" w:ascii="宋体" w:hAnsi="宋体"/>
          <w:sz w:val="24"/>
        </w:rPr>
        <w:t>4.2在磋商过程中，供应商不得以任何形式对磋商小组成员进行旨在影响</w:t>
      </w:r>
      <w:r>
        <w:rPr>
          <w:rFonts w:hint="eastAsia" w:ascii="宋体" w:hAnsi="宋体"/>
          <w:sz w:val="24"/>
          <w:lang w:val="en-US" w:eastAsia="zh-CN"/>
        </w:rPr>
        <w:t>磋商</w:t>
      </w:r>
      <w:r>
        <w:rPr>
          <w:rFonts w:hint="eastAsia" w:ascii="宋体" w:hAnsi="宋体"/>
          <w:sz w:val="24"/>
        </w:rPr>
        <w:t>结果的私下接触，否则将取消其参与磋商的资格。</w:t>
      </w:r>
    </w:p>
    <w:p>
      <w:pPr>
        <w:tabs>
          <w:tab w:val="left" w:pos="851"/>
        </w:tabs>
        <w:spacing w:line="360" w:lineRule="auto"/>
        <w:ind w:firstLine="480" w:firstLineChars="200"/>
        <w:rPr>
          <w:rFonts w:ascii="宋体" w:hAnsi="宋体"/>
          <w:sz w:val="24"/>
        </w:rPr>
      </w:pPr>
      <w:r>
        <w:rPr>
          <w:rFonts w:hint="eastAsia" w:ascii="宋体"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ascii="宋体" w:hAnsi="宋体"/>
          <w:sz w:val="24"/>
        </w:rPr>
      </w:pPr>
      <w:r>
        <w:rPr>
          <w:rFonts w:hint="eastAsia" w:ascii="宋体" w:hAnsi="宋体"/>
          <w:sz w:val="24"/>
        </w:rPr>
        <w:t>4.4 磋商小组独立评判，推荐成交候选人，并写出书面报告。</w:t>
      </w:r>
    </w:p>
    <w:p>
      <w:pPr>
        <w:tabs>
          <w:tab w:val="left" w:pos="851"/>
        </w:tabs>
        <w:spacing w:line="360" w:lineRule="auto"/>
        <w:ind w:firstLine="480" w:firstLineChars="200"/>
        <w:rPr>
          <w:rFonts w:ascii="宋体" w:hAnsi="宋体"/>
          <w:sz w:val="24"/>
        </w:rPr>
      </w:pPr>
      <w:r>
        <w:rPr>
          <w:rFonts w:hint="eastAsia" w:ascii="宋体" w:hAnsi="宋体"/>
          <w:sz w:val="24"/>
        </w:rPr>
        <w:t>4.5 磋商小组可根据需要对供应商进行实地考察。</w:t>
      </w:r>
    </w:p>
    <w:p>
      <w:pPr>
        <w:spacing w:line="360" w:lineRule="auto"/>
        <w:rPr>
          <w:rFonts w:ascii="宋体"/>
          <w:szCs w:val="21"/>
        </w:rPr>
      </w:pPr>
    </w:p>
    <w:p>
      <w:pPr>
        <w:pStyle w:val="4"/>
        <w:keepNext w:val="0"/>
        <w:keepLines w:val="0"/>
        <w:spacing w:before="0" w:after="0" w:line="360" w:lineRule="auto"/>
        <w:ind w:firstLine="472" w:firstLineChars="196"/>
        <w:rPr>
          <w:rFonts w:ascii="宋体" w:hAnsi="宋体" w:eastAsia="宋体"/>
          <w:sz w:val="24"/>
          <w:szCs w:val="24"/>
        </w:rPr>
      </w:pPr>
      <w:bookmarkStart w:id="221" w:name="_Toc17761_WPSOffice_Level2"/>
      <w:bookmarkStart w:id="222" w:name="_Toc29183_WPSOffice_Level2"/>
      <w:r>
        <w:rPr>
          <w:rFonts w:hint="eastAsia" w:ascii="宋体" w:hAnsi="宋体" w:eastAsia="宋体"/>
          <w:sz w:val="24"/>
          <w:szCs w:val="24"/>
        </w:rPr>
        <w:t>5.</w:t>
      </w:r>
      <w:bookmarkEnd w:id="213"/>
      <w:r>
        <w:rPr>
          <w:rFonts w:hint="eastAsia" w:ascii="宋体" w:hAnsi="宋体" w:eastAsia="宋体"/>
          <w:sz w:val="24"/>
          <w:szCs w:val="24"/>
        </w:rPr>
        <w:t>磋商小组在政府采购活动中承担以下义务：</w:t>
      </w:r>
      <w:bookmarkEnd w:id="221"/>
      <w:bookmarkEnd w:id="222"/>
    </w:p>
    <w:p>
      <w:pPr>
        <w:tabs>
          <w:tab w:val="left" w:pos="7665"/>
        </w:tabs>
        <w:spacing w:line="360" w:lineRule="auto"/>
        <w:ind w:firstLine="480" w:firstLineChars="200"/>
        <w:rPr>
          <w:rFonts w:ascii="宋体" w:hAnsi="宋体"/>
          <w:sz w:val="24"/>
        </w:rPr>
      </w:pPr>
      <w:r>
        <w:rPr>
          <w:rFonts w:hint="eastAsia" w:ascii="宋体" w:hAnsi="宋体"/>
          <w:sz w:val="24"/>
        </w:rPr>
        <w:t>（1）遵守评审工作纪律；</w:t>
      </w:r>
    </w:p>
    <w:p>
      <w:pPr>
        <w:tabs>
          <w:tab w:val="left" w:pos="7665"/>
        </w:tabs>
        <w:spacing w:line="360" w:lineRule="auto"/>
        <w:ind w:firstLine="480" w:firstLineChars="200"/>
        <w:rPr>
          <w:rFonts w:ascii="宋体" w:hAnsi="宋体"/>
          <w:sz w:val="24"/>
        </w:rPr>
      </w:pPr>
      <w:r>
        <w:rPr>
          <w:rFonts w:hint="eastAsia" w:ascii="宋体" w:hAnsi="宋体"/>
          <w:sz w:val="24"/>
        </w:rPr>
        <w:t>（2）按照客观、公正、审慎的原则，根据磋商文件规定的评审程序、评审方法和评审标准进行独立评审；</w:t>
      </w:r>
    </w:p>
    <w:p>
      <w:pPr>
        <w:tabs>
          <w:tab w:val="left" w:pos="7665"/>
        </w:tabs>
        <w:spacing w:line="360" w:lineRule="auto"/>
        <w:ind w:firstLine="480" w:firstLineChars="200"/>
        <w:rPr>
          <w:rFonts w:ascii="宋体" w:hAnsi="宋体"/>
          <w:sz w:val="24"/>
        </w:rPr>
      </w:pPr>
      <w:r>
        <w:rPr>
          <w:rFonts w:hint="eastAsia" w:ascii="宋体" w:hAnsi="宋体"/>
          <w:sz w:val="24"/>
        </w:rPr>
        <w:t>（3）不得泄露评审文件、评审情况和在评审过程中获悉的商业秘密；</w:t>
      </w:r>
    </w:p>
    <w:p>
      <w:pPr>
        <w:tabs>
          <w:tab w:val="left" w:pos="7665"/>
        </w:tabs>
        <w:spacing w:line="360" w:lineRule="auto"/>
        <w:ind w:firstLine="480" w:firstLineChars="200"/>
        <w:rPr>
          <w:rFonts w:ascii="宋体" w:hAnsi="宋体"/>
          <w:sz w:val="24"/>
        </w:rPr>
      </w:pPr>
      <w:r>
        <w:rPr>
          <w:rFonts w:hint="eastAsia" w:ascii="宋体" w:hAnsi="宋体"/>
          <w:sz w:val="24"/>
        </w:rPr>
        <w:t>（4）及时向财政部门报告评审过程中发现的采购人、采购代理机构向评审专家做倾向性、误导性的解释或者说明，以及供应商行贿、提供虚假材料或者串通等违法行为；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sz w:val="24"/>
        </w:rPr>
      </w:pPr>
      <w:r>
        <w:rPr>
          <w:rFonts w:hint="eastAsia" w:ascii="宋体" w:hAnsi="宋体"/>
          <w:sz w:val="24"/>
        </w:rPr>
        <w:t>（5）发现磋商文件内容违反国家有关强制性规定或者磋商文件存在歧义、重大缺陷导致评审工作无法进行时，停止评审并向采购人或者采购代理机构书面说明情况；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sz w:val="24"/>
        </w:rPr>
      </w:pPr>
      <w:r>
        <w:rPr>
          <w:rFonts w:hint="eastAsia" w:ascii="宋体" w:hAnsi="宋体"/>
          <w:sz w:val="24"/>
        </w:rPr>
        <w:t>（6）及时向财政、监察等部门举报在评审过程中受到非法干预的情况；</w:t>
      </w:r>
    </w:p>
    <w:p>
      <w:pPr>
        <w:tabs>
          <w:tab w:val="left" w:pos="7665"/>
        </w:tabs>
        <w:spacing w:line="360" w:lineRule="auto"/>
        <w:ind w:firstLine="480" w:firstLineChars="200"/>
        <w:rPr>
          <w:rFonts w:ascii="宋体" w:hAnsi="宋体"/>
          <w:sz w:val="24"/>
        </w:rPr>
      </w:pPr>
      <w:r>
        <w:rPr>
          <w:rFonts w:hint="eastAsia" w:ascii="宋体" w:hAnsi="宋体"/>
          <w:sz w:val="24"/>
        </w:rPr>
        <w:t>（7）配合答复处理供应商的询问、质疑和投诉等事项；</w:t>
      </w:r>
    </w:p>
    <w:p>
      <w:pPr>
        <w:tabs>
          <w:tab w:val="left" w:pos="7665"/>
        </w:tabs>
        <w:spacing w:line="360" w:lineRule="auto"/>
        <w:ind w:firstLine="480" w:firstLineChars="200"/>
        <w:rPr>
          <w:rFonts w:ascii="宋体" w:hAnsi="宋体"/>
          <w:sz w:val="24"/>
        </w:rPr>
      </w:pPr>
      <w:r>
        <w:rPr>
          <w:rFonts w:hint="eastAsia" w:ascii="宋体" w:hAnsi="宋体"/>
          <w:sz w:val="24"/>
        </w:rPr>
        <w:t>（8）法律、法规和规章规定的其他义务。</w:t>
      </w:r>
    </w:p>
    <w:p>
      <w:pPr>
        <w:spacing w:line="360" w:lineRule="auto"/>
        <w:rPr>
          <w:rFonts w:ascii="宋体" w:hAnsi="宋体"/>
          <w:szCs w:val="21"/>
        </w:rPr>
      </w:pPr>
    </w:p>
    <w:p>
      <w:pPr>
        <w:pStyle w:val="4"/>
        <w:keepNext w:val="0"/>
        <w:keepLines w:val="0"/>
        <w:spacing w:before="0" w:after="0" w:line="360" w:lineRule="auto"/>
        <w:ind w:firstLine="472" w:firstLineChars="196"/>
        <w:rPr>
          <w:rFonts w:ascii="宋体" w:hAnsi="宋体" w:eastAsia="宋体"/>
          <w:sz w:val="24"/>
          <w:szCs w:val="24"/>
        </w:rPr>
      </w:pPr>
      <w:bookmarkStart w:id="223" w:name="_Toc13308_WPSOffice_Level2"/>
      <w:bookmarkStart w:id="224" w:name="_Toc17404_WPSOffice_Level2"/>
      <w:r>
        <w:rPr>
          <w:rFonts w:hint="eastAsia" w:ascii="宋体" w:hAnsi="宋体" w:eastAsia="宋体"/>
          <w:sz w:val="24"/>
          <w:szCs w:val="24"/>
        </w:rPr>
        <w:t>6.评审专家在政府采购活动中应当遵守以下工作纪律：</w:t>
      </w:r>
      <w:bookmarkEnd w:id="223"/>
      <w:bookmarkEnd w:id="224"/>
    </w:p>
    <w:p>
      <w:pPr>
        <w:tabs>
          <w:tab w:val="left" w:pos="7665"/>
        </w:tabs>
        <w:spacing w:line="360" w:lineRule="auto"/>
        <w:ind w:firstLine="480" w:firstLineChars="200"/>
        <w:rPr>
          <w:rFonts w:ascii="宋体" w:hAnsi="宋体"/>
          <w:sz w:val="24"/>
        </w:rPr>
      </w:pPr>
      <w:r>
        <w:rPr>
          <w:rFonts w:hint="eastAsia" w:ascii="宋体" w:hAnsi="宋体"/>
          <w:sz w:val="24"/>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sz w:val="24"/>
        </w:rPr>
      </w:pPr>
      <w:r>
        <w:rPr>
          <w:rFonts w:hint="eastAsia" w:ascii="宋体" w:hAnsi="宋体"/>
          <w:sz w:val="24"/>
        </w:rPr>
        <w:t>（2）评审前，应当将通讯工具或者相关电子设备交由采购代理机构统一保管；</w:t>
      </w:r>
    </w:p>
    <w:p>
      <w:pPr>
        <w:tabs>
          <w:tab w:val="left" w:pos="7665"/>
        </w:tabs>
        <w:spacing w:line="360" w:lineRule="auto"/>
        <w:ind w:firstLine="480" w:firstLineChars="200"/>
        <w:rPr>
          <w:rFonts w:ascii="宋体" w:hAnsi="宋体"/>
          <w:sz w:val="24"/>
        </w:rPr>
      </w:pPr>
      <w:r>
        <w:rPr>
          <w:rFonts w:hint="eastAsia" w:ascii="宋体" w:hAnsi="宋体"/>
          <w:sz w:val="24"/>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rPr>
      </w:pPr>
      <w:r>
        <w:rPr>
          <w:rFonts w:hint="eastAsia" w:ascii="宋体" w:hAnsi="宋体"/>
          <w:sz w:val="24"/>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rPr>
      </w:pPr>
      <w:r>
        <w:rPr>
          <w:rFonts w:hint="eastAsia" w:ascii="宋体" w:hAnsi="宋体"/>
          <w:sz w:val="24"/>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rPr>
      </w:pPr>
      <w:r>
        <w:rPr>
          <w:rFonts w:hint="eastAsia" w:ascii="宋体" w:hAnsi="宋体"/>
          <w:sz w:val="24"/>
        </w:rPr>
        <w:t>（6）评审现场服从采购代理机构工作人员的管理，接受现场监督人员的合法监督；</w:t>
      </w:r>
    </w:p>
    <w:p>
      <w:pPr>
        <w:tabs>
          <w:tab w:val="left" w:pos="7665"/>
        </w:tabs>
        <w:spacing w:line="360" w:lineRule="auto"/>
        <w:ind w:firstLine="480" w:firstLineChars="200"/>
        <w:rPr>
          <w:rFonts w:ascii="宋体" w:hAnsi="宋体"/>
          <w:sz w:val="24"/>
        </w:rPr>
      </w:pPr>
      <w:r>
        <w:rPr>
          <w:rFonts w:hint="eastAsia" w:ascii="宋体" w:hAnsi="宋体"/>
          <w:sz w:val="24"/>
        </w:rPr>
        <w:t>（7）遵守有关廉洁自律规定，不得私下接触供应商，不得收受供应商及有关业务单位和个人的财物或好处，不得接受采购代理机构的请托。</w:t>
      </w:r>
    </w:p>
    <w:p>
      <w:pPr>
        <w:pStyle w:val="3"/>
        <w:spacing w:before="0" w:after="0" w:line="360" w:lineRule="auto"/>
        <w:jc w:val="center"/>
      </w:pPr>
      <w:r>
        <w:rPr>
          <w:rFonts w:hint="eastAsia"/>
        </w:rPr>
        <w:br w:type="page"/>
      </w:r>
      <w:bookmarkStart w:id="225" w:name="_Toc28556_WPSOffice_Level1"/>
      <w:bookmarkStart w:id="226" w:name="_Toc14405_WPSOffice_Level1"/>
      <w:bookmarkStart w:id="227" w:name="_Toc10837"/>
      <w:r>
        <w:rPr>
          <w:rFonts w:hint="eastAsia"/>
        </w:rPr>
        <w:t>第九章  政府采购合同（草案）</w:t>
      </w:r>
      <w:bookmarkEnd w:id="118"/>
      <w:bookmarkEnd w:id="119"/>
      <w:bookmarkEnd w:id="120"/>
      <w:bookmarkEnd w:id="225"/>
      <w:bookmarkEnd w:id="226"/>
      <w:bookmarkEnd w:id="227"/>
      <w:bookmarkStart w:id="228" w:name="_Hlt101846155"/>
      <w:bookmarkEnd w:id="228"/>
    </w:p>
    <w:p>
      <w:pPr>
        <w:wordWrap w:val="0"/>
        <w:jc w:val="right"/>
        <w:rPr>
          <w:rFonts w:ascii="宋体" w:hAnsi="宋体" w:cs="宋体"/>
          <w:b/>
          <w:sz w:val="28"/>
          <w:szCs w:val="28"/>
        </w:rPr>
      </w:pPr>
    </w:p>
    <w:p>
      <w:pPr>
        <w:spacing w:line="360" w:lineRule="auto"/>
        <w:ind w:firstLine="480" w:firstLineChars="200"/>
        <w:rPr>
          <w:rFonts w:ascii="宋体" w:hAnsi="宋体" w:cs="宋体"/>
          <w:sz w:val="24"/>
        </w:rPr>
      </w:pPr>
      <w:r>
        <w:rPr>
          <w:rFonts w:hint="eastAsia" w:ascii="宋体" w:hAnsi="宋体" w:cs="宋体"/>
          <w:sz w:val="24"/>
        </w:rPr>
        <w:t>合同编号：XXXX。</w:t>
      </w:r>
    </w:p>
    <w:p>
      <w:pPr>
        <w:spacing w:line="360" w:lineRule="auto"/>
        <w:ind w:firstLine="480" w:firstLineChars="200"/>
        <w:rPr>
          <w:rFonts w:ascii="宋体" w:hAnsi="宋体" w:cs="宋体"/>
          <w:sz w:val="24"/>
        </w:rPr>
      </w:pPr>
      <w:r>
        <w:rPr>
          <w:rFonts w:hint="eastAsia" w:ascii="宋体" w:hAnsi="宋体" w:cs="宋体"/>
          <w:sz w:val="24"/>
        </w:rPr>
        <w:t>签订地点：XXXX。</w:t>
      </w:r>
    </w:p>
    <w:p>
      <w:pPr>
        <w:spacing w:line="360" w:lineRule="auto"/>
        <w:ind w:firstLine="480" w:firstLineChars="200"/>
        <w:rPr>
          <w:rFonts w:ascii="宋体" w:hAnsi="宋体" w:cs="宋体"/>
          <w:sz w:val="24"/>
        </w:rPr>
      </w:pPr>
      <w:r>
        <w:rPr>
          <w:rFonts w:hint="eastAsia" w:ascii="宋体" w:hAnsi="宋体" w:cs="宋体"/>
          <w:sz w:val="24"/>
        </w:rPr>
        <w:t>签订时间：XXXX年XX月XX日。</w:t>
      </w:r>
    </w:p>
    <w:p>
      <w:pPr>
        <w:spacing w:line="360" w:lineRule="auto"/>
        <w:ind w:firstLine="480" w:firstLineChars="200"/>
        <w:rPr>
          <w:rFonts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依据《中华人民共和国民法典》、《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9"/>
        </w:numPr>
        <w:spacing w:line="360" w:lineRule="auto"/>
        <w:rPr>
          <w:rFonts w:ascii="宋体" w:hAnsi="宋体" w:cs="宋体"/>
          <w:b/>
          <w:sz w:val="24"/>
        </w:rPr>
      </w:pPr>
      <w:bookmarkStart w:id="229" w:name="_Toc12353_WPSOffice_Level2"/>
      <w:bookmarkStart w:id="230" w:name="_Toc24556_WPSOffice_Level2"/>
      <w:r>
        <w:rPr>
          <w:rFonts w:hint="eastAsia" w:ascii="宋体" w:hAnsi="宋体" w:cs="宋体"/>
          <w:b/>
          <w:sz w:val="24"/>
        </w:rPr>
        <w:t>项目基本情况</w:t>
      </w:r>
      <w:bookmarkEnd w:id="229"/>
      <w:bookmarkEnd w:id="230"/>
    </w:p>
    <w:p>
      <w:pPr>
        <w:numPr>
          <w:ilvl w:val="0"/>
          <w:numId w:val="9"/>
        </w:numPr>
        <w:spacing w:line="360" w:lineRule="auto"/>
        <w:rPr>
          <w:rFonts w:ascii="宋体" w:hAnsi="宋体" w:cs="宋体"/>
          <w:sz w:val="24"/>
        </w:rPr>
      </w:pPr>
      <w:bookmarkStart w:id="231" w:name="_Toc13964_WPSOffice_Level2"/>
      <w:bookmarkStart w:id="232" w:name="_Toc23965_WPSOffice_Level2"/>
      <w:r>
        <w:rPr>
          <w:rFonts w:hint="eastAsia" w:ascii="宋体" w:hAnsi="宋体" w:cs="宋体"/>
          <w:b/>
          <w:sz w:val="24"/>
        </w:rPr>
        <w:t>合同期限</w:t>
      </w:r>
      <w:bookmarkEnd w:id="231"/>
      <w:bookmarkEnd w:id="232"/>
    </w:p>
    <w:p>
      <w:pPr>
        <w:numPr>
          <w:ilvl w:val="0"/>
          <w:numId w:val="9"/>
        </w:numPr>
        <w:spacing w:line="360" w:lineRule="auto"/>
        <w:rPr>
          <w:rFonts w:ascii="宋体" w:hAnsi="宋体" w:cs="宋体"/>
          <w:b/>
          <w:sz w:val="24"/>
        </w:rPr>
      </w:pPr>
      <w:bookmarkStart w:id="233" w:name="_Toc23597_WPSOffice_Level2"/>
      <w:bookmarkStart w:id="234" w:name="_Toc11144_WPSOffice_Level2"/>
      <w:bookmarkStart w:id="235" w:name="_Toc225654644"/>
      <w:bookmarkStart w:id="236" w:name="_Toc283019214"/>
      <w:bookmarkStart w:id="237" w:name="_Toc239568418"/>
      <w:bookmarkStart w:id="238" w:name="_Toc251768862"/>
      <w:bookmarkStart w:id="239" w:name="_Toc282696226"/>
      <w:bookmarkStart w:id="240" w:name="_Toc211911348"/>
      <w:bookmarkStart w:id="241" w:name="_Toc211854449"/>
      <w:bookmarkStart w:id="242" w:name="_Toc232492928"/>
      <w:bookmarkStart w:id="243" w:name="_Toc212019594"/>
      <w:bookmarkStart w:id="244" w:name="_Toc241833903"/>
      <w:bookmarkStart w:id="245" w:name="_Toc239233914"/>
      <w:bookmarkStart w:id="246" w:name="_Toc185395249"/>
      <w:bookmarkStart w:id="247" w:name="_Toc225670751"/>
      <w:bookmarkStart w:id="248" w:name="_Toc238984975"/>
      <w:bookmarkStart w:id="249" w:name="_Toc286993786"/>
      <w:bookmarkStart w:id="250" w:name="_Toc225244852"/>
      <w:bookmarkStart w:id="251" w:name="_Toc237145406"/>
      <w:bookmarkStart w:id="252" w:name="_Toc247334841"/>
      <w:r>
        <w:rPr>
          <w:rFonts w:hint="eastAsia" w:ascii="宋体" w:hAnsi="宋体" w:cs="宋体"/>
          <w:b/>
          <w:sz w:val="24"/>
        </w:rPr>
        <w:t>服务内容与质量标准</w:t>
      </w:r>
      <w:bookmarkEnd w:id="233"/>
      <w:bookmarkEnd w:id="234"/>
    </w:p>
    <w:p>
      <w:pPr>
        <w:spacing w:line="360" w:lineRule="auto"/>
        <w:ind w:left="567"/>
        <w:rPr>
          <w:rFonts w:ascii="宋体" w:hAnsi="宋体" w:cs="宋体"/>
          <w:sz w:val="24"/>
        </w:rPr>
      </w:pPr>
      <w:r>
        <w:rPr>
          <w:rFonts w:hint="eastAsia" w:ascii="宋体" w:hAnsi="宋体" w:cs="宋体"/>
          <w:sz w:val="24"/>
        </w:rPr>
        <w:t>1、XXXX；</w:t>
      </w:r>
    </w:p>
    <w:p>
      <w:pPr>
        <w:spacing w:line="360" w:lineRule="auto"/>
        <w:ind w:left="567"/>
        <w:rPr>
          <w:rFonts w:ascii="宋体" w:hAnsi="宋体" w:cs="宋体"/>
          <w:sz w:val="24"/>
        </w:rPr>
      </w:pPr>
      <w:r>
        <w:rPr>
          <w:rFonts w:hint="eastAsia" w:ascii="宋体" w:hAnsi="宋体" w:cs="宋体"/>
          <w:sz w:val="24"/>
        </w:rPr>
        <w:t>2、XXXX；</w:t>
      </w:r>
    </w:p>
    <w:p>
      <w:pPr>
        <w:spacing w:line="360" w:lineRule="auto"/>
        <w:ind w:left="567"/>
        <w:rPr>
          <w:rFonts w:ascii="宋体" w:hAnsi="宋体" w:cs="宋体"/>
          <w:sz w:val="24"/>
        </w:rPr>
      </w:pPr>
      <w:r>
        <w:rPr>
          <w:rFonts w:hint="eastAsia" w:ascii="宋体" w:hAnsi="宋体" w:cs="宋体"/>
          <w:sz w:val="24"/>
        </w:rPr>
        <w:t>3、XXXX．</w:t>
      </w:r>
    </w:p>
    <w:p>
      <w:pPr>
        <w:numPr>
          <w:ilvl w:val="0"/>
          <w:numId w:val="9"/>
        </w:numPr>
        <w:spacing w:line="360" w:lineRule="auto"/>
        <w:rPr>
          <w:rFonts w:ascii="宋体" w:hAnsi="宋体" w:cs="宋体"/>
          <w:b/>
          <w:sz w:val="24"/>
        </w:rPr>
      </w:pPr>
      <w:bookmarkStart w:id="253" w:name="_Toc11083_WPSOffice_Level2"/>
      <w:bookmarkStart w:id="254" w:name="_Toc18159_WPSOffice_Level2"/>
      <w:r>
        <w:rPr>
          <w:rFonts w:hint="eastAsia" w:ascii="宋体" w:hAnsi="宋体" w:cs="宋体"/>
          <w:b/>
          <w:sz w:val="24"/>
        </w:rPr>
        <w:t>服务费用及支付方式</w:t>
      </w:r>
      <w:bookmarkEnd w:id="253"/>
      <w:bookmarkEnd w:id="254"/>
    </w:p>
    <w:p>
      <w:pPr>
        <w:numPr>
          <w:ilvl w:val="0"/>
          <w:numId w:val="10"/>
        </w:numPr>
        <w:spacing w:line="360" w:lineRule="auto"/>
        <w:ind w:left="0" w:firstLine="567"/>
        <w:rPr>
          <w:rFonts w:ascii="宋体" w:hAnsi="宋体" w:cs="宋体"/>
          <w:b/>
          <w:sz w:val="24"/>
        </w:rPr>
      </w:pPr>
      <w:r>
        <w:rPr>
          <w:rFonts w:hint="eastAsia" w:ascii="宋体" w:hAnsi="宋体" w:cs="宋体"/>
          <w:b/>
          <w:sz w:val="24"/>
        </w:rPr>
        <w:t>本项目服务费用由以下组成：</w:t>
      </w:r>
    </w:p>
    <w:p>
      <w:pPr>
        <w:spacing w:line="360" w:lineRule="auto"/>
        <w:ind w:firstLine="480" w:firstLineChars="200"/>
        <w:rPr>
          <w:rFonts w:ascii="宋体" w:hAnsi="宋体" w:cs="宋体"/>
          <w:sz w:val="24"/>
        </w:rPr>
      </w:pPr>
      <w:r>
        <w:rPr>
          <w:rFonts w:hint="eastAsia" w:ascii="宋体" w:hAnsi="宋体" w:cs="宋体"/>
          <w:sz w:val="24"/>
        </w:rPr>
        <w:t>1、XX万元；</w:t>
      </w:r>
    </w:p>
    <w:p>
      <w:pPr>
        <w:spacing w:line="360" w:lineRule="auto"/>
        <w:ind w:firstLine="480" w:firstLineChars="200"/>
        <w:rPr>
          <w:rFonts w:ascii="宋体" w:hAnsi="宋体" w:cs="宋体"/>
          <w:sz w:val="24"/>
        </w:rPr>
      </w:pPr>
      <w:r>
        <w:rPr>
          <w:rFonts w:hint="eastAsia" w:ascii="宋体" w:hAnsi="宋体" w:cs="宋体"/>
          <w:sz w:val="24"/>
        </w:rPr>
        <w:t>2、XX万元；</w:t>
      </w:r>
    </w:p>
    <w:p>
      <w:pPr>
        <w:spacing w:line="360" w:lineRule="auto"/>
        <w:ind w:firstLine="480" w:firstLineChars="200"/>
        <w:rPr>
          <w:rFonts w:ascii="宋体" w:hAnsi="宋体" w:cs="宋体"/>
          <w:sz w:val="24"/>
        </w:rPr>
      </w:pPr>
      <w:r>
        <w:rPr>
          <w:rFonts w:hint="eastAsia" w:ascii="宋体" w:hAnsi="宋体" w:cs="宋体"/>
          <w:sz w:val="24"/>
        </w:rPr>
        <w:t>3、XX万元。</w:t>
      </w:r>
    </w:p>
    <w:p>
      <w:pPr>
        <w:numPr>
          <w:ilvl w:val="0"/>
          <w:numId w:val="10"/>
        </w:numPr>
        <w:tabs>
          <w:tab w:val="left" w:pos="780"/>
        </w:tabs>
        <w:spacing w:line="360" w:lineRule="auto"/>
        <w:ind w:left="0" w:firstLine="567"/>
        <w:rPr>
          <w:rFonts w:ascii="宋体" w:hAnsi="宋体" w:cs="宋体"/>
          <w:b/>
          <w:sz w:val="24"/>
        </w:rPr>
      </w:pPr>
      <w:r>
        <w:rPr>
          <w:rFonts w:hint="eastAsia" w:ascii="宋体" w:hAnsi="宋体" w:cs="宋体"/>
          <w:b/>
          <w:sz w:val="24"/>
        </w:rPr>
        <w:t xml:space="preserve">服务费支付方式： </w:t>
      </w:r>
    </w:p>
    <w:p>
      <w:pPr>
        <w:numPr>
          <w:ilvl w:val="0"/>
          <w:numId w:val="9"/>
        </w:numPr>
        <w:spacing w:line="360" w:lineRule="auto"/>
        <w:rPr>
          <w:rFonts w:ascii="宋体" w:hAnsi="宋体" w:cs="宋体"/>
          <w:b/>
          <w:sz w:val="24"/>
        </w:rPr>
      </w:pPr>
      <w:bookmarkStart w:id="255" w:name="_Toc2167_WPSOffice_Level2"/>
      <w:bookmarkStart w:id="256" w:name="_Toc4051_WPSOffice_Level2"/>
      <w:r>
        <w:rPr>
          <w:rFonts w:hint="eastAsia" w:ascii="宋体" w:hAnsi="宋体" w:cs="宋体"/>
          <w:b/>
          <w:sz w:val="24"/>
        </w:rPr>
        <w:t>知识产权</w:t>
      </w:r>
      <w:bookmarkEnd w:id="255"/>
      <w:bookmarkEnd w:id="256"/>
    </w:p>
    <w:p>
      <w:pPr>
        <w:tabs>
          <w:tab w:val="left" w:pos="1440"/>
        </w:tabs>
        <w:spacing w:line="360" w:lineRule="auto"/>
        <w:ind w:firstLine="480" w:firstLineChars="200"/>
        <w:rPr>
          <w:rFonts w:ascii="宋体" w:hAnsi="宋体" w:cs="宋体"/>
          <w:sz w:val="24"/>
        </w:rPr>
      </w:pPr>
      <w:r>
        <w:rPr>
          <w:rFonts w:hint="eastAsia" w:ascii="宋体" w:hAnsi="宋体" w:cs="宋体"/>
          <w:sz w:val="24"/>
        </w:rPr>
        <w:t>乙方应保证所提供的服务或其任何一部分均不会侵犯任何第三方的专利权、商标权或著作权。</w:t>
      </w:r>
    </w:p>
    <w:p>
      <w:pPr>
        <w:numPr>
          <w:ilvl w:val="0"/>
          <w:numId w:val="9"/>
        </w:numPr>
        <w:spacing w:line="360" w:lineRule="auto"/>
        <w:rPr>
          <w:rFonts w:ascii="宋体" w:hAnsi="宋体" w:cs="宋体"/>
          <w:b/>
          <w:sz w:val="24"/>
        </w:rPr>
      </w:pPr>
      <w:bookmarkStart w:id="257" w:name="_Toc20624_WPSOffice_Level2"/>
      <w:bookmarkStart w:id="258" w:name="_Toc1356_WPSOffice_Level2"/>
      <w:r>
        <w:rPr>
          <w:rFonts w:hint="eastAsia" w:ascii="宋体" w:hAnsi="宋体" w:cs="宋体"/>
          <w:b/>
          <w:sz w:val="24"/>
        </w:rPr>
        <w:t>无产权瑕疵条款</w:t>
      </w:r>
      <w:bookmarkEnd w:id="257"/>
      <w:bookmarkEnd w:id="258"/>
    </w:p>
    <w:p>
      <w:pPr>
        <w:tabs>
          <w:tab w:val="left" w:pos="1440"/>
        </w:tabs>
        <w:spacing w:line="360" w:lineRule="auto"/>
        <w:ind w:firstLine="480" w:firstLineChars="200"/>
        <w:rPr>
          <w:rFonts w:ascii="宋体" w:hAnsi="宋体" w:cs="宋体"/>
          <w:sz w:val="24"/>
          <w:highlight w:val="none"/>
        </w:rPr>
      </w:pPr>
      <w:r>
        <w:rPr>
          <w:rFonts w:hint="eastAsia" w:ascii="宋体" w:hAnsi="宋体" w:cs="宋体"/>
          <w:sz w:val="24"/>
        </w:rPr>
        <w:t>乙方保证所提供的服务的所有权完全属于乙方且无任何抵押、查封等产权瑕疵。如</w:t>
      </w:r>
      <w:r>
        <w:rPr>
          <w:rFonts w:hint="eastAsia" w:ascii="宋体" w:hAnsi="宋体" w:cs="宋体"/>
          <w:sz w:val="24"/>
          <w:highlight w:val="none"/>
        </w:rPr>
        <w:t>有产权瑕疵的，视为乙方违约。乙方应负担由此对甲方或任何第三方造成的一切损失。</w:t>
      </w:r>
    </w:p>
    <w:p>
      <w:pPr>
        <w:numPr>
          <w:ilvl w:val="0"/>
          <w:numId w:val="9"/>
        </w:numPr>
        <w:spacing w:line="360" w:lineRule="auto"/>
        <w:rPr>
          <w:rFonts w:ascii="宋体" w:hAnsi="宋体" w:cs="宋体"/>
          <w:b/>
          <w:sz w:val="24"/>
          <w:highlight w:val="none"/>
        </w:rPr>
      </w:pPr>
      <w:bookmarkStart w:id="259" w:name="_Toc23515_WPSOffice_Level2"/>
      <w:bookmarkStart w:id="260" w:name="_Toc4136_WPSOffice_Level2"/>
      <w:r>
        <w:rPr>
          <w:rFonts w:hint="eastAsia" w:ascii="宋体" w:hAnsi="宋体" w:cs="宋体"/>
          <w:b/>
          <w:sz w:val="24"/>
          <w:highlight w:val="none"/>
        </w:rPr>
        <w:t>履约保证金</w:t>
      </w:r>
      <w:bookmarkEnd w:id="259"/>
      <w:bookmarkEnd w:id="260"/>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1、乙方交纳人民币</w:t>
      </w:r>
      <w:r>
        <w:rPr>
          <w:rFonts w:hint="eastAsia" w:ascii="宋体" w:hAnsi="宋体" w:cs="宋体"/>
          <w:sz w:val="24"/>
          <w:highlight w:val="none"/>
        </w:rPr>
        <w:t>XX</w:t>
      </w:r>
      <w:r>
        <w:rPr>
          <w:rFonts w:hint="eastAsia" w:ascii="宋体" w:hAnsi="宋体" w:cs="宋体"/>
          <w:bCs/>
          <w:sz w:val="24"/>
          <w:highlight w:val="none"/>
        </w:rPr>
        <w:t>元作为本合同的履约保证金。</w:t>
      </w:r>
    </w:p>
    <w:p>
      <w:pPr>
        <w:adjustRightInd w:val="0"/>
        <w:spacing w:line="360" w:lineRule="auto"/>
        <w:ind w:firstLine="480" w:firstLineChars="200"/>
        <w:jc w:val="left"/>
        <w:textAlignment w:val="baseline"/>
        <w:rPr>
          <w:rFonts w:ascii="宋体" w:hAnsi="宋体" w:cs="宋体"/>
          <w:bCs/>
          <w:sz w:val="24"/>
          <w:highlight w:val="none"/>
        </w:rPr>
      </w:pPr>
      <w:r>
        <w:rPr>
          <w:rFonts w:hint="eastAsia" w:ascii="宋体" w:hAnsi="宋体" w:cs="宋体"/>
          <w:bCs/>
          <w:sz w:val="24"/>
          <w:highlight w:val="none"/>
        </w:rPr>
        <w:t>2、履约保证金作为违约金的一部分及用于补偿甲方因乙方不能履行合同义务而蒙受的损失。</w:t>
      </w:r>
    </w:p>
    <w:p>
      <w:pPr>
        <w:numPr>
          <w:ilvl w:val="0"/>
          <w:numId w:val="9"/>
        </w:numPr>
        <w:spacing w:line="360" w:lineRule="auto"/>
        <w:rPr>
          <w:rFonts w:ascii="宋体" w:hAnsi="宋体" w:cs="宋体"/>
          <w:b/>
          <w:sz w:val="24"/>
        </w:rPr>
      </w:pPr>
      <w:bookmarkStart w:id="261" w:name="_Toc23216_WPSOffice_Level2"/>
      <w:bookmarkStart w:id="262" w:name="_Toc18407_WPSOffice_Level2"/>
      <w:r>
        <w:rPr>
          <w:rFonts w:hint="eastAsia" w:ascii="宋体" w:hAnsi="宋体" w:cs="宋体"/>
          <w:b/>
          <w:sz w:val="24"/>
        </w:rPr>
        <w:t>甲方的权利和义务</w:t>
      </w:r>
      <w:bookmarkEnd w:id="261"/>
      <w:bookmarkEnd w:id="262"/>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甲方有权对合同规定范围内乙方的服务行为进行监督和检查，拥有监管权。有权定期核对乙方提供服务所配备的人员数量。对甲方认为不合理的部分有权下达整改通知书，并要求乙方限期整改，逾期未完成整改的，有权要求乙方按照合同总金额要求乙方按照1</w:t>
      </w:r>
      <w:r>
        <w:rPr>
          <w:rFonts w:ascii="宋体" w:hAnsi="宋体" w:cs="宋体"/>
          <w:bCs/>
          <w:sz w:val="24"/>
        </w:rPr>
        <w:t>%/</w:t>
      </w:r>
      <w:r>
        <w:rPr>
          <w:rFonts w:hint="eastAsia" w:ascii="宋体" w:hAnsi="宋体" w:cs="宋体"/>
          <w:bCs/>
          <w:sz w:val="24"/>
        </w:rPr>
        <w:t>天支付甲方违约金。</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3、负责检查监督乙方管理工作的实施及制度的执行情况。</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4、根据本合同规定，按时向乙方支付应付服务费用。</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5、国家法律、法规所规定由甲方承担的其它责任。</w:t>
      </w:r>
    </w:p>
    <w:p>
      <w:pPr>
        <w:numPr>
          <w:ilvl w:val="0"/>
          <w:numId w:val="9"/>
        </w:numPr>
        <w:spacing w:line="360" w:lineRule="auto"/>
        <w:rPr>
          <w:rFonts w:ascii="宋体" w:hAnsi="宋体" w:cs="宋体"/>
          <w:b/>
          <w:sz w:val="24"/>
        </w:rPr>
      </w:pPr>
      <w:bookmarkStart w:id="263" w:name="_Toc29426_WPSOffice_Level2"/>
      <w:bookmarkStart w:id="264" w:name="_Toc28651_WPSOffice_Level2"/>
      <w:r>
        <w:rPr>
          <w:rFonts w:hint="eastAsia" w:ascii="宋体" w:hAnsi="宋体" w:cs="宋体"/>
          <w:b/>
          <w:sz w:val="24"/>
        </w:rPr>
        <w:t>乙方的权利和义务</w:t>
      </w:r>
      <w:bookmarkEnd w:id="263"/>
      <w:bookmarkEnd w:id="264"/>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1、对本合同规定的委托服务范围内的项目享有管理权及服务义务。</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宋体" w:hAnsi="宋体" w:cs="宋体"/>
          <w:sz w:val="24"/>
        </w:rPr>
      </w:pPr>
      <w:r>
        <w:rPr>
          <w:rFonts w:hint="eastAsia" w:ascii="宋体" w:hAnsi="宋体" w:cs="宋体"/>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sz w:val="24"/>
        </w:rPr>
        <w:t>4、</w:t>
      </w:r>
      <w:r>
        <w:rPr>
          <w:rFonts w:hint="eastAsia" w:ascii="宋体" w:hAnsi="宋体" w:cs="宋体"/>
          <w:bCs/>
          <w:sz w:val="24"/>
        </w:rPr>
        <w:t>接受项目行业管理部门及政府有关部门的指导，接受甲方的监督。</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5、国家法律、法规所规定由乙方承担的其它责任。</w:t>
      </w:r>
    </w:p>
    <w:p>
      <w:pPr>
        <w:numPr>
          <w:ilvl w:val="0"/>
          <w:numId w:val="9"/>
        </w:numPr>
        <w:spacing w:line="360" w:lineRule="auto"/>
        <w:rPr>
          <w:rFonts w:ascii="宋体" w:hAnsi="宋体" w:cs="宋体"/>
          <w:b/>
          <w:sz w:val="24"/>
        </w:rPr>
      </w:pPr>
      <w:bookmarkStart w:id="265" w:name="_Toc22285_WPSOffice_Level2"/>
      <w:bookmarkStart w:id="266" w:name="_Toc12689_WPSOffice_Level2"/>
      <w:r>
        <w:rPr>
          <w:rFonts w:hint="eastAsia" w:ascii="宋体" w:hAnsi="宋体" w:cs="宋体"/>
          <w:b/>
          <w:sz w:val="24"/>
        </w:rPr>
        <w:t>违约责任</w:t>
      </w:r>
      <w:bookmarkEnd w:id="265"/>
      <w:bookmarkEnd w:id="266"/>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如因乙方工作人员在履行职务过程中的疏忽、失职、过错等故意或者过失原因给甲方或任意第三方造成任何损失或侵害，包括但不限于甲方本身的财产损失、由此而导致的甲方对任何第三方的法律责任等，乙方对此均应承担全部的赔偿责任。</w:t>
      </w:r>
    </w:p>
    <w:p>
      <w:pPr>
        <w:numPr>
          <w:ilvl w:val="0"/>
          <w:numId w:val="9"/>
        </w:numPr>
        <w:spacing w:line="360" w:lineRule="auto"/>
        <w:rPr>
          <w:rFonts w:ascii="宋体" w:hAnsi="宋体" w:cs="宋体"/>
          <w:b/>
          <w:sz w:val="24"/>
        </w:rPr>
      </w:pPr>
      <w:bookmarkStart w:id="267" w:name="_Toc9930_WPSOffice_Level2"/>
      <w:r>
        <w:rPr>
          <w:rFonts w:hint="eastAsia" w:ascii="宋体" w:hAnsi="宋体" w:cs="宋体"/>
          <w:b/>
          <w:sz w:val="24"/>
        </w:rPr>
        <w:t>不可抗力事件处理</w:t>
      </w:r>
      <w:bookmarkEnd w:id="267"/>
    </w:p>
    <w:p>
      <w:pPr>
        <w:tabs>
          <w:tab w:val="left" w:pos="0"/>
        </w:tabs>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tabs>
          <w:tab w:val="left" w:pos="0"/>
        </w:tabs>
        <w:spacing w:line="360" w:lineRule="auto"/>
        <w:ind w:firstLine="480" w:firstLineChars="200"/>
        <w:rPr>
          <w:rFonts w:ascii="宋体" w:hAnsi="宋体" w:cs="宋体"/>
          <w:sz w:val="24"/>
        </w:rPr>
      </w:pPr>
      <w:r>
        <w:rPr>
          <w:rFonts w:hint="eastAsia" w:ascii="宋体" w:hAnsi="宋体" w:cs="宋体"/>
          <w:sz w:val="24"/>
        </w:rPr>
        <w:t>3、不可抗力事件延续XX天以上，双方应通过友好协商，确定是否继续履行合同。</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Pr>
        <w:numPr>
          <w:ilvl w:val="0"/>
          <w:numId w:val="9"/>
        </w:numPr>
        <w:spacing w:line="360" w:lineRule="auto"/>
        <w:rPr>
          <w:rFonts w:ascii="宋体" w:hAnsi="宋体" w:cs="宋体"/>
          <w:b/>
          <w:sz w:val="24"/>
        </w:rPr>
      </w:pPr>
      <w:bookmarkStart w:id="268" w:name="_Toc232492933"/>
      <w:bookmarkStart w:id="269" w:name="_Toc211911353"/>
      <w:bookmarkStart w:id="270" w:name="_Toc185395254"/>
      <w:bookmarkStart w:id="271" w:name="_Toc239568423"/>
      <w:bookmarkStart w:id="272" w:name="_Toc225670756"/>
      <w:bookmarkStart w:id="273" w:name="_Toc247334846"/>
      <w:bookmarkStart w:id="274" w:name="_Toc225654649"/>
      <w:bookmarkStart w:id="275" w:name="_Toc238984980"/>
      <w:bookmarkStart w:id="276" w:name="_Toc239233919"/>
      <w:bookmarkStart w:id="277" w:name="_Toc237145411"/>
      <w:bookmarkStart w:id="278" w:name="_Toc241833908"/>
      <w:bookmarkStart w:id="279" w:name="_Toc212019599"/>
      <w:bookmarkStart w:id="280" w:name="_Toc225244857"/>
      <w:bookmarkStart w:id="281" w:name="_Toc286993792"/>
      <w:bookmarkStart w:id="282" w:name="_Toc12653_WPSOffice_Level2"/>
      <w:bookmarkStart w:id="283" w:name="_Toc251768867"/>
      <w:bookmarkStart w:id="284" w:name="_Toc211854454"/>
      <w:bookmarkStart w:id="285" w:name="_Toc31579_WPSOffice_Level2"/>
      <w:r>
        <w:rPr>
          <w:rFonts w:hint="eastAsia" w:ascii="宋体" w:hAnsi="宋体" w:cs="宋体"/>
          <w:b/>
          <w:sz w:val="24"/>
        </w:rPr>
        <w:t>解决合同纠纷的方式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tabs>
          <w:tab w:val="left" w:pos="0"/>
        </w:tabs>
        <w:spacing w:line="360" w:lineRule="auto"/>
        <w:ind w:firstLine="480" w:firstLineChars="200"/>
        <w:rPr>
          <w:rFonts w:ascii="宋体" w:hAnsi="宋体" w:cs="宋体"/>
          <w:sz w:val="24"/>
        </w:rPr>
      </w:pPr>
      <w:r>
        <w:rPr>
          <w:rFonts w:hint="eastAsia" w:ascii="宋体" w:hAnsi="宋体" w:cs="宋体"/>
          <w:sz w:val="24"/>
        </w:rPr>
        <w:t xml:space="preserve">1、在执行本合同中发生的或与本合同有关的争端，双方应通过友好协商解决，经协商在XX天内不能达成协议时，应向甲方所在地法院提起诉讼。 </w:t>
      </w:r>
    </w:p>
    <w:p>
      <w:pPr>
        <w:tabs>
          <w:tab w:val="left" w:pos="0"/>
        </w:tabs>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 xml:space="preserve">、在诉讼期间，除正在进行诉讼部分外，合同其他部分继续执行。  </w:t>
      </w:r>
    </w:p>
    <w:p>
      <w:pPr>
        <w:numPr>
          <w:ilvl w:val="0"/>
          <w:numId w:val="9"/>
        </w:numPr>
        <w:spacing w:line="360" w:lineRule="auto"/>
        <w:rPr>
          <w:rFonts w:ascii="宋体" w:hAnsi="宋体" w:cs="宋体"/>
          <w:b/>
          <w:sz w:val="24"/>
        </w:rPr>
      </w:pPr>
      <w:bookmarkStart w:id="286" w:name="_Toc251768868"/>
      <w:bookmarkStart w:id="287" w:name="_Toc225670757"/>
      <w:bookmarkStart w:id="288" w:name="_Toc185395255"/>
      <w:bookmarkStart w:id="289" w:name="_Toc238984981"/>
      <w:bookmarkStart w:id="290" w:name="_Toc212019600"/>
      <w:bookmarkStart w:id="291" w:name="_Toc286993793"/>
      <w:bookmarkStart w:id="292" w:name="_Toc283019219"/>
      <w:bookmarkStart w:id="293" w:name="_Toc225654650"/>
      <w:bookmarkStart w:id="294" w:name="_Toc211854455"/>
      <w:bookmarkStart w:id="295" w:name="_Toc225244858"/>
      <w:bookmarkStart w:id="296" w:name="_Toc239233920"/>
      <w:bookmarkStart w:id="297" w:name="_Toc232492934"/>
      <w:bookmarkStart w:id="298" w:name="_Toc282696231"/>
      <w:bookmarkStart w:id="299" w:name="_Toc247334847"/>
      <w:bookmarkStart w:id="300" w:name="_Toc211911354"/>
      <w:bookmarkStart w:id="301" w:name="_Toc237145412"/>
      <w:bookmarkStart w:id="302" w:name="_Toc239568424"/>
      <w:bookmarkStart w:id="303" w:name="_Toc241833909"/>
      <w:bookmarkStart w:id="304" w:name="_Toc10503_WPSOffice_Level2"/>
      <w:bookmarkStart w:id="305" w:name="_Toc19069_WPSOffice_Level2"/>
      <w:r>
        <w:rPr>
          <w:rFonts w:hint="eastAsia" w:ascii="宋体" w:hAnsi="宋体" w:cs="宋体"/>
          <w:b/>
          <w:sz w:val="24"/>
        </w:rPr>
        <w:t>合同</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hint="eastAsia" w:ascii="宋体" w:hAnsi="宋体" w:cs="宋体"/>
          <w:b/>
          <w:sz w:val="24"/>
        </w:rPr>
        <w:t>生效及其他</w:t>
      </w:r>
      <w:bookmarkEnd w:id="304"/>
      <w:bookmarkEnd w:id="305"/>
    </w:p>
    <w:p>
      <w:pPr>
        <w:pStyle w:val="38"/>
        <w:spacing w:line="360" w:lineRule="auto"/>
        <w:ind w:firstLine="480"/>
        <w:rPr>
          <w:rFonts w:ascii="宋体" w:hAnsi="宋体" w:cs="宋体"/>
          <w:sz w:val="24"/>
        </w:rPr>
      </w:pPr>
      <w:r>
        <w:rPr>
          <w:rFonts w:hint="eastAsia" w:ascii="宋体" w:hAnsi="宋体" w:cs="宋体"/>
          <w:sz w:val="24"/>
        </w:rPr>
        <w:t>1、合同经双方法定代表人或授权委托代理人签字并加盖单位公章后生效。</w:t>
      </w:r>
    </w:p>
    <w:p>
      <w:pPr>
        <w:pStyle w:val="38"/>
        <w:spacing w:line="360" w:lineRule="auto"/>
        <w:ind w:firstLine="480"/>
        <w:rPr>
          <w:rFonts w:ascii="宋体" w:hAnsi="宋体" w:cs="宋体"/>
          <w:sz w:val="24"/>
        </w:rPr>
      </w:pPr>
      <w:r>
        <w:rPr>
          <w:rFonts w:hint="eastAsia" w:ascii="宋体" w:hAnsi="宋体" w:cs="宋体"/>
          <w:sz w:val="24"/>
        </w:rPr>
        <w:t>2、合同执行中涉及采购资金和采购内容修改或补充的，须经政府采购监管部门审批，并签书面补充协议报政府采购监督管理部门备案，方可作为主合同不可分割的一部分。</w:t>
      </w:r>
    </w:p>
    <w:p>
      <w:pPr>
        <w:pStyle w:val="38"/>
        <w:spacing w:line="360" w:lineRule="auto"/>
        <w:ind w:firstLine="480"/>
        <w:rPr>
          <w:rFonts w:ascii="宋体" w:hAnsi="宋体" w:cs="宋体"/>
          <w:sz w:val="24"/>
        </w:rPr>
      </w:pPr>
      <w:r>
        <w:rPr>
          <w:rFonts w:hint="eastAsia" w:ascii="宋体" w:hAnsi="宋体" w:cs="宋体"/>
          <w:sz w:val="24"/>
        </w:rPr>
        <w:t>3、本合同一式XX份，自双方签章之日起起效。甲方XX份，乙方XX份，具有同等法律效力。</w:t>
      </w:r>
    </w:p>
    <w:p>
      <w:pPr>
        <w:numPr>
          <w:ilvl w:val="0"/>
          <w:numId w:val="9"/>
        </w:numPr>
        <w:spacing w:line="360" w:lineRule="auto"/>
        <w:rPr>
          <w:rFonts w:ascii="宋体" w:hAnsi="宋体" w:cs="宋体"/>
          <w:b/>
          <w:sz w:val="24"/>
        </w:rPr>
      </w:pPr>
      <w:bookmarkStart w:id="306" w:name="_Toc28162_WPSOffice_Level2"/>
      <w:bookmarkStart w:id="307" w:name="_Toc14459_WPSOffice_Level2"/>
      <w:r>
        <w:rPr>
          <w:rFonts w:hint="eastAsia" w:ascii="宋体" w:hAnsi="宋体" w:cs="宋体"/>
          <w:b/>
          <w:sz w:val="24"/>
        </w:rPr>
        <w:t>附件</w:t>
      </w:r>
      <w:bookmarkEnd w:id="306"/>
      <w:bookmarkEnd w:id="307"/>
    </w:p>
    <w:p>
      <w:pPr>
        <w:pStyle w:val="38"/>
        <w:spacing w:line="360" w:lineRule="auto"/>
        <w:ind w:firstLine="480"/>
        <w:rPr>
          <w:rFonts w:ascii="宋体" w:hAnsi="宋体" w:cs="宋体"/>
          <w:sz w:val="24"/>
        </w:rPr>
      </w:pPr>
      <w:r>
        <w:rPr>
          <w:rFonts w:hint="eastAsia" w:ascii="宋体" w:hAnsi="宋体" w:cs="宋体"/>
          <w:sz w:val="24"/>
        </w:rPr>
        <w:t>1、项目磋商文件</w:t>
      </w:r>
    </w:p>
    <w:p>
      <w:pPr>
        <w:pStyle w:val="38"/>
        <w:spacing w:line="360" w:lineRule="auto"/>
        <w:ind w:firstLine="480"/>
        <w:rPr>
          <w:rFonts w:ascii="宋体" w:hAnsi="宋体" w:cs="宋体"/>
          <w:sz w:val="24"/>
        </w:rPr>
      </w:pPr>
      <w:r>
        <w:rPr>
          <w:rFonts w:hint="eastAsia" w:ascii="宋体" w:hAnsi="宋体" w:cs="宋体"/>
          <w:sz w:val="24"/>
        </w:rPr>
        <w:t>2、项目修改澄清文件</w:t>
      </w:r>
    </w:p>
    <w:p>
      <w:pPr>
        <w:pStyle w:val="38"/>
        <w:spacing w:line="360" w:lineRule="auto"/>
        <w:ind w:firstLine="480"/>
        <w:rPr>
          <w:rFonts w:ascii="宋体" w:hAnsi="宋体" w:cs="宋体"/>
          <w:sz w:val="24"/>
        </w:rPr>
      </w:pPr>
      <w:r>
        <w:rPr>
          <w:rFonts w:hint="eastAsia" w:ascii="宋体" w:hAnsi="宋体" w:cs="宋体"/>
          <w:sz w:val="24"/>
        </w:rPr>
        <w:t>3、项目响应文件</w:t>
      </w:r>
    </w:p>
    <w:p>
      <w:pPr>
        <w:pStyle w:val="38"/>
        <w:spacing w:line="360" w:lineRule="auto"/>
        <w:ind w:firstLine="480"/>
        <w:rPr>
          <w:rFonts w:ascii="宋体" w:hAnsi="宋体" w:cs="宋体"/>
          <w:sz w:val="24"/>
        </w:rPr>
      </w:pPr>
      <w:r>
        <w:rPr>
          <w:rFonts w:hint="eastAsia" w:ascii="宋体" w:hAnsi="宋体" w:cs="宋体"/>
          <w:sz w:val="24"/>
        </w:rPr>
        <w:t>4、成交通知书</w:t>
      </w:r>
    </w:p>
    <w:p>
      <w:pPr>
        <w:pStyle w:val="38"/>
        <w:spacing w:line="360" w:lineRule="auto"/>
        <w:ind w:firstLine="480"/>
        <w:rPr>
          <w:rFonts w:ascii="宋体" w:hAnsi="宋体" w:cs="宋体"/>
          <w:sz w:val="24"/>
        </w:rPr>
      </w:pPr>
      <w:r>
        <w:rPr>
          <w:rFonts w:hint="eastAsia" w:ascii="宋体" w:hAnsi="宋体" w:cs="宋体"/>
          <w:sz w:val="24"/>
        </w:rPr>
        <w:t>5、其他</w:t>
      </w:r>
    </w:p>
    <w:p>
      <w:pPr>
        <w:spacing w:line="360" w:lineRule="auto"/>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360" w:lineRule="auto"/>
        <w:ind w:firstLine="480" w:firstLineChars="200"/>
        <w:rPr>
          <w:rFonts w:ascii="宋体" w:hAnsi="宋体" w:cs="宋体"/>
          <w:sz w:val="24"/>
        </w:rPr>
      </w:pPr>
      <w:r>
        <w:rPr>
          <w:rFonts w:hint="eastAsia" w:ascii="宋体" w:hAnsi="宋体" w:cs="宋体"/>
          <w:sz w:val="24"/>
        </w:rPr>
        <w:t>法定代表人（授权代表）：           法定代表人（授权代表）：</w:t>
      </w:r>
    </w:p>
    <w:p>
      <w:pPr>
        <w:spacing w:line="360" w:lineRule="auto"/>
        <w:ind w:firstLine="480" w:firstLineChars="200"/>
        <w:rPr>
          <w:rFonts w:ascii="宋体" w:hAnsi="宋体" w:cs="宋体"/>
          <w:sz w:val="24"/>
        </w:rPr>
      </w:pPr>
      <w:r>
        <w:rPr>
          <w:rFonts w:hint="eastAsia" w:ascii="宋体" w:hAnsi="宋体" w:cs="宋体"/>
          <w:sz w:val="24"/>
        </w:rPr>
        <w:t>地    址：                         地    址：</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spacing w:line="360" w:lineRule="auto"/>
        <w:ind w:firstLine="480" w:firstLineChars="200"/>
        <w:rPr>
          <w:rFonts w:ascii="宋体" w:hAnsi="宋体" w:cs="宋体"/>
          <w:sz w:val="24"/>
        </w:rPr>
      </w:pPr>
      <w:r>
        <w:rPr>
          <w:rFonts w:hint="eastAsia" w:ascii="宋体" w:hAnsi="宋体" w:cs="宋体"/>
          <w:sz w:val="24"/>
        </w:rPr>
        <w:t>账号：                             账号：</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传    真：                         传    真：</w:t>
      </w:r>
    </w:p>
    <w:p>
      <w:pPr>
        <w:spacing w:line="360" w:lineRule="auto"/>
        <w:ind w:firstLine="480" w:firstLineChars="200"/>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签约日期：XX年XX月XX日</w:t>
      </w:r>
    </w:p>
    <w:p>
      <w:pPr>
        <w:pStyle w:val="32"/>
        <w:rPr>
          <w:rFonts w:ascii="宋体" w:hAnsi="宋体" w:eastAsia="宋体" w:cs="宋体"/>
          <w:b/>
          <w:bCs/>
        </w:rPr>
      </w:pPr>
      <w:r>
        <w:rPr>
          <w:rFonts w:hint="eastAsia" w:ascii="宋体" w:hAnsi="宋体" w:eastAsia="宋体" w:cs="宋体"/>
          <w:b/>
          <w:bCs/>
        </w:rPr>
        <w:br w:type="page"/>
      </w:r>
    </w:p>
    <w:p>
      <w:pPr>
        <w:widowControl/>
        <w:spacing w:line="360" w:lineRule="auto"/>
        <w:rPr>
          <w:b/>
          <w:bCs/>
        </w:rPr>
      </w:pPr>
      <w:r>
        <w:rPr>
          <w:rFonts w:hint="eastAsia" w:ascii="宋体" w:hAnsi="宋体" w:cs="宋体"/>
          <w:b/>
          <w:bCs/>
          <w:sz w:val="24"/>
        </w:rPr>
        <w:t>附件一：</w:t>
      </w:r>
      <w:r>
        <w:rPr>
          <w:rFonts w:hint="eastAsia"/>
          <w:b/>
          <w:bCs/>
        </w:rPr>
        <w:t>《四川省财政厅关于推进四川省政府采购供应商信用融资工作的通知》(川财采〔2018〕123号文)</w:t>
      </w:r>
    </w:p>
    <w:p>
      <w:pPr>
        <w:pStyle w:val="18"/>
        <w:wordWrap w:val="0"/>
        <w:spacing w:before="0" w:beforeAutospacing="0" w:after="0" w:afterAutospacing="0" w:line="360" w:lineRule="auto"/>
        <w:rPr>
          <w:rFonts w:cs="宋体"/>
          <w:b/>
          <w:bCs/>
          <w:sz w:val="24"/>
          <w:szCs w:val="24"/>
        </w:rPr>
      </w:pPr>
      <w:r>
        <w:rPr>
          <w:rFonts w:hint="eastAsia"/>
          <w:b/>
          <w:bCs/>
        </w:rPr>
        <w:t>查询链接：</w:t>
      </w:r>
      <w:r>
        <w:rPr>
          <w:rFonts w:hint="eastAsia" w:cs="宋体"/>
          <w:b/>
          <w:bCs/>
          <w:sz w:val="24"/>
          <w:szCs w:val="24"/>
        </w:rPr>
        <w:t>http://www.ccgp-sichuan.gov.cn/view/staticpags/sjzcfg/40288687657ff75501672fd954532414.html</w:t>
      </w:r>
    </w:p>
    <w:p>
      <w:pPr>
        <w:widowControl/>
        <w:spacing w:line="360" w:lineRule="auto"/>
      </w:pPr>
    </w:p>
    <w:p>
      <w:pPr>
        <w:widowControl/>
        <w:spacing w:line="360" w:lineRule="auto"/>
        <w:jc w:val="center"/>
        <w:rPr>
          <w:rFonts w:ascii="宋体" w:hAnsi="宋体" w:cs="宋体"/>
          <w:sz w:val="24"/>
        </w:rPr>
      </w:pPr>
      <w:r>
        <w:rPr>
          <w:rFonts w:hint="eastAsia" w:ascii="宋体" w:hAnsi="宋体" w:cs="宋体"/>
          <w:sz w:val="24"/>
        </w:rPr>
        <w:drawing>
          <wp:inline distT="0" distB="0" distL="114300" distR="114300">
            <wp:extent cx="5302250" cy="1859915"/>
            <wp:effectExtent l="0" t="0" r="1270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cstate="print"/>
                    <a:stretch>
                      <a:fillRect/>
                    </a:stretch>
                  </pic:blipFill>
                  <pic:spPr>
                    <a:xfrm>
                      <a:off x="0" y="0"/>
                      <a:ext cx="5302250" cy="1859915"/>
                    </a:xfrm>
                    <a:prstGeom prst="rect">
                      <a:avLst/>
                    </a:prstGeom>
                    <a:noFill/>
                    <a:ln w="9525">
                      <a:noFill/>
                    </a:ln>
                  </pic:spPr>
                </pic:pic>
              </a:graphicData>
            </a:graphic>
          </wp:inline>
        </w:drawing>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各市（州）、扩权县（市）财政局，各省直机关、事业单位、团体组织，各金融机构，各采购代理机构，各政府采购供应商：</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一、融资概念</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二、基本原则</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（一）财政引导，市场运行</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财政部门推进“政采贷”，银行和供应商按照自愿原则参与。供应商自愿选择是否申请“政采贷”，银行依据其内部审查制度和决策程序决定是否为供应商提供融资，自担风险。</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（二）建立机制，服务银企</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（三）优质优惠，加强扶持</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三、基本条件</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（一）银行暨“政采贷”金融产品</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1、征集。</w:t>
      </w:r>
      <w:r>
        <w:rPr>
          <w:rFonts w:hint="eastAsia" w:cs="宋体"/>
          <w:sz w:val="24"/>
          <w:szCs w:val="24"/>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银行提供的“政采贷”产品应当满足“无抵押担保、程序简便、利率优惠、放款及时”的基本条件以及本通知其他相关规定。</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银行申请材料中应当载明其自愿提供“政采贷”产品，自担风险，不得要求或者变相要求财政部门和采购人为其提供风险担保、承诺。</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2、公示。</w:t>
      </w:r>
      <w:r>
        <w:rPr>
          <w:rFonts w:hint="eastAsia" w:cs="宋体"/>
          <w:sz w:val="24"/>
          <w:szCs w:val="24"/>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（二）供应商</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政府采购供应商向银行申请“政采贷”，应当满足下列基本条件：</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1、</w:t>
      </w:r>
      <w:r>
        <w:rPr>
          <w:rFonts w:hint="eastAsia" w:cs="宋体"/>
          <w:sz w:val="24"/>
          <w:szCs w:val="24"/>
        </w:rPr>
        <w:t>具有依法承担民事责任的能力；</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2、</w:t>
      </w:r>
      <w:r>
        <w:rPr>
          <w:rFonts w:hint="eastAsia" w:cs="宋体"/>
          <w:sz w:val="24"/>
          <w:szCs w:val="24"/>
        </w:rPr>
        <w:t>具有依法履行政府采购合同的能力；</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3、</w:t>
      </w:r>
      <w:r>
        <w:rPr>
          <w:rFonts w:hint="eastAsia" w:cs="宋体"/>
          <w:sz w:val="24"/>
          <w:szCs w:val="24"/>
        </w:rPr>
        <w:t>参加的政府采购活动未被财政部门依法暂停、责令重新开展或者认定中标、成交无效；</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4、</w:t>
      </w:r>
      <w:r>
        <w:rPr>
          <w:rFonts w:hint="eastAsia" w:cs="宋体"/>
          <w:sz w:val="24"/>
          <w:szCs w:val="24"/>
        </w:rPr>
        <w:t>无《政府采购法》第二十二条第一款第（五）项所称的重大违法记录；</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5、</w:t>
      </w:r>
      <w:r>
        <w:rPr>
          <w:rFonts w:hint="eastAsia" w:cs="宋体"/>
          <w:sz w:val="24"/>
          <w:szCs w:val="24"/>
        </w:rPr>
        <w:t>未被法院、市场监管、税务、银行等部门单位纳入失信名单且在有效期内；</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6、</w:t>
      </w:r>
      <w:r>
        <w:rPr>
          <w:rFonts w:hint="eastAsia" w:cs="宋体"/>
          <w:sz w:val="24"/>
          <w:szCs w:val="24"/>
        </w:rPr>
        <w:t>在一定期限内的（银行可以具体确定）政府采购合同履约过程中或者其他经营活动履约过程中，无不依法履约被有关行政部门行政处罚的或者产生法律纠纷被法院、仲裁机构判决、裁决败诉的；</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7、</w:t>
      </w:r>
      <w:r>
        <w:rPr>
          <w:rFonts w:hint="eastAsia" w:cs="宋体"/>
          <w:sz w:val="24"/>
          <w:szCs w:val="24"/>
        </w:rPr>
        <w:t>其他银行要求的不属于提供财产抵押或第三方担保的条件。</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四、构建平台</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四川省财政厅将在四川政府采购网统一构建四川省“政采贷”信息化服务平台，推进四川省“政采贷”工作信息化建设。</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五、财金互动</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六、基本流程</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（一）意向申请</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8"/>
        <w:spacing w:before="0" w:beforeAutospacing="0" w:after="0" w:afterAutospacing="0" w:line="360" w:lineRule="auto"/>
        <w:ind w:firstLine="482" w:firstLineChars="200"/>
        <w:rPr>
          <w:rFonts w:cs="宋体"/>
          <w:b/>
          <w:sz w:val="24"/>
          <w:szCs w:val="24"/>
        </w:rPr>
      </w:pPr>
      <w:r>
        <w:rPr>
          <w:rFonts w:hint="eastAsia" w:cs="宋体"/>
          <w:b/>
          <w:sz w:val="24"/>
          <w:szCs w:val="24"/>
        </w:rPr>
        <w:t>（二）正式申请</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（三）贷款审查</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（四）信息报送</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（五）资金支付</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政府采购资金支付过程中，银行需要查询采购资金支付进程有关信息的，财政部门和采购人应当支持。</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七、职责要求</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（一）</w:t>
      </w:r>
      <w:r>
        <w:rPr>
          <w:rFonts w:hint="eastAsia" w:cs="宋体"/>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（二）</w:t>
      </w:r>
      <w:r>
        <w:rPr>
          <w:rFonts w:hint="eastAsia" w:cs="宋体"/>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（三）</w:t>
      </w:r>
      <w:r>
        <w:rPr>
          <w:rFonts w:hint="eastAsia" w:cs="宋体"/>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（四）</w:t>
      </w:r>
      <w:r>
        <w:rPr>
          <w:rFonts w:hint="eastAsia" w:cs="宋体"/>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（五）</w:t>
      </w:r>
      <w:r>
        <w:rPr>
          <w:rFonts w:hint="eastAsia" w:cs="宋体"/>
          <w:sz w:val="24"/>
          <w:szCs w:val="24"/>
        </w:rPr>
        <w:t>供应商应当依法参加政府采购活动，公平竞争，诚实守信，严格按照政府采购合同履约，严格按照借款合同偿还债务。</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（六）</w:t>
      </w:r>
      <w:r>
        <w:rPr>
          <w:rFonts w:hint="eastAsia" w:cs="宋体"/>
          <w:sz w:val="24"/>
          <w:szCs w:val="24"/>
        </w:rPr>
        <w:t>财政部门、采购人、采购代理机构及其他有关单位和个人不得违规干预供应商选择“政采贷”银行及其产品，也不得违规干预银行向供应商进行贷款。</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（七）</w:t>
      </w:r>
      <w:r>
        <w:rPr>
          <w:rFonts w:hint="eastAsia" w:cs="宋体"/>
          <w:sz w:val="24"/>
          <w:szCs w:val="24"/>
        </w:rPr>
        <w:t>相关单位和个人在开展“政采贷”工作过程中，发现新问题、新情况或者有意见建议的，请及时向四川省财政厅反馈。</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八、违规处理</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（一）银行违规处理</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（二）供应商违规处理</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8"/>
        <w:spacing w:before="0" w:beforeAutospacing="0" w:after="0" w:afterAutospacing="0" w:line="360" w:lineRule="auto"/>
        <w:ind w:firstLine="482" w:firstLineChars="200"/>
        <w:rPr>
          <w:rFonts w:cs="宋体"/>
          <w:sz w:val="24"/>
          <w:szCs w:val="24"/>
        </w:rPr>
      </w:pPr>
      <w:r>
        <w:rPr>
          <w:rFonts w:hint="eastAsia" w:cs="宋体"/>
          <w:b/>
          <w:sz w:val="24"/>
          <w:szCs w:val="24"/>
        </w:rPr>
        <w:t>（三）其他违规处理</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spacing w:before="0" w:beforeAutospacing="0" w:after="0" w:afterAutospacing="0" w:line="360" w:lineRule="auto"/>
        <w:ind w:firstLine="480" w:firstLineChars="200"/>
        <w:rPr>
          <w:rFonts w:cs="宋体"/>
          <w:sz w:val="24"/>
          <w:szCs w:val="24"/>
        </w:rPr>
      </w:pPr>
      <w:r>
        <w:rPr>
          <w:rFonts w:hint="eastAsia" w:cs="宋体"/>
          <w:sz w:val="24"/>
          <w:szCs w:val="24"/>
        </w:rPr>
        <w:t> 附件：四川省“政采贷”信息统计表</w:t>
      </w:r>
    </w:p>
    <w:p>
      <w:pPr>
        <w:spacing w:line="360" w:lineRule="auto"/>
        <w:rPr>
          <w:rFonts w:ascii="宋体" w:hAnsi="宋体" w:cs="宋体"/>
          <w:sz w:val="24"/>
        </w:rPr>
      </w:pPr>
      <w:r>
        <w:rPr>
          <w:rFonts w:hint="eastAsia" w:ascii="宋体" w:hAnsi="宋体" w:cs="宋体"/>
          <w:kern w:val="0"/>
          <w:sz w:val="24"/>
        </w:rPr>
        <w:drawing>
          <wp:anchor distT="0" distB="0" distL="114300" distR="114300" simplePos="0" relativeHeight="251659264" behindDoc="0" locked="0" layoutInCell="1" allowOverlap="1">
            <wp:simplePos x="0" y="0"/>
            <wp:positionH relativeFrom="column">
              <wp:posOffset>3808095</wp:posOffset>
            </wp:positionH>
            <wp:positionV relativeFrom="paragraph">
              <wp:posOffset>446405</wp:posOffset>
            </wp:positionV>
            <wp:extent cx="1771650" cy="1781175"/>
            <wp:effectExtent l="0" t="0" r="0"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4" cstate="print"/>
                    <a:stretch>
                      <a:fillRect/>
                    </a:stretch>
                  </pic:blipFill>
                  <pic:spPr>
                    <a:xfrm>
                      <a:off x="0" y="0"/>
                      <a:ext cx="1771650" cy="1781175"/>
                    </a:xfrm>
                    <a:prstGeom prst="rect">
                      <a:avLst/>
                    </a:prstGeom>
                    <a:noFill/>
                    <a:ln w="9525">
                      <a:noFill/>
                    </a:ln>
                  </pic:spPr>
                </pic:pic>
              </a:graphicData>
            </a:graphic>
          </wp:anchor>
        </w:drawing>
      </w:r>
      <w:r>
        <w:rPr>
          <w:rFonts w:hint="eastAsia" w:ascii="宋体" w:hAnsi="宋体" w:cs="宋体"/>
          <w:sz w:val="24"/>
        </w:rPr>
        <w:br w:type="page"/>
      </w:r>
    </w:p>
    <w:p>
      <w:pPr>
        <w:widowControl/>
        <w:spacing w:line="360" w:lineRule="auto"/>
        <w:rPr>
          <w:rFonts w:ascii="宋体" w:hAnsi="宋体" w:cs="宋体"/>
          <w:b/>
          <w:bCs/>
          <w:sz w:val="24"/>
        </w:rPr>
      </w:pPr>
      <w:r>
        <w:rPr>
          <w:rFonts w:hint="eastAsia" w:ascii="宋体" w:hAnsi="宋体" w:cs="宋体"/>
          <w:b/>
          <w:bCs/>
          <w:sz w:val="24"/>
        </w:rPr>
        <w:t>附件二：成都市财政局  中国人民银行成都分行营业管理部关于印发《成都市中小企业政府采购信用融资暂行办法》和《成都市级支持中小企业政府采购信用融资实施方案》的通知（成财采〔2019〕17号）</w:t>
      </w:r>
    </w:p>
    <w:p>
      <w:pPr>
        <w:widowControl/>
        <w:wordWrap w:val="0"/>
        <w:spacing w:line="360" w:lineRule="auto"/>
        <w:rPr>
          <w:rFonts w:ascii="宋体" w:hAnsi="宋体" w:cs="宋体"/>
          <w:b/>
          <w:bCs/>
          <w:sz w:val="24"/>
        </w:rPr>
      </w:pPr>
      <w:r>
        <w:rPr>
          <w:rFonts w:hint="eastAsia" w:ascii="宋体" w:hAnsi="宋体" w:cs="宋体"/>
          <w:b/>
          <w:bCs/>
          <w:sz w:val="24"/>
        </w:rPr>
        <w:t>查询链接：</w:t>
      </w:r>
      <w:r>
        <w:fldChar w:fldCharType="begin"/>
      </w:r>
      <w:r>
        <w:instrText xml:space="preserve"> HYPERLINK "http://cdcz.chengdu.gov.cn/cdsczj/c116726/2019-03/13/content_7d81ae9c2a1e48968c7839a9c5b88ccd.shtml" </w:instrText>
      </w:r>
      <w:r>
        <w:fldChar w:fldCharType="separate"/>
      </w:r>
      <w:r>
        <w:rPr>
          <w:rStyle w:val="24"/>
          <w:rFonts w:hint="eastAsia" w:ascii="宋体" w:hAnsi="宋体" w:cs="宋体"/>
          <w:b/>
          <w:bCs/>
          <w:color w:val="auto"/>
          <w:sz w:val="24"/>
        </w:rPr>
        <w:t>http://cdcz.chengdu.gov.cn/cdsczj/c116726/2019-03/13/content_7d81ae9c2a1e48968c7839a9c5b88ccd.shtml</w:t>
      </w:r>
      <w:r>
        <w:rPr>
          <w:rStyle w:val="24"/>
          <w:rFonts w:hint="eastAsia" w:ascii="宋体" w:hAnsi="宋体" w:cs="宋体"/>
          <w:b/>
          <w:bCs/>
          <w:color w:val="auto"/>
          <w:sz w:val="24"/>
        </w:rPr>
        <w:fldChar w:fldCharType="end"/>
      </w:r>
    </w:p>
    <w:p>
      <w:pPr>
        <w:widowControl/>
        <w:wordWrap w:val="0"/>
        <w:spacing w:line="360" w:lineRule="auto"/>
        <w:rPr>
          <w:rFonts w:ascii="宋体" w:hAnsi="宋体" w:cs="宋体"/>
          <w:b/>
          <w:bCs/>
          <w:sz w:val="24"/>
        </w:rPr>
      </w:pPr>
    </w:p>
    <w:tbl>
      <w:tblPr>
        <w:tblStyle w:val="28"/>
        <w:tblW w:w="9062" w:type="dxa"/>
        <w:jc w:val="center"/>
        <w:tblInd w:w="0" w:type="dxa"/>
        <w:tblLayout w:type="fixed"/>
        <w:tblCellMar>
          <w:top w:w="0" w:type="dxa"/>
          <w:left w:w="108" w:type="dxa"/>
          <w:bottom w:w="0" w:type="dxa"/>
          <w:right w:w="108" w:type="dxa"/>
        </w:tblCellMar>
      </w:tblPr>
      <w:tblGrid>
        <w:gridCol w:w="7482"/>
        <w:gridCol w:w="1580"/>
      </w:tblGrid>
      <w:tr>
        <w:tblPrEx>
          <w:tblLayout w:type="fixed"/>
          <w:tblCellMar>
            <w:top w:w="0" w:type="dxa"/>
            <w:left w:w="108" w:type="dxa"/>
            <w:bottom w:w="0" w:type="dxa"/>
            <w:right w:w="108" w:type="dxa"/>
          </w:tblCellMar>
        </w:tblPrEx>
        <w:trPr>
          <w:cantSplit/>
          <w:trHeight w:val="1156" w:hRule="atLeast"/>
          <w:jc w:val="center"/>
        </w:trPr>
        <w:tc>
          <w:tcPr>
            <w:tcW w:w="7482" w:type="dxa"/>
            <w:vAlign w:val="center"/>
          </w:tcPr>
          <w:p>
            <w:pPr>
              <w:snapToGrid w:val="0"/>
              <w:spacing w:line="360" w:lineRule="auto"/>
              <w:jc w:val="distribute"/>
              <w:rPr>
                <w:rFonts w:eastAsia="方正小标宋简体"/>
                <w:sz w:val="66"/>
                <w:szCs w:val="66"/>
              </w:rPr>
            </w:pPr>
            <w:r>
              <w:rPr>
                <w:rFonts w:hint="eastAsia" w:eastAsia="方正小标宋简体"/>
                <w:sz w:val="66"/>
                <w:szCs w:val="66"/>
              </w:rPr>
              <w:t>成都市财政局</w:t>
            </w:r>
          </w:p>
        </w:tc>
        <w:tc>
          <w:tcPr>
            <w:tcW w:w="1580" w:type="dxa"/>
            <w:vMerge w:val="restart"/>
            <w:vAlign w:val="center"/>
          </w:tcPr>
          <w:p>
            <w:pPr>
              <w:snapToGrid w:val="0"/>
              <w:spacing w:line="360" w:lineRule="auto"/>
              <w:jc w:val="center"/>
              <w:rPr>
                <w:rFonts w:eastAsia="方正小标宋简体"/>
                <w:sz w:val="66"/>
                <w:szCs w:val="66"/>
              </w:rPr>
            </w:pPr>
            <w:r>
              <w:rPr>
                <w:rFonts w:hint="eastAsia" w:eastAsia="方正小标宋简体"/>
                <w:sz w:val="66"/>
                <w:szCs w:val="66"/>
              </w:rPr>
              <w:t>文件</w:t>
            </w:r>
          </w:p>
        </w:tc>
      </w:tr>
      <w:tr>
        <w:tblPrEx>
          <w:tblLayout w:type="fixed"/>
          <w:tblCellMar>
            <w:top w:w="0" w:type="dxa"/>
            <w:left w:w="108" w:type="dxa"/>
            <w:bottom w:w="0" w:type="dxa"/>
            <w:right w:w="108" w:type="dxa"/>
          </w:tblCellMar>
        </w:tblPrEx>
        <w:trPr>
          <w:cantSplit/>
          <w:trHeight w:val="1335" w:hRule="atLeast"/>
          <w:jc w:val="center"/>
        </w:trPr>
        <w:tc>
          <w:tcPr>
            <w:tcW w:w="7482" w:type="dxa"/>
            <w:vAlign w:val="center"/>
          </w:tcPr>
          <w:p>
            <w:pPr>
              <w:snapToGrid w:val="0"/>
              <w:spacing w:line="360" w:lineRule="auto"/>
              <w:jc w:val="distribute"/>
              <w:rPr>
                <w:rFonts w:eastAsia="方正小标宋简体"/>
                <w:spacing w:val="-20"/>
                <w:w w:val="82"/>
                <w:sz w:val="62"/>
                <w:szCs w:val="62"/>
              </w:rPr>
            </w:pPr>
            <w:r>
              <w:rPr>
                <w:rFonts w:hint="eastAsia" w:eastAsia="方正小标宋简体"/>
                <w:spacing w:val="-20"/>
                <w:w w:val="82"/>
                <w:sz w:val="62"/>
                <w:szCs w:val="62"/>
              </w:rPr>
              <w:t>中国人民银行成都分行营业管理部</w:t>
            </w:r>
          </w:p>
        </w:tc>
        <w:tc>
          <w:tcPr>
            <w:tcW w:w="1580" w:type="dxa"/>
            <w:vMerge w:val="continue"/>
            <w:vAlign w:val="center"/>
          </w:tcPr>
          <w:p>
            <w:pPr>
              <w:snapToGrid w:val="0"/>
              <w:spacing w:line="360" w:lineRule="auto"/>
              <w:jc w:val="center"/>
              <w:rPr>
                <w:rFonts w:eastAsia="方正小标宋简体"/>
                <w:sz w:val="66"/>
                <w:szCs w:val="66"/>
              </w:rPr>
            </w:pPr>
          </w:p>
        </w:tc>
      </w:tr>
    </w:tbl>
    <w:p>
      <w:pPr>
        <w:snapToGrid w:val="0"/>
        <w:spacing w:line="360" w:lineRule="auto"/>
        <w:jc w:val="center"/>
        <w:rPr>
          <w:rFonts w:eastAsia="方正仿宋_GBK"/>
        </w:rPr>
      </w:pPr>
    </w:p>
    <w:p>
      <w:pPr>
        <w:spacing w:line="360" w:lineRule="auto"/>
        <w:jc w:val="center"/>
        <w:rPr>
          <w:rFonts w:eastAsia="方正仿宋_GBK"/>
        </w:rPr>
      </w:pPr>
      <w:r>
        <w:rPr>
          <w:rFonts w:eastAsia="方正仿宋_GB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320675</wp:posOffset>
                </wp:positionV>
                <wp:extent cx="561848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25pt;height:0pt;width:442.4pt;z-index:25166028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v7j71gAAAAYBAAAPAAAAAAAA&#10;AAEAIAAAACIAAABkcnMvZG93bnJldi54bWxQSwECFAAUAAAACACHTuJAoErMuNsBAACbAwAADgAA&#10;AAAAAAABACAAAAAlAQAAZHJzL2Uyb0RvYy54bWxQSwUGAAAAAAYABgBZAQAAcgU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spacing w:line="360" w:lineRule="auto"/>
        <w:jc w:val="center"/>
        <w:rPr>
          <w:rFonts w:ascii="方正小标宋_GBK" w:hAnsi="方正小标宋_GBK" w:eastAsia="方正小标宋_GBK"/>
        </w:rPr>
      </w:pPr>
    </w:p>
    <w:p>
      <w:pPr>
        <w:topLinePunct/>
        <w:snapToGrid w:val="0"/>
        <w:spacing w:line="360" w:lineRule="auto"/>
        <w:jc w:val="center"/>
        <w:rPr>
          <w:rFonts w:ascii="方正小标宋_GBK" w:hAnsi="方正小标宋_GBK" w:eastAsia="方正小标宋_GBK"/>
          <w:spacing w:val="-18"/>
          <w:sz w:val="44"/>
          <w:szCs w:val="44"/>
        </w:rPr>
      </w:pPr>
      <w:r>
        <w:rPr>
          <w:rFonts w:hint="eastAsia" w:ascii="方正小标宋_GBK" w:hAnsi="方正小标宋_GBK" w:eastAsia="方正小标宋_GBK"/>
          <w:spacing w:val="-18"/>
          <w:sz w:val="44"/>
          <w:szCs w:val="44"/>
        </w:rPr>
        <w:t>成都市财政局  中国人民银行成都分行营业管理部</w:t>
      </w:r>
    </w:p>
    <w:p>
      <w:pPr>
        <w:topLinePunct/>
        <w:snapToGrid w:val="0"/>
        <w:spacing w:line="360" w:lineRule="auto"/>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关于印发《成都市中小企业政府采购信用融资</w:t>
      </w:r>
    </w:p>
    <w:p>
      <w:pPr>
        <w:topLinePunct/>
        <w:snapToGrid w:val="0"/>
        <w:spacing w:line="360" w:lineRule="auto"/>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暂行办法》和《成都市级支持中小企业</w:t>
      </w:r>
    </w:p>
    <w:p>
      <w:pPr>
        <w:topLinePunct/>
        <w:snapToGrid w:val="0"/>
        <w:spacing w:line="360" w:lineRule="auto"/>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政府采购信用融资实施方案》的通知</w:t>
      </w:r>
    </w:p>
    <w:p>
      <w:pPr>
        <w:spacing w:line="360" w:lineRule="auto"/>
        <w:jc w:val="center"/>
        <w:rPr>
          <w:rFonts w:eastAsia="方正仿宋_GBK"/>
        </w:rPr>
      </w:pPr>
    </w:p>
    <w:p>
      <w:pPr>
        <w:widowControl/>
        <w:spacing w:line="360" w:lineRule="auto"/>
        <w:ind w:firstLine="480" w:firstLineChars="200"/>
        <w:rPr>
          <w:rFonts w:ascii="宋体" w:hAnsi="宋体" w:cs="宋体"/>
          <w:sz w:val="24"/>
        </w:rPr>
      </w:pPr>
      <w:r>
        <w:rPr>
          <w:rFonts w:hint="eastAsia" w:ascii="宋体" w:hAnsi="宋体" w:cs="宋体"/>
          <w:sz w:val="24"/>
        </w:rPr>
        <w:t>成都天府新区、高新区财政金融局，各区（市）县财政局，市级各部门、单位，各银行业金融机构：</w:t>
      </w:r>
    </w:p>
    <w:p>
      <w:pPr>
        <w:widowControl/>
        <w:spacing w:line="360" w:lineRule="auto"/>
        <w:ind w:firstLine="480" w:firstLineChars="200"/>
        <w:rPr>
          <w:rFonts w:ascii="宋体" w:hAnsi="宋体" w:cs="宋体"/>
          <w:sz w:val="24"/>
        </w:rPr>
      </w:pPr>
      <w:r>
        <w:rPr>
          <w:rFonts w:hint="eastAsia" w:ascii="宋体" w:hAnsi="宋体" w:cs="宋体"/>
          <w:sz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spacing w:line="360" w:lineRule="auto"/>
        <w:ind w:firstLine="480" w:firstLineChars="200"/>
        <w:rPr>
          <w:rFonts w:ascii="宋体" w:hAnsi="宋体" w:cs="宋体"/>
          <w:sz w:val="24"/>
        </w:rPr>
      </w:pPr>
      <w:r>
        <w:rPr>
          <w:rFonts w:hint="eastAsia" w:ascii="宋体" w:hAnsi="宋体" w:cs="宋体"/>
          <w:sz w:val="24"/>
        </w:rPr>
        <w:t>一、高度重视、迅速行动</w:t>
      </w:r>
    </w:p>
    <w:p>
      <w:pPr>
        <w:widowControl/>
        <w:spacing w:line="360" w:lineRule="auto"/>
        <w:ind w:firstLine="480" w:firstLineChars="200"/>
        <w:rPr>
          <w:rFonts w:ascii="宋体" w:hAnsi="宋体" w:cs="宋体"/>
          <w:sz w:val="24"/>
        </w:rPr>
      </w:pPr>
      <w:r>
        <w:rPr>
          <w:rFonts w:hint="eastAsia" w:ascii="宋体" w:hAnsi="宋体" w:cs="宋体"/>
          <w:sz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spacing w:line="360" w:lineRule="auto"/>
        <w:ind w:firstLine="480" w:firstLineChars="200"/>
        <w:rPr>
          <w:rFonts w:ascii="宋体" w:hAnsi="宋体" w:cs="宋体"/>
          <w:sz w:val="24"/>
        </w:rPr>
      </w:pPr>
      <w:r>
        <w:rPr>
          <w:rFonts w:hint="eastAsia" w:ascii="宋体" w:hAnsi="宋体" w:cs="宋体"/>
          <w:sz w:val="24"/>
        </w:rPr>
        <w:t>二、明确责任、压茬推进</w:t>
      </w:r>
    </w:p>
    <w:p>
      <w:pPr>
        <w:widowControl/>
        <w:spacing w:line="360" w:lineRule="auto"/>
        <w:ind w:firstLine="480" w:firstLineChars="200"/>
        <w:rPr>
          <w:rFonts w:ascii="宋体" w:hAnsi="宋体" w:cs="宋体"/>
          <w:sz w:val="24"/>
        </w:rPr>
      </w:pPr>
      <w:r>
        <w:rPr>
          <w:rFonts w:hint="eastAsia" w:ascii="宋体" w:hAnsi="宋体" w:cs="宋体"/>
          <w:sz w:val="24"/>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spacing w:line="360" w:lineRule="auto"/>
        <w:ind w:firstLine="480" w:firstLineChars="200"/>
        <w:rPr>
          <w:rFonts w:ascii="宋体" w:hAnsi="宋体" w:cs="宋体"/>
          <w:sz w:val="24"/>
        </w:rPr>
      </w:pPr>
      <w:r>
        <w:rPr>
          <w:rFonts w:hint="eastAsia" w:ascii="宋体" w:hAnsi="宋体" w:cs="宋体"/>
          <w:sz w:val="24"/>
        </w:rPr>
        <w:t>三、优化服务、营造氛围</w:t>
      </w:r>
    </w:p>
    <w:p>
      <w:pPr>
        <w:widowControl/>
        <w:spacing w:line="360" w:lineRule="auto"/>
        <w:ind w:firstLine="480" w:firstLineChars="200"/>
        <w:rPr>
          <w:rFonts w:ascii="宋体" w:hAnsi="宋体" w:cs="宋体"/>
          <w:sz w:val="24"/>
        </w:rPr>
      </w:pPr>
      <w:r>
        <w:rPr>
          <w:rFonts w:hint="eastAsia" w:ascii="宋体" w:hAnsi="宋体" w:cs="宋体"/>
          <w:sz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spacing w:line="360" w:lineRule="auto"/>
        <w:ind w:firstLine="480" w:firstLineChars="200"/>
        <w:rPr>
          <w:rFonts w:ascii="宋体" w:hAnsi="宋体" w:cs="宋体"/>
          <w:sz w:val="24"/>
        </w:rPr>
      </w:pPr>
    </w:p>
    <w:p>
      <w:pPr>
        <w:widowControl/>
        <w:spacing w:line="360" w:lineRule="auto"/>
        <w:ind w:firstLine="480" w:firstLineChars="200"/>
        <w:rPr>
          <w:rFonts w:ascii="宋体" w:hAnsi="宋体" w:cs="宋体"/>
          <w:sz w:val="24"/>
        </w:rPr>
      </w:pPr>
      <w:r>
        <w:rPr>
          <w:rFonts w:hint="eastAsia" w:ascii="宋体" w:hAnsi="宋体" w:cs="宋体"/>
          <w:sz w:val="24"/>
        </w:rPr>
        <w:t xml:space="preserve">附件：1．成都市中小企业政府采购信用融资暂行办法 </w:t>
      </w:r>
    </w:p>
    <w:p>
      <w:pPr>
        <w:widowControl/>
        <w:spacing w:line="360" w:lineRule="auto"/>
        <w:ind w:firstLine="480" w:firstLineChars="200"/>
        <w:rPr>
          <w:rFonts w:ascii="宋体" w:hAnsi="宋体" w:cs="宋体"/>
          <w:sz w:val="24"/>
        </w:rPr>
      </w:pPr>
      <w:r>
        <w:rPr>
          <w:rFonts w:hint="eastAsia" w:ascii="宋体" w:hAnsi="宋体" w:cs="宋体"/>
          <w:sz w:val="24"/>
        </w:rPr>
        <w:t>2．成都市级支持中小企业政府采购信用融资实施方案</w:t>
      </w:r>
    </w:p>
    <w:p>
      <w:pPr>
        <w:pStyle w:val="10"/>
        <w:widowControl/>
        <w:topLinePunct/>
        <w:spacing w:line="360" w:lineRule="auto"/>
        <w:ind w:firstLine="480" w:firstLineChars="200"/>
        <w:rPr>
          <w:rFonts w:ascii="宋体" w:hAnsi="宋体" w:cs="宋体"/>
          <w:sz w:val="24"/>
          <w:szCs w:val="24"/>
        </w:rPr>
      </w:pPr>
    </w:p>
    <w:p>
      <w:pPr>
        <w:pStyle w:val="10"/>
        <w:widowControl/>
        <w:topLinePunct/>
        <w:spacing w:line="360" w:lineRule="auto"/>
        <w:ind w:firstLine="480" w:firstLineChars="200"/>
        <w:rPr>
          <w:rFonts w:ascii="宋体" w:hAnsi="宋体" w:cs="宋体"/>
          <w:sz w:val="24"/>
          <w:szCs w:val="24"/>
        </w:rPr>
      </w:pPr>
    </w:p>
    <w:p>
      <w:pPr>
        <w:pStyle w:val="10"/>
        <w:widowControl/>
        <w:topLinePunct/>
        <w:spacing w:line="360" w:lineRule="auto"/>
        <w:ind w:firstLine="480" w:firstLineChars="200"/>
        <w:rPr>
          <w:rFonts w:ascii="宋体" w:hAnsi="宋体" w:cs="宋体"/>
          <w:sz w:val="24"/>
          <w:szCs w:val="24"/>
        </w:rPr>
      </w:pPr>
    </w:p>
    <w:p>
      <w:pPr>
        <w:widowControl/>
        <w:tabs>
          <w:tab w:val="left" w:pos="7584"/>
        </w:tabs>
        <w:topLinePunct/>
        <w:spacing w:line="360" w:lineRule="auto"/>
        <w:ind w:firstLine="480" w:firstLineChars="200"/>
        <w:jc w:val="right"/>
        <w:rPr>
          <w:rFonts w:ascii="宋体" w:hAnsi="宋体" w:cs="宋体"/>
          <w:sz w:val="24"/>
        </w:rPr>
      </w:pPr>
      <w:r>
        <w:rPr>
          <w:rFonts w:hint="eastAsia" w:ascii="宋体" w:hAnsi="宋体" w:cs="宋体"/>
          <w:sz w:val="24"/>
        </w:rPr>
        <w:t>成都市财政局         中国人民银行成都分行营业管理部</w:t>
      </w:r>
    </w:p>
    <w:p>
      <w:pPr>
        <w:widowControl/>
        <w:tabs>
          <w:tab w:val="left" w:pos="7584"/>
        </w:tabs>
        <w:topLinePunct/>
        <w:spacing w:line="360" w:lineRule="auto"/>
        <w:ind w:firstLine="480" w:firstLineChars="200"/>
        <w:jc w:val="right"/>
        <w:rPr>
          <w:rFonts w:ascii="宋体" w:hAnsi="宋体" w:cs="宋体"/>
          <w:sz w:val="24"/>
        </w:rPr>
      </w:pPr>
      <w:r>
        <w:rPr>
          <w:rFonts w:hint="eastAsia" w:ascii="宋体" w:hAnsi="宋体" w:cs="宋体"/>
          <w:sz w:val="24"/>
        </w:rPr>
        <w:t>2019年2月26日</w:t>
      </w:r>
    </w:p>
    <w:p>
      <w:pPr>
        <w:spacing w:line="360" w:lineRule="auto"/>
        <w:rPr>
          <w:rFonts w:ascii="宋体" w:hAnsi="宋体" w:cs="宋体"/>
          <w:sz w:val="24"/>
        </w:rPr>
      </w:pPr>
      <w:r>
        <w:rPr>
          <w:rFonts w:hint="eastAsia" w:ascii="宋体" w:hAnsi="宋体" w:cs="宋体"/>
          <w:sz w:val="24"/>
        </w:rPr>
        <w:br w:type="page"/>
      </w:r>
    </w:p>
    <w:p>
      <w:pPr>
        <w:topLinePunct/>
        <w:spacing w:line="360" w:lineRule="auto"/>
        <w:rPr>
          <w:rFonts w:ascii="宋体" w:hAnsi="宋体" w:cs="宋体"/>
          <w:sz w:val="24"/>
        </w:rPr>
      </w:pPr>
      <w:r>
        <w:rPr>
          <w:rFonts w:hint="eastAsia" w:ascii="宋体" w:hAnsi="宋体" w:cs="宋体"/>
          <w:sz w:val="24"/>
        </w:rPr>
        <w:t>附件1</w:t>
      </w:r>
    </w:p>
    <w:p>
      <w:pPr>
        <w:topLinePunct/>
        <w:spacing w:line="360" w:lineRule="auto"/>
        <w:rPr>
          <w:rFonts w:ascii="宋体" w:hAnsi="宋体" w:cs="宋体"/>
          <w:sz w:val="24"/>
        </w:rPr>
      </w:pPr>
    </w:p>
    <w:p>
      <w:pPr>
        <w:topLinePunct/>
        <w:snapToGrid w:val="0"/>
        <w:spacing w:line="360" w:lineRule="auto"/>
        <w:jc w:val="center"/>
        <w:rPr>
          <w:rFonts w:ascii="宋体" w:hAnsi="宋体" w:cs="宋体"/>
          <w:sz w:val="24"/>
        </w:rPr>
      </w:pPr>
      <w:r>
        <w:rPr>
          <w:rFonts w:hint="eastAsia" w:ascii="宋体" w:hAnsi="宋体" w:cs="宋体"/>
          <w:sz w:val="24"/>
        </w:rPr>
        <w:t>成都市中小企业政府采购信用融资暂行办法</w:t>
      </w:r>
    </w:p>
    <w:p>
      <w:pPr>
        <w:topLinePunct/>
        <w:spacing w:line="360" w:lineRule="auto"/>
        <w:jc w:val="center"/>
        <w:rPr>
          <w:rFonts w:ascii="宋体" w:hAnsi="宋体" w:cs="宋体"/>
          <w:sz w:val="24"/>
        </w:rPr>
      </w:pPr>
      <w:r>
        <w:rPr>
          <w:rFonts w:hint="eastAsia" w:ascii="宋体" w:hAnsi="宋体" w:cs="宋体"/>
          <w:sz w:val="24"/>
        </w:rPr>
        <w:t>第一章  总  则</w:t>
      </w:r>
    </w:p>
    <w:p>
      <w:pPr>
        <w:topLinePunct/>
        <w:spacing w:line="360" w:lineRule="auto"/>
        <w:ind w:firstLine="480" w:firstLineChars="200"/>
        <w:rPr>
          <w:rFonts w:ascii="宋体" w:hAnsi="宋体" w:cs="宋体"/>
          <w:sz w:val="24"/>
        </w:rPr>
      </w:pPr>
      <w:r>
        <w:rPr>
          <w:rFonts w:hint="eastAsia" w:ascii="宋体" w:hAnsi="宋体" w:cs="宋体"/>
          <w:sz w:val="24"/>
        </w:rPr>
        <w:t>第一条（政策依据）</w:t>
      </w:r>
    </w:p>
    <w:p>
      <w:pPr>
        <w:topLinePunct/>
        <w:spacing w:line="360" w:lineRule="auto"/>
        <w:ind w:firstLine="480" w:firstLineChars="200"/>
        <w:rPr>
          <w:rFonts w:ascii="宋体" w:hAnsi="宋体" w:cs="宋体"/>
          <w:sz w:val="24"/>
        </w:rPr>
      </w:pPr>
      <w:r>
        <w:rPr>
          <w:rFonts w:hint="eastAsia" w:ascii="宋体" w:hAnsi="宋体" w:cs="宋体"/>
          <w:sz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spacing w:line="360" w:lineRule="auto"/>
        <w:ind w:firstLine="480" w:firstLineChars="200"/>
        <w:rPr>
          <w:rFonts w:ascii="宋体" w:hAnsi="宋体" w:cs="宋体"/>
          <w:sz w:val="24"/>
        </w:rPr>
      </w:pPr>
      <w:r>
        <w:rPr>
          <w:rFonts w:hint="eastAsia" w:ascii="宋体" w:hAnsi="宋体" w:cs="宋体"/>
          <w:sz w:val="24"/>
        </w:rPr>
        <w:t>第二条（适用范围）</w:t>
      </w:r>
    </w:p>
    <w:p>
      <w:pPr>
        <w:topLinePunct/>
        <w:spacing w:line="360" w:lineRule="auto"/>
        <w:ind w:firstLine="480" w:firstLineChars="200"/>
        <w:rPr>
          <w:rFonts w:ascii="宋体" w:hAnsi="宋体" w:cs="宋体"/>
          <w:sz w:val="24"/>
        </w:rPr>
      </w:pPr>
      <w:r>
        <w:rPr>
          <w:rFonts w:hint="eastAsia" w:ascii="宋体" w:hAnsi="宋体" w:cs="宋体"/>
          <w:sz w:val="24"/>
        </w:rPr>
        <w:t>成都市行政区域内政府采购信用融资适用本办法。</w:t>
      </w:r>
    </w:p>
    <w:p>
      <w:pPr>
        <w:topLinePunct/>
        <w:spacing w:line="360" w:lineRule="auto"/>
        <w:ind w:firstLine="480" w:firstLineChars="200"/>
        <w:rPr>
          <w:rFonts w:ascii="宋体" w:hAnsi="宋体" w:cs="宋体"/>
          <w:sz w:val="24"/>
        </w:rPr>
      </w:pPr>
      <w:r>
        <w:rPr>
          <w:rFonts w:hint="eastAsia" w:ascii="宋体" w:hAnsi="宋体" w:cs="宋体"/>
          <w:sz w:val="24"/>
        </w:rPr>
        <w:t>第三条（术语定义）</w:t>
      </w:r>
    </w:p>
    <w:p>
      <w:pPr>
        <w:topLinePunct/>
        <w:spacing w:line="360" w:lineRule="auto"/>
        <w:ind w:firstLine="480" w:firstLineChars="200"/>
        <w:rPr>
          <w:rFonts w:ascii="宋体" w:hAnsi="宋体" w:cs="宋体"/>
          <w:sz w:val="24"/>
        </w:rPr>
      </w:pPr>
      <w:r>
        <w:rPr>
          <w:rFonts w:hint="eastAsia" w:ascii="宋体" w:hAnsi="宋体" w:cs="宋体"/>
          <w:sz w:val="24"/>
        </w:rPr>
        <w:t>本办法所称政府采购信用融资，是指融资机构以信用审查为基础，依据政府采购合同，按相应的优惠政策向申请融资的中小企业（以下简称供应商）提供资金支持的融资模式。</w:t>
      </w:r>
    </w:p>
    <w:p>
      <w:pPr>
        <w:topLinePunct/>
        <w:spacing w:line="360" w:lineRule="auto"/>
        <w:ind w:firstLine="480" w:firstLineChars="200"/>
        <w:rPr>
          <w:rFonts w:ascii="宋体" w:hAnsi="宋体" w:cs="宋体"/>
          <w:sz w:val="24"/>
        </w:rPr>
      </w:pPr>
      <w:r>
        <w:rPr>
          <w:rFonts w:hint="eastAsia" w:ascii="宋体" w:hAnsi="宋体" w:cs="宋体"/>
          <w:sz w:val="24"/>
        </w:rPr>
        <w:t>本办法所称融资机构，是指在成都市属地注册或设立分支机构，有意向按照本办法开展政府采购信用融资业务，经同级财政部门确定的银行机构。</w:t>
      </w:r>
    </w:p>
    <w:p>
      <w:pPr>
        <w:topLinePunct/>
        <w:spacing w:line="360" w:lineRule="auto"/>
        <w:ind w:firstLine="480" w:firstLineChars="200"/>
        <w:rPr>
          <w:rFonts w:ascii="宋体" w:hAnsi="宋体" w:cs="宋体"/>
          <w:sz w:val="24"/>
        </w:rPr>
      </w:pPr>
      <w:r>
        <w:rPr>
          <w:rFonts w:hint="eastAsia" w:ascii="宋体" w:hAnsi="宋体" w:cs="宋体"/>
          <w:sz w:val="24"/>
        </w:rPr>
        <w:t>本办法所称中小企业，包括中型、小型及微型企业，其划型标准按照国家相关规定执行。</w:t>
      </w:r>
    </w:p>
    <w:p>
      <w:pPr>
        <w:topLinePunct/>
        <w:spacing w:line="360" w:lineRule="auto"/>
        <w:ind w:firstLine="480" w:firstLineChars="200"/>
        <w:rPr>
          <w:rFonts w:ascii="宋体" w:hAnsi="宋体" w:cs="宋体"/>
          <w:sz w:val="24"/>
        </w:rPr>
      </w:pPr>
      <w:r>
        <w:rPr>
          <w:rFonts w:hint="eastAsia" w:ascii="宋体" w:hAnsi="宋体" w:cs="宋体"/>
          <w:sz w:val="24"/>
        </w:rPr>
        <w:t>第四条（基本原则）</w:t>
      </w:r>
    </w:p>
    <w:p>
      <w:pPr>
        <w:topLinePunct/>
        <w:spacing w:line="360" w:lineRule="auto"/>
        <w:ind w:firstLine="480" w:firstLineChars="200"/>
        <w:rPr>
          <w:rFonts w:ascii="宋体" w:hAnsi="宋体" w:cs="宋体"/>
          <w:sz w:val="24"/>
        </w:rPr>
      </w:pPr>
      <w:r>
        <w:rPr>
          <w:rFonts w:hint="eastAsia" w:ascii="宋体" w:hAnsi="宋体" w:cs="宋体"/>
          <w:sz w:val="24"/>
        </w:rPr>
        <w:t>政府采购信用融资工作坚持政府引导、市场主导，自愿选择、自担风险，诚实信用、互惠共赢的原则，切实发挥市场在资源配置中的决定性作用。</w:t>
      </w:r>
    </w:p>
    <w:p>
      <w:pPr>
        <w:topLinePunct/>
        <w:spacing w:line="360" w:lineRule="auto"/>
        <w:ind w:firstLine="480" w:firstLineChars="200"/>
        <w:jc w:val="center"/>
        <w:rPr>
          <w:rFonts w:ascii="宋体" w:hAnsi="宋体" w:cs="宋体"/>
          <w:sz w:val="24"/>
        </w:rPr>
      </w:pPr>
      <w:r>
        <w:rPr>
          <w:rFonts w:hint="eastAsia" w:ascii="宋体" w:hAnsi="宋体" w:cs="宋体"/>
          <w:sz w:val="24"/>
        </w:rPr>
        <w:t>第二章  融资优惠</w:t>
      </w:r>
    </w:p>
    <w:p>
      <w:pPr>
        <w:topLinePunct/>
        <w:spacing w:line="360" w:lineRule="auto"/>
        <w:ind w:firstLine="480" w:firstLineChars="200"/>
        <w:rPr>
          <w:rFonts w:ascii="宋体" w:hAnsi="宋体" w:cs="宋体"/>
          <w:sz w:val="24"/>
        </w:rPr>
      </w:pPr>
      <w:r>
        <w:rPr>
          <w:rFonts w:hint="eastAsia" w:ascii="宋体" w:hAnsi="宋体" w:cs="宋体"/>
          <w:sz w:val="24"/>
        </w:rPr>
        <w:t>第五条（融资方式）</w:t>
      </w:r>
    </w:p>
    <w:p>
      <w:pPr>
        <w:topLinePunct/>
        <w:spacing w:line="360" w:lineRule="auto"/>
        <w:ind w:firstLine="480" w:firstLineChars="200"/>
        <w:rPr>
          <w:rFonts w:ascii="宋体" w:hAnsi="宋体" w:cs="宋体"/>
          <w:sz w:val="24"/>
        </w:rPr>
      </w:pPr>
      <w:r>
        <w:rPr>
          <w:rFonts w:hint="eastAsia" w:ascii="宋体" w:hAnsi="宋体" w:cs="宋体"/>
          <w:sz w:val="24"/>
        </w:rPr>
        <w:t>供应商无需提供财产抵押或第三方担保，凭借政府采购合同向融资机构申请融资，融资机构根据其授信政策为供应商提供信用贷款。</w:t>
      </w:r>
    </w:p>
    <w:p>
      <w:pPr>
        <w:topLinePunct/>
        <w:spacing w:line="360" w:lineRule="auto"/>
        <w:ind w:firstLine="480" w:firstLineChars="200"/>
        <w:rPr>
          <w:rFonts w:ascii="宋体" w:hAnsi="宋体" w:cs="宋体"/>
          <w:sz w:val="24"/>
        </w:rPr>
      </w:pPr>
      <w:r>
        <w:rPr>
          <w:rFonts w:hint="eastAsia" w:ascii="宋体" w:hAnsi="宋体" w:cs="宋体"/>
          <w:sz w:val="24"/>
        </w:rPr>
        <w:t>第六条（融资额度）</w:t>
      </w:r>
    </w:p>
    <w:p>
      <w:pPr>
        <w:topLinePunct/>
        <w:spacing w:line="360" w:lineRule="auto"/>
        <w:ind w:firstLine="480" w:firstLineChars="200"/>
        <w:rPr>
          <w:rFonts w:ascii="宋体" w:hAnsi="宋体" w:cs="宋体"/>
          <w:sz w:val="24"/>
        </w:rPr>
      </w:pPr>
      <w:r>
        <w:rPr>
          <w:rFonts w:hint="eastAsia" w:ascii="宋体" w:hAnsi="宋体" w:cs="宋体"/>
          <w:sz w:val="24"/>
        </w:rPr>
        <w:t>融资额度原则上不超过政府采购合同金额。</w:t>
      </w:r>
    </w:p>
    <w:p>
      <w:pPr>
        <w:topLinePunct/>
        <w:spacing w:line="360" w:lineRule="auto"/>
        <w:ind w:firstLine="480" w:firstLineChars="200"/>
        <w:rPr>
          <w:rFonts w:ascii="宋体" w:hAnsi="宋体" w:cs="宋体"/>
          <w:sz w:val="24"/>
        </w:rPr>
      </w:pPr>
      <w:r>
        <w:rPr>
          <w:rFonts w:hint="eastAsia" w:ascii="宋体" w:hAnsi="宋体" w:cs="宋体"/>
          <w:sz w:val="24"/>
        </w:rPr>
        <w:t>第七条（融资利率）</w:t>
      </w:r>
    </w:p>
    <w:p>
      <w:pPr>
        <w:topLinePunct/>
        <w:spacing w:line="360" w:lineRule="auto"/>
        <w:ind w:firstLine="480" w:firstLineChars="200"/>
        <w:rPr>
          <w:rFonts w:ascii="宋体" w:hAnsi="宋体" w:cs="宋体"/>
          <w:sz w:val="24"/>
        </w:rPr>
      </w:pPr>
      <w:r>
        <w:rPr>
          <w:rFonts w:hint="eastAsia" w:ascii="宋体" w:hAnsi="宋体" w:cs="宋体"/>
          <w:sz w:val="24"/>
        </w:rPr>
        <w:t>融资机构向供应商提供融资的利率应低于同期一般中小企业的贷款利率。融资利率上浮比例原则上不超过中国人民银行公布的同期贷款基准利率的30%。</w:t>
      </w:r>
    </w:p>
    <w:p>
      <w:pPr>
        <w:topLinePunct/>
        <w:spacing w:line="360" w:lineRule="auto"/>
        <w:ind w:firstLine="480" w:firstLineChars="200"/>
        <w:rPr>
          <w:rFonts w:ascii="宋体" w:hAnsi="宋体" w:cs="宋体"/>
          <w:sz w:val="24"/>
        </w:rPr>
      </w:pPr>
      <w:r>
        <w:rPr>
          <w:rFonts w:hint="eastAsia" w:ascii="宋体" w:hAnsi="宋体" w:cs="宋体"/>
          <w:sz w:val="24"/>
        </w:rPr>
        <w:t>第八条（融资期限）</w:t>
      </w:r>
    </w:p>
    <w:p>
      <w:pPr>
        <w:topLinePunct/>
        <w:spacing w:line="360" w:lineRule="auto"/>
        <w:ind w:firstLine="480" w:firstLineChars="200"/>
        <w:rPr>
          <w:rFonts w:ascii="宋体" w:hAnsi="宋体" w:cs="宋体"/>
          <w:sz w:val="24"/>
        </w:rPr>
      </w:pPr>
      <w:r>
        <w:rPr>
          <w:rFonts w:hint="eastAsia" w:ascii="宋体" w:hAnsi="宋体" w:cs="宋体"/>
          <w:sz w:val="24"/>
        </w:rPr>
        <w:t>融资期限原则上与政府采购合同履行期限一致。</w:t>
      </w:r>
    </w:p>
    <w:p>
      <w:pPr>
        <w:topLinePunct/>
        <w:spacing w:line="360" w:lineRule="auto"/>
        <w:ind w:firstLine="480" w:firstLineChars="200"/>
        <w:rPr>
          <w:rFonts w:ascii="宋体" w:hAnsi="宋体" w:cs="宋体"/>
          <w:sz w:val="24"/>
        </w:rPr>
      </w:pPr>
      <w:r>
        <w:rPr>
          <w:rFonts w:hint="eastAsia" w:ascii="宋体" w:hAnsi="宋体" w:cs="宋体"/>
          <w:sz w:val="24"/>
        </w:rPr>
        <w:t>第九条（融资效率）</w:t>
      </w:r>
    </w:p>
    <w:p>
      <w:pPr>
        <w:topLinePunct/>
        <w:spacing w:line="360" w:lineRule="auto"/>
        <w:ind w:firstLine="480" w:firstLineChars="200"/>
        <w:rPr>
          <w:rFonts w:ascii="宋体" w:hAnsi="宋体" w:cs="宋体"/>
          <w:sz w:val="24"/>
        </w:rPr>
      </w:pPr>
      <w:r>
        <w:rPr>
          <w:rFonts w:hint="eastAsia" w:ascii="宋体" w:hAnsi="宋体" w:cs="宋体"/>
          <w:sz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spacing w:line="360" w:lineRule="auto"/>
        <w:ind w:firstLine="480" w:firstLineChars="200"/>
        <w:rPr>
          <w:rFonts w:ascii="宋体" w:hAnsi="宋体" w:cs="宋体"/>
          <w:sz w:val="24"/>
        </w:rPr>
      </w:pPr>
      <w:r>
        <w:rPr>
          <w:rFonts w:hint="eastAsia" w:ascii="宋体" w:hAnsi="宋体" w:cs="宋体"/>
          <w:sz w:val="24"/>
        </w:rPr>
        <w:t>第十条（融资业务升级）</w:t>
      </w:r>
    </w:p>
    <w:p>
      <w:pPr>
        <w:topLinePunct/>
        <w:spacing w:line="360" w:lineRule="auto"/>
        <w:ind w:firstLine="480" w:firstLineChars="200"/>
        <w:rPr>
          <w:rFonts w:ascii="宋体" w:hAnsi="宋体" w:cs="宋体"/>
          <w:sz w:val="24"/>
        </w:rPr>
      </w:pPr>
      <w:r>
        <w:rPr>
          <w:rFonts w:hint="eastAsia" w:ascii="宋体" w:hAnsi="宋体" w:cs="宋体"/>
          <w:sz w:val="24"/>
        </w:rPr>
        <w:t>对履约记录良好、诚信资质高的供应商，融资机构应当在授信额度、融资审查、融资利率等方面给予更大支持，促进供应商依法诚信经营。</w:t>
      </w:r>
    </w:p>
    <w:p>
      <w:pPr>
        <w:topLinePunct/>
        <w:spacing w:line="360" w:lineRule="auto"/>
        <w:ind w:firstLine="480" w:firstLineChars="200"/>
        <w:rPr>
          <w:rFonts w:ascii="宋体" w:hAnsi="宋体" w:cs="宋体"/>
          <w:sz w:val="24"/>
        </w:rPr>
      </w:pPr>
      <w:r>
        <w:rPr>
          <w:rFonts w:hint="eastAsia" w:ascii="宋体" w:hAnsi="宋体" w:cs="宋体"/>
          <w:sz w:val="24"/>
        </w:rPr>
        <w:t>第十一条（贷款风险补贴）</w:t>
      </w:r>
    </w:p>
    <w:p>
      <w:pPr>
        <w:topLinePunct/>
        <w:spacing w:line="360" w:lineRule="auto"/>
        <w:ind w:firstLine="480" w:firstLineChars="200"/>
        <w:rPr>
          <w:rFonts w:ascii="宋体" w:hAnsi="宋体" w:cs="宋体"/>
          <w:sz w:val="24"/>
        </w:rPr>
      </w:pPr>
      <w:r>
        <w:rPr>
          <w:rFonts w:hint="eastAsia" w:ascii="宋体" w:hAnsi="宋体" w:cs="宋体"/>
          <w:sz w:val="24"/>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spacing w:line="360" w:lineRule="auto"/>
        <w:ind w:firstLine="480" w:firstLineChars="200"/>
        <w:jc w:val="center"/>
        <w:rPr>
          <w:rFonts w:ascii="宋体" w:hAnsi="宋体" w:cs="宋体"/>
          <w:sz w:val="24"/>
        </w:rPr>
      </w:pPr>
      <w:r>
        <w:rPr>
          <w:rFonts w:hint="eastAsia" w:ascii="宋体" w:hAnsi="宋体" w:cs="宋体"/>
          <w:sz w:val="24"/>
        </w:rPr>
        <w:t>第三章  融资流程</w:t>
      </w:r>
    </w:p>
    <w:p>
      <w:pPr>
        <w:topLinePunct/>
        <w:spacing w:line="360" w:lineRule="auto"/>
        <w:ind w:firstLine="480" w:firstLineChars="200"/>
        <w:rPr>
          <w:rFonts w:ascii="宋体" w:hAnsi="宋体" w:cs="宋体"/>
          <w:sz w:val="24"/>
        </w:rPr>
      </w:pPr>
      <w:r>
        <w:rPr>
          <w:rFonts w:hint="eastAsia" w:ascii="宋体" w:hAnsi="宋体" w:cs="宋体"/>
          <w:sz w:val="24"/>
        </w:rPr>
        <w:t>第十二条（融资流程）</w:t>
      </w:r>
    </w:p>
    <w:p>
      <w:pPr>
        <w:topLinePunct/>
        <w:spacing w:line="360" w:lineRule="auto"/>
        <w:ind w:firstLine="480" w:firstLineChars="200"/>
        <w:rPr>
          <w:rFonts w:ascii="宋体" w:hAnsi="宋体" w:cs="宋体"/>
          <w:sz w:val="24"/>
        </w:rPr>
      </w:pPr>
      <w:r>
        <w:rPr>
          <w:rFonts w:hint="eastAsia" w:ascii="宋体" w:hAnsi="宋体" w:cs="宋体"/>
          <w:sz w:val="24"/>
        </w:rPr>
        <w:t>（一）信息发布。采购人应当在发布的采购公告和采购文件中载明采购项目可提供信用融资的信息。</w:t>
      </w:r>
    </w:p>
    <w:p>
      <w:pPr>
        <w:topLinePunct/>
        <w:spacing w:line="360" w:lineRule="auto"/>
        <w:ind w:firstLine="480" w:firstLineChars="200"/>
        <w:rPr>
          <w:rFonts w:ascii="宋体" w:hAnsi="宋体" w:cs="宋体"/>
          <w:sz w:val="24"/>
        </w:rPr>
      </w:pPr>
      <w:r>
        <w:rPr>
          <w:rFonts w:hint="eastAsia" w:ascii="宋体" w:hAnsi="宋体" w:cs="宋体"/>
          <w:sz w:val="24"/>
        </w:rPr>
        <w:t>（二）融资申请。有融资需求的供应商自主选择提供政府采购信用融资服务的融资机构及产品，并按要求提供申请资料。</w:t>
      </w:r>
    </w:p>
    <w:p>
      <w:pPr>
        <w:topLinePunct/>
        <w:spacing w:line="360" w:lineRule="auto"/>
        <w:ind w:firstLine="480" w:firstLineChars="200"/>
        <w:rPr>
          <w:rFonts w:ascii="宋体" w:hAnsi="宋体" w:cs="宋体"/>
          <w:sz w:val="24"/>
        </w:rPr>
      </w:pPr>
      <w:r>
        <w:rPr>
          <w:rFonts w:hint="eastAsia" w:ascii="宋体" w:hAnsi="宋体" w:cs="宋体"/>
          <w:sz w:val="24"/>
        </w:rPr>
        <w:t>（三）融资审查。融资机构对供应商的融资申请进行审查，并向供应商反馈审查及融资额度等情况。</w:t>
      </w:r>
    </w:p>
    <w:p>
      <w:pPr>
        <w:topLinePunct/>
        <w:spacing w:line="360" w:lineRule="auto"/>
        <w:ind w:firstLine="480" w:firstLineChars="200"/>
        <w:rPr>
          <w:rFonts w:ascii="宋体" w:hAnsi="宋体" w:cs="宋体"/>
          <w:sz w:val="24"/>
        </w:rPr>
      </w:pPr>
      <w:r>
        <w:rPr>
          <w:rFonts w:hint="eastAsia" w:ascii="宋体" w:hAnsi="宋体" w:cs="宋体"/>
          <w:sz w:val="24"/>
        </w:rPr>
        <w:t>（四）账户确认。供应商须在合作融资机构开立结算账户，并与采购人在政府采购合同中或通过签订补充协议的方式约定唯一收款账户，融资机构对唯一收款账户进行确认和锁定。</w:t>
      </w:r>
    </w:p>
    <w:p>
      <w:pPr>
        <w:topLinePunct/>
        <w:spacing w:line="360" w:lineRule="auto"/>
        <w:ind w:firstLine="480" w:firstLineChars="200"/>
        <w:rPr>
          <w:rFonts w:ascii="宋体" w:hAnsi="宋体" w:cs="宋体"/>
          <w:sz w:val="24"/>
        </w:rPr>
      </w:pPr>
      <w:r>
        <w:rPr>
          <w:rFonts w:hint="eastAsia" w:ascii="宋体" w:hAnsi="宋体" w:cs="宋体"/>
          <w:sz w:val="24"/>
        </w:rPr>
        <w:t>（五）放款。融资机构对政府采购合同及融资相关信息进行确认，并向供应商提供相应的融资产品。</w:t>
      </w:r>
    </w:p>
    <w:p>
      <w:pPr>
        <w:topLinePunct/>
        <w:spacing w:line="360" w:lineRule="auto"/>
        <w:ind w:firstLine="480" w:firstLineChars="200"/>
        <w:rPr>
          <w:rFonts w:ascii="宋体" w:hAnsi="宋体" w:cs="宋体"/>
          <w:sz w:val="24"/>
        </w:rPr>
      </w:pPr>
      <w:r>
        <w:rPr>
          <w:rFonts w:hint="eastAsia" w:ascii="宋体" w:hAnsi="宋体" w:cs="宋体"/>
          <w:sz w:val="24"/>
        </w:rPr>
        <w:t>（六）贷款归还。采购人按相关规定和合同约定将合同资金支付至约定的唯一收款账户。</w:t>
      </w:r>
    </w:p>
    <w:p>
      <w:pPr>
        <w:topLinePunct/>
        <w:spacing w:line="360" w:lineRule="auto"/>
        <w:ind w:firstLine="480" w:firstLineChars="200"/>
        <w:jc w:val="center"/>
        <w:rPr>
          <w:rFonts w:ascii="宋体" w:hAnsi="宋体" w:cs="宋体"/>
          <w:sz w:val="24"/>
        </w:rPr>
      </w:pPr>
      <w:r>
        <w:rPr>
          <w:rFonts w:hint="eastAsia" w:ascii="宋体" w:hAnsi="宋体" w:cs="宋体"/>
          <w:sz w:val="24"/>
        </w:rPr>
        <w:t>第四章  职责分工</w:t>
      </w:r>
    </w:p>
    <w:p>
      <w:pPr>
        <w:topLinePunct/>
        <w:spacing w:line="360" w:lineRule="auto"/>
        <w:ind w:firstLine="480" w:firstLineChars="200"/>
        <w:rPr>
          <w:rFonts w:ascii="宋体" w:hAnsi="宋体" w:cs="宋体"/>
          <w:sz w:val="24"/>
        </w:rPr>
      </w:pPr>
      <w:r>
        <w:rPr>
          <w:rFonts w:hint="eastAsia" w:ascii="宋体" w:hAnsi="宋体" w:cs="宋体"/>
          <w:sz w:val="24"/>
        </w:rPr>
        <w:t>第十三条（财政部门职责）</w:t>
      </w:r>
    </w:p>
    <w:p>
      <w:pPr>
        <w:topLinePunct/>
        <w:spacing w:line="360" w:lineRule="auto"/>
        <w:ind w:firstLine="480" w:firstLineChars="200"/>
        <w:rPr>
          <w:rFonts w:ascii="宋体" w:hAnsi="宋体" w:cs="宋体"/>
          <w:sz w:val="24"/>
        </w:rPr>
      </w:pPr>
      <w:r>
        <w:rPr>
          <w:rFonts w:hint="eastAsia" w:ascii="宋体" w:hAnsi="宋体" w:cs="宋体"/>
          <w:sz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spacing w:line="360" w:lineRule="auto"/>
        <w:ind w:firstLine="480" w:firstLineChars="200"/>
        <w:rPr>
          <w:rFonts w:ascii="宋体" w:hAnsi="宋体" w:cs="宋体"/>
          <w:sz w:val="24"/>
        </w:rPr>
      </w:pPr>
      <w:r>
        <w:rPr>
          <w:rFonts w:hint="eastAsia" w:ascii="宋体" w:hAnsi="宋体" w:cs="宋体"/>
          <w:sz w:val="24"/>
        </w:rPr>
        <w:t>第十四条（融资机构主管部门职责）</w:t>
      </w:r>
    </w:p>
    <w:p>
      <w:pPr>
        <w:topLinePunct/>
        <w:spacing w:line="360" w:lineRule="auto"/>
        <w:ind w:firstLine="480" w:firstLineChars="200"/>
        <w:rPr>
          <w:rFonts w:ascii="宋体" w:hAnsi="宋体" w:cs="宋体"/>
          <w:sz w:val="24"/>
        </w:rPr>
      </w:pPr>
      <w:r>
        <w:rPr>
          <w:rFonts w:hint="eastAsia" w:ascii="宋体" w:hAnsi="宋体" w:cs="宋体"/>
          <w:sz w:val="24"/>
        </w:rPr>
        <w:t>引导融资机构依法依规开展政府采购信用融资。推动成都市政府采购监督管理系统与中征应收账款融资服务平台直联，实现政府采购信用融资线上办理，加强与财政部门的信息共享。</w:t>
      </w:r>
    </w:p>
    <w:p>
      <w:pPr>
        <w:topLinePunct/>
        <w:spacing w:line="360" w:lineRule="auto"/>
        <w:ind w:firstLine="480" w:firstLineChars="200"/>
        <w:rPr>
          <w:rFonts w:ascii="宋体" w:hAnsi="宋体" w:cs="宋体"/>
          <w:sz w:val="24"/>
        </w:rPr>
      </w:pPr>
      <w:r>
        <w:rPr>
          <w:rFonts w:hint="eastAsia" w:ascii="宋体" w:hAnsi="宋体" w:cs="宋体"/>
          <w:sz w:val="24"/>
        </w:rPr>
        <w:t>第十五条（采购人职责）</w:t>
      </w:r>
    </w:p>
    <w:p>
      <w:pPr>
        <w:topLinePunct/>
        <w:spacing w:line="360" w:lineRule="auto"/>
        <w:ind w:firstLine="480" w:firstLineChars="200"/>
        <w:rPr>
          <w:rFonts w:ascii="宋体" w:hAnsi="宋体" w:cs="宋体"/>
          <w:sz w:val="24"/>
        </w:rPr>
      </w:pPr>
      <w:r>
        <w:rPr>
          <w:rFonts w:hint="eastAsia" w:ascii="宋体" w:hAnsi="宋体" w:cs="宋体"/>
          <w:sz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spacing w:line="360" w:lineRule="auto"/>
        <w:ind w:firstLine="480" w:firstLineChars="200"/>
        <w:rPr>
          <w:rFonts w:ascii="宋体" w:hAnsi="宋体" w:cs="宋体"/>
          <w:sz w:val="24"/>
        </w:rPr>
      </w:pPr>
      <w:r>
        <w:rPr>
          <w:rFonts w:hint="eastAsia" w:ascii="宋体" w:hAnsi="宋体" w:cs="宋体"/>
          <w:sz w:val="24"/>
        </w:rPr>
        <w:t>第十六条（融资机构职责）</w:t>
      </w:r>
    </w:p>
    <w:p>
      <w:pPr>
        <w:topLinePunct/>
        <w:spacing w:line="360" w:lineRule="auto"/>
        <w:ind w:firstLine="480" w:firstLineChars="200"/>
        <w:rPr>
          <w:rFonts w:ascii="宋体" w:hAnsi="宋体" w:cs="宋体"/>
          <w:sz w:val="24"/>
        </w:rPr>
      </w:pPr>
      <w:r>
        <w:rPr>
          <w:rFonts w:hint="eastAsia" w:ascii="宋体" w:hAnsi="宋体" w:cs="宋体"/>
          <w:sz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spacing w:line="360" w:lineRule="auto"/>
        <w:ind w:firstLine="480" w:firstLineChars="200"/>
        <w:rPr>
          <w:rFonts w:ascii="宋体" w:hAnsi="宋体" w:cs="宋体"/>
          <w:sz w:val="24"/>
        </w:rPr>
      </w:pPr>
      <w:r>
        <w:rPr>
          <w:rFonts w:hint="eastAsia" w:ascii="宋体" w:hAnsi="宋体" w:cs="宋体"/>
          <w:sz w:val="24"/>
        </w:rPr>
        <w:t>第十七条（供应商职责）</w:t>
      </w:r>
    </w:p>
    <w:p>
      <w:pPr>
        <w:topLinePunct/>
        <w:spacing w:line="360" w:lineRule="auto"/>
        <w:ind w:firstLine="480" w:firstLineChars="200"/>
        <w:rPr>
          <w:rFonts w:ascii="宋体" w:hAnsi="宋体" w:cs="宋体"/>
          <w:sz w:val="24"/>
        </w:rPr>
      </w:pPr>
      <w:r>
        <w:rPr>
          <w:rFonts w:hint="eastAsia" w:ascii="宋体" w:hAnsi="宋体" w:cs="宋体"/>
          <w:sz w:val="24"/>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spacing w:line="360" w:lineRule="auto"/>
        <w:ind w:firstLine="480" w:firstLineChars="200"/>
        <w:jc w:val="center"/>
        <w:rPr>
          <w:rFonts w:ascii="宋体" w:hAnsi="宋体" w:cs="宋体"/>
          <w:sz w:val="24"/>
        </w:rPr>
      </w:pPr>
      <w:r>
        <w:rPr>
          <w:rFonts w:hint="eastAsia" w:ascii="宋体" w:hAnsi="宋体" w:cs="宋体"/>
          <w:sz w:val="24"/>
        </w:rPr>
        <w:t>第五章 监督管理</w:t>
      </w:r>
    </w:p>
    <w:p>
      <w:pPr>
        <w:topLinePunct/>
        <w:spacing w:line="360" w:lineRule="auto"/>
        <w:ind w:firstLine="480" w:firstLineChars="200"/>
        <w:rPr>
          <w:rFonts w:ascii="宋体" w:hAnsi="宋体" w:cs="宋体"/>
          <w:sz w:val="24"/>
        </w:rPr>
      </w:pPr>
      <w:r>
        <w:rPr>
          <w:rFonts w:hint="eastAsia" w:ascii="宋体" w:hAnsi="宋体" w:cs="宋体"/>
          <w:sz w:val="24"/>
        </w:rPr>
        <w:t>第十八条（采购人监管）</w:t>
      </w:r>
    </w:p>
    <w:p>
      <w:pPr>
        <w:topLinePunct/>
        <w:spacing w:line="360" w:lineRule="auto"/>
        <w:ind w:firstLine="480" w:firstLineChars="200"/>
        <w:rPr>
          <w:rFonts w:ascii="宋体" w:hAnsi="宋体" w:cs="宋体"/>
          <w:sz w:val="24"/>
        </w:rPr>
      </w:pPr>
      <w:r>
        <w:rPr>
          <w:rFonts w:hint="eastAsia" w:ascii="宋体" w:hAnsi="宋体" w:cs="宋体"/>
          <w:sz w:val="24"/>
        </w:rPr>
        <w:t>采购人不执行政府采购信用融资政策，或不正当干预供应商选择合作融资机构，或无故拖延和拒付采购资金的，财政部门视情节进行约谈、通报直至暂停拨付财政资金。</w:t>
      </w:r>
    </w:p>
    <w:p>
      <w:pPr>
        <w:topLinePunct/>
        <w:spacing w:line="360" w:lineRule="auto"/>
        <w:ind w:firstLine="480" w:firstLineChars="200"/>
        <w:rPr>
          <w:rFonts w:ascii="宋体" w:hAnsi="宋体" w:cs="宋体"/>
          <w:sz w:val="24"/>
        </w:rPr>
      </w:pPr>
      <w:r>
        <w:rPr>
          <w:rFonts w:hint="eastAsia" w:ascii="宋体" w:hAnsi="宋体" w:cs="宋体"/>
          <w:sz w:val="24"/>
        </w:rPr>
        <w:t>第十九条（融资机构监管）</w:t>
      </w:r>
    </w:p>
    <w:p>
      <w:pPr>
        <w:topLinePunct/>
        <w:spacing w:line="360" w:lineRule="auto"/>
        <w:ind w:firstLine="480" w:firstLineChars="200"/>
        <w:rPr>
          <w:rFonts w:ascii="宋体" w:hAnsi="宋体" w:cs="宋体"/>
          <w:sz w:val="24"/>
        </w:rPr>
      </w:pPr>
      <w:r>
        <w:rPr>
          <w:rFonts w:hint="eastAsia" w:ascii="宋体" w:hAnsi="宋体" w:cs="宋体"/>
          <w:sz w:val="24"/>
        </w:rPr>
        <w:t>融资机构违反规定开展政府采购信用融资业务，对政府采购造成负面影响的，财政部门视情节取消其参与政府采购信用融资的业务权限。</w:t>
      </w:r>
    </w:p>
    <w:p>
      <w:pPr>
        <w:topLinePunct/>
        <w:spacing w:line="360" w:lineRule="auto"/>
        <w:ind w:firstLine="480" w:firstLineChars="200"/>
        <w:rPr>
          <w:rFonts w:ascii="宋体" w:hAnsi="宋体" w:cs="宋体"/>
          <w:sz w:val="24"/>
        </w:rPr>
      </w:pPr>
      <w:r>
        <w:rPr>
          <w:rFonts w:hint="eastAsia" w:ascii="宋体" w:hAnsi="宋体" w:cs="宋体"/>
          <w:sz w:val="24"/>
        </w:rPr>
        <w:t>第二十条（供应商监管）</w:t>
      </w:r>
    </w:p>
    <w:p>
      <w:pPr>
        <w:topLinePunct/>
        <w:spacing w:line="360" w:lineRule="auto"/>
        <w:ind w:firstLine="480" w:firstLineChars="200"/>
        <w:rPr>
          <w:rFonts w:ascii="宋体" w:hAnsi="宋体" w:cs="宋体"/>
          <w:sz w:val="24"/>
        </w:rPr>
      </w:pPr>
      <w:r>
        <w:rPr>
          <w:rFonts w:hint="eastAsia" w:ascii="宋体" w:hAnsi="宋体" w:cs="宋体"/>
          <w:sz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spacing w:line="360" w:lineRule="auto"/>
        <w:ind w:firstLine="480" w:firstLineChars="200"/>
        <w:rPr>
          <w:rFonts w:ascii="宋体" w:hAnsi="宋体" w:cs="宋体"/>
          <w:sz w:val="24"/>
        </w:rPr>
      </w:pPr>
      <w:r>
        <w:rPr>
          <w:rFonts w:hint="eastAsia" w:ascii="宋体" w:hAnsi="宋体" w:cs="宋体"/>
          <w:sz w:val="24"/>
        </w:rPr>
        <w:t>第二十一条</w:t>
      </w:r>
      <w:bookmarkStart w:id="308" w:name="BM24558847_25425864_3"/>
      <w:bookmarkEnd w:id="308"/>
      <w:r>
        <w:rPr>
          <w:rFonts w:hint="eastAsia" w:ascii="宋体" w:hAnsi="宋体" w:cs="宋体"/>
          <w:sz w:val="24"/>
        </w:rPr>
        <w:t>（相关单位及工作人员监管）</w:t>
      </w:r>
    </w:p>
    <w:p>
      <w:pPr>
        <w:topLinePunct/>
        <w:spacing w:line="360" w:lineRule="auto"/>
        <w:ind w:firstLine="480" w:firstLineChars="200"/>
        <w:rPr>
          <w:rFonts w:ascii="宋体" w:hAnsi="宋体" w:cs="宋体"/>
          <w:sz w:val="24"/>
        </w:rPr>
      </w:pPr>
      <w:r>
        <w:rPr>
          <w:rFonts w:hint="eastAsia" w:ascii="宋体" w:hAnsi="宋体" w:cs="宋体"/>
          <w:sz w:val="24"/>
        </w:rPr>
        <w:t>各相关单位及其工作人员在履行职责中存在滥用职权、玩忽职守、徇私舞弊等违法违纪行为的，依照有关规定处理，涉嫌犯罪的，移送司法机关处理。</w:t>
      </w:r>
    </w:p>
    <w:p>
      <w:pPr>
        <w:topLinePunct/>
        <w:spacing w:line="360" w:lineRule="auto"/>
        <w:ind w:firstLine="480" w:firstLineChars="200"/>
        <w:jc w:val="center"/>
        <w:rPr>
          <w:rFonts w:ascii="宋体" w:hAnsi="宋体" w:cs="宋体"/>
          <w:sz w:val="24"/>
        </w:rPr>
      </w:pPr>
      <w:r>
        <w:rPr>
          <w:rFonts w:hint="eastAsia" w:ascii="宋体" w:hAnsi="宋体" w:cs="宋体"/>
          <w:sz w:val="24"/>
        </w:rPr>
        <w:t>第六章  附  则</w:t>
      </w:r>
    </w:p>
    <w:p>
      <w:pPr>
        <w:topLinePunct/>
        <w:spacing w:line="360" w:lineRule="auto"/>
        <w:ind w:firstLine="480" w:firstLineChars="200"/>
        <w:rPr>
          <w:rFonts w:ascii="宋体" w:hAnsi="宋体" w:cs="宋体"/>
          <w:sz w:val="24"/>
        </w:rPr>
      </w:pPr>
      <w:r>
        <w:rPr>
          <w:rFonts w:hint="eastAsia" w:ascii="宋体" w:hAnsi="宋体" w:cs="宋体"/>
          <w:sz w:val="24"/>
        </w:rPr>
        <w:t>第二十二条（解释相关）</w:t>
      </w:r>
    </w:p>
    <w:p>
      <w:pPr>
        <w:topLinePunct/>
        <w:spacing w:line="360" w:lineRule="auto"/>
        <w:ind w:firstLine="480" w:firstLineChars="200"/>
        <w:rPr>
          <w:rFonts w:ascii="宋体" w:hAnsi="宋体" w:cs="宋体"/>
          <w:sz w:val="24"/>
        </w:rPr>
      </w:pPr>
      <w:r>
        <w:rPr>
          <w:rFonts w:hint="eastAsia" w:ascii="宋体" w:hAnsi="宋体" w:cs="宋体"/>
          <w:sz w:val="24"/>
        </w:rPr>
        <w:t>本办法由市财政局会同中国人民银行成都分行营业管理部负责解释。</w:t>
      </w:r>
    </w:p>
    <w:p>
      <w:pPr>
        <w:topLinePunct/>
        <w:spacing w:line="360" w:lineRule="auto"/>
        <w:ind w:firstLine="480" w:firstLineChars="200"/>
        <w:rPr>
          <w:rFonts w:ascii="宋体" w:hAnsi="宋体" w:cs="宋体"/>
          <w:sz w:val="24"/>
        </w:rPr>
      </w:pPr>
      <w:r>
        <w:rPr>
          <w:rFonts w:hint="eastAsia" w:ascii="宋体" w:hAnsi="宋体" w:cs="宋体"/>
          <w:sz w:val="24"/>
        </w:rPr>
        <w:t>第二十三条（施行相关）</w:t>
      </w:r>
    </w:p>
    <w:p>
      <w:pPr>
        <w:topLinePunct/>
        <w:spacing w:line="360" w:lineRule="auto"/>
        <w:ind w:firstLine="480" w:firstLineChars="200"/>
        <w:rPr>
          <w:rFonts w:ascii="宋体" w:hAnsi="宋体" w:cs="宋体"/>
          <w:sz w:val="24"/>
        </w:rPr>
      </w:pPr>
      <w:r>
        <w:rPr>
          <w:rFonts w:hint="eastAsia" w:ascii="宋体" w:hAnsi="宋体" w:cs="宋体"/>
          <w:sz w:val="24"/>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cs="宋体"/>
          <w:sz w:val="24"/>
        </w:rPr>
      </w:pPr>
      <w:r>
        <w:rPr>
          <w:rFonts w:hint="eastAsia" w:ascii="宋体" w:hAnsi="宋体" w:cs="宋体"/>
          <w:sz w:val="24"/>
        </w:rPr>
        <w:br w:type="page"/>
      </w:r>
    </w:p>
    <w:p>
      <w:pPr>
        <w:topLinePunct/>
        <w:spacing w:line="360" w:lineRule="auto"/>
        <w:rPr>
          <w:rFonts w:ascii="宋体" w:hAnsi="宋体" w:cs="宋体"/>
          <w:sz w:val="24"/>
        </w:rPr>
      </w:pPr>
      <w:r>
        <w:rPr>
          <w:rFonts w:hint="eastAsia" w:ascii="宋体" w:hAnsi="宋体" w:cs="宋体"/>
          <w:sz w:val="24"/>
        </w:rPr>
        <w:t>附件2</w:t>
      </w:r>
    </w:p>
    <w:p>
      <w:pPr>
        <w:topLinePunct/>
        <w:spacing w:line="360" w:lineRule="auto"/>
        <w:ind w:firstLine="480" w:firstLineChars="200"/>
        <w:rPr>
          <w:rFonts w:ascii="宋体" w:hAnsi="宋体" w:cs="宋体"/>
          <w:sz w:val="24"/>
        </w:rPr>
      </w:pPr>
    </w:p>
    <w:p>
      <w:pPr>
        <w:topLinePunct/>
        <w:snapToGrid w:val="0"/>
        <w:spacing w:line="360" w:lineRule="auto"/>
        <w:jc w:val="center"/>
        <w:rPr>
          <w:rFonts w:ascii="宋体" w:hAnsi="宋体" w:cs="宋体"/>
          <w:sz w:val="24"/>
        </w:rPr>
      </w:pPr>
      <w:r>
        <w:rPr>
          <w:rFonts w:hint="eastAsia" w:ascii="宋体" w:hAnsi="宋体" w:cs="宋体"/>
          <w:sz w:val="24"/>
        </w:rPr>
        <w:t>成都市级支持中小企业政府采购</w:t>
      </w:r>
    </w:p>
    <w:p>
      <w:pPr>
        <w:topLinePunct/>
        <w:snapToGrid w:val="0"/>
        <w:spacing w:line="360" w:lineRule="auto"/>
        <w:jc w:val="center"/>
        <w:rPr>
          <w:rFonts w:ascii="宋体" w:hAnsi="宋体" w:cs="宋体"/>
          <w:sz w:val="24"/>
        </w:rPr>
      </w:pPr>
      <w:r>
        <w:rPr>
          <w:rFonts w:hint="eastAsia" w:ascii="宋体" w:hAnsi="宋体" w:cs="宋体"/>
          <w:sz w:val="24"/>
        </w:rPr>
        <w:t>信用融资实施方案</w:t>
      </w:r>
    </w:p>
    <w:p>
      <w:pPr>
        <w:topLinePunct/>
        <w:spacing w:line="360" w:lineRule="auto"/>
        <w:ind w:firstLine="480" w:firstLineChars="200"/>
        <w:rPr>
          <w:rFonts w:ascii="宋体" w:hAnsi="宋体" w:cs="宋体"/>
          <w:sz w:val="24"/>
        </w:rPr>
      </w:pPr>
    </w:p>
    <w:p>
      <w:pPr>
        <w:topLinePunct/>
        <w:spacing w:line="360" w:lineRule="auto"/>
        <w:ind w:firstLine="480" w:firstLineChars="200"/>
        <w:rPr>
          <w:rFonts w:ascii="宋体" w:hAnsi="宋体" w:cs="宋体"/>
          <w:sz w:val="24"/>
        </w:rPr>
      </w:pPr>
      <w:r>
        <w:rPr>
          <w:rFonts w:hint="eastAsia" w:ascii="宋体" w:hAnsi="宋体" w:cs="宋体"/>
          <w:sz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spacing w:line="360" w:lineRule="auto"/>
        <w:ind w:firstLine="480" w:firstLineChars="200"/>
        <w:rPr>
          <w:rFonts w:ascii="宋体" w:hAnsi="宋体" w:cs="宋体"/>
          <w:sz w:val="24"/>
        </w:rPr>
      </w:pPr>
      <w:r>
        <w:rPr>
          <w:rFonts w:hint="eastAsia" w:ascii="宋体" w:hAnsi="宋体" w:cs="宋体"/>
          <w:sz w:val="24"/>
        </w:rPr>
        <w:t>一、目标任务</w:t>
      </w:r>
    </w:p>
    <w:p>
      <w:pPr>
        <w:topLinePunct/>
        <w:spacing w:line="360" w:lineRule="auto"/>
        <w:ind w:firstLine="480" w:firstLineChars="200"/>
        <w:rPr>
          <w:rFonts w:ascii="宋体" w:hAnsi="宋体" w:cs="宋体"/>
          <w:sz w:val="24"/>
        </w:rPr>
      </w:pPr>
      <w:r>
        <w:rPr>
          <w:rFonts w:hint="eastAsia" w:ascii="宋体" w:hAnsi="宋体" w:cs="宋体"/>
          <w:sz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spacing w:line="360" w:lineRule="auto"/>
        <w:ind w:firstLine="480" w:firstLineChars="200"/>
        <w:rPr>
          <w:rFonts w:ascii="宋体" w:hAnsi="宋体" w:cs="宋体"/>
          <w:sz w:val="24"/>
        </w:rPr>
      </w:pPr>
      <w:r>
        <w:rPr>
          <w:rFonts w:hint="eastAsia" w:ascii="宋体" w:hAnsi="宋体" w:cs="宋体"/>
          <w:sz w:val="24"/>
        </w:rPr>
        <w:t>二、适用范围</w:t>
      </w:r>
    </w:p>
    <w:p>
      <w:pPr>
        <w:topLinePunct/>
        <w:spacing w:line="360" w:lineRule="auto"/>
        <w:ind w:firstLine="480" w:firstLineChars="200"/>
        <w:rPr>
          <w:rFonts w:ascii="宋体" w:hAnsi="宋体" w:cs="宋体"/>
          <w:sz w:val="24"/>
        </w:rPr>
      </w:pPr>
      <w:r>
        <w:rPr>
          <w:rFonts w:hint="eastAsia" w:ascii="宋体" w:hAnsi="宋体" w:cs="宋体"/>
          <w:sz w:val="24"/>
        </w:rPr>
        <w:t>本《实施方案》适用于成都市本级政府采购信用融资工作。</w:t>
      </w:r>
    </w:p>
    <w:p>
      <w:pPr>
        <w:topLinePunct/>
        <w:spacing w:line="360" w:lineRule="auto"/>
        <w:ind w:firstLine="480" w:firstLineChars="200"/>
        <w:rPr>
          <w:rFonts w:ascii="宋体" w:hAnsi="宋体" w:cs="宋体"/>
          <w:sz w:val="24"/>
        </w:rPr>
      </w:pPr>
      <w:r>
        <w:rPr>
          <w:rFonts w:hint="eastAsia" w:ascii="宋体" w:hAnsi="宋体" w:cs="宋体"/>
          <w:sz w:val="24"/>
        </w:rPr>
        <w:t xml:space="preserve">三、基本原则 </w:t>
      </w:r>
    </w:p>
    <w:p>
      <w:pPr>
        <w:topLinePunct/>
        <w:spacing w:line="360" w:lineRule="auto"/>
        <w:ind w:firstLine="480" w:firstLineChars="200"/>
        <w:rPr>
          <w:rFonts w:ascii="宋体" w:hAnsi="宋体" w:cs="宋体"/>
          <w:sz w:val="24"/>
        </w:rPr>
      </w:pPr>
      <w:r>
        <w:rPr>
          <w:rFonts w:hint="eastAsia" w:ascii="宋体" w:hAnsi="宋体" w:cs="宋体"/>
          <w:sz w:val="24"/>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spacing w:line="360" w:lineRule="auto"/>
        <w:ind w:firstLine="480" w:firstLineChars="200"/>
        <w:rPr>
          <w:rFonts w:ascii="宋体" w:hAnsi="宋体" w:cs="宋体"/>
          <w:sz w:val="24"/>
        </w:rPr>
      </w:pPr>
      <w:r>
        <w:rPr>
          <w:rFonts w:hint="eastAsia" w:ascii="宋体" w:hAnsi="宋体" w:cs="宋体"/>
          <w:sz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spacing w:line="360" w:lineRule="auto"/>
        <w:ind w:firstLine="480" w:firstLineChars="200"/>
        <w:rPr>
          <w:rFonts w:ascii="宋体" w:hAnsi="宋体" w:cs="宋体"/>
          <w:sz w:val="24"/>
        </w:rPr>
      </w:pPr>
      <w:r>
        <w:rPr>
          <w:rFonts w:hint="eastAsia" w:ascii="宋体" w:hAnsi="宋体" w:cs="宋体"/>
          <w:sz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spacing w:line="360" w:lineRule="auto"/>
        <w:ind w:firstLine="480" w:firstLineChars="200"/>
        <w:rPr>
          <w:rFonts w:ascii="宋体" w:hAnsi="宋体" w:cs="宋体"/>
          <w:sz w:val="24"/>
        </w:rPr>
      </w:pPr>
      <w:r>
        <w:rPr>
          <w:rFonts w:hint="eastAsia" w:ascii="宋体" w:hAnsi="宋体" w:cs="宋体"/>
          <w:sz w:val="24"/>
        </w:rPr>
        <w:t>四、组织实施</w:t>
      </w:r>
    </w:p>
    <w:p>
      <w:pPr>
        <w:topLinePunct/>
        <w:spacing w:line="360" w:lineRule="auto"/>
        <w:ind w:firstLine="480" w:firstLineChars="200"/>
        <w:rPr>
          <w:rFonts w:ascii="宋体" w:hAnsi="宋体" w:cs="宋体"/>
          <w:sz w:val="24"/>
        </w:rPr>
      </w:pPr>
      <w:r>
        <w:rPr>
          <w:rFonts w:hint="eastAsia" w:ascii="宋体" w:hAnsi="宋体" w:cs="宋体"/>
          <w:sz w:val="24"/>
        </w:rPr>
        <w:t>（一）宣传动员</w:t>
      </w:r>
    </w:p>
    <w:p>
      <w:pPr>
        <w:topLinePunct/>
        <w:spacing w:line="360" w:lineRule="auto"/>
        <w:ind w:firstLine="480" w:firstLineChars="200"/>
        <w:rPr>
          <w:rFonts w:ascii="宋体" w:hAnsi="宋体" w:cs="宋体"/>
          <w:sz w:val="24"/>
        </w:rPr>
      </w:pPr>
      <w:r>
        <w:rPr>
          <w:rFonts w:hint="eastAsia" w:ascii="宋体" w:hAnsi="宋体" w:cs="宋体"/>
          <w:sz w:val="24"/>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spacing w:line="360" w:lineRule="auto"/>
        <w:ind w:firstLine="480" w:firstLineChars="200"/>
        <w:rPr>
          <w:rFonts w:ascii="宋体" w:hAnsi="宋体" w:cs="宋体"/>
          <w:sz w:val="24"/>
        </w:rPr>
      </w:pPr>
      <w:r>
        <w:rPr>
          <w:rFonts w:hint="eastAsia" w:ascii="宋体" w:hAnsi="宋体" w:cs="宋体"/>
          <w:sz w:val="24"/>
        </w:rPr>
        <w:t>（二）融资机构选择</w:t>
      </w:r>
    </w:p>
    <w:p>
      <w:pPr>
        <w:topLinePunct/>
        <w:spacing w:line="360" w:lineRule="auto"/>
        <w:ind w:firstLine="480" w:firstLineChars="200"/>
        <w:rPr>
          <w:rFonts w:ascii="宋体" w:hAnsi="宋体" w:cs="宋体"/>
          <w:sz w:val="24"/>
        </w:rPr>
      </w:pPr>
      <w:r>
        <w:rPr>
          <w:rFonts w:hint="eastAsia" w:ascii="宋体" w:hAnsi="宋体" w:cs="宋体"/>
          <w:sz w:val="24"/>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spacing w:line="360" w:lineRule="auto"/>
        <w:ind w:firstLine="480" w:firstLineChars="200"/>
        <w:rPr>
          <w:rFonts w:ascii="宋体" w:hAnsi="宋体" w:cs="宋体"/>
          <w:sz w:val="24"/>
        </w:rPr>
      </w:pPr>
      <w:r>
        <w:rPr>
          <w:rFonts w:hint="eastAsia" w:ascii="宋体" w:hAnsi="宋体" w:cs="宋体"/>
          <w:sz w:val="24"/>
        </w:rPr>
        <w:t>（1）融资机构基本情况；</w:t>
      </w:r>
    </w:p>
    <w:p>
      <w:pPr>
        <w:topLinePunct/>
        <w:spacing w:line="360" w:lineRule="auto"/>
        <w:ind w:firstLine="480" w:firstLineChars="200"/>
        <w:rPr>
          <w:rFonts w:ascii="宋体" w:hAnsi="宋体" w:cs="宋体"/>
          <w:sz w:val="24"/>
        </w:rPr>
      </w:pPr>
      <w:r>
        <w:rPr>
          <w:rFonts w:hint="eastAsia" w:ascii="宋体" w:hAnsi="宋体" w:cs="宋体"/>
          <w:sz w:val="24"/>
        </w:rPr>
        <w:t>（2）政府采购信用融资实施方案（包括授信政策、融资产品、贷款利率及其它优惠措施、业务流程及各环节办结时间、联系方式等）；</w:t>
      </w:r>
    </w:p>
    <w:p>
      <w:pPr>
        <w:topLinePunct/>
        <w:spacing w:line="360" w:lineRule="auto"/>
        <w:ind w:firstLine="480" w:firstLineChars="200"/>
        <w:rPr>
          <w:rFonts w:ascii="宋体" w:hAnsi="宋体" w:cs="宋体"/>
          <w:sz w:val="24"/>
        </w:rPr>
      </w:pPr>
      <w:r>
        <w:rPr>
          <w:rFonts w:hint="eastAsia" w:ascii="宋体" w:hAnsi="宋体" w:cs="宋体"/>
          <w:sz w:val="24"/>
        </w:rPr>
        <w:t>（3）关于遵照《暂行办法》和《实施方案》开展政府采购信用融资业务的承诺；</w:t>
      </w:r>
    </w:p>
    <w:p>
      <w:pPr>
        <w:topLinePunct/>
        <w:spacing w:line="360" w:lineRule="auto"/>
        <w:ind w:firstLine="480" w:firstLineChars="200"/>
        <w:rPr>
          <w:rFonts w:ascii="宋体" w:hAnsi="宋体" w:cs="宋体"/>
          <w:sz w:val="24"/>
        </w:rPr>
      </w:pPr>
      <w:r>
        <w:rPr>
          <w:rFonts w:hint="eastAsia" w:ascii="宋体" w:hAnsi="宋体" w:cs="宋体"/>
          <w:sz w:val="24"/>
        </w:rPr>
        <w:t>（4）关于政府采购信用融资业务风险及系统对接研发费用自行承担的承诺。</w:t>
      </w:r>
    </w:p>
    <w:p>
      <w:pPr>
        <w:topLinePunct/>
        <w:spacing w:line="360" w:lineRule="auto"/>
        <w:ind w:firstLine="480" w:firstLineChars="200"/>
        <w:rPr>
          <w:rFonts w:ascii="宋体" w:hAnsi="宋体" w:cs="宋体"/>
          <w:sz w:val="24"/>
        </w:rPr>
      </w:pPr>
      <w:r>
        <w:rPr>
          <w:rFonts w:hint="eastAsia" w:ascii="宋体" w:hAnsi="宋体" w:cs="宋体"/>
          <w:sz w:val="24"/>
        </w:rPr>
        <w:t>2．系统对接。融资机构成功报名后，须按要求完成政府采购信用融资业务与成都市政府采购监督管理系统的技术对接。</w:t>
      </w:r>
    </w:p>
    <w:p>
      <w:pPr>
        <w:topLinePunct/>
        <w:spacing w:line="360" w:lineRule="auto"/>
        <w:ind w:firstLine="480" w:firstLineChars="200"/>
        <w:rPr>
          <w:rFonts w:ascii="宋体" w:hAnsi="宋体" w:cs="宋体"/>
          <w:sz w:val="24"/>
        </w:rPr>
      </w:pPr>
      <w:r>
        <w:rPr>
          <w:rFonts w:hint="eastAsia" w:ascii="宋体" w:hAnsi="宋体" w:cs="宋体"/>
          <w:sz w:val="24"/>
        </w:rPr>
        <w:t>3．确定融资机构。市财政局将完成系统对接的融资机构确定为我市开展政府采购信用融资业务的融资机构，并在成都市政府采购监督管理系统集中展示，为供应商开展融资提供指引。</w:t>
      </w:r>
    </w:p>
    <w:p>
      <w:pPr>
        <w:topLinePunct/>
        <w:spacing w:line="360" w:lineRule="auto"/>
        <w:ind w:firstLine="480" w:firstLineChars="200"/>
        <w:rPr>
          <w:rFonts w:ascii="宋体" w:hAnsi="宋体" w:cs="宋体"/>
          <w:sz w:val="24"/>
        </w:rPr>
      </w:pPr>
      <w:r>
        <w:rPr>
          <w:rFonts w:hint="eastAsia" w:ascii="宋体" w:hAnsi="宋体" w:cs="宋体"/>
          <w:sz w:val="24"/>
        </w:rPr>
        <w:t>（三）其他事项</w:t>
      </w:r>
    </w:p>
    <w:p>
      <w:pPr>
        <w:topLinePunct/>
        <w:spacing w:line="360" w:lineRule="auto"/>
        <w:ind w:firstLine="480" w:firstLineChars="200"/>
        <w:rPr>
          <w:rFonts w:ascii="宋体" w:hAnsi="宋体" w:cs="宋体"/>
          <w:sz w:val="24"/>
        </w:rPr>
      </w:pPr>
      <w:r>
        <w:rPr>
          <w:rFonts w:hint="eastAsia" w:ascii="宋体" w:hAnsi="宋体" w:cs="宋体"/>
          <w:sz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spacing w:line="360" w:lineRule="auto"/>
        <w:ind w:firstLine="480" w:firstLineChars="200"/>
        <w:rPr>
          <w:rFonts w:ascii="宋体" w:hAnsi="宋体" w:cs="宋体"/>
          <w:sz w:val="24"/>
        </w:rPr>
      </w:pPr>
      <w:r>
        <w:rPr>
          <w:rFonts w:hint="eastAsia" w:ascii="宋体" w:hAnsi="宋体" w:cs="宋体"/>
          <w:sz w:val="24"/>
        </w:rPr>
        <w:t>五、相关要求</w:t>
      </w:r>
    </w:p>
    <w:p>
      <w:pPr>
        <w:topLinePunct/>
        <w:spacing w:line="360" w:lineRule="auto"/>
        <w:ind w:firstLine="480" w:firstLineChars="200"/>
        <w:rPr>
          <w:rFonts w:ascii="宋体" w:hAnsi="宋体" w:cs="宋体"/>
          <w:sz w:val="24"/>
        </w:rPr>
      </w:pPr>
      <w:r>
        <w:rPr>
          <w:rFonts w:hint="eastAsia" w:ascii="宋体" w:hAnsi="宋体" w:cs="宋体"/>
          <w:sz w:val="24"/>
        </w:rPr>
        <w:t>（一）加强组织领导。</w:t>
      </w:r>
      <w:r>
        <w:rPr>
          <w:rFonts w:hint="eastAsia" w:ascii="宋体" w:hAnsi="宋体" w:cs="宋体"/>
          <w:kern w:val="0"/>
          <w:sz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cs="宋体"/>
          <w:sz w:val="24"/>
        </w:rPr>
        <w:t>全面、有序、科学推进政府采购信用融资工作。</w:t>
      </w:r>
    </w:p>
    <w:p>
      <w:pPr>
        <w:topLinePunct/>
        <w:spacing w:line="360" w:lineRule="auto"/>
        <w:ind w:firstLine="480" w:firstLineChars="200"/>
        <w:rPr>
          <w:rFonts w:ascii="宋体" w:hAnsi="宋体" w:cs="宋体"/>
          <w:sz w:val="24"/>
        </w:rPr>
      </w:pPr>
      <w:r>
        <w:rPr>
          <w:rFonts w:hint="eastAsia" w:ascii="宋体" w:hAnsi="宋体" w:cs="宋体"/>
          <w:sz w:val="24"/>
        </w:rPr>
        <w:t>（二）注重协调配合。</w:t>
      </w:r>
      <w:r>
        <w:rPr>
          <w:rFonts w:hint="eastAsia" w:ascii="宋体" w:hAnsi="宋体" w:cs="宋体"/>
          <w:kern w:val="0"/>
          <w:sz w:val="24"/>
        </w:rPr>
        <w:t>市财政局、中国人民银行成都分行营业管理部及采购人</w:t>
      </w:r>
      <w:r>
        <w:rPr>
          <w:rFonts w:hint="eastAsia" w:ascii="宋体" w:hAnsi="宋体" w:cs="宋体"/>
          <w:sz w:val="24"/>
        </w:rPr>
        <w:t>等有关单位要根据职责任务，及时协调解决工作中遇到的困难和问题，积极</w:t>
      </w:r>
      <w:r>
        <w:rPr>
          <w:rFonts w:hint="eastAsia" w:ascii="宋体" w:hAnsi="宋体" w:cs="宋体"/>
          <w:kern w:val="0"/>
          <w:sz w:val="24"/>
        </w:rPr>
        <w:t>创造条件主动服务，帮助有融资需求、符合条件的供应商实现政府采购信用融资，促进中小企业又好又快发展</w:t>
      </w:r>
      <w:r>
        <w:rPr>
          <w:rFonts w:hint="eastAsia" w:ascii="宋体" w:hAnsi="宋体" w:cs="宋体"/>
          <w:sz w:val="24"/>
        </w:rPr>
        <w:t>。</w:t>
      </w:r>
    </w:p>
    <w:p>
      <w:pPr>
        <w:topLinePunct/>
        <w:spacing w:line="360" w:lineRule="auto"/>
        <w:ind w:firstLine="480" w:firstLineChars="200"/>
        <w:rPr>
          <w:rFonts w:ascii="宋体" w:hAnsi="宋体" w:cs="宋体"/>
          <w:sz w:val="24"/>
        </w:rPr>
      </w:pPr>
      <w:r>
        <w:rPr>
          <w:rFonts w:hint="eastAsia" w:ascii="宋体" w:hAnsi="宋体" w:cs="宋体"/>
          <w:sz w:val="24"/>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topLinePunct/>
        <w:spacing w:line="360" w:lineRule="auto"/>
        <w:rPr>
          <w:color w:val="auto"/>
        </w:rPr>
      </w:pPr>
    </w:p>
    <w:sectPr>
      <w:headerReference r:id="rId10" w:type="default"/>
      <w:footerReference r:id="rId11" w:type="default"/>
      <w:pgSz w:w="11850" w:h="16783"/>
      <w:pgMar w:top="1440" w:right="1304" w:bottom="1440" w:left="1417"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à.ā">
    <w:altName w:val="黑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wF9&#10;57UBAABWAwAADgAAAAAAAAABACAAAAAeAQAAZHJzL2Uyb0RvYy54bWxQSwUGAAAAAAYABgBZAQAA&#10;R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- 44 -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EZ4&#10;d3+2AQAAVgMAAA4AAAAAAAAAAQAgAAAAHgEAAGRycy9lMm9Eb2MueG1sUEsFBgAAAAAGAAYAWQEA&#10;AEY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YebRlq4BAABF&#10;AwAADgAAAAAAAAABACAAAAAfAQAAZHJzL2Uyb0RvYy54bWxQSwUGAAAAAAYABgBZAQAAP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0"/>
      </w:rPr>
    </w:pPr>
    <w:r>
      <w:fldChar w:fldCharType="begin"/>
    </w:r>
    <w:r>
      <w:rPr>
        <w:rStyle w:val="20"/>
      </w:rPr>
      <w:instrText xml:space="preserve">PAGE  </w:instrText>
    </w:r>
    <w:r>
      <w:fldChar w:fldCharType="end"/>
    </w:r>
  </w:p>
  <w:p>
    <w:pPr>
      <w:pStyle w:val="1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pPr>
                          <w:r>
                            <w:fldChar w:fldCharType="begin"/>
                          </w:r>
                          <w:r>
                            <w:instrText xml:space="preserve"> PAGE  \* MERGEFORMAT </w:instrText>
                          </w:r>
                          <w:r>
                            <w:fldChar w:fldCharType="separate"/>
                          </w:r>
                          <w:r>
                            <w:t>- 61 -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yPUY&#10;DLUBAABWAwAADgAAAAAAAAABACAAAAAeAQAAZHJzL2Uyb0RvYy54bWxQSwUGAAAAAAYABgBZAQAA&#10;R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- 61 -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79F54"/>
    <w:multiLevelType w:val="singleLevel"/>
    <w:tmpl w:val="8D279F54"/>
    <w:lvl w:ilvl="0" w:tentative="0">
      <w:start w:val="3"/>
      <w:numFmt w:val="chineseCounting"/>
      <w:suff w:val="nothing"/>
      <w:lvlText w:val="（%1）"/>
      <w:lvlJc w:val="left"/>
      <w:rPr>
        <w:rFonts w:hint="eastAsia"/>
      </w:rPr>
    </w:lvl>
  </w:abstractNum>
  <w:abstractNum w:abstractNumId="1">
    <w:nsid w:val="928CF0EE"/>
    <w:multiLevelType w:val="singleLevel"/>
    <w:tmpl w:val="928CF0EE"/>
    <w:lvl w:ilvl="0" w:tentative="0">
      <w:start w:val="2"/>
      <w:numFmt w:val="decimal"/>
      <w:suff w:val="nothing"/>
      <w:lvlText w:val="%1、"/>
      <w:lvlJc w:val="left"/>
    </w:lvl>
  </w:abstractNum>
  <w:abstractNum w:abstractNumId="2">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9"/>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99DADA6"/>
    <w:multiLevelType w:val="singleLevel"/>
    <w:tmpl w:val="C99DADA6"/>
    <w:lvl w:ilvl="0" w:tentative="0">
      <w:start w:val="1"/>
      <w:numFmt w:val="decimal"/>
      <w:suff w:val="nothing"/>
      <w:lvlText w:val="（%1）"/>
      <w:lvlJc w:val="left"/>
    </w:lvl>
  </w:abstractNum>
  <w:abstractNum w:abstractNumId="4">
    <w:nsid w:val="D529D7F2"/>
    <w:multiLevelType w:val="singleLevel"/>
    <w:tmpl w:val="D529D7F2"/>
    <w:lvl w:ilvl="0" w:tentative="0">
      <w:start w:val="1"/>
      <w:numFmt w:val="decimal"/>
      <w:suff w:val="space"/>
      <w:lvlText w:val="%1."/>
      <w:lvlJc w:val="left"/>
    </w:lvl>
  </w:abstractNum>
  <w:abstractNum w:abstractNumId="5">
    <w:nsid w:val="EECA97B7"/>
    <w:multiLevelType w:val="singleLevel"/>
    <w:tmpl w:val="EECA97B7"/>
    <w:lvl w:ilvl="0" w:tentative="0">
      <w:start w:val="6"/>
      <w:numFmt w:val="chineseCounting"/>
      <w:suff w:val="space"/>
      <w:lvlText w:val="第%1章"/>
      <w:lvlJc w:val="left"/>
      <w:rPr>
        <w:rFonts w:hint="eastAsia"/>
      </w:rPr>
    </w:lvl>
  </w:abstractNum>
  <w:abstractNum w:abstractNumId="6">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68107894"/>
    <w:multiLevelType w:val="multilevel"/>
    <w:tmpl w:val="681078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8"/>
  </w:num>
  <w:num w:numId="2">
    <w:abstractNumId w:val="2"/>
  </w:num>
  <w:num w:numId="3">
    <w:abstractNumId w:val="9"/>
  </w:num>
  <w:num w:numId="4">
    <w:abstractNumId w:val="3"/>
  </w:num>
  <w:num w:numId="5">
    <w:abstractNumId w:val="5"/>
  </w:num>
  <w:num w:numId="6">
    <w:abstractNumId w:val="0"/>
  </w:num>
  <w:num w:numId="7">
    <w:abstractNumId w:val="1"/>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43D5"/>
    <w:rsid w:val="00030EA7"/>
    <w:rsid w:val="00031832"/>
    <w:rsid w:val="000543C3"/>
    <w:rsid w:val="000567E4"/>
    <w:rsid w:val="000B640B"/>
    <w:rsid w:val="000D71C9"/>
    <w:rsid w:val="001060AE"/>
    <w:rsid w:val="00112A4C"/>
    <w:rsid w:val="00131818"/>
    <w:rsid w:val="00147A75"/>
    <w:rsid w:val="001A1816"/>
    <w:rsid w:val="001C041D"/>
    <w:rsid w:val="001D12C7"/>
    <w:rsid w:val="00207A31"/>
    <w:rsid w:val="00211670"/>
    <w:rsid w:val="00212FB0"/>
    <w:rsid w:val="00227F52"/>
    <w:rsid w:val="00241789"/>
    <w:rsid w:val="002515A1"/>
    <w:rsid w:val="00260894"/>
    <w:rsid w:val="00276F8F"/>
    <w:rsid w:val="00297564"/>
    <w:rsid w:val="002A0E49"/>
    <w:rsid w:val="002B0E1B"/>
    <w:rsid w:val="002B58EB"/>
    <w:rsid w:val="002D36A7"/>
    <w:rsid w:val="002E458C"/>
    <w:rsid w:val="003564E7"/>
    <w:rsid w:val="00362497"/>
    <w:rsid w:val="00370F37"/>
    <w:rsid w:val="00383384"/>
    <w:rsid w:val="0039517C"/>
    <w:rsid w:val="0039652D"/>
    <w:rsid w:val="003A574C"/>
    <w:rsid w:val="003B4D8F"/>
    <w:rsid w:val="003F6BDD"/>
    <w:rsid w:val="0040135F"/>
    <w:rsid w:val="004025D5"/>
    <w:rsid w:val="0043307F"/>
    <w:rsid w:val="0043596E"/>
    <w:rsid w:val="004440FC"/>
    <w:rsid w:val="00464430"/>
    <w:rsid w:val="004644F5"/>
    <w:rsid w:val="00485A89"/>
    <w:rsid w:val="004A0B1C"/>
    <w:rsid w:val="004D319B"/>
    <w:rsid w:val="0054671F"/>
    <w:rsid w:val="00555A90"/>
    <w:rsid w:val="00560802"/>
    <w:rsid w:val="00562251"/>
    <w:rsid w:val="00581331"/>
    <w:rsid w:val="00582BA9"/>
    <w:rsid w:val="00583139"/>
    <w:rsid w:val="00595880"/>
    <w:rsid w:val="005A168A"/>
    <w:rsid w:val="005C47E1"/>
    <w:rsid w:val="005C562F"/>
    <w:rsid w:val="00613BAB"/>
    <w:rsid w:val="0061657E"/>
    <w:rsid w:val="00644A4A"/>
    <w:rsid w:val="0065051F"/>
    <w:rsid w:val="00684DAC"/>
    <w:rsid w:val="00686A4B"/>
    <w:rsid w:val="006A51FB"/>
    <w:rsid w:val="006B0398"/>
    <w:rsid w:val="006E7840"/>
    <w:rsid w:val="00701505"/>
    <w:rsid w:val="007029AE"/>
    <w:rsid w:val="0070321D"/>
    <w:rsid w:val="007348A2"/>
    <w:rsid w:val="0073639D"/>
    <w:rsid w:val="007940AD"/>
    <w:rsid w:val="00795C81"/>
    <w:rsid w:val="007C3570"/>
    <w:rsid w:val="007C36D6"/>
    <w:rsid w:val="007C4D21"/>
    <w:rsid w:val="007D2CE7"/>
    <w:rsid w:val="00805F9B"/>
    <w:rsid w:val="0082633D"/>
    <w:rsid w:val="008309F2"/>
    <w:rsid w:val="008411A7"/>
    <w:rsid w:val="00851B24"/>
    <w:rsid w:val="00852910"/>
    <w:rsid w:val="00875B40"/>
    <w:rsid w:val="008832E5"/>
    <w:rsid w:val="008954E4"/>
    <w:rsid w:val="008B3A07"/>
    <w:rsid w:val="008B4D98"/>
    <w:rsid w:val="008B71A9"/>
    <w:rsid w:val="008D1C90"/>
    <w:rsid w:val="008F4F70"/>
    <w:rsid w:val="009014A8"/>
    <w:rsid w:val="00902EF2"/>
    <w:rsid w:val="0093340C"/>
    <w:rsid w:val="0094222E"/>
    <w:rsid w:val="00957CBA"/>
    <w:rsid w:val="00973B77"/>
    <w:rsid w:val="009748FD"/>
    <w:rsid w:val="009900D9"/>
    <w:rsid w:val="00991E61"/>
    <w:rsid w:val="00992668"/>
    <w:rsid w:val="009C181E"/>
    <w:rsid w:val="009C2E5B"/>
    <w:rsid w:val="009C4B25"/>
    <w:rsid w:val="009C5753"/>
    <w:rsid w:val="009D5242"/>
    <w:rsid w:val="009E7A78"/>
    <w:rsid w:val="009F5EBD"/>
    <w:rsid w:val="00A011E0"/>
    <w:rsid w:val="00A01CE0"/>
    <w:rsid w:val="00A079D8"/>
    <w:rsid w:val="00A239F0"/>
    <w:rsid w:val="00A35D49"/>
    <w:rsid w:val="00A5476D"/>
    <w:rsid w:val="00AA0CF6"/>
    <w:rsid w:val="00AA1FBC"/>
    <w:rsid w:val="00AB1822"/>
    <w:rsid w:val="00AE545B"/>
    <w:rsid w:val="00AE58FC"/>
    <w:rsid w:val="00B32520"/>
    <w:rsid w:val="00B41E6C"/>
    <w:rsid w:val="00B622C7"/>
    <w:rsid w:val="00B63692"/>
    <w:rsid w:val="00B811D0"/>
    <w:rsid w:val="00B85D54"/>
    <w:rsid w:val="00B86D4C"/>
    <w:rsid w:val="00BC076D"/>
    <w:rsid w:val="00BC2A67"/>
    <w:rsid w:val="00BD6D6C"/>
    <w:rsid w:val="00C24025"/>
    <w:rsid w:val="00C247FB"/>
    <w:rsid w:val="00C528EA"/>
    <w:rsid w:val="00C5343E"/>
    <w:rsid w:val="00C542D2"/>
    <w:rsid w:val="00CA2B3E"/>
    <w:rsid w:val="00CA5EC5"/>
    <w:rsid w:val="00CB451E"/>
    <w:rsid w:val="00CD4AA9"/>
    <w:rsid w:val="00CD548B"/>
    <w:rsid w:val="00CE19E1"/>
    <w:rsid w:val="00CE2853"/>
    <w:rsid w:val="00D208C5"/>
    <w:rsid w:val="00D36ADF"/>
    <w:rsid w:val="00D41E16"/>
    <w:rsid w:val="00DA7C7E"/>
    <w:rsid w:val="00DC21C7"/>
    <w:rsid w:val="00DC4741"/>
    <w:rsid w:val="00E02BF5"/>
    <w:rsid w:val="00E1047E"/>
    <w:rsid w:val="00E242B6"/>
    <w:rsid w:val="00E315E9"/>
    <w:rsid w:val="00E33D02"/>
    <w:rsid w:val="00E5050F"/>
    <w:rsid w:val="00E702E8"/>
    <w:rsid w:val="00E7133A"/>
    <w:rsid w:val="00EA0474"/>
    <w:rsid w:val="00EF27D5"/>
    <w:rsid w:val="00EF36E2"/>
    <w:rsid w:val="00F51264"/>
    <w:rsid w:val="00F52B10"/>
    <w:rsid w:val="00F603BE"/>
    <w:rsid w:val="00F927FD"/>
    <w:rsid w:val="00F96971"/>
    <w:rsid w:val="00FA3C2C"/>
    <w:rsid w:val="00FA3C8A"/>
    <w:rsid w:val="00FC1DCC"/>
    <w:rsid w:val="00FC2C55"/>
    <w:rsid w:val="00FC42D1"/>
    <w:rsid w:val="00FD0F6F"/>
    <w:rsid w:val="00FF37B4"/>
    <w:rsid w:val="01507077"/>
    <w:rsid w:val="015361BF"/>
    <w:rsid w:val="01B43287"/>
    <w:rsid w:val="01CD4B78"/>
    <w:rsid w:val="01FE7CDB"/>
    <w:rsid w:val="027E5AC5"/>
    <w:rsid w:val="02836604"/>
    <w:rsid w:val="03761B91"/>
    <w:rsid w:val="03983C53"/>
    <w:rsid w:val="03CD7504"/>
    <w:rsid w:val="03DB109E"/>
    <w:rsid w:val="03DF6104"/>
    <w:rsid w:val="03EA6394"/>
    <w:rsid w:val="04334430"/>
    <w:rsid w:val="04865CD3"/>
    <w:rsid w:val="0540023A"/>
    <w:rsid w:val="05970CD9"/>
    <w:rsid w:val="05C44BB2"/>
    <w:rsid w:val="05C76344"/>
    <w:rsid w:val="05D3530E"/>
    <w:rsid w:val="067F1576"/>
    <w:rsid w:val="06AD3030"/>
    <w:rsid w:val="06E86908"/>
    <w:rsid w:val="07863234"/>
    <w:rsid w:val="0787178A"/>
    <w:rsid w:val="078B5D27"/>
    <w:rsid w:val="079C2DB7"/>
    <w:rsid w:val="07E03D24"/>
    <w:rsid w:val="084615F4"/>
    <w:rsid w:val="08547AFF"/>
    <w:rsid w:val="08635D00"/>
    <w:rsid w:val="08887497"/>
    <w:rsid w:val="08D7461B"/>
    <w:rsid w:val="09B3219B"/>
    <w:rsid w:val="0A4C0F5C"/>
    <w:rsid w:val="0B8748A2"/>
    <w:rsid w:val="0BFD68F2"/>
    <w:rsid w:val="0C125656"/>
    <w:rsid w:val="0C9A41CE"/>
    <w:rsid w:val="0CC56F81"/>
    <w:rsid w:val="0CC85C93"/>
    <w:rsid w:val="0CD56C1C"/>
    <w:rsid w:val="0D2F4520"/>
    <w:rsid w:val="0D954622"/>
    <w:rsid w:val="0E135CE5"/>
    <w:rsid w:val="0E4E58C2"/>
    <w:rsid w:val="0E910577"/>
    <w:rsid w:val="0EA72184"/>
    <w:rsid w:val="0EB469A8"/>
    <w:rsid w:val="0EDD5521"/>
    <w:rsid w:val="0F5E74D4"/>
    <w:rsid w:val="0FD802E2"/>
    <w:rsid w:val="0FDA7A1E"/>
    <w:rsid w:val="0FDE4CDC"/>
    <w:rsid w:val="10101F72"/>
    <w:rsid w:val="105276A1"/>
    <w:rsid w:val="10802135"/>
    <w:rsid w:val="109C2FC6"/>
    <w:rsid w:val="10C750AB"/>
    <w:rsid w:val="110C65F8"/>
    <w:rsid w:val="115B3CF0"/>
    <w:rsid w:val="115B6FC0"/>
    <w:rsid w:val="116D0BFC"/>
    <w:rsid w:val="11981D00"/>
    <w:rsid w:val="11DA4B55"/>
    <w:rsid w:val="12481913"/>
    <w:rsid w:val="128F6061"/>
    <w:rsid w:val="133208B1"/>
    <w:rsid w:val="133256F3"/>
    <w:rsid w:val="133544F6"/>
    <w:rsid w:val="13556DDD"/>
    <w:rsid w:val="137A3233"/>
    <w:rsid w:val="13AB718A"/>
    <w:rsid w:val="14C57B55"/>
    <w:rsid w:val="14FD5C95"/>
    <w:rsid w:val="154452F5"/>
    <w:rsid w:val="15C954C4"/>
    <w:rsid w:val="15D17C46"/>
    <w:rsid w:val="167546E7"/>
    <w:rsid w:val="180447D6"/>
    <w:rsid w:val="18416370"/>
    <w:rsid w:val="18512D76"/>
    <w:rsid w:val="189A72DF"/>
    <w:rsid w:val="18AF2CDF"/>
    <w:rsid w:val="18B73487"/>
    <w:rsid w:val="18BE00E0"/>
    <w:rsid w:val="19214B48"/>
    <w:rsid w:val="19634927"/>
    <w:rsid w:val="19657371"/>
    <w:rsid w:val="1994109D"/>
    <w:rsid w:val="19AE23CB"/>
    <w:rsid w:val="19B334ED"/>
    <w:rsid w:val="19C81C9E"/>
    <w:rsid w:val="1AE23DEB"/>
    <w:rsid w:val="1B0544FA"/>
    <w:rsid w:val="1B1E7852"/>
    <w:rsid w:val="1B544DE1"/>
    <w:rsid w:val="1BFC0A70"/>
    <w:rsid w:val="1C495970"/>
    <w:rsid w:val="1C660557"/>
    <w:rsid w:val="1C9D3F66"/>
    <w:rsid w:val="1CAB197B"/>
    <w:rsid w:val="1CFD2B56"/>
    <w:rsid w:val="1E0B6D28"/>
    <w:rsid w:val="1E156D56"/>
    <w:rsid w:val="1E6E3FA1"/>
    <w:rsid w:val="1E771524"/>
    <w:rsid w:val="1E8B37F0"/>
    <w:rsid w:val="1EBA2D29"/>
    <w:rsid w:val="1F2B72DA"/>
    <w:rsid w:val="1F2F2A72"/>
    <w:rsid w:val="1F314EFE"/>
    <w:rsid w:val="1F32736C"/>
    <w:rsid w:val="1F5B063B"/>
    <w:rsid w:val="1F6C6291"/>
    <w:rsid w:val="1FBA6DCE"/>
    <w:rsid w:val="1FC14C0C"/>
    <w:rsid w:val="203A1018"/>
    <w:rsid w:val="20513A6C"/>
    <w:rsid w:val="209C7E61"/>
    <w:rsid w:val="20EA7860"/>
    <w:rsid w:val="2117637D"/>
    <w:rsid w:val="212A186B"/>
    <w:rsid w:val="21407D53"/>
    <w:rsid w:val="215A78DB"/>
    <w:rsid w:val="21845E59"/>
    <w:rsid w:val="21B82735"/>
    <w:rsid w:val="21DB720F"/>
    <w:rsid w:val="21E35C79"/>
    <w:rsid w:val="2201740A"/>
    <w:rsid w:val="221A0910"/>
    <w:rsid w:val="222F3393"/>
    <w:rsid w:val="224B5D33"/>
    <w:rsid w:val="22B845B7"/>
    <w:rsid w:val="22BB428C"/>
    <w:rsid w:val="23074DD8"/>
    <w:rsid w:val="23301DD3"/>
    <w:rsid w:val="233A5BF6"/>
    <w:rsid w:val="23471CFF"/>
    <w:rsid w:val="236E7502"/>
    <w:rsid w:val="23734890"/>
    <w:rsid w:val="239631F9"/>
    <w:rsid w:val="24075CF7"/>
    <w:rsid w:val="2482037B"/>
    <w:rsid w:val="24F23E45"/>
    <w:rsid w:val="24FD4F69"/>
    <w:rsid w:val="251754F8"/>
    <w:rsid w:val="2528631F"/>
    <w:rsid w:val="25BC4FA3"/>
    <w:rsid w:val="25BD6947"/>
    <w:rsid w:val="25CE22F5"/>
    <w:rsid w:val="26186B12"/>
    <w:rsid w:val="26345D31"/>
    <w:rsid w:val="263D57D9"/>
    <w:rsid w:val="26C16B99"/>
    <w:rsid w:val="272161E7"/>
    <w:rsid w:val="27F84EC4"/>
    <w:rsid w:val="285927F1"/>
    <w:rsid w:val="28BD314E"/>
    <w:rsid w:val="29110057"/>
    <w:rsid w:val="2923697F"/>
    <w:rsid w:val="2A6B2554"/>
    <w:rsid w:val="2A724BD7"/>
    <w:rsid w:val="2A842369"/>
    <w:rsid w:val="2AA91CAC"/>
    <w:rsid w:val="2B10501A"/>
    <w:rsid w:val="2B95222F"/>
    <w:rsid w:val="2BAF5EE1"/>
    <w:rsid w:val="2BB033E6"/>
    <w:rsid w:val="2C076B42"/>
    <w:rsid w:val="2C3435E8"/>
    <w:rsid w:val="2C5E6EB3"/>
    <w:rsid w:val="2C885139"/>
    <w:rsid w:val="2C910F68"/>
    <w:rsid w:val="2CB94C34"/>
    <w:rsid w:val="2CE60384"/>
    <w:rsid w:val="2CF917A8"/>
    <w:rsid w:val="2D743EC1"/>
    <w:rsid w:val="2DB24C23"/>
    <w:rsid w:val="2DCF5A56"/>
    <w:rsid w:val="2E185E3E"/>
    <w:rsid w:val="2E7308E2"/>
    <w:rsid w:val="2F611556"/>
    <w:rsid w:val="2F767079"/>
    <w:rsid w:val="2F80004E"/>
    <w:rsid w:val="2FA1508F"/>
    <w:rsid w:val="2FA45E84"/>
    <w:rsid w:val="300F0E81"/>
    <w:rsid w:val="30775589"/>
    <w:rsid w:val="3125096C"/>
    <w:rsid w:val="31392E8B"/>
    <w:rsid w:val="3184757E"/>
    <w:rsid w:val="31860C4D"/>
    <w:rsid w:val="31E3404D"/>
    <w:rsid w:val="324B7453"/>
    <w:rsid w:val="326128EF"/>
    <w:rsid w:val="32677576"/>
    <w:rsid w:val="32735594"/>
    <w:rsid w:val="32B22BB5"/>
    <w:rsid w:val="331173A4"/>
    <w:rsid w:val="3349780D"/>
    <w:rsid w:val="334D429D"/>
    <w:rsid w:val="33656AD4"/>
    <w:rsid w:val="33CD5B17"/>
    <w:rsid w:val="3463024B"/>
    <w:rsid w:val="34980CBE"/>
    <w:rsid w:val="351C6B89"/>
    <w:rsid w:val="35900B38"/>
    <w:rsid w:val="35E55563"/>
    <w:rsid w:val="362D3772"/>
    <w:rsid w:val="364667DD"/>
    <w:rsid w:val="364C0682"/>
    <w:rsid w:val="36716DEA"/>
    <w:rsid w:val="36913732"/>
    <w:rsid w:val="36AC103B"/>
    <w:rsid w:val="37011865"/>
    <w:rsid w:val="3720191A"/>
    <w:rsid w:val="372B31FE"/>
    <w:rsid w:val="37594CFD"/>
    <w:rsid w:val="375D0F21"/>
    <w:rsid w:val="37A41DF4"/>
    <w:rsid w:val="37B067C2"/>
    <w:rsid w:val="38271B0C"/>
    <w:rsid w:val="38621CCE"/>
    <w:rsid w:val="386572FE"/>
    <w:rsid w:val="38F3713A"/>
    <w:rsid w:val="39C043B5"/>
    <w:rsid w:val="3A247DEA"/>
    <w:rsid w:val="3A3C681A"/>
    <w:rsid w:val="3A5E5E0B"/>
    <w:rsid w:val="3A7F2F89"/>
    <w:rsid w:val="3AC16DBE"/>
    <w:rsid w:val="3B600B12"/>
    <w:rsid w:val="3C270A76"/>
    <w:rsid w:val="3D911AA7"/>
    <w:rsid w:val="3DAF5D14"/>
    <w:rsid w:val="3DF538FB"/>
    <w:rsid w:val="3E1A6E46"/>
    <w:rsid w:val="3E27443A"/>
    <w:rsid w:val="3E914919"/>
    <w:rsid w:val="3EBD6650"/>
    <w:rsid w:val="3EE84FCF"/>
    <w:rsid w:val="3EE9494A"/>
    <w:rsid w:val="40412A3E"/>
    <w:rsid w:val="40814253"/>
    <w:rsid w:val="40837839"/>
    <w:rsid w:val="40EF7660"/>
    <w:rsid w:val="410E521B"/>
    <w:rsid w:val="413E4165"/>
    <w:rsid w:val="41941782"/>
    <w:rsid w:val="41A84D1C"/>
    <w:rsid w:val="41E15103"/>
    <w:rsid w:val="42687D13"/>
    <w:rsid w:val="426C14D6"/>
    <w:rsid w:val="42862F3B"/>
    <w:rsid w:val="42C85B9B"/>
    <w:rsid w:val="432319F7"/>
    <w:rsid w:val="434D2F2B"/>
    <w:rsid w:val="43912DB8"/>
    <w:rsid w:val="439C3521"/>
    <w:rsid w:val="43A7141B"/>
    <w:rsid w:val="43FC4318"/>
    <w:rsid w:val="443B4A8A"/>
    <w:rsid w:val="444528D1"/>
    <w:rsid w:val="44C923DE"/>
    <w:rsid w:val="44E0053D"/>
    <w:rsid w:val="44FA17FE"/>
    <w:rsid w:val="453B5FB7"/>
    <w:rsid w:val="45952042"/>
    <w:rsid w:val="45E00F6F"/>
    <w:rsid w:val="463B19F7"/>
    <w:rsid w:val="464A52E9"/>
    <w:rsid w:val="467D2FD5"/>
    <w:rsid w:val="46CC67B4"/>
    <w:rsid w:val="46D26B0F"/>
    <w:rsid w:val="47113FA0"/>
    <w:rsid w:val="487402C3"/>
    <w:rsid w:val="48773F43"/>
    <w:rsid w:val="48AA0346"/>
    <w:rsid w:val="48C5783A"/>
    <w:rsid w:val="49222F17"/>
    <w:rsid w:val="49331971"/>
    <w:rsid w:val="4944028F"/>
    <w:rsid w:val="496F1CF6"/>
    <w:rsid w:val="497F67C2"/>
    <w:rsid w:val="49B7581B"/>
    <w:rsid w:val="4AE70EE2"/>
    <w:rsid w:val="4B07305E"/>
    <w:rsid w:val="4B4241B8"/>
    <w:rsid w:val="4B4C7DB0"/>
    <w:rsid w:val="4B6E15F6"/>
    <w:rsid w:val="4B6F5FD0"/>
    <w:rsid w:val="4BE17268"/>
    <w:rsid w:val="4BE610AE"/>
    <w:rsid w:val="4BED13F1"/>
    <w:rsid w:val="4BF23532"/>
    <w:rsid w:val="4C0245AC"/>
    <w:rsid w:val="4C5A43D5"/>
    <w:rsid w:val="4C893665"/>
    <w:rsid w:val="4CB06B51"/>
    <w:rsid w:val="4D3721CB"/>
    <w:rsid w:val="4D67049B"/>
    <w:rsid w:val="4D975D5D"/>
    <w:rsid w:val="4DB85A75"/>
    <w:rsid w:val="4E3D1C09"/>
    <w:rsid w:val="4E3D4764"/>
    <w:rsid w:val="4E8B2071"/>
    <w:rsid w:val="4EF07643"/>
    <w:rsid w:val="4EF3460F"/>
    <w:rsid w:val="4EF4043D"/>
    <w:rsid w:val="4F2F1637"/>
    <w:rsid w:val="4F5D3E6A"/>
    <w:rsid w:val="4FD44001"/>
    <w:rsid w:val="501C7D2E"/>
    <w:rsid w:val="501D21FE"/>
    <w:rsid w:val="50596E88"/>
    <w:rsid w:val="50C87BDE"/>
    <w:rsid w:val="50D128A2"/>
    <w:rsid w:val="50D85F33"/>
    <w:rsid w:val="51390A7C"/>
    <w:rsid w:val="51AC6352"/>
    <w:rsid w:val="52240DEE"/>
    <w:rsid w:val="52DD2074"/>
    <w:rsid w:val="53A54125"/>
    <w:rsid w:val="53B2556A"/>
    <w:rsid w:val="53BF557A"/>
    <w:rsid w:val="546B2526"/>
    <w:rsid w:val="54954C45"/>
    <w:rsid w:val="54D4000E"/>
    <w:rsid w:val="54E055E7"/>
    <w:rsid w:val="55297090"/>
    <w:rsid w:val="56110304"/>
    <w:rsid w:val="564E773E"/>
    <w:rsid w:val="56753C8C"/>
    <w:rsid w:val="568E4FEC"/>
    <w:rsid w:val="56A52DAF"/>
    <w:rsid w:val="570714FA"/>
    <w:rsid w:val="57797EB0"/>
    <w:rsid w:val="57A969B8"/>
    <w:rsid w:val="58070452"/>
    <w:rsid w:val="58144F4B"/>
    <w:rsid w:val="585820EB"/>
    <w:rsid w:val="585E373A"/>
    <w:rsid w:val="58B11CC8"/>
    <w:rsid w:val="59F94AD5"/>
    <w:rsid w:val="5A3436D0"/>
    <w:rsid w:val="5A3903F4"/>
    <w:rsid w:val="5A823454"/>
    <w:rsid w:val="5A9A0387"/>
    <w:rsid w:val="5B27596D"/>
    <w:rsid w:val="5BB41015"/>
    <w:rsid w:val="5C175839"/>
    <w:rsid w:val="5C421D1E"/>
    <w:rsid w:val="5C422F61"/>
    <w:rsid w:val="5C6A2B77"/>
    <w:rsid w:val="5C7A324F"/>
    <w:rsid w:val="5C8D485A"/>
    <w:rsid w:val="5CBF301A"/>
    <w:rsid w:val="5CFD68CB"/>
    <w:rsid w:val="5D023515"/>
    <w:rsid w:val="5D8D50F6"/>
    <w:rsid w:val="5D94601D"/>
    <w:rsid w:val="5DB76400"/>
    <w:rsid w:val="5DC62B0E"/>
    <w:rsid w:val="5E326E6B"/>
    <w:rsid w:val="5EC54706"/>
    <w:rsid w:val="5EE07706"/>
    <w:rsid w:val="5F023323"/>
    <w:rsid w:val="5F3E7AA3"/>
    <w:rsid w:val="5FE43612"/>
    <w:rsid w:val="600327A1"/>
    <w:rsid w:val="60743C50"/>
    <w:rsid w:val="60931E13"/>
    <w:rsid w:val="60975171"/>
    <w:rsid w:val="60B53BFD"/>
    <w:rsid w:val="60E81E15"/>
    <w:rsid w:val="60FB122F"/>
    <w:rsid w:val="61E15B5A"/>
    <w:rsid w:val="62466F58"/>
    <w:rsid w:val="62594562"/>
    <w:rsid w:val="627D48AE"/>
    <w:rsid w:val="62B87BD2"/>
    <w:rsid w:val="62C342A0"/>
    <w:rsid w:val="636C192D"/>
    <w:rsid w:val="63815C1C"/>
    <w:rsid w:val="63F964F3"/>
    <w:rsid w:val="64C5759F"/>
    <w:rsid w:val="64C8434D"/>
    <w:rsid w:val="6537556A"/>
    <w:rsid w:val="65544B09"/>
    <w:rsid w:val="656168FD"/>
    <w:rsid w:val="656D1421"/>
    <w:rsid w:val="65D73042"/>
    <w:rsid w:val="65EC7124"/>
    <w:rsid w:val="66204EAA"/>
    <w:rsid w:val="66942B37"/>
    <w:rsid w:val="669E22DE"/>
    <w:rsid w:val="670C1A5B"/>
    <w:rsid w:val="6824340B"/>
    <w:rsid w:val="682A02DA"/>
    <w:rsid w:val="68373DF6"/>
    <w:rsid w:val="683E55C8"/>
    <w:rsid w:val="6844553E"/>
    <w:rsid w:val="68B8300C"/>
    <w:rsid w:val="68BA1B1D"/>
    <w:rsid w:val="691B5EED"/>
    <w:rsid w:val="693822BB"/>
    <w:rsid w:val="69883FAB"/>
    <w:rsid w:val="69B64A16"/>
    <w:rsid w:val="6A12529E"/>
    <w:rsid w:val="6A154D9D"/>
    <w:rsid w:val="6A6716AD"/>
    <w:rsid w:val="6A895990"/>
    <w:rsid w:val="6B234F20"/>
    <w:rsid w:val="6B8D73F0"/>
    <w:rsid w:val="6C45352D"/>
    <w:rsid w:val="6CFD5FB5"/>
    <w:rsid w:val="6D826A3F"/>
    <w:rsid w:val="6DA67AFF"/>
    <w:rsid w:val="6E0F06E5"/>
    <w:rsid w:val="6E5A04A8"/>
    <w:rsid w:val="6E8B7DF5"/>
    <w:rsid w:val="6F23208A"/>
    <w:rsid w:val="6FDB225A"/>
    <w:rsid w:val="6FFB031D"/>
    <w:rsid w:val="701A1242"/>
    <w:rsid w:val="70582085"/>
    <w:rsid w:val="70CF6446"/>
    <w:rsid w:val="70F30373"/>
    <w:rsid w:val="713F4FA7"/>
    <w:rsid w:val="71504EE4"/>
    <w:rsid w:val="71747297"/>
    <w:rsid w:val="71C16120"/>
    <w:rsid w:val="72E5627F"/>
    <w:rsid w:val="730E14F5"/>
    <w:rsid w:val="73E106E0"/>
    <w:rsid w:val="75073D29"/>
    <w:rsid w:val="75165727"/>
    <w:rsid w:val="756623A9"/>
    <w:rsid w:val="75B10EA6"/>
    <w:rsid w:val="75BD1916"/>
    <w:rsid w:val="75DD623F"/>
    <w:rsid w:val="77452298"/>
    <w:rsid w:val="77691142"/>
    <w:rsid w:val="77834E95"/>
    <w:rsid w:val="785A702B"/>
    <w:rsid w:val="78632E2A"/>
    <w:rsid w:val="787F2915"/>
    <w:rsid w:val="78E405C9"/>
    <w:rsid w:val="79577C73"/>
    <w:rsid w:val="798B20FB"/>
    <w:rsid w:val="79921A31"/>
    <w:rsid w:val="799D6E35"/>
    <w:rsid w:val="79E62031"/>
    <w:rsid w:val="79ED5C20"/>
    <w:rsid w:val="7A2166B1"/>
    <w:rsid w:val="7AA05504"/>
    <w:rsid w:val="7B6A795D"/>
    <w:rsid w:val="7B934A4E"/>
    <w:rsid w:val="7BA5609E"/>
    <w:rsid w:val="7BFE5C8F"/>
    <w:rsid w:val="7CBB2ED5"/>
    <w:rsid w:val="7D160961"/>
    <w:rsid w:val="7D6949C6"/>
    <w:rsid w:val="7DC07C47"/>
    <w:rsid w:val="7DC91087"/>
    <w:rsid w:val="7DE23CED"/>
    <w:rsid w:val="7E8212DC"/>
    <w:rsid w:val="7EA60D2E"/>
    <w:rsid w:val="7EBF492E"/>
    <w:rsid w:val="7EF34B48"/>
    <w:rsid w:val="7EFA3F1E"/>
    <w:rsid w:val="7F80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1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5"/>
    <w:qFormat/>
    <w:uiPriority w:val="0"/>
    <w:pPr>
      <w:spacing w:line="480" w:lineRule="exact"/>
    </w:pPr>
    <w:rPr>
      <w:rFonts w:ascii="仿宋_GB2312" w:hAnsi="Times New Roman" w:eastAsia="仿宋_GB2312"/>
      <w:sz w:val="28"/>
      <w:szCs w:val="28"/>
    </w:rPr>
  </w:style>
  <w:style w:type="paragraph" w:styleId="6">
    <w:name w:val="Body Text First Indent"/>
    <w:basedOn w:val="2"/>
    <w:qFormat/>
    <w:uiPriority w:val="0"/>
    <w:pPr>
      <w:ind w:firstLine="420" w:firstLineChars="100"/>
    </w:pPr>
    <w:rPr>
      <w:rFonts w:hAnsi="宋体"/>
      <w:kern w:val="2"/>
      <w:sz w:val="21"/>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szCs w:val="20"/>
    </w:rPr>
  </w:style>
  <w:style w:type="paragraph" w:styleId="11">
    <w:name w:val="Plain Text"/>
    <w:basedOn w:val="1"/>
    <w:qFormat/>
    <w:uiPriority w:val="0"/>
    <w:pPr>
      <w:autoSpaceDE w:val="0"/>
      <w:autoSpaceDN w:val="0"/>
      <w:adjustRightInd w:val="0"/>
    </w:pPr>
    <w:rPr>
      <w:rFonts w:hAnsi="Tms Rmn" w:cstheme="minorBidi"/>
      <w:szCs w:val="22"/>
    </w:rPr>
  </w:style>
  <w:style w:type="paragraph" w:styleId="12">
    <w:name w:val="Body Text Indent 2"/>
    <w:basedOn w:val="1"/>
    <w:qFormat/>
    <w:uiPriority w:val="0"/>
    <w:pPr>
      <w:spacing w:after="120" w:line="480" w:lineRule="auto"/>
      <w:ind w:left="420" w:leftChars="200"/>
    </w:pPr>
    <w:rPr>
      <w:rFonts w:ascii="Times New Roman" w:hAnsi="Times New Roman"/>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Subtitle"/>
    <w:basedOn w:val="1"/>
    <w:next w:val="1"/>
    <w:qFormat/>
    <w:uiPriority w:val="0"/>
    <w:rPr>
      <w:sz w:val="28"/>
      <w:szCs w:val="20"/>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20">
    <w:name w:val="page number"/>
    <w:basedOn w:val="19"/>
    <w:qFormat/>
    <w:uiPriority w:val="0"/>
    <w:rPr>
      <w:rFonts w:ascii="Times New Roman" w:hAnsi="Times New Roman" w:eastAsia="宋体" w:cs="Times New Roman"/>
    </w:rPr>
  </w:style>
  <w:style w:type="character" w:styleId="21">
    <w:name w:val="FollowedHyperlink"/>
    <w:basedOn w:val="19"/>
    <w:qFormat/>
    <w:uiPriority w:val="0"/>
    <w:rPr>
      <w:color w:val="3D3D3D"/>
      <w:u w:val="none"/>
    </w:rPr>
  </w:style>
  <w:style w:type="character" w:styleId="22">
    <w:name w:val="HTML Definition"/>
    <w:basedOn w:val="19"/>
    <w:qFormat/>
    <w:uiPriority w:val="0"/>
  </w:style>
  <w:style w:type="character" w:styleId="23">
    <w:name w:val="HTML Variable"/>
    <w:basedOn w:val="19"/>
    <w:qFormat/>
    <w:uiPriority w:val="0"/>
  </w:style>
  <w:style w:type="character" w:styleId="24">
    <w:name w:val="Hyperlink"/>
    <w:basedOn w:val="19"/>
    <w:qFormat/>
    <w:uiPriority w:val="0"/>
    <w:rPr>
      <w:rFonts w:ascii="Times New Roman" w:hAnsi="Times New Roman" w:eastAsia="宋体" w:cs="Times New Roman"/>
      <w:color w:val="333333"/>
      <w:u w:val="none"/>
    </w:rPr>
  </w:style>
  <w:style w:type="character" w:styleId="25">
    <w:name w:val="HTML Code"/>
    <w:basedOn w:val="19"/>
    <w:qFormat/>
    <w:uiPriority w:val="0"/>
    <w:rPr>
      <w:rFonts w:ascii="Courier New" w:hAnsi="Courier New"/>
      <w:sz w:val="20"/>
    </w:rPr>
  </w:style>
  <w:style w:type="character" w:styleId="26">
    <w:name w:val="HTML Cite"/>
    <w:basedOn w:val="19"/>
    <w:qFormat/>
    <w:uiPriority w:val="0"/>
  </w:style>
  <w:style w:type="character" w:styleId="27">
    <w:name w:val="HTML Sample"/>
    <w:basedOn w:val="19"/>
    <w:qFormat/>
    <w:uiPriority w:val="0"/>
    <w:rPr>
      <w:rFonts w:ascii="Courier New" w:hAnsi="Courier New"/>
    </w:rPr>
  </w:style>
  <w:style w:type="table" w:styleId="29">
    <w:name w:val="Table Grid"/>
    <w:basedOn w:val="2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标题 5（有编号）（绿盟科技）"/>
    <w:basedOn w:val="1"/>
    <w:next w:val="31"/>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2">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33">
    <w:name w:val="WPSOffice手动目录 1"/>
    <w:qFormat/>
    <w:uiPriority w:val="0"/>
    <w:rPr>
      <w:rFonts w:ascii="Calibri" w:hAnsi="Calibri" w:eastAsia="宋体" w:cs="Times New Roman"/>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Table Paragraph"/>
    <w:basedOn w:val="1"/>
    <w:qFormat/>
    <w:uiPriority w:val="0"/>
    <w:rPr>
      <w:rFonts w:ascii="宋体" w:hAnsi="宋体" w:cs="宋体"/>
      <w:lang w:val="zh-CN" w:bidi="zh-CN"/>
    </w:rPr>
  </w:style>
  <w:style w:type="paragraph" w:customStyle="1" w:styleId="36">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7">
    <w:name w:val="正文首行缩进两字符"/>
    <w:basedOn w:val="1"/>
    <w:qFormat/>
    <w:uiPriority w:val="0"/>
    <w:pPr>
      <w:spacing w:line="360" w:lineRule="auto"/>
      <w:ind w:firstLine="200" w:firstLineChars="200"/>
    </w:pPr>
    <w:rPr>
      <w:rFonts w:ascii="Times New Roman" w:hAnsi="Times New Roman"/>
    </w:rPr>
  </w:style>
  <w:style w:type="paragraph" w:styleId="38">
    <w:name w:val="List Paragraph"/>
    <w:basedOn w:val="1"/>
    <w:qFormat/>
    <w:uiPriority w:val="0"/>
    <w:pPr>
      <w:ind w:firstLine="420" w:firstLineChars="200"/>
    </w:pPr>
  </w:style>
  <w:style w:type="paragraph" w:customStyle="1" w:styleId="3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0">
    <w:name w:val="标题 2 字符"/>
    <w:link w:val="4"/>
    <w:qFormat/>
    <w:uiPriority w:val="0"/>
    <w:rPr>
      <w:rFonts w:ascii="Arial" w:hAnsi="Arial" w:eastAsia="黑体" w:cs="Times New Roman"/>
      <w:b/>
      <w:bCs/>
      <w:sz w:val="32"/>
      <w:szCs w:val="32"/>
    </w:rPr>
  </w:style>
  <w:style w:type="paragraph" w:customStyle="1" w:styleId="41">
    <w:name w:val="列出段落1"/>
    <w:basedOn w:val="1"/>
    <w:qFormat/>
    <w:uiPriority w:val="34"/>
    <w:pPr>
      <w:ind w:firstLine="420" w:firstLineChars="200"/>
    </w:pPr>
  </w:style>
  <w:style w:type="character" w:customStyle="1" w:styleId="42">
    <w:name w:val="批注框文本 字符"/>
    <w:basedOn w:val="19"/>
    <w:link w:val="13"/>
    <w:qFormat/>
    <w:uiPriority w:val="0"/>
    <w:rPr>
      <w:rFonts w:ascii="Calibri" w:hAnsi="Calibri" w:eastAsia="宋体" w:cs="Times New Roman"/>
      <w:kern w:val="2"/>
      <w:sz w:val="18"/>
      <w:szCs w:val="18"/>
    </w:rPr>
  </w:style>
  <w:style w:type="character" w:customStyle="1" w:styleId="43">
    <w:name w:val="C503-正文格式 Char"/>
    <w:link w:val="44"/>
    <w:qFormat/>
    <w:uiPriority w:val="0"/>
    <w:rPr>
      <w:rFonts w:ascii="Times New Roman" w:hAnsi="Times New Roman" w:cs="宋体"/>
      <w:kern w:val="2"/>
      <w:sz w:val="24"/>
    </w:rPr>
  </w:style>
  <w:style w:type="paragraph" w:customStyle="1" w:styleId="44">
    <w:name w:val="C503-正文格式"/>
    <w:basedOn w:val="1"/>
    <w:link w:val="43"/>
    <w:qFormat/>
    <w:uiPriority w:val="0"/>
    <w:pPr>
      <w:spacing w:line="360" w:lineRule="auto"/>
      <w:ind w:firstLine="480" w:firstLineChars="200"/>
    </w:pPr>
    <w:rPr>
      <w:rFonts w:ascii="Times New Roman" w:hAnsi="Times New Roman" w:cs="宋体" w:eastAsiaTheme="minorEastAsia"/>
      <w:sz w:val="24"/>
      <w:szCs w:val="20"/>
    </w:rPr>
  </w:style>
  <w:style w:type="character" w:customStyle="1" w:styleId="45">
    <w:name w:val="正文文本 字符"/>
    <w:basedOn w:val="19"/>
    <w:link w:val="2"/>
    <w:qFormat/>
    <w:uiPriority w:val="0"/>
    <w:rPr>
      <w:rFonts w:ascii="仿宋_GB2312" w:hAnsi="Times New Roman" w:eastAsia="仿宋_GB2312" w:cs="Times New Roman"/>
      <w:kern w:val="2"/>
      <w:sz w:val="28"/>
      <w:szCs w:val="28"/>
    </w:rPr>
  </w:style>
  <w:style w:type="paragraph" w:customStyle="1" w:styleId="46">
    <w:name w:val="表格"/>
    <w:basedOn w:val="1"/>
    <w:qFormat/>
    <w:uiPriority w:val="0"/>
    <w:pPr>
      <w:spacing w:line="400" w:lineRule="exact"/>
    </w:pPr>
    <w:rPr>
      <w:rFonts w:ascii="Times New Roman" w:hAnsi="Times New Roman"/>
      <w:sz w:val="24"/>
    </w:rPr>
  </w:style>
  <w:style w:type="character" w:customStyle="1" w:styleId="47">
    <w:name w:val="font31"/>
    <w:basedOn w:val="19"/>
    <w:qFormat/>
    <w:uiPriority w:val="0"/>
    <w:rPr>
      <w:rFonts w:hint="eastAsia" w:ascii="宋体" w:hAnsi="宋体" w:eastAsia="宋体" w:cs="宋体"/>
      <w:color w:val="000000"/>
      <w:sz w:val="21"/>
      <w:szCs w:val="21"/>
      <w:u w:val="none"/>
    </w:rPr>
  </w:style>
  <w:style w:type="character" w:customStyle="1" w:styleId="48">
    <w:name w:val="font11"/>
    <w:basedOn w:val="19"/>
    <w:qFormat/>
    <w:uiPriority w:val="0"/>
    <w:rPr>
      <w:rFonts w:hint="eastAsia" w:ascii="宋体" w:hAnsi="宋体" w:eastAsia="宋体" w:cs="宋体"/>
      <w:color w:val="000000"/>
      <w:sz w:val="20"/>
      <w:szCs w:val="20"/>
      <w:u w:val="none"/>
    </w:rPr>
  </w:style>
  <w:style w:type="paragraph" w:customStyle="1" w:styleId="49">
    <w:name w:val="15、“一、”二级标题"/>
    <w:basedOn w:val="1"/>
    <w:qFormat/>
    <w:uiPriority w:val="0"/>
    <w:pPr>
      <w:numPr>
        <w:ilvl w:val="1"/>
        <w:numId w:val="2"/>
      </w:numPr>
      <w:tabs>
        <w:tab w:val="left" w:pos="0"/>
      </w:tabs>
      <w:wordWrap w:val="0"/>
      <w:topLinePunct/>
      <w:ind w:firstLine="803" w:firstLineChars="200"/>
      <w:outlineLvl w:val="1"/>
    </w:pPr>
    <w:rPr>
      <w:b/>
    </w:rPr>
  </w:style>
  <w:style w:type="paragraph" w:customStyle="1" w:styleId="50">
    <w:name w:val="02、首行缩进2字符正文"/>
    <w:basedOn w:val="1"/>
    <w:qFormat/>
    <w:uiPriority w:val="0"/>
    <w:pPr>
      <w:tabs>
        <w:tab w:val="left" w:pos="0"/>
      </w:tabs>
      <w:wordWrap w:val="0"/>
      <w:topLinePunct/>
      <w:ind w:firstLine="480" w:firstLineChars="200"/>
    </w:pPr>
  </w:style>
  <w:style w:type="paragraph" w:customStyle="1" w:styleId="51">
    <w:name w:val="03、“注：”正文(加粗，首行缩进2字符)"/>
    <w:basedOn w:val="52"/>
    <w:qFormat/>
    <w:uiPriority w:val="0"/>
    <w:pPr>
      <w:tabs>
        <w:tab w:val="left" w:pos="0"/>
      </w:tabs>
      <w:ind w:firstLine="480" w:firstLineChars="200"/>
    </w:pPr>
    <w:rPr>
      <w:b/>
    </w:rPr>
  </w:style>
  <w:style w:type="paragraph" w:customStyle="1" w:styleId="52">
    <w:name w:val="01、普通正文"/>
    <w:basedOn w:val="1"/>
    <w:qFormat/>
    <w:uiPriority w:val="0"/>
    <w:pPr>
      <w:tabs>
        <w:tab w:val="left" w:pos="0"/>
      </w:tabs>
      <w:wordWrap w:val="0"/>
      <w:topLinePunct/>
    </w:pPr>
    <w:rPr>
      <w:snapToGrid w:val="0"/>
    </w:rPr>
  </w:style>
  <w:style w:type="paragraph" w:customStyle="1" w:styleId="53">
    <w:name w:val="13、表格内居中正文"/>
    <w:basedOn w:val="1"/>
    <w:qFormat/>
    <w:uiPriority w:val="0"/>
    <w:pPr>
      <w:tabs>
        <w:tab w:val="left" w:pos="0"/>
      </w:tabs>
      <w:wordWrap w:val="0"/>
      <w:topLinePunct/>
      <w:spacing w:line="360" w:lineRule="exact"/>
      <w:jc w:val="center"/>
    </w:pPr>
  </w:style>
  <w:style w:type="paragraph" w:customStyle="1" w:styleId="54">
    <w:name w:val="12、表格内左对齐正文"/>
    <w:basedOn w:val="1"/>
    <w:qFormat/>
    <w:uiPriority w:val="0"/>
    <w:pPr>
      <w:tabs>
        <w:tab w:val="left" w:pos="0"/>
      </w:tabs>
      <w:wordWrap w:val="0"/>
      <w:topLinePunct/>
      <w:spacing w:line="360" w:lineRule="exact"/>
      <w:ind w:left="48" w:leftChars="20"/>
    </w:pPr>
    <w:rPr>
      <w:snapToGrid w:val="0"/>
    </w:rPr>
  </w:style>
  <w:style w:type="character" w:customStyle="1" w:styleId="55">
    <w:name w:val="img"/>
    <w:basedOn w:val="19"/>
    <w:qFormat/>
    <w:uiPriority w:val="0"/>
  </w:style>
  <w:style w:type="character" w:customStyle="1" w:styleId="56">
    <w:name w:val="img1"/>
    <w:basedOn w:val="19"/>
    <w:qFormat/>
    <w:uiPriority w:val="0"/>
  </w:style>
  <w:style w:type="paragraph" w:customStyle="1" w:styleId="57">
    <w:name w:val="列表段落11"/>
    <w:basedOn w:val="1"/>
    <w:qFormat/>
    <w:uiPriority w:val="0"/>
    <w:pPr>
      <w:ind w:firstLine="420" w:firstLineChars="200"/>
    </w:pPr>
  </w:style>
  <w:style w:type="character" w:customStyle="1" w:styleId="58">
    <w:name w:val="标题 1 字符"/>
    <w:link w:val="3"/>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46742</Words>
  <Characters>48216</Characters>
  <Lines>336</Lines>
  <Paragraphs>94</Paragraphs>
  <TotalTime>38</TotalTime>
  <ScaleCrop>false</ScaleCrop>
  <LinksUpToDate>false</LinksUpToDate>
  <CharactersWithSpaces>49972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2019-10-11T03:00:00Z</dcterms:created>
  <dc:creator>Administrator</dc:creator>
  <cp:lastModifiedBy>Administrator</cp:lastModifiedBy>
  <cp:lastPrinted>2021-03-11T02:03:00Z</cp:lastPrinted>
  <dcterms:modified xsi:type="dcterms:W3CDTF">2021-11-30T02:32:48Z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SaveFontToCloudKey">
    <vt:lpwstr>356850179_btnclosed</vt:lpwstr>
  </property>
  <property fmtid="{D5CDD505-2E9C-101B-9397-08002B2CF9AE}" pid="4" name="ICV">
    <vt:lpwstr>3ACC068DB99E4EFB9DBAD9762359A890</vt:lpwstr>
  </property>
</Properties>
</file>