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z w:val="30"/>
          <w:szCs w:val="30"/>
          <w:highlight w:val="none"/>
        </w:rPr>
      </w:pPr>
    </w:p>
    <w:p>
      <w:pPr>
        <w:spacing w:line="360" w:lineRule="auto"/>
        <w:jc w:val="center"/>
        <w:rPr>
          <w:rFonts w:hint="eastAsia" w:ascii="黑体" w:hAnsi="黑体" w:eastAsia="黑体" w:cs="黑体"/>
          <w:color w:val="auto"/>
          <w:sz w:val="30"/>
          <w:szCs w:val="30"/>
          <w:highlight w:val="none"/>
          <w:lang w:eastAsia="zh-CN"/>
        </w:rPr>
      </w:pPr>
      <w:r>
        <w:rPr>
          <w:rFonts w:ascii="黑体" w:hAnsi="黑体" w:eastAsia="黑体" w:cs="黑体"/>
          <w:color w:val="auto"/>
          <w:sz w:val="30"/>
          <w:szCs w:val="30"/>
          <w:highlight w:val="none"/>
        </w:rPr>
        <w:t>采购项目编号：</w:t>
      </w:r>
      <w:r>
        <w:rPr>
          <w:rFonts w:hint="eastAsia" w:ascii="黑体" w:hAnsi="黑体" w:eastAsia="黑体" w:cs="黑体"/>
          <w:color w:val="auto"/>
          <w:sz w:val="30"/>
          <w:szCs w:val="30"/>
          <w:highlight w:val="none"/>
          <w:lang w:eastAsia="zh-CN"/>
        </w:rPr>
        <w:t>510101202200058</w:t>
      </w:r>
    </w:p>
    <w:p>
      <w:pPr>
        <w:adjustRightInd w:val="0"/>
        <w:snapToGrid w:val="0"/>
        <w:jc w:val="center"/>
        <w:rPr>
          <w:rFonts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成都交响乐团2022年3月至12月音乐季演出及排练场地租赁服务采购项目</w:t>
      </w:r>
    </w:p>
    <w:p>
      <w:pPr>
        <w:jc w:val="center"/>
        <w:rPr>
          <w:rFonts w:hint="eastAsia" w:ascii="黑体" w:hAnsi="黑体" w:eastAsia="黑体" w:cs="黑体"/>
          <w:color w:val="auto"/>
          <w:sz w:val="30"/>
          <w:szCs w:val="30"/>
          <w:highlight w:val="none"/>
        </w:rPr>
      </w:pP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竞</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争</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性</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磋</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商</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文</w:t>
      </w:r>
    </w:p>
    <w:p>
      <w:pPr>
        <w:spacing w:line="288" w:lineRule="auto"/>
        <w:jc w:val="center"/>
        <w:rPr>
          <w:rFonts w:ascii="黑体" w:hAnsi="黑体" w:eastAsia="黑体"/>
          <w:color w:val="auto"/>
          <w:sz w:val="72"/>
          <w:szCs w:val="72"/>
          <w:highlight w:val="none"/>
        </w:rPr>
      </w:pPr>
      <w:r>
        <w:rPr>
          <w:rFonts w:hint="eastAsia" w:ascii="黑体" w:hAnsi="黑体" w:eastAsia="黑体" w:cs="黑体"/>
          <w:color w:val="auto"/>
          <w:sz w:val="72"/>
          <w:szCs w:val="72"/>
          <w:highlight w:val="none"/>
        </w:rPr>
        <w:t>件</w:t>
      </w:r>
    </w:p>
    <w:p>
      <w:pPr>
        <w:spacing w:line="360" w:lineRule="auto"/>
        <w:jc w:val="center"/>
        <w:rPr>
          <w:rFonts w:hint="eastAsia" w:ascii="黑体" w:hAnsi="黑体" w:eastAsia="黑体"/>
          <w:color w:val="auto"/>
          <w:sz w:val="30"/>
          <w:szCs w:val="30"/>
          <w:highlight w:val="none"/>
        </w:rPr>
      </w:pPr>
    </w:p>
    <w:p>
      <w:pPr>
        <w:spacing w:line="360" w:lineRule="auto"/>
        <w:jc w:val="center"/>
        <w:rPr>
          <w:rFonts w:ascii="黑体" w:hAnsi="黑体" w:eastAsia="黑体"/>
          <w:color w:val="auto"/>
          <w:sz w:val="30"/>
          <w:szCs w:val="30"/>
          <w:highlight w:val="none"/>
        </w:rPr>
      </w:pPr>
    </w:p>
    <w:p>
      <w:pPr>
        <w:adjustRightInd w:val="0"/>
        <w:snapToGrid w:val="0"/>
        <w:spacing w:line="288" w:lineRule="auto"/>
        <w:jc w:val="center"/>
        <w:rPr>
          <w:rFonts w:hint="eastAsia" w:ascii="黑体" w:hAnsi="黑体" w:eastAsia="黑体"/>
          <w:color w:val="auto"/>
          <w:sz w:val="32"/>
          <w:szCs w:val="32"/>
          <w:highlight w:val="none"/>
          <w:lang w:eastAsia="zh-CN"/>
        </w:rPr>
      </w:pPr>
      <w:bookmarkStart w:id="0" w:name="PO_采购人_1"/>
      <w:r>
        <w:rPr>
          <w:rFonts w:hint="eastAsia" w:ascii="黑体" w:hAnsi="黑体" w:eastAsia="黑体" w:cs="黑体"/>
          <w:color w:val="auto"/>
          <w:sz w:val="32"/>
          <w:szCs w:val="32"/>
          <w:highlight w:val="none"/>
        </w:rPr>
        <w:t>采购人</w:t>
      </w:r>
      <w:bookmarkEnd w:id="0"/>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成都交响乐团</w:t>
      </w:r>
    </w:p>
    <w:p>
      <w:pPr>
        <w:adjustRightInd w:val="0"/>
        <w:snapToGrid w:val="0"/>
        <w:spacing w:line="288" w:lineRule="auto"/>
        <w:jc w:val="center"/>
        <w:rPr>
          <w:rFonts w:ascii="黑体" w:hAnsi="黑体" w:eastAsia="黑体"/>
          <w:color w:val="auto"/>
          <w:sz w:val="32"/>
          <w:szCs w:val="32"/>
          <w:highlight w:val="none"/>
        </w:rPr>
      </w:pPr>
      <w:r>
        <w:rPr>
          <w:rFonts w:hint="eastAsia" w:ascii="黑体" w:hAnsi="黑体" w:eastAsia="黑体" w:cs="黑体"/>
          <w:color w:val="auto"/>
          <w:sz w:val="32"/>
          <w:szCs w:val="32"/>
          <w:highlight w:val="none"/>
        </w:rPr>
        <w:t>采购代理机构：四川中志招标代理有限公司</w:t>
      </w:r>
    </w:p>
    <w:p>
      <w:pPr>
        <w:adjustRightInd w:val="0"/>
        <w:snapToGrid w:val="0"/>
        <w:spacing w:line="288" w:lineRule="auto"/>
        <w:jc w:val="center"/>
        <w:rPr>
          <w:rFonts w:ascii="黑体" w:hAnsi="黑体" w:eastAsia="黑体"/>
          <w:color w:val="auto"/>
          <w:sz w:val="32"/>
          <w:szCs w:val="32"/>
          <w:highlight w:val="none"/>
        </w:rPr>
      </w:pPr>
      <w:r>
        <w:rPr>
          <w:rFonts w:hint="eastAsia" w:ascii="黑体" w:hAnsi="黑体" w:eastAsia="黑体" w:cs="黑体"/>
          <w:color w:val="auto"/>
          <w:sz w:val="32"/>
          <w:szCs w:val="32"/>
          <w:highlight w:val="none"/>
        </w:rPr>
        <w:t>共同编制</w:t>
      </w:r>
    </w:p>
    <w:p>
      <w:pPr>
        <w:adjustRightInd w:val="0"/>
        <w:snapToGrid w:val="0"/>
        <w:spacing w:line="288" w:lineRule="auto"/>
        <w:jc w:val="center"/>
        <w:rPr>
          <w:rFonts w:ascii="黑体" w:hAnsi="黑体" w:eastAsia="黑体" w:cs="黑体"/>
          <w:color w:val="auto"/>
          <w:sz w:val="32"/>
          <w:szCs w:val="32"/>
          <w:highlight w:val="none"/>
          <w:lang w:val="zh-CN"/>
        </w:rPr>
        <w:sectPr>
          <w:headerReference r:id="rId4" w:type="first"/>
          <w:headerReference r:id="rId3" w:type="default"/>
          <w:footerReference r:id="rId5" w:type="default"/>
          <w:pgSz w:w="11907" w:h="16840"/>
          <w:pgMar w:top="1418" w:right="1134" w:bottom="1418" w:left="1701" w:header="850" w:footer="850" w:gutter="0"/>
          <w:cols w:space="720" w:num="1"/>
          <w:docGrid w:linePitch="312" w:charSpace="0"/>
        </w:sectPr>
      </w:pPr>
      <w:r>
        <w:rPr>
          <w:rFonts w:hint="eastAsia" w:ascii="黑体" w:hAnsi="黑体" w:eastAsia="黑体" w:cs="黑体"/>
          <w:color w:val="auto"/>
          <w:sz w:val="32"/>
          <w:szCs w:val="32"/>
          <w:highlight w:val="none"/>
          <w:lang w:val="zh-CN"/>
        </w:rPr>
        <w:t>二〇二二年三月</w:t>
      </w:r>
    </w:p>
    <w:p>
      <w:pPr>
        <w:pStyle w:val="24"/>
        <w:tabs>
          <w:tab w:val="right" w:leader="dot" w:pos="9062"/>
        </w:tabs>
        <w:adjustRightInd w:val="0"/>
        <w:snapToGrid w:val="0"/>
        <w:spacing w:before="156" w:beforeLines="50" w:after="156" w:afterLines="50" w:line="360" w:lineRule="auto"/>
        <w:jc w:val="center"/>
        <w:rPr>
          <w:rFonts w:ascii="仿宋" w:hAnsi="仿宋" w:eastAsia="仿宋"/>
          <w:color w:val="auto"/>
          <w:kern w:val="0"/>
          <w:sz w:val="36"/>
          <w:szCs w:val="36"/>
          <w:highlight w:val="none"/>
          <w:lang w:val="zh-CN"/>
        </w:rPr>
      </w:pPr>
      <w:r>
        <w:rPr>
          <w:rFonts w:ascii="仿宋" w:hAnsi="仿宋" w:eastAsia="仿宋"/>
          <w:color w:val="auto"/>
          <w:kern w:val="0"/>
          <w:sz w:val="36"/>
          <w:szCs w:val="36"/>
          <w:highlight w:val="none"/>
          <w:lang w:val="zh-CN"/>
        </w:rPr>
        <w:t>目　录</w:t>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TOC \o "1-2" \h \z \u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_Toc20157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第一章 磋商邀请</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_Toc20157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_Toc8639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第二章 磋商须知</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_Toc8639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_Toc14473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一、供应商须知附表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_Toc14473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_Toc3184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二、总  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_Toc3184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_Toc12505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三、磋商文件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_Toc12505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_Toc26736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四、响应文件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_Toc26736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_Toc936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五、评审</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_Toc6844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六、成交事项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_Toc6844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_Toc20284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七、合同事项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_Toc20284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_Toc26810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八、磋商纪律要求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_Toc26810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_Toc19125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九、询问、质疑和投诉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_Toc19125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_Toc24337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十、其  他</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_Toc24337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_Toc25090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第三章 供应商资格条件要求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_Toc25090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_Toc3156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第四章 供应商资格证明材料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_Toc3156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_Toc23129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pacing w:val="-2"/>
          <w:sz w:val="22"/>
          <w:szCs w:val="22"/>
          <w:highlight w:val="none"/>
        </w:rPr>
        <w:t>第五章 采购项目技术、服务、政府采购合同内容条款及其他商务要求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_Toc23129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_Toc5641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第六章 采购项目实质性要求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_Toc5641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_Toc2991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第七章 磋商内容、磋商过程中可实质性变动的内容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_Toc2991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_Toc8905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第八章 响应文件格式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_Toc8905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_Toc24265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第九章 评审方法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_Toc24265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_Toc10897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1．总则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_Toc10897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_Toc31951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2．磋商程序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_Toc31951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_Toc1668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3．综合评分</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_Toc1668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_Toc17551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4．磋商纪律及注意事项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_Toc17551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_Toc9115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5．磋商小组在政府采购活动中承担以下义务：</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_Toc9115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8"/>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_Toc31449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6．评审专家在政府采购活动中应当遵守以下工作纪律：</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_Toc31449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_Toc6185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rPr>
        <w:t>第十章  政府采购合同（草案）</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_Toc6185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_Toc5773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lang w:val="en-US"/>
        </w:rPr>
        <w:t>附件</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lang w:val="en-US"/>
        </w:rPr>
        <w:t xml:space="preserve">  </w:t>
      </w:r>
      <w:r>
        <w:rPr>
          <w:rFonts w:hint="eastAsia" w:ascii="仿宋" w:hAnsi="仿宋" w:eastAsia="仿宋" w:cs="仿宋"/>
          <w:color w:val="auto"/>
          <w:sz w:val="22"/>
          <w:szCs w:val="22"/>
          <w:highlight w:val="none"/>
          <w:lang w:val="en-US" w:eastAsia="zh-CN"/>
        </w:rPr>
        <w:t>质疑函范本</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_Toc5773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72"/>
        </w:tabs>
        <w:kinsoku/>
        <w:wordWrap/>
        <w:overflowPunct/>
        <w:topLinePunct w:val="0"/>
        <w:autoSpaceDE/>
        <w:autoSpaceDN/>
        <w:bidi w:val="0"/>
        <w:adjustRightInd/>
        <w:snapToGrid/>
        <w:spacing w:line="38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fldChar w:fldCharType="begin"/>
      </w:r>
      <w:r>
        <w:rPr>
          <w:rFonts w:hint="eastAsia" w:ascii="仿宋" w:hAnsi="仿宋" w:eastAsia="仿宋" w:cs="仿宋"/>
          <w:color w:val="auto"/>
          <w:sz w:val="22"/>
          <w:szCs w:val="22"/>
          <w:highlight w:val="none"/>
          <w:lang w:val="zh-CN"/>
        </w:rPr>
        <w:instrText xml:space="preserve"> HYPERLINK \l _Toc6676 </w:instrText>
      </w:r>
      <w:r>
        <w:rPr>
          <w:rFonts w:hint="eastAsia" w:ascii="仿宋" w:hAnsi="仿宋" w:eastAsia="仿宋" w:cs="仿宋"/>
          <w:color w:val="auto"/>
          <w:sz w:val="22"/>
          <w:szCs w:val="22"/>
          <w:highlight w:val="none"/>
          <w:lang w:val="zh-CN"/>
        </w:rPr>
        <w:fldChar w:fldCharType="separate"/>
      </w:r>
      <w:r>
        <w:rPr>
          <w:rFonts w:hint="eastAsia" w:ascii="仿宋" w:hAnsi="仿宋" w:eastAsia="仿宋" w:cs="仿宋"/>
          <w:color w:val="auto"/>
          <w:sz w:val="22"/>
          <w:szCs w:val="22"/>
          <w:highlight w:val="none"/>
          <w:lang w:val="en-US"/>
        </w:rPr>
        <w:t>附件</w:t>
      </w:r>
      <w:r>
        <w:rPr>
          <w:rFonts w:hint="eastAsia" w:ascii="仿宋" w:hAnsi="仿宋" w:eastAsia="仿宋" w:cs="仿宋"/>
          <w:color w:val="auto"/>
          <w:sz w:val="22"/>
          <w:szCs w:val="22"/>
          <w:highlight w:val="none"/>
          <w:lang w:val="en-US" w:eastAsia="zh-CN"/>
        </w:rPr>
        <w:t>二</w:t>
      </w:r>
      <w:r>
        <w:rPr>
          <w:rFonts w:hint="eastAsia" w:ascii="仿宋" w:hAnsi="仿宋" w:eastAsia="仿宋" w:cs="仿宋"/>
          <w:color w:val="auto"/>
          <w:sz w:val="22"/>
          <w:szCs w:val="22"/>
          <w:highlight w:val="none"/>
          <w:lang w:val="en-US"/>
        </w:rPr>
        <w:t xml:space="preserve">  </w:t>
      </w:r>
      <w:r>
        <w:rPr>
          <w:rFonts w:hint="eastAsia" w:ascii="仿宋" w:hAnsi="仿宋" w:eastAsia="仿宋" w:cs="仿宋"/>
          <w:color w:val="auto"/>
          <w:sz w:val="22"/>
          <w:szCs w:val="22"/>
          <w:highlight w:val="none"/>
          <w:lang w:val="en-US" w:eastAsia="zh-CN"/>
        </w:rPr>
        <w:t>投诉书范本</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_Toc6676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61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lang w:val="zh-CN"/>
        </w:rPr>
        <w:fldChar w:fldCharType="end"/>
      </w:r>
    </w:p>
    <w:p>
      <w:pPr>
        <w:pStyle w:val="24"/>
        <w:keepNext w:val="0"/>
        <w:keepLines w:val="0"/>
        <w:pageBreakBefore w:val="0"/>
        <w:widowControl w:val="0"/>
        <w:tabs>
          <w:tab w:val="right" w:leader="dot" w:pos="9062"/>
        </w:tabs>
        <w:kinsoku/>
        <w:wordWrap/>
        <w:overflowPunct/>
        <w:topLinePunct w:val="0"/>
        <w:autoSpaceDE/>
        <w:autoSpaceDN/>
        <w:bidi w:val="0"/>
        <w:adjustRightInd/>
        <w:snapToGrid/>
        <w:spacing w:line="380" w:lineRule="exact"/>
        <w:textAlignment w:val="auto"/>
        <w:rPr>
          <w:rFonts w:ascii="仿宋" w:hAnsi="仿宋" w:eastAsia="仿宋"/>
          <w:color w:val="auto"/>
          <w:highlight w:val="none"/>
          <w:lang w:val="zh-CN"/>
        </w:rPr>
      </w:pPr>
      <w:r>
        <w:rPr>
          <w:rFonts w:hint="eastAsia" w:ascii="仿宋" w:hAnsi="仿宋" w:eastAsia="仿宋" w:cs="仿宋"/>
          <w:color w:val="auto"/>
          <w:sz w:val="22"/>
          <w:szCs w:val="22"/>
          <w:highlight w:val="none"/>
          <w:lang w:val="zh-CN"/>
        </w:rPr>
        <w:fldChar w:fldCharType="end"/>
      </w:r>
    </w:p>
    <w:p>
      <w:pPr>
        <w:rPr>
          <w:rFonts w:ascii="仿宋" w:hAnsi="仿宋" w:eastAsia="仿宋"/>
          <w:color w:val="auto"/>
          <w:highlight w:val="none"/>
          <w:lang w:val="zh-CN"/>
        </w:rPr>
        <w:sectPr>
          <w:footerReference r:id="rId6" w:type="first"/>
          <w:pgSz w:w="11907" w:h="16840"/>
          <w:pgMar w:top="1418" w:right="1134" w:bottom="1418" w:left="1701" w:header="850" w:footer="850" w:gutter="0"/>
          <w:pgNumType w:fmt="numberInDash"/>
          <w:cols w:space="720" w:num="1"/>
          <w:titlePg/>
          <w:docGrid w:type="linesAndChar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 w:name="_Hlt101233737"/>
      <w:bookmarkEnd w:id="1"/>
      <w:bookmarkStart w:id="2" w:name="_Hlt101843627"/>
      <w:bookmarkEnd w:id="2"/>
      <w:bookmarkStart w:id="3" w:name="_Toc20157"/>
      <w:bookmarkStart w:id="4" w:name="_Toc508714401"/>
      <w:bookmarkStart w:id="5" w:name="_Toc36820981"/>
      <w:r>
        <w:rPr>
          <w:rFonts w:ascii="仿宋" w:hAnsi="仿宋" w:eastAsia="仿宋"/>
          <w:color w:val="auto"/>
          <w:sz w:val="32"/>
          <w:szCs w:val="32"/>
          <w:highlight w:val="none"/>
        </w:rPr>
        <w:t>第一章 磋商邀请</w:t>
      </w:r>
      <w:bookmarkEnd w:id="3"/>
      <w:bookmarkEnd w:id="4"/>
      <w:bookmarkEnd w:id="5"/>
    </w:p>
    <w:p>
      <w:pPr>
        <w:spacing w:line="4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u w:val="single"/>
        </w:rPr>
        <w:t>四川中志招标代理有限公司</w:t>
      </w:r>
      <w:r>
        <w:rPr>
          <w:rFonts w:ascii="仿宋" w:hAnsi="仿宋" w:eastAsia="仿宋"/>
          <w:color w:val="auto"/>
          <w:sz w:val="24"/>
          <w:highlight w:val="none"/>
        </w:rPr>
        <w:t>受</w:t>
      </w:r>
      <w:r>
        <w:rPr>
          <w:rFonts w:hint="eastAsia" w:ascii="仿宋" w:hAnsi="仿宋" w:eastAsia="仿宋"/>
          <w:color w:val="auto"/>
          <w:sz w:val="24"/>
          <w:highlight w:val="none"/>
          <w:u w:val="single"/>
          <w:lang w:eastAsia="zh-CN"/>
        </w:rPr>
        <w:t>成都交响乐团</w:t>
      </w:r>
      <w:r>
        <w:rPr>
          <w:rFonts w:ascii="仿宋" w:hAnsi="仿宋" w:eastAsia="仿宋"/>
          <w:color w:val="auto"/>
          <w:sz w:val="24"/>
          <w:highlight w:val="none"/>
        </w:rPr>
        <w:t>委托，拟对</w:t>
      </w:r>
      <w:r>
        <w:rPr>
          <w:rFonts w:hint="eastAsia" w:ascii="仿宋" w:hAnsi="仿宋" w:eastAsia="仿宋"/>
          <w:bCs/>
          <w:color w:val="auto"/>
          <w:sz w:val="24"/>
          <w:highlight w:val="none"/>
          <w:u w:val="single"/>
          <w:lang w:eastAsia="zh-CN"/>
        </w:rPr>
        <w:t>成都交响乐团2022年3月至12月音乐季演出及排练场地租赁服务采购项目</w:t>
      </w:r>
      <w:r>
        <w:rPr>
          <w:rFonts w:ascii="仿宋" w:hAnsi="仿宋" w:eastAsia="仿宋"/>
          <w:color w:val="auto"/>
          <w:sz w:val="24"/>
          <w:highlight w:val="none"/>
        </w:rPr>
        <w:t>采用竞争性磋商方式进行采购，特邀请符合本次采购要求的供应商参加本项目的竞争性磋商。</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一、采购项目基本情况</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1．采购项目编号：</w:t>
      </w:r>
      <w:r>
        <w:rPr>
          <w:rFonts w:hint="eastAsia" w:ascii="仿宋" w:hAnsi="仿宋" w:eastAsia="仿宋"/>
          <w:color w:val="auto"/>
          <w:sz w:val="24"/>
          <w:highlight w:val="none"/>
          <w:lang w:eastAsia="zh-CN"/>
        </w:rPr>
        <w:t>510101202200058</w:t>
      </w:r>
      <w:r>
        <w:rPr>
          <w:rFonts w:ascii="仿宋" w:hAnsi="仿宋" w:eastAsia="仿宋"/>
          <w:color w:val="auto"/>
          <w:sz w:val="24"/>
          <w:highlight w:val="none"/>
        </w:rPr>
        <w:t>。</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2．采购项目名称：</w:t>
      </w:r>
      <w:r>
        <w:rPr>
          <w:rFonts w:hint="eastAsia" w:ascii="仿宋" w:hAnsi="仿宋" w:eastAsia="仿宋"/>
          <w:bCs/>
          <w:color w:val="auto"/>
          <w:sz w:val="24"/>
          <w:highlight w:val="none"/>
          <w:lang w:eastAsia="zh-CN"/>
        </w:rPr>
        <w:t>成都交响乐团2022年3月至12月音乐季演出及排练场地租赁服务采购项目</w:t>
      </w:r>
      <w:r>
        <w:rPr>
          <w:rFonts w:ascii="仿宋" w:hAnsi="仿宋" w:eastAsia="仿宋"/>
          <w:color w:val="auto"/>
          <w:sz w:val="24"/>
          <w:highlight w:val="none"/>
        </w:rPr>
        <w:t>。</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3．采购人：</w:t>
      </w:r>
      <w:r>
        <w:rPr>
          <w:rFonts w:hint="eastAsia" w:ascii="仿宋" w:hAnsi="仿宋" w:eastAsia="仿宋"/>
          <w:color w:val="auto"/>
          <w:sz w:val="24"/>
          <w:highlight w:val="none"/>
          <w:lang w:eastAsia="zh-CN"/>
        </w:rPr>
        <w:t>成都交响乐团</w:t>
      </w:r>
      <w:r>
        <w:rPr>
          <w:rFonts w:ascii="仿宋" w:hAnsi="仿宋" w:eastAsia="仿宋"/>
          <w:color w:val="auto"/>
          <w:sz w:val="24"/>
          <w:highlight w:val="none"/>
        </w:rPr>
        <w:t>。</w:t>
      </w:r>
    </w:p>
    <w:p>
      <w:pPr>
        <w:spacing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4．采购代理机构：四川中志招标代理有限公司。</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二、资金情况</w:t>
      </w:r>
    </w:p>
    <w:p>
      <w:pPr>
        <w:spacing w:line="440" w:lineRule="exact"/>
        <w:ind w:right="31" w:rightChars="15" w:firstLine="480" w:firstLineChars="200"/>
        <w:rPr>
          <w:rFonts w:ascii="仿宋" w:hAnsi="仿宋" w:eastAsia="仿宋"/>
          <w:b/>
          <w:bCs/>
          <w:color w:val="auto"/>
          <w:sz w:val="24"/>
          <w:highlight w:val="none"/>
        </w:rPr>
      </w:pPr>
      <w:r>
        <w:rPr>
          <w:rFonts w:ascii="仿宋" w:hAnsi="仿宋" w:eastAsia="仿宋"/>
          <w:color w:val="auto"/>
          <w:sz w:val="24"/>
          <w:highlight w:val="none"/>
        </w:rPr>
        <w:t>资金来源及金额：财政性资金</w:t>
      </w:r>
      <w:r>
        <w:rPr>
          <w:rFonts w:hint="eastAsia" w:ascii="仿宋" w:hAnsi="仿宋" w:eastAsia="仿宋"/>
          <w:color w:val="auto"/>
          <w:sz w:val="24"/>
          <w:highlight w:val="none"/>
          <w:u w:val="single"/>
          <w:lang w:val="en-US" w:eastAsia="zh-CN"/>
        </w:rPr>
        <w:t>247</w:t>
      </w:r>
      <w:r>
        <w:rPr>
          <w:rFonts w:ascii="仿宋" w:hAnsi="仿宋" w:eastAsia="仿宋"/>
          <w:color w:val="auto"/>
          <w:sz w:val="24"/>
          <w:highlight w:val="none"/>
        </w:rPr>
        <w:t>万元。</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三、采购项目简介：</w:t>
      </w:r>
    </w:p>
    <w:p>
      <w:pPr>
        <w:widowControl/>
        <w:spacing w:line="520" w:lineRule="exact"/>
        <w:ind w:firstLine="480" w:firstLineChars="200"/>
        <w:rPr>
          <w:rFonts w:ascii="仿宋" w:hAnsi="仿宋" w:eastAsia="仿宋"/>
          <w:color w:val="auto"/>
          <w:sz w:val="24"/>
          <w:highlight w:val="none"/>
        </w:rPr>
      </w:pPr>
      <w:r>
        <w:rPr>
          <w:rFonts w:hint="eastAsia" w:ascii="仿宋" w:hAnsi="仿宋" w:eastAsia="仿宋"/>
          <w:color w:val="auto"/>
          <w:kern w:val="0"/>
          <w:sz w:val="24"/>
          <w:highlight w:val="none"/>
        </w:rPr>
        <w:t>成都交响乐团2022年3月至12月音乐季演出及排练场地租赁服务</w:t>
      </w:r>
      <w:r>
        <w:rPr>
          <w:rFonts w:ascii="仿宋" w:hAnsi="仿宋" w:eastAsia="仿宋"/>
          <w:color w:val="auto"/>
          <w:kern w:val="0"/>
          <w:sz w:val="24"/>
          <w:highlight w:val="none"/>
        </w:rPr>
        <w:t>采购，</w:t>
      </w:r>
      <w:r>
        <w:rPr>
          <w:rFonts w:ascii="仿宋" w:hAnsi="仿宋" w:eastAsia="仿宋"/>
          <w:color w:val="auto"/>
          <w:sz w:val="24"/>
          <w:highlight w:val="none"/>
        </w:rPr>
        <w:t>详见磋商文件第</w:t>
      </w:r>
      <w:r>
        <w:rPr>
          <w:rFonts w:ascii="仿宋" w:hAnsi="仿宋" w:eastAsia="仿宋"/>
          <w:bCs/>
          <w:color w:val="auto"/>
          <w:sz w:val="24"/>
          <w:highlight w:val="none"/>
        </w:rPr>
        <w:t>五</w:t>
      </w:r>
      <w:r>
        <w:rPr>
          <w:rFonts w:ascii="仿宋" w:hAnsi="仿宋" w:eastAsia="仿宋"/>
          <w:color w:val="auto"/>
          <w:sz w:val="24"/>
          <w:highlight w:val="none"/>
        </w:rPr>
        <w:t>章。</w:t>
      </w:r>
    </w:p>
    <w:p>
      <w:pPr>
        <w:spacing w:line="440" w:lineRule="exact"/>
        <w:ind w:firstLine="480" w:firstLineChars="200"/>
        <w:rPr>
          <w:rFonts w:hint="eastAsia" w:ascii="仿宋" w:hAnsi="仿宋" w:eastAsia="仿宋"/>
          <w:b/>
          <w:color w:val="auto"/>
          <w:sz w:val="24"/>
          <w:highlight w:val="none"/>
        </w:rPr>
      </w:pPr>
      <w:r>
        <w:rPr>
          <w:rFonts w:hint="eastAsia" w:ascii="仿宋" w:hAnsi="仿宋" w:eastAsia="仿宋"/>
          <w:b/>
          <w:color w:val="auto"/>
          <w:sz w:val="24"/>
          <w:highlight w:val="none"/>
        </w:rPr>
        <w:t>四、</w:t>
      </w:r>
      <w:r>
        <w:rPr>
          <w:rFonts w:hint="eastAsia" w:ascii="仿宋" w:hAnsi="仿宋" w:eastAsia="仿宋"/>
          <w:b/>
          <w:color w:val="auto"/>
          <w:sz w:val="24"/>
          <w:highlight w:val="none"/>
          <w:lang w:val="en-US" w:eastAsia="zh-CN"/>
        </w:rPr>
        <w:t>是否专门面向中小企业采购</w:t>
      </w:r>
    </w:p>
    <w:p>
      <w:pPr>
        <w:spacing w:line="460" w:lineRule="exact"/>
        <w:ind w:right="31" w:rightChars="1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本项目专门面向中小企业采购。</w:t>
      </w:r>
    </w:p>
    <w:p>
      <w:pPr>
        <w:spacing w:line="440" w:lineRule="exact"/>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五</w:t>
      </w:r>
      <w:r>
        <w:rPr>
          <w:rFonts w:ascii="仿宋" w:hAnsi="仿宋" w:eastAsia="仿宋"/>
          <w:b/>
          <w:color w:val="auto"/>
          <w:sz w:val="24"/>
          <w:highlight w:val="none"/>
        </w:rPr>
        <w:t>、供应商邀请方式</w:t>
      </w:r>
    </w:p>
    <w:p>
      <w:pPr>
        <w:spacing w:line="440" w:lineRule="exact"/>
        <w:ind w:firstLine="480" w:firstLineChars="200"/>
        <w:rPr>
          <w:rFonts w:ascii="仿宋" w:hAnsi="仿宋" w:eastAsia="仿宋"/>
          <w:bCs/>
          <w:color w:val="auto"/>
          <w:sz w:val="24"/>
          <w:highlight w:val="none"/>
        </w:rPr>
      </w:pPr>
      <w:r>
        <w:rPr>
          <w:rFonts w:ascii="仿宋" w:hAnsi="仿宋" w:eastAsia="仿宋"/>
          <w:bCs/>
          <w:color w:val="auto"/>
          <w:sz w:val="24"/>
          <w:highlight w:val="none"/>
        </w:rPr>
        <w:t>公告方式：本次竞争性磋商邀请在四川政府采购网上以公告形式发布</w:t>
      </w:r>
      <w:r>
        <w:rPr>
          <w:rFonts w:hint="eastAsia" w:ascii="仿宋" w:hAnsi="仿宋" w:eastAsia="仿宋"/>
          <w:bCs/>
          <w:color w:val="auto"/>
          <w:sz w:val="24"/>
          <w:highlight w:val="none"/>
        </w:rPr>
        <w:t>，公告期限自公告发布之日起3个工作日</w:t>
      </w:r>
      <w:r>
        <w:rPr>
          <w:rFonts w:ascii="仿宋" w:hAnsi="仿宋" w:eastAsia="仿宋"/>
          <w:bCs/>
          <w:color w:val="auto"/>
          <w:sz w:val="24"/>
          <w:highlight w:val="none"/>
        </w:rPr>
        <w:t>。</w:t>
      </w:r>
    </w:p>
    <w:p>
      <w:pPr>
        <w:spacing w:line="440" w:lineRule="exact"/>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六</w:t>
      </w:r>
      <w:r>
        <w:rPr>
          <w:rFonts w:ascii="仿宋" w:hAnsi="仿宋" w:eastAsia="仿宋"/>
          <w:b/>
          <w:color w:val="auto"/>
          <w:sz w:val="24"/>
          <w:highlight w:val="none"/>
        </w:rPr>
        <w:t>、供应商参加本次政府采购活动应具备下列条件</w:t>
      </w:r>
    </w:p>
    <w:p>
      <w:pPr>
        <w:spacing w:line="460" w:lineRule="exact"/>
        <w:ind w:firstLine="360" w:firstLineChars="150"/>
        <w:rPr>
          <w:rFonts w:hint="eastAsia" w:ascii="仿宋" w:hAnsi="仿宋" w:eastAsia="仿宋" w:cs="仿宋"/>
          <w:color w:val="auto"/>
          <w:sz w:val="24"/>
          <w:highlight w:val="none"/>
        </w:rPr>
      </w:pPr>
      <w:bookmarkStart w:id="6" w:name="PO_供应商资格条件_1"/>
      <w:r>
        <w:rPr>
          <w:rFonts w:hint="eastAsia" w:ascii="仿宋" w:hAnsi="仿宋" w:eastAsia="仿宋" w:cs="仿宋"/>
          <w:color w:val="auto"/>
          <w:sz w:val="24"/>
          <w:highlight w:val="none"/>
        </w:rPr>
        <w:t>（一）满足《中华人民共和国政府采购法》第二十二条规定：</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具有独立承担民事责任的能力；</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具有良好的商业信誉和健全的财务会计制度；</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具有履行合同所必须的设备和专业技术能力；</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具有依法缴纳税收和社会保障资金的良好记录；</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参加本次政府采购活动前三年内，在经营活动中没有重大违法记录；</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法律、行政法规规定的其他条件；</w:t>
      </w:r>
    </w:p>
    <w:bookmarkEnd w:id="6"/>
    <w:p>
      <w:pPr>
        <w:spacing w:line="460" w:lineRule="exact"/>
        <w:ind w:firstLine="480" w:firstLineChars="200"/>
        <w:rPr>
          <w:rStyle w:val="37"/>
          <w:color w:val="auto"/>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采购人根据采购项目提出的特殊条件：无。</w:t>
      </w:r>
    </w:p>
    <w:p>
      <w:pPr>
        <w:spacing w:line="460" w:lineRule="exact"/>
        <w:ind w:firstLine="480" w:firstLineChars="200"/>
        <w:rPr>
          <w:rStyle w:val="37"/>
          <w:rFonts w:hint="eastAsia"/>
          <w:color w:val="auto"/>
          <w:highlight w:val="none"/>
        </w:rPr>
      </w:pPr>
      <w:r>
        <w:rPr>
          <w:rFonts w:hint="eastAsia" w:ascii="仿宋" w:hAnsi="仿宋" w:eastAsia="仿宋" w:cs="仿宋"/>
          <w:color w:val="auto"/>
          <w:sz w:val="24"/>
          <w:highlight w:val="none"/>
        </w:rPr>
        <w:t>8</w:t>
      </w:r>
      <w:r>
        <w:rPr>
          <w:rFonts w:ascii="仿宋" w:hAnsi="仿宋" w:eastAsia="仿宋" w:cs="仿宋"/>
          <w:color w:val="auto"/>
          <w:sz w:val="24"/>
          <w:highlight w:val="none"/>
        </w:rPr>
        <w:t>.</w:t>
      </w:r>
      <w:r>
        <w:rPr>
          <w:rFonts w:hint="eastAsia" w:ascii="仿宋" w:hAnsi="仿宋" w:eastAsia="仿宋" w:cs="仿宋"/>
          <w:color w:val="auto"/>
          <w:sz w:val="24"/>
          <w:highlight w:val="none"/>
        </w:rPr>
        <w:t>按照规定获取了竞争性磋商文件。</w:t>
      </w:r>
    </w:p>
    <w:p>
      <w:pPr>
        <w:tabs>
          <w:tab w:val="left" w:pos="1134"/>
        </w:tabs>
        <w:spacing w:line="47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rPr>
        <w:t>本项目不允许联合体参加。</w:t>
      </w:r>
    </w:p>
    <w:p>
      <w:pPr>
        <w:tabs>
          <w:tab w:val="left" w:pos="1134"/>
        </w:tabs>
        <w:spacing w:line="470" w:lineRule="exact"/>
        <w:ind w:firstLine="360" w:firstLineChars="150"/>
        <w:jc w:val="left"/>
        <w:rPr>
          <w:rFonts w:hint="eastAsia" w:ascii="仿宋" w:hAnsi="仿宋" w:eastAsia="仿宋"/>
          <w:color w:val="auto"/>
          <w:sz w:val="24"/>
          <w:highlight w:val="none"/>
        </w:rPr>
      </w:pPr>
      <w:r>
        <w:rPr>
          <w:rFonts w:hint="eastAsia" w:ascii="仿宋" w:hAnsi="仿宋" w:eastAsia="仿宋"/>
          <w:color w:val="auto"/>
          <w:sz w:val="24"/>
          <w:highlight w:val="none"/>
        </w:rPr>
        <w:t>（二）落实政府采购政策需满足的资格要求：</w:t>
      </w:r>
    </w:p>
    <w:p>
      <w:pPr>
        <w:tabs>
          <w:tab w:val="left" w:pos="1134"/>
        </w:tabs>
        <w:spacing w:line="470" w:lineRule="atLeas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本项目属于专门面向中小企业采购的项目</w:t>
      </w:r>
      <w:r>
        <w:rPr>
          <w:rFonts w:ascii="仿宋" w:hAnsi="仿宋" w:eastAsia="仿宋"/>
          <w:color w:val="auto"/>
          <w:sz w:val="24"/>
          <w:highlight w:val="none"/>
        </w:rPr>
        <w:t>,</w:t>
      </w:r>
      <w:r>
        <w:rPr>
          <w:rFonts w:hint="eastAsia" w:ascii="仿宋" w:hAnsi="仿宋" w:eastAsia="仿宋"/>
          <w:color w:val="auto"/>
          <w:sz w:val="24"/>
          <w:highlight w:val="none"/>
        </w:rPr>
        <w:t>服务承接企业</w:t>
      </w:r>
      <w:r>
        <w:rPr>
          <w:rFonts w:ascii="仿宋" w:hAnsi="仿宋" w:eastAsia="仿宋"/>
          <w:color w:val="auto"/>
          <w:sz w:val="24"/>
          <w:highlight w:val="none"/>
        </w:rPr>
        <w:t>应为中小微企业</w:t>
      </w:r>
      <w:r>
        <w:rPr>
          <w:rFonts w:hint="eastAsia" w:ascii="仿宋" w:hAnsi="仿宋" w:eastAsia="仿宋"/>
          <w:color w:val="auto"/>
          <w:sz w:val="24"/>
          <w:highlight w:val="none"/>
        </w:rPr>
        <w:t>或</w:t>
      </w:r>
      <w:r>
        <w:rPr>
          <w:rFonts w:ascii="仿宋" w:hAnsi="仿宋" w:eastAsia="仿宋"/>
          <w:color w:val="auto"/>
          <w:sz w:val="24"/>
          <w:highlight w:val="none"/>
        </w:rPr>
        <w:t>监狱企业</w:t>
      </w:r>
      <w:r>
        <w:rPr>
          <w:rFonts w:hint="eastAsia" w:ascii="仿宋" w:hAnsi="仿宋" w:eastAsia="仿宋"/>
          <w:color w:val="auto"/>
          <w:sz w:val="24"/>
          <w:highlight w:val="none"/>
        </w:rPr>
        <w:t>或</w:t>
      </w:r>
      <w:r>
        <w:rPr>
          <w:rFonts w:ascii="仿宋" w:hAnsi="仿宋" w:eastAsia="仿宋"/>
          <w:color w:val="auto"/>
          <w:sz w:val="24"/>
          <w:highlight w:val="none"/>
        </w:rPr>
        <w:t>残疾人福利性单位</w:t>
      </w:r>
      <w:r>
        <w:rPr>
          <w:rFonts w:hint="eastAsia" w:ascii="仿宋" w:hAnsi="仿宋" w:eastAsia="仿宋"/>
          <w:color w:val="auto"/>
          <w:sz w:val="24"/>
          <w:highlight w:val="none"/>
        </w:rPr>
        <w:t>。</w:t>
      </w:r>
    </w:p>
    <w:p>
      <w:pPr>
        <w:pStyle w:val="64"/>
        <w:spacing w:line="440" w:lineRule="exact"/>
        <w:ind w:firstLine="480"/>
        <w:rPr>
          <w:rFonts w:ascii="仿宋" w:hAnsi="仿宋" w:eastAsia="仿宋"/>
          <w:color w:val="auto"/>
          <w:sz w:val="24"/>
          <w:highlight w:val="none"/>
        </w:rPr>
      </w:pPr>
      <w:r>
        <w:rPr>
          <w:rFonts w:ascii="仿宋" w:hAnsi="仿宋" w:eastAsia="仿宋"/>
          <w:color w:val="auto"/>
          <w:sz w:val="24"/>
          <w:highlight w:val="none"/>
        </w:rPr>
        <w:t>资格条件要求详见本文件第三章，资格条件证明材料详见本文件第四章。</w:t>
      </w:r>
    </w:p>
    <w:p>
      <w:pPr>
        <w:tabs>
          <w:tab w:val="left" w:pos="993"/>
        </w:tabs>
        <w:spacing w:line="460" w:lineRule="exact"/>
        <w:ind w:firstLine="470" w:firstLineChars="196"/>
        <w:rPr>
          <w:rFonts w:ascii="仿宋" w:hAnsi="仿宋" w:eastAsia="仿宋" w:cs="仿宋"/>
          <w:b/>
          <w:bCs/>
          <w:color w:val="auto"/>
          <w:sz w:val="24"/>
          <w:highlight w:val="none"/>
        </w:rPr>
      </w:pPr>
      <w:r>
        <w:rPr>
          <w:rFonts w:hint="eastAsia" w:ascii="仿宋" w:hAnsi="仿宋" w:eastAsia="仿宋"/>
          <w:b/>
          <w:color w:val="auto"/>
          <w:sz w:val="24"/>
          <w:highlight w:val="none"/>
        </w:rPr>
        <w:t>七</w:t>
      </w:r>
      <w:r>
        <w:rPr>
          <w:rFonts w:ascii="仿宋" w:hAnsi="仿宋" w:eastAsia="仿宋"/>
          <w:b/>
          <w:color w:val="auto"/>
          <w:sz w:val="24"/>
          <w:highlight w:val="none"/>
        </w:rPr>
        <w:t>、</w:t>
      </w:r>
      <w:r>
        <w:rPr>
          <w:rFonts w:hint="eastAsia" w:ascii="仿宋" w:hAnsi="仿宋" w:eastAsia="仿宋" w:cs="仿宋"/>
          <w:b/>
          <w:bCs/>
          <w:color w:val="auto"/>
          <w:sz w:val="24"/>
          <w:highlight w:val="none"/>
        </w:rPr>
        <w:t>禁止参加本次采购活动的供应商</w:t>
      </w:r>
    </w:p>
    <w:p>
      <w:pPr>
        <w:spacing w:line="440" w:lineRule="exact"/>
        <w:ind w:firstLine="480" w:firstLineChars="200"/>
        <w:rPr>
          <w:rFonts w:ascii="仿宋" w:hAnsi="仿宋" w:eastAsia="仿宋"/>
          <w:b/>
          <w:color w:val="auto"/>
          <w:sz w:val="24"/>
          <w:highlight w:val="none"/>
        </w:rPr>
      </w:pPr>
      <w:r>
        <w:rPr>
          <w:rFonts w:ascii="仿宋" w:hAnsi="仿宋" w:eastAsia="仿宋"/>
          <w:color w:val="auto"/>
          <w:sz w:val="24"/>
          <w:highlight w:val="none"/>
        </w:rPr>
        <w:t>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spacing w:line="440" w:lineRule="exact"/>
        <w:ind w:firstLine="480" w:firstLineChars="200"/>
        <w:rPr>
          <w:rFonts w:ascii="仿宋" w:hAnsi="仿宋" w:eastAsia="仿宋"/>
          <w:b/>
          <w:color w:val="auto"/>
          <w:sz w:val="24"/>
          <w:highlight w:val="none"/>
        </w:rPr>
      </w:pPr>
      <w:r>
        <w:rPr>
          <w:rFonts w:hint="eastAsia" w:ascii="仿宋" w:hAnsi="仿宋" w:eastAsia="仿宋"/>
          <w:b/>
          <w:color w:val="auto"/>
          <w:sz w:val="24"/>
          <w:highlight w:val="none"/>
        </w:rPr>
        <w:t>八</w:t>
      </w:r>
      <w:r>
        <w:rPr>
          <w:rFonts w:ascii="仿宋" w:hAnsi="仿宋" w:eastAsia="仿宋"/>
          <w:b/>
          <w:color w:val="auto"/>
          <w:sz w:val="24"/>
          <w:highlight w:val="none"/>
        </w:rPr>
        <w:t>、磋商文件获取方式、时间、地点：</w:t>
      </w:r>
    </w:p>
    <w:p>
      <w:pPr>
        <w:tabs>
          <w:tab w:val="left" w:pos="1080"/>
        </w:tabs>
        <w:spacing w:line="480" w:lineRule="exact"/>
        <w:ind w:firstLine="480"/>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磋商</w:t>
      </w:r>
      <w:r>
        <w:rPr>
          <w:rFonts w:ascii="仿宋" w:hAnsi="仿宋" w:eastAsia="仿宋"/>
          <w:b w:val="0"/>
          <w:color w:val="auto"/>
          <w:kern w:val="2"/>
          <w:sz w:val="24"/>
          <w:szCs w:val="24"/>
          <w:highlight w:val="none"/>
          <w:lang w:val="en-US"/>
        </w:rPr>
        <w:t>文件</w:t>
      </w:r>
      <w:r>
        <w:rPr>
          <w:rFonts w:hint="eastAsia" w:ascii="仿宋" w:hAnsi="仿宋" w:eastAsia="仿宋"/>
          <w:b w:val="0"/>
          <w:color w:val="auto"/>
          <w:kern w:val="2"/>
          <w:sz w:val="24"/>
          <w:szCs w:val="24"/>
          <w:highlight w:val="none"/>
          <w:lang w:val="en-US"/>
        </w:rPr>
        <w:t>获取</w:t>
      </w:r>
      <w:r>
        <w:rPr>
          <w:rFonts w:ascii="仿宋" w:hAnsi="仿宋" w:eastAsia="仿宋"/>
          <w:b w:val="0"/>
          <w:color w:val="auto"/>
          <w:kern w:val="2"/>
          <w:sz w:val="24"/>
          <w:szCs w:val="24"/>
          <w:highlight w:val="none"/>
          <w:lang w:val="en-US"/>
        </w:rPr>
        <w:t>时间：自202</w:t>
      </w:r>
      <w:r>
        <w:rPr>
          <w:rFonts w:hint="eastAsia" w:ascii="仿宋" w:hAnsi="仿宋" w:eastAsia="仿宋"/>
          <w:b w:val="0"/>
          <w:color w:val="auto"/>
          <w:kern w:val="2"/>
          <w:sz w:val="24"/>
          <w:szCs w:val="24"/>
          <w:highlight w:val="none"/>
          <w:u w:val="single"/>
          <w:lang w:val="en-US" w:eastAsia="zh-CN"/>
        </w:rPr>
        <w:t>2</w:t>
      </w:r>
      <w:r>
        <w:rPr>
          <w:rFonts w:ascii="仿宋" w:hAnsi="仿宋" w:eastAsia="仿宋"/>
          <w:b w:val="0"/>
          <w:color w:val="auto"/>
          <w:kern w:val="2"/>
          <w:sz w:val="24"/>
          <w:szCs w:val="24"/>
          <w:highlight w:val="none"/>
          <w:lang w:val="en-US"/>
        </w:rPr>
        <w:t>年</w:t>
      </w:r>
      <w:r>
        <w:rPr>
          <w:rFonts w:hint="eastAsia" w:ascii="仿宋" w:hAnsi="仿宋" w:eastAsia="仿宋"/>
          <w:b w:val="0"/>
          <w:color w:val="auto"/>
          <w:kern w:val="2"/>
          <w:sz w:val="24"/>
          <w:szCs w:val="24"/>
          <w:highlight w:val="none"/>
          <w:u w:val="single"/>
          <w:lang w:val="en-US" w:eastAsia="zh-CN"/>
        </w:rPr>
        <w:t>3</w:t>
      </w:r>
      <w:r>
        <w:rPr>
          <w:rFonts w:ascii="仿宋" w:hAnsi="仿宋" w:eastAsia="仿宋"/>
          <w:b w:val="0"/>
          <w:color w:val="auto"/>
          <w:kern w:val="2"/>
          <w:sz w:val="24"/>
          <w:szCs w:val="24"/>
          <w:highlight w:val="none"/>
          <w:lang w:val="en-US"/>
        </w:rPr>
        <w:t>月</w:t>
      </w:r>
      <w:r>
        <w:rPr>
          <w:rFonts w:hint="eastAsia" w:ascii="仿宋" w:hAnsi="仿宋" w:eastAsia="仿宋"/>
          <w:b w:val="0"/>
          <w:color w:val="auto"/>
          <w:kern w:val="2"/>
          <w:sz w:val="24"/>
          <w:szCs w:val="24"/>
          <w:highlight w:val="none"/>
          <w:u w:val="single"/>
          <w:lang w:val="en-US" w:eastAsia="zh-CN"/>
        </w:rPr>
        <w:t>7</w:t>
      </w:r>
      <w:r>
        <w:rPr>
          <w:rFonts w:ascii="仿宋" w:hAnsi="仿宋" w:eastAsia="仿宋"/>
          <w:b w:val="0"/>
          <w:color w:val="auto"/>
          <w:kern w:val="2"/>
          <w:sz w:val="24"/>
          <w:szCs w:val="24"/>
          <w:highlight w:val="none"/>
          <w:lang w:val="en-US"/>
        </w:rPr>
        <w:t>日至202</w:t>
      </w:r>
      <w:r>
        <w:rPr>
          <w:rFonts w:hint="eastAsia" w:ascii="仿宋" w:hAnsi="仿宋" w:eastAsia="仿宋"/>
          <w:b w:val="0"/>
          <w:color w:val="auto"/>
          <w:kern w:val="2"/>
          <w:sz w:val="24"/>
          <w:szCs w:val="24"/>
          <w:highlight w:val="none"/>
          <w:u w:val="single"/>
          <w:lang w:val="en-US" w:eastAsia="zh-CN"/>
        </w:rPr>
        <w:t>2</w:t>
      </w:r>
      <w:r>
        <w:rPr>
          <w:rFonts w:ascii="仿宋" w:hAnsi="仿宋" w:eastAsia="仿宋"/>
          <w:b w:val="0"/>
          <w:color w:val="auto"/>
          <w:kern w:val="2"/>
          <w:sz w:val="24"/>
          <w:szCs w:val="24"/>
          <w:highlight w:val="none"/>
          <w:lang w:val="en-US"/>
        </w:rPr>
        <w:t>年</w:t>
      </w:r>
      <w:r>
        <w:rPr>
          <w:rFonts w:hint="eastAsia" w:ascii="仿宋" w:hAnsi="仿宋" w:eastAsia="仿宋"/>
          <w:b w:val="0"/>
          <w:color w:val="auto"/>
          <w:kern w:val="2"/>
          <w:sz w:val="24"/>
          <w:szCs w:val="24"/>
          <w:highlight w:val="none"/>
          <w:u w:val="single"/>
          <w:lang w:val="en-US" w:eastAsia="zh-CN"/>
        </w:rPr>
        <w:t>3</w:t>
      </w:r>
      <w:r>
        <w:rPr>
          <w:rFonts w:ascii="仿宋" w:hAnsi="仿宋" w:eastAsia="仿宋"/>
          <w:b w:val="0"/>
          <w:color w:val="auto"/>
          <w:kern w:val="2"/>
          <w:sz w:val="24"/>
          <w:szCs w:val="24"/>
          <w:highlight w:val="none"/>
          <w:lang w:val="en-US"/>
        </w:rPr>
        <w:t>月</w:t>
      </w:r>
      <w:r>
        <w:rPr>
          <w:rFonts w:hint="eastAsia" w:ascii="仿宋" w:hAnsi="仿宋" w:eastAsia="仿宋"/>
          <w:b w:val="0"/>
          <w:color w:val="auto"/>
          <w:kern w:val="2"/>
          <w:sz w:val="24"/>
          <w:szCs w:val="24"/>
          <w:highlight w:val="none"/>
          <w:u w:val="single"/>
          <w:lang w:val="en-US" w:eastAsia="zh-CN"/>
        </w:rPr>
        <w:t>14</w:t>
      </w:r>
      <w:r>
        <w:rPr>
          <w:rFonts w:ascii="仿宋" w:hAnsi="仿宋" w:eastAsia="仿宋"/>
          <w:b w:val="0"/>
          <w:color w:val="auto"/>
          <w:kern w:val="2"/>
          <w:sz w:val="24"/>
          <w:szCs w:val="24"/>
          <w:highlight w:val="none"/>
          <w:lang w:val="en-US"/>
        </w:rPr>
        <w:t>日</w:t>
      </w:r>
      <w:r>
        <w:rPr>
          <w:rFonts w:hint="eastAsia" w:ascii="仿宋" w:hAnsi="仿宋" w:eastAsia="仿宋"/>
          <w:b w:val="0"/>
          <w:color w:val="auto"/>
          <w:kern w:val="2"/>
          <w:sz w:val="24"/>
          <w:szCs w:val="24"/>
          <w:highlight w:val="none"/>
          <w:lang w:val="en-US"/>
        </w:rPr>
        <w:t xml:space="preserve"> 24:00</w:t>
      </w:r>
      <w:r>
        <w:rPr>
          <w:rFonts w:ascii="仿宋" w:hAnsi="仿宋" w:eastAsia="仿宋"/>
          <w:b w:val="0"/>
          <w:color w:val="auto"/>
          <w:kern w:val="2"/>
          <w:sz w:val="24"/>
          <w:szCs w:val="24"/>
          <w:highlight w:val="none"/>
          <w:lang w:val="en-US"/>
        </w:rPr>
        <w:t>。</w:t>
      </w:r>
    </w:p>
    <w:p>
      <w:pPr>
        <w:tabs>
          <w:tab w:val="left" w:pos="1080"/>
        </w:tabs>
        <w:spacing w:line="480" w:lineRule="exact"/>
        <w:ind w:firstLine="480"/>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磋商</w:t>
      </w:r>
      <w:r>
        <w:rPr>
          <w:rFonts w:hint="eastAsia" w:ascii="仿宋" w:hAnsi="仿宋" w:eastAsia="仿宋"/>
          <w:b w:val="0"/>
          <w:color w:val="auto"/>
          <w:kern w:val="2"/>
          <w:sz w:val="24"/>
          <w:szCs w:val="24"/>
          <w:highlight w:val="none"/>
          <w:lang w:val="en-US"/>
        </w:rPr>
        <w:t>文件获取方式：</w:t>
      </w:r>
      <w:r>
        <w:rPr>
          <w:rFonts w:hint="eastAsia" w:ascii="仿宋" w:hAnsi="仿宋" w:eastAsia="仿宋"/>
          <w:b w:val="0"/>
          <w:color w:val="auto"/>
          <w:kern w:val="2"/>
          <w:sz w:val="24"/>
          <w:szCs w:val="24"/>
          <w:highlight w:val="none"/>
          <w:lang w:val="en-US" w:eastAsia="zh-CN"/>
        </w:rPr>
        <w:t>供应商</w:t>
      </w:r>
      <w:r>
        <w:rPr>
          <w:rFonts w:hint="eastAsia" w:ascii="仿宋" w:hAnsi="仿宋" w:eastAsia="仿宋"/>
          <w:b w:val="0"/>
          <w:color w:val="auto"/>
          <w:kern w:val="2"/>
          <w:sz w:val="24"/>
          <w:szCs w:val="24"/>
          <w:highlight w:val="none"/>
          <w:lang w:val="en-US"/>
        </w:rPr>
        <w:t>从“政府采购云平台”获取采购文件（网址：</w:t>
      </w:r>
      <w:r>
        <w:rPr>
          <w:rFonts w:ascii="仿宋" w:hAnsi="仿宋" w:eastAsia="仿宋"/>
          <w:b w:val="0"/>
          <w:color w:val="auto"/>
          <w:kern w:val="2"/>
          <w:sz w:val="24"/>
          <w:szCs w:val="24"/>
          <w:highlight w:val="none"/>
          <w:lang w:val="en-US"/>
        </w:rPr>
        <w:fldChar w:fldCharType="begin"/>
      </w:r>
      <w:r>
        <w:rPr>
          <w:rFonts w:ascii="仿宋" w:hAnsi="仿宋" w:eastAsia="仿宋"/>
          <w:b w:val="0"/>
          <w:color w:val="auto"/>
          <w:kern w:val="2"/>
          <w:sz w:val="24"/>
          <w:szCs w:val="24"/>
          <w:highlight w:val="none"/>
          <w:lang w:val="en-US"/>
        </w:rPr>
        <w:instrText xml:space="preserve"> HYPERLINK "https://www.zcygov.cn）项目采购—获取采购文件—申请获取采购文件。_x0005_" </w:instrText>
      </w:r>
      <w:r>
        <w:rPr>
          <w:rFonts w:ascii="仿宋" w:hAnsi="仿宋" w:eastAsia="仿宋"/>
          <w:b w:val="0"/>
          <w:color w:val="auto"/>
          <w:kern w:val="2"/>
          <w:sz w:val="24"/>
          <w:szCs w:val="24"/>
          <w:highlight w:val="none"/>
          <w:lang w:val="en-US"/>
        </w:rPr>
        <w:fldChar w:fldCharType="separate"/>
      </w:r>
      <w:r>
        <w:rPr>
          <w:rFonts w:hint="eastAsia" w:ascii="仿宋" w:hAnsi="仿宋" w:eastAsia="仿宋"/>
          <w:b w:val="0"/>
          <w:color w:val="auto"/>
          <w:kern w:val="2"/>
          <w:sz w:val="24"/>
          <w:szCs w:val="24"/>
          <w:highlight w:val="none"/>
          <w:lang w:val="en-US"/>
        </w:rPr>
        <w:t>https://www.zcygov.cn）。登录政府采购云平台—项目采购—获取采购文件—申请获取采购文件</w:t>
      </w:r>
      <w:r>
        <w:rPr>
          <w:rFonts w:hint="eastAsia" w:ascii="仿宋" w:hAnsi="仿宋" w:eastAsia="仿宋"/>
          <w:b w:val="0"/>
          <w:color w:val="auto"/>
          <w:kern w:val="2"/>
          <w:sz w:val="24"/>
          <w:szCs w:val="24"/>
          <w:highlight w:val="none"/>
          <w:lang w:val="en-US"/>
        </w:rPr>
        <w:fldChar w:fldCharType="end"/>
      </w:r>
      <w:r>
        <w:rPr>
          <w:rFonts w:hint="eastAsia" w:ascii="仿宋" w:hAnsi="仿宋" w:eastAsia="仿宋"/>
          <w:b w:val="0"/>
          <w:color w:val="auto"/>
          <w:kern w:val="2"/>
          <w:sz w:val="24"/>
          <w:szCs w:val="24"/>
          <w:highlight w:val="none"/>
          <w:lang w:val="en-US"/>
        </w:rPr>
        <w:t>。</w:t>
      </w:r>
    </w:p>
    <w:p>
      <w:pPr>
        <w:tabs>
          <w:tab w:val="left" w:pos="1080"/>
        </w:tabs>
        <w:spacing w:line="480" w:lineRule="exact"/>
        <w:ind w:firstLine="480"/>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rPr>
        <w:t>提示：</w:t>
      </w:r>
    </w:p>
    <w:p>
      <w:pPr>
        <w:tabs>
          <w:tab w:val="left" w:pos="1080"/>
        </w:tabs>
        <w:spacing w:line="480" w:lineRule="exact"/>
        <w:ind w:firstLine="480"/>
        <w:rPr>
          <w:rFonts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rPr>
        <w:t>（1）本项目</w:t>
      </w:r>
      <w:r>
        <w:rPr>
          <w:rFonts w:hint="eastAsia" w:ascii="仿宋" w:hAnsi="仿宋" w:eastAsia="仿宋"/>
          <w:b w:val="0"/>
          <w:color w:val="auto"/>
          <w:kern w:val="2"/>
          <w:sz w:val="24"/>
          <w:szCs w:val="24"/>
          <w:highlight w:val="none"/>
          <w:lang w:val="en-US" w:eastAsia="zh-CN"/>
        </w:rPr>
        <w:t>磋商</w:t>
      </w:r>
      <w:r>
        <w:rPr>
          <w:rFonts w:hint="eastAsia" w:ascii="仿宋" w:hAnsi="仿宋" w:eastAsia="仿宋"/>
          <w:b w:val="0"/>
          <w:color w:val="auto"/>
          <w:kern w:val="2"/>
          <w:sz w:val="24"/>
          <w:szCs w:val="24"/>
          <w:highlight w:val="none"/>
          <w:lang w:val="en-US"/>
        </w:rPr>
        <w:t>文件免费获取。</w:t>
      </w:r>
    </w:p>
    <w:p>
      <w:pPr>
        <w:spacing w:line="440" w:lineRule="exact"/>
        <w:ind w:firstLine="480" w:firstLineChars="200"/>
        <w:rPr>
          <w:rFonts w:ascii="仿宋" w:hAnsi="仿宋" w:eastAsia="仿宋"/>
          <w:color w:val="auto"/>
          <w:sz w:val="24"/>
          <w:highlight w:val="none"/>
        </w:rPr>
      </w:pPr>
      <w:r>
        <w:rPr>
          <w:rFonts w:hint="eastAsia" w:ascii="仿宋" w:hAnsi="仿宋" w:eastAsia="仿宋"/>
          <w:b w:val="0"/>
          <w:color w:val="auto"/>
          <w:kern w:val="2"/>
          <w:sz w:val="24"/>
          <w:szCs w:val="24"/>
          <w:highlight w:val="none"/>
          <w:lang w:val="en-US"/>
        </w:rPr>
        <w:t>（2）</w:t>
      </w:r>
      <w:r>
        <w:rPr>
          <w:rFonts w:hint="eastAsia" w:ascii="仿宋" w:hAnsi="仿宋" w:eastAsia="仿宋"/>
          <w:b w:val="0"/>
          <w:color w:val="auto"/>
          <w:kern w:val="2"/>
          <w:sz w:val="24"/>
          <w:szCs w:val="24"/>
          <w:highlight w:val="none"/>
          <w:lang w:val="en-US" w:eastAsia="zh-CN"/>
        </w:rPr>
        <w:t>供应商</w:t>
      </w:r>
      <w:r>
        <w:rPr>
          <w:rFonts w:hint="eastAsia" w:ascii="仿宋" w:hAnsi="仿宋" w:eastAsia="仿宋"/>
          <w:b w:val="0"/>
          <w:color w:val="auto"/>
          <w:kern w:val="2"/>
          <w:sz w:val="24"/>
          <w:szCs w:val="24"/>
          <w:highlight w:val="none"/>
          <w:lang w:val="en-US"/>
        </w:rPr>
        <w:t>只有在“政府采购云平台”完成获取</w:t>
      </w:r>
      <w:r>
        <w:rPr>
          <w:rFonts w:hint="eastAsia" w:ascii="仿宋" w:hAnsi="仿宋" w:eastAsia="仿宋"/>
          <w:b w:val="0"/>
          <w:color w:val="auto"/>
          <w:kern w:val="2"/>
          <w:sz w:val="24"/>
          <w:szCs w:val="24"/>
          <w:highlight w:val="none"/>
          <w:lang w:val="en-US" w:eastAsia="zh-CN"/>
        </w:rPr>
        <w:t>磋商</w:t>
      </w:r>
      <w:r>
        <w:rPr>
          <w:rFonts w:hint="eastAsia" w:ascii="仿宋" w:hAnsi="仿宋" w:eastAsia="仿宋"/>
          <w:b w:val="0"/>
          <w:color w:val="auto"/>
          <w:kern w:val="2"/>
          <w:sz w:val="24"/>
          <w:szCs w:val="24"/>
          <w:highlight w:val="none"/>
          <w:lang w:val="en-US"/>
        </w:rPr>
        <w:t>文件申请并下载</w:t>
      </w:r>
      <w:r>
        <w:rPr>
          <w:rFonts w:hint="eastAsia" w:ascii="仿宋" w:hAnsi="仿宋" w:eastAsia="仿宋"/>
          <w:b w:val="0"/>
          <w:color w:val="auto"/>
          <w:kern w:val="2"/>
          <w:sz w:val="24"/>
          <w:szCs w:val="24"/>
          <w:highlight w:val="none"/>
          <w:lang w:val="en-US" w:eastAsia="zh-CN"/>
        </w:rPr>
        <w:t>磋商</w:t>
      </w:r>
      <w:r>
        <w:rPr>
          <w:rFonts w:hint="eastAsia" w:ascii="仿宋" w:hAnsi="仿宋" w:eastAsia="仿宋"/>
          <w:b w:val="0"/>
          <w:color w:val="auto"/>
          <w:kern w:val="2"/>
          <w:sz w:val="24"/>
          <w:szCs w:val="24"/>
          <w:highlight w:val="none"/>
          <w:lang w:val="en-US"/>
        </w:rPr>
        <w:t>文件后才视作依法参与本项目。如未在“政府采购云平台”内完成相关流程，引起的</w:t>
      </w:r>
      <w:r>
        <w:rPr>
          <w:rFonts w:hint="eastAsia" w:ascii="仿宋" w:hAnsi="仿宋" w:eastAsia="仿宋"/>
          <w:b w:val="0"/>
          <w:color w:val="auto"/>
          <w:kern w:val="2"/>
          <w:sz w:val="24"/>
          <w:szCs w:val="24"/>
          <w:highlight w:val="none"/>
          <w:lang w:val="en-US" w:eastAsia="zh-CN"/>
        </w:rPr>
        <w:t>磋商</w:t>
      </w:r>
      <w:r>
        <w:rPr>
          <w:rFonts w:hint="eastAsia" w:ascii="仿宋" w:hAnsi="仿宋" w:eastAsia="仿宋"/>
          <w:b w:val="0"/>
          <w:color w:val="auto"/>
          <w:kern w:val="2"/>
          <w:sz w:val="24"/>
          <w:szCs w:val="24"/>
          <w:highlight w:val="none"/>
          <w:lang w:val="en-US"/>
        </w:rPr>
        <w:t>无效责任自负。</w:t>
      </w:r>
    </w:p>
    <w:p>
      <w:pPr>
        <w:spacing w:after="120" w:line="440" w:lineRule="exact"/>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九</w:t>
      </w:r>
      <w:r>
        <w:rPr>
          <w:rFonts w:ascii="仿宋" w:hAnsi="仿宋" w:eastAsia="仿宋"/>
          <w:b/>
          <w:color w:val="auto"/>
          <w:sz w:val="24"/>
          <w:highlight w:val="none"/>
        </w:rPr>
        <w:t>、供应商递交响应文件起止时间：</w:t>
      </w:r>
      <w:r>
        <w:rPr>
          <w:rFonts w:ascii="仿宋" w:hAnsi="仿宋" w:eastAsia="仿宋"/>
          <w:bCs/>
          <w:color w:val="auto"/>
          <w:sz w:val="24"/>
          <w:highlight w:val="none"/>
        </w:rPr>
        <w:t>202</w:t>
      </w:r>
      <w:r>
        <w:rPr>
          <w:rFonts w:hint="eastAsia" w:ascii="仿宋" w:hAnsi="仿宋" w:eastAsia="仿宋"/>
          <w:bCs/>
          <w:color w:val="auto"/>
          <w:sz w:val="24"/>
          <w:highlight w:val="none"/>
          <w:u w:val="single"/>
          <w:lang w:val="en-US" w:eastAsia="zh-CN"/>
        </w:rPr>
        <w:t>2</w:t>
      </w:r>
      <w:r>
        <w:rPr>
          <w:rFonts w:ascii="仿宋" w:hAnsi="仿宋" w:eastAsia="仿宋"/>
          <w:bCs/>
          <w:color w:val="auto"/>
          <w:sz w:val="24"/>
          <w:highlight w:val="none"/>
        </w:rPr>
        <w:t>年</w:t>
      </w:r>
      <w:r>
        <w:rPr>
          <w:rFonts w:hint="eastAsia" w:ascii="仿宋" w:hAnsi="仿宋" w:eastAsia="仿宋"/>
          <w:bCs/>
          <w:color w:val="auto"/>
          <w:sz w:val="24"/>
          <w:highlight w:val="none"/>
          <w:u w:val="single"/>
          <w:lang w:val="en-US" w:eastAsia="zh-CN"/>
        </w:rPr>
        <w:t>3</w:t>
      </w:r>
      <w:r>
        <w:rPr>
          <w:rFonts w:ascii="仿宋" w:hAnsi="仿宋" w:eastAsia="仿宋"/>
          <w:bCs/>
          <w:color w:val="auto"/>
          <w:sz w:val="24"/>
          <w:highlight w:val="none"/>
        </w:rPr>
        <w:t>月</w:t>
      </w:r>
      <w:r>
        <w:rPr>
          <w:rFonts w:hint="eastAsia" w:ascii="仿宋" w:hAnsi="仿宋" w:eastAsia="仿宋"/>
          <w:bCs/>
          <w:color w:val="auto"/>
          <w:sz w:val="24"/>
          <w:highlight w:val="none"/>
          <w:u w:val="single"/>
          <w:lang w:val="en-US" w:eastAsia="zh-CN"/>
        </w:rPr>
        <w:t>17</w:t>
      </w:r>
      <w:r>
        <w:rPr>
          <w:rFonts w:ascii="仿宋" w:hAnsi="仿宋" w:eastAsia="仿宋"/>
          <w:bCs/>
          <w:color w:val="auto"/>
          <w:sz w:val="24"/>
          <w:highlight w:val="none"/>
        </w:rPr>
        <w:t>日</w:t>
      </w:r>
      <w:r>
        <w:rPr>
          <w:rFonts w:hint="eastAsia" w:ascii="仿宋" w:hAnsi="仿宋" w:eastAsia="仿宋"/>
          <w:bCs/>
          <w:color w:val="auto"/>
          <w:sz w:val="24"/>
          <w:highlight w:val="none"/>
          <w:u w:val="single"/>
          <w:lang w:val="en-US" w:eastAsia="zh-CN"/>
        </w:rPr>
        <w:t>10</w:t>
      </w:r>
      <w:r>
        <w:rPr>
          <w:rFonts w:ascii="仿宋" w:hAnsi="仿宋" w:eastAsia="仿宋"/>
          <w:bCs/>
          <w:color w:val="auto"/>
          <w:sz w:val="24"/>
          <w:highlight w:val="none"/>
        </w:rPr>
        <w:t>:</w:t>
      </w:r>
      <w:r>
        <w:rPr>
          <w:rFonts w:hint="eastAsia" w:ascii="仿宋" w:hAnsi="仿宋" w:eastAsia="仿宋"/>
          <w:bCs/>
          <w:color w:val="auto"/>
          <w:sz w:val="24"/>
          <w:highlight w:val="none"/>
          <w:u w:val="single"/>
          <w:lang w:val="en-US" w:eastAsia="zh-CN"/>
        </w:rPr>
        <w:t>30</w:t>
      </w:r>
      <w:r>
        <w:rPr>
          <w:rFonts w:ascii="仿宋" w:hAnsi="仿宋" w:eastAsia="仿宋"/>
          <w:color w:val="auto"/>
          <w:sz w:val="24"/>
          <w:highlight w:val="none"/>
        </w:rPr>
        <w:t>至</w:t>
      </w:r>
      <w:r>
        <w:rPr>
          <w:rFonts w:ascii="仿宋" w:hAnsi="仿宋" w:eastAsia="仿宋"/>
          <w:bCs/>
          <w:color w:val="auto"/>
          <w:sz w:val="24"/>
          <w:highlight w:val="none"/>
        </w:rPr>
        <w:t>202</w:t>
      </w:r>
      <w:r>
        <w:rPr>
          <w:rFonts w:hint="eastAsia" w:ascii="仿宋" w:hAnsi="仿宋" w:eastAsia="仿宋"/>
          <w:bCs/>
          <w:color w:val="auto"/>
          <w:sz w:val="24"/>
          <w:highlight w:val="none"/>
          <w:u w:val="single"/>
          <w:lang w:val="en-US" w:eastAsia="zh-CN"/>
        </w:rPr>
        <w:t>2</w:t>
      </w:r>
      <w:r>
        <w:rPr>
          <w:rFonts w:ascii="仿宋" w:hAnsi="仿宋" w:eastAsia="仿宋"/>
          <w:bCs/>
          <w:color w:val="auto"/>
          <w:sz w:val="24"/>
          <w:highlight w:val="none"/>
        </w:rPr>
        <w:t>年</w:t>
      </w:r>
      <w:r>
        <w:rPr>
          <w:rFonts w:hint="eastAsia" w:ascii="仿宋" w:hAnsi="仿宋" w:eastAsia="仿宋"/>
          <w:bCs/>
          <w:color w:val="auto"/>
          <w:sz w:val="24"/>
          <w:highlight w:val="none"/>
          <w:u w:val="single"/>
          <w:lang w:val="en-US" w:eastAsia="zh-CN"/>
        </w:rPr>
        <w:t>3</w:t>
      </w:r>
      <w:r>
        <w:rPr>
          <w:rFonts w:ascii="仿宋" w:hAnsi="仿宋" w:eastAsia="仿宋"/>
          <w:bCs/>
          <w:color w:val="auto"/>
          <w:sz w:val="24"/>
          <w:highlight w:val="none"/>
        </w:rPr>
        <w:t>月</w:t>
      </w:r>
      <w:r>
        <w:rPr>
          <w:rFonts w:hint="eastAsia" w:ascii="仿宋" w:hAnsi="仿宋" w:eastAsia="仿宋"/>
          <w:bCs/>
          <w:color w:val="auto"/>
          <w:sz w:val="24"/>
          <w:highlight w:val="none"/>
          <w:u w:val="single"/>
          <w:lang w:val="en-US" w:eastAsia="zh-CN"/>
        </w:rPr>
        <w:t>17</w:t>
      </w:r>
      <w:r>
        <w:rPr>
          <w:rFonts w:ascii="仿宋" w:hAnsi="仿宋" w:eastAsia="仿宋"/>
          <w:bCs/>
          <w:color w:val="auto"/>
          <w:sz w:val="24"/>
          <w:highlight w:val="none"/>
        </w:rPr>
        <w:t>日</w:t>
      </w:r>
      <w:r>
        <w:rPr>
          <w:rFonts w:hint="eastAsia" w:ascii="仿宋" w:hAnsi="仿宋" w:eastAsia="仿宋"/>
          <w:bCs/>
          <w:color w:val="auto"/>
          <w:sz w:val="24"/>
          <w:highlight w:val="none"/>
          <w:u w:val="single"/>
          <w:lang w:val="en-US" w:eastAsia="zh-CN"/>
        </w:rPr>
        <w:t>11</w:t>
      </w:r>
      <w:r>
        <w:rPr>
          <w:rFonts w:ascii="仿宋" w:hAnsi="仿宋" w:eastAsia="仿宋"/>
          <w:bCs/>
          <w:color w:val="auto"/>
          <w:sz w:val="24"/>
          <w:highlight w:val="none"/>
        </w:rPr>
        <w:t>:</w:t>
      </w:r>
      <w:r>
        <w:rPr>
          <w:rFonts w:hint="eastAsia" w:ascii="仿宋" w:hAnsi="仿宋" w:eastAsia="仿宋"/>
          <w:bCs/>
          <w:color w:val="auto"/>
          <w:sz w:val="24"/>
          <w:highlight w:val="none"/>
          <w:u w:val="single"/>
          <w:lang w:val="en-US" w:eastAsia="zh-CN"/>
        </w:rPr>
        <w:t>00</w:t>
      </w:r>
      <w:r>
        <w:rPr>
          <w:rFonts w:ascii="仿宋" w:hAnsi="仿宋" w:eastAsia="仿宋"/>
          <w:color w:val="auto"/>
          <w:sz w:val="24"/>
          <w:highlight w:val="none"/>
        </w:rPr>
        <w:t>（北京时间）。</w:t>
      </w:r>
    </w:p>
    <w:p>
      <w:pPr>
        <w:spacing w:after="120" w:line="440" w:lineRule="exact"/>
        <w:ind w:firstLine="480" w:firstLineChars="200"/>
        <w:rPr>
          <w:rFonts w:ascii="仿宋" w:hAnsi="仿宋" w:eastAsia="仿宋"/>
          <w:color w:val="auto"/>
          <w:sz w:val="24"/>
          <w:highlight w:val="none"/>
        </w:rPr>
      </w:pPr>
      <w:r>
        <w:rPr>
          <w:rFonts w:hint="eastAsia" w:ascii="仿宋" w:hAnsi="仿宋" w:eastAsia="仿宋"/>
          <w:b/>
          <w:color w:val="auto"/>
          <w:sz w:val="24"/>
          <w:highlight w:val="none"/>
        </w:rPr>
        <w:t>十</w:t>
      </w:r>
      <w:r>
        <w:rPr>
          <w:rFonts w:ascii="仿宋" w:hAnsi="仿宋" w:eastAsia="仿宋"/>
          <w:b/>
          <w:color w:val="auto"/>
          <w:sz w:val="24"/>
          <w:highlight w:val="none"/>
        </w:rPr>
        <w:t>、递交响应文件地点：</w:t>
      </w:r>
      <w:r>
        <w:rPr>
          <w:rFonts w:ascii="仿宋" w:hAnsi="仿宋" w:eastAsia="仿宋"/>
          <w:color w:val="auto"/>
          <w:sz w:val="24"/>
          <w:highlight w:val="none"/>
        </w:rPr>
        <w:t>成都市高新区吉泰五路88号</w:t>
      </w:r>
      <w:r>
        <w:rPr>
          <w:rFonts w:hint="eastAsia" w:ascii="仿宋" w:hAnsi="仿宋" w:eastAsia="仿宋"/>
          <w:color w:val="auto"/>
          <w:sz w:val="24"/>
          <w:highlight w:val="none"/>
        </w:rPr>
        <w:t>（</w:t>
      </w:r>
      <w:r>
        <w:rPr>
          <w:rFonts w:ascii="仿宋" w:hAnsi="仿宋" w:eastAsia="仿宋"/>
          <w:color w:val="auto"/>
          <w:sz w:val="24"/>
          <w:highlight w:val="none"/>
        </w:rPr>
        <w:t>花样年·香年广场</w:t>
      </w:r>
      <w:r>
        <w:rPr>
          <w:rFonts w:hint="eastAsia" w:ascii="仿宋" w:hAnsi="仿宋" w:eastAsia="仿宋"/>
          <w:color w:val="auto"/>
          <w:sz w:val="24"/>
          <w:highlight w:val="none"/>
        </w:rPr>
        <w:t>）</w:t>
      </w:r>
      <w:r>
        <w:rPr>
          <w:rFonts w:ascii="仿宋" w:hAnsi="仿宋" w:eastAsia="仿宋"/>
          <w:color w:val="auto"/>
          <w:sz w:val="24"/>
          <w:highlight w:val="none"/>
        </w:rPr>
        <w:t>3栋16层开标厅。</w:t>
      </w:r>
    </w:p>
    <w:p>
      <w:pPr>
        <w:spacing w:after="12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响应文件必须在递交响应文件截止日期当日截止时间前送达递交响应文件地点。逾期送达、密封和标注错误的响应文件，采购人、采购代理机构恕不接收。</w:t>
      </w:r>
    </w:p>
    <w:p>
      <w:pPr>
        <w:spacing w:after="120" w:line="4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本次采购不接收邮寄的响应文件。</w:t>
      </w:r>
    </w:p>
    <w:p>
      <w:pPr>
        <w:spacing w:after="120" w:line="440" w:lineRule="exact"/>
        <w:ind w:firstLine="480" w:firstLineChars="200"/>
        <w:rPr>
          <w:rFonts w:ascii="仿宋" w:hAnsi="仿宋" w:eastAsia="仿宋"/>
          <w:color w:val="auto"/>
          <w:sz w:val="24"/>
          <w:highlight w:val="none"/>
        </w:rPr>
      </w:pPr>
      <w:r>
        <w:rPr>
          <w:rFonts w:ascii="仿宋" w:hAnsi="仿宋" w:eastAsia="仿宋"/>
          <w:b/>
          <w:color w:val="auto"/>
          <w:sz w:val="24"/>
          <w:highlight w:val="none"/>
        </w:rPr>
        <w:t>十</w:t>
      </w:r>
      <w:r>
        <w:rPr>
          <w:rFonts w:hint="eastAsia" w:ascii="仿宋" w:hAnsi="仿宋" w:eastAsia="仿宋"/>
          <w:b/>
          <w:color w:val="auto"/>
          <w:sz w:val="24"/>
          <w:highlight w:val="none"/>
        </w:rPr>
        <w:t>一</w:t>
      </w:r>
      <w:r>
        <w:rPr>
          <w:rFonts w:ascii="仿宋" w:hAnsi="仿宋" w:eastAsia="仿宋"/>
          <w:b/>
          <w:color w:val="auto"/>
          <w:sz w:val="24"/>
          <w:highlight w:val="none"/>
        </w:rPr>
        <w:t>、响应文件开启时间及地点：</w:t>
      </w:r>
      <w:r>
        <w:rPr>
          <w:rFonts w:ascii="仿宋" w:hAnsi="仿宋" w:eastAsia="仿宋"/>
          <w:bCs/>
          <w:color w:val="auto"/>
          <w:sz w:val="24"/>
          <w:highlight w:val="none"/>
        </w:rPr>
        <w:t>202</w:t>
      </w:r>
      <w:r>
        <w:rPr>
          <w:rFonts w:hint="eastAsia" w:ascii="仿宋" w:hAnsi="仿宋" w:eastAsia="仿宋"/>
          <w:bCs/>
          <w:color w:val="auto"/>
          <w:sz w:val="24"/>
          <w:highlight w:val="none"/>
          <w:u w:val="single"/>
          <w:lang w:val="en-US" w:eastAsia="zh-CN"/>
        </w:rPr>
        <w:t>2</w:t>
      </w:r>
      <w:r>
        <w:rPr>
          <w:rFonts w:ascii="仿宋" w:hAnsi="仿宋" w:eastAsia="仿宋"/>
          <w:bCs/>
          <w:color w:val="auto"/>
          <w:sz w:val="24"/>
          <w:highlight w:val="none"/>
        </w:rPr>
        <w:t>年</w:t>
      </w:r>
      <w:r>
        <w:rPr>
          <w:rFonts w:hint="eastAsia" w:ascii="仿宋" w:hAnsi="仿宋" w:eastAsia="仿宋"/>
          <w:bCs/>
          <w:color w:val="auto"/>
          <w:sz w:val="24"/>
          <w:highlight w:val="none"/>
          <w:u w:val="single"/>
          <w:lang w:val="en-US" w:eastAsia="zh-CN"/>
        </w:rPr>
        <w:t>3</w:t>
      </w:r>
      <w:r>
        <w:rPr>
          <w:rFonts w:ascii="仿宋" w:hAnsi="仿宋" w:eastAsia="仿宋"/>
          <w:bCs/>
          <w:color w:val="auto"/>
          <w:sz w:val="24"/>
          <w:highlight w:val="none"/>
        </w:rPr>
        <w:t>月</w:t>
      </w:r>
      <w:r>
        <w:rPr>
          <w:rFonts w:hint="eastAsia" w:ascii="仿宋" w:hAnsi="仿宋" w:eastAsia="仿宋"/>
          <w:bCs/>
          <w:color w:val="auto"/>
          <w:sz w:val="24"/>
          <w:highlight w:val="none"/>
          <w:u w:val="single"/>
          <w:lang w:val="en-US" w:eastAsia="zh-CN"/>
        </w:rPr>
        <w:t>17</w:t>
      </w:r>
      <w:r>
        <w:rPr>
          <w:rFonts w:ascii="仿宋" w:hAnsi="仿宋" w:eastAsia="仿宋"/>
          <w:bCs/>
          <w:color w:val="auto"/>
          <w:sz w:val="24"/>
          <w:highlight w:val="none"/>
        </w:rPr>
        <w:t>日</w:t>
      </w:r>
      <w:r>
        <w:rPr>
          <w:rFonts w:hint="eastAsia" w:ascii="仿宋" w:hAnsi="仿宋" w:eastAsia="仿宋"/>
          <w:bCs/>
          <w:color w:val="auto"/>
          <w:sz w:val="24"/>
          <w:highlight w:val="none"/>
          <w:u w:val="single"/>
          <w:lang w:val="en-US" w:eastAsia="zh-CN"/>
        </w:rPr>
        <w:t>11</w:t>
      </w:r>
      <w:r>
        <w:rPr>
          <w:rFonts w:ascii="仿宋" w:hAnsi="仿宋" w:eastAsia="仿宋"/>
          <w:bCs/>
          <w:color w:val="auto"/>
          <w:sz w:val="24"/>
          <w:highlight w:val="none"/>
        </w:rPr>
        <w:t>:</w:t>
      </w:r>
      <w:r>
        <w:rPr>
          <w:rFonts w:hint="eastAsia" w:ascii="仿宋" w:hAnsi="仿宋" w:eastAsia="仿宋"/>
          <w:bCs/>
          <w:color w:val="auto"/>
          <w:sz w:val="24"/>
          <w:highlight w:val="none"/>
          <w:u w:val="single"/>
          <w:lang w:val="en-US" w:eastAsia="zh-CN"/>
        </w:rPr>
        <w:t>00</w:t>
      </w:r>
      <w:r>
        <w:rPr>
          <w:rFonts w:ascii="仿宋" w:hAnsi="仿宋" w:eastAsia="仿宋"/>
          <w:color w:val="auto"/>
          <w:sz w:val="24"/>
          <w:highlight w:val="none"/>
        </w:rPr>
        <w:t>（北京时间）在磋商地点开启。</w:t>
      </w:r>
    </w:p>
    <w:p>
      <w:pPr>
        <w:spacing w:line="440" w:lineRule="exact"/>
        <w:ind w:firstLine="487" w:firstLineChars="203"/>
        <w:rPr>
          <w:rFonts w:ascii="仿宋" w:hAnsi="仿宋" w:eastAsia="仿宋"/>
          <w:color w:val="auto"/>
          <w:sz w:val="24"/>
          <w:highlight w:val="none"/>
        </w:rPr>
      </w:pPr>
      <w:r>
        <w:rPr>
          <w:rFonts w:ascii="仿宋" w:hAnsi="仿宋" w:eastAsia="仿宋"/>
          <w:b/>
          <w:color w:val="auto"/>
          <w:sz w:val="24"/>
          <w:highlight w:val="none"/>
        </w:rPr>
        <w:t>十</w:t>
      </w:r>
      <w:r>
        <w:rPr>
          <w:rFonts w:hint="eastAsia" w:ascii="仿宋" w:hAnsi="仿宋" w:eastAsia="仿宋"/>
          <w:b/>
          <w:color w:val="auto"/>
          <w:sz w:val="24"/>
          <w:highlight w:val="none"/>
        </w:rPr>
        <w:t>二</w:t>
      </w:r>
      <w:r>
        <w:rPr>
          <w:rFonts w:ascii="仿宋" w:hAnsi="仿宋" w:eastAsia="仿宋"/>
          <w:b/>
          <w:color w:val="auto"/>
          <w:sz w:val="24"/>
          <w:highlight w:val="none"/>
        </w:rPr>
        <w:t>、磋商地点：</w:t>
      </w:r>
      <w:r>
        <w:rPr>
          <w:rFonts w:ascii="仿宋" w:hAnsi="仿宋" w:eastAsia="仿宋"/>
          <w:color w:val="auto"/>
          <w:sz w:val="24"/>
          <w:highlight w:val="none"/>
        </w:rPr>
        <w:t>成都市高新区吉泰五路88号</w:t>
      </w:r>
      <w:r>
        <w:rPr>
          <w:rFonts w:hint="eastAsia" w:ascii="仿宋" w:hAnsi="仿宋" w:eastAsia="仿宋"/>
          <w:color w:val="auto"/>
          <w:sz w:val="24"/>
          <w:highlight w:val="none"/>
        </w:rPr>
        <w:t>（</w:t>
      </w:r>
      <w:r>
        <w:rPr>
          <w:rFonts w:ascii="仿宋" w:hAnsi="仿宋" w:eastAsia="仿宋"/>
          <w:color w:val="auto"/>
          <w:sz w:val="24"/>
          <w:highlight w:val="none"/>
        </w:rPr>
        <w:t>花样年·香年广场</w:t>
      </w:r>
      <w:r>
        <w:rPr>
          <w:rFonts w:hint="eastAsia" w:ascii="仿宋" w:hAnsi="仿宋" w:eastAsia="仿宋"/>
          <w:color w:val="auto"/>
          <w:sz w:val="24"/>
          <w:highlight w:val="none"/>
        </w:rPr>
        <w:t>）</w:t>
      </w:r>
      <w:r>
        <w:rPr>
          <w:rFonts w:ascii="仿宋" w:hAnsi="仿宋" w:eastAsia="仿宋"/>
          <w:color w:val="auto"/>
          <w:sz w:val="24"/>
          <w:highlight w:val="none"/>
        </w:rPr>
        <w:t>3栋16层。</w:t>
      </w:r>
    </w:p>
    <w:p>
      <w:pPr>
        <w:spacing w:line="440" w:lineRule="exact"/>
        <w:ind w:firstLine="487" w:firstLineChars="203"/>
        <w:rPr>
          <w:rFonts w:ascii="仿宋" w:hAnsi="仿宋" w:eastAsia="仿宋"/>
          <w:b/>
          <w:color w:val="auto"/>
          <w:sz w:val="24"/>
          <w:highlight w:val="none"/>
        </w:rPr>
      </w:pPr>
      <w:r>
        <w:rPr>
          <w:rFonts w:ascii="仿宋" w:hAnsi="仿宋" w:eastAsia="仿宋"/>
          <w:b/>
          <w:color w:val="auto"/>
          <w:sz w:val="24"/>
          <w:highlight w:val="none"/>
        </w:rPr>
        <w:t>十</w:t>
      </w:r>
      <w:r>
        <w:rPr>
          <w:rFonts w:hint="eastAsia" w:ascii="仿宋" w:hAnsi="仿宋" w:eastAsia="仿宋"/>
          <w:b/>
          <w:color w:val="auto"/>
          <w:sz w:val="24"/>
          <w:highlight w:val="none"/>
        </w:rPr>
        <w:t>三</w:t>
      </w:r>
      <w:r>
        <w:rPr>
          <w:rFonts w:ascii="仿宋" w:hAnsi="仿宋" w:eastAsia="仿宋"/>
          <w:b/>
          <w:color w:val="auto"/>
          <w:sz w:val="24"/>
          <w:highlight w:val="none"/>
        </w:rPr>
        <w:t>、本项目支持中小企业信用融资</w:t>
      </w:r>
      <w:r>
        <w:rPr>
          <w:rFonts w:hint="eastAsia" w:ascii="仿宋" w:hAnsi="仿宋" w:eastAsia="仿宋"/>
          <w:b/>
          <w:color w:val="auto"/>
          <w:sz w:val="24"/>
          <w:highlight w:val="none"/>
        </w:rPr>
        <w:t>（</w:t>
      </w:r>
      <w:r>
        <w:rPr>
          <w:rFonts w:ascii="仿宋" w:hAnsi="仿宋" w:eastAsia="仿宋"/>
          <w:b/>
          <w:color w:val="auto"/>
          <w:sz w:val="24"/>
          <w:highlight w:val="none"/>
        </w:rPr>
        <w:t>详见第二章磋商须知</w:t>
      </w:r>
      <w:r>
        <w:rPr>
          <w:rFonts w:hint="eastAsia" w:ascii="仿宋" w:hAnsi="仿宋" w:eastAsia="仿宋"/>
          <w:b/>
          <w:color w:val="auto"/>
          <w:sz w:val="24"/>
          <w:highlight w:val="none"/>
        </w:rPr>
        <w:t>）</w:t>
      </w:r>
      <w:r>
        <w:rPr>
          <w:rFonts w:ascii="仿宋" w:hAnsi="仿宋" w:eastAsia="仿宋"/>
          <w:b/>
          <w:color w:val="auto"/>
          <w:sz w:val="24"/>
          <w:highlight w:val="none"/>
        </w:rPr>
        <w:t>。</w:t>
      </w:r>
    </w:p>
    <w:p>
      <w:pPr>
        <w:spacing w:line="440" w:lineRule="exact"/>
        <w:ind w:firstLine="480" w:firstLineChars="200"/>
        <w:rPr>
          <w:rFonts w:ascii="仿宋" w:hAnsi="仿宋" w:eastAsia="仿宋"/>
          <w:b/>
          <w:color w:val="auto"/>
          <w:sz w:val="24"/>
          <w:highlight w:val="none"/>
        </w:rPr>
      </w:pPr>
      <w:r>
        <w:rPr>
          <w:rFonts w:ascii="仿宋" w:hAnsi="仿宋" w:eastAsia="仿宋"/>
          <w:b/>
          <w:color w:val="auto"/>
          <w:sz w:val="24"/>
          <w:highlight w:val="none"/>
        </w:rPr>
        <w:t>十</w:t>
      </w:r>
      <w:r>
        <w:rPr>
          <w:rFonts w:hint="eastAsia" w:ascii="仿宋" w:hAnsi="仿宋" w:eastAsia="仿宋"/>
          <w:b/>
          <w:color w:val="auto"/>
          <w:sz w:val="24"/>
          <w:highlight w:val="none"/>
        </w:rPr>
        <w:t>四</w:t>
      </w:r>
      <w:r>
        <w:rPr>
          <w:rFonts w:ascii="仿宋" w:hAnsi="仿宋" w:eastAsia="仿宋"/>
          <w:b/>
          <w:color w:val="auto"/>
          <w:sz w:val="24"/>
          <w:highlight w:val="none"/>
        </w:rPr>
        <w:t>、联系方式</w:t>
      </w:r>
    </w:p>
    <w:p>
      <w:pPr>
        <w:pStyle w:val="64"/>
        <w:ind w:firstLine="890" w:firstLineChars="371"/>
        <w:rPr>
          <w:rFonts w:hint="eastAsia" w:ascii="仿宋" w:hAnsi="仿宋" w:eastAsia="仿宋"/>
          <w:b/>
          <w:color w:val="auto"/>
          <w:sz w:val="24"/>
          <w:highlight w:val="none"/>
          <w:lang w:eastAsia="zh-CN"/>
        </w:rPr>
      </w:pPr>
      <w:r>
        <w:rPr>
          <w:rFonts w:ascii="仿宋" w:hAnsi="仿宋" w:eastAsia="仿宋"/>
          <w:b/>
          <w:color w:val="auto"/>
          <w:sz w:val="24"/>
          <w:highlight w:val="none"/>
        </w:rPr>
        <w:t>采 购 人：</w:t>
      </w:r>
      <w:r>
        <w:rPr>
          <w:rFonts w:hint="eastAsia" w:ascii="仿宋" w:hAnsi="仿宋" w:eastAsia="仿宋"/>
          <w:b/>
          <w:color w:val="auto"/>
          <w:sz w:val="24"/>
          <w:highlight w:val="none"/>
          <w:lang w:eastAsia="zh-CN"/>
        </w:rPr>
        <w:t>成都交响乐团</w:t>
      </w:r>
    </w:p>
    <w:p>
      <w:pPr>
        <w:pStyle w:val="64"/>
        <w:ind w:firstLine="1200" w:firstLineChars="500"/>
        <w:rPr>
          <w:rFonts w:hint="eastAsia" w:ascii="仿宋" w:hAnsi="仿宋" w:eastAsia="仿宋"/>
          <w:bCs/>
          <w:color w:val="auto"/>
          <w:sz w:val="24"/>
          <w:highlight w:val="none"/>
          <w:lang w:eastAsia="zh-CN"/>
        </w:rPr>
      </w:pPr>
      <w:r>
        <w:rPr>
          <w:rFonts w:ascii="仿宋" w:hAnsi="仿宋" w:eastAsia="仿宋"/>
          <w:bCs/>
          <w:color w:val="auto"/>
          <w:sz w:val="24"/>
          <w:highlight w:val="none"/>
        </w:rPr>
        <w:t>通讯地址：</w:t>
      </w:r>
      <w:r>
        <w:rPr>
          <w:rFonts w:hint="eastAsia" w:ascii="仿宋" w:hAnsi="仿宋" w:eastAsia="仿宋"/>
          <w:bCs/>
          <w:color w:val="auto"/>
          <w:sz w:val="24"/>
          <w:highlight w:val="none"/>
          <w:lang w:eastAsia="zh-CN"/>
        </w:rPr>
        <w:t>成都市金牛区露天音乐公园北门镜水琴台成都交响乐团临时办公</w:t>
      </w:r>
    </w:p>
    <w:p>
      <w:pPr>
        <w:pStyle w:val="64"/>
        <w:ind w:left="0" w:leftChars="0" w:firstLine="0" w:firstLineChars="0"/>
        <w:rPr>
          <w:rFonts w:ascii="仿宋" w:hAnsi="仿宋" w:eastAsia="仿宋"/>
          <w:bCs/>
          <w:color w:val="auto"/>
          <w:sz w:val="24"/>
          <w:highlight w:val="none"/>
        </w:rPr>
      </w:pPr>
      <w:r>
        <w:rPr>
          <w:rFonts w:hint="eastAsia" w:ascii="仿宋" w:hAnsi="仿宋" w:eastAsia="仿宋"/>
          <w:bCs/>
          <w:color w:val="auto"/>
          <w:sz w:val="24"/>
          <w:highlight w:val="none"/>
          <w:lang w:eastAsia="zh-CN"/>
        </w:rPr>
        <w:t>区</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联 系 人：</w:t>
      </w:r>
      <w:r>
        <w:rPr>
          <w:rFonts w:hint="eastAsia" w:ascii="仿宋" w:hAnsi="仿宋" w:eastAsia="仿宋"/>
          <w:color w:val="auto"/>
          <w:sz w:val="24"/>
          <w:highlight w:val="none"/>
          <w:lang w:eastAsia="zh-CN"/>
        </w:rPr>
        <w:t>蔡老师</w:t>
      </w:r>
      <w:r>
        <w:rPr>
          <w:rFonts w:ascii="仿宋" w:hAnsi="仿宋" w:eastAsia="仿宋"/>
          <w:color w:val="auto"/>
          <w:sz w:val="24"/>
          <w:highlight w:val="none"/>
        </w:rPr>
        <w:t xml:space="preserve"> </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电    话：</w:t>
      </w:r>
      <w:r>
        <w:rPr>
          <w:rFonts w:hint="eastAsia" w:ascii="仿宋" w:hAnsi="仿宋" w:eastAsia="仿宋"/>
          <w:color w:val="auto"/>
          <w:sz w:val="24"/>
          <w:highlight w:val="none"/>
        </w:rPr>
        <w:t>028-66323586</w:t>
      </w:r>
    </w:p>
    <w:p>
      <w:pPr>
        <w:pStyle w:val="64"/>
        <w:ind w:firstLine="890" w:firstLineChars="371"/>
        <w:rPr>
          <w:rFonts w:ascii="仿宋" w:hAnsi="仿宋" w:eastAsia="仿宋"/>
          <w:b/>
          <w:color w:val="auto"/>
          <w:sz w:val="24"/>
          <w:highlight w:val="none"/>
        </w:rPr>
      </w:pPr>
      <w:r>
        <w:rPr>
          <w:rFonts w:ascii="仿宋" w:hAnsi="仿宋" w:eastAsia="仿宋"/>
          <w:b/>
          <w:color w:val="auto"/>
          <w:sz w:val="24"/>
          <w:highlight w:val="none"/>
        </w:rPr>
        <w:t>采购代理机构：四川中志招标代理有限公司</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开户银行：中国建设银行成都市高新支行</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账    号：5100 1406 1370 5152 6738</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通讯地址：成都市高新区吉泰五路88号3栋7层1号</w:t>
      </w:r>
      <w:r>
        <w:rPr>
          <w:rFonts w:hint="eastAsia" w:ascii="仿宋" w:hAnsi="仿宋" w:eastAsia="仿宋"/>
          <w:color w:val="auto"/>
          <w:sz w:val="24"/>
          <w:highlight w:val="none"/>
        </w:rPr>
        <w:t>（</w:t>
      </w:r>
      <w:r>
        <w:rPr>
          <w:rFonts w:ascii="仿宋" w:hAnsi="仿宋" w:eastAsia="仿宋"/>
          <w:color w:val="auto"/>
          <w:sz w:val="24"/>
          <w:highlight w:val="none"/>
        </w:rPr>
        <w:t>花样年·香年广场</w:t>
      </w:r>
      <w:r>
        <w:rPr>
          <w:rFonts w:hint="eastAsia" w:ascii="仿宋" w:hAnsi="仿宋" w:eastAsia="仿宋"/>
          <w:color w:val="auto"/>
          <w:sz w:val="24"/>
          <w:highlight w:val="none"/>
        </w:rPr>
        <w:t>）</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联 系 人：</w:t>
      </w:r>
      <w:r>
        <w:rPr>
          <w:rFonts w:hint="eastAsia" w:ascii="仿宋" w:hAnsi="仿宋" w:eastAsia="仿宋"/>
          <w:color w:val="auto"/>
          <w:sz w:val="24"/>
          <w:highlight w:val="none"/>
          <w:lang w:eastAsia="zh-CN"/>
        </w:rPr>
        <w:t>李先生</w:t>
      </w:r>
      <w:r>
        <w:rPr>
          <w:rFonts w:ascii="仿宋" w:hAnsi="仿宋" w:eastAsia="仿宋"/>
          <w:color w:val="auto"/>
          <w:sz w:val="24"/>
          <w:highlight w:val="none"/>
        </w:rPr>
        <w:t xml:space="preserve"> </w:t>
      </w:r>
    </w:p>
    <w:p>
      <w:pPr>
        <w:spacing w:line="360" w:lineRule="auto"/>
        <w:ind w:firstLine="1164" w:firstLineChars="485"/>
        <w:rPr>
          <w:rFonts w:ascii="仿宋" w:hAnsi="仿宋" w:eastAsia="仿宋"/>
          <w:color w:val="auto"/>
          <w:sz w:val="24"/>
          <w:highlight w:val="none"/>
        </w:rPr>
      </w:pPr>
      <w:r>
        <w:rPr>
          <w:rFonts w:ascii="仿宋" w:hAnsi="仿宋" w:eastAsia="仿宋"/>
          <w:color w:val="auto"/>
          <w:sz w:val="24"/>
          <w:highlight w:val="none"/>
        </w:rPr>
        <w:t>电    话：028-87333799-0（报名相关事宜咨询）</w:t>
      </w:r>
    </w:p>
    <w:p>
      <w:pPr>
        <w:pStyle w:val="64"/>
        <w:ind w:firstLine="2400" w:firstLineChars="1000"/>
        <w:rPr>
          <w:rFonts w:ascii="仿宋" w:hAnsi="仿宋" w:eastAsia="仿宋"/>
          <w:color w:val="auto"/>
          <w:sz w:val="24"/>
          <w:highlight w:val="none"/>
        </w:rPr>
      </w:pPr>
      <w:r>
        <w:rPr>
          <w:rFonts w:ascii="仿宋" w:hAnsi="仿宋" w:eastAsia="仿宋"/>
          <w:color w:val="auto"/>
          <w:sz w:val="24"/>
          <w:highlight w:val="none"/>
        </w:rPr>
        <w:t>028-84510079-</w:t>
      </w:r>
      <w:r>
        <w:rPr>
          <w:rFonts w:hint="eastAsia" w:ascii="仿宋" w:hAnsi="仿宋" w:eastAsia="仿宋"/>
          <w:color w:val="auto"/>
          <w:sz w:val="24"/>
          <w:highlight w:val="none"/>
          <w:lang w:eastAsia="zh-CN"/>
        </w:rPr>
        <w:t>8014</w:t>
      </w:r>
      <w:r>
        <w:rPr>
          <w:rFonts w:ascii="仿宋" w:hAnsi="仿宋" w:eastAsia="仿宋"/>
          <w:color w:val="auto"/>
          <w:sz w:val="24"/>
          <w:highlight w:val="none"/>
        </w:rPr>
        <w:t>（采购项目相关事宜咨询）</w:t>
      </w:r>
    </w:p>
    <w:p>
      <w:pPr>
        <w:pStyle w:val="64"/>
        <w:ind w:firstLine="1200" w:firstLineChars="500"/>
        <w:rPr>
          <w:rFonts w:ascii="仿宋" w:hAnsi="仿宋" w:eastAsia="仿宋"/>
          <w:color w:val="auto"/>
          <w:sz w:val="24"/>
          <w:highlight w:val="none"/>
        </w:rPr>
      </w:pPr>
      <w:r>
        <w:rPr>
          <w:rFonts w:ascii="仿宋" w:hAnsi="仿宋" w:eastAsia="仿宋"/>
          <w:color w:val="auto"/>
          <w:sz w:val="24"/>
          <w:highlight w:val="none"/>
        </w:rPr>
        <w:t>电子邮件：sczz@sczz84510079.com</w:t>
      </w:r>
    </w:p>
    <w:p>
      <w:pPr>
        <w:spacing w:line="440" w:lineRule="exact"/>
        <w:ind w:right="420" w:rightChars="200" w:firstLine="480" w:firstLineChars="200"/>
        <w:rPr>
          <w:rFonts w:ascii="仿宋" w:hAnsi="仿宋" w:eastAsia="仿宋"/>
          <w:color w:val="auto"/>
          <w:sz w:val="24"/>
          <w:highlight w:val="none"/>
        </w:rPr>
      </w:pPr>
    </w:p>
    <w:p>
      <w:pPr>
        <w:pStyle w:val="30"/>
        <w:spacing w:before="0" w:beforeAutospacing="0" w:after="0" w:afterAutospacing="0" w:line="440" w:lineRule="exact"/>
        <w:ind w:firstLine="6840" w:firstLineChars="2850"/>
        <w:rPr>
          <w:rFonts w:ascii="仿宋" w:hAnsi="仿宋" w:eastAsia="仿宋"/>
          <w:color w:val="auto"/>
          <w:sz w:val="24"/>
          <w:szCs w:val="24"/>
          <w:highlight w:val="none"/>
        </w:rPr>
        <w:sectPr>
          <w:footerReference r:id="rId8" w:type="first"/>
          <w:footerReference r:id="rId7" w:type="default"/>
          <w:pgSz w:w="11907" w:h="16840"/>
          <w:pgMar w:top="1418" w:right="1134" w:bottom="1418" w:left="1701" w:header="850" w:footer="567" w:gutter="0"/>
          <w:pgNumType w:start="1"/>
          <w:cols w:space="720" w:num="1"/>
          <w:titlePg/>
          <w:docGrid w:type="linesAndChars" w:linePitch="312" w:charSpace="0"/>
        </w:sectPr>
      </w:pP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日</w:t>
      </w: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7" w:name="_Toc213396759"/>
      <w:bookmarkStart w:id="8" w:name="_Toc213397009"/>
      <w:bookmarkStart w:id="9" w:name="_Toc508714402"/>
      <w:bookmarkStart w:id="10" w:name="_Toc36820982"/>
      <w:bookmarkStart w:id="11" w:name="_Toc8639"/>
      <w:bookmarkStart w:id="12" w:name="_Toc213396945"/>
      <w:bookmarkStart w:id="13" w:name="_Toc213496267"/>
      <w:bookmarkStart w:id="14" w:name="_Toc217446031"/>
      <w:r>
        <w:rPr>
          <w:rFonts w:ascii="仿宋" w:hAnsi="仿宋" w:eastAsia="仿宋"/>
          <w:color w:val="auto"/>
          <w:sz w:val="32"/>
          <w:szCs w:val="32"/>
          <w:highlight w:val="none"/>
        </w:rPr>
        <w:t>第二章 磋商须知</w:t>
      </w:r>
      <w:bookmarkEnd w:id="7"/>
      <w:bookmarkEnd w:id="8"/>
      <w:bookmarkEnd w:id="9"/>
      <w:bookmarkEnd w:id="10"/>
      <w:bookmarkEnd w:id="11"/>
      <w:bookmarkEnd w:id="12"/>
      <w:bookmarkEnd w:id="13"/>
      <w:bookmarkEnd w:id="14"/>
    </w:p>
    <w:p>
      <w:pPr>
        <w:pStyle w:val="4"/>
        <w:keepNext w:val="0"/>
        <w:keepLines w:val="0"/>
        <w:adjustRightInd w:val="0"/>
        <w:snapToGrid w:val="0"/>
        <w:spacing w:before="156" w:beforeLines="50" w:after="156" w:afterLines="50" w:line="360" w:lineRule="auto"/>
        <w:jc w:val="center"/>
        <w:rPr>
          <w:rFonts w:ascii="仿宋" w:hAnsi="仿宋" w:eastAsia="仿宋"/>
          <w:color w:val="auto"/>
          <w:sz w:val="30"/>
          <w:szCs w:val="30"/>
          <w:highlight w:val="none"/>
        </w:rPr>
      </w:pPr>
      <w:bookmarkStart w:id="15" w:name="_Toc14473"/>
      <w:bookmarkStart w:id="16" w:name="_Toc36820983"/>
      <w:r>
        <w:rPr>
          <w:rFonts w:ascii="仿宋" w:hAnsi="仿宋" w:eastAsia="仿宋"/>
          <w:color w:val="auto"/>
          <w:sz w:val="30"/>
          <w:szCs w:val="30"/>
          <w:highlight w:val="none"/>
        </w:rPr>
        <w:t>一、供应商须知附表</w:t>
      </w:r>
      <w:bookmarkEnd w:id="15"/>
      <w:bookmarkEnd w:id="16"/>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938"/>
        <w:gridCol w:w="6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403" w:type="pct"/>
            <w:shd w:val="clear" w:color="auto" w:fill="DDDDDD"/>
            <w:noWrap w:val="0"/>
            <w:vAlign w:val="center"/>
          </w:tcPr>
          <w:p>
            <w:pPr>
              <w:spacing w:line="360" w:lineRule="auto"/>
              <w:jc w:val="center"/>
              <w:rPr>
                <w:rFonts w:ascii="仿宋" w:hAnsi="仿宋" w:eastAsia="仿宋"/>
                <w:b/>
                <w:color w:val="auto"/>
                <w:sz w:val="24"/>
                <w:highlight w:val="none"/>
              </w:rPr>
            </w:pPr>
            <w:r>
              <w:rPr>
                <w:rFonts w:ascii="仿宋" w:hAnsi="仿宋" w:eastAsia="仿宋"/>
                <w:b/>
                <w:color w:val="auto"/>
                <w:sz w:val="24"/>
                <w:highlight w:val="none"/>
                <w:lang w:val="zh-CN"/>
              </w:rPr>
              <w:t>序号</w:t>
            </w:r>
          </w:p>
        </w:tc>
        <w:tc>
          <w:tcPr>
            <w:tcW w:w="1043" w:type="pct"/>
            <w:shd w:val="clear" w:color="auto" w:fill="DDDDDD"/>
            <w:noWrap w:val="0"/>
            <w:vAlign w:val="center"/>
          </w:tcPr>
          <w:p>
            <w:pPr>
              <w:spacing w:line="360" w:lineRule="auto"/>
              <w:jc w:val="center"/>
              <w:rPr>
                <w:rFonts w:ascii="仿宋" w:hAnsi="仿宋" w:eastAsia="仿宋"/>
                <w:b/>
                <w:color w:val="auto"/>
                <w:sz w:val="24"/>
                <w:highlight w:val="none"/>
              </w:rPr>
            </w:pPr>
            <w:r>
              <w:rPr>
                <w:rFonts w:ascii="仿宋" w:hAnsi="仿宋" w:eastAsia="仿宋"/>
                <w:b/>
                <w:color w:val="auto"/>
                <w:sz w:val="24"/>
                <w:highlight w:val="none"/>
                <w:lang w:val="zh-CN"/>
              </w:rPr>
              <w:t>应知事项</w:t>
            </w:r>
          </w:p>
        </w:tc>
        <w:tc>
          <w:tcPr>
            <w:tcW w:w="3553" w:type="pct"/>
            <w:shd w:val="clear" w:color="auto" w:fill="DDDDDD"/>
            <w:noWrap w:val="0"/>
            <w:vAlign w:val="center"/>
          </w:tcPr>
          <w:p>
            <w:pPr>
              <w:spacing w:line="360" w:lineRule="auto"/>
              <w:jc w:val="center"/>
              <w:rPr>
                <w:rFonts w:ascii="仿宋" w:hAnsi="仿宋" w:eastAsia="仿宋"/>
                <w:b/>
                <w:color w:val="auto"/>
                <w:sz w:val="24"/>
                <w:highlight w:val="none"/>
              </w:rPr>
            </w:pPr>
            <w:r>
              <w:rPr>
                <w:rFonts w:ascii="仿宋" w:hAnsi="仿宋" w:eastAsia="仿宋"/>
                <w:b/>
                <w:color w:val="auto"/>
                <w:sz w:val="24"/>
                <w:highlight w:val="none"/>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确定邀请磋商的供应商数量和</w:t>
            </w:r>
          </w:p>
          <w:p>
            <w:pPr>
              <w:adjustRightInd w:val="0"/>
              <w:snapToGrid w:val="0"/>
              <w:spacing w:line="276" w:lineRule="auto"/>
              <w:jc w:val="center"/>
              <w:rPr>
                <w:rFonts w:ascii="仿宋" w:hAnsi="仿宋" w:eastAsia="仿宋"/>
                <w:color w:val="auto"/>
                <w:sz w:val="24"/>
                <w:highlight w:val="none"/>
              </w:rPr>
            </w:pPr>
            <w:r>
              <w:rPr>
                <w:rFonts w:ascii="仿宋" w:hAnsi="仿宋" w:eastAsia="仿宋"/>
                <w:color w:val="auto"/>
                <w:sz w:val="24"/>
                <w:highlight w:val="none"/>
                <w:lang w:val="zh-CN"/>
              </w:rPr>
              <w:t>方式</w:t>
            </w:r>
          </w:p>
        </w:tc>
        <w:tc>
          <w:tcPr>
            <w:tcW w:w="3553" w:type="pct"/>
            <w:noWrap w:val="0"/>
            <w:vAlign w:val="center"/>
          </w:tcPr>
          <w:p>
            <w:pPr>
              <w:pStyle w:val="62"/>
              <w:spacing w:line="360" w:lineRule="auto"/>
              <w:ind w:firstLine="240" w:firstLineChars="100"/>
              <w:rPr>
                <w:rFonts w:ascii="仿宋" w:hAnsi="仿宋" w:eastAsia="仿宋" w:cs="Times New Roman"/>
                <w:color w:val="auto"/>
                <w:highlight w:val="none"/>
                <w:lang w:val="zh-CN"/>
              </w:rPr>
            </w:pPr>
            <w:r>
              <w:rPr>
                <w:rFonts w:ascii="仿宋" w:hAnsi="仿宋" w:eastAsia="仿宋" w:cs="Times New Roman"/>
                <w:color w:val="auto"/>
                <w:highlight w:val="none"/>
                <w:lang w:val="zh-CN"/>
              </w:rPr>
              <w:t>本次磋商邀请的供应商数量：不少于3家，即首次递交响应文件的供应商不少于3家。</w:t>
            </w:r>
          </w:p>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本次邀请供应商参加磋商的方式：见第</w:t>
            </w:r>
            <w:r>
              <w:rPr>
                <w:rFonts w:hint="eastAsia" w:ascii="仿宋" w:hAnsi="仿宋" w:eastAsia="仿宋"/>
                <w:color w:val="auto"/>
                <w:sz w:val="24"/>
                <w:highlight w:val="none"/>
                <w:lang w:val="zh-CN"/>
              </w:rPr>
              <w:t>一</w:t>
            </w:r>
            <w:r>
              <w:rPr>
                <w:rFonts w:ascii="仿宋" w:hAnsi="仿宋" w:eastAsia="仿宋"/>
                <w:color w:val="auto"/>
                <w:sz w:val="24"/>
                <w:highlight w:val="none"/>
                <w:lang w:val="zh-CN"/>
              </w:rPr>
              <w:t>章磋商邀请。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restar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2</w:t>
            </w:r>
          </w:p>
        </w:tc>
        <w:tc>
          <w:tcPr>
            <w:tcW w:w="1043" w:type="pct"/>
            <w:noWrap w:val="0"/>
            <w:vAlign w:val="center"/>
          </w:tcPr>
          <w:p>
            <w:pPr>
              <w:adjustRightInd w:val="0"/>
              <w:snapToGrid w:val="0"/>
              <w:spacing w:line="276" w:lineRule="auto"/>
              <w:jc w:val="center"/>
              <w:rPr>
                <w:rFonts w:ascii="仿宋" w:hAnsi="仿宋" w:eastAsia="仿宋"/>
                <w:b w:val="0"/>
                <w:bCs w:val="0"/>
                <w:color w:val="auto"/>
                <w:sz w:val="24"/>
                <w:highlight w:val="none"/>
                <w:lang w:val="zh-CN"/>
              </w:rPr>
            </w:pPr>
            <w:r>
              <w:rPr>
                <w:rFonts w:ascii="仿宋" w:hAnsi="仿宋" w:eastAsia="仿宋"/>
                <w:b w:val="0"/>
                <w:bCs w:val="0"/>
                <w:color w:val="auto"/>
                <w:sz w:val="24"/>
                <w:highlight w:val="none"/>
                <w:lang w:val="zh-CN"/>
              </w:rPr>
              <w:t>采购预算</w:t>
            </w:r>
          </w:p>
        </w:tc>
        <w:tc>
          <w:tcPr>
            <w:tcW w:w="3553" w:type="pct"/>
            <w:noWrap w:val="0"/>
            <w:vAlign w:val="center"/>
          </w:tcPr>
          <w:p>
            <w:pPr>
              <w:spacing w:line="360" w:lineRule="auto"/>
              <w:ind w:firstLine="240" w:firstLineChars="100"/>
              <w:jc w:val="left"/>
              <w:rPr>
                <w:rFonts w:ascii="仿宋" w:hAnsi="仿宋" w:eastAsia="仿宋"/>
                <w:b w:val="0"/>
                <w:bCs w:val="0"/>
                <w:color w:val="auto"/>
                <w:sz w:val="24"/>
                <w:highlight w:val="none"/>
              </w:rPr>
            </w:pPr>
            <w:r>
              <w:rPr>
                <w:rFonts w:ascii="仿宋" w:hAnsi="仿宋" w:eastAsia="仿宋"/>
                <w:b w:val="0"/>
                <w:bCs w:val="0"/>
                <w:color w:val="auto"/>
                <w:sz w:val="24"/>
                <w:highlight w:val="none"/>
                <w:lang w:val="zh-CN"/>
              </w:rPr>
              <w:t>本项目备案号：</w:t>
            </w:r>
            <w:r>
              <w:rPr>
                <w:rFonts w:ascii="仿宋" w:hAnsi="仿宋" w:eastAsia="仿宋"/>
                <w:b w:val="0"/>
                <w:bCs w:val="0"/>
                <w:color w:val="auto"/>
                <w:sz w:val="24"/>
                <w:highlight w:val="none"/>
                <w:lang w:val="zh-CN" w:eastAsia="zh-CN"/>
              </w:rPr>
              <w:t>51010022210200001059</w:t>
            </w:r>
            <w:r>
              <w:rPr>
                <w:rFonts w:ascii="仿宋" w:hAnsi="仿宋" w:eastAsia="仿宋"/>
                <w:b w:val="0"/>
                <w:bCs w:val="0"/>
                <w:color w:val="auto"/>
                <w:sz w:val="24"/>
                <w:highlight w:val="none"/>
                <w:lang w:val="zh-CN"/>
              </w:rPr>
              <w:t>，采购预算品目为</w:t>
            </w:r>
            <w:r>
              <w:rPr>
                <w:rFonts w:ascii="仿宋" w:hAnsi="仿宋" w:eastAsia="仿宋"/>
                <w:b w:val="0"/>
                <w:bCs w:val="0"/>
                <w:color w:val="auto"/>
                <w:sz w:val="24"/>
                <w:highlight w:val="none"/>
                <w:lang w:val="zh-CN" w:eastAsia="zh-CN"/>
              </w:rPr>
              <w:t>C1202 房屋租赁服务</w:t>
            </w:r>
            <w:r>
              <w:rPr>
                <w:rFonts w:ascii="仿宋" w:hAnsi="仿宋" w:eastAsia="仿宋"/>
                <w:b w:val="0"/>
                <w:bCs w:val="0"/>
                <w:color w:val="auto"/>
                <w:sz w:val="24"/>
                <w:highlight w:val="none"/>
                <w:lang w:val="zh-CN"/>
              </w:rPr>
              <w:t>，预算金额为人民币</w:t>
            </w:r>
            <w:r>
              <w:rPr>
                <w:rFonts w:hint="eastAsia" w:ascii="仿宋" w:hAnsi="仿宋" w:eastAsia="仿宋"/>
                <w:b w:val="0"/>
                <w:bCs w:val="0"/>
                <w:color w:val="auto"/>
                <w:sz w:val="24"/>
                <w:highlight w:val="none"/>
                <w:u w:val="single"/>
                <w:lang w:val="en-US" w:eastAsia="zh-CN"/>
              </w:rPr>
              <w:t>247</w:t>
            </w:r>
            <w:r>
              <w:rPr>
                <w:rFonts w:ascii="仿宋" w:hAnsi="仿宋" w:eastAsia="仿宋"/>
                <w:b w:val="0"/>
                <w:bCs w:val="0"/>
                <w:color w:val="auto"/>
                <w:sz w:val="24"/>
                <w:highlight w:val="none"/>
                <w:lang w:val="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spacing w:line="360" w:lineRule="auto"/>
              <w:jc w:val="center"/>
              <w:rPr>
                <w:rFonts w:ascii="仿宋" w:hAnsi="仿宋" w:eastAsia="仿宋"/>
                <w:color w:val="auto"/>
                <w:sz w:val="24"/>
                <w:highlight w:val="none"/>
              </w:rPr>
            </w:pP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hint="eastAsia" w:ascii="仿宋" w:hAnsi="仿宋" w:eastAsia="仿宋"/>
                <w:color w:val="auto"/>
                <w:kern w:val="2"/>
                <w:sz w:val="24"/>
                <w:szCs w:val="24"/>
                <w:highlight w:val="none"/>
                <w:lang w:val="en-US" w:eastAsia="zh-CN"/>
              </w:rPr>
              <w:t>是否专门面向中小企业采购</w:t>
            </w:r>
          </w:p>
        </w:tc>
        <w:tc>
          <w:tcPr>
            <w:tcW w:w="3553" w:type="pct"/>
            <w:noWrap w:val="0"/>
            <w:vAlign w:val="center"/>
          </w:tcPr>
          <w:p>
            <w:pPr>
              <w:pStyle w:val="62"/>
              <w:spacing w:line="360" w:lineRule="auto"/>
              <w:ind w:firstLine="240" w:firstLineChars="100"/>
              <w:rPr>
                <w:rFonts w:hint="eastAsia" w:ascii="仿宋" w:hAnsi="仿宋" w:eastAsia="仿宋"/>
                <w:color w:val="auto"/>
                <w:highlight w:val="none"/>
                <w:lang w:val="zh-CN"/>
              </w:rPr>
            </w:pPr>
            <w:r>
              <w:rPr>
                <w:rFonts w:hint="eastAsia" w:ascii="仿宋" w:hAnsi="仿宋" w:eastAsia="仿宋" w:cs="Times New Roman"/>
                <w:color w:val="auto"/>
                <w:highlight w:val="none"/>
                <w:lang w:val="zh-CN"/>
              </w:rPr>
              <w:t>本项目专门面向中小企业采购。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spacing w:line="360" w:lineRule="auto"/>
              <w:jc w:val="center"/>
              <w:rPr>
                <w:rFonts w:ascii="仿宋" w:hAnsi="仿宋" w:eastAsia="仿宋"/>
                <w:color w:val="auto"/>
                <w:sz w:val="24"/>
                <w:highlight w:val="none"/>
              </w:rPr>
            </w:pPr>
          </w:p>
        </w:tc>
        <w:tc>
          <w:tcPr>
            <w:tcW w:w="1043" w:type="pct"/>
            <w:noWrap w:val="0"/>
            <w:vAlign w:val="center"/>
          </w:tcPr>
          <w:p>
            <w:pPr>
              <w:adjustRightInd w:val="0"/>
              <w:snapToGrid w:val="0"/>
              <w:spacing w:line="276" w:lineRule="auto"/>
              <w:jc w:val="center"/>
              <w:rPr>
                <w:rFonts w:hint="eastAsia" w:ascii="仿宋" w:hAnsi="仿宋" w:eastAsia="仿宋"/>
                <w:color w:val="auto"/>
                <w:highlight w:val="none"/>
                <w:lang w:val="zh-CN"/>
              </w:rPr>
            </w:pPr>
            <w:r>
              <w:rPr>
                <w:rFonts w:hint="eastAsia" w:ascii="仿宋" w:hAnsi="仿宋" w:eastAsia="仿宋" w:cs="仿宋"/>
                <w:color w:val="auto"/>
                <w:sz w:val="24"/>
                <w:highlight w:val="none"/>
                <w:lang w:val="zh-CN"/>
              </w:rPr>
              <w:t>采购标的对应的中小企业划分标准所属行业</w:t>
            </w:r>
          </w:p>
        </w:tc>
        <w:tc>
          <w:tcPr>
            <w:tcW w:w="3553" w:type="pct"/>
            <w:noWrap w:val="0"/>
            <w:vAlign w:val="center"/>
          </w:tcPr>
          <w:p>
            <w:pPr>
              <w:adjustRightInd w:val="0"/>
              <w:spacing w:line="400" w:lineRule="exact"/>
              <w:ind w:right="31" w:rightChars="15" w:firstLine="240" w:firstLineChars="100"/>
              <w:rPr>
                <w:rFonts w:hint="eastAsia" w:ascii="仿宋" w:hAnsi="仿宋" w:eastAsia="仿宋"/>
                <w:color w:val="auto"/>
                <w:highlight w:val="none"/>
                <w:lang w:val="zh-CN"/>
              </w:rPr>
            </w:pPr>
            <w:r>
              <w:rPr>
                <w:rFonts w:hint="eastAsia" w:ascii="仿宋" w:hAnsi="仿宋" w:eastAsia="仿宋" w:cs="仿宋"/>
                <w:bCs/>
                <w:color w:val="auto"/>
                <w:sz w:val="24"/>
                <w:highlight w:val="none"/>
              </w:rPr>
              <w:t>标的物：</w:t>
            </w:r>
            <w:r>
              <w:rPr>
                <w:rFonts w:hint="eastAsia" w:ascii="仿宋" w:hAnsi="仿宋" w:eastAsia="仿宋"/>
                <w:bCs/>
                <w:color w:val="auto"/>
                <w:sz w:val="24"/>
                <w:highlight w:val="none"/>
                <w:lang w:eastAsia="zh-CN"/>
              </w:rPr>
              <w:t>2022年成都交响乐团音乐季3-12月演出及排练场地租赁服务</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属于租赁和商务服务业；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3</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最高限价</w:t>
            </w:r>
          </w:p>
        </w:tc>
        <w:tc>
          <w:tcPr>
            <w:tcW w:w="3553" w:type="pct"/>
            <w:noWrap w:val="0"/>
            <w:vAlign w:val="center"/>
          </w:tcPr>
          <w:p>
            <w:pPr>
              <w:autoSpaceDE w:val="0"/>
              <w:autoSpaceDN w:val="0"/>
              <w:adjustRightInd w:val="0"/>
              <w:spacing w:line="440" w:lineRule="exact"/>
              <w:ind w:firstLine="240" w:firstLineChars="100"/>
              <w:jc w:val="left"/>
              <w:rPr>
                <w:rFonts w:ascii="仿宋" w:hAnsi="仿宋" w:eastAsia="仿宋"/>
                <w:color w:val="auto"/>
                <w:sz w:val="24"/>
                <w:highlight w:val="none"/>
              </w:rPr>
            </w:pPr>
            <w:r>
              <w:rPr>
                <w:rFonts w:ascii="仿宋" w:hAnsi="仿宋" w:eastAsia="仿宋"/>
                <w:color w:val="auto"/>
                <w:kern w:val="0"/>
                <w:sz w:val="24"/>
                <w:highlight w:val="none"/>
                <w:lang w:val="zh-CN"/>
              </w:rPr>
              <w:t>本项目最高限价为人民币</w:t>
            </w:r>
            <w:r>
              <w:rPr>
                <w:rFonts w:ascii="仿宋" w:hAnsi="仿宋" w:eastAsia="仿宋"/>
                <w:color w:val="auto"/>
                <w:kern w:val="0"/>
                <w:sz w:val="24"/>
                <w:highlight w:val="none"/>
                <w:lang w:val="zh-CN" w:eastAsia="zh-CN"/>
              </w:rPr>
              <w:t>247</w:t>
            </w:r>
            <w:r>
              <w:rPr>
                <w:rFonts w:ascii="仿宋" w:hAnsi="仿宋" w:eastAsia="仿宋"/>
                <w:color w:val="auto"/>
                <w:kern w:val="0"/>
                <w:sz w:val="24"/>
                <w:highlight w:val="none"/>
                <w:lang w:val="zh-CN"/>
              </w:rPr>
              <w:t>万元（大写：</w:t>
            </w:r>
            <w:r>
              <w:rPr>
                <w:rFonts w:hint="eastAsia" w:ascii="仿宋" w:hAnsi="仿宋" w:eastAsia="仿宋"/>
                <w:color w:val="auto"/>
                <w:kern w:val="0"/>
                <w:sz w:val="24"/>
                <w:highlight w:val="none"/>
                <w:u w:val="single"/>
                <w:lang w:val="zh-CN"/>
              </w:rPr>
              <w:t>贰佰肆拾柒万</w:t>
            </w:r>
            <w:r>
              <w:rPr>
                <w:rFonts w:ascii="仿宋" w:hAnsi="仿宋" w:eastAsia="仿宋"/>
                <w:color w:val="auto"/>
                <w:kern w:val="0"/>
                <w:sz w:val="24"/>
                <w:highlight w:val="none"/>
                <w:lang w:val="zh-CN"/>
              </w:rPr>
              <w:t>元整），</w:t>
            </w:r>
            <w:r>
              <w:rPr>
                <w:rFonts w:hint="eastAsia" w:ascii="仿宋" w:hAnsi="仿宋" w:eastAsia="仿宋"/>
                <w:color w:val="auto"/>
                <w:kern w:val="0"/>
                <w:sz w:val="24"/>
                <w:highlight w:val="none"/>
                <w:lang w:val="zh-CN"/>
              </w:rPr>
              <w:t>供应商最后报价超过本项目最高限价的，其响应文件作为无效处理</w:t>
            </w:r>
            <w:r>
              <w:rPr>
                <w:rFonts w:ascii="仿宋" w:hAnsi="仿宋" w:eastAsia="仿宋"/>
                <w:color w:val="auto"/>
                <w:kern w:val="0"/>
                <w:sz w:val="24"/>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4</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低于成本价</w:t>
            </w:r>
          </w:p>
          <w:p>
            <w:pPr>
              <w:adjustRightInd w:val="0"/>
              <w:snapToGrid w:val="0"/>
              <w:spacing w:line="276" w:lineRule="auto"/>
              <w:jc w:val="center"/>
              <w:rPr>
                <w:rFonts w:ascii="仿宋" w:hAnsi="仿宋" w:eastAsia="仿宋"/>
                <w:color w:val="auto"/>
                <w:highlight w:val="none"/>
              </w:rPr>
            </w:pPr>
            <w:r>
              <w:rPr>
                <w:rFonts w:ascii="仿宋" w:hAnsi="仿宋" w:eastAsia="仿宋"/>
                <w:color w:val="auto"/>
                <w:sz w:val="24"/>
                <w:highlight w:val="none"/>
                <w:lang w:val="zh-CN"/>
              </w:rPr>
              <w:t>不正当竞争预防措施</w:t>
            </w:r>
          </w:p>
        </w:tc>
        <w:tc>
          <w:tcPr>
            <w:tcW w:w="3553" w:type="pct"/>
            <w:noWrap w:val="0"/>
            <w:vAlign w:val="center"/>
          </w:tcPr>
          <w:p>
            <w:pPr>
              <w:pStyle w:val="62"/>
              <w:spacing w:line="360" w:lineRule="auto"/>
              <w:ind w:firstLine="240" w:firstLineChars="100"/>
              <w:jc w:val="both"/>
              <w:rPr>
                <w:rFonts w:ascii="仿宋" w:hAnsi="仿宋" w:eastAsia="仿宋" w:cs="Times New Roman"/>
                <w:color w:val="auto"/>
                <w:highlight w:val="none"/>
              </w:rPr>
            </w:pPr>
            <w:r>
              <w:rPr>
                <w:rFonts w:ascii="仿宋" w:hAnsi="仿宋" w:eastAsia="仿宋" w:cs="Times New Roman"/>
                <w:color w:val="auto"/>
                <w:highlight w:val="none"/>
              </w:rPr>
              <w:t>1．在评审过程中，供应商最后报价明显低于其他有效供应商最后报价的，有可能影响产品质量或者不能诚信履约的，磋商小组应当要求其在磋商现场合理的时间内提供书面说明，并提交相关证明材料。</w:t>
            </w:r>
          </w:p>
          <w:p>
            <w:pPr>
              <w:pStyle w:val="62"/>
              <w:spacing w:line="360" w:lineRule="auto"/>
              <w:ind w:firstLine="240" w:firstLineChars="100"/>
              <w:jc w:val="both"/>
              <w:rPr>
                <w:rFonts w:ascii="仿宋" w:hAnsi="仿宋" w:eastAsia="仿宋" w:cs="Times New Roman"/>
                <w:color w:val="auto"/>
                <w:highlight w:val="none"/>
              </w:rPr>
            </w:pPr>
            <w:r>
              <w:rPr>
                <w:rFonts w:ascii="仿宋" w:hAnsi="仿宋" w:eastAsia="仿宋" w:cs="Times New Roman"/>
                <w:color w:val="auto"/>
                <w:highlight w:val="none"/>
              </w:rPr>
              <w:t>供应商的书面说明材料应当按照国家财务会计制度的规定要求，逐项就供应商提供的货物、工程或服务的主营业务成本、税金及附加、销售费用、管理费用、财务费用等成本构成事项详细陈述。</w:t>
            </w:r>
          </w:p>
          <w:p>
            <w:pPr>
              <w:spacing w:line="360" w:lineRule="auto"/>
              <w:ind w:right="105" w:rightChars="50" w:firstLine="240" w:firstLineChars="100"/>
              <w:rPr>
                <w:rFonts w:ascii="仿宋" w:hAnsi="仿宋" w:eastAsia="仿宋"/>
                <w:color w:val="auto"/>
                <w:sz w:val="24"/>
                <w:highlight w:val="none"/>
              </w:rPr>
            </w:pPr>
            <w:r>
              <w:rPr>
                <w:rFonts w:ascii="仿宋" w:hAnsi="仿宋" w:eastAsia="仿宋"/>
                <w:color w:val="auto"/>
                <w:sz w:val="24"/>
                <w:highlight w:val="none"/>
              </w:rPr>
              <w:t>2．供应商书面说明应当签字确认或者加盖公章，否则无效。书面说明的签字确认，供应商为法人的，由其法定代表人或者代理人签字确认；供应商为其他组织的，由其负责人或者代理人签字确认；供应商为自然人的，由其本人</w:t>
            </w:r>
            <w:r>
              <w:rPr>
                <w:rFonts w:hint="eastAsia" w:ascii="仿宋" w:hAnsi="仿宋" w:eastAsia="仿宋"/>
                <w:color w:val="auto"/>
                <w:sz w:val="24"/>
                <w:highlight w:val="none"/>
              </w:rPr>
              <w:t>（经营者）</w:t>
            </w:r>
            <w:r>
              <w:rPr>
                <w:rFonts w:ascii="仿宋" w:hAnsi="仿宋" w:eastAsia="仿宋"/>
                <w:color w:val="auto"/>
                <w:sz w:val="24"/>
                <w:highlight w:val="none"/>
              </w:rPr>
              <w:t>或者代理人签字确认。</w:t>
            </w:r>
          </w:p>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5</w:t>
            </w:r>
          </w:p>
        </w:tc>
        <w:tc>
          <w:tcPr>
            <w:tcW w:w="1043" w:type="pct"/>
            <w:noWrap w:val="0"/>
            <w:vAlign w:val="center"/>
          </w:tcPr>
          <w:p>
            <w:pPr>
              <w:adjustRightInd w:val="0"/>
              <w:snapToGrid w:val="0"/>
              <w:spacing w:line="276" w:lineRule="auto"/>
              <w:jc w:val="center"/>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小微企业（监狱企业、残疾人福利性单位视同小微企业）价格</w:t>
            </w:r>
          </w:p>
          <w:p>
            <w:pPr>
              <w:adjustRightInd w:val="0"/>
              <w:snapToGrid w:val="0"/>
              <w:spacing w:line="276" w:lineRule="auto"/>
              <w:jc w:val="center"/>
              <w:rPr>
                <w:rFonts w:ascii="仿宋" w:hAnsi="仿宋" w:eastAsia="仿宋"/>
                <w:color w:val="auto"/>
                <w:sz w:val="24"/>
                <w:highlight w:val="none"/>
              </w:rPr>
            </w:pPr>
            <w:r>
              <w:rPr>
                <w:rFonts w:hint="eastAsia" w:ascii="仿宋" w:hAnsi="仿宋" w:eastAsia="仿宋"/>
                <w:color w:val="auto"/>
                <w:sz w:val="24"/>
                <w:highlight w:val="none"/>
                <w:lang w:val="zh-CN"/>
              </w:rPr>
              <w:t>扣除</w:t>
            </w:r>
          </w:p>
        </w:tc>
        <w:tc>
          <w:tcPr>
            <w:tcW w:w="3553" w:type="pct"/>
            <w:noWrap w:val="0"/>
            <w:vAlign w:val="center"/>
          </w:tcPr>
          <w:p>
            <w:pPr>
              <w:widowControl/>
              <w:adjustRightInd w:val="0"/>
              <w:snapToGrid w:val="0"/>
              <w:spacing w:line="400" w:lineRule="exact"/>
              <w:ind w:firstLine="235" w:firstLineChars="98"/>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小微企业（监狱企业、残疾人福利性单位视同小微企业）价格扣除</w:t>
            </w:r>
          </w:p>
          <w:p>
            <w:pPr>
              <w:widowControl/>
              <w:adjustRightInd w:val="0"/>
              <w:snapToGrid w:val="0"/>
              <w:spacing w:line="400" w:lineRule="exact"/>
              <w:ind w:firstLine="240" w:firstLineChars="100"/>
              <w:rPr>
                <w:rFonts w:hint="eastAsia" w:ascii="仿宋" w:hAnsi="仿宋" w:eastAsia="仿宋" w:cs="宋体"/>
                <w:bCs/>
                <w:color w:val="auto"/>
                <w:sz w:val="24"/>
                <w:highlight w:val="none"/>
              </w:rPr>
            </w:pPr>
            <w:r>
              <w:rPr>
                <w:rFonts w:hint="eastAsia" w:ascii="仿宋" w:hAnsi="仿宋" w:eastAsia="仿宋" w:cs="宋体"/>
                <w:bCs/>
                <w:color w:val="auto"/>
                <w:sz w:val="24"/>
                <w:highlight w:val="none"/>
              </w:rPr>
              <w:t>本项目专门面向中小企业，不进行价格扣除。</w:t>
            </w:r>
          </w:p>
          <w:p>
            <w:pPr>
              <w:widowControl/>
              <w:adjustRightInd w:val="0"/>
              <w:snapToGrid w:val="0"/>
              <w:spacing w:line="400" w:lineRule="exact"/>
              <w:ind w:firstLine="240" w:firstLineChars="100"/>
              <w:rPr>
                <w:rFonts w:ascii="仿宋" w:hAnsi="仿宋" w:eastAsia="仿宋"/>
                <w:color w:val="auto"/>
                <w:sz w:val="24"/>
                <w:highlight w:val="none"/>
              </w:rPr>
            </w:pPr>
            <w:r>
              <w:rPr>
                <w:rFonts w:hint="eastAsia" w:ascii="仿宋" w:hAnsi="仿宋" w:eastAsia="仿宋" w:cs="宋体"/>
                <w:bCs/>
                <w:color w:val="auto"/>
                <w:sz w:val="24"/>
                <w:highlight w:val="none"/>
              </w:rPr>
              <w:t>注：中小企业划分标准依据《工业和信息化部、国家统计局、国家发展和改革委员会、财政部关于印发中小企业划型标准规定的通知》（工信部联企业〔2011〕300号）规定。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6</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进口产品</w:t>
            </w:r>
          </w:p>
        </w:tc>
        <w:tc>
          <w:tcPr>
            <w:tcW w:w="3553" w:type="pct"/>
            <w:noWrap w:val="0"/>
            <w:vAlign w:val="center"/>
          </w:tcPr>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本项目为服务类采购项目，不涉及进口产品采购。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restar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7</w:t>
            </w:r>
          </w:p>
        </w:tc>
        <w:tc>
          <w:tcPr>
            <w:tcW w:w="1043" w:type="pct"/>
            <w:vMerge w:val="restar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国家规定的优先、强制采购</w:t>
            </w:r>
          </w:p>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范围</w:t>
            </w:r>
          </w:p>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（节能、环保）</w:t>
            </w:r>
          </w:p>
        </w:tc>
        <w:tc>
          <w:tcPr>
            <w:tcW w:w="3553" w:type="pct"/>
            <w:noWrap w:val="0"/>
            <w:vAlign w:val="center"/>
          </w:tcPr>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本项目为服务类采购项目，不涉及国家规定的强制采购产品范围</w:t>
            </w:r>
            <w:r>
              <w:rPr>
                <w:rFonts w:ascii="仿宋" w:hAnsi="仿宋" w:eastAsia="仿宋"/>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Merge w:val="continue"/>
            <w:noWrap w:val="0"/>
            <w:vAlign w:val="center"/>
          </w:tcPr>
          <w:p>
            <w:pPr>
              <w:spacing w:line="360" w:lineRule="auto"/>
              <w:jc w:val="center"/>
              <w:rPr>
                <w:rFonts w:ascii="仿宋" w:hAnsi="仿宋" w:eastAsia="仿宋"/>
                <w:color w:val="auto"/>
                <w:sz w:val="24"/>
                <w:highlight w:val="none"/>
              </w:rPr>
            </w:pPr>
          </w:p>
        </w:tc>
        <w:tc>
          <w:tcPr>
            <w:tcW w:w="1043" w:type="pct"/>
            <w:vMerge w:val="continue"/>
            <w:noWrap w:val="0"/>
            <w:vAlign w:val="center"/>
          </w:tcPr>
          <w:p>
            <w:pPr>
              <w:spacing w:line="360" w:lineRule="auto"/>
              <w:jc w:val="center"/>
              <w:rPr>
                <w:rFonts w:ascii="仿宋" w:hAnsi="仿宋" w:eastAsia="仿宋"/>
                <w:color w:val="auto"/>
                <w:sz w:val="24"/>
                <w:highlight w:val="none"/>
              </w:rPr>
            </w:pPr>
          </w:p>
        </w:tc>
        <w:tc>
          <w:tcPr>
            <w:tcW w:w="3553" w:type="pct"/>
            <w:noWrap w:val="0"/>
            <w:vAlign w:val="center"/>
          </w:tcPr>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本项目为服务类采购项目，不涉及国家规定的优先采购产品范围</w:t>
            </w:r>
            <w:r>
              <w:rPr>
                <w:rFonts w:ascii="仿宋" w:hAnsi="仿宋" w:eastAsia="仿宋"/>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履约保证金</w:t>
            </w:r>
          </w:p>
        </w:tc>
        <w:tc>
          <w:tcPr>
            <w:tcW w:w="3553" w:type="pct"/>
            <w:noWrap w:val="0"/>
            <w:vAlign w:val="center"/>
          </w:tcPr>
          <w:p>
            <w:pPr>
              <w:spacing w:line="360" w:lineRule="auto"/>
              <w:ind w:firstLine="240" w:firstLineChars="100"/>
              <w:jc w:val="left"/>
              <w:rPr>
                <w:rFonts w:ascii="仿宋" w:hAnsi="仿宋" w:eastAsia="仿宋"/>
                <w:color w:val="auto"/>
                <w:sz w:val="24"/>
                <w:highlight w:val="none"/>
              </w:rPr>
            </w:pPr>
            <w:r>
              <w:rPr>
                <w:rFonts w:hint="eastAsia" w:ascii="仿宋" w:hAnsi="仿宋" w:eastAsia="仿宋" w:cs="宋体"/>
                <w:color w:val="auto"/>
                <w:kern w:val="0"/>
                <w:sz w:val="24"/>
                <w:highlight w:val="none"/>
              </w:rPr>
              <w:t>本项目不作要求。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rPr>
            </w:pPr>
            <w:r>
              <w:rPr>
                <w:rFonts w:ascii="仿宋" w:hAnsi="仿宋" w:eastAsia="仿宋"/>
                <w:color w:val="auto"/>
                <w:sz w:val="24"/>
                <w:highlight w:val="none"/>
                <w:lang w:val="zh-CN"/>
              </w:rPr>
              <w:t>磋商文件咨询、磋商过程、结果工作咨询</w:t>
            </w:r>
          </w:p>
        </w:tc>
        <w:tc>
          <w:tcPr>
            <w:tcW w:w="3553" w:type="pct"/>
            <w:noWrap w:val="0"/>
            <w:vAlign w:val="center"/>
          </w:tcPr>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联系人、联系电话：详见第一章磋商邀请中的采购代理机构联系方式。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供应商询问</w:t>
            </w:r>
          </w:p>
        </w:tc>
        <w:tc>
          <w:tcPr>
            <w:tcW w:w="3553" w:type="pct"/>
            <w:noWrap w:val="0"/>
            <w:vAlign w:val="center"/>
          </w:tcPr>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对磋商文件、磋商过程、磋商结果的询问向采购人或采购代理机构提出，并由采购人按相关规定作出答复或采购代理机构在委托授权范围内作出答复。</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询问可以采取书面形式，也可以采取口头方式。</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联系人：</w:t>
            </w:r>
            <w:r>
              <w:rPr>
                <w:rFonts w:hint="eastAsia" w:ascii="仿宋" w:hAnsi="仿宋" w:eastAsia="仿宋" w:cs="宋体"/>
                <w:color w:val="auto"/>
                <w:kern w:val="0"/>
                <w:sz w:val="24"/>
                <w:highlight w:val="none"/>
                <w:lang w:eastAsia="zh-CN"/>
              </w:rPr>
              <w:t>李先生</w:t>
            </w:r>
          </w:p>
          <w:p>
            <w:pPr>
              <w:widowControl/>
              <w:adjustRightInd w:val="0"/>
              <w:snapToGrid w:val="0"/>
              <w:spacing w:line="400" w:lineRule="exact"/>
              <w:ind w:firstLine="240" w:firstLineChars="100"/>
              <w:rPr>
                <w:rFonts w:hint="eastAsia" w:ascii="仿宋" w:hAnsi="仿宋" w:eastAsia="仿宋" w:cs="仿宋"/>
                <w:color w:val="auto"/>
                <w:sz w:val="24"/>
                <w:highlight w:val="none"/>
                <w:lang w:val="zh-CN"/>
              </w:rPr>
            </w:pPr>
            <w:r>
              <w:rPr>
                <w:rFonts w:hint="eastAsia" w:ascii="仿宋" w:hAnsi="仿宋" w:eastAsia="仿宋" w:cs="宋体"/>
                <w:color w:val="auto"/>
                <w:kern w:val="0"/>
                <w:sz w:val="24"/>
                <w:highlight w:val="none"/>
              </w:rPr>
              <w:t>联系电话：</w:t>
            </w:r>
            <w:r>
              <w:rPr>
                <w:rFonts w:hint="eastAsia" w:ascii="仿宋" w:hAnsi="仿宋" w:eastAsia="仿宋" w:cs="仿宋"/>
                <w:color w:val="auto"/>
                <w:sz w:val="24"/>
                <w:highlight w:val="none"/>
                <w:lang w:val="zh-CN"/>
              </w:rPr>
              <w:t>028-84510079-8014</w:t>
            </w:r>
          </w:p>
          <w:p>
            <w:pPr>
              <w:spacing w:line="360" w:lineRule="auto"/>
              <w:ind w:firstLine="240" w:firstLineChars="100"/>
              <w:jc w:val="left"/>
              <w:rPr>
                <w:rFonts w:ascii="仿宋" w:hAnsi="仿宋" w:eastAsia="仿宋"/>
                <w:color w:val="auto"/>
                <w:sz w:val="24"/>
                <w:highlight w:val="none"/>
              </w:rPr>
            </w:pPr>
            <w:r>
              <w:rPr>
                <w:rFonts w:hint="eastAsia" w:ascii="仿宋" w:hAnsi="仿宋" w:eastAsia="仿宋" w:cs="宋体"/>
                <w:color w:val="auto"/>
                <w:kern w:val="0"/>
                <w:sz w:val="24"/>
                <w:highlight w:val="none"/>
              </w:rPr>
              <w:t>注：采购人或采购代理机构只对供应商依法提出的询问作出答复。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供应商质疑</w:t>
            </w:r>
          </w:p>
        </w:tc>
        <w:tc>
          <w:tcPr>
            <w:tcW w:w="3553" w:type="pct"/>
            <w:noWrap w:val="0"/>
            <w:vAlign w:val="center"/>
          </w:tcPr>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1．对磋商文件的质疑：</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以书面形式向采购人、采购代理机构提出，并由采购人按相关规定作出答复或采购代理机构在委托授权范围内作出答复。</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质疑时间：获取磋商文件或者磋商文件公告期限届满之日起7个工作日内。</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2．对磋商过程和结果的质疑：</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以书面形式向采购人、采购代理机构提出，并由采购人按相关规定作出答复或采购代理机构在委托授权范围内作出答复。</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对磋商过程质疑时间：为磋商环节结束之日起七个工作日内。</w:t>
            </w:r>
          </w:p>
          <w:p>
            <w:pPr>
              <w:autoSpaceDE w:val="0"/>
              <w:autoSpaceDN w:val="0"/>
              <w:adjustRightInd w:val="0"/>
              <w:spacing w:line="400" w:lineRule="exact"/>
              <w:ind w:firstLine="240" w:firstLineChars="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对磋商结果提出质疑时间：为磋商结果通知之日起七个工作日内。</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rPr>
            </w:pPr>
            <w:r>
              <w:rPr>
                <w:rFonts w:hint="eastAsia" w:ascii="仿宋" w:hAnsi="仿宋" w:eastAsia="仿宋" w:cs="仿宋"/>
                <w:color w:val="auto"/>
                <w:sz w:val="24"/>
                <w:highlight w:val="none"/>
                <w:lang w:val="zh-CN"/>
              </w:rPr>
              <w:t>3．质疑必须以书面形式(原件)提出，以其他形式提出的质疑均不接受和回复。</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联系人：</w:t>
            </w:r>
            <w:r>
              <w:rPr>
                <w:rFonts w:hint="eastAsia" w:ascii="仿宋" w:hAnsi="仿宋" w:eastAsia="仿宋" w:cs="宋体"/>
                <w:color w:val="auto"/>
                <w:kern w:val="0"/>
                <w:sz w:val="24"/>
                <w:highlight w:val="none"/>
                <w:lang w:eastAsia="zh-CN"/>
              </w:rPr>
              <w:t>李先生</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联系电话：</w:t>
            </w:r>
            <w:r>
              <w:rPr>
                <w:rFonts w:hint="eastAsia" w:ascii="仿宋" w:hAnsi="仿宋" w:eastAsia="仿宋" w:cs="仿宋"/>
                <w:color w:val="auto"/>
                <w:sz w:val="24"/>
                <w:highlight w:val="none"/>
                <w:lang w:val="zh-CN"/>
              </w:rPr>
              <w:t>028-84510079-8014</w:t>
            </w:r>
          </w:p>
          <w:p>
            <w:pPr>
              <w:spacing w:line="360" w:lineRule="auto"/>
              <w:ind w:firstLine="240" w:firstLineChars="100"/>
              <w:jc w:val="left"/>
              <w:rPr>
                <w:rFonts w:ascii="仿宋" w:hAnsi="仿宋" w:eastAsia="仿宋"/>
                <w:color w:val="auto"/>
                <w:sz w:val="24"/>
                <w:highlight w:val="none"/>
              </w:rPr>
            </w:pPr>
            <w:r>
              <w:rPr>
                <w:rFonts w:hint="eastAsia" w:ascii="仿宋" w:hAnsi="仿宋" w:eastAsia="仿宋" w:cs="宋体"/>
                <w:color w:val="auto"/>
                <w:kern w:val="0"/>
                <w:sz w:val="24"/>
                <w:highlight w:val="none"/>
              </w:rPr>
              <w:t>注：供应商按要求领取磋商文件的，为依法获取磋商文件的供应商，可以对该文件提出质疑。根据《中华人民共和国政府采购法》等规定，供应商质疑不得超出磋商文件、磋商过程、磋商结果的范围，供应商针对同一采购程序环节的质疑应在法定质疑期内一次性提出。</w:t>
            </w:r>
            <w:r>
              <w:rPr>
                <w:rFonts w:hint="eastAsia" w:ascii="仿宋" w:hAnsi="仿宋" w:eastAsia="仿宋"/>
                <w:color w:val="auto"/>
                <w:sz w:val="24"/>
                <w:szCs w:val="24"/>
                <w:highlight w:val="none"/>
                <w:lang w:val="en-US" w:eastAsia="zh-CN"/>
              </w:rPr>
              <w:t>质疑函范本详见附件一。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2</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招标代理</w:t>
            </w:r>
          </w:p>
          <w:p>
            <w:pPr>
              <w:adjustRightInd w:val="0"/>
              <w:snapToGrid w:val="0"/>
              <w:spacing w:line="276" w:lineRule="auto"/>
              <w:jc w:val="center"/>
              <w:rPr>
                <w:rFonts w:ascii="仿宋" w:hAnsi="仿宋" w:eastAsia="仿宋"/>
                <w:color w:val="auto"/>
                <w:sz w:val="24"/>
                <w:highlight w:val="none"/>
              </w:rPr>
            </w:pPr>
            <w:r>
              <w:rPr>
                <w:rFonts w:ascii="仿宋" w:hAnsi="仿宋" w:eastAsia="仿宋"/>
                <w:color w:val="auto"/>
                <w:sz w:val="24"/>
                <w:highlight w:val="none"/>
                <w:lang w:val="zh-CN"/>
              </w:rPr>
              <w:t>服务费</w:t>
            </w:r>
          </w:p>
        </w:tc>
        <w:tc>
          <w:tcPr>
            <w:tcW w:w="3553" w:type="pct"/>
            <w:noWrap w:val="0"/>
            <w:vAlign w:val="center"/>
          </w:tcPr>
          <w:p>
            <w:pPr>
              <w:pStyle w:val="62"/>
              <w:spacing w:line="360" w:lineRule="auto"/>
              <w:ind w:firstLine="240" w:firstLineChars="100"/>
              <w:jc w:val="both"/>
              <w:rPr>
                <w:rFonts w:ascii="仿宋" w:hAnsi="仿宋" w:eastAsia="仿宋" w:cs="Times New Roman"/>
                <w:b/>
                <w:color w:val="auto"/>
                <w:highlight w:val="none"/>
              </w:rPr>
            </w:pPr>
            <w:r>
              <w:rPr>
                <w:rFonts w:hint="eastAsia" w:ascii="仿宋" w:hAnsi="仿宋" w:eastAsia="仿宋" w:cs="Times New Roman"/>
                <w:b/>
                <w:bCs/>
                <w:color w:val="auto"/>
                <w:highlight w:val="none"/>
                <w:lang w:val="en-US" w:eastAsia="zh-CN"/>
              </w:rPr>
              <w:t>1.</w:t>
            </w:r>
            <w:r>
              <w:rPr>
                <w:rFonts w:hint="eastAsia" w:ascii="仿宋" w:hAnsi="仿宋" w:eastAsia="仿宋" w:cs="Times New Roman"/>
                <w:b/>
                <w:bCs/>
                <w:color w:val="auto"/>
                <w:highlight w:val="none"/>
                <w:lang w:val="zh-CN"/>
              </w:rPr>
              <w:t>根据成本加合理利润原则，经与采购人协商，</w:t>
            </w:r>
            <w:r>
              <w:rPr>
                <w:rFonts w:ascii="仿宋" w:hAnsi="仿宋" w:eastAsia="仿宋" w:cs="Times New Roman"/>
                <w:b/>
                <w:bCs/>
                <w:color w:val="auto"/>
                <w:highlight w:val="none"/>
                <w:lang w:val="zh-CN"/>
              </w:rPr>
              <w:t>本磋商文件特别约定，</w:t>
            </w:r>
            <w:r>
              <w:rPr>
                <w:rFonts w:ascii="仿宋" w:hAnsi="仿宋" w:eastAsia="仿宋" w:cs="Times New Roman"/>
                <w:b/>
                <w:bCs/>
                <w:color w:val="auto"/>
                <w:highlight w:val="none"/>
              </w:rPr>
              <w:t>招</w:t>
            </w:r>
            <w:r>
              <w:rPr>
                <w:rFonts w:ascii="仿宋" w:hAnsi="仿宋" w:eastAsia="仿宋" w:cs="Times New Roman"/>
                <w:b/>
                <w:color w:val="auto"/>
                <w:highlight w:val="none"/>
              </w:rPr>
              <w:t>标代理服务费由成交供应商向采购代理机构支付，招标代理服务费以预算金额作为收费的计算基数×1.5%再下浮</w:t>
            </w:r>
            <w:r>
              <w:rPr>
                <w:rFonts w:hint="eastAsia" w:ascii="仿宋" w:hAnsi="仿宋" w:eastAsia="仿宋" w:cs="Times New Roman"/>
                <w:b/>
                <w:color w:val="auto"/>
                <w:highlight w:val="none"/>
                <w:u w:val="single"/>
                <w:lang w:val="en-US" w:eastAsia="zh-CN"/>
              </w:rPr>
              <w:t>10</w:t>
            </w:r>
            <w:r>
              <w:rPr>
                <w:rFonts w:ascii="仿宋" w:hAnsi="仿宋" w:eastAsia="仿宋" w:cs="Times New Roman"/>
                <w:b/>
                <w:color w:val="auto"/>
                <w:highlight w:val="none"/>
              </w:rPr>
              <w:t>%。</w:t>
            </w:r>
          </w:p>
          <w:p>
            <w:pPr>
              <w:spacing w:line="360" w:lineRule="auto"/>
              <w:ind w:firstLine="240" w:firstLineChars="100"/>
              <w:jc w:val="left"/>
              <w:rPr>
                <w:rFonts w:ascii="仿宋" w:hAnsi="仿宋" w:eastAsia="仿宋"/>
                <w:color w:val="auto"/>
                <w:sz w:val="24"/>
                <w:highlight w:val="none"/>
              </w:rPr>
            </w:pPr>
            <w:r>
              <w:rPr>
                <w:rFonts w:ascii="仿宋" w:hAnsi="仿宋" w:eastAsia="仿宋"/>
                <w:color w:val="auto"/>
                <w:sz w:val="24"/>
                <w:highlight w:val="none"/>
                <w:lang w:val="zh-CN"/>
              </w:rPr>
              <w:t>2．招标代理服务费可使用银行转账或采购代理机构认可的方式支付。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p>
        </w:tc>
        <w:tc>
          <w:tcPr>
            <w:tcW w:w="1043" w:type="pct"/>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成交通知书</w:t>
            </w:r>
          </w:p>
          <w:p>
            <w:pPr>
              <w:adjustRightInd w:val="0"/>
              <w:snapToGrid w:val="0"/>
              <w:spacing w:line="276" w:lineRule="auto"/>
              <w:jc w:val="center"/>
              <w:rPr>
                <w:rFonts w:ascii="仿宋" w:hAnsi="仿宋" w:eastAsia="仿宋"/>
                <w:color w:val="auto"/>
                <w:sz w:val="24"/>
                <w:highlight w:val="none"/>
              </w:rPr>
            </w:pPr>
            <w:r>
              <w:rPr>
                <w:rFonts w:ascii="仿宋" w:hAnsi="仿宋" w:eastAsia="仿宋"/>
                <w:color w:val="auto"/>
                <w:sz w:val="24"/>
                <w:highlight w:val="none"/>
                <w:lang w:val="zh-CN"/>
              </w:rPr>
              <w:t>领取</w:t>
            </w:r>
          </w:p>
        </w:tc>
        <w:tc>
          <w:tcPr>
            <w:tcW w:w="3553" w:type="pct"/>
            <w:noWrap w:val="0"/>
            <w:vAlign w:val="center"/>
          </w:tcPr>
          <w:p>
            <w:pPr>
              <w:pStyle w:val="62"/>
              <w:spacing w:line="360" w:lineRule="auto"/>
              <w:ind w:firstLine="240" w:firstLineChars="100"/>
              <w:jc w:val="both"/>
              <w:rPr>
                <w:rFonts w:ascii="仿宋" w:hAnsi="仿宋" w:eastAsia="仿宋" w:cs="Times New Roman"/>
                <w:color w:val="auto"/>
                <w:highlight w:val="none"/>
                <w:lang w:val="zh-CN"/>
              </w:rPr>
            </w:pPr>
            <w:r>
              <w:rPr>
                <w:rFonts w:ascii="仿宋" w:hAnsi="仿宋" w:eastAsia="仿宋" w:cs="Times New Roman"/>
                <w:color w:val="auto"/>
                <w:highlight w:val="none"/>
                <w:lang w:val="zh-CN"/>
              </w:rPr>
              <w:t>接采购代理机构通知后，请成交供应商凭有效身份证明证件到采购代理机构领取成交通知书。</w:t>
            </w:r>
          </w:p>
          <w:p>
            <w:pPr>
              <w:pStyle w:val="62"/>
              <w:spacing w:line="360" w:lineRule="auto"/>
              <w:ind w:firstLine="240" w:firstLineChars="100"/>
              <w:jc w:val="both"/>
              <w:rPr>
                <w:rFonts w:ascii="仿宋" w:hAnsi="仿宋" w:eastAsia="仿宋" w:cs="Times New Roman"/>
                <w:color w:val="auto"/>
                <w:highlight w:val="none"/>
                <w:lang w:val="zh-CN"/>
              </w:rPr>
            </w:pPr>
            <w:r>
              <w:rPr>
                <w:rFonts w:ascii="仿宋" w:hAnsi="仿宋" w:eastAsia="仿宋" w:cs="Times New Roman"/>
                <w:color w:val="auto"/>
                <w:highlight w:val="none"/>
                <w:lang w:val="zh-CN"/>
              </w:rPr>
              <w:t>联系人：邱女士</w:t>
            </w:r>
          </w:p>
          <w:p>
            <w:pPr>
              <w:pStyle w:val="62"/>
              <w:spacing w:line="360" w:lineRule="auto"/>
              <w:ind w:firstLine="240" w:firstLineChars="100"/>
              <w:jc w:val="both"/>
              <w:rPr>
                <w:rFonts w:ascii="仿宋" w:hAnsi="仿宋" w:eastAsia="仿宋" w:cs="Times New Roman"/>
                <w:color w:val="auto"/>
                <w:highlight w:val="none"/>
                <w:lang w:val="zh-CN"/>
              </w:rPr>
            </w:pPr>
            <w:r>
              <w:rPr>
                <w:rFonts w:ascii="仿宋" w:hAnsi="仿宋" w:eastAsia="仿宋" w:cs="Times New Roman"/>
                <w:color w:val="auto"/>
                <w:highlight w:val="none"/>
                <w:lang w:val="zh-CN"/>
              </w:rPr>
              <w:t>联系电话：028-65783579</w:t>
            </w:r>
          </w:p>
          <w:p>
            <w:pPr>
              <w:pStyle w:val="62"/>
              <w:spacing w:line="360" w:lineRule="auto"/>
              <w:ind w:firstLine="240" w:firstLineChars="100"/>
              <w:jc w:val="both"/>
              <w:rPr>
                <w:rFonts w:ascii="仿宋" w:hAnsi="仿宋" w:eastAsia="仿宋" w:cs="Times New Roman"/>
                <w:color w:val="auto"/>
                <w:highlight w:val="none"/>
                <w:lang w:val="zh-CN"/>
              </w:rPr>
            </w:pPr>
            <w:r>
              <w:rPr>
                <w:rFonts w:ascii="仿宋" w:hAnsi="仿宋" w:eastAsia="仿宋" w:cs="Times New Roman"/>
                <w:color w:val="auto"/>
                <w:highlight w:val="none"/>
                <w:lang w:val="zh-CN"/>
              </w:rPr>
              <w:t>地址：成都市高新区吉泰五路88号3栋7层1号</w:t>
            </w:r>
            <w:r>
              <w:rPr>
                <w:rFonts w:hint="eastAsia" w:ascii="仿宋" w:hAnsi="仿宋" w:eastAsia="仿宋" w:cs="Times New Roman"/>
                <w:color w:val="auto"/>
                <w:highlight w:val="none"/>
                <w:lang w:val="zh-CN"/>
              </w:rPr>
              <w:t>（</w:t>
            </w:r>
            <w:r>
              <w:rPr>
                <w:rFonts w:ascii="仿宋" w:hAnsi="仿宋" w:eastAsia="仿宋" w:cs="Times New Roman"/>
                <w:color w:val="auto"/>
                <w:highlight w:val="none"/>
                <w:lang w:val="zh-CN"/>
              </w:rPr>
              <w:t>花样年</w:t>
            </w:r>
            <w:r>
              <w:rPr>
                <w:rFonts w:hint="eastAsia"/>
                <w:color w:val="auto"/>
                <w:highlight w:val="none"/>
                <w:lang w:val="zh-CN"/>
              </w:rPr>
              <w:t>•</w:t>
            </w:r>
            <w:r>
              <w:rPr>
                <w:rFonts w:ascii="仿宋" w:hAnsi="仿宋" w:eastAsia="仿宋" w:cs="Times New Roman"/>
                <w:color w:val="auto"/>
                <w:highlight w:val="none"/>
                <w:lang w:val="zh-CN"/>
              </w:rPr>
              <w:t>香年广场</w:t>
            </w:r>
            <w:r>
              <w:rPr>
                <w:rFonts w:hint="eastAsia" w:ascii="仿宋" w:hAnsi="仿宋" w:eastAsia="仿宋" w:cs="Times New Roman"/>
                <w:color w:val="auto"/>
                <w:highlight w:val="none"/>
                <w:lang w:val="zh-CN"/>
              </w:rPr>
              <w:t>）</w:t>
            </w:r>
            <w:r>
              <w:rPr>
                <w:rFonts w:ascii="仿宋" w:hAnsi="仿宋" w:eastAsia="仿宋" w:cs="Times New Roman"/>
                <w:color w:val="auto"/>
                <w:highlight w:val="none"/>
                <w:lang w:val="zh-CN"/>
              </w:rPr>
              <w:t>。</w:t>
            </w:r>
          </w:p>
          <w:p>
            <w:pPr>
              <w:spacing w:line="360" w:lineRule="auto"/>
              <w:ind w:firstLine="235" w:firstLineChars="98"/>
              <w:jc w:val="left"/>
              <w:rPr>
                <w:rFonts w:ascii="仿宋" w:hAnsi="仿宋" w:eastAsia="仿宋"/>
                <w:color w:val="auto"/>
                <w:sz w:val="24"/>
                <w:highlight w:val="none"/>
              </w:rPr>
            </w:pPr>
            <w:r>
              <w:rPr>
                <w:rFonts w:ascii="仿宋" w:hAnsi="仿宋" w:eastAsia="仿宋"/>
                <w:b/>
                <w:color w:val="auto"/>
                <w:sz w:val="24"/>
                <w:highlight w:val="none"/>
                <w:lang w:val="zh-CN"/>
              </w:rPr>
              <w:t>注：领取成交通知书时，根据</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四川省财政厅关于推进四川省政府采购供应商信用融资工作的通知</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（川财采[2018]123号）、</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成都市财政局 中国人民银行成都分行营业管理部关于印发</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成都市中小企业政府采购信用融资暂行办法</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和</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成都市级支持中小企业政府采购信用融资实施方案</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的通知</w:t>
            </w:r>
            <w:r>
              <w:rPr>
                <w:rFonts w:hint="eastAsia" w:ascii="仿宋" w:hAnsi="仿宋" w:eastAsia="仿宋"/>
                <w:b/>
                <w:color w:val="auto"/>
                <w:sz w:val="24"/>
                <w:highlight w:val="none"/>
                <w:lang w:val="zh-CN"/>
              </w:rPr>
              <w:t>》</w:t>
            </w:r>
            <w:r>
              <w:rPr>
                <w:rFonts w:ascii="仿宋" w:hAnsi="仿宋" w:eastAsia="仿宋"/>
                <w:b/>
                <w:color w:val="auto"/>
                <w:sz w:val="24"/>
                <w:highlight w:val="none"/>
                <w:lang w:val="zh-CN"/>
              </w:rPr>
              <w:t>（成财采[2019]17号）</w:t>
            </w:r>
            <w:r>
              <w:rPr>
                <w:rFonts w:hint="eastAsia" w:ascii="仿宋" w:hAnsi="仿宋" w:eastAsia="仿宋"/>
                <w:b/>
                <w:color w:val="auto"/>
                <w:sz w:val="24"/>
                <w:highlight w:val="none"/>
                <w:lang w:val="zh-CN"/>
              </w:rPr>
              <w:t>及其附件1、附件2</w:t>
            </w:r>
            <w:r>
              <w:rPr>
                <w:rFonts w:ascii="仿宋" w:hAnsi="仿宋" w:eastAsia="仿宋"/>
                <w:b/>
                <w:color w:val="auto"/>
                <w:sz w:val="24"/>
                <w:highlight w:val="none"/>
                <w:lang w:val="zh-CN"/>
              </w:rPr>
              <w:t>的要求，符合通知要求、有融资需求的供应商可根据</w:t>
            </w:r>
            <w:r>
              <w:rPr>
                <w:rFonts w:hint="eastAsia" w:ascii="仿宋" w:hAnsi="仿宋" w:eastAsia="仿宋"/>
                <w:b/>
                <w:color w:val="auto"/>
                <w:sz w:val="24"/>
                <w:highlight w:val="none"/>
                <w:lang w:val="zh-CN"/>
              </w:rPr>
              <w:t>各级财政部门</w:t>
            </w:r>
            <w:r>
              <w:rPr>
                <w:rFonts w:ascii="仿宋" w:hAnsi="仿宋" w:eastAsia="仿宋"/>
                <w:b/>
                <w:color w:val="auto"/>
                <w:sz w:val="24"/>
                <w:highlight w:val="none"/>
                <w:lang w:val="zh-CN"/>
              </w:rPr>
              <w:t>公示的银行或融资机构及其“政采贷”产品，自行选择符合自身情况的“政采贷”银行及其产品，选择“政采贷”银行及其产品的需向代理机构进行登记。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noWrap w:val="0"/>
            <w:vAlign w:val="center"/>
          </w:tcPr>
          <w:p>
            <w:pPr>
              <w:spacing w:line="360" w:lineRule="auto"/>
              <w:jc w:val="center"/>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4</w:t>
            </w:r>
          </w:p>
        </w:tc>
        <w:tc>
          <w:tcPr>
            <w:tcW w:w="1938" w:type="dxa"/>
            <w:noWrap w:val="0"/>
            <w:vAlign w:val="center"/>
          </w:tcPr>
          <w:p>
            <w:pPr>
              <w:adjustRightInd w:val="0"/>
              <w:snapToGrid w:val="0"/>
              <w:spacing w:line="276" w:lineRule="auto"/>
              <w:jc w:val="center"/>
              <w:rPr>
                <w:rFonts w:ascii="仿宋" w:hAnsi="仿宋" w:eastAsia="仿宋"/>
                <w:color w:val="auto"/>
                <w:sz w:val="24"/>
                <w:highlight w:val="none"/>
                <w:lang w:val="zh-CN"/>
              </w:rPr>
            </w:pPr>
            <w:r>
              <w:rPr>
                <w:rFonts w:ascii="仿宋" w:hAnsi="仿宋" w:eastAsia="仿宋"/>
                <w:color w:val="auto"/>
                <w:sz w:val="24"/>
                <w:highlight w:val="none"/>
                <w:lang w:val="zh-CN"/>
              </w:rPr>
              <w:t>供应商投诉</w:t>
            </w:r>
          </w:p>
        </w:tc>
        <w:tc>
          <w:tcPr>
            <w:tcW w:w="6601" w:type="dxa"/>
            <w:noWrap w:val="0"/>
            <w:vAlign w:val="center"/>
          </w:tcPr>
          <w:p>
            <w:pPr>
              <w:widowControl/>
              <w:adjustRightInd w:val="0"/>
              <w:snapToGrid w:val="0"/>
              <w:spacing w:line="400" w:lineRule="exact"/>
              <w:ind w:firstLine="240" w:firstLineChars="1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投诉受理单位：</w:t>
            </w:r>
            <w:r>
              <w:rPr>
                <w:rFonts w:hint="eastAsia" w:ascii="仿宋" w:hAnsi="仿宋" w:eastAsia="仿宋" w:cs="仿宋"/>
                <w:color w:val="auto"/>
                <w:sz w:val="24"/>
                <w:highlight w:val="none"/>
                <w:lang w:val="zh-CN"/>
              </w:rPr>
              <w:t>本采购项目同级财政部门，成都市财政局。</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联系电话：028-61882648</w:t>
            </w:r>
          </w:p>
          <w:p>
            <w:pPr>
              <w:widowControl/>
              <w:adjustRightInd w:val="0"/>
              <w:snapToGrid w:val="0"/>
              <w:spacing w:line="400" w:lineRule="exact"/>
              <w:ind w:firstLine="240" w:firstLineChars="1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联系地址：成都市锦城大道366号</w:t>
            </w:r>
          </w:p>
          <w:p>
            <w:pPr>
              <w:spacing w:line="360" w:lineRule="auto"/>
              <w:ind w:firstLine="240" w:firstLineChars="100"/>
              <w:jc w:val="left"/>
              <w:rPr>
                <w:rFonts w:ascii="仿宋" w:hAnsi="仿宋" w:eastAsia="仿宋"/>
                <w:color w:val="auto"/>
                <w:sz w:val="24"/>
                <w:highlight w:val="none"/>
              </w:rPr>
            </w:pPr>
            <w:r>
              <w:rPr>
                <w:rFonts w:hint="eastAsia" w:ascii="仿宋" w:hAnsi="仿宋" w:eastAsia="仿宋" w:cs="宋体"/>
                <w:color w:val="auto"/>
                <w:kern w:val="0"/>
                <w:sz w:val="24"/>
                <w:highlight w:val="none"/>
              </w:rPr>
              <w:t>注：根据《中华人民共和国政府采购法》及其他有关等规定，供应商投诉事项不得超出已质疑事项的范围。</w:t>
            </w:r>
          </w:p>
        </w:tc>
      </w:tr>
    </w:tbl>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17" w:name="_Toc36820984"/>
      <w:bookmarkStart w:id="18" w:name="_Toc3184"/>
      <w:r>
        <w:rPr>
          <w:rFonts w:ascii="仿宋" w:hAnsi="仿宋" w:eastAsia="仿宋"/>
          <w:color w:val="auto"/>
          <w:sz w:val="30"/>
          <w:szCs w:val="30"/>
          <w:highlight w:val="none"/>
        </w:rPr>
        <w:t>二、总  则</w:t>
      </w:r>
      <w:bookmarkEnd w:id="17"/>
      <w:bookmarkEnd w:id="18"/>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19" w:name="_Toc183682342"/>
      <w:bookmarkStart w:id="20" w:name="_Toc183582205"/>
      <w:bookmarkStart w:id="21" w:name="_Toc217446034"/>
      <w:r>
        <w:rPr>
          <w:rFonts w:ascii="仿宋" w:hAnsi="仿宋" w:eastAsia="仿宋"/>
          <w:color w:val="auto"/>
          <w:sz w:val="24"/>
          <w:highlight w:val="none"/>
        </w:rPr>
        <w:t>1</w:t>
      </w:r>
      <w:bookmarkEnd w:id="19"/>
      <w:bookmarkEnd w:id="20"/>
      <w:r>
        <w:rPr>
          <w:rFonts w:ascii="仿宋" w:hAnsi="仿宋" w:eastAsia="仿宋"/>
          <w:color w:val="auto"/>
          <w:sz w:val="24"/>
          <w:highlight w:val="none"/>
        </w:rPr>
        <w:t>．适用范围</w:t>
      </w:r>
      <w:bookmarkEnd w:id="21"/>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1.1 本磋商文件仅适用于本次磋商所叙述的服务采购。</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1.2 本磋商文件的解释权归采购人和采购代理机构所有。</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22" w:name="_Toc183682343"/>
      <w:bookmarkStart w:id="23" w:name="_Toc183582206"/>
      <w:bookmarkStart w:id="24" w:name="_Toc217446035"/>
      <w:r>
        <w:rPr>
          <w:rFonts w:ascii="仿宋" w:hAnsi="仿宋" w:eastAsia="仿宋"/>
          <w:color w:val="auto"/>
          <w:sz w:val="24"/>
          <w:highlight w:val="none"/>
        </w:rPr>
        <w:t>2</w:t>
      </w:r>
      <w:bookmarkEnd w:id="22"/>
      <w:bookmarkEnd w:id="23"/>
      <w:bookmarkEnd w:id="24"/>
      <w:r>
        <w:rPr>
          <w:rFonts w:ascii="仿宋" w:hAnsi="仿宋" w:eastAsia="仿宋"/>
          <w:color w:val="auto"/>
          <w:sz w:val="24"/>
          <w:highlight w:val="none"/>
        </w:rPr>
        <w:t>．采购主体</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2.1本次磋商的采购人是</w:t>
      </w:r>
      <w:r>
        <w:rPr>
          <w:rFonts w:hint="eastAsia" w:ascii="仿宋" w:hAnsi="仿宋" w:eastAsia="仿宋"/>
          <w:color w:val="auto"/>
          <w:sz w:val="24"/>
          <w:highlight w:val="none"/>
          <w:u w:val="single"/>
          <w:lang w:eastAsia="zh-CN"/>
        </w:rPr>
        <w:t>成都交响乐团</w:t>
      </w:r>
      <w:r>
        <w:rPr>
          <w:rFonts w:ascii="仿宋" w:hAnsi="仿宋" w:eastAsia="仿宋"/>
          <w:color w:val="auto"/>
          <w:sz w:val="24"/>
          <w:highlight w:val="none"/>
        </w:rPr>
        <w:t>。</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2.2本次磋商的采购代理机构是</w:t>
      </w:r>
      <w:r>
        <w:rPr>
          <w:rFonts w:ascii="仿宋" w:hAnsi="仿宋" w:eastAsia="仿宋"/>
          <w:color w:val="auto"/>
          <w:sz w:val="24"/>
          <w:highlight w:val="none"/>
          <w:u w:val="single"/>
        </w:rPr>
        <w:t>四川中志招标代理有限公司</w:t>
      </w:r>
      <w:r>
        <w:rPr>
          <w:rFonts w:ascii="仿宋" w:hAnsi="仿宋" w:eastAsia="仿宋"/>
          <w:color w:val="auto"/>
          <w:sz w:val="24"/>
          <w:highlight w:val="none"/>
        </w:rPr>
        <w:t>。</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25" w:name="_Toc183582207"/>
      <w:bookmarkStart w:id="26" w:name="_Toc217446036"/>
      <w:bookmarkStart w:id="27" w:name="_Toc183682344"/>
      <w:bookmarkStart w:id="28" w:name="_Toc217390843"/>
      <w:r>
        <w:rPr>
          <w:rFonts w:ascii="仿宋" w:hAnsi="仿宋" w:eastAsia="仿宋"/>
          <w:color w:val="auto"/>
          <w:sz w:val="24"/>
          <w:highlight w:val="none"/>
        </w:rPr>
        <w:t>3．合格</w:t>
      </w:r>
      <w:bookmarkEnd w:id="25"/>
      <w:bookmarkEnd w:id="26"/>
      <w:bookmarkEnd w:id="27"/>
      <w:bookmarkEnd w:id="28"/>
      <w:r>
        <w:rPr>
          <w:rFonts w:ascii="仿宋" w:hAnsi="仿宋" w:eastAsia="仿宋"/>
          <w:color w:val="auto"/>
          <w:sz w:val="24"/>
          <w:highlight w:val="none"/>
        </w:rPr>
        <w:t>供应商</w:t>
      </w:r>
    </w:p>
    <w:p>
      <w:pPr>
        <w:tabs>
          <w:tab w:val="left" w:pos="7665"/>
        </w:tabs>
        <w:spacing w:line="400" w:lineRule="exact"/>
        <w:rPr>
          <w:rFonts w:ascii="仿宋" w:hAnsi="仿宋" w:eastAsia="仿宋"/>
          <w:color w:val="auto"/>
          <w:sz w:val="24"/>
          <w:highlight w:val="none"/>
        </w:rPr>
      </w:pPr>
      <w:r>
        <w:rPr>
          <w:rFonts w:ascii="仿宋" w:hAnsi="仿宋" w:eastAsia="仿宋"/>
          <w:b/>
          <w:color w:val="auto"/>
          <w:sz w:val="24"/>
          <w:highlight w:val="none"/>
        </w:rPr>
        <w:t xml:space="preserve">    </w:t>
      </w:r>
      <w:r>
        <w:rPr>
          <w:rFonts w:ascii="仿宋" w:hAnsi="仿宋" w:eastAsia="仿宋"/>
          <w:color w:val="auto"/>
          <w:sz w:val="24"/>
          <w:highlight w:val="none"/>
        </w:rPr>
        <w:t>合格供应商应具备以下条件：</w:t>
      </w:r>
    </w:p>
    <w:p>
      <w:pPr>
        <w:tabs>
          <w:tab w:val="left" w:pos="7665"/>
        </w:tabs>
        <w:spacing w:line="400" w:lineRule="exact"/>
        <w:ind w:firstLine="480" w:firstLineChars="200"/>
        <w:rPr>
          <w:rFonts w:ascii="仿宋" w:hAnsi="仿宋" w:eastAsia="仿宋"/>
          <w:color w:val="auto"/>
          <w:spacing w:val="-4"/>
          <w:sz w:val="24"/>
          <w:highlight w:val="none"/>
        </w:rPr>
      </w:pPr>
      <w:r>
        <w:rPr>
          <w:rFonts w:ascii="仿宋" w:hAnsi="仿宋" w:eastAsia="仿宋"/>
          <w:color w:val="auto"/>
          <w:sz w:val="24"/>
          <w:highlight w:val="none"/>
        </w:rPr>
        <w:t>3.1 具备法律法规和本磋商文件规定的资格条件</w:t>
      </w:r>
      <w:r>
        <w:rPr>
          <w:rFonts w:ascii="仿宋" w:hAnsi="仿宋" w:eastAsia="仿宋"/>
          <w:color w:val="auto"/>
          <w:spacing w:val="-4"/>
          <w:sz w:val="24"/>
          <w:highlight w:val="none"/>
        </w:rPr>
        <w:t>；</w:t>
      </w:r>
    </w:p>
    <w:p>
      <w:pPr>
        <w:tabs>
          <w:tab w:val="left" w:pos="7665"/>
        </w:tabs>
        <w:spacing w:line="400" w:lineRule="exact"/>
        <w:ind w:firstLine="464" w:firstLineChars="200"/>
        <w:rPr>
          <w:rFonts w:ascii="仿宋" w:hAnsi="仿宋" w:eastAsia="仿宋"/>
          <w:color w:val="auto"/>
          <w:spacing w:val="-4"/>
          <w:sz w:val="24"/>
          <w:highlight w:val="none"/>
        </w:rPr>
      </w:pPr>
      <w:r>
        <w:rPr>
          <w:rFonts w:ascii="仿宋" w:hAnsi="仿宋" w:eastAsia="仿宋"/>
          <w:color w:val="auto"/>
          <w:spacing w:val="-4"/>
          <w:sz w:val="24"/>
          <w:highlight w:val="none"/>
        </w:rPr>
        <w:t>3.2 不属于禁止参加本项目采购活动的供应商；</w:t>
      </w:r>
    </w:p>
    <w:p>
      <w:pPr>
        <w:tabs>
          <w:tab w:val="left" w:pos="7665"/>
        </w:tabs>
        <w:spacing w:line="400" w:lineRule="exact"/>
        <w:ind w:firstLine="464" w:firstLineChars="200"/>
        <w:rPr>
          <w:rFonts w:ascii="仿宋" w:hAnsi="仿宋" w:eastAsia="仿宋"/>
          <w:color w:val="auto"/>
          <w:spacing w:val="-4"/>
          <w:sz w:val="24"/>
          <w:highlight w:val="none"/>
        </w:rPr>
      </w:pPr>
      <w:r>
        <w:rPr>
          <w:rFonts w:ascii="仿宋" w:hAnsi="仿宋" w:eastAsia="仿宋"/>
          <w:color w:val="auto"/>
          <w:spacing w:val="-4"/>
          <w:sz w:val="24"/>
          <w:highlight w:val="none"/>
        </w:rPr>
        <w:t>3.3 按照规定</w:t>
      </w:r>
      <w:r>
        <w:rPr>
          <w:rFonts w:ascii="仿宋" w:hAnsi="仿宋" w:eastAsia="仿宋"/>
          <w:color w:val="auto"/>
          <w:sz w:val="24"/>
          <w:highlight w:val="none"/>
        </w:rPr>
        <w:t>获取了磋商文件，属于实质性参加政府采购活动的供应商。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29" w:name="_Toc217446037"/>
      <w:bookmarkStart w:id="30" w:name="_Toc183582208"/>
      <w:bookmarkStart w:id="31" w:name="_Toc183682345"/>
      <w:r>
        <w:rPr>
          <w:rFonts w:ascii="仿宋" w:hAnsi="仿宋" w:eastAsia="仿宋"/>
          <w:color w:val="auto"/>
          <w:sz w:val="24"/>
          <w:highlight w:val="none"/>
        </w:rPr>
        <w:t>4．磋商费用</w:t>
      </w:r>
      <w:bookmarkEnd w:id="29"/>
      <w:bookmarkEnd w:id="30"/>
      <w:bookmarkEnd w:id="31"/>
    </w:p>
    <w:p>
      <w:pPr>
        <w:tabs>
          <w:tab w:val="left" w:pos="7665"/>
        </w:tabs>
        <w:spacing w:line="400" w:lineRule="exact"/>
        <w:ind w:firstLine="480"/>
        <w:rPr>
          <w:rFonts w:ascii="仿宋" w:hAnsi="仿宋" w:eastAsia="仿宋"/>
          <w:color w:val="auto"/>
          <w:sz w:val="24"/>
          <w:highlight w:val="none"/>
        </w:rPr>
      </w:pPr>
      <w:r>
        <w:rPr>
          <w:rFonts w:ascii="仿宋" w:hAnsi="仿宋" w:eastAsia="仿宋"/>
          <w:color w:val="auto"/>
          <w:sz w:val="24"/>
          <w:highlight w:val="none"/>
        </w:rPr>
        <w:t>供应商应自行承担参加磋商活动的全部费用。</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5．充分、公平竞争保障措施</w:t>
      </w:r>
      <w:r>
        <w:rPr>
          <w:rFonts w:hint="eastAsia" w:ascii="仿宋" w:hAnsi="仿宋" w:eastAsia="仿宋"/>
          <w:color w:val="auto"/>
          <w:sz w:val="24"/>
          <w:highlight w:val="none"/>
        </w:rPr>
        <w:t>（实质性要求）</w:t>
      </w:r>
    </w:p>
    <w:p>
      <w:pPr>
        <w:pStyle w:val="66"/>
        <w:spacing w:line="400" w:lineRule="exact"/>
        <w:ind w:left="1" w:firstLine="480" w:firstLineChars="200"/>
        <w:rPr>
          <w:rFonts w:ascii="仿宋" w:hAnsi="仿宋" w:eastAsia="仿宋"/>
          <w:color w:val="auto"/>
          <w:sz w:val="28"/>
          <w:szCs w:val="28"/>
          <w:highlight w:val="none"/>
        </w:rPr>
      </w:pPr>
      <w:r>
        <w:rPr>
          <w:rFonts w:ascii="仿宋" w:hAnsi="仿宋" w:eastAsia="仿宋"/>
          <w:color w:val="auto"/>
          <w:sz w:val="24"/>
          <w:highlight w:val="none"/>
        </w:rPr>
        <w:t>5.1利害关系供应商处理。单位负责人为同一人或者存在直接控股、管理关系的不同供应商不得参加同一合同项下的政府采购活动。</w:t>
      </w:r>
      <w:r>
        <w:rPr>
          <w:rFonts w:ascii="仿宋" w:hAnsi="仿宋" w:eastAsia="仿宋"/>
          <w:color w:val="auto"/>
          <w:sz w:val="24"/>
          <w:szCs w:val="24"/>
          <w:highlight w:val="none"/>
        </w:rPr>
        <w:t>（提供承诺函加盖供应商公章）</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r>
        <w:rPr>
          <w:rFonts w:ascii="仿宋" w:hAnsi="仿宋" w:eastAsia="仿宋"/>
          <w:color w:val="auto"/>
          <w:sz w:val="24"/>
          <w:szCs w:val="24"/>
          <w:highlight w:val="none"/>
        </w:rPr>
        <w:t>（提供承诺函加盖供应商公章）</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r>
        <w:rPr>
          <w:rFonts w:ascii="仿宋" w:hAnsi="仿宋" w:eastAsia="仿宋"/>
          <w:color w:val="auto"/>
          <w:sz w:val="24"/>
          <w:szCs w:val="24"/>
          <w:highlight w:val="none"/>
        </w:rPr>
        <w:t>（提供承诺函加盖供应商公章）</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5.4供应商实际控制人或者中高级管理人员，同时是采购代理机构工作人员，不得参与本项目政府采购活动。</w:t>
      </w:r>
      <w:r>
        <w:rPr>
          <w:rFonts w:ascii="仿宋" w:hAnsi="仿宋" w:eastAsia="仿宋"/>
          <w:color w:val="auto"/>
          <w:sz w:val="24"/>
          <w:szCs w:val="24"/>
          <w:highlight w:val="none"/>
        </w:rPr>
        <w:t>（提供承诺函加盖供应商公章）</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供应商与采购代理机构存在关联关系，或者是采购代理机构的母公司或子公司，不得参加本项目政府采购活动。</w:t>
      </w:r>
      <w:r>
        <w:rPr>
          <w:rFonts w:ascii="仿宋" w:hAnsi="仿宋" w:eastAsia="仿宋"/>
          <w:color w:val="auto"/>
          <w:sz w:val="24"/>
          <w:szCs w:val="24"/>
          <w:highlight w:val="none"/>
        </w:rPr>
        <w:t>（提供承诺函加盖供应商公章）</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5.</w:t>
      </w:r>
      <w:r>
        <w:rPr>
          <w:rFonts w:hint="eastAsia" w:ascii="仿宋" w:hAnsi="仿宋" w:eastAsia="仿宋"/>
          <w:color w:val="auto"/>
          <w:sz w:val="24"/>
          <w:highlight w:val="none"/>
          <w:lang w:val="en-US" w:eastAsia="zh-CN"/>
        </w:rPr>
        <w:t>6</w:t>
      </w:r>
      <w:r>
        <w:rPr>
          <w:rFonts w:ascii="仿宋" w:hAnsi="仿宋" w:eastAsia="仿宋"/>
          <w:color w:val="auto"/>
          <w:sz w:val="24"/>
          <w:highlight w:val="none"/>
        </w:rPr>
        <w:t xml:space="preserve"> 回避。政府采购活动中，采购人员及相关人员与供应商有下列利害关系之一的，应当回避：</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（1）参加采购活动前3年内与供应商存在劳动关系；</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（2）参加采购活动前3年内担任供应商的董事、监事；</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（3）参加采购活动前3年内是供应商的控股股东或者实际控制人；</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（4）与供应商的法定代表人或者负责人有夫妻、直系血亲、三代以内旁系血亲或者近姻亲关系；</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（5）与供应商有其他可能影响政府采购活动公平、公正进行的关系。</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6．联合体竞争性磋商</w:t>
      </w:r>
    </w:p>
    <w:p>
      <w:pPr>
        <w:pStyle w:val="66"/>
        <w:spacing w:line="400" w:lineRule="exact"/>
        <w:ind w:left="1" w:firstLine="480" w:firstLineChars="200"/>
        <w:rPr>
          <w:rFonts w:ascii="仿宋" w:hAnsi="仿宋" w:eastAsia="仿宋"/>
          <w:color w:val="auto"/>
          <w:sz w:val="24"/>
          <w:highlight w:val="none"/>
        </w:rPr>
      </w:pPr>
      <w:r>
        <w:rPr>
          <w:rFonts w:ascii="仿宋" w:hAnsi="仿宋" w:eastAsia="仿宋"/>
          <w:color w:val="auto"/>
          <w:sz w:val="24"/>
          <w:highlight w:val="none"/>
        </w:rPr>
        <w:t>本项目不接受联合体参与采购活动，供应商应以非联合体形式参加磋商，否则作无效响应处理。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．响应文件有效期</w:t>
      </w:r>
    </w:p>
    <w:p>
      <w:pPr>
        <w:spacing w:line="400" w:lineRule="exact"/>
        <w:ind w:firstLine="470" w:firstLineChars="196"/>
        <w:rPr>
          <w:rFonts w:ascii="仿宋" w:hAnsi="仿宋" w:eastAsia="仿宋"/>
          <w:color w:val="auto"/>
          <w:sz w:val="24"/>
          <w:highlight w:val="none"/>
        </w:rPr>
      </w:pPr>
      <w:r>
        <w:rPr>
          <w:rFonts w:ascii="仿宋" w:hAnsi="仿宋" w:eastAsia="仿宋"/>
          <w:color w:val="auto"/>
          <w:sz w:val="24"/>
          <w:highlight w:val="none"/>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．知识产权</w:t>
      </w:r>
    </w:p>
    <w:p>
      <w:pPr>
        <w:pStyle w:val="14"/>
        <w:spacing w:line="400" w:lineRule="exact"/>
        <w:ind w:firstLine="480" w:firstLineChars="200"/>
        <w:rPr>
          <w:rFonts w:ascii="仿宋" w:hAnsi="仿宋" w:eastAsia="仿宋"/>
          <w:bCs/>
          <w:color w:val="auto"/>
          <w:sz w:val="24"/>
          <w:szCs w:val="24"/>
          <w:highlight w:val="none"/>
        </w:rPr>
      </w:pPr>
      <w:r>
        <w:rPr>
          <w:rFonts w:ascii="仿宋" w:hAnsi="仿宋" w:eastAsia="仿宋"/>
          <w:bCs/>
          <w:color w:val="auto"/>
          <w:sz w:val="24"/>
          <w:szCs w:val="24"/>
          <w:highlight w:val="none"/>
        </w:rPr>
        <w:t>供应商应对以下有关知识产权进行承诺，否则作无效响应处理。</w:t>
      </w:r>
    </w:p>
    <w:p>
      <w:pPr>
        <w:pStyle w:val="14"/>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ascii="仿宋" w:hAnsi="仿宋" w:eastAsia="仿宋"/>
          <w:color w:val="auto"/>
          <w:sz w:val="24"/>
          <w:szCs w:val="24"/>
          <w:highlight w:val="none"/>
        </w:rPr>
        <w:t xml:space="preserve">.1 </w:t>
      </w:r>
      <w:r>
        <w:rPr>
          <w:rFonts w:ascii="仿宋" w:hAnsi="仿宋" w:eastAsia="仿宋"/>
          <w:color w:val="auto"/>
          <w:sz w:val="24"/>
          <w:highlight w:val="none"/>
        </w:rPr>
        <w:t>供应商</w:t>
      </w:r>
      <w:r>
        <w:rPr>
          <w:rFonts w:ascii="仿宋" w:hAnsi="仿宋" w:eastAsia="仿宋"/>
          <w:color w:val="auto"/>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hAnsi="仿宋" w:eastAsia="仿宋"/>
          <w:color w:val="auto"/>
          <w:sz w:val="24"/>
          <w:highlight w:val="none"/>
        </w:rPr>
        <w:t>供应商</w:t>
      </w:r>
      <w:r>
        <w:rPr>
          <w:rFonts w:ascii="仿宋" w:hAnsi="仿宋" w:eastAsia="仿宋"/>
          <w:color w:val="auto"/>
          <w:sz w:val="24"/>
          <w:szCs w:val="24"/>
          <w:highlight w:val="none"/>
        </w:rPr>
        <w:t>承担所有相关责任。</w:t>
      </w:r>
    </w:p>
    <w:p>
      <w:pPr>
        <w:pStyle w:val="14"/>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ascii="仿宋" w:hAnsi="仿宋" w:eastAsia="仿宋"/>
          <w:color w:val="auto"/>
          <w:sz w:val="24"/>
          <w:szCs w:val="24"/>
          <w:highlight w:val="none"/>
        </w:rPr>
        <w:t>.2 除非磋商文件特别规定，采购人享有本项目实施过程中产生的知识成果及知识产权。</w:t>
      </w:r>
    </w:p>
    <w:p>
      <w:pPr>
        <w:spacing w:line="400" w:lineRule="exact"/>
        <w:ind w:firstLine="480" w:firstLineChars="200"/>
        <w:rPr>
          <w:rFonts w:ascii="仿宋" w:hAnsi="仿宋" w:eastAsia="仿宋"/>
          <w:color w:val="auto"/>
          <w:sz w:val="32"/>
          <w:szCs w:val="32"/>
          <w:highlight w:val="none"/>
        </w:rPr>
      </w:pPr>
      <w:r>
        <w:rPr>
          <w:rFonts w:hint="eastAsia" w:ascii="仿宋" w:hAnsi="仿宋" w:eastAsia="仿宋"/>
          <w:color w:val="auto"/>
          <w:sz w:val="24"/>
          <w:highlight w:val="none"/>
        </w:rPr>
        <w:t>8</w:t>
      </w:r>
      <w:r>
        <w:rPr>
          <w:rFonts w:ascii="仿宋" w:hAnsi="仿宋" w:eastAsia="仿宋"/>
          <w:color w:val="auto"/>
          <w:sz w:val="24"/>
          <w:highlight w:val="none"/>
        </w:rPr>
        <w:t>.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r>
        <w:rPr>
          <w:rFonts w:ascii="仿宋" w:hAnsi="仿宋" w:eastAsia="仿宋"/>
          <w:b/>
          <w:color w:val="auto"/>
          <w:sz w:val="24"/>
          <w:highlight w:val="none"/>
        </w:rPr>
        <w:t>同时应当在响应文件中载明，并提供相关知识产权证明文件，否则视为供应商未在本项目实施过程中采用自有或者第三方知识成果，不影响有效性。</w:t>
      </w:r>
    </w:p>
    <w:p>
      <w:pPr>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.4 如采用供应商所不拥有的知识产权，则在报价中必须包括合法获取该知识产权的相关费用，</w:t>
      </w:r>
      <w:r>
        <w:rPr>
          <w:rFonts w:ascii="仿宋" w:hAnsi="仿宋" w:eastAsia="仿宋"/>
          <w:b/>
          <w:bCs/>
          <w:color w:val="auto"/>
          <w:sz w:val="24"/>
          <w:highlight w:val="none"/>
        </w:rPr>
        <w:t>采购人不再因</w:t>
      </w:r>
      <w:r>
        <w:rPr>
          <w:rFonts w:ascii="仿宋" w:hAnsi="仿宋" w:eastAsia="仿宋"/>
          <w:b/>
          <w:color w:val="auto"/>
          <w:sz w:val="24"/>
          <w:highlight w:val="none"/>
        </w:rPr>
        <w:t>供应商采用所不拥有的知识产权而另行支付任何费用</w:t>
      </w:r>
      <w:r>
        <w:rPr>
          <w:rFonts w:ascii="仿宋" w:hAnsi="仿宋" w:eastAsia="仿宋"/>
          <w:color w:val="auto"/>
          <w:sz w:val="24"/>
          <w:highlight w:val="none"/>
        </w:rPr>
        <w:t>。</w:t>
      </w:r>
    </w:p>
    <w:p>
      <w:pPr>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.5 根据《中华人民共和国政府采购法实施条例》第四十三条的规定，公告内容应当包括主要成交标的的名称、规格型号、数量、单价、服务要求以及评审专家名单。供应商需将响应文件中涉及商业秘密和知识产权的内容进行标注和说明。若未进行标注和说明的，视为全部内容均可公布，</w:t>
      </w:r>
      <w:r>
        <w:rPr>
          <w:rFonts w:hint="eastAsia" w:ascii="仿宋" w:hAnsi="仿宋" w:eastAsia="仿宋"/>
          <w:color w:val="auto"/>
          <w:sz w:val="24"/>
          <w:highlight w:val="none"/>
        </w:rPr>
        <w:t>采购人和</w:t>
      </w:r>
      <w:r>
        <w:rPr>
          <w:rFonts w:ascii="仿宋" w:hAnsi="仿宋" w:eastAsia="仿宋"/>
          <w:color w:val="auto"/>
          <w:sz w:val="24"/>
          <w:highlight w:val="none"/>
        </w:rPr>
        <w:t>采购代理机构对此不承担任何责任。</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32" w:name="_Toc217446038"/>
      <w:bookmarkStart w:id="33" w:name="_Toc36820985"/>
      <w:bookmarkStart w:id="34" w:name="_Toc183582209"/>
      <w:bookmarkStart w:id="35" w:name="_Toc183682346"/>
      <w:bookmarkStart w:id="36" w:name="_Toc89075875"/>
      <w:bookmarkStart w:id="37" w:name="_Toc12505"/>
      <w:bookmarkStart w:id="38" w:name="_Toc77400779"/>
      <w:r>
        <w:rPr>
          <w:rFonts w:ascii="仿宋" w:hAnsi="仿宋" w:eastAsia="仿宋"/>
          <w:color w:val="auto"/>
          <w:sz w:val="30"/>
          <w:szCs w:val="30"/>
          <w:highlight w:val="none"/>
        </w:rPr>
        <w:t>三、磋商文件</w:t>
      </w:r>
      <w:bookmarkEnd w:id="32"/>
      <w:bookmarkEnd w:id="33"/>
      <w:bookmarkEnd w:id="34"/>
      <w:bookmarkEnd w:id="35"/>
      <w:bookmarkEnd w:id="36"/>
      <w:bookmarkEnd w:id="37"/>
      <w:bookmarkEnd w:id="38"/>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39" w:name="_Toc183682347"/>
      <w:bookmarkStart w:id="40" w:name="_Toc217446039"/>
      <w:bookmarkStart w:id="41" w:name="_Toc183582210"/>
      <w:r>
        <w:rPr>
          <w:rFonts w:hint="eastAsia" w:ascii="仿宋" w:hAnsi="仿宋" w:eastAsia="仿宋"/>
          <w:color w:val="auto"/>
          <w:sz w:val="24"/>
          <w:highlight w:val="none"/>
        </w:rPr>
        <w:t>9</w:t>
      </w:r>
      <w:r>
        <w:rPr>
          <w:rFonts w:ascii="仿宋" w:hAnsi="仿宋" w:eastAsia="仿宋"/>
          <w:color w:val="auto"/>
          <w:sz w:val="24"/>
          <w:highlight w:val="none"/>
        </w:rPr>
        <w:t>．磋商文件的构成</w:t>
      </w:r>
      <w:bookmarkEnd w:id="39"/>
      <w:bookmarkEnd w:id="40"/>
      <w:bookmarkEnd w:id="41"/>
    </w:p>
    <w:p>
      <w:pPr>
        <w:tabs>
          <w:tab w:val="left" w:pos="720"/>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b/>
          <w:bCs/>
          <w:color w:val="auto"/>
          <w:sz w:val="24"/>
          <w:highlight w:val="none"/>
        </w:rPr>
        <w:t>.</w:t>
      </w:r>
      <w:r>
        <w:rPr>
          <w:rFonts w:ascii="仿宋" w:hAnsi="仿宋" w:eastAsia="仿宋"/>
          <w:color w:val="auto"/>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b/>
          <w:bCs/>
          <w:color w:val="auto"/>
          <w:sz w:val="24"/>
          <w:highlight w:val="none"/>
        </w:rPr>
        <w:t>.</w:t>
      </w:r>
      <w:r>
        <w:rPr>
          <w:rFonts w:ascii="仿宋" w:hAnsi="仿宋" w:eastAsia="仿宋"/>
          <w:color w:val="auto"/>
          <w:sz w:val="24"/>
          <w:highlight w:val="none"/>
        </w:rPr>
        <w:t>2 供应商应认真阅读和充分理解磋商文件中所有的事项、格式条款和规范要求。供应商应详细阅读磋商文件的全部内容，按照磋商文件的要求提供响应文件，并对其所提供的全部资料的真实性和有效性负责，一经发现有虚假行为的，将取消其成交资格，并承担相应的法律责任。</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42" w:name="_Toc183682348"/>
      <w:bookmarkStart w:id="43" w:name="_Toc183582211"/>
      <w:bookmarkStart w:id="44" w:name="_Toc217446040"/>
      <w:r>
        <w:rPr>
          <w:rFonts w:ascii="仿宋" w:hAnsi="仿宋" w:eastAsia="仿宋"/>
          <w:color w:val="auto"/>
          <w:sz w:val="24"/>
          <w:highlight w:val="none"/>
        </w:rPr>
        <w:t>1</w:t>
      </w:r>
      <w:r>
        <w:rPr>
          <w:rFonts w:hint="eastAsia" w:ascii="仿宋" w:hAnsi="仿宋" w:eastAsia="仿宋"/>
          <w:color w:val="auto"/>
          <w:sz w:val="24"/>
          <w:highlight w:val="none"/>
        </w:rPr>
        <w:t>0</w:t>
      </w:r>
      <w:r>
        <w:rPr>
          <w:rFonts w:ascii="仿宋" w:hAnsi="仿宋" w:eastAsia="仿宋"/>
          <w:color w:val="auto"/>
          <w:sz w:val="24"/>
          <w:highlight w:val="none"/>
        </w:rPr>
        <w:t>．磋商文件的澄清</w:t>
      </w:r>
      <w:bookmarkEnd w:id="42"/>
      <w:bookmarkEnd w:id="43"/>
      <w:r>
        <w:rPr>
          <w:rFonts w:ascii="仿宋" w:hAnsi="仿宋" w:eastAsia="仿宋"/>
          <w:color w:val="auto"/>
          <w:sz w:val="24"/>
          <w:highlight w:val="none"/>
        </w:rPr>
        <w:t>和修改</w:t>
      </w:r>
      <w:bookmarkEnd w:id="44"/>
    </w:p>
    <w:p>
      <w:pPr>
        <w:tabs>
          <w:tab w:val="left" w:pos="720"/>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w:t>
      </w:r>
      <w:r>
        <w:rPr>
          <w:rFonts w:ascii="仿宋" w:hAnsi="仿宋" w:eastAsia="仿宋"/>
          <w:color w:val="auto"/>
          <w:sz w:val="24"/>
          <w:highlight w:val="none"/>
        </w:rPr>
        <w:t>.1 在递交响应文件截止时间前，采购人、采购代理机构可以对磋商文件进行澄清或者修改。</w:t>
      </w:r>
    </w:p>
    <w:p>
      <w:pPr>
        <w:tabs>
          <w:tab w:val="left" w:pos="720"/>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w:t>
      </w:r>
      <w:r>
        <w:rPr>
          <w:rFonts w:ascii="仿宋" w:hAnsi="仿宋" w:eastAsia="仿宋"/>
          <w:color w:val="auto"/>
          <w:sz w:val="24"/>
          <w:highlight w:val="none"/>
        </w:rPr>
        <w:t>.2 采购代理机构对已发出的磋商文件进行澄清或者修改，应当以书面形式将澄清或者修改的内容通知所有</w:t>
      </w:r>
      <w:r>
        <w:rPr>
          <w:rFonts w:hint="eastAsia" w:ascii="仿宋" w:hAnsi="仿宋" w:eastAsia="仿宋"/>
          <w:color w:val="auto"/>
          <w:sz w:val="24"/>
          <w:highlight w:val="none"/>
          <w:lang w:val="en-US" w:eastAsia="zh-CN"/>
        </w:rPr>
        <w:t>获取</w:t>
      </w:r>
      <w:r>
        <w:rPr>
          <w:rFonts w:ascii="仿宋" w:hAnsi="仿宋" w:eastAsia="仿宋"/>
          <w:color w:val="auto"/>
          <w:sz w:val="24"/>
          <w:highlight w:val="none"/>
        </w:rPr>
        <w:t>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20"/>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0</w:t>
      </w:r>
      <w:r>
        <w:rPr>
          <w:rFonts w:ascii="仿宋" w:hAnsi="仿宋" w:eastAsia="仿宋"/>
          <w:color w:val="auto"/>
          <w:sz w:val="24"/>
          <w:highlight w:val="none"/>
        </w:rPr>
        <w:t>.3供应商认为采购人/采购代理机构需要对磋商文件进行澄清或者修改的，可以在5日前以书面形式向采购人/采购代理机构提出申请，由采购人/采购代理机构决定是否采纳供应商的申请事项。</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45" w:name="_Toc217446041"/>
      <w:bookmarkStart w:id="46" w:name="_Toc208848971"/>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．答疑会和现场考察</w:t>
      </w:r>
      <w:bookmarkEnd w:id="45"/>
      <w:bookmarkEnd w:id="46"/>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.1 根据采购项目和具体情况，采购人、采购代理机构认为有必要，可以在磋商文件提供期限截止后响应文件提交截止前，组织已获取磋商文件的潜在供应商现场考察或者召开答疑会。</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1</w:t>
      </w:r>
      <w:r>
        <w:rPr>
          <w:rFonts w:ascii="仿宋" w:hAnsi="仿宋" w:eastAsia="仿宋"/>
          <w:color w:val="auto"/>
          <w:sz w:val="24"/>
          <w:highlight w:val="none"/>
        </w:rPr>
        <w:t>.3 供应商考察现场或者参加答疑会所发生的一切费用由供应商自己承担。</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47" w:name="_Toc36820986"/>
      <w:bookmarkStart w:id="48" w:name="_Toc183682351"/>
      <w:bookmarkStart w:id="49" w:name="_Toc217446042"/>
      <w:bookmarkStart w:id="50" w:name="_Toc183582214"/>
      <w:bookmarkStart w:id="51" w:name="_Toc77400780"/>
      <w:bookmarkStart w:id="52" w:name="_Toc26736"/>
      <w:bookmarkStart w:id="53" w:name="_Toc89075876"/>
      <w:r>
        <w:rPr>
          <w:rFonts w:ascii="仿宋" w:hAnsi="仿宋" w:eastAsia="仿宋"/>
          <w:color w:val="auto"/>
          <w:sz w:val="30"/>
          <w:szCs w:val="30"/>
          <w:highlight w:val="none"/>
        </w:rPr>
        <w:t>四、响应文件</w:t>
      </w:r>
      <w:bookmarkEnd w:id="47"/>
      <w:bookmarkEnd w:id="48"/>
      <w:bookmarkEnd w:id="49"/>
      <w:bookmarkEnd w:id="50"/>
      <w:bookmarkEnd w:id="51"/>
      <w:bookmarkEnd w:id="52"/>
      <w:bookmarkEnd w:id="53"/>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54" w:name="_Toc217446043"/>
      <w:bookmarkStart w:id="55" w:name="_Toc183682352"/>
      <w:bookmarkStart w:id="56" w:name="_Toc183582215"/>
      <w:r>
        <w:rPr>
          <w:rFonts w:ascii="仿宋" w:hAnsi="仿宋" w:eastAsia="仿宋"/>
          <w:color w:val="auto"/>
          <w:sz w:val="24"/>
          <w:highlight w:val="none"/>
        </w:rPr>
        <w:t>1</w:t>
      </w:r>
      <w:r>
        <w:rPr>
          <w:rFonts w:hint="eastAsia" w:ascii="仿宋" w:hAnsi="仿宋" w:eastAsia="仿宋"/>
          <w:color w:val="auto"/>
          <w:sz w:val="24"/>
          <w:highlight w:val="none"/>
        </w:rPr>
        <w:t>2</w:t>
      </w:r>
      <w:r>
        <w:rPr>
          <w:rFonts w:ascii="仿宋" w:hAnsi="仿宋" w:eastAsia="仿宋"/>
          <w:color w:val="auto"/>
          <w:sz w:val="24"/>
          <w:highlight w:val="none"/>
        </w:rPr>
        <w:t>．响应文件的组成</w:t>
      </w:r>
    </w:p>
    <w:p>
      <w:pPr>
        <w:spacing w:line="400" w:lineRule="exact"/>
        <w:ind w:left="2" w:leftChars="1" w:firstLine="480" w:firstLineChars="200"/>
        <w:rPr>
          <w:rFonts w:ascii="仿宋" w:hAnsi="仿宋" w:eastAsia="仿宋"/>
          <w:color w:val="auto"/>
          <w:sz w:val="24"/>
          <w:highlight w:val="none"/>
        </w:rPr>
      </w:pPr>
      <w:r>
        <w:rPr>
          <w:rFonts w:ascii="仿宋" w:hAnsi="仿宋" w:eastAsia="仿宋"/>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w:t>
      </w:r>
      <w:r>
        <w:rPr>
          <w:rFonts w:ascii="仿宋" w:hAnsi="仿宋" w:eastAsia="仿宋"/>
          <w:b/>
          <w:color w:val="auto"/>
          <w:sz w:val="24"/>
          <w:highlight w:val="none"/>
        </w:rPr>
        <w:t>资格性响应文件</w:t>
      </w:r>
      <w:r>
        <w:rPr>
          <w:rFonts w:ascii="仿宋" w:hAnsi="仿宋" w:eastAsia="仿宋"/>
          <w:color w:val="auto"/>
          <w:sz w:val="24"/>
          <w:highlight w:val="none"/>
        </w:rPr>
        <w:t>和</w:t>
      </w:r>
      <w:r>
        <w:rPr>
          <w:rFonts w:ascii="仿宋" w:hAnsi="仿宋" w:eastAsia="仿宋"/>
          <w:b/>
          <w:color w:val="auto"/>
          <w:sz w:val="24"/>
          <w:highlight w:val="none"/>
        </w:rPr>
        <w:t>其他响应文件</w:t>
      </w:r>
      <w:r>
        <w:rPr>
          <w:rFonts w:ascii="仿宋" w:hAnsi="仿宋" w:eastAsia="仿宋"/>
          <w:color w:val="auto"/>
          <w:sz w:val="24"/>
          <w:highlight w:val="none"/>
        </w:rPr>
        <w:t>两部分，分册装订，否则作无效响应处理。</w:t>
      </w:r>
    </w:p>
    <w:p>
      <w:pPr>
        <w:spacing w:line="400" w:lineRule="exact"/>
        <w:ind w:left="2" w:leftChars="1" w:firstLine="480" w:firstLineChars="200"/>
        <w:rPr>
          <w:rFonts w:ascii="仿宋" w:hAnsi="仿宋" w:eastAsia="仿宋"/>
          <w:b/>
          <w:color w:val="auto"/>
          <w:sz w:val="24"/>
          <w:highlight w:val="none"/>
        </w:rPr>
      </w:pPr>
      <w:r>
        <w:rPr>
          <w:rFonts w:ascii="仿宋" w:hAnsi="仿宋" w:eastAsia="仿宋"/>
          <w:b/>
          <w:color w:val="auto"/>
          <w:sz w:val="24"/>
          <w:highlight w:val="none"/>
        </w:rPr>
        <w:t>资格性响应文件用于资格审查，应包括供应商响应磋商文件要求的资格条件的所有证明材料。（详见竞争性磋商文件第三章、第四章）</w:t>
      </w:r>
    </w:p>
    <w:p>
      <w:pPr>
        <w:spacing w:line="400" w:lineRule="exact"/>
        <w:ind w:left="2" w:leftChars="1" w:firstLine="480" w:firstLineChars="200"/>
        <w:rPr>
          <w:rFonts w:ascii="仿宋" w:hAnsi="仿宋" w:eastAsia="仿宋"/>
          <w:b/>
          <w:color w:val="auto"/>
          <w:sz w:val="24"/>
          <w:highlight w:val="none"/>
        </w:rPr>
      </w:pPr>
      <w:r>
        <w:rPr>
          <w:rFonts w:ascii="仿宋" w:hAnsi="仿宋" w:eastAsia="仿宋"/>
          <w:b/>
          <w:color w:val="auto"/>
          <w:sz w:val="24"/>
          <w:highlight w:val="none"/>
        </w:rPr>
        <w:t>其他响应文件用于磋商，应包括供应商响应磋商文件要求的资格条件以外的所有材料。（详见竞争性磋商文件第八章）</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r>
        <w:rPr>
          <w:rFonts w:ascii="仿宋" w:hAnsi="仿宋" w:eastAsia="仿宋"/>
          <w:color w:val="auto"/>
          <w:sz w:val="24"/>
          <w:highlight w:val="none"/>
        </w:rPr>
        <w:t>．响应文件的语言</w:t>
      </w:r>
      <w:bookmarkEnd w:id="54"/>
      <w:bookmarkEnd w:id="55"/>
      <w:bookmarkEnd w:id="56"/>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r>
        <w:rPr>
          <w:rFonts w:ascii="仿宋" w:hAnsi="仿宋" w:eastAsia="仿宋"/>
          <w:color w:val="auto"/>
          <w:sz w:val="24"/>
          <w:highlight w:val="none"/>
        </w:rPr>
        <w:t>.1 供应商提交的响应文件以及供应商与采购人、采购代理机构就有关竞争性磋商活动的所有来往书面文件均须使用中文。响应文件中如附有外文资料，必须逐一对应翻译成中文并加盖供应商公章后附在相关外文资料后面。</w:t>
      </w:r>
      <w:r>
        <w:rPr>
          <w:rFonts w:hint="eastAsia" w:ascii="仿宋" w:hAnsi="仿宋" w:eastAsia="仿宋"/>
          <w:color w:val="auto"/>
          <w:sz w:val="24"/>
          <w:highlight w:val="none"/>
        </w:rPr>
        <w:t>[</w:t>
      </w:r>
      <w:r>
        <w:rPr>
          <w:rFonts w:ascii="仿宋" w:hAnsi="仿宋" w:eastAsia="仿宋"/>
          <w:color w:val="auto"/>
          <w:sz w:val="24"/>
          <w:highlight w:val="none"/>
        </w:rPr>
        <w:t>说明：供应商的法定代表人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为外籍人士的，法定代表人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的签字和护照除外。</w:t>
      </w:r>
      <w:r>
        <w:rPr>
          <w:rFonts w:hint="eastAsia" w:ascii="仿宋" w:hAnsi="仿宋" w:eastAsia="仿宋"/>
          <w:color w:val="auto"/>
          <w:sz w:val="24"/>
          <w:highlight w:val="none"/>
        </w:rPr>
        <w:t>]</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3</w:t>
      </w:r>
      <w:r>
        <w:rPr>
          <w:rFonts w:ascii="仿宋" w:hAnsi="仿宋" w:eastAsia="仿宋"/>
          <w:color w:val="auto"/>
          <w:sz w:val="24"/>
          <w:highlight w:val="none"/>
        </w:rPr>
        <w:t>.2对不同文字文本响应文件的解释发生异议的，以中文文本为准。若供应商响应文件中提供的外文资料未翻译成中文，则磋商小组可将其视为无效材料。</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57" w:name="_Toc183582216"/>
      <w:bookmarkStart w:id="58" w:name="_Toc217446044"/>
      <w:bookmarkStart w:id="59" w:name="_Toc183682353"/>
      <w:r>
        <w:rPr>
          <w:rFonts w:ascii="仿宋" w:hAnsi="仿宋" w:eastAsia="仿宋"/>
          <w:color w:val="auto"/>
          <w:sz w:val="24"/>
          <w:highlight w:val="none"/>
        </w:rPr>
        <w:t>1</w:t>
      </w:r>
      <w:r>
        <w:rPr>
          <w:rFonts w:hint="eastAsia" w:ascii="仿宋" w:hAnsi="仿宋" w:eastAsia="仿宋"/>
          <w:color w:val="auto"/>
          <w:sz w:val="24"/>
          <w:highlight w:val="none"/>
        </w:rPr>
        <w:t>4</w:t>
      </w:r>
      <w:r>
        <w:rPr>
          <w:rFonts w:ascii="仿宋" w:hAnsi="仿宋" w:eastAsia="仿宋"/>
          <w:color w:val="auto"/>
          <w:sz w:val="24"/>
          <w:highlight w:val="none"/>
        </w:rPr>
        <w:t>．计量单位</w:t>
      </w:r>
      <w:bookmarkEnd w:id="57"/>
      <w:bookmarkEnd w:id="58"/>
      <w:bookmarkEnd w:id="59"/>
    </w:p>
    <w:p>
      <w:pPr>
        <w:spacing w:line="400" w:lineRule="exact"/>
        <w:ind w:firstLine="470" w:firstLineChars="196"/>
        <w:rPr>
          <w:rFonts w:ascii="仿宋" w:hAnsi="仿宋" w:eastAsia="仿宋"/>
          <w:color w:val="auto"/>
          <w:sz w:val="24"/>
          <w:highlight w:val="none"/>
        </w:rPr>
      </w:pPr>
      <w:r>
        <w:rPr>
          <w:rFonts w:ascii="仿宋" w:hAnsi="仿宋" w:eastAsia="仿宋"/>
          <w:color w:val="auto"/>
          <w:sz w:val="24"/>
          <w:highlight w:val="none"/>
        </w:rPr>
        <w:t>除磋商文件中另有规定外，本次采购项目所有合同项下的报价均采用国家法定的计量单位。</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60" w:name="_Toc217446045"/>
      <w:r>
        <w:rPr>
          <w:rFonts w:ascii="仿宋" w:hAnsi="仿宋" w:eastAsia="仿宋"/>
          <w:color w:val="auto"/>
          <w:sz w:val="24"/>
          <w:highlight w:val="none"/>
        </w:rPr>
        <w:t>1</w:t>
      </w:r>
      <w:r>
        <w:rPr>
          <w:rFonts w:hint="eastAsia" w:ascii="仿宋" w:hAnsi="仿宋" w:eastAsia="仿宋"/>
          <w:color w:val="auto"/>
          <w:sz w:val="24"/>
          <w:highlight w:val="none"/>
        </w:rPr>
        <w:t>5</w:t>
      </w:r>
      <w:r>
        <w:rPr>
          <w:rFonts w:ascii="仿宋" w:hAnsi="仿宋" w:eastAsia="仿宋"/>
          <w:color w:val="auto"/>
          <w:sz w:val="24"/>
          <w:highlight w:val="none"/>
        </w:rPr>
        <w:t>．报价货币</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本次磋商项目的</w:t>
      </w:r>
      <w:r>
        <w:rPr>
          <w:rFonts w:ascii="仿宋" w:hAnsi="仿宋" w:eastAsia="仿宋"/>
          <w:color w:val="auto"/>
          <w:sz w:val="24"/>
          <w:highlight w:val="none"/>
        </w:rPr>
        <w:t>报价货币为</w:t>
      </w:r>
      <w:r>
        <w:rPr>
          <w:rFonts w:ascii="仿宋" w:hAnsi="仿宋" w:eastAsia="仿宋"/>
          <w:bCs/>
          <w:color w:val="auto"/>
          <w:sz w:val="24"/>
          <w:highlight w:val="none"/>
        </w:rPr>
        <w:t>人民币，报价以磋商文件规定为准。</w:t>
      </w:r>
    </w:p>
    <w:bookmarkEnd w:id="60"/>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6</w:t>
      </w:r>
      <w:r>
        <w:rPr>
          <w:rFonts w:ascii="仿宋" w:hAnsi="仿宋" w:eastAsia="仿宋"/>
          <w:color w:val="auto"/>
          <w:sz w:val="24"/>
          <w:highlight w:val="none"/>
        </w:rPr>
        <w:t>．响应文件格式</w:t>
      </w:r>
    </w:p>
    <w:p>
      <w:pPr>
        <w:spacing w:line="400" w:lineRule="exact"/>
        <w:ind w:left="2" w:leftChars="1" w:firstLine="480" w:firstLineChars="200"/>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6</w:t>
      </w:r>
      <w:r>
        <w:rPr>
          <w:rFonts w:ascii="仿宋" w:hAnsi="仿宋" w:eastAsia="仿宋"/>
          <w:bCs/>
          <w:color w:val="auto"/>
          <w:sz w:val="24"/>
          <w:highlight w:val="none"/>
        </w:rPr>
        <w:t>.1 供应商应执行磋商文件第八章的规定要求。</w:t>
      </w:r>
    </w:p>
    <w:p>
      <w:pPr>
        <w:spacing w:line="400" w:lineRule="exact"/>
        <w:ind w:left="2" w:leftChars="1"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6</w:t>
      </w:r>
      <w:r>
        <w:rPr>
          <w:rFonts w:ascii="仿宋" w:hAnsi="仿宋" w:eastAsia="仿宋"/>
          <w:color w:val="auto"/>
          <w:sz w:val="24"/>
          <w:highlight w:val="none"/>
        </w:rPr>
        <w:t>.2 对于没有格式要求的磋商文件由供应商自行编写。</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61" w:name="_Toc217446051"/>
      <w:bookmarkStart w:id="62" w:name="_Toc183682361"/>
      <w:bookmarkStart w:id="63" w:name="_Toc183582224"/>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．响应文件的编制和签署</w:t>
      </w:r>
    </w:p>
    <w:p>
      <w:pPr>
        <w:spacing w:line="400" w:lineRule="exact"/>
        <w:ind w:firstLine="468" w:firstLineChars="195"/>
        <w:rPr>
          <w:rFonts w:ascii="仿宋" w:hAnsi="仿宋" w:eastAsia="仿宋"/>
          <w:bCs/>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 资格性响应文件正本</w:t>
      </w:r>
      <w:r>
        <w:rPr>
          <w:rFonts w:ascii="仿宋" w:hAnsi="仿宋" w:eastAsia="仿宋"/>
          <w:b/>
          <w:color w:val="auto"/>
          <w:sz w:val="24"/>
          <w:highlight w:val="none"/>
          <w:u w:val="single"/>
        </w:rPr>
        <w:t>一</w:t>
      </w:r>
      <w:r>
        <w:rPr>
          <w:rFonts w:ascii="仿宋" w:hAnsi="仿宋" w:eastAsia="仿宋"/>
          <w:b/>
          <w:color w:val="auto"/>
          <w:sz w:val="24"/>
          <w:highlight w:val="none"/>
        </w:rPr>
        <w:t>份</w:t>
      </w:r>
      <w:r>
        <w:rPr>
          <w:rFonts w:ascii="仿宋" w:hAnsi="仿宋" w:eastAsia="仿宋"/>
          <w:color w:val="auto"/>
          <w:sz w:val="24"/>
          <w:highlight w:val="none"/>
        </w:rPr>
        <w:t>副本</w:t>
      </w:r>
      <w:r>
        <w:rPr>
          <w:rFonts w:ascii="仿宋" w:hAnsi="仿宋" w:eastAsia="仿宋"/>
          <w:b/>
          <w:color w:val="auto"/>
          <w:sz w:val="24"/>
          <w:highlight w:val="none"/>
          <w:u w:val="single"/>
        </w:rPr>
        <w:t>两</w:t>
      </w:r>
      <w:r>
        <w:rPr>
          <w:rFonts w:ascii="仿宋" w:hAnsi="仿宋" w:eastAsia="仿宋"/>
          <w:b/>
          <w:color w:val="auto"/>
          <w:sz w:val="24"/>
          <w:highlight w:val="none"/>
        </w:rPr>
        <w:t>份</w:t>
      </w:r>
      <w:r>
        <w:rPr>
          <w:rFonts w:ascii="仿宋" w:hAnsi="仿宋" w:eastAsia="仿宋"/>
          <w:bCs/>
          <w:color w:val="auto"/>
          <w:sz w:val="24"/>
          <w:highlight w:val="none"/>
        </w:rPr>
        <w:t>，正副本数量不足的按无效响应处理。</w:t>
      </w:r>
      <w:r>
        <w:rPr>
          <w:rFonts w:ascii="仿宋" w:hAnsi="仿宋" w:eastAsia="仿宋"/>
          <w:color w:val="auto"/>
          <w:sz w:val="24"/>
          <w:highlight w:val="none"/>
        </w:rPr>
        <w:t>资格性响应文件正本和副本应分别制作。资格性响应文件</w:t>
      </w:r>
      <w:r>
        <w:rPr>
          <w:rFonts w:ascii="仿宋" w:hAnsi="仿宋" w:eastAsia="仿宋"/>
          <w:bCs/>
          <w:color w:val="auto"/>
          <w:sz w:val="24"/>
          <w:highlight w:val="none"/>
        </w:rPr>
        <w:t>封面上清楚地标明资格性响应文件、采购项目名称、采购项目编号、供应商名称以及“正本”或“副本”字样。若正本和副本有不一致的内容，以正本书面响应文件为准。</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.2 其他响应文件正本</w:t>
      </w:r>
      <w:r>
        <w:rPr>
          <w:rFonts w:ascii="仿宋" w:hAnsi="仿宋" w:eastAsia="仿宋"/>
          <w:b/>
          <w:bCs/>
          <w:color w:val="auto"/>
          <w:sz w:val="24"/>
          <w:highlight w:val="none"/>
          <w:u w:val="single"/>
        </w:rPr>
        <w:t>一</w:t>
      </w:r>
      <w:r>
        <w:rPr>
          <w:rFonts w:ascii="仿宋" w:hAnsi="仿宋" w:eastAsia="仿宋"/>
          <w:b/>
          <w:bCs/>
          <w:color w:val="auto"/>
          <w:sz w:val="24"/>
          <w:highlight w:val="none"/>
        </w:rPr>
        <w:t>份</w:t>
      </w:r>
      <w:r>
        <w:rPr>
          <w:rFonts w:ascii="仿宋" w:hAnsi="仿宋" w:eastAsia="仿宋"/>
          <w:bCs/>
          <w:color w:val="auto"/>
          <w:sz w:val="24"/>
          <w:highlight w:val="none"/>
        </w:rPr>
        <w:t>副本</w:t>
      </w:r>
      <w:r>
        <w:rPr>
          <w:rFonts w:ascii="仿宋" w:hAnsi="仿宋" w:eastAsia="仿宋"/>
          <w:b/>
          <w:bCs/>
          <w:color w:val="auto"/>
          <w:sz w:val="24"/>
          <w:highlight w:val="none"/>
          <w:u w:val="single"/>
        </w:rPr>
        <w:t>两</w:t>
      </w:r>
      <w:r>
        <w:rPr>
          <w:rFonts w:ascii="仿宋" w:hAnsi="仿宋" w:eastAsia="仿宋"/>
          <w:b/>
          <w:bCs/>
          <w:color w:val="auto"/>
          <w:sz w:val="24"/>
          <w:highlight w:val="none"/>
        </w:rPr>
        <w:t>份</w:t>
      </w:r>
      <w:r>
        <w:rPr>
          <w:rFonts w:ascii="仿宋" w:hAnsi="仿宋" w:eastAsia="仿宋"/>
          <w:bCs/>
          <w:color w:val="auto"/>
          <w:sz w:val="24"/>
          <w:highlight w:val="none"/>
        </w:rPr>
        <w:t>，正副本数量不足的按无效响应处理。</w:t>
      </w:r>
      <w:r>
        <w:rPr>
          <w:rFonts w:ascii="仿宋" w:hAnsi="仿宋" w:eastAsia="仿宋"/>
          <w:color w:val="auto"/>
          <w:sz w:val="24"/>
          <w:highlight w:val="none"/>
        </w:rPr>
        <w:t>其他响应文件正本和副本应分别制作。其他响应文件</w:t>
      </w:r>
      <w:r>
        <w:rPr>
          <w:rFonts w:ascii="仿宋" w:hAnsi="仿宋" w:eastAsia="仿宋"/>
          <w:bCs/>
          <w:color w:val="auto"/>
          <w:sz w:val="24"/>
          <w:highlight w:val="none"/>
        </w:rPr>
        <w:t>封面上清楚地标明其他响应文件、采购项目名称、采购项目编号、供应商名称以及“正本”或“副本”字样。若正本和副本有不一致的内容，以正本书面响应文件为准。</w:t>
      </w:r>
    </w:p>
    <w:bookmarkEnd w:id="61"/>
    <w:bookmarkEnd w:id="62"/>
    <w:bookmarkEnd w:id="63"/>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.3响应文件的打印和书写清楚工整。</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.4响应文件编制目录并逐页编码。</w:t>
      </w:r>
    </w:p>
    <w:p>
      <w:pPr>
        <w:spacing w:line="400" w:lineRule="exact"/>
        <w:ind w:firstLine="468" w:firstLineChars="195"/>
        <w:rPr>
          <w:rFonts w:ascii="仿宋" w:hAnsi="仿宋" w:eastAsia="仿宋"/>
          <w:bCs/>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.5响应文件统一用A4幅面纸印制，另有规定除外。</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6响应文件应在磋商文件要求签字的地方签字或加盖印章（供应商为法人的，由其法定代表人或者代理人签字或加盖印章；供应商为其他组织的，由其负责人或者代理人签字或加盖印章；供应商为自然人的，由其本人</w:t>
      </w:r>
      <w:r>
        <w:rPr>
          <w:rFonts w:hint="eastAsia" w:ascii="仿宋" w:hAnsi="仿宋" w:eastAsia="仿宋"/>
          <w:color w:val="auto"/>
          <w:sz w:val="24"/>
          <w:highlight w:val="none"/>
        </w:rPr>
        <w:t>（经营者）</w:t>
      </w:r>
      <w:r>
        <w:rPr>
          <w:rFonts w:ascii="仿宋" w:hAnsi="仿宋" w:eastAsia="仿宋"/>
          <w:bCs/>
          <w:color w:val="auto"/>
          <w:sz w:val="24"/>
          <w:highlight w:val="none"/>
        </w:rPr>
        <w:t>或者代理人签字或加盖印章），要求加盖公章的地方加盖单位公章，不得使用专用章（如经济合同章、投标专用章等）或下属单位印章代替。本文件加盖单位公章均要求加盖公章鲜章。</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.7响应文件中</w:t>
      </w:r>
      <w:r>
        <w:rPr>
          <w:rFonts w:ascii="仿宋" w:hAnsi="仿宋" w:eastAsia="仿宋"/>
          <w:color w:val="auto"/>
          <w:sz w:val="24"/>
          <w:highlight w:val="none"/>
        </w:rPr>
        <w:t>任何行间插字、涂改或增删，必须由供应商的法定代表人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或其授权代表签字并盖供应商公章</w:t>
      </w:r>
      <w:r>
        <w:rPr>
          <w:rFonts w:hint="eastAsia" w:ascii="仿宋" w:hAnsi="仿宋" w:eastAsia="仿宋"/>
          <w:color w:val="auto"/>
          <w:sz w:val="24"/>
          <w:highlight w:val="none"/>
        </w:rPr>
        <w:t>。</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.8响应文件正本和副本应当采用胶装方式装订成册，不得散装或者合页装订。</w:t>
      </w:r>
    </w:p>
    <w:p>
      <w:pPr>
        <w:spacing w:line="400" w:lineRule="exact"/>
        <w:ind w:firstLine="468" w:firstLineChars="195"/>
        <w:rPr>
          <w:rFonts w:ascii="仿宋" w:hAnsi="仿宋" w:eastAsia="仿宋"/>
          <w:bCs/>
          <w:color w:val="auto"/>
          <w:sz w:val="24"/>
          <w:highlight w:val="none"/>
        </w:rPr>
      </w:pPr>
      <w:r>
        <w:rPr>
          <w:rFonts w:ascii="仿宋" w:hAnsi="仿宋" w:eastAsia="仿宋"/>
          <w:bCs/>
          <w:color w:val="auto"/>
          <w:sz w:val="24"/>
          <w:highlight w:val="none"/>
        </w:rPr>
        <w:t>1</w:t>
      </w:r>
      <w:r>
        <w:rPr>
          <w:rFonts w:hint="eastAsia" w:ascii="仿宋" w:hAnsi="仿宋" w:eastAsia="仿宋"/>
          <w:bCs/>
          <w:color w:val="auto"/>
          <w:sz w:val="24"/>
          <w:highlight w:val="none"/>
        </w:rPr>
        <w:t>7</w:t>
      </w:r>
      <w:r>
        <w:rPr>
          <w:rFonts w:ascii="仿宋" w:hAnsi="仿宋" w:eastAsia="仿宋"/>
          <w:bCs/>
          <w:color w:val="auto"/>
          <w:sz w:val="24"/>
          <w:highlight w:val="none"/>
        </w:rPr>
        <w:t>.9响应文件应根据磋商文件的要求制作，响应文件副本可采用正本的复印件。</w:t>
      </w:r>
    </w:p>
    <w:p>
      <w:pPr>
        <w:tabs>
          <w:tab w:val="left" w:pos="1080"/>
        </w:tabs>
        <w:spacing w:line="400" w:lineRule="exact"/>
        <w:ind w:firstLine="460" w:firstLineChars="192"/>
        <w:rPr>
          <w:rFonts w:ascii="仿宋" w:hAnsi="仿宋" w:eastAsia="仿宋"/>
          <w:color w:val="auto"/>
          <w:sz w:val="24"/>
          <w:highlight w:val="none"/>
        </w:rPr>
      </w:pPr>
      <w:bookmarkStart w:id="64" w:name="_Toc217446053"/>
      <w:bookmarkStart w:id="65" w:name="_Toc183582226"/>
      <w:bookmarkStart w:id="66" w:name="_Toc89075877"/>
      <w:bookmarkStart w:id="67" w:name="_Toc183682363"/>
      <w:bookmarkStart w:id="68" w:name="_Toc77400781"/>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.10电子文档</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.10.1电子文档一份为响应文件Word或WPS版本，一份为PDF版本。电子文档保存介质使用</w:t>
      </w:r>
      <w:r>
        <w:rPr>
          <w:rFonts w:ascii="仿宋" w:hAnsi="仿宋" w:eastAsia="仿宋"/>
          <w:b/>
          <w:color w:val="auto"/>
          <w:sz w:val="24"/>
          <w:highlight w:val="none"/>
        </w:rPr>
        <w:t>USB闪存盘（U盘）</w:t>
      </w:r>
      <w:r>
        <w:rPr>
          <w:rFonts w:ascii="仿宋" w:hAnsi="仿宋" w:eastAsia="仿宋"/>
          <w:color w:val="auto"/>
          <w:sz w:val="24"/>
          <w:highlight w:val="none"/>
        </w:rPr>
        <w:t>。PDF版的电子文档可以为按磋商文件要求制作完成并加盖相应公章及签名的响应文件的扫描件；也可为加盖了相应电子签名或电子印章的响应文件电子文档。</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7</w:t>
      </w:r>
      <w:r>
        <w:rPr>
          <w:rFonts w:ascii="仿宋" w:hAnsi="仿宋" w:eastAsia="仿宋"/>
          <w:color w:val="auto"/>
          <w:sz w:val="24"/>
          <w:highlight w:val="none"/>
        </w:rPr>
        <w:t>.10.2若电子文档与书面响应文件有不一致的内容，以正本书面响应文件为准。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．响应文件和电子文档的包装、密封和标注（不属于本项目磋商小组评审范畴，由采购人、采购代理机构在接收响应文件时及时处理）</w:t>
      </w:r>
    </w:p>
    <w:p>
      <w:pPr>
        <w:tabs>
          <w:tab w:val="left" w:pos="1080"/>
        </w:tabs>
        <w:spacing w:line="400" w:lineRule="exact"/>
        <w:ind w:firstLine="460" w:firstLineChars="192"/>
        <w:rPr>
          <w:rFonts w:ascii="仿宋" w:hAnsi="仿宋" w:eastAsia="仿宋"/>
          <w:b/>
          <w:color w:val="auto"/>
          <w:sz w:val="24"/>
          <w:highlight w:val="none"/>
        </w:rPr>
      </w:pPr>
      <w:r>
        <w:rPr>
          <w:rFonts w:ascii="仿宋" w:hAnsi="仿宋" w:eastAsia="仿宋"/>
          <w:b/>
          <w:color w:val="auto"/>
          <w:sz w:val="24"/>
          <w:highlight w:val="none"/>
        </w:rPr>
        <w:t>资格性响应文件、其他响应文件和电子文档未按磋商文件要求进行包装、密封和标注的，采购人、采购代理机构应当拒收。</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.1 资格性响应文件、其他响应文件应分别包装和密封。</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2资格性响应文件密封袋的最外层应清楚地标明采购项目名称、采购项目编号、资格性响应文件、供应商名称，并加盖供应商公章。其他响应文件密封袋的最外层应清楚地标明采购项目名称、采购项目编号、其他响应文件、供应商名称，并加盖供应商公章。</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.3 所有外层密封袋的封口处应粘贴牢固。</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.4 电子文档的包装和密封、标注</w:t>
      </w:r>
    </w:p>
    <w:p>
      <w:pPr>
        <w:tabs>
          <w:tab w:val="left" w:pos="1080"/>
        </w:tabs>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电子文档须单独密封包装，且包装最外层应清楚地标明采购项目名称、采购项目编号、电子文档、供应商名称，并加盖供应商公章，与响应文件一起同时递交。</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．响应文件的递交</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.1 资格性响应文件、其他响应文件应于递交响应文件截止日期当日截止时间前送达递交响应文件地点，采购人、采购代理机构拒绝接收截止时间后送达的响应文件。</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.2 最后报价表在磋商结束后，磋商小组要求供应商进行最后报价时递交，最后报价表由采购代理机构提供。</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.3 本次采购不接收邮寄的响应文件。</w:t>
      </w:r>
    </w:p>
    <w:p>
      <w:pPr>
        <w:tabs>
          <w:tab w:val="left" w:pos="1080"/>
        </w:tabs>
        <w:spacing w:line="400" w:lineRule="exact"/>
        <w:ind w:firstLine="460" w:firstLineChars="192"/>
        <w:rPr>
          <w:rFonts w:ascii="仿宋" w:hAnsi="仿宋" w:eastAsia="仿宋"/>
          <w:color w:val="auto"/>
          <w:sz w:val="24"/>
          <w:highlight w:val="none"/>
        </w:rPr>
      </w:pPr>
      <w:r>
        <w:rPr>
          <w:rFonts w:hint="eastAsia" w:ascii="仿宋" w:hAnsi="仿宋" w:eastAsia="仿宋"/>
          <w:color w:val="auto"/>
          <w:sz w:val="24"/>
          <w:highlight w:val="none"/>
        </w:rPr>
        <w:t>19</w:t>
      </w:r>
      <w:r>
        <w:rPr>
          <w:rFonts w:ascii="仿宋" w:hAnsi="仿宋" w:eastAsia="仿宋"/>
          <w:color w:val="auto"/>
          <w:sz w:val="24"/>
          <w:highlight w:val="none"/>
        </w:rPr>
        <w:t>.4首次递交响应文件的供应商不足3家的，本次竞争性磋商采购活动终止，并发布终止竞争性磋商公告。</w:t>
      </w:r>
    </w:p>
    <w:bookmarkEnd w:id="64"/>
    <w:bookmarkEnd w:id="65"/>
    <w:bookmarkEnd w:id="66"/>
    <w:bookmarkEnd w:id="67"/>
    <w:bookmarkEnd w:id="68"/>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69" w:name="_Toc183582228"/>
      <w:bookmarkStart w:id="70" w:name="_Toc217446055"/>
      <w:bookmarkStart w:id="71" w:name="_Toc183682365"/>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．响应文件的修改和撤回（补充、修改响应文件的密封和标注按照本章“1</w:t>
      </w:r>
      <w:r>
        <w:rPr>
          <w:rFonts w:hint="eastAsia" w:ascii="仿宋" w:hAnsi="仿宋" w:eastAsia="仿宋"/>
          <w:color w:val="auto"/>
          <w:sz w:val="24"/>
          <w:highlight w:val="none"/>
        </w:rPr>
        <w:t>8</w:t>
      </w:r>
      <w:r>
        <w:rPr>
          <w:rFonts w:ascii="仿宋" w:hAnsi="仿宋" w:eastAsia="仿宋"/>
          <w:color w:val="auto"/>
          <w:sz w:val="24"/>
          <w:highlight w:val="none"/>
        </w:rPr>
        <w:t>．响应文件和电子文档的包装、密封和标注”规定处理）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.2供应商对响应文件修改的书面材料或撤回的通知应该按规定进行编写、密封、标注和递送，并注明“修改响应文件”字样。</w:t>
      </w:r>
    </w:p>
    <w:p>
      <w:pPr>
        <w:pStyle w:val="10"/>
        <w:spacing w:line="400" w:lineRule="exact"/>
        <w:ind w:firstLine="480"/>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.3供应商不得在递交截止时间起至响应文件有效期期满前撤销其响应文件（已提交响应文件的供应商，在提交最后报价之前，根据磋商情况退出磋商的除外）。</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0</w:t>
      </w:r>
      <w:r>
        <w:rPr>
          <w:rFonts w:ascii="仿宋" w:hAnsi="仿宋" w:eastAsia="仿宋"/>
          <w:color w:val="auto"/>
          <w:sz w:val="24"/>
          <w:highlight w:val="none"/>
        </w:rPr>
        <w:t>.4供应商对其提交的响应文件的真实性、合法性承担法律责任。</w:t>
      </w:r>
      <w:bookmarkEnd w:id="69"/>
      <w:bookmarkEnd w:id="70"/>
      <w:bookmarkEnd w:id="71"/>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72" w:name="_Toc36820987"/>
      <w:bookmarkStart w:id="73" w:name="_Toc936"/>
      <w:bookmarkStart w:id="74" w:name="_Toc77400782"/>
      <w:bookmarkStart w:id="75" w:name="_Toc217446056"/>
      <w:bookmarkStart w:id="76" w:name="_Toc183682368"/>
      <w:bookmarkStart w:id="77" w:name="_Toc183582231"/>
      <w:bookmarkStart w:id="78" w:name="_Toc89075878"/>
      <w:r>
        <w:rPr>
          <w:rFonts w:ascii="仿宋" w:hAnsi="仿宋" w:eastAsia="仿宋"/>
          <w:color w:val="auto"/>
          <w:sz w:val="30"/>
          <w:szCs w:val="30"/>
          <w:highlight w:val="none"/>
        </w:rPr>
        <w:t>五、评审</w:t>
      </w:r>
      <w:bookmarkEnd w:id="72"/>
      <w:bookmarkEnd w:id="73"/>
    </w:p>
    <w:p>
      <w:pPr>
        <w:pStyle w:val="5"/>
        <w:keepNext w:val="0"/>
        <w:keepLines w:val="0"/>
        <w:adjustRightInd w:val="0"/>
        <w:snapToGrid w:val="0"/>
        <w:spacing w:before="312" w:beforeLines="100" w:after="0" w:line="240" w:lineRule="auto"/>
        <w:ind w:firstLine="480" w:firstLineChars="200"/>
        <w:rPr>
          <w:rFonts w:ascii="仿宋" w:hAnsi="仿宋" w:eastAsia="仿宋"/>
          <w:b w:val="0"/>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1</w:t>
      </w:r>
      <w:r>
        <w:rPr>
          <w:rFonts w:ascii="仿宋" w:hAnsi="仿宋" w:eastAsia="仿宋"/>
          <w:color w:val="auto"/>
          <w:sz w:val="24"/>
          <w:highlight w:val="none"/>
        </w:rPr>
        <w:t>．</w:t>
      </w:r>
      <w:r>
        <w:rPr>
          <w:rFonts w:ascii="仿宋" w:hAnsi="仿宋" w:eastAsia="仿宋"/>
          <w:b w:val="0"/>
          <w:color w:val="auto"/>
          <w:sz w:val="24"/>
          <w:highlight w:val="none"/>
        </w:rPr>
        <w:t>磋商小组的组建及其评审工作按照有关法律制度和本文件第九章的规定进行。</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79" w:name="_Toc36820988"/>
      <w:bookmarkStart w:id="80" w:name="_Toc6844"/>
      <w:r>
        <w:rPr>
          <w:rFonts w:ascii="仿宋" w:hAnsi="仿宋" w:eastAsia="仿宋"/>
          <w:color w:val="auto"/>
          <w:sz w:val="30"/>
          <w:szCs w:val="30"/>
          <w:highlight w:val="none"/>
        </w:rPr>
        <w:t>六、成交事项</w:t>
      </w:r>
      <w:bookmarkEnd w:id="79"/>
      <w:bookmarkEnd w:id="80"/>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．确定成交供应商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.1采购代理机构自评审结束后2个工作日内将磋商报告及有关资料送交采购人确定成交供应商。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.3确定成交供应商后，由采购代理</w:t>
      </w:r>
      <w:r>
        <w:rPr>
          <w:rFonts w:hint="eastAsia" w:ascii="仿宋" w:hAnsi="仿宋" w:eastAsia="仿宋"/>
          <w:color w:val="auto"/>
          <w:sz w:val="24"/>
          <w:highlight w:val="none"/>
        </w:rPr>
        <w:t>机构</w:t>
      </w:r>
      <w:r>
        <w:rPr>
          <w:rFonts w:ascii="仿宋" w:hAnsi="仿宋" w:eastAsia="仿宋"/>
          <w:color w:val="auto"/>
          <w:sz w:val="24"/>
          <w:highlight w:val="none"/>
        </w:rPr>
        <w:t>向其发出成交通知书并发布成交结果公告。</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2</w:t>
      </w:r>
      <w:r>
        <w:rPr>
          <w:rFonts w:ascii="仿宋" w:hAnsi="仿宋" w:eastAsia="仿宋"/>
          <w:color w:val="auto"/>
          <w:sz w:val="24"/>
          <w:highlight w:val="none"/>
        </w:rPr>
        <w:t>.4采购人确定成交供应商过程中，发现成交候选供应商有下列情形之一的，应当不予确定其为成交供应商：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（1）发现成交候选供应商存在禁止参加本项目采购活动的违法行为的；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（2）成交候选供应商因不可抗力，无法履行合同的；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（3）成交候选供应商无偿赠与或者低于成本价竞争；</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（4）成交候选供应商提供虚假材料；</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（5）成交候选供应商恶意串通。</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．行贿犯罪档案查询</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1供应商单位及其现任法定代表人、主要负责人不得具有行贿犯罪记录，否则供应商响应文件应当认定为无效。[供应商承诺单位及其现任法定代表人、主要负责人不存在行贿犯罪记录或者可以通过“中国裁判文书网”自行查询供应商及其现任法定代表人、主要负责人的行贿犯罪记录，提供查询网页截图（现任法定代表人、主要负责人为同一人的需进行情况说明）]。</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w:t>
      </w:r>
      <w:r>
        <w:rPr>
          <w:rFonts w:ascii="仿宋" w:hAnsi="仿宋" w:eastAsia="仿宋"/>
          <w:color w:val="auto"/>
          <w:sz w:val="24"/>
          <w:highlight w:val="none"/>
        </w:rPr>
        <w:t>.2若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．成交结果</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.1采购人确定成交供应商后，将及时书面通知采购代理机构，发出成交通知书并发布成交结果公告。</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.2成交供应商应当及时领取成交通知书。本项目不需要交纳履约保证金。</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4</w:t>
      </w:r>
      <w:r>
        <w:rPr>
          <w:rFonts w:ascii="仿宋" w:hAnsi="仿宋" w:eastAsia="仿宋"/>
          <w:color w:val="auto"/>
          <w:sz w:val="24"/>
          <w:highlight w:val="none"/>
        </w:rPr>
        <w:t>.3成交供应商不能及时领取成交通知书，采购代理</w:t>
      </w:r>
      <w:r>
        <w:rPr>
          <w:rFonts w:hint="eastAsia" w:ascii="仿宋" w:hAnsi="仿宋" w:eastAsia="仿宋"/>
          <w:color w:val="auto"/>
          <w:sz w:val="24"/>
          <w:highlight w:val="none"/>
        </w:rPr>
        <w:t>机构</w:t>
      </w:r>
      <w:r>
        <w:rPr>
          <w:rFonts w:ascii="仿宋" w:hAnsi="仿宋" w:eastAsia="仿宋"/>
          <w:color w:val="auto"/>
          <w:sz w:val="24"/>
          <w:highlight w:val="none"/>
        </w:rPr>
        <w:t>应当通过邮寄、快递等方式将项目成交通知书送达成交供应商。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．成交通知书</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.1成交通知书为签订政府采购合同的依据之一，是合同的有效组成部分。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.2成交通知书对采购人和成交供应商均具有法律效力。成交通知书发出后，采购人无正当理由改变成交结果，或者成交供应商无正当理由放弃成交的，将承担相应的法律责任。</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5</w:t>
      </w:r>
      <w:r>
        <w:rPr>
          <w:rFonts w:ascii="仿宋" w:hAnsi="仿宋" w:eastAsia="仿宋"/>
          <w:color w:val="auto"/>
          <w:sz w:val="24"/>
          <w:highlight w:val="none"/>
        </w:rPr>
        <w:t>.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81" w:name="_Toc20284"/>
      <w:bookmarkStart w:id="82" w:name="_Toc36820989"/>
      <w:r>
        <w:rPr>
          <w:rFonts w:ascii="仿宋" w:hAnsi="仿宋" w:eastAsia="仿宋"/>
          <w:color w:val="auto"/>
          <w:sz w:val="30"/>
          <w:szCs w:val="30"/>
          <w:highlight w:val="none"/>
        </w:rPr>
        <w:t>七、合同事项</w:t>
      </w:r>
      <w:bookmarkEnd w:id="81"/>
      <w:bookmarkEnd w:id="82"/>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bookmarkStart w:id="83" w:name="_Toc101338364"/>
      <w:bookmarkStart w:id="84" w:name="_Toc101174151"/>
      <w:bookmarkStart w:id="85" w:name="_Toc101250646"/>
      <w:bookmarkStart w:id="86" w:name="_Toc209847069"/>
      <w:bookmarkStart w:id="87" w:name="_Toc430773927"/>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．签订合同</w:t>
      </w:r>
      <w:bookmarkEnd w:id="83"/>
      <w:bookmarkEnd w:id="84"/>
      <w:bookmarkEnd w:id="85"/>
      <w:bookmarkEnd w:id="86"/>
      <w:bookmarkEnd w:id="87"/>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.2 磋商文件、成交供应商的响应文件及双方确认的澄清文件等，均为有法律约束力的合同组成部分。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.4 成交供应商因不可抗力原因不能履行采购合同或放弃成交的，采购人可以与排在成交供应商之后第一位的成交候选人签订采购合同，以此类推，也可以重新开展采购活动。</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6</w:t>
      </w:r>
      <w:r>
        <w:rPr>
          <w:rFonts w:ascii="仿宋" w:hAnsi="仿宋" w:eastAsia="仿宋"/>
          <w:color w:val="auto"/>
          <w:sz w:val="24"/>
          <w:highlight w:val="none"/>
        </w:rPr>
        <w:t>.5竞争性磋商文件、成交供应商提交的响应文件、最后报价、成交供应商承诺书、成交通知书等均称为有法律约束力的合同组成内容。</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7</w:t>
      </w:r>
      <w:r>
        <w:rPr>
          <w:rFonts w:ascii="仿宋" w:hAnsi="仿宋" w:eastAsia="仿宋"/>
          <w:color w:val="auto"/>
          <w:sz w:val="24"/>
          <w:highlight w:val="none"/>
        </w:rPr>
        <w:t>．合同转包</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成交供应商转包的，视同拒绝履行政府采购合同义务，将依法追究法律责任。</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28</w:t>
      </w:r>
      <w:r>
        <w:rPr>
          <w:rFonts w:ascii="仿宋" w:hAnsi="仿宋" w:eastAsia="仿宋"/>
          <w:color w:val="auto"/>
          <w:sz w:val="24"/>
          <w:highlight w:val="none"/>
        </w:rPr>
        <w:t>．补充合同</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29</w:t>
      </w:r>
      <w:r>
        <w:rPr>
          <w:rFonts w:ascii="仿宋" w:hAnsi="仿宋" w:eastAsia="仿宋"/>
          <w:color w:val="auto"/>
          <w:sz w:val="24"/>
          <w:highlight w:val="none"/>
        </w:rPr>
        <w:t>．履约保证金</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本项目不作要求。</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30</w:t>
      </w:r>
      <w:r>
        <w:rPr>
          <w:rFonts w:ascii="仿宋" w:hAnsi="仿宋" w:eastAsia="仿宋"/>
          <w:color w:val="auto"/>
          <w:sz w:val="24"/>
          <w:highlight w:val="none"/>
        </w:rPr>
        <w:t>．合同分包</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本项目不允许合同分包，</w:t>
      </w:r>
      <w:r>
        <w:rPr>
          <w:rFonts w:hint="eastAsia" w:ascii="仿宋" w:hAnsi="仿宋" w:eastAsia="仿宋"/>
          <w:color w:val="auto"/>
          <w:sz w:val="24"/>
          <w:highlight w:val="none"/>
        </w:rPr>
        <w:t>否则</w:t>
      </w:r>
      <w:r>
        <w:rPr>
          <w:rFonts w:ascii="仿宋" w:hAnsi="仿宋" w:eastAsia="仿宋"/>
          <w:color w:val="auto"/>
          <w:sz w:val="24"/>
          <w:highlight w:val="none"/>
        </w:rPr>
        <w:t>作无效响应处理。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1</w:t>
      </w:r>
      <w:r>
        <w:rPr>
          <w:rFonts w:ascii="仿宋" w:hAnsi="仿宋" w:eastAsia="仿宋"/>
          <w:color w:val="auto"/>
          <w:sz w:val="24"/>
          <w:highlight w:val="none"/>
        </w:rPr>
        <w:t>．合同公告</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2</w:t>
      </w:r>
      <w:r>
        <w:rPr>
          <w:rFonts w:ascii="仿宋" w:hAnsi="仿宋" w:eastAsia="仿宋"/>
          <w:color w:val="auto"/>
          <w:sz w:val="24"/>
          <w:highlight w:val="none"/>
        </w:rPr>
        <w:t>．合同备案</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采购人应当将政府采购合同副本自签订（双方当事人均已签字盖章）之日起七个工作日内通过四川政府采购网报同级财政部门备案。</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．履行合同</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.1 成交供应商与采购人签订合同后，合同双方应严格执行合同条款，履行合同规定的义务，保证合同的顺利完成。</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3</w:t>
      </w:r>
      <w:r>
        <w:rPr>
          <w:rFonts w:ascii="仿宋" w:hAnsi="仿宋" w:eastAsia="仿宋"/>
          <w:color w:val="auto"/>
          <w:sz w:val="24"/>
          <w:highlight w:val="none"/>
        </w:rPr>
        <w:t>.2 在合同履行过程中，如发生合同纠纷，合同双方应按照《</w:t>
      </w:r>
      <w:r>
        <w:rPr>
          <w:rFonts w:hint="eastAsia" w:ascii="仿宋" w:hAnsi="仿宋" w:eastAsia="仿宋"/>
          <w:color w:val="auto"/>
          <w:sz w:val="24"/>
          <w:highlight w:val="none"/>
        </w:rPr>
        <w:t>中华人民共和国民法典</w:t>
      </w:r>
      <w:r>
        <w:rPr>
          <w:rFonts w:ascii="仿宋" w:hAnsi="仿宋" w:eastAsia="仿宋"/>
          <w:color w:val="auto"/>
          <w:sz w:val="24"/>
          <w:highlight w:val="none"/>
        </w:rPr>
        <w:t>》的有关规定进行处理。</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4</w:t>
      </w:r>
      <w:r>
        <w:rPr>
          <w:rFonts w:ascii="仿宋" w:hAnsi="仿宋" w:eastAsia="仿宋"/>
          <w:color w:val="auto"/>
          <w:sz w:val="24"/>
          <w:highlight w:val="none"/>
        </w:rPr>
        <w:t>．验收</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4</w:t>
      </w:r>
      <w:r>
        <w:rPr>
          <w:rFonts w:ascii="仿宋" w:hAnsi="仿宋" w:eastAsia="仿宋"/>
          <w:color w:val="auto"/>
          <w:sz w:val="24"/>
          <w:highlight w:val="none"/>
        </w:rPr>
        <w:t>.1本项目采购人及其委托的采购代理机构（若有）将严格按照政府采购相关法律法规以及</w:t>
      </w:r>
      <w:r>
        <w:rPr>
          <w:rFonts w:hint="eastAsia" w:ascii="仿宋" w:hAnsi="仿宋" w:eastAsia="仿宋"/>
          <w:color w:val="auto"/>
          <w:sz w:val="24"/>
          <w:highlight w:val="none"/>
        </w:rPr>
        <w:t>《财政部关于进一步加强政府采购需求和履约验收管理的指导意见》（</w:t>
      </w:r>
      <w:r>
        <w:rPr>
          <w:rFonts w:ascii="仿宋" w:hAnsi="仿宋" w:eastAsia="仿宋"/>
          <w:color w:val="auto"/>
          <w:sz w:val="24"/>
          <w:highlight w:val="none"/>
        </w:rPr>
        <w:t>财库[2016]205号</w:t>
      </w:r>
      <w:r>
        <w:rPr>
          <w:rFonts w:hint="eastAsia" w:ascii="仿宋" w:hAnsi="仿宋" w:eastAsia="仿宋"/>
          <w:color w:val="auto"/>
          <w:sz w:val="24"/>
          <w:highlight w:val="none"/>
        </w:rPr>
        <w:t>）</w:t>
      </w:r>
      <w:r>
        <w:rPr>
          <w:rFonts w:ascii="仿宋" w:hAnsi="仿宋" w:eastAsia="仿宋"/>
          <w:color w:val="auto"/>
          <w:sz w:val="24"/>
          <w:highlight w:val="none"/>
        </w:rPr>
        <w:t>的要求进行验收。</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4</w:t>
      </w:r>
      <w:r>
        <w:rPr>
          <w:rFonts w:ascii="仿宋" w:hAnsi="仿宋" w:eastAsia="仿宋"/>
          <w:color w:val="auto"/>
          <w:sz w:val="24"/>
          <w:highlight w:val="none"/>
        </w:rPr>
        <w:t>.2 验收结果不合格的，也将不予支付采购资金，还可能会报本项目同级财政部门按照政府采购法律法规给予行政处罚或者以失信行为记入诚信档案。</w:t>
      </w:r>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5</w:t>
      </w:r>
      <w:r>
        <w:rPr>
          <w:rFonts w:ascii="仿宋" w:hAnsi="仿宋" w:eastAsia="仿宋"/>
          <w:color w:val="auto"/>
          <w:sz w:val="24"/>
          <w:highlight w:val="none"/>
        </w:rPr>
        <w:t>．资金支付</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采购人将按照政府采购合同规定，及时向成交供应商支付采购资金。 </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88" w:name="_Toc36820990"/>
      <w:bookmarkStart w:id="89" w:name="_Toc26810"/>
      <w:r>
        <w:rPr>
          <w:rFonts w:ascii="仿宋" w:hAnsi="仿宋" w:eastAsia="仿宋"/>
          <w:color w:val="auto"/>
          <w:sz w:val="30"/>
          <w:szCs w:val="30"/>
          <w:highlight w:val="none"/>
        </w:rPr>
        <w:t>八、磋商纪律要求</w:t>
      </w:r>
      <w:bookmarkEnd w:id="88"/>
      <w:bookmarkEnd w:id="89"/>
    </w:p>
    <w:p>
      <w:pPr>
        <w:pStyle w:val="5"/>
        <w:keepNext w:val="0"/>
        <w:keepLines w:val="0"/>
        <w:adjustRightInd w:val="0"/>
        <w:snapToGrid w:val="0"/>
        <w:spacing w:before="312" w:beforeLines="100" w:after="0" w:line="24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6</w:t>
      </w:r>
      <w:r>
        <w:rPr>
          <w:rFonts w:ascii="仿宋" w:hAnsi="仿宋" w:eastAsia="仿宋"/>
          <w:color w:val="auto"/>
          <w:sz w:val="24"/>
          <w:highlight w:val="none"/>
        </w:rPr>
        <w:t>．供应商不得具有的情形</w:t>
      </w:r>
    </w:p>
    <w:p>
      <w:pPr>
        <w:tabs>
          <w:tab w:val="left" w:pos="851"/>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供应商参加本项目磋商不得有下列情形：</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（1）提供虚假材料谋取成交；</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（2）采取不正当手段诋毁、排挤其他供应商；</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（3）与采购人、采购代理机构、或其他供应商恶意串通；</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（4）向采购人、采购代理机构、磋商小组成员行贿或者提供其他不正当利益；</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（5）在磋商过程中与采购人、采购代理机构进行协商；</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（6）成交后无正当理由拒不与采购人签订政府采购合同；</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（7）未按照磋商文件确定的事项签订政府采购合同；</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（8）将政府采购合同转包或者违规分包；</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（9）提供假冒伪劣产品；</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（10）擅自变更、中止或者终止政府采购合同；</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（11）拒绝有关部门的监督检查或者向监督检查部门提供虚假情况；</w:t>
      </w:r>
    </w:p>
    <w:p>
      <w:pPr>
        <w:tabs>
          <w:tab w:val="left" w:pos="851"/>
        </w:tabs>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（12）法律法规规定的其他情形。</w:t>
      </w:r>
    </w:p>
    <w:p>
      <w:pPr>
        <w:tabs>
          <w:tab w:val="left" w:pos="851"/>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供应商有上述情形的，按照规定追究法律责任，具备（1）-（10）条情形之一的，同时将取消被确认为成交供应商的资格或者认定成交无效。</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90" w:name="_Toc19125"/>
      <w:bookmarkStart w:id="91" w:name="_Toc36820991"/>
      <w:r>
        <w:rPr>
          <w:rFonts w:ascii="仿宋" w:hAnsi="仿宋" w:eastAsia="仿宋"/>
          <w:color w:val="auto"/>
          <w:sz w:val="30"/>
          <w:szCs w:val="30"/>
          <w:highlight w:val="none"/>
        </w:rPr>
        <w:t>九、询问、质疑和投诉</w:t>
      </w:r>
      <w:bookmarkEnd w:id="90"/>
      <w:bookmarkEnd w:id="91"/>
    </w:p>
    <w:p>
      <w:pPr>
        <w:pStyle w:val="5"/>
        <w:keepNext w:val="0"/>
        <w:keepLines w:val="0"/>
        <w:adjustRightInd w:val="0"/>
        <w:snapToGrid w:val="0"/>
        <w:spacing w:before="312" w:beforeLines="100" w:after="0"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7</w:t>
      </w:r>
      <w:r>
        <w:rPr>
          <w:rFonts w:ascii="仿宋" w:hAnsi="仿宋" w:eastAsia="仿宋"/>
          <w:color w:val="auto"/>
          <w:sz w:val="24"/>
          <w:highlight w:val="none"/>
        </w:rPr>
        <w:t>．</w:t>
      </w:r>
      <w:r>
        <w:rPr>
          <w:rFonts w:ascii="仿宋" w:hAnsi="仿宋" w:eastAsia="仿宋"/>
          <w:b w:val="0"/>
          <w:color w:val="auto"/>
          <w:sz w:val="24"/>
          <w:highlight w:val="none"/>
        </w:rPr>
        <w:t>询问、质疑、投诉的接收和处理严格按照《中华人民共和国政府采购法》、《中华人民共和国政府采购法实施条例》、《财政部关于加强政府采购供应商投诉受理审查工作的通知》、《政府采购质疑和投诉办法》和四川省的有关规定办理。</w:t>
      </w:r>
    </w:p>
    <w:p>
      <w:pPr>
        <w:pStyle w:val="4"/>
        <w:keepNext w:val="0"/>
        <w:keepLines w:val="0"/>
        <w:adjustRightInd w:val="0"/>
        <w:snapToGrid w:val="0"/>
        <w:spacing w:before="312" w:beforeLines="100" w:after="156" w:afterLines="50" w:line="360" w:lineRule="auto"/>
        <w:jc w:val="center"/>
        <w:rPr>
          <w:rFonts w:ascii="仿宋" w:hAnsi="仿宋" w:eastAsia="仿宋"/>
          <w:color w:val="auto"/>
          <w:sz w:val="30"/>
          <w:szCs w:val="30"/>
          <w:highlight w:val="none"/>
        </w:rPr>
      </w:pPr>
      <w:bookmarkStart w:id="92" w:name="_Toc24337"/>
      <w:bookmarkStart w:id="93" w:name="_Toc36820992"/>
      <w:r>
        <w:rPr>
          <w:rFonts w:ascii="仿宋" w:hAnsi="仿宋" w:eastAsia="仿宋"/>
          <w:color w:val="auto"/>
          <w:sz w:val="30"/>
          <w:szCs w:val="30"/>
          <w:highlight w:val="none"/>
        </w:rPr>
        <w:t>十、其  他</w:t>
      </w:r>
      <w:bookmarkEnd w:id="92"/>
      <w:bookmarkEnd w:id="93"/>
    </w:p>
    <w:p>
      <w:pPr>
        <w:pStyle w:val="5"/>
        <w:keepNext w:val="0"/>
        <w:keepLines w:val="0"/>
        <w:adjustRightInd w:val="0"/>
        <w:snapToGrid w:val="0"/>
        <w:spacing w:before="0" w:after="0"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8</w:t>
      </w:r>
      <w:r>
        <w:rPr>
          <w:rFonts w:ascii="仿宋" w:hAnsi="仿宋" w:eastAsia="仿宋"/>
          <w:color w:val="auto"/>
          <w:sz w:val="24"/>
          <w:highlight w:val="none"/>
        </w:rPr>
        <w:t>．</w:t>
      </w:r>
      <w:r>
        <w:rPr>
          <w:rFonts w:ascii="仿宋" w:hAnsi="仿宋" w:eastAsia="仿宋"/>
          <w:b w:val="0"/>
          <w:color w:val="auto"/>
          <w:sz w:val="24"/>
          <w:highlight w:val="none"/>
        </w:rPr>
        <w:t>本磋商文件中所引相关法律制度规定以及政府采购政策，在政府采购过程中有变化的，按照变化后的相关法律制度规定及政府采购政策执行。本章规定的内容条款，在本项目递交响应文件截止时间届满后，因相关法律制度规定及政府采购政策的变化导致不符合相关法律制度规定及政府采购政策的，直接按照变化后的相关法律制度规定及政府采购政策执行，本项目不再发布更正公告、磋商文件不再做调整。</w:t>
      </w:r>
    </w:p>
    <w:p>
      <w:pPr>
        <w:tabs>
          <w:tab w:val="left" w:pos="851"/>
        </w:tabs>
        <w:adjustRightInd w:val="0"/>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本磋商文件中未引用的相关法律制度规定，按照中华人民共和国政府采购法及其实施条例，以及其他相关的法律、规章的规定执行。</w:t>
      </w:r>
    </w:p>
    <w:p>
      <w:pPr>
        <w:pStyle w:val="5"/>
        <w:keepNext w:val="0"/>
        <w:keepLines w:val="0"/>
        <w:adjustRightInd w:val="0"/>
        <w:snapToGrid w:val="0"/>
        <w:spacing w:before="0" w:after="0"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39</w:t>
      </w:r>
      <w:r>
        <w:rPr>
          <w:rFonts w:ascii="仿宋" w:hAnsi="仿宋" w:eastAsia="仿宋"/>
          <w:color w:val="auto"/>
          <w:sz w:val="24"/>
          <w:highlight w:val="none"/>
        </w:rPr>
        <w:t>．</w:t>
      </w:r>
      <w:r>
        <w:rPr>
          <w:rFonts w:ascii="仿宋" w:hAnsi="仿宋" w:eastAsia="仿宋"/>
          <w:b w:val="0"/>
          <w:color w:val="auto"/>
          <w:sz w:val="24"/>
          <w:highlight w:val="none"/>
        </w:rPr>
        <w:t>国家或行业主管部门对供应商和采购产品的技术标准、质量标准和资格资质条件等有强制性规定的，供应商必须承诺符合其要求，否则作无效响应处理。</w:t>
      </w:r>
    </w:p>
    <w:p>
      <w:pPr>
        <w:pStyle w:val="5"/>
        <w:keepNext w:val="0"/>
        <w:keepLines w:val="0"/>
        <w:adjustRightInd w:val="0"/>
        <w:snapToGrid w:val="0"/>
        <w:spacing w:before="0" w:after="0" w:line="360" w:lineRule="auto"/>
        <w:ind w:firstLine="480" w:firstLineChars="200"/>
        <w:rPr>
          <w:rFonts w:hint="eastAsia" w:ascii="仿宋" w:hAnsi="仿宋" w:eastAsia="仿宋"/>
          <w:b w:val="0"/>
          <w:bCs w:val="0"/>
          <w:color w:val="auto"/>
          <w:sz w:val="24"/>
          <w:szCs w:val="24"/>
          <w:highlight w:val="none"/>
        </w:rPr>
        <w:sectPr>
          <w:footerReference r:id="rId9" w:type="first"/>
          <w:pgSz w:w="11907" w:h="16840"/>
          <w:pgMar w:top="1418" w:right="1134" w:bottom="1418" w:left="1701" w:header="850" w:footer="567" w:gutter="0"/>
          <w:cols w:space="720" w:num="1"/>
          <w:titlePg/>
          <w:docGrid w:type="linesAndChars" w:linePitch="312" w:charSpace="0"/>
        </w:sectPr>
      </w:pPr>
      <w:r>
        <w:rPr>
          <w:rFonts w:ascii="仿宋" w:hAnsi="仿宋" w:eastAsia="仿宋"/>
          <w:color w:val="auto"/>
          <w:sz w:val="24"/>
          <w:highlight w:val="none"/>
        </w:rPr>
        <w:t>4</w:t>
      </w:r>
      <w:r>
        <w:rPr>
          <w:rFonts w:hint="eastAsia" w:ascii="仿宋" w:hAnsi="仿宋" w:eastAsia="仿宋"/>
          <w:color w:val="auto"/>
          <w:sz w:val="24"/>
          <w:highlight w:val="none"/>
        </w:rPr>
        <w:t>0</w:t>
      </w:r>
      <w:r>
        <w:rPr>
          <w:rFonts w:ascii="仿宋" w:hAnsi="仿宋" w:eastAsia="仿宋"/>
          <w:color w:val="auto"/>
          <w:sz w:val="24"/>
          <w:highlight w:val="none"/>
        </w:rPr>
        <w:t>．</w:t>
      </w:r>
      <w:r>
        <w:rPr>
          <w:rFonts w:ascii="仿宋" w:hAnsi="仿宋" w:eastAsia="仿宋"/>
          <w:b w:val="0"/>
          <w:bCs w:val="0"/>
          <w:color w:val="auto"/>
          <w:sz w:val="24"/>
          <w:szCs w:val="24"/>
          <w:highlight w:val="none"/>
        </w:rPr>
        <w:t>根据</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四川省财政厅关于推进四川省政府采购供应商信用融资工作的通知</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（川财采[2018]123号）、</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成都市财政局 中国人民银行成都分行营业管理部关于印发</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成都市中小企业政府采购信用融资暂行办法</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和</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成都市级支持中小企业政府采购信用融资实施方案</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的通知</w:t>
      </w:r>
      <w:r>
        <w:rPr>
          <w:rFonts w:hint="eastAsia" w:ascii="仿宋" w:hAnsi="仿宋" w:eastAsia="仿宋"/>
          <w:b w:val="0"/>
          <w:bCs w:val="0"/>
          <w:color w:val="auto"/>
          <w:sz w:val="24"/>
          <w:szCs w:val="24"/>
          <w:highlight w:val="none"/>
        </w:rPr>
        <w:t>》</w:t>
      </w:r>
      <w:r>
        <w:rPr>
          <w:rFonts w:ascii="仿宋" w:hAnsi="仿宋" w:eastAsia="仿宋"/>
          <w:b w:val="0"/>
          <w:bCs w:val="0"/>
          <w:color w:val="auto"/>
          <w:sz w:val="24"/>
          <w:szCs w:val="24"/>
          <w:highlight w:val="none"/>
        </w:rPr>
        <w:t>（成财采[2019</w:t>
      </w:r>
      <w:r>
        <w:rPr>
          <w:rFonts w:ascii="仿宋" w:hAnsi="仿宋" w:eastAsia="仿宋"/>
          <w:b w:val="0"/>
          <w:bCs w:val="0"/>
          <w:color w:val="auto"/>
          <w:sz w:val="22"/>
          <w:szCs w:val="24"/>
          <w:highlight w:val="none"/>
        </w:rPr>
        <w:t>]17号</w:t>
      </w:r>
      <w:r>
        <w:rPr>
          <w:rFonts w:ascii="仿宋" w:hAnsi="仿宋" w:eastAsia="仿宋"/>
          <w:b w:val="0"/>
          <w:bCs w:val="0"/>
          <w:color w:val="auto"/>
          <w:sz w:val="24"/>
          <w:szCs w:val="24"/>
          <w:highlight w:val="none"/>
        </w:rPr>
        <w:t>）</w:t>
      </w:r>
      <w:r>
        <w:rPr>
          <w:rFonts w:hint="eastAsia" w:ascii="仿宋" w:hAnsi="仿宋" w:eastAsia="仿宋"/>
          <w:b w:val="0"/>
          <w:bCs w:val="0"/>
          <w:color w:val="auto"/>
          <w:sz w:val="24"/>
          <w:szCs w:val="24"/>
          <w:highlight w:val="none"/>
        </w:rPr>
        <w:t>及其附件1、附件2</w:t>
      </w:r>
      <w:r>
        <w:rPr>
          <w:rFonts w:ascii="仿宋" w:hAnsi="仿宋" w:eastAsia="仿宋"/>
          <w:b w:val="0"/>
          <w:bCs w:val="0"/>
          <w:color w:val="auto"/>
          <w:sz w:val="24"/>
          <w:szCs w:val="24"/>
          <w:highlight w:val="none"/>
        </w:rPr>
        <w:t>的要求，符合通知要求、有融资需求的供应商可根据</w:t>
      </w:r>
      <w:r>
        <w:rPr>
          <w:rFonts w:hint="eastAsia" w:ascii="仿宋" w:hAnsi="仿宋" w:eastAsia="仿宋"/>
          <w:b w:val="0"/>
          <w:bCs w:val="0"/>
          <w:color w:val="auto"/>
          <w:sz w:val="24"/>
          <w:szCs w:val="24"/>
          <w:highlight w:val="none"/>
        </w:rPr>
        <w:t>各级财政部门</w:t>
      </w:r>
      <w:r>
        <w:rPr>
          <w:rFonts w:ascii="仿宋" w:hAnsi="仿宋" w:eastAsia="仿宋"/>
          <w:b w:val="0"/>
          <w:bCs w:val="0"/>
          <w:color w:val="auto"/>
          <w:sz w:val="24"/>
          <w:szCs w:val="24"/>
          <w:highlight w:val="none"/>
        </w:rPr>
        <w:t>公示的银行或融资机构及其“政采贷”产品，自行选择符合自身情况的“政采贷”银行及其产品，凭</w:t>
      </w:r>
      <w:r>
        <w:rPr>
          <w:rFonts w:hint="eastAsia" w:ascii="仿宋" w:hAnsi="仿宋" w:eastAsia="仿宋"/>
          <w:b w:val="0"/>
          <w:bCs w:val="0"/>
          <w:color w:val="auto"/>
          <w:sz w:val="24"/>
          <w:szCs w:val="24"/>
          <w:highlight w:val="none"/>
        </w:rPr>
        <w:t>成交</w:t>
      </w:r>
      <w:r>
        <w:rPr>
          <w:rFonts w:ascii="仿宋" w:hAnsi="仿宋" w:eastAsia="仿宋"/>
          <w:b w:val="0"/>
          <w:bCs w:val="0"/>
          <w:color w:val="auto"/>
          <w:sz w:val="24"/>
          <w:szCs w:val="24"/>
          <w:highlight w:val="none"/>
        </w:rPr>
        <w:t>通知书向银行提出贷款意向申请。银行应及时按照有关规定完成对供应商的信用审查以及开设账户等相关工作</w:t>
      </w:r>
      <w:r>
        <w:rPr>
          <w:rFonts w:hint="eastAsia" w:ascii="仿宋" w:hAnsi="仿宋" w:eastAsia="仿宋"/>
          <w:b w:val="0"/>
          <w:bCs w:val="0"/>
          <w:color w:val="auto"/>
          <w:sz w:val="24"/>
          <w:szCs w:val="24"/>
          <w:highlight w:val="none"/>
        </w:rPr>
        <w:t>。</w:t>
      </w: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94" w:name="_Toc508714403"/>
      <w:bookmarkStart w:id="95" w:name="_Toc25090"/>
      <w:bookmarkStart w:id="96" w:name="_Toc36820993"/>
      <w:r>
        <w:rPr>
          <w:rFonts w:ascii="仿宋" w:hAnsi="仿宋" w:eastAsia="仿宋"/>
          <w:color w:val="auto"/>
          <w:sz w:val="32"/>
          <w:szCs w:val="32"/>
          <w:highlight w:val="none"/>
        </w:rPr>
        <w:t>第三章 供应商资格条件要求</w:t>
      </w:r>
      <w:bookmarkEnd w:id="94"/>
      <w:bookmarkEnd w:id="95"/>
      <w:bookmarkEnd w:id="96"/>
    </w:p>
    <w:p>
      <w:pPr>
        <w:spacing w:line="360" w:lineRule="auto"/>
        <w:ind w:firstLine="480" w:firstLineChars="200"/>
        <w:rPr>
          <w:rFonts w:hint="eastAsia" w:ascii="仿宋" w:hAnsi="仿宋" w:eastAsia="仿宋"/>
          <w:b/>
          <w:color w:val="auto"/>
          <w:sz w:val="24"/>
          <w:highlight w:val="none"/>
        </w:rPr>
      </w:pPr>
      <w:r>
        <w:rPr>
          <w:rFonts w:ascii="仿宋" w:hAnsi="仿宋" w:eastAsia="仿宋"/>
          <w:b/>
          <w:color w:val="auto"/>
          <w:sz w:val="24"/>
          <w:highlight w:val="none"/>
        </w:rPr>
        <w:t>一、参加磋商的供应商应具备下列资格条件：</w:t>
      </w:r>
    </w:p>
    <w:p>
      <w:pPr>
        <w:spacing w:line="460" w:lineRule="exact"/>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（一）满足《中华人民共和国政府采购法》第二十二条规定：</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具有独立承担民事责任的能力；</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具有良好的商业信誉和健全的财务会计制度；</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具有履行合同所必须的设备和专业技术能力；</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具有依法缴纳税收和社会保障资金的良好记录；</w:t>
      </w:r>
    </w:p>
    <w:p>
      <w:pPr>
        <w:tabs>
          <w:tab w:val="left" w:pos="7665"/>
        </w:tabs>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参加本次政府采购活动前三年内，在经营活动中没有重大违法记录；</w:t>
      </w:r>
    </w:p>
    <w:p>
      <w:pPr>
        <w:spacing w:line="460" w:lineRule="exact"/>
        <w:ind w:firstLine="480" w:firstLineChars="200"/>
        <w:rPr>
          <w:rFonts w:ascii="仿宋" w:hAnsi="仿宋" w:eastAsia="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法律、行政法规规定的其他条件；</w:t>
      </w:r>
    </w:p>
    <w:p>
      <w:pPr>
        <w:spacing w:line="460" w:lineRule="exact"/>
        <w:ind w:firstLine="480" w:firstLineChars="200"/>
        <w:rPr>
          <w:rFonts w:hint="eastAsia" w:ascii="仿宋" w:hAnsi="仿宋" w:eastAsia="仿宋" w:cs="仿宋"/>
          <w:color w:val="auto"/>
          <w:sz w:val="24"/>
          <w:highlight w:val="none"/>
        </w:rPr>
      </w:pPr>
      <w:r>
        <w:rPr>
          <w:rFonts w:ascii="仿宋" w:hAnsi="仿宋" w:eastAsia="仿宋" w:cs="仿宋"/>
          <w:color w:val="auto"/>
          <w:sz w:val="24"/>
          <w:highlight w:val="none"/>
        </w:rPr>
        <w:t>7.</w:t>
      </w:r>
      <w:r>
        <w:rPr>
          <w:rFonts w:hint="eastAsia" w:ascii="仿宋" w:hAnsi="仿宋" w:eastAsia="仿宋" w:cs="仿宋"/>
          <w:color w:val="auto"/>
          <w:sz w:val="24"/>
          <w:highlight w:val="none"/>
        </w:rPr>
        <w:t>采购人根据采购项目提出的特殊条件：无。</w:t>
      </w:r>
    </w:p>
    <w:p>
      <w:pPr>
        <w:tabs>
          <w:tab w:val="left" w:pos="7665"/>
        </w:tabs>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ascii="仿宋" w:hAnsi="仿宋" w:eastAsia="仿宋" w:cs="仿宋"/>
          <w:color w:val="auto"/>
          <w:sz w:val="24"/>
          <w:highlight w:val="none"/>
        </w:rPr>
        <w:t>.</w:t>
      </w:r>
      <w:r>
        <w:rPr>
          <w:rFonts w:hint="eastAsia" w:ascii="仿宋" w:hAnsi="仿宋" w:eastAsia="仿宋" w:cs="仿宋"/>
          <w:color w:val="auto"/>
          <w:sz w:val="24"/>
          <w:highlight w:val="none"/>
        </w:rPr>
        <w:t>按照规定获取了竞争性磋商文件。</w:t>
      </w:r>
    </w:p>
    <w:p>
      <w:pPr>
        <w:tabs>
          <w:tab w:val="left" w:pos="1134"/>
        </w:tabs>
        <w:spacing w:line="470" w:lineRule="exact"/>
        <w:ind w:firstLine="480"/>
        <w:jc w:val="left"/>
        <w:rPr>
          <w:rFonts w:ascii="仿宋" w:hAnsi="仿宋" w:eastAsia="仿宋"/>
          <w:color w:val="auto"/>
          <w:sz w:val="24"/>
          <w:highlight w:val="none"/>
        </w:rPr>
      </w:pPr>
      <w:r>
        <w:rPr>
          <w:rFonts w:hint="eastAsia" w:ascii="仿宋" w:hAnsi="仿宋" w:eastAsia="仿宋"/>
          <w:color w:val="auto"/>
          <w:sz w:val="24"/>
          <w:highlight w:val="none"/>
        </w:rPr>
        <w:t>9</w:t>
      </w:r>
      <w:r>
        <w:rPr>
          <w:rFonts w:ascii="仿宋" w:hAnsi="仿宋" w:eastAsia="仿宋"/>
          <w:color w:val="auto"/>
          <w:sz w:val="24"/>
          <w:highlight w:val="none"/>
        </w:rPr>
        <w:t>．</w:t>
      </w:r>
      <w:r>
        <w:rPr>
          <w:rFonts w:hint="eastAsia" w:ascii="仿宋" w:hAnsi="仿宋" w:eastAsia="仿宋"/>
          <w:color w:val="auto"/>
          <w:sz w:val="24"/>
          <w:highlight w:val="none"/>
        </w:rPr>
        <w:t>本项目不允许联合体参加。</w:t>
      </w:r>
    </w:p>
    <w:p>
      <w:pPr>
        <w:tabs>
          <w:tab w:val="left" w:pos="1134"/>
        </w:tabs>
        <w:spacing w:line="460" w:lineRule="exact"/>
        <w:ind w:firstLine="360" w:firstLineChars="150"/>
        <w:jc w:val="left"/>
        <w:rPr>
          <w:rFonts w:hint="eastAsia" w:ascii="仿宋" w:hAnsi="仿宋" w:eastAsia="仿宋"/>
          <w:color w:val="auto"/>
          <w:sz w:val="24"/>
          <w:highlight w:val="none"/>
        </w:rPr>
      </w:pPr>
      <w:r>
        <w:rPr>
          <w:rFonts w:hint="eastAsia" w:ascii="仿宋" w:hAnsi="仿宋" w:eastAsia="仿宋"/>
          <w:color w:val="auto"/>
          <w:sz w:val="24"/>
          <w:highlight w:val="none"/>
        </w:rPr>
        <w:t>（二）落实政府采购政策需满足的资格要求：</w:t>
      </w:r>
    </w:p>
    <w:p>
      <w:pPr>
        <w:tabs>
          <w:tab w:val="left" w:pos="1134"/>
        </w:tabs>
        <w:spacing w:line="470" w:lineRule="atLeas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本项目属于专门面向中小企业采购的项目</w:t>
      </w:r>
      <w:r>
        <w:rPr>
          <w:rFonts w:ascii="仿宋" w:hAnsi="仿宋" w:eastAsia="仿宋"/>
          <w:color w:val="auto"/>
          <w:sz w:val="24"/>
          <w:highlight w:val="none"/>
        </w:rPr>
        <w:t>,</w:t>
      </w:r>
      <w:r>
        <w:rPr>
          <w:rFonts w:hint="eastAsia" w:ascii="仿宋" w:hAnsi="仿宋" w:eastAsia="仿宋"/>
          <w:color w:val="auto"/>
          <w:sz w:val="24"/>
          <w:highlight w:val="none"/>
        </w:rPr>
        <w:t>服务承接企业</w:t>
      </w:r>
      <w:r>
        <w:rPr>
          <w:rFonts w:ascii="仿宋" w:hAnsi="仿宋" w:eastAsia="仿宋"/>
          <w:color w:val="auto"/>
          <w:sz w:val="24"/>
          <w:highlight w:val="none"/>
        </w:rPr>
        <w:t>应为中小微企业</w:t>
      </w:r>
      <w:r>
        <w:rPr>
          <w:rFonts w:hint="eastAsia" w:ascii="仿宋" w:hAnsi="仿宋" w:eastAsia="仿宋"/>
          <w:color w:val="auto"/>
          <w:sz w:val="24"/>
          <w:highlight w:val="none"/>
        </w:rPr>
        <w:t>或</w:t>
      </w:r>
      <w:r>
        <w:rPr>
          <w:rFonts w:ascii="仿宋" w:hAnsi="仿宋" w:eastAsia="仿宋"/>
          <w:color w:val="auto"/>
          <w:sz w:val="24"/>
          <w:highlight w:val="none"/>
        </w:rPr>
        <w:t>监狱企业</w:t>
      </w:r>
      <w:r>
        <w:rPr>
          <w:rFonts w:hint="eastAsia" w:ascii="仿宋" w:hAnsi="仿宋" w:eastAsia="仿宋"/>
          <w:color w:val="auto"/>
          <w:sz w:val="24"/>
          <w:highlight w:val="none"/>
        </w:rPr>
        <w:t>或</w:t>
      </w:r>
      <w:r>
        <w:rPr>
          <w:rFonts w:ascii="仿宋" w:hAnsi="仿宋" w:eastAsia="仿宋"/>
          <w:color w:val="auto"/>
          <w:sz w:val="24"/>
          <w:highlight w:val="none"/>
        </w:rPr>
        <w:t>残疾人福利性单位</w:t>
      </w:r>
      <w:r>
        <w:rPr>
          <w:rFonts w:hint="eastAsia" w:ascii="仿宋" w:hAnsi="仿宋" w:eastAsia="仿宋"/>
          <w:color w:val="auto"/>
          <w:sz w:val="24"/>
          <w:highlight w:val="none"/>
        </w:rPr>
        <w:t>。</w:t>
      </w:r>
    </w:p>
    <w:p>
      <w:pPr>
        <w:spacing w:line="460" w:lineRule="exact"/>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（三）其他类似效力要求：</w:t>
      </w:r>
    </w:p>
    <w:p>
      <w:pPr>
        <w:pStyle w:val="64"/>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授权参加本次采购活动的供应商代表证明材料。</w:t>
      </w:r>
    </w:p>
    <w:p>
      <w:pPr>
        <w:spacing w:before="312" w:beforeLines="100"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二、不属于禁止参加本次采购活动的供应商</w:t>
      </w:r>
    </w:p>
    <w:p>
      <w:pPr>
        <w:pStyle w:val="64"/>
        <w:ind w:firstLine="480"/>
        <w:rPr>
          <w:rFonts w:ascii="仿宋" w:hAnsi="仿宋" w:eastAsia="仿宋"/>
          <w:color w:val="auto"/>
          <w:sz w:val="24"/>
          <w:highlight w:val="none"/>
        </w:rPr>
      </w:pPr>
      <w:r>
        <w:rPr>
          <w:rFonts w:ascii="仿宋" w:hAnsi="仿宋" w:eastAsia="仿宋"/>
          <w:color w:val="auto"/>
          <w:sz w:val="24"/>
          <w:highlight w:val="none"/>
        </w:rPr>
        <w:t>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w:t>
      </w:r>
      <w:r>
        <w:rPr>
          <w:rFonts w:hint="eastAsia" w:ascii="仿宋" w:hAnsi="仿宋" w:eastAsia="仿宋" w:cs="仿宋"/>
          <w:b w:val="0"/>
          <w:bCs/>
          <w:color w:val="auto"/>
          <w:kern w:val="2"/>
          <w:sz w:val="24"/>
          <w:szCs w:val="24"/>
          <w:highlight w:val="none"/>
          <w:lang w:val="en-US" w:eastAsia="zh-CN"/>
        </w:rPr>
        <w:t>未被</w:t>
      </w:r>
      <w:r>
        <w:rPr>
          <w:rFonts w:ascii="仿宋" w:hAnsi="仿宋" w:eastAsia="仿宋" w:cs="仿宋"/>
          <w:b w:val="0"/>
          <w:bCs/>
          <w:color w:val="auto"/>
          <w:kern w:val="2"/>
          <w:sz w:val="24"/>
          <w:szCs w:val="24"/>
          <w:highlight w:val="none"/>
          <w:lang w:val="en-US"/>
        </w:rPr>
        <w:t>列入失信被执行人、重大税收违法案件当事人名单、政府采购严重违法失信行为记录名单及</w:t>
      </w:r>
      <w:r>
        <w:rPr>
          <w:rFonts w:hint="eastAsia" w:ascii="仿宋" w:hAnsi="仿宋" w:eastAsia="仿宋" w:cs="仿宋"/>
          <w:b w:val="0"/>
          <w:bCs/>
          <w:color w:val="auto"/>
          <w:kern w:val="2"/>
          <w:sz w:val="24"/>
          <w:szCs w:val="24"/>
          <w:highlight w:val="none"/>
          <w:lang w:val="en-US" w:eastAsia="zh-CN"/>
        </w:rPr>
        <w:t>无</w:t>
      </w:r>
      <w:r>
        <w:rPr>
          <w:rFonts w:ascii="仿宋" w:hAnsi="仿宋" w:eastAsia="仿宋" w:cs="仿宋"/>
          <w:b w:val="0"/>
          <w:bCs/>
          <w:color w:val="auto"/>
          <w:kern w:val="2"/>
          <w:sz w:val="24"/>
          <w:szCs w:val="24"/>
          <w:highlight w:val="none"/>
          <w:lang w:val="en-US"/>
        </w:rPr>
        <w:t>其他不符合《中华人民共和国政府采购法》第二十二条规定条件的供应商</w:t>
      </w:r>
      <w:r>
        <w:rPr>
          <w:rFonts w:hint="eastAsia" w:ascii="仿宋" w:hAnsi="仿宋" w:eastAsia="仿宋"/>
          <w:color w:val="auto"/>
          <w:sz w:val="24"/>
          <w:highlight w:val="none"/>
        </w:rPr>
        <w:t>。</w:t>
      </w:r>
    </w:p>
    <w:p>
      <w:pPr>
        <w:spacing w:line="360" w:lineRule="auto"/>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spacing w:line="360" w:lineRule="auto"/>
        <w:ind w:firstLine="540" w:firstLineChars="225"/>
        <w:rPr>
          <w:rFonts w:ascii="仿宋" w:hAnsi="仿宋" w:eastAsia="仿宋"/>
          <w:color w:val="auto"/>
          <w:sz w:val="24"/>
          <w:highlight w:val="none"/>
        </w:rPr>
      </w:pPr>
      <w:r>
        <w:rPr>
          <w:rFonts w:hint="eastAsia" w:ascii="仿宋" w:hAnsi="仿宋" w:eastAsia="仿宋" w:cs="仿宋"/>
          <w:color w:val="auto"/>
          <w:sz w:val="24"/>
          <w:highlight w:val="none"/>
        </w:rPr>
        <w:t>资格要求中“</w:t>
      </w:r>
      <w:r>
        <w:rPr>
          <w:rFonts w:ascii="仿宋" w:hAnsi="仿宋" w:eastAsia="仿宋" w:cs="仿宋"/>
          <w:color w:val="auto"/>
          <w:sz w:val="24"/>
          <w:highlight w:val="none"/>
        </w:rPr>
        <w:t>5.</w:t>
      </w:r>
      <w:r>
        <w:rPr>
          <w:rFonts w:hint="eastAsia" w:ascii="仿宋" w:hAnsi="仿宋" w:eastAsia="仿宋" w:cs="仿宋"/>
          <w:color w:val="auto"/>
          <w:sz w:val="24"/>
          <w:highlight w:val="none"/>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w:t>
      </w:r>
      <w:r>
        <w:rPr>
          <w:rFonts w:hint="eastAsia" w:ascii="仿宋" w:hAnsi="仿宋" w:eastAsia="仿宋" w:cs="仿宋"/>
          <w:color w:val="auto"/>
          <w:sz w:val="24"/>
          <w:highlight w:val="none"/>
          <w:lang w:val="en-US" w:eastAsia="zh-CN"/>
        </w:rPr>
        <w:t>依据财政部关于《中华人民共和国政府采购法实施条例》第十九条第一款“较大数额罚款”具体适用问题的意见：“《中华人民共和国政府采购法实施条例》第十九条第一款规定的‘较大数额罚款’认定为200万元以上的罚款，法律、行政法规以及国务院有关部门明确规定相关领域‘较大数额罚款’标准高于200万元的，从其规定。”</w:t>
      </w:r>
      <w:r>
        <w:rPr>
          <w:rFonts w:hint="eastAsia" w:ascii="仿宋" w:hAnsi="仿宋" w:eastAsia="仿宋" w:cs="仿宋"/>
          <w:color w:val="auto"/>
          <w:sz w:val="24"/>
          <w:highlight w:val="none"/>
          <w:lang w:val="en-US"/>
        </w:rPr>
        <w:t>。</w:t>
      </w:r>
    </w:p>
    <w:p>
      <w:pPr>
        <w:spacing w:line="360" w:lineRule="auto"/>
        <w:ind w:firstLine="480" w:firstLineChars="200"/>
        <w:rPr>
          <w:rFonts w:ascii="仿宋" w:hAnsi="仿宋" w:eastAsia="仿宋"/>
          <w:color w:val="auto"/>
          <w:sz w:val="24"/>
          <w:highlight w:val="none"/>
        </w:rPr>
        <w:sectPr>
          <w:pgSz w:w="11907" w:h="16840"/>
          <w:pgMar w:top="1418" w:right="1134" w:bottom="1418" w:left="1701" w:header="850" w:footer="567" w:gutter="0"/>
          <w:cols w:space="720" w:num="1"/>
          <w:titlePg/>
          <w:docGrid w:type="linesAndChar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97" w:name="_Toc3156"/>
      <w:bookmarkStart w:id="98" w:name="_Toc36820994"/>
      <w:bookmarkStart w:id="99" w:name="_Toc508714404"/>
      <w:r>
        <w:rPr>
          <w:rFonts w:ascii="仿宋" w:hAnsi="仿宋" w:eastAsia="仿宋"/>
          <w:color w:val="auto"/>
          <w:sz w:val="32"/>
          <w:szCs w:val="32"/>
          <w:highlight w:val="none"/>
        </w:rPr>
        <w:t>第四章 供应商资格证明材料</w:t>
      </w:r>
      <w:bookmarkEnd w:id="97"/>
      <w:bookmarkEnd w:id="98"/>
      <w:bookmarkEnd w:id="99"/>
    </w:p>
    <w:p>
      <w:pPr>
        <w:spacing w:line="360" w:lineRule="auto"/>
        <w:ind w:firstLine="480" w:firstLineChars="200"/>
        <w:rPr>
          <w:rFonts w:ascii="仿宋" w:hAnsi="仿宋" w:eastAsia="仿宋"/>
          <w:color w:val="auto"/>
          <w:sz w:val="24"/>
          <w:highlight w:val="none"/>
        </w:rPr>
      </w:pPr>
      <w:r>
        <w:rPr>
          <w:rFonts w:hint="eastAsia" w:ascii="仿宋" w:hAnsi="仿宋" w:eastAsia="仿宋" w:cs="仿宋"/>
          <w:b/>
          <w:color w:val="auto"/>
          <w:sz w:val="24"/>
          <w:highlight w:val="none"/>
        </w:rPr>
        <w:t>一、应当提供的供应商资格、资质性及其他类似效力要求的相关证明材料</w:t>
      </w:r>
    </w:p>
    <w:p>
      <w:pPr>
        <w:spacing w:line="360" w:lineRule="auto"/>
        <w:ind w:firstLine="360" w:firstLineChars="150"/>
        <w:rPr>
          <w:rFonts w:ascii="仿宋" w:hAnsi="仿宋" w:eastAsia="仿宋"/>
          <w:color w:val="auto"/>
          <w:sz w:val="24"/>
          <w:highlight w:val="none"/>
        </w:rPr>
      </w:pPr>
      <w:r>
        <w:rPr>
          <w:rFonts w:hint="eastAsia" w:ascii="仿宋" w:hAnsi="仿宋" w:eastAsia="仿宋" w:cs="仿宋"/>
          <w:b/>
          <w:bCs/>
          <w:color w:val="auto"/>
          <w:sz w:val="24"/>
          <w:highlight w:val="none"/>
        </w:rPr>
        <w:t>（一）资格要求相关证明材料：</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1．具有独立承担民事责任能力的证明材料复印件（</w:t>
      </w:r>
      <w:r>
        <w:rPr>
          <w:rFonts w:hint="eastAsia" w:ascii="仿宋" w:hAnsi="仿宋" w:eastAsia="仿宋" w:cs="宋体"/>
          <w:color w:val="auto"/>
          <w:kern w:val="0"/>
          <w:sz w:val="24"/>
          <w:highlight w:val="none"/>
          <w:lang w:val="zh-CN"/>
        </w:rPr>
        <w:t>①</w:t>
      </w:r>
      <w:r>
        <w:rPr>
          <w:rFonts w:ascii="仿宋" w:hAnsi="仿宋" w:eastAsia="仿宋"/>
          <w:color w:val="auto"/>
          <w:kern w:val="0"/>
          <w:sz w:val="24"/>
          <w:highlight w:val="none"/>
          <w:lang w:val="zh-CN"/>
        </w:rPr>
        <w:t>法人或其他组织的营业执照（或法人证书）或执业许可证明材料；自然人的则为身份证</w:t>
      </w:r>
      <w:r>
        <w:rPr>
          <w:rFonts w:hint="eastAsia" w:ascii="仿宋" w:hAnsi="仿宋" w:eastAsia="仿宋"/>
          <w:color w:val="auto"/>
          <w:kern w:val="0"/>
          <w:sz w:val="24"/>
          <w:highlight w:val="none"/>
          <w:lang w:val="zh-CN" w:eastAsia="zh-CN"/>
        </w:rPr>
        <w:t>明材料</w:t>
      </w:r>
      <w:r>
        <w:rPr>
          <w:rFonts w:ascii="仿宋" w:hAnsi="仿宋" w:eastAsia="仿宋"/>
          <w:color w:val="auto"/>
          <w:kern w:val="0"/>
          <w:sz w:val="24"/>
          <w:highlight w:val="none"/>
          <w:lang w:val="zh-CN"/>
        </w:rPr>
        <w:t>；</w:t>
      </w:r>
      <w:r>
        <w:rPr>
          <w:rFonts w:hint="eastAsia" w:ascii="仿宋" w:hAnsi="仿宋" w:eastAsia="仿宋" w:cs="宋体"/>
          <w:color w:val="auto"/>
          <w:kern w:val="0"/>
          <w:sz w:val="24"/>
          <w:highlight w:val="none"/>
          <w:lang w:val="zh-CN"/>
        </w:rPr>
        <w:t>②</w:t>
      </w:r>
      <w:r>
        <w:rPr>
          <w:rFonts w:ascii="仿宋" w:hAnsi="仿宋" w:eastAsia="仿宋"/>
          <w:color w:val="auto"/>
          <w:kern w:val="0"/>
          <w:sz w:val="24"/>
          <w:highlight w:val="none"/>
          <w:lang w:val="zh-CN"/>
        </w:rPr>
        <w:t>加盖供应商公章。）；</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2．</w:t>
      </w:r>
      <w:r>
        <w:rPr>
          <w:rFonts w:ascii="仿宋" w:hAnsi="仿宋" w:eastAsia="仿宋"/>
          <w:b w:val="0"/>
          <w:color w:val="auto"/>
          <w:sz w:val="24"/>
          <w:szCs w:val="24"/>
          <w:highlight w:val="none"/>
        </w:rPr>
        <w:t>具有良好的商业信誉和健全的财务会计制度的证明材料（</w:t>
      </w:r>
      <w:r>
        <w:rPr>
          <w:rFonts w:hint="eastAsia" w:ascii="仿宋" w:hAnsi="仿宋" w:eastAsia="仿宋"/>
          <w:b w:val="0"/>
          <w:color w:val="auto"/>
          <w:sz w:val="24"/>
          <w:szCs w:val="24"/>
          <w:highlight w:val="none"/>
        </w:rPr>
        <w:t>承诺函原件加盖投标人公章。</w:t>
      </w:r>
      <w:r>
        <w:rPr>
          <w:rFonts w:ascii="仿宋" w:hAnsi="仿宋" w:eastAsia="仿宋"/>
          <w:b w:val="0"/>
          <w:color w:val="auto"/>
          <w:sz w:val="24"/>
          <w:szCs w:val="24"/>
          <w:highlight w:val="none"/>
        </w:rPr>
        <w:t>)</w:t>
      </w:r>
      <w:r>
        <w:rPr>
          <w:rFonts w:hint="eastAsia" w:ascii="仿宋" w:hAnsi="仿宋" w:eastAsia="仿宋"/>
          <w:b w:val="0"/>
          <w:color w:val="auto"/>
          <w:sz w:val="24"/>
          <w:szCs w:val="24"/>
          <w:highlight w:val="none"/>
          <w:lang w:eastAsia="zh-CN"/>
        </w:rPr>
        <w:t>；</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3．</w:t>
      </w:r>
      <w:r>
        <w:rPr>
          <w:rFonts w:ascii="仿宋" w:hAnsi="仿宋" w:eastAsia="仿宋"/>
          <w:b w:val="0"/>
          <w:color w:val="auto"/>
          <w:sz w:val="24"/>
          <w:szCs w:val="24"/>
          <w:highlight w:val="none"/>
        </w:rPr>
        <w:t>具备履行合同所必需的设备和专业技术能力的证明材料</w:t>
      </w:r>
      <w:r>
        <w:rPr>
          <w:rFonts w:hint="eastAsia" w:ascii="仿宋" w:hAnsi="仿宋" w:eastAsia="仿宋"/>
          <w:b w:val="0"/>
          <w:color w:val="auto"/>
          <w:sz w:val="24"/>
          <w:szCs w:val="24"/>
          <w:highlight w:val="none"/>
        </w:rPr>
        <w:t>（承诺函原件加盖投标人公章。）</w:t>
      </w:r>
      <w:r>
        <w:rPr>
          <w:rFonts w:ascii="仿宋" w:hAnsi="仿宋" w:eastAsia="仿宋"/>
          <w:b w:val="0"/>
          <w:color w:val="auto"/>
          <w:sz w:val="24"/>
          <w:szCs w:val="24"/>
          <w:highlight w:val="none"/>
        </w:rPr>
        <w:t>；</w:t>
      </w:r>
      <w:r>
        <w:rPr>
          <w:rFonts w:ascii="仿宋" w:hAnsi="仿宋" w:eastAsia="仿宋"/>
          <w:color w:val="auto"/>
          <w:kern w:val="0"/>
          <w:sz w:val="24"/>
          <w:highlight w:val="none"/>
          <w:lang w:val="zh-CN"/>
        </w:rPr>
        <w:t>；</w:t>
      </w:r>
    </w:p>
    <w:p>
      <w:pPr>
        <w:spacing w:line="360" w:lineRule="auto"/>
        <w:ind w:firstLine="360" w:firstLineChars="15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4．</w:t>
      </w:r>
      <w:r>
        <w:rPr>
          <w:rFonts w:ascii="仿宋" w:hAnsi="仿宋" w:eastAsia="仿宋"/>
          <w:b w:val="0"/>
          <w:color w:val="auto"/>
          <w:sz w:val="24"/>
          <w:szCs w:val="24"/>
          <w:highlight w:val="none"/>
        </w:rPr>
        <w:t>具有依法缴纳税收和社会保障资金的良好记录的</w:t>
      </w:r>
      <w:r>
        <w:rPr>
          <w:rFonts w:hint="eastAsia" w:ascii="仿宋" w:hAnsi="仿宋" w:eastAsia="仿宋"/>
          <w:b w:val="0"/>
          <w:color w:val="auto"/>
          <w:sz w:val="24"/>
          <w:szCs w:val="24"/>
          <w:highlight w:val="none"/>
          <w:lang w:val="en-US" w:eastAsia="zh-CN"/>
        </w:rPr>
        <w:t>证明</w:t>
      </w:r>
      <w:r>
        <w:rPr>
          <w:rFonts w:ascii="仿宋" w:hAnsi="仿宋" w:eastAsia="仿宋"/>
          <w:b w:val="0"/>
          <w:color w:val="auto"/>
          <w:sz w:val="24"/>
          <w:szCs w:val="24"/>
          <w:highlight w:val="none"/>
        </w:rPr>
        <w:t>材料</w:t>
      </w:r>
      <w:r>
        <w:rPr>
          <w:rFonts w:hint="eastAsia" w:ascii="仿宋" w:hAnsi="仿宋" w:eastAsia="仿宋"/>
          <w:b w:val="0"/>
          <w:color w:val="auto"/>
          <w:sz w:val="24"/>
          <w:szCs w:val="24"/>
          <w:highlight w:val="none"/>
        </w:rPr>
        <w:t>（①承诺函原件加盖投标人公章；②采购活动结束后，采购代理机构将通过信用中国等网站核实投标人所作承诺真实性</w:t>
      </w:r>
      <w:r>
        <w:rPr>
          <w:rFonts w:ascii="仿宋" w:hAnsi="仿宋" w:eastAsia="仿宋"/>
          <w:b w:val="0"/>
          <w:color w:val="auto"/>
          <w:sz w:val="24"/>
          <w:szCs w:val="24"/>
          <w:highlight w:val="none"/>
        </w:rPr>
        <w:t>。</w:t>
      </w:r>
      <w:r>
        <w:rPr>
          <w:rFonts w:hint="eastAsia" w:ascii="仿宋" w:hAnsi="仿宋" w:eastAsia="仿宋"/>
          <w:b w:val="0"/>
          <w:color w:val="auto"/>
          <w:sz w:val="24"/>
          <w:szCs w:val="24"/>
          <w:highlight w:val="none"/>
        </w:rPr>
        <w:t>）</w:t>
      </w:r>
      <w:r>
        <w:rPr>
          <w:rFonts w:hint="eastAsia" w:ascii="仿宋" w:hAnsi="仿宋" w:eastAsia="仿宋"/>
          <w:b w:val="0"/>
          <w:color w:val="auto"/>
          <w:sz w:val="24"/>
          <w:szCs w:val="24"/>
          <w:highlight w:val="none"/>
          <w:lang w:eastAsia="zh-CN"/>
        </w:rPr>
        <w:t>；</w:t>
      </w:r>
    </w:p>
    <w:p>
      <w:pPr>
        <w:spacing w:line="360" w:lineRule="auto"/>
        <w:ind w:firstLine="480" w:firstLineChars="200"/>
        <w:rPr>
          <w:rFonts w:ascii="仿宋" w:hAnsi="仿宋" w:eastAsia="仿宋"/>
          <w:color w:val="auto"/>
          <w:kern w:val="0"/>
          <w:sz w:val="24"/>
          <w:highlight w:val="none"/>
          <w:lang w:val="zh-CN"/>
        </w:rPr>
      </w:pPr>
      <w:r>
        <w:rPr>
          <w:rFonts w:ascii="仿宋" w:hAnsi="仿宋" w:eastAsia="仿宋"/>
          <w:color w:val="auto"/>
          <w:kern w:val="0"/>
          <w:sz w:val="24"/>
          <w:highlight w:val="none"/>
          <w:lang w:val="zh-CN"/>
        </w:rPr>
        <w:t>5．</w:t>
      </w:r>
      <w:r>
        <w:rPr>
          <w:rFonts w:ascii="仿宋" w:hAnsi="仿宋" w:eastAsia="仿宋"/>
          <w:b w:val="0"/>
          <w:color w:val="auto"/>
          <w:sz w:val="24"/>
          <w:szCs w:val="24"/>
          <w:highlight w:val="none"/>
        </w:rPr>
        <w:t>参加本次政府采购活动前三年内，在经营活动中没有重大违法记录的证明材料</w:t>
      </w:r>
      <w:r>
        <w:rPr>
          <w:rFonts w:hint="eastAsia" w:ascii="仿宋" w:hAnsi="仿宋" w:eastAsia="仿宋"/>
          <w:b w:val="0"/>
          <w:color w:val="auto"/>
          <w:sz w:val="24"/>
          <w:szCs w:val="24"/>
          <w:highlight w:val="none"/>
        </w:rPr>
        <w:t>（</w:t>
      </w:r>
      <w:r>
        <w:rPr>
          <w:rFonts w:ascii="仿宋" w:hAnsi="仿宋" w:eastAsia="仿宋"/>
          <w:b w:val="0"/>
          <w:color w:val="auto"/>
          <w:sz w:val="24"/>
          <w:szCs w:val="24"/>
          <w:highlight w:val="none"/>
        </w:rPr>
        <w:t>承诺函原件加盖投标人公章。</w:t>
      </w:r>
      <w:r>
        <w:rPr>
          <w:rFonts w:hint="eastAsia" w:ascii="仿宋" w:hAnsi="仿宋" w:eastAsia="仿宋"/>
          <w:b w:val="0"/>
          <w:color w:val="auto"/>
          <w:sz w:val="24"/>
          <w:szCs w:val="24"/>
          <w:highlight w:val="none"/>
        </w:rPr>
        <w:t>）</w:t>
      </w:r>
      <w:r>
        <w:rPr>
          <w:rFonts w:ascii="仿宋" w:hAnsi="仿宋" w:eastAsia="仿宋"/>
          <w:b w:val="0"/>
          <w:color w:val="auto"/>
          <w:sz w:val="24"/>
          <w:szCs w:val="24"/>
          <w:highlight w:val="none"/>
        </w:rPr>
        <w:t>；</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b w:val="0"/>
          <w:color w:val="auto"/>
          <w:sz w:val="24"/>
          <w:szCs w:val="24"/>
          <w:highlight w:val="none"/>
        </w:rPr>
        <w:t>具备法律、行政法规规定的其他条件的证明材料（承诺函原件加盖投标人公章。）；</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7．根据采购项目提出的特殊条件：</w:t>
      </w:r>
    </w:p>
    <w:p>
      <w:pPr>
        <w:spacing w:line="360" w:lineRule="auto"/>
        <w:ind w:firstLine="470" w:firstLineChars="196"/>
        <w:rPr>
          <w:rFonts w:ascii="仿宋" w:hAnsi="仿宋" w:eastAsia="仿宋"/>
          <w:color w:val="auto"/>
          <w:sz w:val="24"/>
          <w:highlight w:val="none"/>
        </w:rPr>
      </w:pPr>
      <w:r>
        <w:rPr>
          <w:rFonts w:hint="eastAsia" w:ascii="仿宋" w:hAnsi="仿宋" w:eastAsia="仿宋" w:cs="仿宋"/>
          <w:color w:val="auto"/>
          <w:sz w:val="24"/>
          <w:highlight w:val="none"/>
        </w:rPr>
        <w:t>无。</w:t>
      </w:r>
    </w:p>
    <w:p>
      <w:pPr>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8．按磋商文件要求报名成功（代理机构出具的报名登记表即可，供应商无须提供）；</w:t>
      </w:r>
    </w:p>
    <w:p>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9．本项目不接受联合体参与磋商，联合体参与磋商的，作无效处理。</w:t>
      </w:r>
    </w:p>
    <w:p>
      <w:pPr>
        <w:spacing w:line="360" w:lineRule="auto"/>
        <w:ind w:firstLine="360" w:firstLineChars="1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（二）落实政府采购政策需满足的资格要求证明材料</w:t>
      </w:r>
    </w:p>
    <w:p>
      <w:pPr>
        <w:snapToGrid w:val="0"/>
        <w:spacing w:line="360" w:lineRule="auto"/>
        <w:ind w:firstLine="480" w:firstLineChars="200"/>
        <w:rPr>
          <w:rFonts w:hint="eastAsia" w:ascii="仿宋" w:hAnsi="仿宋" w:eastAsia="仿宋"/>
          <w:bCs/>
          <w:color w:val="auto"/>
          <w:kern w:val="0"/>
          <w:sz w:val="24"/>
          <w:highlight w:val="none"/>
          <w:lang w:val="zh-CN"/>
        </w:rPr>
      </w:pPr>
      <w:r>
        <w:rPr>
          <w:rFonts w:hint="eastAsia" w:ascii="仿宋" w:hAnsi="仿宋" w:eastAsia="仿宋"/>
          <w:bCs/>
          <w:color w:val="auto"/>
          <w:kern w:val="0"/>
          <w:sz w:val="24"/>
          <w:highlight w:val="none"/>
          <w:lang w:val="zh-CN"/>
        </w:rPr>
        <w:t>中小企业声明函或残疾人福利性单位声明函或监狱企业证明材料。</w:t>
      </w:r>
    </w:p>
    <w:p>
      <w:pPr>
        <w:snapToGrid w:val="0"/>
        <w:spacing w:line="360" w:lineRule="auto"/>
        <w:ind w:firstLine="480" w:firstLineChars="200"/>
        <w:rPr>
          <w:rFonts w:hint="eastAsia" w:ascii="仿宋" w:hAnsi="仿宋" w:eastAsia="仿宋"/>
          <w:bCs/>
          <w:color w:val="auto"/>
          <w:kern w:val="0"/>
          <w:sz w:val="24"/>
          <w:highlight w:val="none"/>
        </w:rPr>
      </w:pPr>
      <w:r>
        <w:rPr>
          <w:rFonts w:hint="eastAsia" w:ascii="仿宋" w:hAnsi="仿宋" w:eastAsia="仿宋"/>
          <w:bCs/>
          <w:color w:val="auto"/>
          <w:kern w:val="0"/>
          <w:sz w:val="24"/>
          <w:highlight w:val="none"/>
          <w:lang w:val="zh-CN"/>
        </w:rPr>
        <w:t>注：未提供中小企业声明函或残疾人福利性单位声明函或监狱企业证明材料的供应商件将作无效处理</w:t>
      </w:r>
      <w:r>
        <w:rPr>
          <w:rFonts w:hint="eastAsia" w:ascii="仿宋" w:hAnsi="仿宋" w:eastAsia="仿宋"/>
          <w:bCs/>
          <w:color w:val="auto"/>
          <w:kern w:val="0"/>
          <w:sz w:val="24"/>
          <w:highlight w:val="none"/>
        </w:rPr>
        <w:t>。</w:t>
      </w:r>
    </w:p>
    <w:p>
      <w:pPr>
        <w:spacing w:line="360" w:lineRule="auto"/>
        <w:ind w:firstLine="360" w:firstLineChars="150"/>
        <w:rPr>
          <w:rFonts w:ascii="仿宋" w:hAnsi="仿宋" w:eastAsia="仿宋"/>
          <w:b/>
          <w:bCs/>
          <w:color w:val="auto"/>
          <w:sz w:val="24"/>
          <w:highlight w:val="none"/>
        </w:rPr>
      </w:pPr>
      <w:r>
        <w:rPr>
          <w:rFonts w:hint="eastAsia" w:ascii="仿宋" w:hAnsi="仿宋" w:eastAsia="仿宋" w:cs="仿宋"/>
          <w:b/>
          <w:bCs/>
          <w:color w:val="auto"/>
          <w:sz w:val="24"/>
          <w:highlight w:val="none"/>
        </w:rPr>
        <w:t>（三）其他类似效力要求相关证明材料</w:t>
      </w:r>
    </w:p>
    <w:p>
      <w:pPr>
        <w:spacing w:line="360" w:lineRule="auto"/>
        <w:ind w:firstLine="480"/>
        <w:rPr>
          <w:rFonts w:ascii="仿宋" w:hAnsi="仿宋" w:eastAsia="仿宋"/>
          <w:color w:val="auto"/>
          <w:sz w:val="24"/>
          <w:highlight w:val="none"/>
        </w:rPr>
      </w:pPr>
      <w:r>
        <w:rPr>
          <w:rFonts w:ascii="仿宋" w:hAnsi="仿宋" w:eastAsia="仿宋"/>
          <w:color w:val="auto"/>
          <w:kern w:val="0"/>
          <w:sz w:val="24"/>
          <w:highlight w:val="none"/>
          <w:lang w:val="zh-CN"/>
        </w:rPr>
        <w:t>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lang w:val="zh-CN"/>
        </w:rPr>
        <w:t>授权委托书原件及法定代表人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lang w:val="zh-CN"/>
        </w:rPr>
        <w:t>身份证、代理人身份证复印件</w:t>
      </w:r>
      <w:r>
        <w:rPr>
          <w:rFonts w:ascii="仿宋" w:hAnsi="仿宋" w:eastAsia="仿宋"/>
          <w:color w:val="auto"/>
          <w:kern w:val="0"/>
          <w:sz w:val="24"/>
          <w:highlight w:val="none"/>
        </w:rPr>
        <w:t>（注：</w:t>
      </w:r>
      <w:r>
        <w:rPr>
          <w:rFonts w:hint="eastAsia" w:ascii="仿宋" w:hAnsi="仿宋" w:eastAsia="仿宋" w:cs="宋体"/>
          <w:color w:val="auto"/>
          <w:kern w:val="0"/>
          <w:sz w:val="24"/>
          <w:highlight w:val="none"/>
        </w:rPr>
        <w:t>①</w:t>
      </w:r>
      <w:r>
        <w:rPr>
          <w:rFonts w:ascii="仿宋" w:hAnsi="仿宋" w:eastAsia="仿宋"/>
          <w:color w:val="auto"/>
          <w:kern w:val="0"/>
          <w:sz w:val="24"/>
          <w:highlight w:val="none"/>
        </w:rPr>
        <w:t>授权书按本磋商文件第八章“法定代表人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授权书”格式提供，并按格式要求签字或加盖印章；</w:t>
      </w:r>
      <w:r>
        <w:rPr>
          <w:rFonts w:hint="eastAsia" w:ascii="仿宋" w:hAnsi="仿宋" w:eastAsia="仿宋" w:cs="宋体"/>
          <w:color w:val="auto"/>
          <w:kern w:val="0"/>
          <w:sz w:val="24"/>
          <w:highlight w:val="none"/>
        </w:rPr>
        <w:t>②</w:t>
      </w:r>
      <w:r>
        <w:rPr>
          <w:rFonts w:ascii="仿宋" w:hAnsi="仿宋" w:eastAsia="仿宋"/>
          <w:color w:val="auto"/>
          <w:kern w:val="0"/>
          <w:sz w:val="24"/>
          <w:highlight w:val="none"/>
        </w:rPr>
        <w:t>响应文件均由供应商法定代表人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签署的不需提供法定代表人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授权委托书及代理人身份证复印件，但必须提供法定代表人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身份证复印件。）</w:t>
      </w:r>
      <w:r>
        <w:rPr>
          <w:rFonts w:ascii="仿宋" w:hAnsi="仿宋" w:eastAsia="仿宋"/>
          <w:color w:val="auto"/>
          <w:kern w:val="0"/>
          <w:sz w:val="24"/>
          <w:highlight w:val="none"/>
          <w:lang w:val="zh-CN"/>
        </w:rPr>
        <w:t>。</w:t>
      </w:r>
    </w:p>
    <w:p>
      <w:pPr>
        <w:spacing w:before="312" w:beforeLines="100" w:line="360" w:lineRule="auto"/>
        <w:ind w:firstLine="480" w:firstLineChars="200"/>
        <w:rPr>
          <w:rFonts w:ascii="仿宋" w:hAnsi="仿宋" w:eastAsia="仿宋" w:cs="仿宋"/>
          <w:b/>
          <w:color w:val="auto"/>
          <w:sz w:val="24"/>
          <w:highlight w:val="none"/>
        </w:rPr>
      </w:pPr>
      <w:r>
        <w:rPr>
          <w:rFonts w:ascii="仿宋" w:hAnsi="仿宋" w:eastAsia="仿宋" w:cs="仿宋"/>
          <w:b/>
          <w:color w:val="auto"/>
          <w:sz w:val="24"/>
          <w:highlight w:val="none"/>
        </w:rPr>
        <w:t>二</w:t>
      </w:r>
      <w:r>
        <w:rPr>
          <w:rFonts w:hint="eastAsia" w:ascii="仿宋" w:hAnsi="仿宋" w:eastAsia="仿宋" w:cs="仿宋"/>
          <w:b/>
          <w:color w:val="auto"/>
          <w:sz w:val="24"/>
          <w:highlight w:val="none"/>
        </w:rPr>
        <w:t>、不属于禁止参加本次采购活动的供应商</w:t>
      </w:r>
    </w:p>
    <w:p>
      <w:pPr>
        <w:spacing w:line="360" w:lineRule="auto"/>
        <w:ind w:firstLine="360" w:firstLineChars="150"/>
        <w:rPr>
          <w:rFonts w:ascii="仿宋" w:hAnsi="仿宋" w:eastAsia="仿宋"/>
          <w:color w:val="auto"/>
          <w:sz w:val="24"/>
          <w:highlight w:val="none"/>
        </w:rPr>
      </w:pPr>
      <w:r>
        <w:rPr>
          <w:rFonts w:ascii="仿宋" w:hAnsi="仿宋" w:eastAsia="仿宋"/>
          <w:color w:val="auto"/>
          <w:sz w:val="24"/>
          <w:highlight w:val="none"/>
        </w:rPr>
        <w:t>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w:t>
      </w:r>
      <w:r>
        <w:rPr>
          <w:rFonts w:hint="eastAsia" w:ascii="仿宋" w:hAnsi="仿宋" w:eastAsia="仿宋" w:cs="仿宋"/>
          <w:b w:val="0"/>
          <w:bCs/>
          <w:color w:val="auto"/>
          <w:kern w:val="2"/>
          <w:sz w:val="24"/>
          <w:szCs w:val="24"/>
          <w:highlight w:val="none"/>
          <w:lang w:val="en-US" w:eastAsia="zh-CN"/>
        </w:rPr>
        <w:t>未被</w:t>
      </w:r>
      <w:r>
        <w:rPr>
          <w:rFonts w:ascii="仿宋" w:hAnsi="仿宋" w:eastAsia="仿宋" w:cs="仿宋"/>
          <w:b w:val="0"/>
          <w:bCs/>
          <w:color w:val="auto"/>
          <w:kern w:val="2"/>
          <w:sz w:val="24"/>
          <w:szCs w:val="24"/>
          <w:highlight w:val="none"/>
          <w:lang w:val="en-US"/>
        </w:rPr>
        <w:t>列入失信被执行人、重大税收违法案件当事人名单、政府采购严重违法失信行为记录名单及</w:t>
      </w:r>
      <w:r>
        <w:rPr>
          <w:rFonts w:hint="eastAsia" w:ascii="仿宋" w:hAnsi="仿宋" w:eastAsia="仿宋" w:cs="仿宋"/>
          <w:b w:val="0"/>
          <w:bCs/>
          <w:color w:val="auto"/>
          <w:kern w:val="2"/>
          <w:sz w:val="24"/>
          <w:szCs w:val="24"/>
          <w:highlight w:val="none"/>
          <w:lang w:val="en-US" w:eastAsia="zh-CN"/>
        </w:rPr>
        <w:t>无</w:t>
      </w:r>
      <w:r>
        <w:rPr>
          <w:rFonts w:ascii="仿宋" w:hAnsi="仿宋" w:eastAsia="仿宋" w:cs="仿宋"/>
          <w:b w:val="0"/>
          <w:bCs/>
          <w:color w:val="auto"/>
          <w:kern w:val="2"/>
          <w:sz w:val="24"/>
          <w:szCs w:val="24"/>
          <w:highlight w:val="none"/>
          <w:lang w:val="en-US"/>
        </w:rPr>
        <w:t>其他不符合《中华人民共和国政府采购法》第二十二条规定条件的供应商</w:t>
      </w:r>
      <w:r>
        <w:rPr>
          <w:rFonts w:ascii="仿宋" w:hAnsi="仿宋" w:eastAsia="仿宋"/>
          <w:color w:val="auto"/>
          <w:sz w:val="24"/>
          <w:highlight w:val="none"/>
        </w:rPr>
        <w:t>（采购代理机构出具的信用记录结果网页截图即可，供应商无须提供）。</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注：</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1．竞争性磋商文件要求相关证明材料签字或盖章的，应签字或盖章，否则视为无效证明材料； </w:t>
      </w:r>
    </w:p>
    <w:p>
      <w:pPr>
        <w:spacing w:line="360" w:lineRule="auto"/>
        <w:ind w:left="1" w:firstLine="480" w:firstLineChars="200"/>
        <w:rPr>
          <w:rFonts w:ascii="仿宋" w:hAnsi="仿宋" w:eastAsia="仿宋"/>
          <w:color w:val="auto"/>
          <w:sz w:val="24"/>
          <w:highlight w:val="none"/>
        </w:rPr>
      </w:pPr>
      <w:r>
        <w:rPr>
          <w:rFonts w:ascii="仿宋" w:hAnsi="仿宋" w:eastAsia="仿宋"/>
          <w:color w:val="auto"/>
          <w:sz w:val="24"/>
          <w:highlight w:val="none"/>
        </w:rPr>
        <w:t>2．上述内容中涉及承诺函的，供应商可以单独提供，也可以一并进行承诺。</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left="1" w:firstLine="480" w:firstLineChars="200"/>
        <w:rPr>
          <w:rFonts w:ascii="仿宋" w:hAnsi="仿宋" w:eastAsia="仿宋"/>
          <w:color w:val="auto"/>
          <w:sz w:val="24"/>
          <w:highlight w:val="none"/>
        </w:rPr>
      </w:pPr>
      <w:r>
        <w:rPr>
          <w:rFonts w:ascii="仿宋" w:hAnsi="仿宋" w:eastAsia="仿宋"/>
          <w:color w:val="auto"/>
          <w:sz w:val="24"/>
          <w:highlight w:val="none"/>
        </w:rPr>
        <w:t>4．供应商若未将用于资格审查的证明材料装订入资格性响应文件的，资格审查将不予通过。</w:t>
      </w:r>
    </w:p>
    <w:p>
      <w:pPr>
        <w:numPr>
          <w:ilvl w:val="0"/>
          <w:numId w:val="1"/>
        </w:numPr>
        <w:ind w:firstLine="480" w:firstLineChars="200"/>
        <w:rPr>
          <w:rFonts w:ascii="仿宋" w:hAnsi="仿宋" w:eastAsia="仿宋"/>
          <w:color w:val="auto"/>
          <w:sz w:val="24"/>
          <w:highlight w:val="none"/>
        </w:rPr>
        <w:sectPr>
          <w:footerReference r:id="rId11" w:type="first"/>
          <w:footerReference r:id="rId10" w:type="default"/>
          <w:pgSz w:w="11907" w:h="16840"/>
          <w:pgMar w:top="1418" w:right="1134" w:bottom="1418" w:left="1701" w:header="850" w:footer="567" w:gutter="0"/>
          <w:cols w:space="720" w:num="1"/>
          <w:titlePg/>
          <w:docGrid w:type="linesAndChar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00" w:name="_Toc508714405"/>
      <w:bookmarkStart w:id="101" w:name="_Toc36820995"/>
      <w:bookmarkStart w:id="102" w:name="_Toc23129"/>
      <w:r>
        <w:rPr>
          <w:rFonts w:ascii="仿宋" w:hAnsi="仿宋" w:eastAsia="仿宋"/>
          <w:color w:val="auto"/>
          <w:spacing w:val="-2"/>
          <w:sz w:val="32"/>
          <w:szCs w:val="32"/>
          <w:highlight w:val="none"/>
        </w:rPr>
        <w:t>第五章 采购项目技术、服务、政府采购合同内容条款及其他商务要求</w:t>
      </w:r>
      <w:bookmarkEnd w:id="100"/>
      <w:bookmarkEnd w:id="101"/>
      <w:bookmarkEnd w:id="102"/>
    </w:p>
    <w:p>
      <w:pPr>
        <w:adjustRightInd w:val="0"/>
        <w:snapToGrid w:val="0"/>
        <w:spacing w:line="360" w:lineRule="auto"/>
        <w:ind w:firstLine="470" w:firstLineChars="196"/>
        <w:rPr>
          <w:rFonts w:hint="eastAsia" w:ascii="仿宋" w:hAnsi="仿宋" w:eastAsia="仿宋"/>
          <w:color w:val="auto"/>
          <w:sz w:val="24"/>
          <w:highlight w:val="none"/>
        </w:rPr>
      </w:pPr>
    </w:p>
    <w:p>
      <w:pPr>
        <w:numPr>
          <w:ilvl w:val="0"/>
          <w:numId w:val="2"/>
        </w:numPr>
        <w:adjustRightInd w:val="0"/>
        <w:snapToGrid w:val="0"/>
        <w:spacing w:line="360" w:lineRule="auto"/>
        <w:ind w:firstLine="470" w:firstLineChars="196"/>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成都交响乐团需租用音乐厅作为演出场地及排练场所，用于2022年3-12月23场音乐季演出及排练使用。</w:t>
      </w:r>
    </w:p>
    <w:p>
      <w:pPr>
        <w:adjustRightInd w:val="0"/>
        <w:snapToGrid w:val="0"/>
        <w:spacing w:line="360" w:lineRule="auto"/>
        <w:ind w:firstLine="470" w:firstLineChars="196"/>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eastAsia="zh-CN"/>
        </w:rPr>
        <w:t>二</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eastAsia="zh-CN"/>
        </w:rPr>
        <w:t>场地要求及</w:t>
      </w:r>
      <w:r>
        <w:rPr>
          <w:rFonts w:hint="eastAsia" w:ascii="仿宋" w:hAnsi="仿宋" w:eastAsia="仿宋"/>
          <w:b/>
          <w:bCs/>
          <w:color w:val="auto"/>
          <w:sz w:val="24"/>
          <w:highlight w:val="none"/>
        </w:rPr>
        <w:t>设施设备</w:t>
      </w:r>
      <w:r>
        <w:rPr>
          <w:rFonts w:hint="eastAsia" w:ascii="仿宋" w:hAnsi="仿宋" w:eastAsia="仿宋"/>
          <w:b/>
          <w:bCs/>
          <w:color w:val="auto"/>
          <w:sz w:val="24"/>
          <w:highlight w:val="none"/>
          <w:lang w:eastAsia="zh-CN"/>
        </w:rPr>
        <w:t>要求</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1、音乐厅观众座位数不少于1000个；</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2、场地位置交通便利；</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3、规范符合交响乐团演出声学要求的场地；</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4、除演出场地外具有配套的排练厅且面积不小于300平方米；</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5、场地音乐厅档期能符合成都交响乐团月季演出安排；</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6、可提供配套功能厅供演出使用如：贵宾厅、新闻发布厅等；</w:t>
      </w:r>
    </w:p>
    <w:p>
      <w:pPr>
        <w:adjustRightInd w:val="0"/>
        <w:snapToGrid w:val="0"/>
        <w:spacing w:line="360" w:lineRule="auto"/>
        <w:ind w:firstLine="470" w:firstLineChars="196"/>
        <w:rPr>
          <w:rFonts w:hint="eastAsia" w:ascii="仿宋" w:hAnsi="仿宋" w:eastAsia="仿宋"/>
          <w:color w:val="auto"/>
          <w:sz w:val="24"/>
          <w:highlight w:val="none"/>
        </w:rPr>
      </w:pPr>
      <w:r>
        <w:rPr>
          <w:rFonts w:hint="eastAsia" w:ascii="仿宋" w:hAnsi="仿宋" w:eastAsia="仿宋"/>
          <w:color w:val="auto"/>
          <w:sz w:val="24"/>
          <w:highlight w:val="none"/>
        </w:rPr>
        <w:t>7、可提供部分乐器租赁，如：九尺寸施坦威、珠江钢琴、管风琴等。</w:t>
      </w:r>
    </w:p>
    <w:p>
      <w:pPr>
        <w:adjustRightInd w:val="0"/>
        <w:snapToGrid w:val="0"/>
        <w:spacing w:line="360" w:lineRule="auto"/>
        <w:ind w:firstLine="470" w:firstLineChars="196"/>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eastAsia="zh-CN"/>
        </w:rPr>
        <w:t>三</w:t>
      </w:r>
      <w:r>
        <w:rPr>
          <w:rFonts w:hint="eastAsia" w:ascii="仿宋" w:hAnsi="仿宋" w:eastAsia="仿宋"/>
          <w:b/>
          <w:bCs/>
          <w:color w:val="auto"/>
          <w:sz w:val="24"/>
          <w:highlight w:val="none"/>
        </w:rPr>
        <w:t>、服务</w:t>
      </w:r>
      <w:r>
        <w:rPr>
          <w:rFonts w:hint="eastAsia" w:ascii="仿宋" w:hAnsi="仿宋" w:eastAsia="仿宋"/>
          <w:b/>
          <w:bCs/>
          <w:color w:val="auto"/>
          <w:sz w:val="24"/>
          <w:highlight w:val="none"/>
          <w:lang w:eastAsia="zh-CN"/>
        </w:rPr>
        <w:t>要求</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1、环境卫生保障； </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2、安全保障； </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3、宣传位预留；</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4、声、光、电的保障； </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5、提供10名工作人员停车保障；</w:t>
      </w:r>
    </w:p>
    <w:p>
      <w:pPr>
        <w:adjustRightInd w:val="0"/>
        <w:snapToGrid w:val="0"/>
        <w:spacing w:line="360" w:lineRule="auto"/>
        <w:ind w:firstLine="470" w:firstLineChars="196"/>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6、配合疫情防控检测</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7、团队人员要求 </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保洁人员：遵守规章制度,服从工作安排,积极完成本职工作；认真做好保洁工作。做到音乐厅地面、座位、舞台、过道、楼梯干净卫生；各场馆洗手间地面清洁,无积灰、无积水、无堵塞；爱护公共卫生和清洁工具,节约用水用电；发现损坏及时维护、报修；热心服务,发现问题及时上报场馆管理人员。</w:t>
      </w:r>
    </w:p>
    <w:p>
      <w:pPr>
        <w:adjustRightInd w:val="0"/>
        <w:snapToGrid w:val="0"/>
        <w:spacing w:line="360" w:lineRule="auto"/>
        <w:ind w:firstLine="470" w:firstLineChars="196"/>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 xml:space="preserve">2.安保人员：维持场馆内外区域正常秩序；维护治安秩序，防范于未然；加强对重点区域的治安防范，发现可疑人员，及时逐出；加强防火排查，发现火灾苗头，及时消除；对违反治安条例的行为，查清事实，收集证据，及时向相关部门汇报。 </w:t>
      </w:r>
    </w:p>
    <w:p>
      <w:pPr>
        <w:adjustRightInd w:val="0"/>
        <w:snapToGrid w:val="0"/>
        <w:spacing w:line="360" w:lineRule="auto"/>
        <w:ind w:firstLine="470" w:firstLineChars="196"/>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3.各场馆引领员：负责各场馆区域观众的迎送、引导、分流，维护场馆内秩序，为观众提供简单演出信息咨询及流程介绍。</w:t>
      </w:r>
      <w:r>
        <w:rPr>
          <w:rFonts w:hint="eastAsia" w:ascii="仿宋" w:hAnsi="仿宋" w:eastAsia="仿宋"/>
          <w:color w:val="auto"/>
          <w:sz w:val="24"/>
          <w:highlight w:val="none"/>
        </w:rPr>
        <w:t>每场演出安排不少于4名礼仪工作人员对演出现场的观众进行引导、问询等服务</w:t>
      </w:r>
      <w:r>
        <w:rPr>
          <w:rFonts w:hint="eastAsia" w:ascii="仿宋" w:hAnsi="仿宋" w:eastAsia="仿宋"/>
          <w:color w:val="auto"/>
          <w:sz w:val="24"/>
          <w:highlight w:val="none"/>
          <w:lang w:eastAsia="zh-CN"/>
        </w:rPr>
        <w:t>。</w:t>
      </w:r>
    </w:p>
    <w:p>
      <w:pPr>
        <w:adjustRightInd w:val="0"/>
        <w:snapToGrid w:val="0"/>
        <w:spacing w:line="360" w:lineRule="auto"/>
        <w:ind w:firstLine="470" w:firstLineChars="196"/>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4.各场馆管理员：负责整个场馆活动的协调统筹安排，管理各场馆工作人员。</w:t>
      </w:r>
    </w:p>
    <w:p>
      <w:pPr>
        <w:adjustRightInd w:val="0"/>
        <w:snapToGrid w:val="0"/>
        <w:spacing w:line="360" w:lineRule="auto"/>
        <w:ind w:firstLine="470" w:firstLineChars="196"/>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5.各专场工作协调人员：协助场馆管理员工作，负责内外沟通，协调处理临时突发事件，具有良好沟通能力及协调能力。</w:t>
      </w:r>
      <w:r>
        <w:rPr>
          <w:rFonts w:hint="eastAsia" w:ascii="仿宋" w:hAnsi="仿宋" w:eastAsia="仿宋"/>
          <w:color w:val="auto"/>
          <w:sz w:val="24"/>
          <w:highlight w:val="none"/>
        </w:rPr>
        <w:t>每场演出安排不少于2名工作人员与交响乐团对接场地使用、宣传物料搭建、乐器装拆台、演出文化审批等事宜</w:t>
      </w:r>
      <w:r>
        <w:rPr>
          <w:rFonts w:hint="eastAsia" w:ascii="仿宋" w:hAnsi="仿宋" w:eastAsia="仿宋"/>
          <w:color w:val="auto"/>
          <w:sz w:val="24"/>
          <w:highlight w:val="none"/>
          <w:lang w:eastAsia="zh-CN"/>
        </w:rPr>
        <w:t>。</w:t>
      </w:r>
    </w:p>
    <w:p>
      <w:pPr>
        <w:adjustRightInd w:val="0"/>
        <w:snapToGrid w:val="0"/>
        <w:spacing w:line="360" w:lineRule="auto"/>
        <w:ind w:firstLine="470" w:firstLineChars="196"/>
        <w:rPr>
          <w:color w:val="auto"/>
          <w:highlight w:val="none"/>
        </w:rPr>
      </w:pPr>
      <w:r>
        <w:rPr>
          <w:rFonts w:hint="eastAsia" w:ascii="仿宋" w:hAnsi="仿宋" w:eastAsia="仿宋" w:cs="Times New Roman"/>
          <w:color w:val="auto"/>
          <w:sz w:val="24"/>
          <w:highlight w:val="none"/>
          <w:lang w:val="en-US" w:eastAsia="zh-CN"/>
        </w:rPr>
        <w:t xml:space="preserve">6.场馆健康码引导员：负责查看进出演出场馆人员的四川天府通健康码是否为绿码，不满足进入场馆条件的不得让其进入。负责引导、协助进出演出场馆人员扫描四川天府通场馆码。 </w:t>
      </w:r>
    </w:p>
    <w:p>
      <w:pPr>
        <w:adjustRightInd w:val="0"/>
        <w:snapToGrid w:val="0"/>
        <w:spacing w:line="360" w:lineRule="auto"/>
        <w:ind w:firstLine="470" w:firstLineChars="196"/>
        <w:rPr>
          <w:rFonts w:hint="eastAsia" w:ascii="仿宋" w:hAnsi="仿宋" w:eastAsia="仿宋"/>
          <w:b/>
          <w:bCs/>
          <w:color w:val="auto"/>
          <w:sz w:val="24"/>
          <w:highlight w:val="none"/>
          <w:lang w:eastAsia="zh-CN"/>
        </w:rPr>
      </w:pPr>
      <w:r>
        <w:rPr>
          <w:rFonts w:hint="eastAsia" w:ascii="仿宋" w:hAnsi="仿宋" w:eastAsia="仿宋"/>
          <w:b/>
          <w:bCs/>
          <w:color w:val="auto"/>
          <w:sz w:val="24"/>
          <w:highlight w:val="none"/>
          <w:lang w:eastAsia="zh-CN"/>
        </w:rPr>
        <w:t>★四</w:t>
      </w:r>
      <w:r>
        <w:rPr>
          <w:rFonts w:hint="eastAsia" w:ascii="仿宋" w:hAnsi="仿宋" w:eastAsia="仿宋"/>
          <w:b/>
          <w:bCs/>
          <w:color w:val="auto"/>
          <w:sz w:val="24"/>
          <w:highlight w:val="none"/>
        </w:rPr>
        <w:t>、</w:t>
      </w:r>
      <w:r>
        <w:rPr>
          <w:rFonts w:hint="eastAsia" w:ascii="仿宋" w:hAnsi="仿宋" w:eastAsia="仿宋"/>
          <w:b/>
          <w:bCs/>
          <w:color w:val="auto"/>
          <w:sz w:val="24"/>
          <w:highlight w:val="none"/>
          <w:lang w:eastAsia="zh-CN"/>
        </w:rPr>
        <w:t>商务要求</w:t>
      </w:r>
    </w:p>
    <w:p>
      <w:pPr>
        <w:adjustRightInd w:val="0"/>
        <w:snapToGrid w:val="0"/>
        <w:spacing w:line="360" w:lineRule="auto"/>
        <w:ind w:firstLine="470" w:firstLineChars="196"/>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服务期限：2022年3月-</w:t>
      </w:r>
      <w:r>
        <w:rPr>
          <w:rFonts w:hint="eastAsia" w:ascii="仿宋" w:hAnsi="仿宋" w:eastAsia="仿宋"/>
          <w:color w:val="auto"/>
          <w:sz w:val="24"/>
          <w:highlight w:val="none"/>
          <w:lang w:val="en-US" w:eastAsia="zh-CN"/>
        </w:rPr>
        <w:t>2022年</w:t>
      </w:r>
      <w:r>
        <w:rPr>
          <w:rFonts w:hint="eastAsia" w:ascii="仿宋" w:hAnsi="仿宋" w:eastAsia="仿宋"/>
          <w:color w:val="auto"/>
          <w:sz w:val="24"/>
          <w:highlight w:val="none"/>
          <w:lang w:eastAsia="zh-CN"/>
        </w:rPr>
        <w:t>12月。</w:t>
      </w:r>
    </w:p>
    <w:p>
      <w:pPr>
        <w:adjustRightInd w:val="0"/>
        <w:snapToGrid w:val="0"/>
        <w:spacing w:line="360" w:lineRule="auto"/>
        <w:ind w:firstLine="470" w:firstLineChars="196"/>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付款方式：合同签订后</w:t>
      </w:r>
      <w:r>
        <w:rPr>
          <w:rFonts w:hint="eastAsia" w:ascii="仿宋" w:hAnsi="仿宋" w:eastAsia="仿宋"/>
          <w:color w:val="auto"/>
          <w:sz w:val="24"/>
          <w:highlight w:val="none"/>
          <w:lang w:val="en-US" w:eastAsia="zh-CN"/>
        </w:rPr>
        <w:t>15日内支付</w:t>
      </w:r>
      <w:r>
        <w:rPr>
          <w:rFonts w:hint="eastAsia" w:ascii="仿宋" w:hAnsi="仿宋" w:eastAsia="仿宋"/>
          <w:color w:val="auto"/>
          <w:sz w:val="24"/>
          <w:highlight w:val="none"/>
          <w:lang w:eastAsia="zh-CN"/>
        </w:rPr>
        <w:t>总金额40%的预付款，9月底支付合同总金额30%，12月底支付剩余合同金额30%。</w:t>
      </w:r>
      <w:r>
        <w:rPr>
          <w:rFonts w:hint="eastAsia" w:ascii="仿宋" w:hAnsi="仿宋" w:eastAsia="仿宋" w:cs="Times New Roman"/>
          <w:color w:val="auto"/>
          <w:sz w:val="24"/>
          <w:highlight w:val="none"/>
          <w:lang w:val="en-US" w:eastAsia="zh-CN"/>
        </w:rPr>
        <w:t>采购人拨付每笔经费前，成交供应商应提供符合要求的发票，采购人自收到成交供应商发</w:t>
      </w:r>
      <w:bookmarkStart w:id="174" w:name="_GoBack"/>
      <w:bookmarkEnd w:id="174"/>
      <w:r>
        <w:rPr>
          <w:rFonts w:hint="eastAsia" w:ascii="仿宋" w:hAnsi="仿宋" w:eastAsia="仿宋" w:cs="Times New Roman"/>
          <w:color w:val="auto"/>
          <w:sz w:val="24"/>
          <w:highlight w:val="none"/>
          <w:lang w:val="en-US" w:eastAsia="zh-CN"/>
        </w:rPr>
        <w:t>票后10日内将资金支付到合同约定的供应商账户</w:t>
      </w:r>
      <w:r>
        <w:rPr>
          <w:rFonts w:hint="eastAsia" w:ascii="仿宋" w:hAnsi="仿宋" w:eastAsia="仿宋" w:cs="Times New Roman"/>
          <w:color w:val="auto"/>
          <w:sz w:val="24"/>
          <w:highlight w:val="none"/>
        </w:rPr>
        <w:t>。</w:t>
      </w:r>
    </w:p>
    <w:p>
      <w:pPr>
        <w:snapToGrid w:val="0"/>
        <w:spacing w:line="360" w:lineRule="auto"/>
        <w:ind w:firstLine="480" w:firstLineChars="200"/>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注：</w:t>
      </w:r>
    </w:p>
    <w:p>
      <w:pPr>
        <w:adjustRightInd w:val="0"/>
        <w:snapToGrid w:val="0"/>
        <w:spacing w:line="360" w:lineRule="auto"/>
        <w:ind w:firstLine="470" w:firstLineChars="196"/>
        <w:rPr>
          <w:rFonts w:ascii="仿宋" w:hAnsi="仿宋" w:eastAsia="仿宋"/>
          <w:color w:val="auto"/>
          <w:sz w:val="24"/>
          <w:highlight w:val="none"/>
        </w:rPr>
      </w:pPr>
      <w:r>
        <w:rPr>
          <w:rFonts w:hint="eastAsia" w:ascii="仿宋" w:hAnsi="仿宋" w:eastAsia="仿宋"/>
          <w:color w:val="auto"/>
          <w:kern w:val="0"/>
          <w:sz w:val="24"/>
          <w:highlight w:val="none"/>
          <w:lang w:val="zh-CN"/>
        </w:rPr>
        <w:t>本项目主要标的：</w:t>
      </w:r>
      <w:r>
        <w:rPr>
          <w:rFonts w:hint="eastAsia" w:ascii="仿宋" w:hAnsi="仿宋" w:eastAsia="仿宋"/>
          <w:color w:val="auto"/>
          <w:kern w:val="0"/>
          <w:sz w:val="24"/>
          <w:highlight w:val="none"/>
          <w:lang w:val="zh-CN" w:eastAsia="zh-CN"/>
        </w:rPr>
        <w:t>成都交响乐团2022年3月至12月音乐季演出及排练场地租赁服务</w:t>
      </w:r>
      <w:r>
        <w:rPr>
          <w:rFonts w:ascii="仿宋" w:hAnsi="仿宋" w:eastAsia="仿宋"/>
          <w:color w:val="auto"/>
          <w:kern w:val="0"/>
          <w:sz w:val="24"/>
          <w:highlight w:val="none"/>
          <w:lang w:val="zh-CN"/>
        </w:rPr>
        <w:t>。根据政府采购信息发布相关规定，本项目主要标的名称、品牌（如有）、规格型号、数量、单价将在结果公告中进行公告。</w:t>
      </w:r>
    </w:p>
    <w:p>
      <w:pPr>
        <w:adjustRightInd w:val="0"/>
        <w:snapToGrid w:val="0"/>
        <w:spacing w:line="360" w:lineRule="auto"/>
        <w:ind w:firstLine="470" w:firstLineChars="196"/>
        <w:rPr>
          <w:rFonts w:ascii="仿宋" w:hAnsi="仿宋" w:eastAsia="仿宋"/>
          <w:color w:val="auto"/>
          <w:sz w:val="24"/>
          <w:highlight w:val="none"/>
        </w:rPr>
        <w:sectPr>
          <w:footerReference r:id="rId12" w:type="first"/>
          <w:pgSz w:w="11907" w:h="16840"/>
          <w:pgMar w:top="1418" w:right="1134" w:bottom="1418" w:left="1701" w:header="850" w:footer="567" w:gutter="0"/>
          <w:cols w:space="720" w:num="1"/>
          <w:titlePg/>
          <w:docGrid w:type="linesAndChars" w:linePitch="312" w:charSpace="0"/>
        </w:sectPr>
      </w:pPr>
      <w:r>
        <w:rPr>
          <w:rFonts w:ascii="仿宋" w:hAnsi="仿宋" w:eastAsia="仿宋"/>
          <w:color w:val="auto"/>
          <w:sz w:val="24"/>
          <w:highlight w:val="none"/>
        </w:rPr>
        <w:t>注意：本章的要求不能作为资格性条件要求评审，如存在资格性条件要求，应当认定磋商文件编制存在重大缺陷，磋商小组应当停止评审。</w:t>
      </w:r>
    </w:p>
    <w:bookmarkEnd w:id="74"/>
    <w:bookmarkEnd w:id="75"/>
    <w:bookmarkEnd w:id="76"/>
    <w:bookmarkEnd w:id="77"/>
    <w:bookmarkEnd w:id="78"/>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03" w:name="_Toc508714406"/>
      <w:bookmarkStart w:id="104" w:name="_Toc36820996"/>
      <w:bookmarkStart w:id="105" w:name="_Toc5641"/>
      <w:bookmarkStart w:id="106" w:name="_Toc217446057"/>
      <w:bookmarkStart w:id="107" w:name="_Toc183582232"/>
      <w:bookmarkStart w:id="108" w:name="_Toc183682369"/>
      <w:r>
        <w:rPr>
          <w:rFonts w:ascii="仿宋" w:hAnsi="仿宋" w:eastAsia="仿宋"/>
          <w:color w:val="auto"/>
          <w:sz w:val="32"/>
          <w:szCs w:val="32"/>
          <w:highlight w:val="none"/>
        </w:rPr>
        <w:t>第六章 采购项目实质性要求</w:t>
      </w:r>
      <w:bookmarkEnd w:id="103"/>
      <w:bookmarkEnd w:id="104"/>
      <w:bookmarkEnd w:id="105"/>
    </w:p>
    <w:p>
      <w:pPr>
        <w:adjustRightInd w:val="0"/>
        <w:snapToGrid w:val="0"/>
        <w:spacing w:before="156" w:beforeLines="50" w:line="360" w:lineRule="auto"/>
        <w:ind w:firstLine="470" w:firstLineChars="196"/>
        <w:rPr>
          <w:rFonts w:ascii="仿宋" w:hAnsi="仿宋" w:eastAsia="仿宋"/>
          <w:b/>
          <w:color w:val="auto"/>
          <w:sz w:val="24"/>
          <w:highlight w:val="none"/>
        </w:rPr>
      </w:pPr>
      <w:r>
        <w:rPr>
          <w:rFonts w:ascii="仿宋" w:hAnsi="仿宋" w:eastAsia="仿宋"/>
          <w:b/>
          <w:color w:val="auto"/>
          <w:sz w:val="24"/>
          <w:highlight w:val="none"/>
        </w:rPr>
        <w:t>一、项目要求</w:t>
      </w:r>
    </w:p>
    <w:p>
      <w:pPr>
        <w:adjustRightInd w:val="0"/>
        <w:snapToGrid w:val="0"/>
        <w:spacing w:line="360" w:lineRule="auto"/>
        <w:ind w:firstLine="470" w:firstLineChars="196"/>
        <w:rPr>
          <w:rFonts w:ascii="仿宋" w:hAnsi="仿宋" w:eastAsia="仿宋"/>
          <w:color w:val="auto"/>
          <w:sz w:val="24"/>
          <w:highlight w:val="none"/>
        </w:rPr>
      </w:pPr>
      <w:r>
        <w:rPr>
          <w:rFonts w:ascii="仿宋" w:hAnsi="仿宋" w:eastAsia="仿宋"/>
          <w:color w:val="auto"/>
          <w:sz w:val="24"/>
          <w:highlight w:val="none"/>
        </w:rPr>
        <w:t>“第五章 采购项目技术、服务、政府采购合同内容条款及其他商务要求”中</w:t>
      </w:r>
      <w:r>
        <w:rPr>
          <w:rFonts w:hint="eastAsia" w:ascii="仿宋" w:hAnsi="仿宋" w:eastAsia="仿宋" w:cs="宋体"/>
          <w:color w:val="auto"/>
          <w:sz w:val="24"/>
          <w:highlight w:val="none"/>
        </w:rPr>
        <w:t>★</w:t>
      </w:r>
      <w:r>
        <w:rPr>
          <w:rFonts w:ascii="仿宋" w:hAnsi="仿宋" w:eastAsia="仿宋"/>
          <w:color w:val="auto"/>
          <w:sz w:val="24"/>
          <w:highlight w:val="none"/>
        </w:rPr>
        <w:t>项要求。</w:t>
      </w:r>
    </w:p>
    <w:p>
      <w:pPr>
        <w:adjustRightInd w:val="0"/>
        <w:snapToGrid w:val="0"/>
        <w:spacing w:line="360" w:lineRule="auto"/>
        <w:ind w:firstLine="470" w:firstLineChars="196"/>
        <w:rPr>
          <w:rFonts w:ascii="仿宋" w:hAnsi="仿宋" w:eastAsia="仿宋"/>
          <w:color w:val="auto"/>
          <w:sz w:val="24"/>
          <w:highlight w:val="none"/>
        </w:rPr>
      </w:pPr>
    </w:p>
    <w:p>
      <w:pPr>
        <w:spacing w:line="360" w:lineRule="auto"/>
        <w:ind w:firstLine="480" w:firstLineChars="200"/>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spacing w:line="360" w:lineRule="auto"/>
        <w:rPr>
          <w:rFonts w:hint="eastAsia" w:ascii="仿宋" w:hAnsi="仿宋" w:eastAsia="仿宋"/>
          <w:color w:val="auto"/>
          <w:sz w:val="24"/>
          <w:highlight w:val="none"/>
        </w:rPr>
      </w:pPr>
    </w:p>
    <w:p>
      <w:pPr>
        <w:jc w:val="left"/>
        <w:rPr>
          <w:rFonts w:hint="eastAsia" w:ascii="仿宋" w:hAnsi="仿宋" w:eastAsia="仿宋"/>
          <w:b/>
          <w:color w:val="auto"/>
          <w:sz w:val="24"/>
          <w:highlight w:val="none"/>
        </w:rPr>
      </w:pPr>
    </w:p>
    <w:p>
      <w:pPr>
        <w:tabs>
          <w:tab w:val="left" w:pos="7665"/>
        </w:tabs>
        <w:spacing w:line="400" w:lineRule="exact"/>
        <w:ind w:firstLine="480"/>
        <w:rPr>
          <w:rFonts w:ascii="仿宋" w:hAnsi="仿宋" w:eastAsia="仿宋"/>
          <w:bCs/>
          <w:color w:val="auto"/>
          <w:sz w:val="24"/>
          <w:highlight w:val="none"/>
        </w:rPr>
      </w:pPr>
    </w:p>
    <w:p>
      <w:pPr>
        <w:tabs>
          <w:tab w:val="left" w:pos="7665"/>
        </w:tabs>
        <w:spacing w:line="400" w:lineRule="exact"/>
        <w:ind w:firstLine="480"/>
        <w:rPr>
          <w:rFonts w:ascii="仿宋" w:hAnsi="仿宋" w:eastAsia="仿宋"/>
          <w:bCs/>
          <w:color w:val="auto"/>
          <w:sz w:val="24"/>
          <w:highlight w:val="none"/>
        </w:rPr>
      </w:pPr>
    </w:p>
    <w:p>
      <w:pPr>
        <w:tabs>
          <w:tab w:val="left" w:pos="7665"/>
        </w:tabs>
        <w:spacing w:line="400" w:lineRule="exact"/>
        <w:ind w:firstLine="480"/>
        <w:rPr>
          <w:rFonts w:ascii="仿宋" w:hAnsi="仿宋" w:eastAsia="仿宋"/>
          <w:bCs/>
          <w:color w:val="auto"/>
          <w:sz w:val="24"/>
          <w:highlight w:val="none"/>
        </w:rPr>
        <w:sectPr>
          <w:footerReference r:id="rId13" w:type="first"/>
          <w:pgSz w:w="11907" w:h="16840"/>
          <w:pgMar w:top="1418" w:right="1134" w:bottom="1418" w:left="1701" w:header="850" w:footer="567" w:gutter="0"/>
          <w:cols w:space="720" w:num="1"/>
          <w:titlePg/>
          <w:docGrid w:type="linesAndChar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09" w:name="_Toc2991"/>
      <w:bookmarkStart w:id="110" w:name="_Toc508714407"/>
      <w:bookmarkStart w:id="111" w:name="_Toc36820997"/>
      <w:r>
        <w:rPr>
          <w:rFonts w:ascii="仿宋" w:hAnsi="仿宋" w:eastAsia="仿宋"/>
          <w:color w:val="auto"/>
          <w:sz w:val="32"/>
          <w:szCs w:val="32"/>
          <w:highlight w:val="none"/>
        </w:rPr>
        <w:t>第七章 磋商内容、磋商过程中可实质性变动的内容</w:t>
      </w:r>
      <w:bookmarkEnd w:id="109"/>
      <w:bookmarkEnd w:id="110"/>
      <w:bookmarkEnd w:id="111"/>
    </w:p>
    <w:p>
      <w:pPr>
        <w:adjustRightInd w:val="0"/>
        <w:snapToGrid w:val="0"/>
        <w:spacing w:before="156" w:beforeLines="50" w:line="360" w:lineRule="auto"/>
        <w:ind w:firstLine="470" w:firstLineChars="196"/>
        <w:rPr>
          <w:rFonts w:ascii="仿宋" w:hAnsi="仿宋" w:eastAsia="仿宋"/>
          <w:b/>
          <w:color w:val="auto"/>
          <w:sz w:val="24"/>
          <w:highlight w:val="none"/>
        </w:rPr>
      </w:pPr>
    </w:p>
    <w:p>
      <w:pPr>
        <w:adjustRightInd w:val="0"/>
        <w:snapToGrid w:val="0"/>
        <w:spacing w:before="156" w:beforeLines="50" w:line="360" w:lineRule="auto"/>
        <w:ind w:firstLine="470" w:firstLineChars="196"/>
        <w:rPr>
          <w:rStyle w:val="58"/>
          <w:rFonts w:eastAsia="仿宋"/>
          <w:color w:val="auto"/>
          <w:highlight w:val="none"/>
        </w:rPr>
      </w:pPr>
      <w:r>
        <w:rPr>
          <w:rStyle w:val="58"/>
          <w:rFonts w:eastAsia="仿宋"/>
          <w:color w:val="auto"/>
          <w:highlight w:val="none"/>
        </w:rPr>
        <w:t>针对第五章、第十章所包含的技术、服务要求以及合同草案条款，在磋商过程中，磋商小组在获得采购人代表书面确认的前提下，可以根据磋商情况实质性变动相关内容。磋商小组对磋商文件作出的实质性变动是磋商文件的有效组成部分，磋商小组会及时以书面形式通知所有参加磋商的供应商。</w:t>
      </w:r>
    </w:p>
    <w:p>
      <w:pPr>
        <w:adjustRightInd w:val="0"/>
        <w:snapToGrid w:val="0"/>
        <w:spacing w:before="156" w:beforeLines="50" w:line="360" w:lineRule="auto"/>
        <w:ind w:firstLine="470" w:firstLineChars="196"/>
        <w:rPr>
          <w:rStyle w:val="58"/>
          <w:rFonts w:eastAsia="仿宋"/>
          <w:color w:val="auto"/>
          <w:highlight w:val="none"/>
        </w:rPr>
      </w:pPr>
    </w:p>
    <w:p>
      <w:pPr>
        <w:adjustRightInd w:val="0"/>
        <w:snapToGrid w:val="0"/>
        <w:spacing w:before="156" w:beforeLines="50" w:line="360" w:lineRule="auto"/>
        <w:ind w:firstLine="470" w:firstLineChars="196"/>
        <w:rPr>
          <w:rFonts w:ascii="仿宋" w:hAnsi="仿宋" w:eastAsia="仿宋"/>
          <w:color w:val="auto"/>
          <w:sz w:val="24"/>
          <w:highlight w:val="none"/>
        </w:rPr>
      </w:pPr>
    </w:p>
    <w:p>
      <w:pPr>
        <w:adjustRightInd w:val="0"/>
        <w:snapToGrid w:val="0"/>
        <w:spacing w:before="156" w:beforeLines="50" w:line="360" w:lineRule="auto"/>
        <w:ind w:firstLine="470" w:firstLineChars="196"/>
        <w:rPr>
          <w:rFonts w:ascii="仿宋" w:hAnsi="仿宋" w:eastAsia="仿宋"/>
          <w:b/>
          <w:color w:val="auto"/>
          <w:sz w:val="24"/>
          <w:highlight w:val="none"/>
        </w:rPr>
      </w:pPr>
    </w:p>
    <w:p>
      <w:pPr>
        <w:tabs>
          <w:tab w:val="left" w:pos="7665"/>
        </w:tabs>
        <w:spacing w:line="400" w:lineRule="exact"/>
        <w:ind w:firstLine="480"/>
        <w:rPr>
          <w:rFonts w:ascii="仿宋" w:hAnsi="仿宋" w:eastAsia="仿宋"/>
          <w:bCs/>
          <w:color w:val="auto"/>
          <w:sz w:val="24"/>
          <w:highlight w:val="none"/>
        </w:rPr>
      </w:pPr>
    </w:p>
    <w:p>
      <w:pPr>
        <w:tabs>
          <w:tab w:val="left" w:pos="7665"/>
        </w:tabs>
        <w:spacing w:line="400" w:lineRule="exact"/>
        <w:ind w:firstLine="480"/>
        <w:rPr>
          <w:rFonts w:ascii="仿宋" w:hAnsi="仿宋" w:eastAsia="仿宋"/>
          <w:bCs/>
          <w:color w:val="auto"/>
          <w:sz w:val="24"/>
          <w:highlight w:val="none"/>
        </w:rPr>
      </w:pPr>
    </w:p>
    <w:p>
      <w:pPr>
        <w:tabs>
          <w:tab w:val="left" w:pos="7665"/>
        </w:tabs>
        <w:spacing w:line="400" w:lineRule="exact"/>
        <w:ind w:firstLine="480"/>
        <w:rPr>
          <w:rFonts w:ascii="仿宋" w:hAnsi="仿宋" w:eastAsia="仿宋"/>
          <w:bCs/>
          <w:color w:val="auto"/>
          <w:sz w:val="24"/>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rPr>
          <w:rFonts w:ascii="仿宋" w:hAnsi="仿宋" w:eastAsia="仿宋"/>
          <w:b/>
          <w:bCs/>
          <w:color w:val="auto"/>
          <w:sz w:val="32"/>
          <w:szCs w:val="32"/>
          <w:highlight w:val="none"/>
        </w:rPr>
      </w:pPr>
    </w:p>
    <w:p>
      <w:pPr>
        <w:tabs>
          <w:tab w:val="left" w:pos="7665"/>
        </w:tabs>
        <w:spacing w:line="400" w:lineRule="exact"/>
        <w:ind w:firstLine="480"/>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pPr>
    </w:p>
    <w:p>
      <w:pPr>
        <w:tabs>
          <w:tab w:val="left" w:pos="7665"/>
        </w:tabs>
        <w:spacing w:line="400" w:lineRule="exact"/>
        <w:ind w:firstLine="480"/>
        <w:jc w:val="center"/>
        <w:rPr>
          <w:rFonts w:ascii="仿宋" w:hAnsi="仿宋" w:eastAsia="仿宋"/>
          <w:b/>
          <w:bCs/>
          <w:color w:val="auto"/>
          <w:sz w:val="32"/>
          <w:szCs w:val="32"/>
          <w:highlight w:val="none"/>
        </w:rPr>
        <w:sectPr>
          <w:pgSz w:w="11907" w:h="16840"/>
          <w:pgMar w:top="1418" w:right="1134" w:bottom="1418" w:left="1701" w:header="850" w:footer="567" w:gutter="0"/>
          <w:cols w:space="720" w:num="1"/>
          <w:titlePg/>
          <w:docGrid w:type="linesAndChar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12" w:name="_Toc8905"/>
      <w:bookmarkStart w:id="113" w:name="_Toc508714408"/>
      <w:bookmarkStart w:id="114" w:name="_Toc36820998"/>
      <w:r>
        <w:rPr>
          <w:rFonts w:ascii="仿宋" w:hAnsi="仿宋" w:eastAsia="仿宋"/>
          <w:color w:val="auto"/>
          <w:sz w:val="32"/>
          <w:szCs w:val="32"/>
          <w:highlight w:val="none"/>
        </w:rPr>
        <w:t>第八章 响应文件格式</w:t>
      </w:r>
      <w:bookmarkEnd w:id="112"/>
      <w:bookmarkEnd w:id="113"/>
      <w:bookmarkEnd w:id="114"/>
    </w:p>
    <w:p>
      <w:pPr>
        <w:ind w:firstLine="560" w:firstLineChars="200"/>
        <w:jc w:val="left"/>
        <w:rPr>
          <w:rFonts w:ascii="仿宋" w:hAnsi="仿宋" w:eastAsia="仿宋"/>
          <w:color w:val="auto"/>
          <w:sz w:val="28"/>
          <w:szCs w:val="28"/>
          <w:highlight w:val="none"/>
        </w:rPr>
      </w:pP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一、本章所制响应文件格式，除格式中明确将该格式作为强制要求的，一律不具有强制性。</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二、本章所制响应文件格式有关表格中的备注栏，由供应商根据自身响应情况作解释性说明，不作为必填项。</w:t>
      </w:r>
    </w:p>
    <w:p>
      <w:pP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三、本章所制响应文件格式中需要填写的相关内容事项，可能会与本采购项目无关，在不改变响应文件原义、不影响本项目采购需求的情况下，供应商可以不予填写，但应当注明。</w:t>
      </w: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ind w:firstLine="480" w:firstLineChars="200"/>
        <w:jc w:val="left"/>
        <w:rPr>
          <w:rFonts w:ascii="仿宋" w:hAnsi="仿宋" w:eastAsia="仿宋"/>
          <w:color w:val="auto"/>
          <w:sz w:val="24"/>
          <w:highlight w:val="none"/>
        </w:rPr>
      </w:pPr>
    </w:p>
    <w:p>
      <w:pPr>
        <w:jc w:val="left"/>
        <w:rPr>
          <w:rFonts w:ascii="仿宋" w:hAnsi="仿宋" w:eastAsia="仿宋"/>
          <w:b/>
          <w:color w:val="auto"/>
          <w:sz w:val="32"/>
          <w:szCs w:val="32"/>
          <w:highlight w:val="none"/>
        </w:rPr>
      </w:pPr>
      <w:bookmarkStart w:id="115" w:name="_Toc496605634"/>
      <w:bookmarkStart w:id="116" w:name="_Toc494198601"/>
      <w:bookmarkStart w:id="117" w:name="_Toc466895947"/>
      <w:bookmarkStart w:id="118" w:name="_Toc494198927"/>
      <w:bookmarkStart w:id="119" w:name="_Toc500492730"/>
      <w:r>
        <w:rPr>
          <w:rFonts w:ascii="仿宋" w:hAnsi="仿宋" w:eastAsia="仿宋"/>
          <w:b/>
          <w:color w:val="auto"/>
          <w:sz w:val="32"/>
          <w:szCs w:val="32"/>
          <w:highlight w:val="none"/>
        </w:rPr>
        <w:t>一、资格性响应文件格式</w:t>
      </w:r>
      <w:bookmarkEnd w:id="115"/>
      <w:bookmarkEnd w:id="116"/>
      <w:bookmarkEnd w:id="117"/>
      <w:bookmarkEnd w:id="118"/>
      <w:bookmarkEnd w:id="119"/>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jc w:val="left"/>
        <w:rPr>
          <w:rFonts w:ascii="仿宋" w:hAnsi="仿宋" w:eastAsia="仿宋"/>
          <w:b/>
          <w:color w:val="auto"/>
          <w:kern w:val="0"/>
          <w:sz w:val="32"/>
          <w:szCs w:val="32"/>
          <w:highlight w:val="none"/>
          <w:lang w:val="zh-CN"/>
        </w:rPr>
      </w:pPr>
      <w:r>
        <w:rPr>
          <w:rFonts w:ascii="仿宋" w:hAnsi="仿宋" w:eastAsia="仿宋"/>
          <w:b/>
          <w:color w:val="auto"/>
          <w:kern w:val="0"/>
          <w:sz w:val="32"/>
          <w:szCs w:val="32"/>
          <w:highlight w:val="none"/>
          <w:lang w:val="zh-CN"/>
        </w:rPr>
        <w:t>（一）资格性响应文件密封包装最外层格式</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96"/>
          <w:szCs w:val="120"/>
          <w:highlight w:val="none"/>
        </w:rPr>
        <w:t>资格性响应文件</w:t>
      </w:r>
    </w:p>
    <w:p>
      <w:pPr>
        <w:spacing w:line="360" w:lineRule="auto"/>
        <w:jc w:val="center"/>
        <w:rPr>
          <w:rFonts w:ascii="仿宋" w:hAnsi="仿宋" w:eastAsia="仿宋"/>
          <w:color w:val="auto"/>
          <w:spacing w:val="78"/>
          <w:sz w:val="44"/>
          <w:szCs w:val="120"/>
          <w:highlight w:val="none"/>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供应商名称：</w:t>
      </w:r>
      <w:r>
        <w:rPr>
          <w:rFonts w:ascii="仿宋" w:hAnsi="仿宋" w:eastAsia="仿宋"/>
          <w:b/>
          <w:color w:val="auto"/>
          <w:sz w:val="32"/>
          <w:szCs w:val="32"/>
          <w:highlight w:val="none"/>
          <w:u w:val="single"/>
        </w:rPr>
        <w:t xml:space="preserve">         （加盖公章）</w:t>
      </w:r>
    </w:p>
    <w:p>
      <w:pPr>
        <w:spacing w:line="360" w:lineRule="auto"/>
        <w:ind w:firstLine="1600" w:firstLineChars="500"/>
        <w:jc w:val="left"/>
        <w:rPr>
          <w:rFonts w:ascii="仿宋" w:hAnsi="仿宋" w:eastAsia="仿宋"/>
          <w:b/>
          <w:color w:val="auto"/>
          <w:sz w:val="32"/>
          <w:szCs w:val="32"/>
          <w:highlight w:val="none"/>
        </w:rPr>
      </w:pPr>
    </w:p>
    <w:p>
      <w:pPr>
        <w:snapToGrid w:val="0"/>
        <w:spacing w:line="360" w:lineRule="auto"/>
        <w:ind w:firstLine="640" w:firstLineChars="200"/>
        <w:rPr>
          <w:rFonts w:hint="eastAsia" w:ascii="仿宋" w:hAnsi="仿宋" w:eastAsia="仿宋"/>
          <w:b/>
          <w:color w:val="auto"/>
          <w:kern w:val="0"/>
          <w:sz w:val="32"/>
          <w:szCs w:val="32"/>
          <w:highlight w:val="none"/>
          <w:lang w:val="zh-CN"/>
        </w:rPr>
      </w:pPr>
    </w:p>
    <w:p>
      <w:pPr>
        <w:jc w:val="left"/>
        <w:rPr>
          <w:rFonts w:ascii="仿宋" w:hAnsi="仿宋" w:eastAsia="仿宋"/>
          <w:b/>
          <w:color w:val="auto"/>
          <w:sz w:val="32"/>
          <w:szCs w:val="32"/>
          <w:highlight w:val="none"/>
        </w:rPr>
      </w:pPr>
      <w:r>
        <w:rPr>
          <w:rFonts w:ascii="仿宋" w:hAnsi="仿宋" w:eastAsia="仿宋"/>
          <w:b/>
          <w:color w:val="auto"/>
          <w:sz w:val="32"/>
          <w:szCs w:val="32"/>
          <w:highlight w:val="none"/>
        </w:rPr>
        <w:t>（二）资格性响应文件封面格式</w:t>
      </w: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96"/>
          <w:szCs w:val="120"/>
          <w:highlight w:val="none"/>
        </w:rPr>
        <w:t>资格性响应文件</w:t>
      </w:r>
    </w:p>
    <w:p>
      <w:pPr>
        <w:spacing w:line="360" w:lineRule="auto"/>
        <w:jc w:val="center"/>
        <w:rPr>
          <w:rFonts w:ascii="仿宋" w:hAnsi="仿宋" w:eastAsia="仿宋"/>
          <w:color w:val="auto"/>
          <w:spacing w:val="78"/>
          <w:sz w:val="44"/>
          <w:szCs w:val="120"/>
          <w:highlight w:val="none"/>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44"/>
          <w:szCs w:val="120"/>
          <w:highlight w:val="none"/>
        </w:rPr>
        <w:t>（正本或副本）</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供应商名称：</w:t>
      </w:r>
      <w:r>
        <w:rPr>
          <w:rFonts w:ascii="仿宋" w:hAnsi="仿宋" w:eastAsia="仿宋"/>
          <w:b/>
          <w:color w:val="auto"/>
          <w:sz w:val="32"/>
          <w:szCs w:val="32"/>
          <w:highlight w:val="none"/>
          <w:u w:val="single"/>
        </w:rPr>
        <w:t xml:space="preserve">                      </w:t>
      </w:r>
    </w:p>
    <w:p>
      <w:pPr>
        <w:spacing w:line="360" w:lineRule="auto"/>
        <w:ind w:firstLine="1600" w:firstLineChars="500"/>
        <w:jc w:val="left"/>
        <w:rPr>
          <w:rFonts w:hint="eastAsia" w:ascii="仿宋" w:hAnsi="仿宋" w:eastAsia="仿宋"/>
          <w:b/>
          <w:color w:val="auto"/>
          <w:sz w:val="32"/>
          <w:szCs w:val="32"/>
          <w:highlight w:val="none"/>
        </w:rPr>
      </w:pPr>
    </w:p>
    <w:p>
      <w:pPr>
        <w:spacing w:line="360" w:lineRule="auto"/>
        <w:ind w:firstLine="1600" w:firstLineChars="500"/>
        <w:jc w:val="left"/>
        <w:rPr>
          <w:rFonts w:ascii="仿宋" w:hAnsi="仿宋" w:eastAsia="仿宋"/>
          <w:b/>
          <w:color w:val="auto"/>
          <w:sz w:val="32"/>
          <w:szCs w:val="32"/>
          <w:highlight w:val="none"/>
        </w:rPr>
      </w:pPr>
    </w:p>
    <w:p>
      <w:pPr>
        <w:spacing w:line="360" w:lineRule="auto"/>
        <w:rPr>
          <w:rFonts w:ascii="仿宋" w:hAnsi="仿宋" w:eastAsia="仿宋"/>
          <w:b/>
          <w:color w:val="auto"/>
          <w:sz w:val="28"/>
          <w:szCs w:val="28"/>
          <w:highlight w:val="none"/>
        </w:rPr>
      </w:pPr>
      <w:r>
        <w:rPr>
          <w:rFonts w:ascii="仿宋" w:hAnsi="仿宋" w:eastAsia="仿宋"/>
          <w:b/>
          <w:color w:val="auto"/>
          <w:sz w:val="28"/>
          <w:szCs w:val="28"/>
          <w:highlight w:val="none"/>
        </w:rPr>
        <w:t>温馨提示：</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一、资格性响应文件正本一份、副本二份；</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二、资格性响应文件应密封包装；</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三、供应商提供的资格证明材料如发证机关有年检要求的则应通过年检，如有有效期的则应提供在有效期内的证明材料。</w:t>
      </w:r>
    </w:p>
    <w:p>
      <w:pPr>
        <w:jc w:val="left"/>
        <w:rPr>
          <w:rFonts w:ascii="仿宋" w:hAnsi="仿宋" w:eastAsia="仿宋"/>
          <w:b/>
          <w:color w:val="auto"/>
          <w:sz w:val="32"/>
          <w:szCs w:val="32"/>
          <w:highlight w:val="none"/>
        </w:rPr>
      </w:pPr>
      <w:r>
        <w:rPr>
          <w:rFonts w:ascii="仿宋" w:hAnsi="仿宋" w:eastAsia="仿宋"/>
          <w:b/>
          <w:color w:val="auto"/>
          <w:sz w:val="32"/>
          <w:szCs w:val="32"/>
          <w:highlight w:val="none"/>
        </w:rPr>
        <w:t>二、</w:t>
      </w:r>
      <w:r>
        <w:rPr>
          <w:rFonts w:ascii="仿宋" w:hAnsi="仿宋" w:eastAsia="仿宋"/>
          <w:b/>
          <w:color w:val="auto"/>
          <w:kern w:val="0"/>
          <w:sz w:val="32"/>
          <w:szCs w:val="32"/>
          <w:highlight w:val="none"/>
          <w:lang w:val="zh-CN"/>
        </w:rPr>
        <w:t>资格性响应文件组成材料</w:t>
      </w:r>
    </w:p>
    <w:p>
      <w:pPr>
        <w:numPr>
          <w:ilvl w:val="0"/>
          <w:numId w:val="3"/>
        </w:numPr>
        <w:tabs>
          <w:tab w:val="left" w:pos="709"/>
        </w:tabs>
        <w:jc w:val="left"/>
        <w:rPr>
          <w:rFonts w:ascii="仿宋" w:hAnsi="仿宋" w:eastAsia="仿宋"/>
          <w:b/>
          <w:color w:val="auto"/>
          <w:sz w:val="28"/>
          <w:szCs w:val="28"/>
          <w:highlight w:val="none"/>
        </w:rPr>
      </w:pPr>
      <w:r>
        <w:rPr>
          <w:rFonts w:ascii="仿宋" w:hAnsi="仿宋" w:eastAsia="仿宋"/>
          <w:b/>
          <w:color w:val="auto"/>
          <w:sz w:val="28"/>
          <w:szCs w:val="28"/>
          <w:highlight w:val="none"/>
        </w:rPr>
        <w:t>具有独立承担民事责任能力的证明材料</w:t>
      </w:r>
    </w:p>
    <w:p>
      <w:pPr>
        <w:spacing w:line="400" w:lineRule="exact"/>
        <w:ind w:firstLine="480" w:firstLineChars="200"/>
        <w:jc w:val="left"/>
        <w:rPr>
          <w:rFonts w:ascii="仿宋" w:hAnsi="仿宋" w:eastAsia="仿宋"/>
          <w:b/>
          <w:color w:val="auto"/>
          <w:sz w:val="32"/>
          <w:szCs w:val="32"/>
          <w:highlight w:val="none"/>
        </w:rPr>
      </w:pPr>
      <w:r>
        <w:rPr>
          <w:rFonts w:ascii="仿宋" w:hAnsi="仿宋" w:eastAsia="仿宋"/>
          <w:color w:val="auto"/>
          <w:sz w:val="24"/>
          <w:highlight w:val="none"/>
        </w:rPr>
        <w:t>按磋商文件第四章“</w:t>
      </w:r>
      <w:r>
        <w:rPr>
          <w:rFonts w:ascii="仿宋" w:hAnsi="仿宋" w:eastAsia="仿宋"/>
          <w:color w:val="auto"/>
          <w:kern w:val="0"/>
          <w:sz w:val="24"/>
          <w:highlight w:val="none"/>
          <w:lang w:val="zh-CN"/>
        </w:rPr>
        <w:t>具有独立承担民事责任能力的证明材料复印件</w:t>
      </w:r>
      <w:r>
        <w:rPr>
          <w:rFonts w:ascii="仿宋" w:hAnsi="仿宋" w:eastAsia="仿宋"/>
          <w:color w:val="auto"/>
          <w:sz w:val="24"/>
          <w:highlight w:val="none"/>
        </w:rPr>
        <w:t>”的要求提供。</w:t>
      </w:r>
    </w:p>
    <w:p>
      <w:pPr>
        <w:numPr>
          <w:ilvl w:val="0"/>
          <w:numId w:val="3"/>
        </w:numPr>
        <w:tabs>
          <w:tab w:val="left" w:pos="709"/>
        </w:tabs>
        <w:spacing w:before="312" w:beforeLines="100"/>
        <w:ind w:left="562" w:hanging="560" w:hangingChars="200"/>
        <w:jc w:val="left"/>
        <w:rPr>
          <w:rFonts w:ascii="仿宋" w:hAnsi="仿宋" w:eastAsia="仿宋"/>
          <w:b/>
          <w:color w:val="auto"/>
          <w:sz w:val="28"/>
          <w:szCs w:val="28"/>
          <w:highlight w:val="none"/>
        </w:rPr>
      </w:pPr>
      <w:r>
        <w:rPr>
          <w:rFonts w:ascii="仿宋" w:hAnsi="仿宋" w:eastAsia="仿宋"/>
          <w:b/>
          <w:color w:val="auto"/>
          <w:sz w:val="28"/>
          <w:szCs w:val="28"/>
          <w:highlight w:val="none"/>
        </w:rPr>
        <w:t>具有良好的商业信誉和健全的财务会计制度的证明材料</w:t>
      </w:r>
    </w:p>
    <w:p>
      <w:pPr>
        <w:spacing w:line="40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按磋商文件第四章“</w:t>
      </w:r>
      <w:r>
        <w:rPr>
          <w:rFonts w:ascii="仿宋" w:hAnsi="仿宋" w:eastAsia="仿宋"/>
          <w:b w:val="0"/>
          <w:color w:val="auto"/>
          <w:sz w:val="24"/>
          <w:szCs w:val="24"/>
          <w:highlight w:val="none"/>
        </w:rPr>
        <w:t>具有良好的商业信誉和健全的财务会计制度的证明材料</w:t>
      </w:r>
      <w:r>
        <w:rPr>
          <w:rFonts w:ascii="仿宋" w:hAnsi="仿宋" w:eastAsia="仿宋"/>
          <w:color w:val="auto"/>
          <w:sz w:val="24"/>
          <w:highlight w:val="none"/>
        </w:rPr>
        <w:t>”的要求提供承诺函原件，可单独提供，也可按第八章“承诺函”格式内容与其他承诺内容一并提供。</w:t>
      </w:r>
    </w:p>
    <w:p>
      <w:pPr>
        <w:numPr>
          <w:ilvl w:val="0"/>
          <w:numId w:val="3"/>
        </w:numPr>
        <w:tabs>
          <w:tab w:val="left" w:pos="709"/>
        </w:tabs>
        <w:spacing w:before="312" w:beforeLines="100"/>
        <w:ind w:left="562" w:hanging="560" w:hangingChars="200"/>
        <w:jc w:val="left"/>
        <w:rPr>
          <w:rFonts w:ascii="仿宋" w:hAnsi="仿宋" w:eastAsia="仿宋"/>
          <w:b/>
          <w:color w:val="auto"/>
          <w:sz w:val="28"/>
          <w:szCs w:val="28"/>
          <w:highlight w:val="none"/>
        </w:rPr>
      </w:pPr>
      <w:r>
        <w:rPr>
          <w:rFonts w:ascii="仿宋" w:hAnsi="仿宋" w:eastAsia="仿宋"/>
          <w:b/>
          <w:color w:val="auto"/>
          <w:sz w:val="28"/>
          <w:szCs w:val="28"/>
          <w:highlight w:val="none"/>
        </w:rPr>
        <w:t>具备履行合同所必需的设备和专业技术能力的证明材料</w:t>
      </w:r>
    </w:p>
    <w:p>
      <w:pPr>
        <w:spacing w:line="40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按磋商文件第四章“</w:t>
      </w:r>
      <w:r>
        <w:rPr>
          <w:rFonts w:ascii="仿宋" w:hAnsi="仿宋" w:eastAsia="仿宋"/>
          <w:color w:val="auto"/>
          <w:kern w:val="0"/>
          <w:sz w:val="24"/>
          <w:highlight w:val="none"/>
          <w:lang w:val="zh-CN"/>
        </w:rPr>
        <w:t>具备履行合同所必需的设备和专业技术能力的证明材料</w:t>
      </w:r>
      <w:r>
        <w:rPr>
          <w:rFonts w:ascii="仿宋" w:hAnsi="仿宋" w:eastAsia="仿宋"/>
          <w:color w:val="auto"/>
          <w:sz w:val="24"/>
          <w:highlight w:val="none"/>
        </w:rPr>
        <w:t>”的要求提供承诺函原件，可单独提供，也可按第八章“承诺函”格式内容与其他承诺内容一并提供。</w:t>
      </w:r>
    </w:p>
    <w:p>
      <w:pPr>
        <w:numPr>
          <w:ilvl w:val="0"/>
          <w:numId w:val="3"/>
        </w:numPr>
        <w:tabs>
          <w:tab w:val="left" w:pos="709"/>
        </w:tabs>
        <w:spacing w:before="312" w:beforeLines="100"/>
        <w:ind w:left="562" w:hanging="560" w:hangingChars="200"/>
        <w:jc w:val="left"/>
        <w:rPr>
          <w:rFonts w:ascii="仿宋" w:hAnsi="仿宋" w:eastAsia="仿宋"/>
          <w:b/>
          <w:color w:val="auto"/>
          <w:sz w:val="28"/>
          <w:szCs w:val="28"/>
          <w:highlight w:val="none"/>
        </w:rPr>
      </w:pPr>
      <w:r>
        <w:rPr>
          <w:rFonts w:ascii="仿宋" w:hAnsi="仿宋" w:eastAsia="仿宋"/>
          <w:b/>
          <w:color w:val="auto"/>
          <w:sz w:val="28"/>
          <w:szCs w:val="28"/>
          <w:highlight w:val="none"/>
        </w:rPr>
        <w:t>具有依法缴纳税收和社会保障资金的良好记录的</w:t>
      </w:r>
      <w:r>
        <w:rPr>
          <w:rFonts w:hint="eastAsia" w:ascii="仿宋" w:hAnsi="仿宋" w:eastAsia="仿宋"/>
          <w:b/>
          <w:color w:val="auto"/>
          <w:sz w:val="28"/>
          <w:szCs w:val="28"/>
          <w:highlight w:val="none"/>
          <w:lang w:val="en-US" w:eastAsia="zh-CN"/>
        </w:rPr>
        <w:t>证明</w:t>
      </w:r>
      <w:r>
        <w:rPr>
          <w:rFonts w:ascii="仿宋" w:hAnsi="仿宋" w:eastAsia="仿宋"/>
          <w:b/>
          <w:color w:val="auto"/>
          <w:sz w:val="28"/>
          <w:szCs w:val="28"/>
          <w:highlight w:val="none"/>
        </w:rPr>
        <w:t>材料</w:t>
      </w:r>
    </w:p>
    <w:p>
      <w:pPr>
        <w:spacing w:line="40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按磋商文件第四章“</w:t>
      </w:r>
      <w:r>
        <w:rPr>
          <w:rFonts w:ascii="仿宋" w:hAnsi="仿宋" w:eastAsia="仿宋"/>
          <w:color w:val="auto"/>
          <w:kern w:val="0"/>
          <w:sz w:val="24"/>
          <w:highlight w:val="none"/>
          <w:lang w:val="zh-CN"/>
        </w:rPr>
        <w:t>具有依法缴纳税收和社会保障资金的良好记录的</w:t>
      </w:r>
      <w:r>
        <w:rPr>
          <w:rFonts w:hint="eastAsia" w:ascii="仿宋" w:hAnsi="仿宋" w:eastAsia="仿宋"/>
          <w:color w:val="auto"/>
          <w:kern w:val="0"/>
          <w:sz w:val="24"/>
          <w:highlight w:val="none"/>
          <w:lang w:val="en-US" w:eastAsia="zh-CN"/>
        </w:rPr>
        <w:t>证明</w:t>
      </w:r>
      <w:r>
        <w:rPr>
          <w:rFonts w:ascii="仿宋" w:hAnsi="仿宋" w:eastAsia="仿宋"/>
          <w:color w:val="auto"/>
          <w:kern w:val="0"/>
          <w:sz w:val="24"/>
          <w:highlight w:val="none"/>
          <w:lang w:val="zh-CN"/>
        </w:rPr>
        <w:t>材料</w:t>
      </w:r>
      <w:r>
        <w:rPr>
          <w:rFonts w:ascii="仿宋" w:hAnsi="仿宋" w:eastAsia="仿宋"/>
          <w:color w:val="auto"/>
          <w:sz w:val="24"/>
          <w:highlight w:val="none"/>
        </w:rPr>
        <w:t>”的要求提供承诺函原件，可单独提供，也可按第八章“承诺函”格式内容与其他承诺内容一并提供。</w:t>
      </w:r>
    </w:p>
    <w:p>
      <w:pPr>
        <w:numPr>
          <w:ilvl w:val="0"/>
          <w:numId w:val="3"/>
        </w:numPr>
        <w:tabs>
          <w:tab w:val="left" w:pos="709"/>
        </w:tabs>
        <w:spacing w:before="312" w:beforeLines="100"/>
        <w:ind w:left="1" w:firstLine="0"/>
        <w:jc w:val="left"/>
        <w:rPr>
          <w:rFonts w:ascii="仿宋" w:hAnsi="仿宋" w:eastAsia="仿宋"/>
          <w:b/>
          <w:color w:val="auto"/>
          <w:sz w:val="28"/>
          <w:szCs w:val="28"/>
          <w:highlight w:val="none"/>
        </w:rPr>
      </w:pPr>
      <w:r>
        <w:rPr>
          <w:rFonts w:ascii="仿宋" w:hAnsi="仿宋" w:eastAsia="仿宋"/>
          <w:b/>
          <w:color w:val="auto"/>
          <w:sz w:val="28"/>
          <w:szCs w:val="28"/>
          <w:highlight w:val="none"/>
        </w:rPr>
        <w:t>参加本次政府采购活动前三年内，在经营活动中没有重大违法记录的证明材料</w:t>
      </w:r>
    </w:p>
    <w:p>
      <w:pPr>
        <w:spacing w:line="400" w:lineRule="exact"/>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按磋商文件第四章“参加本次政府采购活动前三年内，在经营活动中没有重大违法记录的证明材料”的要求提供承诺函原件，可单独提供，也可按第八章“承诺函”格式内容与其他承诺内容一并提供。</w:t>
      </w:r>
    </w:p>
    <w:p>
      <w:pPr>
        <w:snapToGrid w:val="0"/>
        <w:spacing w:line="520" w:lineRule="exact"/>
        <w:ind w:firstLine="480" w:firstLineChars="200"/>
        <w:jc w:val="left"/>
        <w:rPr>
          <w:rFonts w:hint="eastAsia" w:ascii="仿宋" w:hAnsi="仿宋" w:eastAsia="仿宋"/>
          <w:color w:val="auto"/>
          <w:kern w:val="0"/>
          <w:sz w:val="24"/>
          <w:highlight w:val="none"/>
          <w:lang w:val="zh-CN"/>
        </w:rPr>
      </w:pPr>
      <w:r>
        <w:rPr>
          <w:rFonts w:hint="eastAsia" w:ascii="仿宋" w:hAnsi="仿宋" w:eastAsia="仿宋"/>
          <w:color w:val="auto"/>
          <w:kern w:val="0"/>
          <w:sz w:val="24"/>
          <w:highlight w:val="none"/>
          <w:lang w:val="zh-CN"/>
        </w:rPr>
        <w:t>注：</w:t>
      </w:r>
      <w:r>
        <w:rPr>
          <w:rFonts w:ascii="仿宋" w:hAnsi="仿宋" w:eastAsia="仿宋"/>
          <w:color w:val="auto"/>
          <w:kern w:val="0"/>
          <w:sz w:val="24"/>
          <w:highlight w:val="none"/>
          <w:lang w:val="zh-CN"/>
        </w:rPr>
        <w:t>重大违法记录，是指供应商因</w:t>
      </w:r>
      <w:r>
        <w:rPr>
          <w:rFonts w:hint="eastAsia" w:ascii="仿宋" w:hAnsi="仿宋" w:eastAsia="仿宋"/>
          <w:color w:val="auto"/>
          <w:kern w:val="0"/>
          <w:sz w:val="24"/>
          <w:highlight w:val="none"/>
          <w:lang w:val="zh-CN"/>
        </w:rPr>
        <w:t>违法经营受到刑事处罚或者责令停产停业、吊销许可证或者执照、较大数额罚款等行政处罚。供应商在参加政府采购活动前</w:t>
      </w:r>
      <w:r>
        <w:rPr>
          <w:rFonts w:ascii="仿宋" w:hAnsi="仿宋" w:eastAsia="仿宋"/>
          <w:color w:val="auto"/>
          <w:kern w:val="0"/>
          <w:sz w:val="24"/>
          <w:highlight w:val="none"/>
          <w:lang w:val="zh-CN"/>
        </w:rPr>
        <w:t>3年内因违法经营被禁止在一定期限内参加政府采</w:t>
      </w:r>
      <w:r>
        <w:rPr>
          <w:rFonts w:hint="eastAsia" w:ascii="仿宋" w:hAnsi="仿宋" w:eastAsia="仿宋"/>
          <w:color w:val="auto"/>
          <w:kern w:val="0"/>
          <w:sz w:val="24"/>
          <w:highlight w:val="none"/>
          <w:lang w:val="zh-CN"/>
        </w:rPr>
        <w:t>购活动，期限届满的，可以参加政府采购活动。</w:t>
      </w:r>
    </w:p>
    <w:p>
      <w:pPr>
        <w:numPr>
          <w:ilvl w:val="0"/>
          <w:numId w:val="3"/>
        </w:numPr>
        <w:tabs>
          <w:tab w:val="left" w:pos="709"/>
        </w:tabs>
        <w:spacing w:before="312" w:beforeLines="100"/>
        <w:ind w:left="562" w:hanging="560" w:hangingChars="200"/>
        <w:jc w:val="left"/>
        <w:rPr>
          <w:rFonts w:ascii="仿宋" w:hAnsi="仿宋" w:eastAsia="仿宋"/>
          <w:b/>
          <w:color w:val="auto"/>
          <w:sz w:val="28"/>
          <w:szCs w:val="28"/>
          <w:highlight w:val="none"/>
        </w:rPr>
      </w:pPr>
      <w:r>
        <w:rPr>
          <w:rFonts w:ascii="仿宋" w:hAnsi="仿宋" w:eastAsia="仿宋"/>
          <w:b/>
          <w:color w:val="auto"/>
          <w:sz w:val="28"/>
          <w:szCs w:val="28"/>
          <w:highlight w:val="none"/>
        </w:rPr>
        <w:t>法律、行政法规规定的其他条件的证明材料</w:t>
      </w:r>
    </w:p>
    <w:p>
      <w:pPr>
        <w:spacing w:line="400" w:lineRule="exact"/>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按磋商文件第四章“</w:t>
      </w:r>
      <w:r>
        <w:rPr>
          <w:rFonts w:ascii="仿宋" w:hAnsi="仿宋" w:eastAsia="仿宋"/>
          <w:b w:val="0"/>
          <w:color w:val="auto"/>
          <w:sz w:val="24"/>
          <w:szCs w:val="24"/>
          <w:highlight w:val="none"/>
        </w:rPr>
        <w:t>具备法律、行政法规规定的其他条件的证明材料</w:t>
      </w:r>
      <w:r>
        <w:rPr>
          <w:rFonts w:ascii="仿宋" w:hAnsi="仿宋" w:eastAsia="仿宋"/>
          <w:color w:val="auto"/>
          <w:sz w:val="24"/>
          <w:highlight w:val="none"/>
        </w:rPr>
        <w:t>”的要求提供承诺函原件，可单独提供，也可按第八章“承诺函”格式内容与其他承诺内容一并提供。</w:t>
      </w:r>
    </w:p>
    <w:p>
      <w:pPr>
        <w:spacing w:before="156" w:beforeLines="50" w:after="156" w:afterLines="50" w:line="400" w:lineRule="exact"/>
        <w:jc w:val="center"/>
        <w:rPr>
          <w:rFonts w:ascii="仿宋" w:hAnsi="仿宋" w:eastAsia="仿宋"/>
          <w:b/>
          <w:color w:val="auto"/>
          <w:sz w:val="32"/>
          <w:szCs w:val="32"/>
          <w:highlight w:val="none"/>
        </w:rPr>
      </w:pPr>
      <w:r>
        <w:rPr>
          <w:rFonts w:ascii="仿宋" w:hAnsi="仿宋" w:eastAsia="仿宋"/>
          <w:b/>
          <w:color w:val="auto"/>
          <w:sz w:val="32"/>
          <w:szCs w:val="32"/>
          <w:highlight w:val="none"/>
        </w:rPr>
        <w:t>承诺函</w:t>
      </w:r>
    </w:p>
    <w:p>
      <w:pPr>
        <w:spacing w:line="312" w:lineRule="auto"/>
        <w:rPr>
          <w:rFonts w:ascii="仿宋" w:hAnsi="仿宋" w:eastAsia="仿宋"/>
          <w:color w:val="auto"/>
          <w:sz w:val="24"/>
          <w:highlight w:val="none"/>
        </w:rPr>
      </w:pPr>
      <w:r>
        <w:rPr>
          <w:rFonts w:ascii="仿宋" w:hAnsi="仿宋" w:eastAsia="仿宋"/>
          <w:color w:val="auto"/>
          <w:sz w:val="24"/>
          <w:highlight w:val="none"/>
        </w:rPr>
        <w:t>四川中志招标代理有限公司：</w:t>
      </w:r>
    </w:p>
    <w:p>
      <w:pPr>
        <w:spacing w:line="312" w:lineRule="auto"/>
        <w:ind w:firstLine="480" w:firstLineChars="200"/>
        <w:rPr>
          <w:rFonts w:ascii="仿宋" w:hAnsi="仿宋" w:eastAsia="仿宋"/>
          <w:color w:val="auto"/>
          <w:sz w:val="24"/>
          <w:highlight w:val="none"/>
        </w:rPr>
      </w:pPr>
      <w:r>
        <w:rPr>
          <w:rFonts w:ascii="仿宋" w:hAnsi="仿宋" w:eastAsia="仿宋"/>
          <w:color w:val="auto"/>
          <w:sz w:val="24"/>
          <w:highlight w:val="none"/>
        </w:rPr>
        <w:t>我方作为本次采购项目的供应商，根据磋商文件要求，现郑重承诺如下：</w:t>
      </w:r>
    </w:p>
    <w:p>
      <w:pPr>
        <w:spacing w:line="312"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我单位具有良好的商业信誉和健全的财务会计制度。</w:t>
      </w:r>
    </w:p>
    <w:p>
      <w:pPr>
        <w:spacing w:line="312"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我单位具有履行合同所必需的设备和专业技术能力。</w:t>
      </w:r>
    </w:p>
    <w:p>
      <w:pPr>
        <w:spacing w:line="312" w:lineRule="auto"/>
        <w:ind w:firstLine="480" w:firstLineChars="200"/>
        <w:rPr>
          <w:rFonts w:hint="eastAsia" w:ascii="仿宋" w:hAnsi="仿宋" w:eastAsia="仿宋" w:cs="Times New Roman"/>
          <w:color w:val="auto"/>
          <w:sz w:val="24"/>
          <w:highlight w:val="none"/>
          <w:lang w:eastAsia="zh-CN"/>
        </w:rPr>
      </w:pPr>
      <w:r>
        <w:rPr>
          <w:rFonts w:hint="eastAsia" w:ascii="仿宋" w:hAnsi="仿宋" w:eastAsia="仿宋" w:cs="Times New Roman"/>
          <w:color w:val="auto"/>
          <w:sz w:val="24"/>
          <w:highlight w:val="none"/>
          <w:lang w:val="en-US" w:eastAsia="zh-CN"/>
        </w:rPr>
        <w:t>我单位具</w:t>
      </w:r>
      <w:r>
        <w:rPr>
          <w:rFonts w:hint="eastAsia" w:ascii="仿宋" w:hAnsi="仿宋" w:eastAsia="仿宋" w:cs="Times New Roman"/>
          <w:color w:val="auto"/>
          <w:sz w:val="24"/>
          <w:highlight w:val="none"/>
        </w:rPr>
        <w:t>有依法缴纳税收和社会保障资金的良好记录</w:t>
      </w:r>
      <w:r>
        <w:rPr>
          <w:rFonts w:hint="eastAsia" w:ascii="仿宋" w:hAnsi="仿宋" w:eastAsia="仿宋" w:cs="Times New Roman"/>
          <w:color w:val="auto"/>
          <w:sz w:val="24"/>
          <w:highlight w:val="none"/>
          <w:lang w:eastAsia="zh-CN"/>
        </w:rPr>
        <w:t>。</w:t>
      </w:r>
    </w:p>
    <w:p>
      <w:pPr>
        <w:spacing w:line="312"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我单位参加本次政府采购活动前三年内，在经营活动中没有重大违法记录。</w:t>
      </w:r>
    </w:p>
    <w:p>
      <w:pPr>
        <w:spacing w:line="312"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我单位具备法律、行政法规规定的其他条件。</w:t>
      </w:r>
    </w:p>
    <w:p>
      <w:pPr>
        <w:spacing w:line="312" w:lineRule="auto"/>
        <w:ind w:firstLine="480" w:firstLineChars="200"/>
        <w:rPr>
          <w:rFonts w:ascii="仿宋" w:hAnsi="仿宋" w:eastAsia="仿宋"/>
          <w:color w:val="auto"/>
          <w:sz w:val="24"/>
          <w:highlight w:val="none"/>
        </w:rPr>
      </w:pPr>
    </w:p>
    <w:p>
      <w:pPr>
        <w:spacing w:line="312" w:lineRule="auto"/>
        <w:ind w:firstLine="480" w:firstLineChars="200"/>
        <w:rPr>
          <w:rFonts w:ascii="仿宋" w:hAnsi="仿宋" w:eastAsia="仿宋"/>
          <w:color w:val="auto"/>
          <w:sz w:val="24"/>
          <w:highlight w:val="none"/>
        </w:rPr>
      </w:pPr>
      <w:r>
        <w:rPr>
          <w:rFonts w:ascii="仿宋" w:hAnsi="仿宋" w:eastAsia="仿宋"/>
          <w:color w:val="auto"/>
          <w:sz w:val="24"/>
          <w:highlight w:val="none"/>
        </w:rPr>
        <w:t>我方对上述承诺的内容事项真实性负责。如经查实上述承诺的内容事项存在虚假，愿意接受以提供虚假材料谋取成交的法律责任。</w:t>
      </w:r>
    </w:p>
    <w:p>
      <w:pPr>
        <w:adjustRightInd w:val="0"/>
        <w:snapToGrid w:val="0"/>
        <w:spacing w:before="156" w:beforeLines="50" w:line="312" w:lineRule="auto"/>
        <w:jc w:val="left"/>
        <w:rPr>
          <w:rFonts w:ascii="仿宋" w:hAnsi="仿宋" w:eastAsia="仿宋"/>
          <w:color w:val="auto"/>
          <w:sz w:val="24"/>
          <w:highlight w:val="none"/>
        </w:rPr>
      </w:pPr>
    </w:p>
    <w:p>
      <w:pPr>
        <w:adjustRightInd w:val="0"/>
        <w:snapToGrid w:val="0"/>
        <w:spacing w:before="156" w:beforeLines="50" w:line="312" w:lineRule="auto"/>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312" w:lineRule="auto"/>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312" w:lineRule="auto"/>
        <w:jc w:val="left"/>
        <w:rPr>
          <w:rFonts w:ascii="仿宋" w:hAnsi="仿宋" w:eastAsia="仿宋"/>
          <w:b/>
          <w:color w:val="auto"/>
          <w:sz w:val="32"/>
          <w:szCs w:val="32"/>
          <w:highlight w:val="none"/>
        </w:rPr>
      </w:pPr>
      <w:r>
        <w:rPr>
          <w:rFonts w:ascii="仿宋" w:hAnsi="仿宋" w:eastAsia="仿宋"/>
          <w:color w:val="auto"/>
          <w:sz w:val="24"/>
          <w:highlight w:val="none"/>
        </w:rPr>
        <w:t>日  期：</w:t>
      </w:r>
      <w:r>
        <w:rPr>
          <w:rFonts w:ascii="仿宋" w:hAnsi="仿宋" w:eastAsia="仿宋"/>
          <w:b/>
          <w:color w:val="auto"/>
          <w:sz w:val="32"/>
          <w:szCs w:val="32"/>
          <w:highlight w:val="none"/>
        </w:rPr>
        <w:t xml:space="preserve"> </w:t>
      </w:r>
    </w:p>
    <w:p>
      <w:pPr>
        <w:adjustRightInd w:val="0"/>
        <w:spacing w:line="312" w:lineRule="auto"/>
        <w:jc w:val="left"/>
        <w:rPr>
          <w:rFonts w:ascii="仿宋" w:hAnsi="仿宋" w:eastAsia="仿宋"/>
          <w:b/>
          <w:color w:val="auto"/>
          <w:sz w:val="32"/>
          <w:szCs w:val="32"/>
          <w:highlight w:val="none"/>
        </w:rPr>
      </w:pPr>
    </w:p>
    <w:p>
      <w:pPr>
        <w:adjustRightInd w:val="0"/>
        <w:spacing w:line="312" w:lineRule="auto"/>
        <w:jc w:val="left"/>
        <w:rPr>
          <w:rFonts w:ascii="仿宋" w:hAnsi="仿宋" w:eastAsia="仿宋"/>
          <w:b/>
          <w:color w:val="auto"/>
          <w:sz w:val="32"/>
          <w:szCs w:val="32"/>
          <w:highlight w:val="none"/>
        </w:rPr>
        <w:sectPr>
          <w:footerReference r:id="rId15" w:type="first"/>
          <w:footerReference r:id="rId14" w:type="default"/>
          <w:pgSz w:w="11907" w:h="16840"/>
          <w:pgMar w:top="1418" w:right="1134" w:bottom="1418" w:left="1701" w:header="850" w:footer="567" w:gutter="0"/>
          <w:cols w:space="720" w:num="1"/>
          <w:titlePg/>
          <w:docGrid w:type="linesAndChars" w:linePitch="312" w:charSpace="0"/>
        </w:sectPr>
      </w:pPr>
    </w:p>
    <w:p>
      <w:pPr>
        <w:numPr>
          <w:ilvl w:val="0"/>
          <w:numId w:val="3"/>
        </w:numPr>
        <w:tabs>
          <w:tab w:val="left" w:pos="709"/>
        </w:tabs>
        <w:spacing w:before="156" w:beforeLines="50"/>
        <w:ind w:left="562" w:hanging="560" w:hangingChars="2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落实政府采购政策需满足的资格要求</w:t>
      </w:r>
      <w:r>
        <w:rPr>
          <w:rFonts w:ascii="仿宋" w:hAnsi="仿宋" w:eastAsia="仿宋"/>
          <w:b/>
          <w:color w:val="auto"/>
          <w:sz w:val="28"/>
          <w:szCs w:val="28"/>
          <w:highlight w:val="none"/>
        </w:rPr>
        <w:t>证明材料</w:t>
      </w:r>
    </w:p>
    <w:p>
      <w:pPr>
        <w:snapToGrid w:val="0"/>
        <w:spacing w:after="156" w:afterLines="50" w:line="520" w:lineRule="exact"/>
        <w:ind w:firstLine="480" w:firstLineChars="200"/>
        <w:jc w:val="left"/>
        <w:rPr>
          <w:rFonts w:hint="eastAsia" w:ascii="仿宋" w:hAnsi="仿宋" w:eastAsia="仿宋"/>
          <w:color w:val="auto"/>
          <w:kern w:val="0"/>
          <w:sz w:val="24"/>
          <w:highlight w:val="none"/>
        </w:rPr>
      </w:pPr>
      <w:r>
        <w:rPr>
          <w:rFonts w:hint="eastAsia" w:ascii="仿宋" w:hAnsi="仿宋" w:eastAsia="仿宋"/>
          <w:color w:val="auto"/>
          <w:kern w:val="0"/>
          <w:sz w:val="24"/>
          <w:highlight w:val="none"/>
        </w:rPr>
        <w:t>中小企业声明函或残疾人福利性单位声明函或监狱企业证明材料。</w:t>
      </w:r>
    </w:p>
    <w:p>
      <w:pPr>
        <w:tabs>
          <w:tab w:val="left" w:pos="567"/>
          <w:tab w:val="left" w:pos="709"/>
          <w:tab w:val="left" w:pos="1134"/>
        </w:tabs>
        <w:jc w:val="center"/>
        <w:rPr>
          <w:rFonts w:ascii="仿宋" w:hAnsi="仿宋" w:eastAsia="仿宋"/>
          <w:b/>
          <w:color w:val="auto"/>
          <w:sz w:val="32"/>
          <w:szCs w:val="32"/>
          <w:highlight w:val="none"/>
        </w:rPr>
      </w:pPr>
      <w:r>
        <w:rPr>
          <w:rFonts w:ascii="仿宋" w:hAnsi="仿宋" w:eastAsia="仿宋"/>
          <w:b/>
          <w:color w:val="auto"/>
          <w:sz w:val="32"/>
          <w:szCs w:val="32"/>
          <w:highlight w:val="none"/>
        </w:rPr>
        <w:t>中小企业声明函</w:t>
      </w:r>
    </w:p>
    <w:p>
      <w:pPr>
        <w:spacing w:line="360" w:lineRule="auto"/>
        <w:ind w:firstLine="480"/>
        <w:rPr>
          <w:rFonts w:ascii="仿宋" w:hAnsi="仿宋" w:eastAsia="仿宋"/>
          <w:color w:val="auto"/>
          <w:sz w:val="24"/>
          <w:highlight w:val="none"/>
        </w:rPr>
      </w:pPr>
      <w:r>
        <w:rPr>
          <w:rFonts w:ascii="仿宋" w:hAnsi="仿宋" w:eastAsia="仿宋"/>
          <w:color w:val="auto"/>
          <w:sz w:val="24"/>
          <w:highlight w:val="none"/>
        </w:rPr>
        <w:t>本公司（联合体）郑重声明，根据《政府采购促进中小</w:t>
      </w:r>
      <w:r>
        <w:rPr>
          <w:rFonts w:hint="eastAsia" w:ascii="仿宋" w:hAnsi="仿宋" w:eastAsia="仿宋"/>
          <w:color w:val="auto"/>
          <w:sz w:val="24"/>
          <w:highlight w:val="none"/>
        </w:rPr>
        <w:t>企业发展管理办法》（财库﹝2020﹞46 号）的规定，本公司（联合体）参加</w:t>
      </w:r>
      <w:r>
        <w:rPr>
          <w:rFonts w:hint="eastAsia" w:ascii="仿宋" w:hAnsi="仿宋" w:eastAsia="仿宋"/>
          <w:color w:val="auto"/>
          <w:sz w:val="24"/>
          <w:highlight w:val="none"/>
          <w:u w:val="single"/>
        </w:rPr>
        <w:t>（单位名称）</w:t>
      </w:r>
      <w:r>
        <w:rPr>
          <w:rFonts w:hint="eastAsia" w:ascii="仿宋" w:hAnsi="仿宋" w:eastAsia="仿宋"/>
          <w:color w:val="auto"/>
          <w:sz w:val="24"/>
          <w:highlight w:val="none"/>
        </w:rPr>
        <w:t>的</w:t>
      </w:r>
      <w:r>
        <w:rPr>
          <w:rFonts w:hint="eastAsia" w:ascii="仿宋" w:hAnsi="仿宋" w:eastAsia="仿宋"/>
          <w:color w:val="auto"/>
          <w:sz w:val="24"/>
          <w:highlight w:val="none"/>
          <w:u w:val="single"/>
        </w:rPr>
        <w:t>（项目名称）</w:t>
      </w:r>
      <w:r>
        <w:rPr>
          <w:rFonts w:hint="eastAsia" w:ascii="仿宋" w:hAnsi="仿宋" w:eastAsia="仿宋"/>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1.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 xml:space="preserve"> ，属于</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2. </w:t>
      </w:r>
      <w:r>
        <w:rPr>
          <w:rFonts w:hint="eastAsia" w:ascii="仿宋" w:hAnsi="仿宋" w:eastAsia="仿宋"/>
          <w:color w:val="auto"/>
          <w:sz w:val="24"/>
          <w:highlight w:val="none"/>
          <w:u w:val="single"/>
        </w:rPr>
        <w:t>（标的名称）</w:t>
      </w:r>
      <w:r>
        <w:rPr>
          <w:rFonts w:hint="eastAsia" w:ascii="仿宋" w:hAnsi="仿宋" w:eastAsia="仿宋"/>
          <w:color w:val="auto"/>
          <w:sz w:val="24"/>
          <w:highlight w:val="none"/>
        </w:rPr>
        <w:t xml:space="preserve"> ，属于</w:t>
      </w:r>
      <w:r>
        <w:rPr>
          <w:rFonts w:hint="eastAsia" w:ascii="仿宋" w:hAnsi="仿宋" w:eastAsia="仿宋"/>
          <w:color w:val="auto"/>
          <w:sz w:val="24"/>
          <w:highlight w:val="none"/>
          <w:u w:val="single"/>
        </w:rPr>
        <w:t>（采购文件中明确的所属行业）</w:t>
      </w:r>
      <w:r>
        <w:rPr>
          <w:rFonts w:hint="eastAsia" w:ascii="仿宋" w:hAnsi="仿宋" w:eastAsia="仿宋"/>
          <w:color w:val="auto"/>
          <w:sz w:val="24"/>
          <w:highlight w:val="none"/>
        </w:rPr>
        <w:t>；承接企业为</w:t>
      </w:r>
      <w:r>
        <w:rPr>
          <w:rFonts w:hint="eastAsia" w:ascii="仿宋" w:hAnsi="仿宋" w:eastAsia="仿宋"/>
          <w:color w:val="auto"/>
          <w:sz w:val="24"/>
          <w:highlight w:val="none"/>
          <w:u w:val="single"/>
        </w:rPr>
        <w:t>（企业名称）</w:t>
      </w:r>
      <w:r>
        <w:rPr>
          <w:rFonts w:hint="eastAsia" w:ascii="仿宋" w:hAnsi="仿宋" w:eastAsia="仿宋"/>
          <w:color w:val="auto"/>
          <w:sz w:val="24"/>
          <w:highlight w:val="none"/>
        </w:rPr>
        <w:t>，从业人员</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人，营业收入为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万元，资产总额为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万元，属于</w:t>
      </w:r>
      <w:r>
        <w:rPr>
          <w:rFonts w:hint="eastAsia" w:ascii="仿宋" w:hAnsi="仿宋" w:eastAsia="仿宋"/>
          <w:color w:val="auto"/>
          <w:sz w:val="24"/>
          <w:highlight w:val="none"/>
          <w:u w:val="single"/>
        </w:rPr>
        <w:t>（中型企业、小型企业、微型企业）</w:t>
      </w:r>
      <w:r>
        <w:rPr>
          <w:rFonts w:hint="eastAsia" w:ascii="仿宋" w:hAnsi="仿宋" w:eastAsia="仿宋"/>
          <w:color w:val="auto"/>
          <w:sz w:val="24"/>
          <w:highlight w:val="none"/>
        </w:rPr>
        <w:t xml:space="preserve">； </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以上企业，不属于大企业的分支机构，不存在控股股东为大企业的情形，也不存在与大企业的负责人为同一人的情形。</w:t>
      </w:r>
    </w:p>
    <w:p>
      <w:pPr>
        <w:spacing w:line="360" w:lineRule="auto"/>
        <w:ind w:firstLine="480"/>
        <w:rPr>
          <w:rFonts w:ascii="仿宋" w:hAnsi="仿宋" w:eastAsia="仿宋"/>
          <w:color w:val="auto"/>
          <w:sz w:val="24"/>
          <w:highlight w:val="none"/>
        </w:rPr>
      </w:pPr>
      <w:r>
        <w:rPr>
          <w:rFonts w:hint="eastAsia" w:ascii="仿宋" w:hAnsi="仿宋" w:eastAsia="仿宋"/>
          <w:color w:val="auto"/>
          <w:sz w:val="24"/>
          <w:highlight w:val="none"/>
        </w:rPr>
        <w:t xml:space="preserve">本企业对上述声明内容的真实性负责。如有虚假，将依法承担相应责任。 </w:t>
      </w:r>
    </w:p>
    <w:p>
      <w:pPr>
        <w:spacing w:line="360" w:lineRule="auto"/>
        <w:ind w:firstLine="480"/>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pPr>
        <w:spacing w:line="360" w:lineRule="auto"/>
        <w:ind w:firstLine="5760" w:firstLineChars="2400"/>
        <w:jc w:val="left"/>
        <w:rPr>
          <w:rFonts w:ascii="仿宋" w:hAnsi="仿宋" w:eastAsia="仿宋"/>
          <w:color w:val="auto"/>
          <w:sz w:val="24"/>
          <w:highlight w:val="none"/>
        </w:rPr>
      </w:pPr>
      <w:r>
        <w:rPr>
          <w:rFonts w:hint="eastAsia" w:ascii="仿宋" w:hAnsi="仿宋" w:eastAsia="仿宋"/>
          <w:color w:val="auto"/>
          <w:sz w:val="24"/>
          <w:highlight w:val="none"/>
        </w:rPr>
        <w:t xml:space="preserve">企业名称（盖章）： </w:t>
      </w:r>
    </w:p>
    <w:p>
      <w:pPr>
        <w:spacing w:line="360" w:lineRule="auto"/>
        <w:ind w:firstLine="48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日 期：</w:t>
      </w:r>
    </w:p>
    <w:p>
      <w:pPr>
        <w:adjustRightInd w:val="0"/>
        <w:rPr>
          <w:rFonts w:hint="eastAsia" w:ascii="仿宋" w:hAnsi="仿宋" w:eastAsia="仿宋" w:cs="仿宋"/>
          <w:color w:val="auto"/>
          <w:sz w:val="24"/>
          <w:highlight w:val="none"/>
        </w:rPr>
      </w:pPr>
    </w:p>
    <w:p>
      <w:pPr>
        <w:adjustRightInd w:val="0"/>
        <w:rPr>
          <w:rFonts w:hint="eastAsia" w:ascii="仿宋" w:hAnsi="仿宋" w:eastAsia="仿宋" w:cs="仿宋"/>
          <w:color w:val="auto"/>
          <w:sz w:val="24"/>
          <w:highlight w:val="none"/>
        </w:rPr>
      </w:pP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pPr>
        <w:adjustRightInd w:val="0"/>
        <w:snapToGrid w:val="0"/>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从业人员、营业收入、资产总额填报上一年度数据，无上一年度数据的新成立企业可不填报。</w:t>
      </w:r>
    </w:p>
    <w:p>
      <w:pPr>
        <w:tabs>
          <w:tab w:val="left" w:pos="567"/>
          <w:tab w:val="left" w:pos="709"/>
          <w:tab w:val="left" w:pos="1134"/>
        </w:tabs>
        <w:jc w:val="center"/>
        <w:rPr>
          <w:rFonts w:ascii="仿宋" w:hAnsi="仿宋" w:eastAsia="仿宋"/>
          <w:b/>
          <w:color w:val="auto"/>
          <w:sz w:val="32"/>
          <w:szCs w:val="32"/>
          <w:highlight w:val="none"/>
        </w:rPr>
      </w:pPr>
    </w:p>
    <w:p>
      <w:pPr>
        <w:tabs>
          <w:tab w:val="left" w:pos="567"/>
          <w:tab w:val="left" w:pos="709"/>
          <w:tab w:val="left" w:pos="1134"/>
        </w:tabs>
        <w:jc w:val="center"/>
        <w:rPr>
          <w:rFonts w:ascii="仿宋" w:hAnsi="仿宋" w:eastAsia="仿宋"/>
          <w:b/>
          <w:color w:val="auto"/>
          <w:sz w:val="32"/>
          <w:szCs w:val="32"/>
          <w:highlight w:val="none"/>
        </w:rPr>
      </w:pPr>
    </w:p>
    <w:p>
      <w:pPr>
        <w:tabs>
          <w:tab w:val="left" w:pos="567"/>
          <w:tab w:val="left" w:pos="709"/>
          <w:tab w:val="left" w:pos="1134"/>
        </w:tabs>
        <w:jc w:val="center"/>
        <w:rPr>
          <w:rFonts w:ascii="仿宋" w:hAnsi="仿宋" w:eastAsia="仿宋"/>
          <w:b/>
          <w:color w:val="auto"/>
          <w:sz w:val="32"/>
          <w:szCs w:val="32"/>
          <w:highlight w:val="none"/>
        </w:rPr>
      </w:pPr>
    </w:p>
    <w:p>
      <w:pPr>
        <w:tabs>
          <w:tab w:val="left" w:pos="567"/>
          <w:tab w:val="left" w:pos="709"/>
          <w:tab w:val="left" w:pos="1134"/>
        </w:tabs>
        <w:jc w:val="center"/>
        <w:rPr>
          <w:rFonts w:ascii="仿宋" w:hAnsi="仿宋" w:eastAsia="仿宋"/>
          <w:b/>
          <w:color w:val="auto"/>
          <w:sz w:val="32"/>
          <w:szCs w:val="32"/>
          <w:highlight w:val="none"/>
        </w:rPr>
      </w:pPr>
    </w:p>
    <w:p>
      <w:pPr>
        <w:tabs>
          <w:tab w:val="left" w:pos="567"/>
          <w:tab w:val="left" w:pos="709"/>
          <w:tab w:val="left" w:pos="1134"/>
        </w:tabs>
        <w:spacing w:before="156" w:beforeLines="50" w:after="156" w:afterLines="50"/>
        <w:jc w:val="center"/>
        <w:rPr>
          <w:rFonts w:ascii="仿宋" w:hAnsi="仿宋" w:eastAsia="仿宋"/>
          <w:b/>
          <w:color w:val="auto"/>
          <w:sz w:val="32"/>
          <w:szCs w:val="32"/>
          <w:highlight w:val="none"/>
        </w:rPr>
      </w:pPr>
      <w:r>
        <w:rPr>
          <w:rFonts w:ascii="仿宋" w:hAnsi="仿宋" w:eastAsia="仿宋"/>
          <w:b/>
          <w:color w:val="auto"/>
          <w:sz w:val="32"/>
          <w:szCs w:val="32"/>
          <w:highlight w:val="none"/>
        </w:rPr>
        <w:t>监狱企业证明材料</w:t>
      </w:r>
    </w:p>
    <w:p>
      <w:pPr>
        <w:widowControl/>
        <w:spacing w:line="440" w:lineRule="exact"/>
        <w:ind w:firstLine="504" w:firstLineChars="200"/>
        <w:jc w:val="left"/>
        <w:rPr>
          <w:rFonts w:ascii="仿宋" w:hAnsi="仿宋" w:eastAsia="仿宋"/>
          <w:color w:val="auto"/>
          <w:spacing w:val="6"/>
          <w:sz w:val="24"/>
          <w:highlight w:val="none"/>
        </w:rPr>
      </w:pPr>
      <w:r>
        <w:rPr>
          <w:rFonts w:ascii="仿宋" w:hAnsi="仿宋" w:eastAsia="仿宋"/>
          <w:color w:val="auto"/>
          <w:spacing w:val="6"/>
          <w:sz w:val="24"/>
          <w:highlight w:val="none"/>
        </w:rPr>
        <w:t>参加政府采购活动的监狱企业应当提供省级以上监狱管理局、戒毒管理局（含新疆生产建设兵团）出具的属于监狱企业的证明文件复印件加盖供应商公章。</w:t>
      </w:r>
    </w:p>
    <w:p>
      <w:pPr>
        <w:rPr>
          <w:rFonts w:ascii="仿宋" w:hAnsi="仿宋" w:eastAsia="仿宋"/>
          <w:color w:val="auto"/>
          <w:highlight w:val="none"/>
        </w:rPr>
      </w:pPr>
    </w:p>
    <w:p>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adjustRightInd w:val="0"/>
        <w:snapToGrid w:val="0"/>
        <w:spacing w:line="3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1.监狱企业视同小型、微型企业，享受预留份额等促进中小企业发展的政府采购政策。</w:t>
      </w:r>
    </w:p>
    <w:p>
      <w:pPr>
        <w:adjustRightInd w:val="0"/>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2.供应商为非监狱企业的，不得提供此声明，提供此声明的，声明无效。</w:t>
      </w:r>
    </w:p>
    <w:p>
      <w:pPr>
        <w:adjustRightInd w:val="0"/>
        <w:snapToGrid w:val="0"/>
        <w:spacing w:line="360" w:lineRule="exact"/>
        <w:ind w:firstLine="420" w:firstLineChars="200"/>
        <w:rPr>
          <w:rFonts w:ascii="仿宋" w:hAnsi="仿宋" w:eastAsia="仿宋" w:cs="仿宋"/>
          <w:color w:val="auto"/>
          <w:szCs w:val="21"/>
          <w:highlight w:val="none"/>
        </w:rPr>
      </w:pPr>
    </w:p>
    <w:p>
      <w:pPr>
        <w:adjustRightInd w:val="0"/>
        <w:snapToGrid w:val="0"/>
        <w:spacing w:line="360" w:lineRule="exact"/>
        <w:ind w:firstLine="420" w:firstLineChars="200"/>
        <w:rPr>
          <w:rFonts w:ascii="仿宋" w:hAnsi="仿宋" w:eastAsia="仿宋" w:cs="仿宋"/>
          <w:color w:val="auto"/>
          <w:szCs w:val="21"/>
          <w:highlight w:val="none"/>
        </w:rPr>
      </w:pPr>
    </w:p>
    <w:p>
      <w:pPr>
        <w:tabs>
          <w:tab w:val="left" w:pos="567"/>
          <w:tab w:val="left" w:pos="709"/>
          <w:tab w:val="left" w:pos="1134"/>
        </w:tabs>
        <w:spacing w:after="312" w:afterLines="100"/>
        <w:jc w:val="center"/>
        <w:rPr>
          <w:rFonts w:ascii="仿宋" w:hAnsi="仿宋" w:eastAsia="仿宋"/>
          <w:b/>
          <w:color w:val="auto"/>
          <w:sz w:val="32"/>
          <w:szCs w:val="32"/>
          <w:highlight w:val="none"/>
        </w:rPr>
      </w:pPr>
      <w:r>
        <w:rPr>
          <w:rFonts w:ascii="仿宋" w:hAnsi="仿宋" w:eastAsia="仿宋"/>
          <w:b/>
          <w:color w:val="auto"/>
          <w:sz w:val="32"/>
          <w:szCs w:val="32"/>
          <w:highlight w:val="none"/>
        </w:rPr>
        <w:t>残疾人福利性单位声明函</w:t>
      </w:r>
    </w:p>
    <w:p>
      <w:pPr>
        <w:spacing w:line="400" w:lineRule="exact"/>
        <w:ind w:firstLine="504" w:firstLineChars="200"/>
        <w:rPr>
          <w:rFonts w:ascii="仿宋" w:hAnsi="仿宋" w:eastAsia="仿宋"/>
          <w:color w:val="auto"/>
          <w:spacing w:val="6"/>
          <w:sz w:val="24"/>
          <w:highlight w:val="none"/>
        </w:rPr>
      </w:pPr>
    </w:p>
    <w:p>
      <w:pPr>
        <w:spacing w:line="400" w:lineRule="exact"/>
        <w:ind w:firstLine="504" w:firstLineChars="200"/>
        <w:rPr>
          <w:rFonts w:ascii="仿宋" w:hAnsi="仿宋" w:eastAsia="仿宋"/>
          <w:color w:val="auto"/>
          <w:spacing w:val="6"/>
          <w:sz w:val="24"/>
          <w:highlight w:val="none"/>
        </w:rPr>
      </w:pPr>
      <w:r>
        <w:rPr>
          <w:rFonts w:ascii="仿宋" w:hAnsi="仿宋" w:eastAsia="仿宋"/>
          <w:color w:val="auto"/>
          <w:spacing w:val="6"/>
          <w:sz w:val="24"/>
          <w:highlight w:val="none"/>
        </w:rPr>
        <w:t>本单位郑重声明，根据《财政部 民政部 中国残疾人联合会关于促进残疾人就业政府采购政策的通知》（财库</w:t>
      </w:r>
      <w:r>
        <w:rPr>
          <w:rFonts w:ascii="仿宋" w:hAnsi="仿宋" w:eastAsia="仿宋"/>
          <w:color w:val="auto"/>
          <w:sz w:val="24"/>
          <w:highlight w:val="none"/>
        </w:rPr>
        <w:t>〔2017〕 141</w:t>
      </w:r>
      <w:r>
        <w:rPr>
          <w:rFonts w:ascii="仿宋" w:hAnsi="仿宋" w:eastAsia="仿宋"/>
          <w:color w:val="auto"/>
          <w:spacing w:val="6"/>
          <w:sz w:val="24"/>
          <w:highlight w:val="none"/>
        </w:rPr>
        <w:t>号）的规定，本单位为符合条件的残疾人福利性单位，且本单位参加______单位的______项目采购活动，由本单位提供服务。</w:t>
      </w:r>
    </w:p>
    <w:p>
      <w:pPr>
        <w:spacing w:line="400" w:lineRule="exact"/>
        <w:ind w:firstLine="504" w:firstLineChars="200"/>
        <w:rPr>
          <w:rFonts w:ascii="仿宋" w:hAnsi="仿宋" w:eastAsia="仿宋"/>
          <w:color w:val="auto"/>
          <w:spacing w:val="6"/>
          <w:sz w:val="24"/>
          <w:highlight w:val="none"/>
        </w:rPr>
      </w:pPr>
    </w:p>
    <w:p>
      <w:pPr>
        <w:spacing w:line="400" w:lineRule="exact"/>
        <w:ind w:firstLine="504" w:firstLineChars="200"/>
        <w:rPr>
          <w:rFonts w:ascii="仿宋" w:hAnsi="仿宋" w:eastAsia="仿宋"/>
          <w:color w:val="auto"/>
          <w:spacing w:val="6"/>
          <w:sz w:val="24"/>
          <w:highlight w:val="none"/>
        </w:rPr>
      </w:pPr>
      <w:r>
        <w:rPr>
          <w:rFonts w:ascii="仿宋" w:hAnsi="仿宋" w:eastAsia="仿宋"/>
          <w:color w:val="auto"/>
          <w:spacing w:val="6"/>
          <w:sz w:val="24"/>
          <w:highlight w:val="none"/>
        </w:rPr>
        <w:t>本单位对上述声明的真实性负责。如有虚假，将依法承担相应责任。</w:t>
      </w:r>
    </w:p>
    <w:p>
      <w:pPr>
        <w:widowControl/>
        <w:spacing w:line="400" w:lineRule="exact"/>
        <w:jc w:val="left"/>
        <w:rPr>
          <w:rFonts w:ascii="仿宋" w:hAnsi="仿宋" w:eastAsia="仿宋"/>
          <w:color w:val="auto"/>
          <w:kern w:val="0"/>
          <w:sz w:val="24"/>
          <w:highlight w:val="none"/>
        </w:rPr>
      </w:pPr>
      <w:r>
        <w:rPr>
          <w:rFonts w:ascii="仿宋" w:hAnsi="仿宋" w:eastAsia="仿宋"/>
          <w:color w:val="auto"/>
          <w:spacing w:val="6"/>
          <w:sz w:val="30"/>
          <w:szCs w:val="30"/>
          <w:highlight w:val="none"/>
        </w:rPr>
        <w:t xml:space="preserve">      </w:t>
      </w:r>
    </w:p>
    <w:p>
      <w:pPr>
        <w:widowControl/>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hint="eastAsia" w:ascii="仿宋" w:hAnsi="仿宋" w:eastAsia="仿宋"/>
          <w:color w:val="auto"/>
          <w:sz w:val="24"/>
          <w:highlight w:val="none"/>
        </w:rPr>
      </w:pPr>
      <w:r>
        <w:rPr>
          <w:rFonts w:ascii="仿宋" w:hAnsi="仿宋" w:eastAsia="仿宋"/>
          <w:color w:val="auto"/>
          <w:sz w:val="24"/>
          <w:highlight w:val="none"/>
        </w:rPr>
        <w:t xml:space="preserve">日  期：  </w:t>
      </w:r>
    </w:p>
    <w:p>
      <w:pPr>
        <w:adjustRightInd w:val="0"/>
        <w:spacing w:line="400" w:lineRule="exact"/>
        <w:jc w:val="left"/>
        <w:rPr>
          <w:rFonts w:hint="eastAsia" w:ascii="仿宋" w:hAnsi="仿宋" w:eastAsia="仿宋"/>
          <w:color w:val="auto"/>
          <w:sz w:val="24"/>
          <w:highlight w:val="none"/>
        </w:rPr>
      </w:pPr>
    </w:p>
    <w:p>
      <w:pPr>
        <w:adjustRightInd w:val="0"/>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rPr>
        <w:t>注：</w:t>
      </w:r>
    </w:p>
    <w:p>
      <w:pPr>
        <w:adjustRightInd w:val="0"/>
        <w:snapToGrid w:val="0"/>
        <w:spacing w:line="36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1.残疾人福利性单位视同小型、微型企业，享受预留份额等促进中小企业发展的政府采购政策。</w:t>
      </w:r>
    </w:p>
    <w:p>
      <w:pPr>
        <w:adjustRightInd w:val="0"/>
        <w:snapToGrid w:val="0"/>
        <w:spacing w:line="3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2.供应商为非残疾人福利性单位的，不得提供此声明，提供此声明的，声明无效。</w:t>
      </w:r>
    </w:p>
    <w:p>
      <w:pPr>
        <w:adjustRightInd w:val="0"/>
        <w:snapToGrid w:val="0"/>
        <w:spacing w:line="360" w:lineRule="exact"/>
        <w:ind w:firstLine="420" w:firstLineChars="200"/>
        <w:rPr>
          <w:rFonts w:hint="eastAsia" w:ascii="仿宋" w:hAnsi="仿宋" w:eastAsia="仿宋" w:cs="仿宋"/>
          <w:color w:val="auto"/>
          <w:szCs w:val="21"/>
          <w:highlight w:val="none"/>
        </w:rPr>
      </w:pPr>
    </w:p>
    <w:p>
      <w:pPr>
        <w:pStyle w:val="2"/>
        <w:rPr>
          <w:rFonts w:hint="eastAsia"/>
          <w:color w:val="auto"/>
          <w:highlight w:val="none"/>
        </w:rPr>
      </w:pPr>
    </w:p>
    <w:p>
      <w:pPr>
        <w:adjustRightInd w:val="0"/>
        <w:snapToGrid w:val="0"/>
        <w:spacing w:line="360" w:lineRule="exact"/>
        <w:ind w:firstLine="420" w:firstLineChars="200"/>
        <w:rPr>
          <w:rFonts w:hint="eastAsia" w:ascii="仿宋" w:hAnsi="仿宋" w:eastAsia="仿宋" w:cs="仿宋"/>
          <w:color w:val="auto"/>
          <w:szCs w:val="21"/>
          <w:highlight w:val="none"/>
        </w:rPr>
      </w:pPr>
    </w:p>
    <w:p>
      <w:pPr>
        <w:numPr>
          <w:ilvl w:val="0"/>
          <w:numId w:val="3"/>
        </w:numPr>
        <w:tabs>
          <w:tab w:val="left" w:pos="709"/>
        </w:tabs>
        <w:spacing w:before="312" w:beforeLines="100"/>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不属于禁止参加本次采购活动的供应商</w:t>
      </w:r>
    </w:p>
    <w:p>
      <w:pPr>
        <w:spacing w:line="400" w:lineRule="exact"/>
        <w:ind w:firstLine="480" w:firstLineChars="200"/>
        <w:jc w:val="left"/>
        <w:rPr>
          <w:rFonts w:ascii="仿宋" w:hAnsi="仿宋" w:eastAsia="仿宋"/>
          <w:b/>
          <w:color w:val="auto"/>
          <w:sz w:val="32"/>
          <w:szCs w:val="32"/>
          <w:highlight w:val="none"/>
        </w:rPr>
      </w:pPr>
      <w:r>
        <w:rPr>
          <w:rFonts w:hint="eastAsia" w:ascii="仿宋" w:hAnsi="仿宋" w:eastAsia="仿宋"/>
          <w:color w:val="auto"/>
          <w:sz w:val="24"/>
          <w:szCs w:val="20"/>
          <w:highlight w:val="none"/>
        </w:rPr>
        <w:t>采购代理机构出具的信用记录结果网页截图即可，供应商无须提供。</w:t>
      </w:r>
    </w:p>
    <w:p>
      <w:pPr>
        <w:numPr>
          <w:ilvl w:val="0"/>
          <w:numId w:val="3"/>
        </w:numPr>
        <w:tabs>
          <w:tab w:val="left" w:pos="709"/>
        </w:tabs>
        <w:spacing w:before="312" w:beforeLines="100"/>
        <w:ind w:left="562" w:hanging="560" w:hangingChars="200"/>
        <w:jc w:val="left"/>
        <w:rPr>
          <w:rFonts w:ascii="仿宋" w:hAnsi="仿宋" w:eastAsia="仿宋"/>
          <w:b/>
          <w:color w:val="auto"/>
          <w:sz w:val="28"/>
          <w:szCs w:val="28"/>
          <w:highlight w:val="none"/>
        </w:rPr>
      </w:pPr>
      <w:r>
        <w:rPr>
          <w:rFonts w:ascii="仿宋" w:hAnsi="仿宋" w:eastAsia="仿宋"/>
          <w:b/>
          <w:color w:val="auto"/>
          <w:sz w:val="28"/>
          <w:szCs w:val="28"/>
          <w:highlight w:val="none"/>
        </w:rPr>
        <w:t>授权参加本次磋商活动的供应商代表</w:t>
      </w:r>
    </w:p>
    <w:p>
      <w:pPr>
        <w:spacing w:line="40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按以下要求提供法定代表人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授权书原件及法定代表人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身份证、代理人身份证复印件</w:t>
      </w:r>
      <w:r>
        <w:rPr>
          <w:rFonts w:hint="eastAsia" w:ascii="仿宋" w:hAnsi="仿宋" w:eastAsia="仿宋"/>
          <w:color w:val="auto"/>
          <w:sz w:val="24"/>
          <w:highlight w:val="none"/>
        </w:rPr>
        <w:t>。</w:t>
      </w:r>
    </w:p>
    <w:p>
      <w:pPr>
        <w:spacing w:before="156" w:beforeLines="50"/>
        <w:jc w:val="center"/>
        <w:rPr>
          <w:rFonts w:ascii="仿宋" w:hAnsi="仿宋" w:eastAsia="仿宋"/>
          <w:b/>
          <w:color w:val="auto"/>
          <w:sz w:val="32"/>
          <w:szCs w:val="32"/>
          <w:highlight w:val="none"/>
        </w:rPr>
      </w:pPr>
      <w:r>
        <w:rPr>
          <w:rFonts w:ascii="仿宋" w:hAnsi="仿宋" w:eastAsia="仿宋"/>
          <w:b/>
          <w:color w:val="auto"/>
          <w:sz w:val="32"/>
          <w:szCs w:val="32"/>
          <w:highlight w:val="none"/>
        </w:rPr>
        <w:t>法定代表人</w:t>
      </w:r>
      <w:r>
        <w:rPr>
          <w:rFonts w:hint="eastAsia" w:ascii="仿宋" w:hAnsi="仿宋" w:eastAsia="仿宋"/>
          <w:b/>
          <w:color w:val="auto"/>
          <w:sz w:val="32"/>
          <w:szCs w:val="32"/>
          <w:highlight w:val="none"/>
        </w:rPr>
        <w:t>（主要负责人/经营者）</w:t>
      </w:r>
      <w:r>
        <w:rPr>
          <w:rFonts w:ascii="仿宋" w:hAnsi="仿宋" w:eastAsia="仿宋"/>
          <w:b/>
          <w:color w:val="auto"/>
          <w:sz w:val="32"/>
          <w:szCs w:val="32"/>
          <w:highlight w:val="none"/>
        </w:rPr>
        <w:t>授权书</w:t>
      </w:r>
    </w:p>
    <w:p>
      <w:pPr>
        <w:spacing w:line="360" w:lineRule="auto"/>
        <w:rPr>
          <w:rFonts w:ascii="仿宋" w:hAnsi="仿宋" w:eastAsia="仿宋"/>
          <w:color w:val="auto"/>
          <w:sz w:val="24"/>
          <w:highlight w:val="none"/>
        </w:rPr>
      </w:pPr>
      <w:r>
        <w:rPr>
          <w:rFonts w:ascii="仿宋" w:hAnsi="仿宋" w:eastAsia="仿宋"/>
          <w:color w:val="auto"/>
          <w:sz w:val="24"/>
          <w:highlight w:val="none"/>
        </w:rPr>
        <w:t>四川中志招标代理有限公司：</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本授权声明： </w:t>
      </w:r>
      <w:r>
        <w:rPr>
          <w:rFonts w:ascii="仿宋" w:hAnsi="仿宋" w:eastAsia="仿宋"/>
          <w:color w:val="auto"/>
          <w:sz w:val="24"/>
          <w:highlight w:val="none"/>
          <w:u w:val="single"/>
        </w:rPr>
        <w:t xml:space="preserve">（单位名称）    </w:t>
      </w:r>
      <w:r>
        <w:rPr>
          <w:rFonts w:hint="eastAsia" w:ascii="仿宋" w:hAnsi="仿宋" w:eastAsia="仿宋"/>
          <w:color w:val="auto"/>
          <w:sz w:val="24"/>
          <w:highlight w:val="none"/>
        </w:rPr>
        <w:t>，</w:t>
      </w:r>
      <w:r>
        <w:rPr>
          <w:rFonts w:ascii="仿宋" w:hAnsi="仿宋" w:eastAsia="仿宋"/>
          <w:color w:val="auto"/>
          <w:sz w:val="24"/>
          <w:highlight w:val="none"/>
          <w:u w:val="single"/>
        </w:rPr>
        <w:t>（法定代表人</w:t>
      </w:r>
      <w:r>
        <w:rPr>
          <w:rFonts w:hint="eastAsia" w:ascii="仿宋" w:hAnsi="仿宋" w:eastAsia="仿宋"/>
          <w:color w:val="auto"/>
          <w:sz w:val="24"/>
          <w:highlight w:val="none"/>
          <w:u w:val="single"/>
        </w:rPr>
        <w:t>/主要负责人/经营者</w:t>
      </w:r>
      <w:r>
        <w:rPr>
          <w:rFonts w:ascii="仿宋" w:hAnsi="仿宋" w:eastAsia="仿宋"/>
          <w:color w:val="auto"/>
          <w:sz w:val="24"/>
          <w:highlight w:val="none"/>
          <w:u w:val="single"/>
        </w:rPr>
        <w:t xml:space="preserve">姓名、职务）   </w:t>
      </w:r>
      <w:r>
        <w:rPr>
          <w:rFonts w:ascii="仿宋" w:hAnsi="仿宋" w:eastAsia="仿宋"/>
          <w:color w:val="auto"/>
          <w:sz w:val="24"/>
          <w:highlight w:val="none"/>
        </w:rPr>
        <w:t>授权</w:t>
      </w:r>
      <w:r>
        <w:rPr>
          <w:rFonts w:ascii="仿宋" w:hAnsi="仿宋" w:eastAsia="仿宋"/>
          <w:color w:val="auto"/>
          <w:sz w:val="24"/>
          <w:highlight w:val="none"/>
          <w:u w:val="single"/>
        </w:rPr>
        <w:t xml:space="preserve"> （被授权人姓名、职务）    </w:t>
      </w:r>
      <w:r>
        <w:rPr>
          <w:rFonts w:ascii="仿宋" w:hAnsi="仿宋" w:eastAsia="仿宋"/>
          <w:color w:val="auto"/>
          <w:sz w:val="24"/>
          <w:highlight w:val="none"/>
        </w:rPr>
        <w:t>为我方参加</w:t>
      </w:r>
      <w:r>
        <w:rPr>
          <w:rFonts w:ascii="仿宋" w:hAnsi="仿宋" w:eastAsia="仿宋"/>
          <w:color w:val="auto"/>
          <w:sz w:val="24"/>
          <w:highlight w:val="none"/>
          <w:u w:val="single"/>
        </w:rPr>
        <w:t xml:space="preserve">                </w:t>
      </w:r>
      <w:r>
        <w:rPr>
          <w:rFonts w:ascii="仿宋" w:hAnsi="仿宋" w:eastAsia="仿宋"/>
          <w:color w:val="auto"/>
          <w:sz w:val="24"/>
          <w:highlight w:val="none"/>
        </w:rPr>
        <w:t>项目（采购项目编号：</w:t>
      </w:r>
      <w:r>
        <w:rPr>
          <w:rFonts w:ascii="仿宋" w:hAnsi="仿宋" w:eastAsia="仿宋"/>
          <w:color w:val="auto"/>
          <w:sz w:val="24"/>
          <w:highlight w:val="none"/>
          <w:u w:val="single"/>
        </w:rPr>
        <w:t xml:space="preserve">        </w:t>
      </w:r>
      <w:r>
        <w:rPr>
          <w:rFonts w:ascii="仿宋" w:hAnsi="仿宋" w:eastAsia="仿宋"/>
          <w:color w:val="auto"/>
          <w:sz w:val="24"/>
          <w:highlight w:val="none"/>
        </w:rPr>
        <w:t>）磋商采购活动的合法代表，以我方名义全权处理该项目有关磋商、报价、签订合同以及执行合同等一切事宜。</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特此声明。</w:t>
      </w:r>
    </w:p>
    <w:p>
      <w:pPr>
        <w:spacing w:line="360" w:lineRule="auto"/>
        <w:ind w:firstLine="480" w:firstLineChars="200"/>
        <w:rPr>
          <w:rFonts w:ascii="仿宋" w:hAnsi="仿宋" w:eastAsia="仿宋"/>
          <w:color w:val="auto"/>
          <w:sz w:val="24"/>
          <w:highlight w:val="none"/>
        </w:rPr>
      </w:pPr>
    </w:p>
    <w:p>
      <w:pPr>
        <w:spacing w:line="400" w:lineRule="exac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spacing w:line="400" w:lineRule="exact"/>
        <w:rPr>
          <w:rFonts w:ascii="仿宋" w:hAnsi="仿宋" w:eastAsia="仿宋"/>
          <w:color w:val="auto"/>
          <w:sz w:val="24"/>
          <w:highlight w:val="none"/>
        </w:rPr>
      </w:pPr>
      <w:r>
        <w:rPr>
          <w:rFonts w:ascii="仿宋" w:hAnsi="仿宋" w:eastAsia="仿宋"/>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签字或</w:t>
      </w:r>
      <w:r>
        <w:rPr>
          <w:rFonts w:ascii="仿宋" w:hAnsi="仿宋" w:eastAsia="仿宋"/>
          <w:bCs/>
          <w:color w:val="auto"/>
          <w:sz w:val="24"/>
          <w:highlight w:val="none"/>
        </w:rPr>
        <w:t>加盖印章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rPr>
      </w:pPr>
      <w:r>
        <w:rPr>
          <w:rFonts w:ascii="仿宋" w:hAnsi="仿宋" w:eastAsia="仿宋"/>
          <w:color w:val="auto"/>
          <w:sz w:val="24"/>
          <w:highlight w:val="none"/>
        </w:rPr>
        <w:t>职    务：</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rPr>
      </w:pPr>
      <w:r>
        <w:rPr>
          <w:rFonts w:ascii="仿宋" w:hAnsi="仿宋" w:eastAsia="仿宋"/>
          <w:color w:val="auto"/>
          <w:sz w:val="24"/>
          <w:highlight w:val="none"/>
        </w:rPr>
        <w:t>被授权人签字或</w:t>
      </w:r>
      <w:r>
        <w:rPr>
          <w:rFonts w:ascii="仿宋" w:hAnsi="仿宋" w:eastAsia="仿宋"/>
          <w:bCs/>
          <w:color w:val="auto"/>
          <w:sz w:val="24"/>
          <w:highlight w:val="none"/>
        </w:rPr>
        <w:t>加盖印章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rPr>
      </w:pPr>
      <w:r>
        <w:rPr>
          <w:rFonts w:ascii="仿宋" w:hAnsi="仿宋" w:eastAsia="仿宋"/>
          <w:color w:val="auto"/>
          <w:sz w:val="24"/>
          <w:highlight w:val="none"/>
        </w:rPr>
        <w:t>职    务：</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rPr>
      </w:pPr>
      <w:r>
        <w:rPr>
          <w:rFonts w:ascii="仿宋" w:hAnsi="仿宋" w:eastAsia="仿宋"/>
          <w:color w:val="auto"/>
          <w:sz w:val="24"/>
          <w:highlight w:val="none"/>
        </w:rPr>
        <w:t xml:space="preserve">日    期： </w:t>
      </w:r>
    </w:p>
    <w:p>
      <w:pPr>
        <w:spacing w:line="400" w:lineRule="exact"/>
        <w:rPr>
          <w:rFonts w:ascii="仿宋" w:hAnsi="仿宋" w:eastAsia="仿宋"/>
          <w:color w:val="auto"/>
          <w:sz w:val="24"/>
          <w:highlight w:val="none"/>
        </w:rPr>
      </w:pPr>
    </w:p>
    <w:p>
      <w:pPr>
        <w:widowControl/>
        <w:snapToGrid w:val="0"/>
        <w:spacing w:line="300" w:lineRule="auto"/>
        <w:ind w:firstLine="480" w:firstLineChars="200"/>
        <w:jc w:val="left"/>
        <w:rPr>
          <w:rFonts w:ascii="仿宋" w:hAnsi="仿宋" w:eastAsia="仿宋"/>
          <w:bCs/>
          <w:color w:val="auto"/>
          <w:kern w:val="0"/>
          <w:sz w:val="24"/>
          <w:highlight w:val="none"/>
        </w:rPr>
      </w:pPr>
      <w:r>
        <w:rPr>
          <w:rFonts w:ascii="仿宋" w:hAnsi="仿宋" w:eastAsia="仿宋"/>
          <w:b/>
          <w:color w:val="auto"/>
          <w:kern w:val="0"/>
          <w:sz w:val="24"/>
          <w:highlight w:val="none"/>
        </w:rPr>
        <w:t>说明：1．</w:t>
      </w:r>
      <w:r>
        <w:rPr>
          <w:rFonts w:ascii="仿宋" w:hAnsi="仿宋" w:eastAsia="仿宋"/>
          <w:b/>
          <w:color w:val="auto"/>
          <w:kern w:val="0"/>
          <w:sz w:val="24"/>
          <w:highlight w:val="none"/>
          <w:lang w:val="zh-CN"/>
        </w:rPr>
        <w:t>上述证明文件在资格性响应文件中附有法定代表人</w:t>
      </w:r>
      <w:r>
        <w:rPr>
          <w:rFonts w:hint="eastAsia" w:ascii="仿宋" w:hAnsi="仿宋" w:eastAsia="仿宋"/>
          <w:b/>
          <w:color w:val="auto"/>
          <w:kern w:val="0"/>
          <w:sz w:val="24"/>
          <w:highlight w:val="none"/>
          <w:lang w:val="zh-CN"/>
        </w:rPr>
        <w:t>（主要负责人/经营者）</w:t>
      </w:r>
      <w:r>
        <w:rPr>
          <w:rFonts w:ascii="仿宋" w:hAnsi="仿宋" w:eastAsia="仿宋"/>
          <w:b/>
          <w:color w:val="auto"/>
          <w:kern w:val="0"/>
          <w:sz w:val="24"/>
          <w:highlight w:val="none"/>
          <w:lang w:val="zh-CN"/>
        </w:rPr>
        <w:t>身份证复印件和代理人身份证复印件（身份证两面均应复印）时才能生效，不允许粘贴。</w:t>
      </w:r>
      <w:r>
        <w:rPr>
          <w:rFonts w:ascii="仿宋" w:hAnsi="仿宋" w:eastAsia="仿宋"/>
          <w:b/>
          <w:color w:val="auto"/>
          <w:kern w:val="0"/>
          <w:sz w:val="24"/>
          <w:highlight w:val="none"/>
        </w:rPr>
        <w:t>2．响应文件均由供应商法定代表人</w:t>
      </w:r>
      <w:r>
        <w:rPr>
          <w:rFonts w:hint="eastAsia" w:ascii="仿宋" w:hAnsi="仿宋" w:eastAsia="仿宋"/>
          <w:b/>
          <w:color w:val="auto"/>
          <w:sz w:val="24"/>
          <w:highlight w:val="none"/>
        </w:rPr>
        <w:t>（主要负责人/经营者）</w:t>
      </w:r>
      <w:r>
        <w:rPr>
          <w:rFonts w:ascii="仿宋" w:hAnsi="仿宋" w:eastAsia="仿宋"/>
          <w:b/>
          <w:color w:val="auto"/>
          <w:kern w:val="0"/>
          <w:sz w:val="24"/>
          <w:highlight w:val="none"/>
        </w:rPr>
        <w:t>签字的,资格性响应文件中可不提供</w:t>
      </w:r>
      <w:r>
        <w:rPr>
          <w:rFonts w:ascii="仿宋" w:hAnsi="仿宋" w:eastAsia="仿宋"/>
          <w:b/>
          <w:bCs/>
          <w:color w:val="auto"/>
          <w:kern w:val="0"/>
          <w:sz w:val="24"/>
          <w:highlight w:val="none"/>
        </w:rPr>
        <w:t>法定代表人</w:t>
      </w:r>
      <w:r>
        <w:rPr>
          <w:rFonts w:hint="eastAsia" w:ascii="仿宋" w:hAnsi="仿宋" w:eastAsia="仿宋"/>
          <w:b/>
          <w:color w:val="auto"/>
          <w:sz w:val="24"/>
          <w:highlight w:val="none"/>
        </w:rPr>
        <w:t>（主要负责人/经营者）</w:t>
      </w:r>
      <w:r>
        <w:rPr>
          <w:rFonts w:ascii="仿宋" w:hAnsi="仿宋" w:eastAsia="仿宋"/>
          <w:b/>
          <w:bCs/>
          <w:color w:val="auto"/>
          <w:kern w:val="0"/>
          <w:sz w:val="24"/>
          <w:highlight w:val="none"/>
        </w:rPr>
        <w:t>授权委托书及代理人身份证复印件，但必须提供</w:t>
      </w:r>
      <w:r>
        <w:rPr>
          <w:rFonts w:ascii="仿宋" w:hAnsi="仿宋" w:eastAsia="仿宋"/>
          <w:b/>
          <w:color w:val="auto"/>
          <w:kern w:val="0"/>
          <w:sz w:val="24"/>
          <w:highlight w:val="none"/>
          <w:lang w:val="zh-CN"/>
        </w:rPr>
        <w:t>法定代表人</w:t>
      </w:r>
      <w:r>
        <w:rPr>
          <w:rFonts w:hint="eastAsia" w:ascii="仿宋" w:hAnsi="仿宋" w:eastAsia="仿宋"/>
          <w:b/>
          <w:color w:val="auto"/>
          <w:sz w:val="24"/>
          <w:highlight w:val="none"/>
        </w:rPr>
        <w:t>（主要负责人/经营者）</w:t>
      </w:r>
      <w:r>
        <w:rPr>
          <w:rFonts w:ascii="仿宋" w:hAnsi="仿宋" w:eastAsia="仿宋"/>
          <w:b/>
          <w:color w:val="auto"/>
          <w:kern w:val="0"/>
          <w:sz w:val="24"/>
          <w:highlight w:val="none"/>
          <w:lang w:val="zh-CN"/>
        </w:rPr>
        <w:t>身份证复印件</w:t>
      </w:r>
      <w:r>
        <w:rPr>
          <w:rFonts w:ascii="仿宋" w:hAnsi="仿宋" w:eastAsia="仿宋"/>
          <w:b/>
          <w:color w:val="auto"/>
          <w:kern w:val="0"/>
          <w:sz w:val="24"/>
          <w:highlight w:val="none"/>
        </w:rPr>
        <w:t>。</w:t>
      </w:r>
    </w:p>
    <w:p>
      <w:pPr>
        <w:widowControl/>
        <w:tabs>
          <w:tab w:val="left" w:pos="720"/>
          <w:tab w:val="left" w:pos="6300"/>
        </w:tabs>
        <w:snapToGrid w:val="0"/>
        <w:spacing w:line="300" w:lineRule="auto"/>
        <w:ind w:firstLine="573"/>
        <w:jc w:val="left"/>
        <w:rPr>
          <w:rFonts w:ascii="仿宋" w:hAnsi="仿宋" w:eastAsia="仿宋"/>
          <w:b/>
          <w:color w:val="auto"/>
          <w:kern w:val="0"/>
          <w:sz w:val="24"/>
          <w:highlight w:val="none"/>
          <w:lang w:val="zh-CN"/>
        </w:rPr>
      </w:pPr>
      <w:r>
        <w:rPr>
          <w:rFonts w:ascii="仿宋" w:hAnsi="仿宋" w:eastAsia="仿宋"/>
          <w:b/>
          <w:color w:val="auto"/>
          <w:kern w:val="0"/>
          <w:sz w:val="24"/>
          <w:highlight w:val="none"/>
          <w:lang w:val="zh-CN"/>
        </w:rPr>
        <w:t>法定代表人</w:t>
      </w:r>
      <w:r>
        <w:rPr>
          <w:rFonts w:hint="eastAsia" w:ascii="仿宋" w:hAnsi="仿宋" w:eastAsia="仿宋"/>
          <w:b/>
          <w:color w:val="auto"/>
          <w:sz w:val="24"/>
          <w:highlight w:val="none"/>
        </w:rPr>
        <w:t>（主要负责人/经营者）</w:t>
      </w:r>
      <w:r>
        <w:rPr>
          <w:rFonts w:ascii="仿宋" w:hAnsi="仿宋" w:eastAsia="仿宋"/>
          <w:b/>
          <w:color w:val="auto"/>
          <w:kern w:val="0"/>
          <w:sz w:val="24"/>
          <w:highlight w:val="none"/>
          <w:lang w:val="zh-CN"/>
        </w:rPr>
        <w:t>身份证和代理人身份证样式</w:t>
      </w:r>
      <w:r>
        <w:rPr>
          <w:rFonts w:hint="eastAsia" w:ascii="仿宋" w:hAnsi="仿宋" w:eastAsia="仿宋"/>
          <w:b/>
          <w:color w:val="auto"/>
          <w:kern w:val="0"/>
          <w:sz w:val="24"/>
          <w:highlight w:val="none"/>
          <w:lang w:val="zh-CN"/>
        </w:rPr>
        <w:t>（</w:t>
      </w:r>
      <w:r>
        <w:rPr>
          <w:rFonts w:ascii="仿宋" w:hAnsi="仿宋" w:eastAsia="仿宋"/>
          <w:b/>
          <w:color w:val="auto"/>
          <w:kern w:val="0"/>
          <w:sz w:val="24"/>
          <w:highlight w:val="none"/>
          <w:lang w:val="zh-CN"/>
        </w:rPr>
        <w:t>仅供参考</w:t>
      </w:r>
      <w:r>
        <w:rPr>
          <w:rFonts w:hint="eastAsia" w:ascii="仿宋" w:hAnsi="仿宋" w:eastAsia="仿宋"/>
          <w:b/>
          <w:color w:val="auto"/>
          <w:kern w:val="0"/>
          <w:sz w:val="24"/>
          <w:highlight w:val="none"/>
          <w:lang w:val="zh-CN"/>
        </w:rPr>
        <w:t>）</w:t>
      </w:r>
      <w:r>
        <w:rPr>
          <w:rFonts w:ascii="仿宋" w:hAnsi="仿宋" w:eastAsia="仿宋"/>
          <w:b/>
          <w:color w:val="auto"/>
          <w:kern w:val="0"/>
          <w:sz w:val="24"/>
          <w:highlight w:val="none"/>
          <w:lang w:val="zh-CN"/>
        </w:rPr>
        <w:t>：</w:t>
      </w:r>
    </w:p>
    <w:p>
      <w:pPr>
        <w:widowControl/>
        <w:snapToGrid w:val="0"/>
        <w:spacing w:line="480" w:lineRule="atLeast"/>
        <w:jc w:val="left"/>
        <w:rPr>
          <w:rFonts w:ascii="仿宋" w:hAnsi="仿宋" w:eastAsia="仿宋"/>
          <w:b/>
          <w:color w:val="auto"/>
          <w:kern w:val="0"/>
          <w:sz w:val="24"/>
          <w:highlight w:val="none"/>
        </w:rPr>
      </w:pPr>
      <w:r>
        <w:rPr>
          <w:rFonts w:ascii="仿宋" w:hAnsi="仿宋" w:eastAsia="仿宋"/>
          <w:b/>
          <w:color w:val="auto"/>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2927350</wp:posOffset>
                </wp:positionH>
                <wp:positionV relativeFrom="paragraph">
                  <wp:posOffset>9525</wp:posOffset>
                </wp:positionV>
                <wp:extent cx="2286000" cy="1249045"/>
                <wp:effectExtent l="5080" t="5080" r="13970" b="22225"/>
                <wp:wrapTight wrapText="bothSides">
                  <wp:wrapPolygon>
                    <wp:start x="-85" y="-141"/>
                    <wp:lineTo x="-85" y="21459"/>
                    <wp:lineTo x="21685" y="21459"/>
                    <wp:lineTo x="21685" y="-141"/>
                    <wp:lineTo x="-85" y="-141"/>
                  </wp:wrapPolygon>
                </wp:wrapTight>
                <wp:docPr id="2" name="文本框 7"/>
                <wp:cNvGraphicFramePr/>
                <a:graphic xmlns:a="http://schemas.openxmlformats.org/drawingml/2006/main">
                  <a:graphicData uri="http://schemas.microsoft.com/office/word/2010/wordprocessingShape">
                    <wps:wsp>
                      <wps:cNvSpPr txBox="1"/>
                      <wps:spPr>
                        <a:xfrm>
                          <a:off x="0" y="0"/>
                          <a:ext cx="2286000" cy="12490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身份证复印件背面</w:t>
                            </w:r>
                          </w:p>
                        </w:txbxContent>
                      </wps:txbx>
                      <wps:bodyPr wrap="square" upright="1"/>
                    </wps:wsp>
                  </a:graphicData>
                </a:graphic>
              </wp:anchor>
            </w:drawing>
          </mc:Choice>
          <mc:Fallback>
            <w:pict>
              <v:shape id="文本框 7" o:spid="_x0000_s1026" o:spt="202" type="#_x0000_t202" style="position:absolute;left:0pt;margin-left:230.5pt;margin-top:0.75pt;height:98.35pt;width:180pt;mso-wrap-distance-left:9pt;mso-wrap-distance-right:9pt;z-index:251660288;mso-width-relative:page;mso-height-relative:page;" fillcolor="#FFFFFF" filled="t" stroked="t" coordsize="21600,21600" wrapcoords="-85 -141 -85 21459 21685 21459 21685 -141 -85 -141" o:gfxdata="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fCwN1QAAAAkBAAAPAAAA&#10;AAAAAAEAIAAAACIAAABkcnMvZG93bnJldi54bWxQSwECFAAUAAAACACHTuJAh6R24xgCAABEBAAA&#10;DgAAAAAAAAABACAAAAAkAQAAZHJzL2Uyb0RvYy54bWxQSwUGAAAAAAYABgBZAQAArgUAAAAA&#10;">
                <v:fill on="t" focussize="0,0"/>
                <v:stroke color="#000000"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身份证复印件背面</w:t>
                      </w:r>
                    </w:p>
                  </w:txbxContent>
                </v:textbox>
                <w10:wrap type="tight"/>
              </v:shape>
            </w:pict>
          </mc:Fallback>
        </mc:AlternateContent>
      </w:r>
      <w:r>
        <w:rPr>
          <w:rFonts w:ascii="仿宋" w:hAnsi="仿宋" w:eastAsia="仿宋"/>
          <w:b/>
          <w:color w:val="auto"/>
          <w:kern w:val="0"/>
          <w:sz w:val="24"/>
          <w:highlight w:val="none"/>
        </w:rPr>
        <mc:AlternateContent>
          <mc:Choice Requires="wps">
            <w:drawing>
              <wp:anchor distT="0" distB="0" distL="114300" distR="114300" simplePos="0" relativeHeight="251659264" behindDoc="1" locked="0" layoutInCell="1" allowOverlap="1">
                <wp:simplePos x="0" y="0"/>
                <wp:positionH relativeFrom="column">
                  <wp:posOffset>303530</wp:posOffset>
                </wp:positionH>
                <wp:positionV relativeFrom="paragraph">
                  <wp:posOffset>9525</wp:posOffset>
                </wp:positionV>
                <wp:extent cx="2405380" cy="1249045"/>
                <wp:effectExtent l="4445" t="5080" r="9525" b="22225"/>
                <wp:wrapTight wrapText="bothSides">
                  <wp:wrapPolygon>
                    <wp:start x="-85" y="-141"/>
                    <wp:lineTo x="-85" y="21459"/>
                    <wp:lineTo x="21685" y="21459"/>
                    <wp:lineTo x="21685" y="-141"/>
                    <wp:lineTo x="-85" y="-141"/>
                  </wp:wrapPolygon>
                </wp:wrapTight>
                <wp:docPr id="1" name="文本框 6"/>
                <wp:cNvGraphicFramePr/>
                <a:graphic xmlns:a="http://schemas.openxmlformats.org/drawingml/2006/main">
                  <a:graphicData uri="http://schemas.microsoft.com/office/word/2010/wordprocessingShape">
                    <wps:wsp>
                      <wps:cNvSpPr txBox="1"/>
                      <wps:spPr>
                        <a:xfrm>
                          <a:off x="0" y="0"/>
                          <a:ext cx="2405380" cy="12490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身份证复印件正面</w:t>
                            </w:r>
                          </w:p>
                        </w:txbxContent>
                      </wps:txbx>
                      <wps:bodyPr wrap="square" upright="1"/>
                    </wps:wsp>
                  </a:graphicData>
                </a:graphic>
              </wp:anchor>
            </w:drawing>
          </mc:Choice>
          <mc:Fallback>
            <w:pict>
              <v:shape id="文本框 6" o:spid="_x0000_s1026" o:spt="202" type="#_x0000_t202" style="position:absolute;left:0pt;margin-left:23.9pt;margin-top:0.75pt;height:98.35pt;width:189.4pt;mso-wrap-distance-left:9pt;mso-wrap-distance-right:9pt;z-index:-251657216;mso-width-relative:page;mso-height-relative:page;" fillcolor="#FFFFFF" filled="t" stroked="t" coordsize="21600,21600" wrapcoords="-85 -141 -85 21459 21685 21459 21685 -141 -85 -141" o:gfxdata="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dqrtYAAAAIAQAADwAAAAAA&#10;AAABACAAAAAiAAAAZHJzL2Rvd25yZXYueG1sUEsBAhQAFAAAAAgAh07iQFZdK5gVAgAARAQAAA4A&#10;AAAAAAAAAQAgAAAAJQEAAGRycy9lMm9Eb2MueG1sUEsFBgAAAAAGAAYAWQEAAKwFAAAAAA==&#10;">
                <v:fill on="t" focussize="0,0"/>
                <v:stroke color="#000000" joinstyle="miter" dashstyle="dash"/>
                <v:imagedata o:title=""/>
                <o:lock v:ext="edit" aspectratio="f"/>
                <v:textbox>
                  <w:txbxContent>
                    <w:p>
                      <w:pPr>
                        <w:rPr>
                          <w:rFonts w:hint="eastAsia" w:ascii="宋体" w:hAnsi="宋体"/>
                          <w:b/>
                          <w:lang w:val="zh-CN"/>
                        </w:rPr>
                      </w:pPr>
                    </w:p>
                    <w:p>
                      <w:pPr>
                        <w:rPr>
                          <w:rFonts w:hint="eastAsia" w:ascii="宋体" w:hAnsi="宋体"/>
                          <w:b/>
                          <w:lang w:val="zh-CN"/>
                        </w:rPr>
                      </w:pPr>
                    </w:p>
                    <w:p>
                      <w:pPr>
                        <w:jc w:val="center"/>
                      </w:pPr>
                      <w:r>
                        <w:rPr>
                          <w:rFonts w:hint="eastAsia" w:ascii="宋体" w:hAnsi="宋体"/>
                          <w:b/>
                          <w:lang w:val="zh-CN"/>
                        </w:rPr>
                        <w:t>身份证复印件正面</w:t>
                      </w:r>
                    </w:p>
                  </w:txbxContent>
                </v:textbox>
                <w10:wrap type="tight"/>
              </v:shape>
            </w:pict>
          </mc:Fallback>
        </mc:AlternateContent>
      </w:r>
    </w:p>
    <w:p>
      <w:pPr>
        <w:widowControl/>
        <w:snapToGrid w:val="0"/>
        <w:spacing w:line="480" w:lineRule="atLeast"/>
        <w:jc w:val="left"/>
        <w:rPr>
          <w:rFonts w:ascii="仿宋" w:hAnsi="仿宋" w:eastAsia="仿宋"/>
          <w:b/>
          <w:color w:val="auto"/>
          <w:kern w:val="0"/>
          <w:sz w:val="24"/>
          <w:highlight w:val="none"/>
        </w:rPr>
      </w:pPr>
    </w:p>
    <w:p>
      <w:pPr>
        <w:widowControl/>
        <w:snapToGrid w:val="0"/>
        <w:spacing w:line="480" w:lineRule="atLeast"/>
        <w:jc w:val="left"/>
        <w:rPr>
          <w:rFonts w:ascii="仿宋" w:hAnsi="仿宋" w:eastAsia="仿宋"/>
          <w:b/>
          <w:color w:val="auto"/>
          <w:kern w:val="0"/>
          <w:sz w:val="24"/>
          <w:highlight w:val="none"/>
        </w:rPr>
      </w:pPr>
    </w:p>
    <w:p>
      <w:pPr>
        <w:jc w:val="left"/>
        <w:rPr>
          <w:rFonts w:ascii="仿宋" w:hAnsi="仿宋" w:eastAsia="仿宋"/>
          <w:b/>
          <w:color w:val="auto"/>
          <w:sz w:val="32"/>
          <w:szCs w:val="32"/>
          <w:highlight w:val="none"/>
        </w:rPr>
      </w:pPr>
      <w:r>
        <w:rPr>
          <w:rFonts w:ascii="仿宋" w:hAnsi="仿宋" w:eastAsia="仿宋"/>
          <w:b/>
          <w:color w:val="auto"/>
          <w:sz w:val="32"/>
          <w:szCs w:val="32"/>
          <w:highlight w:val="none"/>
        </w:rPr>
        <w:br w:type="page"/>
      </w:r>
      <w:r>
        <w:rPr>
          <w:rFonts w:ascii="仿宋" w:hAnsi="仿宋" w:eastAsia="仿宋"/>
          <w:b/>
          <w:color w:val="auto"/>
          <w:sz w:val="32"/>
          <w:szCs w:val="32"/>
          <w:highlight w:val="none"/>
        </w:rPr>
        <w:t>三、其他响应文件格式</w:t>
      </w:r>
    </w:p>
    <w:p>
      <w:pPr>
        <w:snapToGrid w:val="0"/>
        <w:spacing w:line="360" w:lineRule="auto"/>
        <w:ind w:firstLine="640" w:firstLineChars="200"/>
        <w:rPr>
          <w:rFonts w:ascii="仿宋" w:hAnsi="仿宋" w:eastAsia="仿宋"/>
          <w:b/>
          <w:color w:val="auto"/>
          <w:kern w:val="0"/>
          <w:sz w:val="32"/>
          <w:szCs w:val="32"/>
          <w:highlight w:val="none"/>
          <w:lang w:val="zh-CN"/>
        </w:rPr>
      </w:pPr>
    </w:p>
    <w:p>
      <w:pPr>
        <w:jc w:val="left"/>
        <w:rPr>
          <w:rFonts w:ascii="仿宋" w:hAnsi="仿宋" w:eastAsia="仿宋"/>
          <w:b/>
          <w:color w:val="auto"/>
          <w:sz w:val="32"/>
          <w:szCs w:val="32"/>
          <w:highlight w:val="none"/>
        </w:rPr>
      </w:pPr>
      <w:r>
        <w:rPr>
          <w:rFonts w:ascii="仿宋" w:hAnsi="仿宋" w:eastAsia="仿宋"/>
          <w:b/>
          <w:color w:val="auto"/>
          <w:sz w:val="32"/>
          <w:szCs w:val="32"/>
          <w:highlight w:val="none"/>
        </w:rPr>
        <w:t>（一）其他响应文件密封包装最外层格式</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96"/>
          <w:szCs w:val="120"/>
          <w:highlight w:val="none"/>
        </w:rPr>
        <w:t>其他响应文件</w:t>
      </w:r>
    </w:p>
    <w:p>
      <w:pPr>
        <w:spacing w:line="360" w:lineRule="auto"/>
        <w:jc w:val="center"/>
        <w:rPr>
          <w:rFonts w:ascii="仿宋" w:hAnsi="仿宋" w:eastAsia="仿宋"/>
          <w:color w:val="auto"/>
          <w:spacing w:val="78"/>
          <w:sz w:val="44"/>
          <w:szCs w:val="120"/>
          <w:highlight w:val="none"/>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供应商名称：</w:t>
      </w:r>
      <w:r>
        <w:rPr>
          <w:rFonts w:ascii="仿宋" w:hAnsi="仿宋" w:eastAsia="仿宋"/>
          <w:b/>
          <w:color w:val="auto"/>
          <w:sz w:val="32"/>
          <w:szCs w:val="32"/>
          <w:highlight w:val="none"/>
          <w:u w:val="single"/>
        </w:rPr>
        <w:t xml:space="preserve">         （加盖公章）</w:t>
      </w:r>
    </w:p>
    <w:p>
      <w:pPr>
        <w:spacing w:line="360" w:lineRule="auto"/>
        <w:ind w:firstLine="1600" w:firstLineChars="500"/>
        <w:jc w:val="left"/>
        <w:rPr>
          <w:rFonts w:ascii="仿宋" w:hAnsi="仿宋" w:eastAsia="仿宋"/>
          <w:b/>
          <w:color w:val="auto"/>
          <w:sz w:val="32"/>
          <w:szCs w:val="32"/>
          <w:highlight w:val="none"/>
        </w:rPr>
      </w:pPr>
    </w:p>
    <w:p>
      <w:pPr>
        <w:snapToGrid w:val="0"/>
        <w:spacing w:line="360" w:lineRule="auto"/>
        <w:ind w:firstLine="640" w:firstLineChars="200"/>
        <w:rPr>
          <w:rFonts w:hint="eastAsia" w:ascii="仿宋" w:hAnsi="仿宋" w:eastAsia="仿宋"/>
          <w:b/>
          <w:color w:val="auto"/>
          <w:kern w:val="0"/>
          <w:sz w:val="32"/>
          <w:szCs w:val="32"/>
          <w:highlight w:val="none"/>
          <w:lang w:val="zh-CN"/>
        </w:rPr>
      </w:pPr>
    </w:p>
    <w:p>
      <w:pPr>
        <w:jc w:val="left"/>
        <w:rPr>
          <w:rFonts w:ascii="仿宋" w:hAnsi="仿宋" w:eastAsia="仿宋"/>
          <w:b/>
          <w:color w:val="auto"/>
          <w:sz w:val="32"/>
          <w:szCs w:val="32"/>
          <w:highlight w:val="none"/>
        </w:rPr>
      </w:pPr>
      <w:r>
        <w:rPr>
          <w:rFonts w:ascii="仿宋" w:hAnsi="仿宋" w:eastAsia="仿宋"/>
          <w:b/>
          <w:color w:val="auto"/>
          <w:sz w:val="32"/>
          <w:szCs w:val="32"/>
          <w:highlight w:val="none"/>
        </w:rPr>
        <w:t>（二）其他响应文件封面格式</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96"/>
          <w:szCs w:val="120"/>
          <w:highlight w:val="none"/>
        </w:rPr>
        <w:t>其他响应文件</w:t>
      </w:r>
    </w:p>
    <w:p>
      <w:pPr>
        <w:spacing w:line="360" w:lineRule="auto"/>
        <w:jc w:val="center"/>
        <w:rPr>
          <w:rFonts w:ascii="仿宋" w:hAnsi="仿宋" w:eastAsia="仿宋"/>
          <w:color w:val="auto"/>
          <w:spacing w:val="78"/>
          <w:sz w:val="44"/>
          <w:szCs w:val="120"/>
          <w:highlight w:val="none"/>
        </w:rPr>
      </w:pPr>
    </w:p>
    <w:p>
      <w:pPr>
        <w:spacing w:line="360" w:lineRule="auto"/>
        <w:jc w:val="center"/>
        <w:rPr>
          <w:rFonts w:ascii="仿宋" w:hAnsi="仿宋" w:eastAsia="仿宋"/>
          <w:color w:val="auto"/>
          <w:spacing w:val="78"/>
          <w:sz w:val="120"/>
          <w:szCs w:val="120"/>
          <w:highlight w:val="none"/>
        </w:rPr>
      </w:pPr>
      <w:r>
        <w:rPr>
          <w:rFonts w:ascii="仿宋" w:hAnsi="仿宋" w:eastAsia="仿宋"/>
          <w:color w:val="auto"/>
          <w:spacing w:val="78"/>
          <w:sz w:val="44"/>
          <w:szCs w:val="120"/>
          <w:highlight w:val="none"/>
        </w:rPr>
        <w:t>（正本或副本）</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采购项目名称：</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采购项目编号：</w:t>
      </w:r>
    </w:p>
    <w:p>
      <w:pPr>
        <w:ind w:left="2332" w:leftChars="355" w:hanging="1587" w:hangingChars="496"/>
        <w:rPr>
          <w:rFonts w:ascii="仿宋" w:hAnsi="仿宋" w:eastAsia="仿宋"/>
          <w:b/>
          <w:bCs/>
          <w:color w:val="auto"/>
          <w:sz w:val="32"/>
          <w:szCs w:val="32"/>
          <w:highlight w:val="none"/>
        </w:rPr>
      </w:pPr>
      <w:r>
        <w:rPr>
          <w:rFonts w:ascii="仿宋" w:hAnsi="仿宋" w:eastAsia="仿宋"/>
          <w:b/>
          <w:bCs/>
          <w:color w:val="auto"/>
          <w:sz w:val="32"/>
          <w:szCs w:val="32"/>
          <w:highlight w:val="none"/>
        </w:rPr>
        <w:t xml:space="preserve"> </w:t>
      </w:r>
    </w:p>
    <w:p>
      <w:pPr>
        <w:snapToGrid w:val="0"/>
        <w:spacing w:line="360" w:lineRule="auto"/>
        <w:ind w:firstLine="640" w:firstLineChars="200"/>
        <w:rPr>
          <w:rFonts w:ascii="仿宋" w:hAnsi="仿宋" w:eastAsia="仿宋"/>
          <w:b/>
          <w:color w:val="auto"/>
          <w:kern w:val="0"/>
          <w:sz w:val="32"/>
          <w:szCs w:val="32"/>
          <w:highlight w:val="none"/>
          <w:lang w:val="zh-CN"/>
        </w:rPr>
      </w:pPr>
    </w:p>
    <w:p>
      <w:pPr>
        <w:snapToGrid w:val="0"/>
        <w:spacing w:line="360" w:lineRule="auto"/>
        <w:ind w:firstLine="640" w:firstLineChars="200"/>
        <w:rPr>
          <w:rFonts w:ascii="仿宋" w:hAnsi="仿宋" w:eastAsia="仿宋"/>
          <w:b/>
          <w:color w:val="auto"/>
          <w:kern w:val="0"/>
          <w:sz w:val="32"/>
          <w:szCs w:val="32"/>
          <w:highlight w:val="none"/>
          <w:lang w:val="zh-CN"/>
        </w:rPr>
      </w:pPr>
    </w:p>
    <w:p>
      <w:pPr>
        <w:spacing w:line="360" w:lineRule="auto"/>
        <w:ind w:firstLine="1600" w:firstLineChars="500"/>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供应商名称：</w:t>
      </w:r>
      <w:r>
        <w:rPr>
          <w:rFonts w:ascii="仿宋" w:hAnsi="仿宋" w:eastAsia="仿宋"/>
          <w:b/>
          <w:color w:val="auto"/>
          <w:sz w:val="32"/>
          <w:szCs w:val="32"/>
          <w:highlight w:val="none"/>
          <w:u w:val="single"/>
        </w:rPr>
        <w:t xml:space="preserve">                      </w:t>
      </w:r>
    </w:p>
    <w:p>
      <w:pPr>
        <w:spacing w:line="360" w:lineRule="auto"/>
        <w:ind w:firstLine="1600" w:firstLineChars="500"/>
        <w:jc w:val="left"/>
        <w:rPr>
          <w:rFonts w:hint="eastAsia" w:ascii="仿宋" w:hAnsi="仿宋" w:eastAsia="仿宋"/>
          <w:b/>
          <w:color w:val="auto"/>
          <w:sz w:val="32"/>
          <w:szCs w:val="32"/>
          <w:highlight w:val="none"/>
        </w:rPr>
      </w:pPr>
    </w:p>
    <w:p>
      <w:pPr>
        <w:spacing w:line="360" w:lineRule="auto"/>
        <w:ind w:firstLine="1600" w:firstLineChars="500"/>
        <w:jc w:val="left"/>
        <w:rPr>
          <w:rFonts w:ascii="仿宋" w:hAnsi="仿宋" w:eastAsia="仿宋"/>
          <w:b/>
          <w:color w:val="auto"/>
          <w:sz w:val="32"/>
          <w:szCs w:val="32"/>
          <w:highlight w:val="none"/>
        </w:rPr>
      </w:pPr>
    </w:p>
    <w:p>
      <w:pPr>
        <w:spacing w:line="360" w:lineRule="auto"/>
        <w:rPr>
          <w:rFonts w:ascii="仿宋" w:hAnsi="仿宋" w:eastAsia="仿宋"/>
          <w:b/>
          <w:color w:val="auto"/>
          <w:sz w:val="28"/>
          <w:szCs w:val="28"/>
          <w:highlight w:val="none"/>
        </w:rPr>
      </w:pPr>
      <w:r>
        <w:rPr>
          <w:rFonts w:ascii="仿宋" w:hAnsi="仿宋" w:eastAsia="仿宋"/>
          <w:b/>
          <w:color w:val="auto"/>
          <w:sz w:val="28"/>
          <w:szCs w:val="28"/>
          <w:highlight w:val="none"/>
        </w:rPr>
        <w:t>温馨提示：</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一、其他响应文件正本一份、副本二份；</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二、其他响应文件应密封包装；</w:t>
      </w:r>
    </w:p>
    <w:p>
      <w:pPr>
        <w:spacing w:line="360" w:lineRule="auto"/>
        <w:ind w:firstLine="548" w:firstLineChars="196"/>
        <w:rPr>
          <w:rFonts w:ascii="仿宋" w:hAnsi="仿宋" w:eastAsia="仿宋"/>
          <w:b/>
          <w:color w:val="auto"/>
          <w:sz w:val="28"/>
          <w:szCs w:val="28"/>
          <w:highlight w:val="none"/>
        </w:rPr>
      </w:pPr>
      <w:r>
        <w:rPr>
          <w:rFonts w:ascii="仿宋" w:hAnsi="仿宋" w:eastAsia="仿宋"/>
          <w:b/>
          <w:color w:val="auto"/>
          <w:sz w:val="28"/>
          <w:szCs w:val="28"/>
          <w:highlight w:val="none"/>
        </w:rPr>
        <w:t>三、供应商提供的证明材料如发证机关有年检要求的则应通过年检，如有有效期的则应提供在有效期内的证明材料。</w:t>
      </w:r>
    </w:p>
    <w:p>
      <w:pPr>
        <w:jc w:val="left"/>
        <w:rPr>
          <w:rFonts w:ascii="仿宋" w:hAnsi="仿宋" w:eastAsia="仿宋"/>
          <w:b/>
          <w:bCs/>
          <w:color w:val="auto"/>
          <w:sz w:val="32"/>
          <w:szCs w:val="32"/>
          <w:highlight w:val="none"/>
        </w:rPr>
      </w:pPr>
      <w:r>
        <w:rPr>
          <w:rFonts w:ascii="仿宋" w:hAnsi="仿宋" w:eastAsia="仿宋"/>
          <w:b/>
          <w:color w:val="auto"/>
          <w:sz w:val="32"/>
          <w:szCs w:val="32"/>
          <w:highlight w:val="none"/>
        </w:rPr>
        <w:t>四、其他</w:t>
      </w:r>
      <w:r>
        <w:rPr>
          <w:rFonts w:ascii="仿宋" w:hAnsi="仿宋" w:eastAsia="仿宋"/>
          <w:b/>
          <w:color w:val="auto"/>
          <w:kern w:val="0"/>
          <w:sz w:val="32"/>
          <w:szCs w:val="32"/>
          <w:highlight w:val="none"/>
          <w:lang w:val="zh-CN"/>
        </w:rPr>
        <w:t>响应文件组成材料</w:t>
      </w: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报价函</w:t>
      </w:r>
    </w:p>
    <w:p>
      <w:pPr>
        <w:spacing w:before="156" w:beforeLines="50" w:line="360" w:lineRule="auto"/>
        <w:rPr>
          <w:rFonts w:ascii="仿宋" w:hAnsi="仿宋" w:eastAsia="仿宋"/>
          <w:color w:val="auto"/>
          <w:sz w:val="24"/>
          <w:highlight w:val="none"/>
        </w:rPr>
      </w:pPr>
      <w:r>
        <w:rPr>
          <w:rFonts w:ascii="仿宋" w:hAnsi="仿宋" w:eastAsia="仿宋"/>
          <w:color w:val="auto"/>
          <w:sz w:val="24"/>
          <w:highlight w:val="none"/>
        </w:rPr>
        <w:t>四川中志招标代理有限公司：</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1．我方全面研究了</w:t>
      </w:r>
      <w:r>
        <w:rPr>
          <w:rFonts w:ascii="仿宋" w:hAnsi="仿宋" w:eastAsia="仿宋"/>
          <w:color w:val="auto"/>
          <w:sz w:val="24"/>
          <w:highlight w:val="none"/>
          <w:u w:val="single"/>
        </w:rPr>
        <w:t xml:space="preserve">            </w:t>
      </w:r>
      <w:r>
        <w:rPr>
          <w:rFonts w:ascii="仿宋" w:hAnsi="仿宋" w:eastAsia="仿宋"/>
          <w:color w:val="auto"/>
          <w:sz w:val="24"/>
          <w:highlight w:val="none"/>
        </w:rPr>
        <w:t>项目磋商文件（采购项目编号：</w:t>
      </w:r>
      <w:r>
        <w:rPr>
          <w:rFonts w:ascii="仿宋" w:hAnsi="仿宋" w:eastAsia="仿宋"/>
          <w:color w:val="auto"/>
          <w:sz w:val="24"/>
          <w:highlight w:val="none"/>
          <w:u w:val="single"/>
        </w:rPr>
        <w:t xml:space="preserve">        </w:t>
      </w:r>
      <w:r>
        <w:rPr>
          <w:rFonts w:ascii="仿宋" w:hAnsi="仿宋" w:eastAsia="仿宋"/>
          <w:color w:val="auto"/>
          <w:sz w:val="24"/>
          <w:highlight w:val="none"/>
        </w:rPr>
        <w:t>），决定参加贵单位组织的本项目磋商采购。</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2．我方自愿按照磋商文件规定的各项要求向采购人提供所需服务采购，总报价详见报价一览表。</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3．一旦我方成交，我方将严格履行政府采购合同规定的责任和义务。</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4．我方为本项目提交的响应文件为资格性响应文件正本一份副本两份，其他响应文件正本一份副本两份。</w:t>
      </w:r>
    </w:p>
    <w:p>
      <w:pPr>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5．我方愿意提供贵单位可能另外要求的，与磋商报价有关的文件资料，并保证我方已提供和将要提供的文件资料是真实、准确的。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ascii="仿宋" w:hAnsi="仿宋" w:eastAsia="仿宋"/>
          <w:color w:val="auto"/>
          <w:sz w:val="24"/>
          <w:highlight w:val="none"/>
        </w:rPr>
      </w:pPr>
      <w:r>
        <w:rPr>
          <w:rFonts w:ascii="仿宋" w:hAnsi="仿宋" w:eastAsia="仿宋"/>
          <w:color w:val="auto"/>
          <w:sz w:val="24"/>
          <w:highlight w:val="none"/>
        </w:rPr>
        <w:t>6．本次磋商，我方递交的响应文件有效期为磋商文件规定起算之日起90天。</w:t>
      </w:r>
    </w:p>
    <w:p>
      <w:pPr>
        <w:adjustRightInd w:val="0"/>
        <w:spacing w:line="400" w:lineRule="exact"/>
        <w:ind w:firstLine="480" w:firstLineChars="200"/>
        <w:jc w:val="left"/>
        <w:rPr>
          <w:rFonts w:hint="eastAsia"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spacing w:line="400" w:lineRule="exact"/>
        <w:rPr>
          <w:rFonts w:ascii="仿宋" w:hAnsi="仿宋" w:eastAsia="仿宋"/>
          <w:color w:val="auto"/>
          <w:sz w:val="24"/>
          <w:highlight w:val="none"/>
        </w:rPr>
      </w:pPr>
      <w:r>
        <w:rPr>
          <w:rFonts w:ascii="仿宋" w:hAnsi="仿宋" w:eastAsia="仿宋"/>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color w:val="auto"/>
          <w:sz w:val="24"/>
          <w:highlight w:val="none"/>
        </w:rPr>
        <w:t>或授权代表（签字或</w:t>
      </w:r>
      <w:r>
        <w:rPr>
          <w:rFonts w:ascii="仿宋" w:hAnsi="仿宋" w:eastAsia="仿宋"/>
          <w:bCs/>
          <w:color w:val="auto"/>
          <w:sz w:val="24"/>
          <w:highlight w:val="none"/>
        </w:rPr>
        <w:t>加盖印章</w:t>
      </w:r>
      <w:r>
        <w:rPr>
          <w:rFonts w:ascii="仿宋" w:hAnsi="仿宋" w:eastAsia="仿宋"/>
          <w:color w:val="auto"/>
          <w:sz w:val="24"/>
          <w:highlight w:val="none"/>
        </w:rPr>
        <w:t>）：</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通讯地址：</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邮政编码：</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联系电话：</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u w:val="single"/>
        </w:rPr>
      </w:pPr>
      <w:r>
        <w:rPr>
          <w:rFonts w:ascii="仿宋" w:hAnsi="仿宋" w:eastAsia="仿宋"/>
          <w:color w:val="auto"/>
          <w:sz w:val="24"/>
          <w:highlight w:val="none"/>
        </w:rPr>
        <w:t>传    真：</w:t>
      </w:r>
      <w:r>
        <w:rPr>
          <w:rFonts w:ascii="仿宋" w:hAnsi="仿宋" w:eastAsia="仿宋"/>
          <w:color w:val="auto"/>
          <w:sz w:val="24"/>
          <w:highlight w:val="none"/>
          <w:u w:val="single"/>
        </w:rPr>
        <w:t xml:space="preserve">                     </w:t>
      </w:r>
    </w:p>
    <w:p>
      <w:pPr>
        <w:spacing w:line="400" w:lineRule="exact"/>
        <w:rPr>
          <w:rFonts w:ascii="仿宋" w:hAnsi="仿宋" w:eastAsia="仿宋"/>
          <w:color w:val="auto"/>
          <w:sz w:val="24"/>
          <w:highlight w:val="none"/>
        </w:rPr>
      </w:pPr>
      <w:r>
        <w:rPr>
          <w:rFonts w:ascii="仿宋" w:hAnsi="仿宋" w:eastAsia="仿宋"/>
          <w:color w:val="auto"/>
          <w:sz w:val="24"/>
          <w:highlight w:val="none"/>
        </w:rPr>
        <w:t>日    期：</w:t>
      </w:r>
    </w:p>
    <w:p>
      <w:pPr>
        <w:spacing w:line="400" w:lineRule="exact"/>
        <w:rPr>
          <w:rFonts w:ascii="仿宋" w:hAnsi="仿宋" w:eastAsia="仿宋"/>
          <w:color w:val="auto"/>
          <w:sz w:val="24"/>
          <w:highlight w:val="none"/>
        </w:rPr>
      </w:pP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sectPr>
          <w:pgSz w:w="11907" w:h="16840"/>
          <w:pgMar w:top="1418" w:right="1134" w:bottom="1418" w:left="1701" w:header="850" w:footer="567" w:gutter="0"/>
          <w:cols w:space="720" w:num="1"/>
          <w:titlePg/>
          <w:docGrid w:type="linesAndChars" w:linePitch="312" w:charSpace="0"/>
        </w:sectPr>
      </w:pPr>
    </w:p>
    <w:p>
      <w:pPr>
        <w:numPr>
          <w:ilvl w:val="0"/>
          <w:numId w:val="4"/>
        </w:numPr>
        <w:tabs>
          <w:tab w:val="left" w:pos="567"/>
          <w:tab w:val="left" w:pos="709"/>
          <w:tab w:val="left" w:pos="1134"/>
        </w:tabs>
        <w:spacing w:before="120" w:beforeLines="5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承诺函</w:t>
      </w:r>
    </w:p>
    <w:p>
      <w:pPr>
        <w:spacing w:before="240" w:beforeLines="100" w:line="360" w:lineRule="exact"/>
        <w:rPr>
          <w:rFonts w:ascii="仿宋" w:hAnsi="仿宋" w:eastAsia="仿宋"/>
          <w:color w:val="auto"/>
          <w:sz w:val="24"/>
          <w:highlight w:val="none"/>
        </w:rPr>
      </w:pPr>
      <w:r>
        <w:rPr>
          <w:rFonts w:ascii="仿宋" w:hAnsi="仿宋" w:eastAsia="仿宋"/>
          <w:color w:val="auto"/>
          <w:sz w:val="24"/>
          <w:highlight w:val="none"/>
        </w:rPr>
        <w:t>四川中志招标代理有限公司：</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我方作为本次采购项目的供应商，根据磋商文件要求，现郑重承诺如下：</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w:t>
      </w:r>
      <w:r>
        <w:rPr>
          <w:rFonts w:ascii="仿宋" w:hAnsi="仿宋" w:eastAsia="仿宋"/>
          <w:color w:val="auto"/>
          <w:sz w:val="24"/>
          <w:highlight w:val="none"/>
        </w:rPr>
        <w:t>、我方已知晓全部磋商文件的内容，如对磋商文件有异议，已经在递交响应文件截止时间届满前依法进行维权救济，不存在对磋商文件有异议的同时又参加磋商以求侥幸成交或者为实现其他非法目的的行为。</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w:t>
      </w:r>
      <w:r>
        <w:rPr>
          <w:rFonts w:ascii="仿宋" w:hAnsi="仿宋" w:eastAsia="仿宋"/>
          <w:color w:val="auto"/>
          <w:sz w:val="24"/>
          <w:highlight w:val="none"/>
        </w:rPr>
        <w:t>、</w:t>
      </w:r>
      <w:r>
        <w:rPr>
          <w:rFonts w:hint="eastAsia" w:ascii="仿宋" w:hAnsi="仿宋" w:eastAsia="仿宋" w:cs="仿宋"/>
          <w:b w:val="0"/>
          <w:color w:val="auto"/>
          <w:kern w:val="2"/>
          <w:sz w:val="24"/>
          <w:szCs w:val="24"/>
          <w:highlight w:val="none"/>
          <w:lang w:val="en-US"/>
        </w:rPr>
        <w:t>与我单位负责人为同一人或者存在直接控股、管理关系的相关供应商：</w:t>
      </w:r>
      <w:r>
        <w:rPr>
          <w:rFonts w:hint="eastAsia" w:ascii="仿宋" w:hAnsi="仿宋" w:eastAsia="仿宋" w:cs="仿宋"/>
          <w:b/>
          <w:bCs/>
          <w:color w:val="auto"/>
          <w:kern w:val="2"/>
          <w:sz w:val="24"/>
          <w:szCs w:val="24"/>
          <w:highlight w:val="none"/>
          <w:u w:val="single"/>
          <w:lang w:val="en-US"/>
        </w:rPr>
        <w:t>（说明：填写“无”或“（一）供应商名称１；（二）供应商名称２；（三）……”）</w:t>
      </w:r>
      <w:r>
        <w:rPr>
          <w:rFonts w:hint="eastAsia" w:ascii="仿宋" w:hAnsi="仿宋" w:eastAsia="仿宋" w:cs="仿宋"/>
          <w:b w:val="0"/>
          <w:color w:val="auto"/>
          <w:kern w:val="2"/>
          <w:sz w:val="24"/>
          <w:szCs w:val="24"/>
          <w:highlight w:val="none"/>
          <w:lang w:val="en-US"/>
        </w:rPr>
        <w:t>。</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w:t>
      </w:r>
      <w:r>
        <w:rPr>
          <w:rFonts w:ascii="仿宋" w:hAnsi="仿宋" w:eastAsia="仿宋"/>
          <w:color w:val="auto"/>
          <w:sz w:val="24"/>
          <w:highlight w:val="none"/>
        </w:rPr>
        <w:t>、在参加本次采购活动中，</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auto"/>
          <w:sz w:val="24"/>
          <w:highlight w:val="none"/>
        </w:rPr>
        <w:t>和其他供应商在同一合同项下的采购项目中，同时委托同一个自然人、同一家庭的人员、同一单位的人员作为代理人的行为。</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w:t>
      </w:r>
      <w:r>
        <w:rPr>
          <w:rFonts w:ascii="仿宋" w:hAnsi="仿宋" w:eastAsia="仿宋"/>
          <w:color w:val="auto"/>
          <w:sz w:val="24"/>
          <w:highlight w:val="none"/>
        </w:rPr>
        <w:t>、在参加本次采购活动前，</w:t>
      </w:r>
      <w:r>
        <w:rPr>
          <w:rFonts w:hint="eastAsia" w:ascii="仿宋" w:hAnsi="仿宋" w:eastAsia="仿宋" w:cs="仿宋"/>
          <w:b/>
          <w:bCs/>
          <w:color w:val="auto"/>
          <w:kern w:val="2"/>
          <w:sz w:val="24"/>
          <w:szCs w:val="24"/>
          <w:highlight w:val="none"/>
          <w:u w:val="single"/>
          <w:lang w:val="en-US" w:eastAsia="zh-CN"/>
        </w:rPr>
        <w:t>（说明：填写“有”或“没有”）</w:t>
      </w:r>
      <w:r>
        <w:rPr>
          <w:rFonts w:ascii="仿宋" w:hAnsi="仿宋" w:eastAsia="仿宋"/>
          <w:color w:val="auto"/>
          <w:sz w:val="24"/>
          <w:highlight w:val="none"/>
        </w:rPr>
        <w:t>为采购项目提供整体设计、规范编制或者项目管理、监理、检测等服务。</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w:t>
      </w:r>
      <w:r>
        <w:rPr>
          <w:rFonts w:ascii="仿宋" w:hAnsi="仿宋" w:eastAsia="仿宋"/>
          <w:color w:val="auto"/>
          <w:sz w:val="24"/>
          <w:highlight w:val="none"/>
        </w:rPr>
        <w:t>、我方实际控制人或者中高级管理人员，</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auto"/>
          <w:sz w:val="24"/>
          <w:highlight w:val="none"/>
        </w:rPr>
        <w:t>同时是采购代理机构工作人员的情形。</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w:t>
      </w:r>
      <w:r>
        <w:rPr>
          <w:rFonts w:ascii="仿宋" w:hAnsi="仿宋" w:eastAsia="仿宋"/>
          <w:color w:val="auto"/>
          <w:sz w:val="24"/>
          <w:highlight w:val="none"/>
        </w:rPr>
        <w:t>、我方与采购代理机构</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auto"/>
          <w:sz w:val="24"/>
          <w:highlight w:val="none"/>
        </w:rPr>
        <w:t>关联关系，</w:t>
      </w:r>
      <w:r>
        <w:rPr>
          <w:rFonts w:hint="eastAsia" w:ascii="仿宋" w:hAnsi="仿宋" w:eastAsia="仿宋" w:cs="仿宋"/>
          <w:b w:val="0"/>
          <w:color w:val="auto"/>
          <w:kern w:val="2"/>
          <w:sz w:val="24"/>
          <w:szCs w:val="24"/>
          <w:highlight w:val="none"/>
          <w:lang w:val="en-US"/>
        </w:rPr>
        <w:t>我方</w:t>
      </w:r>
      <w:r>
        <w:rPr>
          <w:rFonts w:hint="eastAsia" w:ascii="仿宋" w:hAnsi="仿宋" w:eastAsia="仿宋" w:cs="仿宋"/>
          <w:b/>
          <w:bCs/>
          <w:color w:val="auto"/>
          <w:kern w:val="2"/>
          <w:sz w:val="24"/>
          <w:szCs w:val="24"/>
          <w:highlight w:val="none"/>
          <w:u w:val="single"/>
          <w:lang w:val="en-US" w:eastAsia="zh-CN"/>
        </w:rPr>
        <w:t>（说明：填写“是”或“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是”）</w:t>
      </w:r>
      <w:r>
        <w:rPr>
          <w:rFonts w:ascii="仿宋" w:hAnsi="仿宋" w:eastAsia="仿宋"/>
          <w:color w:val="auto"/>
          <w:sz w:val="24"/>
          <w:highlight w:val="none"/>
        </w:rPr>
        <w:t>采购代理机构的母公司或子公司。</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七</w:t>
      </w:r>
      <w:r>
        <w:rPr>
          <w:rFonts w:ascii="仿宋" w:hAnsi="仿宋" w:eastAsia="仿宋"/>
          <w:color w:val="auto"/>
          <w:sz w:val="24"/>
          <w:highlight w:val="none"/>
        </w:rPr>
        <w:t>、我方单位及其现任法定代表人、主要负责人</w:t>
      </w:r>
      <w:r>
        <w:rPr>
          <w:rFonts w:hint="eastAsia" w:ascii="仿宋" w:hAnsi="仿宋" w:eastAsia="仿宋" w:cs="仿宋"/>
          <w:b/>
          <w:bCs/>
          <w:color w:val="auto"/>
          <w:kern w:val="2"/>
          <w:sz w:val="24"/>
          <w:szCs w:val="24"/>
          <w:highlight w:val="none"/>
          <w:u w:val="single"/>
          <w:lang w:val="en-US" w:eastAsia="zh-CN"/>
        </w:rPr>
        <w:t>（说明：填写“存在”或“</w:t>
      </w:r>
      <w:r>
        <w:rPr>
          <w:rFonts w:hint="eastAsia" w:ascii="仿宋" w:hAnsi="仿宋" w:eastAsia="仿宋" w:cs="仿宋"/>
          <w:b/>
          <w:bCs/>
          <w:color w:val="auto"/>
          <w:kern w:val="2"/>
          <w:sz w:val="24"/>
          <w:szCs w:val="24"/>
          <w:highlight w:val="none"/>
          <w:u w:val="single"/>
          <w:lang w:val="en-US"/>
        </w:rPr>
        <w:t>不</w:t>
      </w:r>
      <w:r>
        <w:rPr>
          <w:rFonts w:hint="eastAsia" w:ascii="仿宋" w:hAnsi="仿宋" w:eastAsia="仿宋" w:cs="仿宋"/>
          <w:b/>
          <w:bCs/>
          <w:color w:val="auto"/>
          <w:kern w:val="2"/>
          <w:sz w:val="24"/>
          <w:szCs w:val="24"/>
          <w:highlight w:val="none"/>
          <w:u w:val="single"/>
          <w:lang w:val="en-US" w:eastAsia="zh-CN"/>
        </w:rPr>
        <w:t>存在”）</w:t>
      </w:r>
      <w:r>
        <w:rPr>
          <w:rFonts w:ascii="仿宋" w:hAnsi="仿宋" w:eastAsia="仿宋"/>
          <w:color w:val="auto"/>
          <w:sz w:val="24"/>
          <w:highlight w:val="none"/>
        </w:rPr>
        <w:t xml:space="preserve">行贿犯罪记录。  </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八</w:t>
      </w:r>
      <w:r>
        <w:rPr>
          <w:rFonts w:ascii="仿宋" w:hAnsi="仿宋" w:eastAsia="仿宋"/>
          <w:color w:val="auto"/>
          <w:sz w:val="24"/>
          <w:highlight w:val="none"/>
        </w:rPr>
        <w:t>、响应文件中提供的任何资料和技术、服务、商务等响应承诺情况都是真实的、有效的、合法的。</w:t>
      </w:r>
    </w:p>
    <w:p>
      <w:pPr>
        <w:spacing w:line="3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九</w:t>
      </w:r>
      <w:r>
        <w:rPr>
          <w:rFonts w:ascii="仿宋" w:hAnsi="仿宋" w:eastAsia="仿宋"/>
          <w:color w:val="auto"/>
          <w:sz w:val="24"/>
          <w:highlight w:val="none"/>
        </w:rPr>
        <w:t>、国家或行业主管部门对供应商和采购服务的服务标准、质量标准和资格资质条件等有强制性规定的，我方符合其要求。</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spacing w:line="3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十</w:t>
      </w:r>
      <w:r>
        <w:rPr>
          <w:rFonts w:hint="eastAsia" w:ascii="仿宋" w:hAnsi="仿宋" w:eastAsia="仿宋"/>
          <w:color w:val="auto"/>
          <w:sz w:val="24"/>
          <w:highlight w:val="none"/>
        </w:rPr>
        <w:t>一</w:t>
      </w:r>
      <w:r>
        <w:rPr>
          <w:rFonts w:ascii="仿宋" w:hAnsi="仿宋" w:eastAsia="仿宋"/>
          <w:color w:val="auto"/>
          <w:sz w:val="24"/>
          <w:highlight w:val="none"/>
        </w:rPr>
        <w:t>、</w:t>
      </w:r>
      <w:r>
        <w:rPr>
          <w:rFonts w:ascii="仿宋" w:hAnsi="仿宋" w:eastAsia="仿宋"/>
          <w:color w:val="auto"/>
          <w:kern w:val="0"/>
          <w:sz w:val="24"/>
          <w:highlight w:val="none"/>
        </w:rPr>
        <w:t>若我方成交，我方承诺按照本磋商文件约定支付招标代理服务费，否则视为虚假应标并承担由此带来的一切后果。</w:t>
      </w:r>
    </w:p>
    <w:p>
      <w:pPr>
        <w:tabs>
          <w:tab w:val="left" w:pos="567"/>
          <w:tab w:val="left" w:pos="709"/>
          <w:tab w:val="left" w:pos="1134"/>
        </w:tabs>
        <w:spacing w:line="360" w:lineRule="exact"/>
        <w:ind w:left="420"/>
        <w:jc w:val="left"/>
        <w:rPr>
          <w:rFonts w:hint="eastAsia" w:ascii="仿宋" w:hAnsi="仿宋" w:eastAsia="仿宋"/>
          <w:color w:val="auto"/>
          <w:sz w:val="24"/>
          <w:highlight w:val="none"/>
        </w:rPr>
      </w:pPr>
    </w:p>
    <w:p>
      <w:pPr>
        <w:spacing w:line="360" w:lineRule="exact"/>
        <w:ind w:firstLine="480" w:firstLineChars="200"/>
        <w:rPr>
          <w:rFonts w:hint="eastAsia" w:ascii="仿宋" w:hAnsi="仿宋" w:eastAsia="仿宋"/>
          <w:color w:val="auto"/>
          <w:sz w:val="24"/>
          <w:highlight w:val="none"/>
        </w:rPr>
      </w:pPr>
      <w:r>
        <w:rPr>
          <w:rFonts w:ascii="仿宋" w:hAnsi="仿宋" w:eastAsia="仿宋"/>
          <w:color w:val="auto"/>
          <w:sz w:val="24"/>
          <w:highlight w:val="none"/>
        </w:rPr>
        <w:t>我方对上述承诺的内容事项真实性负责。如经查实上述承诺的内容事项存在虚假，愿意接受以提供虚假材料谋取成交的法律责任。</w:t>
      </w:r>
    </w:p>
    <w:p>
      <w:pPr>
        <w:tabs>
          <w:tab w:val="left" w:pos="567"/>
          <w:tab w:val="left" w:pos="709"/>
          <w:tab w:val="left" w:pos="1134"/>
        </w:tabs>
        <w:ind w:left="420"/>
        <w:jc w:val="left"/>
        <w:rPr>
          <w:rFonts w:hint="eastAsia" w:ascii="仿宋" w:hAnsi="仿宋" w:eastAsia="仿宋"/>
          <w:color w:val="auto"/>
          <w:sz w:val="24"/>
          <w:highlight w:val="none"/>
        </w:rPr>
      </w:pPr>
    </w:p>
    <w:p>
      <w:pPr>
        <w:adjustRightInd w:val="0"/>
        <w:snapToGrid w:val="0"/>
        <w:spacing w:before="120" w:beforeLines="50" w:line="312"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312" w:lineRule="auto"/>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312" w:lineRule="auto"/>
        <w:ind w:firstLine="480" w:firstLineChars="200"/>
        <w:jc w:val="left"/>
        <w:rPr>
          <w:rFonts w:ascii="仿宋" w:hAnsi="仿宋" w:eastAsia="仿宋"/>
          <w:b/>
          <w:color w:val="auto"/>
          <w:sz w:val="32"/>
          <w:szCs w:val="32"/>
          <w:highlight w:val="none"/>
        </w:rPr>
        <w:sectPr>
          <w:footerReference r:id="rId16" w:type="default"/>
          <w:pgSz w:w="11907" w:h="16840"/>
          <w:pgMar w:top="1418" w:right="1134" w:bottom="1418" w:left="1701" w:header="850" w:footer="567" w:gutter="0"/>
          <w:cols w:space="720" w:num="1"/>
          <w:docGrid w:linePitch="312" w:charSpace="0"/>
        </w:sectPr>
      </w:pPr>
      <w:r>
        <w:rPr>
          <w:rFonts w:ascii="仿宋" w:hAnsi="仿宋" w:eastAsia="仿宋"/>
          <w:color w:val="auto"/>
          <w:sz w:val="24"/>
          <w:highlight w:val="none"/>
        </w:rPr>
        <w:t>日  期：</w:t>
      </w:r>
      <w:r>
        <w:rPr>
          <w:rFonts w:ascii="仿宋" w:hAnsi="仿宋" w:eastAsia="仿宋"/>
          <w:b/>
          <w:color w:val="auto"/>
          <w:sz w:val="32"/>
          <w:szCs w:val="32"/>
          <w:highlight w:val="none"/>
        </w:rPr>
        <w:t xml:space="preserve"> </w:t>
      </w:r>
    </w:p>
    <w:p>
      <w:pPr>
        <w:numPr>
          <w:ilvl w:val="0"/>
          <w:numId w:val="4"/>
        </w:numPr>
        <w:tabs>
          <w:tab w:val="left" w:pos="567"/>
          <w:tab w:val="left" w:pos="709"/>
          <w:tab w:val="left" w:pos="1134"/>
        </w:tabs>
        <w:spacing w:before="120" w:beforeLines="50"/>
        <w:jc w:val="left"/>
        <w:rPr>
          <w:rFonts w:ascii="仿宋" w:hAnsi="仿宋" w:eastAsia="仿宋"/>
          <w:b/>
          <w:color w:val="auto"/>
          <w:sz w:val="32"/>
          <w:szCs w:val="32"/>
          <w:highlight w:val="none"/>
        </w:rPr>
      </w:pPr>
      <w:r>
        <w:rPr>
          <w:rFonts w:ascii="仿宋" w:hAnsi="仿宋" w:eastAsia="仿宋"/>
          <w:b/>
          <w:color w:val="auto"/>
          <w:sz w:val="32"/>
          <w:szCs w:val="32"/>
          <w:highlight w:val="none"/>
        </w:rPr>
        <w:t>报价一览表</w:t>
      </w:r>
    </w:p>
    <w:p>
      <w:pPr>
        <w:widowControl/>
        <w:spacing w:line="400" w:lineRule="exact"/>
        <w:ind w:firstLine="436" w:firstLineChars="182"/>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36" w:firstLineChars="182"/>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widowControl/>
        <w:spacing w:line="400" w:lineRule="exact"/>
        <w:ind w:firstLine="436" w:firstLineChars="182"/>
        <w:jc w:val="left"/>
        <w:rPr>
          <w:rFonts w:ascii="仿宋" w:hAnsi="仿宋" w:eastAsia="仿宋"/>
          <w:color w:val="auto"/>
          <w:kern w:val="0"/>
          <w:sz w:val="24"/>
          <w:highlight w:val="none"/>
        </w:rPr>
      </w:pPr>
      <w:r>
        <w:rPr>
          <w:rFonts w:ascii="仿宋" w:hAnsi="仿宋" w:eastAsia="仿宋"/>
          <w:color w:val="auto"/>
          <w:kern w:val="0"/>
          <w:sz w:val="24"/>
          <w:highlight w:val="non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068"/>
        <w:gridCol w:w="1837"/>
        <w:gridCol w:w="1837"/>
        <w:gridCol w:w="1837"/>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序号</w:t>
            </w:r>
          </w:p>
        </w:tc>
        <w:tc>
          <w:tcPr>
            <w:tcW w:w="1113" w:type="pct"/>
            <w:tcBorders>
              <w:top w:val="single" w:color="auto" w:sz="4" w:space="0"/>
              <w:left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服务明细</w:t>
            </w:r>
          </w:p>
        </w:tc>
        <w:tc>
          <w:tcPr>
            <w:tcW w:w="989" w:type="pct"/>
            <w:tcBorders>
              <w:top w:val="single" w:color="auto" w:sz="4" w:space="0"/>
              <w:left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数量</w:t>
            </w:r>
          </w:p>
        </w:tc>
        <w:tc>
          <w:tcPr>
            <w:tcW w:w="989" w:type="pct"/>
            <w:tcBorders>
              <w:top w:val="single" w:color="auto" w:sz="4" w:space="0"/>
              <w:left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单价</w:t>
            </w:r>
          </w:p>
        </w:tc>
        <w:tc>
          <w:tcPr>
            <w:tcW w:w="989" w:type="pct"/>
            <w:tcBorders>
              <w:top w:val="single" w:color="auto" w:sz="4" w:space="0"/>
              <w:left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总价</w:t>
            </w: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b/>
                <w:color w:val="auto"/>
                <w:kern w:val="0"/>
                <w:sz w:val="24"/>
                <w:highlight w:val="none"/>
              </w:rPr>
            </w:pPr>
            <w:r>
              <w:rPr>
                <w:rFonts w:ascii="仿宋" w:hAnsi="仿宋" w:eastAsia="仿宋"/>
                <w:b/>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r>
              <w:rPr>
                <w:rFonts w:ascii="仿宋" w:hAnsi="仿宋" w:eastAsia="仿宋"/>
                <w:color w:val="auto"/>
                <w:kern w:val="0"/>
                <w:sz w:val="24"/>
                <w:highlight w:val="none"/>
              </w:rPr>
              <w:t>1</w:t>
            </w:r>
          </w:p>
        </w:tc>
        <w:tc>
          <w:tcPr>
            <w:tcW w:w="1113" w:type="pct"/>
            <w:tcBorders>
              <w:left w:val="single" w:color="auto" w:sz="4" w:space="0"/>
              <w:right w:val="single" w:color="auto" w:sz="4" w:space="0"/>
            </w:tcBorders>
            <w:noWrap w:val="0"/>
            <w:vAlign w:val="top"/>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r>
              <w:rPr>
                <w:rFonts w:ascii="仿宋" w:hAnsi="仿宋" w:eastAsia="仿宋"/>
                <w:color w:val="auto"/>
                <w:kern w:val="0"/>
                <w:sz w:val="24"/>
                <w:highlight w:val="none"/>
              </w:rPr>
              <w:t>2</w:t>
            </w:r>
          </w:p>
        </w:tc>
        <w:tc>
          <w:tcPr>
            <w:tcW w:w="1113" w:type="pct"/>
            <w:tcBorders>
              <w:left w:val="single" w:color="auto" w:sz="4" w:space="0"/>
              <w:right w:val="single" w:color="auto" w:sz="4" w:space="0"/>
            </w:tcBorders>
            <w:noWrap w:val="0"/>
            <w:vAlign w:val="top"/>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r>
              <w:rPr>
                <w:rFonts w:ascii="仿宋" w:hAnsi="仿宋" w:eastAsia="仿宋"/>
                <w:color w:val="auto"/>
                <w:kern w:val="0"/>
                <w:sz w:val="24"/>
                <w:highlight w:val="none"/>
              </w:rPr>
              <w:t>3</w:t>
            </w:r>
          </w:p>
        </w:tc>
        <w:tc>
          <w:tcPr>
            <w:tcW w:w="1113" w:type="pct"/>
            <w:tcBorders>
              <w:left w:val="single" w:color="auto" w:sz="4" w:space="0"/>
              <w:right w:val="single" w:color="auto" w:sz="4" w:space="0"/>
            </w:tcBorders>
            <w:noWrap w:val="0"/>
            <w:vAlign w:val="top"/>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r>
              <w:rPr>
                <w:rFonts w:ascii="仿宋" w:hAnsi="仿宋" w:eastAsia="仿宋"/>
                <w:color w:val="auto"/>
                <w:kern w:val="0"/>
                <w:sz w:val="24"/>
                <w:highlight w:val="none"/>
              </w:rPr>
              <w:t>…</w:t>
            </w:r>
          </w:p>
        </w:tc>
        <w:tc>
          <w:tcPr>
            <w:tcW w:w="1113" w:type="pct"/>
            <w:tcBorders>
              <w:left w:val="single" w:color="auto" w:sz="4" w:space="0"/>
              <w:bottom w:val="single" w:color="auto" w:sz="4" w:space="0"/>
              <w:right w:val="single" w:color="auto" w:sz="4" w:space="0"/>
            </w:tcBorders>
            <w:noWrap w:val="0"/>
            <w:vAlign w:val="top"/>
          </w:tcPr>
          <w:p>
            <w:pPr>
              <w:widowControl/>
              <w:jc w:val="center"/>
              <w:rPr>
                <w:rFonts w:ascii="仿宋" w:hAnsi="仿宋" w:eastAsia="仿宋"/>
                <w:color w:val="auto"/>
                <w:kern w:val="0"/>
                <w:sz w:val="24"/>
                <w:highlight w:val="none"/>
              </w:rPr>
            </w:pPr>
          </w:p>
        </w:tc>
        <w:tc>
          <w:tcPr>
            <w:tcW w:w="989" w:type="pct"/>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989" w:type="pct"/>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sz w:val="24"/>
                <w:highlight w:val="none"/>
              </w:rPr>
            </w:pPr>
            <w:r>
              <w:rPr>
                <w:rFonts w:ascii="仿宋" w:hAnsi="仿宋" w:eastAsia="仿宋"/>
                <w:color w:val="auto"/>
                <w:kern w:val="0"/>
                <w:sz w:val="24"/>
                <w:highlight w:val="none"/>
              </w:rPr>
              <w:t>合计金额（大写）：</w:t>
            </w:r>
          </w:p>
        </w:tc>
      </w:tr>
    </w:tbl>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1．以上表格格式行可增减。</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2．供应商必须按“报价一览</w:t>
      </w:r>
      <w:r>
        <w:rPr>
          <w:rFonts w:ascii="仿宋" w:hAnsi="仿宋" w:eastAsia="仿宋"/>
          <w:bCs/>
          <w:color w:val="auto"/>
          <w:kern w:val="0"/>
          <w:sz w:val="24"/>
          <w:highlight w:val="none"/>
        </w:rPr>
        <w:t>表”的格式及本项目采购内容，</w:t>
      </w:r>
      <w:r>
        <w:rPr>
          <w:rFonts w:ascii="仿宋" w:hAnsi="仿宋" w:eastAsia="仿宋"/>
          <w:color w:val="auto"/>
          <w:kern w:val="0"/>
          <w:sz w:val="24"/>
          <w:highlight w:val="none"/>
        </w:rPr>
        <w:t>详细报出各类服务的价格，</w:t>
      </w:r>
      <w:r>
        <w:rPr>
          <w:rFonts w:ascii="仿宋" w:hAnsi="仿宋" w:eastAsia="仿宋"/>
          <w:b/>
          <w:color w:val="auto"/>
          <w:kern w:val="0"/>
          <w:sz w:val="24"/>
          <w:highlight w:val="none"/>
        </w:rPr>
        <w:t>不得漏报，否则视为已包含在合计金额中不再单独另行报价，不影响有效性</w:t>
      </w:r>
      <w:r>
        <w:rPr>
          <w:rFonts w:ascii="仿宋" w:hAnsi="仿宋" w:eastAsia="仿宋"/>
          <w:color w:val="auto"/>
          <w:kern w:val="0"/>
          <w:sz w:val="24"/>
          <w:highlight w:val="none"/>
        </w:rPr>
        <w:t>。</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3．所有报价均用人民币表示</w:t>
      </w:r>
      <w:r>
        <w:rPr>
          <w:rFonts w:hint="eastAsia" w:ascii="仿宋" w:hAnsi="仿宋" w:eastAsia="仿宋"/>
          <w:color w:val="auto"/>
          <w:kern w:val="0"/>
          <w:sz w:val="24"/>
          <w:highlight w:val="none"/>
        </w:rPr>
        <w:t>，</w:t>
      </w:r>
      <w:r>
        <w:rPr>
          <w:rFonts w:ascii="仿宋" w:hAnsi="仿宋" w:eastAsia="仿宋"/>
          <w:color w:val="auto"/>
          <w:kern w:val="0"/>
          <w:sz w:val="24"/>
          <w:highlight w:val="none"/>
        </w:rPr>
        <w:t>其总价即为履行合同的固定价格。人工费、检验、培训、税金</w:t>
      </w:r>
      <w:r>
        <w:rPr>
          <w:rFonts w:ascii="仿宋" w:hAnsi="仿宋" w:eastAsia="仿宋"/>
          <w:color w:val="auto"/>
          <w:sz w:val="24"/>
          <w:highlight w:val="none"/>
        </w:rPr>
        <w:t>、知识产权费（若有）</w:t>
      </w:r>
      <w:r>
        <w:rPr>
          <w:rFonts w:ascii="仿宋" w:hAnsi="仿宋" w:eastAsia="仿宋"/>
          <w:color w:val="auto"/>
          <w:kern w:val="0"/>
          <w:sz w:val="24"/>
          <w:highlight w:val="none"/>
        </w:rPr>
        <w:t>和保险等费用以及磋商文件规定的其他费用均应包含在报价中。</w:t>
      </w:r>
    </w:p>
    <w:p>
      <w:pPr>
        <w:adjustRightInd w:val="0"/>
        <w:spacing w:line="400" w:lineRule="exact"/>
        <w:ind w:firstLine="480" w:firstLineChars="200"/>
        <w:jc w:val="left"/>
        <w:rPr>
          <w:rFonts w:hint="eastAsia" w:ascii="仿宋" w:hAnsi="仿宋" w:eastAsia="仿宋"/>
          <w:color w:val="auto"/>
          <w:sz w:val="24"/>
          <w:highlight w:val="none"/>
        </w:rPr>
      </w:pPr>
    </w:p>
    <w:p>
      <w:pPr>
        <w:adjustRightInd w:val="0"/>
        <w:spacing w:line="400" w:lineRule="exact"/>
        <w:ind w:firstLine="480" w:firstLineChars="200"/>
        <w:jc w:val="left"/>
        <w:rPr>
          <w:rFonts w:hint="eastAsia"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 xml:space="preserve">日  期：  </w:t>
      </w:r>
    </w:p>
    <w:p>
      <w:pPr>
        <w:adjustRightInd w:val="0"/>
        <w:spacing w:line="400" w:lineRule="exact"/>
        <w:ind w:firstLine="480" w:firstLineChars="200"/>
        <w:jc w:val="left"/>
        <w:rPr>
          <w:rFonts w:ascii="仿宋" w:hAnsi="仿宋" w:eastAsia="仿宋"/>
          <w:color w:val="auto"/>
          <w:sz w:val="24"/>
          <w:highlight w:val="none"/>
        </w:rPr>
        <w:sectPr>
          <w:pgSz w:w="11907" w:h="16840"/>
          <w:pgMar w:top="1418" w:right="1134" w:bottom="1418" w:left="1701" w:header="850" w:footer="567" w:gutter="0"/>
          <w:cols w:space="720" w:num="1"/>
          <w:docGrid w:linePitch="312" w:charSpace="0"/>
        </w:sect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供应商基本情况表</w:t>
      </w:r>
    </w:p>
    <w:tbl>
      <w:tblPr>
        <w:tblStyle w:val="32"/>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080"/>
        <w:gridCol w:w="180"/>
        <w:gridCol w:w="1262"/>
        <w:gridCol w:w="1260"/>
        <w:gridCol w:w="420"/>
        <w:gridCol w:w="480"/>
        <w:gridCol w:w="360"/>
        <w:gridCol w:w="840"/>
        <w:gridCol w:w="60"/>
        <w:gridCol w:w="3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供应商名称</w:t>
            </w:r>
          </w:p>
        </w:tc>
        <w:tc>
          <w:tcPr>
            <w:tcW w:w="4033" w:type="pct"/>
            <w:gridSpan w:val="11"/>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注册地址</w:t>
            </w:r>
          </w:p>
        </w:tc>
        <w:tc>
          <w:tcPr>
            <w:tcW w:w="2497" w:type="pct"/>
            <w:gridSpan w:val="6"/>
            <w:noWrap w:val="0"/>
            <w:vAlign w:val="center"/>
          </w:tcPr>
          <w:p>
            <w:pPr>
              <w:jc w:val="center"/>
              <w:rPr>
                <w:rFonts w:ascii="仿宋" w:hAnsi="仿宋" w:eastAsia="仿宋"/>
                <w:bCs/>
                <w:color w:val="auto"/>
                <w:sz w:val="24"/>
                <w:highlight w:val="none"/>
              </w:rPr>
            </w:pPr>
          </w:p>
        </w:tc>
        <w:tc>
          <w:tcPr>
            <w:tcW w:w="672"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邮政编码</w:t>
            </w:r>
          </w:p>
        </w:tc>
        <w:tc>
          <w:tcPr>
            <w:tcW w:w="864" w:type="pct"/>
            <w:gridSpan w:val="2"/>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67" w:type="pct"/>
            <w:vMerge w:val="restar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联系方式</w:t>
            </w:r>
          </w:p>
        </w:tc>
        <w:tc>
          <w:tcPr>
            <w:tcW w:w="576"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联系人</w:t>
            </w:r>
          </w:p>
        </w:tc>
        <w:tc>
          <w:tcPr>
            <w:tcW w:w="1921" w:type="pct"/>
            <w:gridSpan w:val="5"/>
            <w:noWrap w:val="0"/>
            <w:vAlign w:val="center"/>
          </w:tcPr>
          <w:p>
            <w:pPr>
              <w:jc w:val="center"/>
              <w:rPr>
                <w:rFonts w:ascii="仿宋" w:hAnsi="仿宋" w:eastAsia="仿宋"/>
                <w:bCs/>
                <w:color w:val="auto"/>
                <w:sz w:val="24"/>
                <w:highlight w:val="none"/>
              </w:rPr>
            </w:pPr>
          </w:p>
        </w:tc>
        <w:tc>
          <w:tcPr>
            <w:tcW w:w="672"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联系电话</w:t>
            </w:r>
          </w:p>
        </w:tc>
        <w:tc>
          <w:tcPr>
            <w:tcW w:w="864" w:type="pct"/>
            <w:gridSpan w:val="2"/>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7" w:type="pct"/>
            <w:vMerge w:val="continue"/>
            <w:noWrap w:val="0"/>
            <w:vAlign w:val="center"/>
          </w:tcPr>
          <w:p>
            <w:pPr>
              <w:jc w:val="center"/>
              <w:rPr>
                <w:rFonts w:ascii="仿宋" w:hAnsi="仿宋" w:eastAsia="仿宋"/>
                <w:bCs/>
                <w:color w:val="auto"/>
                <w:sz w:val="24"/>
                <w:highlight w:val="none"/>
              </w:rPr>
            </w:pPr>
          </w:p>
        </w:tc>
        <w:tc>
          <w:tcPr>
            <w:tcW w:w="576"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传真</w:t>
            </w:r>
          </w:p>
        </w:tc>
        <w:tc>
          <w:tcPr>
            <w:tcW w:w="1921" w:type="pct"/>
            <w:gridSpan w:val="5"/>
            <w:noWrap w:val="0"/>
            <w:vAlign w:val="center"/>
          </w:tcPr>
          <w:p>
            <w:pPr>
              <w:jc w:val="center"/>
              <w:rPr>
                <w:rFonts w:ascii="仿宋" w:hAnsi="仿宋" w:eastAsia="仿宋"/>
                <w:bCs/>
                <w:color w:val="auto"/>
                <w:sz w:val="24"/>
                <w:highlight w:val="none"/>
              </w:rPr>
            </w:pPr>
          </w:p>
        </w:tc>
        <w:tc>
          <w:tcPr>
            <w:tcW w:w="672"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网址</w:t>
            </w:r>
          </w:p>
        </w:tc>
        <w:tc>
          <w:tcPr>
            <w:tcW w:w="864" w:type="pct"/>
            <w:gridSpan w:val="2"/>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组织结构</w:t>
            </w:r>
          </w:p>
        </w:tc>
        <w:tc>
          <w:tcPr>
            <w:tcW w:w="4033" w:type="pct"/>
            <w:gridSpan w:val="11"/>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7" w:type="pct"/>
            <w:noWrap w:val="0"/>
            <w:vAlign w:val="center"/>
          </w:tcPr>
          <w:p>
            <w:pPr>
              <w:jc w:val="center"/>
              <w:rPr>
                <w:rFonts w:hint="eastAsia" w:ascii="仿宋" w:hAnsi="仿宋" w:eastAsia="仿宋"/>
                <w:bCs/>
                <w:color w:val="auto"/>
                <w:sz w:val="24"/>
                <w:highlight w:val="none"/>
              </w:rPr>
            </w:pPr>
            <w:r>
              <w:rPr>
                <w:rFonts w:ascii="仿宋" w:hAnsi="仿宋" w:eastAsia="仿宋"/>
                <w:bCs/>
                <w:color w:val="auto"/>
                <w:sz w:val="24"/>
                <w:highlight w:val="none"/>
              </w:rPr>
              <w:t>法定代表人</w:t>
            </w:r>
          </w:p>
          <w:p>
            <w:pPr>
              <w:jc w:val="center"/>
              <w:rPr>
                <w:rFonts w:ascii="仿宋" w:hAnsi="仿宋" w:eastAsia="仿宋"/>
                <w:bCs/>
                <w:color w:val="auto"/>
                <w:sz w:val="24"/>
                <w:highlight w:val="none"/>
              </w:rPr>
            </w:pPr>
            <w:r>
              <w:rPr>
                <w:rFonts w:hint="eastAsia" w:ascii="仿宋" w:hAnsi="仿宋" w:eastAsia="仿宋"/>
                <w:color w:val="auto"/>
                <w:sz w:val="24"/>
                <w:highlight w:val="none"/>
              </w:rPr>
              <w:t>（主要负责人/经营者）</w:t>
            </w:r>
          </w:p>
        </w:tc>
        <w:tc>
          <w:tcPr>
            <w:tcW w:w="672" w:type="pct"/>
            <w:gridSpan w:val="2"/>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姓名</w:t>
            </w:r>
          </w:p>
        </w:tc>
        <w:tc>
          <w:tcPr>
            <w:tcW w:w="673" w:type="pct"/>
            <w:noWrap w:val="0"/>
            <w:vAlign w:val="center"/>
          </w:tcPr>
          <w:p>
            <w:pPr>
              <w:jc w:val="center"/>
              <w:rPr>
                <w:rFonts w:ascii="仿宋" w:hAnsi="仿宋" w:eastAsia="仿宋"/>
                <w:bCs/>
                <w:color w:val="auto"/>
                <w:sz w:val="24"/>
                <w:highlight w:val="none"/>
              </w:rPr>
            </w:pPr>
          </w:p>
        </w:tc>
        <w:tc>
          <w:tcPr>
            <w:tcW w:w="672"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技术职称</w:t>
            </w:r>
          </w:p>
        </w:tc>
        <w:tc>
          <w:tcPr>
            <w:tcW w:w="672" w:type="pct"/>
            <w:gridSpan w:val="3"/>
            <w:noWrap w:val="0"/>
            <w:vAlign w:val="center"/>
          </w:tcPr>
          <w:p>
            <w:pPr>
              <w:jc w:val="center"/>
              <w:rPr>
                <w:rFonts w:ascii="仿宋" w:hAnsi="仿宋" w:eastAsia="仿宋"/>
                <w:bCs/>
                <w:color w:val="auto"/>
                <w:sz w:val="24"/>
                <w:highlight w:val="none"/>
              </w:rPr>
            </w:pPr>
          </w:p>
        </w:tc>
        <w:tc>
          <w:tcPr>
            <w:tcW w:w="672"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联系电话</w:t>
            </w:r>
          </w:p>
        </w:tc>
        <w:tc>
          <w:tcPr>
            <w:tcW w:w="672" w:type="pct"/>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技术负责人</w:t>
            </w:r>
          </w:p>
        </w:tc>
        <w:tc>
          <w:tcPr>
            <w:tcW w:w="672" w:type="pct"/>
            <w:gridSpan w:val="2"/>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姓名</w:t>
            </w:r>
          </w:p>
        </w:tc>
        <w:tc>
          <w:tcPr>
            <w:tcW w:w="673" w:type="pct"/>
            <w:noWrap w:val="0"/>
            <w:vAlign w:val="center"/>
          </w:tcPr>
          <w:p>
            <w:pPr>
              <w:jc w:val="center"/>
              <w:rPr>
                <w:rFonts w:ascii="仿宋" w:hAnsi="仿宋" w:eastAsia="仿宋"/>
                <w:bCs/>
                <w:color w:val="auto"/>
                <w:sz w:val="24"/>
                <w:highlight w:val="none"/>
              </w:rPr>
            </w:pPr>
          </w:p>
        </w:tc>
        <w:tc>
          <w:tcPr>
            <w:tcW w:w="672"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技术职称</w:t>
            </w:r>
          </w:p>
        </w:tc>
        <w:tc>
          <w:tcPr>
            <w:tcW w:w="672" w:type="pct"/>
            <w:gridSpan w:val="3"/>
            <w:noWrap w:val="0"/>
            <w:vAlign w:val="center"/>
          </w:tcPr>
          <w:p>
            <w:pPr>
              <w:jc w:val="center"/>
              <w:rPr>
                <w:rFonts w:ascii="仿宋" w:hAnsi="仿宋" w:eastAsia="仿宋"/>
                <w:bCs/>
                <w:color w:val="auto"/>
                <w:sz w:val="24"/>
                <w:highlight w:val="none"/>
              </w:rPr>
            </w:pPr>
          </w:p>
        </w:tc>
        <w:tc>
          <w:tcPr>
            <w:tcW w:w="672"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联系电话</w:t>
            </w:r>
          </w:p>
        </w:tc>
        <w:tc>
          <w:tcPr>
            <w:tcW w:w="672" w:type="pct"/>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成立时间</w:t>
            </w:r>
          </w:p>
        </w:tc>
        <w:tc>
          <w:tcPr>
            <w:tcW w:w="1345" w:type="pct"/>
            <w:gridSpan w:val="3"/>
            <w:noWrap w:val="0"/>
            <w:vAlign w:val="center"/>
          </w:tcPr>
          <w:p>
            <w:pPr>
              <w:jc w:val="center"/>
              <w:rPr>
                <w:rFonts w:ascii="仿宋" w:hAnsi="仿宋" w:eastAsia="仿宋"/>
                <w:bCs/>
                <w:color w:val="auto"/>
                <w:sz w:val="24"/>
                <w:highlight w:val="none"/>
              </w:rPr>
            </w:pPr>
          </w:p>
        </w:tc>
        <w:tc>
          <w:tcPr>
            <w:tcW w:w="2688" w:type="pct"/>
            <w:gridSpan w:val="8"/>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企业资质等级</w:t>
            </w:r>
          </w:p>
        </w:tc>
        <w:tc>
          <w:tcPr>
            <w:tcW w:w="1345" w:type="pct"/>
            <w:gridSpan w:val="3"/>
            <w:noWrap w:val="0"/>
            <w:vAlign w:val="center"/>
          </w:tcPr>
          <w:p>
            <w:pPr>
              <w:jc w:val="center"/>
              <w:rPr>
                <w:rFonts w:ascii="仿宋" w:hAnsi="仿宋" w:eastAsia="仿宋"/>
                <w:bCs/>
                <w:color w:val="auto"/>
                <w:sz w:val="24"/>
                <w:highlight w:val="none"/>
              </w:rPr>
            </w:pPr>
          </w:p>
        </w:tc>
        <w:tc>
          <w:tcPr>
            <w:tcW w:w="896" w:type="pct"/>
            <w:gridSpan w:val="2"/>
            <w:vMerge w:val="restar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其中</w:t>
            </w:r>
          </w:p>
        </w:tc>
        <w:tc>
          <w:tcPr>
            <w:tcW w:w="896"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项目经理</w:t>
            </w:r>
          </w:p>
        </w:tc>
        <w:tc>
          <w:tcPr>
            <w:tcW w:w="896" w:type="pct"/>
            <w:gridSpan w:val="3"/>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营业执照</w:t>
            </w:r>
            <w:r>
              <w:rPr>
                <w:rFonts w:ascii="仿宋" w:hAnsi="仿宋" w:eastAsia="仿宋"/>
                <w:color w:val="auto"/>
                <w:sz w:val="24"/>
                <w:highlight w:val="none"/>
              </w:rPr>
              <w:t>号</w:t>
            </w:r>
          </w:p>
        </w:tc>
        <w:tc>
          <w:tcPr>
            <w:tcW w:w="1345" w:type="pct"/>
            <w:gridSpan w:val="3"/>
            <w:noWrap w:val="0"/>
            <w:vAlign w:val="center"/>
          </w:tcPr>
          <w:p>
            <w:pPr>
              <w:jc w:val="center"/>
              <w:rPr>
                <w:rFonts w:ascii="仿宋" w:hAnsi="仿宋" w:eastAsia="仿宋"/>
                <w:bCs/>
                <w:color w:val="auto"/>
                <w:sz w:val="24"/>
                <w:highlight w:val="none"/>
              </w:rPr>
            </w:pPr>
          </w:p>
        </w:tc>
        <w:tc>
          <w:tcPr>
            <w:tcW w:w="896" w:type="pct"/>
            <w:gridSpan w:val="2"/>
            <w:vMerge w:val="continue"/>
            <w:noWrap w:val="0"/>
            <w:vAlign w:val="center"/>
          </w:tcPr>
          <w:p>
            <w:pPr>
              <w:jc w:val="center"/>
              <w:rPr>
                <w:rFonts w:ascii="仿宋" w:hAnsi="仿宋" w:eastAsia="仿宋"/>
                <w:bCs/>
                <w:color w:val="auto"/>
                <w:sz w:val="24"/>
                <w:highlight w:val="none"/>
              </w:rPr>
            </w:pPr>
          </w:p>
        </w:tc>
        <w:tc>
          <w:tcPr>
            <w:tcW w:w="896"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高级职称人员</w:t>
            </w:r>
          </w:p>
        </w:tc>
        <w:tc>
          <w:tcPr>
            <w:tcW w:w="896" w:type="pct"/>
            <w:gridSpan w:val="3"/>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注册资金</w:t>
            </w:r>
          </w:p>
        </w:tc>
        <w:tc>
          <w:tcPr>
            <w:tcW w:w="1345" w:type="pct"/>
            <w:gridSpan w:val="3"/>
            <w:noWrap w:val="0"/>
            <w:vAlign w:val="center"/>
          </w:tcPr>
          <w:p>
            <w:pPr>
              <w:jc w:val="center"/>
              <w:rPr>
                <w:rFonts w:ascii="仿宋" w:hAnsi="仿宋" w:eastAsia="仿宋"/>
                <w:bCs/>
                <w:color w:val="auto"/>
                <w:sz w:val="24"/>
                <w:highlight w:val="none"/>
              </w:rPr>
            </w:pPr>
          </w:p>
        </w:tc>
        <w:tc>
          <w:tcPr>
            <w:tcW w:w="896" w:type="pct"/>
            <w:gridSpan w:val="2"/>
            <w:vMerge w:val="continue"/>
            <w:noWrap w:val="0"/>
            <w:vAlign w:val="center"/>
          </w:tcPr>
          <w:p>
            <w:pPr>
              <w:jc w:val="center"/>
              <w:rPr>
                <w:rFonts w:ascii="仿宋" w:hAnsi="仿宋" w:eastAsia="仿宋"/>
                <w:bCs/>
                <w:color w:val="auto"/>
                <w:sz w:val="24"/>
                <w:highlight w:val="none"/>
              </w:rPr>
            </w:pPr>
          </w:p>
        </w:tc>
        <w:tc>
          <w:tcPr>
            <w:tcW w:w="896"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中级职称人员</w:t>
            </w:r>
          </w:p>
        </w:tc>
        <w:tc>
          <w:tcPr>
            <w:tcW w:w="896" w:type="pct"/>
            <w:gridSpan w:val="3"/>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开户银行</w:t>
            </w:r>
          </w:p>
        </w:tc>
        <w:tc>
          <w:tcPr>
            <w:tcW w:w="1345" w:type="pct"/>
            <w:gridSpan w:val="3"/>
            <w:noWrap w:val="0"/>
            <w:vAlign w:val="center"/>
          </w:tcPr>
          <w:p>
            <w:pPr>
              <w:jc w:val="center"/>
              <w:rPr>
                <w:rFonts w:ascii="仿宋" w:hAnsi="仿宋" w:eastAsia="仿宋"/>
                <w:bCs/>
                <w:color w:val="auto"/>
                <w:sz w:val="24"/>
                <w:highlight w:val="none"/>
              </w:rPr>
            </w:pPr>
          </w:p>
        </w:tc>
        <w:tc>
          <w:tcPr>
            <w:tcW w:w="896" w:type="pct"/>
            <w:gridSpan w:val="2"/>
            <w:vMerge w:val="continue"/>
            <w:noWrap w:val="0"/>
            <w:vAlign w:val="center"/>
          </w:tcPr>
          <w:p>
            <w:pPr>
              <w:jc w:val="center"/>
              <w:rPr>
                <w:rFonts w:ascii="仿宋" w:hAnsi="仿宋" w:eastAsia="仿宋"/>
                <w:bCs/>
                <w:color w:val="auto"/>
                <w:sz w:val="24"/>
                <w:highlight w:val="none"/>
              </w:rPr>
            </w:pPr>
          </w:p>
        </w:tc>
        <w:tc>
          <w:tcPr>
            <w:tcW w:w="896"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初级职称人员</w:t>
            </w:r>
          </w:p>
        </w:tc>
        <w:tc>
          <w:tcPr>
            <w:tcW w:w="896" w:type="pct"/>
            <w:gridSpan w:val="3"/>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账号</w:t>
            </w:r>
          </w:p>
        </w:tc>
        <w:tc>
          <w:tcPr>
            <w:tcW w:w="1345" w:type="pct"/>
            <w:gridSpan w:val="3"/>
            <w:noWrap w:val="0"/>
            <w:vAlign w:val="center"/>
          </w:tcPr>
          <w:p>
            <w:pPr>
              <w:jc w:val="center"/>
              <w:rPr>
                <w:rFonts w:ascii="仿宋" w:hAnsi="仿宋" w:eastAsia="仿宋"/>
                <w:bCs/>
                <w:color w:val="auto"/>
                <w:sz w:val="24"/>
                <w:highlight w:val="none"/>
              </w:rPr>
            </w:pPr>
          </w:p>
        </w:tc>
        <w:tc>
          <w:tcPr>
            <w:tcW w:w="896" w:type="pct"/>
            <w:gridSpan w:val="2"/>
            <w:vMerge w:val="continue"/>
            <w:noWrap w:val="0"/>
            <w:vAlign w:val="center"/>
          </w:tcPr>
          <w:p>
            <w:pPr>
              <w:jc w:val="center"/>
              <w:rPr>
                <w:rFonts w:ascii="仿宋" w:hAnsi="仿宋" w:eastAsia="仿宋"/>
                <w:bCs/>
                <w:color w:val="auto"/>
                <w:sz w:val="24"/>
                <w:highlight w:val="none"/>
              </w:rPr>
            </w:pPr>
          </w:p>
        </w:tc>
        <w:tc>
          <w:tcPr>
            <w:tcW w:w="896" w:type="pct"/>
            <w:gridSpan w:val="3"/>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技工</w:t>
            </w:r>
          </w:p>
        </w:tc>
        <w:tc>
          <w:tcPr>
            <w:tcW w:w="896" w:type="pct"/>
            <w:gridSpan w:val="3"/>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经营范围</w:t>
            </w:r>
          </w:p>
        </w:tc>
        <w:tc>
          <w:tcPr>
            <w:tcW w:w="4033" w:type="pct"/>
            <w:gridSpan w:val="11"/>
            <w:noWrap w:val="0"/>
            <w:vAlign w:val="center"/>
          </w:tcPr>
          <w:p>
            <w:pPr>
              <w:jc w:val="center"/>
              <w:rPr>
                <w:rFonts w:ascii="仿宋" w:hAnsi="仿宋" w:eastAsia="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67" w:type="pct"/>
            <w:noWrap w:val="0"/>
            <w:vAlign w:val="center"/>
          </w:tcPr>
          <w:p>
            <w:pPr>
              <w:jc w:val="center"/>
              <w:rPr>
                <w:rFonts w:ascii="仿宋" w:hAnsi="仿宋" w:eastAsia="仿宋"/>
                <w:bCs/>
                <w:color w:val="auto"/>
                <w:sz w:val="24"/>
                <w:highlight w:val="none"/>
              </w:rPr>
            </w:pPr>
            <w:r>
              <w:rPr>
                <w:rFonts w:ascii="仿宋" w:hAnsi="仿宋" w:eastAsia="仿宋"/>
                <w:bCs/>
                <w:color w:val="auto"/>
                <w:sz w:val="24"/>
                <w:highlight w:val="none"/>
              </w:rPr>
              <w:t>备注</w:t>
            </w:r>
          </w:p>
        </w:tc>
        <w:tc>
          <w:tcPr>
            <w:tcW w:w="4033" w:type="pct"/>
            <w:gridSpan w:val="11"/>
            <w:noWrap w:val="0"/>
            <w:vAlign w:val="center"/>
          </w:tcPr>
          <w:p>
            <w:pPr>
              <w:jc w:val="center"/>
              <w:rPr>
                <w:rFonts w:ascii="仿宋" w:hAnsi="仿宋" w:eastAsia="仿宋"/>
                <w:bCs/>
                <w:color w:val="auto"/>
                <w:sz w:val="24"/>
                <w:highlight w:val="none"/>
              </w:rPr>
            </w:pPr>
          </w:p>
        </w:tc>
      </w:tr>
    </w:tbl>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 xml:space="preserve">日  期： </w:t>
      </w:r>
    </w:p>
    <w:p>
      <w:pPr>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服务要求应答表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614"/>
        <w:gridCol w:w="373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序号</w:t>
            </w:r>
          </w:p>
        </w:tc>
        <w:tc>
          <w:tcPr>
            <w:tcW w:w="1407"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磋商文件服务要求</w:t>
            </w:r>
          </w:p>
        </w:tc>
        <w:tc>
          <w:tcPr>
            <w:tcW w:w="2008"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响应文件响应</w:t>
            </w:r>
          </w:p>
        </w:tc>
        <w:tc>
          <w:tcPr>
            <w:tcW w:w="1164"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jc w:val="center"/>
              <w:rPr>
                <w:rFonts w:ascii="仿宋" w:hAnsi="仿宋" w:eastAsia="仿宋"/>
                <w:color w:val="auto"/>
                <w:sz w:val="24"/>
                <w:highlight w:val="none"/>
              </w:rPr>
            </w:pPr>
          </w:p>
        </w:tc>
        <w:tc>
          <w:tcPr>
            <w:tcW w:w="1407" w:type="pct"/>
            <w:noWrap w:val="0"/>
            <w:vAlign w:val="center"/>
          </w:tcPr>
          <w:p>
            <w:pPr>
              <w:jc w:val="center"/>
              <w:rPr>
                <w:rFonts w:ascii="仿宋" w:hAnsi="仿宋" w:eastAsia="仿宋"/>
                <w:color w:val="auto"/>
                <w:sz w:val="24"/>
                <w:highlight w:val="none"/>
              </w:rPr>
            </w:pPr>
          </w:p>
        </w:tc>
        <w:tc>
          <w:tcPr>
            <w:tcW w:w="2008" w:type="pct"/>
            <w:noWrap w:val="0"/>
            <w:vAlign w:val="center"/>
          </w:tcPr>
          <w:p>
            <w:pPr>
              <w:jc w:val="center"/>
              <w:rPr>
                <w:rFonts w:ascii="仿宋" w:hAnsi="仿宋" w:eastAsia="仿宋"/>
                <w:color w:val="auto"/>
                <w:sz w:val="24"/>
                <w:highlight w:val="none"/>
              </w:rPr>
            </w:pPr>
          </w:p>
        </w:tc>
        <w:tc>
          <w:tcPr>
            <w:tcW w:w="1164"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jc w:val="center"/>
              <w:rPr>
                <w:rFonts w:ascii="仿宋" w:hAnsi="仿宋" w:eastAsia="仿宋"/>
                <w:color w:val="auto"/>
                <w:sz w:val="24"/>
                <w:highlight w:val="none"/>
              </w:rPr>
            </w:pPr>
          </w:p>
        </w:tc>
        <w:tc>
          <w:tcPr>
            <w:tcW w:w="1407" w:type="pct"/>
            <w:noWrap w:val="0"/>
            <w:vAlign w:val="center"/>
          </w:tcPr>
          <w:p>
            <w:pPr>
              <w:jc w:val="center"/>
              <w:rPr>
                <w:rFonts w:ascii="仿宋" w:hAnsi="仿宋" w:eastAsia="仿宋"/>
                <w:color w:val="auto"/>
                <w:sz w:val="24"/>
                <w:highlight w:val="none"/>
              </w:rPr>
            </w:pPr>
          </w:p>
        </w:tc>
        <w:tc>
          <w:tcPr>
            <w:tcW w:w="2008" w:type="pct"/>
            <w:noWrap w:val="0"/>
            <w:vAlign w:val="center"/>
          </w:tcPr>
          <w:p>
            <w:pPr>
              <w:jc w:val="center"/>
              <w:rPr>
                <w:rFonts w:ascii="仿宋" w:hAnsi="仿宋" w:eastAsia="仿宋"/>
                <w:color w:val="auto"/>
                <w:sz w:val="24"/>
                <w:highlight w:val="none"/>
              </w:rPr>
            </w:pPr>
          </w:p>
        </w:tc>
        <w:tc>
          <w:tcPr>
            <w:tcW w:w="1164"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jc w:val="center"/>
              <w:rPr>
                <w:rFonts w:ascii="仿宋" w:hAnsi="仿宋" w:eastAsia="仿宋"/>
                <w:color w:val="auto"/>
                <w:sz w:val="24"/>
                <w:highlight w:val="none"/>
              </w:rPr>
            </w:pPr>
          </w:p>
        </w:tc>
        <w:tc>
          <w:tcPr>
            <w:tcW w:w="1407" w:type="pct"/>
            <w:noWrap w:val="0"/>
            <w:vAlign w:val="center"/>
          </w:tcPr>
          <w:p>
            <w:pPr>
              <w:jc w:val="center"/>
              <w:rPr>
                <w:rFonts w:ascii="仿宋" w:hAnsi="仿宋" w:eastAsia="仿宋"/>
                <w:color w:val="auto"/>
                <w:sz w:val="24"/>
                <w:highlight w:val="none"/>
              </w:rPr>
            </w:pPr>
          </w:p>
        </w:tc>
        <w:tc>
          <w:tcPr>
            <w:tcW w:w="2008" w:type="pct"/>
            <w:noWrap w:val="0"/>
            <w:vAlign w:val="center"/>
          </w:tcPr>
          <w:p>
            <w:pPr>
              <w:jc w:val="center"/>
              <w:rPr>
                <w:rFonts w:ascii="仿宋" w:hAnsi="仿宋" w:eastAsia="仿宋"/>
                <w:color w:val="auto"/>
                <w:sz w:val="24"/>
                <w:highlight w:val="none"/>
              </w:rPr>
            </w:pPr>
          </w:p>
        </w:tc>
        <w:tc>
          <w:tcPr>
            <w:tcW w:w="1164"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21" w:type="pct"/>
            <w:noWrap w:val="0"/>
            <w:vAlign w:val="center"/>
          </w:tcPr>
          <w:p>
            <w:pPr>
              <w:jc w:val="center"/>
              <w:rPr>
                <w:rFonts w:ascii="仿宋" w:hAnsi="仿宋" w:eastAsia="仿宋"/>
                <w:color w:val="auto"/>
                <w:sz w:val="24"/>
                <w:highlight w:val="none"/>
              </w:rPr>
            </w:pPr>
          </w:p>
        </w:tc>
        <w:tc>
          <w:tcPr>
            <w:tcW w:w="1407" w:type="pct"/>
            <w:noWrap w:val="0"/>
            <w:vAlign w:val="center"/>
          </w:tcPr>
          <w:p>
            <w:pPr>
              <w:jc w:val="center"/>
              <w:rPr>
                <w:rFonts w:ascii="仿宋" w:hAnsi="仿宋" w:eastAsia="仿宋"/>
                <w:color w:val="auto"/>
                <w:sz w:val="24"/>
                <w:highlight w:val="none"/>
              </w:rPr>
            </w:pPr>
          </w:p>
        </w:tc>
        <w:tc>
          <w:tcPr>
            <w:tcW w:w="2008" w:type="pct"/>
            <w:noWrap w:val="0"/>
            <w:vAlign w:val="center"/>
          </w:tcPr>
          <w:p>
            <w:pPr>
              <w:jc w:val="center"/>
              <w:rPr>
                <w:rFonts w:ascii="仿宋" w:hAnsi="仿宋" w:eastAsia="仿宋"/>
                <w:color w:val="auto"/>
                <w:sz w:val="24"/>
                <w:highlight w:val="none"/>
              </w:rPr>
            </w:pPr>
          </w:p>
        </w:tc>
        <w:tc>
          <w:tcPr>
            <w:tcW w:w="1164" w:type="pct"/>
            <w:noWrap w:val="0"/>
            <w:vAlign w:val="center"/>
          </w:tcPr>
          <w:p>
            <w:pPr>
              <w:jc w:val="center"/>
              <w:rPr>
                <w:rFonts w:ascii="仿宋" w:hAnsi="仿宋" w:eastAsia="仿宋"/>
                <w:color w:val="auto"/>
                <w:sz w:val="24"/>
                <w:highlight w:val="none"/>
              </w:rPr>
            </w:pPr>
          </w:p>
        </w:tc>
      </w:tr>
    </w:tbl>
    <w:p>
      <w:pPr>
        <w:spacing w:line="520" w:lineRule="exact"/>
        <w:ind w:firstLine="480" w:firstLineChars="200"/>
        <w:jc w:val="left"/>
        <w:rPr>
          <w:rFonts w:ascii="仿宋" w:hAnsi="仿宋" w:eastAsia="仿宋"/>
          <w:b/>
          <w:color w:val="auto"/>
          <w:sz w:val="24"/>
          <w:highlight w:val="none"/>
        </w:rPr>
      </w:pPr>
      <w:r>
        <w:rPr>
          <w:rFonts w:ascii="仿宋" w:hAnsi="仿宋" w:eastAsia="仿宋"/>
          <w:color w:val="auto"/>
          <w:sz w:val="24"/>
          <w:highlight w:val="none"/>
        </w:rPr>
        <w:t>注：以上表格格式行可增减。</w:t>
      </w: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 xml:space="preserve">日  期：  </w:t>
      </w:r>
    </w:p>
    <w:p>
      <w:pPr>
        <w:pStyle w:val="20"/>
        <w:tabs>
          <w:tab w:val="left" w:pos="0"/>
        </w:tabs>
        <w:spacing w:after="0" w:line="400" w:lineRule="exact"/>
        <w:rPr>
          <w:rFonts w:ascii="仿宋" w:hAnsi="仿宋" w:eastAsia="仿宋"/>
          <w:color w:val="auto"/>
          <w:highlight w:val="none"/>
        </w:rPr>
      </w:pPr>
    </w:p>
    <w:p>
      <w:pPr>
        <w:pStyle w:val="20"/>
        <w:tabs>
          <w:tab w:val="left" w:pos="0"/>
        </w:tabs>
        <w:rPr>
          <w:rFonts w:ascii="仿宋" w:hAnsi="仿宋" w:eastAsia="仿宋"/>
          <w:color w:val="auto"/>
          <w:highlight w:val="none"/>
        </w:rPr>
      </w:pPr>
    </w:p>
    <w:p>
      <w:pPr>
        <w:pStyle w:val="20"/>
        <w:tabs>
          <w:tab w:val="left" w:pos="0"/>
        </w:tabs>
        <w:rPr>
          <w:rFonts w:ascii="仿宋" w:hAnsi="仿宋" w:eastAsia="仿宋"/>
          <w:color w:val="auto"/>
          <w:highlight w:val="none"/>
        </w:rPr>
      </w:pPr>
    </w:p>
    <w:p>
      <w:pPr>
        <w:pStyle w:val="20"/>
        <w:tabs>
          <w:tab w:val="left" w:pos="0"/>
        </w:tabs>
        <w:rPr>
          <w:rFonts w:ascii="仿宋" w:hAnsi="仿宋" w:eastAsia="仿宋"/>
          <w:color w:val="auto"/>
          <w:highlight w:val="none"/>
        </w:rPr>
      </w:pPr>
    </w:p>
    <w:p>
      <w:pPr>
        <w:pStyle w:val="20"/>
        <w:tabs>
          <w:tab w:val="left" w:pos="0"/>
        </w:tabs>
        <w:rPr>
          <w:rFonts w:ascii="仿宋" w:hAnsi="仿宋" w:eastAsia="仿宋"/>
          <w:color w:val="auto"/>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商务应答表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779"/>
        <w:gridCol w:w="2779"/>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序号</w:t>
            </w:r>
          </w:p>
        </w:tc>
        <w:tc>
          <w:tcPr>
            <w:tcW w:w="149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商务要求</w:t>
            </w:r>
          </w:p>
        </w:tc>
        <w:tc>
          <w:tcPr>
            <w:tcW w:w="149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响应文件响应</w:t>
            </w:r>
          </w:p>
        </w:tc>
        <w:tc>
          <w:tcPr>
            <w:tcW w:w="149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12"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c>
          <w:tcPr>
            <w:tcW w:w="1496" w:type="pct"/>
            <w:noWrap w:val="0"/>
            <w:vAlign w:val="center"/>
          </w:tcPr>
          <w:p>
            <w:pPr>
              <w:jc w:val="center"/>
              <w:rPr>
                <w:rFonts w:ascii="仿宋" w:hAnsi="仿宋" w:eastAsia="仿宋"/>
                <w:color w:val="auto"/>
                <w:sz w:val="24"/>
                <w:highlight w:val="none"/>
              </w:rPr>
            </w:pPr>
          </w:p>
        </w:tc>
      </w:tr>
    </w:tbl>
    <w:p>
      <w:pPr>
        <w:ind w:firstLine="480" w:firstLineChars="200"/>
        <w:rPr>
          <w:rFonts w:ascii="仿宋" w:hAnsi="仿宋" w:eastAsia="仿宋"/>
          <w:color w:val="auto"/>
          <w:sz w:val="24"/>
          <w:highlight w:val="none"/>
        </w:rPr>
      </w:pPr>
    </w:p>
    <w:p>
      <w:pPr>
        <w:ind w:firstLine="482" w:firstLineChars="200"/>
        <w:rPr>
          <w:rFonts w:ascii="仿宋" w:hAnsi="仿宋" w:eastAsia="仿宋"/>
          <w:b/>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 xml:space="preserve">日  期：  </w:t>
      </w: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pStyle w:val="20"/>
        <w:tabs>
          <w:tab w:val="left" w:pos="0"/>
        </w:tabs>
        <w:jc w:val="center"/>
        <w:rPr>
          <w:rFonts w:ascii="仿宋" w:hAnsi="仿宋" w:eastAsia="仿宋"/>
          <w:color w:val="auto"/>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供应商类似项目业绩一览表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728"/>
        <w:gridCol w:w="1458"/>
        <w:gridCol w:w="1337"/>
        <w:gridCol w:w="1175"/>
        <w:gridCol w:w="1434"/>
        <w:gridCol w:w="6"/>
        <w:gridCol w:w="1621"/>
        <w:gridCol w:w="15"/>
        <w:gridCol w:w="139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spacing w:line="400" w:lineRule="exact"/>
              <w:ind w:firstLine="105" w:firstLineChars="50"/>
              <w:jc w:val="center"/>
              <w:rPr>
                <w:rFonts w:ascii="仿宋" w:hAnsi="仿宋" w:eastAsia="仿宋"/>
                <w:b/>
                <w:color w:val="auto"/>
                <w:highlight w:val="none"/>
              </w:rPr>
            </w:pPr>
            <w:r>
              <w:rPr>
                <w:rFonts w:ascii="仿宋" w:hAnsi="仿宋" w:eastAsia="仿宋"/>
                <w:b/>
                <w:color w:val="auto"/>
                <w:highlight w:val="none"/>
              </w:rPr>
              <w:t>年份</w:t>
            </w:r>
          </w:p>
        </w:tc>
        <w:tc>
          <w:tcPr>
            <w:tcW w:w="794" w:type="pct"/>
            <w:noWrap w:val="0"/>
            <w:vAlign w:val="center"/>
          </w:tcPr>
          <w:p>
            <w:pPr>
              <w:spacing w:line="400" w:lineRule="exact"/>
              <w:jc w:val="center"/>
              <w:rPr>
                <w:rFonts w:ascii="仿宋" w:hAnsi="仿宋" w:eastAsia="仿宋"/>
                <w:b/>
                <w:color w:val="auto"/>
                <w:highlight w:val="none"/>
              </w:rPr>
            </w:pPr>
            <w:r>
              <w:rPr>
                <w:rFonts w:ascii="仿宋" w:hAnsi="仿宋" w:eastAsia="仿宋"/>
                <w:b/>
                <w:color w:val="auto"/>
                <w:highlight w:val="none"/>
              </w:rPr>
              <w:t>用户名称</w:t>
            </w:r>
          </w:p>
        </w:tc>
        <w:tc>
          <w:tcPr>
            <w:tcW w:w="728" w:type="pct"/>
            <w:noWrap w:val="0"/>
            <w:vAlign w:val="center"/>
          </w:tcPr>
          <w:p>
            <w:pPr>
              <w:spacing w:line="400" w:lineRule="exact"/>
              <w:jc w:val="center"/>
              <w:rPr>
                <w:rFonts w:ascii="仿宋" w:hAnsi="仿宋" w:eastAsia="仿宋"/>
                <w:b/>
                <w:color w:val="auto"/>
                <w:highlight w:val="none"/>
              </w:rPr>
            </w:pPr>
            <w:r>
              <w:rPr>
                <w:rFonts w:ascii="仿宋" w:hAnsi="仿宋" w:eastAsia="仿宋"/>
                <w:b/>
                <w:color w:val="auto"/>
                <w:highlight w:val="none"/>
              </w:rPr>
              <w:t>项目名称</w:t>
            </w:r>
          </w:p>
        </w:tc>
        <w:tc>
          <w:tcPr>
            <w:tcW w:w="640" w:type="pct"/>
            <w:noWrap w:val="0"/>
            <w:vAlign w:val="center"/>
          </w:tcPr>
          <w:p>
            <w:pPr>
              <w:spacing w:line="400" w:lineRule="exact"/>
              <w:jc w:val="center"/>
              <w:rPr>
                <w:rFonts w:ascii="仿宋" w:hAnsi="仿宋" w:eastAsia="仿宋"/>
                <w:b/>
                <w:color w:val="auto"/>
                <w:highlight w:val="none"/>
              </w:rPr>
            </w:pPr>
            <w:r>
              <w:rPr>
                <w:rFonts w:ascii="仿宋" w:hAnsi="仿宋" w:eastAsia="仿宋"/>
                <w:b/>
                <w:color w:val="auto"/>
                <w:highlight w:val="none"/>
              </w:rPr>
              <w:t>完成时间</w:t>
            </w:r>
          </w:p>
        </w:tc>
        <w:tc>
          <w:tcPr>
            <w:tcW w:w="784" w:type="pct"/>
            <w:gridSpan w:val="2"/>
            <w:noWrap w:val="0"/>
            <w:vAlign w:val="center"/>
          </w:tcPr>
          <w:p>
            <w:pPr>
              <w:spacing w:line="400" w:lineRule="exact"/>
              <w:ind w:firstLine="105" w:firstLineChars="50"/>
              <w:jc w:val="center"/>
              <w:rPr>
                <w:rFonts w:ascii="仿宋" w:hAnsi="仿宋" w:eastAsia="仿宋"/>
                <w:b/>
                <w:color w:val="auto"/>
                <w:highlight w:val="none"/>
              </w:rPr>
            </w:pPr>
            <w:r>
              <w:rPr>
                <w:rFonts w:ascii="仿宋" w:hAnsi="仿宋" w:eastAsia="仿宋"/>
                <w:b/>
                <w:color w:val="auto"/>
                <w:highlight w:val="none"/>
              </w:rPr>
              <w:t>合同金额</w:t>
            </w:r>
          </w:p>
        </w:tc>
        <w:tc>
          <w:tcPr>
            <w:tcW w:w="891" w:type="pct"/>
            <w:gridSpan w:val="2"/>
            <w:noWrap w:val="0"/>
            <w:vAlign w:val="center"/>
          </w:tcPr>
          <w:p>
            <w:pPr>
              <w:spacing w:line="400" w:lineRule="exact"/>
              <w:jc w:val="center"/>
              <w:rPr>
                <w:rFonts w:ascii="仿宋" w:hAnsi="仿宋" w:eastAsia="仿宋"/>
                <w:b/>
                <w:color w:val="auto"/>
                <w:highlight w:val="none"/>
              </w:rPr>
            </w:pPr>
            <w:r>
              <w:rPr>
                <w:rFonts w:ascii="仿宋" w:hAnsi="仿宋" w:eastAsia="仿宋"/>
                <w:b/>
                <w:color w:val="auto"/>
                <w:highlight w:val="none"/>
              </w:rPr>
              <w:t>是否通过验收</w:t>
            </w:r>
          </w:p>
        </w:tc>
        <w:tc>
          <w:tcPr>
            <w:tcW w:w="766" w:type="pct"/>
            <w:gridSpan w:val="2"/>
            <w:noWrap w:val="0"/>
            <w:vAlign w:val="center"/>
          </w:tcPr>
          <w:p>
            <w:pPr>
              <w:spacing w:line="400" w:lineRule="exact"/>
              <w:jc w:val="center"/>
              <w:rPr>
                <w:rFonts w:ascii="仿宋" w:hAnsi="仿宋" w:eastAsia="仿宋"/>
                <w:b/>
                <w:color w:val="auto"/>
                <w:highlight w:val="none"/>
              </w:rPr>
            </w:pPr>
            <w:r>
              <w:rPr>
                <w:rFonts w:ascii="仿宋" w:hAnsi="仿宋" w:eastAsia="仿宋"/>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spacing w:line="400" w:lineRule="exact"/>
              <w:jc w:val="center"/>
              <w:rPr>
                <w:rFonts w:ascii="仿宋" w:hAnsi="仿宋" w:eastAsia="仿宋"/>
                <w:color w:val="auto"/>
                <w:highlight w:val="none"/>
              </w:rPr>
            </w:pPr>
          </w:p>
        </w:tc>
        <w:tc>
          <w:tcPr>
            <w:tcW w:w="794" w:type="pct"/>
            <w:noWrap w:val="0"/>
            <w:vAlign w:val="center"/>
          </w:tcPr>
          <w:p>
            <w:pPr>
              <w:spacing w:line="400" w:lineRule="exact"/>
              <w:jc w:val="center"/>
              <w:rPr>
                <w:rFonts w:ascii="仿宋" w:hAnsi="仿宋" w:eastAsia="仿宋"/>
                <w:color w:val="auto"/>
                <w:highlight w:val="none"/>
              </w:rPr>
            </w:pPr>
          </w:p>
        </w:tc>
        <w:tc>
          <w:tcPr>
            <w:tcW w:w="728" w:type="pct"/>
            <w:noWrap w:val="0"/>
            <w:vAlign w:val="center"/>
          </w:tcPr>
          <w:p>
            <w:pPr>
              <w:spacing w:line="400" w:lineRule="exact"/>
              <w:jc w:val="center"/>
              <w:rPr>
                <w:rFonts w:ascii="仿宋" w:hAnsi="仿宋" w:eastAsia="仿宋"/>
                <w:color w:val="auto"/>
                <w:highlight w:val="none"/>
              </w:rPr>
            </w:pPr>
          </w:p>
        </w:tc>
        <w:tc>
          <w:tcPr>
            <w:tcW w:w="640" w:type="pct"/>
            <w:noWrap w:val="0"/>
            <w:vAlign w:val="center"/>
          </w:tcPr>
          <w:p>
            <w:pPr>
              <w:spacing w:line="400" w:lineRule="exact"/>
              <w:jc w:val="center"/>
              <w:rPr>
                <w:rFonts w:ascii="仿宋" w:hAnsi="仿宋" w:eastAsia="仿宋"/>
                <w:color w:val="auto"/>
                <w:highlight w:val="none"/>
              </w:rPr>
            </w:pPr>
          </w:p>
        </w:tc>
        <w:tc>
          <w:tcPr>
            <w:tcW w:w="784" w:type="pct"/>
            <w:gridSpan w:val="2"/>
            <w:noWrap w:val="0"/>
            <w:vAlign w:val="center"/>
          </w:tcPr>
          <w:p>
            <w:pPr>
              <w:spacing w:line="400" w:lineRule="exact"/>
              <w:jc w:val="center"/>
              <w:rPr>
                <w:rFonts w:ascii="仿宋" w:hAnsi="仿宋" w:eastAsia="仿宋"/>
                <w:color w:val="auto"/>
                <w:highlight w:val="none"/>
              </w:rPr>
            </w:pPr>
          </w:p>
        </w:tc>
        <w:tc>
          <w:tcPr>
            <w:tcW w:w="891" w:type="pct"/>
            <w:gridSpan w:val="2"/>
            <w:noWrap w:val="0"/>
            <w:vAlign w:val="center"/>
          </w:tcPr>
          <w:p>
            <w:pPr>
              <w:spacing w:line="400" w:lineRule="exact"/>
              <w:jc w:val="center"/>
              <w:rPr>
                <w:rFonts w:ascii="仿宋" w:hAnsi="仿宋" w:eastAsia="仿宋"/>
                <w:color w:val="auto"/>
                <w:highlight w:val="none"/>
              </w:rPr>
            </w:pPr>
          </w:p>
        </w:tc>
        <w:tc>
          <w:tcPr>
            <w:tcW w:w="766" w:type="pct"/>
            <w:gridSpan w:val="2"/>
            <w:noWrap w:val="0"/>
            <w:vAlign w:val="center"/>
          </w:tcPr>
          <w:p>
            <w:pPr>
              <w:spacing w:line="400" w:lineRule="exact"/>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spacing w:line="400" w:lineRule="exact"/>
              <w:jc w:val="center"/>
              <w:rPr>
                <w:rFonts w:ascii="仿宋" w:hAnsi="仿宋" w:eastAsia="仿宋"/>
                <w:color w:val="auto"/>
                <w:highlight w:val="none"/>
              </w:rPr>
            </w:pPr>
          </w:p>
        </w:tc>
        <w:tc>
          <w:tcPr>
            <w:tcW w:w="794" w:type="pct"/>
            <w:noWrap w:val="0"/>
            <w:vAlign w:val="center"/>
          </w:tcPr>
          <w:p>
            <w:pPr>
              <w:spacing w:line="400" w:lineRule="exact"/>
              <w:jc w:val="center"/>
              <w:rPr>
                <w:rFonts w:ascii="仿宋" w:hAnsi="仿宋" w:eastAsia="仿宋"/>
                <w:color w:val="auto"/>
                <w:highlight w:val="none"/>
              </w:rPr>
            </w:pPr>
          </w:p>
        </w:tc>
        <w:tc>
          <w:tcPr>
            <w:tcW w:w="728" w:type="pct"/>
            <w:noWrap w:val="0"/>
            <w:vAlign w:val="center"/>
          </w:tcPr>
          <w:p>
            <w:pPr>
              <w:spacing w:line="400" w:lineRule="exact"/>
              <w:jc w:val="center"/>
              <w:rPr>
                <w:rFonts w:ascii="仿宋" w:hAnsi="仿宋" w:eastAsia="仿宋"/>
                <w:color w:val="auto"/>
                <w:highlight w:val="none"/>
              </w:rPr>
            </w:pPr>
          </w:p>
        </w:tc>
        <w:tc>
          <w:tcPr>
            <w:tcW w:w="640" w:type="pct"/>
            <w:noWrap w:val="0"/>
            <w:vAlign w:val="center"/>
          </w:tcPr>
          <w:p>
            <w:pPr>
              <w:spacing w:line="400" w:lineRule="exact"/>
              <w:jc w:val="center"/>
              <w:rPr>
                <w:rFonts w:ascii="仿宋" w:hAnsi="仿宋" w:eastAsia="仿宋"/>
                <w:color w:val="auto"/>
                <w:highlight w:val="none"/>
              </w:rPr>
            </w:pPr>
          </w:p>
        </w:tc>
        <w:tc>
          <w:tcPr>
            <w:tcW w:w="784" w:type="pct"/>
            <w:gridSpan w:val="2"/>
            <w:noWrap w:val="0"/>
            <w:vAlign w:val="center"/>
          </w:tcPr>
          <w:p>
            <w:pPr>
              <w:spacing w:line="400" w:lineRule="exact"/>
              <w:jc w:val="center"/>
              <w:rPr>
                <w:rFonts w:ascii="仿宋" w:hAnsi="仿宋" w:eastAsia="仿宋"/>
                <w:color w:val="auto"/>
                <w:highlight w:val="none"/>
              </w:rPr>
            </w:pPr>
          </w:p>
        </w:tc>
        <w:tc>
          <w:tcPr>
            <w:tcW w:w="891" w:type="pct"/>
            <w:gridSpan w:val="2"/>
            <w:noWrap w:val="0"/>
            <w:vAlign w:val="center"/>
          </w:tcPr>
          <w:p>
            <w:pPr>
              <w:spacing w:line="400" w:lineRule="exact"/>
              <w:jc w:val="center"/>
              <w:rPr>
                <w:rFonts w:ascii="仿宋" w:hAnsi="仿宋" w:eastAsia="仿宋"/>
                <w:color w:val="auto"/>
                <w:highlight w:val="none"/>
              </w:rPr>
            </w:pPr>
          </w:p>
        </w:tc>
        <w:tc>
          <w:tcPr>
            <w:tcW w:w="766" w:type="pct"/>
            <w:gridSpan w:val="2"/>
            <w:noWrap w:val="0"/>
            <w:vAlign w:val="center"/>
          </w:tcPr>
          <w:p>
            <w:pPr>
              <w:spacing w:line="400" w:lineRule="exact"/>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spacing w:line="400" w:lineRule="exact"/>
              <w:jc w:val="center"/>
              <w:rPr>
                <w:rFonts w:ascii="仿宋" w:hAnsi="仿宋" w:eastAsia="仿宋"/>
                <w:color w:val="auto"/>
                <w:highlight w:val="none"/>
              </w:rPr>
            </w:pPr>
          </w:p>
        </w:tc>
        <w:tc>
          <w:tcPr>
            <w:tcW w:w="794" w:type="pct"/>
            <w:noWrap w:val="0"/>
            <w:vAlign w:val="center"/>
          </w:tcPr>
          <w:p>
            <w:pPr>
              <w:spacing w:line="400" w:lineRule="exact"/>
              <w:jc w:val="center"/>
              <w:rPr>
                <w:rFonts w:ascii="仿宋" w:hAnsi="仿宋" w:eastAsia="仿宋"/>
                <w:color w:val="auto"/>
                <w:highlight w:val="none"/>
              </w:rPr>
            </w:pPr>
          </w:p>
        </w:tc>
        <w:tc>
          <w:tcPr>
            <w:tcW w:w="728" w:type="pct"/>
            <w:noWrap w:val="0"/>
            <w:vAlign w:val="center"/>
          </w:tcPr>
          <w:p>
            <w:pPr>
              <w:spacing w:line="400" w:lineRule="exact"/>
              <w:jc w:val="center"/>
              <w:rPr>
                <w:rFonts w:ascii="仿宋" w:hAnsi="仿宋" w:eastAsia="仿宋"/>
                <w:color w:val="auto"/>
                <w:highlight w:val="none"/>
              </w:rPr>
            </w:pPr>
          </w:p>
        </w:tc>
        <w:tc>
          <w:tcPr>
            <w:tcW w:w="640" w:type="pct"/>
            <w:noWrap w:val="0"/>
            <w:vAlign w:val="center"/>
          </w:tcPr>
          <w:p>
            <w:pPr>
              <w:spacing w:line="400" w:lineRule="exact"/>
              <w:jc w:val="center"/>
              <w:rPr>
                <w:rFonts w:ascii="仿宋" w:hAnsi="仿宋" w:eastAsia="仿宋"/>
                <w:color w:val="auto"/>
                <w:highlight w:val="none"/>
              </w:rPr>
            </w:pPr>
          </w:p>
        </w:tc>
        <w:tc>
          <w:tcPr>
            <w:tcW w:w="784" w:type="pct"/>
            <w:gridSpan w:val="2"/>
            <w:noWrap w:val="0"/>
            <w:vAlign w:val="center"/>
          </w:tcPr>
          <w:p>
            <w:pPr>
              <w:spacing w:line="400" w:lineRule="exact"/>
              <w:jc w:val="center"/>
              <w:rPr>
                <w:rFonts w:ascii="仿宋" w:hAnsi="仿宋" w:eastAsia="仿宋"/>
                <w:color w:val="auto"/>
                <w:highlight w:val="none"/>
              </w:rPr>
            </w:pPr>
          </w:p>
        </w:tc>
        <w:tc>
          <w:tcPr>
            <w:tcW w:w="891" w:type="pct"/>
            <w:gridSpan w:val="2"/>
            <w:noWrap w:val="0"/>
            <w:vAlign w:val="center"/>
          </w:tcPr>
          <w:p>
            <w:pPr>
              <w:spacing w:line="400" w:lineRule="exact"/>
              <w:jc w:val="center"/>
              <w:rPr>
                <w:rFonts w:ascii="仿宋" w:hAnsi="仿宋" w:eastAsia="仿宋"/>
                <w:color w:val="auto"/>
                <w:highlight w:val="none"/>
              </w:rPr>
            </w:pPr>
          </w:p>
        </w:tc>
        <w:tc>
          <w:tcPr>
            <w:tcW w:w="766" w:type="pct"/>
            <w:gridSpan w:val="2"/>
            <w:noWrap w:val="0"/>
            <w:vAlign w:val="center"/>
          </w:tcPr>
          <w:p>
            <w:pPr>
              <w:spacing w:line="400" w:lineRule="exact"/>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62" w:hRule="atLeast"/>
          <w:jc w:val="center"/>
        </w:trPr>
        <w:tc>
          <w:tcPr>
            <w:tcW w:w="397" w:type="pct"/>
            <w:noWrap w:val="0"/>
            <w:vAlign w:val="center"/>
          </w:tcPr>
          <w:p>
            <w:pPr>
              <w:spacing w:line="400" w:lineRule="exact"/>
              <w:jc w:val="center"/>
              <w:rPr>
                <w:rFonts w:ascii="仿宋" w:hAnsi="仿宋" w:eastAsia="仿宋"/>
                <w:color w:val="auto"/>
                <w:highlight w:val="none"/>
              </w:rPr>
            </w:pPr>
          </w:p>
        </w:tc>
        <w:tc>
          <w:tcPr>
            <w:tcW w:w="794" w:type="pct"/>
            <w:noWrap w:val="0"/>
            <w:vAlign w:val="center"/>
          </w:tcPr>
          <w:p>
            <w:pPr>
              <w:spacing w:line="400" w:lineRule="exact"/>
              <w:jc w:val="center"/>
              <w:rPr>
                <w:rFonts w:ascii="仿宋" w:hAnsi="仿宋" w:eastAsia="仿宋"/>
                <w:color w:val="auto"/>
                <w:highlight w:val="none"/>
              </w:rPr>
            </w:pPr>
          </w:p>
        </w:tc>
        <w:tc>
          <w:tcPr>
            <w:tcW w:w="728" w:type="pct"/>
            <w:noWrap w:val="0"/>
            <w:vAlign w:val="center"/>
          </w:tcPr>
          <w:p>
            <w:pPr>
              <w:spacing w:line="400" w:lineRule="exact"/>
              <w:jc w:val="center"/>
              <w:rPr>
                <w:rFonts w:ascii="仿宋" w:hAnsi="仿宋" w:eastAsia="仿宋"/>
                <w:color w:val="auto"/>
                <w:highlight w:val="none"/>
              </w:rPr>
            </w:pPr>
          </w:p>
        </w:tc>
        <w:tc>
          <w:tcPr>
            <w:tcW w:w="640" w:type="pct"/>
            <w:noWrap w:val="0"/>
            <w:vAlign w:val="center"/>
          </w:tcPr>
          <w:p>
            <w:pPr>
              <w:spacing w:line="400" w:lineRule="exact"/>
              <w:jc w:val="center"/>
              <w:rPr>
                <w:rFonts w:ascii="仿宋" w:hAnsi="仿宋" w:eastAsia="仿宋"/>
                <w:color w:val="auto"/>
                <w:highlight w:val="none"/>
              </w:rPr>
            </w:pPr>
          </w:p>
        </w:tc>
        <w:tc>
          <w:tcPr>
            <w:tcW w:w="784" w:type="pct"/>
            <w:gridSpan w:val="2"/>
            <w:noWrap w:val="0"/>
            <w:vAlign w:val="center"/>
          </w:tcPr>
          <w:p>
            <w:pPr>
              <w:spacing w:line="400" w:lineRule="exact"/>
              <w:jc w:val="center"/>
              <w:rPr>
                <w:rFonts w:ascii="仿宋" w:hAnsi="仿宋" w:eastAsia="仿宋"/>
                <w:color w:val="auto"/>
                <w:highlight w:val="none"/>
              </w:rPr>
            </w:pPr>
          </w:p>
        </w:tc>
        <w:tc>
          <w:tcPr>
            <w:tcW w:w="891" w:type="pct"/>
            <w:gridSpan w:val="2"/>
            <w:noWrap w:val="0"/>
            <w:vAlign w:val="center"/>
          </w:tcPr>
          <w:p>
            <w:pPr>
              <w:spacing w:line="400" w:lineRule="exact"/>
              <w:jc w:val="center"/>
              <w:rPr>
                <w:rFonts w:ascii="仿宋" w:hAnsi="仿宋" w:eastAsia="仿宋"/>
                <w:color w:val="auto"/>
                <w:highlight w:val="none"/>
              </w:rPr>
            </w:pPr>
          </w:p>
        </w:tc>
        <w:tc>
          <w:tcPr>
            <w:tcW w:w="766" w:type="pct"/>
            <w:gridSpan w:val="2"/>
            <w:noWrap w:val="0"/>
            <w:vAlign w:val="center"/>
          </w:tcPr>
          <w:p>
            <w:pPr>
              <w:spacing w:line="400" w:lineRule="exact"/>
              <w:jc w:val="center"/>
              <w:rPr>
                <w:rFonts w:ascii="仿宋" w:hAnsi="仿宋" w:eastAsia="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gridAfter w:val="1"/>
          <w:wAfter w:w="6" w:type="pct"/>
          <w:cantSplit/>
          <w:trHeight w:val="662" w:hRule="atLeast"/>
          <w:jc w:val="center"/>
        </w:trPr>
        <w:tc>
          <w:tcPr>
            <w:tcW w:w="397" w:type="pct"/>
            <w:noWrap w:val="0"/>
            <w:vAlign w:val="center"/>
          </w:tcPr>
          <w:p>
            <w:pPr>
              <w:spacing w:line="400" w:lineRule="exact"/>
              <w:rPr>
                <w:rFonts w:ascii="仿宋" w:hAnsi="仿宋" w:eastAsia="仿宋"/>
                <w:color w:val="auto"/>
                <w:highlight w:val="none"/>
              </w:rPr>
            </w:pPr>
          </w:p>
        </w:tc>
        <w:tc>
          <w:tcPr>
            <w:tcW w:w="794" w:type="pct"/>
            <w:noWrap w:val="0"/>
            <w:vAlign w:val="center"/>
          </w:tcPr>
          <w:p>
            <w:pPr>
              <w:spacing w:line="400" w:lineRule="exact"/>
              <w:rPr>
                <w:rFonts w:ascii="仿宋" w:hAnsi="仿宋" w:eastAsia="仿宋"/>
                <w:color w:val="auto"/>
                <w:highlight w:val="none"/>
              </w:rPr>
            </w:pPr>
          </w:p>
        </w:tc>
        <w:tc>
          <w:tcPr>
            <w:tcW w:w="728" w:type="pct"/>
            <w:noWrap w:val="0"/>
            <w:vAlign w:val="center"/>
          </w:tcPr>
          <w:p>
            <w:pPr>
              <w:spacing w:line="400" w:lineRule="exact"/>
              <w:rPr>
                <w:rFonts w:ascii="仿宋" w:hAnsi="仿宋" w:eastAsia="仿宋"/>
                <w:color w:val="auto"/>
                <w:highlight w:val="none"/>
              </w:rPr>
            </w:pPr>
          </w:p>
        </w:tc>
        <w:tc>
          <w:tcPr>
            <w:tcW w:w="640" w:type="pct"/>
            <w:noWrap w:val="0"/>
            <w:vAlign w:val="center"/>
          </w:tcPr>
          <w:p>
            <w:pPr>
              <w:spacing w:line="400" w:lineRule="exact"/>
              <w:rPr>
                <w:rFonts w:ascii="仿宋" w:hAnsi="仿宋" w:eastAsia="仿宋"/>
                <w:color w:val="auto"/>
                <w:highlight w:val="none"/>
              </w:rPr>
            </w:pPr>
          </w:p>
        </w:tc>
        <w:tc>
          <w:tcPr>
            <w:tcW w:w="781" w:type="pct"/>
            <w:noWrap w:val="0"/>
            <w:vAlign w:val="center"/>
          </w:tcPr>
          <w:p>
            <w:pPr>
              <w:spacing w:line="400" w:lineRule="exact"/>
              <w:rPr>
                <w:rFonts w:ascii="仿宋" w:hAnsi="仿宋" w:eastAsia="仿宋"/>
                <w:color w:val="auto"/>
                <w:highlight w:val="none"/>
              </w:rPr>
            </w:pPr>
          </w:p>
        </w:tc>
        <w:tc>
          <w:tcPr>
            <w:tcW w:w="886" w:type="pct"/>
            <w:gridSpan w:val="2"/>
            <w:noWrap w:val="0"/>
            <w:vAlign w:val="center"/>
          </w:tcPr>
          <w:p>
            <w:pPr>
              <w:spacing w:line="400" w:lineRule="exact"/>
              <w:rPr>
                <w:rFonts w:ascii="仿宋" w:hAnsi="仿宋" w:eastAsia="仿宋"/>
                <w:color w:val="auto"/>
                <w:highlight w:val="none"/>
              </w:rPr>
            </w:pPr>
          </w:p>
        </w:tc>
        <w:tc>
          <w:tcPr>
            <w:tcW w:w="768" w:type="pct"/>
            <w:gridSpan w:val="2"/>
            <w:noWrap w:val="0"/>
            <w:vAlign w:val="center"/>
          </w:tcPr>
          <w:p>
            <w:pPr>
              <w:spacing w:line="400" w:lineRule="exact"/>
              <w:rPr>
                <w:rFonts w:ascii="仿宋" w:hAnsi="仿宋" w:eastAsia="仿宋"/>
                <w:color w:val="auto"/>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注：以上表格格式行可增减。</w:t>
      </w:r>
    </w:p>
    <w:p>
      <w:pPr>
        <w:spacing w:line="400" w:lineRule="exact"/>
        <w:ind w:left="360"/>
        <w:jc w:val="center"/>
        <w:rPr>
          <w:rFonts w:ascii="仿宋" w:hAnsi="仿宋" w:eastAsia="仿宋"/>
          <w:color w:val="auto"/>
          <w:sz w:val="24"/>
          <w:highlight w:val="none"/>
        </w:rPr>
      </w:pPr>
    </w:p>
    <w:p>
      <w:pPr>
        <w:jc w:val="left"/>
        <w:rPr>
          <w:rFonts w:ascii="仿宋" w:hAnsi="仿宋" w:eastAsia="仿宋"/>
          <w:color w:val="auto"/>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日  期：</w:t>
      </w: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供应商本项目管理、技术、服务人员情况表</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tbl>
      <w:tblPr>
        <w:tblStyle w:val="32"/>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036"/>
        <w:gridCol w:w="1036"/>
        <w:gridCol w:w="1036"/>
        <w:gridCol w:w="1036"/>
        <w:gridCol w:w="1036"/>
        <w:gridCol w:w="1036"/>
        <w:gridCol w:w="103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类别</w:t>
            </w:r>
          </w:p>
        </w:tc>
        <w:tc>
          <w:tcPr>
            <w:tcW w:w="556" w:type="pct"/>
            <w:vMerge w:val="restar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职务</w:t>
            </w:r>
          </w:p>
        </w:tc>
        <w:tc>
          <w:tcPr>
            <w:tcW w:w="556" w:type="pct"/>
            <w:vMerge w:val="restar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姓名</w:t>
            </w:r>
          </w:p>
        </w:tc>
        <w:tc>
          <w:tcPr>
            <w:tcW w:w="556" w:type="pct"/>
            <w:vMerge w:val="restar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职称</w:t>
            </w:r>
          </w:p>
        </w:tc>
        <w:tc>
          <w:tcPr>
            <w:tcW w:w="556" w:type="pct"/>
            <w:vMerge w:val="restar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常住地</w:t>
            </w:r>
          </w:p>
        </w:tc>
        <w:tc>
          <w:tcPr>
            <w:tcW w:w="2221" w:type="pct"/>
            <w:gridSpan w:val="4"/>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54" w:type="pct"/>
            <w:vMerge w:val="continue"/>
            <w:noWrap w:val="0"/>
            <w:vAlign w:val="center"/>
          </w:tcPr>
          <w:p>
            <w:pPr>
              <w:jc w:val="center"/>
              <w:rPr>
                <w:rFonts w:ascii="仿宋" w:hAnsi="仿宋" w:eastAsia="仿宋"/>
                <w:color w:val="auto"/>
                <w:sz w:val="24"/>
                <w:highlight w:val="none"/>
              </w:rPr>
            </w:pPr>
          </w:p>
        </w:tc>
        <w:tc>
          <w:tcPr>
            <w:tcW w:w="556" w:type="pct"/>
            <w:vMerge w:val="continue"/>
            <w:noWrap w:val="0"/>
            <w:vAlign w:val="center"/>
          </w:tcPr>
          <w:p>
            <w:pPr>
              <w:jc w:val="center"/>
              <w:rPr>
                <w:rFonts w:ascii="仿宋" w:hAnsi="仿宋" w:eastAsia="仿宋"/>
                <w:color w:val="auto"/>
                <w:sz w:val="24"/>
                <w:highlight w:val="none"/>
              </w:rPr>
            </w:pPr>
          </w:p>
        </w:tc>
        <w:tc>
          <w:tcPr>
            <w:tcW w:w="556" w:type="pct"/>
            <w:vMerge w:val="continue"/>
            <w:noWrap w:val="0"/>
            <w:vAlign w:val="center"/>
          </w:tcPr>
          <w:p>
            <w:pPr>
              <w:jc w:val="center"/>
              <w:rPr>
                <w:rFonts w:ascii="仿宋" w:hAnsi="仿宋" w:eastAsia="仿宋"/>
                <w:color w:val="auto"/>
                <w:sz w:val="24"/>
                <w:highlight w:val="none"/>
              </w:rPr>
            </w:pPr>
          </w:p>
        </w:tc>
        <w:tc>
          <w:tcPr>
            <w:tcW w:w="556" w:type="pct"/>
            <w:vMerge w:val="continue"/>
            <w:noWrap w:val="0"/>
            <w:vAlign w:val="center"/>
          </w:tcPr>
          <w:p>
            <w:pPr>
              <w:jc w:val="center"/>
              <w:rPr>
                <w:rFonts w:ascii="仿宋" w:hAnsi="仿宋" w:eastAsia="仿宋"/>
                <w:color w:val="auto"/>
                <w:sz w:val="24"/>
                <w:highlight w:val="none"/>
              </w:rPr>
            </w:pPr>
          </w:p>
        </w:tc>
        <w:tc>
          <w:tcPr>
            <w:tcW w:w="556" w:type="pct"/>
            <w:vMerge w:val="continue"/>
            <w:noWrap w:val="0"/>
            <w:vAlign w:val="center"/>
          </w:tcPr>
          <w:p>
            <w:pPr>
              <w:jc w:val="center"/>
              <w:rPr>
                <w:rFonts w:ascii="仿宋" w:hAnsi="仿宋" w:eastAsia="仿宋"/>
                <w:color w:val="auto"/>
                <w:sz w:val="24"/>
                <w:highlight w:val="none"/>
              </w:rPr>
            </w:pPr>
          </w:p>
        </w:tc>
        <w:tc>
          <w:tcPr>
            <w:tcW w:w="55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证书</w:t>
            </w:r>
          </w:p>
          <w:p>
            <w:pPr>
              <w:jc w:val="center"/>
              <w:rPr>
                <w:rFonts w:ascii="仿宋" w:hAnsi="仿宋" w:eastAsia="仿宋"/>
                <w:color w:val="auto"/>
                <w:sz w:val="24"/>
                <w:highlight w:val="none"/>
              </w:rPr>
            </w:pPr>
            <w:r>
              <w:rPr>
                <w:rFonts w:ascii="仿宋" w:hAnsi="仿宋" w:eastAsia="仿宋"/>
                <w:color w:val="auto"/>
                <w:sz w:val="24"/>
                <w:highlight w:val="none"/>
              </w:rPr>
              <w:t>名称</w:t>
            </w:r>
          </w:p>
        </w:tc>
        <w:tc>
          <w:tcPr>
            <w:tcW w:w="55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级别</w:t>
            </w:r>
          </w:p>
        </w:tc>
        <w:tc>
          <w:tcPr>
            <w:tcW w:w="556"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证号</w:t>
            </w:r>
          </w:p>
        </w:tc>
        <w:tc>
          <w:tcPr>
            <w:tcW w:w="553" w:type="pct"/>
            <w:noWrap w:val="0"/>
            <w:vAlign w:val="center"/>
          </w:tcPr>
          <w:p>
            <w:pPr>
              <w:jc w:val="center"/>
              <w:rPr>
                <w:rFonts w:ascii="仿宋" w:hAnsi="仿宋" w:eastAsia="仿宋"/>
                <w:color w:val="auto"/>
                <w:sz w:val="24"/>
                <w:highlight w:val="none"/>
              </w:rPr>
            </w:pPr>
            <w:r>
              <w:rPr>
                <w:rFonts w:ascii="仿宋" w:hAnsi="仿宋" w:eastAsia="仿宋"/>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restart"/>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54" w:type="pct"/>
            <w:vMerge w:val="restart"/>
            <w:noWrap w:val="0"/>
            <w:vAlign w:val="center"/>
          </w:tcPr>
          <w:p>
            <w:pPr>
              <w:jc w:val="cente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54" w:type="pct"/>
            <w:vMerge w:val="continue"/>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54" w:type="pct"/>
            <w:vMerge w:val="continue"/>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6" w:type="pct"/>
            <w:noWrap w:val="0"/>
            <w:vAlign w:val="top"/>
          </w:tcPr>
          <w:p>
            <w:pPr>
              <w:rPr>
                <w:rFonts w:ascii="仿宋" w:hAnsi="仿宋" w:eastAsia="仿宋"/>
                <w:color w:val="auto"/>
                <w:sz w:val="24"/>
                <w:highlight w:val="none"/>
              </w:rPr>
            </w:pPr>
          </w:p>
        </w:tc>
        <w:tc>
          <w:tcPr>
            <w:tcW w:w="553" w:type="pct"/>
            <w:noWrap w:val="0"/>
            <w:vAlign w:val="top"/>
          </w:tcPr>
          <w:p>
            <w:pPr>
              <w:rPr>
                <w:rFonts w:ascii="仿宋" w:hAnsi="仿宋" w:eastAsia="仿宋"/>
                <w:color w:val="auto"/>
                <w:sz w:val="24"/>
                <w:highlight w:val="none"/>
              </w:rPr>
            </w:pPr>
          </w:p>
        </w:tc>
      </w:tr>
    </w:tbl>
    <w:p>
      <w:pPr>
        <w:rPr>
          <w:rFonts w:ascii="仿宋" w:hAnsi="仿宋" w:eastAsia="仿宋"/>
          <w:color w:val="auto"/>
          <w:sz w:val="24"/>
          <w:highlight w:val="none"/>
        </w:rPr>
      </w:pPr>
      <w:r>
        <w:rPr>
          <w:rFonts w:ascii="仿宋" w:hAnsi="仿宋" w:eastAsia="仿宋"/>
          <w:color w:val="auto"/>
          <w:sz w:val="24"/>
          <w:highlight w:val="none"/>
        </w:rPr>
        <w:t>注：</w:t>
      </w:r>
    </w:p>
    <w:p>
      <w:pPr>
        <w:spacing w:line="400" w:lineRule="exact"/>
        <w:ind w:firstLine="480" w:firstLineChars="200"/>
        <w:rPr>
          <w:rFonts w:ascii="仿宋" w:hAnsi="仿宋" w:eastAsia="仿宋"/>
          <w:bCs/>
          <w:color w:val="auto"/>
          <w:sz w:val="24"/>
          <w:highlight w:val="none"/>
        </w:rPr>
      </w:pPr>
      <w:r>
        <w:rPr>
          <w:rFonts w:ascii="仿宋" w:hAnsi="仿宋" w:eastAsia="仿宋"/>
          <w:bCs/>
          <w:color w:val="auto"/>
          <w:sz w:val="24"/>
          <w:highlight w:val="none"/>
        </w:rPr>
        <w:t>1．</w:t>
      </w:r>
      <w:r>
        <w:rPr>
          <w:rFonts w:ascii="仿宋" w:hAnsi="仿宋" w:eastAsia="仿宋"/>
          <w:color w:val="auto"/>
          <w:sz w:val="24"/>
          <w:highlight w:val="none"/>
        </w:rPr>
        <w:t>以上表格格式行可增减。</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2．证明材料详见综合评分明细表。</w:t>
      </w:r>
    </w:p>
    <w:p>
      <w:pPr>
        <w:rPr>
          <w:rFonts w:ascii="仿宋" w:hAnsi="仿宋" w:eastAsia="仿宋"/>
          <w:color w:val="auto"/>
          <w:sz w:val="24"/>
          <w:highlight w:val="none"/>
        </w:rPr>
      </w:pPr>
    </w:p>
    <w:p>
      <w:pPr>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日  期：</w:t>
      </w:r>
    </w:p>
    <w:p>
      <w:pPr>
        <w:adjustRightInd w:val="0"/>
        <w:spacing w:line="400" w:lineRule="exact"/>
        <w:ind w:firstLine="480" w:firstLineChars="200"/>
        <w:jc w:val="left"/>
        <w:rPr>
          <w:rFonts w:ascii="仿宋" w:hAnsi="仿宋" w:eastAsia="仿宋"/>
          <w:color w:val="auto"/>
          <w:sz w:val="24"/>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本项目的实施方案</w:t>
      </w:r>
    </w:p>
    <w:p>
      <w:pPr>
        <w:widowControl/>
        <w:spacing w:before="156" w:beforeLines="50"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p>
      <w:pPr>
        <w:widowControl/>
        <w:spacing w:line="520" w:lineRule="exact"/>
        <w:ind w:firstLine="480" w:firstLineChars="200"/>
        <w:jc w:val="left"/>
        <w:rPr>
          <w:rFonts w:ascii="仿宋" w:hAnsi="仿宋" w:eastAsia="仿宋"/>
          <w:bCs/>
          <w:color w:val="auto"/>
          <w:kern w:val="0"/>
          <w:sz w:val="24"/>
          <w:highlight w:val="none"/>
        </w:rPr>
      </w:pPr>
    </w:p>
    <w:p>
      <w:pPr>
        <w:widowControl/>
        <w:spacing w:line="520" w:lineRule="exact"/>
        <w:ind w:firstLine="480" w:firstLineChars="200"/>
        <w:jc w:val="left"/>
        <w:rPr>
          <w:rFonts w:ascii="仿宋" w:hAnsi="仿宋" w:eastAsia="仿宋"/>
          <w:bCs/>
          <w:color w:val="auto"/>
          <w:kern w:val="0"/>
          <w:sz w:val="24"/>
          <w:highlight w:val="none"/>
        </w:rPr>
      </w:pPr>
      <w:r>
        <w:rPr>
          <w:rFonts w:ascii="仿宋" w:hAnsi="仿宋" w:eastAsia="仿宋"/>
          <w:bCs/>
          <w:color w:val="auto"/>
          <w:kern w:val="0"/>
          <w:sz w:val="24"/>
          <w:highlight w:val="none"/>
        </w:rPr>
        <w:t>由供应商自行编写，格式不限，但应包含不限于：综合评分明细表涉及内容。</w:t>
      </w: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日  期：</w:t>
      </w: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widowControl/>
        <w:spacing w:line="520" w:lineRule="exact"/>
        <w:jc w:val="left"/>
        <w:rPr>
          <w:rFonts w:ascii="仿宋" w:hAnsi="仿宋" w:eastAsia="仿宋"/>
          <w:bCs/>
          <w:color w:val="auto"/>
          <w:kern w:val="0"/>
          <w:sz w:val="24"/>
          <w:highlight w:val="none"/>
        </w:rPr>
      </w:pPr>
    </w:p>
    <w:p>
      <w:pPr>
        <w:numPr>
          <w:ilvl w:val="0"/>
          <w:numId w:val="4"/>
        </w:numPr>
        <w:tabs>
          <w:tab w:val="left" w:pos="567"/>
          <w:tab w:val="left" w:pos="709"/>
          <w:tab w:val="left" w:pos="1134"/>
        </w:tabs>
        <w:jc w:val="left"/>
        <w:rPr>
          <w:rFonts w:ascii="仿宋" w:hAnsi="仿宋" w:eastAsia="仿宋"/>
          <w:b/>
          <w:color w:val="auto"/>
          <w:sz w:val="32"/>
          <w:szCs w:val="32"/>
          <w:highlight w:val="none"/>
        </w:rPr>
      </w:pPr>
      <w:r>
        <w:rPr>
          <w:rFonts w:ascii="仿宋" w:hAnsi="仿宋" w:eastAsia="仿宋"/>
          <w:b/>
          <w:color w:val="auto"/>
          <w:sz w:val="32"/>
          <w:szCs w:val="32"/>
          <w:highlight w:val="none"/>
        </w:rPr>
        <w:t>知识产权承诺函</w:t>
      </w:r>
    </w:p>
    <w:p>
      <w:pPr>
        <w:widowControl/>
        <w:spacing w:line="400" w:lineRule="exact"/>
        <w:jc w:val="left"/>
        <w:rPr>
          <w:rFonts w:ascii="仿宋" w:hAnsi="仿宋" w:eastAsia="仿宋"/>
          <w:color w:val="auto"/>
          <w:kern w:val="0"/>
          <w:sz w:val="24"/>
          <w:highlight w:val="none"/>
        </w:rPr>
      </w:pP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采购项目名称：</w:t>
      </w:r>
    </w:p>
    <w:p>
      <w:pPr>
        <w:widowControl/>
        <w:spacing w:line="400" w:lineRule="exact"/>
        <w:ind w:firstLine="480" w:firstLineChars="200"/>
        <w:jc w:val="left"/>
        <w:rPr>
          <w:rFonts w:ascii="仿宋" w:hAnsi="仿宋" w:eastAsia="仿宋"/>
          <w:color w:val="auto"/>
          <w:kern w:val="0"/>
          <w:sz w:val="24"/>
          <w:highlight w:val="none"/>
        </w:rPr>
      </w:pPr>
      <w:r>
        <w:rPr>
          <w:rFonts w:ascii="仿宋" w:hAnsi="仿宋" w:eastAsia="仿宋"/>
          <w:color w:val="auto"/>
          <w:kern w:val="0"/>
          <w:sz w:val="24"/>
          <w:highlight w:val="none"/>
        </w:rPr>
        <w:t>采购项目编号：</w:t>
      </w:r>
    </w:p>
    <w:p>
      <w:pPr>
        <w:pStyle w:val="23"/>
        <w:pBdr>
          <w:bottom w:val="none" w:color="auto" w:sz="0" w:space="0"/>
        </w:pBdr>
        <w:tabs>
          <w:tab w:val="clear" w:pos="4153"/>
          <w:tab w:val="clear" w:pos="8306"/>
        </w:tabs>
        <w:snapToGrid/>
        <w:spacing w:after="156" w:afterLines="50" w:line="400" w:lineRule="exact"/>
        <w:ind w:firstLine="480" w:firstLineChars="200"/>
        <w:jc w:val="left"/>
        <w:rPr>
          <w:rFonts w:ascii="仿宋" w:hAnsi="仿宋" w:eastAsia="仿宋"/>
          <w:color w:val="auto"/>
          <w:sz w:val="24"/>
          <w:szCs w:val="24"/>
          <w:highlight w:val="none"/>
        </w:rPr>
      </w:pPr>
    </w:p>
    <w:p>
      <w:pPr>
        <w:pStyle w:val="23"/>
        <w:pBdr>
          <w:bottom w:val="none" w:color="auto" w:sz="0" w:space="0"/>
        </w:pBdr>
        <w:tabs>
          <w:tab w:val="clear" w:pos="4153"/>
          <w:tab w:val="clear" w:pos="8306"/>
        </w:tabs>
        <w:snapToGrid/>
        <w:spacing w:line="400" w:lineRule="exact"/>
        <w:jc w:val="both"/>
        <w:rPr>
          <w:rFonts w:ascii="仿宋" w:hAnsi="仿宋" w:eastAsia="仿宋"/>
          <w:color w:val="auto"/>
          <w:sz w:val="24"/>
          <w:highlight w:val="none"/>
        </w:rPr>
      </w:pPr>
    </w:p>
    <w:p>
      <w:pPr>
        <w:widowControl/>
        <w:spacing w:line="520" w:lineRule="exact"/>
        <w:jc w:val="left"/>
        <w:rPr>
          <w:rFonts w:ascii="仿宋" w:hAnsi="仿宋" w:eastAsia="仿宋"/>
          <w:bCs/>
          <w:color w:val="auto"/>
          <w:kern w:val="0"/>
          <w:sz w:val="24"/>
          <w:highlight w:val="none"/>
        </w:rPr>
      </w:pPr>
      <w:r>
        <w:rPr>
          <w:rFonts w:hint="eastAsia" w:ascii="仿宋" w:hAnsi="仿宋" w:eastAsia="仿宋"/>
          <w:bCs/>
          <w:color w:val="auto"/>
          <w:kern w:val="0"/>
          <w:sz w:val="24"/>
          <w:highlight w:val="none"/>
          <w:lang w:eastAsia="zh-CN"/>
        </w:rPr>
        <w:t>成都交响乐团</w:t>
      </w:r>
      <w:r>
        <w:rPr>
          <w:rFonts w:ascii="仿宋" w:hAnsi="仿宋" w:eastAsia="仿宋"/>
          <w:bCs/>
          <w:color w:val="auto"/>
          <w:kern w:val="0"/>
          <w:sz w:val="24"/>
          <w:highlight w:val="none"/>
        </w:rPr>
        <w:t>：</w:t>
      </w:r>
    </w:p>
    <w:p>
      <w:pPr>
        <w:pStyle w:val="14"/>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针对以下内容，我方承诺：</w:t>
      </w:r>
    </w:p>
    <w:p>
      <w:pPr>
        <w:pStyle w:val="14"/>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highlight w:val="none"/>
        </w:rPr>
        <w:t>我方</w:t>
      </w:r>
      <w:r>
        <w:rPr>
          <w:rFonts w:ascii="仿宋" w:hAnsi="仿宋" w:eastAsia="仿宋"/>
          <w:color w:val="auto"/>
          <w:sz w:val="24"/>
          <w:szCs w:val="24"/>
          <w:highlight w:val="none"/>
        </w:rPr>
        <w:t>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hAnsi="仿宋" w:eastAsia="仿宋"/>
          <w:color w:val="auto"/>
          <w:sz w:val="24"/>
          <w:highlight w:val="none"/>
        </w:rPr>
        <w:t>我方</w:t>
      </w:r>
      <w:r>
        <w:rPr>
          <w:rFonts w:ascii="仿宋" w:hAnsi="仿宋" w:eastAsia="仿宋"/>
          <w:color w:val="auto"/>
          <w:sz w:val="24"/>
          <w:szCs w:val="24"/>
          <w:highlight w:val="none"/>
        </w:rPr>
        <w:t>承担所有相关责任。</w:t>
      </w:r>
    </w:p>
    <w:p>
      <w:pPr>
        <w:pStyle w:val="14"/>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除非磋商文件特别规定，采购人享有本项目实施过程中产生的知识成果及知识产权。</w:t>
      </w:r>
    </w:p>
    <w:p>
      <w:pPr>
        <w:spacing w:line="400" w:lineRule="exact"/>
        <w:ind w:firstLine="480" w:firstLineChars="200"/>
        <w:rPr>
          <w:rFonts w:ascii="仿宋" w:hAnsi="仿宋" w:eastAsia="仿宋"/>
          <w:color w:val="auto"/>
          <w:sz w:val="32"/>
          <w:szCs w:val="32"/>
          <w:highlight w:val="none"/>
        </w:rPr>
      </w:pPr>
      <w:r>
        <w:rPr>
          <w:rFonts w:ascii="仿宋" w:hAnsi="仿宋" w:eastAsia="仿宋"/>
          <w:color w:val="auto"/>
          <w:sz w:val="24"/>
          <w:highlight w:val="none"/>
        </w:rPr>
        <w:t>我方如在采购项目实施过程中采用自有或者第三方知识成果的，使用该知识成果后，我方需提供开发接口和开发手册等技术资料，并承诺提供无限期支持，采购人享有使用权（含采购人委托第三方在该项目后续开发的使用权）,同时将在响应文件中声明并提供相关知识产权证明文件。</w:t>
      </w:r>
    </w:p>
    <w:p>
      <w:pPr>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我方如采用所不拥有的知识产权，则在报价中必须包括合法获取该知识产权的相关费用，</w:t>
      </w:r>
      <w:r>
        <w:rPr>
          <w:rFonts w:ascii="仿宋" w:hAnsi="仿宋" w:eastAsia="仿宋"/>
          <w:bCs/>
          <w:color w:val="auto"/>
          <w:sz w:val="24"/>
          <w:highlight w:val="none"/>
        </w:rPr>
        <w:t>采购人不再因</w:t>
      </w:r>
      <w:r>
        <w:rPr>
          <w:rFonts w:hint="eastAsia" w:ascii="仿宋" w:hAnsi="仿宋" w:eastAsia="仿宋"/>
          <w:color w:val="auto"/>
          <w:sz w:val="24"/>
          <w:highlight w:val="none"/>
        </w:rPr>
        <w:t>我方</w:t>
      </w:r>
      <w:r>
        <w:rPr>
          <w:rFonts w:ascii="仿宋" w:hAnsi="仿宋" w:eastAsia="仿宋"/>
          <w:color w:val="auto"/>
          <w:sz w:val="24"/>
          <w:highlight w:val="none"/>
        </w:rPr>
        <w:t>采用所不拥有的知识产权而另行支付任何费用。</w:t>
      </w:r>
    </w:p>
    <w:p>
      <w:pPr>
        <w:spacing w:line="400" w:lineRule="exact"/>
        <w:ind w:firstLine="460" w:firstLineChars="192"/>
        <w:rPr>
          <w:rFonts w:ascii="仿宋" w:hAnsi="仿宋" w:eastAsia="仿宋"/>
          <w:color w:val="auto"/>
          <w:sz w:val="24"/>
          <w:highlight w:val="none"/>
        </w:rPr>
      </w:pPr>
      <w:r>
        <w:rPr>
          <w:rFonts w:ascii="仿宋" w:hAnsi="仿宋" w:eastAsia="仿宋"/>
          <w:color w:val="auto"/>
          <w:sz w:val="24"/>
          <w:highlight w:val="none"/>
        </w:rPr>
        <w:t>根据《中华人民共和国政府采购法实施条例》第四十三条的规定，公告内容应当包括主要成交标的的名称、规格型号、数量、单价、服务要求以及评审专家名单。我方已将响应文件中涉及商业秘密和知识产权的内容进行了标注和说明。若未进行标注和说明的，视为全部内容均可公布，</w:t>
      </w:r>
      <w:r>
        <w:rPr>
          <w:rFonts w:hint="eastAsia" w:ascii="仿宋" w:hAnsi="仿宋" w:eastAsia="仿宋"/>
          <w:color w:val="auto"/>
          <w:sz w:val="24"/>
          <w:highlight w:val="none"/>
        </w:rPr>
        <w:t>采购人和</w:t>
      </w:r>
      <w:r>
        <w:rPr>
          <w:rFonts w:ascii="仿宋" w:hAnsi="仿宋" w:eastAsia="仿宋"/>
          <w:color w:val="auto"/>
          <w:sz w:val="24"/>
          <w:highlight w:val="none"/>
        </w:rPr>
        <w:t>采购代理机构对此不承担任何责任。</w:t>
      </w:r>
    </w:p>
    <w:p>
      <w:pPr>
        <w:spacing w:line="400" w:lineRule="exact"/>
        <w:ind w:firstLine="460" w:firstLineChars="192"/>
        <w:rPr>
          <w:rFonts w:ascii="仿宋" w:hAnsi="仿宋" w:eastAsia="仿宋"/>
          <w:color w:val="auto"/>
          <w:sz w:val="24"/>
          <w:highlight w:val="none"/>
        </w:rPr>
      </w:pPr>
    </w:p>
    <w:p>
      <w:pPr>
        <w:ind w:firstLine="480" w:firstLineChars="200"/>
        <w:rPr>
          <w:rFonts w:ascii="仿宋" w:hAnsi="仿宋" w:eastAsia="仿宋"/>
          <w:color w:val="auto"/>
          <w:sz w:val="24"/>
          <w:highlight w:val="none"/>
        </w:rPr>
      </w:pPr>
      <w:r>
        <w:rPr>
          <w:rFonts w:ascii="仿宋" w:hAnsi="仿宋" w:eastAsia="仿宋"/>
          <w:color w:val="auto"/>
          <w:sz w:val="24"/>
          <w:highlight w:val="none"/>
        </w:rPr>
        <w:t>我方对上述承诺的内容事项真实性负责。如经查实上述承诺的内容事项存在虚假，愿意接受以提供虚假材料谋取成交的法律责任。</w:t>
      </w: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ind w:firstLine="480" w:firstLineChars="200"/>
        <w:jc w:val="left"/>
        <w:rPr>
          <w:rFonts w:ascii="仿宋" w:hAnsi="仿宋" w:eastAsia="仿宋"/>
          <w:color w:val="auto"/>
          <w:sz w:val="24"/>
          <w:highlight w:val="none"/>
        </w:rPr>
      </w:pP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供应商名称：</w:t>
      </w:r>
      <w:r>
        <w:rPr>
          <w:rFonts w:ascii="仿宋" w:hAnsi="仿宋" w:eastAsia="仿宋"/>
          <w:color w:val="auto"/>
          <w:sz w:val="24"/>
          <w:highlight w:val="none"/>
          <w:u w:val="single"/>
        </w:rPr>
        <w:t xml:space="preserve">    （盖单位公章）</w:t>
      </w:r>
    </w:p>
    <w:p>
      <w:pPr>
        <w:adjustRightInd w:val="0"/>
        <w:spacing w:line="400" w:lineRule="exact"/>
        <w:jc w:val="left"/>
        <w:rPr>
          <w:rFonts w:ascii="仿宋" w:hAnsi="仿宋" w:eastAsia="仿宋"/>
          <w:bCs/>
          <w:color w:val="auto"/>
          <w:sz w:val="24"/>
          <w:highlight w:val="none"/>
        </w:rPr>
      </w:pPr>
      <w:r>
        <w:rPr>
          <w:rFonts w:ascii="仿宋" w:hAnsi="仿宋" w:eastAsia="仿宋"/>
          <w:bCs/>
          <w:color w:val="auto"/>
          <w:sz w:val="24"/>
          <w:highlight w:val="none"/>
        </w:rPr>
        <w:t>法定代表人</w:t>
      </w:r>
      <w:r>
        <w:rPr>
          <w:rFonts w:hint="eastAsia" w:ascii="仿宋" w:hAnsi="仿宋" w:eastAsia="仿宋"/>
          <w:color w:val="auto"/>
          <w:sz w:val="24"/>
          <w:highlight w:val="none"/>
        </w:rPr>
        <w:t>（主要负责人/经营者）</w:t>
      </w:r>
      <w:r>
        <w:rPr>
          <w:rFonts w:ascii="仿宋" w:hAnsi="仿宋" w:eastAsia="仿宋"/>
          <w:bCs/>
          <w:color w:val="auto"/>
          <w:sz w:val="24"/>
          <w:highlight w:val="none"/>
        </w:rPr>
        <w:t>或授权代表（签字或加盖印章）：</w:t>
      </w:r>
      <w:r>
        <w:rPr>
          <w:rFonts w:ascii="仿宋" w:hAnsi="仿宋" w:eastAsia="仿宋"/>
          <w:bCs/>
          <w:color w:val="auto"/>
          <w:sz w:val="24"/>
          <w:highlight w:val="none"/>
          <w:u w:val="single"/>
        </w:rPr>
        <w:t xml:space="preserve">      </w:t>
      </w:r>
    </w:p>
    <w:p>
      <w:pPr>
        <w:adjustRightInd w:val="0"/>
        <w:spacing w:line="400" w:lineRule="exact"/>
        <w:jc w:val="left"/>
        <w:rPr>
          <w:rFonts w:ascii="仿宋" w:hAnsi="仿宋" w:eastAsia="仿宋"/>
          <w:color w:val="auto"/>
          <w:sz w:val="24"/>
          <w:highlight w:val="none"/>
        </w:rPr>
      </w:pPr>
      <w:r>
        <w:rPr>
          <w:rFonts w:ascii="仿宋" w:hAnsi="仿宋" w:eastAsia="仿宋"/>
          <w:color w:val="auto"/>
          <w:sz w:val="24"/>
          <w:highlight w:val="none"/>
        </w:rPr>
        <w:t>日  期：</w:t>
      </w:r>
    </w:p>
    <w:p>
      <w:pPr>
        <w:adjustRightInd w:val="0"/>
        <w:spacing w:line="400" w:lineRule="exact"/>
        <w:jc w:val="left"/>
        <w:rPr>
          <w:rFonts w:ascii="仿宋" w:hAnsi="仿宋" w:eastAsia="仿宋"/>
          <w:color w:val="auto"/>
          <w:kern w:val="0"/>
          <w:sz w:val="24"/>
          <w:szCs w:val="32"/>
          <w:highlight w:val="none"/>
          <w:lang w:val="zh-CN"/>
        </w:rPr>
      </w:pPr>
    </w:p>
    <w:p>
      <w:pPr>
        <w:adjustRightInd w:val="0"/>
        <w:spacing w:line="400" w:lineRule="exact"/>
        <w:jc w:val="left"/>
        <w:rPr>
          <w:rFonts w:ascii="仿宋" w:hAnsi="仿宋" w:eastAsia="仿宋"/>
          <w:color w:val="auto"/>
          <w:kern w:val="0"/>
          <w:sz w:val="24"/>
          <w:szCs w:val="32"/>
          <w:highlight w:val="none"/>
          <w:lang w:val="zh-CN"/>
        </w:rPr>
        <w:sectPr>
          <w:headerReference r:id="rId17" w:type="default"/>
          <w:footerReference r:id="rId18" w:type="default"/>
          <w:pgSz w:w="11907" w:h="16840"/>
          <w:pgMar w:top="1418" w:right="1134" w:bottom="1418" w:left="1701" w:header="850" w:footer="567" w:gutter="0"/>
          <w:cols w:space="720" w:num="1"/>
          <w:docGrid w:type="lines" w:linePitch="312" w:charSpace="0"/>
        </w:sectPr>
      </w:pP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20" w:name="_Toc508714409"/>
      <w:bookmarkStart w:id="121" w:name="_Toc24265"/>
      <w:bookmarkStart w:id="122" w:name="_Toc36820999"/>
      <w:r>
        <w:rPr>
          <w:rFonts w:ascii="仿宋" w:hAnsi="仿宋" w:eastAsia="仿宋"/>
          <w:color w:val="auto"/>
          <w:sz w:val="32"/>
          <w:szCs w:val="32"/>
          <w:highlight w:val="none"/>
        </w:rPr>
        <w:t>第九章 评审方法</w:t>
      </w:r>
      <w:bookmarkEnd w:id="120"/>
      <w:bookmarkEnd w:id="121"/>
      <w:bookmarkEnd w:id="122"/>
    </w:p>
    <w:p>
      <w:pPr>
        <w:pStyle w:val="4"/>
        <w:keepNext w:val="0"/>
        <w:keepLines w:val="0"/>
        <w:adjustRightInd w:val="0"/>
        <w:snapToGrid w:val="0"/>
        <w:spacing w:before="0" w:after="0" w:line="360" w:lineRule="auto"/>
        <w:ind w:firstLine="472" w:firstLineChars="196"/>
        <w:rPr>
          <w:rFonts w:ascii="仿宋" w:hAnsi="仿宋" w:eastAsia="仿宋"/>
          <w:color w:val="auto"/>
          <w:sz w:val="24"/>
          <w:szCs w:val="24"/>
          <w:highlight w:val="none"/>
        </w:rPr>
      </w:pPr>
      <w:bookmarkStart w:id="123" w:name="_Toc36821000"/>
      <w:bookmarkStart w:id="124" w:name="_Toc10897"/>
      <w:bookmarkStart w:id="125" w:name="_Toc101174146"/>
      <w:bookmarkStart w:id="126" w:name="_Toc101338358"/>
      <w:bookmarkStart w:id="127" w:name="_Toc209847065"/>
      <w:bookmarkStart w:id="128" w:name="_Toc101250640"/>
      <w:bookmarkStart w:id="129" w:name="_Toc430773924"/>
      <w:r>
        <w:rPr>
          <w:rFonts w:ascii="仿宋" w:hAnsi="仿宋" w:eastAsia="仿宋"/>
          <w:color w:val="auto"/>
          <w:sz w:val="24"/>
          <w:szCs w:val="24"/>
          <w:highlight w:val="none"/>
        </w:rPr>
        <w:t>1．总则</w:t>
      </w:r>
      <w:bookmarkEnd w:id="123"/>
      <w:bookmarkEnd w:id="124"/>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1.1 根据《中华人民共和国政府采购法》、《中华人民共和国政府采购法实施条例》、《政府采购竞争性磋商采购方式管理暂行办法》等法律制度，结合本采购项目特点制定本磋商方法。</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1.2 磋商工作由采购代理机构负责组织，具体磋商由采购代理机构依法组建的磋商小组负责。</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1.3 磋商工作应遵循公平、公正、科学及择优的原则，并以相同的磋商程序和标准对待所有的供应商。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1.4 磋商小组按照磋商文件规定的磋商程序、评分方法和标准进行评审，并独立履行下列职责：</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（1）熟悉和理解磋商文件，确定磋商文件内容是否违反国家有关强制性规定或者磋商文件存在歧义、重大缺陷，根据需要书面要求采购人、采购代理机构对磋商文件作出解释；</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（2）审查供应商响应文件是否满足磋商文件要求，并作出公正评价；</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（3）根据需要要求供应商对响应文件中含义不明确、同类问题表述不一致或者有明显文字和计算错误的内容等作出必要的澄清、说明或者更正；</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（4）推荐成交供应商；</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（5）起草评审报告并进行签署；</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（6）向采购人、采购代理机构、财政部门或者其他监督部门报告非法干预评审工作的行为；</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（7）法律、法规和规章规定的其他职责。</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1.5 磋商过程独立、保密。供应商非法干预磋商过程的，其响应文件作无效处理。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1.6 磋商小组评价响应文件，除磋商小组要求其澄清、说明或者纠正而提供的资料外，仅依据响应文件本身的内容，不寻求供应商提供其他外部证据。</w:t>
      </w:r>
    </w:p>
    <w:p>
      <w:pPr>
        <w:pStyle w:val="4"/>
        <w:keepNext w:val="0"/>
        <w:keepLines w:val="0"/>
        <w:adjustRightInd w:val="0"/>
        <w:snapToGrid w:val="0"/>
        <w:spacing w:before="312" w:beforeLines="100" w:after="0" w:line="240" w:lineRule="auto"/>
        <w:ind w:firstLine="472" w:firstLineChars="196"/>
        <w:rPr>
          <w:rFonts w:ascii="仿宋" w:hAnsi="仿宋" w:eastAsia="仿宋"/>
          <w:color w:val="auto"/>
          <w:sz w:val="24"/>
          <w:szCs w:val="24"/>
          <w:highlight w:val="none"/>
        </w:rPr>
      </w:pPr>
      <w:bookmarkStart w:id="130" w:name="_Toc36821001"/>
      <w:bookmarkStart w:id="131" w:name="_Toc31951"/>
      <w:r>
        <w:rPr>
          <w:rFonts w:ascii="仿宋" w:hAnsi="仿宋" w:eastAsia="仿宋"/>
          <w:color w:val="auto"/>
          <w:sz w:val="24"/>
          <w:szCs w:val="24"/>
          <w:highlight w:val="none"/>
        </w:rPr>
        <w:t>2．磋商程序</w:t>
      </w:r>
      <w:bookmarkEnd w:id="130"/>
      <w:bookmarkEnd w:id="131"/>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2.1审查磋商文件和停止评审。</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2.1.2 本磋商文件有下列情形之一的，磋商小组应当停止评审：</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（1）磋商文件的规定存在歧义，采购人或采购代理机构未进行书面澄清影响评审的；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（2）磋商文件的规定存在重大缺陷影响评审的；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（3）磋商文件明显以不合理条件对供应商实行差别待遇或者歧视待遇的；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（4）采购项目属于国家规定的优先、强制采购范围，但是磋商文件未依法体现优先、强制采购相关规定的；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（5）采购项目属于政府采购促进中小企业发展的范围，但是磋商文件未依法体现促进中小企业发展相关规定的；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（6）磋商文件将供应商的资格条件列为评分因素的；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（7）磋商文件载明的成交原则不合法的；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（8）磋商文件有违反国家其他有关强制性规定的情形。</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2.1.3 出现本条2.1.2规定应当停止评审情形的，磋商小组应当向采购人书面说明情况。除本条规定的情形外，磋商小组不得以任何方式和理由停止评审。</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2.1.4 磋商小组熟悉和理解磋商文件完成后，应书面签字确认本磋商文件是否有属于应当停止评审的情形。</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2.2资格审查。</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2.2.1本项目需要磋商小组对供应商递交的资格性响应文件进行资格性检查。</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磋商小组应依据法律法规和磋商文件的规定，对响应文件是否按照规定要求提供资格性证明材料（第四章）、是否属于禁止参加磋商的供应商等进行审查，以确定供应商是否具备磋商资格。</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资格审查标准如下：</w:t>
      </w:r>
    </w:p>
    <w:p>
      <w:pPr>
        <w:tabs>
          <w:tab w:val="left" w:pos="851"/>
          <w:tab w:val="left" w:pos="993"/>
        </w:tabs>
        <w:spacing w:line="360" w:lineRule="auto"/>
        <w:ind w:firstLine="480" w:firstLineChars="200"/>
        <w:rPr>
          <w:rFonts w:ascii="仿宋" w:hAnsi="仿宋" w:eastAsia="仿宋"/>
          <w:color w:val="auto"/>
          <w:kern w:val="0"/>
          <w:sz w:val="24"/>
          <w:highlight w:val="none"/>
        </w:rPr>
      </w:pPr>
    </w:p>
    <w:tbl>
      <w:tblPr>
        <w:tblStyle w:val="3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726"/>
        <w:gridCol w:w="1349"/>
        <w:gridCol w:w="1351"/>
        <w:gridCol w:w="13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825" w:type="pct"/>
            <w:gridSpan w:val="2"/>
            <w:noWrap w:val="0"/>
            <w:vAlign w:val="center"/>
          </w:tcPr>
          <w:p>
            <w:pPr>
              <w:widowControl/>
              <w:snapToGrid w:val="0"/>
              <w:jc w:val="center"/>
              <w:rPr>
                <w:rFonts w:ascii="仿宋" w:hAnsi="仿宋" w:eastAsia="仿宋"/>
                <w:b/>
                <w:color w:val="auto"/>
                <w:kern w:val="0"/>
                <w:sz w:val="24"/>
                <w:highlight w:val="none"/>
              </w:rPr>
            </w:pPr>
            <w:r>
              <w:rPr>
                <w:rFonts w:ascii="仿宋" w:hAnsi="仿宋" w:eastAsia="仿宋"/>
                <w:b/>
                <w:color w:val="auto"/>
                <w:kern w:val="0"/>
                <w:sz w:val="24"/>
                <w:highlight w:val="none"/>
              </w:rPr>
              <w:t>项     目</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b/>
                <w:color w:val="auto"/>
                <w:kern w:val="0"/>
                <w:sz w:val="24"/>
                <w:highlight w:val="none"/>
              </w:rPr>
            </w:pPr>
          </w:p>
        </w:tc>
        <w:tc>
          <w:tcPr>
            <w:tcW w:w="720" w:type="pct"/>
            <w:noWrap w:val="0"/>
            <w:vAlign w:val="center"/>
          </w:tcPr>
          <w:p>
            <w:pPr>
              <w:widowControl/>
              <w:snapToGrid w:val="0"/>
              <w:jc w:val="center"/>
              <w:rPr>
                <w:rFonts w:ascii="仿宋" w:hAnsi="仿宋" w:eastAsia="仿宋"/>
                <w:b/>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lang w:val="en-US"/>
              </w:rPr>
              <w:t>具有独立承担民事责任能力的证明材料</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rPr>
              <w:t>良好的商业信誉和健全的财务会计制度的证明材料</w:t>
            </w:r>
          </w:p>
        </w:tc>
        <w:tc>
          <w:tcPr>
            <w:tcW w:w="726" w:type="pct"/>
            <w:noWrap w:val="0"/>
            <w:vAlign w:val="center"/>
          </w:tcPr>
          <w:p>
            <w:pPr>
              <w:widowControl/>
              <w:snapToGrid w:val="0"/>
              <w:spacing w:line="240" w:lineRule="atLeast"/>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lang w:val="en-US"/>
              </w:rPr>
              <w:t>具备履行合同所必需的设备和专业技术能力的证明材料</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lang w:val="en-US"/>
              </w:rPr>
              <w:t>依法缴纳税收和社会保障资金的</w:t>
            </w:r>
            <w:r>
              <w:rPr>
                <w:rFonts w:hint="eastAsia" w:ascii="仿宋" w:hAnsi="仿宋" w:eastAsia="仿宋"/>
                <w:b w:val="0"/>
                <w:color w:val="auto"/>
                <w:sz w:val="24"/>
                <w:szCs w:val="24"/>
                <w:highlight w:val="none"/>
                <w:lang w:val="en-US" w:eastAsia="zh-CN"/>
              </w:rPr>
              <w:t>证明</w:t>
            </w:r>
            <w:r>
              <w:rPr>
                <w:rFonts w:ascii="仿宋" w:hAnsi="仿宋" w:eastAsia="仿宋"/>
                <w:b w:val="0"/>
                <w:color w:val="auto"/>
                <w:sz w:val="24"/>
                <w:szCs w:val="24"/>
                <w:highlight w:val="none"/>
                <w:lang w:val="en-US"/>
              </w:rPr>
              <w:t>材料</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lang w:val="en-US"/>
              </w:rPr>
              <w:t>参加本次政府采购活动前三年内，在经营活动中没有重大违法记录的证明材料</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spacing w:line="240" w:lineRule="auto"/>
              <w:ind w:firstLine="0" w:firstLineChars="0"/>
              <w:jc w:val="left"/>
              <w:rPr>
                <w:rFonts w:ascii="仿宋" w:hAnsi="仿宋" w:eastAsia="仿宋"/>
                <w:color w:val="auto"/>
                <w:kern w:val="0"/>
                <w:sz w:val="24"/>
                <w:highlight w:val="none"/>
              </w:rPr>
            </w:pPr>
            <w:r>
              <w:rPr>
                <w:rFonts w:ascii="仿宋" w:hAnsi="仿宋" w:eastAsia="仿宋"/>
                <w:b w:val="0"/>
                <w:color w:val="auto"/>
                <w:sz w:val="24"/>
                <w:szCs w:val="24"/>
                <w:highlight w:val="none"/>
                <w:lang w:val="en-US"/>
              </w:rPr>
              <w:t>具备法律、行政法规规定的其他条件的证明材料</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widowControl/>
              <w:snapToGrid w:val="0"/>
              <w:spacing w:line="240" w:lineRule="atLeast"/>
              <w:jc w:val="left"/>
              <w:rPr>
                <w:rFonts w:ascii="仿宋" w:hAnsi="仿宋" w:eastAsia="仿宋"/>
                <w:color w:val="auto"/>
                <w:kern w:val="0"/>
                <w:sz w:val="24"/>
                <w:highlight w:val="none"/>
              </w:rPr>
            </w:pPr>
            <w:r>
              <w:rPr>
                <w:rFonts w:ascii="仿宋" w:hAnsi="仿宋" w:eastAsia="仿宋"/>
                <w:color w:val="auto"/>
                <w:kern w:val="0"/>
                <w:sz w:val="24"/>
                <w:highlight w:val="none"/>
              </w:rPr>
              <w:t>采购人根据采购项目提出的特殊条件</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0" w:type="pct"/>
            <w:noWrap w:val="0"/>
            <w:vAlign w:val="center"/>
          </w:tcPr>
          <w:p>
            <w:pPr>
              <w:widowControl/>
              <w:snapToGrid w:val="0"/>
              <w:spacing w:line="240" w:lineRule="atLeast"/>
              <w:jc w:val="left"/>
              <w:rPr>
                <w:rFonts w:ascii="仿宋" w:hAnsi="仿宋" w:eastAsia="仿宋"/>
                <w:color w:val="auto"/>
                <w:kern w:val="0"/>
                <w:sz w:val="24"/>
                <w:highlight w:val="none"/>
              </w:rPr>
            </w:pPr>
            <w:r>
              <w:rPr>
                <w:rFonts w:ascii="仿宋" w:hAnsi="仿宋" w:eastAsia="仿宋"/>
                <w:color w:val="auto"/>
                <w:sz w:val="24"/>
                <w:highlight w:val="none"/>
              </w:rPr>
              <w:t>联合体</w:t>
            </w:r>
          </w:p>
        </w:tc>
        <w:tc>
          <w:tcPr>
            <w:tcW w:w="2004" w:type="pct"/>
            <w:noWrap w:val="0"/>
            <w:vAlign w:val="center"/>
          </w:tcPr>
          <w:p>
            <w:pPr>
              <w:widowControl/>
              <w:snapToGrid w:val="0"/>
              <w:spacing w:line="240" w:lineRule="atLeast"/>
              <w:jc w:val="left"/>
              <w:rPr>
                <w:rFonts w:ascii="仿宋" w:hAnsi="仿宋" w:eastAsia="仿宋"/>
                <w:color w:val="auto"/>
                <w:kern w:val="0"/>
                <w:sz w:val="24"/>
                <w:highlight w:val="none"/>
              </w:rPr>
            </w:pPr>
            <w:r>
              <w:rPr>
                <w:rFonts w:ascii="仿宋" w:hAnsi="仿宋" w:eastAsia="仿宋"/>
                <w:color w:val="auto"/>
                <w:sz w:val="24"/>
                <w:highlight w:val="none"/>
              </w:rPr>
              <w:t>非联合体形式参与采购活动</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widowControl/>
              <w:snapToGrid w:val="0"/>
              <w:jc w:val="left"/>
              <w:rPr>
                <w:rFonts w:ascii="仿宋" w:hAnsi="仿宋" w:eastAsia="仿宋"/>
                <w:color w:val="auto"/>
                <w:kern w:val="0"/>
                <w:sz w:val="24"/>
                <w:highlight w:val="none"/>
              </w:rPr>
            </w:pPr>
            <w:r>
              <w:rPr>
                <w:rFonts w:hint="eastAsia" w:ascii="仿宋" w:hAnsi="仿宋" w:eastAsia="仿宋"/>
                <w:color w:val="auto"/>
                <w:sz w:val="24"/>
                <w:highlight w:val="none"/>
              </w:rPr>
              <w:t>落实政府采购政策需满足的资格要求</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widowControl/>
              <w:snapToGrid w:val="0"/>
              <w:jc w:val="left"/>
              <w:rPr>
                <w:rFonts w:ascii="仿宋" w:hAnsi="仿宋" w:eastAsia="仿宋"/>
                <w:color w:val="auto"/>
                <w:kern w:val="0"/>
                <w:sz w:val="24"/>
                <w:highlight w:val="none"/>
              </w:rPr>
            </w:pPr>
            <w:r>
              <w:rPr>
                <w:rFonts w:ascii="仿宋" w:hAnsi="仿宋" w:eastAsia="仿宋"/>
                <w:color w:val="auto"/>
                <w:kern w:val="0"/>
                <w:sz w:val="24"/>
                <w:highlight w:val="none"/>
              </w:rPr>
              <w:t>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授权委托书原件及法定代表人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身份证、代理人身份证复印件</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20" w:type="pct"/>
            <w:noWrap w:val="0"/>
            <w:vAlign w:val="center"/>
          </w:tcPr>
          <w:p>
            <w:pPr>
              <w:widowControl/>
              <w:snapToGrid w:val="0"/>
              <w:jc w:val="left"/>
              <w:rPr>
                <w:rFonts w:ascii="仿宋" w:hAnsi="仿宋" w:eastAsia="仿宋"/>
                <w:color w:val="auto"/>
                <w:sz w:val="24"/>
                <w:highlight w:val="none"/>
              </w:rPr>
            </w:pPr>
            <w:r>
              <w:rPr>
                <w:rFonts w:hint="eastAsia" w:ascii="仿宋" w:hAnsi="仿宋" w:eastAsia="仿宋"/>
                <w:color w:val="auto"/>
                <w:sz w:val="24"/>
                <w:highlight w:val="none"/>
              </w:rPr>
              <w:t>不属于禁止参加磋商的供应商</w:t>
            </w:r>
          </w:p>
        </w:tc>
        <w:tc>
          <w:tcPr>
            <w:tcW w:w="2004" w:type="pct"/>
            <w:noWrap w:val="0"/>
            <w:vAlign w:val="center"/>
          </w:tcPr>
          <w:p>
            <w:pPr>
              <w:widowControl/>
              <w:snapToGrid w:val="0"/>
              <w:jc w:val="left"/>
              <w:rPr>
                <w:rFonts w:ascii="仿宋" w:hAnsi="仿宋" w:eastAsia="仿宋"/>
                <w:color w:val="auto"/>
                <w:sz w:val="24"/>
                <w:highlight w:val="none"/>
              </w:rPr>
            </w:pPr>
            <w:r>
              <w:rPr>
                <w:rFonts w:hint="eastAsia" w:ascii="仿宋" w:hAnsi="仿宋" w:eastAsia="仿宋"/>
                <w:color w:val="auto"/>
                <w:sz w:val="24"/>
                <w:highlight w:val="none"/>
              </w:rPr>
              <w:t>符合本磋商文件中《关于在政府采购活动中查询及使用信用记录有关问题的通知》（财库〔</w:t>
            </w:r>
            <w:r>
              <w:rPr>
                <w:rFonts w:ascii="仿宋" w:hAnsi="仿宋" w:eastAsia="仿宋"/>
                <w:color w:val="auto"/>
                <w:sz w:val="24"/>
                <w:highlight w:val="none"/>
              </w:rPr>
              <w:t>2016〕125号）的要求</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825" w:type="pct"/>
            <w:gridSpan w:val="2"/>
            <w:noWrap w:val="0"/>
            <w:vAlign w:val="center"/>
          </w:tcPr>
          <w:p>
            <w:pPr>
              <w:widowControl/>
              <w:snapToGrid w:val="0"/>
              <w:jc w:val="center"/>
              <w:rPr>
                <w:rFonts w:hint="eastAsia" w:ascii="仿宋" w:hAnsi="仿宋" w:eastAsia="仿宋"/>
                <w:color w:val="auto"/>
                <w:sz w:val="24"/>
                <w:highlight w:val="none"/>
              </w:rPr>
            </w:pPr>
            <w:r>
              <w:rPr>
                <w:rFonts w:hint="eastAsia" w:ascii="仿宋" w:hAnsi="仿宋" w:eastAsia="仿宋"/>
                <w:color w:val="auto"/>
                <w:sz w:val="24"/>
                <w:highlight w:val="none"/>
              </w:rPr>
              <w:t>结  论</w:t>
            </w:r>
          </w:p>
        </w:tc>
        <w:tc>
          <w:tcPr>
            <w:tcW w:w="726" w:type="pct"/>
            <w:noWrap w:val="0"/>
            <w:vAlign w:val="center"/>
          </w:tcPr>
          <w:p>
            <w:pPr>
              <w:widowControl/>
              <w:snapToGrid w:val="0"/>
              <w:jc w:val="center"/>
              <w:rPr>
                <w:rFonts w:ascii="仿宋" w:hAnsi="仿宋" w:eastAsia="仿宋"/>
                <w:color w:val="auto"/>
                <w:kern w:val="0"/>
                <w:sz w:val="24"/>
                <w:highlight w:val="none"/>
              </w:rPr>
            </w:pPr>
          </w:p>
        </w:tc>
        <w:tc>
          <w:tcPr>
            <w:tcW w:w="727" w:type="pct"/>
            <w:noWrap w:val="0"/>
            <w:vAlign w:val="center"/>
          </w:tcPr>
          <w:p>
            <w:pPr>
              <w:widowControl/>
              <w:snapToGrid w:val="0"/>
              <w:jc w:val="center"/>
              <w:rPr>
                <w:rFonts w:ascii="仿宋" w:hAnsi="仿宋" w:eastAsia="仿宋"/>
                <w:color w:val="auto"/>
                <w:kern w:val="0"/>
                <w:sz w:val="24"/>
                <w:highlight w:val="none"/>
              </w:rPr>
            </w:pPr>
          </w:p>
        </w:tc>
        <w:tc>
          <w:tcPr>
            <w:tcW w:w="720" w:type="pct"/>
            <w:noWrap w:val="0"/>
            <w:vAlign w:val="center"/>
          </w:tcPr>
          <w:p>
            <w:pPr>
              <w:widowControl/>
              <w:snapToGrid w:val="0"/>
              <w:jc w:val="center"/>
              <w:rPr>
                <w:rFonts w:ascii="仿宋" w:hAnsi="仿宋" w:eastAsia="仿宋"/>
                <w:color w:val="auto"/>
                <w:kern w:val="0"/>
                <w:sz w:val="24"/>
                <w:highlight w:val="none"/>
              </w:rPr>
            </w:pPr>
          </w:p>
        </w:tc>
      </w:tr>
    </w:tbl>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注：</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以上每一项结论均为“合格”的，则供应商通过资格审查，方能允许其参加磋商，如有任意一项结论为“不合格”的，则供应商不通过资格审查，不允许其参加磋商。如果磋商小组认为供应商有任意一项不合格的，应载明不合格的具体原因。</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2.2.2资格审查结束后，磋商小组应当出具资格审查报告，没有通过资格审查的供应商，磋商小组应当在资格审查报告中说明原因。</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2.2.3采购代理机构应当将通过资格审查和未通过资格审查的供应商名单向所有供应商当场宣布。采购代理机构宣布未通过资格审查的供应商名单位时，应当告知供应商未通过资格审查的原因。</w:t>
      </w:r>
    </w:p>
    <w:p>
      <w:pPr>
        <w:pStyle w:val="10"/>
        <w:spacing w:line="400" w:lineRule="exact"/>
        <w:ind w:firstLine="480"/>
        <w:rPr>
          <w:rFonts w:hint="eastAsia" w:ascii="仿宋" w:hAnsi="仿宋" w:eastAsia="仿宋"/>
          <w:color w:val="auto"/>
          <w:sz w:val="24"/>
          <w:highlight w:val="none"/>
        </w:rPr>
      </w:pPr>
      <w:r>
        <w:rPr>
          <w:rFonts w:ascii="仿宋" w:hAnsi="仿宋" w:eastAsia="仿宋"/>
          <w:color w:val="auto"/>
          <w:sz w:val="24"/>
          <w:highlight w:val="none"/>
        </w:rPr>
        <w:t>2.3 通过资格审查的供应商不足3家的，终止本次采购活动，并发布终止采购活动公告。</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2.4磋商。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2.4.2每轮磋商开始前，磋商小组应根据磋商文件的规定，并结合各供应商的响应文件拟定磋商内容。</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2.4.4对磋商文件作出的实质性变动是磋商文件的有效组成部分，磋商小组应当及时以书面形式同时通知所有参加磋商的供应商。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2.4.5磋商过程中，磋商文件变动的，供应商应当按照磋商文件的变动情况和磋商小组的要求重新提交响应文件，并签字确认或者加盖公章，否则无效。供应商为法人的，由其法定代表人或者代理人签字；供应商为其他组织的，由其负责人或者代理人签字；供应商为自然人的，由其本人</w:t>
      </w:r>
      <w:r>
        <w:rPr>
          <w:rFonts w:hint="eastAsia" w:ascii="仿宋" w:hAnsi="仿宋" w:eastAsia="仿宋"/>
          <w:color w:val="auto"/>
          <w:sz w:val="24"/>
          <w:highlight w:val="none"/>
        </w:rPr>
        <w:t>（经营者）</w:t>
      </w:r>
      <w:r>
        <w:rPr>
          <w:rFonts w:ascii="仿宋" w:hAnsi="仿宋" w:eastAsia="仿宋"/>
          <w:color w:val="auto"/>
          <w:sz w:val="24"/>
          <w:highlight w:val="none"/>
        </w:rPr>
        <w:t>或者代理人签字。由代理人签字的，应当附授权书（代理人为同一人的可不再提供）。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2.4.6磋商过程中，磋商的任何一方不得透露与磋商有关的其他供应商的技术资料、价格和其他信息。</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2.4.7磋商过程中，磋商小组发现或者知晓供应商存在违法、违纪行为的，磋商小组应当将该供应商响应文件作无效处理，不允许其提交最后报价。</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2.4.8磋商完成后，磋商小组应出具磋商情况记录表，磋商情况记录表需包含磋商内容、磋商意见、实质性变动内容等。</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2.4.9磋商小组与供应商磋商和对供应商的响应文件审查后，供应商响应文件未实质性响应磋商文件的，磋商小组应当对其响应文件按无效处理，并书面告知供应商，说明理由。</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2.4.10供应商退出磋商的，应向磋商小组提供退出磋商的书面说明。供应商不提供退出磋商的书面说明，也未在磋商小组规定时间内递交《最后报价表》的，视为其退出磋商。</w:t>
      </w:r>
    </w:p>
    <w:p>
      <w:pPr>
        <w:pStyle w:val="10"/>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1</w:t>
      </w:r>
      <w:r>
        <w:rPr>
          <w:rFonts w:ascii="仿宋" w:hAnsi="仿宋" w:eastAsia="仿宋"/>
          <w:color w:val="auto"/>
          <w:sz w:val="24"/>
          <w:highlight w:val="none"/>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w:t>
      </w:r>
      <w:r>
        <w:rPr>
          <w:rFonts w:hint="eastAsia" w:ascii="仿宋" w:hAnsi="仿宋" w:eastAsia="仿宋"/>
          <w:color w:val="auto"/>
          <w:sz w:val="24"/>
          <w:highlight w:val="none"/>
          <w:lang w:val="en-US" w:eastAsia="zh-CN"/>
        </w:rPr>
        <w:t>若</w:t>
      </w:r>
      <w:r>
        <w:rPr>
          <w:rFonts w:hint="eastAsia" w:ascii="仿宋" w:hAnsi="仿宋" w:eastAsia="仿宋"/>
          <w:color w:val="auto"/>
          <w:sz w:val="24"/>
          <w:highlight w:val="none"/>
        </w:rPr>
        <w:t>磋商过程中因供应商</w:t>
      </w:r>
      <w:r>
        <w:rPr>
          <w:rFonts w:ascii="仿宋" w:hAnsi="仿宋" w:eastAsia="仿宋"/>
          <w:color w:val="auto"/>
          <w:sz w:val="24"/>
          <w:highlight w:val="none"/>
        </w:rPr>
        <w:t>（社会资本）</w:t>
      </w:r>
      <w:r>
        <w:rPr>
          <w:rFonts w:hint="eastAsia" w:ascii="仿宋" w:hAnsi="仿宋" w:eastAsia="仿宋"/>
          <w:color w:val="auto"/>
          <w:sz w:val="24"/>
          <w:highlight w:val="none"/>
        </w:rPr>
        <w:t>中途退出导致符合条件的供应商只有</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家</w:t>
      </w:r>
      <w:r>
        <w:rPr>
          <w:rFonts w:ascii="仿宋" w:hAnsi="仿宋" w:eastAsia="仿宋"/>
          <w:color w:val="auto"/>
          <w:sz w:val="24"/>
          <w:highlight w:val="none"/>
        </w:rPr>
        <w:t>，且采购人要求继续进行的，评审委员会应当遵照相关要求进行评审。</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2.5最后报价。</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2.5.1磋商结束后，磋商小组应当要求所有实质性响应的供应商在规定时间内提交最后报价。两轮（若有，响应文件中的报价算一轮）以上报价的，供应商在未提高响应文件中承诺的产品及其服务质量的情况下，其最后报价不得高于对该项目之前的报价，否则，磋商小组应当对其响应文件按无效处理，并书面告知供应商，说明理由。</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供应商可在磋商室外填写最后报价表，密封递交采购代理机构工作人员，由工作人员收齐后集中递交磋商小组。工作人员不能拆封供应商最后报价表。</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2.5.2磋商文件能够详细列明采购标的的技术、服务要求的，磋商结束后，磋商小组应当要求所有实质性响应的供应商在规定时间内提交最后报价，提交最后报价的供应商不得少于3家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color w:val="auto"/>
          <w:sz w:val="24"/>
          <w:highlight w:val="none"/>
        </w:rPr>
        <w:t>（本章2.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和2.5.3的情况除外）</w:t>
      </w:r>
      <w:r>
        <w:rPr>
          <w:rFonts w:ascii="仿宋" w:hAnsi="仿宋" w:eastAsia="仿宋"/>
          <w:color w:val="auto"/>
          <w:sz w:val="24"/>
          <w:highlight w:val="none"/>
        </w:rPr>
        <w:t>。</w:t>
      </w:r>
    </w:p>
    <w:p>
      <w:pPr>
        <w:pStyle w:val="10"/>
        <w:spacing w:line="400" w:lineRule="exact"/>
        <w:ind w:firstLine="480"/>
        <w:rPr>
          <w:rFonts w:ascii="仿宋" w:hAnsi="仿宋" w:eastAsia="仿宋"/>
          <w:color w:val="auto"/>
          <w:sz w:val="24"/>
          <w:highlight w:val="none"/>
        </w:rPr>
      </w:pPr>
      <w:r>
        <w:rPr>
          <w:rFonts w:hint="eastAsia" w:ascii="仿宋" w:hAnsi="仿宋" w:eastAsia="仿宋"/>
          <w:color w:val="auto"/>
          <w:sz w:val="24"/>
          <w:highlight w:val="none"/>
        </w:rPr>
        <w:t>2.5.3符合《政府采购竞争性磋商采购方式管理暂行办法财库》〔2014〕214号第三条第四项（市场竞争不充分的科研项目，以及需要扶持的科技成果转化项目）情形的，提交最后报价的供应商可以为2家。</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2.5.</w:t>
      </w:r>
      <w:r>
        <w:rPr>
          <w:rFonts w:hint="eastAsia" w:ascii="仿宋" w:hAnsi="仿宋" w:eastAsia="仿宋"/>
          <w:color w:val="auto"/>
          <w:sz w:val="24"/>
          <w:highlight w:val="none"/>
        </w:rPr>
        <w:t>4</w:t>
      </w:r>
      <w:r>
        <w:rPr>
          <w:rFonts w:ascii="仿宋" w:hAnsi="仿宋" w:eastAsia="仿宋"/>
          <w:color w:val="auto"/>
          <w:sz w:val="24"/>
          <w:highlight w:val="none"/>
        </w:rPr>
        <w:t>供应商最后报价应当签字确认或者加盖公章，否则无效。供应商为法人的，由其法定代表人或者代理人签字；供应商为其他组织的，由其负责人或者代理人签字；供应商为自然人的，由其本人</w:t>
      </w:r>
      <w:r>
        <w:rPr>
          <w:rFonts w:hint="eastAsia" w:ascii="仿宋" w:hAnsi="仿宋" w:eastAsia="仿宋"/>
          <w:color w:val="auto"/>
          <w:sz w:val="24"/>
          <w:highlight w:val="none"/>
        </w:rPr>
        <w:t>（经营者）</w:t>
      </w:r>
      <w:r>
        <w:rPr>
          <w:rFonts w:ascii="仿宋" w:hAnsi="仿宋" w:eastAsia="仿宋"/>
          <w:color w:val="auto"/>
          <w:sz w:val="24"/>
          <w:highlight w:val="none"/>
        </w:rPr>
        <w:t>或者代理人签字。由代理人签字的，应当附授权书（代理人为同一人的可不再提供）。</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2.5.</w:t>
      </w:r>
      <w:r>
        <w:rPr>
          <w:rFonts w:hint="eastAsia" w:ascii="仿宋" w:hAnsi="仿宋" w:eastAsia="仿宋"/>
          <w:color w:val="auto"/>
          <w:sz w:val="24"/>
          <w:highlight w:val="none"/>
        </w:rPr>
        <w:t>5</w:t>
      </w:r>
      <w:r>
        <w:rPr>
          <w:rFonts w:ascii="仿宋" w:hAnsi="仿宋" w:eastAsia="仿宋"/>
          <w:color w:val="auto"/>
          <w:sz w:val="24"/>
          <w:highlight w:val="none"/>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2.6比较与评价。由磋商小组采用综合评分法对提交最后报价的供应商的响应文件和最后报价进行综合评分，具体要求详见本章综合评分部分。</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2.7磋商小组复核。磋商小组评分汇总结束后，磋商小组应当进行评审复核，对畸高、畸低的重大差异评分，对拟推荐为成交候选供应商的、报价最低的、供应商资格审查未通过的、供应商响应文件作无效处理的重点复核。</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2.8采购组织单位现场复核评审结果。</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2.8.1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（1）资格审查认定错误的；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（2）分值汇总计算错误的；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（3）分项评分超出评分标准范围的；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（4）客观评分不一致的。</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采购代理机构复核过程中，磋商小组成员不得离开评审现场。</w:t>
      </w:r>
    </w:p>
    <w:p>
      <w:pPr>
        <w:pStyle w:val="10"/>
        <w:spacing w:line="400" w:lineRule="exact"/>
        <w:ind w:firstLine="480"/>
        <w:rPr>
          <w:rFonts w:ascii="仿宋" w:hAnsi="仿宋" w:eastAsia="仿宋"/>
          <w:color w:val="auto"/>
          <w:sz w:val="24"/>
          <w:highlight w:val="none"/>
        </w:rPr>
      </w:pPr>
      <w:r>
        <w:rPr>
          <w:rFonts w:ascii="仿宋" w:hAnsi="仿宋" w:eastAsia="仿宋"/>
          <w:color w:val="auto"/>
          <w:sz w:val="24"/>
          <w:highlight w:val="none"/>
        </w:rPr>
        <w:t>2.8.2有下列情形之一的，不得现场修改评审结果：</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（1）磋商小组已经出具磋商报告并且离开评审现场的；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（2）采购代理机构现场复核时，复核工作人员数量不足的；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（3）采购代理机构现场复核时，没有采购监督人员现场监督的；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（4）采购代理机构现场复核内容超出规定范围的；</w:t>
      </w:r>
    </w:p>
    <w:p>
      <w:pPr>
        <w:pStyle w:val="10"/>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（5）采购代理机构未提供书面建议的。</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2.9推荐成交候选供应商。磋商小组应当根据综合评分情况，按照评审得分由高到低顺序推荐3家</w:t>
      </w:r>
      <w:r>
        <w:rPr>
          <w:rFonts w:hint="eastAsia" w:ascii="仿宋" w:hAnsi="仿宋" w:eastAsia="仿宋"/>
          <w:color w:val="auto"/>
          <w:sz w:val="24"/>
          <w:highlight w:val="none"/>
        </w:rPr>
        <w:t>（本章2.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1和2.5.3的情况除外）</w:t>
      </w:r>
      <w:r>
        <w:rPr>
          <w:rFonts w:ascii="仿宋" w:hAnsi="仿宋" w:eastAsia="仿宋"/>
          <w:color w:val="auto"/>
          <w:sz w:val="24"/>
          <w:highlight w:val="none"/>
        </w:rPr>
        <w:t>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r>
        <w:rPr>
          <w:rFonts w:ascii="仿宋" w:hAnsi="仿宋" w:eastAsia="仿宋"/>
          <w:color w:val="auto"/>
          <w:kern w:val="0"/>
          <w:sz w:val="24"/>
          <w:highlight w:val="none"/>
          <w:lang w:val="zh-CN"/>
        </w:rPr>
        <w:t>（注：为扶持不发达地区和少数民族地区，评审得分且最后报价且技术指标分项得分均相同的，磋商小组优先推荐企业注册地在不发达地区和少数民族地区的供应商）</w:t>
      </w:r>
      <w:r>
        <w:rPr>
          <w:rFonts w:ascii="仿宋" w:hAnsi="仿宋" w:eastAsia="仿宋"/>
          <w:color w:val="auto"/>
          <w:sz w:val="24"/>
          <w:highlight w:val="none"/>
        </w:rPr>
        <w:t>。</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2.10编写磋商报告。磋商小组推荐成交候选供应商后，应向采购代理机构出具磋商报告。磋商报告应当包括以下主要内容：</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（1）邀请供应商参加采购活动的具体方式和相关情况；</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（2）响应文件开启日期和地点；</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（3）获取磋商文件的供应商名单和磋商小组成员名单；</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（4）评审情况记录和说明，包括对供应商的资格审查情况、供应商响应文件审查情况、磋商情况、报价情况等；</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（5）提出的成交候选供应商的排序名单及理由。</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2.12供应商澄清、说明</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2.12.2磋商小组要求供应商澄清、说明或者更正响应文件应当以书面形式作出。供应商的澄清、说明或者更正应当签字或者加盖公章，供应商为法人的，由其法定代表人或者代理人签字；供应商为其他组织的，由其负责人或者代理人签字；供应商为自然人的，由其本人</w:t>
      </w:r>
      <w:r>
        <w:rPr>
          <w:rFonts w:hint="eastAsia" w:ascii="仿宋" w:hAnsi="仿宋" w:eastAsia="仿宋"/>
          <w:color w:val="auto"/>
          <w:sz w:val="24"/>
          <w:highlight w:val="none"/>
        </w:rPr>
        <w:t>（经营者）</w:t>
      </w:r>
      <w:r>
        <w:rPr>
          <w:rFonts w:ascii="仿宋" w:hAnsi="仿宋" w:eastAsia="仿宋"/>
          <w:color w:val="auto"/>
          <w:sz w:val="24"/>
          <w:highlight w:val="none"/>
        </w:rPr>
        <w:t>或者代理人签字。由代理人签字的，应当附授权书（代理人为同一人的可不再提供）。</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2.13终止磋商采购活动。</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出现下列情形之一的，采购人或者采购代理机构应当终止竞争性磋商采购活动，发布项目终止公告并说明原因，重新开展采购活动：</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（1）因情况变化，不再符合规定的竞争性磋商采购方式适用情形的；</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（2）出现影响采购公正的违法、违规行为的；</w:t>
      </w:r>
    </w:p>
    <w:p>
      <w:pPr>
        <w:spacing w:line="400" w:lineRule="exact"/>
        <w:ind w:firstLine="360" w:firstLineChars="150"/>
        <w:rPr>
          <w:rFonts w:ascii="仿宋" w:hAnsi="仿宋" w:eastAsia="仿宋"/>
          <w:color w:val="auto"/>
          <w:sz w:val="24"/>
          <w:highlight w:val="none"/>
        </w:rPr>
      </w:pPr>
      <w:r>
        <w:rPr>
          <w:rFonts w:ascii="仿宋" w:hAnsi="仿宋" w:eastAsia="仿宋"/>
          <w:color w:val="auto"/>
          <w:sz w:val="24"/>
          <w:highlight w:val="none"/>
        </w:rPr>
        <w:t>（3）</w:t>
      </w:r>
      <w:r>
        <w:rPr>
          <w:rFonts w:hint="eastAsia" w:ascii="仿宋" w:hAnsi="仿宋" w:eastAsia="仿宋"/>
          <w:color w:val="auto"/>
          <w:sz w:val="24"/>
          <w:highlight w:val="none"/>
        </w:rPr>
        <w:t>除本章2.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和2.5.3的情况外，</w:t>
      </w:r>
      <w:r>
        <w:rPr>
          <w:rFonts w:ascii="仿宋" w:hAnsi="仿宋" w:eastAsia="仿宋"/>
          <w:color w:val="auto"/>
          <w:sz w:val="24"/>
          <w:highlight w:val="none"/>
        </w:rPr>
        <w:t>在采购过程中符合要求的供应商或者报价未超过采购预算的供应商不足3家的。</w:t>
      </w:r>
    </w:p>
    <w:p>
      <w:pPr>
        <w:pStyle w:val="4"/>
        <w:keepNext w:val="0"/>
        <w:keepLines w:val="0"/>
        <w:adjustRightInd w:val="0"/>
        <w:snapToGrid w:val="0"/>
        <w:spacing w:before="312" w:beforeLines="100" w:after="0" w:line="240" w:lineRule="auto"/>
        <w:ind w:firstLine="472" w:firstLineChars="196"/>
        <w:rPr>
          <w:rFonts w:ascii="仿宋" w:hAnsi="仿宋" w:eastAsia="仿宋"/>
          <w:color w:val="auto"/>
          <w:sz w:val="24"/>
          <w:szCs w:val="24"/>
          <w:highlight w:val="none"/>
        </w:rPr>
      </w:pPr>
      <w:bookmarkStart w:id="132" w:name="_Toc1668"/>
      <w:bookmarkStart w:id="133" w:name="_Toc36821002"/>
      <w:r>
        <w:rPr>
          <w:rFonts w:ascii="仿宋" w:hAnsi="仿宋" w:eastAsia="仿宋"/>
          <w:color w:val="auto"/>
          <w:sz w:val="24"/>
          <w:szCs w:val="24"/>
          <w:highlight w:val="none"/>
        </w:rPr>
        <w:t>3．综合评分</w:t>
      </w:r>
      <w:bookmarkEnd w:id="132"/>
      <w:bookmarkEnd w:id="133"/>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3.1本次综合评分的因素：</w:t>
      </w:r>
      <w:r>
        <w:rPr>
          <w:rFonts w:ascii="仿宋" w:hAnsi="仿宋" w:eastAsia="仿宋"/>
          <w:color w:val="auto"/>
          <w:szCs w:val="21"/>
          <w:highlight w:val="none"/>
        </w:rPr>
        <w:t>详见综合评分明细表</w:t>
      </w:r>
      <w:r>
        <w:rPr>
          <w:rFonts w:ascii="仿宋" w:hAnsi="仿宋" w:eastAsia="仿宋"/>
          <w:color w:val="auto"/>
          <w:sz w:val="24"/>
          <w:highlight w:val="none"/>
        </w:rPr>
        <w:t>。</w:t>
      </w:r>
    </w:p>
    <w:p>
      <w:pPr>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3.2 除价格因素外，磋商小组成员应当根据自身专业情况独立对每个有效供应商的响应文件进行评价、打分。技术、与技术有关的服务及其他技术类评分因素由技术方面磋商小组成员独立评分。财务状况及其他经济类评分因素由经济方面磋商小组成员独立评分。政府采购政策功能、政府采购合同主要条款及其他政策合同类的评分因素由法律方面磋商小组成员独立评分。采购人代表原则上对技术、与技术有关的服务及其他技术类评分因素独立评分。价格及其他不能明确区分的评分因素由磋商小组成员共同评分。</w:t>
      </w:r>
    </w:p>
    <w:p>
      <w:pPr>
        <w:pStyle w:val="14"/>
        <w:tabs>
          <w:tab w:val="left" w:pos="600"/>
        </w:tabs>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3.3综合评分明细表</w:t>
      </w:r>
    </w:p>
    <w:p>
      <w:pPr>
        <w:pStyle w:val="14"/>
        <w:tabs>
          <w:tab w:val="left" w:pos="600"/>
        </w:tabs>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3.3.1综合评分明细表的制定以科学合理、降低评委会自由裁量权为原则。</w:t>
      </w:r>
    </w:p>
    <w:p>
      <w:pPr>
        <w:pStyle w:val="14"/>
        <w:tabs>
          <w:tab w:val="left" w:pos="600"/>
        </w:tabs>
        <w:spacing w:line="400" w:lineRule="exact"/>
        <w:ind w:firstLine="480" w:firstLineChars="200"/>
        <w:rPr>
          <w:rFonts w:ascii="仿宋" w:hAnsi="仿宋" w:eastAsia="仿宋"/>
          <w:color w:val="auto"/>
          <w:sz w:val="24"/>
          <w:szCs w:val="24"/>
          <w:highlight w:val="none"/>
        </w:rPr>
      </w:pPr>
      <w:bookmarkStart w:id="134" w:name="_Toc36821003"/>
      <w:r>
        <w:rPr>
          <w:rFonts w:ascii="仿宋" w:hAnsi="仿宋" w:eastAsia="仿宋"/>
          <w:color w:val="auto"/>
          <w:sz w:val="24"/>
          <w:szCs w:val="24"/>
          <w:highlight w:val="none"/>
        </w:rPr>
        <w:t>3.3.2综合评分明细表</w:t>
      </w:r>
      <w:bookmarkEnd w:id="134"/>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90"/>
        <w:gridCol w:w="850"/>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评分因素</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6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jc w:val="center"/>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rPr>
            </w:pPr>
            <w:r>
              <w:rPr>
                <w:rFonts w:hint="default" w:ascii="仿宋" w:hAnsi="仿宋" w:eastAsia="仿宋" w:cs="仿宋"/>
                <w:color w:val="auto"/>
                <w:sz w:val="24"/>
                <w:highlight w:val="none"/>
              </w:rPr>
              <w:t>10</w:t>
            </w:r>
            <w:r>
              <w:rPr>
                <w:rFonts w:hint="eastAsia" w:ascii="仿宋" w:hAnsi="仿宋" w:eastAsia="仿宋" w:cs="仿宋"/>
                <w:color w:val="auto"/>
                <w:sz w:val="24"/>
                <w:highlight w:val="none"/>
              </w:rPr>
              <w:t>分</w:t>
            </w:r>
          </w:p>
        </w:tc>
        <w:tc>
          <w:tcPr>
            <w:tcW w:w="6165"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rPr>
              <w:t>以本次有效的最低最后磋商报价为基准价，磋商报价得分=(磋商基准价／最后磋商报价)×</w:t>
            </w:r>
            <w:r>
              <w:rPr>
                <w:rFonts w:hint="eastAsia" w:ascii="仿宋" w:hAnsi="仿宋" w:eastAsia="仿宋" w:cs="仿宋"/>
                <w:color w:val="auto"/>
                <w:kern w:val="0"/>
                <w:sz w:val="24"/>
                <w:highlight w:val="none"/>
                <w:lang w:val="en-US" w:eastAsia="zh-CN"/>
              </w:rPr>
              <w:t>10</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eastAsia="zh-CN" w:bidi="ar"/>
              </w:rPr>
              <w:t>服务响应</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default" w:ascii="仿宋" w:hAnsi="仿宋" w:eastAsia="仿宋" w:cs="仿宋"/>
                <w:color w:val="auto"/>
                <w:sz w:val="24"/>
                <w:highlight w:val="none"/>
                <w:lang w:val="en-US" w:eastAsia="zh-CN" w:bidi="ar"/>
              </w:rPr>
            </w:pPr>
            <w:r>
              <w:rPr>
                <w:rFonts w:hint="eastAsia" w:ascii="仿宋" w:hAnsi="仿宋" w:eastAsia="仿宋" w:cs="仿宋"/>
                <w:color w:val="auto"/>
                <w:sz w:val="24"/>
                <w:highlight w:val="none"/>
                <w:lang w:val="en-US" w:eastAsia="zh-CN" w:bidi="ar"/>
              </w:rPr>
              <w:t>21分</w:t>
            </w:r>
          </w:p>
        </w:tc>
        <w:tc>
          <w:tcPr>
            <w:tcW w:w="6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jc w:val="left"/>
              <w:textAlignment w:val="auto"/>
              <w:rPr>
                <w:rFonts w:hint="default"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供应商完全响应磋商文件第五章 采购项目技术、服务、政府采购合同内容条款及其他商务要求 二、场地要求及设施设备要求 的要求得21分，每有一项负偏离扣3分，本项扣完为止。</w:t>
            </w:r>
            <w:r>
              <w:rPr>
                <w:rFonts w:hint="eastAsia" w:ascii="仿宋" w:hAnsi="仿宋" w:eastAsia="仿宋" w:cs="仿宋"/>
                <w:b w:val="0"/>
                <w:bCs w:val="0"/>
                <w:color w:val="auto"/>
                <w:kern w:val="2"/>
                <w:sz w:val="24"/>
                <w:szCs w:val="24"/>
                <w:highlight w:val="none"/>
                <w:lang w:val="en-US" w:eastAsia="zh-CN"/>
              </w:rPr>
              <w:br w:type="textWrapping"/>
            </w:r>
            <w:r>
              <w:rPr>
                <w:rFonts w:hint="eastAsia" w:ascii="仿宋" w:hAnsi="仿宋" w:eastAsia="仿宋" w:cs="仿宋"/>
                <w:b/>
                <w:bCs/>
                <w:color w:val="auto"/>
                <w:kern w:val="2"/>
                <w:sz w:val="24"/>
                <w:szCs w:val="24"/>
                <w:highlight w:val="none"/>
                <w:lang w:val="en-US" w:eastAsia="zh-CN"/>
              </w:rPr>
              <w:t>注：以“1、”“2”、“3”...计算项数，共7项。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场地现状描述</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bidi="ar"/>
              </w:rPr>
              <w:t>18</w:t>
            </w:r>
            <w:r>
              <w:rPr>
                <w:rFonts w:hint="eastAsia" w:ascii="仿宋" w:hAnsi="仿宋" w:eastAsia="仿宋" w:cs="仿宋"/>
                <w:color w:val="auto"/>
                <w:sz w:val="24"/>
                <w:highlight w:val="none"/>
                <w:lang w:bidi="ar"/>
              </w:rPr>
              <w:t>分</w:t>
            </w:r>
          </w:p>
        </w:tc>
        <w:tc>
          <w:tcPr>
            <w:tcW w:w="6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根据供应商提供的场地现状描述包括：①现场照片及平面图；②地理位置；③空间结构等内容进行评审，</w:t>
            </w:r>
            <w:r>
              <w:rPr>
                <w:rFonts w:hint="eastAsia" w:ascii="仿宋" w:hAnsi="仿宋" w:eastAsia="仿宋" w:cs="仿宋"/>
                <w:color w:val="auto"/>
                <w:sz w:val="24"/>
                <w:highlight w:val="none"/>
              </w:rPr>
              <w:t>内容完整且完全切合</w:t>
            </w:r>
            <w:r>
              <w:rPr>
                <w:rFonts w:hint="eastAsia" w:ascii="仿宋" w:hAnsi="仿宋" w:eastAsia="仿宋" w:cs="仿宋"/>
                <w:color w:val="auto"/>
                <w:sz w:val="24"/>
                <w:highlight w:val="none"/>
                <w:lang w:eastAsia="zh-CN"/>
              </w:rPr>
              <w:t>采购需</w:t>
            </w:r>
            <w:r>
              <w:rPr>
                <w:rFonts w:hint="eastAsia" w:ascii="仿宋" w:hAnsi="仿宋" w:eastAsia="仿宋" w:cs="仿宋"/>
                <w:color w:val="auto"/>
                <w:sz w:val="24"/>
                <w:highlight w:val="none"/>
              </w:rPr>
              <w:t>求的得</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分，内容每有一项缺失扣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分；内容</w:t>
            </w:r>
            <w:r>
              <w:rPr>
                <w:rFonts w:hint="eastAsia" w:ascii="仿宋" w:hAnsi="仿宋" w:eastAsia="仿宋" w:cs="仿宋"/>
                <w:color w:val="auto"/>
                <w:sz w:val="24"/>
                <w:highlight w:val="none"/>
                <w:lang w:eastAsia="zh-CN"/>
              </w:rPr>
              <w:t>不够清楚或不详细扣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服务方案</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18分</w:t>
            </w:r>
          </w:p>
        </w:tc>
        <w:tc>
          <w:tcPr>
            <w:tcW w:w="61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firstLine="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供应商针对本项目特点，提供项目实施方案（至少包含</w:t>
            </w:r>
            <w:r>
              <w:rPr>
                <w:rFonts w:hint="eastAsia" w:ascii="仿宋" w:hAnsi="仿宋" w:eastAsia="仿宋" w:cs="仿宋"/>
                <w:color w:val="auto"/>
                <w:sz w:val="24"/>
                <w:szCs w:val="24"/>
                <w:highlight w:val="none"/>
              </w:rPr>
              <w:t>①</w:t>
            </w:r>
            <w:r>
              <w:rPr>
                <w:rFonts w:hint="eastAsia" w:ascii="仿宋" w:hAnsi="仿宋" w:eastAsia="仿宋" w:cs="仿宋"/>
                <w:color w:val="auto"/>
                <w:sz w:val="24"/>
                <w:highlight w:val="none"/>
              </w:rPr>
              <w:t>对接场地使用方案</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highlight w:val="none"/>
              </w:rPr>
              <w:t>服务保障体系</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highlight w:val="none"/>
              </w:rPr>
              <w:t>项目服务团队），内容完整且完全切合</w:t>
            </w:r>
            <w:r>
              <w:rPr>
                <w:rFonts w:hint="eastAsia" w:ascii="仿宋" w:hAnsi="仿宋" w:eastAsia="仿宋" w:cs="仿宋"/>
                <w:color w:val="auto"/>
                <w:sz w:val="24"/>
                <w:highlight w:val="none"/>
                <w:lang w:eastAsia="zh-CN"/>
              </w:rPr>
              <w:t>采购需</w:t>
            </w:r>
            <w:r>
              <w:rPr>
                <w:rFonts w:hint="eastAsia" w:ascii="仿宋" w:hAnsi="仿宋" w:eastAsia="仿宋" w:cs="仿宋"/>
                <w:color w:val="auto"/>
                <w:sz w:val="24"/>
                <w:highlight w:val="none"/>
              </w:rPr>
              <w:t>求的得</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分，方案内容每有一项缺失扣</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分；方案内容每有一项存在缺陷或不合理扣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分；本项扣完为止。</w:t>
            </w:r>
          </w:p>
          <w:p>
            <w:pPr>
              <w:pStyle w:val="2"/>
              <w:keepNext w:val="0"/>
              <w:keepLines w:val="0"/>
              <w:pageBreakBefore w:val="0"/>
              <w:kinsoku/>
              <w:wordWrap/>
              <w:overflowPunct/>
              <w:topLinePunct w:val="0"/>
              <w:autoSpaceDE/>
              <w:autoSpaceDN/>
              <w:bidi w:val="0"/>
              <w:adjustRightInd w:val="0"/>
              <w:snapToGrid w:val="0"/>
              <w:spacing w:after="0" w:afterLines="0" w:line="360" w:lineRule="auto"/>
              <w:ind w:left="0" w:firstLine="0"/>
              <w:textAlignment w:val="auto"/>
              <w:rPr>
                <w:rFonts w:hint="eastAsia" w:ascii="仿宋" w:hAnsi="仿宋" w:eastAsia="仿宋" w:cs="仿宋"/>
                <w:color w:val="auto"/>
                <w:sz w:val="24"/>
                <w:highlight w:val="none"/>
                <w:lang w:eastAsia="zh-CN"/>
              </w:rPr>
            </w:pPr>
            <w:r>
              <w:rPr>
                <w:rFonts w:hint="eastAsia" w:ascii="仿宋" w:hAnsi="仿宋" w:eastAsia="仿宋" w:cs="仿宋"/>
                <w:b/>
                <w:bCs/>
                <w:color w:val="auto"/>
                <w:kern w:val="2"/>
                <w:sz w:val="24"/>
                <w:szCs w:val="24"/>
                <w:highlight w:val="none"/>
                <w:lang w:val="en-US" w:eastAsia="zh-CN"/>
              </w:rPr>
              <w:t>注：有缺陷或不合理是指方案存在不适用项目实际情况的情形、套用其他方案、凭空编造、逻辑漏洞、科学原理错误以及不可能实现的夸大情形等情况。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安全、应急管理方案</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分</w:t>
            </w:r>
          </w:p>
        </w:tc>
        <w:tc>
          <w:tcPr>
            <w:tcW w:w="616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color w:val="auto"/>
                <w:sz w:val="24"/>
                <w:szCs w:val="24"/>
                <w:highlight w:val="none"/>
              </w:rPr>
              <w:t>根据供应商提供的安全应急方案进行综合评分，包括但不限于①防疫方案</w:t>
            </w:r>
            <w:r>
              <w:rPr>
                <w:rFonts w:hint="eastAsia" w:ascii="仿宋" w:hAnsi="仿宋" w:eastAsia="仿宋" w:cs="仿宋"/>
                <w:color w:val="auto"/>
                <w:sz w:val="24"/>
                <w:szCs w:val="24"/>
                <w:highlight w:val="none"/>
                <w:lang w:eastAsia="zh-CN"/>
              </w:rPr>
              <w:t>；②</w:t>
            </w:r>
            <w:r>
              <w:rPr>
                <w:rFonts w:hint="eastAsia" w:ascii="仿宋" w:hAnsi="仿宋" w:eastAsia="仿宋" w:cs="仿宋"/>
                <w:color w:val="auto"/>
                <w:sz w:val="24"/>
                <w:szCs w:val="24"/>
                <w:highlight w:val="none"/>
              </w:rPr>
              <w:t>医疗方案</w:t>
            </w:r>
            <w:r>
              <w:rPr>
                <w:rFonts w:hint="eastAsia" w:ascii="仿宋" w:hAnsi="仿宋" w:eastAsia="仿宋" w:cs="仿宋"/>
                <w:color w:val="auto"/>
                <w:sz w:val="24"/>
                <w:szCs w:val="24"/>
                <w:highlight w:val="none"/>
                <w:lang w:eastAsia="zh-CN"/>
              </w:rPr>
              <w:t>；③</w:t>
            </w:r>
            <w:r>
              <w:rPr>
                <w:rFonts w:hint="eastAsia" w:ascii="仿宋" w:hAnsi="仿宋" w:eastAsia="仿宋" w:cs="仿宋"/>
                <w:color w:val="auto"/>
                <w:sz w:val="24"/>
                <w:szCs w:val="24"/>
                <w:highlight w:val="none"/>
              </w:rPr>
              <w:t>消防方案</w:t>
            </w:r>
            <w:r>
              <w:rPr>
                <w:rFonts w:hint="eastAsia" w:ascii="仿宋" w:hAnsi="仿宋" w:eastAsia="仿宋" w:cs="仿宋"/>
                <w:color w:val="auto"/>
                <w:sz w:val="24"/>
                <w:szCs w:val="24"/>
                <w:highlight w:val="none"/>
                <w:lang w:eastAsia="zh-CN"/>
              </w:rPr>
              <w:t>；④</w:t>
            </w:r>
            <w:r>
              <w:rPr>
                <w:rFonts w:hint="eastAsia" w:ascii="仿宋" w:hAnsi="仿宋" w:eastAsia="仿宋" w:cs="仿宋"/>
                <w:color w:val="auto"/>
                <w:sz w:val="24"/>
                <w:szCs w:val="24"/>
                <w:highlight w:val="none"/>
              </w:rPr>
              <w:t>应急预案</w:t>
            </w:r>
            <w:r>
              <w:rPr>
                <w:rFonts w:hint="eastAsia" w:ascii="仿宋" w:hAnsi="仿宋" w:eastAsia="仿宋" w:cs="仿宋"/>
                <w:color w:val="auto"/>
                <w:sz w:val="24"/>
                <w:szCs w:val="24"/>
                <w:highlight w:val="none"/>
                <w:lang w:eastAsia="zh-CN"/>
              </w:rPr>
              <w:t>；⑤</w:t>
            </w:r>
            <w:r>
              <w:rPr>
                <w:rFonts w:hint="eastAsia" w:ascii="仿宋" w:hAnsi="仿宋" w:eastAsia="仿宋" w:cs="仿宋"/>
                <w:color w:val="auto"/>
                <w:sz w:val="24"/>
                <w:szCs w:val="24"/>
                <w:highlight w:val="none"/>
              </w:rPr>
              <w:t>安保组织</w:t>
            </w:r>
            <w:r>
              <w:rPr>
                <w:rFonts w:hint="eastAsia" w:ascii="仿宋" w:hAnsi="仿宋" w:eastAsia="仿宋" w:cs="仿宋"/>
                <w:color w:val="auto"/>
                <w:sz w:val="24"/>
                <w:szCs w:val="24"/>
                <w:highlight w:val="none"/>
                <w:lang w:eastAsia="zh-CN"/>
              </w:rPr>
              <w:t>方案；⑥</w:t>
            </w:r>
            <w:r>
              <w:rPr>
                <w:rFonts w:hint="eastAsia" w:ascii="仿宋" w:hAnsi="仿宋" w:eastAsia="仿宋" w:cs="仿宋"/>
                <w:color w:val="auto"/>
                <w:sz w:val="24"/>
                <w:szCs w:val="24"/>
                <w:highlight w:val="none"/>
              </w:rPr>
              <w:t>活动结束后的后续事宜安排等</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每项内容</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且符合本项目实际需求的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24</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每有一项缺失</w:t>
            </w:r>
            <w:r>
              <w:rPr>
                <w:rFonts w:hint="eastAsia" w:ascii="仿宋" w:hAnsi="仿宋" w:eastAsia="仿宋" w:cs="仿宋"/>
                <w:color w:val="auto"/>
                <w:sz w:val="24"/>
                <w:szCs w:val="24"/>
                <w:highlight w:val="none"/>
                <w:lang w:val="en-US" w:eastAsia="zh-CN"/>
              </w:rPr>
              <w:t>扣4分，</w:t>
            </w:r>
            <w:r>
              <w:rPr>
                <w:rFonts w:hint="eastAsia" w:ascii="仿宋" w:hAnsi="仿宋" w:eastAsia="仿宋" w:cs="仿宋"/>
                <w:color w:val="auto"/>
                <w:sz w:val="24"/>
                <w:szCs w:val="24"/>
                <w:highlight w:val="none"/>
              </w:rPr>
              <w:t>每有一项表述不详尽或内容不符合实际情况</w:t>
            </w:r>
            <w:r>
              <w:rPr>
                <w:rFonts w:hint="eastAsia" w:ascii="仿宋" w:hAnsi="仿宋" w:eastAsia="仿宋" w:cs="仿宋"/>
                <w:color w:val="auto"/>
                <w:sz w:val="24"/>
                <w:szCs w:val="24"/>
                <w:highlight w:val="none"/>
                <w:lang w:val="en-US" w:eastAsia="zh-CN"/>
              </w:rPr>
              <w:t>或与需求不适应</w:t>
            </w:r>
            <w:r>
              <w:rPr>
                <w:rFonts w:hint="eastAsia" w:ascii="仿宋" w:hAnsi="仿宋" w:eastAsia="仿宋" w:cs="仿宋"/>
                <w:color w:val="auto"/>
                <w:sz w:val="24"/>
                <w:szCs w:val="24"/>
                <w:highlight w:val="none"/>
              </w:rPr>
              <w:t>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b w:val="0"/>
                <w:color w:val="auto"/>
                <w:kern w:val="2"/>
                <w:sz w:val="24"/>
                <w:szCs w:val="24"/>
                <w:highlight w:val="none"/>
                <w:lang w:val="en-US"/>
              </w:rPr>
              <w:t>履约能力</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z w:val="24"/>
                <w:highlight w:val="none"/>
              </w:rPr>
            </w:pPr>
            <w:r>
              <w:rPr>
                <w:rFonts w:hint="eastAsia" w:ascii="仿宋" w:hAnsi="仿宋" w:eastAsia="仿宋"/>
                <w:b w:val="0"/>
                <w:color w:val="auto"/>
                <w:kern w:val="2"/>
                <w:sz w:val="24"/>
                <w:szCs w:val="24"/>
                <w:highlight w:val="none"/>
                <w:lang w:val="en-US" w:eastAsia="zh-CN"/>
              </w:rPr>
              <w:t>9</w:t>
            </w:r>
            <w:r>
              <w:rPr>
                <w:rFonts w:hint="eastAsia" w:ascii="仿宋" w:hAnsi="仿宋" w:eastAsia="仿宋"/>
                <w:b w:val="0"/>
                <w:color w:val="auto"/>
                <w:kern w:val="2"/>
                <w:sz w:val="24"/>
                <w:szCs w:val="24"/>
                <w:highlight w:val="none"/>
                <w:lang w:val="en-US"/>
              </w:rPr>
              <w:t>分</w:t>
            </w:r>
          </w:p>
        </w:tc>
        <w:tc>
          <w:tcPr>
            <w:tcW w:w="6165" w:type="dxa"/>
            <w:noWrap w:val="0"/>
            <w:vAlign w:val="center"/>
          </w:tcPr>
          <w:p>
            <w:pPr>
              <w:snapToGrid/>
              <w:spacing w:line="312" w:lineRule="auto"/>
              <w:ind w:firstLine="0" w:firstLineChars="0"/>
              <w:rPr>
                <w:rFonts w:hint="eastAsia" w:ascii="仿宋" w:hAnsi="仿宋" w:eastAsia="仿宋"/>
                <w:b w:val="0"/>
                <w:color w:val="auto"/>
                <w:kern w:val="2"/>
                <w:sz w:val="24"/>
                <w:szCs w:val="24"/>
                <w:highlight w:val="none"/>
                <w:lang w:val="en-US"/>
              </w:rPr>
            </w:pPr>
            <w:r>
              <w:rPr>
                <w:rFonts w:hint="eastAsia" w:ascii="仿宋" w:hAnsi="仿宋" w:eastAsia="仿宋"/>
                <w:b w:val="0"/>
                <w:color w:val="auto"/>
                <w:kern w:val="2"/>
                <w:sz w:val="24"/>
                <w:szCs w:val="24"/>
                <w:highlight w:val="none"/>
                <w:lang w:val="en-US" w:eastAsia="zh-CN"/>
              </w:rPr>
              <w:t>供应商</w:t>
            </w:r>
            <w:r>
              <w:rPr>
                <w:rFonts w:hint="eastAsia" w:ascii="仿宋" w:hAnsi="仿宋" w:eastAsia="仿宋"/>
                <w:b w:val="0"/>
                <w:color w:val="auto"/>
                <w:kern w:val="2"/>
                <w:sz w:val="24"/>
                <w:szCs w:val="24"/>
                <w:highlight w:val="none"/>
                <w:lang w:val="en-US"/>
              </w:rPr>
              <w:t>提供2018年1月1日以来的类似业绩，每提供一个得</w:t>
            </w:r>
            <w:r>
              <w:rPr>
                <w:rFonts w:hint="eastAsia" w:ascii="仿宋" w:hAnsi="仿宋" w:eastAsia="仿宋"/>
                <w:b w:val="0"/>
                <w:color w:val="auto"/>
                <w:kern w:val="2"/>
                <w:sz w:val="24"/>
                <w:szCs w:val="24"/>
                <w:highlight w:val="none"/>
                <w:lang w:val="en-US" w:eastAsia="zh-CN"/>
              </w:rPr>
              <w:t>3</w:t>
            </w:r>
            <w:r>
              <w:rPr>
                <w:rFonts w:hint="eastAsia" w:ascii="仿宋" w:hAnsi="仿宋" w:eastAsia="仿宋"/>
                <w:b w:val="0"/>
                <w:color w:val="auto"/>
                <w:kern w:val="2"/>
                <w:sz w:val="24"/>
                <w:szCs w:val="24"/>
                <w:highlight w:val="none"/>
                <w:lang w:val="en-US"/>
              </w:rPr>
              <w:t>分，最多得</w:t>
            </w:r>
            <w:r>
              <w:rPr>
                <w:rFonts w:hint="eastAsia" w:ascii="仿宋" w:hAnsi="仿宋" w:eastAsia="仿宋"/>
                <w:b w:val="0"/>
                <w:color w:val="auto"/>
                <w:kern w:val="2"/>
                <w:sz w:val="24"/>
                <w:szCs w:val="24"/>
                <w:highlight w:val="none"/>
                <w:lang w:val="en-US" w:eastAsia="zh-CN"/>
              </w:rPr>
              <w:t>9</w:t>
            </w:r>
            <w:r>
              <w:rPr>
                <w:rFonts w:hint="eastAsia" w:ascii="仿宋" w:hAnsi="仿宋" w:eastAsia="仿宋"/>
                <w:b w:val="0"/>
                <w:color w:val="auto"/>
                <w:kern w:val="2"/>
                <w:sz w:val="24"/>
                <w:szCs w:val="24"/>
                <w:highlight w:val="none"/>
                <w:lang w:val="en-US"/>
              </w:rPr>
              <w:t>分。</w:t>
            </w:r>
          </w:p>
          <w:p>
            <w:pPr>
              <w:snapToGrid/>
              <w:spacing w:line="312" w:lineRule="auto"/>
              <w:ind w:firstLine="0" w:firstLineChars="0"/>
              <w:rPr>
                <w:rFonts w:hint="eastAsia" w:ascii="仿宋" w:hAnsi="仿宋" w:eastAsia="仿宋" w:cs="仿宋"/>
                <w:color w:val="auto"/>
                <w:sz w:val="24"/>
                <w:highlight w:val="none"/>
              </w:rPr>
            </w:pPr>
            <w:r>
              <w:rPr>
                <w:rFonts w:hint="eastAsia" w:ascii="仿宋" w:hAnsi="仿宋" w:eastAsia="仿宋"/>
                <w:b/>
                <w:bCs w:val="0"/>
                <w:color w:val="auto"/>
                <w:kern w:val="2"/>
                <w:sz w:val="24"/>
                <w:szCs w:val="24"/>
                <w:highlight w:val="none"/>
                <w:lang w:val="en-US"/>
              </w:rPr>
              <w:t>注：提供中标（成交）通知书复印件或合同复印件（加盖投标人公章）。</w:t>
            </w:r>
          </w:p>
        </w:tc>
      </w:tr>
    </w:tbl>
    <w:p>
      <w:pPr>
        <w:rPr>
          <w:rFonts w:ascii="仿宋" w:hAnsi="仿宋" w:eastAsia="仿宋"/>
          <w:color w:val="auto"/>
          <w:sz w:val="24"/>
          <w:highlight w:val="none"/>
        </w:rPr>
      </w:pPr>
      <w:r>
        <w:rPr>
          <w:rFonts w:ascii="仿宋" w:hAnsi="仿宋" w:eastAsia="仿宋"/>
          <w:color w:val="auto"/>
          <w:sz w:val="24"/>
          <w:highlight w:val="none"/>
        </w:rPr>
        <w:t>注：</w:t>
      </w:r>
    </w:p>
    <w:p>
      <w:pPr>
        <w:ind w:firstLine="480" w:firstLineChars="200"/>
        <w:rPr>
          <w:rFonts w:ascii="仿宋" w:hAnsi="仿宋" w:eastAsia="仿宋"/>
          <w:color w:val="auto"/>
          <w:sz w:val="24"/>
          <w:highlight w:val="none"/>
        </w:rPr>
      </w:pPr>
      <w:r>
        <w:rPr>
          <w:rFonts w:ascii="仿宋" w:hAnsi="仿宋" w:eastAsia="仿宋"/>
          <w:color w:val="auto"/>
          <w:sz w:val="24"/>
          <w:highlight w:val="none"/>
        </w:rPr>
        <w:t>1．评分的取值按四舍五入法，保留小数点后两位。</w:t>
      </w:r>
    </w:p>
    <w:bookmarkEnd w:id="125"/>
    <w:bookmarkEnd w:id="126"/>
    <w:bookmarkEnd w:id="127"/>
    <w:bookmarkEnd w:id="128"/>
    <w:p>
      <w:pPr>
        <w:ind w:firstLine="480" w:firstLineChars="200"/>
        <w:rPr>
          <w:rFonts w:ascii="仿宋" w:hAnsi="仿宋" w:eastAsia="仿宋"/>
          <w:color w:val="auto"/>
          <w:sz w:val="24"/>
          <w:highlight w:val="none"/>
        </w:rPr>
      </w:pPr>
      <w:r>
        <w:rPr>
          <w:rFonts w:ascii="仿宋" w:hAnsi="仿宋" w:eastAsia="仿宋"/>
          <w:color w:val="auto"/>
          <w:sz w:val="24"/>
          <w:highlight w:val="none"/>
        </w:rPr>
        <w:t>2．评审专家应对每个供应商每项评分因素给出详细的评审说明（报价评分项除外）。</w:t>
      </w:r>
    </w:p>
    <w:p>
      <w:pPr>
        <w:pStyle w:val="4"/>
        <w:keepNext w:val="0"/>
        <w:keepLines w:val="0"/>
        <w:adjustRightInd w:val="0"/>
        <w:snapToGrid w:val="0"/>
        <w:spacing w:before="312" w:beforeLines="100" w:after="0" w:line="240" w:lineRule="auto"/>
        <w:ind w:firstLine="472" w:firstLineChars="196"/>
        <w:rPr>
          <w:rFonts w:ascii="仿宋" w:hAnsi="仿宋" w:eastAsia="仿宋"/>
          <w:color w:val="auto"/>
          <w:sz w:val="24"/>
          <w:szCs w:val="24"/>
          <w:highlight w:val="none"/>
        </w:rPr>
      </w:pPr>
      <w:bookmarkStart w:id="135" w:name="_Toc17551"/>
      <w:bookmarkStart w:id="136" w:name="_Toc36821004"/>
      <w:r>
        <w:rPr>
          <w:rFonts w:ascii="仿宋" w:hAnsi="仿宋" w:eastAsia="仿宋"/>
          <w:color w:val="auto"/>
          <w:sz w:val="24"/>
          <w:szCs w:val="24"/>
          <w:highlight w:val="none"/>
        </w:rPr>
        <w:t>4．磋商纪律及注意事项</w:t>
      </w:r>
      <w:bookmarkEnd w:id="135"/>
      <w:bookmarkEnd w:id="136"/>
    </w:p>
    <w:p>
      <w:pPr>
        <w:tabs>
          <w:tab w:val="left" w:pos="851"/>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4.3对各供应商的商业秘密，磋商小组成员应予以保密，不得泄露给其他供应商。</w:t>
      </w:r>
    </w:p>
    <w:p>
      <w:pPr>
        <w:tabs>
          <w:tab w:val="left" w:pos="851"/>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4.4 磋商小组独立评判，推荐成交候选人，并写出书面报告。</w:t>
      </w:r>
    </w:p>
    <w:p>
      <w:pPr>
        <w:tabs>
          <w:tab w:val="left" w:pos="851"/>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4.5 磋商小组可根据需要对供应商进行实地考察。</w:t>
      </w:r>
    </w:p>
    <w:p>
      <w:pPr>
        <w:pStyle w:val="4"/>
        <w:keepNext w:val="0"/>
        <w:keepLines w:val="0"/>
        <w:adjustRightInd w:val="0"/>
        <w:snapToGrid w:val="0"/>
        <w:spacing w:before="312" w:beforeLines="100" w:after="0" w:line="240" w:lineRule="auto"/>
        <w:ind w:firstLine="472" w:firstLineChars="196"/>
        <w:rPr>
          <w:rFonts w:ascii="仿宋" w:hAnsi="仿宋" w:eastAsia="仿宋"/>
          <w:color w:val="auto"/>
          <w:sz w:val="24"/>
          <w:szCs w:val="24"/>
          <w:highlight w:val="none"/>
        </w:rPr>
      </w:pPr>
      <w:bookmarkStart w:id="137" w:name="_Toc9115"/>
      <w:bookmarkStart w:id="138" w:name="_Toc36821005"/>
      <w:r>
        <w:rPr>
          <w:rFonts w:ascii="仿宋" w:hAnsi="仿宋" w:eastAsia="仿宋"/>
          <w:color w:val="auto"/>
          <w:sz w:val="24"/>
          <w:szCs w:val="24"/>
          <w:highlight w:val="none"/>
        </w:rPr>
        <w:t>5</w:t>
      </w:r>
      <w:bookmarkEnd w:id="129"/>
      <w:r>
        <w:rPr>
          <w:rFonts w:ascii="仿宋" w:hAnsi="仿宋" w:eastAsia="仿宋"/>
          <w:color w:val="auto"/>
          <w:sz w:val="24"/>
          <w:szCs w:val="24"/>
          <w:highlight w:val="none"/>
        </w:rPr>
        <w:t>．磋商小组在政府采购活动中承担以下义务：</w:t>
      </w:r>
      <w:bookmarkEnd w:id="137"/>
      <w:bookmarkEnd w:id="138"/>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5.1遵守评审工作纪律；</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5.2按照客观、公正、审慎的原则，根据磋商文件规定的评审程序、评审方法和评审标准进行独立评审；</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5.3 不得泄露评审文件、评审情况和在评审过程中获悉的商业秘密；</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5.4及时向财政部门报告评审过程中发现的采购人、采购代理机构向评审专家做倾向性、误导性的解释或者说明，以及供应商行贿、提供虚假材料或者串通等违法行为；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5.5发现磋商文件内容违反国家有关强制性规定或者磋商文件存在歧义、重大缺陷导致评审工作无法进行时，停止评审并向采购人或者采购代理机构书面说明情况；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5.6 及时向财政、监察等部门举报在评审过程中受到非法干预的情况；</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5.7 配合答复处理供应商的询问、质疑和投诉等事项；</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5.8 法律、法规和规章规定的其他义务。</w:t>
      </w:r>
    </w:p>
    <w:p>
      <w:pPr>
        <w:pStyle w:val="4"/>
        <w:keepNext w:val="0"/>
        <w:keepLines w:val="0"/>
        <w:adjustRightInd w:val="0"/>
        <w:snapToGrid w:val="0"/>
        <w:spacing w:before="312" w:beforeLines="100" w:after="0" w:line="240" w:lineRule="auto"/>
        <w:ind w:firstLine="472" w:firstLineChars="196"/>
        <w:rPr>
          <w:rFonts w:ascii="仿宋" w:hAnsi="仿宋" w:eastAsia="仿宋"/>
          <w:color w:val="auto"/>
          <w:sz w:val="24"/>
          <w:szCs w:val="24"/>
          <w:highlight w:val="none"/>
        </w:rPr>
      </w:pPr>
      <w:bookmarkStart w:id="139" w:name="_Toc36821006"/>
      <w:bookmarkStart w:id="140" w:name="_Toc31449"/>
      <w:r>
        <w:rPr>
          <w:rFonts w:ascii="仿宋" w:hAnsi="仿宋" w:eastAsia="仿宋"/>
          <w:color w:val="auto"/>
          <w:sz w:val="24"/>
          <w:szCs w:val="24"/>
          <w:highlight w:val="none"/>
        </w:rPr>
        <w:t>6．评审专家在政府采购活动中应当遵守以下工作纪律：</w:t>
      </w:r>
      <w:bookmarkEnd w:id="139"/>
      <w:bookmarkEnd w:id="140"/>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6.1遵行《政府采购法》第十二条和《政府采购法实施条例》第九条及财政部关于回避的规定。</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6.2评审前，应当将通讯工具或者相关电子设备交由采购组织单位统一保管。</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6.3评审过程中，不得与外界联系，因发生不可预见情况，确实需要与外界联系的，应当在监督人员监督之下办理。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6.4评审过程中，不得干预或者影响正常评审工作，不得发表倾向性、引导性意见，不得修改或细化磋商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6.5在评审过程中和评审结束后，不得记录、复制或带走任何评审资料，除因履行《四川省政府采购评审工作规程（修订）》第十三条第（六）项规定的义务，不得向外界透露评审内容。</w:t>
      </w:r>
    </w:p>
    <w:p>
      <w:pPr>
        <w:tabs>
          <w:tab w:val="left" w:pos="7665"/>
        </w:tabs>
        <w:spacing w:line="4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6.6服从评审现场采购组织单位的现场秩序管理，接受评审现场监督人员的合法监督。</w:t>
      </w:r>
    </w:p>
    <w:p>
      <w:pPr>
        <w:tabs>
          <w:tab w:val="left" w:pos="7665"/>
        </w:tabs>
        <w:spacing w:line="400" w:lineRule="exact"/>
        <w:ind w:firstLine="480" w:firstLineChars="200"/>
        <w:rPr>
          <w:rFonts w:ascii="仿宋" w:hAnsi="仿宋" w:eastAsia="仿宋"/>
          <w:color w:val="auto"/>
          <w:sz w:val="24"/>
          <w:highlight w:val="none"/>
        </w:rPr>
        <w:sectPr>
          <w:pgSz w:w="11907" w:h="16840"/>
          <w:pgMar w:top="1418" w:right="1134" w:bottom="1418" w:left="1701" w:header="850" w:footer="567" w:gutter="0"/>
          <w:cols w:space="720" w:num="1"/>
          <w:docGrid w:type="lines" w:linePitch="312" w:charSpace="0"/>
        </w:sectPr>
      </w:pPr>
      <w:r>
        <w:rPr>
          <w:rFonts w:ascii="仿宋" w:hAnsi="仿宋" w:eastAsia="仿宋"/>
          <w:color w:val="auto"/>
          <w:sz w:val="24"/>
          <w:highlight w:val="none"/>
        </w:rPr>
        <w:t>6.7遵守有关廉洁自律规定，不得私下接触供应商，不得收受供应商及有关业务单位和个人的财物或好处，不得接受采购组织单位的请托。</w:t>
      </w:r>
    </w:p>
    <w:p>
      <w:pPr>
        <w:pStyle w:val="3"/>
        <w:widowControl/>
        <w:adjustRightInd w:val="0"/>
        <w:snapToGrid w:val="0"/>
        <w:spacing w:before="156" w:beforeLines="50" w:after="0" w:line="360" w:lineRule="auto"/>
        <w:jc w:val="center"/>
        <w:rPr>
          <w:rFonts w:ascii="仿宋" w:hAnsi="仿宋" w:eastAsia="仿宋"/>
          <w:color w:val="auto"/>
          <w:sz w:val="32"/>
          <w:szCs w:val="32"/>
          <w:highlight w:val="none"/>
        </w:rPr>
      </w:pPr>
      <w:bookmarkStart w:id="141" w:name="_Toc6185"/>
      <w:bookmarkStart w:id="142" w:name="_Toc36821007"/>
      <w:bookmarkStart w:id="143" w:name="_Toc508714410"/>
      <w:r>
        <w:rPr>
          <w:rFonts w:ascii="仿宋" w:hAnsi="仿宋" w:eastAsia="仿宋"/>
          <w:color w:val="auto"/>
          <w:sz w:val="32"/>
          <w:szCs w:val="32"/>
          <w:highlight w:val="none"/>
        </w:rPr>
        <w:t>第十章  政府采购合同（草案）</w:t>
      </w:r>
      <w:bookmarkEnd w:id="141"/>
      <w:bookmarkEnd w:id="142"/>
      <w:bookmarkEnd w:id="143"/>
    </w:p>
    <w:bookmarkEnd w:id="106"/>
    <w:bookmarkEnd w:id="107"/>
    <w:bookmarkEnd w:id="108"/>
    <w:p>
      <w:pPr>
        <w:pStyle w:val="68"/>
        <w:spacing w:line="360" w:lineRule="auto"/>
        <w:ind w:firstLine="480"/>
        <w:rPr>
          <w:rFonts w:ascii="仿宋" w:hAnsi="仿宋" w:eastAsia="仿宋" w:cs="Times New Roman"/>
          <w:color w:val="auto"/>
          <w:highlight w:val="none"/>
        </w:rPr>
      </w:pPr>
      <w:bookmarkStart w:id="144" w:name="_Hlt101846155"/>
      <w:bookmarkEnd w:id="144"/>
      <w:r>
        <w:rPr>
          <w:rFonts w:ascii="仿宋" w:hAnsi="仿宋" w:eastAsia="仿宋" w:cs="Times New Roman"/>
          <w:color w:val="auto"/>
          <w:highlight w:val="none"/>
        </w:rPr>
        <w:t>合同编号：</w:t>
      </w:r>
      <w:r>
        <w:rPr>
          <w:rFonts w:ascii="仿宋" w:hAnsi="仿宋" w:eastAsia="仿宋" w:cs="Times New Roman"/>
          <w:color w:val="auto"/>
          <w:highlight w:val="none"/>
          <w:u w:val="single"/>
        </w:rPr>
        <w:t xml:space="preserve">                 </w:t>
      </w:r>
    </w:p>
    <w:p>
      <w:pPr>
        <w:pStyle w:val="68"/>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签订地点：</w:t>
      </w:r>
      <w:r>
        <w:rPr>
          <w:rFonts w:ascii="仿宋" w:hAnsi="仿宋" w:eastAsia="仿宋" w:cs="Times New Roman"/>
          <w:color w:val="auto"/>
          <w:highlight w:val="none"/>
          <w:u w:val="single"/>
        </w:rPr>
        <w:t xml:space="preserve">                 </w:t>
      </w:r>
    </w:p>
    <w:p>
      <w:pPr>
        <w:pStyle w:val="68"/>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签订时间：</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年</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月</w:t>
      </w:r>
      <w:r>
        <w:rPr>
          <w:rFonts w:ascii="仿宋" w:hAnsi="仿宋" w:eastAsia="仿宋" w:cs="Times New Roman"/>
          <w:color w:val="auto"/>
          <w:highlight w:val="none"/>
          <w:u w:val="single"/>
        </w:rPr>
        <w:t xml:space="preserve">    </w:t>
      </w:r>
      <w:r>
        <w:rPr>
          <w:rFonts w:ascii="仿宋" w:hAnsi="仿宋" w:eastAsia="仿宋" w:cs="Times New Roman"/>
          <w:color w:val="auto"/>
          <w:highlight w:val="none"/>
        </w:rPr>
        <w:t>日</w:t>
      </w:r>
    </w:p>
    <w:p>
      <w:pPr>
        <w:pStyle w:val="68"/>
        <w:spacing w:line="360" w:lineRule="auto"/>
        <w:ind w:firstLine="480"/>
        <w:rPr>
          <w:rFonts w:hint="eastAsia" w:ascii="仿宋" w:hAnsi="仿宋" w:eastAsia="仿宋" w:cs="Times New Roman"/>
          <w:color w:val="auto"/>
          <w:highlight w:val="none"/>
          <w:lang w:eastAsia="zh-CN"/>
        </w:rPr>
      </w:pPr>
      <w:r>
        <w:rPr>
          <w:rFonts w:ascii="仿宋" w:hAnsi="仿宋" w:eastAsia="仿宋" w:cs="Times New Roman"/>
          <w:color w:val="auto"/>
          <w:highlight w:val="none"/>
        </w:rPr>
        <w:t>采购人（甲方）：</w:t>
      </w:r>
      <w:r>
        <w:rPr>
          <w:rFonts w:hint="eastAsia" w:ascii="仿宋" w:hAnsi="仿宋" w:eastAsia="仿宋" w:cs="Times New Roman"/>
          <w:color w:val="auto"/>
          <w:highlight w:val="none"/>
          <w:u w:val="single"/>
          <w:lang w:eastAsia="zh-CN"/>
        </w:rPr>
        <w:t>成都交响乐团</w:t>
      </w:r>
    </w:p>
    <w:p>
      <w:pPr>
        <w:pStyle w:val="68"/>
        <w:spacing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供应商（乙方）：</w:t>
      </w:r>
      <w:r>
        <w:rPr>
          <w:rFonts w:ascii="仿宋" w:hAnsi="仿宋" w:eastAsia="仿宋" w:cs="Times New Roman"/>
          <w:color w:val="auto"/>
          <w:highlight w:val="none"/>
          <w:u w:val="single"/>
        </w:rPr>
        <w:t xml:space="preserve">                             </w:t>
      </w:r>
    </w:p>
    <w:p>
      <w:pPr>
        <w:rPr>
          <w:rFonts w:ascii="仿宋" w:hAnsi="仿宋" w:eastAsia="仿宋"/>
          <w:color w:val="auto"/>
          <w:highlight w:val="none"/>
        </w:rPr>
      </w:pPr>
    </w:p>
    <w:p>
      <w:pPr>
        <w:rPr>
          <w:rFonts w:ascii="仿宋" w:hAnsi="仿宋" w:eastAsia="仿宋"/>
          <w:color w:val="auto"/>
          <w:highlight w:val="none"/>
        </w:rPr>
      </w:pPr>
    </w:p>
    <w:p>
      <w:pPr>
        <w:widowControl/>
        <w:spacing w:line="360" w:lineRule="auto"/>
        <w:ind w:firstLine="480"/>
        <w:jc w:val="left"/>
        <w:rPr>
          <w:rFonts w:ascii="仿宋" w:hAnsi="仿宋" w:eastAsia="仿宋"/>
          <w:color w:val="auto"/>
          <w:kern w:val="0"/>
          <w:sz w:val="24"/>
          <w:highlight w:val="none"/>
        </w:rPr>
      </w:pPr>
      <w:r>
        <w:rPr>
          <w:rFonts w:ascii="仿宋" w:hAnsi="仿宋" w:eastAsia="仿宋"/>
          <w:color w:val="auto"/>
          <w:kern w:val="0"/>
          <w:sz w:val="24"/>
          <w:highlight w:val="none"/>
        </w:rPr>
        <w:t>根据《中华人民共和国政府采购法》、《</w:t>
      </w:r>
      <w:r>
        <w:rPr>
          <w:rFonts w:hint="eastAsia" w:ascii="仿宋" w:hAnsi="仿宋" w:eastAsia="仿宋"/>
          <w:color w:val="auto"/>
          <w:kern w:val="0"/>
          <w:sz w:val="24"/>
          <w:highlight w:val="none"/>
        </w:rPr>
        <w:t>中华人民共和国民法典</w:t>
      </w:r>
      <w:r>
        <w:rPr>
          <w:rFonts w:ascii="仿宋" w:hAnsi="仿宋" w:eastAsia="仿宋"/>
          <w:color w:val="auto"/>
          <w:kern w:val="0"/>
          <w:sz w:val="24"/>
          <w:highlight w:val="none"/>
        </w:rPr>
        <w:t>》及</w:t>
      </w:r>
      <w:r>
        <w:rPr>
          <w:rFonts w:hint="eastAsia" w:ascii="仿宋" w:hAnsi="仿宋" w:eastAsia="仿宋"/>
          <w:color w:val="auto"/>
          <w:kern w:val="0"/>
          <w:sz w:val="24"/>
          <w:highlight w:val="none"/>
          <w:u w:val="single"/>
          <w:lang w:eastAsia="zh-CN"/>
        </w:rPr>
        <w:t>成都交响乐团2022年3月至12月音乐季演出及排练场地租赁服务采购项目</w:t>
      </w:r>
      <w:r>
        <w:rPr>
          <w:rFonts w:ascii="仿宋" w:hAnsi="仿宋" w:eastAsia="仿宋"/>
          <w:color w:val="auto"/>
          <w:kern w:val="0"/>
          <w:sz w:val="24"/>
          <w:highlight w:val="none"/>
        </w:rPr>
        <w:t>（采购项目编号：</w:t>
      </w:r>
      <w:r>
        <w:rPr>
          <w:rFonts w:hint="eastAsia" w:ascii="仿宋" w:hAnsi="仿宋" w:eastAsia="仿宋"/>
          <w:color w:val="auto"/>
          <w:kern w:val="0"/>
          <w:sz w:val="24"/>
          <w:highlight w:val="none"/>
          <w:lang w:eastAsia="zh-CN"/>
        </w:rPr>
        <w:t>510101202200058</w:t>
      </w:r>
      <w:r>
        <w:rPr>
          <w:rFonts w:ascii="仿宋" w:hAnsi="仿宋" w:eastAsia="仿宋"/>
          <w:color w:val="auto"/>
          <w:kern w:val="0"/>
          <w:sz w:val="24"/>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第一条</w:t>
      </w:r>
      <w:r>
        <w:rPr>
          <w:rFonts w:hint="eastAsia" w:ascii="仿宋" w:hAnsi="仿宋" w:eastAsia="仿宋"/>
          <w:b/>
          <w:color w:val="auto"/>
          <w:kern w:val="0"/>
          <w:sz w:val="24"/>
          <w:szCs w:val="20"/>
          <w:highlight w:val="none"/>
        </w:rPr>
        <w:t xml:space="preserve">  </w:t>
      </w:r>
      <w:r>
        <w:rPr>
          <w:rFonts w:ascii="仿宋" w:hAnsi="仿宋" w:eastAsia="仿宋"/>
          <w:b/>
          <w:color w:val="auto"/>
          <w:kern w:val="0"/>
          <w:sz w:val="24"/>
          <w:szCs w:val="20"/>
          <w:highlight w:val="none"/>
        </w:rPr>
        <w:t xml:space="preserve">合同文件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下列与本次采购活动有关的文件及附件是本合同不可分割的组成部分，与本合同具有同等法律效力，这些文件包括但不限于：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1．磋商文件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2．响应文件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3．乙方在响应时的书面承诺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4．成交通知书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5．合同补充条款或说明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 xml:space="preserve">6．保密协议或条款 </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7．相关附件</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第二条  合同期限</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委托服务期间自______年______月至______年______月止。</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第三条  服务内容与服务标准</w:t>
      </w:r>
    </w:p>
    <w:p>
      <w:pPr>
        <w:widowControl/>
        <w:spacing w:line="360" w:lineRule="auto"/>
        <w:ind w:firstLine="480"/>
        <w:jc w:val="left"/>
        <w:rPr>
          <w:rFonts w:ascii="仿宋" w:hAnsi="仿宋" w:eastAsia="仿宋"/>
          <w:color w:val="auto"/>
          <w:kern w:val="0"/>
          <w:sz w:val="24"/>
          <w:highlight w:val="none"/>
        </w:rPr>
      </w:pPr>
      <w:r>
        <w:rPr>
          <w:rFonts w:ascii="仿宋" w:hAnsi="仿宋" w:eastAsia="仿宋"/>
          <w:color w:val="auto"/>
          <w:kern w:val="0"/>
          <w:sz w:val="24"/>
          <w:highlight w:val="none"/>
        </w:rPr>
        <w:t>磋商文件要求、响应文件响应的服务内容（合同签订时明确）</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第四条  合同金额及支付方式</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4.1 合同金额为：人民币 （大写）_________________元（￥_______________元）。本合同执行期间合同金额不变，甲方无须另向乙方支付本合同规定之外的其他任何费用。</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4.2 支付方式：</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第五条  知识产权及承诺</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5.1 乙方保证所提供的服务或其任何一部分均不会侵犯任何第三方的专利权、商标权、著作权或其他合法权益，否则视为乙方违约，由此产生的一切损失由乙方承担。</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5.2 经甲乙双方协商一致，本项目产生的知识产权归</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拥有。</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第六条  甲方的权利与义务</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6.1 甲方有权对合同规定范围内乙方的服务进行督促，并要求乙方进行符合服务质量标准的修改。</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6.2 负责监督乙方服务的实施及执行情况。</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6.3 根据本合同规定，按时向乙方支付应付服务费用。</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6.4 国家法律、法规所规定由甲方承担的其它责任。</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第七条  乙方的权利与义务</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7.1 对委托服务范围内的项目有管理权及服务义务。按照服务内容和质量标准按时保质完成服务。</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7.2 根据本合同规定向甲方收取服务费用，并有权在项目管理范围内管理及合理使用。</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7.3 及时向甲方通告项目服务范围内有关服务的重大事项。</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7.4 国家法律、法规所规定由乙方承担的其它责任。</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第八条  违约责任</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8.1 甲乙双方必须遵守本合同并执行合同中的各项规定，保证本合同的合法正常履行。</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8.2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8.3 乙方提供的服务不符合磋商文件、报价文件或本合同规定的，每项违约乙方须向甲方支付本合同总价</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%的违约金。</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8.4 乙方未能按本合同规定时间提供服务，从逾期之日起每日按本合同总价</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‰的数额向甲方支付违约金；逾期半个月以上的，甲方有权解除合同，由此造成的甲方经济损失由乙方承担。</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8.5 甲方无正当理由拒收接受服务，到期拒付服务款项的，甲方向乙方偿付本合同总的</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%的违约金。甲方人逾期付款，则每日按本合同总价的  ‰向乙方偿付违约金。</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第九条  不可抗力</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第十条  争议的解决</w:t>
      </w:r>
    </w:p>
    <w:p>
      <w:pPr>
        <w:autoSpaceDE w:val="0"/>
        <w:autoSpaceDN w:val="0"/>
        <w:adjustRightInd w:val="0"/>
        <w:spacing w:line="360" w:lineRule="auto"/>
        <w:ind w:firstLine="48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在执行本合同中发生的或与本合同有关的争端，双方应通过友好协商解决，经协商在不能达成协议时，应选择以下第</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种解决方式：</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10.1 向成都仲裁委员会提起仲裁；</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10.2 向甲方所在地有管辖权的法院提起诉讼。</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在法院审理和仲裁期间，除有争议部分外，本合同其他部分可以履行的仍应按合同条款继续履行。</w:t>
      </w:r>
    </w:p>
    <w:p>
      <w:pPr>
        <w:autoSpaceDE w:val="0"/>
        <w:autoSpaceDN w:val="0"/>
        <w:spacing w:before="156" w:beforeLines="50" w:line="360" w:lineRule="auto"/>
        <w:ind w:firstLine="482" w:firstLineChars="200"/>
        <w:jc w:val="left"/>
        <w:rPr>
          <w:rFonts w:ascii="仿宋" w:hAnsi="仿宋" w:eastAsia="仿宋"/>
          <w:b/>
          <w:color w:val="auto"/>
          <w:kern w:val="0"/>
          <w:sz w:val="24"/>
          <w:szCs w:val="20"/>
          <w:highlight w:val="none"/>
        </w:rPr>
      </w:pPr>
      <w:r>
        <w:rPr>
          <w:rFonts w:ascii="仿宋" w:hAnsi="仿宋" w:eastAsia="仿宋"/>
          <w:b/>
          <w:color w:val="auto"/>
          <w:kern w:val="0"/>
          <w:sz w:val="24"/>
          <w:szCs w:val="20"/>
          <w:highlight w:val="none"/>
        </w:rPr>
        <w:t>第十一条  其他</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11.1  合同经双方法定代表人</w:t>
      </w:r>
      <w:r>
        <w:rPr>
          <w:rFonts w:hint="eastAsia" w:ascii="仿宋" w:hAnsi="仿宋" w:eastAsia="仿宋"/>
          <w:color w:val="auto"/>
          <w:sz w:val="24"/>
          <w:highlight w:val="none"/>
        </w:rPr>
        <w:t>（主要负责人/经营者）</w:t>
      </w:r>
      <w:r>
        <w:rPr>
          <w:rFonts w:ascii="仿宋" w:hAnsi="仿宋" w:eastAsia="仿宋"/>
          <w:color w:val="auto"/>
          <w:kern w:val="0"/>
          <w:sz w:val="24"/>
          <w:szCs w:val="20"/>
          <w:highlight w:val="none"/>
        </w:rPr>
        <w:t>或授权委托代理人签字并加盖单位公章后生效。合同一经生效，双方应诚信履行合同，除双方协商一致解除合同外，一方不得无理由解除合同。</w:t>
      </w:r>
    </w:p>
    <w:p>
      <w:pPr>
        <w:autoSpaceDE w:val="0"/>
        <w:autoSpaceDN w:val="0"/>
        <w:adjustRightInd w:val="0"/>
        <w:spacing w:line="360" w:lineRule="auto"/>
        <w:ind w:firstLine="480" w:firstLineChars="200"/>
        <w:jc w:val="left"/>
        <w:rPr>
          <w:rFonts w:ascii="仿宋" w:hAnsi="仿宋" w:eastAsia="仿宋"/>
          <w:color w:val="auto"/>
          <w:kern w:val="0"/>
          <w:sz w:val="24"/>
          <w:szCs w:val="20"/>
          <w:highlight w:val="none"/>
        </w:rPr>
      </w:pPr>
      <w:r>
        <w:rPr>
          <w:rFonts w:ascii="仿宋" w:hAnsi="仿宋" w:eastAsia="仿宋"/>
          <w:color w:val="auto"/>
          <w:kern w:val="0"/>
          <w:sz w:val="24"/>
          <w:szCs w:val="20"/>
          <w:highlight w:val="none"/>
        </w:rPr>
        <w:t>11.2  合同执行中涉及采购资金和采购内容修改或补充的，在符合《政府采购法》第49条的前提下，须经政府采购监管部门审批，签订书面补充协议后须报政府采购监督管理部门备案，方可作为主合同不可分割的一部分。</w:t>
      </w:r>
    </w:p>
    <w:p>
      <w:pPr>
        <w:autoSpaceDE w:val="0"/>
        <w:autoSpaceDN w:val="0"/>
        <w:adjustRightInd w:val="0"/>
        <w:spacing w:line="360" w:lineRule="auto"/>
        <w:ind w:firstLine="480" w:firstLineChars="200"/>
        <w:jc w:val="left"/>
        <w:rPr>
          <w:rFonts w:hint="eastAsia" w:ascii="仿宋" w:hAnsi="仿宋" w:eastAsia="仿宋"/>
          <w:color w:val="auto"/>
          <w:kern w:val="0"/>
          <w:sz w:val="24"/>
          <w:szCs w:val="20"/>
          <w:highlight w:val="none"/>
        </w:rPr>
      </w:pPr>
      <w:r>
        <w:rPr>
          <w:rFonts w:ascii="仿宋" w:hAnsi="仿宋" w:eastAsia="仿宋"/>
          <w:color w:val="auto"/>
          <w:kern w:val="0"/>
          <w:sz w:val="24"/>
          <w:szCs w:val="20"/>
          <w:highlight w:val="none"/>
        </w:rPr>
        <w:t>11.3  本合同一式</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份，自双方签章之日起起效。甲方</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份，乙方</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份，政府采购代理机构</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份，同级财政部门备案</w:t>
      </w:r>
      <w:r>
        <w:rPr>
          <w:rFonts w:ascii="仿宋" w:hAnsi="仿宋" w:eastAsia="仿宋"/>
          <w:color w:val="auto"/>
          <w:kern w:val="0"/>
          <w:sz w:val="24"/>
          <w:szCs w:val="20"/>
          <w:highlight w:val="none"/>
          <w:u w:val="single"/>
        </w:rPr>
        <w:t xml:space="preserve">   </w:t>
      </w:r>
      <w:r>
        <w:rPr>
          <w:rFonts w:ascii="仿宋" w:hAnsi="仿宋" w:eastAsia="仿宋"/>
          <w:color w:val="auto"/>
          <w:kern w:val="0"/>
          <w:sz w:val="24"/>
          <w:szCs w:val="20"/>
          <w:highlight w:val="none"/>
        </w:rPr>
        <w:t>份，具有同等法律效力。</w:t>
      </w:r>
    </w:p>
    <w:p>
      <w:pPr>
        <w:autoSpaceDE w:val="0"/>
        <w:autoSpaceDN w:val="0"/>
        <w:adjustRightInd w:val="0"/>
        <w:spacing w:line="360" w:lineRule="auto"/>
        <w:ind w:firstLine="480" w:firstLineChars="200"/>
        <w:jc w:val="left"/>
        <w:rPr>
          <w:rFonts w:hint="eastAsia" w:ascii="仿宋" w:hAnsi="仿宋" w:eastAsia="仿宋"/>
          <w:color w:val="auto"/>
          <w:kern w:val="0"/>
          <w:sz w:val="24"/>
          <w:szCs w:val="20"/>
          <w:highlight w:val="none"/>
        </w:rPr>
      </w:pPr>
      <w:r>
        <w:rPr>
          <w:rFonts w:ascii="仿宋" w:hAnsi="仿宋" w:eastAsia="仿宋"/>
          <w:color w:val="auto"/>
          <w:kern w:val="0"/>
          <w:sz w:val="24"/>
          <w:szCs w:val="20"/>
          <w:highlight w:val="none"/>
        </w:rPr>
        <w:t>11.</w:t>
      </w:r>
      <w:r>
        <w:rPr>
          <w:rFonts w:hint="eastAsia" w:ascii="仿宋" w:hAnsi="仿宋" w:eastAsia="仿宋"/>
          <w:color w:val="auto"/>
          <w:kern w:val="0"/>
          <w:sz w:val="24"/>
          <w:szCs w:val="20"/>
          <w:highlight w:val="none"/>
        </w:rPr>
        <w:t>4</w:t>
      </w:r>
      <w:r>
        <w:rPr>
          <w:rFonts w:ascii="仿宋" w:hAnsi="仿宋" w:eastAsia="仿宋"/>
          <w:color w:val="auto"/>
          <w:kern w:val="0"/>
          <w:sz w:val="24"/>
          <w:szCs w:val="20"/>
          <w:highlight w:val="none"/>
        </w:rPr>
        <w:t xml:space="preserve">  </w:t>
      </w:r>
      <w:r>
        <w:rPr>
          <w:rFonts w:hint="eastAsia" w:ascii="仿宋" w:hAnsi="仿宋" w:eastAsia="仿宋"/>
          <w:color w:val="auto"/>
          <w:kern w:val="0"/>
          <w:sz w:val="24"/>
          <w:szCs w:val="20"/>
          <w:highlight w:val="none"/>
        </w:rPr>
        <w:t>本合同为中小企业预留合同。</w:t>
      </w:r>
    </w:p>
    <w:p>
      <w:pPr>
        <w:widowControl/>
        <w:spacing w:before="156" w:beforeLines="50"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（本页以下无正文）</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（本页为签字页）</w:t>
      </w:r>
    </w:p>
    <w:p>
      <w:pPr>
        <w:widowControl/>
        <w:spacing w:line="360" w:lineRule="auto"/>
        <w:jc w:val="left"/>
        <w:rPr>
          <w:rFonts w:ascii="仿宋" w:hAnsi="仿宋" w:eastAsia="仿宋"/>
          <w:color w:val="auto"/>
          <w:kern w:val="0"/>
          <w:sz w:val="24"/>
          <w:highlight w:val="none"/>
        </w:rPr>
      </w:pP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甲  方：                                 乙  方：</w:t>
      </w:r>
    </w:p>
    <w:p>
      <w:pPr>
        <w:widowControl/>
        <w:spacing w:line="360" w:lineRule="auto"/>
        <w:ind w:left="4920" w:hanging="4920" w:hangingChars="2050"/>
        <w:jc w:val="left"/>
        <w:rPr>
          <w:rFonts w:ascii="仿宋" w:hAnsi="仿宋" w:eastAsia="仿宋"/>
          <w:color w:val="auto"/>
          <w:kern w:val="0"/>
          <w:sz w:val="24"/>
          <w:highlight w:val="none"/>
        </w:rPr>
      </w:pPr>
      <w:r>
        <w:rPr>
          <w:rFonts w:ascii="仿宋" w:hAnsi="仿宋" w:eastAsia="仿宋"/>
          <w:color w:val="auto"/>
          <w:kern w:val="0"/>
          <w:sz w:val="24"/>
          <w:highlight w:val="none"/>
        </w:rPr>
        <w:t>法定代表人（授权代表）：                 法定代表人</w:t>
      </w:r>
      <w:r>
        <w:rPr>
          <w:rFonts w:hint="eastAsia" w:ascii="仿宋" w:hAnsi="仿宋" w:eastAsia="仿宋"/>
          <w:color w:val="auto"/>
          <w:sz w:val="24"/>
          <w:highlight w:val="none"/>
        </w:rPr>
        <w:t>（主要负责人/经营者）</w:t>
      </w:r>
      <w:r>
        <w:rPr>
          <w:rFonts w:ascii="仿宋" w:hAnsi="仿宋" w:eastAsia="仿宋"/>
          <w:color w:val="auto"/>
          <w:kern w:val="0"/>
          <w:sz w:val="24"/>
          <w:highlight w:val="none"/>
        </w:rPr>
        <w:t>（授权代表）：</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地    址：                               地    址：</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开户银行：                               开户银行：</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账    号：                               账    号：</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电    话：                               电    话：</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传    真：                               传    真：</w:t>
      </w:r>
    </w:p>
    <w:p>
      <w:pPr>
        <w:widowControl/>
        <w:spacing w:line="360" w:lineRule="auto"/>
        <w:jc w:val="left"/>
        <w:rPr>
          <w:rFonts w:ascii="仿宋" w:hAnsi="仿宋" w:eastAsia="仿宋"/>
          <w:color w:val="auto"/>
          <w:kern w:val="0"/>
          <w:sz w:val="24"/>
          <w:highlight w:val="none"/>
        </w:rPr>
      </w:pPr>
      <w:r>
        <w:rPr>
          <w:rFonts w:ascii="仿宋" w:hAnsi="仿宋" w:eastAsia="仿宋"/>
          <w:color w:val="auto"/>
          <w:kern w:val="0"/>
          <w:sz w:val="24"/>
          <w:highlight w:val="none"/>
        </w:rPr>
        <w:t>签约日期：     年  月</w:t>
      </w: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 xml:space="preserve">日               </w:t>
      </w: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签约日期：    年  月</w:t>
      </w:r>
      <w:r>
        <w:rPr>
          <w:rFonts w:hint="eastAsia" w:ascii="仿宋" w:hAnsi="仿宋" w:eastAsia="仿宋"/>
          <w:color w:val="auto"/>
          <w:kern w:val="0"/>
          <w:sz w:val="24"/>
          <w:highlight w:val="none"/>
        </w:rPr>
        <w:t xml:space="preserve">  </w:t>
      </w:r>
      <w:r>
        <w:rPr>
          <w:rFonts w:ascii="仿宋" w:hAnsi="仿宋" w:eastAsia="仿宋"/>
          <w:color w:val="auto"/>
          <w:kern w:val="0"/>
          <w:sz w:val="24"/>
          <w:highlight w:val="none"/>
        </w:rPr>
        <w:t>日</w:t>
      </w:r>
    </w:p>
    <w:p>
      <w:pPr>
        <w:widowControl/>
        <w:spacing w:line="400" w:lineRule="exact"/>
        <w:jc w:val="center"/>
        <w:rPr>
          <w:rFonts w:ascii="仿宋" w:hAnsi="仿宋" w:eastAsia="仿宋"/>
          <w:b/>
          <w:color w:val="auto"/>
          <w:kern w:val="0"/>
          <w:sz w:val="24"/>
          <w:highlight w:val="none"/>
        </w:rPr>
      </w:pPr>
    </w:p>
    <w:p>
      <w:pPr>
        <w:widowControl/>
        <w:spacing w:line="400" w:lineRule="exact"/>
        <w:jc w:val="center"/>
        <w:rPr>
          <w:rFonts w:ascii="仿宋" w:hAnsi="仿宋" w:eastAsia="仿宋"/>
          <w:b/>
          <w:color w:val="auto"/>
          <w:kern w:val="0"/>
          <w:sz w:val="24"/>
          <w:highlight w:val="none"/>
        </w:rPr>
      </w:pPr>
    </w:p>
    <w:p>
      <w:pPr>
        <w:widowControl/>
        <w:spacing w:line="400" w:lineRule="exact"/>
        <w:jc w:val="center"/>
        <w:rPr>
          <w:rFonts w:ascii="仿宋" w:hAnsi="仿宋" w:eastAsia="仿宋"/>
          <w:b/>
          <w:color w:val="auto"/>
          <w:kern w:val="0"/>
          <w:sz w:val="24"/>
          <w:highlight w:val="none"/>
        </w:rPr>
        <w:sectPr>
          <w:footerReference r:id="rId19" w:type="default"/>
          <w:pgSz w:w="11907" w:h="16840"/>
          <w:pgMar w:top="1418" w:right="1134" w:bottom="1418" w:left="1701" w:header="850" w:footer="567" w:gutter="0"/>
          <w:cols w:space="720" w:num="1"/>
          <w:docGrid w:type="lines" w:linePitch="312" w:charSpace="0"/>
        </w:sectPr>
      </w:pPr>
      <w:r>
        <w:rPr>
          <w:rFonts w:ascii="仿宋" w:hAnsi="仿宋" w:eastAsia="仿宋"/>
          <w:b/>
          <w:color w:val="auto"/>
          <w:kern w:val="0"/>
          <w:sz w:val="24"/>
          <w:highlight w:val="none"/>
        </w:rPr>
        <w:t>注：其他合同专用条款在合同签订时另商签订。</w:t>
      </w:r>
    </w:p>
    <w:p>
      <w:pPr>
        <w:pStyle w:val="3"/>
        <w:tabs>
          <w:tab w:val="left" w:pos="709"/>
        </w:tabs>
        <w:adjustRightInd w:val="0"/>
        <w:snapToGrid/>
        <w:spacing w:before="0" w:after="0" w:line="360" w:lineRule="auto"/>
        <w:jc w:val="both"/>
        <w:rPr>
          <w:rFonts w:hint="eastAsia" w:ascii="仿宋" w:hAnsi="仿宋" w:eastAsia="仿宋"/>
          <w:b/>
          <w:color w:val="auto"/>
          <w:sz w:val="28"/>
          <w:szCs w:val="28"/>
          <w:highlight w:val="none"/>
        </w:rPr>
      </w:pPr>
      <w:bookmarkStart w:id="145" w:name="_Toc5773"/>
      <w:bookmarkStart w:id="146" w:name="_Toc4246"/>
      <w:bookmarkStart w:id="147" w:name="_Toc19823"/>
      <w:bookmarkStart w:id="148" w:name="_Toc12115"/>
      <w:r>
        <w:rPr>
          <w:rFonts w:hint="eastAsia" w:ascii="仿宋" w:hAnsi="仿宋" w:eastAsia="仿宋"/>
          <w:b/>
          <w:color w:val="auto"/>
          <w:sz w:val="28"/>
          <w:szCs w:val="28"/>
          <w:highlight w:val="none"/>
          <w:lang w:val="en-US"/>
        </w:rPr>
        <w:t>附件</w:t>
      </w: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lang w:val="en-US"/>
        </w:rPr>
        <w:t xml:space="preserve">  </w:t>
      </w:r>
      <w:r>
        <w:rPr>
          <w:rFonts w:hint="eastAsia" w:ascii="仿宋" w:hAnsi="仿宋" w:eastAsia="仿宋"/>
          <w:b/>
          <w:color w:val="auto"/>
          <w:sz w:val="28"/>
          <w:szCs w:val="28"/>
          <w:highlight w:val="none"/>
          <w:lang w:val="en-US" w:eastAsia="zh-CN"/>
        </w:rPr>
        <w:t>质疑函范本</w:t>
      </w:r>
      <w:bookmarkEnd w:id="145"/>
      <w:bookmarkEnd w:id="146"/>
      <w:bookmarkEnd w:id="147"/>
      <w:bookmarkEnd w:id="148"/>
    </w:p>
    <w:p>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质疑函</w:t>
      </w:r>
    </w:p>
    <w:p>
      <w:pPr>
        <w:spacing w:line="360" w:lineRule="auto"/>
        <w:ind w:left="0" w:leftChars="0" w:firstLine="0" w:firstLineChars="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一、质疑</w:t>
      </w:r>
      <w:r>
        <w:rPr>
          <w:rFonts w:hint="eastAsia" w:ascii="黑体" w:hAnsi="黑体" w:eastAsia="黑体" w:cs="黑体"/>
          <w:b w:val="0"/>
          <w:bCs/>
          <w:color w:val="auto"/>
          <w:sz w:val="32"/>
          <w:szCs w:val="32"/>
          <w:highlight w:val="none"/>
          <w:lang w:eastAsia="zh-CN"/>
        </w:rPr>
        <w:t>供应商基本信息</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val="0"/>
          <w:bCs/>
          <w:color w:val="auto"/>
          <w:sz w:val="32"/>
          <w:szCs w:val="32"/>
          <w:highlight w:val="none"/>
          <w:lang w:eastAsia="zh-CN"/>
        </w:rPr>
        <w:t>质疑供应商</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地址：</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 xml:space="preserve"> 邮编：</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val="0"/>
          <w:bCs/>
          <w:color w:val="auto"/>
          <w:sz w:val="32"/>
          <w:szCs w:val="32"/>
          <w:highlight w:val="none"/>
          <w:lang w:eastAsia="zh-CN"/>
        </w:rPr>
        <w:t>联系人：</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联系电话：</w:t>
      </w:r>
      <w:r>
        <w:rPr>
          <w:rFonts w:hint="eastAsia" w:ascii="仿宋_GB2312" w:hAnsi="仿宋_GB2312" w:eastAsia="仿宋_GB2312" w:cs="仿宋_GB2312"/>
          <w:b w:val="0"/>
          <w:bCs/>
          <w:color w:val="auto"/>
          <w:sz w:val="32"/>
          <w:szCs w:val="32"/>
          <w:highlight w:val="none"/>
          <w:u w:val="single"/>
        </w:rPr>
        <w:t xml:space="preserve">               </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val="0"/>
          <w:bCs/>
          <w:color w:val="auto"/>
          <w:sz w:val="32"/>
          <w:szCs w:val="32"/>
          <w:highlight w:val="none"/>
          <w:lang w:eastAsia="zh-CN"/>
        </w:rPr>
        <w:t>授权代表</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val="0"/>
          <w:bCs/>
          <w:color w:val="auto"/>
          <w:sz w:val="32"/>
          <w:szCs w:val="32"/>
          <w:highlight w:val="none"/>
        </w:rPr>
        <w:t>联系电话：</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p>
    <w:p>
      <w:pPr>
        <w:spacing w:line="360" w:lineRule="auto"/>
        <w:ind w:left="0" w:leftChars="0" w:firstLine="0" w:firstLineChars="0"/>
        <w:rPr>
          <w:rFonts w:hint="eastAsia" w:ascii="仿宋_GB2312" w:hAnsi="仿宋_GB2312" w:eastAsia="仿宋_GB2312" w:cs="仿宋_GB2312"/>
          <w:b w:val="0"/>
          <w:bCs/>
          <w:color w:val="auto"/>
          <w:sz w:val="32"/>
          <w:szCs w:val="32"/>
          <w:highlight w:val="none"/>
          <w:u w:val="single"/>
        </w:rPr>
      </w:pPr>
      <w:r>
        <w:rPr>
          <w:rFonts w:hint="eastAsia" w:ascii="仿宋_GB2312" w:hAnsi="仿宋_GB2312" w:eastAsia="仿宋_GB2312" w:cs="仿宋_GB2312"/>
          <w:b w:val="0"/>
          <w:bCs/>
          <w:color w:val="auto"/>
          <w:sz w:val="32"/>
          <w:szCs w:val="32"/>
          <w:highlight w:val="none"/>
        </w:rPr>
        <w:t>地址：</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rPr>
        <w:t xml:space="preserve"> 邮编：</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u w:val="single"/>
        </w:rPr>
        <w:t xml:space="preserve">   </w:t>
      </w:r>
      <w:r>
        <w:rPr>
          <w:rFonts w:hint="eastAsia" w:ascii="仿宋_GB2312" w:hAnsi="仿宋_GB2312" w:eastAsia="仿宋_GB2312" w:cs="仿宋_GB2312"/>
          <w:b w:val="0"/>
          <w:bCs/>
          <w:color w:val="auto"/>
          <w:sz w:val="32"/>
          <w:szCs w:val="32"/>
          <w:highlight w:val="none"/>
          <w:u w:val="single"/>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rPr>
        <w:t>质疑</w:t>
      </w:r>
      <w:r>
        <w:rPr>
          <w:rFonts w:hint="eastAsia" w:ascii="黑体" w:hAnsi="黑体" w:eastAsia="黑体" w:cs="黑体"/>
          <w:b w:val="0"/>
          <w:bCs/>
          <w:color w:val="auto"/>
          <w:sz w:val="32"/>
          <w:szCs w:val="32"/>
          <w:highlight w:val="none"/>
          <w:lang w:eastAsia="zh-CN"/>
        </w:rPr>
        <w:t>项目基本情况</w:t>
      </w:r>
      <w:r>
        <w:rPr>
          <w:rFonts w:hint="eastAsia" w:ascii="黑体" w:hAnsi="黑体" w:eastAsia="黑体" w:cs="黑体"/>
          <w:b w:val="0"/>
          <w:bCs/>
          <w:color w:val="auto"/>
          <w:sz w:val="32"/>
          <w:szCs w:val="32"/>
          <w:highlight w:val="non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质疑项目的名称：</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eastAsia="zh-CN"/>
        </w:rPr>
        <w:t>质疑项目的编号：</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包号：</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en-US" w:eastAsia="zh-CN"/>
        </w:rPr>
        <w:t>成都交响乐团：</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采购文件获取日期：</w:t>
      </w:r>
      <w:r>
        <w:rPr>
          <w:rFonts w:hint="eastAsia" w:ascii="仿宋_GB2312" w:hAnsi="仿宋_GB2312" w:eastAsia="仿宋_GB2312" w:cs="仿宋_GB2312"/>
          <w:b w:val="0"/>
          <w:bCs/>
          <w:color w:val="auto"/>
          <w:sz w:val="32"/>
          <w:szCs w:val="32"/>
          <w:highlight w:val="none"/>
          <w:u w:val="single"/>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质疑事项具体内容</w:t>
      </w:r>
    </w:p>
    <w:p>
      <w:pPr>
        <w:numPr>
          <w:ilvl w:val="0"/>
          <w:numId w:val="0"/>
        </w:numPr>
        <w:spacing w:line="360" w:lineRule="auto"/>
        <w:rPr>
          <w:rFonts w:hint="default"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eastAsia="zh-CN"/>
        </w:rPr>
        <w:t>质疑事项</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en-US" w:eastAsia="zh-CN"/>
        </w:rPr>
        <w:t>事实依据：</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u w:val="single"/>
          <w:lang w:val="en-US" w:eastAsia="zh-CN"/>
        </w:rPr>
      </w:pPr>
      <w:r>
        <w:rPr>
          <w:rFonts w:hint="eastAsia" w:ascii="仿宋_GB2312" w:hAnsi="仿宋_GB2312" w:eastAsia="仿宋_GB2312" w:cs="仿宋_GB2312"/>
          <w:b w:val="0"/>
          <w:bCs/>
          <w:color w:val="auto"/>
          <w:sz w:val="32"/>
          <w:szCs w:val="32"/>
          <w:highlight w:val="none"/>
          <w:lang w:val="en-US" w:eastAsia="zh-CN"/>
        </w:rPr>
        <w:t>法律依据：</w:t>
      </w:r>
      <w:r>
        <w:rPr>
          <w:rFonts w:hint="eastAsia" w:ascii="仿宋_GB2312" w:hAnsi="仿宋_GB2312" w:eastAsia="仿宋_GB2312" w:cs="仿宋_GB2312"/>
          <w:b w:val="0"/>
          <w:bCs/>
          <w:color w:val="auto"/>
          <w:sz w:val="32"/>
          <w:szCs w:val="32"/>
          <w:highlight w:val="none"/>
          <w:u w:val="single"/>
          <w:lang w:val="en-US" w:eastAsia="zh-CN"/>
        </w:rPr>
        <w:t xml:space="preserve">                                               </w:t>
      </w:r>
    </w:p>
    <w:p>
      <w:pPr>
        <w:numPr>
          <w:ilvl w:val="0"/>
          <w:numId w:val="0"/>
        </w:numPr>
        <w:spacing w:line="360" w:lineRule="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质疑事项2</w:t>
      </w:r>
    </w:p>
    <w:p>
      <w:pPr>
        <w:numPr>
          <w:ilvl w:val="0"/>
          <w:numId w:val="0"/>
        </w:numPr>
        <w:spacing w:line="360" w:lineRule="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与质疑事项相关的质疑请求</w:t>
      </w:r>
    </w:p>
    <w:p>
      <w:pPr>
        <w:numPr>
          <w:ilvl w:val="0"/>
          <w:numId w:val="0"/>
        </w:numPr>
        <w:spacing w:line="360" w:lineRule="auto"/>
        <w:rPr>
          <w:rFonts w:hint="eastAsia" w:ascii="黑体" w:hAnsi="黑体" w:eastAsia="黑体" w:cs="黑体"/>
          <w:b w:val="0"/>
          <w:bCs/>
          <w:color w:val="auto"/>
          <w:sz w:val="32"/>
          <w:szCs w:val="32"/>
          <w:highlight w:val="none"/>
          <w:u w:val="single"/>
          <w:lang w:eastAsia="zh-CN"/>
        </w:rPr>
      </w:pPr>
      <w:r>
        <w:rPr>
          <w:rFonts w:hint="eastAsia" w:ascii="黑体" w:hAnsi="黑体" w:eastAsia="黑体" w:cs="黑体"/>
          <w:b w:val="0"/>
          <w:bCs/>
          <w:color w:val="auto"/>
          <w:sz w:val="32"/>
          <w:szCs w:val="32"/>
          <w:highlight w:val="none"/>
          <w:lang w:eastAsia="zh-CN"/>
        </w:rPr>
        <w:t>请求：</w:t>
      </w:r>
      <w:r>
        <w:rPr>
          <w:rFonts w:hint="eastAsia" w:ascii="黑体" w:hAnsi="黑体" w:eastAsia="黑体" w:cs="黑体"/>
          <w:b w:val="0"/>
          <w:bCs/>
          <w:color w:val="auto"/>
          <w:sz w:val="32"/>
          <w:szCs w:val="32"/>
          <w:highlight w:val="none"/>
          <w:u w:val="single"/>
          <w:lang w:val="en-US" w:eastAsia="zh-CN"/>
        </w:rPr>
        <w:t xml:space="preserve">                                                   </w:t>
      </w:r>
    </w:p>
    <w:p>
      <w:pPr>
        <w:spacing w:line="360" w:lineRule="auto"/>
        <w:rPr>
          <w:rFonts w:hint="eastAsia" w:ascii="仿宋_GB2312" w:hAnsi="仿宋_GB2312" w:eastAsia="仿宋_GB2312" w:cs="仿宋_GB2312"/>
          <w:b w:val="0"/>
          <w:bCs/>
          <w:color w:val="auto"/>
          <w:sz w:val="32"/>
          <w:szCs w:val="32"/>
          <w:highlight w:val="none"/>
        </w:rPr>
      </w:pPr>
    </w:p>
    <w:p>
      <w:pPr>
        <w:spacing w:line="360" w:lineRule="auto"/>
        <w:rPr>
          <w:rFonts w:hint="eastAsia" w:ascii="仿宋_GB2312" w:hAnsi="仿宋_GB2312" w:eastAsia="仿宋_GB2312" w:cs="仿宋_GB2312"/>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签字（签章）：</w:t>
      </w:r>
      <w:r>
        <w:rPr>
          <w:rFonts w:hint="eastAsia" w:ascii="仿宋_GB2312" w:hAnsi="仿宋_GB2312" w:eastAsia="仿宋_GB2312" w:cs="仿宋_GB2312"/>
          <w:b w:val="0"/>
          <w:bCs/>
          <w:color w:val="auto"/>
          <w:sz w:val="32"/>
          <w:szCs w:val="32"/>
          <w:highlight w:val="none"/>
          <w:lang w:val="en-US" w:eastAsia="zh-CN"/>
        </w:rPr>
        <w:t xml:space="preserve">                           公章：</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日期：</w:t>
      </w:r>
    </w:p>
    <w:p>
      <w:pPr>
        <w:pStyle w:val="17"/>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仿宋_GB2312" w:hAnsi="仿宋_GB2312" w:eastAsia="仿宋_GB2312" w:cs="仿宋_GB2312"/>
          <w:b w:val="0"/>
          <w:bCs/>
          <w:color w:val="auto"/>
          <w:sz w:val="24"/>
          <w:szCs w:val="24"/>
          <w:highlight w:val="none"/>
        </w:rPr>
      </w:pPr>
      <w:r>
        <w:rPr>
          <w:rFonts w:hint="eastAsia" w:ascii="黑体" w:hAnsi="黑体" w:eastAsia="黑体" w:cs="黑体"/>
          <w:b w:val="0"/>
          <w:bCs/>
          <w:color w:val="auto"/>
          <w:sz w:val="24"/>
          <w:szCs w:val="24"/>
          <w:highlight w:val="none"/>
        </w:rPr>
        <w:t>制作质疑函说明：</w:t>
      </w:r>
      <w:r>
        <w:rPr>
          <w:rFonts w:hint="eastAsia" w:ascii="仿宋_GB2312" w:hAnsi="仿宋_GB2312" w:eastAsia="仿宋_GB2312" w:cs="仿宋_GB2312"/>
          <w:b w:val="0"/>
          <w:bCs/>
          <w:color w:val="auto"/>
          <w:sz w:val="24"/>
          <w:szCs w:val="24"/>
          <w:highlight w:val="none"/>
        </w:rPr>
        <w:t xml:space="preserve">  </w:t>
      </w:r>
    </w:p>
    <w:p>
      <w:pPr>
        <w:pStyle w:val="17"/>
        <w:spacing w:line="360" w:lineRule="auto"/>
        <w:ind w:firstLine="64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1.供应商提</w:t>
      </w:r>
      <w:r>
        <w:rPr>
          <w:rFonts w:hint="eastAsia" w:ascii="仿宋" w:hAnsi="仿宋" w:eastAsia="仿宋" w:cs="仿宋"/>
          <w:b w:val="0"/>
          <w:bCs/>
          <w:color w:val="auto"/>
          <w:sz w:val="24"/>
          <w:szCs w:val="24"/>
          <w:highlight w:val="none"/>
          <w:lang w:eastAsia="zh-CN"/>
        </w:rPr>
        <w:t>出</w:t>
      </w:r>
      <w:r>
        <w:rPr>
          <w:rFonts w:hint="eastAsia" w:ascii="仿宋" w:hAnsi="仿宋" w:eastAsia="仿宋" w:cs="仿宋"/>
          <w:b w:val="0"/>
          <w:bCs/>
          <w:color w:val="auto"/>
          <w:sz w:val="24"/>
          <w:szCs w:val="24"/>
          <w:highlight w:val="none"/>
        </w:rPr>
        <w:t>质疑</w:t>
      </w:r>
      <w:r>
        <w:rPr>
          <w:rFonts w:hint="eastAsia" w:ascii="仿宋" w:hAnsi="仿宋" w:eastAsia="仿宋" w:cs="仿宋"/>
          <w:b w:val="0"/>
          <w:bCs/>
          <w:color w:val="auto"/>
          <w:sz w:val="24"/>
          <w:szCs w:val="24"/>
          <w:highlight w:val="none"/>
          <w:lang w:eastAsia="zh-CN"/>
        </w:rPr>
        <w:t>时，应提交质疑函和必要的证明材料。</w:t>
      </w:r>
    </w:p>
    <w:p>
      <w:pPr>
        <w:pStyle w:val="17"/>
        <w:spacing w:line="360" w:lineRule="auto"/>
        <w:ind w:firstLine="6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firstLine="6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3.质疑供应商若对项目的某一分包进行质疑，质疑函中应列明具体分包号。</w:t>
      </w:r>
    </w:p>
    <w:p>
      <w:pPr>
        <w:pStyle w:val="17"/>
        <w:spacing w:line="360" w:lineRule="auto"/>
        <w:ind w:firstLine="6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4.质疑函的质疑事项应具体、明确，并有必要的事实依据和法律依据。</w:t>
      </w:r>
    </w:p>
    <w:p>
      <w:pPr>
        <w:pStyle w:val="17"/>
        <w:spacing w:line="360" w:lineRule="auto"/>
        <w:ind w:firstLine="6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5.质疑函的质疑请求应与质疑事项相关。</w:t>
      </w:r>
    </w:p>
    <w:p>
      <w:pPr>
        <w:pStyle w:val="17"/>
        <w:spacing w:line="360" w:lineRule="auto"/>
        <w:ind w:firstLine="64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6.质疑供应商为自然人的，质疑函应由本人签字；质疑供应商为法人或者其他组织的，质疑函应由法定代表人、主要负责人，或者其授权代表签字或者盖章，并加盖公章。</w:t>
      </w: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b w:val="0"/>
          <w:bCs/>
          <w:color w:val="auto"/>
          <w:sz w:val="24"/>
          <w:szCs w:val="24"/>
          <w:highlight w:val="none"/>
          <w:lang w:val="en-US" w:eastAsia="zh-CN"/>
        </w:rPr>
      </w:pPr>
    </w:p>
    <w:p>
      <w:pPr>
        <w:pStyle w:val="3"/>
        <w:tabs>
          <w:tab w:val="left" w:pos="709"/>
        </w:tabs>
        <w:adjustRightInd w:val="0"/>
        <w:snapToGrid/>
        <w:spacing w:before="0" w:after="0" w:line="360" w:lineRule="auto"/>
        <w:jc w:val="both"/>
        <w:rPr>
          <w:rFonts w:hint="default" w:ascii="仿宋" w:hAnsi="仿宋" w:eastAsia="仿宋"/>
          <w:b/>
          <w:color w:val="auto"/>
          <w:sz w:val="28"/>
          <w:szCs w:val="28"/>
          <w:highlight w:val="none"/>
          <w:lang w:val="en-US" w:eastAsia="zh-CN"/>
        </w:rPr>
      </w:pPr>
      <w:bookmarkStart w:id="149" w:name="_Toc26313"/>
      <w:bookmarkStart w:id="150" w:name="_Toc1431"/>
      <w:bookmarkStart w:id="151" w:name="_Toc8455"/>
      <w:bookmarkStart w:id="152" w:name="_Toc6676"/>
      <w:r>
        <w:rPr>
          <w:rFonts w:hint="eastAsia" w:ascii="仿宋" w:hAnsi="仿宋" w:eastAsia="仿宋"/>
          <w:b/>
          <w:color w:val="auto"/>
          <w:sz w:val="28"/>
          <w:szCs w:val="28"/>
          <w:highlight w:val="none"/>
          <w:lang w:val="en-US"/>
        </w:rPr>
        <w:t>附件</w:t>
      </w:r>
      <w:r>
        <w:rPr>
          <w:rFonts w:hint="eastAsia" w:ascii="仿宋" w:hAnsi="仿宋" w:eastAsia="仿宋"/>
          <w:b/>
          <w:color w:val="auto"/>
          <w:sz w:val="28"/>
          <w:szCs w:val="28"/>
          <w:highlight w:val="none"/>
          <w:lang w:val="en-US" w:eastAsia="zh-CN"/>
        </w:rPr>
        <w:t>二</w:t>
      </w:r>
      <w:r>
        <w:rPr>
          <w:rFonts w:hint="eastAsia" w:ascii="仿宋" w:hAnsi="仿宋" w:eastAsia="仿宋"/>
          <w:b/>
          <w:color w:val="auto"/>
          <w:sz w:val="28"/>
          <w:szCs w:val="28"/>
          <w:highlight w:val="none"/>
          <w:lang w:val="en-US"/>
        </w:rPr>
        <w:t xml:space="preserve">  </w:t>
      </w:r>
      <w:bookmarkEnd w:id="149"/>
      <w:bookmarkEnd w:id="150"/>
      <w:bookmarkEnd w:id="151"/>
      <w:r>
        <w:rPr>
          <w:rFonts w:hint="eastAsia" w:ascii="仿宋" w:hAnsi="仿宋" w:eastAsia="仿宋"/>
          <w:b/>
          <w:color w:val="auto"/>
          <w:sz w:val="28"/>
          <w:szCs w:val="28"/>
          <w:highlight w:val="none"/>
          <w:lang w:val="en-US" w:eastAsia="zh-CN"/>
        </w:rPr>
        <w:t>投诉书范本</w:t>
      </w:r>
      <w:bookmarkEnd w:id="152"/>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color w:val="auto"/>
          <w:kern w:val="0"/>
          <w:sz w:val="36"/>
          <w:szCs w:val="36"/>
          <w:highlight w:val="none"/>
        </w:rPr>
      </w:pPr>
      <w:bookmarkStart w:id="153" w:name="_Toc3804_WPSOffice_Level1"/>
      <w:bookmarkStart w:id="154" w:name="_Toc1047_WPSOffice_Level1"/>
      <w:bookmarkStart w:id="155" w:name="_Toc434418491"/>
      <w:bookmarkStart w:id="156" w:name="_Toc20102_WPSOffice_Level2"/>
      <w:bookmarkStart w:id="157" w:name="_Toc437333903"/>
      <w:bookmarkStart w:id="158" w:name="_Toc434418850"/>
      <w:r>
        <w:rPr>
          <w:rFonts w:hint="eastAsia" w:ascii="宋体" w:hAnsi="宋体" w:eastAsia="宋体" w:cs="宋体"/>
          <w:b/>
          <w:color w:val="auto"/>
          <w:kern w:val="0"/>
          <w:sz w:val="36"/>
          <w:szCs w:val="36"/>
          <w:highlight w:val="none"/>
        </w:rPr>
        <w:t>投 诉 书</w:t>
      </w:r>
      <w:bookmarkEnd w:id="153"/>
      <w:bookmarkEnd w:id="154"/>
      <w:bookmarkEnd w:id="155"/>
      <w:bookmarkEnd w:id="156"/>
      <w:bookmarkEnd w:id="157"/>
      <w:bookmarkEnd w:id="158"/>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楷体_GB2312" w:hAnsi="宋体" w:eastAsia="楷体_GB2312" w:cs="宋体"/>
          <w:color w:val="auto"/>
          <w:kern w:val="0"/>
          <w:sz w:val="32"/>
          <w:szCs w:val="32"/>
          <w:highlight w:val="none"/>
        </w:rPr>
      </w:pPr>
      <w:r>
        <w:rPr>
          <w:rFonts w:hint="eastAsia" w:ascii="仿宋_GB2312" w:hAnsi="宋体" w:eastAsia="仿宋_GB2312" w:cs="宋体"/>
          <w:color w:val="auto"/>
          <w:kern w:val="0"/>
          <w:sz w:val="32"/>
          <w:szCs w:val="32"/>
          <w:highlight w:val="none"/>
        </w:rPr>
        <w:t>投诉人：</w:t>
      </w:r>
      <w:r>
        <w:rPr>
          <w:rFonts w:hint="eastAsia" w:ascii="楷体_GB2312" w:hAnsi="宋体" w:eastAsia="楷体_GB2312" w:cs="宋体"/>
          <w:color w:val="auto"/>
          <w:kern w:val="0"/>
          <w:sz w:val="32"/>
          <w:szCs w:val="32"/>
          <w:highlight w:val="none"/>
          <w:u w:val="single"/>
        </w:rPr>
        <w:t>自然人/法人或者其他组织名称</w:t>
      </w:r>
      <w:r>
        <w:rPr>
          <w:rFonts w:hint="eastAsia" w:ascii="楷体_GB2312" w:hAnsi="宋体" w:eastAsia="楷体_GB2312" w:cs="宋体"/>
          <w:color w:val="auto"/>
          <w:kern w:val="0"/>
          <w:sz w:val="32"/>
          <w:szCs w:val="32"/>
          <w:highlight w:val="non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证件号码：</w:t>
      </w:r>
      <w:r>
        <w:rPr>
          <w:rFonts w:hint="eastAsia" w:ascii="楷体_GB2312" w:hAnsi="宋体" w:eastAsia="楷体_GB2312" w:cs="宋体"/>
          <w:color w:val="auto"/>
          <w:kern w:val="0"/>
          <w:sz w:val="32"/>
          <w:szCs w:val="32"/>
          <w:highlight w:val="none"/>
          <w:u w:val="single"/>
        </w:rPr>
        <w:t>身份证/统一社会信用代码</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通讯地址：</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邮编：</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联系人：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联系电话：</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（委托代理人：</w:t>
      </w:r>
      <w:r>
        <w:rPr>
          <w:rFonts w:hint="eastAsia" w:ascii="仿宋_GB2312" w:hAnsi="宋体" w:eastAsia="仿宋_GB2312" w:cs="宋体"/>
          <w:color w:val="auto"/>
          <w:kern w:val="0"/>
          <w:sz w:val="32"/>
          <w:szCs w:val="32"/>
          <w:highlight w:val="none"/>
          <w:u w:val="single"/>
        </w:rPr>
        <w:t xml:space="preserve">  </w:t>
      </w:r>
      <w:r>
        <w:rPr>
          <w:rFonts w:hint="eastAsia" w:ascii="楷体_GB2312" w:hAnsi="宋体" w:eastAsia="楷体_GB2312" w:cs="宋体"/>
          <w:color w:val="auto"/>
          <w:kern w:val="0"/>
          <w:sz w:val="32"/>
          <w:szCs w:val="32"/>
          <w:highlight w:val="none"/>
          <w:u w:val="single"/>
        </w:rPr>
        <w:t xml:space="preserve">姓名  </w:t>
      </w:r>
      <w:r>
        <w:rPr>
          <w:rFonts w:hint="eastAsia" w:ascii="楷体_GB2312" w:hAnsi="宋体" w:eastAsia="楷体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rPr>
        <w:t>身份证号码：</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联系电话：</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 w:hAnsi="仿宋" w:eastAsia="仿宋" w:cs="仿宋"/>
          <w:color w:val="auto"/>
          <w:kern w:val="0"/>
          <w:sz w:val="32"/>
          <w:szCs w:val="32"/>
          <w:highlight w:val="none"/>
        </w:rPr>
      </w:pPr>
      <w:r>
        <w:rPr>
          <w:rFonts w:hint="eastAsia" w:ascii="仿宋_GB2312" w:hAnsi="宋体" w:eastAsia="仿宋_GB2312" w:cs="宋体"/>
          <w:color w:val="auto"/>
          <w:kern w:val="0"/>
          <w:sz w:val="32"/>
          <w:szCs w:val="32"/>
          <w:highlight w:val="none"/>
        </w:rPr>
        <w:t>被投诉人：</w:t>
      </w:r>
      <w:r>
        <w:rPr>
          <w:rFonts w:hint="eastAsia" w:ascii="楷体_GB2312" w:hAnsi="宋体" w:eastAsia="楷体_GB2312" w:cs="宋体"/>
          <w:color w:val="auto"/>
          <w:kern w:val="0"/>
          <w:sz w:val="32"/>
          <w:szCs w:val="32"/>
          <w:highlight w:val="none"/>
          <w:u w:val="single"/>
        </w:rPr>
        <w:t>采购人或代理机构名称</w:t>
      </w:r>
      <w:r>
        <w:rPr>
          <w:rFonts w:hint="eastAsia" w:ascii="仿宋" w:hAnsi="仿宋" w:eastAsia="仿宋" w:cs="仿宋"/>
          <w:color w:val="auto"/>
          <w:kern w:val="0"/>
          <w:sz w:val="32"/>
          <w:szCs w:val="32"/>
          <w:highlight w:val="none"/>
        </w:rPr>
        <w:t>(多个被投诉人应分别列明)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通讯地址：</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邮编：</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联系人：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联系电话：</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ascii="楷体_GB2312" w:hAnsi="宋体" w:eastAsia="楷体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相关供应商：</w:t>
      </w:r>
      <w:r>
        <w:rPr>
          <w:rFonts w:hint="eastAsia" w:ascii="仿宋_GB2312" w:hAnsi="宋体" w:eastAsia="仿宋_GB2312" w:cs="宋体"/>
          <w:color w:val="auto"/>
          <w:kern w:val="0"/>
          <w:sz w:val="32"/>
          <w:szCs w:val="32"/>
          <w:highlight w:val="none"/>
          <w:u w:val="single"/>
        </w:rPr>
        <w:t xml:space="preserve">  </w:t>
      </w:r>
      <w:r>
        <w:rPr>
          <w:rFonts w:hint="eastAsia" w:ascii="楷体_GB2312" w:hAnsi="宋体" w:eastAsia="楷体_GB2312" w:cs="宋体"/>
          <w:color w:val="auto"/>
          <w:kern w:val="0"/>
          <w:sz w:val="32"/>
          <w:szCs w:val="32"/>
          <w:highlight w:val="none"/>
          <w:u w:val="single"/>
        </w:rPr>
        <w:t xml:space="preserve">名称  </w:t>
      </w:r>
      <w:r>
        <w:rPr>
          <w:rFonts w:hint="eastAsia" w:ascii="仿宋" w:hAnsi="仿宋" w:eastAsia="仿宋" w:cs="仿宋"/>
          <w:color w:val="auto"/>
          <w:kern w:val="0"/>
          <w:sz w:val="32"/>
          <w:szCs w:val="32"/>
          <w:highlight w:val="none"/>
        </w:rPr>
        <w:t>(多个相关供应商应分别列明)</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ascii="仿宋_GB2312" w:hAnsi="宋体" w:eastAsia="仿宋_GB2312" w:cs="宋体"/>
          <w:color w:val="auto"/>
          <w:kern w:val="0"/>
          <w:sz w:val="32"/>
          <w:szCs w:val="32"/>
          <w:highlight w:val="none"/>
          <w:u w:val="single"/>
        </w:rPr>
      </w:pPr>
      <w:r>
        <w:rPr>
          <w:rFonts w:hint="eastAsia" w:ascii="仿宋_GB2312" w:hAnsi="宋体" w:eastAsia="仿宋_GB2312" w:cs="宋体"/>
          <w:color w:val="auto"/>
          <w:kern w:val="0"/>
          <w:sz w:val="32"/>
          <w:szCs w:val="32"/>
          <w:highlight w:val="none"/>
        </w:rPr>
        <w:t>通讯地址：</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邮编：</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0" w:firstLineChars="0"/>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联系人：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 xml:space="preserve">     联系电话：</w:t>
      </w:r>
      <w:r>
        <w:rPr>
          <w:rFonts w:hint="eastAsia" w:ascii="仿宋_GB2312" w:hAnsi="宋体" w:eastAsia="仿宋_GB2312" w:cs="宋体"/>
          <w:color w:val="auto"/>
          <w:kern w:val="0"/>
          <w:sz w:val="32"/>
          <w:szCs w:val="32"/>
          <w:highlight w:val="none"/>
          <w:u w:val="single"/>
        </w:rPr>
        <w:t xml:space="preserve">              </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630"/>
        <w:jc w:val="left"/>
        <w:textAlignment w:val="auto"/>
        <w:rPr>
          <w:rFonts w:hint="eastAsia" w:ascii="黑体" w:hAnsi="黑体" w:eastAsia="黑体" w:cs="黑体"/>
          <w:color w:val="auto"/>
          <w:kern w:val="0"/>
          <w:sz w:val="32"/>
          <w:szCs w:val="32"/>
          <w:highlight w:val="none"/>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630"/>
        <w:jc w:val="left"/>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color w:val="auto"/>
          <w:kern w:val="0"/>
          <w:sz w:val="32"/>
          <w:szCs w:val="32"/>
          <w:highlight w:val="none"/>
        </w:rPr>
        <w:t>质疑和质疑答复情况：</w:t>
      </w:r>
      <w:r>
        <w:rPr>
          <w:rFonts w:hint="eastAsia" w:ascii="楷体_GB2312" w:hAnsi="宋体" w:eastAsia="楷体_GB2312" w:cs="宋体"/>
          <w:color w:val="auto"/>
          <w:kern w:val="0"/>
          <w:sz w:val="32"/>
          <w:szCs w:val="32"/>
          <w:highlight w:val="none"/>
          <w:u w:val="single"/>
        </w:rPr>
        <w:t>投诉人于  年  月  日就xx采购项目（采购项目编号：xxxx）向采购人/采购代理机构提出质疑，质疑事项为xx，质疑请求为xx，采购人/代理机构于  年  月  日收到质疑，并于  年  月  日就质疑作出答复，投诉人不服质疑答复[采购人/采购代理机构未在规定时间作出答复],现向财政部门提起投诉</w:t>
      </w:r>
      <w:r>
        <w:rPr>
          <w:rFonts w:hint="eastAsia" w:ascii="仿宋_GB2312" w:hAnsi="宋体" w:eastAsia="仿宋_GB2312" w:cs="宋体"/>
          <w:color w:val="auto"/>
          <w:kern w:val="0"/>
          <w:sz w:val="32"/>
          <w:szCs w:val="32"/>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630"/>
        <w:jc w:val="left"/>
        <w:textAlignment w:val="auto"/>
        <w:rPr>
          <w:rFonts w:hint="eastAsia" w:ascii="楷体_GB2312" w:hAnsi="宋体" w:eastAsia="楷体_GB2312" w:cs="宋体"/>
          <w:color w:val="auto"/>
          <w:kern w:val="0"/>
          <w:sz w:val="32"/>
          <w:szCs w:val="32"/>
          <w:highlight w:val="none"/>
          <w:u w:val="single"/>
        </w:rPr>
      </w:pPr>
      <w:r>
        <w:rPr>
          <w:rFonts w:hint="eastAsia" w:ascii="黑体" w:hAnsi="黑体" w:eastAsia="黑体" w:cs="黑体"/>
          <w:color w:val="auto"/>
          <w:kern w:val="0"/>
          <w:sz w:val="32"/>
          <w:szCs w:val="32"/>
          <w:highlight w:val="none"/>
        </w:rPr>
        <w:t>投诉事项及投诉请求：</w:t>
      </w:r>
      <w:r>
        <w:rPr>
          <w:rFonts w:hint="eastAsia" w:ascii="楷体_GB2312" w:hAnsi="宋体" w:eastAsia="楷体_GB2312" w:cs="宋体"/>
          <w:color w:val="auto"/>
          <w:kern w:val="0"/>
          <w:sz w:val="32"/>
          <w:szCs w:val="32"/>
          <w:highlight w:val="none"/>
          <w:u w:val="single"/>
        </w:rPr>
        <w:t>投诉事项应与质疑事项一致，包括1.投诉人认为采购文件设置不合理，如评审因素指向特定供应商；2.投诉人认为采购过程不公平，如评审专家评审错误；3.投诉人认为采购结果不公平，如中标供应商不具备响应资格条件。如投诉事项与质疑事项不一致，则投诉事项应是基于质疑答复内容提出的</w:t>
      </w:r>
      <w:r>
        <w:rPr>
          <w:rFonts w:hint="eastAsia" w:ascii="仿宋_GB2312" w:hAnsi="宋体" w:eastAsia="仿宋_GB2312" w:cs="宋体"/>
          <w:color w:val="auto"/>
          <w:kern w:val="0"/>
          <w:sz w:val="32"/>
          <w:szCs w:val="32"/>
          <w:highlight w:val="none"/>
          <w:u w:val="single"/>
        </w:rPr>
        <w:t>。</w:t>
      </w:r>
      <w:r>
        <w:rPr>
          <w:rFonts w:hint="eastAsia" w:ascii="楷体_GB2312" w:hAnsi="宋体" w:eastAsia="楷体_GB2312" w:cs="宋体"/>
          <w:color w:val="auto"/>
          <w:kern w:val="0"/>
          <w:sz w:val="32"/>
          <w:szCs w:val="32"/>
          <w:highlight w:val="none"/>
          <w:u w:val="single"/>
        </w:rPr>
        <w:t>投诉请求应当与投诉事项相关。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640"/>
        <w:jc w:val="left"/>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color w:val="auto"/>
          <w:kern w:val="0"/>
          <w:sz w:val="32"/>
          <w:szCs w:val="32"/>
          <w:highlight w:val="none"/>
        </w:rPr>
        <w:t>事实依据</w:t>
      </w:r>
      <w:r>
        <w:rPr>
          <w:rFonts w:hint="eastAsia" w:ascii="仿宋_GB2312" w:hAnsi="宋体" w:eastAsia="仿宋_GB2312" w:cs="宋体"/>
          <w:color w:val="auto"/>
          <w:kern w:val="0"/>
          <w:sz w:val="32"/>
          <w:szCs w:val="32"/>
          <w:highlight w:val="none"/>
        </w:rPr>
        <w:t>：</w:t>
      </w:r>
      <w:r>
        <w:rPr>
          <w:rFonts w:hint="eastAsia" w:ascii="楷体_GB2312" w:hAnsi="宋体" w:eastAsia="楷体_GB2312" w:cs="宋体"/>
          <w:color w:val="auto"/>
          <w:kern w:val="0"/>
          <w:sz w:val="32"/>
          <w:szCs w:val="32"/>
          <w:highlight w:val="none"/>
          <w:u w:val="single"/>
        </w:rPr>
        <w:t>与投诉事项有关的采购项目或采购文件事实</w:t>
      </w:r>
      <w:r>
        <w:rPr>
          <w:rFonts w:hint="eastAsia" w:ascii="楷体_GB2312" w:hAnsi="宋体" w:eastAsia="楷体_GB2312" w:cs="宋体"/>
          <w:color w:val="auto"/>
          <w:kern w:val="0"/>
          <w:sz w:val="32"/>
          <w:szCs w:val="32"/>
          <w:highlight w:val="none"/>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jc w:val="left"/>
        <w:textAlignment w:val="auto"/>
        <w:rPr>
          <w:rFonts w:ascii="仿宋_GB2312" w:hAnsi="宋体" w:eastAsia="仿宋_GB2312" w:cs="宋体"/>
          <w:color w:val="auto"/>
          <w:kern w:val="0"/>
          <w:sz w:val="32"/>
          <w:szCs w:val="32"/>
          <w:highlight w:val="none"/>
        </w:rPr>
      </w:pPr>
      <w:r>
        <w:rPr>
          <w:rFonts w:hint="eastAsia" w:ascii="黑体" w:hAnsi="黑体" w:eastAsia="黑体" w:cs="黑体"/>
          <w:color w:val="auto"/>
          <w:kern w:val="0"/>
          <w:sz w:val="32"/>
          <w:szCs w:val="32"/>
          <w:highlight w:val="none"/>
        </w:rPr>
        <w:t>法律依据</w:t>
      </w:r>
      <w:r>
        <w:rPr>
          <w:rFonts w:hint="eastAsia" w:ascii="仿宋_GB2312" w:hAnsi="宋体" w:eastAsia="仿宋_GB2312" w:cs="宋体"/>
          <w:color w:val="auto"/>
          <w:kern w:val="0"/>
          <w:sz w:val="32"/>
          <w:szCs w:val="32"/>
          <w:highlight w:val="none"/>
        </w:rPr>
        <w:t>：</w:t>
      </w:r>
      <w:r>
        <w:rPr>
          <w:rFonts w:hint="eastAsia" w:ascii="楷体_GB2312" w:hAnsi="宋体" w:eastAsia="楷体_GB2312" w:cs="宋体"/>
          <w:color w:val="auto"/>
          <w:kern w:val="0"/>
          <w:sz w:val="32"/>
          <w:szCs w:val="32"/>
          <w:highlight w:val="none"/>
          <w:u w:val="single"/>
        </w:rPr>
        <w:t>与投诉事项有关的政府采购法律、法规、规章及政策文件</w:t>
      </w:r>
      <w:r>
        <w:rPr>
          <w:rFonts w:hint="eastAsia" w:ascii="楷体_GB2312" w:hAnsi="宋体" w:eastAsia="楷体_GB2312" w:cs="宋体"/>
          <w:color w:val="auto"/>
          <w:kern w:val="0"/>
          <w:sz w:val="32"/>
          <w:szCs w:val="32"/>
          <w:highlight w:val="none"/>
        </w:rPr>
        <w:t>。</w:t>
      </w:r>
    </w:p>
    <w:p>
      <w:pPr>
        <w:pStyle w:val="13"/>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此致</w:t>
      </w:r>
    </w:p>
    <w:p>
      <w:pPr>
        <w:pStyle w:val="13"/>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eastAsia="楷体_GB2312"/>
          <w:color w:val="auto"/>
          <w:sz w:val="32"/>
          <w:szCs w:val="32"/>
          <w:highlight w:val="none"/>
        </w:rPr>
      </w:pPr>
      <w:r>
        <w:rPr>
          <w:rFonts w:hint="eastAsia" w:ascii="楷体_GB2312" w:eastAsia="楷体_GB2312"/>
          <w:color w:val="auto"/>
          <w:sz w:val="32"/>
          <w:szCs w:val="32"/>
          <w:highlight w:val="none"/>
          <w:u w:val="single"/>
        </w:rPr>
        <w:t>财政部门名称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auto"/>
          <w:kern w:val="0"/>
          <w:sz w:val="32"/>
          <w:szCs w:val="32"/>
          <w:highlight w:val="none"/>
        </w:rPr>
      </w:pPr>
      <w:bookmarkStart w:id="159" w:name="_Toc11592_WPSOffice_Level1"/>
      <w:bookmarkStart w:id="160" w:name="_Toc29906_WPSOffice_Level1"/>
      <w:bookmarkStart w:id="161" w:name="_Toc25949_WPSOffice_Level2"/>
      <w:r>
        <w:rPr>
          <w:rFonts w:hint="eastAsia" w:ascii="仿宋_GB2312" w:hAnsi="宋体" w:eastAsia="仿宋_GB2312" w:cs="宋体"/>
          <w:color w:val="auto"/>
          <w:kern w:val="0"/>
          <w:sz w:val="32"/>
          <w:szCs w:val="32"/>
          <w:highlight w:val="none"/>
        </w:rPr>
        <w:t>附件：1.投诉人身份证明材料（法人或其他组织合法登记证书）复印件</w:t>
      </w:r>
      <w:bookmarkEnd w:id="159"/>
      <w:bookmarkEnd w:id="160"/>
      <w:bookmarkEnd w:id="161"/>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firstLine="1600" w:firstLineChars="500"/>
        <w:jc w:val="left"/>
        <w:textAlignment w:val="auto"/>
        <w:rPr>
          <w:rFonts w:hint="eastAsia" w:ascii="仿宋_GB2312" w:hAnsi="宋体" w:eastAsia="仿宋_GB2312" w:cs="宋体"/>
          <w:color w:val="auto"/>
          <w:kern w:val="0"/>
          <w:sz w:val="32"/>
          <w:szCs w:val="32"/>
          <w:highlight w:val="none"/>
        </w:rPr>
      </w:pPr>
      <w:bookmarkStart w:id="162" w:name="_Toc8580_WPSOffice_Level2"/>
      <w:bookmarkStart w:id="163" w:name="_Toc17660_WPSOffice_Level1"/>
      <w:bookmarkStart w:id="164" w:name="_Toc26082_WPSOffice_Level1"/>
      <w:r>
        <w:rPr>
          <w:rFonts w:hint="eastAsia" w:ascii="仿宋_GB2312" w:hAnsi="宋体" w:eastAsia="仿宋_GB2312" w:cs="宋体"/>
          <w:color w:val="auto"/>
          <w:kern w:val="0"/>
          <w:sz w:val="32"/>
          <w:szCs w:val="32"/>
          <w:highlight w:val="none"/>
        </w:rPr>
        <w:t>2.其他有关证明材料    份</w:t>
      </w:r>
      <w:bookmarkEnd w:id="162"/>
      <w:bookmarkEnd w:id="163"/>
      <w:bookmarkEnd w:id="164"/>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bookmarkStart w:id="165" w:name="_Toc20702_WPSOffice_Level1"/>
      <w:bookmarkStart w:id="166" w:name="_Toc16312_WPSOffice_Level2"/>
      <w:bookmarkStart w:id="167" w:name="_Toc8616_WPSOffice_Level1"/>
      <w:r>
        <w:rPr>
          <w:rFonts w:hint="eastAsia" w:ascii="仿宋_GB2312" w:hAnsi="宋体" w:eastAsia="仿宋_GB2312" w:cs="宋体"/>
          <w:color w:val="auto"/>
          <w:kern w:val="0"/>
          <w:sz w:val="32"/>
          <w:szCs w:val="32"/>
          <w:highlight w:val="none"/>
        </w:rPr>
        <w:t>3.授权委托书（有委托代理人的）</w:t>
      </w:r>
      <w:bookmarkEnd w:id="165"/>
      <w:bookmarkEnd w:id="166"/>
      <w:bookmarkEnd w:id="167"/>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bookmarkStart w:id="168" w:name="_Toc12053_WPSOffice_Level2"/>
      <w:bookmarkStart w:id="169" w:name="_Toc27191_WPSOffice_Level1"/>
      <w:bookmarkStart w:id="170" w:name="_Toc32149_WPSOffice_Level1"/>
      <w:r>
        <w:rPr>
          <w:rFonts w:hint="eastAsia" w:ascii="仿宋_GB2312" w:hAnsi="宋体" w:eastAsia="仿宋_GB2312" w:cs="宋体"/>
          <w:color w:val="auto"/>
          <w:kern w:val="0"/>
          <w:sz w:val="32"/>
          <w:szCs w:val="32"/>
          <w:highlight w:val="none"/>
        </w:rPr>
        <w:t>4.质疑及质疑答复</w:t>
      </w:r>
      <w:bookmarkEnd w:id="168"/>
      <w:bookmarkEnd w:id="169"/>
      <w:r>
        <w:rPr>
          <w:rFonts w:hint="eastAsia" w:ascii="仿宋_GB2312" w:hAnsi="宋体" w:eastAsia="仿宋_GB2312" w:cs="宋体"/>
          <w:color w:val="auto"/>
          <w:kern w:val="0"/>
          <w:sz w:val="32"/>
          <w:szCs w:val="32"/>
          <w:highlight w:val="none"/>
        </w:rPr>
        <w:t>相关证明材料</w:t>
      </w:r>
      <w:bookmarkEnd w:id="170"/>
    </w:p>
    <w:p>
      <w:pPr>
        <w:keepNext w:val="0"/>
        <w:keepLines w:val="0"/>
        <w:pageBreakBefore w:val="0"/>
        <w:widowControl/>
        <w:tabs>
          <w:tab w:val="left" w:pos="916"/>
          <w:tab w:val="left" w:pos="1832"/>
          <w:tab w:val="left" w:pos="2748"/>
          <w:tab w:val="left" w:pos="3664"/>
          <w:tab w:val="left" w:pos="4580"/>
          <w:tab w:val="left" w:pos="5496"/>
          <w:tab w:val="left" w:pos="6080"/>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val="0"/>
        <w:spacing w:line="560" w:lineRule="exact"/>
        <w:ind w:left="16" w:leftChars="0" w:hanging="16" w:hangingChars="5"/>
        <w:jc w:val="lef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仿宋_GB2312" w:eastAsia="仿宋_GB2312" w:cs="宋体"/>
          <w:color w:val="auto"/>
          <w:kern w:val="0"/>
          <w:sz w:val="32"/>
          <w:szCs w:val="32"/>
          <w:highlight w:val="none"/>
          <w:lang w:val="en-US" w:eastAsia="zh-CN"/>
        </w:rPr>
        <w:t xml:space="preserve"> </w:t>
      </w:r>
      <w:bookmarkStart w:id="171" w:name="_Toc32066_WPSOffice_Level2"/>
      <w:bookmarkStart w:id="172" w:name="_Toc22275_WPSOffice_Level1"/>
      <w:bookmarkStart w:id="173" w:name="_Toc30173_WPSOffice_Level1"/>
      <w:r>
        <w:rPr>
          <w:rFonts w:hint="eastAsia" w:ascii="仿宋_GB2312" w:hAnsi="宋体" w:eastAsia="仿宋_GB2312" w:cs="宋体"/>
          <w:color w:val="auto"/>
          <w:kern w:val="0"/>
          <w:sz w:val="32"/>
          <w:szCs w:val="32"/>
          <w:highlight w:val="none"/>
        </w:rPr>
        <w:t>5.投诉书副本</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份（按照被投诉人及相关供应商数量提供副本）</w:t>
      </w:r>
      <w:bookmarkEnd w:id="171"/>
      <w:bookmarkEnd w:id="172"/>
      <w:bookmarkEnd w:id="173"/>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4790" w:leftChars="1824" w:hanging="960" w:hangingChars="300"/>
        <w:jc w:val="left"/>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32"/>
          <w:szCs w:val="32"/>
          <w:highlight w:val="none"/>
        </w:rPr>
        <w:t>投诉人：</w:t>
      </w:r>
      <w:r>
        <w:rPr>
          <w:rFonts w:hint="eastAsia" w:ascii="楷体_GB2312" w:hAnsi="宋体" w:eastAsia="楷体_GB2312" w:cs="宋体"/>
          <w:color w:val="auto"/>
          <w:kern w:val="0"/>
          <w:sz w:val="32"/>
          <w:szCs w:val="32"/>
          <w:highlight w:val="none"/>
          <w:u w:val="single"/>
        </w:rPr>
        <w:t>签字盖章应按照《政府采购质疑和投诉办法》第十八条第二款的要求执行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xml:space="preserve">                              </w:t>
      </w:r>
      <w:r>
        <w:rPr>
          <w:rFonts w:hint="eastAsia" w:ascii="仿宋_GB2312"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月</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日</w:t>
      </w:r>
    </w:p>
    <w:p>
      <w:pPr>
        <w:rPr>
          <w:rFonts w:hint="eastAsia" w:ascii="黑体" w:hAnsi="黑体" w:eastAsia="黑体"/>
          <w:b/>
          <w:color w:val="auto"/>
          <w:sz w:val="24"/>
          <w:szCs w:val="24"/>
          <w:highlight w:val="none"/>
        </w:rPr>
      </w:pPr>
    </w:p>
    <w:p>
      <w:pPr>
        <w:spacing w:line="360" w:lineRule="auto"/>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投诉书制作说明：</w:t>
      </w:r>
    </w:p>
    <w:p>
      <w:pPr>
        <w:widowControl/>
        <w:spacing w:line="360" w:lineRule="auto"/>
        <w:ind w:firstLine="480" w:firstLineChars="200"/>
        <w:rPr>
          <w:rFonts w:hint="eastAsia" w:ascii="仿宋_GB2312" w:hAnsi="宋体" w:eastAsia="仿宋_GB2312" w:cs="宋体"/>
          <w:b w:val="0"/>
          <w:bCs/>
          <w:color w:val="auto"/>
          <w:kern w:val="0"/>
          <w:sz w:val="24"/>
          <w:szCs w:val="24"/>
          <w:highlight w:val="none"/>
        </w:rPr>
      </w:pPr>
      <w:r>
        <w:rPr>
          <w:rFonts w:hint="eastAsia" w:ascii="仿宋_GB2312" w:eastAsia="仿宋_GB2312"/>
          <w:b w:val="0"/>
          <w:bCs/>
          <w:color w:val="auto"/>
          <w:sz w:val="24"/>
          <w:szCs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_GB2312" w:hAnsi="宋体" w:eastAsia="仿宋_GB2312" w:cs="宋体"/>
          <w:b w:val="0"/>
          <w:bCs/>
          <w:color w:val="auto"/>
          <w:kern w:val="0"/>
          <w:sz w:val="24"/>
          <w:szCs w:val="24"/>
          <w:highlight w:val="none"/>
        </w:rPr>
      </w:pPr>
      <w:r>
        <w:rPr>
          <w:rFonts w:hint="eastAsia" w:ascii="仿宋_GB2312" w:eastAsia="仿宋_GB2312"/>
          <w:b w:val="0"/>
          <w:bCs/>
          <w:color w:val="auto"/>
          <w:sz w:val="24"/>
          <w:szCs w:val="24"/>
          <w:highlight w:val="none"/>
        </w:rPr>
        <w:t>2.投诉人若委托代理人进行投诉的，投诉书应按照要求列明“授权代表”的有关内容，并在附件中提交由</w:t>
      </w:r>
      <w:r>
        <w:rPr>
          <w:rFonts w:hint="eastAsia" w:ascii="仿宋_GB2312" w:hAnsi="宋体" w:eastAsia="仿宋_GB2312" w:cs="宋体"/>
          <w:b w:val="0"/>
          <w:bCs/>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_GB2312" w:eastAsia="仿宋_GB2312"/>
          <w:b w:val="0"/>
          <w:bCs/>
          <w:color w:val="auto"/>
          <w:sz w:val="24"/>
          <w:szCs w:val="24"/>
          <w:highlight w:val="none"/>
        </w:rPr>
      </w:pPr>
      <w:r>
        <w:rPr>
          <w:rFonts w:hint="eastAsia" w:ascii="仿宋_GB2312" w:eastAsia="仿宋_GB2312"/>
          <w:b w:val="0"/>
          <w:bCs/>
          <w:color w:val="auto"/>
          <w:sz w:val="24"/>
          <w:szCs w:val="24"/>
          <w:highlight w:val="none"/>
        </w:rPr>
        <w:t>3.投诉人若对项目的某一分包进行投诉，投诉书应列明具体分包号。</w:t>
      </w:r>
    </w:p>
    <w:p>
      <w:pPr>
        <w:widowControl/>
        <w:spacing w:line="360" w:lineRule="auto"/>
        <w:ind w:firstLine="480" w:firstLineChars="200"/>
        <w:jc w:val="left"/>
        <w:rPr>
          <w:rFonts w:hint="eastAsia" w:ascii="仿宋_GB2312" w:eastAsia="仿宋_GB2312"/>
          <w:b w:val="0"/>
          <w:bCs/>
          <w:color w:val="auto"/>
          <w:sz w:val="24"/>
          <w:szCs w:val="24"/>
          <w:highlight w:val="none"/>
        </w:rPr>
      </w:pPr>
      <w:r>
        <w:rPr>
          <w:rFonts w:hint="eastAsia" w:ascii="仿宋_GB2312" w:eastAsia="仿宋_GB2312"/>
          <w:b w:val="0"/>
          <w:bCs/>
          <w:color w:val="auto"/>
          <w:sz w:val="24"/>
          <w:szCs w:val="24"/>
          <w:highlight w:val="none"/>
        </w:rPr>
        <w:t>4.投诉书应简要列明质疑事项，质疑函、质疑答复等作为附件材料提供。</w:t>
      </w:r>
    </w:p>
    <w:p>
      <w:pPr>
        <w:widowControl/>
        <w:spacing w:line="360" w:lineRule="auto"/>
        <w:ind w:firstLine="480" w:firstLineChars="200"/>
        <w:jc w:val="left"/>
        <w:rPr>
          <w:rFonts w:ascii="仿宋_GB2312" w:eastAsia="仿宋_GB2312"/>
          <w:b w:val="0"/>
          <w:bCs/>
          <w:color w:val="auto"/>
          <w:sz w:val="24"/>
          <w:szCs w:val="24"/>
          <w:highlight w:val="none"/>
        </w:rPr>
      </w:pPr>
      <w:r>
        <w:rPr>
          <w:rFonts w:hint="eastAsia" w:ascii="仿宋_GB2312" w:eastAsia="仿宋_GB2312"/>
          <w:b w:val="0"/>
          <w:bCs/>
          <w:color w:val="auto"/>
          <w:sz w:val="24"/>
          <w:szCs w:val="24"/>
          <w:highlight w:val="none"/>
        </w:rPr>
        <w:t>5.投诉书的投诉事项应具体、明确，并有必要的事实依据和法律依据。</w:t>
      </w:r>
    </w:p>
    <w:p>
      <w:pPr>
        <w:widowControl/>
        <w:spacing w:line="360" w:lineRule="auto"/>
        <w:ind w:firstLine="480" w:firstLineChars="200"/>
        <w:jc w:val="left"/>
        <w:rPr>
          <w:rFonts w:ascii="仿宋_GB2312" w:eastAsia="仿宋_GB2312"/>
          <w:b w:val="0"/>
          <w:bCs/>
          <w:color w:val="auto"/>
          <w:sz w:val="24"/>
          <w:szCs w:val="24"/>
          <w:highlight w:val="none"/>
        </w:rPr>
      </w:pPr>
      <w:r>
        <w:rPr>
          <w:rFonts w:hint="eastAsia" w:ascii="仿宋_GB2312" w:eastAsia="仿宋_GB2312"/>
          <w:b w:val="0"/>
          <w:bCs/>
          <w:color w:val="auto"/>
          <w:sz w:val="24"/>
          <w:szCs w:val="24"/>
          <w:highlight w:val="none"/>
        </w:rPr>
        <w:t>6.投诉书的投诉请求应与投诉事项相关。</w:t>
      </w:r>
    </w:p>
    <w:p>
      <w:pPr>
        <w:spacing w:line="360" w:lineRule="auto"/>
        <w:rPr>
          <w:rFonts w:ascii="仿宋" w:hAnsi="仿宋" w:eastAsia="仿宋"/>
          <w:color w:val="auto"/>
          <w:sz w:val="24"/>
          <w:highlight w:val="none"/>
        </w:rPr>
      </w:pPr>
      <w:r>
        <w:rPr>
          <w:rFonts w:hint="eastAsia" w:ascii="仿宋_GB2312" w:eastAsia="仿宋_GB2312"/>
          <w:b w:val="0"/>
          <w:bCs/>
          <w:color w:val="auto"/>
          <w:sz w:val="24"/>
          <w:szCs w:val="24"/>
          <w:highlight w:val="none"/>
        </w:rPr>
        <w:t>7.投诉人为自然人的，投诉书应当由本人签字；投诉人为法人或者其他组织的，投诉书应当由法定代表人、主要负责人，或者其授权代表签字或者盖章，并加盖公章。</w:t>
      </w:r>
    </w:p>
    <w:sectPr>
      <w:footerReference r:id="rId20" w:type="default"/>
      <w:pgSz w:w="11907" w:h="16840"/>
      <w:pgMar w:top="1418" w:right="1134" w:bottom="1418" w:left="1701" w:header="85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392946-A141-4413-B6EE-28229CCE46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2" w:fontKey="{CF5F6F79-FDD7-4CD1-9D51-909AAC82C81A}"/>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3" w:fontKey="{88DDC235-15E5-46F5-AE54-5E0916018B22}"/>
  </w:font>
  <w:font w:name="仿宋_GB2312">
    <w:altName w:val="仿宋"/>
    <w:panose1 w:val="02010609030101010101"/>
    <w:charset w:val="86"/>
    <w:family w:val="modern"/>
    <w:pitch w:val="default"/>
    <w:sig w:usb0="00000000" w:usb1="00000000" w:usb2="00000000" w:usb3="00000000" w:csb0="00040000" w:csb1="00000000"/>
    <w:embedRegular r:id="rId4" w:fontKey="{8B378D14-4FCE-48A2-B541-2D20CF54D54D}"/>
  </w:font>
  <w:font w:name="方正小标宋简体">
    <w:panose1 w:val="03000509000000000000"/>
    <w:charset w:val="86"/>
    <w:family w:val="auto"/>
    <w:pitch w:val="default"/>
    <w:sig w:usb0="00000001" w:usb1="080E0000" w:usb2="00000000" w:usb3="00000000" w:csb0="00040000" w:csb1="00000000"/>
    <w:embedRegular r:id="rId5" w:fontKey="{B3A2233D-D821-4D22-97E7-F520C7C52EDF}"/>
  </w:font>
  <w:font w:name="楷体_GB2312">
    <w:altName w:val="楷体"/>
    <w:panose1 w:val="00000000000000000000"/>
    <w:charset w:val="86"/>
    <w:family w:val="modern"/>
    <w:pitch w:val="default"/>
    <w:sig w:usb0="00000000" w:usb1="00000000" w:usb2="00000010" w:usb3="00000000" w:csb0="00040000" w:csb1="00000000"/>
    <w:embedRegular r:id="rId6" w:fontKey="{A0E938BE-C63F-4779-969D-463F9887FCA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53</w:t>
    </w:r>
    <w:r>
      <w:rPr>
        <w:rFonts w:ascii="Times New Roman" w:hAnsi="Times New Roman"/>
        <w:sz w:val="21"/>
        <w:szCs w:val="21"/>
      </w:rPr>
      <w:fldChar w:fldCharType="end"/>
    </w:r>
  </w:p>
  <w:p>
    <w:pPr>
      <w:pStyle w:val="2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44</w:t>
    </w:r>
    <w:r>
      <w:rPr>
        <w:rFonts w:ascii="Times New Roman" w:hAnsi="Times New Roman"/>
        <w:sz w:val="21"/>
        <w:szCs w:val="21"/>
      </w:rPr>
      <w:fldChar w:fldCharType="end"/>
    </w:r>
  </w:p>
  <w:p>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56</w:t>
    </w:r>
    <w:r>
      <w:rPr>
        <w:rFonts w:ascii="Times New Roman" w:hAnsi="Times New Roman"/>
        <w:sz w:val="21"/>
        <w:szCs w:val="21"/>
      </w:rPr>
      <w:fldChar w:fldCharType="end"/>
    </w:r>
  </w:p>
  <w:p>
    <w:pPr>
      <w:pStyle w:val="22"/>
      <w:rPr>
        <w:rFonts w:ascii="Times New Roman" w:hAnsi="Times New Roman"/>
        <w:sz w:val="21"/>
        <w:szCs w:val="21"/>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78</w:t>
    </w:r>
    <w:r>
      <w:rPr>
        <w:rFonts w:ascii="Times New Roman" w:hAnsi="Times New Roman"/>
        <w:sz w:val="21"/>
        <w:szCs w:val="21"/>
      </w:rPr>
      <w:fldChar w:fldCharType="end"/>
    </w:r>
  </w:p>
  <w:p>
    <w:pPr>
      <w:pStyle w:val="2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87</w:t>
    </w:r>
    <w:r>
      <w:rPr>
        <w:rFonts w:ascii="Times New Roman" w:hAnsi="Times New Roman"/>
        <w:sz w:val="21"/>
        <w:szCs w:val="21"/>
      </w:rPr>
      <w:fldChar w:fldCharType="end"/>
    </w:r>
  </w:p>
  <w:p>
    <w:pPr>
      <w:pStyle w:val="2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95</w:t>
    </w:r>
    <w:r>
      <w:rPr>
        <w:rFonts w:ascii="Times New Roman" w:hAnsi="Times New Roman"/>
        <w:sz w:val="21"/>
        <w:szCs w:val="21"/>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25</w:t>
    </w:r>
    <w:r>
      <w:rPr>
        <w:rFonts w:ascii="Times New Roman" w:hAnsi="Times New Roman"/>
        <w:sz w:val="21"/>
        <w:szCs w:val="21"/>
      </w:rPr>
      <w:fldChar w:fldCharType="end"/>
    </w:r>
  </w:p>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24</w:t>
    </w:r>
    <w:r>
      <w:rPr>
        <w:rFonts w:ascii="Times New Roman" w:hAnsi="Times New Roman"/>
        <w:sz w:val="21"/>
        <w:szCs w:val="21"/>
      </w:rPr>
      <w:fldChar w:fldCharType="end"/>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37</w:t>
    </w:r>
    <w:r>
      <w:rPr>
        <w:rFonts w:ascii="Times New Roman" w:hAnsi="Times New Roman"/>
        <w:sz w:val="21"/>
        <w:szCs w:val="21"/>
      </w:rP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26</w:t>
    </w:r>
    <w:r>
      <w:rPr>
        <w:rFonts w:ascii="Times New Roman" w:hAnsi="Times New Roman"/>
        <w:sz w:val="21"/>
        <w:szCs w:val="21"/>
      </w:rPr>
      <w:fldChar w:fldCharType="end"/>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29</w:t>
    </w:r>
    <w:r>
      <w:rPr>
        <w:rFonts w:ascii="Times New Roman" w:hAnsi="Times New Roman"/>
        <w:sz w:val="21"/>
        <w:szCs w:val="21"/>
      </w:rPr>
      <w:fldChar w:fldCharType="end"/>
    </w:r>
  </w:p>
  <w:p>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38</w:t>
    </w:r>
    <w:r>
      <w:rPr>
        <w:rFonts w:ascii="Times New Roman" w:hAnsi="Times New Roman"/>
        <w:sz w:val="21"/>
        <w:szCs w:val="21"/>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0" w:type="auto"/>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5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noWrap w:val="0"/>
          <w:vAlign w:val="top"/>
        </w:tcPr>
        <w:p>
          <w:pPr>
            <w:tabs>
              <w:tab w:val="center" w:pos="4153"/>
              <w:tab w:val="right" w:pos="8306"/>
            </w:tabs>
            <w:adjustRightInd w:val="0"/>
            <w:snapToGrid w:val="0"/>
            <w:jc w:val="left"/>
            <w:rPr>
              <w:rFonts w:hint="eastAsia" w:ascii="黑体" w:hAnsi="黑体" w:eastAsia="黑体" w:cs="黑体"/>
              <w:sz w:val="18"/>
              <w:szCs w:val="20"/>
            </w:rPr>
          </w:pPr>
          <w:r>
            <w:drawing>
              <wp:inline distT="0" distB="0" distL="114300" distR="114300">
                <wp:extent cx="2339975" cy="360045"/>
                <wp:effectExtent l="0" t="0" r="3175" b="1905"/>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referRelativeResize="0"/>
                      </pic:nvPicPr>
                      <pic:blipFill>
                        <a:blip r:embed="rId1"/>
                        <a:stretch>
                          <a:fillRect/>
                        </a:stretch>
                      </pic:blipFill>
                      <pic:spPr>
                        <a:xfrm>
                          <a:off x="0" y="0"/>
                          <a:ext cx="2339975" cy="360045"/>
                        </a:xfrm>
                        <a:prstGeom prst="rect">
                          <a:avLst/>
                        </a:prstGeom>
                        <a:noFill/>
                        <a:ln>
                          <a:noFill/>
                        </a:ln>
                      </pic:spPr>
                    </pic:pic>
                  </a:graphicData>
                </a:graphic>
              </wp:inline>
            </w:drawing>
          </w:r>
        </w:p>
      </w:tc>
      <w:tc>
        <w:tcPr>
          <w:tcW w:w="3255" w:type="dxa"/>
          <w:noWrap w:val="0"/>
          <w:vAlign w:val="center"/>
        </w:tcPr>
        <w:p>
          <w:pPr>
            <w:tabs>
              <w:tab w:val="center" w:pos="4153"/>
              <w:tab w:val="right" w:pos="8306"/>
            </w:tabs>
            <w:adjustRightInd w:val="0"/>
            <w:snapToGrid w:val="0"/>
            <w:jc w:val="right"/>
            <w:rPr>
              <w:rFonts w:hint="eastAsia" w:ascii="Cambria" w:hAnsi="黑体" w:eastAsia="黑体" w:cs="黑体"/>
              <w:b/>
              <w:sz w:val="18"/>
              <w:szCs w:val="18"/>
            </w:rPr>
          </w:pPr>
          <w:r>
            <w:rPr>
              <w:rFonts w:hint="eastAsia" w:ascii="黑体" w:hAnsi="黑体" w:eastAsia="黑体" w:cs="黑体"/>
              <w:bCs/>
              <w:szCs w:val="21"/>
            </w:rPr>
            <w:t>做精·做细·做强</w:t>
          </w:r>
        </w:p>
      </w:tc>
    </w:tr>
  </w:tbl>
  <w:p>
    <w:pPr>
      <w:pStyle w:val="23"/>
      <w:pBdr>
        <w:bottom w:val="none" w:color="auto" w:sz="0" w:space="0"/>
      </w:pBd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0" w:type="auto"/>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5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PrEx>
      <w:tc>
        <w:tcPr>
          <w:tcW w:w="5825" w:type="dxa"/>
          <w:noWrap w:val="0"/>
          <w:vAlign w:val="top"/>
        </w:tcPr>
        <w:p>
          <w:pPr>
            <w:tabs>
              <w:tab w:val="center" w:pos="4153"/>
              <w:tab w:val="right" w:pos="8306"/>
            </w:tabs>
            <w:adjustRightInd w:val="0"/>
            <w:snapToGrid w:val="0"/>
            <w:jc w:val="left"/>
            <w:rPr>
              <w:rFonts w:hint="eastAsia" w:ascii="黑体" w:hAnsi="黑体" w:eastAsia="黑体" w:cs="黑体"/>
              <w:sz w:val="18"/>
              <w:szCs w:val="20"/>
            </w:rPr>
          </w:pPr>
          <w:r>
            <w:drawing>
              <wp:inline distT="0" distB="0" distL="114300" distR="114300">
                <wp:extent cx="2339975" cy="360045"/>
                <wp:effectExtent l="0" t="0" r="3175" b="1905"/>
                <wp:docPr id="4" name="图片 5"/>
                <wp:cNvGraphicFramePr/>
                <a:graphic xmlns:a="http://schemas.openxmlformats.org/drawingml/2006/main">
                  <a:graphicData uri="http://schemas.openxmlformats.org/drawingml/2006/picture">
                    <pic:pic xmlns:pic="http://schemas.openxmlformats.org/drawingml/2006/picture">
                      <pic:nvPicPr>
                        <pic:cNvPr id="4" name="图片 5"/>
                        <pic:cNvPicPr preferRelativeResize="0"/>
                      </pic:nvPicPr>
                      <pic:blipFill>
                        <a:blip r:embed="rId1"/>
                        <a:stretch>
                          <a:fillRect/>
                        </a:stretch>
                      </pic:blipFill>
                      <pic:spPr>
                        <a:xfrm>
                          <a:off x="0" y="0"/>
                          <a:ext cx="2339975" cy="360045"/>
                        </a:xfrm>
                        <a:prstGeom prst="rect">
                          <a:avLst/>
                        </a:prstGeom>
                        <a:noFill/>
                        <a:ln>
                          <a:noFill/>
                        </a:ln>
                      </pic:spPr>
                    </pic:pic>
                  </a:graphicData>
                </a:graphic>
              </wp:inline>
            </w:drawing>
          </w:r>
        </w:p>
      </w:tc>
      <w:tc>
        <w:tcPr>
          <w:tcW w:w="3255" w:type="dxa"/>
          <w:noWrap w:val="0"/>
          <w:vAlign w:val="center"/>
        </w:tcPr>
        <w:p>
          <w:pPr>
            <w:tabs>
              <w:tab w:val="center" w:pos="4153"/>
              <w:tab w:val="right" w:pos="8306"/>
            </w:tabs>
            <w:adjustRightInd w:val="0"/>
            <w:snapToGrid w:val="0"/>
            <w:jc w:val="right"/>
            <w:rPr>
              <w:rFonts w:hint="eastAsia" w:ascii="Cambria" w:hAnsi="黑体" w:eastAsia="黑体" w:cs="黑体"/>
              <w:b/>
              <w:sz w:val="18"/>
              <w:szCs w:val="18"/>
            </w:rPr>
          </w:pPr>
          <w:r>
            <w:rPr>
              <w:rFonts w:hint="eastAsia" w:ascii="黑体" w:hAnsi="黑体" w:eastAsia="黑体" w:cs="黑体"/>
              <w:bCs/>
              <w:szCs w:val="21"/>
            </w:rPr>
            <w:t>做精·做细·做强</w:t>
          </w:r>
        </w:p>
      </w:tc>
    </w:tr>
  </w:tbl>
  <w:p>
    <w:pPr>
      <w:pStyle w:val="23"/>
      <w:pBdr>
        <w:bottom w:val="none" w:color="auto" w:sz="0" w:space="1"/>
      </w:pBd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2"/>
      <w:tblW w:w="0" w:type="auto"/>
      <w:tblInd w:w="104" w:type="dxa"/>
      <w:tblBorders>
        <w:top w:val="none" w:color="auto" w:sz="0"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5"/>
      <w:gridCol w:w="3255"/>
    </w:tblGrid>
    <w:tr>
      <w:tblPrEx>
        <w:tblBorders>
          <w:top w:val="none" w:color="auto" w:sz="0"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c>
        <w:tcPr>
          <w:tcW w:w="5825" w:type="dxa"/>
          <w:noWrap w:val="0"/>
          <w:vAlign w:val="top"/>
        </w:tcPr>
        <w:p>
          <w:pPr>
            <w:tabs>
              <w:tab w:val="center" w:pos="4153"/>
              <w:tab w:val="right" w:pos="8306"/>
            </w:tabs>
            <w:adjustRightInd w:val="0"/>
            <w:snapToGrid w:val="0"/>
            <w:jc w:val="left"/>
            <w:rPr>
              <w:rFonts w:hint="eastAsia" w:ascii="黑体" w:hAnsi="黑体" w:eastAsia="黑体" w:cs="黑体"/>
              <w:sz w:val="18"/>
              <w:szCs w:val="20"/>
            </w:rPr>
          </w:pPr>
          <w:r>
            <w:drawing>
              <wp:inline distT="0" distB="0" distL="114300" distR="114300">
                <wp:extent cx="2339975" cy="360045"/>
                <wp:effectExtent l="0" t="0" r="3175" b="1905"/>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referRelativeResize="0"/>
                      </pic:nvPicPr>
                      <pic:blipFill>
                        <a:blip r:embed="rId1"/>
                        <a:stretch>
                          <a:fillRect/>
                        </a:stretch>
                      </pic:blipFill>
                      <pic:spPr>
                        <a:xfrm>
                          <a:off x="0" y="0"/>
                          <a:ext cx="2339975" cy="360045"/>
                        </a:xfrm>
                        <a:prstGeom prst="rect">
                          <a:avLst/>
                        </a:prstGeom>
                        <a:noFill/>
                        <a:ln>
                          <a:noFill/>
                        </a:ln>
                      </pic:spPr>
                    </pic:pic>
                  </a:graphicData>
                </a:graphic>
              </wp:inline>
            </w:drawing>
          </w:r>
        </w:p>
      </w:tc>
      <w:tc>
        <w:tcPr>
          <w:tcW w:w="3255" w:type="dxa"/>
          <w:noWrap w:val="0"/>
          <w:vAlign w:val="center"/>
        </w:tcPr>
        <w:p>
          <w:pPr>
            <w:tabs>
              <w:tab w:val="center" w:pos="4153"/>
              <w:tab w:val="right" w:pos="8306"/>
            </w:tabs>
            <w:adjustRightInd w:val="0"/>
            <w:snapToGrid w:val="0"/>
            <w:jc w:val="right"/>
            <w:rPr>
              <w:rFonts w:hint="eastAsia" w:ascii="Cambria" w:hAnsi="黑体" w:eastAsia="黑体" w:cs="黑体"/>
              <w:b/>
              <w:sz w:val="18"/>
              <w:szCs w:val="18"/>
            </w:rPr>
          </w:pPr>
          <w:r>
            <w:rPr>
              <w:rFonts w:hint="eastAsia" w:ascii="黑体" w:hAnsi="黑体" w:eastAsia="黑体" w:cs="黑体"/>
              <w:bCs/>
              <w:szCs w:val="21"/>
            </w:rPr>
            <w:t>做精·做细·做强</w:t>
          </w:r>
        </w:p>
      </w:tc>
    </w:tr>
  </w:tbl>
  <w:p>
    <w:pPr>
      <w:pStyle w:val="23"/>
      <w:pBdr>
        <w:bottom w:val="none" w:color="auto" w:sz="0" w:space="1"/>
      </w:pBd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B71C2"/>
    <w:multiLevelType w:val="singleLevel"/>
    <w:tmpl w:val="9D0B71C2"/>
    <w:lvl w:ilvl="0" w:tentative="0">
      <w:start w:val="1"/>
      <w:numFmt w:val="decimal"/>
      <w:lvlText w:val="%1."/>
      <w:lvlJc w:val="left"/>
      <w:pPr>
        <w:tabs>
          <w:tab w:val="left" w:pos="312"/>
        </w:tabs>
      </w:pPr>
    </w:lvl>
  </w:abstractNum>
  <w:abstractNum w:abstractNumId="1">
    <w:nsid w:val="BB0142ED"/>
    <w:multiLevelType w:val="singleLevel"/>
    <w:tmpl w:val="BB0142ED"/>
    <w:lvl w:ilvl="0" w:tentative="0">
      <w:start w:val="1"/>
      <w:numFmt w:val="chineseCounting"/>
      <w:suff w:val="nothing"/>
      <w:lvlText w:val="%1、"/>
      <w:lvlJc w:val="left"/>
      <w:rPr>
        <w:rFonts w:hint="eastAsia"/>
      </w:rPr>
    </w:lvl>
  </w:abstractNum>
  <w:abstractNum w:abstractNumId="2">
    <w:nsid w:val="54D002D8"/>
    <w:multiLevelType w:val="multilevel"/>
    <w:tmpl w:val="54D002D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FD40E4"/>
    <w:multiLevelType w:val="singleLevel"/>
    <w:tmpl w:val="5AFD40E4"/>
    <w:lvl w:ilvl="0" w:tentative="0">
      <w:start w:val="2"/>
      <w:numFmt w:val="chineseCounting"/>
      <w:suff w:val="nothing"/>
      <w:lvlText w:val="%1、"/>
      <w:lvlJc w:val="left"/>
    </w:lvl>
  </w:abstractNum>
  <w:abstractNum w:abstractNumId="4">
    <w:nsid w:val="684205D4"/>
    <w:multiLevelType w:val="multilevel"/>
    <w:tmpl w:val="684205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15D"/>
    <w:rsid w:val="00024391"/>
    <w:rsid w:val="000246A1"/>
    <w:rsid w:val="00024A16"/>
    <w:rsid w:val="00026E80"/>
    <w:rsid w:val="000278BD"/>
    <w:rsid w:val="00030DE6"/>
    <w:rsid w:val="00031286"/>
    <w:rsid w:val="00031558"/>
    <w:rsid w:val="00032335"/>
    <w:rsid w:val="00032783"/>
    <w:rsid w:val="00032961"/>
    <w:rsid w:val="000335A6"/>
    <w:rsid w:val="00033D0D"/>
    <w:rsid w:val="00035948"/>
    <w:rsid w:val="000374CD"/>
    <w:rsid w:val="000408C4"/>
    <w:rsid w:val="000410B9"/>
    <w:rsid w:val="0004124E"/>
    <w:rsid w:val="0004198C"/>
    <w:rsid w:val="00041CFA"/>
    <w:rsid w:val="00041FE4"/>
    <w:rsid w:val="000427B1"/>
    <w:rsid w:val="00042CF7"/>
    <w:rsid w:val="00043368"/>
    <w:rsid w:val="000451F8"/>
    <w:rsid w:val="000462B4"/>
    <w:rsid w:val="00046697"/>
    <w:rsid w:val="0004677D"/>
    <w:rsid w:val="00047465"/>
    <w:rsid w:val="00047873"/>
    <w:rsid w:val="00050590"/>
    <w:rsid w:val="000512F8"/>
    <w:rsid w:val="00051366"/>
    <w:rsid w:val="000523DF"/>
    <w:rsid w:val="000526C6"/>
    <w:rsid w:val="00052B12"/>
    <w:rsid w:val="00052B4F"/>
    <w:rsid w:val="00053337"/>
    <w:rsid w:val="00054BA4"/>
    <w:rsid w:val="00055034"/>
    <w:rsid w:val="0005599B"/>
    <w:rsid w:val="00055C21"/>
    <w:rsid w:val="000567A9"/>
    <w:rsid w:val="00056979"/>
    <w:rsid w:val="00057397"/>
    <w:rsid w:val="00060448"/>
    <w:rsid w:val="00061464"/>
    <w:rsid w:val="0006243C"/>
    <w:rsid w:val="0006264C"/>
    <w:rsid w:val="0006483F"/>
    <w:rsid w:val="000657E0"/>
    <w:rsid w:val="0006634F"/>
    <w:rsid w:val="0006738D"/>
    <w:rsid w:val="00070F9B"/>
    <w:rsid w:val="000727F2"/>
    <w:rsid w:val="00072C66"/>
    <w:rsid w:val="000731F0"/>
    <w:rsid w:val="000736D3"/>
    <w:rsid w:val="000739F4"/>
    <w:rsid w:val="00073B7E"/>
    <w:rsid w:val="00073EDA"/>
    <w:rsid w:val="00074138"/>
    <w:rsid w:val="000743DD"/>
    <w:rsid w:val="0007588A"/>
    <w:rsid w:val="00081A37"/>
    <w:rsid w:val="00082B75"/>
    <w:rsid w:val="000834B0"/>
    <w:rsid w:val="000839BF"/>
    <w:rsid w:val="00083A94"/>
    <w:rsid w:val="00084183"/>
    <w:rsid w:val="00084FFC"/>
    <w:rsid w:val="0008602F"/>
    <w:rsid w:val="000867B4"/>
    <w:rsid w:val="00086A4E"/>
    <w:rsid w:val="00086A9F"/>
    <w:rsid w:val="00090600"/>
    <w:rsid w:val="00090A00"/>
    <w:rsid w:val="00092B4C"/>
    <w:rsid w:val="000932AA"/>
    <w:rsid w:val="00093ABA"/>
    <w:rsid w:val="00093CC8"/>
    <w:rsid w:val="0009496F"/>
    <w:rsid w:val="000953D1"/>
    <w:rsid w:val="0009544D"/>
    <w:rsid w:val="000958DC"/>
    <w:rsid w:val="000962DA"/>
    <w:rsid w:val="000A1518"/>
    <w:rsid w:val="000A1D01"/>
    <w:rsid w:val="000A2A84"/>
    <w:rsid w:val="000A32C6"/>
    <w:rsid w:val="000A3D02"/>
    <w:rsid w:val="000A3D83"/>
    <w:rsid w:val="000A4196"/>
    <w:rsid w:val="000A42C7"/>
    <w:rsid w:val="000A4B2E"/>
    <w:rsid w:val="000A4EA5"/>
    <w:rsid w:val="000A7857"/>
    <w:rsid w:val="000A791A"/>
    <w:rsid w:val="000B064B"/>
    <w:rsid w:val="000B07DD"/>
    <w:rsid w:val="000B0E0C"/>
    <w:rsid w:val="000B0F4B"/>
    <w:rsid w:val="000B1C2C"/>
    <w:rsid w:val="000B4967"/>
    <w:rsid w:val="000B4C0D"/>
    <w:rsid w:val="000B57D0"/>
    <w:rsid w:val="000B58C4"/>
    <w:rsid w:val="000B646A"/>
    <w:rsid w:val="000B7FD8"/>
    <w:rsid w:val="000C00DD"/>
    <w:rsid w:val="000C0110"/>
    <w:rsid w:val="000C0146"/>
    <w:rsid w:val="000C139B"/>
    <w:rsid w:val="000C22DB"/>
    <w:rsid w:val="000C2EFC"/>
    <w:rsid w:val="000C3B13"/>
    <w:rsid w:val="000C405E"/>
    <w:rsid w:val="000C4129"/>
    <w:rsid w:val="000C4762"/>
    <w:rsid w:val="000C562F"/>
    <w:rsid w:val="000C5D2D"/>
    <w:rsid w:val="000C5FC0"/>
    <w:rsid w:val="000D030B"/>
    <w:rsid w:val="000D03B4"/>
    <w:rsid w:val="000D0F0A"/>
    <w:rsid w:val="000D0F1A"/>
    <w:rsid w:val="000D1724"/>
    <w:rsid w:val="000D2846"/>
    <w:rsid w:val="000D319D"/>
    <w:rsid w:val="000D4EFB"/>
    <w:rsid w:val="000D4F70"/>
    <w:rsid w:val="000D705A"/>
    <w:rsid w:val="000D710C"/>
    <w:rsid w:val="000D7D0C"/>
    <w:rsid w:val="000E0A69"/>
    <w:rsid w:val="000E2E9A"/>
    <w:rsid w:val="000E4B8B"/>
    <w:rsid w:val="000E583C"/>
    <w:rsid w:val="000E5F4F"/>
    <w:rsid w:val="000E6476"/>
    <w:rsid w:val="000E6B71"/>
    <w:rsid w:val="000E6CD7"/>
    <w:rsid w:val="000E7198"/>
    <w:rsid w:val="000E7F73"/>
    <w:rsid w:val="000F3D6C"/>
    <w:rsid w:val="000F422B"/>
    <w:rsid w:val="000F45A9"/>
    <w:rsid w:val="000F5B27"/>
    <w:rsid w:val="000F5C6D"/>
    <w:rsid w:val="000F6854"/>
    <w:rsid w:val="001004E4"/>
    <w:rsid w:val="00100B7D"/>
    <w:rsid w:val="00100C85"/>
    <w:rsid w:val="00100FCD"/>
    <w:rsid w:val="0010167E"/>
    <w:rsid w:val="00101CB5"/>
    <w:rsid w:val="001033D2"/>
    <w:rsid w:val="00105014"/>
    <w:rsid w:val="00105DC1"/>
    <w:rsid w:val="0010666F"/>
    <w:rsid w:val="001114EB"/>
    <w:rsid w:val="001116C7"/>
    <w:rsid w:val="00111F41"/>
    <w:rsid w:val="00112681"/>
    <w:rsid w:val="00114DE5"/>
    <w:rsid w:val="00114EBA"/>
    <w:rsid w:val="001150A5"/>
    <w:rsid w:val="00120694"/>
    <w:rsid w:val="0012096C"/>
    <w:rsid w:val="001212C2"/>
    <w:rsid w:val="00121769"/>
    <w:rsid w:val="0012276E"/>
    <w:rsid w:val="001239E7"/>
    <w:rsid w:val="00123E53"/>
    <w:rsid w:val="00123FC0"/>
    <w:rsid w:val="001248FE"/>
    <w:rsid w:val="00126265"/>
    <w:rsid w:val="001268CA"/>
    <w:rsid w:val="00126D87"/>
    <w:rsid w:val="00131275"/>
    <w:rsid w:val="00131F14"/>
    <w:rsid w:val="001329EB"/>
    <w:rsid w:val="00132B2D"/>
    <w:rsid w:val="001338FB"/>
    <w:rsid w:val="001345C8"/>
    <w:rsid w:val="00134771"/>
    <w:rsid w:val="0013590F"/>
    <w:rsid w:val="00135E07"/>
    <w:rsid w:val="00136485"/>
    <w:rsid w:val="00136D53"/>
    <w:rsid w:val="00142470"/>
    <w:rsid w:val="0014425B"/>
    <w:rsid w:val="001451F2"/>
    <w:rsid w:val="001464DD"/>
    <w:rsid w:val="001500D3"/>
    <w:rsid w:val="00150BFF"/>
    <w:rsid w:val="00150E40"/>
    <w:rsid w:val="00151441"/>
    <w:rsid w:val="00152074"/>
    <w:rsid w:val="00152949"/>
    <w:rsid w:val="00153D4C"/>
    <w:rsid w:val="0015550E"/>
    <w:rsid w:val="00156466"/>
    <w:rsid w:val="00156D44"/>
    <w:rsid w:val="001575FD"/>
    <w:rsid w:val="00161AEF"/>
    <w:rsid w:val="00162078"/>
    <w:rsid w:val="00162C00"/>
    <w:rsid w:val="00162FD3"/>
    <w:rsid w:val="0016341A"/>
    <w:rsid w:val="0016407A"/>
    <w:rsid w:val="0016444B"/>
    <w:rsid w:val="001648CD"/>
    <w:rsid w:val="001652F8"/>
    <w:rsid w:val="00165833"/>
    <w:rsid w:val="00167ED2"/>
    <w:rsid w:val="00170C8C"/>
    <w:rsid w:val="001746B3"/>
    <w:rsid w:val="00175AEB"/>
    <w:rsid w:val="001763A5"/>
    <w:rsid w:val="00182A13"/>
    <w:rsid w:val="001836F5"/>
    <w:rsid w:val="0018382C"/>
    <w:rsid w:val="0018390E"/>
    <w:rsid w:val="00183C90"/>
    <w:rsid w:val="00183F9B"/>
    <w:rsid w:val="00185A39"/>
    <w:rsid w:val="00185F2C"/>
    <w:rsid w:val="00186A43"/>
    <w:rsid w:val="00186AEA"/>
    <w:rsid w:val="001876EA"/>
    <w:rsid w:val="00187C36"/>
    <w:rsid w:val="00187D88"/>
    <w:rsid w:val="0019037D"/>
    <w:rsid w:val="00190646"/>
    <w:rsid w:val="0019220A"/>
    <w:rsid w:val="00192298"/>
    <w:rsid w:val="00193802"/>
    <w:rsid w:val="00193E56"/>
    <w:rsid w:val="001961BF"/>
    <w:rsid w:val="001968B4"/>
    <w:rsid w:val="00196A94"/>
    <w:rsid w:val="00196B7A"/>
    <w:rsid w:val="001974BF"/>
    <w:rsid w:val="0019756E"/>
    <w:rsid w:val="001A0BE4"/>
    <w:rsid w:val="001A15AD"/>
    <w:rsid w:val="001A19E6"/>
    <w:rsid w:val="001A4D34"/>
    <w:rsid w:val="001A5C07"/>
    <w:rsid w:val="001A5F6B"/>
    <w:rsid w:val="001A67F1"/>
    <w:rsid w:val="001A761A"/>
    <w:rsid w:val="001B053F"/>
    <w:rsid w:val="001B19A7"/>
    <w:rsid w:val="001B1F0F"/>
    <w:rsid w:val="001B22E9"/>
    <w:rsid w:val="001B334A"/>
    <w:rsid w:val="001B3E78"/>
    <w:rsid w:val="001B4B2D"/>
    <w:rsid w:val="001B4BDC"/>
    <w:rsid w:val="001B5507"/>
    <w:rsid w:val="001C044F"/>
    <w:rsid w:val="001C0764"/>
    <w:rsid w:val="001C11F3"/>
    <w:rsid w:val="001C2A2B"/>
    <w:rsid w:val="001C2CAE"/>
    <w:rsid w:val="001C4A5B"/>
    <w:rsid w:val="001C5AF6"/>
    <w:rsid w:val="001C7BAD"/>
    <w:rsid w:val="001D0786"/>
    <w:rsid w:val="001D0F62"/>
    <w:rsid w:val="001D2331"/>
    <w:rsid w:val="001D2524"/>
    <w:rsid w:val="001D2B57"/>
    <w:rsid w:val="001D3913"/>
    <w:rsid w:val="001D6258"/>
    <w:rsid w:val="001D6FBF"/>
    <w:rsid w:val="001E0521"/>
    <w:rsid w:val="001E0CB9"/>
    <w:rsid w:val="001E148C"/>
    <w:rsid w:val="001E243E"/>
    <w:rsid w:val="001E25E8"/>
    <w:rsid w:val="001E3B05"/>
    <w:rsid w:val="001E5744"/>
    <w:rsid w:val="001E5BB0"/>
    <w:rsid w:val="001E6EBF"/>
    <w:rsid w:val="001E6EC9"/>
    <w:rsid w:val="001E6EF9"/>
    <w:rsid w:val="001F035E"/>
    <w:rsid w:val="001F07D1"/>
    <w:rsid w:val="001F1E7D"/>
    <w:rsid w:val="001F2E29"/>
    <w:rsid w:val="001F492D"/>
    <w:rsid w:val="001F644D"/>
    <w:rsid w:val="001F64F5"/>
    <w:rsid w:val="001F79FC"/>
    <w:rsid w:val="001F7DBD"/>
    <w:rsid w:val="001F7DDB"/>
    <w:rsid w:val="00200C93"/>
    <w:rsid w:val="00203068"/>
    <w:rsid w:val="00205336"/>
    <w:rsid w:val="00206D18"/>
    <w:rsid w:val="002072AC"/>
    <w:rsid w:val="002073CA"/>
    <w:rsid w:val="0021013C"/>
    <w:rsid w:val="00210AE4"/>
    <w:rsid w:val="002120D0"/>
    <w:rsid w:val="002125E6"/>
    <w:rsid w:val="00214C87"/>
    <w:rsid w:val="00215638"/>
    <w:rsid w:val="0021668E"/>
    <w:rsid w:val="00220283"/>
    <w:rsid w:val="00221E35"/>
    <w:rsid w:val="002234B8"/>
    <w:rsid w:val="00224333"/>
    <w:rsid w:val="0022447C"/>
    <w:rsid w:val="00224CDC"/>
    <w:rsid w:val="002270B2"/>
    <w:rsid w:val="00230304"/>
    <w:rsid w:val="00230D10"/>
    <w:rsid w:val="002320BC"/>
    <w:rsid w:val="002332EA"/>
    <w:rsid w:val="002342C9"/>
    <w:rsid w:val="00236FDA"/>
    <w:rsid w:val="002376B7"/>
    <w:rsid w:val="002405BC"/>
    <w:rsid w:val="00241AF6"/>
    <w:rsid w:val="00242277"/>
    <w:rsid w:val="00242A14"/>
    <w:rsid w:val="00244015"/>
    <w:rsid w:val="00244638"/>
    <w:rsid w:val="0024529B"/>
    <w:rsid w:val="00245E6C"/>
    <w:rsid w:val="0024610F"/>
    <w:rsid w:val="002470DA"/>
    <w:rsid w:val="0025006F"/>
    <w:rsid w:val="00250692"/>
    <w:rsid w:val="002509D0"/>
    <w:rsid w:val="002510B3"/>
    <w:rsid w:val="00252DDB"/>
    <w:rsid w:val="0025359C"/>
    <w:rsid w:val="002554B2"/>
    <w:rsid w:val="00255D4B"/>
    <w:rsid w:val="00256551"/>
    <w:rsid w:val="00261C07"/>
    <w:rsid w:val="00262A61"/>
    <w:rsid w:val="00263B9A"/>
    <w:rsid w:val="00265898"/>
    <w:rsid w:val="00265F18"/>
    <w:rsid w:val="00266457"/>
    <w:rsid w:val="002665C5"/>
    <w:rsid w:val="002703E3"/>
    <w:rsid w:val="002706F1"/>
    <w:rsid w:val="00272326"/>
    <w:rsid w:val="0027252A"/>
    <w:rsid w:val="002774D8"/>
    <w:rsid w:val="00277B58"/>
    <w:rsid w:val="00280D8F"/>
    <w:rsid w:val="00281347"/>
    <w:rsid w:val="00285001"/>
    <w:rsid w:val="002857AA"/>
    <w:rsid w:val="002863A1"/>
    <w:rsid w:val="00287770"/>
    <w:rsid w:val="00287CC2"/>
    <w:rsid w:val="0029048E"/>
    <w:rsid w:val="00290AEB"/>
    <w:rsid w:val="00291539"/>
    <w:rsid w:val="00291BA8"/>
    <w:rsid w:val="00292632"/>
    <w:rsid w:val="00293459"/>
    <w:rsid w:val="00294EBC"/>
    <w:rsid w:val="0029581E"/>
    <w:rsid w:val="002958DA"/>
    <w:rsid w:val="00295F87"/>
    <w:rsid w:val="0029626C"/>
    <w:rsid w:val="00297B8B"/>
    <w:rsid w:val="002A0018"/>
    <w:rsid w:val="002A0B7A"/>
    <w:rsid w:val="002A0C3D"/>
    <w:rsid w:val="002A0C82"/>
    <w:rsid w:val="002A1E56"/>
    <w:rsid w:val="002A4317"/>
    <w:rsid w:val="002A5060"/>
    <w:rsid w:val="002A7D03"/>
    <w:rsid w:val="002B067F"/>
    <w:rsid w:val="002B06DF"/>
    <w:rsid w:val="002B0F2F"/>
    <w:rsid w:val="002B125D"/>
    <w:rsid w:val="002B3263"/>
    <w:rsid w:val="002B3497"/>
    <w:rsid w:val="002B3FE9"/>
    <w:rsid w:val="002B4920"/>
    <w:rsid w:val="002B5EB0"/>
    <w:rsid w:val="002B6D25"/>
    <w:rsid w:val="002B7227"/>
    <w:rsid w:val="002B7D1D"/>
    <w:rsid w:val="002C0169"/>
    <w:rsid w:val="002C0185"/>
    <w:rsid w:val="002C0964"/>
    <w:rsid w:val="002C1101"/>
    <w:rsid w:val="002C2154"/>
    <w:rsid w:val="002C3905"/>
    <w:rsid w:val="002C49AA"/>
    <w:rsid w:val="002C67ED"/>
    <w:rsid w:val="002C73BF"/>
    <w:rsid w:val="002C7AF8"/>
    <w:rsid w:val="002C7DDE"/>
    <w:rsid w:val="002D018F"/>
    <w:rsid w:val="002D2A3C"/>
    <w:rsid w:val="002D44CE"/>
    <w:rsid w:val="002D5D7E"/>
    <w:rsid w:val="002D618D"/>
    <w:rsid w:val="002D621D"/>
    <w:rsid w:val="002D6435"/>
    <w:rsid w:val="002D73AE"/>
    <w:rsid w:val="002E1456"/>
    <w:rsid w:val="002E2016"/>
    <w:rsid w:val="002E2821"/>
    <w:rsid w:val="002E372F"/>
    <w:rsid w:val="002E38A1"/>
    <w:rsid w:val="002E53EC"/>
    <w:rsid w:val="002E6F77"/>
    <w:rsid w:val="002E7B45"/>
    <w:rsid w:val="002F0BDB"/>
    <w:rsid w:val="002F0D48"/>
    <w:rsid w:val="002F3919"/>
    <w:rsid w:val="002F5065"/>
    <w:rsid w:val="002F561B"/>
    <w:rsid w:val="002F5A38"/>
    <w:rsid w:val="002F797B"/>
    <w:rsid w:val="00301805"/>
    <w:rsid w:val="00302602"/>
    <w:rsid w:val="0030262F"/>
    <w:rsid w:val="00303C8B"/>
    <w:rsid w:val="00306772"/>
    <w:rsid w:val="00306A59"/>
    <w:rsid w:val="00306EED"/>
    <w:rsid w:val="00306F89"/>
    <w:rsid w:val="0031103C"/>
    <w:rsid w:val="00311669"/>
    <w:rsid w:val="00311F52"/>
    <w:rsid w:val="0031253B"/>
    <w:rsid w:val="00313AE8"/>
    <w:rsid w:val="00314009"/>
    <w:rsid w:val="00315A72"/>
    <w:rsid w:val="0031795E"/>
    <w:rsid w:val="00321756"/>
    <w:rsid w:val="00321BCE"/>
    <w:rsid w:val="003230A0"/>
    <w:rsid w:val="00323546"/>
    <w:rsid w:val="00323C5D"/>
    <w:rsid w:val="0032451F"/>
    <w:rsid w:val="003245A1"/>
    <w:rsid w:val="00325787"/>
    <w:rsid w:val="00327B03"/>
    <w:rsid w:val="003314D7"/>
    <w:rsid w:val="00331FC6"/>
    <w:rsid w:val="0033261E"/>
    <w:rsid w:val="003331D2"/>
    <w:rsid w:val="00333409"/>
    <w:rsid w:val="00333D33"/>
    <w:rsid w:val="00334A11"/>
    <w:rsid w:val="00335BD1"/>
    <w:rsid w:val="003419CA"/>
    <w:rsid w:val="00342078"/>
    <w:rsid w:val="00343E79"/>
    <w:rsid w:val="00346A47"/>
    <w:rsid w:val="0035067D"/>
    <w:rsid w:val="00350DD0"/>
    <w:rsid w:val="00351E9C"/>
    <w:rsid w:val="00352BE5"/>
    <w:rsid w:val="003534C0"/>
    <w:rsid w:val="00353DAF"/>
    <w:rsid w:val="00354318"/>
    <w:rsid w:val="003546BB"/>
    <w:rsid w:val="00354A64"/>
    <w:rsid w:val="00354A79"/>
    <w:rsid w:val="00355FC0"/>
    <w:rsid w:val="00356142"/>
    <w:rsid w:val="00356AD1"/>
    <w:rsid w:val="00356B6A"/>
    <w:rsid w:val="00357FD7"/>
    <w:rsid w:val="00361262"/>
    <w:rsid w:val="00361C9E"/>
    <w:rsid w:val="00362C82"/>
    <w:rsid w:val="003638AA"/>
    <w:rsid w:val="00363BC8"/>
    <w:rsid w:val="00364647"/>
    <w:rsid w:val="00365E91"/>
    <w:rsid w:val="003661F8"/>
    <w:rsid w:val="0037029D"/>
    <w:rsid w:val="00370C8A"/>
    <w:rsid w:val="0037288F"/>
    <w:rsid w:val="00372940"/>
    <w:rsid w:val="00372E53"/>
    <w:rsid w:val="00373951"/>
    <w:rsid w:val="0037405F"/>
    <w:rsid w:val="003748EB"/>
    <w:rsid w:val="0037593D"/>
    <w:rsid w:val="00375F76"/>
    <w:rsid w:val="0037623D"/>
    <w:rsid w:val="0037714C"/>
    <w:rsid w:val="003818D3"/>
    <w:rsid w:val="00381E2B"/>
    <w:rsid w:val="00382A01"/>
    <w:rsid w:val="00383BFA"/>
    <w:rsid w:val="00383EB8"/>
    <w:rsid w:val="003847DC"/>
    <w:rsid w:val="00384AF6"/>
    <w:rsid w:val="00384FE6"/>
    <w:rsid w:val="003851CE"/>
    <w:rsid w:val="00386948"/>
    <w:rsid w:val="003924E0"/>
    <w:rsid w:val="00393445"/>
    <w:rsid w:val="00394101"/>
    <w:rsid w:val="00395323"/>
    <w:rsid w:val="00395A66"/>
    <w:rsid w:val="0039654A"/>
    <w:rsid w:val="0039658A"/>
    <w:rsid w:val="00396685"/>
    <w:rsid w:val="003A424E"/>
    <w:rsid w:val="003A44B1"/>
    <w:rsid w:val="003A4777"/>
    <w:rsid w:val="003A508C"/>
    <w:rsid w:val="003A6B99"/>
    <w:rsid w:val="003A736E"/>
    <w:rsid w:val="003B035C"/>
    <w:rsid w:val="003B07A2"/>
    <w:rsid w:val="003B0FE8"/>
    <w:rsid w:val="003B1AB5"/>
    <w:rsid w:val="003B1E98"/>
    <w:rsid w:val="003B22D9"/>
    <w:rsid w:val="003B3290"/>
    <w:rsid w:val="003B3755"/>
    <w:rsid w:val="003B4511"/>
    <w:rsid w:val="003B4AE6"/>
    <w:rsid w:val="003B4C27"/>
    <w:rsid w:val="003B50A4"/>
    <w:rsid w:val="003B5D08"/>
    <w:rsid w:val="003B6F87"/>
    <w:rsid w:val="003C0054"/>
    <w:rsid w:val="003C0851"/>
    <w:rsid w:val="003C0D33"/>
    <w:rsid w:val="003C14AB"/>
    <w:rsid w:val="003C1E7C"/>
    <w:rsid w:val="003C47D9"/>
    <w:rsid w:val="003C668B"/>
    <w:rsid w:val="003D014F"/>
    <w:rsid w:val="003D1437"/>
    <w:rsid w:val="003D3B7C"/>
    <w:rsid w:val="003D517F"/>
    <w:rsid w:val="003D58D0"/>
    <w:rsid w:val="003D629B"/>
    <w:rsid w:val="003D6FFA"/>
    <w:rsid w:val="003D7C4B"/>
    <w:rsid w:val="003E2058"/>
    <w:rsid w:val="003E35F5"/>
    <w:rsid w:val="003E44CB"/>
    <w:rsid w:val="003F2938"/>
    <w:rsid w:val="003F4247"/>
    <w:rsid w:val="003F4F88"/>
    <w:rsid w:val="003F7462"/>
    <w:rsid w:val="003F75FF"/>
    <w:rsid w:val="00400273"/>
    <w:rsid w:val="00400415"/>
    <w:rsid w:val="004005B6"/>
    <w:rsid w:val="00400F8F"/>
    <w:rsid w:val="00401075"/>
    <w:rsid w:val="00403397"/>
    <w:rsid w:val="00404202"/>
    <w:rsid w:val="00405597"/>
    <w:rsid w:val="004056A0"/>
    <w:rsid w:val="00406C2F"/>
    <w:rsid w:val="004071DA"/>
    <w:rsid w:val="0041210C"/>
    <w:rsid w:val="00417D72"/>
    <w:rsid w:val="00420862"/>
    <w:rsid w:val="00420880"/>
    <w:rsid w:val="00420E88"/>
    <w:rsid w:val="00421009"/>
    <w:rsid w:val="0042122E"/>
    <w:rsid w:val="004225ED"/>
    <w:rsid w:val="00423232"/>
    <w:rsid w:val="004233F9"/>
    <w:rsid w:val="0042372A"/>
    <w:rsid w:val="00423B89"/>
    <w:rsid w:val="00423C95"/>
    <w:rsid w:val="004259A8"/>
    <w:rsid w:val="00425ACB"/>
    <w:rsid w:val="00425E38"/>
    <w:rsid w:val="004265FC"/>
    <w:rsid w:val="00427793"/>
    <w:rsid w:val="004277FA"/>
    <w:rsid w:val="00430020"/>
    <w:rsid w:val="00430B94"/>
    <w:rsid w:val="004320B5"/>
    <w:rsid w:val="004334B4"/>
    <w:rsid w:val="004347BF"/>
    <w:rsid w:val="00434EDB"/>
    <w:rsid w:val="00436108"/>
    <w:rsid w:val="004368E1"/>
    <w:rsid w:val="00436A1E"/>
    <w:rsid w:val="00437349"/>
    <w:rsid w:val="00437F68"/>
    <w:rsid w:val="00440010"/>
    <w:rsid w:val="00441691"/>
    <w:rsid w:val="00441C1B"/>
    <w:rsid w:val="00442203"/>
    <w:rsid w:val="0044282F"/>
    <w:rsid w:val="00443AF1"/>
    <w:rsid w:val="004440D6"/>
    <w:rsid w:val="0044451B"/>
    <w:rsid w:val="004456EC"/>
    <w:rsid w:val="00445A49"/>
    <w:rsid w:val="00446C23"/>
    <w:rsid w:val="00447598"/>
    <w:rsid w:val="004476BA"/>
    <w:rsid w:val="00447F5D"/>
    <w:rsid w:val="0045041B"/>
    <w:rsid w:val="00451934"/>
    <w:rsid w:val="004522CD"/>
    <w:rsid w:val="00453DA2"/>
    <w:rsid w:val="0045401F"/>
    <w:rsid w:val="00454103"/>
    <w:rsid w:val="004558FE"/>
    <w:rsid w:val="004569C9"/>
    <w:rsid w:val="00456E37"/>
    <w:rsid w:val="00457964"/>
    <w:rsid w:val="004643AF"/>
    <w:rsid w:val="00464C62"/>
    <w:rsid w:val="00465A54"/>
    <w:rsid w:val="00466C2E"/>
    <w:rsid w:val="0046701A"/>
    <w:rsid w:val="004677D8"/>
    <w:rsid w:val="0047082E"/>
    <w:rsid w:val="00472320"/>
    <w:rsid w:val="00472927"/>
    <w:rsid w:val="00472D16"/>
    <w:rsid w:val="00474121"/>
    <w:rsid w:val="004743D3"/>
    <w:rsid w:val="004746B7"/>
    <w:rsid w:val="00474A2F"/>
    <w:rsid w:val="0047538F"/>
    <w:rsid w:val="004753B1"/>
    <w:rsid w:val="00476185"/>
    <w:rsid w:val="00476556"/>
    <w:rsid w:val="00476A00"/>
    <w:rsid w:val="0048177F"/>
    <w:rsid w:val="00482D3B"/>
    <w:rsid w:val="004837E8"/>
    <w:rsid w:val="00484A3D"/>
    <w:rsid w:val="0048581D"/>
    <w:rsid w:val="004859C3"/>
    <w:rsid w:val="00485EDF"/>
    <w:rsid w:val="0048636F"/>
    <w:rsid w:val="00487B3B"/>
    <w:rsid w:val="00490773"/>
    <w:rsid w:val="00490A1F"/>
    <w:rsid w:val="00490BCC"/>
    <w:rsid w:val="00490D7B"/>
    <w:rsid w:val="004924E2"/>
    <w:rsid w:val="0049282E"/>
    <w:rsid w:val="0049425B"/>
    <w:rsid w:val="00494369"/>
    <w:rsid w:val="00495603"/>
    <w:rsid w:val="004967DA"/>
    <w:rsid w:val="004976F3"/>
    <w:rsid w:val="004A0510"/>
    <w:rsid w:val="004A11B8"/>
    <w:rsid w:val="004A2B4F"/>
    <w:rsid w:val="004A4AE1"/>
    <w:rsid w:val="004A5330"/>
    <w:rsid w:val="004A5492"/>
    <w:rsid w:val="004A6596"/>
    <w:rsid w:val="004A7242"/>
    <w:rsid w:val="004A749C"/>
    <w:rsid w:val="004A7ED0"/>
    <w:rsid w:val="004A7FDA"/>
    <w:rsid w:val="004B1CB6"/>
    <w:rsid w:val="004B2E17"/>
    <w:rsid w:val="004B31F5"/>
    <w:rsid w:val="004B42C6"/>
    <w:rsid w:val="004B46E7"/>
    <w:rsid w:val="004B4B93"/>
    <w:rsid w:val="004B4E67"/>
    <w:rsid w:val="004B56B6"/>
    <w:rsid w:val="004B58B4"/>
    <w:rsid w:val="004B7913"/>
    <w:rsid w:val="004B7CD4"/>
    <w:rsid w:val="004C1A76"/>
    <w:rsid w:val="004C1CA9"/>
    <w:rsid w:val="004C2D18"/>
    <w:rsid w:val="004C3CC5"/>
    <w:rsid w:val="004D17B5"/>
    <w:rsid w:val="004D1CAF"/>
    <w:rsid w:val="004D1D4C"/>
    <w:rsid w:val="004D2904"/>
    <w:rsid w:val="004D2D2B"/>
    <w:rsid w:val="004D3C87"/>
    <w:rsid w:val="004D436F"/>
    <w:rsid w:val="004D438D"/>
    <w:rsid w:val="004D6AA0"/>
    <w:rsid w:val="004D6EA3"/>
    <w:rsid w:val="004D7C5A"/>
    <w:rsid w:val="004E095F"/>
    <w:rsid w:val="004E0DC1"/>
    <w:rsid w:val="004E25E8"/>
    <w:rsid w:val="004E2BA2"/>
    <w:rsid w:val="004E3342"/>
    <w:rsid w:val="004E3AD2"/>
    <w:rsid w:val="004E4ECE"/>
    <w:rsid w:val="004E77BC"/>
    <w:rsid w:val="004E7889"/>
    <w:rsid w:val="004E7C5E"/>
    <w:rsid w:val="004F053A"/>
    <w:rsid w:val="004F2BA1"/>
    <w:rsid w:val="004F2DE0"/>
    <w:rsid w:val="004F6640"/>
    <w:rsid w:val="004F6A34"/>
    <w:rsid w:val="004F6D0A"/>
    <w:rsid w:val="00500449"/>
    <w:rsid w:val="00500450"/>
    <w:rsid w:val="005023EE"/>
    <w:rsid w:val="00502740"/>
    <w:rsid w:val="00503CA8"/>
    <w:rsid w:val="00505559"/>
    <w:rsid w:val="00505F9E"/>
    <w:rsid w:val="00507E39"/>
    <w:rsid w:val="00510247"/>
    <w:rsid w:val="0051137A"/>
    <w:rsid w:val="00511759"/>
    <w:rsid w:val="00512F35"/>
    <w:rsid w:val="005132EC"/>
    <w:rsid w:val="00513DAB"/>
    <w:rsid w:val="00515F84"/>
    <w:rsid w:val="00516884"/>
    <w:rsid w:val="00516E92"/>
    <w:rsid w:val="0051796C"/>
    <w:rsid w:val="00517AA8"/>
    <w:rsid w:val="00517ACA"/>
    <w:rsid w:val="00520050"/>
    <w:rsid w:val="00520948"/>
    <w:rsid w:val="0052149F"/>
    <w:rsid w:val="005234C2"/>
    <w:rsid w:val="00523820"/>
    <w:rsid w:val="00523933"/>
    <w:rsid w:val="00524715"/>
    <w:rsid w:val="00525C3E"/>
    <w:rsid w:val="00525DC5"/>
    <w:rsid w:val="00527265"/>
    <w:rsid w:val="005275DB"/>
    <w:rsid w:val="00532288"/>
    <w:rsid w:val="00532B2A"/>
    <w:rsid w:val="00533F11"/>
    <w:rsid w:val="00534284"/>
    <w:rsid w:val="00534655"/>
    <w:rsid w:val="00534C56"/>
    <w:rsid w:val="0053654A"/>
    <w:rsid w:val="00537371"/>
    <w:rsid w:val="005379D8"/>
    <w:rsid w:val="00537DFF"/>
    <w:rsid w:val="005420F7"/>
    <w:rsid w:val="00542808"/>
    <w:rsid w:val="005437F7"/>
    <w:rsid w:val="0054439D"/>
    <w:rsid w:val="005455CA"/>
    <w:rsid w:val="005455D7"/>
    <w:rsid w:val="0054613F"/>
    <w:rsid w:val="00546F02"/>
    <w:rsid w:val="0054726C"/>
    <w:rsid w:val="00547477"/>
    <w:rsid w:val="00550637"/>
    <w:rsid w:val="00550C15"/>
    <w:rsid w:val="00551138"/>
    <w:rsid w:val="00551E54"/>
    <w:rsid w:val="00552A5B"/>
    <w:rsid w:val="0055356D"/>
    <w:rsid w:val="00553A9F"/>
    <w:rsid w:val="00555666"/>
    <w:rsid w:val="005557AE"/>
    <w:rsid w:val="00555D07"/>
    <w:rsid w:val="00556ECB"/>
    <w:rsid w:val="0055769A"/>
    <w:rsid w:val="00557B80"/>
    <w:rsid w:val="005603D7"/>
    <w:rsid w:val="00560776"/>
    <w:rsid w:val="00561348"/>
    <w:rsid w:val="005651F2"/>
    <w:rsid w:val="00566BF2"/>
    <w:rsid w:val="00566C37"/>
    <w:rsid w:val="00567FBF"/>
    <w:rsid w:val="0057003C"/>
    <w:rsid w:val="0057020D"/>
    <w:rsid w:val="005710B2"/>
    <w:rsid w:val="005715A3"/>
    <w:rsid w:val="00574CD7"/>
    <w:rsid w:val="005756A0"/>
    <w:rsid w:val="005758DC"/>
    <w:rsid w:val="00575EC8"/>
    <w:rsid w:val="005770E1"/>
    <w:rsid w:val="00577D3B"/>
    <w:rsid w:val="005837AC"/>
    <w:rsid w:val="00583CCD"/>
    <w:rsid w:val="00583ED8"/>
    <w:rsid w:val="00585C10"/>
    <w:rsid w:val="00585D18"/>
    <w:rsid w:val="00586DE8"/>
    <w:rsid w:val="005873E6"/>
    <w:rsid w:val="005876D8"/>
    <w:rsid w:val="00590091"/>
    <w:rsid w:val="0059014A"/>
    <w:rsid w:val="00591013"/>
    <w:rsid w:val="0059168E"/>
    <w:rsid w:val="00591E80"/>
    <w:rsid w:val="0059553F"/>
    <w:rsid w:val="00595B7E"/>
    <w:rsid w:val="005960FD"/>
    <w:rsid w:val="00597840"/>
    <w:rsid w:val="005A420B"/>
    <w:rsid w:val="005A6B6C"/>
    <w:rsid w:val="005A73C4"/>
    <w:rsid w:val="005B0273"/>
    <w:rsid w:val="005B0EA2"/>
    <w:rsid w:val="005B2E8D"/>
    <w:rsid w:val="005B3818"/>
    <w:rsid w:val="005B38F6"/>
    <w:rsid w:val="005B3AF1"/>
    <w:rsid w:val="005B4B72"/>
    <w:rsid w:val="005B501E"/>
    <w:rsid w:val="005B52B1"/>
    <w:rsid w:val="005B5AEB"/>
    <w:rsid w:val="005B5F17"/>
    <w:rsid w:val="005B6EAF"/>
    <w:rsid w:val="005C08FA"/>
    <w:rsid w:val="005C0A4F"/>
    <w:rsid w:val="005C10F2"/>
    <w:rsid w:val="005C14BC"/>
    <w:rsid w:val="005C1C83"/>
    <w:rsid w:val="005C1F80"/>
    <w:rsid w:val="005C220E"/>
    <w:rsid w:val="005C3E17"/>
    <w:rsid w:val="005C53B8"/>
    <w:rsid w:val="005C57CE"/>
    <w:rsid w:val="005C70AB"/>
    <w:rsid w:val="005D1258"/>
    <w:rsid w:val="005D255A"/>
    <w:rsid w:val="005D33A1"/>
    <w:rsid w:val="005D3DE5"/>
    <w:rsid w:val="005D691C"/>
    <w:rsid w:val="005D72BC"/>
    <w:rsid w:val="005D7BAC"/>
    <w:rsid w:val="005E0927"/>
    <w:rsid w:val="005E0EB8"/>
    <w:rsid w:val="005E1042"/>
    <w:rsid w:val="005E2068"/>
    <w:rsid w:val="005E290B"/>
    <w:rsid w:val="005E61DB"/>
    <w:rsid w:val="005E66E7"/>
    <w:rsid w:val="005E7A7B"/>
    <w:rsid w:val="005F038E"/>
    <w:rsid w:val="005F1621"/>
    <w:rsid w:val="005F28F4"/>
    <w:rsid w:val="005F2B60"/>
    <w:rsid w:val="005F3949"/>
    <w:rsid w:val="005F3983"/>
    <w:rsid w:val="005F39AC"/>
    <w:rsid w:val="005F6B77"/>
    <w:rsid w:val="005F748D"/>
    <w:rsid w:val="006003EE"/>
    <w:rsid w:val="00604AD8"/>
    <w:rsid w:val="00604C94"/>
    <w:rsid w:val="00605136"/>
    <w:rsid w:val="0060560B"/>
    <w:rsid w:val="00606299"/>
    <w:rsid w:val="006063A3"/>
    <w:rsid w:val="00606464"/>
    <w:rsid w:val="0060690A"/>
    <w:rsid w:val="00606E5C"/>
    <w:rsid w:val="0060753A"/>
    <w:rsid w:val="00610D35"/>
    <w:rsid w:val="00610DCC"/>
    <w:rsid w:val="006120A9"/>
    <w:rsid w:val="00612C9E"/>
    <w:rsid w:val="00614B06"/>
    <w:rsid w:val="00614CCE"/>
    <w:rsid w:val="00614DE1"/>
    <w:rsid w:val="00615419"/>
    <w:rsid w:val="0061598E"/>
    <w:rsid w:val="00616834"/>
    <w:rsid w:val="006169D0"/>
    <w:rsid w:val="00616C8F"/>
    <w:rsid w:val="00616EAA"/>
    <w:rsid w:val="0062060B"/>
    <w:rsid w:val="00621870"/>
    <w:rsid w:val="00622114"/>
    <w:rsid w:val="006232BC"/>
    <w:rsid w:val="00623406"/>
    <w:rsid w:val="00623B77"/>
    <w:rsid w:val="0062584A"/>
    <w:rsid w:val="00626234"/>
    <w:rsid w:val="0062626E"/>
    <w:rsid w:val="00627813"/>
    <w:rsid w:val="00630CE7"/>
    <w:rsid w:val="006330F5"/>
    <w:rsid w:val="00633736"/>
    <w:rsid w:val="00633FA7"/>
    <w:rsid w:val="006345DE"/>
    <w:rsid w:val="0063553C"/>
    <w:rsid w:val="00635F76"/>
    <w:rsid w:val="00641AE1"/>
    <w:rsid w:val="00643045"/>
    <w:rsid w:val="0064364F"/>
    <w:rsid w:val="0064574D"/>
    <w:rsid w:val="00645C78"/>
    <w:rsid w:val="00646470"/>
    <w:rsid w:val="006464F6"/>
    <w:rsid w:val="00646570"/>
    <w:rsid w:val="00650EC4"/>
    <w:rsid w:val="00652426"/>
    <w:rsid w:val="00652924"/>
    <w:rsid w:val="00654944"/>
    <w:rsid w:val="0065519A"/>
    <w:rsid w:val="006567DE"/>
    <w:rsid w:val="0065749A"/>
    <w:rsid w:val="0065793E"/>
    <w:rsid w:val="00657F86"/>
    <w:rsid w:val="00661934"/>
    <w:rsid w:val="006622F0"/>
    <w:rsid w:val="00662776"/>
    <w:rsid w:val="0066300D"/>
    <w:rsid w:val="0066312A"/>
    <w:rsid w:val="00665609"/>
    <w:rsid w:val="00665817"/>
    <w:rsid w:val="006666FB"/>
    <w:rsid w:val="00666D76"/>
    <w:rsid w:val="00666E38"/>
    <w:rsid w:val="0066737E"/>
    <w:rsid w:val="0066748C"/>
    <w:rsid w:val="0066780A"/>
    <w:rsid w:val="00667F67"/>
    <w:rsid w:val="00667FB1"/>
    <w:rsid w:val="006708E4"/>
    <w:rsid w:val="00670BD0"/>
    <w:rsid w:val="006733AC"/>
    <w:rsid w:val="006738C0"/>
    <w:rsid w:val="006747D0"/>
    <w:rsid w:val="00674C7F"/>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39A"/>
    <w:rsid w:val="00687E71"/>
    <w:rsid w:val="00687FB5"/>
    <w:rsid w:val="00690343"/>
    <w:rsid w:val="0069289B"/>
    <w:rsid w:val="00693EA5"/>
    <w:rsid w:val="00694458"/>
    <w:rsid w:val="006959B9"/>
    <w:rsid w:val="00695A3E"/>
    <w:rsid w:val="006A0565"/>
    <w:rsid w:val="006A0C8E"/>
    <w:rsid w:val="006A357E"/>
    <w:rsid w:val="006A45A1"/>
    <w:rsid w:val="006A4E33"/>
    <w:rsid w:val="006A6791"/>
    <w:rsid w:val="006A6D21"/>
    <w:rsid w:val="006A799A"/>
    <w:rsid w:val="006A7FB3"/>
    <w:rsid w:val="006A7FB6"/>
    <w:rsid w:val="006B0121"/>
    <w:rsid w:val="006B212C"/>
    <w:rsid w:val="006B2B38"/>
    <w:rsid w:val="006B3179"/>
    <w:rsid w:val="006B3693"/>
    <w:rsid w:val="006B43B6"/>
    <w:rsid w:val="006B4EA6"/>
    <w:rsid w:val="006B6634"/>
    <w:rsid w:val="006B728F"/>
    <w:rsid w:val="006B7390"/>
    <w:rsid w:val="006B73C5"/>
    <w:rsid w:val="006B791C"/>
    <w:rsid w:val="006C2713"/>
    <w:rsid w:val="006C28C6"/>
    <w:rsid w:val="006C34E1"/>
    <w:rsid w:val="006C434D"/>
    <w:rsid w:val="006C5CD3"/>
    <w:rsid w:val="006C5DBB"/>
    <w:rsid w:val="006D0755"/>
    <w:rsid w:val="006D1852"/>
    <w:rsid w:val="006D2D0E"/>
    <w:rsid w:val="006D4D74"/>
    <w:rsid w:val="006D4E10"/>
    <w:rsid w:val="006D539E"/>
    <w:rsid w:val="006D73C5"/>
    <w:rsid w:val="006D7AEE"/>
    <w:rsid w:val="006E00F7"/>
    <w:rsid w:val="006E02E6"/>
    <w:rsid w:val="006E0F4A"/>
    <w:rsid w:val="006E1B6F"/>
    <w:rsid w:val="006E280B"/>
    <w:rsid w:val="006E2E31"/>
    <w:rsid w:val="006E3610"/>
    <w:rsid w:val="006E3819"/>
    <w:rsid w:val="006E3977"/>
    <w:rsid w:val="006E3EA3"/>
    <w:rsid w:val="006E4308"/>
    <w:rsid w:val="006E576E"/>
    <w:rsid w:val="006E57C3"/>
    <w:rsid w:val="006E5B7C"/>
    <w:rsid w:val="006E62CF"/>
    <w:rsid w:val="006E6C7E"/>
    <w:rsid w:val="006E7778"/>
    <w:rsid w:val="006F19FC"/>
    <w:rsid w:val="006F37CC"/>
    <w:rsid w:val="006F3F86"/>
    <w:rsid w:val="006F47E8"/>
    <w:rsid w:val="006F52D9"/>
    <w:rsid w:val="006F6C24"/>
    <w:rsid w:val="006F6F4D"/>
    <w:rsid w:val="006F72D9"/>
    <w:rsid w:val="006F74F3"/>
    <w:rsid w:val="00703E8A"/>
    <w:rsid w:val="00704062"/>
    <w:rsid w:val="00706597"/>
    <w:rsid w:val="007068BA"/>
    <w:rsid w:val="007075BD"/>
    <w:rsid w:val="007079EA"/>
    <w:rsid w:val="00707B59"/>
    <w:rsid w:val="00710A76"/>
    <w:rsid w:val="0071161C"/>
    <w:rsid w:val="0071509B"/>
    <w:rsid w:val="00716115"/>
    <w:rsid w:val="00716B69"/>
    <w:rsid w:val="00717CBB"/>
    <w:rsid w:val="00721582"/>
    <w:rsid w:val="00721914"/>
    <w:rsid w:val="007236E6"/>
    <w:rsid w:val="0072427E"/>
    <w:rsid w:val="00726E92"/>
    <w:rsid w:val="0073057D"/>
    <w:rsid w:val="00730609"/>
    <w:rsid w:val="007307D0"/>
    <w:rsid w:val="00731DA2"/>
    <w:rsid w:val="0073276D"/>
    <w:rsid w:val="00732D2E"/>
    <w:rsid w:val="00734122"/>
    <w:rsid w:val="007352A4"/>
    <w:rsid w:val="00736FE3"/>
    <w:rsid w:val="00737F15"/>
    <w:rsid w:val="0074082A"/>
    <w:rsid w:val="00741414"/>
    <w:rsid w:val="007423F5"/>
    <w:rsid w:val="00742877"/>
    <w:rsid w:val="0074393D"/>
    <w:rsid w:val="00743991"/>
    <w:rsid w:val="007455F3"/>
    <w:rsid w:val="00746AD4"/>
    <w:rsid w:val="00750B7E"/>
    <w:rsid w:val="007515C4"/>
    <w:rsid w:val="00751CAF"/>
    <w:rsid w:val="007522B7"/>
    <w:rsid w:val="0075277D"/>
    <w:rsid w:val="00753009"/>
    <w:rsid w:val="007540CC"/>
    <w:rsid w:val="00755795"/>
    <w:rsid w:val="00755A08"/>
    <w:rsid w:val="00756231"/>
    <w:rsid w:val="00757287"/>
    <w:rsid w:val="00757D3C"/>
    <w:rsid w:val="00760372"/>
    <w:rsid w:val="007604E9"/>
    <w:rsid w:val="0076091B"/>
    <w:rsid w:val="007609D1"/>
    <w:rsid w:val="007610FA"/>
    <w:rsid w:val="0076113B"/>
    <w:rsid w:val="00762466"/>
    <w:rsid w:val="00763875"/>
    <w:rsid w:val="00763F24"/>
    <w:rsid w:val="00764146"/>
    <w:rsid w:val="0076426B"/>
    <w:rsid w:val="007646F7"/>
    <w:rsid w:val="00764BF3"/>
    <w:rsid w:val="0076635D"/>
    <w:rsid w:val="007663CC"/>
    <w:rsid w:val="00766C89"/>
    <w:rsid w:val="00766D98"/>
    <w:rsid w:val="007673B6"/>
    <w:rsid w:val="007707AA"/>
    <w:rsid w:val="00774962"/>
    <w:rsid w:val="00775F64"/>
    <w:rsid w:val="00776970"/>
    <w:rsid w:val="007770C8"/>
    <w:rsid w:val="0077715B"/>
    <w:rsid w:val="00777FC5"/>
    <w:rsid w:val="00780DCA"/>
    <w:rsid w:val="00781660"/>
    <w:rsid w:val="007818C9"/>
    <w:rsid w:val="0078227A"/>
    <w:rsid w:val="00782615"/>
    <w:rsid w:val="00782920"/>
    <w:rsid w:val="007865E1"/>
    <w:rsid w:val="007866F2"/>
    <w:rsid w:val="00786B33"/>
    <w:rsid w:val="00790404"/>
    <w:rsid w:val="00790706"/>
    <w:rsid w:val="00793ECE"/>
    <w:rsid w:val="00796BAA"/>
    <w:rsid w:val="00796CEC"/>
    <w:rsid w:val="007974A2"/>
    <w:rsid w:val="007975AD"/>
    <w:rsid w:val="007A009E"/>
    <w:rsid w:val="007A010D"/>
    <w:rsid w:val="007A01F7"/>
    <w:rsid w:val="007A0F8C"/>
    <w:rsid w:val="007A13C0"/>
    <w:rsid w:val="007A4490"/>
    <w:rsid w:val="007A4EE5"/>
    <w:rsid w:val="007A4F56"/>
    <w:rsid w:val="007A7069"/>
    <w:rsid w:val="007A70D1"/>
    <w:rsid w:val="007A7526"/>
    <w:rsid w:val="007A7C36"/>
    <w:rsid w:val="007A7F67"/>
    <w:rsid w:val="007B100D"/>
    <w:rsid w:val="007B1854"/>
    <w:rsid w:val="007B283B"/>
    <w:rsid w:val="007B2F12"/>
    <w:rsid w:val="007B4E19"/>
    <w:rsid w:val="007B5521"/>
    <w:rsid w:val="007B5FA8"/>
    <w:rsid w:val="007B6900"/>
    <w:rsid w:val="007B7884"/>
    <w:rsid w:val="007B7C11"/>
    <w:rsid w:val="007B7DA1"/>
    <w:rsid w:val="007C0294"/>
    <w:rsid w:val="007C0834"/>
    <w:rsid w:val="007C12CC"/>
    <w:rsid w:val="007C3AF7"/>
    <w:rsid w:val="007C3B0F"/>
    <w:rsid w:val="007C563E"/>
    <w:rsid w:val="007C6221"/>
    <w:rsid w:val="007C669A"/>
    <w:rsid w:val="007D036B"/>
    <w:rsid w:val="007D2091"/>
    <w:rsid w:val="007D39E5"/>
    <w:rsid w:val="007D425A"/>
    <w:rsid w:val="007D54E9"/>
    <w:rsid w:val="007D5A19"/>
    <w:rsid w:val="007E06B4"/>
    <w:rsid w:val="007E0E77"/>
    <w:rsid w:val="007E1159"/>
    <w:rsid w:val="007E193D"/>
    <w:rsid w:val="007E1AB7"/>
    <w:rsid w:val="007E1ADF"/>
    <w:rsid w:val="007E225E"/>
    <w:rsid w:val="007E2325"/>
    <w:rsid w:val="007E2700"/>
    <w:rsid w:val="007E31A6"/>
    <w:rsid w:val="007E37B8"/>
    <w:rsid w:val="007E4756"/>
    <w:rsid w:val="007E4F90"/>
    <w:rsid w:val="007F00ED"/>
    <w:rsid w:val="007F0420"/>
    <w:rsid w:val="007F1A3E"/>
    <w:rsid w:val="007F1B96"/>
    <w:rsid w:val="007F2474"/>
    <w:rsid w:val="007F5FAD"/>
    <w:rsid w:val="007F620C"/>
    <w:rsid w:val="008004E8"/>
    <w:rsid w:val="00801B05"/>
    <w:rsid w:val="008025D3"/>
    <w:rsid w:val="008045FC"/>
    <w:rsid w:val="008047C4"/>
    <w:rsid w:val="0080701B"/>
    <w:rsid w:val="00807A32"/>
    <w:rsid w:val="00807BB1"/>
    <w:rsid w:val="008102C8"/>
    <w:rsid w:val="00810702"/>
    <w:rsid w:val="00810C97"/>
    <w:rsid w:val="0081220A"/>
    <w:rsid w:val="008127C3"/>
    <w:rsid w:val="00813368"/>
    <w:rsid w:val="008134EF"/>
    <w:rsid w:val="008139F7"/>
    <w:rsid w:val="00813B77"/>
    <w:rsid w:val="00814A90"/>
    <w:rsid w:val="008159D7"/>
    <w:rsid w:val="00815B9F"/>
    <w:rsid w:val="008167D3"/>
    <w:rsid w:val="00816AC0"/>
    <w:rsid w:val="0081715B"/>
    <w:rsid w:val="00817C5D"/>
    <w:rsid w:val="00817D26"/>
    <w:rsid w:val="00817F70"/>
    <w:rsid w:val="00820689"/>
    <w:rsid w:val="00821706"/>
    <w:rsid w:val="00821A14"/>
    <w:rsid w:val="00821D7C"/>
    <w:rsid w:val="00821FBB"/>
    <w:rsid w:val="00822009"/>
    <w:rsid w:val="008265AD"/>
    <w:rsid w:val="008266FA"/>
    <w:rsid w:val="00830484"/>
    <w:rsid w:val="00830A98"/>
    <w:rsid w:val="00831330"/>
    <w:rsid w:val="00831AF4"/>
    <w:rsid w:val="00834EC8"/>
    <w:rsid w:val="00835E74"/>
    <w:rsid w:val="008373DB"/>
    <w:rsid w:val="00840B26"/>
    <w:rsid w:val="00840D1C"/>
    <w:rsid w:val="00841CA6"/>
    <w:rsid w:val="008434D8"/>
    <w:rsid w:val="0084360C"/>
    <w:rsid w:val="00843A50"/>
    <w:rsid w:val="00843C8D"/>
    <w:rsid w:val="00844361"/>
    <w:rsid w:val="00844B2A"/>
    <w:rsid w:val="00845524"/>
    <w:rsid w:val="008471CE"/>
    <w:rsid w:val="00847236"/>
    <w:rsid w:val="008477B3"/>
    <w:rsid w:val="00847BF8"/>
    <w:rsid w:val="00851040"/>
    <w:rsid w:val="008510BC"/>
    <w:rsid w:val="00851335"/>
    <w:rsid w:val="00851D92"/>
    <w:rsid w:val="00852AD9"/>
    <w:rsid w:val="00852BC0"/>
    <w:rsid w:val="00852CCA"/>
    <w:rsid w:val="00852E08"/>
    <w:rsid w:val="00855B24"/>
    <w:rsid w:val="00856054"/>
    <w:rsid w:val="008560A0"/>
    <w:rsid w:val="00857EA5"/>
    <w:rsid w:val="00860551"/>
    <w:rsid w:val="00862747"/>
    <w:rsid w:val="00863B9D"/>
    <w:rsid w:val="00865464"/>
    <w:rsid w:val="008657E2"/>
    <w:rsid w:val="0086757D"/>
    <w:rsid w:val="0087069A"/>
    <w:rsid w:val="008708ED"/>
    <w:rsid w:val="0087135D"/>
    <w:rsid w:val="00872882"/>
    <w:rsid w:val="0087421A"/>
    <w:rsid w:val="00874451"/>
    <w:rsid w:val="0087528C"/>
    <w:rsid w:val="00875714"/>
    <w:rsid w:val="00877038"/>
    <w:rsid w:val="00877132"/>
    <w:rsid w:val="0087771D"/>
    <w:rsid w:val="00877A5F"/>
    <w:rsid w:val="00877A9A"/>
    <w:rsid w:val="0088215C"/>
    <w:rsid w:val="00882E0C"/>
    <w:rsid w:val="008834FA"/>
    <w:rsid w:val="00883664"/>
    <w:rsid w:val="00885488"/>
    <w:rsid w:val="00885537"/>
    <w:rsid w:val="00887A37"/>
    <w:rsid w:val="008944AF"/>
    <w:rsid w:val="00894ABF"/>
    <w:rsid w:val="008956BF"/>
    <w:rsid w:val="0089587E"/>
    <w:rsid w:val="00895C52"/>
    <w:rsid w:val="008970D5"/>
    <w:rsid w:val="00897B8F"/>
    <w:rsid w:val="008A0B92"/>
    <w:rsid w:val="008A1079"/>
    <w:rsid w:val="008A1875"/>
    <w:rsid w:val="008A2D04"/>
    <w:rsid w:val="008A3B23"/>
    <w:rsid w:val="008A3E63"/>
    <w:rsid w:val="008A4078"/>
    <w:rsid w:val="008A4E46"/>
    <w:rsid w:val="008A51A9"/>
    <w:rsid w:val="008A674B"/>
    <w:rsid w:val="008A7151"/>
    <w:rsid w:val="008A7E39"/>
    <w:rsid w:val="008B0085"/>
    <w:rsid w:val="008B0E2B"/>
    <w:rsid w:val="008B1F41"/>
    <w:rsid w:val="008B2B51"/>
    <w:rsid w:val="008B346E"/>
    <w:rsid w:val="008B4E2A"/>
    <w:rsid w:val="008B5136"/>
    <w:rsid w:val="008B5CC1"/>
    <w:rsid w:val="008B68FD"/>
    <w:rsid w:val="008C2D88"/>
    <w:rsid w:val="008C2E07"/>
    <w:rsid w:val="008C2E09"/>
    <w:rsid w:val="008C32D0"/>
    <w:rsid w:val="008C3677"/>
    <w:rsid w:val="008C3970"/>
    <w:rsid w:val="008C48F8"/>
    <w:rsid w:val="008C4DEA"/>
    <w:rsid w:val="008D3C61"/>
    <w:rsid w:val="008D3FD1"/>
    <w:rsid w:val="008D4DE9"/>
    <w:rsid w:val="008D6485"/>
    <w:rsid w:val="008D706D"/>
    <w:rsid w:val="008E1ADA"/>
    <w:rsid w:val="008E1C35"/>
    <w:rsid w:val="008E2427"/>
    <w:rsid w:val="008E46ED"/>
    <w:rsid w:val="008E5021"/>
    <w:rsid w:val="008E5112"/>
    <w:rsid w:val="008E512D"/>
    <w:rsid w:val="008E5891"/>
    <w:rsid w:val="008E5F09"/>
    <w:rsid w:val="008E6D9A"/>
    <w:rsid w:val="008F1A08"/>
    <w:rsid w:val="008F1DDA"/>
    <w:rsid w:val="008F2108"/>
    <w:rsid w:val="008F2B15"/>
    <w:rsid w:val="008F2B58"/>
    <w:rsid w:val="008F39B8"/>
    <w:rsid w:val="008F6B8B"/>
    <w:rsid w:val="00900BBD"/>
    <w:rsid w:val="00900EE4"/>
    <w:rsid w:val="00901748"/>
    <w:rsid w:val="009018E5"/>
    <w:rsid w:val="009019CF"/>
    <w:rsid w:val="00901C1E"/>
    <w:rsid w:val="00902CF4"/>
    <w:rsid w:val="00903CE9"/>
    <w:rsid w:val="0090478A"/>
    <w:rsid w:val="009056D3"/>
    <w:rsid w:val="00905841"/>
    <w:rsid w:val="009058B8"/>
    <w:rsid w:val="009062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2794E"/>
    <w:rsid w:val="00930498"/>
    <w:rsid w:val="009306D2"/>
    <w:rsid w:val="00930B4E"/>
    <w:rsid w:val="00931F6A"/>
    <w:rsid w:val="00932A46"/>
    <w:rsid w:val="00933D99"/>
    <w:rsid w:val="009346ED"/>
    <w:rsid w:val="00935053"/>
    <w:rsid w:val="0093520D"/>
    <w:rsid w:val="0093573B"/>
    <w:rsid w:val="00936062"/>
    <w:rsid w:val="00936FE6"/>
    <w:rsid w:val="0093789D"/>
    <w:rsid w:val="009378BC"/>
    <w:rsid w:val="0093790A"/>
    <w:rsid w:val="00937ED2"/>
    <w:rsid w:val="009406B2"/>
    <w:rsid w:val="00940D0D"/>
    <w:rsid w:val="00940D13"/>
    <w:rsid w:val="009411B5"/>
    <w:rsid w:val="009417EE"/>
    <w:rsid w:val="00945A9B"/>
    <w:rsid w:val="00951C0F"/>
    <w:rsid w:val="00954A78"/>
    <w:rsid w:val="009618EC"/>
    <w:rsid w:val="00961B59"/>
    <w:rsid w:val="00961BBD"/>
    <w:rsid w:val="0096295D"/>
    <w:rsid w:val="00964479"/>
    <w:rsid w:val="009663BC"/>
    <w:rsid w:val="00966E0E"/>
    <w:rsid w:val="0097114D"/>
    <w:rsid w:val="0097195D"/>
    <w:rsid w:val="009721A4"/>
    <w:rsid w:val="00972975"/>
    <w:rsid w:val="00973FEF"/>
    <w:rsid w:val="0097504D"/>
    <w:rsid w:val="009752EE"/>
    <w:rsid w:val="009766B0"/>
    <w:rsid w:val="00977F1D"/>
    <w:rsid w:val="00980B96"/>
    <w:rsid w:val="00980F49"/>
    <w:rsid w:val="0098255F"/>
    <w:rsid w:val="0098261E"/>
    <w:rsid w:val="00982994"/>
    <w:rsid w:val="00982BC6"/>
    <w:rsid w:val="00983070"/>
    <w:rsid w:val="009844F8"/>
    <w:rsid w:val="00986502"/>
    <w:rsid w:val="0098675D"/>
    <w:rsid w:val="00987223"/>
    <w:rsid w:val="00987443"/>
    <w:rsid w:val="00987F3D"/>
    <w:rsid w:val="00990E2B"/>
    <w:rsid w:val="00991025"/>
    <w:rsid w:val="0099514C"/>
    <w:rsid w:val="00996CE3"/>
    <w:rsid w:val="00996F0B"/>
    <w:rsid w:val="009A0351"/>
    <w:rsid w:val="009A07C7"/>
    <w:rsid w:val="009A0958"/>
    <w:rsid w:val="009A12C2"/>
    <w:rsid w:val="009A1FE1"/>
    <w:rsid w:val="009A4BD5"/>
    <w:rsid w:val="009A4F79"/>
    <w:rsid w:val="009A5259"/>
    <w:rsid w:val="009A636B"/>
    <w:rsid w:val="009A6CC8"/>
    <w:rsid w:val="009A7416"/>
    <w:rsid w:val="009B36BC"/>
    <w:rsid w:val="009B4412"/>
    <w:rsid w:val="009B520F"/>
    <w:rsid w:val="009B636F"/>
    <w:rsid w:val="009B6998"/>
    <w:rsid w:val="009B6AE8"/>
    <w:rsid w:val="009B7581"/>
    <w:rsid w:val="009B76AA"/>
    <w:rsid w:val="009C17E0"/>
    <w:rsid w:val="009C21A8"/>
    <w:rsid w:val="009C23FE"/>
    <w:rsid w:val="009C2C51"/>
    <w:rsid w:val="009C486A"/>
    <w:rsid w:val="009C496B"/>
    <w:rsid w:val="009C57C2"/>
    <w:rsid w:val="009C58FC"/>
    <w:rsid w:val="009C7871"/>
    <w:rsid w:val="009D004A"/>
    <w:rsid w:val="009D0197"/>
    <w:rsid w:val="009D0B6D"/>
    <w:rsid w:val="009D14FF"/>
    <w:rsid w:val="009D19AE"/>
    <w:rsid w:val="009D1FA3"/>
    <w:rsid w:val="009D2805"/>
    <w:rsid w:val="009D3609"/>
    <w:rsid w:val="009D3697"/>
    <w:rsid w:val="009D4EFC"/>
    <w:rsid w:val="009D54EF"/>
    <w:rsid w:val="009D6F92"/>
    <w:rsid w:val="009D7994"/>
    <w:rsid w:val="009E144B"/>
    <w:rsid w:val="009E1712"/>
    <w:rsid w:val="009E3963"/>
    <w:rsid w:val="009E46B1"/>
    <w:rsid w:val="009E7AD9"/>
    <w:rsid w:val="009F1FFE"/>
    <w:rsid w:val="009F2DDB"/>
    <w:rsid w:val="009F31B2"/>
    <w:rsid w:val="009F4423"/>
    <w:rsid w:val="009F60DF"/>
    <w:rsid w:val="00A01067"/>
    <w:rsid w:val="00A030EA"/>
    <w:rsid w:val="00A04C2D"/>
    <w:rsid w:val="00A04DCF"/>
    <w:rsid w:val="00A066BF"/>
    <w:rsid w:val="00A06BB0"/>
    <w:rsid w:val="00A075EF"/>
    <w:rsid w:val="00A0776C"/>
    <w:rsid w:val="00A100BF"/>
    <w:rsid w:val="00A11390"/>
    <w:rsid w:val="00A1253B"/>
    <w:rsid w:val="00A130E7"/>
    <w:rsid w:val="00A147F3"/>
    <w:rsid w:val="00A17860"/>
    <w:rsid w:val="00A17A8E"/>
    <w:rsid w:val="00A21609"/>
    <w:rsid w:val="00A22389"/>
    <w:rsid w:val="00A228EB"/>
    <w:rsid w:val="00A24090"/>
    <w:rsid w:val="00A25B97"/>
    <w:rsid w:val="00A25BBF"/>
    <w:rsid w:val="00A3179E"/>
    <w:rsid w:val="00A32668"/>
    <w:rsid w:val="00A33051"/>
    <w:rsid w:val="00A331CA"/>
    <w:rsid w:val="00A33805"/>
    <w:rsid w:val="00A33A6F"/>
    <w:rsid w:val="00A34DB9"/>
    <w:rsid w:val="00A3546D"/>
    <w:rsid w:val="00A35DEB"/>
    <w:rsid w:val="00A365D7"/>
    <w:rsid w:val="00A36E24"/>
    <w:rsid w:val="00A3709F"/>
    <w:rsid w:val="00A370F4"/>
    <w:rsid w:val="00A3731C"/>
    <w:rsid w:val="00A3757E"/>
    <w:rsid w:val="00A37C17"/>
    <w:rsid w:val="00A37ECA"/>
    <w:rsid w:val="00A40262"/>
    <w:rsid w:val="00A40333"/>
    <w:rsid w:val="00A40BCF"/>
    <w:rsid w:val="00A40FA5"/>
    <w:rsid w:val="00A42BBA"/>
    <w:rsid w:val="00A43943"/>
    <w:rsid w:val="00A442CF"/>
    <w:rsid w:val="00A450A0"/>
    <w:rsid w:val="00A4520A"/>
    <w:rsid w:val="00A46D08"/>
    <w:rsid w:val="00A47AB8"/>
    <w:rsid w:val="00A47CB3"/>
    <w:rsid w:val="00A51A79"/>
    <w:rsid w:val="00A53021"/>
    <w:rsid w:val="00A53A2C"/>
    <w:rsid w:val="00A55909"/>
    <w:rsid w:val="00A56417"/>
    <w:rsid w:val="00A57448"/>
    <w:rsid w:val="00A62FDD"/>
    <w:rsid w:val="00A65C20"/>
    <w:rsid w:val="00A65E47"/>
    <w:rsid w:val="00A66011"/>
    <w:rsid w:val="00A668D0"/>
    <w:rsid w:val="00A6718F"/>
    <w:rsid w:val="00A67282"/>
    <w:rsid w:val="00A67908"/>
    <w:rsid w:val="00A67D7F"/>
    <w:rsid w:val="00A708C8"/>
    <w:rsid w:val="00A70FA9"/>
    <w:rsid w:val="00A71F21"/>
    <w:rsid w:val="00A71F44"/>
    <w:rsid w:val="00A737B7"/>
    <w:rsid w:val="00A73CB8"/>
    <w:rsid w:val="00A745CC"/>
    <w:rsid w:val="00A752F9"/>
    <w:rsid w:val="00A77774"/>
    <w:rsid w:val="00A80B2E"/>
    <w:rsid w:val="00A830AB"/>
    <w:rsid w:val="00A833D9"/>
    <w:rsid w:val="00A83F29"/>
    <w:rsid w:val="00A8489E"/>
    <w:rsid w:val="00A85309"/>
    <w:rsid w:val="00A853C8"/>
    <w:rsid w:val="00A858C3"/>
    <w:rsid w:val="00A85B90"/>
    <w:rsid w:val="00A87377"/>
    <w:rsid w:val="00A87F68"/>
    <w:rsid w:val="00A93D75"/>
    <w:rsid w:val="00A93F81"/>
    <w:rsid w:val="00A94B75"/>
    <w:rsid w:val="00A94EC9"/>
    <w:rsid w:val="00A95587"/>
    <w:rsid w:val="00A96FB3"/>
    <w:rsid w:val="00A97321"/>
    <w:rsid w:val="00A978E5"/>
    <w:rsid w:val="00A97EBF"/>
    <w:rsid w:val="00AA04F9"/>
    <w:rsid w:val="00AA0889"/>
    <w:rsid w:val="00AA13B3"/>
    <w:rsid w:val="00AA23BA"/>
    <w:rsid w:val="00AA2E6B"/>
    <w:rsid w:val="00AA330D"/>
    <w:rsid w:val="00AA4870"/>
    <w:rsid w:val="00AA4A6D"/>
    <w:rsid w:val="00AA5A84"/>
    <w:rsid w:val="00AA6BEB"/>
    <w:rsid w:val="00AA7784"/>
    <w:rsid w:val="00AB0B03"/>
    <w:rsid w:val="00AB11E7"/>
    <w:rsid w:val="00AB2565"/>
    <w:rsid w:val="00AB29BE"/>
    <w:rsid w:val="00AB55D0"/>
    <w:rsid w:val="00AB56FB"/>
    <w:rsid w:val="00AB5E90"/>
    <w:rsid w:val="00AB60F8"/>
    <w:rsid w:val="00AB676B"/>
    <w:rsid w:val="00AB6EB6"/>
    <w:rsid w:val="00AC0D78"/>
    <w:rsid w:val="00AC20B4"/>
    <w:rsid w:val="00AC2D2E"/>
    <w:rsid w:val="00AC301A"/>
    <w:rsid w:val="00AC3246"/>
    <w:rsid w:val="00AC3317"/>
    <w:rsid w:val="00AC35D7"/>
    <w:rsid w:val="00AC611F"/>
    <w:rsid w:val="00AC6B73"/>
    <w:rsid w:val="00AC6F1A"/>
    <w:rsid w:val="00AC74AE"/>
    <w:rsid w:val="00AD0116"/>
    <w:rsid w:val="00AD192B"/>
    <w:rsid w:val="00AD328F"/>
    <w:rsid w:val="00AD438F"/>
    <w:rsid w:val="00AD4766"/>
    <w:rsid w:val="00AD7006"/>
    <w:rsid w:val="00AD74E3"/>
    <w:rsid w:val="00AD7780"/>
    <w:rsid w:val="00AE02D5"/>
    <w:rsid w:val="00AE0937"/>
    <w:rsid w:val="00AE0A4F"/>
    <w:rsid w:val="00AE2347"/>
    <w:rsid w:val="00AE289B"/>
    <w:rsid w:val="00AE2BE4"/>
    <w:rsid w:val="00AE3109"/>
    <w:rsid w:val="00AE32A1"/>
    <w:rsid w:val="00AE3792"/>
    <w:rsid w:val="00AE4129"/>
    <w:rsid w:val="00AE529B"/>
    <w:rsid w:val="00AE649F"/>
    <w:rsid w:val="00AE6E76"/>
    <w:rsid w:val="00AF02AD"/>
    <w:rsid w:val="00AF291D"/>
    <w:rsid w:val="00AF30DD"/>
    <w:rsid w:val="00AF3E15"/>
    <w:rsid w:val="00AF581C"/>
    <w:rsid w:val="00AF5C27"/>
    <w:rsid w:val="00AF613D"/>
    <w:rsid w:val="00AF6A7E"/>
    <w:rsid w:val="00AF7313"/>
    <w:rsid w:val="00B01D46"/>
    <w:rsid w:val="00B03F3C"/>
    <w:rsid w:val="00B04013"/>
    <w:rsid w:val="00B04E09"/>
    <w:rsid w:val="00B05431"/>
    <w:rsid w:val="00B06E7A"/>
    <w:rsid w:val="00B07D53"/>
    <w:rsid w:val="00B11E8E"/>
    <w:rsid w:val="00B1216D"/>
    <w:rsid w:val="00B12D77"/>
    <w:rsid w:val="00B14866"/>
    <w:rsid w:val="00B154C8"/>
    <w:rsid w:val="00B1738C"/>
    <w:rsid w:val="00B210F5"/>
    <w:rsid w:val="00B21AC2"/>
    <w:rsid w:val="00B21BC8"/>
    <w:rsid w:val="00B21BE0"/>
    <w:rsid w:val="00B21D57"/>
    <w:rsid w:val="00B260D3"/>
    <w:rsid w:val="00B26138"/>
    <w:rsid w:val="00B26143"/>
    <w:rsid w:val="00B26B85"/>
    <w:rsid w:val="00B26C5E"/>
    <w:rsid w:val="00B30580"/>
    <w:rsid w:val="00B3084C"/>
    <w:rsid w:val="00B315FB"/>
    <w:rsid w:val="00B329DF"/>
    <w:rsid w:val="00B346AC"/>
    <w:rsid w:val="00B34A5D"/>
    <w:rsid w:val="00B361A5"/>
    <w:rsid w:val="00B36583"/>
    <w:rsid w:val="00B36907"/>
    <w:rsid w:val="00B372DE"/>
    <w:rsid w:val="00B37394"/>
    <w:rsid w:val="00B40880"/>
    <w:rsid w:val="00B41B39"/>
    <w:rsid w:val="00B41EC7"/>
    <w:rsid w:val="00B4292D"/>
    <w:rsid w:val="00B42C5A"/>
    <w:rsid w:val="00B42D14"/>
    <w:rsid w:val="00B42F60"/>
    <w:rsid w:val="00B4685C"/>
    <w:rsid w:val="00B46951"/>
    <w:rsid w:val="00B50750"/>
    <w:rsid w:val="00B52E35"/>
    <w:rsid w:val="00B5320A"/>
    <w:rsid w:val="00B537C0"/>
    <w:rsid w:val="00B53E3D"/>
    <w:rsid w:val="00B5583D"/>
    <w:rsid w:val="00B56BBF"/>
    <w:rsid w:val="00B57119"/>
    <w:rsid w:val="00B57F08"/>
    <w:rsid w:val="00B60632"/>
    <w:rsid w:val="00B60727"/>
    <w:rsid w:val="00B63F94"/>
    <w:rsid w:val="00B64DE9"/>
    <w:rsid w:val="00B65206"/>
    <w:rsid w:val="00B66D3D"/>
    <w:rsid w:val="00B67759"/>
    <w:rsid w:val="00B67F33"/>
    <w:rsid w:val="00B7047E"/>
    <w:rsid w:val="00B70F40"/>
    <w:rsid w:val="00B71560"/>
    <w:rsid w:val="00B71CAA"/>
    <w:rsid w:val="00B71E95"/>
    <w:rsid w:val="00B71F0A"/>
    <w:rsid w:val="00B73120"/>
    <w:rsid w:val="00B74BD7"/>
    <w:rsid w:val="00B7599E"/>
    <w:rsid w:val="00B761BB"/>
    <w:rsid w:val="00B77018"/>
    <w:rsid w:val="00B77403"/>
    <w:rsid w:val="00B77ACC"/>
    <w:rsid w:val="00B80BA3"/>
    <w:rsid w:val="00B80DFC"/>
    <w:rsid w:val="00B80EDE"/>
    <w:rsid w:val="00B82C15"/>
    <w:rsid w:val="00B84254"/>
    <w:rsid w:val="00B859B8"/>
    <w:rsid w:val="00B85E32"/>
    <w:rsid w:val="00B86E86"/>
    <w:rsid w:val="00B87988"/>
    <w:rsid w:val="00B87B37"/>
    <w:rsid w:val="00B90574"/>
    <w:rsid w:val="00B90ABB"/>
    <w:rsid w:val="00B90CBD"/>
    <w:rsid w:val="00B92E98"/>
    <w:rsid w:val="00B9340E"/>
    <w:rsid w:val="00B9528F"/>
    <w:rsid w:val="00B9529C"/>
    <w:rsid w:val="00B9543F"/>
    <w:rsid w:val="00B9553B"/>
    <w:rsid w:val="00B97E6E"/>
    <w:rsid w:val="00BA0595"/>
    <w:rsid w:val="00BA3397"/>
    <w:rsid w:val="00BA5397"/>
    <w:rsid w:val="00BA606B"/>
    <w:rsid w:val="00BA68CA"/>
    <w:rsid w:val="00BA78B0"/>
    <w:rsid w:val="00BA7A1B"/>
    <w:rsid w:val="00BA7DC3"/>
    <w:rsid w:val="00BB3ECA"/>
    <w:rsid w:val="00BB40B8"/>
    <w:rsid w:val="00BB471C"/>
    <w:rsid w:val="00BB57AE"/>
    <w:rsid w:val="00BB5F5E"/>
    <w:rsid w:val="00BB61E6"/>
    <w:rsid w:val="00BB62E8"/>
    <w:rsid w:val="00BB6415"/>
    <w:rsid w:val="00BB6557"/>
    <w:rsid w:val="00BB767C"/>
    <w:rsid w:val="00BC045F"/>
    <w:rsid w:val="00BC12CD"/>
    <w:rsid w:val="00BC144C"/>
    <w:rsid w:val="00BC1890"/>
    <w:rsid w:val="00BC229A"/>
    <w:rsid w:val="00BC360A"/>
    <w:rsid w:val="00BC362E"/>
    <w:rsid w:val="00BC4FE3"/>
    <w:rsid w:val="00BC5C4C"/>
    <w:rsid w:val="00BC6B83"/>
    <w:rsid w:val="00BC6DAD"/>
    <w:rsid w:val="00BD1145"/>
    <w:rsid w:val="00BD2189"/>
    <w:rsid w:val="00BD2936"/>
    <w:rsid w:val="00BD3BEC"/>
    <w:rsid w:val="00BD3CC5"/>
    <w:rsid w:val="00BD40F4"/>
    <w:rsid w:val="00BD5772"/>
    <w:rsid w:val="00BD7173"/>
    <w:rsid w:val="00BD7565"/>
    <w:rsid w:val="00BE174B"/>
    <w:rsid w:val="00BE267D"/>
    <w:rsid w:val="00BE2743"/>
    <w:rsid w:val="00BE2A3D"/>
    <w:rsid w:val="00BE3611"/>
    <w:rsid w:val="00BE5099"/>
    <w:rsid w:val="00BE53FC"/>
    <w:rsid w:val="00BE573A"/>
    <w:rsid w:val="00BE63C9"/>
    <w:rsid w:val="00BE7086"/>
    <w:rsid w:val="00BE79E6"/>
    <w:rsid w:val="00BF0CAF"/>
    <w:rsid w:val="00BF2A99"/>
    <w:rsid w:val="00BF2B76"/>
    <w:rsid w:val="00BF303D"/>
    <w:rsid w:val="00BF310A"/>
    <w:rsid w:val="00BF3D62"/>
    <w:rsid w:val="00BF3FF4"/>
    <w:rsid w:val="00BF5678"/>
    <w:rsid w:val="00BF6518"/>
    <w:rsid w:val="00BF7FC6"/>
    <w:rsid w:val="00C00A7C"/>
    <w:rsid w:val="00C01DA2"/>
    <w:rsid w:val="00C020F9"/>
    <w:rsid w:val="00C0383A"/>
    <w:rsid w:val="00C03EAA"/>
    <w:rsid w:val="00C03FE1"/>
    <w:rsid w:val="00C048B1"/>
    <w:rsid w:val="00C0539B"/>
    <w:rsid w:val="00C056EE"/>
    <w:rsid w:val="00C05C8D"/>
    <w:rsid w:val="00C103DF"/>
    <w:rsid w:val="00C1063E"/>
    <w:rsid w:val="00C10713"/>
    <w:rsid w:val="00C117A2"/>
    <w:rsid w:val="00C11E85"/>
    <w:rsid w:val="00C131FB"/>
    <w:rsid w:val="00C15341"/>
    <w:rsid w:val="00C166A2"/>
    <w:rsid w:val="00C16A97"/>
    <w:rsid w:val="00C171B7"/>
    <w:rsid w:val="00C20787"/>
    <w:rsid w:val="00C20E1F"/>
    <w:rsid w:val="00C21258"/>
    <w:rsid w:val="00C215E3"/>
    <w:rsid w:val="00C21F58"/>
    <w:rsid w:val="00C23275"/>
    <w:rsid w:val="00C234E3"/>
    <w:rsid w:val="00C30BA6"/>
    <w:rsid w:val="00C328E6"/>
    <w:rsid w:val="00C33219"/>
    <w:rsid w:val="00C356D1"/>
    <w:rsid w:val="00C37429"/>
    <w:rsid w:val="00C411E5"/>
    <w:rsid w:val="00C417AD"/>
    <w:rsid w:val="00C452B7"/>
    <w:rsid w:val="00C45A12"/>
    <w:rsid w:val="00C46922"/>
    <w:rsid w:val="00C46DC8"/>
    <w:rsid w:val="00C47BB8"/>
    <w:rsid w:val="00C500B1"/>
    <w:rsid w:val="00C500DE"/>
    <w:rsid w:val="00C51B02"/>
    <w:rsid w:val="00C51F56"/>
    <w:rsid w:val="00C537EC"/>
    <w:rsid w:val="00C53BA5"/>
    <w:rsid w:val="00C53E7F"/>
    <w:rsid w:val="00C53F5E"/>
    <w:rsid w:val="00C5428B"/>
    <w:rsid w:val="00C543EA"/>
    <w:rsid w:val="00C5572B"/>
    <w:rsid w:val="00C55742"/>
    <w:rsid w:val="00C56C4B"/>
    <w:rsid w:val="00C577CE"/>
    <w:rsid w:val="00C60BB5"/>
    <w:rsid w:val="00C6113F"/>
    <w:rsid w:val="00C6154C"/>
    <w:rsid w:val="00C62FBC"/>
    <w:rsid w:val="00C630C0"/>
    <w:rsid w:val="00C6460A"/>
    <w:rsid w:val="00C64821"/>
    <w:rsid w:val="00C64960"/>
    <w:rsid w:val="00C65FAA"/>
    <w:rsid w:val="00C67FE1"/>
    <w:rsid w:val="00C71EBC"/>
    <w:rsid w:val="00C7317A"/>
    <w:rsid w:val="00C741A0"/>
    <w:rsid w:val="00C74A60"/>
    <w:rsid w:val="00C75229"/>
    <w:rsid w:val="00C76857"/>
    <w:rsid w:val="00C774EF"/>
    <w:rsid w:val="00C77B4B"/>
    <w:rsid w:val="00C77FD7"/>
    <w:rsid w:val="00C81ECD"/>
    <w:rsid w:val="00C82892"/>
    <w:rsid w:val="00C8299A"/>
    <w:rsid w:val="00C84EF2"/>
    <w:rsid w:val="00C8530A"/>
    <w:rsid w:val="00C8595C"/>
    <w:rsid w:val="00C869A0"/>
    <w:rsid w:val="00C87CFF"/>
    <w:rsid w:val="00C90383"/>
    <w:rsid w:val="00C905E9"/>
    <w:rsid w:val="00C91EEF"/>
    <w:rsid w:val="00C92B04"/>
    <w:rsid w:val="00C93302"/>
    <w:rsid w:val="00C96476"/>
    <w:rsid w:val="00C966E5"/>
    <w:rsid w:val="00C9746E"/>
    <w:rsid w:val="00C97D01"/>
    <w:rsid w:val="00CA07E5"/>
    <w:rsid w:val="00CA1234"/>
    <w:rsid w:val="00CA124D"/>
    <w:rsid w:val="00CA2F94"/>
    <w:rsid w:val="00CA4B89"/>
    <w:rsid w:val="00CA5643"/>
    <w:rsid w:val="00CA5CD4"/>
    <w:rsid w:val="00CA62BB"/>
    <w:rsid w:val="00CA6D89"/>
    <w:rsid w:val="00CB0602"/>
    <w:rsid w:val="00CB1E69"/>
    <w:rsid w:val="00CB2706"/>
    <w:rsid w:val="00CB32BB"/>
    <w:rsid w:val="00CB3505"/>
    <w:rsid w:val="00CB39A8"/>
    <w:rsid w:val="00CB53CC"/>
    <w:rsid w:val="00CB77AC"/>
    <w:rsid w:val="00CC02B6"/>
    <w:rsid w:val="00CC0515"/>
    <w:rsid w:val="00CC0BA0"/>
    <w:rsid w:val="00CC1EDA"/>
    <w:rsid w:val="00CC218A"/>
    <w:rsid w:val="00CC3230"/>
    <w:rsid w:val="00CC4394"/>
    <w:rsid w:val="00CC44AE"/>
    <w:rsid w:val="00CC4850"/>
    <w:rsid w:val="00CC4CC1"/>
    <w:rsid w:val="00CC5671"/>
    <w:rsid w:val="00CC68F4"/>
    <w:rsid w:val="00CC770D"/>
    <w:rsid w:val="00CD06DB"/>
    <w:rsid w:val="00CD1E58"/>
    <w:rsid w:val="00CD3365"/>
    <w:rsid w:val="00CD471E"/>
    <w:rsid w:val="00CD482D"/>
    <w:rsid w:val="00CD48A2"/>
    <w:rsid w:val="00CD4FD0"/>
    <w:rsid w:val="00CD6EAF"/>
    <w:rsid w:val="00CD6FA8"/>
    <w:rsid w:val="00CD7A14"/>
    <w:rsid w:val="00CE0E5F"/>
    <w:rsid w:val="00CE2FCF"/>
    <w:rsid w:val="00CE318F"/>
    <w:rsid w:val="00CE44D8"/>
    <w:rsid w:val="00CE5461"/>
    <w:rsid w:val="00CE6B10"/>
    <w:rsid w:val="00CE6C4B"/>
    <w:rsid w:val="00CE7045"/>
    <w:rsid w:val="00CE797B"/>
    <w:rsid w:val="00CF36D8"/>
    <w:rsid w:val="00CF43C8"/>
    <w:rsid w:val="00CF46D5"/>
    <w:rsid w:val="00CF4736"/>
    <w:rsid w:val="00CF5600"/>
    <w:rsid w:val="00CF5948"/>
    <w:rsid w:val="00CF5D6F"/>
    <w:rsid w:val="00CF614A"/>
    <w:rsid w:val="00CF7ADB"/>
    <w:rsid w:val="00CF7CDA"/>
    <w:rsid w:val="00D0033D"/>
    <w:rsid w:val="00D006B0"/>
    <w:rsid w:val="00D00BE4"/>
    <w:rsid w:val="00D02560"/>
    <w:rsid w:val="00D030E3"/>
    <w:rsid w:val="00D03524"/>
    <w:rsid w:val="00D04121"/>
    <w:rsid w:val="00D0514E"/>
    <w:rsid w:val="00D051E7"/>
    <w:rsid w:val="00D0793C"/>
    <w:rsid w:val="00D07B26"/>
    <w:rsid w:val="00D111BB"/>
    <w:rsid w:val="00D116ED"/>
    <w:rsid w:val="00D1224A"/>
    <w:rsid w:val="00D1246C"/>
    <w:rsid w:val="00D12661"/>
    <w:rsid w:val="00D13156"/>
    <w:rsid w:val="00D13E2C"/>
    <w:rsid w:val="00D14FF6"/>
    <w:rsid w:val="00D155CF"/>
    <w:rsid w:val="00D16039"/>
    <w:rsid w:val="00D16BA8"/>
    <w:rsid w:val="00D1702F"/>
    <w:rsid w:val="00D170E0"/>
    <w:rsid w:val="00D20EEA"/>
    <w:rsid w:val="00D22409"/>
    <w:rsid w:val="00D229F0"/>
    <w:rsid w:val="00D23291"/>
    <w:rsid w:val="00D23533"/>
    <w:rsid w:val="00D24238"/>
    <w:rsid w:val="00D246CB"/>
    <w:rsid w:val="00D24B67"/>
    <w:rsid w:val="00D251C5"/>
    <w:rsid w:val="00D25C54"/>
    <w:rsid w:val="00D2733C"/>
    <w:rsid w:val="00D308F8"/>
    <w:rsid w:val="00D32251"/>
    <w:rsid w:val="00D33665"/>
    <w:rsid w:val="00D338D3"/>
    <w:rsid w:val="00D33F03"/>
    <w:rsid w:val="00D360C6"/>
    <w:rsid w:val="00D365C0"/>
    <w:rsid w:val="00D40B48"/>
    <w:rsid w:val="00D42D0E"/>
    <w:rsid w:val="00D445DC"/>
    <w:rsid w:val="00D45287"/>
    <w:rsid w:val="00D4573D"/>
    <w:rsid w:val="00D46DED"/>
    <w:rsid w:val="00D46EEB"/>
    <w:rsid w:val="00D475F2"/>
    <w:rsid w:val="00D4768A"/>
    <w:rsid w:val="00D50683"/>
    <w:rsid w:val="00D50868"/>
    <w:rsid w:val="00D5094C"/>
    <w:rsid w:val="00D511BB"/>
    <w:rsid w:val="00D519FF"/>
    <w:rsid w:val="00D5274E"/>
    <w:rsid w:val="00D53693"/>
    <w:rsid w:val="00D537A9"/>
    <w:rsid w:val="00D53B3D"/>
    <w:rsid w:val="00D547AC"/>
    <w:rsid w:val="00D5490A"/>
    <w:rsid w:val="00D55357"/>
    <w:rsid w:val="00D557A0"/>
    <w:rsid w:val="00D562FA"/>
    <w:rsid w:val="00D567DE"/>
    <w:rsid w:val="00D57A6D"/>
    <w:rsid w:val="00D60A82"/>
    <w:rsid w:val="00D61169"/>
    <w:rsid w:val="00D6122C"/>
    <w:rsid w:val="00D61F43"/>
    <w:rsid w:val="00D629AB"/>
    <w:rsid w:val="00D63F07"/>
    <w:rsid w:val="00D654F0"/>
    <w:rsid w:val="00D664D5"/>
    <w:rsid w:val="00D66C0A"/>
    <w:rsid w:val="00D67E5D"/>
    <w:rsid w:val="00D70EC4"/>
    <w:rsid w:val="00D72E5B"/>
    <w:rsid w:val="00D744F1"/>
    <w:rsid w:val="00D745C3"/>
    <w:rsid w:val="00D75D8E"/>
    <w:rsid w:val="00D76720"/>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7E6"/>
    <w:rsid w:val="00DA5FB5"/>
    <w:rsid w:val="00DA633E"/>
    <w:rsid w:val="00DB0DF8"/>
    <w:rsid w:val="00DB1D73"/>
    <w:rsid w:val="00DB307A"/>
    <w:rsid w:val="00DB3D12"/>
    <w:rsid w:val="00DB441E"/>
    <w:rsid w:val="00DB46B2"/>
    <w:rsid w:val="00DB4DA3"/>
    <w:rsid w:val="00DC15C9"/>
    <w:rsid w:val="00DC1D5F"/>
    <w:rsid w:val="00DC1FAD"/>
    <w:rsid w:val="00DC20F9"/>
    <w:rsid w:val="00DC2113"/>
    <w:rsid w:val="00DC46F4"/>
    <w:rsid w:val="00DC56ED"/>
    <w:rsid w:val="00DC6447"/>
    <w:rsid w:val="00DC669F"/>
    <w:rsid w:val="00DC7F24"/>
    <w:rsid w:val="00DD08E7"/>
    <w:rsid w:val="00DD15A3"/>
    <w:rsid w:val="00DD42DD"/>
    <w:rsid w:val="00DD469B"/>
    <w:rsid w:val="00DD4EFC"/>
    <w:rsid w:val="00DD52DE"/>
    <w:rsid w:val="00DD7107"/>
    <w:rsid w:val="00DE28C4"/>
    <w:rsid w:val="00DE29A8"/>
    <w:rsid w:val="00DE4225"/>
    <w:rsid w:val="00DE6006"/>
    <w:rsid w:val="00DE7A57"/>
    <w:rsid w:val="00DE7C1A"/>
    <w:rsid w:val="00DF1747"/>
    <w:rsid w:val="00DF1BF6"/>
    <w:rsid w:val="00DF3FF7"/>
    <w:rsid w:val="00DF4174"/>
    <w:rsid w:val="00DF43EA"/>
    <w:rsid w:val="00DF52BC"/>
    <w:rsid w:val="00DF5F2B"/>
    <w:rsid w:val="00DF5FB1"/>
    <w:rsid w:val="00DF623C"/>
    <w:rsid w:val="00DF6C53"/>
    <w:rsid w:val="00DF7393"/>
    <w:rsid w:val="00DF781B"/>
    <w:rsid w:val="00DF7C68"/>
    <w:rsid w:val="00E00645"/>
    <w:rsid w:val="00E009F3"/>
    <w:rsid w:val="00E00DDC"/>
    <w:rsid w:val="00E01614"/>
    <w:rsid w:val="00E01FA7"/>
    <w:rsid w:val="00E0274F"/>
    <w:rsid w:val="00E02FA1"/>
    <w:rsid w:val="00E0432C"/>
    <w:rsid w:val="00E048E5"/>
    <w:rsid w:val="00E061F3"/>
    <w:rsid w:val="00E06FB1"/>
    <w:rsid w:val="00E07B26"/>
    <w:rsid w:val="00E07F21"/>
    <w:rsid w:val="00E10ACE"/>
    <w:rsid w:val="00E10EE0"/>
    <w:rsid w:val="00E13FB6"/>
    <w:rsid w:val="00E1487A"/>
    <w:rsid w:val="00E14CE3"/>
    <w:rsid w:val="00E16DAB"/>
    <w:rsid w:val="00E2006D"/>
    <w:rsid w:val="00E22756"/>
    <w:rsid w:val="00E23025"/>
    <w:rsid w:val="00E25815"/>
    <w:rsid w:val="00E26F1D"/>
    <w:rsid w:val="00E3140F"/>
    <w:rsid w:val="00E31A51"/>
    <w:rsid w:val="00E31F6C"/>
    <w:rsid w:val="00E3275C"/>
    <w:rsid w:val="00E33021"/>
    <w:rsid w:val="00E33342"/>
    <w:rsid w:val="00E3344C"/>
    <w:rsid w:val="00E339BB"/>
    <w:rsid w:val="00E35CC1"/>
    <w:rsid w:val="00E3715D"/>
    <w:rsid w:val="00E40738"/>
    <w:rsid w:val="00E40848"/>
    <w:rsid w:val="00E42B06"/>
    <w:rsid w:val="00E43C88"/>
    <w:rsid w:val="00E45060"/>
    <w:rsid w:val="00E456D9"/>
    <w:rsid w:val="00E46490"/>
    <w:rsid w:val="00E464B4"/>
    <w:rsid w:val="00E46683"/>
    <w:rsid w:val="00E46927"/>
    <w:rsid w:val="00E47625"/>
    <w:rsid w:val="00E50654"/>
    <w:rsid w:val="00E52A10"/>
    <w:rsid w:val="00E535E4"/>
    <w:rsid w:val="00E543F8"/>
    <w:rsid w:val="00E5595A"/>
    <w:rsid w:val="00E55DD8"/>
    <w:rsid w:val="00E56F4D"/>
    <w:rsid w:val="00E57F4D"/>
    <w:rsid w:val="00E57FDC"/>
    <w:rsid w:val="00E600D2"/>
    <w:rsid w:val="00E60ED6"/>
    <w:rsid w:val="00E611C6"/>
    <w:rsid w:val="00E61424"/>
    <w:rsid w:val="00E62037"/>
    <w:rsid w:val="00E64BB0"/>
    <w:rsid w:val="00E64DD1"/>
    <w:rsid w:val="00E65133"/>
    <w:rsid w:val="00E65773"/>
    <w:rsid w:val="00E65A5A"/>
    <w:rsid w:val="00E65DE3"/>
    <w:rsid w:val="00E6719F"/>
    <w:rsid w:val="00E675E9"/>
    <w:rsid w:val="00E67AC2"/>
    <w:rsid w:val="00E71B4A"/>
    <w:rsid w:val="00E726D8"/>
    <w:rsid w:val="00E72946"/>
    <w:rsid w:val="00E7431E"/>
    <w:rsid w:val="00E757E9"/>
    <w:rsid w:val="00E7593F"/>
    <w:rsid w:val="00E768F9"/>
    <w:rsid w:val="00E771B0"/>
    <w:rsid w:val="00E77CE8"/>
    <w:rsid w:val="00E77F8A"/>
    <w:rsid w:val="00E80634"/>
    <w:rsid w:val="00E8219A"/>
    <w:rsid w:val="00E829CB"/>
    <w:rsid w:val="00E848E7"/>
    <w:rsid w:val="00E85168"/>
    <w:rsid w:val="00E8554D"/>
    <w:rsid w:val="00E859F8"/>
    <w:rsid w:val="00E87395"/>
    <w:rsid w:val="00E875DE"/>
    <w:rsid w:val="00E87C9B"/>
    <w:rsid w:val="00E9018A"/>
    <w:rsid w:val="00E93090"/>
    <w:rsid w:val="00E93BEC"/>
    <w:rsid w:val="00E93C34"/>
    <w:rsid w:val="00E94EC7"/>
    <w:rsid w:val="00E97746"/>
    <w:rsid w:val="00E978BC"/>
    <w:rsid w:val="00E97BD7"/>
    <w:rsid w:val="00EA0073"/>
    <w:rsid w:val="00EA2BCA"/>
    <w:rsid w:val="00EA2C71"/>
    <w:rsid w:val="00EA739E"/>
    <w:rsid w:val="00EA7E56"/>
    <w:rsid w:val="00EB021E"/>
    <w:rsid w:val="00EB05ED"/>
    <w:rsid w:val="00EB0C4B"/>
    <w:rsid w:val="00EB0DC4"/>
    <w:rsid w:val="00EB0E52"/>
    <w:rsid w:val="00EB1F77"/>
    <w:rsid w:val="00EB506E"/>
    <w:rsid w:val="00EB5E8B"/>
    <w:rsid w:val="00EC15CF"/>
    <w:rsid w:val="00EC63A7"/>
    <w:rsid w:val="00ED0D35"/>
    <w:rsid w:val="00ED1019"/>
    <w:rsid w:val="00ED1E20"/>
    <w:rsid w:val="00ED236B"/>
    <w:rsid w:val="00ED2FB9"/>
    <w:rsid w:val="00ED4501"/>
    <w:rsid w:val="00ED4C47"/>
    <w:rsid w:val="00ED4D48"/>
    <w:rsid w:val="00ED70B4"/>
    <w:rsid w:val="00ED7C7A"/>
    <w:rsid w:val="00EE2A0A"/>
    <w:rsid w:val="00EE2DA4"/>
    <w:rsid w:val="00EE4005"/>
    <w:rsid w:val="00EE4C19"/>
    <w:rsid w:val="00EE774B"/>
    <w:rsid w:val="00EF170D"/>
    <w:rsid w:val="00EF19BF"/>
    <w:rsid w:val="00EF23AC"/>
    <w:rsid w:val="00EF2891"/>
    <w:rsid w:val="00EF33E9"/>
    <w:rsid w:val="00EF36DF"/>
    <w:rsid w:val="00EF65C0"/>
    <w:rsid w:val="00EF7534"/>
    <w:rsid w:val="00EF7B68"/>
    <w:rsid w:val="00EF7BA0"/>
    <w:rsid w:val="00F00972"/>
    <w:rsid w:val="00F01B20"/>
    <w:rsid w:val="00F02047"/>
    <w:rsid w:val="00F032DB"/>
    <w:rsid w:val="00F0346D"/>
    <w:rsid w:val="00F03CD9"/>
    <w:rsid w:val="00F03D1D"/>
    <w:rsid w:val="00F03F58"/>
    <w:rsid w:val="00F04AF4"/>
    <w:rsid w:val="00F04C61"/>
    <w:rsid w:val="00F05511"/>
    <w:rsid w:val="00F06C75"/>
    <w:rsid w:val="00F0711F"/>
    <w:rsid w:val="00F0715F"/>
    <w:rsid w:val="00F071CD"/>
    <w:rsid w:val="00F1032D"/>
    <w:rsid w:val="00F10C7F"/>
    <w:rsid w:val="00F11612"/>
    <w:rsid w:val="00F124CD"/>
    <w:rsid w:val="00F127FE"/>
    <w:rsid w:val="00F1285B"/>
    <w:rsid w:val="00F14DB7"/>
    <w:rsid w:val="00F14F6E"/>
    <w:rsid w:val="00F20994"/>
    <w:rsid w:val="00F222D9"/>
    <w:rsid w:val="00F22C96"/>
    <w:rsid w:val="00F22ED1"/>
    <w:rsid w:val="00F2364B"/>
    <w:rsid w:val="00F24866"/>
    <w:rsid w:val="00F25752"/>
    <w:rsid w:val="00F27225"/>
    <w:rsid w:val="00F30258"/>
    <w:rsid w:val="00F30698"/>
    <w:rsid w:val="00F313E2"/>
    <w:rsid w:val="00F32B6C"/>
    <w:rsid w:val="00F361E3"/>
    <w:rsid w:val="00F401C9"/>
    <w:rsid w:val="00F407D9"/>
    <w:rsid w:val="00F40BE8"/>
    <w:rsid w:val="00F41844"/>
    <w:rsid w:val="00F41E24"/>
    <w:rsid w:val="00F430C3"/>
    <w:rsid w:val="00F43776"/>
    <w:rsid w:val="00F45A66"/>
    <w:rsid w:val="00F469E4"/>
    <w:rsid w:val="00F46A20"/>
    <w:rsid w:val="00F47A5A"/>
    <w:rsid w:val="00F504AD"/>
    <w:rsid w:val="00F510E5"/>
    <w:rsid w:val="00F51460"/>
    <w:rsid w:val="00F515ED"/>
    <w:rsid w:val="00F53ADA"/>
    <w:rsid w:val="00F5407A"/>
    <w:rsid w:val="00F54EDC"/>
    <w:rsid w:val="00F57029"/>
    <w:rsid w:val="00F60526"/>
    <w:rsid w:val="00F6130E"/>
    <w:rsid w:val="00F61EE2"/>
    <w:rsid w:val="00F625E4"/>
    <w:rsid w:val="00F625EB"/>
    <w:rsid w:val="00F638E4"/>
    <w:rsid w:val="00F65C28"/>
    <w:rsid w:val="00F65C61"/>
    <w:rsid w:val="00F66421"/>
    <w:rsid w:val="00F67759"/>
    <w:rsid w:val="00F67FAB"/>
    <w:rsid w:val="00F700BC"/>
    <w:rsid w:val="00F72551"/>
    <w:rsid w:val="00F73484"/>
    <w:rsid w:val="00F7468A"/>
    <w:rsid w:val="00F7470E"/>
    <w:rsid w:val="00F748B8"/>
    <w:rsid w:val="00F75069"/>
    <w:rsid w:val="00F75123"/>
    <w:rsid w:val="00F76090"/>
    <w:rsid w:val="00F77C8E"/>
    <w:rsid w:val="00F80464"/>
    <w:rsid w:val="00F81428"/>
    <w:rsid w:val="00F8212C"/>
    <w:rsid w:val="00F8218E"/>
    <w:rsid w:val="00F8342E"/>
    <w:rsid w:val="00F83D75"/>
    <w:rsid w:val="00F844A0"/>
    <w:rsid w:val="00F8456D"/>
    <w:rsid w:val="00F847C6"/>
    <w:rsid w:val="00F84F61"/>
    <w:rsid w:val="00F87CC2"/>
    <w:rsid w:val="00F903B9"/>
    <w:rsid w:val="00F9063F"/>
    <w:rsid w:val="00F90B81"/>
    <w:rsid w:val="00F912E2"/>
    <w:rsid w:val="00F91DD6"/>
    <w:rsid w:val="00F92596"/>
    <w:rsid w:val="00F925AD"/>
    <w:rsid w:val="00F9528D"/>
    <w:rsid w:val="00F96F2A"/>
    <w:rsid w:val="00F97818"/>
    <w:rsid w:val="00FA1933"/>
    <w:rsid w:val="00FA271F"/>
    <w:rsid w:val="00FA30BA"/>
    <w:rsid w:val="00FA3798"/>
    <w:rsid w:val="00FA3E45"/>
    <w:rsid w:val="00FA7E7A"/>
    <w:rsid w:val="00FB0E0E"/>
    <w:rsid w:val="00FB0EBD"/>
    <w:rsid w:val="00FB151D"/>
    <w:rsid w:val="00FB27E2"/>
    <w:rsid w:val="00FB2D03"/>
    <w:rsid w:val="00FB44B4"/>
    <w:rsid w:val="00FB44BC"/>
    <w:rsid w:val="00FB4F69"/>
    <w:rsid w:val="00FB65EB"/>
    <w:rsid w:val="00FB73F4"/>
    <w:rsid w:val="00FB784C"/>
    <w:rsid w:val="00FC1342"/>
    <w:rsid w:val="00FC271A"/>
    <w:rsid w:val="00FC3252"/>
    <w:rsid w:val="00FC4899"/>
    <w:rsid w:val="00FC4A60"/>
    <w:rsid w:val="00FC532D"/>
    <w:rsid w:val="00FC53C9"/>
    <w:rsid w:val="00FC7074"/>
    <w:rsid w:val="00FD0FA7"/>
    <w:rsid w:val="00FD1C03"/>
    <w:rsid w:val="00FD3C9B"/>
    <w:rsid w:val="00FD3D7B"/>
    <w:rsid w:val="00FD4076"/>
    <w:rsid w:val="00FD5C3D"/>
    <w:rsid w:val="00FD67E6"/>
    <w:rsid w:val="00FE0B80"/>
    <w:rsid w:val="00FE0EE9"/>
    <w:rsid w:val="00FE21DA"/>
    <w:rsid w:val="00FE2D09"/>
    <w:rsid w:val="00FE2E38"/>
    <w:rsid w:val="00FE34D1"/>
    <w:rsid w:val="00FE37C0"/>
    <w:rsid w:val="00FE3E44"/>
    <w:rsid w:val="00FE3E5A"/>
    <w:rsid w:val="00FE4E97"/>
    <w:rsid w:val="00FE51E3"/>
    <w:rsid w:val="00FE5708"/>
    <w:rsid w:val="00FE5D7D"/>
    <w:rsid w:val="00FE5EE1"/>
    <w:rsid w:val="00FF1AE9"/>
    <w:rsid w:val="00FF1DE6"/>
    <w:rsid w:val="00FF44B7"/>
    <w:rsid w:val="00FF4EFD"/>
    <w:rsid w:val="00FF5CD6"/>
    <w:rsid w:val="00FF5E86"/>
    <w:rsid w:val="00FF7BA7"/>
    <w:rsid w:val="010B1261"/>
    <w:rsid w:val="01B54A34"/>
    <w:rsid w:val="01BB27C4"/>
    <w:rsid w:val="02D003F1"/>
    <w:rsid w:val="02E01C47"/>
    <w:rsid w:val="033434AA"/>
    <w:rsid w:val="033512D1"/>
    <w:rsid w:val="034D49B5"/>
    <w:rsid w:val="03E70DB3"/>
    <w:rsid w:val="03EE02B5"/>
    <w:rsid w:val="03F61F7F"/>
    <w:rsid w:val="04661549"/>
    <w:rsid w:val="052D696A"/>
    <w:rsid w:val="05852631"/>
    <w:rsid w:val="066B5424"/>
    <w:rsid w:val="06BD7B61"/>
    <w:rsid w:val="06C511AD"/>
    <w:rsid w:val="06FA2BAB"/>
    <w:rsid w:val="070022EB"/>
    <w:rsid w:val="07153FBC"/>
    <w:rsid w:val="07676F7D"/>
    <w:rsid w:val="07917CAA"/>
    <w:rsid w:val="07BB1759"/>
    <w:rsid w:val="07E8746B"/>
    <w:rsid w:val="08006B7A"/>
    <w:rsid w:val="082D533C"/>
    <w:rsid w:val="084A6FF3"/>
    <w:rsid w:val="0A0800CD"/>
    <w:rsid w:val="0A400341"/>
    <w:rsid w:val="0A6A672B"/>
    <w:rsid w:val="0A8F5D00"/>
    <w:rsid w:val="0A926FE4"/>
    <w:rsid w:val="0ACA2C3E"/>
    <w:rsid w:val="0AD55C9E"/>
    <w:rsid w:val="0B3E0BAD"/>
    <w:rsid w:val="0BC1748E"/>
    <w:rsid w:val="0BF26547"/>
    <w:rsid w:val="0D9A0C44"/>
    <w:rsid w:val="0E0A0A44"/>
    <w:rsid w:val="0E8122C5"/>
    <w:rsid w:val="0E9903B4"/>
    <w:rsid w:val="0EC24611"/>
    <w:rsid w:val="0EF84E5C"/>
    <w:rsid w:val="0F3569E8"/>
    <w:rsid w:val="0FFC37B7"/>
    <w:rsid w:val="10224DA3"/>
    <w:rsid w:val="106A6E27"/>
    <w:rsid w:val="10D90695"/>
    <w:rsid w:val="111D7F2C"/>
    <w:rsid w:val="117517A1"/>
    <w:rsid w:val="11DF71FA"/>
    <w:rsid w:val="12635AA8"/>
    <w:rsid w:val="12CB2D41"/>
    <w:rsid w:val="132C11B4"/>
    <w:rsid w:val="139C4397"/>
    <w:rsid w:val="13B20CCB"/>
    <w:rsid w:val="13B22A07"/>
    <w:rsid w:val="13C10774"/>
    <w:rsid w:val="141B2C29"/>
    <w:rsid w:val="14A40D51"/>
    <w:rsid w:val="14C97D5F"/>
    <w:rsid w:val="156418C8"/>
    <w:rsid w:val="15BF43E5"/>
    <w:rsid w:val="15DF4235"/>
    <w:rsid w:val="160B08A4"/>
    <w:rsid w:val="165E600D"/>
    <w:rsid w:val="16D90B21"/>
    <w:rsid w:val="17805922"/>
    <w:rsid w:val="178A51DC"/>
    <w:rsid w:val="17A311CC"/>
    <w:rsid w:val="183E13BE"/>
    <w:rsid w:val="18645C61"/>
    <w:rsid w:val="193C0ADD"/>
    <w:rsid w:val="19972D6F"/>
    <w:rsid w:val="19AB703E"/>
    <w:rsid w:val="19B525C4"/>
    <w:rsid w:val="19F8127A"/>
    <w:rsid w:val="1A123CFD"/>
    <w:rsid w:val="1A2A2C20"/>
    <w:rsid w:val="1A4D6057"/>
    <w:rsid w:val="1A75281D"/>
    <w:rsid w:val="1A8803C5"/>
    <w:rsid w:val="1AB169D8"/>
    <w:rsid w:val="1ADE21D2"/>
    <w:rsid w:val="1AEB5CD1"/>
    <w:rsid w:val="1B3B7B48"/>
    <w:rsid w:val="1B760CDA"/>
    <w:rsid w:val="1B93689C"/>
    <w:rsid w:val="1BB4116B"/>
    <w:rsid w:val="1C227785"/>
    <w:rsid w:val="1C5B583C"/>
    <w:rsid w:val="1CE16517"/>
    <w:rsid w:val="1D3F35B6"/>
    <w:rsid w:val="1D4733F5"/>
    <w:rsid w:val="1D781F8A"/>
    <w:rsid w:val="1DBB616A"/>
    <w:rsid w:val="1DD55C0B"/>
    <w:rsid w:val="1E81685D"/>
    <w:rsid w:val="1F525B46"/>
    <w:rsid w:val="21053B39"/>
    <w:rsid w:val="21F1247D"/>
    <w:rsid w:val="22B43C20"/>
    <w:rsid w:val="235049EB"/>
    <w:rsid w:val="235F70D4"/>
    <w:rsid w:val="23BD673F"/>
    <w:rsid w:val="23F735E4"/>
    <w:rsid w:val="23FC5424"/>
    <w:rsid w:val="240B0F23"/>
    <w:rsid w:val="248C10D7"/>
    <w:rsid w:val="24D66407"/>
    <w:rsid w:val="268A79F0"/>
    <w:rsid w:val="26B3217A"/>
    <w:rsid w:val="26DE7FB3"/>
    <w:rsid w:val="27BB0F91"/>
    <w:rsid w:val="28581813"/>
    <w:rsid w:val="28A73F6E"/>
    <w:rsid w:val="28C55EF6"/>
    <w:rsid w:val="29442397"/>
    <w:rsid w:val="2AA875BF"/>
    <w:rsid w:val="2B243DBF"/>
    <w:rsid w:val="2B277492"/>
    <w:rsid w:val="2B971172"/>
    <w:rsid w:val="2B97482A"/>
    <w:rsid w:val="2BC331E0"/>
    <w:rsid w:val="2BE865C0"/>
    <w:rsid w:val="2C5629F7"/>
    <w:rsid w:val="2FE915B7"/>
    <w:rsid w:val="302F456E"/>
    <w:rsid w:val="304713D7"/>
    <w:rsid w:val="309259E3"/>
    <w:rsid w:val="30DB40DE"/>
    <w:rsid w:val="30F24807"/>
    <w:rsid w:val="310A777B"/>
    <w:rsid w:val="32E90AF3"/>
    <w:rsid w:val="33016872"/>
    <w:rsid w:val="3359127F"/>
    <w:rsid w:val="33975376"/>
    <w:rsid w:val="34E73C2B"/>
    <w:rsid w:val="36183439"/>
    <w:rsid w:val="361A6B87"/>
    <w:rsid w:val="36761D52"/>
    <w:rsid w:val="368B5940"/>
    <w:rsid w:val="36F80369"/>
    <w:rsid w:val="373C2C8B"/>
    <w:rsid w:val="37533AE1"/>
    <w:rsid w:val="37777E13"/>
    <w:rsid w:val="37E24460"/>
    <w:rsid w:val="37F3548E"/>
    <w:rsid w:val="37FD2A85"/>
    <w:rsid w:val="389C3213"/>
    <w:rsid w:val="394213EA"/>
    <w:rsid w:val="395D7FE6"/>
    <w:rsid w:val="397F651D"/>
    <w:rsid w:val="3ADF79F7"/>
    <w:rsid w:val="3B3C0A79"/>
    <w:rsid w:val="3BBF16F2"/>
    <w:rsid w:val="3BE22BDB"/>
    <w:rsid w:val="3C6B4CC5"/>
    <w:rsid w:val="3C865F1F"/>
    <w:rsid w:val="3D1B0579"/>
    <w:rsid w:val="3D586146"/>
    <w:rsid w:val="3D7B7299"/>
    <w:rsid w:val="3E8841FD"/>
    <w:rsid w:val="3EE47914"/>
    <w:rsid w:val="3F4A64F8"/>
    <w:rsid w:val="3F7C3EF9"/>
    <w:rsid w:val="3F972693"/>
    <w:rsid w:val="3FD15BB4"/>
    <w:rsid w:val="40552273"/>
    <w:rsid w:val="40BE2034"/>
    <w:rsid w:val="40FF4D48"/>
    <w:rsid w:val="41272D20"/>
    <w:rsid w:val="41AC7622"/>
    <w:rsid w:val="41BC5B41"/>
    <w:rsid w:val="41D429D0"/>
    <w:rsid w:val="42A6330D"/>
    <w:rsid w:val="432230EC"/>
    <w:rsid w:val="438C6C1E"/>
    <w:rsid w:val="44854DA5"/>
    <w:rsid w:val="45440EBA"/>
    <w:rsid w:val="45472223"/>
    <w:rsid w:val="458B1BDF"/>
    <w:rsid w:val="459557C2"/>
    <w:rsid w:val="45C12E7A"/>
    <w:rsid w:val="45CA63C0"/>
    <w:rsid w:val="46462FE3"/>
    <w:rsid w:val="467C45DC"/>
    <w:rsid w:val="46927E7B"/>
    <w:rsid w:val="46CB4158"/>
    <w:rsid w:val="46F2313F"/>
    <w:rsid w:val="4768581C"/>
    <w:rsid w:val="47A2773E"/>
    <w:rsid w:val="486D1EA2"/>
    <w:rsid w:val="499D1444"/>
    <w:rsid w:val="49DF7119"/>
    <w:rsid w:val="49F37D8C"/>
    <w:rsid w:val="4A264D2D"/>
    <w:rsid w:val="4A342FAA"/>
    <w:rsid w:val="4A93456D"/>
    <w:rsid w:val="4AF87DCA"/>
    <w:rsid w:val="4B153FC9"/>
    <w:rsid w:val="4BD31914"/>
    <w:rsid w:val="4BE87520"/>
    <w:rsid w:val="4C086DC4"/>
    <w:rsid w:val="4DA0352A"/>
    <w:rsid w:val="4DFE38D5"/>
    <w:rsid w:val="4E546FDE"/>
    <w:rsid w:val="4EBC5C54"/>
    <w:rsid w:val="4EDA3646"/>
    <w:rsid w:val="5019541D"/>
    <w:rsid w:val="51407962"/>
    <w:rsid w:val="51580123"/>
    <w:rsid w:val="51B07344"/>
    <w:rsid w:val="51B81FF7"/>
    <w:rsid w:val="51D06968"/>
    <w:rsid w:val="520A6BC6"/>
    <w:rsid w:val="529A7B1E"/>
    <w:rsid w:val="52E8041F"/>
    <w:rsid w:val="53141DAD"/>
    <w:rsid w:val="53251F26"/>
    <w:rsid w:val="534B1029"/>
    <w:rsid w:val="53BC3EBA"/>
    <w:rsid w:val="5450451D"/>
    <w:rsid w:val="54E22DEA"/>
    <w:rsid w:val="551268DF"/>
    <w:rsid w:val="55D079C3"/>
    <w:rsid w:val="562B77BA"/>
    <w:rsid w:val="56A478FD"/>
    <w:rsid w:val="56C011DE"/>
    <w:rsid w:val="56F32B4C"/>
    <w:rsid w:val="57FF73A9"/>
    <w:rsid w:val="58473999"/>
    <w:rsid w:val="585A01F8"/>
    <w:rsid w:val="589B058E"/>
    <w:rsid w:val="58E33856"/>
    <w:rsid w:val="59832C51"/>
    <w:rsid w:val="5A012A4D"/>
    <w:rsid w:val="5AC153A5"/>
    <w:rsid w:val="5B193D6F"/>
    <w:rsid w:val="5B2C790C"/>
    <w:rsid w:val="5C181D05"/>
    <w:rsid w:val="5C450BF4"/>
    <w:rsid w:val="5CC635F2"/>
    <w:rsid w:val="5D49616F"/>
    <w:rsid w:val="5E531A0E"/>
    <w:rsid w:val="5E5F48A5"/>
    <w:rsid w:val="5E694E2E"/>
    <w:rsid w:val="5E891B24"/>
    <w:rsid w:val="5E8D53AE"/>
    <w:rsid w:val="5E993BCD"/>
    <w:rsid w:val="5EB77561"/>
    <w:rsid w:val="5F1C1204"/>
    <w:rsid w:val="5F9C64D1"/>
    <w:rsid w:val="5FF431F8"/>
    <w:rsid w:val="5FF87435"/>
    <w:rsid w:val="614D6E8A"/>
    <w:rsid w:val="61870C62"/>
    <w:rsid w:val="62381EF5"/>
    <w:rsid w:val="62B35B25"/>
    <w:rsid w:val="63DF21A8"/>
    <w:rsid w:val="641875A2"/>
    <w:rsid w:val="645379BB"/>
    <w:rsid w:val="64E12DE0"/>
    <w:rsid w:val="64ED10BC"/>
    <w:rsid w:val="656B493F"/>
    <w:rsid w:val="659679C6"/>
    <w:rsid w:val="65CE17C5"/>
    <w:rsid w:val="65E46CB2"/>
    <w:rsid w:val="66E142AB"/>
    <w:rsid w:val="67584B6F"/>
    <w:rsid w:val="677A4470"/>
    <w:rsid w:val="678673E4"/>
    <w:rsid w:val="67991394"/>
    <w:rsid w:val="67C25C18"/>
    <w:rsid w:val="67D80AE0"/>
    <w:rsid w:val="682E5386"/>
    <w:rsid w:val="686659D7"/>
    <w:rsid w:val="68BF7BD1"/>
    <w:rsid w:val="69583435"/>
    <w:rsid w:val="6983363C"/>
    <w:rsid w:val="69AF30EB"/>
    <w:rsid w:val="6AC67515"/>
    <w:rsid w:val="6ACD0B4D"/>
    <w:rsid w:val="6AF91AE3"/>
    <w:rsid w:val="6AFA642F"/>
    <w:rsid w:val="6B5543E4"/>
    <w:rsid w:val="6B9A3CC8"/>
    <w:rsid w:val="6C5A097F"/>
    <w:rsid w:val="6CF92086"/>
    <w:rsid w:val="6D0F36CB"/>
    <w:rsid w:val="6DC8260C"/>
    <w:rsid w:val="6DFB11BC"/>
    <w:rsid w:val="6F452D54"/>
    <w:rsid w:val="6F524453"/>
    <w:rsid w:val="6FA6462F"/>
    <w:rsid w:val="6FC17E07"/>
    <w:rsid w:val="6FD42CF3"/>
    <w:rsid w:val="709E0994"/>
    <w:rsid w:val="714F4D66"/>
    <w:rsid w:val="71E45D64"/>
    <w:rsid w:val="71E57406"/>
    <w:rsid w:val="72045990"/>
    <w:rsid w:val="728241B5"/>
    <w:rsid w:val="72DF4A4F"/>
    <w:rsid w:val="733113DA"/>
    <w:rsid w:val="736B48D9"/>
    <w:rsid w:val="739D01AB"/>
    <w:rsid w:val="73A56827"/>
    <w:rsid w:val="73A816F7"/>
    <w:rsid w:val="73F444E7"/>
    <w:rsid w:val="7481774B"/>
    <w:rsid w:val="74E2613A"/>
    <w:rsid w:val="755631F6"/>
    <w:rsid w:val="75864A53"/>
    <w:rsid w:val="75D92B68"/>
    <w:rsid w:val="761B7E64"/>
    <w:rsid w:val="764330AA"/>
    <w:rsid w:val="76DD5829"/>
    <w:rsid w:val="76F93843"/>
    <w:rsid w:val="77907953"/>
    <w:rsid w:val="7832511A"/>
    <w:rsid w:val="78C60B91"/>
    <w:rsid w:val="792F16BB"/>
    <w:rsid w:val="795D5941"/>
    <w:rsid w:val="7A7C448B"/>
    <w:rsid w:val="7BD40551"/>
    <w:rsid w:val="7BDF7039"/>
    <w:rsid w:val="7BE10034"/>
    <w:rsid w:val="7C9F5FFC"/>
    <w:rsid w:val="7D020D3C"/>
    <w:rsid w:val="7D036069"/>
    <w:rsid w:val="7D3B16E3"/>
    <w:rsid w:val="7DB84650"/>
    <w:rsid w:val="7EC44C09"/>
    <w:rsid w:val="7F0858D6"/>
    <w:rsid w:val="7F1B4347"/>
    <w:rsid w:val="7F8461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5"/>
    <w:basedOn w:val="1"/>
    <w:next w:val="1"/>
    <w:link w:val="39"/>
    <w:qFormat/>
    <w:uiPriority w:val="0"/>
    <w:pPr>
      <w:keepNext/>
      <w:keepLines/>
      <w:spacing w:before="280" w:after="290" w:line="376" w:lineRule="auto"/>
      <w:outlineLvl w:val="4"/>
    </w:pPr>
    <w:rPr>
      <w:b/>
      <w:bCs/>
      <w:sz w:val="28"/>
      <w:szCs w:val="28"/>
    </w:rPr>
  </w:style>
  <w:style w:type="paragraph" w:styleId="7">
    <w:name w:val="heading 9"/>
    <w:basedOn w:val="1"/>
    <w:next w:val="1"/>
    <w:link w:val="40"/>
    <w:qFormat/>
    <w:uiPriority w:val="0"/>
    <w:pPr>
      <w:keepNext/>
      <w:keepLines/>
      <w:spacing w:before="240" w:after="64" w:line="320" w:lineRule="auto"/>
      <w:outlineLvl w:val="8"/>
    </w:pPr>
    <w:rPr>
      <w:rFonts w:ascii="Cambria" w:hAnsi="Cambria" w:eastAsia="宋体" w:cs="Times New Roman"/>
      <w:szCs w:val="21"/>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8">
    <w:name w:val="toc 7"/>
    <w:basedOn w:val="1"/>
    <w:next w:val="1"/>
    <w:unhideWhenUsed/>
    <w:qFormat/>
    <w:uiPriority w:val="39"/>
    <w:pPr>
      <w:ind w:left="1260"/>
      <w:jc w:val="left"/>
    </w:pPr>
    <w:rPr>
      <w:rFonts w:ascii="Calibri" w:hAnsi="Calibri"/>
      <w:sz w:val="18"/>
      <w:szCs w:val="18"/>
    </w:rPr>
  </w:style>
  <w:style w:type="paragraph" w:styleId="9">
    <w:name w:val="index 8"/>
    <w:basedOn w:val="1"/>
    <w:next w:val="1"/>
    <w:qFormat/>
    <w:uiPriority w:val="0"/>
    <w:pPr>
      <w:spacing w:line="276" w:lineRule="auto"/>
      <w:jc w:val="left"/>
    </w:pPr>
    <w:rPr>
      <w:rFonts w:ascii="宋体" w:hAnsi="宋体"/>
      <w:color w:val="FF0000"/>
      <w:szCs w:val="21"/>
    </w:rPr>
  </w:style>
  <w:style w:type="paragraph" w:styleId="10">
    <w:name w:val="Normal Indent"/>
    <w:basedOn w:val="1"/>
    <w:link w:val="41"/>
    <w:qFormat/>
    <w:uiPriority w:val="0"/>
    <w:pPr>
      <w:ind w:firstLine="420" w:firstLineChars="200"/>
    </w:pPr>
  </w:style>
  <w:style w:type="paragraph" w:styleId="11">
    <w:name w:val="Document Map"/>
    <w:basedOn w:val="1"/>
    <w:link w:val="42"/>
    <w:qFormat/>
    <w:uiPriority w:val="0"/>
    <w:rPr>
      <w:rFonts w:ascii="宋体"/>
      <w:sz w:val="18"/>
      <w:szCs w:val="18"/>
    </w:rPr>
  </w:style>
  <w:style w:type="paragraph" w:styleId="12">
    <w:name w:val="annotation text"/>
    <w:basedOn w:val="1"/>
    <w:link w:val="43"/>
    <w:qFormat/>
    <w:uiPriority w:val="0"/>
    <w:pPr>
      <w:jc w:val="left"/>
    </w:pPr>
    <w:rPr>
      <w:sz w:val="18"/>
      <w:szCs w:val="20"/>
    </w:rPr>
  </w:style>
  <w:style w:type="paragraph" w:styleId="13">
    <w:name w:val="Salutation"/>
    <w:basedOn w:val="1"/>
    <w:next w:val="1"/>
    <w:qFormat/>
    <w:uiPriority w:val="0"/>
    <w:rPr>
      <w:rFonts w:ascii="Times New Roman" w:hAnsi="Times New Roman" w:eastAsia="黑体"/>
      <w:color w:val="auto"/>
      <w:kern w:val="2"/>
      <w:sz w:val="24"/>
      <w:szCs w:val="24"/>
    </w:rPr>
  </w:style>
  <w:style w:type="paragraph" w:styleId="14">
    <w:name w:val="Body Text Indent"/>
    <w:basedOn w:val="1"/>
    <w:link w:val="44"/>
    <w:qFormat/>
    <w:uiPriority w:val="0"/>
    <w:pPr>
      <w:ind w:firstLine="630"/>
    </w:pPr>
    <w:rPr>
      <w:sz w:val="32"/>
      <w:szCs w:val="20"/>
    </w:rPr>
  </w:style>
  <w:style w:type="paragraph" w:styleId="15">
    <w:name w:val="toc 5"/>
    <w:basedOn w:val="1"/>
    <w:next w:val="1"/>
    <w:unhideWhenUsed/>
    <w:qFormat/>
    <w:uiPriority w:val="39"/>
    <w:pPr>
      <w:ind w:left="840"/>
      <w:jc w:val="left"/>
    </w:pPr>
    <w:rPr>
      <w:rFonts w:ascii="Calibri" w:hAnsi="Calibri"/>
      <w:sz w:val="18"/>
      <w:szCs w:val="18"/>
    </w:rPr>
  </w:style>
  <w:style w:type="paragraph" w:styleId="16">
    <w:name w:val="toc 3"/>
    <w:basedOn w:val="1"/>
    <w:next w:val="1"/>
    <w:qFormat/>
    <w:uiPriority w:val="39"/>
    <w:pPr>
      <w:ind w:left="420"/>
      <w:jc w:val="left"/>
    </w:pPr>
    <w:rPr>
      <w:rFonts w:ascii="Calibri" w:hAnsi="Calibri"/>
      <w:i/>
      <w:iCs/>
      <w:sz w:val="20"/>
      <w:szCs w:val="20"/>
    </w:rPr>
  </w:style>
  <w:style w:type="paragraph" w:styleId="17">
    <w:name w:val="Plain Text"/>
    <w:basedOn w:val="1"/>
    <w:link w:val="45"/>
    <w:qFormat/>
    <w:uiPriority w:val="0"/>
    <w:pPr>
      <w:autoSpaceDE w:val="0"/>
      <w:autoSpaceDN w:val="0"/>
      <w:adjustRightInd w:val="0"/>
    </w:pPr>
    <w:rPr>
      <w:rFonts w:ascii="宋体" w:hAnsi="Tms Rmn"/>
      <w:kern w:val="0"/>
      <w:szCs w:val="20"/>
    </w:rPr>
  </w:style>
  <w:style w:type="paragraph" w:styleId="18">
    <w:name w:val="toc 8"/>
    <w:basedOn w:val="1"/>
    <w:next w:val="1"/>
    <w:unhideWhenUsed/>
    <w:qFormat/>
    <w:uiPriority w:val="39"/>
    <w:pPr>
      <w:ind w:left="1470"/>
      <w:jc w:val="left"/>
    </w:pPr>
    <w:rPr>
      <w:rFonts w:ascii="Calibri" w:hAnsi="Calibri"/>
      <w:sz w:val="18"/>
      <w:szCs w:val="18"/>
    </w:rPr>
  </w:style>
  <w:style w:type="paragraph" w:styleId="19">
    <w:name w:val="Date"/>
    <w:basedOn w:val="1"/>
    <w:next w:val="1"/>
    <w:link w:val="46"/>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47"/>
    <w:semiHidden/>
    <w:qFormat/>
    <w:uiPriority w:val="0"/>
    <w:rPr>
      <w:sz w:val="18"/>
      <w:szCs w:val="18"/>
    </w:rPr>
  </w:style>
  <w:style w:type="paragraph" w:styleId="22">
    <w:name w:val="footer"/>
    <w:basedOn w:val="1"/>
    <w:link w:val="48"/>
    <w:qFormat/>
    <w:uiPriority w:val="99"/>
    <w:pPr>
      <w:tabs>
        <w:tab w:val="center" w:pos="4153"/>
        <w:tab w:val="right" w:pos="8306"/>
      </w:tabs>
      <w:snapToGrid w:val="0"/>
      <w:jc w:val="left"/>
    </w:pPr>
    <w:rPr>
      <w:sz w:val="18"/>
      <w:szCs w:val="20"/>
    </w:rPr>
  </w:style>
  <w:style w:type="paragraph" w:styleId="23">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spacing w:before="120" w:after="120"/>
      <w:jc w:val="left"/>
    </w:pPr>
    <w:rPr>
      <w:rFonts w:ascii="Calibri" w:hAnsi="Calibri"/>
      <w:b/>
      <w:bCs/>
      <w:caps/>
      <w:sz w:val="20"/>
      <w:szCs w:val="20"/>
    </w:rPr>
  </w:style>
  <w:style w:type="paragraph" w:styleId="25">
    <w:name w:val="toc 4"/>
    <w:basedOn w:val="1"/>
    <w:next w:val="1"/>
    <w:unhideWhenUsed/>
    <w:qFormat/>
    <w:uiPriority w:val="39"/>
    <w:pPr>
      <w:ind w:left="630"/>
      <w:jc w:val="left"/>
    </w:pPr>
    <w:rPr>
      <w:rFonts w:ascii="Calibri" w:hAnsi="Calibri"/>
      <w:sz w:val="18"/>
      <w:szCs w:val="18"/>
    </w:rPr>
  </w:style>
  <w:style w:type="paragraph" w:styleId="26">
    <w:name w:val="toc 6"/>
    <w:basedOn w:val="1"/>
    <w:next w:val="1"/>
    <w:unhideWhenUsed/>
    <w:qFormat/>
    <w:uiPriority w:val="39"/>
    <w:pPr>
      <w:ind w:left="1050"/>
      <w:jc w:val="left"/>
    </w:pPr>
    <w:rPr>
      <w:rFonts w:ascii="Calibri" w:hAnsi="Calibri"/>
      <w:sz w:val="18"/>
      <w:szCs w:val="18"/>
    </w:rPr>
  </w:style>
  <w:style w:type="paragraph" w:styleId="27">
    <w:name w:val="Body Text Indent 3"/>
    <w:basedOn w:val="1"/>
    <w:link w:val="50"/>
    <w:qFormat/>
    <w:uiPriority w:val="0"/>
    <w:pPr>
      <w:spacing w:after="120"/>
      <w:ind w:left="420" w:leftChars="200"/>
    </w:pPr>
    <w:rPr>
      <w:sz w:val="16"/>
      <w:szCs w:val="16"/>
    </w:rPr>
  </w:style>
  <w:style w:type="paragraph" w:styleId="28">
    <w:name w:val="toc 2"/>
    <w:basedOn w:val="1"/>
    <w:next w:val="1"/>
    <w:qFormat/>
    <w:uiPriority w:val="39"/>
    <w:pPr>
      <w:ind w:left="210"/>
      <w:jc w:val="left"/>
    </w:pPr>
    <w:rPr>
      <w:rFonts w:ascii="Calibri" w:hAnsi="Calibri"/>
      <w:smallCaps/>
      <w:sz w:val="20"/>
      <w:szCs w:val="20"/>
    </w:rPr>
  </w:style>
  <w:style w:type="paragraph" w:styleId="29">
    <w:name w:val="toc 9"/>
    <w:basedOn w:val="1"/>
    <w:next w:val="1"/>
    <w:unhideWhenUsed/>
    <w:qFormat/>
    <w:uiPriority w:val="39"/>
    <w:pPr>
      <w:ind w:left="1680"/>
      <w:jc w:val="left"/>
    </w:pPr>
    <w:rPr>
      <w:rFonts w:ascii="Calibri" w:hAnsi="Calibri"/>
      <w:sz w:val="18"/>
      <w:szCs w:val="18"/>
    </w:rPr>
  </w:style>
  <w:style w:type="paragraph" w:styleId="3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1">
    <w:name w:val="annotation subject"/>
    <w:basedOn w:val="12"/>
    <w:next w:val="12"/>
    <w:link w:val="51"/>
    <w:qFormat/>
    <w:uiPriority w:val="0"/>
    <w:rPr>
      <w:b/>
      <w:bCs/>
      <w:sz w:val="21"/>
      <w:szCs w:val="24"/>
      <w:lang w:val="en-US" w:eastAsia="zh-CN"/>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qFormat/>
    <w:uiPriority w:val="0"/>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1 Char"/>
    <w:link w:val="3"/>
    <w:qFormat/>
    <w:uiPriority w:val="0"/>
    <w:rPr>
      <w:b/>
      <w:bCs/>
      <w:kern w:val="44"/>
      <w:sz w:val="44"/>
      <w:szCs w:val="44"/>
    </w:rPr>
  </w:style>
  <w:style w:type="character" w:customStyle="1" w:styleId="39">
    <w:name w:val="标题 5 Char"/>
    <w:link w:val="6"/>
    <w:qFormat/>
    <w:uiPriority w:val="0"/>
    <w:rPr>
      <w:b/>
      <w:bCs/>
      <w:kern w:val="2"/>
      <w:sz w:val="28"/>
      <w:szCs w:val="28"/>
    </w:rPr>
  </w:style>
  <w:style w:type="character" w:customStyle="1" w:styleId="40">
    <w:name w:val="标题 9 Char"/>
    <w:link w:val="7"/>
    <w:qFormat/>
    <w:uiPriority w:val="99"/>
    <w:rPr>
      <w:rFonts w:ascii="Cambria" w:hAnsi="Cambria" w:eastAsia="宋体" w:cs="Times New Roman"/>
      <w:kern w:val="2"/>
      <w:sz w:val="21"/>
      <w:szCs w:val="21"/>
    </w:rPr>
  </w:style>
  <w:style w:type="character" w:customStyle="1" w:styleId="41">
    <w:name w:val="正文缩进 Char"/>
    <w:link w:val="10"/>
    <w:qFormat/>
    <w:uiPriority w:val="0"/>
    <w:rPr>
      <w:rFonts w:eastAsia="宋体"/>
      <w:kern w:val="2"/>
      <w:sz w:val="21"/>
      <w:szCs w:val="24"/>
      <w:lang w:val="en-US" w:eastAsia="zh-CN" w:bidi="ar-SA"/>
    </w:rPr>
  </w:style>
  <w:style w:type="character" w:customStyle="1" w:styleId="42">
    <w:name w:val="文档结构图 Char"/>
    <w:link w:val="11"/>
    <w:qFormat/>
    <w:uiPriority w:val="0"/>
    <w:rPr>
      <w:rFonts w:ascii="宋体"/>
      <w:kern w:val="2"/>
      <w:sz w:val="18"/>
      <w:szCs w:val="18"/>
    </w:rPr>
  </w:style>
  <w:style w:type="character" w:customStyle="1" w:styleId="43">
    <w:name w:val="批注文字 Char"/>
    <w:link w:val="12"/>
    <w:qFormat/>
    <w:uiPriority w:val="0"/>
    <w:rPr>
      <w:kern w:val="2"/>
      <w:sz w:val="18"/>
      <w:lang w:bidi="ar-SA"/>
    </w:rPr>
  </w:style>
  <w:style w:type="character" w:customStyle="1" w:styleId="44">
    <w:name w:val="正文文本缩进 Char"/>
    <w:link w:val="14"/>
    <w:qFormat/>
    <w:uiPriority w:val="0"/>
    <w:rPr>
      <w:rFonts w:eastAsia="宋体"/>
      <w:kern w:val="2"/>
      <w:sz w:val="32"/>
      <w:lang w:val="en-US" w:eastAsia="zh-CN" w:bidi="ar-SA"/>
    </w:rPr>
  </w:style>
  <w:style w:type="character" w:customStyle="1" w:styleId="45">
    <w:name w:val="纯文本 Char"/>
    <w:link w:val="17"/>
    <w:unhideWhenUsed/>
    <w:qFormat/>
    <w:uiPriority w:val="0"/>
    <w:rPr>
      <w:rFonts w:ascii="宋体" w:hAnsi="Tms Rmn" w:eastAsia="宋体"/>
      <w:sz w:val="21"/>
      <w:lang w:val="en-US" w:eastAsia="zh-CN" w:bidi="ar-SA"/>
    </w:rPr>
  </w:style>
  <w:style w:type="character" w:customStyle="1" w:styleId="46">
    <w:name w:val="日期 Char"/>
    <w:link w:val="19"/>
    <w:qFormat/>
    <w:uiPriority w:val="0"/>
    <w:rPr>
      <w:kern w:val="2"/>
      <w:sz w:val="21"/>
      <w:szCs w:val="24"/>
    </w:rPr>
  </w:style>
  <w:style w:type="character" w:customStyle="1" w:styleId="47">
    <w:name w:val="批注框文本 Char"/>
    <w:link w:val="21"/>
    <w:qFormat/>
    <w:uiPriority w:val="0"/>
    <w:rPr>
      <w:kern w:val="2"/>
      <w:sz w:val="18"/>
      <w:szCs w:val="18"/>
    </w:rPr>
  </w:style>
  <w:style w:type="character" w:customStyle="1" w:styleId="48">
    <w:name w:val="页脚 Char"/>
    <w:link w:val="22"/>
    <w:qFormat/>
    <w:uiPriority w:val="99"/>
    <w:rPr>
      <w:rFonts w:eastAsia="宋体"/>
      <w:kern w:val="2"/>
      <w:sz w:val="18"/>
      <w:lang w:val="en-US" w:eastAsia="zh-CN" w:bidi="ar-SA"/>
    </w:rPr>
  </w:style>
  <w:style w:type="character" w:customStyle="1" w:styleId="49">
    <w:name w:val="页眉 Char"/>
    <w:link w:val="23"/>
    <w:qFormat/>
    <w:uiPriority w:val="0"/>
    <w:rPr>
      <w:rFonts w:eastAsia="宋体"/>
      <w:kern w:val="2"/>
      <w:sz w:val="18"/>
      <w:lang w:val="en-US" w:eastAsia="zh-CN" w:bidi="ar-SA"/>
    </w:rPr>
  </w:style>
  <w:style w:type="character" w:customStyle="1" w:styleId="50">
    <w:name w:val="正文文本缩进 3 Char"/>
    <w:link w:val="27"/>
    <w:qFormat/>
    <w:uiPriority w:val="0"/>
    <w:rPr>
      <w:kern w:val="2"/>
      <w:sz w:val="16"/>
      <w:szCs w:val="16"/>
    </w:rPr>
  </w:style>
  <w:style w:type="character" w:customStyle="1" w:styleId="51">
    <w:name w:val="批注主题 Char"/>
    <w:link w:val="31"/>
    <w:qFormat/>
    <w:uiPriority w:val="0"/>
    <w:rPr>
      <w:b/>
      <w:bCs/>
      <w:kern w:val="2"/>
      <w:sz w:val="21"/>
      <w:szCs w:val="24"/>
      <w:lang w:bidi="ar-SA"/>
    </w:rPr>
  </w:style>
  <w:style w:type="character" w:customStyle="1" w:styleId="52">
    <w:name w:val="批注文字 Char1"/>
    <w:qFormat/>
    <w:uiPriority w:val="0"/>
    <w:rPr>
      <w:kern w:val="2"/>
      <w:sz w:val="18"/>
      <w:lang w:bidi="ar-SA"/>
    </w:rPr>
  </w:style>
  <w:style w:type="character" w:customStyle="1" w:styleId="53">
    <w:name w:val=" Char Char9"/>
    <w:qFormat/>
    <w:uiPriority w:val="0"/>
    <w:rPr>
      <w:kern w:val="2"/>
      <w:sz w:val="21"/>
    </w:rPr>
  </w:style>
  <w:style w:type="character" w:customStyle="1" w:styleId="54">
    <w:name w:val="列出段落 Char"/>
    <w:link w:val="55"/>
    <w:qFormat/>
    <w:uiPriority w:val="0"/>
    <w:rPr>
      <w:rFonts w:eastAsia="宋体"/>
      <w:kern w:val="2"/>
      <w:sz w:val="21"/>
      <w:szCs w:val="24"/>
      <w:lang w:val="en-US" w:eastAsia="zh-CN" w:bidi="ar-SA"/>
    </w:rPr>
  </w:style>
  <w:style w:type="paragraph" w:styleId="55">
    <w:name w:val="List Paragraph"/>
    <w:basedOn w:val="1"/>
    <w:link w:val="54"/>
    <w:qFormat/>
    <w:uiPriority w:val="0"/>
    <w:pPr>
      <w:ind w:firstLine="420" w:firstLineChars="200"/>
    </w:pPr>
  </w:style>
  <w:style w:type="character" w:customStyle="1" w:styleId="56">
    <w:name w:val="正文格式 Char Char"/>
    <w:link w:val="57"/>
    <w:qFormat/>
    <w:uiPriority w:val="0"/>
    <w:rPr>
      <w:rFonts w:ascii="宋体" w:hAnsi="宋体"/>
      <w:bCs/>
      <w:color w:val="000000"/>
      <w:sz w:val="24"/>
      <w:szCs w:val="24"/>
    </w:rPr>
  </w:style>
  <w:style w:type="paragraph" w:customStyle="1" w:styleId="57">
    <w:name w:val="正文格式"/>
    <w:basedOn w:val="1"/>
    <w:link w:val="56"/>
    <w:qFormat/>
    <w:uiPriority w:val="0"/>
    <w:pPr>
      <w:widowControl/>
      <w:adjustRightInd w:val="0"/>
      <w:snapToGrid w:val="0"/>
      <w:spacing w:before="100" w:beforeLines="25" w:beforeAutospacing="1" w:after="100" w:afterAutospacing="1" w:line="440" w:lineRule="exact"/>
      <w:ind w:firstLine="643" w:firstLineChars="200"/>
      <w:textAlignment w:val="baseline"/>
    </w:pPr>
    <w:rPr>
      <w:rFonts w:ascii="宋体" w:hAnsi="宋体"/>
      <w:bCs/>
      <w:color w:val="000000"/>
      <w:kern w:val="0"/>
      <w:sz w:val="24"/>
    </w:rPr>
  </w:style>
  <w:style w:type="character" w:customStyle="1" w:styleId="58">
    <w:name w:val="fontstyle01"/>
    <w:qFormat/>
    <w:uiPriority w:val="0"/>
    <w:rPr>
      <w:rFonts w:hint="default" w:ascii="仿宋" w:hAnsi="仿宋"/>
      <w:color w:val="000000"/>
      <w:sz w:val="24"/>
      <w:szCs w:val="24"/>
    </w:rPr>
  </w:style>
  <w:style w:type="character" w:customStyle="1" w:styleId="59">
    <w:name w:val="（符号）邀请函中一、"/>
    <w:qFormat/>
    <w:uiPriority w:val="0"/>
    <w:rPr>
      <w:rFonts w:ascii="黑体" w:hAnsi="黑体" w:eastAsia="黑体"/>
      <w:b/>
      <w:bCs/>
      <w:sz w:val="24"/>
    </w:rPr>
  </w:style>
  <w:style w:type="character" w:customStyle="1" w:styleId="60">
    <w:name w:val="GW-正文 Char"/>
    <w:link w:val="61"/>
    <w:qFormat/>
    <w:uiPriority w:val="0"/>
    <w:rPr>
      <w:rFonts w:eastAsia="仿宋_GB2312"/>
      <w:kern w:val="2"/>
      <w:sz w:val="24"/>
      <w:szCs w:val="24"/>
      <w:lang w:val="en-US" w:eastAsia="zh-CN" w:bidi="ar-SA"/>
    </w:rPr>
  </w:style>
  <w:style w:type="paragraph" w:customStyle="1" w:styleId="61">
    <w:name w:val="GW-正文"/>
    <w:basedOn w:val="1"/>
    <w:link w:val="60"/>
    <w:qFormat/>
    <w:uiPriority w:val="0"/>
    <w:pPr>
      <w:spacing w:line="360" w:lineRule="auto"/>
      <w:ind w:firstLine="200" w:firstLineChars="200"/>
    </w:pPr>
    <w:rPr>
      <w:rFonts w:eastAsia="仿宋_GB2312"/>
      <w:sz w:val="24"/>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_Style 6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4">
    <w:name w:val="正文首行缩进两字符"/>
    <w:basedOn w:val="1"/>
    <w:qFormat/>
    <w:uiPriority w:val="0"/>
    <w:pPr>
      <w:spacing w:line="360" w:lineRule="auto"/>
      <w:ind w:firstLine="200" w:firstLineChars="200"/>
    </w:pPr>
  </w:style>
  <w:style w:type="paragraph" w:customStyle="1" w:styleId="65">
    <w:name w:val="表格"/>
    <w:basedOn w:val="1"/>
    <w:qFormat/>
    <w:uiPriority w:val="0"/>
    <w:pPr>
      <w:spacing w:line="400" w:lineRule="exact"/>
    </w:pPr>
    <w:rPr>
      <w:sz w:val="24"/>
    </w:rPr>
  </w:style>
  <w:style w:type="paragraph" w:customStyle="1" w:styleId="6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样式 首行缩进:  2 字符"/>
    <w:basedOn w:val="1"/>
    <w:qFormat/>
    <w:uiPriority w:val="0"/>
    <w:pPr>
      <w:spacing w:line="400" w:lineRule="exact"/>
      <w:ind w:firstLine="200" w:firstLineChars="200"/>
    </w:pPr>
    <w:rPr>
      <w:rFonts w:cs="宋体"/>
      <w:sz w:val="24"/>
    </w:rPr>
  </w:style>
  <w:style w:type="table" w:customStyle="1" w:styleId="69">
    <w:name w:val="网格型1"/>
    <w:basedOn w:val="3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NormalCharacter"/>
    <w:semiHidden/>
    <w:qFormat/>
    <w:uiPriority w:val="0"/>
    <w:rPr>
      <w:rFonts w:ascii="Calibri" w:hAnsi="Calibri" w:eastAsia="宋体"/>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97</Pages>
  <Words>9503</Words>
  <Characters>54169</Characters>
  <Lines>451</Lines>
  <Paragraphs>127</Paragraphs>
  <TotalTime>1</TotalTime>
  <ScaleCrop>false</ScaleCrop>
  <LinksUpToDate>false</LinksUpToDate>
  <CharactersWithSpaces>63545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lw</dc:creator>
  <cp:lastModifiedBy>Administrator</cp:lastModifiedBy>
  <cp:lastPrinted>2016-10-20T07:52:00Z</cp:lastPrinted>
  <dcterms:modified xsi:type="dcterms:W3CDTF">2022-03-04T01:36:32Z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EE88625170044E41AB7B704FF3B36D1A</vt:lpwstr>
  </property>
</Properties>
</file>