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sz w:val="30"/>
          <w:szCs w:val="30"/>
        </w:rPr>
      </w:pPr>
    </w:p>
    <w:p>
      <w:pPr>
        <w:pStyle w:val="91"/>
        <w:jc w:val="center"/>
        <w:rPr>
          <w:rFonts w:ascii="仿宋" w:hAnsi="仿宋" w:eastAsia="仿宋" w:cs="仿宋"/>
          <w:b/>
          <w:sz w:val="40"/>
          <w:szCs w:val="40"/>
        </w:rPr>
      </w:pPr>
      <w:r>
        <w:rPr>
          <w:rFonts w:hint="eastAsia" w:ascii="仿宋" w:hAnsi="仿宋" w:eastAsia="仿宋" w:cs="仿宋"/>
          <w:b/>
          <w:sz w:val="40"/>
          <w:szCs w:val="40"/>
          <w:lang w:val="zh-CN"/>
        </w:rPr>
        <w:t>招标编号：</w:t>
      </w:r>
      <w:r>
        <w:rPr>
          <w:rFonts w:hint="eastAsia" w:ascii="仿宋" w:hAnsi="仿宋" w:eastAsia="仿宋" w:cs="仿宋"/>
          <w:b/>
          <w:sz w:val="40"/>
          <w:szCs w:val="40"/>
        </w:rPr>
        <w:t>510101202101853</w:t>
      </w:r>
    </w:p>
    <w:p>
      <w:pPr>
        <w:pStyle w:val="91"/>
        <w:jc w:val="center"/>
        <w:rPr>
          <w:rFonts w:ascii="仿宋" w:hAnsi="仿宋" w:eastAsia="仿宋" w:cs="仿宋"/>
          <w:b/>
          <w:sz w:val="40"/>
          <w:szCs w:val="40"/>
        </w:rPr>
      </w:pPr>
    </w:p>
    <w:p>
      <w:pPr>
        <w:pStyle w:val="91"/>
        <w:jc w:val="center"/>
        <w:rPr>
          <w:rFonts w:ascii="仿宋" w:hAnsi="仿宋" w:eastAsia="仿宋" w:cs="宋体"/>
          <w:b/>
          <w:bCs/>
          <w:sz w:val="48"/>
          <w:szCs w:val="48"/>
        </w:rPr>
      </w:pPr>
      <w:r>
        <w:rPr>
          <w:rFonts w:hint="eastAsia" w:ascii="宋体" w:hAnsi="宋体" w:eastAsia="仿宋"/>
          <w:b/>
          <w:sz w:val="44"/>
          <w:szCs w:val="44"/>
        </w:rPr>
        <w:t>成都市第三人民医院第二十三批采购项目</w:t>
      </w:r>
    </w:p>
    <w:p>
      <w:pPr>
        <w:pStyle w:val="91"/>
        <w:jc w:val="center"/>
        <w:rPr>
          <w:rFonts w:ascii="仿宋" w:hAnsi="仿宋" w:eastAsia="仿宋"/>
          <w:sz w:val="112"/>
          <w:szCs w:val="112"/>
        </w:rPr>
      </w:pPr>
    </w:p>
    <w:p>
      <w:pPr>
        <w:pStyle w:val="91"/>
        <w:jc w:val="center"/>
        <w:rPr>
          <w:rFonts w:ascii="仿宋" w:hAnsi="仿宋" w:eastAsia="仿宋"/>
          <w:sz w:val="96"/>
          <w:szCs w:val="96"/>
        </w:rPr>
      </w:pPr>
      <w:r>
        <w:rPr>
          <w:rFonts w:hint="eastAsia" w:ascii="仿宋" w:hAnsi="仿宋" w:eastAsia="仿宋"/>
          <w:sz w:val="112"/>
          <w:szCs w:val="112"/>
        </w:rPr>
        <w:t>公开招标文件</w:t>
      </w:r>
    </w:p>
    <w:p>
      <w:pPr>
        <w:pStyle w:val="91"/>
        <w:rPr>
          <w:rFonts w:ascii="仿宋" w:hAnsi="仿宋" w:eastAsia="仿宋"/>
          <w:sz w:val="36"/>
          <w:szCs w:val="36"/>
        </w:rPr>
      </w:pPr>
    </w:p>
    <w:p>
      <w:pPr>
        <w:pStyle w:val="91"/>
        <w:rPr>
          <w:rFonts w:ascii="仿宋" w:hAnsi="仿宋" w:eastAsia="仿宋"/>
          <w:sz w:val="36"/>
          <w:szCs w:val="36"/>
        </w:rPr>
      </w:pPr>
    </w:p>
    <w:p>
      <w:pPr>
        <w:pStyle w:val="91"/>
        <w:rPr>
          <w:rFonts w:ascii="仿宋" w:hAnsi="仿宋" w:eastAsia="仿宋" w:cs="仿宋"/>
          <w:b/>
          <w:sz w:val="32"/>
          <w:szCs w:val="32"/>
        </w:rPr>
      </w:pPr>
      <w:r>
        <w:rPr>
          <w:rFonts w:hint="eastAsia" w:ascii="仿宋" w:hAnsi="仿宋" w:eastAsia="仿宋" w:cs="宋体"/>
          <w:b/>
          <w:sz w:val="30"/>
          <w:szCs w:val="30"/>
        </w:rPr>
        <w:t xml:space="preserve">         </w:t>
      </w:r>
      <w:r>
        <w:rPr>
          <w:rFonts w:hint="eastAsia" w:ascii="仿宋" w:hAnsi="仿宋" w:eastAsia="仿宋" w:cs="仿宋"/>
          <w:b/>
          <w:sz w:val="32"/>
          <w:szCs w:val="32"/>
        </w:rPr>
        <w:t xml:space="preserve">   </w:t>
      </w:r>
      <w:r>
        <w:rPr>
          <w:rFonts w:hint="eastAsia" w:ascii="仿宋" w:hAnsi="仿宋" w:eastAsia="仿宋" w:cs="仿宋"/>
          <w:b/>
          <w:sz w:val="32"/>
          <w:szCs w:val="32"/>
          <w:lang w:val="zh-CN"/>
        </w:rPr>
        <w:t>招标人：成都市第三人民医院</w:t>
      </w:r>
      <w:r>
        <w:rPr>
          <w:rFonts w:hint="eastAsia" w:ascii="仿宋" w:hAnsi="仿宋" w:eastAsia="仿宋" w:cs="仿宋"/>
          <w:b/>
          <w:sz w:val="32"/>
          <w:szCs w:val="32"/>
        </w:rPr>
        <w:t xml:space="preserve">         </w:t>
      </w:r>
    </w:p>
    <w:p>
      <w:pPr>
        <w:pStyle w:val="91"/>
        <w:ind w:firstLine="1606" w:firstLineChars="500"/>
        <w:rPr>
          <w:rFonts w:ascii="仿宋" w:hAnsi="仿宋" w:eastAsia="仿宋" w:cs="仿宋"/>
          <w:b/>
          <w:sz w:val="32"/>
          <w:szCs w:val="32"/>
          <w:lang w:val="zh-CN"/>
        </w:rPr>
      </w:pPr>
      <w:r>
        <w:rPr>
          <w:rFonts w:hint="eastAsia" w:ascii="仿宋" w:hAnsi="仿宋" w:eastAsia="仿宋" w:cs="仿宋"/>
          <w:b/>
          <w:sz w:val="32"/>
          <w:szCs w:val="32"/>
        </w:rPr>
        <w:t xml:space="preserve"> </w:t>
      </w:r>
      <w:r>
        <w:rPr>
          <w:rFonts w:hint="eastAsia" w:ascii="仿宋" w:hAnsi="仿宋" w:eastAsia="仿宋" w:cs="仿宋"/>
          <w:b/>
          <w:sz w:val="32"/>
          <w:szCs w:val="32"/>
          <w:lang w:val="zh-CN"/>
        </w:rPr>
        <w:t>招标代理机构：融汇项目管理股份有限公司</w:t>
      </w:r>
    </w:p>
    <w:p>
      <w:pPr>
        <w:pStyle w:val="91"/>
        <w:ind w:firstLine="1928" w:firstLineChars="600"/>
        <w:rPr>
          <w:rFonts w:ascii="仿宋" w:hAnsi="仿宋" w:eastAsia="仿宋" w:cs="仿宋"/>
          <w:b/>
          <w:sz w:val="32"/>
          <w:szCs w:val="32"/>
          <w:lang w:val="zh-CN"/>
        </w:rPr>
      </w:pPr>
      <w:r>
        <w:rPr>
          <w:rFonts w:hint="eastAsia" w:ascii="仿宋" w:hAnsi="仿宋" w:eastAsia="仿宋" w:cs="仿宋"/>
          <w:b/>
          <w:sz w:val="32"/>
          <w:szCs w:val="32"/>
          <w:lang w:val="zh-CN"/>
        </w:rPr>
        <w:t>文件编制：招标人与招标代理机构共同编制</w:t>
      </w:r>
    </w:p>
    <w:p>
      <w:pPr>
        <w:pStyle w:val="91"/>
        <w:rPr>
          <w:rFonts w:ascii="仿宋" w:hAnsi="仿宋" w:eastAsia="仿宋" w:cs="仿宋"/>
          <w:b/>
          <w:sz w:val="32"/>
          <w:szCs w:val="32"/>
        </w:rPr>
      </w:pPr>
    </w:p>
    <w:p>
      <w:pPr>
        <w:pStyle w:val="91"/>
        <w:rPr>
          <w:rFonts w:ascii="仿宋" w:hAnsi="仿宋" w:eastAsia="仿宋" w:cs="仿宋"/>
          <w:sz w:val="32"/>
          <w:szCs w:val="32"/>
        </w:rPr>
      </w:pPr>
    </w:p>
    <w:p>
      <w:pPr>
        <w:pStyle w:val="91"/>
        <w:jc w:val="center"/>
        <w:rPr>
          <w:rFonts w:ascii="仿宋" w:hAnsi="仿宋" w:eastAsia="仿宋" w:cs="仿宋"/>
          <w:b/>
          <w:sz w:val="32"/>
          <w:szCs w:val="32"/>
          <w:lang w:val="zh-CN"/>
        </w:rPr>
      </w:pPr>
      <w:r>
        <w:rPr>
          <w:rFonts w:hint="eastAsia" w:ascii="仿宋" w:hAnsi="仿宋" w:eastAsia="仿宋" w:cs="仿宋"/>
          <w:b/>
          <w:sz w:val="32"/>
          <w:szCs w:val="32"/>
          <w:lang w:val="zh-CN"/>
        </w:rPr>
        <w:t>中国·四川·</w:t>
      </w:r>
      <w:r>
        <w:rPr>
          <w:rFonts w:hint="eastAsia" w:ascii="仿宋" w:hAnsi="仿宋" w:eastAsia="仿宋" w:cs="仿宋"/>
          <w:b/>
          <w:sz w:val="32"/>
          <w:szCs w:val="32"/>
        </w:rPr>
        <w:t>成都</w:t>
      </w:r>
    </w:p>
    <w:p>
      <w:pPr>
        <w:spacing w:line="240" w:lineRule="auto"/>
        <w:jc w:val="center"/>
        <w:rPr>
          <w:rFonts w:ascii="仿宋" w:hAnsi="仿宋" w:cs="仿宋"/>
          <w:sz w:val="36"/>
          <w:szCs w:val="44"/>
        </w:rPr>
        <w:sectPr>
          <w:headerReference r:id="rId7" w:type="first"/>
          <w:headerReference r:id="rId5" w:type="default"/>
          <w:headerReference r:id="rId6" w:type="even"/>
          <w:footerReference r:id="rId8" w:type="even"/>
          <w:pgSz w:w="11905" w:h="16838"/>
          <w:pgMar w:top="1417" w:right="1417" w:bottom="1417" w:left="1417" w:header="567" w:footer="992" w:gutter="0"/>
          <w:cols w:space="0" w:num="1"/>
          <w:docGrid w:type="lines" w:linePitch="332" w:charSpace="0"/>
        </w:sectPr>
      </w:pPr>
      <w:r>
        <w:rPr>
          <w:rFonts w:hint="eastAsia" w:ascii="仿宋" w:hAnsi="仿宋" w:cs="仿宋"/>
          <w:b/>
          <w:sz w:val="32"/>
          <w:szCs w:val="32"/>
        </w:rPr>
        <w:t>二〇二一</w:t>
      </w:r>
      <w:r>
        <w:rPr>
          <w:rFonts w:hint="eastAsia" w:ascii="仿宋" w:hAnsi="仿宋" w:cs="仿宋"/>
          <w:b/>
          <w:sz w:val="32"/>
          <w:szCs w:val="32"/>
          <w:lang w:val="zh-CN"/>
        </w:rPr>
        <w:t>年</w:t>
      </w:r>
      <w:r>
        <w:rPr>
          <w:rFonts w:hint="eastAsia" w:ascii="仿宋" w:hAnsi="仿宋" w:cs="仿宋"/>
          <w:b/>
          <w:sz w:val="32"/>
          <w:szCs w:val="32"/>
        </w:rPr>
        <w:t>十一</w:t>
      </w:r>
      <w:r>
        <w:rPr>
          <w:rFonts w:hint="eastAsia" w:ascii="仿宋" w:hAnsi="仿宋" w:cs="仿宋"/>
          <w:b/>
          <w:sz w:val="32"/>
          <w:szCs w:val="32"/>
          <w:lang w:val="zh-CN"/>
        </w:rPr>
        <w:t>月</w:t>
      </w:r>
    </w:p>
    <w:p>
      <w:pPr>
        <w:spacing w:line="480" w:lineRule="auto"/>
        <w:jc w:val="center"/>
        <w:rPr>
          <w:rFonts w:ascii="仿宋" w:hAnsi="仿宋" w:cs="仿宋"/>
          <w:sz w:val="36"/>
          <w:szCs w:val="44"/>
        </w:rPr>
      </w:pPr>
      <w:r>
        <w:rPr>
          <w:rFonts w:hint="eastAsia" w:ascii="仿宋" w:hAnsi="仿宋" w:cs="仿宋"/>
          <w:sz w:val="36"/>
          <w:szCs w:val="44"/>
        </w:rPr>
        <w:t>关于电子标操作问题的温馨提示</w:t>
      </w:r>
    </w:p>
    <w:p>
      <w:pPr>
        <w:pStyle w:val="2"/>
        <w:numPr>
          <w:ilvl w:val="255"/>
          <w:numId w:val="0"/>
        </w:numPr>
        <w:spacing w:line="360" w:lineRule="auto"/>
        <w:rPr>
          <w:rFonts w:ascii="仿宋" w:hAnsi="仿宋"/>
        </w:rPr>
      </w:pPr>
    </w:p>
    <w:p>
      <w:pPr>
        <w:pStyle w:val="2"/>
        <w:numPr>
          <w:ilvl w:val="0"/>
          <w:numId w:val="1"/>
        </w:numPr>
        <w:spacing w:after="0" w:line="360" w:lineRule="auto"/>
        <w:ind w:left="0" w:leftChars="0"/>
        <w:rPr>
          <w:rFonts w:ascii="仿宋" w:hAnsi="仿宋"/>
        </w:rPr>
      </w:pPr>
      <w:r>
        <w:rPr>
          <w:rFonts w:hint="eastAsia" w:ascii="仿宋" w:hAnsi="仿宋"/>
        </w:rPr>
        <w:t>本项目为电子招标投标项目，投标人参与本项目全过程中凡涉及系统操作请详见《政府采购项目电子交易管理操作指南》。（操作指南以政府采购云平台网站发布为准，获取方式详见：招标文件附件四-政府采购云平台使用介绍）。</w:t>
      </w:r>
    </w:p>
    <w:p>
      <w:pPr>
        <w:pStyle w:val="2"/>
        <w:numPr>
          <w:ilvl w:val="0"/>
          <w:numId w:val="1"/>
        </w:numPr>
        <w:spacing w:after="0" w:line="360" w:lineRule="auto"/>
        <w:ind w:left="0" w:leftChars="0"/>
        <w:rPr>
          <w:rFonts w:ascii="仿宋" w:hAnsi="仿宋"/>
        </w:rPr>
      </w:pPr>
      <w:r>
        <w:rPr>
          <w:rFonts w:hint="eastAsia" w:ascii="仿宋" w:hAnsi="仿宋"/>
        </w:rPr>
        <w:t>政府采购云平台投标人注册地址：https://middle.zcygov.cn/v-settle-front/registry</w:t>
      </w:r>
    </w:p>
    <w:p>
      <w:pPr>
        <w:pStyle w:val="2"/>
        <w:numPr>
          <w:ilvl w:val="0"/>
          <w:numId w:val="1"/>
        </w:numPr>
        <w:spacing w:after="0" w:line="360" w:lineRule="auto"/>
        <w:ind w:left="0" w:leftChars="0"/>
        <w:rPr>
          <w:rFonts w:ascii="仿宋" w:hAnsi="仿宋"/>
        </w:rPr>
      </w:pPr>
      <w:r>
        <w:rPr>
          <w:rFonts w:ascii="仿宋" w:hAnsi="仿宋"/>
        </w:rPr>
        <w:t>供应商需准备全流程所必需的硬件设备包括电脑（版本 win7 64位及以上）、麦克风、摄像头、CA证书等。建议使用同一台电脑完成投标、评标相关事宜，推荐安装 chrome 浏览器，且解密CA必须和加密CA为同一把</w:t>
      </w:r>
      <w:r>
        <w:rPr>
          <w:rFonts w:hint="eastAsia" w:ascii="仿宋" w:hAnsi="仿宋"/>
        </w:rPr>
        <w:t>。（政采云平台支持四川CA、CFCA、四川天威CA等16种CA证书，供应商持有其中一种CA即可，CA还需要开通电子签章功能，否则无法在制作文件时完成签章。）</w:t>
      </w:r>
    </w:p>
    <w:p>
      <w:pPr>
        <w:pStyle w:val="2"/>
        <w:numPr>
          <w:ilvl w:val="0"/>
          <w:numId w:val="1"/>
        </w:numPr>
        <w:spacing w:after="0" w:line="360" w:lineRule="auto"/>
        <w:ind w:left="0" w:leftChars="0"/>
        <w:rPr>
          <w:rFonts w:ascii="仿宋" w:hAnsi="仿宋"/>
        </w:rPr>
      </w:pPr>
      <w:r>
        <w:rPr>
          <w:rFonts w:hint="eastAsia" w:ascii="仿宋" w:hAnsi="仿宋"/>
        </w:rPr>
        <w:t>招标文件获取：招标文件获取时间内，投标人从“政府采购云平台（https://www.zcygov.cn）”获取采购文件。登录政府采购云平台—项目采购—获取采购文件—申请获取采购文件。</w:t>
      </w:r>
    </w:p>
    <w:p>
      <w:pPr>
        <w:pStyle w:val="2"/>
        <w:numPr>
          <w:ilvl w:val="255"/>
          <w:numId w:val="0"/>
        </w:numPr>
        <w:spacing w:after="0" w:line="360" w:lineRule="auto"/>
        <w:rPr>
          <w:rFonts w:ascii="仿宋" w:hAnsi="仿宋"/>
        </w:rPr>
      </w:pPr>
      <w:r>
        <w:rPr>
          <w:rFonts w:hint="eastAsia" w:ascii="仿宋" w:hAnsi="仿宋"/>
        </w:rPr>
        <w:t>提示：（1）本项目招标文件免费获取。（2）投标人只有在“政府采购云平台”完成获取招标文件申请并下载招标文件后才视作依法参与本项目。如未在“政府采购云平台”内完成相关流程，引起的投标无效责任自负。</w:t>
      </w:r>
    </w:p>
    <w:p>
      <w:pPr>
        <w:pStyle w:val="2"/>
        <w:numPr>
          <w:ilvl w:val="0"/>
          <w:numId w:val="1"/>
        </w:numPr>
        <w:spacing w:after="0" w:line="360" w:lineRule="auto"/>
        <w:ind w:left="0" w:leftChars="0"/>
        <w:rPr>
          <w:rFonts w:ascii="仿宋" w:hAnsi="仿宋"/>
        </w:rPr>
      </w:pPr>
      <w:r>
        <w:rPr>
          <w:rFonts w:hint="eastAsia" w:ascii="仿宋" w:hAnsi="仿宋"/>
        </w:rPr>
        <w:t>下载并安装政采云电子投标客户端。（提示：为避免无法生成加密标书的问题，请务必将客户端下载安装到电脑C盘以外的磁盘。）</w:t>
      </w:r>
    </w:p>
    <w:p>
      <w:pPr>
        <w:pStyle w:val="2"/>
        <w:numPr>
          <w:ilvl w:val="255"/>
          <w:numId w:val="0"/>
        </w:numPr>
        <w:spacing w:after="0" w:line="360" w:lineRule="auto"/>
        <w:rPr>
          <w:rFonts w:ascii="仿宋" w:hAnsi="仿宋"/>
        </w:rPr>
      </w:pPr>
      <w:r>
        <w:rPr>
          <w:rFonts w:hint="eastAsia" w:ascii="仿宋" w:hAnsi="仿宋"/>
        </w:rPr>
        <w:t>客户端登录可采用CA登录或账号密码登录。如未下载CA驱动，在客户端登录页面点击“CA驱动下载”并安装。</w:t>
      </w:r>
    </w:p>
    <w:p>
      <w:pPr>
        <w:pStyle w:val="2"/>
        <w:numPr>
          <w:ilvl w:val="0"/>
          <w:numId w:val="1"/>
        </w:numPr>
        <w:spacing w:after="0" w:line="360" w:lineRule="auto"/>
        <w:ind w:left="0" w:leftChars="0"/>
        <w:rPr>
          <w:rFonts w:ascii="仿宋" w:hAnsi="仿宋"/>
        </w:rPr>
      </w:pPr>
      <w:r>
        <w:rPr>
          <w:rFonts w:hint="eastAsia" w:ascii="仿宋" w:hAnsi="仿宋"/>
        </w:rPr>
        <w:t>若</w:t>
      </w:r>
      <w:r>
        <w:rPr>
          <w:rFonts w:hint="eastAsia" w:ascii="仿宋" w:hAnsi="仿宋"/>
          <w:b/>
          <w:bCs/>
        </w:rPr>
        <w:t>同时参加同一个项目下多包的投标</w:t>
      </w:r>
      <w:r>
        <w:rPr>
          <w:rFonts w:hint="eastAsia" w:ascii="仿宋" w:hAnsi="仿宋"/>
        </w:rPr>
        <w:t>，在投标客户端进行投标文件制作前，在客户端“选择参会与标项”页面，</w:t>
      </w:r>
      <w:r>
        <w:rPr>
          <w:rFonts w:hint="eastAsia" w:ascii="仿宋" w:hAnsi="仿宋"/>
          <w:b/>
          <w:bCs/>
        </w:rPr>
        <w:t>同时勾选</w:t>
      </w:r>
      <w:r>
        <w:rPr>
          <w:rFonts w:hint="eastAsia" w:ascii="仿宋" w:hAnsi="仿宋"/>
        </w:rPr>
        <w:t>需要制作投标文件的标项，确认后再进入投标文件制作页面，同步对各包投标文件进行制作、关联、签章，最后多包投标文件只生成1套“电子加密标书”（含一份加密标书、一份备份标书）。</w:t>
      </w:r>
    </w:p>
    <w:p>
      <w:pPr>
        <w:pStyle w:val="2"/>
        <w:numPr>
          <w:ilvl w:val="0"/>
          <w:numId w:val="1"/>
        </w:numPr>
        <w:spacing w:after="0" w:line="360" w:lineRule="auto"/>
        <w:ind w:left="0" w:leftChars="0"/>
        <w:rPr>
          <w:rFonts w:ascii="仿宋" w:hAnsi="仿宋"/>
        </w:rPr>
      </w:pPr>
      <w:r>
        <w:rPr>
          <w:rFonts w:hint="eastAsia" w:ascii="仿宋" w:hAnsi="仿宋"/>
        </w:rPr>
        <w:t>在客户端“导入投标（响应）文件”页面，资格响应文件按照“基本资质”、“政府采购政策（如涉及）”、“特定资质（如涉及）”、“联合体协议（如涉及）”逐个上传响应文件；然后再分别上传“报价要求响应文件”、“商务技术响应文件”。</w:t>
      </w:r>
    </w:p>
    <w:p>
      <w:pPr>
        <w:pStyle w:val="2"/>
        <w:numPr>
          <w:ilvl w:val="0"/>
          <w:numId w:val="1"/>
        </w:numPr>
        <w:spacing w:after="0" w:line="360" w:lineRule="auto"/>
        <w:ind w:left="0" w:leftChars="0"/>
        <w:rPr>
          <w:rFonts w:ascii="仿宋" w:hAnsi="仿宋"/>
        </w:rPr>
      </w:pPr>
      <w:r>
        <w:rPr>
          <w:rFonts w:hint="eastAsia" w:ascii="仿宋" w:hAnsi="仿宋"/>
        </w:rPr>
        <w:t>投标客户端对每个标项需导入的投标（响应）文件均为PDF格式，且每个PDF不得超过300M。</w:t>
      </w:r>
    </w:p>
    <w:p>
      <w:pPr>
        <w:pStyle w:val="2"/>
        <w:numPr>
          <w:ilvl w:val="0"/>
          <w:numId w:val="1"/>
        </w:numPr>
        <w:spacing w:after="0" w:line="360" w:lineRule="auto"/>
        <w:ind w:left="0" w:leftChars="0"/>
        <w:rPr>
          <w:rFonts w:ascii="仿宋" w:hAnsi="仿宋"/>
        </w:rPr>
      </w:pPr>
      <w:r>
        <w:rPr>
          <w:rFonts w:hint="eastAsia" w:ascii="仿宋" w:hAnsi="仿宋"/>
        </w:rPr>
        <w:t>请确认投标文件内容中是否有除公章外的法定代表人及相关人员签字盖章等要求，如未办理对应CA的请提前办理或者提前签署并导入PDF。</w:t>
      </w:r>
    </w:p>
    <w:p>
      <w:pPr>
        <w:pStyle w:val="2"/>
        <w:numPr>
          <w:ilvl w:val="0"/>
          <w:numId w:val="1"/>
        </w:numPr>
        <w:spacing w:after="0" w:line="360" w:lineRule="auto"/>
        <w:ind w:left="0" w:leftChars="0"/>
        <w:rPr>
          <w:rFonts w:ascii="仿宋" w:hAnsi="仿宋"/>
        </w:rPr>
      </w:pPr>
      <w:r>
        <w:rPr>
          <w:rFonts w:hint="eastAsia" w:ascii="仿宋" w:hAnsi="仿宋"/>
        </w:rPr>
        <w:t>在客户端“标书关联”页面，填写开标一览表内容，如需响应报价明细表，在“报价明细表”一栏填写，注意单位均为“元”。（提示：如涉及分项报价，则报价明细表根据供应商实际需要进行编辑；若无编辑权限，则按照代理机构设定的分项进行填报。）</w:t>
      </w:r>
    </w:p>
    <w:p>
      <w:pPr>
        <w:pStyle w:val="2"/>
        <w:numPr>
          <w:ilvl w:val="0"/>
          <w:numId w:val="1"/>
        </w:numPr>
        <w:spacing w:after="0" w:line="360" w:lineRule="auto"/>
        <w:ind w:left="0" w:leftChars="0"/>
        <w:rPr>
          <w:rFonts w:ascii="仿宋" w:hAnsi="仿宋"/>
        </w:rPr>
      </w:pPr>
      <w:r>
        <w:rPr>
          <w:rFonts w:hint="eastAsia" w:ascii="仿宋" w:hAnsi="仿宋"/>
        </w:rPr>
        <w:t>在客户端“标书关联”页面，关联点的具体页码最多可关联5处；如对招标文件某项要求未能提供相应的内容与其对应，可选择“放弃关联”。</w:t>
      </w:r>
    </w:p>
    <w:p>
      <w:pPr>
        <w:pStyle w:val="2"/>
        <w:numPr>
          <w:ilvl w:val="0"/>
          <w:numId w:val="1"/>
        </w:numPr>
        <w:spacing w:after="0" w:line="360" w:lineRule="auto"/>
        <w:ind w:left="0" w:leftChars="0"/>
        <w:rPr>
          <w:rFonts w:ascii="仿宋" w:hAnsi="仿宋"/>
        </w:rPr>
      </w:pPr>
      <w:r>
        <w:rPr>
          <w:rFonts w:hint="eastAsia" w:ascii="仿宋" w:hAnsi="仿宋"/>
        </w:rPr>
        <w:t>在客户端“标书检查”页面，若出现“CA检测”异常，请在客户端登录页面重新点击“CA驱动下载”并安装；安装完成后重启电脑，重新登录客户端。（退出重新登录客户端不会丢失已制作并保存的内容。）</w:t>
      </w:r>
    </w:p>
    <w:p>
      <w:pPr>
        <w:pStyle w:val="2"/>
        <w:numPr>
          <w:ilvl w:val="0"/>
          <w:numId w:val="1"/>
        </w:numPr>
        <w:spacing w:after="0" w:line="360" w:lineRule="auto"/>
        <w:ind w:left="0" w:leftChars="0"/>
        <w:rPr>
          <w:rFonts w:ascii="仿宋" w:hAnsi="仿宋"/>
        </w:rPr>
      </w:pPr>
      <w:r>
        <w:rPr>
          <w:rFonts w:hint="eastAsia" w:ascii="仿宋" w:hAnsi="仿宋"/>
        </w:rPr>
        <w:t>在客户端“电子签名”页面，可以进行单页或多页签章。除第三章格式1-1、2-1封面盖章为实质性要求外，其余页面均未要求必须盖章。格式1-1、2-1封面按照招标文件第二章17．2要求，加盖投标人（法定名称）电子印章。</w:t>
      </w:r>
    </w:p>
    <w:p>
      <w:pPr>
        <w:pStyle w:val="2"/>
        <w:numPr>
          <w:ilvl w:val="0"/>
          <w:numId w:val="1"/>
        </w:numPr>
        <w:spacing w:after="0" w:line="360" w:lineRule="auto"/>
        <w:ind w:left="0" w:leftChars="0"/>
        <w:rPr>
          <w:rFonts w:ascii="仿宋" w:hAnsi="仿宋"/>
        </w:rPr>
      </w:pPr>
      <w:r>
        <w:rPr>
          <w:rFonts w:hint="eastAsia" w:ascii="仿宋" w:hAnsi="仿宋"/>
        </w:rPr>
        <w:t>在客户端“生成电子加密标书”页面，生成电子加密标书，一份为加密标书（后缀.jmbs,用于供应商投标上传）；一份为备份标书（后缀.bfbs，未加密，用于供应商标书解密异常时应急使用）</w:t>
      </w:r>
    </w:p>
    <w:p>
      <w:pPr>
        <w:pStyle w:val="2"/>
        <w:numPr>
          <w:ilvl w:val="0"/>
          <w:numId w:val="1"/>
        </w:numPr>
        <w:spacing w:after="0" w:line="360" w:lineRule="auto"/>
        <w:ind w:left="0" w:leftChars="0"/>
        <w:rPr>
          <w:rFonts w:ascii="仿宋" w:hAnsi="仿宋"/>
        </w:rPr>
      </w:pPr>
      <w:r>
        <w:rPr>
          <w:rFonts w:ascii="仿宋" w:hAnsi="仿宋"/>
        </w:rPr>
        <w:t>投标人应当在投标文件递交截止时间前，将编制完成并且已加密的电子投标文件成功递交至“政府采购云平台”。</w:t>
      </w:r>
      <w:r>
        <w:rPr>
          <w:rFonts w:hint="eastAsia" w:ascii="仿宋" w:hAnsi="仿宋"/>
        </w:rPr>
        <w:t>投标文件上传并提交成功后，在“投标文件上传”页面显示状态为“已上传”，此处可执行的操作为“查看”、“撤回”、下载打印”投标回执”。</w:t>
      </w:r>
    </w:p>
    <w:p>
      <w:pPr>
        <w:pStyle w:val="2"/>
        <w:numPr>
          <w:ilvl w:val="0"/>
          <w:numId w:val="1"/>
        </w:numPr>
        <w:spacing w:after="0" w:line="360" w:lineRule="auto"/>
        <w:ind w:left="0" w:leftChars="0"/>
        <w:rPr>
          <w:rFonts w:ascii="仿宋" w:hAnsi="仿宋"/>
        </w:rPr>
      </w:pPr>
      <w:r>
        <w:rPr>
          <w:rFonts w:ascii="仿宋" w:hAnsi="仿宋"/>
        </w:rPr>
        <w:t>政采云的咨询电话</w:t>
      </w:r>
      <w:r>
        <w:rPr>
          <w:rFonts w:hint="eastAsia" w:ascii="仿宋" w:hAnsi="仿宋"/>
        </w:rPr>
        <w:t>：400-881-7190（服务时间：工作日8:00-20:00)，根据IVR语音导航提示进行按键，获取相关服务支持。</w:t>
      </w:r>
    </w:p>
    <w:p>
      <w:pPr>
        <w:keepNext/>
        <w:keepLines/>
        <w:jc w:val="center"/>
        <w:rPr>
          <w:rFonts w:ascii="仿宋" w:hAnsi="仿宋"/>
          <w:sz w:val="36"/>
          <w:szCs w:val="21"/>
        </w:rPr>
      </w:pPr>
      <w:r>
        <w:rPr>
          <w:rFonts w:hint="eastAsia" w:ascii="仿宋" w:hAnsi="仿宋"/>
          <w:sz w:val="36"/>
          <w:szCs w:val="36"/>
        </w:rPr>
        <w:br w:type="page"/>
      </w:r>
      <w:r>
        <w:rPr>
          <w:rFonts w:hint="eastAsia" w:ascii="仿宋" w:hAnsi="仿宋" w:cs="仿宋"/>
          <w:b/>
          <w:sz w:val="36"/>
          <w:szCs w:val="36"/>
        </w:rPr>
        <w:t>廉洁自律书</w:t>
      </w:r>
    </w:p>
    <w:p>
      <w:pPr>
        <w:ind w:firstLine="480" w:firstLineChars="200"/>
        <w:rPr>
          <w:rFonts w:ascii="仿宋" w:hAnsi="仿宋" w:cs="仿宋"/>
        </w:rPr>
      </w:pPr>
      <w:r>
        <w:rPr>
          <w:rFonts w:hint="eastAsia" w:ascii="仿宋" w:hAnsi="仿宋" w:cs="仿宋"/>
        </w:rPr>
        <w:t>为进一步规范融汇项目管理股份有限公司政府采购行为，维护政府采购制度，净化政府采购市场环境。融汇项目管理股份有限公司在代理政府采购招标事务过程中郑重承诺：</w:t>
      </w:r>
    </w:p>
    <w:p>
      <w:pPr>
        <w:ind w:firstLine="480" w:firstLineChars="200"/>
        <w:rPr>
          <w:rFonts w:ascii="仿宋" w:hAnsi="仿宋" w:cs="仿宋"/>
        </w:rPr>
      </w:pPr>
      <w:r>
        <w:rPr>
          <w:rFonts w:hint="eastAsia" w:ascii="仿宋" w:hAnsi="仿宋" w:cs="仿宋"/>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ind w:firstLine="480" w:firstLineChars="200"/>
        <w:rPr>
          <w:rFonts w:ascii="仿宋" w:hAnsi="仿宋" w:cs="仿宋"/>
        </w:rPr>
      </w:pPr>
      <w:r>
        <w:rPr>
          <w:rFonts w:hint="eastAsia" w:ascii="仿宋" w:hAnsi="仿宋" w:cs="仿宋"/>
        </w:rPr>
        <w:t>二、公司员工遵纪守法，不得以不正当手段争取、承揽代理政府采购事务和向任何单位和个人支付现金、实物或其他利益的行为。</w:t>
      </w:r>
    </w:p>
    <w:p>
      <w:pPr>
        <w:ind w:firstLine="480" w:firstLineChars="200"/>
        <w:rPr>
          <w:rFonts w:ascii="仿宋" w:hAnsi="仿宋" w:cs="仿宋"/>
        </w:rPr>
      </w:pPr>
      <w:r>
        <w:rPr>
          <w:rFonts w:hint="eastAsia" w:ascii="仿宋" w:hAnsi="仿宋" w:cs="仿宋"/>
        </w:rPr>
        <w:t>三、公司员工自觉抵制商业贿赂，不得接受投标人的礼金、有价证券和贵重物品，不得在投标人报销任何应由个人支付的费用，不得以任何形式向投标人索要和收受回扣或变相收受贿赂，不得参加可能对公正执行采购工作有影响的宴请或娱乐活动。</w:t>
      </w:r>
    </w:p>
    <w:p>
      <w:pPr>
        <w:ind w:firstLine="480" w:firstLineChars="200"/>
        <w:rPr>
          <w:rFonts w:ascii="仿宋" w:hAnsi="仿宋" w:cs="仿宋"/>
        </w:rPr>
      </w:pPr>
      <w:r>
        <w:rPr>
          <w:rFonts w:hint="eastAsia" w:ascii="仿宋" w:hAnsi="仿宋" w:cs="仿宋"/>
        </w:rPr>
        <w:t>四、公司员工不得与投标人存在任何商业上的利害关系，不得在投标人单位兼职和任职，不得泄漏政府采购过程中的机密。</w:t>
      </w:r>
    </w:p>
    <w:p>
      <w:pPr>
        <w:ind w:firstLine="480" w:firstLineChars="200"/>
        <w:rPr>
          <w:rFonts w:ascii="仿宋" w:hAnsi="仿宋" w:cs="仿宋"/>
        </w:rPr>
      </w:pPr>
      <w:r>
        <w:rPr>
          <w:rFonts w:hint="eastAsia" w:ascii="仿宋" w:hAnsi="仿宋" w:cs="仿宋"/>
        </w:rPr>
        <w:t>五、公司员工在业务交往中，不得故意刁难投标人，影响正常的业务开展。</w:t>
      </w:r>
    </w:p>
    <w:p>
      <w:pPr>
        <w:ind w:firstLine="480" w:firstLineChars="200"/>
        <w:rPr>
          <w:rFonts w:ascii="仿宋" w:hAnsi="仿宋" w:cs="仿宋"/>
        </w:rPr>
      </w:pPr>
      <w:r>
        <w:rPr>
          <w:rFonts w:hint="eastAsia" w:ascii="仿宋" w:hAnsi="仿宋" w:cs="仿宋"/>
        </w:rPr>
        <w:t>公司全体员工接受来自社会各界的监督、举报，请各位政府采购参与者充分了解并自觉践行本准则，共同营造廉洁诚信的政采环境，共同推动阳光透明的政府采购。</w:t>
      </w:r>
    </w:p>
    <w:p>
      <w:pPr>
        <w:ind w:firstLine="480" w:firstLineChars="200"/>
        <w:rPr>
          <w:rFonts w:ascii="仿宋" w:hAnsi="仿宋" w:cs="仿宋"/>
        </w:rPr>
      </w:pPr>
      <w:r>
        <w:rPr>
          <w:rFonts w:hint="eastAsia" w:ascii="仿宋" w:hAnsi="仿宋" w:cs="仿宋"/>
        </w:rPr>
        <w:t>举报电话：028-67697399</w:t>
      </w:r>
    </w:p>
    <w:p>
      <w:pPr>
        <w:ind w:firstLine="480" w:firstLineChars="200"/>
        <w:rPr>
          <w:rFonts w:ascii="仿宋" w:hAnsi="仿宋" w:cs="仿宋"/>
        </w:rPr>
      </w:pPr>
      <w:r>
        <w:rPr>
          <w:rFonts w:hint="eastAsia" w:ascii="仿宋" w:hAnsi="仿宋" w:cs="仿宋"/>
        </w:rPr>
        <w:t>举报邮箱：</w:t>
      </w:r>
      <w:r>
        <w:fldChar w:fldCharType="begin"/>
      </w:r>
      <w:r>
        <w:instrText xml:space="preserve"> HYPERLINK "mailto:734359227@qq.com" </w:instrText>
      </w:r>
      <w:r>
        <w:fldChar w:fldCharType="separate"/>
      </w:r>
      <w:r>
        <w:rPr>
          <w:rStyle w:val="43"/>
          <w:rFonts w:hint="eastAsia" w:ascii="仿宋" w:hAnsi="仿宋" w:cs="仿宋"/>
          <w:color w:val="auto"/>
        </w:rPr>
        <w:t>604972235@qq.com</w:t>
      </w:r>
      <w:r>
        <w:rPr>
          <w:rStyle w:val="43"/>
          <w:rFonts w:hint="eastAsia" w:ascii="仿宋" w:hAnsi="仿宋" w:cs="仿宋"/>
          <w:color w:val="auto"/>
        </w:rPr>
        <w:fldChar w:fldCharType="end"/>
      </w:r>
    </w:p>
    <w:p>
      <w:pPr>
        <w:ind w:firstLine="480" w:firstLineChars="200"/>
        <w:rPr>
          <w:rFonts w:ascii="仿宋" w:hAnsi="仿宋" w:cs="仿宋"/>
        </w:rPr>
      </w:pPr>
    </w:p>
    <w:p>
      <w:pPr>
        <w:ind w:firstLine="480" w:firstLineChars="200"/>
        <w:rPr>
          <w:rFonts w:ascii="仿宋" w:hAnsi="仿宋" w:cs="仿宋"/>
        </w:rPr>
      </w:pPr>
    </w:p>
    <w:p>
      <w:pPr>
        <w:ind w:firstLine="480" w:firstLineChars="200"/>
        <w:jc w:val="right"/>
        <w:rPr>
          <w:rFonts w:ascii="仿宋" w:hAnsi="仿宋" w:cs="仿宋"/>
        </w:rPr>
      </w:pPr>
      <w:r>
        <w:rPr>
          <w:rFonts w:hint="eastAsia" w:ascii="仿宋" w:hAnsi="仿宋" w:cs="仿宋"/>
        </w:rPr>
        <w:t>融汇项目管理股份有限公司</w:t>
      </w:r>
    </w:p>
    <w:p>
      <w:pPr>
        <w:spacing w:line="240" w:lineRule="auto"/>
        <w:jc w:val="center"/>
        <w:rPr>
          <w:rFonts w:ascii="仿宋" w:hAnsi="仿宋" w:cs="宋体"/>
        </w:rPr>
      </w:pPr>
    </w:p>
    <w:p>
      <w:pPr>
        <w:widowControl/>
        <w:spacing w:line="240" w:lineRule="auto"/>
        <w:rPr>
          <w:rFonts w:ascii="仿宋" w:hAnsi="仿宋" w:cs="仿宋"/>
          <w:sz w:val="36"/>
          <w:szCs w:val="44"/>
        </w:rPr>
      </w:pPr>
      <w:r>
        <w:rPr>
          <w:rFonts w:ascii="仿宋" w:hAnsi="仿宋" w:cs="仿宋"/>
          <w:sz w:val="36"/>
          <w:szCs w:val="44"/>
        </w:rPr>
        <w:br w:type="page"/>
      </w:r>
    </w:p>
    <w:sdt>
      <w:sdtPr>
        <w:rPr>
          <w:rFonts w:ascii="Times New Roman" w:hAnsi="Times New Roman" w:eastAsia="仿宋" w:cs="Times New Roman"/>
          <w:color w:val="auto"/>
          <w:kern w:val="2"/>
          <w:sz w:val="24"/>
          <w:szCs w:val="24"/>
          <w:lang w:val="zh-CN"/>
        </w:rPr>
        <w:id w:val="-1004278822"/>
        <w:docPartObj>
          <w:docPartGallery w:val="Table of Contents"/>
          <w:docPartUnique/>
        </w:docPartObj>
      </w:sdtPr>
      <w:sdtEndPr>
        <w:rPr>
          <w:rFonts w:ascii="Times New Roman" w:hAnsi="Times New Roman" w:eastAsia="仿宋" w:cs="Times New Roman"/>
          <w:b/>
          <w:bCs/>
          <w:color w:val="auto"/>
          <w:kern w:val="2"/>
          <w:sz w:val="24"/>
          <w:szCs w:val="24"/>
          <w:lang w:val="zh-CN"/>
        </w:rPr>
      </w:sdtEndPr>
      <w:sdtContent>
        <w:p>
          <w:pPr>
            <w:pStyle w:val="92"/>
            <w:jc w:val="center"/>
            <w:rPr>
              <w:b/>
              <w:bCs/>
              <w:color w:val="auto"/>
            </w:rPr>
          </w:pPr>
          <w:bookmarkStart w:id="0" w:name="_Toc24584"/>
          <w:r>
            <w:rPr>
              <w:b/>
              <w:bCs/>
              <w:color w:val="auto"/>
              <w:lang w:val="zh-CN"/>
            </w:rPr>
            <w:t>目</w:t>
          </w:r>
          <w:r>
            <w:rPr>
              <w:rFonts w:hint="eastAsia"/>
              <w:b/>
              <w:bCs/>
              <w:color w:val="auto"/>
              <w:lang w:val="zh-CN"/>
            </w:rPr>
            <w:t xml:space="preserve"> </w:t>
          </w:r>
          <w:r>
            <w:rPr>
              <w:b/>
              <w:bCs/>
              <w:color w:val="auto"/>
              <w:lang w:val="zh-CN"/>
            </w:rPr>
            <w:t xml:space="preserve"> 录</w:t>
          </w:r>
        </w:p>
        <w:p>
          <w:pPr>
            <w:pStyle w:val="23"/>
            <w:tabs>
              <w:tab w:val="right" w:leader="dot" w:pos="9061"/>
            </w:tabs>
            <w:rPr>
              <w:rFonts w:eastAsiaTheme="minorEastAsia" w:cstheme="minorBidi"/>
              <w:b w:val="0"/>
              <w:bCs w:val="0"/>
              <w:caps w:val="0"/>
              <w:sz w:val="21"/>
              <w:szCs w:val="22"/>
            </w:rPr>
          </w:pPr>
          <w:r>
            <w:fldChar w:fldCharType="begin"/>
          </w:r>
          <w:r>
            <w:instrText xml:space="preserve"> TOC \o "1-1" \h \z \u </w:instrText>
          </w:r>
          <w:r>
            <w:fldChar w:fldCharType="separate"/>
          </w:r>
          <w:r>
            <w:fldChar w:fldCharType="begin"/>
          </w:r>
          <w:r>
            <w:instrText xml:space="preserve"> HYPERLINK \l "_Toc86702222" </w:instrText>
          </w:r>
          <w:r>
            <w:fldChar w:fldCharType="separate"/>
          </w:r>
          <w:r>
            <w:rPr>
              <w:rStyle w:val="43"/>
              <w:rFonts w:ascii="仿宋" w:hAnsi="仿宋"/>
              <w:color w:val="auto"/>
            </w:rPr>
            <w:t>第一章  投标邀请</w:t>
          </w:r>
          <w:r>
            <w:tab/>
          </w:r>
          <w:r>
            <w:fldChar w:fldCharType="begin"/>
          </w:r>
          <w:r>
            <w:instrText xml:space="preserve"> PAGEREF _Toc86702222 \h </w:instrText>
          </w:r>
          <w:r>
            <w:fldChar w:fldCharType="separate"/>
          </w:r>
          <w:r>
            <w:t>5</w:t>
          </w:r>
          <w:r>
            <w:fldChar w:fldCharType="end"/>
          </w:r>
          <w:r>
            <w:fldChar w:fldCharType="end"/>
          </w:r>
        </w:p>
        <w:p>
          <w:pPr>
            <w:pStyle w:val="23"/>
            <w:tabs>
              <w:tab w:val="right" w:leader="dot" w:pos="9061"/>
            </w:tabs>
            <w:rPr>
              <w:rFonts w:eastAsiaTheme="minorEastAsia" w:cstheme="minorBidi"/>
              <w:b w:val="0"/>
              <w:bCs w:val="0"/>
              <w:caps w:val="0"/>
              <w:sz w:val="21"/>
              <w:szCs w:val="22"/>
            </w:rPr>
          </w:pPr>
          <w:r>
            <w:fldChar w:fldCharType="begin"/>
          </w:r>
          <w:r>
            <w:instrText xml:space="preserve"> HYPERLINK \l "_Toc86702223" </w:instrText>
          </w:r>
          <w:r>
            <w:fldChar w:fldCharType="separate"/>
          </w:r>
          <w:r>
            <w:rPr>
              <w:rStyle w:val="43"/>
              <w:rFonts w:ascii="仿宋" w:hAnsi="仿宋"/>
              <w:color w:val="auto"/>
            </w:rPr>
            <w:t>第二章  投标人须知</w:t>
          </w:r>
          <w:r>
            <w:tab/>
          </w:r>
          <w:r>
            <w:fldChar w:fldCharType="begin"/>
          </w:r>
          <w:r>
            <w:instrText xml:space="preserve"> PAGEREF _Toc86702223 \h </w:instrText>
          </w:r>
          <w:r>
            <w:fldChar w:fldCharType="separate"/>
          </w:r>
          <w:r>
            <w:t>8</w:t>
          </w:r>
          <w:r>
            <w:fldChar w:fldCharType="end"/>
          </w:r>
          <w:r>
            <w:fldChar w:fldCharType="end"/>
          </w:r>
        </w:p>
        <w:p>
          <w:pPr>
            <w:pStyle w:val="23"/>
            <w:tabs>
              <w:tab w:val="right" w:leader="dot" w:pos="9061"/>
            </w:tabs>
            <w:rPr>
              <w:rFonts w:eastAsiaTheme="minorEastAsia" w:cstheme="minorBidi"/>
              <w:b w:val="0"/>
              <w:bCs w:val="0"/>
              <w:caps w:val="0"/>
              <w:sz w:val="21"/>
              <w:szCs w:val="22"/>
            </w:rPr>
          </w:pPr>
          <w:r>
            <w:fldChar w:fldCharType="begin"/>
          </w:r>
          <w:r>
            <w:instrText xml:space="preserve"> HYPERLINK \l "_Toc86702224" </w:instrText>
          </w:r>
          <w:r>
            <w:fldChar w:fldCharType="separate"/>
          </w:r>
          <w:r>
            <w:rPr>
              <w:rStyle w:val="43"/>
              <w:rFonts w:ascii="仿宋" w:hAnsi="仿宋"/>
              <w:color w:val="auto"/>
            </w:rPr>
            <w:t>第三章  投标文件格式</w:t>
          </w:r>
          <w:r>
            <w:tab/>
          </w:r>
          <w:r>
            <w:fldChar w:fldCharType="begin"/>
          </w:r>
          <w:r>
            <w:instrText xml:space="preserve"> PAGEREF _Toc86702224 \h </w:instrText>
          </w:r>
          <w:r>
            <w:fldChar w:fldCharType="separate"/>
          </w:r>
          <w:r>
            <w:t>25</w:t>
          </w:r>
          <w:r>
            <w:fldChar w:fldCharType="end"/>
          </w:r>
          <w:r>
            <w:fldChar w:fldCharType="end"/>
          </w:r>
        </w:p>
        <w:p>
          <w:pPr>
            <w:pStyle w:val="23"/>
            <w:tabs>
              <w:tab w:val="right" w:leader="dot" w:pos="9061"/>
            </w:tabs>
            <w:rPr>
              <w:rFonts w:eastAsiaTheme="minorEastAsia" w:cstheme="minorBidi"/>
              <w:b w:val="0"/>
              <w:bCs w:val="0"/>
              <w:caps w:val="0"/>
              <w:sz w:val="21"/>
              <w:szCs w:val="22"/>
            </w:rPr>
          </w:pPr>
          <w:r>
            <w:fldChar w:fldCharType="begin"/>
          </w:r>
          <w:r>
            <w:instrText xml:space="preserve"> HYPERLINK \l "_Toc86702225" </w:instrText>
          </w:r>
          <w:r>
            <w:fldChar w:fldCharType="separate"/>
          </w:r>
          <w:r>
            <w:rPr>
              <w:rStyle w:val="43"/>
              <w:rFonts w:ascii="仿宋" w:hAnsi="仿宋"/>
              <w:color w:val="auto"/>
            </w:rPr>
            <w:t>第四章  投标人和投标产品的资格、资质性及其他类似效力要求</w:t>
          </w:r>
          <w:r>
            <w:tab/>
          </w:r>
          <w:r>
            <w:fldChar w:fldCharType="begin"/>
          </w:r>
          <w:r>
            <w:instrText xml:space="preserve"> PAGEREF _Toc86702225 \h </w:instrText>
          </w:r>
          <w:r>
            <w:fldChar w:fldCharType="separate"/>
          </w:r>
          <w:r>
            <w:t>51</w:t>
          </w:r>
          <w:r>
            <w:fldChar w:fldCharType="end"/>
          </w:r>
          <w:r>
            <w:fldChar w:fldCharType="end"/>
          </w:r>
        </w:p>
        <w:p>
          <w:pPr>
            <w:pStyle w:val="23"/>
            <w:tabs>
              <w:tab w:val="right" w:leader="dot" w:pos="9061"/>
            </w:tabs>
            <w:rPr>
              <w:rFonts w:eastAsiaTheme="minorEastAsia" w:cstheme="minorBidi"/>
              <w:b w:val="0"/>
              <w:bCs w:val="0"/>
              <w:caps w:val="0"/>
              <w:sz w:val="21"/>
              <w:szCs w:val="22"/>
            </w:rPr>
          </w:pPr>
          <w:r>
            <w:fldChar w:fldCharType="begin"/>
          </w:r>
          <w:r>
            <w:instrText xml:space="preserve"> HYPERLINK \l "_Toc86702226" </w:instrText>
          </w:r>
          <w:r>
            <w:fldChar w:fldCharType="separate"/>
          </w:r>
          <w:r>
            <w:rPr>
              <w:rStyle w:val="43"/>
              <w:rFonts w:ascii="仿宋" w:hAnsi="仿宋"/>
              <w:color w:val="auto"/>
            </w:rPr>
            <w:t>第五章  资格性审查要求</w:t>
          </w:r>
          <w:r>
            <w:tab/>
          </w:r>
          <w:r>
            <w:fldChar w:fldCharType="begin"/>
          </w:r>
          <w:r>
            <w:instrText xml:space="preserve"> PAGEREF _Toc86702226 \h </w:instrText>
          </w:r>
          <w:r>
            <w:fldChar w:fldCharType="separate"/>
          </w:r>
          <w:r>
            <w:t>52</w:t>
          </w:r>
          <w:r>
            <w:fldChar w:fldCharType="end"/>
          </w:r>
          <w:r>
            <w:fldChar w:fldCharType="end"/>
          </w:r>
        </w:p>
        <w:p>
          <w:pPr>
            <w:pStyle w:val="23"/>
            <w:tabs>
              <w:tab w:val="right" w:leader="dot" w:pos="9061"/>
            </w:tabs>
            <w:rPr>
              <w:rFonts w:eastAsiaTheme="minorEastAsia" w:cstheme="minorBidi"/>
              <w:b w:val="0"/>
              <w:bCs w:val="0"/>
              <w:caps w:val="0"/>
              <w:sz w:val="21"/>
              <w:szCs w:val="22"/>
            </w:rPr>
          </w:pPr>
          <w:r>
            <w:fldChar w:fldCharType="begin"/>
          </w:r>
          <w:r>
            <w:instrText xml:space="preserve"> HYPERLINK \l "_Toc86702227" </w:instrText>
          </w:r>
          <w:r>
            <w:fldChar w:fldCharType="separate"/>
          </w:r>
          <w:r>
            <w:rPr>
              <w:rStyle w:val="43"/>
              <w:rFonts w:ascii="仿宋" w:hAnsi="仿宋"/>
              <w:color w:val="auto"/>
            </w:rPr>
            <w:t>第六章   招标项目技术、服务、商务及其他要求</w:t>
          </w:r>
          <w:r>
            <w:tab/>
          </w:r>
          <w:r>
            <w:fldChar w:fldCharType="begin"/>
          </w:r>
          <w:r>
            <w:instrText xml:space="preserve"> PAGEREF _Toc86702227 \h </w:instrText>
          </w:r>
          <w:r>
            <w:fldChar w:fldCharType="separate"/>
          </w:r>
          <w:r>
            <w:t>55</w:t>
          </w:r>
          <w:r>
            <w:fldChar w:fldCharType="end"/>
          </w:r>
          <w:r>
            <w:fldChar w:fldCharType="end"/>
          </w:r>
        </w:p>
        <w:p>
          <w:pPr>
            <w:pStyle w:val="23"/>
            <w:tabs>
              <w:tab w:val="right" w:leader="dot" w:pos="9061"/>
            </w:tabs>
            <w:rPr>
              <w:rFonts w:eastAsiaTheme="minorEastAsia" w:cstheme="minorBidi"/>
              <w:b w:val="0"/>
              <w:bCs w:val="0"/>
              <w:caps w:val="0"/>
              <w:sz w:val="21"/>
              <w:szCs w:val="22"/>
            </w:rPr>
          </w:pPr>
          <w:r>
            <w:fldChar w:fldCharType="begin"/>
          </w:r>
          <w:r>
            <w:instrText xml:space="preserve"> HYPERLINK \l "_Toc86702228" </w:instrText>
          </w:r>
          <w:r>
            <w:fldChar w:fldCharType="separate"/>
          </w:r>
          <w:r>
            <w:rPr>
              <w:rStyle w:val="43"/>
              <w:rFonts w:ascii="仿宋" w:hAnsi="仿宋"/>
              <w:color w:val="auto"/>
            </w:rPr>
            <w:t>第七章  评标办法</w:t>
          </w:r>
          <w:r>
            <w:tab/>
          </w:r>
          <w:r>
            <w:fldChar w:fldCharType="begin"/>
          </w:r>
          <w:r>
            <w:instrText xml:space="preserve"> PAGEREF _Toc86702228 \h </w:instrText>
          </w:r>
          <w:r>
            <w:fldChar w:fldCharType="separate"/>
          </w:r>
          <w:r>
            <w:t>127</w:t>
          </w:r>
          <w:r>
            <w:fldChar w:fldCharType="end"/>
          </w:r>
          <w:r>
            <w:fldChar w:fldCharType="end"/>
          </w:r>
        </w:p>
        <w:p>
          <w:pPr>
            <w:pStyle w:val="23"/>
            <w:tabs>
              <w:tab w:val="right" w:leader="dot" w:pos="9061"/>
            </w:tabs>
            <w:rPr>
              <w:rFonts w:eastAsiaTheme="minorEastAsia" w:cstheme="minorBidi"/>
              <w:b w:val="0"/>
              <w:bCs w:val="0"/>
              <w:caps w:val="0"/>
              <w:sz w:val="21"/>
              <w:szCs w:val="22"/>
            </w:rPr>
          </w:pPr>
          <w:r>
            <w:fldChar w:fldCharType="begin"/>
          </w:r>
          <w:r>
            <w:instrText xml:space="preserve"> HYPERLINK \l "_Toc86702229" </w:instrText>
          </w:r>
          <w:r>
            <w:fldChar w:fldCharType="separate"/>
          </w:r>
          <w:r>
            <w:rPr>
              <w:rStyle w:val="43"/>
              <w:rFonts w:ascii="仿宋" w:hAnsi="仿宋"/>
              <w:color w:val="auto"/>
            </w:rPr>
            <w:t>第八章  政府采购合同</w:t>
          </w:r>
          <w:r>
            <w:tab/>
          </w:r>
          <w:r>
            <w:fldChar w:fldCharType="begin"/>
          </w:r>
          <w:r>
            <w:instrText xml:space="preserve"> PAGEREF _Toc86702229 \h </w:instrText>
          </w:r>
          <w:r>
            <w:fldChar w:fldCharType="separate"/>
          </w:r>
          <w:r>
            <w:t>155</w:t>
          </w:r>
          <w:r>
            <w:fldChar w:fldCharType="end"/>
          </w:r>
          <w:r>
            <w:fldChar w:fldCharType="end"/>
          </w:r>
        </w:p>
        <w:p>
          <w:r>
            <w:fldChar w:fldCharType="end"/>
          </w:r>
        </w:p>
      </w:sdtContent>
    </w:sdt>
    <w:p>
      <w:pPr>
        <w:pStyle w:val="23"/>
        <w:tabs>
          <w:tab w:val="right" w:leader="dot" w:pos="9061"/>
        </w:tabs>
        <w:rPr>
          <w:rFonts w:eastAsiaTheme="minorEastAsia" w:cstheme="minorBidi"/>
          <w:b w:val="0"/>
          <w:bCs w:val="0"/>
          <w:caps w:val="0"/>
          <w:sz w:val="21"/>
          <w:szCs w:val="22"/>
        </w:rPr>
      </w:pPr>
      <w:r>
        <w:rPr>
          <w:rFonts w:ascii="仿宋" w:hAnsi="仿宋" w:cs="宋体"/>
          <w:sz w:val="28"/>
        </w:rPr>
        <w:fldChar w:fldCharType="begin"/>
      </w:r>
      <w:r>
        <w:rPr>
          <w:rFonts w:ascii="仿宋" w:hAnsi="仿宋" w:cs="宋体"/>
          <w:sz w:val="28"/>
        </w:rPr>
        <w:instrText xml:space="preserve"> </w:instrText>
      </w:r>
      <w:r>
        <w:rPr>
          <w:rFonts w:hint="eastAsia" w:ascii="仿宋" w:hAnsi="仿宋" w:cs="宋体"/>
          <w:sz w:val="28"/>
        </w:rPr>
        <w:instrText xml:space="preserve">TOC \o "1-1" \h \z \u</w:instrText>
      </w:r>
      <w:r>
        <w:rPr>
          <w:rFonts w:ascii="仿宋" w:hAnsi="仿宋" w:cs="宋体"/>
          <w:sz w:val="28"/>
        </w:rPr>
        <w:instrText xml:space="preserve"> </w:instrText>
      </w:r>
      <w:r>
        <w:rPr>
          <w:rFonts w:ascii="仿宋" w:hAnsi="仿宋" w:cs="宋体"/>
          <w:sz w:val="28"/>
        </w:rPr>
        <w:fldChar w:fldCharType="separate"/>
      </w:r>
      <w:r>
        <w:fldChar w:fldCharType="begin"/>
      </w:r>
      <w:r>
        <w:instrText xml:space="preserve"> HYPERLINK \l "_Toc86702050" </w:instrText>
      </w:r>
      <w:r>
        <w:fldChar w:fldCharType="separate"/>
      </w:r>
      <w:r>
        <w:fldChar w:fldCharType="end"/>
      </w:r>
    </w:p>
    <w:p>
      <w:pPr>
        <w:pStyle w:val="23"/>
        <w:tabs>
          <w:tab w:val="right" w:leader="dot" w:pos="9061"/>
        </w:tabs>
        <w:rPr>
          <w:rFonts w:eastAsiaTheme="minorEastAsia" w:cstheme="minorBidi"/>
          <w:b w:val="0"/>
          <w:bCs w:val="0"/>
          <w:caps w:val="0"/>
          <w:sz w:val="21"/>
          <w:szCs w:val="22"/>
        </w:rPr>
      </w:pPr>
    </w:p>
    <w:p>
      <w:pPr>
        <w:pStyle w:val="23"/>
        <w:tabs>
          <w:tab w:val="right" w:leader="dot" w:pos="9071"/>
        </w:tabs>
        <w:rPr>
          <w:rFonts w:ascii="仿宋" w:hAnsi="仿宋"/>
          <w:sz w:val="28"/>
          <w:szCs w:val="28"/>
        </w:rPr>
        <w:sectPr>
          <w:headerReference r:id="rId11" w:type="first"/>
          <w:footerReference r:id="rId13" w:type="first"/>
          <w:headerReference r:id="rId9" w:type="default"/>
          <w:footerReference r:id="rId12" w:type="default"/>
          <w:headerReference r:id="rId10" w:type="even"/>
          <w:pgSz w:w="11905" w:h="16838"/>
          <w:pgMar w:top="1417" w:right="1417" w:bottom="1417" w:left="1417" w:header="425" w:footer="992" w:gutter="0"/>
          <w:pgNumType w:start="1"/>
          <w:cols w:space="0" w:num="1"/>
          <w:docGrid w:type="lines" w:linePitch="332" w:charSpace="0"/>
        </w:sectPr>
      </w:pPr>
      <w:r>
        <w:rPr>
          <w:rFonts w:ascii="仿宋" w:hAnsi="仿宋" w:cs="宋体"/>
          <w:sz w:val="28"/>
        </w:rPr>
        <w:fldChar w:fldCharType="end"/>
      </w:r>
    </w:p>
    <w:p>
      <w:pPr>
        <w:pStyle w:val="3"/>
        <w:spacing w:line="240" w:lineRule="atLeast"/>
        <w:rPr>
          <w:rFonts w:ascii="仿宋" w:hAnsi="仿宋"/>
          <w:sz w:val="36"/>
          <w:szCs w:val="36"/>
        </w:rPr>
      </w:pPr>
      <w:bookmarkStart w:id="1" w:name="_Toc86702222"/>
      <w:bookmarkStart w:id="2" w:name="_Toc9671"/>
      <w:bookmarkStart w:id="3" w:name="_Toc86701884"/>
      <w:bookmarkStart w:id="4" w:name="_Toc86702051"/>
      <w:r>
        <w:rPr>
          <w:rFonts w:hint="eastAsia" w:ascii="仿宋" w:hAnsi="仿宋"/>
          <w:sz w:val="36"/>
          <w:szCs w:val="36"/>
        </w:rPr>
        <w:t>第一章  投标邀请</w:t>
      </w:r>
      <w:bookmarkEnd w:id="0"/>
      <w:bookmarkEnd w:id="1"/>
      <w:bookmarkEnd w:id="2"/>
      <w:bookmarkEnd w:id="3"/>
      <w:bookmarkEnd w:id="4"/>
    </w:p>
    <w:p>
      <w:pPr>
        <w:tabs>
          <w:tab w:val="left" w:pos="7665"/>
        </w:tabs>
        <w:spacing w:line="400" w:lineRule="exact"/>
        <w:ind w:firstLine="480" w:firstLineChars="200"/>
        <w:rPr>
          <w:rFonts w:ascii="仿宋" w:hAnsi="仿宋" w:cs="宋体"/>
        </w:rPr>
      </w:pPr>
      <w:r>
        <w:rPr>
          <w:rFonts w:hint="eastAsia" w:ascii="仿宋" w:hAnsi="仿宋" w:cs="仿宋"/>
          <w:u w:val="single"/>
        </w:rPr>
        <w:t>融汇项目管理股份有限公司</w:t>
      </w:r>
      <w:r>
        <w:rPr>
          <w:rFonts w:hint="eastAsia" w:ascii="仿宋" w:hAnsi="仿宋" w:cs="仿宋"/>
        </w:rPr>
        <w:t>受</w:t>
      </w:r>
      <w:r>
        <w:rPr>
          <w:rFonts w:hint="eastAsia" w:ascii="仿宋" w:hAnsi="仿宋" w:cs="仿宋"/>
          <w:u w:val="single"/>
        </w:rPr>
        <w:t>成都市第三人民医院</w:t>
      </w:r>
      <w:r>
        <w:rPr>
          <w:rFonts w:hint="eastAsia" w:ascii="仿宋" w:hAnsi="仿宋" w:cs="仿宋"/>
        </w:rPr>
        <w:t>委托，拟对</w:t>
      </w:r>
      <w:r>
        <w:rPr>
          <w:rFonts w:hint="eastAsia" w:ascii="仿宋" w:hAnsi="仿宋" w:cs="仿宋"/>
          <w:u w:val="single"/>
        </w:rPr>
        <w:t>成都市第三人民医院第二十三批采购项目</w:t>
      </w:r>
      <w:r>
        <w:rPr>
          <w:rFonts w:hint="eastAsia" w:ascii="仿宋" w:hAnsi="仿宋" w:cs="仿宋"/>
        </w:rPr>
        <w:t>进行国内公开招标，兹邀请符合本次招标要求的投标人参加投标。</w:t>
      </w:r>
    </w:p>
    <w:p>
      <w:pPr>
        <w:spacing w:after="166" w:afterLines="50" w:line="420" w:lineRule="exact"/>
        <w:ind w:firstLine="482" w:firstLineChars="200"/>
        <w:jc w:val="both"/>
        <w:rPr>
          <w:rFonts w:ascii="仿宋" w:hAnsi="仿宋"/>
          <w:b/>
        </w:rPr>
      </w:pPr>
      <w:r>
        <w:rPr>
          <w:rFonts w:hint="eastAsia" w:ascii="仿宋" w:hAnsi="仿宋"/>
          <w:b/>
        </w:rPr>
        <w:t>一、招标编号：510101202101853</w:t>
      </w:r>
    </w:p>
    <w:p>
      <w:pPr>
        <w:spacing w:after="166" w:afterLines="50" w:line="420" w:lineRule="exact"/>
        <w:ind w:firstLine="482" w:firstLineChars="200"/>
        <w:jc w:val="both"/>
        <w:rPr>
          <w:rFonts w:ascii="仿宋" w:hAnsi="仿宋"/>
          <w:b/>
        </w:rPr>
      </w:pPr>
      <w:r>
        <w:rPr>
          <w:rFonts w:hint="eastAsia" w:ascii="仿宋" w:hAnsi="仿宋"/>
          <w:b/>
        </w:rPr>
        <w:t>二、招标项目：成都市第三人民医院第二十三批采购项目</w:t>
      </w:r>
    </w:p>
    <w:p>
      <w:pPr>
        <w:spacing w:after="166" w:afterLines="50" w:line="420" w:lineRule="exact"/>
        <w:ind w:firstLine="482" w:firstLineChars="200"/>
        <w:jc w:val="both"/>
        <w:rPr>
          <w:rFonts w:ascii="仿宋" w:hAnsi="仿宋"/>
          <w:b/>
        </w:rPr>
      </w:pPr>
      <w:r>
        <w:rPr>
          <w:rFonts w:hint="eastAsia" w:ascii="仿宋" w:hAnsi="仿宋"/>
          <w:b/>
        </w:rPr>
        <w:t>三、资金来源：财政性资金</w:t>
      </w:r>
    </w:p>
    <w:p>
      <w:pPr>
        <w:ind w:firstLine="482" w:firstLineChars="200"/>
        <w:rPr>
          <w:rFonts w:ascii="仿宋" w:hAnsi="仿宋"/>
        </w:rPr>
      </w:pPr>
      <w:r>
        <w:rPr>
          <w:rFonts w:hint="eastAsia" w:ascii="仿宋" w:hAnsi="仿宋"/>
          <w:b/>
        </w:rPr>
        <w:t>四</w:t>
      </w:r>
      <w:r>
        <w:rPr>
          <w:rFonts w:hint="eastAsia" w:ascii="仿宋" w:hAnsi="仿宋"/>
          <w:b/>
          <w:bCs/>
        </w:rPr>
        <w:t>、</w:t>
      </w:r>
      <w:r>
        <w:rPr>
          <w:rFonts w:hint="eastAsia" w:ascii="仿宋" w:hAnsi="仿宋"/>
          <w:b/>
        </w:rPr>
        <w:t>招标项目简介：</w:t>
      </w:r>
    </w:p>
    <w:p>
      <w:pPr>
        <w:ind w:firstLine="480" w:firstLineChars="200"/>
      </w:pPr>
      <w:bookmarkStart w:id="5" w:name="PO_默认文件内容_14"/>
      <w:r>
        <w:rPr>
          <w:rFonts w:hint="eastAsia" w:ascii="仿宋" w:hAnsi="仿宋"/>
          <w:szCs w:val="28"/>
        </w:rPr>
        <w:t>本项目共8个</w:t>
      </w:r>
      <w:r>
        <w:rPr>
          <w:rFonts w:ascii="仿宋" w:hAnsi="仿宋"/>
          <w:szCs w:val="28"/>
        </w:rPr>
        <w:t>包，</w:t>
      </w:r>
      <w:r>
        <w:rPr>
          <w:rFonts w:hint="eastAsia" w:ascii="仿宋" w:hAnsi="仿宋"/>
          <w:szCs w:val="28"/>
        </w:rPr>
        <w:t>包1</w:t>
      </w:r>
      <w:r>
        <w:rPr>
          <w:rFonts w:ascii="仿宋" w:hAnsi="仿宋"/>
          <w:szCs w:val="28"/>
        </w:rPr>
        <w:t>采购</w:t>
      </w:r>
      <w:r>
        <w:rPr>
          <w:rFonts w:hint="eastAsia" w:ascii="仿宋" w:hAnsi="仿宋"/>
          <w:bCs/>
          <w:szCs w:val="32"/>
        </w:rPr>
        <w:t>重症监护信息化系统、包2呼吸专科大数据平台、包3医学图像处理软件、包4肺功能信息化系统、包5专科专病数据平台、包6心脏介入中心数字化管理系统、包7心脏核磁共振后处理系统、包8肥胖专病信息化系统</w:t>
      </w:r>
      <w:r>
        <w:rPr>
          <w:rFonts w:hint="eastAsia" w:ascii="仿宋" w:hAnsi="仿宋"/>
          <w:szCs w:val="28"/>
        </w:rPr>
        <w:t>（具体详见招标文件第六章）。</w:t>
      </w:r>
      <w:bookmarkEnd w:id="5"/>
    </w:p>
    <w:p>
      <w:pPr>
        <w:spacing w:after="166" w:afterLines="50" w:line="420" w:lineRule="exact"/>
        <w:ind w:firstLine="482" w:firstLineChars="200"/>
        <w:rPr>
          <w:rFonts w:ascii="仿宋" w:hAnsi="仿宋"/>
          <w:b/>
          <w:bCs/>
        </w:rPr>
      </w:pPr>
      <w:r>
        <w:rPr>
          <w:rFonts w:hint="eastAsia" w:ascii="仿宋" w:hAnsi="仿宋"/>
          <w:b/>
          <w:bCs/>
        </w:rPr>
        <w:t>五、供应商参加本次政府采购活动，应当在提交投标文件前具备下列条件：</w:t>
      </w:r>
    </w:p>
    <w:p>
      <w:pPr>
        <w:pStyle w:val="84"/>
        <w:spacing w:line="420" w:lineRule="exact"/>
        <w:ind w:firstLine="480"/>
        <w:rPr>
          <w:rFonts w:ascii="仿宋" w:hAnsi="仿宋" w:eastAsia="仿宋" w:cs="宋体"/>
          <w:sz w:val="24"/>
        </w:rPr>
      </w:pPr>
      <w:bookmarkStart w:id="6" w:name="PO_供应商资格条件_1"/>
      <w:r>
        <w:rPr>
          <w:rFonts w:ascii="仿宋" w:hAnsi="仿宋" w:eastAsia="仿宋" w:cs="宋体"/>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pStyle w:val="84"/>
        <w:spacing w:line="420" w:lineRule="exact"/>
        <w:ind w:firstLine="480"/>
        <w:rPr>
          <w:rFonts w:ascii="仿宋" w:hAnsi="仿宋" w:eastAsia="仿宋" w:cs="宋体"/>
          <w:sz w:val="24"/>
        </w:rPr>
      </w:pPr>
      <w:r>
        <w:rPr>
          <w:rFonts w:ascii="仿宋" w:hAnsi="仿宋" w:eastAsia="仿宋" w:cs="宋体"/>
          <w:sz w:val="24"/>
        </w:rPr>
        <w:t>2</w:t>
      </w:r>
      <w:r>
        <w:rPr>
          <w:rFonts w:hint="eastAsia" w:ascii="仿宋" w:hAnsi="仿宋" w:eastAsia="仿宋" w:cs="宋体"/>
          <w:sz w:val="24"/>
        </w:rPr>
        <w:t>.落实政府采购政策需满足的资格要求：无。</w:t>
      </w:r>
    </w:p>
    <w:p>
      <w:pPr>
        <w:pStyle w:val="84"/>
        <w:spacing w:line="420" w:lineRule="exact"/>
        <w:ind w:firstLine="480"/>
        <w:rPr>
          <w:rFonts w:ascii="仿宋" w:hAnsi="仿宋" w:eastAsia="仿宋" w:cs="宋体"/>
          <w:sz w:val="24"/>
        </w:rPr>
      </w:pPr>
      <w:r>
        <w:rPr>
          <w:rFonts w:hint="eastAsia" w:ascii="仿宋" w:hAnsi="仿宋" w:eastAsia="仿宋" w:cs="宋体"/>
          <w:sz w:val="24"/>
        </w:rPr>
        <w:t>3.本项目的特定资格要求：无。</w:t>
      </w:r>
    </w:p>
    <w:bookmarkEnd w:id="6"/>
    <w:p>
      <w:pPr>
        <w:pStyle w:val="84"/>
        <w:spacing w:line="440" w:lineRule="exact"/>
        <w:ind w:firstLine="602" w:firstLineChars="250"/>
        <w:rPr>
          <w:rFonts w:ascii="仿宋" w:hAnsi="仿宋" w:eastAsia="仿宋"/>
          <w:b/>
          <w:sz w:val="24"/>
        </w:rPr>
      </w:pPr>
      <w:r>
        <w:rPr>
          <w:rFonts w:hint="eastAsia" w:ascii="仿宋" w:hAnsi="仿宋" w:eastAsia="仿宋"/>
          <w:b/>
          <w:sz w:val="24"/>
        </w:rPr>
        <w:t>六、禁止参加本次采购活动的供应商</w:t>
      </w:r>
    </w:p>
    <w:p>
      <w:pPr>
        <w:spacing w:line="440" w:lineRule="exact"/>
        <w:ind w:firstLine="456" w:firstLineChars="200"/>
        <w:rPr>
          <w:rFonts w:ascii="仿宋" w:hAnsi="仿宋"/>
        </w:rPr>
      </w:pPr>
      <w:bookmarkStart w:id="7" w:name="PO_默认文件内容_7"/>
      <w:r>
        <w:rPr>
          <w:rFonts w:hint="eastAsia" w:ascii="仿宋" w:hAnsi="仿宋"/>
          <w:spacing w:val="-6"/>
        </w:rPr>
        <w:t>根据《关于在政府采购活动中查询及使用信用记录有关问题的通知》（财库〔2016〕125号）的要求，采购人/采购代理机构将通过“信用中国”网站（www.creditchina.gov.cn）、“中国政府采购网”网站（www.ccgp.gov.cn）等</w:t>
      </w:r>
      <w:r>
        <w:rPr>
          <w:rFonts w:hint="eastAsia" w:ascii="仿宋" w:hAnsi="仿宋"/>
        </w:rPr>
        <w:t>渠道查询供应商在投标截止之日前的信用记录并保存信用记录结果网页截图，拒绝列入</w:t>
      </w:r>
      <w:r>
        <w:rPr>
          <w:rFonts w:hint="eastAsia" w:ascii="仿宋" w:hAnsi="仿宋"/>
          <w:b/>
          <w:bCs/>
        </w:rPr>
        <w:t>失信被执行人名单、重大税收违法案件当事人名单、政府采购严重违法失信行为记录名单</w:t>
      </w:r>
      <w:r>
        <w:rPr>
          <w:rFonts w:hint="eastAsia" w:ascii="仿宋" w:hAnsi="仿宋"/>
        </w:rPr>
        <w:t>中的供应商参加本项目的采购活动（以联合体形式参加本项目采购活动，联合体成员存在不良信用记录的，视同联合体存在不良信用记录）。</w:t>
      </w:r>
    </w:p>
    <w:bookmarkEnd w:id="7"/>
    <w:p>
      <w:pPr>
        <w:spacing w:after="50" w:line="420" w:lineRule="exact"/>
        <w:ind w:firstLine="482" w:firstLineChars="200"/>
        <w:rPr>
          <w:rFonts w:ascii="仿宋" w:hAnsi="仿宋"/>
          <w:b/>
        </w:rPr>
      </w:pPr>
      <w:r>
        <w:rPr>
          <w:rFonts w:hint="eastAsia" w:ascii="仿宋" w:hAnsi="仿宋"/>
          <w:b/>
        </w:rPr>
        <w:t>七、招标文件获取：</w:t>
      </w:r>
    </w:p>
    <w:p>
      <w:pPr>
        <w:spacing w:after="50" w:line="420" w:lineRule="exact"/>
        <w:ind w:firstLine="480" w:firstLineChars="200"/>
        <w:rPr>
          <w:rFonts w:ascii="仿宋" w:hAnsi="仿宋"/>
        </w:rPr>
      </w:pPr>
      <w:r>
        <w:rPr>
          <w:rFonts w:hint="eastAsia" w:ascii="仿宋" w:hAnsi="仿宋"/>
        </w:rPr>
        <w:t>招标文件获取时间：20</w:t>
      </w:r>
      <w:r>
        <w:rPr>
          <w:rFonts w:hint="eastAsia" w:ascii="仿宋" w:hAnsi="仿宋"/>
          <w:lang w:val="en-US" w:eastAsia="zh-CN"/>
        </w:rPr>
        <w:t>21</w:t>
      </w:r>
      <w:r>
        <w:rPr>
          <w:rFonts w:hint="eastAsia" w:ascii="仿宋" w:hAnsi="仿宋"/>
        </w:rPr>
        <w:t>年</w:t>
      </w:r>
      <w:r>
        <w:rPr>
          <w:rFonts w:hint="eastAsia" w:ascii="仿宋" w:hAnsi="仿宋"/>
          <w:lang w:val="en-US" w:eastAsia="zh-CN"/>
        </w:rPr>
        <w:t>11</w:t>
      </w:r>
      <w:r>
        <w:rPr>
          <w:rFonts w:hint="eastAsia" w:ascii="仿宋" w:hAnsi="仿宋"/>
        </w:rPr>
        <w:t>月</w:t>
      </w:r>
      <w:r>
        <w:rPr>
          <w:rFonts w:hint="eastAsia" w:ascii="仿宋" w:hAnsi="仿宋"/>
          <w:lang w:val="en-US" w:eastAsia="zh-CN"/>
        </w:rPr>
        <w:t>22</w:t>
      </w:r>
      <w:r>
        <w:rPr>
          <w:rFonts w:hint="eastAsia" w:ascii="仿宋" w:hAnsi="仿宋"/>
        </w:rPr>
        <w:t>日00:00至20</w:t>
      </w:r>
      <w:r>
        <w:rPr>
          <w:rFonts w:hint="eastAsia" w:ascii="仿宋" w:hAnsi="仿宋"/>
          <w:lang w:val="en-US" w:eastAsia="zh-CN"/>
        </w:rPr>
        <w:t>21</w:t>
      </w:r>
      <w:r>
        <w:rPr>
          <w:rFonts w:hint="eastAsia" w:ascii="仿宋" w:hAnsi="仿宋"/>
        </w:rPr>
        <w:t>年</w:t>
      </w:r>
      <w:r>
        <w:rPr>
          <w:rFonts w:hint="eastAsia" w:ascii="仿宋" w:hAnsi="仿宋"/>
          <w:lang w:val="en-US" w:eastAsia="zh-CN"/>
        </w:rPr>
        <w:t>11</w:t>
      </w:r>
      <w:r>
        <w:rPr>
          <w:rFonts w:hint="eastAsia" w:ascii="仿宋" w:hAnsi="仿宋"/>
        </w:rPr>
        <w:t>月</w:t>
      </w:r>
      <w:r>
        <w:rPr>
          <w:rFonts w:hint="eastAsia" w:ascii="仿宋" w:hAnsi="仿宋"/>
          <w:lang w:val="en-US" w:eastAsia="zh-CN"/>
        </w:rPr>
        <w:t>26</w:t>
      </w:r>
      <w:r>
        <w:rPr>
          <w:rFonts w:hint="eastAsia" w:ascii="仿宋" w:hAnsi="仿宋"/>
        </w:rPr>
        <w:t>日23：59（北京时间）</w:t>
      </w:r>
    </w:p>
    <w:p>
      <w:pPr>
        <w:spacing w:after="50" w:line="420" w:lineRule="exact"/>
        <w:ind w:firstLine="480" w:firstLineChars="200"/>
        <w:rPr>
          <w:rFonts w:ascii="仿宋" w:hAnsi="仿宋"/>
        </w:rPr>
      </w:pPr>
      <w:r>
        <w:rPr>
          <w:rFonts w:hint="eastAsia" w:ascii="仿宋" w:hAnsi="仿宋"/>
        </w:rPr>
        <w:t>招标文件获取方式：投标人从“政府采购云平台（https://www.zcygov.cn）”获取采购文件</w:t>
      </w:r>
      <w:r>
        <w:fldChar w:fldCharType="begin"/>
      </w:r>
      <w:r>
        <w:instrText xml:space="preserve"> HYPERLINK "https://www.zcygov.cn）项目采购—获取采购文件—申请获取采购文件。_x0005_" </w:instrText>
      </w:r>
      <w:r>
        <w:fldChar w:fldCharType="separate"/>
      </w:r>
      <w:r>
        <w:rPr>
          <w:rFonts w:hint="eastAsia" w:ascii="仿宋" w:hAnsi="仿宋"/>
        </w:rPr>
        <w:t>。登录政府采购云平台—项目采购—获取采购文件—申请获取采购文件</w:t>
      </w:r>
      <w:r>
        <w:rPr>
          <w:rFonts w:hint="eastAsia" w:ascii="仿宋" w:hAnsi="仿宋"/>
        </w:rPr>
        <w:fldChar w:fldCharType="end"/>
      </w:r>
      <w:r>
        <w:rPr>
          <w:rFonts w:hint="eastAsia" w:ascii="仿宋" w:hAnsi="仿宋"/>
        </w:rPr>
        <w:t>。</w:t>
      </w:r>
    </w:p>
    <w:p>
      <w:pPr>
        <w:spacing w:after="50" w:line="420" w:lineRule="exact"/>
        <w:ind w:firstLine="480" w:firstLineChars="200"/>
        <w:rPr>
          <w:rFonts w:ascii="仿宋" w:hAnsi="仿宋"/>
        </w:rPr>
      </w:pPr>
      <w:r>
        <w:rPr>
          <w:rFonts w:hint="eastAsia" w:ascii="仿宋" w:hAnsi="仿宋"/>
        </w:rPr>
        <w:t>提示：</w:t>
      </w:r>
    </w:p>
    <w:p>
      <w:pPr>
        <w:spacing w:after="50" w:line="420" w:lineRule="exact"/>
        <w:ind w:firstLine="480" w:firstLineChars="200"/>
        <w:rPr>
          <w:rFonts w:ascii="仿宋" w:hAnsi="仿宋"/>
        </w:rPr>
      </w:pPr>
      <w:r>
        <w:rPr>
          <w:rFonts w:hint="eastAsia" w:ascii="仿宋" w:hAnsi="仿宋"/>
        </w:rPr>
        <w:t>（1）本项目招标文件免费获取。</w:t>
      </w:r>
    </w:p>
    <w:p>
      <w:pPr>
        <w:spacing w:after="50" w:line="420" w:lineRule="exact"/>
        <w:ind w:firstLine="480" w:firstLineChars="200"/>
        <w:rPr>
          <w:rFonts w:ascii="仿宋" w:hAnsi="仿宋"/>
        </w:rPr>
      </w:pPr>
      <w:r>
        <w:rPr>
          <w:rFonts w:hint="eastAsia" w:ascii="仿宋" w:hAnsi="仿宋"/>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rPr>
      </w:pPr>
      <w:r>
        <w:rPr>
          <w:rFonts w:hint="eastAsia" w:ascii="仿宋" w:hAnsi="仿宋"/>
        </w:rPr>
        <w:t>（3）本项目为电子招标投标项目，投标人参与本项目全过程中凡涉及系统操作请详见</w:t>
      </w:r>
      <w:r>
        <w:rPr>
          <w:rFonts w:hint="eastAsia" w:ascii="仿宋" w:hAnsi="仿宋"/>
          <w:b/>
          <w:bCs/>
        </w:rPr>
        <w:t>《政府采购项目电子交易管理操作指南》</w:t>
      </w:r>
      <w:r>
        <w:rPr>
          <w:rFonts w:hint="eastAsia" w:ascii="仿宋" w:hAnsi="仿宋"/>
        </w:rPr>
        <w:t>。（操作指南以政府采购云平台网站发布为准，获取方式详见：</w:t>
      </w:r>
      <w:r>
        <w:rPr>
          <w:rFonts w:hint="eastAsia" w:ascii="仿宋" w:hAnsi="仿宋"/>
          <w:b/>
          <w:bCs/>
        </w:rPr>
        <w:t>招标文件附件四-政府采购云平台使用介绍</w:t>
      </w:r>
      <w:r>
        <w:rPr>
          <w:rFonts w:hint="eastAsia" w:ascii="仿宋" w:hAnsi="仿宋"/>
        </w:rPr>
        <w:t>）</w:t>
      </w:r>
    </w:p>
    <w:p>
      <w:pPr>
        <w:spacing w:after="50" w:line="420" w:lineRule="exact"/>
        <w:ind w:firstLine="480" w:firstLineChars="200"/>
        <w:rPr>
          <w:rFonts w:ascii="仿宋" w:hAnsi="仿宋"/>
        </w:rPr>
      </w:pPr>
      <w:r>
        <w:rPr>
          <w:rFonts w:hint="eastAsia" w:ascii="仿宋" w:hAnsi="仿宋"/>
        </w:rPr>
        <w:t>（4）政府采购云平台投标人注册地址：</w:t>
      </w:r>
    </w:p>
    <w:p>
      <w:pPr>
        <w:spacing w:after="50" w:line="420" w:lineRule="exact"/>
        <w:ind w:firstLine="480" w:firstLineChars="200"/>
        <w:rPr>
          <w:rFonts w:ascii="仿宋" w:hAnsi="仿宋"/>
        </w:rPr>
      </w:pPr>
      <w:r>
        <w:rPr>
          <w:rFonts w:hint="eastAsia" w:ascii="仿宋" w:hAnsi="仿宋"/>
        </w:rPr>
        <w:t>https://middle.zcygov.cn/v-settle-front/registry</w:t>
      </w:r>
    </w:p>
    <w:p>
      <w:pPr>
        <w:spacing w:after="166" w:afterLines="50" w:line="420" w:lineRule="exact"/>
        <w:ind w:firstLine="482" w:firstLineChars="200"/>
        <w:rPr>
          <w:rFonts w:ascii="仿宋" w:hAnsi="仿宋"/>
          <w:b/>
        </w:rPr>
      </w:pPr>
      <w:r>
        <w:rPr>
          <w:rFonts w:hint="eastAsia" w:ascii="仿宋" w:hAnsi="仿宋"/>
          <w:b/>
          <w:szCs w:val="28"/>
        </w:rPr>
        <w:t>八、</w:t>
      </w:r>
      <w:r>
        <w:rPr>
          <w:rFonts w:hint="eastAsia" w:ascii="仿宋" w:hAnsi="仿宋"/>
          <w:b/>
        </w:rPr>
        <w:t>投标截止时间和开标时间：</w:t>
      </w:r>
      <w:r>
        <w:rPr>
          <w:rFonts w:hint="eastAsia" w:ascii="仿宋" w:hAnsi="仿宋"/>
          <w:bCs/>
        </w:rPr>
        <w:t>20</w:t>
      </w:r>
      <w:r>
        <w:rPr>
          <w:rFonts w:hint="eastAsia" w:ascii="仿宋" w:hAnsi="仿宋"/>
          <w:lang w:val="en-US" w:eastAsia="zh-CN"/>
        </w:rPr>
        <w:t>21</w:t>
      </w:r>
      <w:r>
        <w:rPr>
          <w:rFonts w:hint="eastAsia" w:ascii="仿宋" w:hAnsi="仿宋"/>
        </w:rPr>
        <w:t>年</w:t>
      </w:r>
      <w:r>
        <w:rPr>
          <w:rFonts w:hint="eastAsia" w:ascii="仿宋" w:hAnsi="仿宋"/>
          <w:lang w:val="en-US" w:eastAsia="zh-CN"/>
        </w:rPr>
        <w:t>12</w:t>
      </w:r>
      <w:r>
        <w:rPr>
          <w:rFonts w:hint="eastAsia" w:ascii="仿宋" w:hAnsi="仿宋"/>
        </w:rPr>
        <w:t>月</w:t>
      </w:r>
      <w:r>
        <w:rPr>
          <w:rFonts w:hint="eastAsia" w:ascii="仿宋" w:hAnsi="仿宋"/>
          <w:lang w:val="en-US" w:eastAsia="zh-CN"/>
        </w:rPr>
        <w:t>13</w:t>
      </w:r>
      <w:r>
        <w:rPr>
          <w:rFonts w:hint="eastAsia" w:ascii="仿宋" w:hAnsi="仿宋"/>
        </w:rPr>
        <w:t>日</w:t>
      </w:r>
      <w:r>
        <w:rPr>
          <w:rFonts w:hint="eastAsia" w:ascii="仿宋" w:hAnsi="仿宋"/>
          <w:lang w:val="en-US" w:eastAsia="zh-CN"/>
        </w:rPr>
        <w:t>10</w:t>
      </w:r>
      <w:r>
        <w:rPr>
          <w:rFonts w:hint="eastAsia" w:ascii="仿宋" w:hAnsi="仿宋"/>
        </w:rPr>
        <w:t>:</w:t>
      </w:r>
      <w:r>
        <w:rPr>
          <w:rFonts w:hint="eastAsia" w:ascii="仿宋" w:hAnsi="仿宋"/>
          <w:lang w:val="en-US" w:eastAsia="zh-CN"/>
        </w:rPr>
        <w:t>00</w:t>
      </w:r>
      <w:r>
        <w:rPr>
          <w:rFonts w:hint="eastAsia" w:ascii="仿宋" w:hAnsi="仿宋"/>
          <w:szCs w:val="28"/>
        </w:rPr>
        <w:t>（北京时间）。</w:t>
      </w:r>
    </w:p>
    <w:p>
      <w:pPr>
        <w:pStyle w:val="14"/>
        <w:spacing w:after="166" w:afterLines="50" w:line="420" w:lineRule="exact"/>
        <w:ind w:left="0" w:leftChars="0" w:firstLine="480" w:firstLineChars="200"/>
        <w:rPr>
          <w:rFonts w:ascii="仿宋" w:hAnsi="仿宋"/>
          <w:szCs w:val="28"/>
        </w:rPr>
      </w:pPr>
      <w:r>
        <w:rPr>
          <w:rFonts w:hint="eastAsia" w:ascii="仿宋" w:hAnsi="仿宋"/>
          <w:szCs w:val="28"/>
        </w:rPr>
        <w:t>投标截止时间前，投标人应将加密的电子投标文件递交至“政府采购云平台”对应项目（包件）。</w:t>
      </w:r>
    </w:p>
    <w:p>
      <w:pPr>
        <w:spacing w:after="50" w:line="420" w:lineRule="exact"/>
        <w:ind w:firstLine="489" w:firstLineChars="203"/>
        <w:rPr>
          <w:rFonts w:ascii="仿宋" w:hAnsi="仿宋"/>
          <w:b/>
          <w:szCs w:val="28"/>
        </w:rPr>
      </w:pPr>
      <w:r>
        <w:rPr>
          <w:rFonts w:hint="eastAsia" w:ascii="仿宋" w:hAnsi="仿宋"/>
          <w:b/>
          <w:szCs w:val="28"/>
        </w:rPr>
        <w:t>九、开标方式：</w:t>
      </w:r>
    </w:p>
    <w:p>
      <w:pPr>
        <w:spacing w:after="50" w:line="420" w:lineRule="exact"/>
        <w:ind w:firstLine="487" w:firstLineChars="203"/>
        <w:rPr>
          <w:rFonts w:ascii="仿宋" w:hAnsi="仿宋"/>
          <w:szCs w:val="28"/>
        </w:rPr>
      </w:pPr>
      <w:bookmarkStart w:id="8" w:name="PO_默认文件内容_13"/>
      <w:r>
        <w:rPr>
          <w:rFonts w:hint="eastAsia" w:ascii="仿宋" w:hAnsi="仿宋"/>
          <w:szCs w:val="28"/>
        </w:rPr>
        <w:t>（1）</w:t>
      </w:r>
      <w:r>
        <w:rPr>
          <w:rFonts w:hint="eastAsia" w:ascii="仿宋" w:hAnsi="仿宋"/>
        </w:rPr>
        <w:t>本项目采用远程开标</w:t>
      </w:r>
      <w:r>
        <w:rPr>
          <w:rFonts w:hint="eastAsia" w:ascii="仿宋" w:hAnsi="仿宋"/>
          <w:szCs w:val="28"/>
        </w:rPr>
        <w:t>。</w:t>
      </w:r>
    </w:p>
    <w:p>
      <w:pPr>
        <w:spacing w:after="50" w:line="420" w:lineRule="exact"/>
        <w:ind w:firstLine="487" w:firstLineChars="203"/>
        <w:rPr>
          <w:rFonts w:ascii="仿宋" w:hAnsi="仿宋"/>
          <w:szCs w:val="28"/>
        </w:rPr>
      </w:pPr>
      <w:r>
        <w:rPr>
          <w:rFonts w:hint="eastAsia" w:ascii="仿宋" w:hAnsi="仿宋"/>
          <w:szCs w:val="28"/>
        </w:rPr>
        <w:t>（2）开标地点：</w:t>
      </w:r>
      <w:r>
        <w:rPr>
          <w:rFonts w:hint="eastAsia" w:ascii="仿宋" w:hAnsi="仿宋"/>
        </w:rPr>
        <w:t>政采云远程开标大厅</w:t>
      </w:r>
      <w:r>
        <w:rPr>
          <w:rFonts w:hint="eastAsia" w:ascii="仿宋" w:hAnsi="仿宋"/>
          <w:szCs w:val="28"/>
        </w:rPr>
        <w:t>。</w:t>
      </w:r>
    </w:p>
    <w:p>
      <w:pPr>
        <w:spacing w:after="50" w:line="420" w:lineRule="exact"/>
        <w:ind w:firstLine="487" w:firstLineChars="203"/>
        <w:rPr>
          <w:rFonts w:ascii="仿宋" w:hAnsi="仿宋"/>
          <w:szCs w:val="28"/>
        </w:rPr>
      </w:pPr>
      <w:r>
        <w:rPr>
          <w:rFonts w:hint="eastAsia" w:ascii="仿宋" w:hAnsi="仿宋"/>
          <w:szCs w:val="28"/>
        </w:rPr>
        <w:t>（3）本项目只接受投标人加密并递交至“政府采购云平台”的投标文件。</w:t>
      </w:r>
    </w:p>
    <w:p>
      <w:pPr>
        <w:pStyle w:val="84"/>
        <w:spacing w:line="420" w:lineRule="exact"/>
        <w:ind w:firstLine="482"/>
        <w:rPr>
          <w:rFonts w:ascii="仿宋" w:hAnsi="仿宋" w:eastAsia="仿宋"/>
          <w:sz w:val="24"/>
        </w:rPr>
      </w:pPr>
      <w:r>
        <w:rPr>
          <w:rFonts w:hint="eastAsia" w:ascii="仿宋" w:hAnsi="仿宋" w:eastAsia="仿宋"/>
          <w:b/>
          <w:sz w:val="24"/>
        </w:rPr>
        <w:t>十、</w:t>
      </w:r>
      <w:r>
        <w:rPr>
          <w:rFonts w:hint="eastAsia" w:ascii="仿宋" w:hAnsi="仿宋" w:eastAsia="仿宋"/>
          <w:sz w:val="24"/>
        </w:rPr>
        <w:t>本投标邀请在四川政府采购网上以公告形式发布。</w:t>
      </w:r>
      <w:bookmarkEnd w:id="8"/>
    </w:p>
    <w:p>
      <w:pPr>
        <w:pStyle w:val="84"/>
        <w:spacing w:line="420" w:lineRule="exact"/>
        <w:ind w:firstLine="482"/>
        <w:rPr>
          <w:rFonts w:ascii="仿宋" w:hAnsi="仿宋" w:eastAsia="仿宋"/>
          <w:b/>
          <w:sz w:val="24"/>
        </w:rPr>
      </w:pPr>
      <w:r>
        <w:rPr>
          <w:rFonts w:hint="eastAsia" w:ascii="仿宋" w:hAnsi="仿宋" w:eastAsia="仿宋"/>
          <w:b/>
          <w:sz w:val="24"/>
        </w:rPr>
        <w:t>十一、供应商信用融资：</w:t>
      </w:r>
    </w:p>
    <w:p>
      <w:pPr>
        <w:pStyle w:val="84"/>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84"/>
        <w:spacing w:line="420" w:lineRule="exact"/>
        <w:ind w:firstLine="480"/>
        <w:rPr>
          <w:rFonts w:ascii="仿宋" w:hAnsi="仿宋" w:eastAsia="仿宋"/>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84"/>
        <w:spacing w:line="420" w:lineRule="exact"/>
        <w:ind w:firstLine="482"/>
        <w:rPr>
          <w:rFonts w:ascii="仿宋" w:hAnsi="仿宋" w:eastAsia="仿宋"/>
          <w:b/>
          <w:sz w:val="24"/>
        </w:rPr>
      </w:pPr>
      <w:r>
        <w:rPr>
          <w:rFonts w:hint="eastAsia" w:ascii="仿宋" w:hAnsi="仿宋" w:eastAsia="仿宋"/>
          <w:b/>
          <w:sz w:val="24"/>
        </w:rPr>
        <w:t>十二、联系方式</w:t>
      </w:r>
    </w:p>
    <w:p>
      <w:pPr>
        <w:ind w:right="480" w:rightChars="200" w:firstLine="482" w:firstLineChars="200"/>
        <w:rPr>
          <w:rFonts w:ascii="仿宋" w:hAnsi="仿宋" w:cs="仿宋"/>
          <w:b/>
          <w:bCs/>
        </w:rPr>
      </w:pPr>
      <w:bookmarkStart w:id="9" w:name="_Toc12497"/>
      <w:bookmarkStart w:id="10" w:name="_Toc213397009"/>
      <w:bookmarkStart w:id="11" w:name="_Toc213396945"/>
      <w:bookmarkStart w:id="12" w:name="_Toc213396759"/>
      <w:bookmarkStart w:id="13" w:name="_Toc213496267"/>
      <w:bookmarkStart w:id="14" w:name="_Toc217446031"/>
      <w:r>
        <w:rPr>
          <w:rFonts w:hint="eastAsia" w:ascii="仿宋" w:hAnsi="仿宋" w:cs="仿宋"/>
          <w:b/>
          <w:bCs/>
        </w:rPr>
        <w:t>招标人：成都市第三人民医院</w:t>
      </w:r>
    </w:p>
    <w:p>
      <w:pPr>
        <w:ind w:right="480" w:rightChars="200" w:firstLine="480" w:firstLineChars="200"/>
        <w:rPr>
          <w:rFonts w:ascii="仿宋" w:hAnsi="仿宋" w:cs="仿宋"/>
        </w:rPr>
      </w:pPr>
      <w:r>
        <w:rPr>
          <w:rFonts w:hint="eastAsia" w:ascii="仿宋" w:hAnsi="仿宋" w:cs="仿宋"/>
        </w:rPr>
        <w:t>地  址：</w:t>
      </w:r>
      <w:r>
        <w:rPr>
          <w:rFonts w:hint="eastAsia" w:ascii="仿宋" w:hAnsi="仿宋"/>
        </w:rPr>
        <w:t>成都市青龙街82号</w:t>
      </w:r>
    </w:p>
    <w:p>
      <w:pPr>
        <w:ind w:right="480" w:rightChars="200" w:firstLine="480" w:firstLineChars="200"/>
        <w:rPr>
          <w:rFonts w:ascii="仿宋" w:hAnsi="仿宋" w:cs="仿宋"/>
        </w:rPr>
      </w:pPr>
      <w:r>
        <w:rPr>
          <w:rFonts w:hint="eastAsia" w:ascii="仿宋" w:hAnsi="仿宋" w:cs="仿宋"/>
        </w:rPr>
        <w:t>联系人：黄老师</w:t>
      </w:r>
    </w:p>
    <w:p>
      <w:pPr>
        <w:ind w:right="480" w:rightChars="200" w:firstLine="480" w:firstLineChars="200"/>
        <w:rPr>
          <w:rFonts w:ascii="仿宋" w:hAnsi="仿宋" w:cs="仿宋"/>
        </w:rPr>
      </w:pPr>
      <w:r>
        <w:rPr>
          <w:rFonts w:hint="eastAsia" w:ascii="仿宋" w:hAnsi="仿宋" w:cs="仿宋"/>
        </w:rPr>
        <w:t>电  话：028-61318443</w:t>
      </w:r>
    </w:p>
    <w:p>
      <w:pPr>
        <w:pStyle w:val="84"/>
        <w:ind w:firstLine="422"/>
        <w:rPr>
          <w:rFonts w:ascii="仿宋" w:hAnsi="仿宋" w:eastAsia="仿宋"/>
          <w:b/>
        </w:rPr>
      </w:pPr>
      <w:r>
        <w:rPr>
          <w:rFonts w:hint="eastAsia" w:ascii="仿宋" w:hAnsi="仿宋" w:eastAsia="仿宋"/>
          <w:b/>
        </w:rPr>
        <w:t>招标代理机构：</w:t>
      </w:r>
      <w:r>
        <w:rPr>
          <w:rFonts w:hint="eastAsia" w:ascii="仿宋" w:hAnsi="仿宋" w:eastAsia="仿宋" w:cs="仿宋"/>
          <w:b/>
          <w:bCs/>
        </w:rPr>
        <w:t>融汇项目管理股份有限公司</w:t>
      </w:r>
    </w:p>
    <w:p>
      <w:pPr>
        <w:pStyle w:val="84"/>
        <w:ind w:firstLine="480"/>
        <w:rPr>
          <w:rFonts w:ascii="仿宋" w:hAnsi="仿宋" w:eastAsia="仿宋"/>
          <w:sz w:val="24"/>
        </w:rPr>
      </w:pPr>
      <w:r>
        <w:rPr>
          <w:rFonts w:hint="eastAsia" w:ascii="仿宋" w:hAnsi="仿宋" w:eastAsia="仿宋"/>
          <w:sz w:val="24"/>
        </w:rPr>
        <w:t>地    址：成都市锦江区东大路318号2栋15层1号（环球都汇广场）。</w:t>
      </w:r>
    </w:p>
    <w:p>
      <w:pPr>
        <w:pStyle w:val="84"/>
        <w:ind w:firstLine="480"/>
        <w:rPr>
          <w:rFonts w:ascii="仿宋" w:hAnsi="仿宋" w:eastAsia="仿宋"/>
          <w:sz w:val="24"/>
        </w:rPr>
      </w:pPr>
      <w:r>
        <w:rPr>
          <w:rFonts w:hint="eastAsia" w:ascii="仿宋" w:hAnsi="仿宋" w:eastAsia="仿宋"/>
          <w:sz w:val="24"/>
        </w:rPr>
        <w:t>联 系 人：高女士</w:t>
      </w:r>
    </w:p>
    <w:p>
      <w:pPr>
        <w:pStyle w:val="84"/>
        <w:ind w:firstLine="480"/>
        <w:rPr>
          <w:rFonts w:ascii="仿宋" w:hAnsi="仿宋" w:eastAsia="仿宋"/>
          <w:sz w:val="24"/>
        </w:rPr>
      </w:pPr>
      <w:r>
        <w:rPr>
          <w:rFonts w:hint="eastAsia" w:ascii="仿宋" w:hAnsi="仿宋" w:eastAsia="仿宋"/>
          <w:sz w:val="24"/>
        </w:rPr>
        <w:t>联系电话：</w:t>
      </w:r>
      <w:r>
        <w:rPr>
          <w:rFonts w:hint="eastAsia" w:ascii="仿宋" w:hAnsi="仿宋" w:eastAsia="仿宋"/>
          <w:sz w:val="24"/>
          <w:lang w:val="zh-CN"/>
        </w:rPr>
        <w:t>18010652859</w:t>
      </w:r>
    </w:p>
    <w:p>
      <w:pPr>
        <w:pStyle w:val="30"/>
        <w:spacing w:after="50" w:line="420" w:lineRule="exact"/>
        <w:rPr>
          <w:rFonts w:ascii="仿宋" w:hAnsi="仿宋"/>
          <w:sz w:val="36"/>
          <w:szCs w:val="36"/>
        </w:rPr>
        <w:sectPr>
          <w:pgSz w:w="11905" w:h="16838"/>
          <w:pgMar w:top="1417" w:right="1417" w:bottom="1417" w:left="1417" w:header="425" w:footer="992" w:gutter="0"/>
          <w:cols w:space="0" w:num="1"/>
          <w:docGrid w:type="lines" w:linePitch="332" w:charSpace="0"/>
        </w:sectPr>
      </w:pPr>
    </w:p>
    <w:p>
      <w:pPr>
        <w:pStyle w:val="3"/>
        <w:rPr>
          <w:rFonts w:ascii="仿宋" w:hAnsi="仿宋"/>
          <w:sz w:val="36"/>
          <w:szCs w:val="36"/>
        </w:rPr>
      </w:pPr>
      <w:bookmarkStart w:id="15" w:name="_Toc11431"/>
      <w:bookmarkStart w:id="16" w:name="_Toc86701885"/>
      <w:bookmarkStart w:id="17" w:name="_Toc86702052"/>
      <w:bookmarkStart w:id="18" w:name="_Toc86702223"/>
      <w:r>
        <w:rPr>
          <w:rFonts w:hint="eastAsia" w:ascii="仿宋" w:hAnsi="仿宋"/>
          <w:sz w:val="36"/>
          <w:szCs w:val="36"/>
        </w:rPr>
        <w:t>第二章  投标人须知</w:t>
      </w:r>
      <w:bookmarkEnd w:id="9"/>
      <w:bookmarkEnd w:id="15"/>
      <w:bookmarkEnd w:id="16"/>
      <w:bookmarkEnd w:id="17"/>
      <w:bookmarkEnd w:id="18"/>
    </w:p>
    <w:p>
      <w:pPr>
        <w:pStyle w:val="4"/>
        <w:spacing w:line="240" w:lineRule="atLeast"/>
        <w:jc w:val="center"/>
        <w:rPr>
          <w:rFonts w:ascii="仿宋" w:hAnsi="仿宋"/>
        </w:rPr>
      </w:pPr>
      <w:bookmarkStart w:id="19" w:name="_Toc86701886"/>
      <w:r>
        <w:rPr>
          <w:rFonts w:hint="eastAsia" w:ascii="仿宋" w:hAnsi="仿宋"/>
        </w:rPr>
        <w:t>一、投标人须知附表</w:t>
      </w:r>
      <w:bookmarkEnd w:id="19"/>
    </w:p>
    <w:bookmarkEnd w:id="10"/>
    <w:bookmarkEnd w:id="11"/>
    <w:bookmarkEnd w:id="12"/>
    <w:bookmarkEnd w:id="13"/>
    <w:bookmarkEnd w:id="14"/>
    <w:tbl>
      <w:tblPr>
        <w:tblStyle w:val="35"/>
        <w:tblW w:w="5095" w:type="pct"/>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0" w:type="dxa"/>
          <w:bottom w:w="0" w:type="dxa"/>
          <w:right w:w="0" w:type="dxa"/>
        </w:tblCellMar>
      </w:tblPr>
      <w:tblGrid>
        <w:gridCol w:w="585"/>
        <w:gridCol w:w="2372"/>
        <w:gridCol w:w="633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315" w:type="pct"/>
            <w:vAlign w:val="center"/>
          </w:tcPr>
          <w:p>
            <w:pPr>
              <w:pStyle w:val="83"/>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序号</w:t>
            </w:r>
          </w:p>
        </w:tc>
        <w:tc>
          <w:tcPr>
            <w:tcW w:w="1276" w:type="pct"/>
            <w:vAlign w:val="center"/>
          </w:tcPr>
          <w:p>
            <w:pPr>
              <w:pStyle w:val="83"/>
              <w:snapToGrid w:val="0"/>
              <w:spacing w:after="0" w:line="360" w:lineRule="auto"/>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条款名称</w:t>
            </w:r>
          </w:p>
        </w:tc>
        <w:tc>
          <w:tcPr>
            <w:tcW w:w="3407" w:type="pct"/>
            <w:vAlign w:val="center"/>
          </w:tcPr>
          <w:p>
            <w:pPr>
              <w:pStyle w:val="83"/>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Merge w:val="restart"/>
            <w:vAlign w:val="center"/>
          </w:tcPr>
          <w:p>
            <w:pPr>
              <w:pStyle w:val="83"/>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1</w:t>
            </w:r>
          </w:p>
        </w:tc>
        <w:tc>
          <w:tcPr>
            <w:tcW w:w="1276" w:type="pct"/>
            <w:tcBorders>
              <w:bottom w:val="single" w:color="auto" w:sz="4" w:space="0"/>
            </w:tcBorders>
            <w:vAlign w:val="center"/>
          </w:tcPr>
          <w:p>
            <w:pPr>
              <w:pStyle w:val="83"/>
              <w:snapToGrid w:val="0"/>
              <w:spacing w:after="0" w:line="360" w:lineRule="auto"/>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采购预算</w:t>
            </w:r>
          </w:p>
          <w:p>
            <w:pPr>
              <w:pStyle w:val="83"/>
              <w:snapToGrid w:val="0"/>
              <w:spacing w:after="0" w:line="360" w:lineRule="auto"/>
              <w:ind w:left="38"/>
              <w:jc w:val="center"/>
              <w:rPr>
                <w:rFonts w:ascii="仿宋" w:hAnsi="仿宋" w:eastAsia="仿宋" w:cs="Times New Roman"/>
                <w:kern w:val="2"/>
                <w:sz w:val="21"/>
                <w:szCs w:val="21"/>
              </w:rPr>
            </w:pPr>
            <w:r>
              <w:rPr>
                <w:rFonts w:hint="eastAsia" w:ascii="仿宋" w:hAnsi="仿宋" w:eastAsia="仿宋" w:cs="黑体"/>
                <w:b/>
                <w:bCs/>
                <w:sz w:val="22"/>
                <w:szCs w:val="22"/>
              </w:rPr>
              <w:t>（实质性要求）</w:t>
            </w:r>
          </w:p>
        </w:tc>
        <w:tc>
          <w:tcPr>
            <w:tcW w:w="3407" w:type="pct"/>
            <w:tcBorders>
              <w:bottom w:val="single" w:color="auto" w:sz="4" w:space="0"/>
            </w:tcBorders>
          </w:tcPr>
          <w:p>
            <w:pPr>
              <w:widowControl/>
              <w:adjustRightInd w:val="0"/>
              <w:snapToGrid w:val="0"/>
              <w:rPr>
                <w:rFonts w:ascii="仿宋" w:hAnsi="仿宋" w:cs="仿宋"/>
                <w:kern w:val="0"/>
                <w:sz w:val="21"/>
                <w:szCs w:val="21"/>
              </w:rPr>
            </w:pPr>
            <w:bookmarkStart w:id="20" w:name="PO_预算分包信息_1"/>
            <w:r>
              <w:rPr>
                <w:rFonts w:ascii="仿宋" w:hAnsi="仿宋"/>
                <w:kern w:val="0"/>
                <w:sz w:val="21"/>
                <w:szCs w:val="21"/>
              </w:rPr>
              <w:t>预算金</w:t>
            </w:r>
            <w:r>
              <w:rPr>
                <w:rFonts w:hint="eastAsia" w:ascii="仿宋" w:hAnsi="仿宋" w:cs="仿宋"/>
                <w:kern w:val="0"/>
                <w:sz w:val="21"/>
                <w:szCs w:val="21"/>
              </w:rPr>
              <w:t>额：</w:t>
            </w:r>
            <w:bookmarkEnd w:id="20"/>
          </w:p>
          <w:p>
            <w:pPr>
              <w:widowControl/>
              <w:adjustRightInd w:val="0"/>
              <w:snapToGrid w:val="0"/>
              <w:rPr>
                <w:rFonts w:ascii="仿宋" w:hAnsi="仿宋" w:cs="仿宋"/>
                <w:kern w:val="0"/>
                <w:sz w:val="21"/>
                <w:szCs w:val="21"/>
              </w:rPr>
            </w:pPr>
            <w:r>
              <w:rPr>
                <w:rFonts w:hint="eastAsia" w:ascii="仿宋" w:hAnsi="仿宋" w:cs="仿宋"/>
                <w:kern w:val="0"/>
                <w:sz w:val="21"/>
                <w:szCs w:val="21"/>
              </w:rPr>
              <w:t>包1：181.04万元</w:t>
            </w:r>
          </w:p>
          <w:p>
            <w:pPr>
              <w:widowControl/>
              <w:adjustRightInd w:val="0"/>
              <w:snapToGrid w:val="0"/>
              <w:rPr>
                <w:rFonts w:ascii="仿宋" w:hAnsi="仿宋" w:cs="仿宋"/>
                <w:kern w:val="0"/>
                <w:sz w:val="21"/>
                <w:szCs w:val="21"/>
              </w:rPr>
            </w:pPr>
            <w:r>
              <w:rPr>
                <w:rFonts w:hint="eastAsia" w:ascii="仿宋" w:hAnsi="仿宋" w:cs="仿宋"/>
                <w:kern w:val="0"/>
                <w:sz w:val="21"/>
                <w:szCs w:val="21"/>
              </w:rPr>
              <w:t>包2：193.50万元</w:t>
            </w:r>
          </w:p>
          <w:p>
            <w:pPr>
              <w:widowControl/>
              <w:adjustRightInd w:val="0"/>
              <w:snapToGrid w:val="0"/>
              <w:rPr>
                <w:rFonts w:ascii="仿宋" w:hAnsi="仿宋" w:cs="仿宋"/>
                <w:kern w:val="0"/>
                <w:sz w:val="21"/>
                <w:szCs w:val="21"/>
              </w:rPr>
            </w:pPr>
            <w:r>
              <w:rPr>
                <w:rFonts w:hint="eastAsia" w:ascii="仿宋" w:hAnsi="仿宋" w:cs="仿宋"/>
                <w:kern w:val="0"/>
                <w:sz w:val="21"/>
                <w:szCs w:val="21"/>
              </w:rPr>
              <w:t>包3：84.67万元</w:t>
            </w:r>
          </w:p>
          <w:p>
            <w:pPr>
              <w:widowControl/>
              <w:adjustRightInd w:val="0"/>
              <w:snapToGrid w:val="0"/>
              <w:rPr>
                <w:rFonts w:ascii="仿宋" w:hAnsi="仿宋" w:cs="仿宋"/>
                <w:kern w:val="0"/>
                <w:sz w:val="21"/>
                <w:szCs w:val="21"/>
              </w:rPr>
            </w:pPr>
            <w:r>
              <w:rPr>
                <w:rFonts w:hint="eastAsia" w:ascii="仿宋" w:hAnsi="仿宋" w:cs="仿宋"/>
                <w:kern w:val="0"/>
                <w:sz w:val="21"/>
                <w:szCs w:val="21"/>
              </w:rPr>
              <w:t>包4：33.23万元</w:t>
            </w:r>
          </w:p>
          <w:p>
            <w:pPr>
              <w:widowControl/>
              <w:adjustRightInd w:val="0"/>
              <w:snapToGrid w:val="0"/>
              <w:rPr>
                <w:rFonts w:ascii="仿宋" w:hAnsi="仿宋" w:cs="仿宋"/>
                <w:kern w:val="0"/>
                <w:sz w:val="21"/>
                <w:szCs w:val="21"/>
              </w:rPr>
            </w:pPr>
            <w:r>
              <w:rPr>
                <w:rFonts w:hint="eastAsia" w:ascii="仿宋" w:hAnsi="仿宋" w:cs="仿宋"/>
                <w:kern w:val="0"/>
                <w:sz w:val="21"/>
                <w:szCs w:val="21"/>
              </w:rPr>
              <w:t>包5：294万元</w:t>
            </w:r>
          </w:p>
          <w:p>
            <w:pPr>
              <w:widowControl/>
              <w:adjustRightInd w:val="0"/>
              <w:snapToGrid w:val="0"/>
              <w:rPr>
                <w:rFonts w:ascii="仿宋" w:hAnsi="仿宋" w:cs="仿宋"/>
                <w:kern w:val="0"/>
                <w:sz w:val="21"/>
                <w:szCs w:val="21"/>
              </w:rPr>
            </w:pPr>
            <w:r>
              <w:rPr>
                <w:rFonts w:hint="eastAsia" w:ascii="仿宋" w:hAnsi="仿宋" w:cs="仿宋"/>
                <w:kern w:val="0"/>
                <w:sz w:val="21"/>
                <w:szCs w:val="21"/>
              </w:rPr>
              <w:t>包6：197.50万元</w:t>
            </w:r>
          </w:p>
          <w:p>
            <w:pPr>
              <w:widowControl/>
              <w:adjustRightInd w:val="0"/>
              <w:snapToGrid w:val="0"/>
              <w:rPr>
                <w:rFonts w:ascii="仿宋" w:hAnsi="仿宋" w:cs="仿宋"/>
                <w:kern w:val="0"/>
                <w:sz w:val="21"/>
                <w:szCs w:val="21"/>
              </w:rPr>
            </w:pPr>
            <w:r>
              <w:rPr>
                <w:rFonts w:hint="eastAsia" w:ascii="仿宋" w:hAnsi="仿宋" w:cs="仿宋"/>
                <w:kern w:val="0"/>
                <w:sz w:val="21"/>
                <w:szCs w:val="21"/>
              </w:rPr>
              <w:t>包7：100万元</w:t>
            </w:r>
          </w:p>
          <w:p>
            <w:pPr>
              <w:widowControl/>
              <w:adjustRightInd w:val="0"/>
              <w:snapToGrid w:val="0"/>
              <w:rPr>
                <w:rFonts w:ascii="仿宋" w:hAnsi="仿宋" w:cs="仿宋"/>
                <w:kern w:val="0"/>
                <w:sz w:val="21"/>
                <w:szCs w:val="21"/>
              </w:rPr>
            </w:pPr>
            <w:r>
              <w:rPr>
                <w:rFonts w:hint="eastAsia" w:ascii="仿宋" w:hAnsi="仿宋" w:cs="仿宋"/>
                <w:kern w:val="0"/>
                <w:sz w:val="21"/>
                <w:szCs w:val="21"/>
              </w:rPr>
              <w:t>包8：112.50万元</w:t>
            </w:r>
          </w:p>
          <w:p>
            <w:pPr>
              <w:widowControl/>
              <w:adjustRightInd w:val="0"/>
              <w:snapToGrid w:val="0"/>
              <w:rPr>
                <w:rFonts w:ascii="仿宋" w:hAnsi="仿宋"/>
                <w:sz w:val="21"/>
                <w:szCs w:val="21"/>
              </w:rPr>
            </w:pPr>
            <w:r>
              <w:rPr>
                <w:rFonts w:hint="eastAsia" w:ascii="仿宋" w:hAnsi="仿宋"/>
                <w:sz w:val="21"/>
                <w:szCs w:val="21"/>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Merge w:val="continue"/>
            <w:vAlign w:val="center"/>
          </w:tcPr>
          <w:p>
            <w:pPr>
              <w:adjustRightInd w:val="0"/>
              <w:snapToGrid w:val="0"/>
              <w:jc w:val="center"/>
              <w:rPr>
                <w:rFonts w:ascii="仿宋" w:hAnsi="仿宋"/>
                <w:sz w:val="21"/>
                <w:szCs w:val="21"/>
              </w:rPr>
            </w:pPr>
          </w:p>
        </w:tc>
        <w:tc>
          <w:tcPr>
            <w:tcW w:w="1276" w:type="pct"/>
            <w:tcBorders>
              <w:top w:val="single" w:color="auto" w:sz="4" w:space="0"/>
            </w:tcBorders>
            <w:vAlign w:val="center"/>
          </w:tcPr>
          <w:p>
            <w:pPr>
              <w:pStyle w:val="83"/>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最高限价</w:t>
            </w:r>
          </w:p>
          <w:p>
            <w:pPr>
              <w:pStyle w:val="83"/>
              <w:snapToGrid w:val="0"/>
              <w:spacing w:after="0" w:line="360" w:lineRule="auto"/>
              <w:jc w:val="center"/>
              <w:rPr>
                <w:rFonts w:ascii="仿宋" w:hAnsi="仿宋" w:eastAsia="仿宋" w:cs="Times New Roman"/>
                <w:kern w:val="2"/>
                <w:sz w:val="21"/>
                <w:szCs w:val="21"/>
              </w:rPr>
            </w:pPr>
            <w:r>
              <w:rPr>
                <w:rFonts w:hint="eastAsia" w:ascii="仿宋" w:hAnsi="仿宋" w:eastAsia="仿宋" w:cs="黑体"/>
                <w:b/>
                <w:bCs/>
                <w:sz w:val="22"/>
                <w:szCs w:val="22"/>
              </w:rPr>
              <w:t>（实质性要求）</w:t>
            </w:r>
          </w:p>
        </w:tc>
        <w:tc>
          <w:tcPr>
            <w:tcW w:w="3407" w:type="pct"/>
            <w:tcBorders>
              <w:top w:val="single" w:color="auto" w:sz="4" w:space="0"/>
            </w:tcBorders>
          </w:tcPr>
          <w:p>
            <w:pPr>
              <w:pStyle w:val="83"/>
              <w:jc w:val="both"/>
              <w:rPr>
                <w:rFonts w:ascii="仿宋" w:hAnsi="仿宋" w:eastAsia="仿宋" w:cs="仿宋"/>
                <w:sz w:val="21"/>
                <w:szCs w:val="21"/>
              </w:rPr>
            </w:pPr>
            <w:r>
              <w:rPr>
                <w:rFonts w:hint="eastAsia" w:ascii="仿宋" w:hAnsi="仿宋" w:eastAsia="仿宋" w:cs="仿宋"/>
                <w:sz w:val="21"/>
                <w:szCs w:val="21"/>
              </w:rPr>
              <w:t>最高限价：</w:t>
            </w:r>
            <w:bookmarkStart w:id="21" w:name="PO_默认文件内容_27"/>
          </w:p>
          <w:p>
            <w:pPr>
              <w:widowControl/>
              <w:adjustRightInd w:val="0"/>
              <w:snapToGrid w:val="0"/>
              <w:rPr>
                <w:rFonts w:ascii="仿宋" w:hAnsi="仿宋" w:cs="仿宋"/>
                <w:kern w:val="0"/>
                <w:sz w:val="21"/>
                <w:szCs w:val="21"/>
              </w:rPr>
            </w:pPr>
            <w:r>
              <w:rPr>
                <w:rFonts w:hint="eastAsia" w:ascii="仿宋" w:hAnsi="仿宋" w:cs="仿宋"/>
                <w:kern w:val="0"/>
                <w:sz w:val="21"/>
                <w:szCs w:val="21"/>
              </w:rPr>
              <w:t>包1：181.04万元</w:t>
            </w:r>
          </w:p>
          <w:p>
            <w:pPr>
              <w:widowControl/>
              <w:adjustRightInd w:val="0"/>
              <w:snapToGrid w:val="0"/>
              <w:rPr>
                <w:rFonts w:ascii="仿宋" w:hAnsi="仿宋" w:cs="仿宋"/>
                <w:kern w:val="0"/>
                <w:sz w:val="21"/>
                <w:szCs w:val="21"/>
              </w:rPr>
            </w:pPr>
            <w:r>
              <w:rPr>
                <w:rFonts w:hint="eastAsia" w:ascii="仿宋" w:hAnsi="仿宋" w:cs="仿宋"/>
                <w:kern w:val="0"/>
                <w:sz w:val="21"/>
                <w:szCs w:val="21"/>
              </w:rPr>
              <w:t>包2：193.50万元</w:t>
            </w:r>
          </w:p>
          <w:p>
            <w:pPr>
              <w:widowControl/>
              <w:adjustRightInd w:val="0"/>
              <w:snapToGrid w:val="0"/>
              <w:rPr>
                <w:rFonts w:ascii="仿宋" w:hAnsi="仿宋" w:cs="仿宋"/>
                <w:kern w:val="0"/>
                <w:sz w:val="21"/>
                <w:szCs w:val="21"/>
              </w:rPr>
            </w:pPr>
            <w:r>
              <w:rPr>
                <w:rFonts w:hint="eastAsia" w:ascii="仿宋" w:hAnsi="仿宋" w:cs="仿宋"/>
                <w:kern w:val="0"/>
                <w:sz w:val="21"/>
                <w:szCs w:val="21"/>
              </w:rPr>
              <w:t>包3：84.67万元</w:t>
            </w:r>
          </w:p>
          <w:p>
            <w:pPr>
              <w:widowControl/>
              <w:adjustRightInd w:val="0"/>
              <w:snapToGrid w:val="0"/>
              <w:rPr>
                <w:rFonts w:ascii="仿宋" w:hAnsi="仿宋" w:cs="仿宋"/>
                <w:kern w:val="0"/>
                <w:sz w:val="21"/>
                <w:szCs w:val="21"/>
              </w:rPr>
            </w:pPr>
            <w:r>
              <w:rPr>
                <w:rFonts w:hint="eastAsia" w:ascii="仿宋" w:hAnsi="仿宋" w:cs="仿宋"/>
                <w:kern w:val="0"/>
                <w:sz w:val="21"/>
                <w:szCs w:val="21"/>
              </w:rPr>
              <w:t>包4：33.23万元</w:t>
            </w:r>
          </w:p>
          <w:p>
            <w:pPr>
              <w:widowControl/>
              <w:adjustRightInd w:val="0"/>
              <w:snapToGrid w:val="0"/>
              <w:rPr>
                <w:rFonts w:ascii="仿宋" w:hAnsi="仿宋" w:cs="仿宋"/>
                <w:kern w:val="0"/>
                <w:sz w:val="21"/>
                <w:szCs w:val="21"/>
              </w:rPr>
            </w:pPr>
            <w:r>
              <w:rPr>
                <w:rFonts w:hint="eastAsia" w:ascii="仿宋" w:hAnsi="仿宋" w:cs="仿宋"/>
                <w:kern w:val="0"/>
                <w:sz w:val="21"/>
                <w:szCs w:val="21"/>
              </w:rPr>
              <w:t>包5：294万元</w:t>
            </w:r>
          </w:p>
          <w:p>
            <w:pPr>
              <w:widowControl/>
              <w:adjustRightInd w:val="0"/>
              <w:snapToGrid w:val="0"/>
              <w:rPr>
                <w:rFonts w:ascii="仿宋" w:hAnsi="仿宋" w:cs="仿宋"/>
                <w:kern w:val="0"/>
                <w:sz w:val="21"/>
                <w:szCs w:val="21"/>
              </w:rPr>
            </w:pPr>
            <w:r>
              <w:rPr>
                <w:rFonts w:hint="eastAsia" w:ascii="仿宋" w:hAnsi="仿宋" w:cs="仿宋"/>
                <w:kern w:val="0"/>
                <w:sz w:val="21"/>
                <w:szCs w:val="21"/>
              </w:rPr>
              <w:t>包6：197.50万元</w:t>
            </w:r>
          </w:p>
          <w:p>
            <w:pPr>
              <w:widowControl/>
              <w:adjustRightInd w:val="0"/>
              <w:snapToGrid w:val="0"/>
              <w:rPr>
                <w:rFonts w:ascii="仿宋" w:hAnsi="仿宋" w:cs="仿宋"/>
                <w:kern w:val="0"/>
                <w:sz w:val="21"/>
                <w:szCs w:val="21"/>
              </w:rPr>
            </w:pPr>
            <w:r>
              <w:rPr>
                <w:rFonts w:hint="eastAsia" w:ascii="仿宋" w:hAnsi="仿宋" w:cs="仿宋"/>
                <w:kern w:val="0"/>
                <w:sz w:val="21"/>
                <w:szCs w:val="21"/>
              </w:rPr>
              <w:t>包7：100万元</w:t>
            </w:r>
          </w:p>
          <w:p>
            <w:pPr>
              <w:widowControl/>
              <w:adjustRightInd w:val="0"/>
              <w:snapToGrid w:val="0"/>
              <w:rPr>
                <w:rFonts w:ascii="仿宋" w:hAnsi="仿宋" w:cs="仿宋"/>
                <w:kern w:val="0"/>
                <w:sz w:val="21"/>
                <w:szCs w:val="21"/>
              </w:rPr>
            </w:pPr>
            <w:r>
              <w:rPr>
                <w:rFonts w:hint="eastAsia" w:ascii="仿宋" w:hAnsi="仿宋" w:cs="仿宋"/>
                <w:kern w:val="0"/>
                <w:sz w:val="21"/>
                <w:szCs w:val="21"/>
              </w:rPr>
              <w:t>包8：112.50万元</w:t>
            </w:r>
          </w:p>
          <w:p>
            <w:pPr>
              <w:pStyle w:val="83"/>
              <w:jc w:val="both"/>
              <w:rPr>
                <w:rFonts w:ascii="仿宋" w:hAnsi="仿宋" w:eastAsia="仿宋"/>
                <w:sz w:val="21"/>
                <w:szCs w:val="21"/>
              </w:rPr>
            </w:pPr>
            <w:r>
              <w:rPr>
                <w:rFonts w:hint="eastAsia" w:ascii="仿宋" w:hAnsi="仿宋" w:eastAsia="仿宋" w:cs="仿宋"/>
                <w:sz w:val="21"/>
                <w:szCs w:val="21"/>
              </w:rPr>
              <w:t>超过最高限价的报价</w:t>
            </w:r>
            <w:r>
              <w:rPr>
                <w:rFonts w:hint="eastAsia" w:ascii="仿宋" w:hAnsi="仿宋" w:eastAsia="仿宋"/>
                <w:sz w:val="21"/>
                <w:szCs w:val="21"/>
              </w:rPr>
              <w:t>为无效投标。</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pStyle w:val="83"/>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2</w:t>
            </w:r>
          </w:p>
        </w:tc>
        <w:tc>
          <w:tcPr>
            <w:tcW w:w="1276" w:type="pct"/>
            <w:vAlign w:val="center"/>
          </w:tcPr>
          <w:p>
            <w:pPr>
              <w:pStyle w:val="83"/>
              <w:snapToGrid w:val="0"/>
              <w:spacing w:after="0" w:line="360" w:lineRule="auto"/>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不正当竞争预防措施</w:t>
            </w:r>
          </w:p>
          <w:p>
            <w:pPr>
              <w:pStyle w:val="83"/>
              <w:snapToGrid w:val="0"/>
              <w:spacing w:after="0" w:line="360" w:lineRule="auto"/>
              <w:ind w:left="38"/>
              <w:jc w:val="center"/>
              <w:rPr>
                <w:rFonts w:ascii="仿宋" w:hAnsi="仿宋" w:eastAsia="仿宋" w:cs="Times New Roman"/>
                <w:kern w:val="2"/>
                <w:sz w:val="21"/>
                <w:szCs w:val="21"/>
              </w:rPr>
            </w:pPr>
            <w:r>
              <w:rPr>
                <w:rFonts w:hint="eastAsia" w:ascii="仿宋" w:hAnsi="仿宋" w:eastAsia="仿宋" w:cs="黑体"/>
                <w:b/>
                <w:bCs/>
                <w:sz w:val="22"/>
                <w:szCs w:val="22"/>
              </w:rPr>
              <w:t>（实质性要求）</w:t>
            </w:r>
          </w:p>
        </w:tc>
        <w:tc>
          <w:tcPr>
            <w:tcW w:w="3407" w:type="pct"/>
            <w:vAlign w:val="center"/>
          </w:tcPr>
          <w:p>
            <w:pPr>
              <w:pStyle w:val="83"/>
              <w:snapToGrid w:val="0"/>
              <w:spacing w:after="0" w:line="360" w:lineRule="auto"/>
              <w:jc w:val="both"/>
              <w:rPr>
                <w:rFonts w:ascii="仿宋" w:hAnsi="仿宋" w:eastAsia="仿宋"/>
                <w:sz w:val="21"/>
                <w:szCs w:val="21"/>
              </w:rPr>
            </w:pPr>
            <w:bookmarkStart w:id="22" w:name="PO_默认文件内容_1"/>
            <w:r>
              <w:rPr>
                <w:rFonts w:hint="eastAsia" w:ascii="仿宋" w:hAnsi="仿宋" w:eastAsia="仿宋"/>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p>
            <w:pPr>
              <w:pStyle w:val="83"/>
              <w:snapToGrid w:val="0"/>
              <w:spacing w:after="0" w:line="360" w:lineRule="auto"/>
              <w:jc w:val="both"/>
              <w:rPr>
                <w:rFonts w:ascii="仿宋" w:hAnsi="仿宋" w:eastAsia="仿宋"/>
                <w:sz w:val="21"/>
                <w:szCs w:val="21"/>
              </w:rPr>
            </w:pPr>
            <w:r>
              <w:rPr>
                <w:rFonts w:hint="eastAsia" w:ascii="仿宋" w:hAnsi="仿宋" w:eastAsia="仿宋"/>
                <w:b/>
                <w:bCs/>
                <w:sz w:val="21"/>
                <w:szCs w:val="21"/>
              </w:rPr>
              <w:t>注：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如因系统故障（包括组织场所停电、断网等）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pStyle w:val="83"/>
              <w:snapToGrid w:val="0"/>
              <w:spacing w:after="0" w:line="360" w:lineRule="auto"/>
              <w:jc w:val="center"/>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1276" w:type="pct"/>
            <w:vAlign w:val="center"/>
          </w:tcPr>
          <w:p>
            <w:pPr>
              <w:pStyle w:val="83"/>
              <w:snapToGrid w:val="0"/>
              <w:spacing w:after="0" w:line="360" w:lineRule="auto"/>
              <w:ind w:left="38"/>
              <w:jc w:val="center"/>
              <w:rPr>
                <w:rFonts w:ascii="仿宋" w:hAnsi="仿宋" w:eastAsia="仿宋"/>
                <w:sz w:val="21"/>
                <w:szCs w:val="21"/>
                <w:lang w:val="zh-CN"/>
              </w:rPr>
            </w:pPr>
            <w:r>
              <w:rPr>
                <w:rFonts w:hint="eastAsia" w:ascii="仿宋" w:hAnsi="仿宋" w:eastAsia="仿宋"/>
                <w:sz w:val="21"/>
                <w:szCs w:val="21"/>
                <w:lang w:val="zh-CN"/>
              </w:rPr>
              <w:t>进口产品</w:t>
            </w:r>
          </w:p>
          <w:p>
            <w:pPr>
              <w:pStyle w:val="83"/>
              <w:snapToGrid w:val="0"/>
              <w:spacing w:after="0" w:line="360" w:lineRule="auto"/>
              <w:ind w:left="38"/>
              <w:jc w:val="center"/>
              <w:rPr>
                <w:rFonts w:ascii="仿宋" w:hAnsi="仿宋" w:eastAsia="仿宋"/>
                <w:sz w:val="21"/>
                <w:szCs w:val="21"/>
                <w:lang w:val="zh-CN"/>
              </w:rPr>
            </w:pPr>
            <w:r>
              <w:rPr>
                <w:rFonts w:hint="eastAsia" w:ascii="仿宋" w:hAnsi="仿宋" w:eastAsia="仿宋" w:cs="黑体"/>
                <w:b/>
                <w:bCs/>
                <w:sz w:val="22"/>
                <w:szCs w:val="22"/>
                <w:lang w:val="zh-CN"/>
              </w:rPr>
              <w:t>（实质性要求）</w:t>
            </w:r>
          </w:p>
        </w:tc>
        <w:tc>
          <w:tcPr>
            <w:tcW w:w="3407" w:type="pct"/>
            <w:vAlign w:val="center"/>
          </w:tcPr>
          <w:p>
            <w:pPr>
              <w:pStyle w:val="83"/>
              <w:snapToGrid w:val="0"/>
              <w:spacing w:after="0" w:line="360" w:lineRule="auto"/>
              <w:jc w:val="both"/>
              <w:rPr>
                <w:rFonts w:ascii="仿宋" w:hAnsi="仿宋" w:eastAsia="仿宋"/>
                <w:sz w:val="21"/>
                <w:szCs w:val="21"/>
                <w:lang w:val="zh-CN"/>
              </w:rPr>
            </w:pPr>
            <w:bookmarkStart w:id="23" w:name="PO_默认文件内容_15"/>
            <w:r>
              <w:rPr>
                <w:rFonts w:hint="eastAsia" w:ascii="仿宋" w:hAnsi="仿宋" w:eastAsia="仿宋"/>
                <w:sz w:val="21"/>
                <w:szCs w:val="21"/>
              </w:rPr>
              <w:t>本项目招标文件中未载明“允许采购进口产品”的产品，视为拒绝进口产品参与竞争，</w:t>
            </w:r>
            <w:r>
              <w:rPr>
                <w:rFonts w:ascii="仿宋" w:hAnsi="仿宋" w:eastAsia="仿宋"/>
                <w:sz w:val="21"/>
                <w:szCs w:val="21"/>
              </w:rPr>
              <w:t>供应商以</w:t>
            </w:r>
            <w:r>
              <w:rPr>
                <w:rFonts w:hint="eastAsia" w:ascii="仿宋" w:hAnsi="仿宋" w:eastAsia="仿宋"/>
                <w:sz w:val="21"/>
                <w:szCs w:val="21"/>
              </w:rPr>
              <w:t>进口</w:t>
            </w:r>
            <w:r>
              <w:rPr>
                <w:rFonts w:ascii="仿宋" w:hAnsi="仿宋" w:eastAsia="仿宋"/>
                <w:sz w:val="21"/>
                <w:szCs w:val="21"/>
              </w:rPr>
              <w:t>产品投标</w:t>
            </w:r>
            <w:r>
              <w:rPr>
                <w:rFonts w:hint="eastAsia" w:ascii="仿宋" w:hAnsi="仿宋" w:eastAsia="仿宋"/>
                <w:sz w:val="21"/>
                <w:szCs w:val="21"/>
              </w:rPr>
              <w:t>时</w:t>
            </w:r>
            <w:r>
              <w:rPr>
                <w:rFonts w:ascii="仿宋" w:hAnsi="仿宋" w:eastAsia="仿宋"/>
                <w:sz w:val="21"/>
                <w:szCs w:val="21"/>
              </w:rPr>
              <w:t>，将按无效投标处理</w:t>
            </w:r>
            <w:r>
              <w:rPr>
                <w:rFonts w:hint="eastAsia" w:ascii="仿宋" w:hAnsi="仿宋" w:eastAsia="仿宋"/>
                <w:sz w:val="21"/>
                <w:szCs w:val="21"/>
              </w:rPr>
              <w:t>。载明“允许采购进口产品”的产品，不限制国产产品参与竞争。</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pStyle w:val="83"/>
              <w:snapToGrid w:val="0"/>
              <w:spacing w:after="0" w:line="360" w:lineRule="auto"/>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1276" w:type="pct"/>
            <w:vAlign w:val="center"/>
          </w:tcPr>
          <w:p>
            <w:pPr>
              <w:pStyle w:val="83"/>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spacing w:val="-6"/>
                <w:kern w:val="2"/>
                <w:sz w:val="21"/>
                <w:szCs w:val="21"/>
              </w:rPr>
              <w:t>促进中小企业发展政府采购政策(监狱企业、残疾人福利性单位均视同小微企业)</w:t>
            </w:r>
            <w:r>
              <w:rPr>
                <w:rFonts w:ascii="仿宋" w:hAnsi="仿宋" w:eastAsia="仿宋" w:cs="Times New Roman"/>
                <w:kern w:val="2"/>
                <w:sz w:val="21"/>
                <w:szCs w:val="21"/>
              </w:rPr>
              <w:t xml:space="preserve"> </w:t>
            </w:r>
          </w:p>
        </w:tc>
        <w:tc>
          <w:tcPr>
            <w:tcW w:w="3407" w:type="pct"/>
            <w:vAlign w:val="center"/>
          </w:tcPr>
          <w:p>
            <w:pPr>
              <w:adjustRightInd w:val="0"/>
              <w:snapToGrid w:val="0"/>
              <w:rPr>
                <w:rFonts w:ascii="仿宋" w:hAnsi="仿宋"/>
                <w:b/>
                <w:bCs/>
                <w:spacing w:val="-6"/>
                <w:sz w:val="21"/>
                <w:szCs w:val="21"/>
              </w:rPr>
            </w:pPr>
            <w:bookmarkStart w:id="24" w:name="PO_默认文件内容_2"/>
            <w:r>
              <w:rPr>
                <w:rFonts w:hint="eastAsia" w:ascii="仿宋" w:hAnsi="仿宋"/>
                <w:b/>
                <w:bCs/>
                <w:spacing w:val="-6"/>
                <w:sz w:val="21"/>
                <w:szCs w:val="21"/>
              </w:rPr>
              <w:t>一、促进中小企业发展政府采购政策(监狱企业、残疾人福利性单位均视同小微企业)</w:t>
            </w:r>
          </w:p>
          <w:p>
            <w:pPr>
              <w:adjustRightInd w:val="0"/>
              <w:snapToGrid w:val="0"/>
              <w:rPr>
                <w:rFonts w:ascii="仿宋" w:hAnsi="仿宋"/>
                <w:b/>
                <w:bCs/>
                <w:sz w:val="21"/>
                <w:szCs w:val="21"/>
                <w:u w:val="single"/>
              </w:rPr>
            </w:pPr>
            <w:r>
              <w:rPr>
                <w:rFonts w:hint="eastAsia" w:ascii="仿宋" w:hAnsi="仿宋"/>
                <w:sz w:val="21"/>
                <w:szCs w:val="21"/>
                <w:u w:val="single"/>
              </w:rPr>
              <w:t>1.根据《政府采购促进中小企业发展管理办法》（财库〔2020〕46号）的规定,在政府采购活动中，供应商提供的货物、工程或者服务符合财库〔2020〕46号文第四条规定情形的，享受本办法规定的中小企业扶持政策。</w:t>
            </w:r>
          </w:p>
          <w:p>
            <w:pPr>
              <w:adjustRightInd w:val="0"/>
              <w:snapToGrid w:val="0"/>
              <w:rPr>
                <w:rFonts w:ascii="仿宋" w:hAnsi="仿宋"/>
                <w:sz w:val="21"/>
                <w:szCs w:val="21"/>
              </w:rPr>
            </w:pPr>
            <w:r>
              <w:rPr>
                <w:rFonts w:hint="eastAsia" w:ascii="仿宋" w:hAnsi="仿宋"/>
                <w:b/>
                <w:bCs/>
                <w:sz w:val="21"/>
                <w:szCs w:val="21"/>
              </w:rPr>
              <w:t>2.</w:t>
            </w:r>
            <w:r>
              <w:rPr>
                <w:rFonts w:hint="eastAsia" w:ascii="仿宋" w:hAnsi="仿宋"/>
                <w:sz w:val="21"/>
                <w:szCs w:val="21"/>
              </w:rPr>
              <w:t>中小企业参加政府采购活动应当提供《中小企业声明函》原件，未提供的视为放弃享受相关中小企业扶持政策。</w:t>
            </w:r>
          </w:p>
          <w:p>
            <w:pPr>
              <w:adjustRightInd w:val="0"/>
              <w:snapToGrid w:val="0"/>
              <w:rPr>
                <w:rFonts w:ascii="仿宋" w:hAnsi="仿宋"/>
                <w:sz w:val="21"/>
                <w:szCs w:val="21"/>
              </w:rPr>
            </w:pPr>
            <w:r>
              <w:rPr>
                <w:rFonts w:hint="eastAsia" w:ascii="仿宋" w:hAnsi="仿宋"/>
                <w:sz w:val="21"/>
                <w:szCs w:val="21"/>
              </w:rPr>
              <w:t>3.以联合体形式参加政府采购活动，联合体各方均为中小企业的，联合体视同中小企业。其中，联合体各方均为小微企业的，联合体视同小微企业。</w:t>
            </w:r>
          </w:p>
          <w:p>
            <w:pPr>
              <w:adjustRightInd w:val="0"/>
              <w:snapToGrid w:val="0"/>
              <w:rPr>
                <w:rFonts w:ascii="仿宋" w:hAnsi="仿宋"/>
                <w:sz w:val="21"/>
                <w:szCs w:val="21"/>
              </w:rPr>
            </w:pPr>
            <w:r>
              <w:rPr>
                <w:rFonts w:hint="eastAsia" w:ascii="仿宋" w:hAnsi="仿宋"/>
                <w:sz w:val="21"/>
                <w:szCs w:val="21"/>
              </w:rPr>
              <w:t>4.符合中小企业划分标准的个体工商户，在政府采购活动中视同中小企业。</w:t>
            </w:r>
          </w:p>
          <w:p>
            <w:pPr>
              <w:pStyle w:val="13"/>
              <w:spacing w:after="0"/>
              <w:rPr>
                <w:rFonts w:ascii="仿宋" w:hAnsi="仿宋"/>
                <w:sz w:val="21"/>
                <w:szCs w:val="21"/>
              </w:rPr>
            </w:pPr>
            <w:r>
              <w:rPr>
                <w:rFonts w:hint="eastAsia" w:ascii="仿宋" w:hAnsi="仿宋"/>
                <w:sz w:val="21"/>
                <w:szCs w:val="21"/>
              </w:rPr>
              <w:t>5.残疾人福利性单位参加政府采购活动应当提供《残疾人福利性单位声明函》原件，未提供的，视为放弃享受小微企业扶持政策。</w:t>
            </w:r>
          </w:p>
          <w:p>
            <w:pPr>
              <w:adjustRightInd w:val="0"/>
              <w:snapToGrid w:val="0"/>
              <w:rPr>
                <w:rFonts w:ascii="仿宋" w:hAnsi="仿宋"/>
                <w:sz w:val="21"/>
                <w:szCs w:val="21"/>
              </w:rPr>
            </w:pPr>
            <w:r>
              <w:rPr>
                <w:rFonts w:hint="eastAsia" w:ascii="仿宋" w:hAnsi="仿宋"/>
                <w:sz w:val="21"/>
                <w:szCs w:val="21"/>
              </w:rPr>
              <w:t>6.监狱企业参加政府采购活动应当提供由省级以上监狱管理局、戒毒管理局(含新疆生产建设兵团)出具的属于监狱企业的证明文件，未提供的，视为放弃享受小微企业扶持政策。</w:t>
            </w:r>
          </w:p>
          <w:p>
            <w:pPr>
              <w:adjustRightInd w:val="0"/>
              <w:snapToGrid w:val="0"/>
              <w:rPr>
                <w:rFonts w:ascii="仿宋" w:hAnsi="仿宋"/>
                <w:b/>
                <w:bCs/>
                <w:sz w:val="21"/>
                <w:szCs w:val="21"/>
                <w:u w:val="single"/>
              </w:rPr>
            </w:pPr>
            <w:r>
              <w:rPr>
                <w:rFonts w:hint="eastAsia" w:ascii="仿宋" w:hAnsi="仿宋"/>
                <w:b/>
                <w:bCs/>
                <w:sz w:val="21"/>
                <w:szCs w:val="21"/>
                <w:u w:val="single"/>
              </w:rPr>
              <w:t>情形一：专门面向中小企业采购（适用于预留份额专门面向中小企业采购的采购项目或采购包）</w:t>
            </w:r>
          </w:p>
          <w:p>
            <w:pPr>
              <w:adjustRightInd w:val="0"/>
              <w:snapToGrid w:val="0"/>
              <w:rPr>
                <w:rFonts w:ascii="仿宋" w:hAnsi="仿宋"/>
                <w:sz w:val="21"/>
                <w:szCs w:val="21"/>
              </w:rPr>
            </w:pPr>
            <w:r>
              <w:rPr>
                <w:rFonts w:hint="eastAsia" w:ascii="仿宋" w:hAnsi="仿宋"/>
                <w:sz w:val="21"/>
                <w:szCs w:val="21"/>
              </w:rPr>
              <w:t>1.根据《政府采购促进中小企业发展管理办法》（财库〔2020〕46号）的规定，对适宜由中小企业提供的采购项目和采购包，预留份额专门面向中小企业采购。</w:t>
            </w:r>
          </w:p>
          <w:p>
            <w:pPr>
              <w:adjustRightInd w:val="0"/>
              <w:snapToGrid w:val="0"/>
              <w:rPr>
                <w:rFonts w:ascii="仿宋" w:hAnsi="仿宋"/>
                <w:sz w:val="21"/>
                <w:szCs w:val="21"/>
              </w:rPr>
            </w:pPr>
            <w:r>
              <w:rPr>
                <w:rFonts w:hint="eastAsia" w:ascii="仿宋" w:hAnsi="仿宋"/>
                <w:sz w:val="21"/>
                <w:szCs w:val="21"/>
              </w:rPr>
              <w:t>2.对于预留份额专门面向中小企业采购的采购项目或采购包，不再执行价格扣除的政策评审优惠。</w:t>
            </w:r>
          </w:p>
          <w:p>
            <w:pPr>
              <w:adjustRightInd w:val="0"/>
              <w:snapToGrid w:val="0"/>
              <w:rPr>
                <w:rFonts w:ascii="仿宋" w:hAnsi="仿宋"/>
                <w:sz w:val="21"/>
                <w:szCs w:val="21"/>
              </w:rPr>
            </w:pPr>
            <w:r>
              <w:rPr>
                <w:rFonts w:hint="eastAsia" w:ascii="仿宋" w:hAnsi="仿宋"/>
                <w:b/>
                <w:bCs/>
                <w:sz w:val="21"/>
                <w:szCs w:val="21"/>
                <w:u w:val="single"/>
              </w:rPr>
              <w:t>情形二：小微企业（监狱企业、残疾人福利性单位视同小微企业）价格扣除（适用于未预留份额专门面向中小企业采购的采购项目，以及预留份额项目中的非预留部分采购包）</w:t>
            </w:r>
          </w:p>
          <w:p>
            <w:pPr>
              <w:adjustRightInd w:val="0"/>
              <w:snapToGrid w:val="0"/>
              <w:rPr>
                <w:rFonts w:ascii="仿宋" w:hAnsi="仿宋"/>
                <w:sz w:val="21"/>
                <w:szCs w:val="21"/>
              </w:rPr>
            </w:pPr>
            <w:r>
              <w:rPr>
                <w:rFonts w:hint="eastAsia" w:ascii="仿宋" w:hAnsi="仿宋"/>
                <w:sz w:val="21"/>
                <w:szCs w:val="21"/>
              </w:rPr>
              <w:t>1.根据《政府采购促进中小企业发展管理办法》（财库〔2020〕46号）的规定，对于经主管预算单位统筹后未预留份额专门面向中小企业采购的采购项目，以及预留份额项目中的非预留部分采购包，对符合规定的</w:t>
            </w:r>
            <w:r>
              <w:rPr>
                <w:rFonts w:hint="eastAsia" w:ascii="仿宋" w:hAnsi="仿宋"/>
                <w:b/>
                <w:bCs/>
                <w:sz w:val="21"/>
                <w:szCs w:val="21"/>
              </w:rPr>
              <w:t>小微企业</w:t>
            </w:r>
            <w:r>
              <w:rPr>
                <w:rFonts w:hint="eastAsia" w:ascii="仿宋" w:hAnsi="仿宋"/>
                <w:sz w:val="21"/>
                <w:szCs w:val="21"/>
              </w:rPr>
              <w:t>报价给予</w:t>
            </w:r>
            <w:r>
              <w:rPr>
                <w:rFonts w:ascii="仿宋" w:hAnsi="仿宋"/>
                <w:sz w:val="21"/>
                <w:szCs w:val="21"/>
              </w:rPr>
              <w:t>10</w:t>
            </w:r>
            <w:r>
              <w:rPr>
                <w:rFonts w:hint="eastAsia" w:ascii="仿宋" w:hAnsi="仿宋"/>
                <w:sz w:val="21"/>
                <w:szCs w:val="21"/>
              </w:rPr>
              <w:t>%的扣除，用扣除后的价格参加评审。</w:t>
            </w:r>
          </w:p>
          <w:p>
            <w:pPr>
              <w:adjustRightInd w:val="0"/>
              <w:snapToGrid w:val="0"/>
              <w:rPr>
                <w:rFonts w:ascii="仿宋" w:hAnsi="仿宋"/>
                <w:sz w:val="21"/>
                <w:szCs w:val="21"/>
              </w:rPr>
            </w:pPr>
            <w:r>
              <w:rPr>
                <w:rFonts w:hint="eastAsia" w:ascii="仿宋" w:hAnsi="仿宋"/>
                <w:sz w:val="21"/>
                <w:szCs w:val="21"/>
              </w:rPr>
              <w:t>2.接受大中型企业与小微企业组成联合体或者允许大中型企业向一家或者多家小微企业分包的采购项目，对于联合体协议或者分包意向协议约定小微企业的合同份额占到合同总金额 30%以上的，采购人、采购代理机构应当对联合体或者大中型企业的报价给予3%的扣除，用扣除后的价格参加评审。</w:t>
            </w:r>
            <w:bookmarkEnd w:id="24"/>
          </w:p>
          <w:p>
            <w:pPr>
              <w:adjustRightInd w:val="0"/>
              <w:snapToGrid w:val="0"/>
              <w:rPr>
                <w:rFonts w:ascii="仿宋" w:hAnsi="仿宋"/>
                <w:b/>
                <w:bCs/>
                <w:sz w:val="21"/>
                <w:szCs w:val="21"/>
              </w:rPr>
            </w:pPr>
            <w:r>
              <w:rPr>
                <w:rFonts w:hint="eastAsia" w:ascii="仿宋" w:hAnsi="仿宋"/>
                <w:b/>
                <w:bCs/>
                <w:sz w:val="21"/>
                <w:szCs w:val="21"/>
              </w:rPr>
              <w:t>二、采购标的所属行业</w:t>
            </w:r>
          </w:p>
          <w:p>
            <w:pPr>
              <w:adjustRightInd w:val="0"/>
              <w:snapToGrid w:val="0"/>
              <w:rPr>
                <w:rFonts w:ascii="仿宋" w:hAnsi="仿宋"/>
                <w:b/>
                <w:bCs/>
                <w:sz w:val="21"/>
                <w:szCs w:val="21"/>
              </w:rPr>
            </w:pPr>
            <w:r>
              <w:rPr>
                <w:rFonts w:hint="eastAsia" w:ascii="仿宋" w:hAnsi="仿宋"/>
                <w:b/>
                <w:bCs/>
                <w:sz w:val="21"/>
                <w:szCs w:val="21"/>
              </w:rPr>
              <w:t>1.</w:t>
            </w:r>
            <w:r>
              <w:rPr>
                <w:rFonts w:hint="eastAsia" w:ascii="仿宋" w:hAnsi="仿宋"/>
                <w:sz w:val="21"/>
                <w:szCs w:val="21"/>
                <w:lang w:val="zh-CN"/>
              </w:rPr>
              <w:t>根据《关于印发中小企业划型标准规定的通知》（工信部联企业〔2011〕300号）</w:t>
            </w:r>
            <w:r>
              <w:rPr>
                <w:rFonts w:hint="eastAsia" w:ascii="仿宋" w:hAnsi="仿宋"/>
                <w:sz w:val="21"/>
                <w:szCs w:val="21"/>
              </w:rPr>
              <w:t>及《金融业企业划型标准规定》（银发</w:t>
            </w:r>
            <w:r>
              <w:rPr>
                <w:rFonts w:hint="eastAsia" w:ascii="仿宋" w:hAnsi="仿宋"/>
                <w:sz w:val="21"/>
                <w:szCs w:val="21"/>
                <w:lang w:val="zh-CN"/>
              </w:rPr>
              <w:t>〔201</w:t>
            </w:r>
            <w:r>
              <w:rPr>
                <w:rFonts w:hint="eastAsia" w:ascii="仿宋" w:hAnsi="仿宋"/>
                <w:sz w:val="21"/>
                <w:szCs w:val="21"/>
              </w:rPr>
              <w:t>5</w:t>
            </w:r>
            <w:r>
              <w:rPr>
                <w:rFonts w:hint="eastAsia" w:ascii="仿宋" w:hAnsi="仿宋"/>
                <w:sz w:val="21"/>
                <w:szCs w:val="21"/>
                <w:lang w:val="zh-CN"/>
              </w:rPr>
              <w:t>〕</w:t>
            </w:r>
            <w:r>
              <w:rPr>
                <w:rFonts w:hint="eastAsia" w:ascii="仿宋" w:hAnsi="仿宋"/>
                <w:sz w:val="21"/>
                <w:szCs w:val="21"/>
              </w:rPr>
              <w:t>309号），</w:t>
            </w:r>
            <w:r>
              <w:rPr>
                <w:rFonts w:hint="eastAsia" w:ascii="仿宋" w:hAnsi="仿宋"/>
                <w:b/>
                <w:bCs/>
                <w:u w:val="single"/>
                <w:lang w:val="zh-CN"/>
              </w:rPr>
              <w:t>本项目采购标的</w:t>
            </w:r>
            <w:r>
              <w:rPr>
                <w:rFonts w:hint="eastAsia" w:ascii="仿宋" w:hAnsi="仿宋"/>
                <w:b/>
                <w:bCs/>
                <w:u w:val="single"/>
              </w:rPr>
              <w:t>对应的中小企业划分标准所属</w:t>
            </w:r>
            <w:r>
              <w:rPr>
                <w:rFonts w:hint="eastAsia" w:ascii="仿宋" w:hAnsi="仿宋"/>
                <w:b/>
                <w:bCs/>
                <w:u w:val="single"/>
                <w:lang w:val="zh-CN"/>
              </w:rPr>
              <w:t>行业</w:t>
            </w:r>
            <w:r>
              <w:rPr>
                <w:rFonts w:hint="eastAsia" w:ascii="仿宋" w:hAnsi="仿宋"/>
                <w:b/>
                <w:bCs/>
                <w:u w:val="single"/>
              </w:rPr>
              <w:t>为</w:t>
            </w:r>
            <w:r>
              <w:rPr>
                <w:rFonts w:hint="eastAsia" w:ascii="仿宋" w:hAnsi="仿宋"/>
                <w:b/>
                <w:bCs/>
                <w:u w:val="single"/>
                <w:lang w:val="zh-CN"/>
              </w:rPr>
              <w:t>：详见招标文件第六章。</w:t>
            </w:r>
          </w:p>
          <w:p>
            <w:pPr>
              <w:adjustRightInd w:val="0"/>
              <w:snapToGrid w:val="0"/>
              <w:rPr>
                <w:rFonts w:ascii="仿宋" w:hAnsi="仿宋"/>
                <w:sz w:val="21"/>
                <w:szCs w:val="21"/>
              </w:rPr>
            </w:pPr>
            <w:r>
              <w:rPr>
                <w:rFonts w:hint="eastAsia" w:ascii="仿宋" w:hAnsi="仿宋"/>
                <w:sz w:val="21"/>
                <w:szCs w:val="21"/>
              </w:rPr>
              <w:t>2.供应商是否为中小微企业，是按照本项目采购标的所属行业进行判定，而不是供应商本身所属行业进行判定。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pStyle w:val="83"/>
              <w:snapToGrid w:val="0"/>
              <w:spacing w:after="0" w:line="360" w:lineRule="auto"/>
              <w:jc w:val="center"/>
              <w:rPr>
                <w:rFonts w:ascii="仿宋" w:hAnsi="仿宋" w:eastAsia="仿宋" w:cs="Courier New"/>
                <w:sz w:val="21"/>
                <w:szCs w:val="21"/>
                <w:lang w:val="zh-CN"/>
              </w:rPr>
            </w:pPr>
            <w:r>
              <w:rPr>
                <w:rFonts w:ascii="仿宋" w:hAnsi="仿宋" w:eastAsia="仿宋" w:cs="Times New Roman"/>
                <w:kern w:val="2"/>
                <w:sz w:val="21"/>
                <w:szCs w:val="21"/>
              </w:rPr>
              <w:t>5</w:t>
            </w:r>
          </w:p>
        </w:tc>
        <w:tc>
          <w:tcPr>
            <w:tcW w:w="1276" w:type="pct"/>
            <w:vAlign w:val="center"/>
          </w:tcPr>
          <w:p>
            <w:pPr>
              <w:adjustRightInd w:val="0"/>
              <w:snapToGrid w:val="0"/>
              <w:ind w:left="120" w:leftChars="50" w:right="120" w:rightChars="50"/>
              <w:jc w:val="center"/>
              <w:rPr>
                <w:rFonts w:ascii="仿宋" w:hAnsi="仿宋"/>
                <w:kern w:val="0"/>
                <w:sz w:val="21"/>
                <w:szCs w:val="21"/>
              </w:rPr>
            </w:pPr>
            <w:r>
              <w:rPr>
                <w:rFonts w:hint="eastAsia" w:ascii="仿宋" w:hAnsi="仿宋"/>
                <w:kern w:val="0"/>
                <w:sz w:val="21"/>
                <w:szCs w:val="21"/>
              </w:rPr>
              <w:t>节能、环保及无线局域网产品政府采购政策</w:t>
            </w:r>
          </w:p>
        </w:tc>
        <w:tc>
          <w:tcPr>
            <w:tcW w:w="3407" w:type="pct"/>
            <w:vAlign w:val="center"/>
          </w:tcPr>
          <w:p>
            <w:pPr>
              <w:adjustRightInd w:val="0"/>
              <w:snapToGrid w:val="0"/>
              <w:ind w:right="120" w:rightChars="50"/>
              <w:rPr>
                <w:rFonts w:ascii="仿宋" w:hAnsi="仿宋"/>
                <w:b/>
                <w:sz w:val="21"/>
                <w:szCs w:val="21"/>
              </w:rPr>
            </w:pPr>
            <w:r>
              <w:rPr>
                <w:rFonts w:hint="eastAsia" w:ascii="仿宋" w:hAnsi="仿宋"/>
                <w:b/>
                <w:sz w:val="21"/>
                <w:szCs w:val="21"/>
              </w:rPr>
              <w:t>一</w:t>
            </w:r>
            <w:r>
              <w:rPr>
                <w:rFonts w:ascii="仿宋" w:hAnsi="仿宋"/>
                <w:b/>
                <w:sz w:val="21"/>
                <w:szCs w:val="21"/>
              </w:rPr>
              <w:t>、</w:t>
            </w:r>
            <w:r>
              <w:rPr>
                <w:rFonts w:hint="eastAsia" w:ascii="仿宋" w:hAnsi="仿宋"/>
                <w:b/>
                <w:sz w:val="21"/>
                <w:szCs w:val="21"/>
              </w:rPr>
              <w:t>节能、</w:t>
            </w:r>
            <w:r>
              <w:rPr>
                <w:rFonts w:ascii="仿宋" w:hAnsi="仿宋"/>
                <w:b/>
                <w:sz w:val="21"/>
                <w:szCs w:val="21"/>
              </w:rPr>
              <w:t>环保产品政府采购政策：</w:t>
            </w:r>
          </w:p>
          <w:p>
            <w:pPr>
              <w:adjustRightInd w:val="0"/>
              <w:snapToGrid w:val="0"/>
              <w:ind w:right="120" w:rightChars="50"/>
              <w:rPr>
                <w:rFonts w:ascii="仿宋" w:hAnsi="仿宋"/>
                <w:sz w:val="21"/>
                <w:szCs w:val="21"/>
              </w:rPr>
            </w:pPr>
            <w:r>
              <w:rPr>
                <w:rFonts w:hint="eastAsia" w:ascii="仿宋" w:hAnsi="仿宋"/>
                <w:sz w:val="2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adjustRightInd w:val="0"/>
              <w:snapToGrid w:val="0"/>
              <w:ind w:right="120" w:rightChars="50"/>
              <w:rPr>
                <w:rFonts w:ascii="仿宋" w:hAnsi="仿宋" w:cs="黑体"/>
                <w:b/>
                <w:bCs/>
                <w:kern w:val="0"/>
              </w:rPr>
            </w:pPr>
            <w:r>
              <w:rPr>
                <w:rFonts w:hint="eastAsia" w:ascii="仿宋" w:hAnsi="仿宋"/>
                <w:sz w:val="21"/>
                <w:szCs w:val="21"/>
              </w:rPr>
              <w:t>本项目采购的产品属于</w:t>
            </w:r>
            <w:r>
              <w:rPr>
                <w:rFonts w:hint="eastAsia" w:ascii="仿宋" w:hAnsi="仿宋"/>
                <w:b/>
                <w:bCs/>
                <w:sz w:val="21"/>
                <w:szCs w:val="21"/>
              </w:rPr>
              <w:t>品目清单强制采购范围的</w:t>
            </w:r>
            <w:r>
              <w:rPr>
                <w:rFonts w:hint="eastAsia" w:ascii="仿宋" w:hAnsi="仿宋"/>
                <w:sz w:val="21"/>
                <w:szCs w:val="21"/>
              </w:rPr>
              <w:t>，供应商应按上述要求提供产品认证证书复印件并加盖供应商单位公章，否则投标无效。</w:t>
            </w:r>
            <w:r>
              <w:rPr>
                <w:rFonts w:hint="eastAsia" w:ascii="仿宋" w:hAnsi="仿宋" w:cs="黑体"/>
                <w:b/>
                <w:bCs/>
                <w:kern w:val="0"/>
                <w:sz w:val="22"/>
                <w:szCs w:val="22"/>
              </w:rPr>
              <w:t>（实质性要求）</w:t>
            </w:r>
          </w:p>
          <w:p>
            <w:pPr>
              <w:adjustRightInd w:val="0"/>
              <w:snapToGrid w:val="0"/>
              <w:ind w:right="120" w:rightChars="50"/>
              <w:rPr>
                <w:rFonts w:ascii="仿宋" w:hAnsi="仿宋"/>
                <w:sz w:val="21"/>
                <w:szCs w:val="21"/>
              </w:rPr>
            </w:pPr>
            <w:r>
              <w:rPr>
                <w:rFonts w:hint="eastAsia" w:ascii="仿宋" w:hAnsi="仿宋"/>
                <w:sz w:val="21"/>
                <w:szCs w:val="21"/>
              </w:rPr>
              <w:t>本项目采购的产品属于</w:t>
            </w:r>
            <w:r>
              <w:rPr>
                <w:rFonts w:hint="eastAsia" w:ascii="仿宋" w:hAnsi="仿宋"/>
                <w:b/>
                <w:bCs/>
                <w:sz w:val="21"/>
                <w:szCs w:val="21"/>
              </w:rPr>
              <w:t>品目清单优先采购范围的</w:t>
            </w:r>
            <w:r>
              <w:rPr>
                <w:rFonts w:hint="eastAsia" w:ascii="仿宋" w:hAnsi="仿宋"/>
                <w:sz w:val="21"/>
                <w:szCs w:val="21"/>
              </w:rPr>
              <w:t>，按照第七章《综合评分明细表》的规则进行加分。</w:t>
            </w:r>
          </w:p>
          <w:p>
            <w:pPr>
              <w:adjustRightInd w:val="0"/>
              <w:snapToGrid w:val="0"/>
              <w:ind w:right="120" w:rightChars="50"/>
              <w:rPr>
                <w:rFonts w:ascii="仿宋" w:hAnsi="仿宋"/>
                <w:sz w:val="21"/>
                <w:szCs w:val="21"/>
              </w:rPr>
            </w:pPr>
            <w:r>
              <w:rPr>
                <w:rFonts w:hint="eastAsia" w:ascii="仿宋" w:hAnsi="仿宋"/>
                <w:sz w:val="21"/>
                <w:szCs w:val="21"/>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adjustRightInd w:val="0"/>
              <w:snapToGrid w:val="0"/>
              <w:ind w:right="120" w:rightChars="50"/>
              <w:rPr>
                <w:rFonts w:ascii="仿宋" w:hAnsi="仿宋"/>
                <w:b/>
                <w:sz w:val="21"/>
                <w:szCs w:val="21"/>
              </w:rPr>
            </w:pPr>
            <w:r>
              <w:rPr>
                <w:rFonts w:hint="eastAsia" w:ascii="仿宋" w:hAnsi="仿宋"/>
                <w:b/>
                <w:sz w:val="21"/>
                <w:szCs w:val="21"/>
              </w:rPr>
              <w:t>二</w:t>
            </w:r>
            <w:r>
              <w:rPr>
                <w:rFonts w:ascii="仿宋" w:hAnsi="仿宋"/>
                <w:b/>
                <w:sz w:val="21"/>
                <w:szCs w:val="21"/>
              </w:rPr>
              <w:t>、</w:t>
            </w:r>
            <w:r>
              <w:rPr>
                <w:rFonts w:hint="eastAsia" w:ascii="仿宋" w:hAnsi="仿宋"/>
                <w:b/>
                <w:sz w:val="21"/>
                <w:szCs w:val="21"/>
              </w:rPr>
              <w:t>无线局域网产品政府采购政策：</w:t>
            </w:r>
          </w:p>
          <w:p>
            <w:pPr>
              <w:adjustRightInd w:val="0"/>
              <w:snapToGrid w:val="0"/>
              <w:ind w:right="120" w:rightChars="50"/>
              <w:rPr>
                <w:rFonts w:ascii="仿宋" w:hAnsi="仿宋"/>
                <w:sz w:val="21"/>
                <w:szCs w:val="21"/>
              </w:rPr>
            </w:pPr>
            <w:r>
              <w:rPr>
                <w:rFonts w:hint="eastAsia" w:ascii="仿宋" w:hAnsi="仿宋"/>
                <w:sz w:val="21"/>
                <w:szCs w:val="21"/>
              </w:rPr>
              <w:t>本项目采购的产品属于中国</w:t>
            </w:r>
            <w:r>
              <w:rPr>
                <w:rFonts w:ascii="仿宋" w:hAnsi="仿宋"/>
                <w:sz w:val="21"/>
                <w:szCs w:val="21"/>
              </w:rPr>
              <w:t>政府采购网公布的</w:t>
            </w:r>
            <w:r>
              <w:rPr>
                <w:rFonts w:hint="eastAsia" w:ascii="仿宋" w:hAnsi="仿宋"/>
                <w:b/>
                <w:bCs/>
                <w:sz w:val="21"/>
                <w:szCs w:val="21"/>
              </w:rPr>
              <w:t>《无线局域网认证产品政府采购清单》</w:t>
            </w:r>
            <w:r>
              <w:rPr>
                <w:rFonts w:hint="eastAsia" w:ascii="仿宋" w:hAnsi="仿宋"/>
                <w:sz w:val="21"/>
                <w:szCs w:val="21"/>
              </w:rPr>
              <w:t>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pStyle w:val="83"/>
              <w:snapToGrid w:val="0"/>
              <w:spacing w:after="0" w:line="360" w:lineRule="auto"/>
              <w:jc w:val="center"/>
              <w:rPr>
                <w:rFonts w:ascii="仿宋" w:hAnsi="仿宋" w:eastAsia="仿宋" w:cs="Times New Roman"/>
                <w:kern w:val="2"/>
                <w:sz w:val="21"/>
                <w:szCs w:val="21"/>
              </w:rPr>
            </w:pPr>
            <w:r>
              <w:rPr>
                <w:rFonts w:ascii="仿宋" w:hAnsi="仿宋" w:eastAsia="仿宋" w:cs="Times New Roman"/>
                <w:kern w:val="2"/>
                <w:sz w:val="21"/>
                <w:szCs w:val="21"/>
              </w:rPr>
              <w:t>6</w:t>
            </w:r>
          </w:p>
        </w:tc>
        <w:tc>
          <w:tcPr>
            <w:tcW w:w="1276" w:type="pct"/>
            <w:vAlign w:val="center"/>
          </w:tcPr>
          <w:p>
            <w:pPr>
              <w:adjustRightInd w:val="0"/>
              <w:snapToGrid w:val="0"/>
              <w:ind w:left="120" w:leftChars="50" w:right="120" w:rightChars="50"/>
              <w:jc w:val="center"/>
              <w:rPr>
                <w:rFonts w:ascii="仿宋" w:hAnsi="仿宋"/>
                <w:sz w:val="21"/>
                <w:szCs w:val="21"/>
              </w:rPr>
            </w:pPr>
            <w:r>
              <w:rPr>
                <w:rFonts w:hint="eastAsia" w:ascii="仿宋" w:hAnsi="仿宋"/>
                <w:kern w:val="0"/>
                <w:sz w:val="21"/>
                <w:szCs w:val="21"/>
              </w:rPr>
              <w:t>评标情况公告</w:t>
            </w:r>
          </w:p>
        </w:tc>
        <w:tc>
          <w:tcPr>
            <w:tcW w:w="3407" w:type="pct"/>
            <w:vAlign w:val="center"/>
          </w:tcPr>
          <w:p>
            <w:pPr>
              <w:widowControl/>
              <w:adjustRightInd w:val="0"/>
              <w:snapToGrid w:val="0"/>
              <w:rPr>
                <w:rFonts w:ascii="仿宋" w:hAnsi="仿宋"/>
                <w:sz w:val="21"/>
                <w:szCs w:val="21"/>
              </w:rPr>
            </w:pPr>
            <w:bookmarkStart w:id="25" w:name="PO_默认文件内容_6"/>
            <w:r>
              <w:rPr>
                <w:rFonts w:hint="eastAsia" w:ascii="仿宋" w:hAnsi="仿宋"/>
                <w:kern w:val="0"/>
                <w:sz w:val="21"/>
                <w:szCs w:val="21"/>
              </w:rPr>
              <w:t>所有供应商投标文件资格性、符合性检查情况、采用综合评分法时的总得分和分项汇总得分情况、评标结果等将在四川政府采购网上采购结果公告栏中予以公告。</w:t>
            </w:r>
            <w:bookmarkEnd w:id="2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pStyle w:val="83"/>
              <w:snapToGrid w:val="0"/>
              <w:spacing w:after="0" w:line="360" w:lineRule="auto"/>
              <w:jc w:val="center"/>
              <w:rPr>
                <w:rFonts w:ascii="仿宋" w:hAnsi="仿宋" w:eastAsia="仿宋" w:cs="Times New Roman"/>
                <w:kern w:val="2"/>
                <w:sz w:val="21"/>
                <w:szCs w:val="21"/>
              </w:rPr>
            </w:pPr>
            <w:r>
              <w:rPr>
                <w:rFonts w:ascii="仿宋" w:hAnsi="仿宋" w:eastAsia="仿宋" w:cs="Times New Roman"/>
                <w:kern w:val="2"/>
                <w:sz w:val="21"/>
                <w:szCs w:val="21"/>
              </w:rPr>
              <w:t>7</w:t>
            </w:r>
          </w:p>
        </w:tc>
        <w:tc>
          <w:tcPr>
            <w:tcW w:w="1276" w:type="pct"/>
            <w:vAlign w:val="center"/>
          </w:tcPr>
          <w:p>
            <w:pPr>
              <w:pStyle w:val="83"/>
              <w:snapToGrid w:val="0"/>
              <w:spacing w:after="0" w:line="360" w:lineRule="auto"/>
              <w:ind w:left="96"/>
              <w:jc w:val="center"/>
              <w:rPr>
                <w:rFonts w:ascii="仿宋" w:hAnsi="仿宋" w:eastAsia="仿宋"/>
                <w:sz w:val="21"/>
                <w:szCs w:val="21"/>
                <w:lang w:val="zh-CN"/>
              </w:rPr>
            </w:pPr>
            <w:r>
              <w:rPr>
                <w:rFonts w:hint="eastAsia" w:ascii="仿宋" w:hAnsi="仿宋" w:eastAsia="仿宋"/>
                <w:sz w:val="21"/>
                <w:szCs w:val="21"/>
                <w:lang w:val="zh-CN"/>
              </w:rPr>
              <w:t>投标保证金</w:t>
            </w:r>
          </w:p>
        </w:tc>
        <w:tc>
          <w:tcPr>
            <w:tcW w:w="3407" w:type="pct"/>
            <w:vAlign w:val="center"/>
          </w:tcPr>
          <w:p>
            <w:pPr>
              <w:pStyle w:val="83"/>
              <w:snapToGrid w:val="0"/>
              <w:spacing w:after="0" w:line="360" w:lineRule="auto"/>
              <w:jc w:val="both"/>
              <w:rPr>
                <w:rFonts w:ascii="仿宋" w:hAnsi="仿宋" w:eastAsia="仿宋"/>
                <w:b/>
                <w:sz w:val="21"/>
                <w:szCs w:val="21"/>
              </w:rPr>
            </w:pPr>
            <w:r>
              <w:rPr>
                <w:rFonts w:hint="eastAsia" w:ascii="仿宋" w:hAnsi="仿宋" w:eastAsia="仿宋"/>
                <w:b/>
                <w:sz w:val="21"/>
                <w:szCs w:val="21"/>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pStyle w:val="83"/>
              <w:snapToGrid w:val="0"/>
              <w:spacing w:after="0" w:line="360" w:lineRule="auto"/>
              <w:jc w:val="center"/>
              <w:rPr>
                <w:rFonts w:ascii="仿宋" w:hAnsi="仿宋" w:eastAsia="仿宋" w:cs="Times New Roman"/>
                <w:kern w:val="2"/>
                <w:sz w:val="21"/>
                <w:szCs w:val="21"/>
              </w:rPr>
            </w:pPr>
            <w:r>
              <w:rPr>
                <w:rFonts w:ascii="仿宋" w:hAnsi="仿宋" w:eastAsia="仿宋" w:cs="Times New Roman"/>
                <w:kern w:val="2"/>
                <w:sz w:val="21"/>
                <w:szCs w:val="21"/>
              </w:rPr>
              <w:t>8</w:t>
            </w:r>
          </w:p>
        </w:tc>
        <w:tc>
          <w:tcPr>
            <w:tcW w:w="1276" w:type="pct"/>
            <w:vAlign w:val="center"/>
          </w:tcPr>
          <w:p>
            <w:pPr>
              <w:pStyle w:val="83"/>
              <w:snapToGrid w:val="0"/>
              <w:spacing w:after="0" w:line="360" w:lineRule="auto"/>
              <w:ind w:left="96"/>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3407" w:type="pct"/>
            <w:vAlign w:val="center"/>
          </w:tcPr>
          <w:p>
            <w:pPr>
              <w:pStyle w:val="83"/>
              <w:snapToGrid w:val="0"/>
              <w:spacing w:after="0" w:line="360" w:lineRule="auto"/>
              <w:jc w:val="both"/>
              <w:rPr>
                <w:rFonts w:ascii="仿宋" w:hAnsi="仿宋" w:eastAsia="仿宋" w:cs="Segoe UI Symbol"/>
                <w:b/>
                <w:bCs/>
                <w:kern w:val="2"/>
                <w:sz w:val="21"/>
                <w:szCs w:val="21"/>
              </w:rPr>
            </w:pPr>
            <w:bookmarkStart w:id="26" w:name="PO_默认文件内容_11"/>
            <w:r>
              <w:rPr>
                <w:rFonts w:hint="eastAsia" w:ascii="Segoe UI Emoji" w:hAnsi="Segoe UI Emoji" w:eastAsia="仿宋" w:cs="Segoe UI Emoji"/>
                <w:b/>
                <w:bCs/>
                <w:kern w:val="2"/>
                <w:sz w:val="21"/>
                <w:szCs w:val="21"/>
              </w:rPr>
              <w:sym w:font="Wingdings 2" w:char="0052"/>
            </w:r>
            <w:r>
              <w:rPr>
                <w:rFonts w:hint="eastAsia" w:ascii="仿宋" w:hAnsi="仿宋" w:eastAsia="仿宋" w:cs="Segoe UI Symbol"/>
                <w:b/>
                <w:bCs/>
                <w:kern w:val="2"/>
                <w:sz w:val="21"/>
                <w:szCs w:val="21"/>
              </w:rPr>
              <w:t>本项目不收取履约保证金。</w:t>
            </w:r>
          </w:p>
          <w:p>
            <w:pPr>
              <w:pStyle w:val="83"/>
              <w:snapToGrid w:val="0"/>
              <w:spacing w:after="0" w:line="360" w:lineRule="auto"/>
              <w:jc w:val="both"/>
              <w:rPr>
                <w:lang w:val="zh-CN"/>
              </w:rPr>
            </w:pPr>
            <w:r>
              <w:rPr>
                <w:rFonts w:hint="eastAsia" w:ascii="仿宋" w:hAnsi="仿宋" w:eastAsia="仿宋" w:cs="Segoe UI Symbol"/>
                <w:b/>
                <w:bCs/>
                <w:kern w:val="2"/>
                <w:sz w:val="21"/>
                <w:szCs w:val="21"/>
              </w:rPr>
              <w:sym w:font="Wingdings 2" w:char="00A3"/>
            </w:r>
            <w:r>
              <w:rPr>
                <w:rFonts w:hint="eastAsia" w:ascii="仿宋" w:hAnsi="仿宋" w:eastAsia="仿宋" w:cs="Segoe UI Symbol"/>
                <w:b/>
                <w:bCs/>
                <w:kern w:val="2"/>
                <w:sz w:val="21"/>
                <w:szCs w:val="21"/>
              </w:rPr>
              <w:t>本项目收取履约保证金：</w:t>
            </w:r>
            <w:bookmarkEnd w:id="26"/>
            <w:r>
              <w:rPr>
                <w:rFonts w:hint="eastAsia" w:ascii="仿宋" w:hAnsi="仿宋" w:eastAsia="仿宋" w:cs="Segoe UI Symbol"/>
                <w:b/>
                <w:bCs/>
                <w:kern w:val="2"/>
                <w:sz w:val="21"/>
                <w:szCs w:val="21"/>
                <w:lang w:val="en-US"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tcBorders>
              <w:top w:val="single" w:color="auto" w:sz="4" w:space="0"/>
              <w:bottom w:val="single" w:color="auto" w:sz="4" w:space="0"/>
            </w:tcBorders>
            <w:vAlign w:val="center"/>
          </w:tcPr>
          <w:p>
            <w:pPr>
              <w:pStyle w:val="83"/>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9</w:t>
            </w:r>
          </w:p>
        </w:tc>
        <w:tc>
          <w:tcPr>
            <w:tcW w:w="1276" w:type="pct"/>
            <w:vAlign w:val="center"/>
          </w:tcPr>
          <w:p>
            <w:pPr>
              <w:adjustRightInd w:val="0"/>
              <w:snapToGrid w:val="0"/>
              <w:ind w:firstLine="105" w:firstLineChars="50"/>
              <w:jc w:val="center"/>
              <w:rPr>
                <w:rFonts w:ascii="仿宋" w:hAnsi="仿宋"/>
                <w:sz w:val="21"/>
                <w:szCs w:val="21"/>
              </w:rPr>
            </w:pPr>
            <w:r>
              <w:rPr>
                <w:rFonts w:hint="eastAsia" w:ascii="仿宋" w:hAnsi="仿宋"/>
                <w:sz w:val="21"/>
                <w:szCs w:val="21"/>
              </w:rPr>
              <w:t>合同分包</w:t>
            </w:r>
          </w:p>
          <w:p>
            <w:pPr>
              <w:adjustRightInd w:val="0"/>
              <w:snapToGrid w:val="0"/>
              <w:ind w:firstLine="120" w:firstLineChars="50"/>
              <w:jc w:val="center"/>
              <w:rPr>
                <w:rFonts w:ascii="仿宋" w:hAnsi="仿宋"/>
                <w:sz w:val="21"/>
                <w:szCs w:val="21"/>
              </w:rPr>
            </w:pPr>
            <w:r>
              <w:rPr>
                <w:rFonts w:hint="eastAsia" w:ascii="仿宋" w:hAnsi="仿宋" w:cs="黑体"/>
                <w:b/>
                <w:bCs/>
                <w:kern w:val="0"/>
              </w:rPr>
              <w:t>（实质性要求）</w:t>
            </w:r>
          </w:p>
        </w:tc>
        <w:tc>
          <w:tcPr>
            <w:tcW w:w="3407" w:type="pct"/>
            <w:vAlign w:val="center"/>
          </w:tcPr>
          <w:p>
            <w:pPr>
              <w:pStyle w:val="83"/>
              <w:snapToGrid w:val="0"/>
              <w:spacing w:after="0" w:line="360" w:lineRule="auto"/>
              <w:jc w:val="both"/>
              <w:rPr>
                <w:rFonts w:ascii="仿宋" w:hAnsi="仿宋" w:eastAsia="仿宋" w:cs="Times New Roman"/>
                <w:b/>
                <w:kern w:val="2"/>
                <w:sz w:val="21"/>
                <w:szCs w:val="21"/>
              </w:rPr>
            </w:pPr>
            <w:r>
              <w:rPr>
                <w:rFonts w:ascii="Segoe UI Emoji" w:hAnsi="Segoe UI Emoji" w:eastAsia="仿宋" w:cs="Segoe UI Emoji"/>
                <w:b/>
                <w:bCs/>
                <w:kern w:val="2"/>
                <w:sz w:val="21"/>
                <w:szCs w:val="21"/>
              </w:rPr>
              <w:t>☑</w:t>
            </w:r>
            <w:r>
              <w:rPr>
                <w:rFonts w:hint="eastAsia" w:ascii="仿宋" w:hAnsi="仿宋" w:eastAsia="仿宋" w:cs="Times New Roman"/>
                <w:b/>
                <w:kern w:val="2"/>
                <w:sz w:val="21"/>
                <w:szCs w:val="21"/>
              </w:rPr>
              <w:t>本项目不接受合同分包。</w:t>
            </w:r>
          </w:p>
          <w:p>
            <w:pPr>
              <w:pStyle w:val="83"/>
              <w:snapToGrid w:val="0"/>
              <w:spacing w:after="0" w:line="360" w:lineRule="auto"/>
              <w:jc w:val="both"/>
              <w:rPr>
                <w:rFonts w:ascii="仿宋" w:hAnsi="仿宋" w:eastAsia="仿宋" w:cs="Times New Roman"/>
                <w:b/>
                <w:kern w:val="2"/>
                <w:sz w:val="21"/>
                <w:szCs w:val="21"/>
              </w:rPr>
            </w:pPr>
            <w:r>
              <w:rPr>
                <w:rFonts w:hint="eastAsia" w:ascii="仿宋" w:hAnsi="仿宋" w:eastAsia="仿宋" w:cs="Times New Roman"/>
                <w:kern w:val="2"/>
                <w:sz w:val="21"/>
                <w:szCs w:val="21"/>
              </w:rPr>
              <w:sym w:font="Wingdings 2" w:char="00A3"/>
            </w:r>
            <w:r>
              <w:rPr>
                <w:rFonts w:hint="eastAsia" w:ascii="仿宋" w:hAnsi="仿宋" w:eastAsia="仿宋" w:cs="Times New Roman"/>
                <w:b/>
                <w:kern w:val="2"/>
                <w:sz w:val="21"/>
                <w:szCs w:val="21"/>
              </w:rPr>
              <w:t>本项目接受合同分包，具体要求如下：</w:t>
            </w:r>
          </w:p>
          <w:p>
            <w:pPr>
              <w:pStyle w:val="83"/>
              <w:snapToGrid w:val="0"/>
              <w:spacing w:after="0" w:line="360" w:lineRule="auto"/>
              <w:jc w:val="both"/>
              <w:rPr>
                <w:rFonts w:ascii="仿宋" w:hAnsi="仿宋" w:eastAsia="仿宋" w:cs="Times New Roman"/>
                <w:kern w:val="2"/>
                <w:sz w:val="21"/>
                <w:szCs w:val="21"/>
              </w:rPr>
            </w:pPr>
            <w:r>
              <w:rPr>
                <w:rFonts w:ascii="仿宋" w:hAnsi="仿宋" w:eastAsia="仿宋" w:cs="Times New Roman"/>
                <w:kern w:val="2"/>
                <w:sz w:val="21"/>
                <w:szCs w:val="21"/>
              </w:rPr>
              <w:t>1.</w:t>
            </w:r>
            <w:r>
              <w:rPr>
                <w:rFonts w:hint="eastAsia" w:ascii="仿宋" w:hAnsi="仿宋" w:eastAsia="仿宋" w:cs="Times New Roman"/>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pStyle w:val="83"/>
              <w:snapToGrid w:val="0"/>
              <w:spacing w:after="0" w:line="360" w:lineRule="auto"/>
              <w:jc w:val="both"/>
              <w:rPr>
                <w:rFonts w:ascii="仿宋" w:hAnsi="仿宋" w:eastAsia="仿宋" w:cs="Times New Roman"/>
                <w:kern w:val="2"/>
                <w:sz w:val="21"/>
                <w:szCs w:val="21"/>
              </w:rPr>
            </w:pPr>
            <w:r>
              <w:rPr>
                <w:rFonts w:ascii="仿宋" w:hAnsi="仿宋" w:eastAsia="仿宋" w:cs="Times New Roman"/>
                <w:kern w:val="2"/>
                <w:sz w:val="21"/>
                <w:szCs w:val="21"/>
              </w:rPr>
              <w:t>2.</w:t>
            </w:r>
            <w:r>
              <w:rPr>
                <w:rFonts w:hint="eastAsia" w:ascii="仿宋" w:hAnsi="仿宋" w:eastAsia="仿宋" w:cs="Times New Roman"/>
                <w:kern w:val="2"/>
                <w:sz w:val="21"/>
                <w:szCs w:val="21"/>
              </w:rPr>
              <w:t>分包履行合同的部分应当为采购项目的非主体、非关键性工作，不属于中标人的主要合同义务。本</w:t>
            </w:r>
            <w:r>
              <w:rPr>
                <w:rFonts w:ascii="仿宋" w:hAnsi="仿宋" w:eastAsia="仿宋" w:cs="Times New Roman"/>
                <w:kern w:val="2"/>
                <w:sz w:val="21"/>
                <w:szCs w:val="21"/>
              </w:rPr>
              <w:t>项目</w:t>
            </w:r>
            <w:r>
              <w:rPr>
                <w:rFonts w:hint="eastAsia" w:ascii="仿宋" w:hAnsi="仿宋" w:eastAsia="仿宋" w:cs="Times New Roman"/>
                <w:kern w:val="2"/>
                <w:sz w:val="21"/>
                <w:szCs w:val="21"/>
              </w:rPr>
              <w:t>可以分包履行的具体内容、金额或者比例：</w:t>
            </w:r>
            <w:r>
              <w:rPr>
                <w:rFonts w:hint="eastAsia" w:ascii="仿宋" w:hAnsi="仿宋" w:eastAsia="仿宋"/>
                <w:sz w:val="21"/>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tcBorders>
              <w:top w:val="single" w:color="auto" w:sz="4" w:space="0"/>
              <w:bottom w:val="single" w:color="auto" w:sz="4" w:space="0"/>
            </w:tcBorders>
            <w:vAlign w:val="center"/>
          </w:tcPr>
          <w:p>
            <w:pPr>
              <w:pStyle w:val="83"/>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10</w:t>
            </w:r>
          </w:p>
        </w:tc>
        <w:tc>
          <w:tcPr>
            <w:tcW w:w="1276" w:type="pct"/>
            <w:tcBorders>
              <w:top w:val="single" w:color="auto" w:sz="4" w:space="0"/>
              <w:bottom w:val="single" w:color="auto" w:sz="4" w:space="0"/>
            </w:tcBorders>
            <w:vAlign w:val="center"/>
          </w:tcPr>
          <w:p>
            <w:pPr>
              <w:pStyle w:val="83"/>
              <w:snapToGrid w:val="0"/>
              <w:spacing w:after="0" w:line="360" w:lineRule="auto"/>
              <w:jc w:val="center"/>
              <w:rPr>
                <w:rFonts w:ascii="仿宋" w:hAnsi="仿宋" w:eastAsia="仿宋" w:cs="Times New Roman"/>
                <w:b/>
                <w:kern w:val="2"/>
                <w:sz w:val="21"/>
                <w:szCs w:val="21"/>
              </w:rPr>
            </w:pPr>
            <w:r>
              <w:rPr>
                <w:rFonts w:hint="eastAsia" w:ascii="仿宋" w:hAnsi="仿宋" w:eastAsia="仿宋" w:cs="Times New Roman"/>
                <w:b/>
                <w:kern w:val="2"/>
                <w:sz w:val="21"/>
                <w:szCs w:val="21"/>
              </w:rPr>
              <w:t>开标、评标工作咨询；</w:t>
            </w:r>
          </w:p>
          <w:p>
            <w:pPr>
              <w:pStyle w:val="83"/>
              <w:snapToGrid w:val="0"/>
              <w:spacing w:after="0" w:line="360" w:lineRule="auto"/>
              <w:jc w:val="center"/>
              <w:rPr>
                <w:rFonts w:ascii="仿宋" w:hAnsi="仿宋" w:eastAsia="仿宋" w:cs="Times New Roman"/>
                <w:b/>
                <w:kern w:val="2"/>
                <w:sz w:val="21"/>
                <w:szCs w:val="21"/>
              </w:rPr>
            </w:pPr>
            <w:r>
              <w:rPr>
                <w:rFonts w:hint="eastAsia" w:ascii="仿宋" w:hAnsi="仿宋" w:eastAsia="仿宋" w:cs="Times New Roman"/>
                <w:b/>
                <w:bCs/>
                <w:kern w:val="2"/>
                <w:sz w:val="21"/>
                <w:szCs w:val="21"/>
              </w:rPr>
              <w:t>采购项目具体事项咨询</w:t>
            </w:r>
          </w:p>
        </w:tc>
        <w:tc>
          <w:tcPr>
            <w:tcW w:w="3407" w:type="pct"/>
            <w:tcBorders>
              <w:top w:val="single" w:color="auto" w:sz="4" w:space="0"/>
              <w:bottom w:val="single" w:color="auto" w:sz="4" w:space="0"/>
            </w:tcBorders>
            <w:vAlign w:val="center"/>
          </w:tcPr>
          <w:p>
            <w:pPr>
              <w:adjustRightInd w:val="0"/>
              <w:snapToGrid w:val="0"/>
              <w:ind w:right="120" w:rightChars="50"/>
              <w:rPr>
                <w:rFonts w:ascii="仿宋" w:hAnsi="仿宋"/>
                <w:b/>
                <w:sz w:val="21"/>
                <w:szCs w:val="21"/>
              </w:rPr>
            </w:pPr>
            <w:r>
              <w:rPr>
                <w:rFonts w:hint="eastAsia" w:ascii="仿宋" w:hAnsi="仿宋"/>
                <w:b/>
                <w:sz w:val="21"/>
                <w:szCs w:val="21"/>
              </w:rPr>
              <w:t>联 系 人：高女士</w:t>
            </w:r>
          </w:p>
          <w:p>
            <w:pPr>
              <w:adjustRightInd w:val="0"/>
              <w:snapToGrid w:val="0"/>
              <w:ind w:right="120" w:rightChars="50"/>
              <w:rPr>
                <w:rFonts w:ascii="仿宋" w:hAnsi="仿宋"/>
                <w:b/>
                <w:sz w:val="21"/>
                <w:szCs w:val="21"/>
              </w:rPr>
            </w:pPr>
            <w:r>
              <w:rPr>
                <w:rFonts w:hint="eastAsia" w:ascii="仿宋" w:hAnsi="仿宋"/>
                <w:b/>
                <w:sz w:val="21"/>
                <w:szCs w:val="21"/>
              </w:rPr>
              <w:t>联系电话：18010652859</w:t>
            </w:r>
          </w:p>
          <w:p>
            <w:pPr>
              <w:adjustRightInd w:val="0"/>
              <w:snapToGrid w:val="0"/>
              <w:ind w:right="120" w:rightChars="50"/>
              <w:rPr>
                <w:rFonts w:ascii="仿宋" w:hAnsi="仿宋"/>
                <w:b/>
                <w:sz w:val="21"/>
                <w:szCs w:val="21"/>
              </w:rPr>
            </w:pPr>
            <w:r>
              <w:rPr>
                <w:rFonts w:hint="eastAsia" w:ascii="仿宋" w:hAnsi="仿宋"/>
                <w:b/>
                <w:sz w:val="21"/>
                <w:szCs w:val="21"/>
              </w:rPr>
              <w:t>联系地址：成都市锦江区东大路318号2栋15层1号（环球都汇广场）。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tcBorders>
              <w:top w:val="single" w:color="auto" w:sz="4" w:space="0"/>
              <w:bottom w:val="single" w:color="auto" w:sz="4" w:space="0"/>
            </w:tcBorders>
            <w:vAlign w:val="center"/>
          </w:tcPr>
          <w:p>
            <w:pPr>
              <w:pStyle w:val="83"/>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11</w:t>
            </w:r>
          </w:p>
        </w:tc>
        <w:tc>
          <w:tcPr>
            <w:tcW w:w="1276" w:type="pct"/>
            <w:tcBorders>
              <w:top w:val="single" w:color="auto" w:sz="4" w:space="0"/>
              <w:bottom w:val="single" w:color="auto" w:sz="4" w:space="0"/>
            </w:tcBorders>
            <w:vAlign w:val="center"/>
          </w:tcPr>
          <w:p>
            <w:pPr>
              <w:pStyle w:val="83"/>
              <w:snapToGrid w:val="0"/>
              <w:spacing w:after="0" w:line="360" w:lineRule="auto"/>
              <w:jc w:val="center"/>
              <w:rPr>
                <w:rFonts w:ascii="仿宋" w:hAnsi="仿宋" w:eastAsia="仿宋" w:cs="Times New Roman"/>
                <w:kern w:val="2"/>
                <w:sz w:val="21"/>
                <w:szCs w:val="21"/>
              </w:rPr>
            </w:pPr>
            <w:r>
              <w:rPr>
                <w:rFonts w:hint="eastAsia" w:ascii="仿宋" w:hAnsi="仿宋" w:eastAsia="仿宋"/>
                <w:sz w:val="21"/>
                <w:szCs w:val="21"/>
              </w:rPr>
              <w:t>中标通知书领取</w:t>
            </w:r>
          </w:p>
        </w:tc>
        <w:tc>
          <w:tcPr>
            <w:tcW w:w="3407" w:type="pct"/>
            <w:tcBorders>
              <w:top w:val="single" w:color="auto" w:sz="4" w:space="0"/>
              <w:bottom w:val="single" w:color="auto" w:sz="4" w:space="0"/>
            </w:tcBorders>
            <w:vAlign w:val="center"/>
          </w:tcPr>
          <w:p>
            <w:pPr>
              <w:tabs>
                <w:tab w:val="left" w:pos="7665"/>
              </w:tabs>
              <w:adjustRightInd w:val="0"/>
              <w:snapToGrid w:val="0"/>
              <w:rPr>
                <w:rFonts w:ascii="仿宋" w:hAnsi="仿宋"/>
                <w:sz w:val="21"/>
                <w:szCs w:val="21"/>
              </w:rPr>
            </w:pPr>
            <w:bookmarkStart w:id="27" w:name="PO_默认文件内容_29"/>
            <w:r>
              <w:rPr>
                <w:rFonts w:hint="eastAsia" w:ascii="仿宋" w:hAnsi="仿宋"/>
                <w:sz w:val="21"/>
                <w:szCs w:val="21"/>
                <w:lang w:val="zh-CN"/>
              </w:rPr>
              <w:t>在四川政府采购网公告中标结果同时发出中标通知书</w:t>
            </w:r>
            <w:r>
              <w:rPr>
                <w:rFonts w:hint="eastAsia" w:ascii="仿宋" w:hAnsi="仿宋"/>
                <w:sz w:val="21"/>
                <w:szCs w:val="21"/>
              </w:rPr>
              <w:t>，</w:t>
            </w:r>
            <w:r>
              <w:rPr>
                <w:rFonts w:hint="eastAsia" w:ascii="仿宋" w:hAnsi="仿宋"/>
                <w:sz w:val="21"/>
                <w:szCs w:val="21"/>
                <w:lang w:val="zh-CN"/>
              </w:rPr>
              <w:t>中标供应商</w:t>
            </w:r>
            <w:r>
              <w:rPr>
                <w:rFonts w:hint="eastAsia" w:ascii="仿宋" w:hAnsi="仿宋"/>
                <w:spacing w:val="-6"/>
                <w:sz w:val="21"/>
                <w:szCs w:val="21"/>
                <w:lang w:val="zh-CN"/>
              </w:rPr>
              <w:t>自行登录政府采购云平台</w:t>
            </w:r>
            <w:r>
              <w:rPr>
                <w:rFonts w:hint="eastAsia" w:ascii="仿宋" w:hAnsi="仿宋"/>
                <w:spacing w:val="-6"/>
                <w:sz w:val="21"/>
                <w:szCs w:val="21"/>
              </w:rPr>
              <w:t>（https://www.zcygov.cn）</w:t>
            </w:r>
            <w:r>
              <w:rPr>
                <w:rFonts w:hint="eastAsia" w:ascii="仿宋" w:hAnsi="仿宋"/>
                <w:spacing w:val="-6"/>
                <w:sz w:val="21"/>
                <w:szCs w:val="21"/>
                <w:lang w:val="zh-CN"/>
              </w:rPr>
              <w:t>下载中标通知书。</w:t>
            </w:r>
            <w:bookmarkEnd w:id="2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tcBorders>
              <w:top w:val="single" w:color="auto" w:sz="4" w:space="0"/>
            </w:tcBorders>
            <w:vAlign w:val="center"/>
          </w:tcPr>
          <w:p>
            <w:pPr>
              <w:pStyle w:val="83"/>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12</w:t>
            </w:r>
          </w:p>
        </w:tc>
        <w:tc>
          <w:tcPr>
            <w:tcW w:w="1276" w:type="pct"/>
            <w:tcBorders>
              <w:top w:val="single" w:color="auto" w:sz="4" w:space="0"/>
            </w:tcBorders>
            <w:vAlign w:val="center"/>
          </w:tcPr>
          <w:p>
            <w:pPr>
              <w:adjustRightInd w:val="0"/>
              <w:snapToGrid w:val="0"/>
              <w:ind w:left="120" w:leftChars="50" w:right="120" w:rightChars="50"/>
              <w:jc w:val="center"/>
              <w:rPr>
                <w:rFonts w:ascii="仿宋" w:hAnsi="仿宋"/>
                <w:sz w:val="21"/>
                <w:szCs w:val="21"/>
              </w:rPr>
            </w:pPr>
            <w:r>
              <w:rPr>
                <w:rFonts w:hint="eastAsia" w:ascii="仿宋" w:hAnsi="仿宋"/>
                <w:sz w:val="21"/>
                <w:szCs w:val="21"/>
              </w:rPr>
              <w:t>供应商询问或质疑</w:t>
            </w:r>
          </w:p>
        </w:tc>
        <w:tc>
          <w:tcPr>
            <w:tcW w:w="3407" w:type="pct"/>
            <w:tcBorders>
              <w:top w:val="single" w:color="auto" w:sz="4" w:space="0"/>
            </w:tcBorders>
            <w:vAlign w:val="center"/>
          </w:tcPr>
          <w:p>
            <w:pPr>
              <w:adjustRightInd w:val="0"/>
              <w:snapToGrid w:val="0"/>
              <w:ind w:right="120" w:rightChars="50"/>
              <w:rPr>
                <w:rFonts w:ascii="仿宋" w:hAnsi="仿宋"/>
                <w:sz w:val="21"/>
                <w:szCs w:val="21"/>
              </w:rPr>
            </w:pPr>
            <w:bookmarkStart w:id="28" w:name="PO_默认文件内容_30"/>
            <w:r>
              <w:rPr>
                <w:rFonts w:hint="eastAsia" w:ascii="仿宋" w:hAnsi="仿宋"/>
                <w:spacing w:val="-11"/>
                <w:sz w:val="21"/>
                <w:szCs w:val="21"/>
              </w:rPr>
              <w:t>根据委托代理协议约定，供应商询问或质疑由采购代理机构负责答复。</w:t>
            </w:r>
          </w:p>
          <w:p>
            <w:pPr>
              <w:adjustRightInd w:val="0"/>
              <w:snapToGrid w:val="0"/>
              <w:ind w:right="120" w:rightChars="50"/>
              <w:rPr>
                <w:rFonts w:ascii="仿宋" w:hAnsi="仿宋"/>
                <w:sz w:val="21"/>
                <w:szCs w:val="21"/>
              </w:rPr>
            </w:pPr>
            <w:r>
              <w:rPr>
                <w:rFonts w:hint="eastAsia" w:ascii="仿宋" w:hAnsi="仿宋"/>
                <w:sz w:val="21"/>
                <w:szCs w:val="21"/>
              </w:rPr>
              <w:t>联系人：高女士。</w:t>
            </w:r>
          </w:p>
          <w:p>
            <w:pPr>
              <w:adjustRightInd w:val="0"/>
              <w:snapToGrid w:val="0"/>
              <w:ind w:right="120" w:rightChars="50"/>
              <w:rPr>
                <w:rFonts w:ascii="仿宋" w:hAnsi="仿宋"/>
                <w:sz w:val="21"/>
                <w:szCs w:val="21"/>
              </w:rPr>
            </w:pPr>
            <w:r>
              <w:rPr>
                <w:rFonts w:hint="eastAsia" w:ascii="仿宋" w:hAnsi="仿宋"/>
                <w:sz w:val="21"/>
                <w:szCs w:val="21"/>
              </w:rPr>
              <w:t>电话：18010652859</w:t>
            </w:r>
          </w:p>
          <w:p>
            <w:pPr>
              <w:adjustRightInd w:val="0"/>
              <w:snapToGrid w:val="0"/>
              <w:ind w:right="120" w:rightChars="50"/>
              <w:rPr>
                <w:rFonts w:ascii="仿宋" w:hAnsi="仿宋"/>
                <w:sz w:val="21"/>
                <w:szCs w:val="21"/>
              </w:rPr>
            </w:pPr>
            <w:r>
              <w:rPr>
                <w:rFonts w:hint="eastAsia" w:ascii="仿宋" w:hAnsi="仿宋"/>
                <w:sz w:val="21"/>
                <w:szCs w:val="21"/>
              </w:rPr>
              <w:t>递交地址：政府采购云平台</w:t>
            </w:r>
            <w:r>
              <w:rPr>
                <w:rFonts w:hint="eastAsia" w:ascii="仿宋" w:hAnsi="仿宋"/>
                <w:spacing w:val="-6"/>
                <w:sz w:val="21"/>
                <w:szCs w:val="21"/>
              </w:rPr>
              <w:t>（https://www.zcygov.cn）</w:t>
            </w:r>
            <w:r>
              <w:rPr>
                <w:rFonts w:hint="eastAsia" w:ascii="仿宋" w:hAnsi="仿宋"/>
                <w:sz w:val="21"/>
                <w:szCs w:val="21"/>
              </w:rPr>
              <w:t>（须通过政府采购云平台提交，请勿线下递交）。</w:t>
            </w:r>
          </w:p>
          <w:p>
            <w:pPr>
              <w:adjustRightInd w:val="0"/>
              <w:snapToGrid w:val="0"/>
              <w:rPr>
                <w:rFonts w:ascii="仿宋" w:hAnsi="仿宋"/>
                <w:sz w:val="21"/>
                <w:szCs w:val="21"/>
                <w:lang w:val="zh-CN"/>
              </w:rPr>
            </w:pPr>
            <w:r>
              <w:rPr>
                <w:rFonts w:hint="eastAsia" w:ascii="仿宋" w:hAnsi="仿宋"/>
                <w:sz w:val="21"/>
                <w:szCs w:val="21"/>
                <w:lang w:val="zh-CN"/>
              </w:rPr>
              <w:t>注：根据《中华人民共和国政府采购法》等规定，供应商质疑不得超出采购文件、采购过程、采购结果的范围</w:t>
            </w:r>
            <w:bookmarkEnd w:id="28"/>
            <w:r>
              <w:rPr>
                <w:rFonts w:hint="eastAsia" w:ascii="仿宋" w:hAnsi="仿宋"/>
                <w:sz w:val="21"/>
                <w:szCs w:val="21"/>
                <w:lang w:val="zh-CN"/>
              </w:rPr>
              <w:t>,</w:t>
            </w:r>
            <w:r>
              <w:rPr>
                <w:rFonts w:hint="eastAsia" w:ascii="仿宋" w:hAnsi="仿宋"/>
                <w:sz w:val="21"/>
                <w:szCs w:val="21"/>
              </w:rPr>
              <w:t xml:space="preserve"> </w:t>
            </w:r>
            <w:r>
              <w:rPr>
                <w:rFonts w:hint="eastAsia" w:ascii="仿宋" w:hAnsi="仿宋"/>
                <w:sz w:val="21"/>
                <w:szCs w:val="21"/>
                <w:lang w:val="zh-CN"/>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tcBorders>
              <w:top w:val="single" w:color="auto" w:sz="4" w:space="0"/>
            </w:tcBorders>
            <w:vAlign w:val="center"/>
          </w:tcPr>
          <w:p>
            <w:pPr>
              <w:pStyle w:val="83"/>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13</w:t>
            </w:r>
          </w:p>
        </w:tc>
        <w:tc>
          <w:tcPr>
            <w:tcW w:w="1276" w:type="pct"/>
            <w:tcBorders>
              <w:top w:val="single" w:color="auto" w:sz="4" w:space="0"/>
            </w:tcBorders>
            <w:vAlign w:val="center"/>
          </w:tcPr>
          <w:p>
            <w:pPr>
              <w:pStyle w:val="83"/>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供应商投诉</w:t>
            </w:r>
          </w:p>
        </w:tc>
        <w:tc>
          <w:tcPr>
            <w:tcW w:w="3407" w:type="pct"/>
            <w:tcBorders>
              <w:top w:val="single" w:color="auto" w:sz="4" w:space="0"/>
            </w:tcBorders>
          </w:tcPr>
          <w:p>
            <w:pPr>
              <w:adjustRightInd w:val="0"/>
              <w:snapToGrid w:val="0"/>
              <w:ind w:right="120" w:rightChars="50"/>
              <w:rPr>
                <w:rFonts w:ascii="仿宋" w:hAnsi="仿宋"/>
                <w:sz w:val="21"/>
                <w:szCs w:val="21"/>
              </w:rPr>
            </w:pPr>
            <w:r>
              <w:rPr>
                <w:rFonts w:hint="eastAsia" w:ascii="仿宋" w:hAnsi="仿宋"/>
                <w:sz w:val="21"/>
                <w:szCs w:val="21"/>
              </w:rPr>
              <w:t>投诉受理单位：本采购项目同级财政部门，即成都市财政局。</w:t>
            </w:r>
          </w:p>
          <w:p>
            <w:pPr>
              <w:adjustRightInd w:val="0"/>
              <w:snapToGrid w:val="0"/>
              <w:ind w:right="120" w:rightChars="50"/>
              <w:rPr>
                <w:rFonts w:ascii="仿宋" w:hAnsi="仿宋"/>
                <w:sz w:val="21"/>
                <w:szCs w:val="21"/>
              </w:rPr>
            </w:pPr>
            <w:r>
              <w:rPr>
                <w:rFonts w:hint="eastAsia" w:ascii="仿宋" w:hAnsi="仿宋"/>
                <w:sz w:val="21"/>
                <w:szCs w:val="21"/>
              </w:rPr>
              <w:t>联系电话：</w:t>
            </w:r>
            <w:r>
              <w:rPr>
                <w:rFonts w:ascii="仿宋" w:hAnsi="仿宋"/>
                <w:sz w:val="21"/>
                <w:szCs w:val="21"/>
              </w:rPr>
              <w:t>028-61882648</w:t>
            </w:r>
            <w:r>
              <w:rPr>
                <w:rFonts w:hint="eastAsia" w:ascii="仿宋" w:hAnsi="仿宋"/>
                <w:sz w:val="21"/>
                <w:szCs w:val="21"/>
              </w:rPr>
              <w:t>。</w:t>
            </w:r>
          </w:p>
          <w:p>
            <w:pPr>
              <w:adjustRightInd w:val="0"/>
              <w:snapToGrid w:val="0"/>
              <w:ind w:right="120" w:rightChars="50"/>
              <w:rPr>
                <w:rFonts w:ascii="仿宋" w:hAnsi="仿宋"/>
                <w:sz w:val="21"/>
                <w:szCs w:val="21"/>
              </w:rPr>
            </w:pPr>
            <w:r>
              <w:rPr>
                <w:rFonts w:hint="eastAsia" w:ascii="仿宋" w:hAnsi="仿宋"/>
                <w:sz w:val="21"/>
                <w:szCs w:val="21"/>
              </w:rPr>
              <w:t>地址：四川省成都市锦城大道366号。</w:t>
            </w:r>
          </w:p>
          <w:p>
            <w:pPr>
              <w:adjustRightInd w:val="0"/>
              <w:snapToGrid w:val="0"/>
              <w:ind w:right="120" w:rightChars="50"/>
              <w:rPr>
                <w:rFonts w:ascii="仿宋" w:hAnsi="仿宋"/>
                <w:sz w:val="21"/>
                <w:szCs w:val="21"/>
              </w:rPr>
            </w:pPr>
            <w:r>
              <w:rPr>
                <w:rFonts w:hint="eastAsia" w:ascii="仿宋" w:hAnsi="仿宋"/>
                <w:sz w:val="21"/>
                <w:szCs w:val="21"/>
              </w:rPr>
              <w:t>注：根据《中华人民共和国政府采购法实施条例》等规定，供应</w:t>
            </w:r>
          </w:p>
          <w:p>
            <w:pPr>
              <w:adjustRightInd w:val="0"/>
              <w:snapToGrid w:val="0"/>
              <w:ind w:right="120" w:rightChars="50"/>
              <w:rPr>
                <w:rFonts w:ascii="仿宋" w:hAnsi="仿宋"/>
                <w:sz w:val="21"/>
                <w:szCs w:val="21"/>
              </w:rPr>
            </w:pPr>
            <w:r>
              <w:rPr>
                <w:rFonts w:hint="eastAsia" w:ascii="仿宋" w:hAnsi="仿宋"/>
                <w:sz w:val="21"/>
                <w:szCs w:val="21"/>
              </w:rPr>
              <w:t>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pStyle w:val="83"/>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14</w:t>
            </w:r>
          </w:p>
        </w:tc>
        <w:tc>
          <w:tcPr>
            <w:tcW w:w="1276" w:type="pct"/>
          </w:tcPr>
          <w:p>
            <w:pPr>
              <w:adjustRightInd w:val="0"/>
              <w:snapToGrid w:val="0"/>
              <w:ind w:firstLine="105" w:firstLineChars="50"/>
              <w:jc w:val="center"/>
              <w:rPr>
                <w:rFonts w:ascii="仿宋" w:hAnsi="仿宋"/>
                <w:sz w:val="21"/>
                <w:szCs w:val="21"/>
              </w:rPr>
            </w:pPr>
            <w:r>
              <w:rPr>
                <w:rFonts w:hint="eastAsia" w:ascii="仿宋" w:hAnsi="仿宋"/>
                <w:sz w:val="21"/>
                <w:szCs w:val="21"/>
              </w:rPr>
              <w:t>政府采购合同</w:t>
            </w:r>
          </w:p>
          <w:p>
            <w:pPr>
              <w:pStyle w:val="83"/>
              <w:snapToGrid w:val="0"/>
              <w:spacing w:after="0" w:line="360" w:lineRule="auto"/>
              <w:jc w:val="center"/>
              <w:rPr>
                <w:rFonts w:ascii="仿宋" w:hAnsi="仿宋" w:eastAsia="仿宋" w:cs="Times New Roman"/>
                <w:kern w:val="2"/>
                <w:sz w:val="21"/>
                <w:szCs w:val="21"/>
              </w:rPr>
            </w:pPr>
            <w:r>
              <w:rPr>
                <w:rFonts w:hint="eastAsia" w:ascii="仿宋" w:hAnsi="仿宋" w:eastAsia="仿宋"/>
                <w:sz w:val="21"/>
                <w:szCs w:val="21"/>
              </w:rPr>
              <w:t>公告备案</w:t>
            </w:r>
          </w:p>
        </w:tc>
        <w:tc>
          <w:tcPr>
            <w:tcW w:w="3407" w:type="pct"/>
          </w:tcPr>
          <w:p>
            <w:pPr>
              <w:adjustRightInd w:val="0"/>
              <w:snapToGrid w:val="0"/>
              <w:ind w:right="120" w:rightChars="50"/>
              <w:rPr>
                <w:rFonts w:ascii="仿宋" w:hAnsi="仿宋"/>
                <w:sz w:val="21"/>
                <w:szCs w:val="21"/>
                <w:lang w:val="zh-CN"/>
              </w:rPr>
            </w:pPr>
            <w:bookmarkStart w:id="29" w:name="PO_默认文件内容_38"/>
            <w:r>
              <w:rPr>
                <w:rFonts w:hint="eastAsia" w:ascii="仿宋" w:hAnsi="仿宋"/>
                <w:sz w:val="21"/>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sz w:val="21"/>
                <w:szCs w:val="21"/>
                <w:lang w:val="zh-CN"/>
              </w:rPr>
              <w:t>。</w:t>
            </w:r>
            <w:bookmarkEnd w:id="29"/>
          </w:p>
          <w:p>
            <w:pPr>
              <w:adjustRightInd w:val="0"/>
              <w:snapToGrid w:val="0"/>
              <w:ind w:right="120" w:rightChars="50"/>
              <w:rPr>
                <w:rFonts w:ascii="仿宋" w:hAnsi="仿宋"/>
                <w:lang w:val="zh-CN"/>
              </w:rPr>
            </w:pPr>
            <w:r>
              <w:rPr>
                <w:rFonts w:hint="eastAsia" w:ascii="仿宋" w:hAnsi="仿宋"/>
                <w:sz w:val="21"/>
                <w:szCs w:val="21"/>
              </w:rPr>
              <w:t>注：采购人通过政采云平台提交采购合同后需要中标人在平台中审核通过才能完成，中标人须配合采购人在规定时间范围内完成审核。</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adjustRightInd w:val="0"/>
              <w:snapToGrid w:val="0"/>
              <w:jc w:val="center"/>
              <w:rPr>
                <w:rFonts w:ascii="仿宋" w:hAnsi="仿宋"/>
                <w:sz w:val="21"/>
                <w:szCs w:val="21"/>
              </w:rPr>
            </w:pPr>
            <w:r>
              <w:rPr>
                <w:rFonts w:hint="eastAsia" w:ascii="仿宋" w:hAnsi="仿宋"/>
                <w:sz w:val="21"/>
                <w:szCs w:val="21"/>
              </w:rPr>
              <w:t>15</w:t>
            </w:r>
          </w:p>
        </w:tc>
        <w:tc>
          <w:tcPr>
            <w:tcW w:w="1276" w:type="pct"/>
            <w:vAlign w:val="center"/>
          </w:tcPr>
          <w:p>
            <w:pPr>
              <w:pStyle w:val="83"/>
              <w:snapToGrid w:val="0"/>
              <w:spacing w:after="0" w:line="360" w:lineRule="auto"/>
              <w:jc w:val="center"/>
              <w:rPr>
                <w:rFonts w:ascii="仿宋" w:hAnsi="仿宋" w:eastAsia="仿宋" w:cs="Times New Roman"/>
                <w:kern w:val="2"/>
                <w:sz w:val="21"/>
                <w:szCs w:val="21"/>
              </w:rPr>
            </w:pPr>
            <w:r>
              <w:rPr>
                <w:rFonts w:hint="eastAsia" w:ascii="仿宋" w:hAnsi="仿宋" w:eastAsia="仿宋"/>
                <w:sz w:val="21"/>
                <w:szCs w:val="21"/>
                <w:lang w:val="zh-CN"/>
              </w:rPr>
              <w:t>招标</w:t>
            </w:r>
            <w:r>
              <w:rPr>
                <w:rFonts w:hint="eastAsia" w:ascii="仿宋" w:hAnsi="仿宋" w:eastAsia="仿宋"/>
                <w:sz w:val="21"/>
                <w:szCs w:val="21"/>
              </w:rPr>
              <w:t>代理</w:t>
            </w:r>
            <w:r>
              <w:rPr>
                <w:rFonts w:hint="eastAsia" w:ascii="仿宋" w:hAnsi="仿宋" w:eastAsia="仿宋"/>
                <w:sz w:val="21"/>
                <w:szCs w:val="21"/>
                <w:lang w:val="zh-CN"/>
              </w:rPr>
              <w:t>服务费</w:t>
            </w:r>
          </w:p>
        </w:tc>
        <w:tc>
          <w:tcPr>
            <w:tcW w:w="3407" w:type="pct"/>
            <w:vAlign w:val="center"/>
          </w:tcPr>
          <w:p>
            <w:pPr>
              <w:autoSpaceDE w:val="0"/>
              <w:autoSpaceDN w:val="0"/>
              <w:adjustRightInd w:val="0"/>
              <w:snapToGrid w:val="0"/>
              <w:rPr>
                <w:rFonts w:ascii="仿宋" w:hAnsi="仿宋"/>
                <w:sz w:val="21"/>
                <w:szCs w:val="21"/>
                <w:lang w:val="zh-CN"/>
              </w:rPr>
            </w:pPr>
            <w:r>
              <w:rPr>
                <w:rFonts w:hint="eastAsia" w:ascii="仿宋" w:hAnsi="仿宋"/>
                <w:sz w:val="21"/>
                <w:szCs w:val="21"/>
              </w:rPr>
              <w:t>项目成交服务费按成本加合理利润的原则，</w:t>
            </w:r>
            <w:r>
              <w:rPr>
                <w:rFonts w:hint="eastAsia" w:ascii="仿宋" w:hAnsi="仿宋"/>
                <w:sz w:val="21"/>
                <w:szCs w:val="21"/>
                <w:lang w:val="zh-CN"/>
              </w:rPr>
              <w:t>以</w:t>
            </w:r>
            <w:r>
              <w:rPr>
                <w:rFonts w:hint="eastAsia" w:ascii="仿宋" w:hAnsi="仿宋"/>
                <w:sz w:val="21"/>
                <w:szCs w:val="21"/>
              </w:rPr>
              <w:t>成交</w:t>
            </w:r>
            <w:r>
              <w:rPr>
                <w:rFonts w:hint="eastAsia" w:ascii="仿宋" w:hAnsi="仿宋"/>
                <w:sz w:val="21"/>
                <w:szCs w:val="21"/>
                <w:lang w:val="zh-CN"/>
              </w:rPr>
              <w:t>金额作为计算基数，</w:t>
            </w:r>
            <w:r>
              <w:rPr>
                <w:rFonts w:hint="eastAsia" w:ascii="仿宋" w:hAnsi="仿宋"/>
                <w:sz w:val="21"/>
                <w:szCs w:val="21"/>
              </w:rPr>
              <w:t>按照以下收费标</w:t>
            </w:r>
            <w:r>
              <w:rPr>
                <w:rFonts w:hint="eastAsia" w:ascii="仿宋" w:hAnsi="仿宋" w:cs="仿宋"/>
                <w:sz w:val="21"/>
                <w:szCs w:val="21"/>
              </w:rPr>
              <w:t>准下浮20%进行收取,不足8000元的按8000元收取。</w:t>
            </w:r>
            <w:r>
              <w:rPr>
                <w:rFonts w:hint="eastAsia" w:ascii="仿宋" w:hAnsi="仿宋"/>
                <w:sz w:val="21"/>
                <w:szCs w:val="21"/>
                <w:lang w:val="zh-CN"/>
              </w:rPr>
              <w:t>由</w:t>
            </w:r>
            <w:r>
              <w:rPr>
                <w:rFonts w:hint="eastAsia" w:ascii="仿宋" w:hAnsi="仿宋"/>
                <w:sz w:val="21"/>
                <w:szCs w:val="21"/>
              </w:rPr>
              <w:t>成交</w:t>
            </w:r>
            <w:r>
              <w:rPr>
                <w:rFonts w:hint="eastAsia" w:ascii="仿宋" w:hAnsi="仿宋"/>
                <w:sz w:val="21"/>
                <w:szCs w:val="21"/>
                <w:lang w:val="zh-CN"/>
              </w:rPr>
              <w:t>人在领取中</w:t>
            </w:r>
            <w:r>
              <w:rPr>
                <w:rFonts w:hint="eastAsia" w:ascii="仿宋" w:hAnsi="仿宋"/>
                <w:sz w:val="21"/>
                <w:szCs w:val="21"/>
              </w:rPr>
              <w:t>成交</w:t>
            </w:r>
            <w:r>
              <w:rPr>
                <w:rFonts w:hint="eastAsia" w:ascii="仿宋" w:hAnsi="仿宋"/>
                <w:sz w:val="21"/>
                <w:szCs w:val="21"/>
                <w:lang w:val="zh-CN"/>
              </w:rPr>
              <w:t>通知书前向</w:t>
            </w:r>
            <w:r>
              <w:rPr>
                <w:rFonts w:hint="eastAsia" w:ascii="仿宋" w:hAnsi="仿宋"/>
                <w:sz w:val="21"/>
                <w:szCs w:val="21"/>
              </w:rPr>
              <w:t>采购</w:t>
            </w:r>
            <w:r>
              <w:rPr>
                <w:rFonts w:hint="eastAsia" w:ascii="仿宋" w:hAnsi="仿宋"/>
                <w:sz w:val="21"/>
                <w:szCs w:val="21"/>
                <w:lang w:val="zh-CN"/>
              </w:rPr>
              <w:t>代理机构交纳</w:t>
            </w:r>
            <w:r>
              <w:rPr>
                <w:rFonts w:hint="eastAsia" w:ascii="仿宋" w:hAnsi="仿宋" w:cs="仿宋"/>
                <w:sz w:val="21"/>
                <w:szCs w:val="21"/>
                <w:lang w:val="zh-CN"/>
              </w:rPr>
              <w:t>。</w:t>
            </w:r>
          </w:p>
          <w:p>
            <w:pPr>
              <w:autoSpaceDE w:val="0"/>
              <w:autoSpaceDN w:val="0"/>
              <w:adjustRightInd w:val="0"/>
              <w:snapToGrid w:val="0"/>
              <w:rPr>
                <w:rFonts w:ascii="仿宋" w:hAnsi="仿宋"/>
                <w:sz w:val="21"/>
                <w:szCs w:val="21"/>
                <w:lang w:val="zh-CN"/>
              </w:rPr>
            </w:pPr>
            <w:r>
              <w:rPr>
                <w:rFonts w:hint="eastAsia" w:ascii="仿宋" w:hAnsi="仿宋"/>
                <w:sz w:val="21"/>
                <w:szCs w:val="21"/>
              </w:rPr>
              <w:t>收费标准</w:t>
            </w:r>
            <w:r>
              <w:rPr>
                <w:rFonts w:hint="eastAsia" w:ascii="仿宋" w:hAnsi="仿宋"/>
                <w:sz w:val="21"/>
                <w:szCs w:val="21"/>
                <w:lang w:val="zh-CN"/>
              </w:rPr>
              <w:t>（</w:t>
            </w:r>
            <w:r>
              <w:rPr>
                <w:rFonts w:hint="eastAsia" w:ascii="仿宋" w:hAnsi="仿宋"/>
                <w:sz w:val="21"/>
                <w:szCs w:val="21"/>
              </w:rPr>
              <w:t>费率）：</w:t>
            </w:r>
            <w:r>
              <w:rPr>
                <w:rFonts w:hint="eastAsia" w:ascii="仿宋" w:hAnsi="仿宋"/>
                <w:sz w:val="21"/>
                <w:szCs w:val="21"/>
              </w:rPr>
              <w:drawing>
                <wp:inline distT="0" distB="0" distL="114300" distR="114300">
                  <wp:extent cx="3841750" cy="2004060"/>
                  <wp:effectExtent l="0" t="0" r="6350" b="15240"/>
                  <wp:docPr id="30" name="图片 30" descr="费率比A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费率比AO2"/>
                          <pic:cNvPicPr>
                            <a:picLocks noChangeAspect="1"/>
                          </pic:cNvPicPr>
                        </pic:nvPicPr>
                        <pic:blipFill>
                          <a:blip r:embed="rId23"/>
                          <a:stretch>
                            <a:fillRect/>
                          </a:stretch>
                        </pic:blipFill>
                        <pic:spPr>
                          <a:xfrm>
                            <a:off x="0" y="0"/>
                            <a:ext cx="3841750" cy="2004060"/>
                          </a:xfrm>
                          <a:prstGeom prst="rect">
                            <a:avLst/>
                          </a:prstGeom>
                        </pic:spPr>
                      </pic:pic>
                    </a:graphicData>
                  </a:graphic>
                </wp:inline>
              </w:drawing>
            </w:r>
          </w:p>
          <w:p>
            <w:pPr>
              <w:adjustRightInd w:val="0"/>
              <w:snapToGrid w:val="0"/>
              <w:ind w:right="120" w:rightChars="50"/>
              <w:jc w:val="both"/>
              <w:rPr>
                <w:rFonts w:ascii="仿宋" w:hAnsi="仿宋"/>
                <w:sz w:val="21"/>
                <w:szCs w:val="21"/>
                <w:lang w:val="zh-CN"/>
              </w:rPr>
            </w:pPr>
            <w:r>
              <w:rPr>
                <w:rFonts w:hint="eastAsia" w:ascii="仿宋" w:hAnsi="仿宋"/>
                <w:sz w:val="21"/>
                <w:szCs w:val="21"/>
                <w:lang w:val="zh-CN"/>
              </w:rPr>
              <w:t>注:</w:t>
            </w:r>
            <w:r>
              <w:rPr>
                <w:rFonts w:ascii="仿宋" w:hAnsi="仿宋"/>
                <w:sz w:val="21"/>
                <w:szCs w:val="21"/>
                <w:lang w:val="zh-CN"/>
              </w:rPr>
              <w:t xml:space="preserve"> </w:t>
            </w:r>
            <w:r>
              <w:rPr>
                <w:rFonts w:hint="eastAsia" w:ascii="仿宋" w:hAnsi="仿宋" w:cs="仿宋"/>
                <w:sz w:val="21"/>
                <w:szCs w:val="21"/>
                <w:lang w:val="zh-CN"/>
              </w:rPr>
              <w:t>①按本表费率计算的收费为</w:t>
            </w:r>
            <w:r>
              <w:rPr>
                <w:rFonts w:hint="eastAsia" w:ascii="仿宋" w:hAnsi="仿宋" w:cs="仿宋"/>
                <w:sz w:val="21"/>
                <w:szCs w:val="21"/>
              </w:rPr>
              <w:t>采购</w:t>
            </w:r>
            <w:r>
              <w:rPr>
                <w:rFonts w:hint="eastAsia" w:ascii="仿宋" w:hAnsi="仿宋" w:cs="仿宋"/>
                <w:sz w:val="21"/>
                <w:szCs w:val="21"/>
                <w:lang w:val="zh-CN"/>
              </w:rPr>
              <w:t>代理服务全过程的收费基准价格。②</w:t>
            </w:r>
            <w:r>
              <w:rPr>
                <w:rFonts w:hint="eastAsia" w:ascii="仿宋" w:hAnsi="仿宋" w:cs="仿宋"/>
                <w:sz w:val="21"/>
                <w:szCs w:val="21"/>
              </w:rPr>
              <w:t>采购</w:t>
            </w:r>
            <w:r>
              <w:rPr>
                <w:rFonts w:hint="eastAsia" w:ascii="仿宋" w:hAnsi="仿宋"/>
                <w:sz w:val="21"/>
                <w:szCs w:val="21"/>
                <w:lang w:val="zh-CN"/>
              </w:rPr>
              <w:t>代理服务收费按差额定率累进法计算。</w:t>
            </w:r>
          </w:p>
          <w:p>
            <w:pPr>
              <w:adjustRightInd w:val="0"/>
              <w:snapToGrid w:val="0"/>
              <w:ind w:right="120" w:rightChars="50"/>
              <w:jc w:val="both"/>
              <w:rPr>
                <w:rFonts w:ascii="仿宋" w:hAnsi="仿宋"/>
                <w:sz w:val="21"/>
                <w:szCs w:val="21"/>
                <w:lang w:val="zh-CN"/>
              </w:rPr>
            </w:pPr>
            <w:r>
              <w:rPr>
                <w:rFonts w:hint="eastAsia" w:ascii="仿宋" w:hAnsi="仿宋"/>
                <w:spacing w:val="-6"/>
                <w:sz w:val="21"/>
                <w:szCs w:val="21"/>
                <w:lang w:val="zh-CN"/>
              </w:rPr>
              <w:t>例如：某工程</w:t>
            </w:r>
            <w:r>
              <w:rPr>
                <w:rFonts w:hint="eastAsia" w:ascii="仿宋" w:hAnsi="仿宋"/>
                <w:spacing w:val="-6"/>
                <w:sz w:val="21"/>
                <w:szCs w:val="21"/>
              </w:rPr>
              <w:t>采购</w:t>
            </w:r>
            <w:r>
              <w:rPr>
                <w:rFonts w:hint="eastAsia" w:ascii="仿宋" w:hAnsi="仿宋"/>
                <w:spacing w:val="-6"/>
                <w:sz w:val="21"/>
                <w:szCs w:val="21"/>
                <w:lang w:val="zh-CN"/>
              </w:rPr>
              <w:t>项目</w:t>
            </w:r>
            <w:r>
              <w:rPr>
                <w:rFonts w:hint="eastAsia" w:ascii="仿宋" w:hAnsi="仿宋"/>
                <w:spacing w:val="-6"/>
                <w:sz w:val="21"/>
                <w:szCs w:val="21"/>
              </w:rPr>
              <w:t>成交</w:t>
            </w:r>
            <w:r>
              <w:rPr>
                <w:rFonts w:hint="eastAsia" w:ascii="仿宋" w:hAnsi="仿宋"/>
                <w:spacing w:val="-6"/>
                <w:sz w:val="21"/>
                <w:szCs w:val="21"/>
                <w:lang w:val="zh-CN"/>
              </w:rPr>
              <w:t>金额为6000万元，计算</w:t>
            </w:r>
            <w:r>
              <w:rPr>
                <w:rFonts w:hint="eastAsia" w:ascii="仿宋" w:hAnsi="仿宋"/>
                <w:spacing w:val="-6"/>
                <w:sz w:val="21"/>
                <w:szCs w:val="21"/>
              </w:rPr>
              <w:t>成交</w:t>
            </w:r>
            <w:r>
              <w:rPr>
                <w:rFonts w:hint="eastAsia" w:ascii="仿宋" w:hAnsi="仿宋"/>
                <w:spacing w:val="-6"/>
                <w:sz w:val="21"/>
                <w:szCs w:val="21"/>
                <w:lang w:val="zh-CN"/>
              </w:rPr>
              <w:t>服务费如下：</w:t>
            </w:r>
            <w:r>
              <w:rPr>
                <w:rFonts w:hint="eastAsia" w:ascii="仿宋" w:hAnsi="仿宋"/>
                <w:sz w:val="21"/>
                <w:szCs w:val="21"/>
                <w:lang w:val="zh-CN"/>
              </w:rPr>
              <w:t xml:space="preserve"> </w:t>
            </w:r>
          </w:p>
          <w:p>
            <w:pPr>
              <w:adjustRightInd w:val="0"/>
              <w:snapToGrid w:val="0"/>
              <w:ind w:right="120" w:rightChars="50"/>
              <w:jc w:val="both"/>
              <w:rPr>
                <w:rFonts w:ascii="仿宋" w:hAnsi="仿宋"/>
                <w:sz w:val="21"/>
                <w:szCs w:val="21"/>
                <w:lang w:val="zh-CN"/>
              </w:rPr>
            </w:pPr>
            <w:r>
              <w:rPr>
                <w:rFonts w:hint="eastAsia" w:ascii="仿宋" w:hAnsi="仿宋"/>
                <w:sz w:val="21"/>
                <w:szCs w:val="21"/>
                <w:lang w:val="zh-CN"/>
              </w:rPr>
              <w:t>100万元×1.0%=1万元</w:t>
            </w:r>
          </w:p>
          <w:p>
            <w:pPr>
              <w:adjustRightInd w:val="0"/>
              <w:snapToGrid w:val="0"/>
              <w:ind w:right="120" w:rightChars="50"/>
              <w:jc w:val="both"/>
              <w:rPr>
                <w:rFonts w:ascii="仿宋" w:hAnsi="仿宋"/>
                <w:sz w:val="21"/>
                <w:szCs w:val="21"/>
                <w:lang w:val="zh-CN"/>
              </w:rPr>
            </w:pPr>
            <w:r>
              <w:rPr>
                <w:rFonts w:hint="eastAsia" w:ascii="仿宋" w:hAnsi="仿宋"/>
                <w:sz w:val="21"/>
                <w:szCs w:val="21"/>
                <w:lang w:val="zh-CN"/>
              </w:rPr>
              <w:t>(500－100)万元×0.7%=2.8万元</w:t>
            </w:r>
          </w:p>
          <w:p>
            <w:pPr>
              <w:adjustRightInd w:val="0"/>
              <w:snapToGrid w:val="0"/>
              <w:ind w:right="120" w:rightChars="50"/>
              <w:jc w:val="both"/>
              <w:rPr>
                <w:rFonts w:ascii="仿宋" w:hAnsi="仿宋"/>
                <w:sz w:val="21"/>
                <w:szCs w:val="21"/>
                <w:lang w:val="zh-CN"/>
              </w:rPr>
            </w:pPr>
            <w:r>
              <w:rPr>
                <w:rFonts w:hint="eastAsia" w:ascii="仿宋" w:hAnsi="仿宋"/>
                <w:sz w:val="21"/>
                <w:szCs w:val="21"/>
                <w:lang w:val="zh-CN"/>
              </w:rPr>
              <w:t>(1000－500)万元×0.55%=2.75万元</w:t>
            </w:r>
          </w:p>
          <w:p>
            <w:pPr>
              <w:adjustRightInd w:val="0"/>
              <w:snapToGrid w:val="0"/>
              <w:ind w:right="120" w:rightChars="50"/>
              <w:jc w:val="both"/>
              <w:rPr>
                <w:rFonts w:ascii="仿宋" w:hAnsi="仿宋"/>
                <w:sz w:val="21"/>
                <w:szCs w:val="21"/>
                <w:lang w:val="zh-CN"/>
              </w:rPr>
            </w:pPr>
            <w:r>
              <w:rPr>
                <w:rFonts w:hint="eastAsia" w:ascii="仿宋" w:hAnsi="仿宋"/>
                <w:sz w:val="21"/>
                <w:szCs w:val="21"/>
                <w:lang w:val="zh-CN"/>
              </w:rPr>
              <w:t>(5000－1000)万元×0.35%=14万元</w:t>
            </w:r>
          </w:p>
          <w:p>
            <w:pPr>
              <w:adjustRightInd w:val="0"/>
              <w:snapToGrid w:val="0"/>
              <w:ind w:right="120" w:rightChars="50"/>
              <w:jc w:val="both"/>
              <w:rPr>
                <w:rFonts w:ascii="仿宋" w:hAnsi="仿宋"/>
                <w:sz w:val="21"/>
                <w:szCs w:val="21"/>
                <w:lang w:val="zh-CN"/>
              </w:rPr>
            </w:pPr>
            <w:r>
              <w:rPr>
                <w:rFonts w:hint="eastAsia" w:ascii="仿宋" w:hAnsi="仿宋"/>
                <w:sz w:val="21"/>
                <w:szCs w:val="21"/>
                <w:lang w:val="zh-CN"/>
              </w:rPr>
              <w:t>(6000－5000)万元 ×0.2%=2万元</w:t>
            </w:r>
          </w:p>
          <w:p>
            <w:pPr>
              <w:autoSpaceDE w:val="0"/>
              <w:autoSpaceDN w:val="0"/>
              <w:adjustRightInd w:val="0"/>
              <w:snapToGrid w:val="0"/>
              <w:rPr>
                <w:rFonts w:ascii="仿宋" w:hAnsi="仿宋"/>
                <w:sz w:val="21"/>
                <w:szCs w:val="21"/>
                <w:lang w:val="zh-CN"/>
              </w:rPr>
            </w:pPr>
            <w:r>
              <w:rPr>
                <w:rFonts w:hint="eastAsia" w:ascii="仿宋" w:hAnsi="仿宋"/>
                <w:sz w:val="21"/>
                <w:szCs w:val="21"/>
                <w:lang w:val="zh-CN"/>
              </w:rPr>
              <w:t>合计收费=1＋2.8+2.75+14+2=22.55万元</w:t>
            </w:r>
          </w:p>
          <w:p>
            <w:pPr>
              <w:adjustRightInd w:val="0"/>
              <w:snapToGrid w:val="0"/>
              <w:ind w:right="120" w:rightChars="50"/>
              <w:rPr>
                <w:rFonts w:ascii="仿宋" w:hAnsi="仿宋"/>
                <w:b/>
                <w:bCs/>
                <w:sz w:val="21"/>
                <w:szCs w:val="21"/>
              </w:rPr>
            </w:pPr>
            <w:r>
              <w:rPr>
                <w:rFonts w:hint="eastAsia" w:ascii="仿宋" w:hAnsi="仿宋"/>
                <w:b/>
                <w:bCs/>
                <w:sz w:val="21"/>
                <w:szCs w:val="21"/>
              </w:rPr>
              <w:t>收款单位：融汇项目管理股份有限公司</w:t>
            </w:r>
          </w:p>
          <w:p>
            <w:pPr>
              <w:adjustRightInd w:val="0"/>
              <w:snapToGrid w:val="0"/>
              <w:ind w:right="120" w:rightChars="50"/>
              <w:rPr>
                <w:rFonts w:ascii="仿宋" w:hAnsi="仿宋"/>
                <w:b/>
                <w:bCs/>
                <w:sz w:val="21"/>
                <w:szCs w:val="21"/>
              </w:rPr>
            </w:pPr>
            <w:r>
              <w:rPr>
                <w:rFonts w:hint="eastAsia" w:ascii="仿宋" w:hAnsi="仿宋"/>
                <w:b/>
                <w:bCs/>
                <w:sz w:val="21"/>
                <w:szCs w:val="21"/>
              </w:rPr>
              <w:t>开 户 行：中国建设银行股份有限公司成都慧谷支行</w:t>
            </w:r>
          </w:p>
          <w:p>
            <w:pPr>
              <w:adjustRightInd w:val="0"/>
              <w:snapToGrid w:val="0"/>
              <w:ind w:right="120" w:rightChars="50"/>
              <w:rPr>
                <w:rFonts w:ascii="仿宋" w:hAnsi="仿宋"/>
                <w:b/>
                <w:bCs/>
                <w:sz w:val="21"/>
                <w:szCs w:val="21"/>
              </w:rPr>
            </w:pPr>
            <w:r>
              <w:rPr>
                <w:rFonts w:hint="eastAsia" w:ascii="仿宋" w:hAnsi="仿宋"/>
                <w:b/>
                <w:bCs/>
                <w:sz w:val="21"/>
                <w:szCs w:val="21"/>
              </w:rPr>
              <w:t>账号：5105 0110 0920 0999 9888</w:t>
            </w:r>
          </w:p>
          <w:p>
            <w:pPr>
              <w:adjustRightInd w:val="0"/>
              <w:snapToGrid w:val="0"/>
              <w:ind w:right="120" w:rightChars="50"/>
              <w:rPr>
                <w:rFonts w:ascii="仿宋" w:hAnsi="仿宋"/>
                <w:sz w:val="21"/>
                <w:szCs w:val="21"/>
              </w:rPr>
            </w:pPr>
            <w:r>
              <w:rPr>
                <w:rFonts w:hint="eastAsia" w:ascii="仿宋" w:hAnsi="仿宋"/>
                <w:b/>
                <w:bCs/>
                <w:sz w:val="21"/>
                <w:szCs w:val="21"/>
              </w:rPr>
              <w:t>联 行 号：1056 5100 0217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adjustRightInd w:val="0"/>
              <w:snapToGrid w:val="0"/>
              <w:ind w:firstLine="105" w:firstLineChars="50"/>
              <w:jc w:val="center"/>
              <w:rPr>
                <w:rFonts w:ascii="仿宋" w:hAnsi="仿宋"/>
                <w:sz w:val="21"/>
                <w:szCs w:val="21"/>
              </w:rPr>
            </w:pPr>
            <w:r>
              <w:rPr>
                <w:rFonts w:hint="eastAsia" w:ascii="仿宋" w:hAnsi="仿宋"/>
                <w:sz w:val="21"/>
                <w:szCs w:val="21"/>
              </w:rPr>
              <w:t>16</w:t>
            </w:r>
          </w:p>
        </w:tc>
        <w:tc>
          <w:tcPr>
            <w:tcW w:w="1276" w:type="pct"/>
            <w:tcBorders>
              <w:right w:val="single" w:color="auto" w:sz="4" w:space="0"/>
            </w:tcBorders>
            <w:vAlign w:val="center"/>
          </w:tcPr>
          <w:p>
            <w:pPr>
              <w:adjustRightInd w:val="0"/>
              <w:snapToGrid w:val="0"/>
              <w:ind w:firstLine="105" w:firstLineChars="50"/>
              <w:jc w:val="center"/>
              <w:rPr>
                <w:rFonts w:ascii="仿宋" w:hAnsi="仿宋"/>
                <w:sz w:val="21"/>
                <w:szCs w:val="21"/>
              </w:rPr>
            </w:pPr>
            <w:r>
              <w:rPr>
                <w:rFonts w:hint="eastAsia" w:ascii="仿宋" w:hAnsi="仿宋"/>
                <w:sz w:val="21"/>
                <w:szCs w:val="21"/>
                <w:lang w:val="zh-CN"/>
              </w:rPr>
              <w:t>送样提醒</w:t>
            </w:r>
          </w:p>
        </w:tc>
        <w:tc>
          <w:tcPr>
            <w:tcW w:w="3407" w:type="pct"/>
            <w:tcBorders>
              <w:left w:val="single" w:color="auto" w:sz="4" w:space="0"/>
            </w:tcBorders>
            <w:vAlign w:val="center"/>
          </w:tcPr>
          <w:p>
            <w:pPr>
              <w:adjustRightInd w:val="0"/>
              <w:snapToGrid w:val="0"/>
              <w:rPr>
                <w:rFonts w:ascii="仿宋" w:hAnsi="仿宋"/>
                <w:b/>
                <w:bCs/>
                <w:sz w:val="21"/>
                <w:szCs w:val="21"/>
              </w:rPr>
            </w:pPr>
            <w:bookmarkStart w:id="30" w:name="PO_默认文件内容_39"/>
            <w:r>
              <w:rPr>
                <w:rFonts w:ascii="Segoe UI Emoji" w:hAnsi="Segoe UI Emoji" w:cs="Segoe UI Emoji"/>
                <w:b/>
                <w:bCs/>
                <w:sz w:val="21"/>
                <w:szCs w:val="21"/>
              </w:rPr>
              <w:t>☑</w:t>
            </w:r>
            <w:r>
              <w:rPr>
                <w:rFonts w:hint="eastAsia" w:ascii="仿宋" w:hAnsi="仿宋"/>
                <w:b/>
                <w:bCs/>
                <w:sz w:val="21"/>
                <w:szCs w:val="21"/>
                <w:lang w:val="zh-CN"/>
              </w:rPr>
              <w:t>本项目</w:t>
            </w:r>
            <w:r>
              <w:rPr>
                <w:rFonts w:hint="eastAsia" w:ascii="仿宋" w:hAnsi="仿宋"/>
                <w:b/>
                <w:bCs/>
                <w:sz w:val="21"/>
                <w:szCs w:val="21"/>
              </w:rPr>
              <w:t>不</w:t>
            </w:r>
            <w:r>
              <w:rPr>
                <w:rFonts w:hint="eastAsia" w:ascii="仿宋" w:hAnsi="仿宋"/>
                <w:b/>
                <w:bCs/>
                <w:sz w:val="21"/>
                <w:szCs w:val="21"/>
                <w:lang w:val="zh-CN"/>
              </w:rPr>
              <w:t>涉及样品。</w:t>
            </w:r>
          </w:p>
          <w:p>
            <w:pPr>
              <w:adjustRightInd w:val="0"/>
              <w:snapToGrid w:val="0"/>
              <w:rPr>
                <w:rFonts w:ascii="仿宋" w:hAnsi="仿宋"/>
                <w:b/>
                <w:bCs/>
                <w:sz w:val="21"/>
                <w:szCs w:val="21"/>
              </w:rPr>
            </w:pPr>
            <w:r>
              <w:rPr>
                <w:rFonts w:hint="eastAsia" w:ascii="仿宋" w:hAnsi="仿宋"/>
                <w:b/>
                <w:bCs/>
                <w:sz w:val="21"/>
                <w:szCs w:val="21"/>
                <w:lang w:val="zh-CN"/>
              </w:rPr>
              <w:t>□</w:t>
            </w:r>
            <w:r>
              <w:rPr>
                <w:rFonts w:hint="eastAsia" w:ascii="仿宋" w:hAnsi="仿宋"/>
                <w:b/>
                <w:bCs/>
                <w:sz w:val="21"/>
                <w:szCs w:val="21"/>
              </w:rPr>
              <w:t>本项目涉及样品：</w:t>
            </w:r>
          </w:p>
          <w:p>
            <w:pPr>
              <w:adjustRightInd w:val="0"/>
              <w:snapToGrid w:val="0"/>
              <w:rPr>
                <w:rFonts w:ascii="仿宋" w:hAnsi="仿宋"/>
                <w:sz w:val="21"/>
                <w:szCs w:val="21"/>
                <w:lang w:val="zh-CN"/>
              </w:rPr>
            </w:pPr>
            <w:r>
              <w:rPr>
                <w:rFonts w:hint="eastAsia" w:ascii="仿宋" w:hAnsi="仿宋"/>
                <w:sz w:val="21"/>
                <w:szCs w:val="21"/>
                <w:lang w:val="zh-CN"/>
              </w:rPr>
              <w:t>请在</w:t>
            </w:r>
            <w:r>
              <w:rPr>
                <w:rFonts w:hint="eastAsia" w:ascii="仿宋" w:hAnsi="仿宋"/>
                <w:sz w:val="21"/>
                <w:szCs w:val="21"/>
              </w:rPr>
              <w:t>投标截止时间前</w:t>
            </w:r>
            <w:r>
              <w:rPr>
                <w:rFonts w:hint="eastAsia" w:ascii="仿宋" w:hAnsi="仿宋"/>
                <w:sz w:val="21"/>
                <w:szCs w:val="21"/>
                <w:lang w:val="zh-CN"/>
              </w:rPr>
              <w:t>将样品送至</w:t>
            </w:r>
            <w:r>
              <w:rPr>
                <w:rFonts w:hint="eastAsia" w:ascii="仿宋" w:hAnsi="仿宋"/>
                <w:sz w:val="21"/>
                <w:szCs w:val="21"/>
              </w:rPr>
              <w:t>指定送样地点</w:t>
            </w:r>
            <w:r>
              <w:rPr>
                <w:rFonts w:hint="eastAsia" w:ascii="仿宋" w:hAnsi="仿宋"/>
                <w:sz w:val="21"/>
                <w:szCs w:val="21"/>
                <w:lang w:val="zh-CN"/>
              </w:rPr>
              <w:t>，并按现场工作人员要求摆样。</w:t>
            </w:r>
          </w:p>
          <w:bookmarkEnd w:id="30"/>
          <w:p>
            <w:pPr>
              <w:adjustRightInd w:val="0"/>
              <w:snapToGrid w:val="0"/>
              <w:rPr>
                <w:rFonts w:ascii="仿宋" w:hAnsi="仿宋"/>
                <w:sz w:val="21"/>
                <w:szCs w:val="21"/>
              </w:rPr>
            </w:pPr>
            <w:r>
              <w:rPr>
                <w:rFonts w:hint="eastAsia" w:ascii="仿宋" w:hAnsi="仿宋"/>
                <w:b/>
                <w:bCs/>
                <w:sz w:val="21"/>
                <w:szCs w:val="21"/>
                <w:lang w:val="zh-CN"/>
              </w:rPr>
              <w:t>注：若涉及样品，样品评审环节采取线下方式进行。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adjustRightInd w:val="0"/>
              <w:snapToGrid w:val="0"/>
              <w:ind w:firstLine="105" w:firstLineChars="50"/>
              <w:jc w:val="center"/>
              <w:rPr>
                <w:rFonts w:ascii="仿宋" w:hAnsi="仿宋"/>
                <w:sz w:val="21"/>
                <w:szCs w:val="21"/>
              </w:rPr>
            </w:pPr>
            <w:r>
              <w:rPr>
                <w:rFonts w:hint="eastAsia" w:ascii="仿宋" w:hAnsi="仿宋"/>
                <w:sz w:val="21"/>
                <w:szCs w:val="21"/>
              </w:rPr>
              <w:t>17</w:t>
            </w:r>
          </w:p>
        </w:tc>
        <w:tc>
          <w:tcPr>
            <w:tcW w:w="1276" w:type="pct"/>
            <w:tcBorders>
              <w:right w:val="single" w:color="auto" w:sz="4" w:space="0"/>
            </w:tcBorders>
            <w:vAlign w:val="center"/>
          </w:tcPr>
          <w:p>
            <w:pPr>
              <w:adjustRightInd w:val="0"/>
              <w:snapToGrid w:val="0"/>
              <w:ind w:firstLine="105" w:firstLineChars="50"/>
              <w:jc w:val="center"/>
              <w:rPr>
                <w:rFonts w:ascii="仿宋" w:hAnsi="仿宋"/>
                <w:sz w:val="21"/>
                <w:szCs w:val="21"/>
                <w:lang w:val="zh-CN"/>
              </w:rPr>
            </w:pPr>
            <w:r>
              <w:rPr>
                <w:rFonts w:hint="eastAsia" w:ascii="仿宋" w:hAnsi="仿宋"/>
                <w:sz w:val="21"/>
                <w:szCs w:val="21"/>
                <w:lang w:val="zh-CN"/>
              </w:rPr>
              <w:t>承诺提醒</w:t>
            </w:r>
          </w:p>
        </w:tc>
        <w:tc>
          <w:tcPr>
            <w:tcW w:w="3407" w:type="pct"/>
            <w:tcBorders>
              <w:left w:val="single" w:color="auto" w:sz="4" w:space="0"/>
            </w:tcBorders>
            <w:vAlign w:val="center"/>
          </w:tcPr>
          <w:p>
            <w:pPr>
              <w:adjustRightInd w:val="0"/>
              <w:snapToGrid w:val="0"/>
              <w:rPr>
                <w:rFonts w:ascii="仿宋" w:hAnsi="仿宋"/>
                <w:sz w:val="21"/>
                <w:szCs w:val="21"/>
                <w:lang w:val="zh-CN"/>
              </w:rPr>
            </w:pPr>
            <w:r>
              <w:rPr>
                <w:rFonts w:hint="eastAsia" w:ascii="仿宋" w:hAnsi="仿宋"/>
                <w:sz w:val="21"/>
                <w:szCs w:val="21"/>
                <w:lang w:val="zh-CN"/>
              </w:rPr>
              <w:t>关于供应商依法缴纳税收和社会保障资金的相关承诺，</w:t>
            </w:r>
            <w:r>
              <w:rPr>
                <w:rFonts w:hint="eastAsia" w:ascii="仿宋" w:hAnsi="仿宋"/>
                <w:sz w:val="21"/>
                <w:szCs w:val="21"/>
              </w:rPr>
              <w:t>本</w:t>
            </w:r>
            <w:r>
              <w:rPr>
                <w:rFonts w:hint="eastAsia" w:ascii="仿宋" w:hAnsi="仿宋"/>
                <w:sz w:val="21"/>
                <w:szCs w:val="21"/>
                <w:lang w:val="zh-CN"/>
              </w:rPr>
              <w:t>项目采</w:t>
            </w:r>
            <w:r>
              <w:rPr>
                <w:rFonts w:hint="eastAsia" w:ascii="仿宋" w:hAnsi="仿宋"/>
                <w:spacing w:val="-6"/>
                <w:sz w:val="21"/>
                <w:szCs w:val="21"/>
                <w:lang w:val="zh-CN"/>
              </w:rPr>
              <w:t>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adjustRightInd w:val="0"/>
              <w:snapToGrid w:val="0"/>
              <w:ind w:firstLine="105" w:firstLineChars="50"/>
              <w:jc w:val="center"/>
              <w:rPr>
                <w:rFonts w:ascii="仿宋" w:hAnsi="仿宋"/>
                <w:sz w:val="21"/>
                <w:szCs w:val="21"/>
              </w:rPr>
            </w:pPr>
            <w:r>
              <w:rPr>
                <w:rFonts w:hint="eastAsia" w:ascii="仿宋" w:hAnsi="仿宋"/>
                <w:sz w:val="21"/>
                <w:szCs w:val="21"/>
              </w:rPr>
              <w:t>18</w:t>
            </w:r>
          </w:p>
        </w:tc>
        <w:tc>
          <w:tcPr>
            <w:tcW w:w="1276" w:type="pct"/>
            <w:tcBorders>
              <w:right w:val="single" w:color="auto" w:sz="4" w:space="0"/>
            </w:tcBorders>
            <w:vAlign w:val="center"/>
          </w:tcPr>
          <w:p>
            <w:pPr>
              <w:tabs>
                <w:tab w:val="left" w:pos="693"/>
              </w:tabs>
              <w:adjustRightInd w:val="0"/>
              <w:snapToGrid w:val="0"/>
              <w:ind w:firstLine="105" w:firstLineChars="50"/>
              <w:jc w:val="center"/>
              <w:rPr>
                <w:rFonts w:ascii="仿宋" w:hAnsi="仿宋"/>
                <w:sz w:val="21"/>
                <w:szCs w:val="21"/>
                <w:lang w:val="zh-CN"/>
              </w:rPr>
            </w:pPr>
            <w:r>
              <w:rPr>
                <w:rFonts w:hint="eastAsia" w:ascii="仿宋" w:hAnsi="仿宋"/>
                <w:sz w:val="21"/>
                <w:szCs w:val="21"/>
                <w:lang w:val="zh-CN"/>
              </w:rPr>
              <w:t>联合体</w:t>
            </w:r>
          </w:p>
          <w:p>
            <w:pPr>
              <w:tabs>
                <w:tab w:val="left" w:pos="693"/>
              </w:tabs>
              <w:adjustRightInd w:val="0"/>
              <w:snapToGrid w:val="0"/>
              <w:ind w:firstLine="120" w:firstLineChars="50"/>
              <w:jc w:val="center"/>
              <w:rPr>
                <w:rFonts w:ascii="仿宋" w:hAnsi="仿宋"/>
                <w:sz w:val="21"/>
                <w:szCs w:val="21"/>
              </w:rPr>
            </w:pPr>
            <w:r>
              <w:rPr>
                <w:rFonts w:hint="eastAsia" w:ascii="仿宋" w:hAnsi="仿宋" w:cs="黑体"/>
                <w:b/>
                <w:bCs/>
                <w:kern w:val="0"/>
                <w:lang w:val="zh-CN"/>
              </w:rPr>
              <w:t>（</w:t>
            </w:r>
            <w:r>
              <w:rPr>
                <w:rFonts w:hint="eastAsia" w:ascii="仿宋" w:hAnsi="仿宋" w:cs="黑体"/>
                <w:b/>
                <w:bCs/>
                <w:kern w:val="0"/>
              </w:rPr>
              <w:t>实质性要求）</w:t>
            </w:r>
          </w:p>
        </w:tc>
        <w:tc>
          <w:tcPr>
            <w:tcW w:w="3407" w:type="pct"/>
            <w:tcBorders>
              <w:left w:val="single" w:color="auto" w:sz="4" w:space="0"/>
            </w:tcBorders>
            <w:vAlign w:val="center"/>
          </w:tcPr>
          <w:p>
            <w:pPr>
              <w:adjustRightInd w:val="0"/>
              <w:snapToGrid w:val="0"/>
              <w:rPr>
                <w:rFonts w:ascii="仿宋" w:hAnsi="仿宋"/>
                <w:b/>
                <w:bCs/>
                <w:sz w:val="21"/>
                <w:szCs w:val="21"/>
              </w:rPr>
            </w:pPr>
            <w:r>
              <w:rPr>
                <w:rFonts w:hint="eastAsia" w:ascii="仿宋" w:hAnsi="仿宋"/>
                <w:b/>
                <w:bCs/>
                <w:sz w:val="21"/>
                <w:szCs w:val="21"/>
                <w:lang w:val="zh-CN"/>
              </w:rPr>
              <w:sym w:font="Wingdings 2" w:char="0052"/>
            </w:r>
            <w:r>
              <w:rPr>
                <w:rFonts w:hint="eastAsia" w:ascii="仿宋" w:hAnsi="仿宋"/>
                <w:b/>
                <w:bCs/>
                <w:sz w:val="21"/>
                <w:szCs w:val="21"/>
                <w:lang w:val="zh-CN"/>
              </w:rPr>
              <w:t xml:space="preserve"> 本项目不允许联合体参加。 </w:t>
            </w:r>
            <w:r>
              <w:rPr>
                <w:rFonts w:hint="eastAsia" w:ascii="仿宋" w:hAnsi="仿宋"/>
                <w:b/>
                <w:bCs/>
                <w:sz w:val="21"/>
                <w:szCs w:val="21"/>
              </w:rPr>
              <w:t xml:space="preserve">   </w:t>
            </w:r>
          </w:p>
          <w:p>
            <w:pPr>
              <w:adjustRightInd w:val="0"/>
              <w:snapToGrid w:val="0"/>
              <w:rPr>
                <w:rFonts w:ascii="仿宋" w:hAnsi="仿宋"/>
                <w:sz w:val="21"/>
                <w:szCs w:val="21"/>
                <w:lang w:val="zh-CN"/>
              </w:rPr>
            </w:pPr>
            <w:r>
              <w:rPr>
                <w:rFonts w:hint="eastAsia" w:ascii="仿宋" w:hAnsi="仿宋"/>
                <w:b/>
                <w:bCs/>
                <w:sz w:val="21"/>
                <w:szCs w:val="21"/>
                <w:lang w:val="zh-CN"/>
              </w:rPr>
              <w:t>□ 本项目允许联合体参加。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adjustRightInd w:val="0"/>
              <w:snapToGrid w:val="0"/>
              <w:ind w:firstLine="105" w:firstLineChars="50"/>
              <w:jc w:val="center"/>
              <w:rPr>
                <w:rFonts w:ascii="仿宋" w:hAnsi="仿宋"/>
                <w:sz w:val="21"/>
                <w:szCs w:val="21"/>
              </w:rPr>
            </w:pPr>
            <w:r>
              <w:rPr>
                <w:rFonts w:hint="eastAsia" w:ascii="仿宋" w:hAnsi="仿宋"/>
                <w:sz w:val="21"/>
                <w:szCs w:val="21"/>
              </w:rPr>
              <w:t>19</w:t>
            </w:r>
          </w:p>
        </w:tc>
        <w:tc>
          <w:tcPr>
            <w:tcW w:w="1276" w:type="pct"/>
            <w:tcBorders>
              <w:right w:val="single" w:color="auto" w:sz="4" w:space="0"/>
            </w:tcBorders>
            <w:vAlign w:val="center"/>
          </w:tcPr>
          <w:p>
            <w:pPr>
              <w:pStyle w:val="83"/>
              <w:ind w:left="96"/>
              <w:jc w:val="center"/>
              <w:rPr>
                <w:rFonts w:ascii="仿宋" w:hAnsi="仿宋" w:eastAsia="仿宋"/>
                <w:sz w:val="21"/>
                <w:szCs w:val="21"/>
                <w:lang w:val="zh-CN"/>
              </w:rPr>
            </w:pPr>
            <w:r>
              <w:rPr>
                <w:rFonts w:hint="eastAsia" w:ascii="仿宋" w:hAnsi="仿宋" w:eastAsia="仿宋"/>
                <w:sz w:val="21"/>
                <w:szCs w:val="21"/>
                <w:lang w:val="zh-CN"/>
              </w:rPr>
              <w:t>现场考察或标前答疑会</w:t>
            </w:r>
          </w:p>
        </w:tc>
        <w:tc>
          <w:tcPr>
            <w:tcW w:w="3407" w:type="pct"/>
            <w:tcBorders>
              <w:left w:val="single" w:color="auto" w:sz="4" w:space="0"/>
            </w:tcBorders>
            <w:vAlign w:val="center"/>
          </w:tcPr>
          <w:p>
            <w:pPr>
              <w:pStyle w:val="83"/>
              <w:rPr>
                <w:rFonts w:ascii="仿宋" w:hAnsi="仿宋" w:eastAsia="仿宋" w:cs="仿宋"/>
                <w:b/>
                <w:bCs/>
                <w:sz w:val="21"/>
                <w:szCs w:val="21"/>
              </w:rPr>
            </w:pPr>
            <w:r>
              <w:rPr>
                <w:rFonts w:ascii="Segoe UI Emoji" w:hAnsi="Segoe UI Emoji" w:eastAsia="仿宋" w:cs="Segoe UI Emoji"/>
                <w:b/>
                <w:bCs/>
                <w:sz w:val="21"/>
                <w:szCs w:val="21"/>
              </w:rPr>
              <w:t>☑</w:t>
            </w:r>
            <w:r>
              <w:rPr>
                <w:rFonts w:hint="eastAsia" w:ascii="仿宋" w:hAnsi="仿宋" w:eastAsia="仿宋" w:cs="仿宋"/>
                <w:b/>
                <w:bCs/>
                <w:sz w:val="21"/>
                <w:szCs w:val="21"/>
              </w:rPr>
              <w:t>本项目不组织。</w:t>
            </w:r>
          </w:p>
          <w:p>
            <w:pPr>
              <w:pStyle w:val="83"/>
              <w:rPr>
                <w:rFonts w:ascii="仿宋" w:hAnsi="仿宋" w:eastAsia="仿宋" w:cs="仿宋"/>
                <w:b/>
                <w:bCs/>
                <w:sz w:val="21"/>
                <w:szCs w:val="21"/>
              </w:rPr>
            </w:pPr>
            <w:r>
              <w:rPr>
                <w:rFonts w:hint="eastAsia" w:ascii="仿宋" w:hAnsi="仿宋" w:eastAsia="仿宋"/>
                <w:b/>
                <w:bCs/>
                <w:sz w:val="21"/>
                <w:szCs w:val="21"/>
                <w:lang w:val="zh-CN"/>
              </w:rPr>
              <w:sym w:font="Wingdings 2" w:char="00A3"/>
            </w:r>
            <w:r>
              <w:rPr>
                <w:rFonts w:hint="eastAsia" w:ascii="仿宋" w:hAnsi="仿宋" w:eastAsia="仿宋"/>
                <w:b/>
                <w:bCs/>
                <w:sz w:val="21"/>
                <w:szCs w:val="21"/>
              </w:rPr>
              <w:t>本项目组织：</w:t>
            </w:r>
          </w:p>
          <w:p>
            <w:pPr>
              <w:pStyle w:val="83"/>
              <w:rPr>
                <w:rFonts w:ascii="仿宋" w:hAnsi="仿宋" w:eastAsia="仿宋"/>
                <w:sz w:val="21"/>
                <w:szCs w:val="21"/>
                <w:lang w:val="zh-CN"/>
              </w:rPr>
            </w:pPr>
            <w:r>
              <w:rPr>
                <w:rFonts w:hint="eastAsia" w:ascii="仿宋" w:hAnsi="仿宋" w:eastAsia="仿宋"/>
                <w:sz w:val="21"/>
                <w:szCs w:val="21"/>
                <w:lang w:val="zh-CN"/>
              </w:rPr>
              <w:t>现场考察或标前答疑会时间：</w:t>
            </w:r>
            <w:r>
              <w:rPr>
                <w:rFonts w:hint="eastAsia" w:ascii="仿宋" w:hAnsi="仿宋" w:eastAsia="仿宋"/>
                <w:sz w:val="21"/>
                <w:szCs w:val="21"/>
              </w:rPr>
              <w:t>20XX</w:t>
            </w:r>
            <w:r>
              <w:rPr>
                <w:rFonts w:hint="eastAsia" w:ascii="仿宋" w:hAnsi="仿宋" w:eastAsia="仿宋"/>
                <w:sz w:val="21"/>
                <w:szCs w:val="21"/>
                <w:lang w:val="zh-CN"/>
              </w:rPr>
              <w:t>年</w:t>
            </w:r>
            <w:r>
              <w:rPr>
                <w:rFonts w:hint="eastAsia" w:ascii="仿宋" w:hAnsi="仿宋" w:eastAsia="仿宋"/>
                <w:sz w:val="21"/>
                <w:szCs w:val="21"/>
              </w:rPr>
              <w:t>XX月XX日</w:t>
            </w:r>
            <w:r>
              <w:rPr>
                <w:rFonts w:hint="eastAsia" w:ascii="仿宋" w:hAnsi="仿宋" w:eastAsia="仿宋"/>
                <w:sz w:val="21"/>
                <w:szCs w:val="21"/>
                <w:lang w:val="zh-CN"/>
              </w:rPr>
              <w:t>。</w:t>
            </w:r>
          </w:p>
          <w:p>
            <w:pPr>
              <w:pStyle w:val="83"/>
              <w:rPr>
                <w:rFonts w:ascii="仿宋" w:hAnsi="仿宋" w:eastAsia="仿宋"/>
                <w:sz w:val="21"/>
                <w:szCs w:val="21"/>
                <w:lang w:val="zh-CN"/>
              </w:rPr>
            </w:pPr>
            <w:r>
              <w:rPr>
                <w:rFonts w:hint="eastAsia" w:ascii="仿宋" w:hAnsi="仿宋" w:eastAsia="仿宋"/>
                <w:sz w:val="21"/>
                <w:szCs w:val="21"/>
                <w:lang w:val="zh-CN"/>
              </w:rPr>
              <w:t>现场考察或标前答疑会地点：</w:t>
            </w:r>
            <w:r>
              <w:rPr>
                <w:rFonts w:hint="eastAsia" w:ascii="仿宋" w:hAnsi="仿宋" w:eastAsia="仿宋"/>
                <w:sz w:val="21"/>
                <w:szCs w:val="21"/>
              </w:rPr>
              <w:t>XXX</w:t>
            </w:r>
            <w:r>
              <w:rPr>
                <w:rFonts w:hint="eastAsia" w:ascii="仿宋" w:hAnsi="仿宋" w:eastAsia="仿宋"/>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315" w:type="pct"/>
            <w:vAlign w:val="center"/>
          </w:tcPr>
          <w:p>
            <w:pPr>
              <w:adjustRightInd w:val="0"/>
              <w:snapToGrid w:val="0"/>
              <w:ind w:firstLine="105" w:firstLineChars="50"/>
              <w:jc w:val="center"/>
              <w:rPr>
                <w:rFonts w:ascii="仿宋" w:hAnsi="仿宋"/>
                <w:sz w:val="21"/>
                <w:szCs w:val="21"/>
              </w:rPr>
            </w:pPr>
            <w:r>
              <w:rPr>
                <w:rFonts w:hint="eastAsia" w:ascii="仿宋" w:hAnsi="仿宋"/>
                <w:sz w:val="21"/>
                <w:szCs w:val="21"/>
              </w:rPr>
              <w:t>20</w:t>
            </w:r>
          </w:p>
        </w:tc>
        <w:tc>
          <w:tcPr>
            <w:tcW w:w="1276" w:type="pct"/>
            <w:tcBorders>
              <w:right w:val="single" w:color="auto" w:sz="4" w:space="0"/>
            </w:tcBorders>
            <w:vAlign w:val="center"/>
          </w:tcPr>
          <w:p>
            <w:pPr>
              <w:pStyle w:val="83"/>
              <w:ind w:left="96"/>
              <w:jc w:val="center"/>
              <w:rPr>
                <w:rFonts w:ascii="仿宋" w:hAnsi="仿宋" w:eastAsia="仿宋" w:cs="Times New Roman"/>
                <w:kern w:val="2"/>
                <w:sz w:val="21"/>
                <w:szCs w:val="21"/>
                <w:lang w:val="zh-CN"/>
              </w:rPr>
            </w:pPr>
            <w:r>
              <w:rPr>
                <w:rFonts w:hint="eastAsia" w:ascii="仿宋" w:hAnsi="仿宋" w:eastAsia="仿宋" w:cs="Times New Roman"/>
                <w:kern w:val="2"/>
                <w:sz w:val="21"/>
                <w:szCs w:val="21"/>
              </w:rPr>
              <w:t>扶持不发达地区和少数民族地区政府采购政策</w:t>
            </w:r>
          </w:p>
        </w:tc>
        <w:tc>
          <w:tcPr>
            <w:tcW w:w="3407" w:type="pct"/>
            <w:tcBorders>
              <w:left w:val="single" w:color="auto" w:sz="4" w:space="0"/>
            </w:tcBorders>
            <w:vAlign w:val="center"/>
          </w:tcPr>
          <w:p>
            <w:pPr>
              <w:snapToGrid w:val="0"/>
              <w:ind w:right="120" w:rightChars="50"/>
              <w:rPr>
                <w:rFonts w:ascii="仿宋" w:hAnsi="仿宋"/>
                <w:sz w:val="21"/>
                <w:szCs w:val="21"/>
              </w:rPr>
            </w:pPr>
            <w:r>
              <w:rPr>
                <w:rFonts w:hint="eastAsia" w:ascii="仿宋" w:hAnsi="仿宋"/>
                <w:sz w:val="21"/>
                <w:szCs w:val="21"/>
              </w:rPr>
              <w:t>同等条件下，对不发达地区和少数民族地区实行优先采购。</w:t>
            </w:r>
          </w:p>
          <w:p>
            <w:pPr>
              <w:pStyle w:val="83"/>
              <w:rPr>
                <w:rFonts w:ascii="仿宋" w:hAnsi="仿宋" w:eastAsia="仿宋" w:cs="Times New Roman"/>
                <w:kern w:val="2"/>
                <w:sz w:val="21"/>
                <w:szCs w:val="21"/>
                <w:lang w:val="zh-CN"/>
              </w:rPr>
            </w:pPr>
            <w:r>
              <w:rPr>
                <w:rFonts w:hint="eastAsia" w:ascii="仿宋" w:hAnsi="仿宋" w:eastAsia="仿宋" w:cs="Times New Roman"/>
                <w:kern w:val="2"/>
                <w:sz w:val="21"/>
                <w:szCs w:val="21"/>
              </w:rPr>
              <w:t>按照第七章评标办法的具体要求执行。</w:t>
            </w:r>
          </w:p>
        </w:tc>
      </w:tr>
    </w:tbl>
    <w:p>
      <w:pPr>
        <w:rPr>
          <w:rFonts w:ascii="仿宋" w:hAnsi="仿宋"/>
        </w:rPr>
      </w:pPr>
      <w:r>
        <w:rPr>
          <w:rFonts w:hint="eastAsia" w:ascii="仿宋" w:hAnsi="仿宋"/>
        </w:rPr>
        <w:br w:type="page"/>
      </w:r>
    </w:p>
    <w:p>
      <w:pPr>
        <w:pStyle w:val="4"/>
        <w:spacing w:line="400" w:lineRule="exact"/>
        <w:jc w:val="center"/>
        <w:rPr>
          <w:rFonts w:ascii="仿宋" w:hAnsi="仿宋"/>
          <w:bCs w:val="0"/>
        </w:rPr>
      </w:pPr>
      <w:bookmarkStart w:id="31" w:name="_Toc86701887"/>
      <w:r>
        <w:rPr>
          <w:rFonts w:hint="eastAsia" w:ascii="仿宋" w:hAnsi="仿宋"/>
          <w:bCs w:val="0"/>
        </w:rPr>
        <w:t>二、总  则</w:t>
      </w:r>
      <w:bookmarkEnd w:id="31"/>
    </w:p>
    <w:p>
      <w:pPr>
        <w:pStyle w:val="5"/>
        <w:spacing w:line="400" w:lineRule="exact"/>
        <w:ind w:firstLine="482" w:firstLineChars="200"/>
        <w:rPr>
          <w:rFonts w:ascii="仿宋" w:hAnsi="仿宋"/>
          <w:sz w:val="24"/>
          <w:szCs w:val="24"/>
        </w:rPr>
      </w:pPr>
      <w:bookmarkStart w:id="32" w:name="_Toc183682342"/>
      <w:bookmarkStart w:id="33" w:name="_Toc183582205"/>
      <w:bookmarkStart w:id="34" w:name="_Toc86701888"/>
      <w:bookmarkStart w:id="35" w:name="_Toc217446034"/>
      <w:bookmarkStart w:id="36" w:name="PO_默认文件内容_19"/>
      <w:r>
        <w:rPr>
          <w:rFonts w:hint="eastAsia" w:ascii="仿宋" w:hAnsi="仿宋"/>
          <w:sz w:val="24"/>
          <w:szCs w:val="24"/>
        </w:rPr>
        <w:t>1.</w:t>
      </w:r>
      <w:bookmarkEnd w:id="32"/>
      <w:bookmarkEnd w:id="33"/>
      <w:r>
        <w:rPr>
          <w:rFonts w:hint="eastAsia" w:ascii="仿宋" w:hAnsi="仿宋"/>
          <w:sz w:val="24"/>
          <w:szCs w:val="24"/>
        </w:rPr>
        <w:t xml:space="preserve"> 适用范围</w:t>
      </w:r>
      <w:bookmarkEnd w:id="34"/>
      <w:bookmarkEnd w:id="35"/>
    </w:p>
    <w:p>
      <w:pPr>
        <w:tabs>
          <w:tab w:val="left" w:pos="7665"/>
        </w:tabs>
        <w:spacing w:line="400" w:lineRule="exact"/>
        <w:ind w:firstLine="480" w:firstLineChars="200"/>
        <w:rPr>
          <w:rFonts w:ascii="仿宋" w:hAnsi="仿宋"/>
        </w:rPr>
      </w:pPr>
      <w:r>
        <w:rPr>
          <w:rFonts w:hint="eastAsia" w:ascii="仿宋" w:hAnsi="仿宋"/>
        </w:rPr>
        <w:t>1.1 本招标文件仅适用于本次招标采购项目。</w:t>
      </w:r>
    </w:p>
    <w:p>
      <w:pPr>
        <w:pStyle w:val="5"/>
        <w:spacing w:line="400" w:lineRule="exact"/>
        <w:ind w:firstLine="482" w:firstLineChars="200"/>
        <w:rPr>
          <w:rFonts w:ascii="仿宋" w:hAnsi="仿宋"/>
          <w:sz w:val="24"/>
        </w:rPr>
      </w:pPr>
      <w:bookmarkStart w:id="37" w:name="_Toc183682343"/>
      <w:bookmarkStart w:id="38" w:name="_Toc183582206"/>
      <w:bookmarkStart w:id="39" w:name="_Toc217446035"/>
      <w:bookmarkStart w:id="40" w:name="_Toc86701889"/>
      <w:r>
        <w:rPr>
          <w:rFonts w:hint="eastAsia" w:ascii="仿宋" w:hAnsi="仿宋"/>
          <w:sz w:val="24"/>
        </w:rPr>
        <w:t xml:space="preserve">2. </w:t>
      </w:r>
      <w:bookmarkEnd w:id="37"/>
      <w:bookmarkEnd w:id="38"/>
      <w:r>
        <w:rPr>
          <w:rFonts w:hint="eastAsia" w:ascii="仿宋" w:hAnsi="仿宋"/>
          <w:sz w:val="24"/>
        </w:rPr>
        <w:t>有关</w:t>
      </w:r>
      <w:r>
        <w:rPr>
          <w:rFonts w:hint="eastAsia" w:ascii="仿宋" w:hAnsi="仿宋"/>
          <w:sz w:val="24"/>
          <w:szCs w:val="24"/>
        </w:rPr>
        <w:t>定义</w:t>
      </w:r>
      <w:bookmarkEnd w:id="39"/>
      <w:bookmarkEnd w:id="40"/>
    </w:p>
    <w:p>
      <w:pPr>
        <w:tabs>
          <w:tab w:val="left" w:pos="7665"/>
        </w:tabs>
        <w:spacing w:line="400" w:lineRule="exact"/>
        <w:ind w:firstLine="480" w:firstLineChars="200"/>
        <w:rPr>
          <w:rFonts w:ascii="仿宋" w:hAnsi="仿宋"/>
        </w:rPr>
      </w:pPr>
      <w:r>
        <w:rPr>
          <w:rFonts w:hint="eastAsia" w:ascii="仿宋" w:hAnsi="仿宋"/>
        </w:rPr>
        <w:t>2.1 “采购人”系指依法进行政府采购的国家机关、事业单位、团体组织。本次招标的采购人是</w:t>
      </w:r>
      <w:bookmarkEnd w:id="36"/>
      <w:r>
        <w:rPr>
          <w:rFonts w:hint="eastAsia" w:ascii="仿宋" w:hAnsi="仿宋"/>
          <w:b/>
          <w:u w:val="single"/>
        </w:rPr>
        <w:t>成都市第三人民医院</w:t>
      </w:r>
      <w:r>
        <w:rPr>
          <w:rFonts w:hint="eastAsia" w:ascii="仿宋" w:hAnsi="仿宋"/>
        </w:rPr>
        <w:t>。</w:t>
      </w:r>
    </w:p>
    <w:p>
      <w:pPr>
        <w:tabs>
          <w:tab w:val="left" w:pos="7665"/>
        </w:tabs>
        <w:spacing w:line="400" w:lineRule="exact"/>
        <w:ind w:firstLine="480" w:firstLineChars="200"/>
        <w:rPr>
          <w:rFonts w:ascii="仿宋" w:hAnsi="仿宋"/>
        </w:rPr>
      </w:pPr>
      <w:bookmarkStart w:id="41" w:name="PO_默认文件内容_20"/>
      <w:r>
        <w:rPr>
          <w:rFonts w:hint="eastAsia" w:ascii="仿宋" w:hAnsi="仿宋"/>
        </w:rPr>
        <w:t>2.2 “采购代理机构” 系指根据采购人的委托依法办理招标事宜的采购机构。本次招标的采购代理机构是</w:t>
      </w:r>
      <w:r>
        <w:rPr>
          <w:rFonts w:hint="eastAsia" w:ascii="仿宋" w:hAnsi="仿宋"/>
          <w:b/>
          <w:bCs/>
          <w:u w:val="single"/>
        </w:rPr>
        <w:t>融汇项目管理股份有限公司</w:t>
      </w:r>
      <w:r>
        <w:rPr>
          <w:rFonts w:hint="eastAsia" w:ascii="仿宋" w:hAnsi="仿宋"/>
        </w:rPr>
        <w:t>。</w:t>
      </w:r>
    </w:p>
    <w:p>
      <w:pPr>
        <w:tabs>
          <w:tab w:val="left" w:pos="7665"/>
        </w:tabs>
        <w:spacing w:line="400" w:lineRule="exact"/>
        <w:ind w:firstLine="480" w:firstLineChars="200"/>
        <w:rPr>
          <w:rFonts w:ascii="仿宋" w:hAnsi="仿宋"/>
        </w:rPr>
      </w:pPr>
      <w:r>
        <w:rPr>
          <w:rFonts w:hint="eastAsia" w:ascii="仿宋" w:hAnsi="仿宋"/>
        </w:rPr>
        <w:t>2.3 “招标采购单位”系指“采购人”和“采购代理机构”的统称。</w:t>
      </w:r>
    </w:p>
    <w:p>
      <w:pPr>
        <w:tabs>
          <w:tab w:val="left" w:pos="7665"/>
        </w:tabs>
        <w:spacing w:line="400" w:lineRule="exact"/>
        <w:ind w:firstLine="480" w:firstLineChars="200"/>
        <w:rPr>
          <w:rFonts w:ascii="仿宋" w:hAnsi="仿宋"/>
        </w:rPr>
      </w:pPr>
      <w:r>
        <w:rPr>
          <w:rFonts w:hint="eastAsia" w:ascii="仿宋" w:hAnsi="仿宋"/>
        </w:rPr>
        <w:t>2.4 “投标人”系指获取了招标文件拟参加投标和向采购人提供货物及相应服务的供应商。</w:t>
      </w:r>
    </w:p>
    <w:p>
      <w:pPr>
        <w:pStyle w:val="5"/>
        <w:spacing w:line="400" w:lineRule="exact"/>
        <w:ind w:firstLine="482" w:firstLineChars="200"/>
        <w:rPr>
          <w:rFonts w:ascii="仿宋" w:hAnsi="仿宋"/>
          <w:sz w:val="24"/>
        </w:rPr>
      </w:pPr>
      <w:bookmarkStart w:id="42" w:name="_Toc86701890"/>
      <w:bookmarkStart w:id="43" w:name="_Toc217390843"/>
      <w:bookmarkStart w:id="44" w:name="_Toc183682344"/>
      <w:bookmarkStart w:id="45" w:name="_Toc217446036"/>
      <w:bookmarkStart w:id="46" w:name="_Toc183582207"/>
      <w:r>
        <w:rPr>
          <w:rFonts w:hint="eastAsia" w:ascii="仿宋" w:hAnsi="仿宋"/>
          <w:sz w:val="24"/>
        </w:rPr>
        <w:t>3. 合格的投标人</w:t>
      </w:r>
      <w:bookmarkEnd w:id="42"/>
      <w:bookmarkEnd w:id="43"/>
      <w:bookmarkEnd w:id="44"/>
      <w:bookmarkEnd w:id="45"/>
      <w:bookmarkEnd w:id="46"/>
    </w:p>
    <w:p>
      <w:pPr>
        <w:tabs>
          <w:tab w:val="left" w:pos="7665"/>
        </w:tabs>
        <w:spacing w:line="400" w:lineRule="exact"/>
        <w:ind w:firstLine="480" w:firstLineChars="200"/>
        <w:rPr>
          <w:rFonts w:ascii="仿宋" w:hAnsi="仿宋"/>
        </w:rPr>
      </w:pPr>
      <w:r>
        <w:rPr>
          <w:rFonts w:hint="eastAsia" w:ascii="仿宋" w:hAnsi="仿宋"/>
        </w:rPr>
        <w:t>合格的投标人应具备以下条件：</w:t>
      </w:r>
    </w:p>
    <w:p>
      <w:pPr>
        <w:tabs>
          <w:tab w:val="left" w:pos="7665"/>
        </w:tabs>
        <w:spacing w:line="400" w:lineRule="exact"/>
        <w:ind w:firstLine="480" w:firstLineChars="200"/>
        <w:rPr>
          <w:rFonts w:ascii="仿宋" w:hAnsi="仿宋"/>
          <w:spacing w:val="-4"/>
        </w:rPr>
      </w:pPr>
      <w:r>
        <w:rPr>
          <w:rFonts w:hint="eastAsia" w:ascii="仿宋" w:hAnsi="仿宋"/>
        </w:rPr>
        <w:t>（1）本招标文件规定的供应商资格条件</w:t>
      </w:r>
      <w:r>
        <w:rPr>
          <w:rFonts w:hint="eastAsia" w:ascii="仿宋" w:hAnsi="仿宋"/>
          <w:spacing w:val="-4"/>
        </w:rPr>
        <w:t>；</w:t>
      </w:r>
    </w:p>
    <w:p>
      <w:pPr>
        <w:tabs>
          <w:tab w:val="left" w:pos="7665"/>
        </w:tabs>
        <w:spacing w:line="400" w:lineRule="exact"/>
        <w:ind w:firstLine="480" w:firstLineChars="200"/>
        <w:rPr>
          <w:rFonts w:ascii="仿宋" w:hAnsi="仿宋"/>
        </w:rPr>
      </w:pPr>
      <w:r>
        <w:rPr>
          <w:rFonts w:hint="eastAsia" w:ascii="仿宋" w:hAnsi="仿宋"/>
        </w:rPr>
        <w:t>（2）遵守国家有关的法律、法规、规章和其他政策制度；</w:t>
      </w:r>
    </w:p>
    <w:p>
      <w:pPr>
        <w:tabs>
          <w:tab w:val="left" w:pos="7665"/>
        </w:tabs>
        <w:spacing w:line="400" w:lineRule="exact"/>
        <w:ind w:firstLine="480" w:firstLineChars="200"/>
        <w:rPr>
          <w:rFonts w:ascii="仿宋" w:hAnsi="仿宋"/>
        </w:rPr>
      </w:pPr>
      <w:r>
        <w:rPr>
          <w:rFonts w:hint="eastAsia" w:ascii="仿宋" w:hAnsi="仿宋"/>
        </w:rPr>
        <w:t>（3）按照招标文件第一章要求规定获取了招标文件。</w:t>
      </w:r>
    </w:p>
    <w:bookmarkEnd w:id="41"/>
    <w:p>
      <w:pPr>
        <w:pStyle w:val="5"/>
        <w:spacing w:line="400" w:lineRule="exact"/>
        <w:ind w:firstLine="482" w:firstLineChars="200"/>
        <w:rPr>
          <w:rFonts w:ascii="仿宋" w:hAnsi="仿宋" w:cs="黑体"/>
          <w:sz w:val="24"/>
          <w:szCs w:val="24"/>
        </w:rPr>
      </w:pPr>
      <w:bookmarkStart w:id="47" w:name="_Toc183682345"/>
      <w:bookmarkStart w:id="48" w:name="_Toc183582208"/>
      <w:bookmarkStart w:id="49" w:name="_Toc217446037"/>
      <w:bookmarkStart w:id="50" w:name="_Toc86701891"/>
      <w:bookmarkStart w:id="51" w:name="PO_默认文件内容_16"/>
      <w:r>
        <w:rPr>
          <w:rFonts w:hint="eastAsia" w:ascii="仿宋" w:hAnsi="仿宋"/>
          <w:sz w:val="24"/>
        </w:rPr>
        <w:t>4. 投标费用</w:t>
      </w:r>
      <w:bookmarkEnd w:id="47"/>
      <w:bookmarkEnd w:id="48"/>
      <w:bookmarkEnd w:id="49"/>
      <w:r>
        <w:rPr>
          <w:rFonts w:hint="eastAsia" w:ascii="仿宋" w:hAnsi="仿宋" w:cs="黑体"/>
          <w:sz w:val="24"/>
          <w:szCs w:val="24"/>
        </w:rPr>
        <w:t>（实质性要求）</w:t>
      </w:r>
      <w:bookmarkEnd w:id="50"/>
    </w:p>
    <w:p>
      <w:pPr>
        <w:tabs>
          <w:tab w:val="left" w:pos="7665"/>
        </w:tabs>
        <w:spacing w:line="400" w:lineRule="exact"/>
        <w:ind w:firstLine="480"/>
        <w:rPr>
          <w:rFonts w:ascii="仿宋" w:hAnsi="仿宋"/>
        </w:rPr>
      </w:pPr>
      <w:r>
        <w:rPr>
          <w:rFonts w:hint="eastAsia" w:ascii="仿宋" w:hAnsi="仿宋"/>
        </w:rPr>
        <w:t>投标人参加投标的有关费用由投标人自行承担。</w:t>
      </w:r>
    </w:p>
    <w:p>
      <w:pPr>
        <w:pStyle w:val="5"/>
        <w:spacing w:line="400" w:lineRule="exact"/>
        <w:ind w:firstLine="482" w:firstLineChars="200"/>
        <w:rPr>
          <w:rFonts w:ascii="仿宋" w:hAnsi="仿宋"/>
          <w:sz w:val="24"/>
        </w:rPr>
      </w:pPr>
      <w:bookmarkStart w:id="52" w:name="_Toc86701892"/>
      <w:r>
        <w:rPr>
          <w:rFonts w:hint="eastAsia" w:ascii="仿宋" w:hAnsi="仿宋"/>
          <w:sz w:val="24"/>
        </w:rPr>
        <w:t>5. 充分、公平竞争保障措施</w:t>
      </w:r>
      <w:r>
        <w:rPr>
          <w:rFonts w:hint="eastAsia" w:ascii="仿宋" w:hAnsi="仿宋" w:cs="黑体"/>
          <w:sz w:val="24"/>
          <w:szCs w:val="24"/>
        </w:rPr>
        <w:t>（实质性要求）</w:t>
      </w:r>
      <w:bookmarkEnd w:id="52"/>
    </w:p>
    <w:p>
      <w:pPr>
        <w:pStyle w:val="81"/>
        <w:spacing w:line="460" w:lineRule="exact"/>
        <w:ind w:left="1" w:firstLine="482" w:firstLineChars="200"/>
        <w:rPr>
          <w:rFonts w:ascii="仿宋" w:hAnsi="仿宋" w:eastAsia="仿宋"/>
          <w:sz w:val="24"/>
        </w:rPr>
      </w:pPr>
      <w:r>
        <w:rPr>
          <w:rFonts w:hint="eastAsia" w:ascii="仿宋" w:hAnsi="仿宋" w:eastAsia="仿宋"/>
          <w:b/>
          <w:sz w:val="24"/>
        </w:rPr>
        <w:t>5.</w:t>
      </w:r>
      <w:r>
        <w:rPr>
          <w:rFonts w:ascii="仿宋" w:hAnsi="仿宋" w:eastAsia="仿宋"/>
          <w:b/>
          <w:sz w:val="24"/>
        </w:rPr>
        <w:t>1</w:t>
      </w:r>
      <w:r>
        <w:rPr>
          <w:rFonts w:hint="eastAsia" w:ascii="仿宋" w:hAnsi="仿宋" w:eastAsia="仿宋"/>
          <w:b/>
          <w:sz w:val="24"/>
        </w:rPr>
        <w:t xml:space="preserve"> 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81"/>
        <w:spacing w:line="460" w:lineRule="exact"/>
        <w:ind w:left="1" w:firstLine="482" w:firstLineChars="200"/>
        <w:rPr>
          <w:rFonts w:ascii="仿宋" w:hAnsi="仿宋" w:eastAsia="仿宋"/>
          <w:sz w:val="24"/>
        </w:rPr>
      </w:pPr>
      <w:r>
        <w:rPr>
          <w:rFonts w:hint="eastAsia" w:ascii="仿宋" w:hAnsi="仿宋" w:eastAsia="仿宋"/>
          <w:b/>
          <w:sz w:val="24"/>
        </w:rPr>
        <w:t>5.</w:t>
      </w:r>
      <w:r>
        <w:rPr>
          <w:rFonts w:ascii="仿宋" w:hAnsi="仿宋" w:eastAsia="仿宋"/>
          <w:b/>
          <w:sz w:val="24"/>
        </w:rPr>
        <w:t>2</w:t>
      </w:r>
      <w:r>
        <w:rPr>
          <w:rFonts w:hint="eastAsia" w:ascii="仿宋" w:hAnsi="仿宋" w:eastAsia="仿宋"/>
          <w:b/>
          <w:sz w:val="24"/>
        </w:rPr>
        <w:t xml:space="preserve"> 前期参与供应商处理。</w:t>
      </w:r>
      <w:r>
        <w:rPr>
          <w:rFonts w:hint="eastAsia" w:ascii="仿宋" w:hAnsi="仿宋" w:eastAsia="仿宋"/>
          <w:sz w:val="24"/>
        </w:rPr>
        <w:t>为采购项目提供整体设计、规范编制或者项目管理、监理、检测等服务的供应商，不得再参加该采购项目的其他采购活动。</w:t>
      </w:r>
    </w:p>
    <w:p>
      <w:pPr>
        <w:pStyle w:val="11"/>
        <w:rPr>
          <w:rFonts w:ascii="仿宋" w:hAnsi="仿宋" w:eastAsia="仿宋"/>
          <w:sz w:val="24"/>
          <w:szCs w:val="22"/>
        </w:rPr>
      </w:pPr>
      <w:r>
        <w:rPr>
          <w:rFonts w:hint="eastAsia" w:ascii="仿宋" w:hAnsi="仿宋" w:eastAsia="仿宋"/>
          <w:sz w:val="24"/>
          <w:szCs w:val="22"/>
        </w:rPr>
        <w:t>5.3提供相同品牌产品处理。</w:t>
      </w:r>
    </w:p>
    <w:p>
      <w:pPr>
        <w:pStyle w:val="11"/>
        <w:rPr>
          <w:rFonts w:ascii="仿宋" w:hAnsi="仿宋" w:eastAsia="仿宋"/>
          <w:sz w:val="24"/>
          <w:szCs w:val="22"/>
        </w:rPr>
      </w:pPr>
      <w:r>
        <w:rPr>
          <w:rFonts w:hint="eastAsia" w:ascii="仿宋" w:hAnsi="仿宋" w:eastAsia="仿宋"/>
          <w:sz w:val="24"/>
          <w:szCs w:val="22"/>
        </w:rPr>
        <w:t>5.3.1 非单一产品采购项目中，采购人根据采购项目技术构成、产品价格比重等合理确定核心产品。多家投标人提供的任一核心产品品牌相同的，视为提供相同品牌产品。本采购项目核心产品为：包6 ：高分辨转播设备。</w:t>
      </w:r>
    </w:p>
    <w:p>
      <w:pPr>
        <w:pStyle w:val="11"/>
        <w:rPr>
          <w:rFonts w:ascii="仿宋" w:hAnsi="仿宋" w:eastAsia="仿宋"/>
          <w:sz w:val="24"/>
          <w:szCs w:val="22"/>
        </w:rPr>
      </w:pPr>
      <w:r>
        <w:rPr>
          <w:rFonts w:hint="eastAsia" w:ascii="仿宋" w:hAnsi="仿宋" w:eastAsia="仿宋"/>
          <w:sz w:val="24"/>
          <w:szCs w:val="22"/>
        </w:rPr>
        <w:t>5.3.2 采用最低评标价法的采购项目。</w:t>
      </w:r>
    </w:p>
    <w:p>
      <w:pPr>
        <w:pStyle w:val="11"/>
        <w:rPr>
          <w:rFonts w:ascii="仿宋" w:hAnsi="仿宋" w:eastAsia="仿宋"/>
          <w:sz w:val="24"/>
          <w:szCs w:val="22"/>
        </w:rPr>
      </w:pPr>
      <w:r>
        <w:rPr>
          <w:rFonts w:hint="eastAsia" w:ascii="仿宋" w:hAnsi="仿宋" w:eastAsia="仿宋"/>
          <w:sz w:val="24"/>
          <w:szCs w:val="22"/>
        </w:rPr>
        <w:t>提供相同品牌产品的不同投标人参加同一合同项下投标的，以其中通过资格审查、符合性审查且报价最低的参加评标；报价相同的，由采购人采取随机抽取方式确定一个参加评标的投标人，其他投标无效。</w:t>
      </w:r>
    </w:p>
    <w:p>
      <w:pPr>
        <w:pStyle w:val="11"/>
        <w:rPr>
          <w:rFonts w:ascii="仿宋" w:hAnsi="仿宋" w:eastAsia="仿宋"/>
          <w:sz w:val="24"/>
          <w:szCs w:val="22"/>
        </w:rPr>
      </w:pPr>
      <w:r>
        <w:rPr>
          <w:rFonts w:hint="eastAsia" w:ascii="仿宋" w:hAnsi="仿宋" w:eastAsia="仿宋"/>
          <w:sz w:val="24"/>
          <w:szCs w:val="22"/>
        </w:rPr>
        <w:t>5.3.3 采用综合评分法的采购项目。</w:t>
      </w:r>
    </w:p>
    <w:p>
      <w:pPr>
        <w:pStyle w:val="11"/>
        <w:rPr>
          <w:rFonts w:ascii="仿宋" w:hAnsi="仿宋" w:eastAsia="仿宋"/>
          <w:sz w:val="24"/>
          <w:szCs w:val="22"/>
        </w:rPr>
      </w:pPr>
      <w:r>
        <w:rPr>
          <w:rFonts w:hint="eastAsia" w:ascii="仿宋" w:hAnsi="仿宋" w:eastAsia="仿宋"/>
          <w:sz w:val="24"/>
          <w:szCs w:val="22"/>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81"/>
        <w:spacing w:line="460" w:lineRule="exact"/>
        <w:ind w:left="1" w:firstLine="480" w:firstLineChars="200"/>
        <w:rPr>
          <w:rFonts w:ascii="仿宋" w:hAnsi="仿宋" w:eastAsia="仿宋"/>
          <w:sz w:val="24"/>
        </w:rPr>
      </w:pPr>
    </w:p>
    <w:p>
      <w:pPr>
        <w:pStyle w:val="4"/>
        <w:spacing w:line="400" w:lineRule="exact"/>
        <w:jc w:val="center"/>
        <w:rPr>
          <w:rFonts w:ascii="仿宋" w:hAnsi="仿宋"/>
          <w:bCs w:val="0"/>
        </w:rPr>
      </w:pPr>
      <w:bookmarkStart w:id="53" w:name="_Toc86701893"/>
      <w:bookmarkStart w:id="54" w:name="_Toc183682346"/>
      <w:bookmarkStart w:id="55" w:name="_Toc89075875"/>
      <w:bookmarkStart w:id="56" w:name="_Toc183582209"/>
      <w:bookmarkStart w:id="57" w:name="_Toc217446038"/>
      <w:bookmarkStart w:id="58" w:name="_Toc77400779"/>
      <w:r>
        <w:rPr>
          <w:rFonts w:hint="eastAsia" w:ascii="仿宋" w:hAnsi="仿宋"/>
          <w:bCs w:val="0"/>
        </w:rPr>
        <w:t>三、招标文件</w:t>
      </w:r>
      <w:bookmarkEnd w:id="53"/>
      <w:bookmarkEnd w:id="54"/>
      <w:bookmarkEnd w:id="55"/>
      <w:bookmarkEnd w:id="56"/>
      <w:bookmarkEnd w:id="57"/>
      <w:bookmarkEnd w:id="58"/>
    </w:p>
    <w:p>
      <w:pPr>
        <w:pStyle w:val="5"/>
        <w:spacing w:line="400" w:lineRule="exact"/>
        <w:ind w:firstLine="482" w:firstLineChars="200"/>
        <w:rPr>
          <w:rFonts w:ascii="仿宋" w:hAnsi="仿宋"/>
          <w:sz w:val="24"/>
        </w:rPr>
      </w:pPr>
      <w:bookmarkStart w:id="59" w:name="_Toc183582210"/>
      <w:bookmarkStart w:id="60" w:name="_Toc86701894"/>
      <w:bookmarkStart w:id="61" w:name="_Toc183682347"/>
      <w:bookmarkStart w:id="62" w:name="_Toc217446039"/>
      <w:r>
        <w:rPr>
          <w:rFonts w:hint="eastAsia" w:ascii="仿宋" w:hAnsi="仿宋"/>
          <w:sz w:val="24"/>
        </w:rPr>
        <w:t>6．招标文件的构成</w:t>
      </w:r>
      <w:bookmarkEnd w:id="59"/>
      <w:bookmarkEnd w:id="60"/>
      <w:bookmarkEnd w:id="61"/>
      <w:bookmarkEnd w:id="62"/>
    </w:p>
    <w:p>
      <w:pPr>
        <w:tabs>
          <w:tab w:val="left" w:pos="7665"/>
        </w:tabs>
        <w:spacing w:line="400" w:lineRule="exact"/>
        <w:ind w:firstLine="480" w:firstLineChars="200"/>
        <w:rPr>
          <w:rFonts w:ascii="仿宋" w:hAnsi="仿宋"/>
          <w:kern w:val="0"/>
          <w:szCs w:val="22"/>
        </w:rPr>
      </w:pPr>
      <w:r>
        <w:rPr>
          <w:rFonts w:hint="eastAsia" w:ascii="仿宋" w:hAnsi="仿宋"/>
          <w:kern w:val="0"/>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rPr>
      </w:pPr>
      <w:r>
        <w:rPr>
          <w:rFonts w:hint="eastAsia" w:ascii="仿宋" w:hAnsi="仿宋"/>
          <w:kern w:val="0"/>
          <w:szCs w:val="22"/>
        </w:rPr>
        <w:t>（一）投标</w:t>
      </w:r>
      <w:r>
        <w:rPr>
          <w:rFonts w:hint="eastAsia" w:ascii="仿宋" w:hAnsi="仿宋"/>
        </w:rPr>
        <w:t>邀请；</w:t>
      </w:r>
    </w:p>
    <w:p>
      <w:pPr>
        <w:tabs>
          <w:tab w:val="left" w:pos="720"/>
        </w:tabs>
        <w:spacing w:line="400" w:lineRule="exact"/>
        <w:ind w:firstLine="480" w:firstLineChars="200"/>
        <w:rPr>
          <w:rFonts w:ascii="仿宋" w:hAnsi="仿宋"/>
        </w:rPr>
      </w:pPr>
      <w:r>
        <w:rPr>
          <w:rFonts w:hint="eastAsia" w:ascii="仿宋" w:hAnsi="仿宋"/>
        </w:rPr>
        <w:t>（二）投标人须知；</w:t>
      </w:r>
    </w:p>
    <w:p>
      <w:pPr>
        <w:tabs>
          <w:tab w:val="left" w:pos="720"/>
        </w:tabs>
        <w:spacing w:line="400" w:lineRule="exact"/>
        <w:ind w:firstLine="480" w:firstLineChars="200"/>
        <w:rPr>
          <w:rFonts w:ascii="仿宋" w:hAnsi="仿宋"/>
        </w:rPr>
      </w:pPr>
      <w:r>
        <w:rPr>
          <w:rFonts w:hint="eastAsia" w:ascii="仿宋" w:hAnsi="仿宋"/>
        </w:rPr>
        <w:t>（三）投标文件格式；</w:t>
      </w:r>
    </w:p>
    <w:p>
      <w:pPr>
        <w:tabs>
          <w:tab w:val="left" w:pos="720"/>
        </w:tabs>
        <w:spacing w:line="400" w:lineRule="exact"/>
        <w:ind w:firstLine="480" w:firstLineChars="200"/>
        <w:rPr>
          <w:rFonts w:ascii="仿宋" w:hAnsi="仿宋"/>
        </w:rPr>
      </w:pPr>
      <w:r>
        <w:rPr>
          <w:rFonts w:hint="eastAsia" w:ascii="仿宋" w:hAnsi="仿宋"/>
        </w:rPr>
        <w:t>（四）投标人和投标产品的资格、资质性及其他类似效力要求；</w:t>
      </w:r>
    </w:p>
    <w:p>
      <w:pPr>
        <w:tabs>
          <w:tab w:val="left" w:pos="720"/>
        </w:tabs>
        <w:spacing w:line="400" w:lineRule="exact"/>
        <w:ind w:firstLine="480" w:firstLineChars="200"/>
        <w:rPr>
          <w:rFonts w:ascii="仿宋" w:hAnsi="仿宋"/>
        </w:rPr>
      </w:pPr>
      <w:r>
        <w:rPr>
          <w:rFonts w:hint="eastAsia" w:ascii="仿宋" w:hAnsi="仿宋"/>
        </w:rPr>
        <w:t>（五）资格性审查要求；</w:t>
      </w:r>
    </w:p>
    <w:p>
      <w:pPr>
        <w:tabs>
          <w:tab w:val="left" w:pos="720"/>
        </w:tabs>
        <w:spacing w:line="400" w:lineRule="exact"/>
        <w:ind w:firstLine="480" w:firstLineChars="200"/>
        <w:rPr>
          <w:rFonts w:ascii="仿宋" w:hAnsi="仿宋"/>
          <w:highlight w:val="cyan"/>
        </w:rPr>
      </w:pPr>
      <w:r>
        <w:rPr>
          <w:rFonts w:hint="eastAsia" w:ascii="仿宋" w:hAnsi="仿宋"/>
        </w:rPr>
        <w:t>（六）招标项目技术、服务、商务及其他要求；</w:t>
      </w:r>
    </w:p>
    <w:p>
      <w:pPr>
        <w:tabs>
          <w:tab w:val="left" w:pos="720"/>
        </w:tabs>
        <w:spacing w:line="400" w:lineRule="exact"/>
        <w:ind w:firstLine="480" w:firstLineChars="200"/>
        <w:rPr>
          <w:rFonts w:ascii="仿宋" w:hAnsi="仿宋"/>
        </w:rPr>
      </w:pPr>
      <w:r>
        <w:rPr>
          <w:rFonts w:hint="eastAsia" w:ascii="仿宋" w:hAnsi="仿宋"/>
        </w:rPr>
        <w:t>（七）评标办法；</w:t>
      </w:r>
    </w:p>
    <w:p>
      <w:pPr>
        <w:tabs>
          <w:tab w:val="left" w:pos="720"/>
        </w:tabs>
        <w:spacing w:line="400" w:lineRule="exact"/>
        <w:ind w:firstLine="480" w:firstLineChars="200"/>
        <w:rPr>
          <w:rFonts w:ascii="仿宋" w:hAnsi="仿宋"/>
        </w:rPr>
      </w:pPr>
      <w:r>
        <w:rPr>
          <w:rFonts w:hint="eastAsia" w:ascii="仿宋" w:hAnsi="仿宋"/>
        </w:rPr>
        <w:t>（八）合同主要条款。</w:t>
      </w:r>
    </w:p>
    <w:p>
      <w:pPr>
        <w:pStyle w:val="5"/>
        <w:spacing w:line="400" w:lineRule="exact"/>
        <w:ind w:firstLine="482" w:firstLineChars="200"/>
        <w:rPr>
          <w:rFonts w:ascii="仿宋" w:hAnsi="仿宋"/>
          <w:sz w:val="24"/>
        </w:rPr>
      </w:pPr>
      <w:bookmarkStart w:id="63" w:name="_Toc183682348"/>
      <w:bookmarkStart w:id="64" w:name="_Toc183582211"/>
      <w:bookmarkStart w:id="65" w:name="_Toc86701895"/>
      <w:bookmarkStart w:id="66" w:name="_Toc217446040"/>
      <w:r>
        <w:rPr>
          <w:rFonts w:hint="eastAsia" w:ascii="仿宋" w:hAnsi="仿宋"/>
          <w:sz w:val="24"/>
        </w:rPr>
        <w:t>7. 招标文件的澄清</w:t>
      </w:r>
      <w:bookmarkEnd w:id="63"/>
      <w:bookmarkEnd w:id="64"/>
      <w:r>
        <w:rPr>
          <w:rFonts w:hint="eastAsia" w:ascii="仿宋" w:hAnsi="仿宋"/>
          <w:sz w:val="24"/>
        </w:rPr>
        <w:t>和修改</w:t>
      </w:r>
      <w:bookmarkEnd w:id="65"/>
      <w:bookmarkEnd w:id="66"/>
    </w:p>
    <w:p>
      <w:pPr>
        <w:tabs>
          <w:tab w:val="left" w:pos="7665"/>
        </w:tabs>
        <w:spacing w:line="400" w:lineRule="exact"/>
        <w:ind w:firstLine="480" w:firstLineChars="200"/>
        <w:rPr>
          <w:rFonts w:ascii="仿宋" w:hAnsi="仿宋"/>
        </w:rPr>
      </w:pPr>
      <w:r>
        <w:rPr>
          <w:rFonts w:hint="eastAsia" w:ascii="仿宋" w:hAnsi="仿宋"/>
        </w:rPr>
        <w:t>7.1 招标采购单位可以依法对招标文件进行澄清或者修改。</w:t>
      </w:r>
    </w:p>
    <w:p>
      <w:pPr>
        <w:tabs>
          <w:tab w:val="left" w:pos="7665"/>
        </w:tabs>
        <w:spacing w:line="400" w:lineRule="exact"/>
        <w:ind w:firstLine="480" w:firstLineChars="200"/>
        <w:rPr>
          <w:rFonts w:ascii="仿宋" w:hAnsi="仿宋"/>
        </w:rPr>
      </w:pPr>
      <w:r>
        <w:rPr>
          <w:rFonts w:hint="eastAsia" w:ascii="仿宋" w:hAnsi="仿宋"/>
        </w:rPr>
        <w:t>7.2 招标采购单位对已发出的招标文件进行澄清或者修改，应当以书面形式将澄清或者修改的内容通知所有获取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rPr>
      </w:pPr>
      <w:r>
        <w:rPr>
          <w:rFonts w:hint="eastAsia" w:ascii="仿宋" w:hAnsi="仿宋"/>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rPr>
      </w:pPr>
      <w:r>
        <w:rPr>
          <w:rFonts w:hint="eastAsia" w:ascii="仿宋" w:hAnsi="仿宋"/>
        </w:rPr>
        <w:t>更正通知通过政府采购云平台通知所有获取招标文件的潜在供应商。</w:t>
      </w:r>
    </w:p>
    <w:p>
      <w:pPr>
        <w:tabs>
          <w:tab w:val="left" w:pos="7665"/>
        </w:tabs>
        <w:spacing w:line="400" w:lineRule="exact"/>
        <w:ind w:firstLine="480" w:firstLineChars="200"/>
        <w:rPr>
          <w:rFonts w:ascii="仿宋" w:hAnsi="仿宋"/>
        </w:rPr>
      </w:pPr>
      <w:r>
        <w:rPr>
          <w:rFonts w:hint="eastAsia" w:ascii="仿宋" w:hAnsi="仿宋"/>
        </w:rPr>
        <w:t>7.4 投标人认为需要对招标文件进行澄清或者修改的，可以以书面形式向招标采购单位提出申请，但招标采购单位可以决定是否采纳投标人的申请事项。</w:t>
      </w:r>
    </w:p>
    <w:p>
      <w:pPr>
        <w:pStyle w:val="5"/>
        <w:spacing w:line="400" w:lineRule="exact"/>
        <w:ind w:firstLine="482" w:firstLineChars="200"/>
        <w:rPr>
          <w:rFonts w:ascii="仿宋" w:hAnsi="仿宋"/>
          <w:sz w:val="24"/>
        </w:rPr>
      </w:pPr>
      <w:bookmarkStart w:id="67" w:name="_Toc217446041"/>
      <w:bookmarkStart w:id="68" w:name="_Toc208848971"/>
      <w:bookmarkStart w:id="69" w:name="_Toc86701896"/>
      <w:r>
        <w:rPr>
          <w:rFonts w:hint="eastAsia" w:ascii="仿宋" w:hAnsi="仿宋"/>
          <w:sz w:val="24"/>
        </w:rPr>
        <w:t>8. 答疑会或现场考察</w:t>
      </w:r>
      <w:bookmarkEnd w:id="67"/>
      <w:bookmarkEnd w:id="68"/>
      <w:bookmarkEnd w:id="69"/>
    </w:p>
    <w:p>
      <w:pPr>
        <w:tabs>
          <w:tab w:val="left" w:pos="7665"/>
        </w:tabs>
        <w:spacing w:line="400" w:lineRule="exact"/>
        <w:ind w:firstLine="480" w:firstLineChars="200"/>
        <w:rPr>
          <w:rFonts w:ascii="仿宋" w:hAnsi="仿宋"/>
        </w:rPr>
      </w:pPr>
      <w:r>
        <w:rPr>
          <w:rFonts w:hint="eastAsia" w:ascii="仿宋" w:hAnsi="仿宋"/>
        </w:rPr>
        <w:t>8.1 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rPr>
      </w:pPr>
      <w:r>
        <w:rPr>
          <w:rFonts w:hint="eastAsia" w:ascii="仿宋" w:hAnsi="仿宋"/>
        </w:rPr>
        <w:t>现场考察或标前答疑会时间：详见投标人须知表。</w:t>
      </w:r>
    </w:p>
    <w:p>
      <w:pPr>
        <w:tabs>
          <w:tab w:val="left" w:pos="7665"/>
        </w:tabs>
        <w:spacing w:line="400" w:lineRule="exact"/>
        <w:ind w:firstLine="480" w:firstLineChars="200"/>
        <w:rPr>
          <w:rFonts w:ascii="仿宋" w:hAnsi="仿宋"/>
        </w:rPr>
      </w:pPr>
      <w:r>
        <w:rPr>
          <w:rFonts w:hint="eastAsia" w:ascii="仿宋" w:hAnsi="仿宋"/>
        </w:rPr>
        <w:t>现场考察或标前答疑会地点：详见投标人须知表。</w:t>
      </w:r>
    </w:p>
    <w:bookmarkEnd w:id="51"/>
    <w:p>
      <w:pPr>
        <w:tabs>
          <w:tab w:val="left" w:pos="7665"/>
        </w:tabs>
        <w:spacing w:line="400" w:lineRule="exact"/>
        <w:ind w:firstLine="480" w:firstLineChars="200"/>
        <w:rPr>
          <w:rFonts w:ascii="仿宋" w:hAnsi="仿宋"/>
        </w:rPr>
      </w:pPr>
      <w:bookmarkStart w:id="70" w:name="PO_默认文件内容_18"/>
      <w:r>
        <w:rPr>
          <w:rFonts w:hint="eastAsia" w:ascii="仿宋" w:hAnsi="仿宋"/>
        </w:rPr>
        <w:t>8.2 供应商考察现场所发生的一切费用由供应商自己承担。</w:t>
      </w:r>
    </w:p>
    <w:p>
      <w:pPr>
        <w:pStyle w:val="4"/>
        <w:spacing w:line="400" w:lineRule="exact"/>
        <w:jc w:val="center"/>
        <w:rPr>
          <w:rFonts w:ascii="仿宋" w:hAnsi="仿宋"/>
          <w:bCs w:val="0"/>
        </w:rPr>
      </w:pPr>
      <w:bookmarkStart w:id="71" w:name="_Toc89075876"/>
      <w:bookmarkStart w:id="72" w:name="_Toc77400780"/>
      <w:bookmarkStart w:id="73" w:name="_Toc183682351"/>
      <w:bookmarkStart w:id="74" w:name="_Toc183582214"/>
      <w:bookmarkStart w:id="75" w:name="_Toc86701897"/>
      <w:bookmarkStart w:id="76" w:name="_Toc217446042"/>
      <w:r>
        <w:rPr>
          <w:rFonts w:hint="eastAsia" w:ascii="仿宋" w:hAnsi="仿宋"/>
          <w:bCs w:val="0"/>
        </w:rPr>
        <w:t>四、投标文件</w:t>
      </w:r>
      <w:bookmarkEnd w:id="71"/>
      <w:bookmarkEnd w:id="72"/>
      <w:bookmarkEnd w:id="73"/>
      <w:bookmarkEnd w:id="74"/>
      <w:bookmarkEnd w:id="75"/>
      <w:bookmarkEnd w:id="76"/>
    </w:p>
    <w:p>
      <w:pPr>
        <w:pStyle w:val="5"/>
        <w:spacing w:line="400" w:lineRule="exact"/>
        <w:ind w:firstLine="482" w:firstLineChars="200"/>
        <w:rPr>
          <w:rFonts w:ascii="仿宋" w:hAnsi="仿宋"/>
          <w:bCs w:val="0"/>
          <w:sz w:val="24"/>
        </w:rPr>
      </w:pPr>
      <w:bookmarkStart w:id="77" w:name="_Toc183682352"/>
      <w:bookmarkStart w:id="78" w:name="_Toc183582215"/>
      <w:bookmarkStart w:id="79" w:name="_Toc217446043"/>
      <w:bookmarkStart w:id="80" w:name="_Toc86701898"/>
      <w:r>
        <w:rPr>
          <w:rFonts w:hint="eastAsia" w:ascii="仿宋" w:hAnsi="仿宋"/>
          <w:bCs w:val="0"/>
          <w:sz w:val="24"/>
        </w:rPr>
        <w:t>9．投标文件的语言</w:t>
      </w:r>
      <w:bookmarkEnd w:id="77"/>
      <w:bookmarkEnd w:id="78"/>
      <w:bookmarkEnd w:id="79"/>
      <w:bookmarkEnd w:id="80"/>
    </w:p>
    <w:p>
      <w:pPr>
        <w:tabs>
          <w:tab w:val="left" w:pos="1134"/>
        </w:tabs>
        <w:ind w:firstLine="480" w:firstLineChars="200"/>
        <w:rPr>
          <w:rFonts w:ascii="仿宋" w:hAnsi="仿宋"/>
        </w:rPr>
      </w:pPr>
      <w:bookmarkStart w:id="81" w:name="_Toc183682353"/>
      <w:bookmarkStart w:id="82" w:name="_Toc183582216"/>
      <w:bookmarkStart w:id="83" w:name="_Toc217446044"/>
      <w:r>
        <w:rPr>
          <w:rFonts w:hint="eastAsia" w:ascii="仿宋" w:hAnsi="仿宋"/>
        </w:rPr>
        <w:t>9.1 投标人提交的投标文件以及投标人与招标采购单位就有关投标的所有来往书面文件均须使用中文。投标文件中如附有外文资料，主要部分对应翻译成中文并加盖投</w:t>
      </w:r>
      <w:r>
        <w:rPr>
          <w:rFonts w:hint="eastAsia" w:ascii="仿宋" w:hAnsi="仿宋"/>
          <w:spacing w:val="-6"/>
        </w:rPr>
        <w:t>标人公章后附在相关外文资料后面。未翻译的外文资料，评标委员会可将其视为无效材料。</w:t>
      </w:r>
    </w:p>
    <w:p>
      <w:pPr>
        <w:tabs>
          <w:tab w:val="left" w:pos="1134"/>
        </w:tabs>
        <w:ind w:firstLine="480" w:firstLineChars="200"/>
        <w:rPr>
          <w:rFonts w:ascii="仿宋" w:hAnsi="仿宋"/>
        </w:rPr>
      </w:pPr>
      <w:r>
        <w:rPr>
          <w:rFonts w:hint="eastAsia" w:ascii="仿宋" w:hAnsi="仿宋"/>
        </w:rPr>
        <w:t>9.2 翻译的中文资料与外文资料如果出现差异和矛盾时，以中文为准。涉嫌虚假响应的按照相关法律法规处理。</w:t>
      </w:r>
    </w:p>
    <w:p>
      <w:pPr>
        <w:spacing w:line="400" w:lineRule="exact"/>
        <w:ind w:firstLine="480" w:firstLineChars="200"/>
        <w:rPr>
          <w:rFonts w:ascii="仿宋" w:hAnsi="仿宋" w:cs="宋体"/>
        </w:rPr>
      </w:pPr>
      <w:r>
        <w:rPr>
          <w:rFonts w:hint="eastAsia" w:ascii="仿宋" w:hAnsi="仿宋" w:cs="宋体"/>
        </w:rPr>
        <w:t>9.3 如因未翻译而造成的废标，由投标人承担。</w:t>
      </w:r>
    </w:p>
    <w:p>
      <w:pPr>
        <w:pStyle w:val="5"/>
        <w:spacing w:line="400" w:lineRule="exact"/>
        <w:ind w:firstLine="482" w:firstLineChars="200"/>
        <w:rPr>
          <w:rFonts w:ascii="仿宋" w:hAnsi="仿宋" w:cs="黑体"/>
          <w:sz w:val="24"/>
          <w:szCs w:val="24"/>
        </w:rPr>
      </w:pPr>
      <w:bookmarkStart w:id="84" w:name="_Toc86701899"/>
      <w:r>
        <w:rPr>
          <w:rFonts w:hint="eastAsia" w:ascii="仿宋" w:hAnsi="仿宋"/>
          <w:sz w:val="24"/>
        </w:rPr>
        <w:t>10．计量单位</w:t>
      </w:r>
      <w:bookmarkEnd w:id="81"/>
      <w:bookmarkEnd w:id="82"/>
      <w:bookmarkEnd w:id="83"/>
      <w:r>
        <w:rPr>
          <w:rFonts w:hint="eastAsia" w:ascii="仿宋" w:hAnsi="仿宋" w:cs="黑体"/>
          <w:sz w:val="24"/>
          <w:szCs w:val="24"/>
        </w:rPr>
        <w:t>（实质性要求）</w:t>
      </w:r>
      <w:bookmarkEnd w:id="84"/>
    </w:p>
    <w:p>
      <w:pPr>
        <w:spacing w:line="400" w:lineRule="exact"/>
        <w:ind w:firstLine="470" w:firstLineChars="196"/>
        <w:rPr>
          <w:rFonts w:ascii="仿宋" w:hAnsi="仿宋"/>
        </w:rPr>
      </w:pPr>
      <w:r>
        <w:rPr>
          <w:rFonts w:hint="eastAsia" w:ascii="仿宋" w:hAnsi="仿宋"/>
        </w:rPr>
        <w:t>除招标文件中另有规定外，本次采购项目所有合同项下的投标均采用国家法定的计量单位。</w:t>
      </w:r>
    </w:p>
    <w:p>
      <w:pPr>
        <w:pStyle w:val="5"/>
        <w:spacing w:line="400" w:lineRule="exact"/>
        <w:ind w:firstLine="482" w:firstLineChars="200"/>
        <w:rPr>
          <w:rFonts w:ascii="仿宋" w:hAnsi="仿宋" w:cs="黑体"/>
          <w:sz w:val="24"/>
          <w:szCs w:val="24"/>
        </w:rPr>
      </w:pPr>
      <w:bookmarkStart w:id="85" w:name="_Toc217446045"/>
      <w:bookmarkStart w:id="86" w:name="_Toc86701900"/>
      <w:r>
        <w:rPr>
          <w:rFonts w:hint="eastAsia" w:ascii="仿宋" w:hAnsi="仿宋"/>
          <w:sz w:val="24"/>
        </w:rPr>
        <w:t>11. 投标货币</w:t>
      </w:r>
      <w:bookmarkEnd w:id="85"/>
      <w:r>
        <w:rPr>
          <w:rFonts w:hint="eastAsia" w:ascii="仿宋" w:hAnsi="仿宋" w:cs="黑体"/>
          <w:sz w:val="24"/>
          <w:szCs w:val="24"/>
        </w:rPr>
        <w:t>（实质性要求）</w:t>
      </w:r>
      <w:bookmarkEnd w:id="86"/>
    </w:p>
    <w:p>
      <w:pPr>
        <w:spacing w:line="400" w:lineRule="exact"/>
        <w:ind w:firstLine="470" w:firstLineChars="196"/>
        <w:rPr>
          <w:rFonts w:ascii="仿宋" w:hAnsi="仿宋"/>
        </w:rPr>
      </w:pPr>
      <w:r>
        <w:rPr>
          <w:rFonts w:hint="eastAsia" w:ascii="仿宋" w:hAnsi="仿宋"/>
        </w:rPr>
        <w:t>本次招标项目的投标均以人民币报价。</w:t>
      </w:r>
    </w:p>
    <w:p>
      <w:pPr>
        <w:pStyle w:val="5"/>
        <w:spacing w:line="400" w:lineRule="exact"/>
        <w:ind w:firstLine="482" w:firstLineChars="200"/>
        <w:rPr>
          <w:rFonts w:ascii="仿宋" w:hAnsi="仿宋"/>
          <w:sz w:val="24"/>
        </w:rPr>
      </w:pPr>
      <w:bookmarkStart w:id="87" w:name="_Toc217446046"/>
      <w:bookmarkStart w:id="88" w:name="_Toc86701901"/>
      <w:r>
        <w:rPr>
          <w:rFonts w:hint="eastAsia" w:ascii="仿宋" w:hAnsi="仿宋"/>
          <w:sz w:val="24"/>
        </w:rPr>
        <w:t>12. 联合体投标</w:t>
      </w:r>
      <w:bookmarkEnd w:id="87"/>
      <w:r>
        <w:rPr>
          <w:rFonts w:hint="eastAsia" w:ascii="仿宋" w:hAnsi="仿宋"/>
          <w:sz w:val="24"/>
        </w:rPr>
        <w:t>（仅适用于允许联合体参与的项目）</w:t>
      </w:r>
      <w:bookmarkEnd w:id="88"/>
    </w:p>
    <w:p>
      <w:pPr>
        <w:spacing w:line="400" w:lineRule="exact"/>
        <w:ind w:firstLine="470" w:firstLineChars="196"/>
        <w:rPr>
          <w:rFonts w:ascii="仿宋" w:hAnsi="仿宋"/>
        </w:rPr>
      </w:pPr>
      <w:bookmarkStart w:id="89" w:name="_Toc217446047"/>
      <w:r>
        <w:rPr>
          <w:rFonts w:hint="eastAsia" w:ascii="仿宋" w:hAnsi="仿宋"/>
        </w:rPr>
        <w:t>联合体各方应当共同与采购人签订采购合同，就采购合同约定的事项对采购人承担连带责任。</w:t>
      </w:r>
    </w:p>
    <w:p>
      <w:pPr>
        <w:pStyle w:val="5"/>
        <w:spacing w:line="400" w:lineRule="exact"/>
        <w:ind w:firstLine="482" w:firstLineChars="200"/>
        <w:rPr>
          <w:rFonts w:ascii="仿宋" w:hAnsi="仿宋" w:cs="黑体"/>
          <w:sz w:val="24"/>
          <w:szCs w:val="24"/>
        </w:rPr>
      </w:pPr>
      <w:bookmarkStart w:id="90" w:name="_Toc308164797"/>
      <w:bookmarkStart w:id="91" w:name="_Toc86701902"/>
      <w:r>
        <w:rPr>
          <w:rFonts w:hint="eastAsia" w:ascii="仿宋" w:hAnsi="仿宋"/>
          <w:sz w:val="24"/>
        </w:rPr>
        <w:t>13. 知识产权</w:t>
      </w:r>
      <w:bookmarkEnd w:id="89"/>
      <w:bookmarkEnd w:id="90"/>
      <w:r>
        <w:rPr>
          <w:rFonts w:hint="eastAsia" w:ascii="仿宋" w:hAnsi="仿宋" w:cs="黑体"/>
          <w:sz w:val="24"/>
          <w:szCs w:val="24"/>
        </w:rPr>
        <w:t>（实质性要求）</w:t>
      </w:r>
      <w:bookmarkEnd w:id="91"/>
    </w:p>
    <w:p>
      <w:pPr>
        <w:pStyle w:val="14"/>
        <w:spacing w:line="400" w:lineRule="exact"/>
        <w:ind w:left="0" w:leftChars="0" w:firstLine="480" w:firstLineChars="200"/>
        <w:rPr>
          <w:rFonts w:ascii="仿宋" w:hAnsi="仿宋"/>
        </w:rPr>
      </w:pPr>
      <w:r>
        <w:rPr>
          <w:rFonts w:hint="eastAsia" w:ascii="仿宋" w:hAnsi="仿宋"/>
        </w:rPr>
        <w:t>13.1 投标人应保证在本项目使用的任何产品和服务（包括部分使用）时，不会产生因第三方提出侵犯其专利权、商标权或其它知识产权而引起的法律和经济纠纷，如</w:t>
      </w:r>
      <w:r>
        <w:rPr>
          <w:rFonts w:hint="eastAsia" w:ascii="仿宋" w:hAnsi="仿宋"/>
          <w:spacing w:val="-6"/>
        </w:rPr>
        <w:t>因专利权、商标权或其它知识产权而引起法律和经济纠纷，由投标人承担所有相关责任。</w:t>
      </w:r>
    </w:p>
    <w:p>
      <w:pPr>
        <w:pStyle w:val="14"/>
        <w:spacing w:line="400" w:lineRule="exact"/>
        <w:ind w:left="0" w:leftChars="0" w:firstLine="480" w:firstLineChars="200"/>
        <w:rPr>
          <w:rFonts w:ascii="仿宋" w:hAnsi="仿宋"/>
        </w:rPr>
      </w:pPr>
      <w:r>
        <w:rPr>
          <w:rFonts w:hint="eastAsia" w:ascii="仿宋" w:hAnsi="仿宋"/>
        </w:rPr>
        <w:t>13.2 采购人享有本项目实施过程中产生的知识成果及知识产权。</w:t>
      </w:r>
    </w:p>
    <w:p>
      <w:pPr>
        <w:spacing w:line="400" w:lineRule="exact"/>
        <w:ind w:firstLine="480" w:firstLineChars="200"/>
        <w:rPr>
          <w:rFonts w:ascii="仿宋" w:hAnsi="仿宋"/>
        </w:rPr>
      </w:pPr>
      <w:r>
        <w:rPr>
          <w:rFonts w:hint="eastAsia" w:ascii="仿宋" w:hAnsi="仿宋"/>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rPr>
      </w:pPr>
      <w:r>
        <w:rPr>
          <w:rFonts w:hint="eastAsia" w:ascii="仿宋" w:hAnsi="仿宋"/>
        </w:rPr>
        <w:t xml:space="preserve">13.4 如采用投标人所不拥有的知识产权，则在投标报价中必须包括合法获取该知识产权的相关费用。 </w:t>
      </w:r>
    </w:p>
    <w:p>
      <w:pPr>
        <w:pStyle w:val="5"/>
        <w:spacing w:line="400" w:lineRule="exact"/>
        <w:ind w:firstLine="482" w:firstLineChars="200"/>
        <w:rPr>
          <w:rFonts w:ascii="仿宋" w:hAnsi="仿宋"/>
          <w:sz w:val="24"/>
        </w:rPr>
      </w:pPr>
      <w:bookmarkStart w:id="92" w:name="_Toc308164798"/>
      <w:bookmarkStart w:id="93" w:name="_Toc183682354"/>
      <w:bookmarkStart w:id="94" w:name="_Toc183582217"/>
      <w:bookmarkStart w:id="95" w:name="_Toc86701903"/>
      <w:bookmarkStart w:id="96" w:name="_Toc217446048"/>
      <w:r>
        <w:rPr>
          <w:rFonts w:hint="eastAsia" w:ascii="仿宋" w:hAnsi="仿宋"/>
          <w:sz w:val="24"/>
        </w:rPr>
        <w:t>14．投标文件的组成</w:t>
      </w:r>
      <w:bookmarkEnd w:id="92"/>
      <w:bookmarkEnd w:id="93"/>
      <w:bookmarkEnd w:id="94"/>
      <w:bookmarkEnd w:id="95"/>
      <w:bookmarkEnd w:id="96"/>
    </w:p>
    <w:p>
      <w:pPr>
        <w:spacing w:line="400" w:lineRule="exact"/>
        <w:ind w:firstLine="480" w:firstLineChars="200"/>
        <w:rPr>
          <w:rFonts w:ascii="仿宋" w:hAnsi="仿宋"/>
        </w:rPr>
      </w:pPr>
      <w:r>
        <w:rPr>
          <w:rFonts w:hint="eastAsia" w:ascii="仿宋" w:hAnsi="仿宋"/>
        </w:rPr>
        <w:t>投标人应按照招标文件的规定和要求编制投标文件。投标人编写的投标文件应至少包括下列两部分文件：</w:t>
      </w:r>
    </w:p>
    <w:p>
      <w:pPr>
        <w:spacing w:line="400" w:lineRule="exact"/>
        <w:ind w:firstLine="482" w:firstLineChars="200"/>
        <w:rPr>
          <w:rFonts w:ascii="仿宋" w:hAnsi="仿宋"/>
          <w:b/>
        </w:rPr>
      </w:pPr>
      <w:r>
        <w:rPr>
          <w:rFonts w:hint="eastAsia" w:ascii="仿宋" w:hAnsi="仿宋"/>
          <w:b/>
        </w:rPr>
        <w:t>文件一：资格性投标文件</w:t>
      </w:r>
    </w:p>
    <w:p>
      <w:pPr>
        <w:spacing w:line="400" w:lineRule="exact"/>
        <w:ind w:firstLine="456" w:firstLineChars="200"/>
        <w:rPr>
          <w:rFonts w:ascii="仿宋" w:hAnsi="仿宋"/>
          <w:spacing w:val="-6"/>
        </w:rPr>
      </w:pPr>
      <w:r>
        <w:rPr>
          <w:rFonts w:hint="eastAsia" w:ascii="仿宋" w:hAnsi="仿宋"/>
          <w:spacing w:val="-6"/>
        </w:rPr>
        <w:t>严格按照第四、五章要求提供相关资格、资质性及其他类似效力要求的相关证明材料。</w:t>
      </w:r>
    </w:p>
    <w:p>
      <w:pPr>
        <w:spacing w:line="400" w:lineRule="exact"/>
        <w:ind w:firstLine="482" w:firstLineChars="200"/>
        <w:rPr>
          <w:rFonts w:ascii="仿宋" w:hAnsi="仿宋"/>
          <w:b/>
        </w:rPr>
      </w:pPr>
      <w:r>
        <w:rPr>
          <w:rFonts w:hint="eastAsia" w:ascii="仿宋" w:hAnsi="仿宋"/>
          <w:b/>
        </w:rPr>
        <w:t>文件二：其他响应性投标文件</w:t>
      </w:r>
    </w:p>
    <w:p>
      <w:pPr>
        <w:spacing w:line="400" w:lineRule="exact"/>
        <w:ind w:firstLine="480" w:firstLineChars="200"/>
        <w:rPr>
          <w:rFonts w:ascii="仿宋" w:hAnsi="仿宋"/>
        </w:rPr>
      </w:pPr>
      <w:r>
        <w:rPr>
          <w:rFonts w:hint="eastAsia" w:ascii="仿宋" w:hAnsi="仿宋"/>
        </w:rPr>
        <w:t>严格按照招标文件要求提供以下五个方面的相关材料：</w:t>
      </w:r>
    </w:p>
    <w:p>
      <w:pPr>
        <w:pStyle w:val="69"/>
        <w:numPr>
          <w:ilvl w:val="0"/>
          <w:numId w:val="2"/>
        </w:numPr>
        <w:spacing w:line="400" w:lineRule="exact"/>
        <w:ind w:firstLineChars="0"/>
        <w:rPr>
          <w:rFonts w:ascii="仿宋" w:hAnsi="仿宋"/>
          <w:bCs/>
        </w:rPr>
      </w:pPr>
      <w:bookmarkStart w:id="97" w:name="_Toc308164810"/>
      <w:bookmarkStart w:id="98" w:name="_Toc86701916"/>
      <w:bookmarkStart w:id="99" w:name="_Toc217446064"/>
      <w:bookmarkStart w:id="100" w:name="_Toc183682377"/>
      <w:bookmarkStart w:id="101" w:name="_Toc183582240"/>
      <w:r>
        <w:rPr>
          <w:rFonts w:hint="eastAsia" w:ascii="仿宋" w:hAnsi="仿宋"/>
          <w:b/>
        </w:rPr>
        <w:t>报价部分。</w:t>
      </w:r>
    </w:p>
    <w:p>
      <w:pPr>
        <w:spacing w:line="400" w:lineRule="exact"/>
        <w:ind w:left="482"/>
        <w:rPr>
          <w:rFonts w:ascii="仿宋" w:hAnsi="仿宋"/>
        </w:rPr>
      </w:pPr>
      <w:r>
        <w:rPr>
          <w:rFonts w:hint="eastAsia" w:ascii="仿宋" w:hAnsi="仿宋"/>
        </w:rPr>
        <w:t xml:space="preserve">1、投标人按照招标文件要求填写的“开标一览表”、“报价明细表”（如涉及）。 </w:t>
      </w:r>
    </w:p>
    <w:p>
      <w:pPr>
        <w:spacing w:line="400" w:lineRule="exact"/>
        <w:ind w:left="482"/>
        <w:rPr>
          <w:rFonts w:ascii="仿宋" w:hAnsi="仿宋"/>
        </w:rPr>
      </w:pPr>
      <w:r>
        <w:rPr>
          <w:rFonts w:hint="eastAsia" w:ascii="仿宋" w:hAnsi="仿宋"/>
        </w:rPr>
        <w:t>2、本次招标报价要求：</w:t>
      </w:r>
    </w:p>
    <w:p>
      <w:pPr>
        <w:spacing w:line="400" w:lineRule="exact"/>
        <w:ind w:firstLine="480" w:firstLineChars="200"/>
        <w:rPr>
          <w:rFonts w:ascii="仿宋" w:hAnsi="仿宋"/>
        </w:rPr>
      </w:pPr>
      <w:r>
        <w:rPr>
          <w:rFonts w:hint="eastAsia" w:ascii="仿宋" w:hAnsi="仿宋"/>
        </w:rPr>
        <w:t>（1）投标人的报价是投标人响应招标项目要求的全部工作内容的价格体现，包括投标人完成本项目所需的一切费用（实质性要求）。</w:t>
      </w:r>
    </w:p>
    <w:p>
      <w:pPr>
        <w:spacing w:line="400" w:lineRule="exact"/>
        <w:ind w:left="2" w:firstLine="480" w:firstLineChars="200"/>
        <w:rPr>
          <w:rFonts w:ascii="仿宋" w:hAnsi="仿宋"/>
        </w:rPr>
      </w:pPr>
      <w:r>
        <w:rPr>
          <w:rFonts w:hint="eastAsia" w:ascii="仿宋" w:hAnsi="仿宋"/>
        </w:rPr>
        <w:t>（2）投标人每种服务只允许有一个报价，并且在合同履行过程中是固定不变的，任何有选择或可调整的报价将不予接受，并按无效投标处理（实质性要求）。</w:t>
      </w:r>
    </w:p>
    <w:p>
      <w:pPr>
        <w:spacing w:line="400" w:lineRule="exact"/>
        <w:ind w:firstLine="482" w:firstLineChars="200"/>
        <w:rPr>
          <w:rFonts w:ascii="仿宋" w:hAnsi="仿宋"/>
          <w:b/>
          <w:bCs/>
        </w:rPr>
      </w:pPr>
      <w:r>
        <w:rPr>
          <w:rFonts w:hint="eastAsia" w:ascii="仿宋" w:hAnsi="仿宋"/>
          <w:b/>
        </w:rPr>
        <w:t>（二）服务部分。</w:t>
      </w:r>
      <w:r>
        <w:rPr>
          <w:rFonts w:hint="eastAsia" w:ascii="仿宋" w:hAnsi="仿宋"/>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rPr>
      </w:pPr>
      <w:r>
        <w:rPr>
          <w:rFonts w:hint="eastAsia" w:ascii="仿宋" w:hAnsi="仿宋"/>
        </w:rPr>
        <w:t>（1）服务方案、项目实施方案；</w:t>
      </w:r>
    </w:p>
    <w:p>
      <w:pPr>
        <w:spacing w:line="400" w:lineRule="exact"/>
        <w:ind w:firstLine="480" w:firstLineChars="200"/>
        <w:rPr>
          <w:rFonts w:ascii="仿宋" w:hAnsi="仿宋"/>
        </w:rPr>
      </w:pPr>
      <w:r>
        <w:rPr>
          <w:rFonts w:hint="eastAsia" w:ascii="仿宋" w:hAnsi="仿宋"/>
        </w:rPr>
        <w:t>（2）验收标准和验收方法；</w:t>
      </w:r>
    </w:p>
    <w:p>
      <w:pPr>
        <w:spacing w:line="400" w:lineRule="exact"/>
        <w:ind w:firstLine="480" w:firstLineChars="200"/>
        <w:rPr>
          <w:rFonts w:ascii="仿宋" w:hAnsi="仿宋"/>
        </w:rPr>
      </w:pPr>
      <w:r>
        <w:rPr>
          <w:rFonts w:hint="eastAsia" w:ascii="仿宋" w:hAnsi="仿宋"/>
        </w:rPr>
        <w:t>（3）服务应答表；</w:t>
      </w:r>
    </w:p>
    <w:p>
      <w:pPr>
        <w:spacing w:line="400" w:lineRule="exact"/>
        <w:ind w:firstLine="480" w:firstLineChars="200"/>
        <w:rPr>
          <w:rFonts w:ascii="仿宋" w:hAnsi="仿宋"/>
        </w:rPr>
      </w:pPr>
      <w:r>
        <w:rPr>
          <w:rFonts w:hint="eastAsia" w:ascii="仿宋" w:hAnsi="仿宋"/>
        </w:rPr>
        <w:t>（4）投标人认为需要提供的文件和资料。</w:t>
      </w:r>
    </w:p>
    <w:p>
      <w:pPr>
        <w:spacing w:line="400" w:lineRule="exact"/>
        <w:ind w:firstLine="482" w:firstLineChars="200"/>
        <w:rPr>
          <w:rFonts w:ascii="仿宋" w:hAnsi="仿宋"/>
        </w:rPr>
      </w:pPr>
      <w:r>
        <w:rPr>
          <w:rFonts w:hint="eastAsia" w:ascii="仿宋" w:hAnsi="仿宋"/>
          <w:b/>
        </w:rPr>
        <w:t>（三）商务部分。</w:t>
      </w:r>
      <w:r>
        <w:rPr>
          <w:rFonts w:hint="eastAsia" w:ascii="仿宋" w:hAnsi="仿宋"/>
        </w:rPr>
        <w:t>投标人按照招标文件要求提供的有关文件及优惠承诺。包括以下内容（如涉及）：</w:t>
      </w:r>
    </w:p>
    <w:p>
      <w:pPr>
        <w:spacing w:line="400" w:lineRule="exact"/>
        <w:ind w:firstLine="480" w:firstLineChars="200"/>
        <w:rPr>
          <w:rFonts w:ascii="仿宋" w:hAnsi="仿宋"/>
        </w:rPr>
      </w:pPr>
      <w:r>
        <w:rPr>
          <w:rFonts w:hint="eastAsia" w:ascii="仿宋" w:hAnsi="仿宋"/>
        </w:rPr>
        <w:t>（1）投标函；</w:t>
      </w:r>
    </w:p>
    <w:p>
      <w:pPr>
        <w:spacing w:line="400" w:lineRule="exact"/>
        <w:ind w:firstLine="480" w:firstLineChars="200"/>
        <w:rPr>
          <w:rFonts w:ascii="仿宋" w:hAnsi="仿宋"/>
        </w:rPr>
      </w:pPr>
      <w:r>
        <w:rPr>
          <w:rFonts w:hint="eastAsia" w:ascii="仿宋" w:hAnsi="仿宋"/>
        </w:rPr>
        <w:t>（</w:t>
      </w:r>
      <w:r>
        <w:rPr>
          <w:rFonts w:ascii="仿宋" w:hAnsi="仿宋"/>
        </w:rPr>
        <w:t>2</w:t>
      </w:r>
      <w:r>
        <w:rPr>
          <w:rFonts w:hint="eastAsia" w:ascii="仿宋" w:hAnsi="仿宋"/>
        </w:rPr>
        <w:t>）证明投标人业绩和荣誉的有关材料复印件；</w:t>
      </w:r>
    </w:p>
    <w:p>
      <w:pPr>
        <w:spacing w:line="400" w:lineRule="exact"/>
        <w:ind w:firstLine="480" w:firstLineChars="200"/>
        <w:rPr>
          <w:rFonts w:ascii="仿宋" w:hAnsi="仿宋"/>
        </w:rPr>
      </w:pPr>
      <w:r>
        <w:rPr>
          <w:rFonts w:hint="eastAsia" w:ascii="仿宋" w:hAnsi="仿宋"/>
        </w:rPr>
        <w:t>（</w:t>
      </w:r>
      <w:r>
        <w:rPr>
          <w:rFonts w:ascii="仿宋" w:hAnsi="仿宋"/>
        </w:rPr>
        <w:t>3</w:t>
      </w:r>
      <w:r>
        <w:rPr>
          <w:rFonts w:hint="eastAsia" w:ascii="仿宋" w:hAnsi="仿宋"/>
        </w:rPr>
        <w:t>）商务应答表；</w:t>
      </w:r>
    </w:p>
    <w:p>
      <w:pPr>
        <w:spacing w:line="400" w:lineRule="exact"/>
        <w:ind w:firstLine="480" w:firstLineChars="200"/>
        <w:rPr>
          <w:rFonts w:ascii="仿宋" w:hAnsi="仿宋"/>
        </w:rPr>
      </w:pPr>
      <w:r>
        <w:rPr>
          <w:rFonts w:hint="eastAsia" w:ascii="仿宋" w:hAnsi="仿宋"/>
        </w:rPr>
        <w:t>（</w:t>
      </w:r>
      <w:r>
        <w:rPr>
          <w:rFonts w:ascii="仿宋" w:hAnsi="仿宋"/>
        </w:rPr>
        <w:t>4</w:t>
      </w:r>
      <w:r>
        <w:rPr>
          <w:rFonts w:hint="eastAsia" w:ascii="仿宋" w:hAnsi="仿宋"/>
        </w:rPr>
        <w:t>）其他投标人认为需要提供的文件和资料。</w:t>
      </w:r>
    </w:p>
    <w:p>
      <w:pPr>
        <w:spacing w:line="400" w:lineRule="exact"/>
        <w:ind w:firstLine="482" w:firstLineChars="200"/>
        <w:rPr>
          <w:rFonts w:ascii="仿宋" w:hAnsi="仿宋"/>
        </w:rPr>
      </w:pPr>
      <w:r>
        <w:rPr>
          <w:rFonts w:hint="eastAsia" w:ascii="仿宋" w:hAnsi="仿宋"/>
          <w:b/>
          <w:bCs/>
        </w:rPr>
        <w:t>（四）其他部分。</w:t>
      </w:r>
      <w:r>
        <w:rPr>
          <w:rFonts w:hint="eastAsia" w:ascii="仿宋" w:hAnsi="仿宋"/>
          <w:bCs/>
        </w:rPr>
        <w:t>投标人按照招标文件要求作出的其他应答和承诺。</w:t>
      </w:r>
    </w:p>
    <w:p>
      <w:pPr>
        <w:pStyle w:val="5"/>
        <w:tabs>
          <w:tab w:val="left" w:pos="3480"/>
        </w:tabs>
        <w:spacing w:line="400" w:lineRule="exact"/>
        <w:ind w:firstLine="482" w:firstLineChars="200"/>
        <w:rPr>
          <w:rFonts w:ascii="仿宋" w:hAnsi="仿宋"/>
          <w:sz w:val="24"/>
        </w:rPr>
      </w:pPr>
      <w:bookmarkStart w:id="102" w:name="_Toc183582218"/>
      <w:bookmarkStart w:id="103" w:name="_Toc217446049"/>
      <w:bookmarkStart w:id="104" w:name="_Toc308164799"/>
      <w:bookmarkStart w:id="105" w:name="_Toc183682355"/>
      <w:r>
        <w:rPr>
          <w:rFonts w:hint="eastAsia" w:ascii="仿宋" w:hAnsi="仿宋"/>
          <w:sz w:val="24"/>
        </w:rPr>
        <w:t>15．投标文件格式</w:t>
      </w:r>
      <w:bookmarkEnd w:id="102"/>
      <w:bookmarkEnd w:id="103"/>
      <w:bookmarkEnd w:id="104"/>
      <w:bookmarkEnd w:id="105"/>
    </w:p>
    <w:p>
      <w:pPr>
        <w:tabs>
          <w:tab w:val="left" w:pos="7665"/>
        </w:tabs>
        <w:spacing w:line="400" w:lineRule="exact"/>
        <w:ind w:left="14" w:leftChars="6" w:firstLine="480" w:firstLineChars="200"/>
        <w:rPr>
          <w:rFonts w:ascii="仿宋" w:hAnsi="仿宋"/>
        </w:rPr>
      </w:pPr>
      <w:r>
        <w:rPr>
          <w:rFonts w:ascii="仿宋" w:hAnsi="仿宋"/>
        </w:rPr>
        <w:t xml:space="preserve">15.1 </w:t>
      </w:r>
      <w:r>
        <w:rPr>
          <w:rFonts w:hint="eastAsia" w:ascii="仿宋" w:hAnsi="仿宋"/>
        </w:rPr>
        <w:t>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4" w:leftChars="6" w:firstLine="480" w:firstLineChars="200"/>
        <w:rPr>
          <w:rFonts w:ascii="仿宋" w:hAnsi="仿宋"/>
        </w:rPr>
      </w:pPr>
      <w:r>
        <w:rPr>
          <w:rFonts w:ascii="仿宋" w:hAnsi="仿宋"/>
        </w:rPr>
        <w:t xml:space="preserve">15.2 </w:t>
      </w:r>
      <w:r>
        <w:rPr>
          <w:rFonts w:hint="eastAsia" w:ascii="仿宋" w:hAnsi="仿宋"/>
        </w:rPr>
        <w:t>对于没有格式要求的投标文件由投标人自行编写。</w:t>
      </w:r>
    </w:p>
    <w:p>
      <w:pPr>
        <w:pStyle w:val="5"/>
        <w:spacing w:line="400" w:lineRule="exact"/>
        <w:ind w:firstLine="482" w:firstLineChars="200"/>
        <w:rPr>
          <w:rFonts w:ascii="仿宋" w:hAnsi="仿宋"/>
          <w:bCs w:val="0"/>
          <w:sz w:val="24"/>
        </w:rPr>
      </w:pPr>
      <w:bookmarkStart w:id="106" w:name="_Toc217446051"/>
      <w:bookmarkStart w:id="107" w:name="_Toc308164801"/>
      <w:bookmarkStart w:id="108" w:name="_Toc183682361"/>
      <w:bookmarkStart w:id="109" w:name="_Toc183582224"/>
      <w:r>
        <w:rPr>
          <w:rFonts w:hint="eastAsia" w:ascii="仿宋" w:hAnsi="仿宋"/>
          <w:bCs w:val="0"/>
          <w:sz w:val="24"/>
        </w:rPr>
        <w:t>16．投标有效期</w:t>
      </w:r>
      <w:bookmarkEnd w:id="106"/>
      <w:bookmarkEnd w:id="107"/>
      <w:bookmarkEnd w:id="108"/>
      <w:bookmarkEnd w:id="109"/>
      <w:r>
        <w:rPr>
          <w:rFonts w:hint="eastAsia" w:ascii="仿宋" w:hAnsi="仿宋"/>
          <w:sz w:val="24"/>
          <w:szCs w:val="24"/>
        </w:rPr>
        <w:t>（实质性要求）</w:t>
      </w:r>
    </w:p>
    <w:p>
      <w:pPr>
        <w:tabs>
          <w:tab w:val="left" w:pos="7665"/>
        </w:tabs>
        <w:spacing w:line="400" w:lineRule="exact"/>
        <w:ind w:left="14" w:leftChars="6" w:firstLine="480" w:firstLineChars="200"/>
        <w:rPr>
          <w:rFonts w:ascii="仿宋" w:hAnsi="仿宋"/>
        </w:rPr>
      </w:pPr>
      <w:r>
        <w:rPr>
          <w:rFonts w:ascii="仿宋" w:hAnsi="仿宋"/>
        </w:rPr>
        <w:t>1</w:t>
      </w:r>
      <w:r>
        <w:rPr>
          <w:rFonts w:hint="eastAsia" w:ascii="仿宋" w:hAnsi="仿宋"/>
        </w:rPr>
        <w:t>6</w:t>
      </w:r>
      <w:r>
        <w:rPr>
          <w:rFonts w:ascii="仿宋" w:hAnsi="仿宋"/>
        </w:rPr>
        <w:t xml:space="preserve">.1 </w:t>
      </w:r>
      <w:r>
        <w:rPr>
          <w:rFonts w:hint="eastAsia" w:ascii="仿宋" w:hAnsi="仿宋"/>
        </w:rPr>
        <w:t>本项目投标有效期为投标截止时间届满后</w:t>
      </w:r>
      <w:r>
        <w:rPr>
          <w:rFonts w:ascii="仿宋" w:hAnsi="仿宋"/>
          <w:b/>
          <w:bCs/>
        </w:rPr>
        <w:t>90</w:t>
      </w:r>
      <w:r>
        <w:rPr>
          <w:rFonts w:hint="eastAsia" w:ascii="仿宋" w:hAnsi="仿宋"/>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4" w:leftChars="6" w:firstLine="360" w:firstLineChars="150"/>
        <w:rPr>
          <w:rFonts w:ascii="仿宋" w:hAnsi="仿宋"/>
        </w:rPr>
      </w:pPr>
      <w:r>
        <w:rPr>
          <w:rFonts w:hint="eastAsia" w:ascii="仿宋" w:hAnsi="仿宋"/>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4" w:leftChars="6" w:firstLine="360" w:firstLineChars="150"/>
        <w:rPr>
          <w:rFonts w:ascii="仿宋" w:hAnsi="仿宋"/>
        </w:rPr>
      </w:pPr>
      <w:r>
        <w:rPr>
          <w:rFonts w:ascii="仿宋" w:hAnsi="仿宋"/>
        </w:rPr>
        <w:t>1</w:t>
      </w:r>
      <w:r>
        <w:rPr>
          <w:rFonts w:hint="eastAsia" w:ascii="仿宋" w:hAnsi="仿宋"/>
        </w:rPr>
        <w:t>6</w:t>
      </w:r>
      <w:r>
        <w:rPr>
          <w:rFonts w:ascii="仿宋" w:hAnsi="仿宋"/>
        </w:rPr>
        <w:t xml:space="preserve">.3 </w:t>
      </w:r>
      <w:r>
        <w:rPr>
          <w:rFonts w:hint="eastAsia" w:ascii="仿宋" w:hAnsi="仿宋"/>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bookmarkStart w:id="110" w:name="_Toc183582225"/>
      <w:bookmarkStart w:id="111" w:name="_Toc217446052"/>
      <w:bookmarkStart w:id="112" w:name="_Toc308164802"/>
      <w:bookmarkStart w:id="113" w:name="_Toc183682362"/>
    </w:p>
    <w:p>
      <w:pPr>
        <w:pStyle w:val="5"/>
        <w:spacing w:line="400" w:lineRule="exact"/>
        <w:ind w:firstLine="482" w:firstLineChars="200"/>
        <w:rPr>
          <w:rFonts w:ascii="仿宋" w:hAnsi="仿宋"/>
          <w:bCs w:val="0"/>
          <w:sz w:val="24"/>
        </w:rPr>
      </w:pPr>
      <w:r>
        <w:rPr>
          <w:rFonts w:hint="eastAsia" w:ascii="仿宋" w:hAnsi="仿宋"/>
          <w:bCs w:val="0"/>
          <w:sz w:val="24"/>
        </w:rPr>
        <w:t>17．投标文件的</w:t>
      </w:r>
      <w:bookmarkEnd w:id="110"/>
      <w:bookmarkEnd w:id="111"/>
      <w:bookmarkEnd w:id="112"/>
      <w:bookmarkEnd w:id="113"/>
      <w:r>
        <w:rPr>
          <w:rFonts w:hint="eastAsia" w:ascii="仿宋" w:hAnsi="仿宋"/>
          <w:bCs w:val="0"/>
          <w:sz w:val="24"/>
        </w:rPr>
        <w:t>制作和签章、加密</w:t>
      </w:r>
    </w:p>
    <w:p>
      <w:pPr>
        <w:tabs>
          <w:tab w:val="left" w:pos="7665"/>
        </w:tabs>
        <w:spacing w:line="400" w:lineRule="exact"/>
        <w:ind w:left="14" w:leftChars="6" w:firstLine="360" w:firstLineChars="150"/>
        <w:rPr>
          <w:rFonts w:ascii="仿宋" w:hAnsi="仿宋"/>
        </w:rPr>
      </w:pPr>
      <w:r>
        <w:rPr>
          <w:rFonts w:hint="eastAsia" w:ascii="仿宋" w:hAnsi="仿宋"/>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4" w:leftChars="6" w:firstLine="361" w:firstLineChars="150"/>
        <w:rPr>
          <w:rFonts w:ascii="仿宋" w:hAnsi="仿宋"/>
          <w:b/>
          <w:bCs/>
        </w:rPr>
      </w:pPr>
      <w:r>
        <w:rPr>
          <w:rFonts w:hint="eastAsia" w:ascii="仿宋" w:hAnsi="仿宋"/>
          <w:b/>
          <w:bCs/>
        </w:rPr>
        <w:t>17.2 资格性投标文件、其他响应性投标文件封面均应加盖投标人（法定名称）电子印章确认，不得使用投标人专用章（如经济合同章、投标专用章等）或下属单位印章代替。（实质性要求）</w:t>
      </w:r>
    </w:p>
    <w:p>
      <w:pPr>
        <w:tabs>
          <w:tab w:val="left" w:pos="7665"/>
        </w:tabs>
        <w:spacing w:line="400" w:lineRule="exact"/>
        <w:ind w:left="14" w:leftChars="6" w:firstLine="360" w:firstLineChars="150"/>
        <w:rPr>
          <w:rFonts w:ascii="仿宋" w:hAnsi="仿宋"/>
        </w:rPr>
      </w:pPr>
      <w:r>
        <w:rPr>
          <w:rFonts w:hint="eastAsia" w:ascii="仿宋" w:hAnsi="仿宋"/>
        </w:rPr>
        <w:t>17.3 投标人应使用CA数字证书对投标文件进行加密。</w:t>
      </w:r>
    </w:p>
    <w:p>
      <w:pPr>
        <w:tabs>
          <w:tab w:val="left" w:pos="7665"/>
        </w:tabs>
        <w:spacing w:line="400" w:lineRule="exact"/>
        <w:ind w:left="14" w:leftChars="6" w:firstLine="360" w:firstLineChars="150"/>
        <w:rPr>
          <w:rFonts w:ascii="仿宋" w:hAnsi="仿宋"/>
        </w:rPr>
      </w:pPr>
      <w:r>
        <w:rPr>
          <w:rFonts w:hint="eastAsia" w:ascii="仿宋" w:hAnsi="仿宋"/>
        </w:rPr>
        <w:t>17.4 招标文件若有修改，投标人根据修改后的招标文件制作或修改并递交投标文件。</w:t>
      </w:r>
    </w:p>
    <w:p>
      <w:pPr>
        <w:tabs>
          <w:tab w:val="left" w:pos="1080"/>
        </w:tabs>
        <w:spacing w:line="400" w:lineRule="exact"/>
        <w:ind w:firstLine="460" w:firstLineChars="192"/>
        <w:rPr>
          <w:rFonts w:ascii="仿宋" w:hAnsi="仿宋"/>
        </w:rPr>
      </w:pPr>
      <w:r>
        <w:rPr>
          <w:rFonts w:hint="eastAsia" w:ascii="仿宋" w:hAnsi="仿宋"/>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tabs>
          <w:tab w:val="left" w:pos="7665"/>
        </w:tabs>
        <w:spacing w:line="400" w:lineRule="exact"/>
        <w:ind w:left="14" w:leftChars="6" w:firstLine="360" w:firstLineChars="150"/>
        <w:rPr>
          <w:rFonts w:ascii="仿宋" w:hAnsi="仿宋"/>
        </w:rPr>
      </w:pPr>
      <w:r>
        <w:rPr>
          <w:rFonts w:hint="eastAsia" w:ascii="仿宋" w:hAnsi="仿宋"/>
        </w:rPr>
        <w:t>17.6本次招标要求的复印件是指对图文进行复制后的文件，包括扫描、复印、影印等方式复制的材料。</w:t>
      </w:r>
    </w:p>
    <w:p>
      <w:pPr>
        <w:pStyle w:val="5"/>
        <w:spacing w:line="400" w:lineRule="exact"/>
        <w:ind w:firstLine="482" w:firstLineChars="200"/>
        <w:rPr>
          <w:rFonts w:ascii="仿宋" w:hAnsi="仿宋"/>
          <w:bCs w:val="0"/>
          <w:sz w:val="24"/>
          <w:szCs w:val="24"/>
        </w:rPr>
      </w:pPr>
      <w:bookmarkStart w:id="114" w:name="_Toc183582227"/>
      <w:bookmarkStart w:id="115" w:name="_Toc183682364"/>
      <w:bookmarkStart w:id="116" w:name="_Toc308164804"/>
      <w:bookmarkStart w:id="117" w:name="_Toc217446054"/>
      <w:r>
        <w:rPr>
          <w:rFonts w:hint="eastAsia" w:ascii="仿宋" w:hAnsi="仿宋"/>
          <w:bCs w:val="0"/>
          <w:sz w:val="24"/>
          <w:szCs w:val="24"/>
        </w:rPr>
        <w:t>18</w:t>
      </w:r>
      <w:r>
        <w:rPr>
          <w:rFonts w:hint="eastAsia" w:ascii="仿宋" w:hAnsi="仿宋"/>
          <w:bCs w:val="0"/>
          <w:sz w:val="28"/>
          <w:szCs w:val="28"/>
        </w:rPr>
        <w:t>．</w:t>
      </w:r>
      <w:r>
        <w:rPr>
          <w:rFonts w:hint="eastAsia" w:ascii="仿宋" w:hAnsi="仿宋"/>
          <w:bCs w:val="0"/>
          <w:sz w:val="24"/>
          <w:szCs w:val="24"/>
        </w:rPr>
        <w:t>投标文件的</w:t>
      </w:r>
      <w:bookmarkEnd w:id="114"/>
      <w:bookmarkEnd w:id="115"/>
      <w:r>
        <w:rPr>
          <w:rFonts w:hint="eastAsia" w:ascii="仿宋" w:hAnsi="仿宋"/>
          <w:bCs w:val="0"/>
          <w:sz w:val="24"/>
          <w:szCs w:val="24"/>
        </w:rPr>
        <w:t>递交</w:t>
      </w:r>
      <w:bookmarkEnd w:id="116"/>
      <w:bookmarkEnd w:id="117"/>
    </w:p>
    <w:p>
      <w:pPr>
        <w:tabs>
          <w:tab w:val="left" w:pos="1095"/>
        </w:tabs>
        <w:spacing w:line="400" w:lineRule="exact"/>
        <w:ind w:firstLine="460" w:firstLineChars="192"/>
        <w:rPr>
          <w:rFonts w:ascii="仿宋" w:hAnsi="仿宋"/>
        </w:rPr>
      </w:pPr>
      <w:r>
        <w:rPr>
          <w:rFonts w:hint="eastAsia" w:ascii="仿宋" w:hAnsi="仿宋"/>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ascii="仿宋" w:hAnsi="仿宋"/>
        </w:rPr>
      </w:pPr>
      <w:r>
        <w:rPr>
          <w:rFonts w:hint="eastAsia" w:ascii="仿宋" w:hAnsi="仿宋"/>
        </w:rPr>
        <w:t>18.2投标人应充分考虑递交文件的不可预见因素，在投标截止时间后将无法递交。</w:t>
      </w:r>
      <w:bookmarkStart w:id="118" w:name="_Toc183682365"/>
      <w:bookmarkStart w:id="119" w:name="_Toc183582228"/>
      <w:bookmarkStart w:id="120" w:name="_Toc217446055"/>
    </w:p>
    <w:p>
      <w:pPr>
        <w:pStyle w:val="5"/>
        <w:spacing w:line="400" w:lineRule="exact"/>
        <w:ind w:firstLine="482" w:firstLineChars="200"/>
        <w:rPr>
          <w:rFonts w:ascii="仿宋" w:hAnsi="仿宋"/>
          <w:bCs w:val="0"/>
          <w:sz w:val="24"/>
          <w:szCs w:val="24"/>
        </w:rPr>
      </w:pPr>
      <w:r>
        <w:rPr>
          <w:rFonts w:hint="eastAsia" w:ascii="仿宋" w:hAnsi="仿宋"/>
          <w:bCs w:val="0"/>
          <w:sz w:val="24"/>
          <w:szCs w:val="24"/>
        </w:rPr>
        <w:t>19．投标文件的补充、修改或撤</w:t>
      </w:r>
      <w:bookmarkEnd w:id="118"/>
      <w:bookmarkEnd w:id="119"/>
      <w:r>
        <w:rPr>
          <w:rFonts w:hint="eastAsia" w:ascii="仿宋" w:hAnsi="仿宋"/>
          <w:bCs w:val="0"/>
          <w:sz w:val="24"/>
          <w:szCs w:val="24"/>
        </w:rPr>
        <w:t>回</w:t>
      </w:r>
      <w:bookmarkEnd w:id="120"/>
      <w:r>
        <w:rPr>
          <w:rFonts w:hint="eastAsia" w:ascii="仿宋" w:hAnsi="仿宋"/>
          <w:bCs w:val="0"/>
          <w:sz w:val="24"/>
          <w:szCs w:val="24"/>
        </w:rPr>
        <w:t>。</w:t>
      </w:r>
    </w:p>
    <w:p>
      <w:pPr>
        <w:spacing w:line="400" w:lineRule="exact"/>
        <w:ind w:firstLine="470" w:firstLineChars="196"/>
        <w:rPr>
          <w:rFonts w:ascii="仿宋" w:hAnsi="仿宋"/>
          <w:b/>
          <w:bCs/>
        </w:rPr>
      </w:pPr>
      <w:r>
        <w:rPr>
          <w:rFonts w:hint="eastAsia" w:ascii="仿宋" w:hAnsi="仿宋"/>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b/>
          <w:bCs/>
        </w:rPr>
        <w:t>撤回投标文件进行补充、修改，在投标截止时间前未重新递交的，视为撤回投标文件。</w:t>
      </w:r>
    </w:p>
    <w:p>
      <w:pPr>
        <w:spacing w:line="400" w:lineRule="exact"/>
        <w:ind w:firstLine="480"/>
        <w:rPr>
          <w:rFonts w:ascii="仿宋" w:hAnsi="仿宋"/>
        </w:rPr>
      </w:pPr>
      <w:r>
        <w:rPr>
          <w:rFonts w:hint="eastAsia" w:ascii="仿宋" w:hAnsi="仿宋"/>
        </w:rPr>
        <w:t>19.2投标截止时间后，投标人不得对其递交的投标文件做任何补充、修改。</w:t>
      </w:r>
    </w:p>
    <w:p>
      <w:pPr>
        <w:spacing w:line="400" w:lineRule="exact"/>
        <w:ind w:firstLine="472" w:firstLineChars="196"/>
        <w:outlineLvl w:val="2"/>
        <w:rPr>
          <w:rFonts w:ascii="仿宋" w:hAnsi="仿宋"/>
          <w:b/>
          <w:bCs/>
        </w:rPr>
      </w:pPr>
      <w:r>
        <w:rPr>
          <w:rFonts w:hint="eastAsia" w:ascii="仿宋" w:hAnsi="仿宋"/>
          <w:b/>
          <w:bCs/>
        </w:rPr>
        <w:t>20</w:t>
      </w:r>
      <w:r>
        <w:rPr>
          <w:rFonts w:hint="eastAsia" w:ascii="仿宋" w:hAnsi="仿宋"/>
        </w:rPr>
        <w:t xml:space="preserve">. </w:t>
      </w:r>
      <w:r>
        <w:rPr>
          <w:rFonts w:hint="eastAsia" w:ascii="仿宋" w:hAnsi="仿宋"/>
          <w:b/>
          <w:bCs/>
        </w:rPr>
        <w:t>投标文件的解密</w:t>
      </w:r>
    </w:p>
    <w:p>
      <w:pPr>
        <w:spacing w:line="400" w:lineRule="exact"/>
        <w:ind w:firstLine="470" w:firstLineChars="196"/>
        <w:rPr>
          <w:rFonts w:ascii="仿宋" w:hAnsi="仿宋"/>
        </w:rPr>
      </w:pPr>
      <w:r>
        <w:rPr>
          <w:rFonts w:hint="eastAsia" w:ascii="仿宋" w:hAnsi="仿宋"/>
        </w:rPr>
        <w:t>投标人登录政府采购云平台，点击“项目采购—开标评标”模块，进入本项目“开标大厅”，等待代理机构开启解密后，进行线上解密。</w:t>
      </w:r>
      <w:r>
        <w:rPr>
          <w:rFonts w:hint="eastAsia" w:ascii="仿宋" w:hAnsi="仿宋"/>
          <w:b/>
          <w:bCs/>
        </w:rPr>
        <w:t>除因系统发生故障</w:t>
      </w:r>
      <w:r>
        <w:rPr>
          <w:rFonts w:hint="eastAsia" w:ascii="仿宋" w:hAnsi="仿宋"/>
          <w:b/>
          <w:bCs/>
          <w:lang w:val="zh-CN"/>
        </w:rPr>
        <w:t>（</w:t>
      </w:r>
      <w:r>
        <w:rPr>
          <w:rFonts w:hint="eastAsia" w:ascii="仿宋" w:hAnsi="仿宋"/>
          <w:b/>
          <w:bCs/>
        </w:rPr>
        <w:t>包括组织场所停电、断网等）导致投标文件无法按时解密外，投标文件未按时解密的作为无效投标处理。</w:t>
      </w:r>
    </w:p>
    <w:p>
      <w:pPr>
        <w:pStyle w:val="4"/>
        <w:spacing w:line="400" w:lineRule="exact"/>
        <w:jc w:val="center"/>
        <w:rPr>
          <w:rFonts w:ascii="仿宋" w:hAnsi="仿宋"/>
        </w:rPr>
      </w:pPr>
      <w:bookmarkStart w:id="121" w:name="_Toc308164805"/>
      <w:bookmarkStart w:id="122" w:name="_Toc89075878"/>
      <w:bookmarkStart w:id="123" w:name="_Toc77400782"/>
      <w:bookmarkStart w:id="124" w:name="_Toc183682368"/>
      <w:bookmarkStart w:id="125" w:name="_Toc183582231"/>
      <w:bookmarkStart w:id="126" w:name="_Toc217446056"/>
      <w:r>
        <w:rPr>
          <w:rFonts w:hint="eastAsia" w:ascii="仿宋" w:hAnsi="仿宋"/>
        </w:rPr>
        <w:t>五、开标和中标</w:t>
      </w:r>
      <w:bookmarkEnd w:id="121"/>
      <w:bookmarkEnd w:id="122"/>
      <w:bookmarkEnd w:id="123"/>
      <w:bookmarkEnd w:id="124"/>
      <w:bookmarkEnd w:id="125"/>
      <w:bookmarkEnd w:id="126"/>
    </w:p>
    <w:p>
      <w:pPr>
        <w:pStyle w:val="5"/>
        <w:spacing w:line="400" w:lineRule="exact"/>
        <w:ind w:firstLine="482" w:firstLineChars="200"/>
        <w:rPr>
          <w:rFonts w:ascii="仿宋" w:hAnsi="仿宋"/>
          <w:bCs w:val="0"/>
          <w:sz w:val="24"/>
        </w:rPr>
      </w:pPr>
      <w:bookmarkStart w:id="127" w:name="_Toc217446057"/>
      <w:bookmarkStart w:id="128" w:name="_Toc183682369"/>
      <w:bookmarkStart w:id="129" w:name="_Toc183582232"/>
      <w:bookmarkStart w:id="130" w:name="_Toc308164806"/>
      <w:r>
        <w:rPr>
          <w:rFonts w:hint="eastAsia" w:ascii="仿宋" w:hAnsi="仿宋"/>
          <w:bCs w:val="0"/>
          <w:sz w:val="24"/>
        </w:rPr>
        <w:t>21</w:t>
      </w:r>
      <w:bookmarkEnd w:id="127"/>
      <w:bookmarkEnd w:id="128"/>
      <w:bookmarkEnd w:id="129"/>
      <w:bookmarkEnd w:id="130"/>
      <w:r>
        <w:rPr>
          <w:rFonts w:hint="eastAsia" w:ascii="仿宋" w:hAnsi="仿宋"/>
          <w:sz w:val="24"/>
          <w:szCs w:val="24"/>
        </w:rPr>
        <w:t xml:space="preserve">. </w:t>
      </w:r>
      <w:r>
        <w:rPr>
          <w:rFonts w:hint="eastAsia" w:ascii="仿宋" w:hAnsi="仿宋"/>
          <w:bCs w:val="0"/>
          <w:sz w:val="24"/>
        </w:rPr>
        <w:t>开标及开标程序</w:t>
      </w:r>
    </w:p>
    <w:p>
      <w:pPr>
        <w:ind w:firstLine="480" w:firstLineChars="200"/>
      </w:pPr>
      <w:r>
        <w:rPr>
          <w:rFonts w:hint="eastAsia" w:ascii="仿宋" w:hAnsi="仿宋"/>
        </w:rPr>
        <w:t>21.1本项目为不见面开标项目。（递交电子投标文件的投标人不足3家的，不予开标。）</w:t>
      </w:r>
    </w:p>
    <w:p>
      <w:pPr>
        <w:spacing w:before="120" w:line="400" w:lineRule="exact"/>
        <w:ind w:firstLine="480" w:firstLineChars="200"/>
        <w:rPr>
          <w:rFonts w:ascii="仿宋" w:hAnsi="仿宋"/>
        </w:rPr>
      </w:pPr>
      <w:r>
        <w:rPr>
          <w:rFonts w:hint="eastAsia" w:ascii="仿宋" w:hAnsi="仿宋"/>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b/>
          <w:bCs/>
        </w:rPr>
      </w:pPr>
      <w:r>
        <w:rPr>
          <w:rFonts w:hint="eastAsia" w:ascii="仿宋" w:hAnsi="仿宋"/>
          <w:b/>
          <w:bCs/>
        </w:rPr>
        <w:t>提示：投标人未按时登录不见面开标系统，错过开标解密时间的，由投标人自行承担不利后果。</w:t>
      </w:r>
    </w:p>
    <w:p>
      <w:pPr>
        <w:spacing w:before="120" w:line="400" w:lineRule="exact"/>
        <w:ind w:firstLine="480" w:firstLineChars="200"/>
        <w:rPr>
          <w:rFonts w:ascii="仿宋" w:hAnsi="仿宋"/>
        </w:rPr>
      </w:pPr>
      <w:r>
        <w:rPr>
          <w:rFonts w:hint="eastAsia" w:ascii="仿宋" w:hAnsi="仿宋"/>
        </w:rPr>
        <w:t>21.3解密投标文件。等待代理机构开启解密后，投标人进行线上解密。开启解密后，投标人应在</w:t>
      </w:r>
      <w:r>
        <w:rPr>
          <w:rFonts w:hint="eastAsia" w:ascii="仿宋" w:hAnsi="仿宋"/>
          <w:b/>
          <w:bCs/>
        </w:rPr>
        <w:t>60分钟</w:t>
      </w:r>
      <w:r>
        <w:rPr>
          <w:rFonts w:hint="eastAsia" w:ascii="仿宋" w:hAnsi="仿宋"/>
        </w:rPr>
        <w:t>内，使用加密该投标文件的CA数字证书在线完成投标文件的解密。除因系统故障</w:t>
      </w:r>
      <w:r>
        <w:rPr>
          <w:rFonts w:hint="eastAsia" w:ascii="仿宋" w:hAnsi="仿宋" w:cs="仿宋"/>
          <w:bCs/>
          <w:lang w:val="zh-CN"/>
        </w:rPr>
        <w:t>（</w:t>
      </w:r>
      <w:r>
        <w:rPr>
          <w:rFonts w:hint="eastAsia" w:ascii="仿宋" w:hAnsi="仿宋"/>
        </w:rPr>
        <w:t>包括组织场所停电、断网等）导致系统无法使用外，投标人在规定的解密时间内，未成功解密的投标文件将视为无效投标文件。</w:t>
      </w:r>
    </w:p>
    <w:p>
      <w:pPr>
        <w:spacing w:before="120" w:line="400" w:lineRule="exact"/>
        <w:ind w:firstLine="480" w:firstLineChars="200"/>
        <w:rPr>
          <w:rFonts w:ascii="仿宋" w:hAnsi="仿宋"/>
        </w:rPr>
      </w:pPr>
      <w:r>
        <w:rPr>
          <w:rFonts w:hint="eastAsia" w:ascii="仿宋" w:hAnsi="仿宋"/>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b/>
          <w:bCs/>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仿宋" w:hAnsi="仿宋"/>
        </w:rPr>
      </w:pPr>
      <w:r>
        <w:rPr>
          <w:rFonts w:hint="eastAsia" w:ascii="仿宋" w:hAnsi="仿宋"/>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pPr>
      <w:r>
        <w:rPr>
          <w:rFonts w:hint="eastAsia" w:ascii="仿宋" w:hAnsi="仿宋"/>
        </w:rPr>
        <w:t>21.6因组织场所断电、断网、系统故障或其他不可抗力等因素导致不见面开标系统无法正常运行的，开标活动中止或延迟，待系统恢复正常后继续进行开标活动。</w:t>
      </w:r>
    </w:p>
    <w:p>
      <w:pPr>
        <w:spacing w:line="240" w:lineRule="auto"/>
        <w:ind w:firstLine="480" w:firstLineChars="200"/>
        <w:rPr>
          <w:rFonts w:ascii="仿宋" w:hAnsi="仿宋"/>
        </w:rPr>
      </w:pPr>
      <w:r>
        <w:rPr>
          <w:rFonts w:hint="eastAsia" w:ascii="仿宋" w:hAnsi="仿宋"/>
        </w:rPr>
        <w:t>21.7不见面开标过程中，各方主体均应遵守互联网有关规定，不得发表与交易活动无关的言论。</w:t>
      </w:r>
    </w:p>
    <w:p>
      <w:pPr>
        <w:pStyle w:val="5"/>
        <w:spacing w:line="400" w:lineRule="exact"/>
        <w:ind w:firstLine="482" w:firstLineChars="200"/>
        <w:rPr>
          <w:rFonts w:ascii="仿宋" w:hAnsi="仿宋"/>
          <w:sz w:val="24"/>
        </w:rPr>
      </w:pPr>
      <w:bookmarkStart w:id="131" w:name="_Toc308164809"/>
      <w:bookmarkStart w:id="132" w:name="_Toc217446063"/>
      <w:bookmarkStart w:id="133" w:name="_Toc183682375"/>
      <w:bookmarkStart w:id="134" w:name="_Toc183582238"/>
      <w:r>
        <w:rPr>
          <w:rFonts w:hint="eastAsia" w:ascii="仿宋" w:hAnsi="仿宋"/>
          <w:sz w:val="24"/>
        </w:rPr>
        <w:t>22．开评标过程存档</w:t>
      </w:r>
    </w:p>
    <w:p>
      <w:pPr>
        <w:spacing w:line="400" w:lineRule="exact"/>
        <w:ind w:firstLine="480" w:firstLineChars="200"/>
        <w:rPr>
          <w:rFonts w:ascii="仿宋" w:hAnsi="仿宋"/>
        </w:rPr>
      </w:pPr>
      <w:r>
        <w:rPr>
          <w:rFonts w:hint="eastAsia" w:ascii="仿宋" w:hAnsi="仿宋"/>
        </w:rPr>
        <w:t>开标和评标过程进行全过程电子监控，并将电子监控资料存储介质留存归档。</w:t>
      </w:r>
    </w:p>
    <w:p>
      <w:pPr>
        <w:pStyle w:val="5"/>
        <w:spacing w:line="400" w:lineRule="exact"/>
        <w:ind w:firstLine="482" w:firstLineChars="200"/>
        <w:rPr>
          <w:rFonts w:ascii="仿宋" w:hAnsi="仿宋"/>
          <w:sz w:val="24"/>
        </w:rPr>
      </w:pPr>
      <w:r>
        <w:rPr>
          <w:rFonts w:hint="eastAsia" w:ascii="仿宋" w:hAnsi="仿宋"/>
          <w:sz w:val="24"/>
        </w:rPr>
        <w:t>23</w:t>
      </w:r>
      <w:r>
        <w:rPr>
          <w:rFonts w:hint="eastAsia" w:ascii="仿宋" w:hAnsi="仿宋"/>
          <w:sz w:val="24"/>
          <w:szCs w:val="24"/>
        </w:rPr>
        <w:t xml:space="preserve">. </w:t>
      </w:r>
      <w:r>
        <w:rPr>
          <w:rFonts w:hint="eastAsia" w:ascii="仿宋" w:hAnsi="仿宋"/>
          <w:sz w:val="24"/>
        </w:rPr>
        <w:t>评标情况公告</w:t>
      </w:r>
    </w:p>
    <w:p>
      <w:pPr>
        <w:spacing w:line="400" w:lineRule="exact"/>
        <w:ind w:firstLine="480" w:firstLineChars="200"/>
        <w:rPr>
          <w:rFonts w:ascii="仿宋" w:hAnsi="仿宋"/>
        </w:rPr>
      </w:pPr>
      <w:r>
        <w:rPr>
          <w:rFonts w:hint="eastAsia" w:ascii="仿宋" w:hAnsi="仿宋"/>
        </w:rPr>
        <w:t>所有供应商投标文件资格性、符合性检查情况、采用综合评分法时的总得分和分项汇总得分情况、评标结果等将在四川政府采购网上采购结果公告栏中予以公告。</w:t>
      </w:r>
    </w:p>
    <w:p>
      <w:pPr>
        <w:pStyle w:val="5"/>
        <w:keepNext w:val="0"/>
        <w:keepLines w:val="0"/>
        <w:spacing w:before="0" w:after="0" w:line="400" w:lineRule="exact"/>
        <w:ind w:firstLine="482" w:firstLineChars="200"/>
        <w:rPr>
          <w:rFonts w:ascii="仿宋" w:hAnsi="仿宋"/>
          <w:b w:val="0"/>
          <w:sz w:val="24"/>
          <w:szCs w:val="24"/>
        </w:rPr>
      </w:pPr>
      <w:r>
        <w:rPr>
          <w:rFonts w:hint="eastAsia" w:ascii="仿宋" w:hAnsi="仿宋"/>
          <w:bCs w:val="0"/>
          <w:sz w:val="24"/>
          <w:szCs w:val="24"/>
        </w:rPr>
        <w:t>24</w:t>
      </w:r>
      <w:r>
        <w:rPr>
          <w:rFonts w:hint="eastAsia" w:ascii="仿宋" w:hAnsi="仿宋"/>
          <w:sz w:val="24"/>
          <w:szCs w:val="24"/>
        </w:rPr>
        <w:t xml:space="preserve">. </w:t>
      </w:r>
      <w:r>
        <w:rPr>
          <w:rFonts w:hint="eastAsia" w:ascii="仿宋" w:hAnsi="仿宋"/>
          <w:bCs w:val="0"/>
          <w:sz w:val="24"/>
          <w:szCs w:val="24"/>
        </w:rPr>
        <w:t>采购人确定中标人过程中，发现中标候选人有下列情形之一的，应当不予确定其为中标人：</w:t>
      </w:r>
    </w:p>
    <w:p>
      <w:pPr>
        <w:spacing w:line="400" w:lineRule="exact"/>
        <w:ind w:firstLine="480" w:firstLineChars="200"/>
        <w:rPr>
          <w:rFonts w:ascii="仿宋" w:hAnsi="仿宋"/>
        </w:rPr>
      </w:pPr>
      <w:r>
        <w:rPr>
          <w:rFonts w:hint="eastAsia" w:ascii="仿宋" w:hAnsi="仿宋"/>
        </w:rPr>
        <w:t>（1）发现中标候选人存在禁止参加本项目采购活动的违法行为的；</w:t>
      </w:r>
    </w:p>
    <w:p>
      <w:pPr>
        <w:spacing w:line="400" w:lineRule="exact"/>
        <w:ind w:firstLine="480" w:firstLineChars="200"/>
        <w:rPr>
          <w:rFonts w:ascii="仿宋" w:hAnsi="仿宋"/>
        </w:rPr>
      </w:pPr>
      <w:r>
        <w:rPr>
          <w:rFonts w:hint="eastAsia" w:ascii="仿宋" w:hAnsi="仿宋"/>
        </w:rPr>
        <w:t>（2）中标候选人因不可抗力，不能继续参加政府采购活动；</w:t>
      </w:r>
    </w:p>
    <w:p>
      <w:pPr>
        <w:spacing w:line="400" w:lineRule="exact"/>
        <w:ind w:firstLine="480" w:firstLineChars="200"/>
        <w:rPr>
          <w:rFonts w:ascii="仿宋" w:hAnsi="仿宋"/>
        </w:rPr>
      </w:pPr>
      <w:r>
        <w:rPr>
          <w:rFonts w:hint="eastAsia" w:ascii="仿宋" w:hAnsi="仿宋"/>
        </w:rPr>
        <w:t>（3）中标候选人无偿赠与或者低于成本价竞争；</w:t>
      </w:r>
    </w:p>
    <w:p>
      <w:pPr>
        <w:spacing w:line="400" w:lineRule="exact"/>
        <w:ind w:firstLine="480" w:firstLineChars="200"/>
        <w:rPr>
          <w:rFonts w:ascii="仿宋" w:hAnsi="仿宋"/>
        </w:rPr>
      </w:pPr>
      <w:r>
        <w:rPr>
          <w:rFonts w:hint="eastAsia" w:ascii="仿宋" w:hAnsi="仿宋"/>
        </w:rPr>
        <w:t>（4）中标候选人提供虚假材料；</w:t>
      </w:r>
    </w:p>
    <w:p>
      <w:pPr>
        <w:spacing w:line="400" w:lineRule="exact"/>
        <w:ind w:firstLine="480" w:firstLineChars="200"/>
        <w:rPr>
          <w:rFonts w:ascii="仿宋" w:hAnsi="仿宋"/>
        </w:rPr>
      </w:pPr>
      <w:r>
        <w:rPr>
          <w:rFonts w:hint="eastAsia" w:ascii="仿宋" w:hAnsi="仿宋"/>
        </w:rPr>
        <w:t>（5</w:t>
      </w:r>
      <w:r>
        <w:rPr>
          <w:rFonts w:ascii="仿宋" w:hAnsi="仿宋"/>
        </w:rPr>
        <w:t>）</w:t>
      </w:r>
      <w:r>
        <w:rPr>
          <w:rFonts w:hint="eastAsia" w:ascii="仿宋" w:hAnsi="仿宋"/>
        </w:rPr>
        <w:t>中标候选人恶意串通。</w:t>
      </w:r>
    </w:p>
    <w:p>
      <w:pPr>
        <w:pStyle w:val="5"/>
        <w:spacing w:line="400" w:lineRule="exact"/>
        <w:ind w:firstLine="482" w:firstLineChars="200"/>
        <w:rPr>
          <w:rFonts w:ascii="仿宋" w:hAnsi="仿宋"/>
          <w:bCs w:val="0"/>
          <w:sz w:val="24"/>
          <w:szCs w:val="24"/>
        </w:rPr>
      </w:pPr>
      <w:r>
        <w:rPr>
          <w:rFonts w:hint="eastAsia" w:ascii="仿宋" w:hAnsi="仿宋"/>
          <w:bCs w:val="0"/>
          <w:sz w:val="24"/>
          <w:szCs w:val="24"/>
        </w:rPr>
        <w:t>25</w:t>
      </w:r>
      <w:r>
        <w:rPr>
          <w:rFonts w:hint="eastAsia" w:ascii="仿宋" w:hAnsi="仿宋"/>
          <w:sz w:val="24"/>
          <w:szCs w:val="24"/>
        </w:rPr>
        <w:t xml:space="preserve">. </w:t>
      </w:r>
      <w:r>
        <w:rPr>
          <w:rFonts w:hint="eastAsia" w:ascii="仿宋" w:hAnsi="仿宋"/>
          <w:bCs w:val="0"/>
          <w:sz w:val="24"/>
          <w:szCs w:val="24"/>
        </w:rPr>
        <w:t>中标通知书</w:t>
      </w:r>
    </w:p>
    <w:p>
      <w:pPr>
        <w:tabs>
          <w:tab w:val="left" w:pos="7665"/>
        </w:tabs>
        <w:spacing w:line="400" w:lineRule="exact"/>
        <w:ind w:firstLine="480" w:firstLineChars="200"/>
        <w:rPr>
          <w:rFonts w:ascii="仿宋" w:hAnsi="仿宋"/>
        </w:rPr>
      </w:pPr>
      <w:r>
        <w:rPr>
          <w:rFonts w:hint="eastAsia" w:ascii="仿宋" w:hAnsi="仿宋"/>
        </w:rPr>
        <w:t>25</w:t>
      </w:r>
      <w:r>
        <w:rPr>
          <w:rFonts w:hint="eastAsia" w:ascii="仿宋" w:hAnsi="仿宋"/>
          <w:bCs/>
        </w:rPr>
        <w:t>.</w:t>
      </w:r>
      <w:r>
        <w:rPr>
          <w:rFonts w:hint="eastAsia" w:ascii="仿宋" w:hAnsi="仿宋"/>
        </w:rPr>
        <w:t>1 中标通知书为签订政府采购合同的依据之一，是合同的有效组成部分。</w:t>
      </w:r>
    </w:p>
    <w:p>
      <w:pPr>
        <w:tabs>
          <w:tab w:val="left" w:pos="7665"/>
        </w:tabs>
        <w:spacing w:line="400" w:lineRule="exact"/>
        <w:ind w:firstLine="480"/>
        <w:rPr>
          <w:rFonts w:ascii="仿宋" w:hAnsi="仿宋"/>
        </w:rPr>
      </w:pPr>
      <w:r>
        <w:rPr>
          <w:rFonts w:hint="eastAsia" w:ascii="仿宋" w:hAnsi="仿宋"/>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rPr>
      </w:pPr>
      <w:r>
        <w:rPr>
          <w:rFonts w:hint="eastAsia" w:ascii="仿宋" w:hAnsi="仿宋"/>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rPr>
      </w:pPr>
      <w:r>
        <w:rPr>
          <w:rFonts w:hint="eastAsia" w:ascii="仿宋" w:hAnsi="仿宋"/>
          <w:b/>
          <w:bCs/>
        </w:rPr>
        <w:t>25.4</w:t>
      </w:r>
      <w:r>
        <w:rPr>
          <w:rFonts w:hint="eastAsia" w:ascii="仿宋" w:hAnsi="仿宋"/>
          <w:b/>
          <w:bCs/>
          <w:lang w:val="zh-CN"/>
        </w:rPr>
        <w:t>在四川政府采购网公告中标结果同时发出中标通知书，中标供应商自行登录政府采购云平台下载中标通知书</w:t>
      </w:r>
      <w:r>
        <w:rPr>
          <w:rFonts w:hint="eastAsia" w:ascii="仿宋" w:hAnsi="仿宋"/>
          <w:lang w:val="zh-CN"/>
        </w:rPr>
        <w:t>。</w:t>
      </w:r>
      <w:bookmarkEnd w:id="131"/>
      <w:bookmarkEnd w:id="132"/>
      <w:bookmarkEnd w:id="133"/>
      <w:bookmarkEnd w:id="134"/>
    </w:p>
    <w:p>
      <w:pPr>
        <w:pStyle w:val="4"/>
        <w:spacing w:line="400" w:lineRule="exact"/>
        <w:jc w:val="center"/>
        <w:rPr>
          <w:rFonts w:ascii="仿宋" w:hAnsi="仿宋"/>
          <w:szCs w:val="28"/>
        </w:rPr>
      </w:pPr>
      <w:r>
        <w:rPr>
          <w:rFonts w:hint="eastAsia" w:ascii="仿宋" w:hAnsi="仿宋"/>
          <w:szCs w:val="28"/>
        </w:rPr>
        <w:t>六、签订及履行合同和验收</w:t>
      </w:r>
      <w:bookmarkEnd w:id="97"/>
      <w:bookmarkEnd w:id="98"/>
      <w:bookmarkEnd w:id="99"/>
    </w:p>
    <w:p>
      <w:pPr>
        <w:pStyle w:val="5"/>
        <w:spacing w:line="400" w:lineRule="exact"/>
        <w:ind w:firstLine="482" w:firstLineChars="200"/>
        <w:rPr>
          <w:rFonts w:ascii="仿宋" w:hAnsi="仿宋"/>
          <w:b w:val="0"/>
          <w:sz w:val="24"/>
          <w:szCs w:val="24"/>
        </w:rPr>
      </w:pPr>
      <w:bookmarkStart w:id="135" w:name="_Toc217446065"/>
      <w:bookmarkStart w:id="136" w:name="_Toc308164811"/>
      <w:bookmarkStart w:id="137" w:name="_Toc86701917"/>
      <w:r>
        <w:rPr>
          <w:rFonts w:hint="eastAsia" w:ascii="仿宋" w:hAnsi="仿宋"/>
          <w:sz w:val="24"/>
        </w:rPr>
        <w:t>26</w:t>
      </w:r>
      <w:r>
        <w:rPr>
          <w:rFonts w:hint="eastAsia" w:ascii="仿宋" w:hAnsi="仿宋"/>
          <w:sz w:val="24"/>
          <w:szCs w:val="24"/>
        </w:rPr>
        <w:t>. 签订合同</w:t>
      </w:r>
      <w:bookmarkEnd w:id="135"/>
      <w:bookmarkEnd w:id="136"/>
      <w:bookmarkEnd w:id="137"/>
    </w:p>
    <w:p>
      <w:pPr>
        <w:spacing w:line="400" w:lineRule="exact"/>
        <w:ind w:firstLine="480" w:firstLineChars="200"/>
        <w:rPr>
          <w:rFonts w:ascii="仿宋" w:hAnsi="仿宋"/>
        </w:rPr>
      </w:pPr>
      <w:r>
        <w:rPr>
          <w:rFonts w:hint="eastAsia" w:ascii="仿宋" w:hAnsi="仿宋"/>
        </w:rPr>
        <w:t>26.1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rPr>
      </w:pPr>
      <w:r>
        <w:rPr>
          <w:rFonts w:hint="eastAsia" w:ascii="仿宋" w:hAnsi="仿宋"/>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rPr>
      </w:pPr>
      <w:r>
        <w:rPr>
          <w:rFonts w:hint="eastAsia" w:ascii="仿宋" w:hAnsi="仿宋"/>
        </w:rPr>
        <w:t>26.3 中标人拒绝与采购人签订合同的，采购人可以按照评审报告推荐的中标候选人名单排序，确定下一候选人为中标供应商，也可以重新开展政府采购活动。</w:t>
      </w:r>
    </w:p>
    <w:p>
      <w:pPr>
        <w:pStyle w:val="5"/>
        <w:spacing w:line="400" w:lineRule="exact"/>
        <w:ind w:firstLine="482" w:firstLineChars="200"/>
        <w:rPr>
          <w:rFonts w:ascii="仿宋" w:hAnsi="仿宋" w:cs="黑体"/>
          <w:sz w:val="24"/>
          <w:szCs w:val="24"/>
        </w:rPr>
      </w:pPr>
      <w:bookmarkStart w:id="138" w:name="_Toc86701918"/>
      <w:r>
        <w:rPr>
          <w:rFonts w:hint="eastAsia" w:ascii="仿宋" w:hAnsi="仿宋"/>
          <w:sz w:val="24"/>
        </w:rPr>
        <w:t>27. 合同分包</w:t>
      </w:r>
      <w:r>
        <w:rPr>
          <w:rFonts w:hint="eastAsia" w:ascii="仿宋" w:hAnsi="仿宋" w:cs="黑体"/>
          <w:sz w:val="24"/>
          <w:szCs w:val="24"/>
        </w:rPr>
        <w:t>（实质性要求）</w:t>
      </w:r>
      <w:bookmarkEnd w:id="138"/>
    </w:p>
    <w:p>
      <w:pPr>
        <w:spacing w:line="400" w:lineRule="exact"/>
        <w:ind w:firstLine="480" w:firstLineChars="200"/>
        <w:rPr>
          <w:rFonts w:ascii="仿宋" w:hAnsi="仿宋"/>
        </w:rPr>
      </w:pPr>
      <w:r>
        <w:rPr>
          <w:rFonts w:hint="eastAsia" w:ascii="仿宋" w:hAnsi="仿宋"/>
        </w:rPr>
        <w:t>27</w:t>
      </w:r>
      <w:r>
        <w:rPr>
          <w:rFonts w:ascii="仿宋" w:hAnsi="仿宋"/>
        </w:rPr>
        <w:t>.1</w:t>
      </w:r>
      <w:r>
        <w:rPr>
          <w:rFonts w:hint="eastAsia" w:ascii="仿宋" w:hAnsi="仿宋"/>
        </w:rPr>
        <w:t>本项目合同接受分包与否，以“投标人须知附表”勾选项为准。</w:t>
      </w:r>
    </w:p>
    <w:p>
      <w:pPr>
        <w:spacing w:line="400" w:lineRule="exact"/>
        <w:ind w:firstLine="480" w:firstLineChars="200"/>
        <w:rPr>
          <w:rFonts w:ascii="仿宋" w:hAnsi="仿宋"/>
        </w:rPr>
      </w:pPr>
      <w:r>
        <w:rPr>
          <w:rFonts w:hint="eastAsia" w:ascii="仿宋" w:hAnsi="仿宋"/>
        </w:rPr>
        <w:t>27</w:t>
      </w:r>
      <w:r>
        <w:rPr>
          <w:rFonts w:ascii="仿宋" w:hAnsi="仿宋"/>
        </w:rPr>
        <w:t>.</w:t>
      </w:r>
      <w:r>
        <w:rPr>
          <w:rFonts w:hint="eastAsia" w:ascii="仿宋" w:hAnsi="仿宋"/>
        </w:rPr>
        <w:t>2</w:t>
      </w:r>
      <w:r>
        <w:rPr>
          <w:rFonts w:ascii="仿宋" w:hAnsi="仿宋"/>
        </w:rPr>
        <w:t xml:space="preserve"> 中小企业依据</w:t>
      </w:r>
      <w:r>
        <w:rPr>
          <w:rFonts w:hint="eastAsia" w:ascii="仿宋" w:hAnsi="仿宋"/>
        </w:rPr>
        <w:t>《政府采购促进中小企业发展管理办法》（财库〔2020〕46号）</w:t>
      </w:r>
      <w:r>
        <w:rPr>
          <w:rFonts w:ascii="仿宋" w:hAnsi="仿宋"/>
        </w:rPr>
        <w:t>规定的政策获取政府采购合同后，小型、微型企业不得分包或转包给大型、中型企业，中型企业不得分包或转包给大型企业。</w:t>
      </w:r>
    </w:p>
    <w:p>
      <w:pPr>
        <w:pStyle w:val="5"/>
        <w:spacing w:line="400" w:lineRule="exact"/>
        <w:ind w:firstLine="482" w:firstLineChars="200"/>
        <w:rPr>
          <w:rFonts w:ascii="仿宋" w:hAnsi="仿宋"/>
          <w:sz w:val="24"/>
        </w:rPr>
      </w:pPr>
      <w:bookmarkStart w:id="139" w:name="_Toc86701919"/>
      <w:r>
        <w:rPr>
          <w:rFonts w:hint="eastAsia" w:ascii="仿宋" w:hAnsi="仿宋"/>
          <w:sz w:val="24"/>
        </w:rPr>
        <w:t>28</w:t>
      </w:r>
      <w:r>
        <w:rPr>
          <w:rFonts w:hint="eastAsia" w:ascii="仿宋" w:hAnsi="仿宋"/>
          <w:sz w:val="24"/>
          <w:szCs w:val="24"/>
        </w:rPr>
        <w:t xml:space="preserve">. </w:t>
      </w:r>
      <w:r>
        <w:rPr>
          <w:rFonts w:hint="eastAsia" w:ascii="仿宋" w:hAnsi="仿宋"/>
          <w:sz w:val="24"/>
        </w:rPr>
        <w:t>合同转包</w:t>
      </w:r>
      <w:r>
        <w:rPr>
          <w:rFonts w:hint="eastAsia" w:ascii="仿宋" w:hAnsi="仿宋" w:cs="黑体"/>
          <w:sz w:val="24"/>
          <w:szCs w:val="24"/>
        </w:rPr>
        <w:t>（实质性要求）</w:t>
      </w:r>
      <w:bookmarkEnd w:id="139"/>
    </w:p>
    <w:p>
      <w:pPr>
        <w:spacing w:line="400" w:lineRule="exact"/>
        <w:ind w:firstLine="540" w:firstLineChars="225"/>
        <w:rPr>
          <w:rFonts w:ascii="仿宋" w:hAnsi="仿宋"/>
        </w:rPr>
      </w:pPr>
      <w:r>
        <w:rPr>
          <w:rFonts w:hint="eastAsia" w:ascii="仿宋" w:hAnsi="仿宋"/>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rPr>
      </w:pPr>
      <w:r>
        <w:rPr>
          <w:rFonts w:hint="eastAsia" w:ascii="仿宋" w:hAnsi="仿宋"/>
        </w:rPr>
        <w:t>中标人转包的，视同拒绝履行政府采购合同义务，将依法追究法律责任。</w:t>
      </w:r>
    </w:p>
    <w:p>
      <w:pPr>
        <w:pStyle w:val="5"/>
        <w:spacing w:line="400" w:lineRule="exact"/>
        <w:ind w:firstLine="482" w:firstLineChars="200"/>
        <w:rPr>
          <w:rFonts w:ascii="仿宋" w:hAnsi="仿宋"/>
          <w:sz w:val="24"/>
        </w:rPr>
      </w:pPr>
      <w:bookmarkStart w:id="140" w:name="_Toc217446066"/>
      <w:bookmarkStart w:id="141" w:name="_Toc86701920"/>
      <w:r>
        <w:rPr>
          <w:rFonts w:hint="eastAsia" w:ascii="仿宋" w:hAnsi="仿宋"/>
          <w:sz w:val="24"/>
        </w:rPr>
        <w:t>29</w:t>
      </w:r>
      <w:bookmarkEnd w:id="140"/>
      <w:r>
        <w:rPr>
          <w:rFonts w:hint="eastAsia" w:ascii="仿宋" w:hAnsi="仿宋"/>
          <w:sz w:val="24"/>
          <w:szCs w:val="24"/>
        </w:rPr>
        <w:t xml:space="preserve">. </w:t>
      </w:r>
      <w:r>
        <w:rPr>
          <w:rFonts w:hint="eastAsia" w:ascii="仿宋" w:hAnsi="仿宋"/>
          <w:sz w:val="24"/>
        </w:rPr>
        <w:t>补充合同</w:t>
      </w:r>
      <w:bookmarkEnd w:id="141"/>
    </w:p>
    <w:p>
      <w:pPr>
        <w:spacing w:line="400" w:lineRule="exact"/>
        <w:ind w:firstLine="480" w:firstLineChars="200"/>
        <w:rPr>
          <w:rFonts w:ascii="仿宋" w:hAnsi="仿宋"/>
        </w:rPr>
      </w:pPr>
      <w:r>
        <w:rPr>
          <w:rFonts w:hint="eastAsia" w:ascii="仿宋" w:hAnsi="仿宋"/>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keepNext w:val="0"/>
        <w:keepLines w:val="0"/>
        <w:spacing w:line="400" w:lineRule="exact"/>
        <w:ind w:firstLine="482" w:firstLineChars="200"/>
        <w:rPr>
          <w:rFonts w:ascii="仿宋" w:hAnsi="仿宋"/>
          <w:b w:val="0"/>
          <w:sz w:val="24"/>
          <w:szCs w:val="24"/>
        </w:rPr>
      </w:pPr>
      <w:bookmarkStart w:id="142" w:name="_Toc217446068"/>
      <w:bookmarkStart w:id="143" w:name="_Toc308164812"/>
      <w:bookmarkStart w:id="144" w:name="_Toc86701921"/>
      <w:r>
        <w:rPr>
          <w:rFonts w:hint="eastAsia" w:ascii="仿宋" w:hAnsi="仿宋"/>
          <w:sz w:val="24"/>
          <w:szCs w:val="24"/>
        </w:rPr>
        <w:t>30</w:t>
      </w:r>
      <w:r>
        <w:rPr>
          <w:rFonts w:hint="eastAsia" w:ascii="仿宋" w:hAnsi="仿宋"/>
          <w:b w:val="0"/>
          <w:sz w:val="24"/>
          <w:szCs w:val="24"/>
        </w:rPr>
        <w:t xml:space="preserve">. </w:t>
      </w:r>
      <w:r>
        <w:rPr>
          <w:rFonts w:hint="eastAsia" w:ascii="仿宋" w:hAnsi="仿宋"/>
          <w:sz w:val="24"/>
          <w:szCs w:val="24"/>
        </w:rPr>
        <w:t>履约保证金</w:t>
      </w:r>
      <w:bookmarkEnd w:id="142"/>
      <w:bookmarkEnd w:id="143"/>
      <w:r>
        <w:rPr>
          <w:rFonts w:hint="eastAsia" w:ascii="仿宋" w:hAnsi="仿宋" w:cs="黑体"/>
          <w:sz w:val="24"/>
          <w:szCs w:val="24"/>
        </w:rPr>
        <w:t>（实质性要求）</w:t>
      </w:r>
      <w:bookmarkEnd w:id="144"/>
    </w:p>
    <w:p>
      <w:pPr>
        <w:spacing w:line="400" w:lineRule="exact"/>
        <w:ind w:firstLine="480" w:firstLineChars="200"/>
        <w:rPr>
          <w:rFonts w:ascii="仿宋" w:hAnsi="仿宋"/>
        </w:rPr>
      </w:pPr>
      <w:r>
        <w:rPr>
          <w:rFonts w:hint="eastAsia" w:ascii="仿宋" w:hAnsi="仿宋"/>
        </w:rPr>
        <w:t>30.1 中标人应在合同签订之前交纳招标文件规定数额的履约保证金。</w:t>
      </w:r>
    </w:p>
    <w:p>
      <w:pPr>
        <w:spacing w:line="400" w:lineRule="exact"/>
        <w:ind w:firstLine="480" w:firstLineChars="200"/>
        <w:rPr>
          <w:rFonts w:ascii="仿宋" w:hAnsi="仿宋"/>
        </w:rPr>
      </w:pPr>
      <w:r>
        <w:rPr>
          <w:rFonts w:hint="eastAsia" w:ascii="仿宋" w:hAnsi="仿宋"/>
        </w:rPr>
        <w:t>30.2 如果中标人在规定的合同签订时间内，没有按照招标文件的规定交纳履约保证金，且又无正当理由的，将视为放弃中标。</w:t>
      </w:r>
    </w:p>
    <w:p>
      <w:pPr>
        <w:pStyle w:val="5"/>
        <w:spacing w:line="400" w:lineRule="exact"/>
        <w:ind w:firstLine="482" w:firstLineChars="200"/>
        <w:rPr>
          <w:rFonts w:ascii="仿宋" w:hAnsi="仿宋"/>
          <w:sz w:val="24"/>
          <w:szCs w:val="24"/>
        </w:rPr>
      </w:pPr>
      <w:bookmarkStart w:id="145" w:name="_Toc86701922"/>
      <w:bookmarkStart w:id="146" w:name="_Toc217446069"/>
      <w:bookmarkStart w:id="147" w:name="_Toc308164813"/>
      <w:r>
        <w:rPr>
          <w:rFonts w:hint="eastAsia" w:ascii="仿宋" w:hAnsi="仿宋"/>
          <w:sz w:val="24"/>
          <w:szCs w:val="24"/>
        </w:rPr>
        <w:t>31. 合同公告</w:t>
      </w:r>
      <w:bookmarkEnd w:id="145"/>
    </w:p>
    <w:p>
      <w:pPr>
        <w:spacing w:line="400" w:lineRule="exact"/>
        <w:ind w:firstLine="480" w:firstLineChars="200"/>
        <w:rPr>
          <w:rFonts w:ascii="仿宋" w:hAnsi="仿宋"/>
        </w:rPr>
      </w:pPr>
      <w:r>
        <w:rPr>
          <w:rFonts w:hint="eastAsia" w:ascii="仿宋" w:hAnsi="仿宋"/>
        </w:rPr>
        <w:t>采购人应当自政府采购合同签订之日起2个工作日内，将政府采购合同在省级以上人民政府财政部门指定的媒体上公告（四川政府采购网），但政府采购合同中涉及国家秘密、商业秘密的内容除外。</w:t>
      </w:r>
    </w:p>
    <w:p>
      <w:pPr>
        <w:pStyle w:val="5"/>
        <w:spacing w:line="400" w:lineRule="exact"/>
        <w:ind w:firstLine="482" w:firstLineChars="200"/>
        <w:rPr>
          <w:rFonts w:ascii="仿宋" w:hAnsi="仿宋"/>
          <w:sz w:val="24"/>
          <w:szCs w:val="24"/>
        </w:rPr>
      </w:pPr>
      <w:bookmarkStart w:id="148" w:name="_Toc86701923"/>
      <w:r>
        <w:rPr>
          <w:rFonts w:hint="eastAsia" w:ascii="仿宋" w:hAnsi="仿宋"/>
          <w:sz w:val="24"/>
          <w:szCs w:val="24"/>
        </w:rPr>
        <w:t>32. 合同备案</w:t>
      </w:r>
      <w:bookmarkEnd w:id="148"/>
    </w:p>
    <w:p>
      <w:pPr>
        <w:spacing w:line="400" w:lineRule="exact"/>
        <w:ind w:firstLine="480" w:firstLineChars="200"/>
        <w:rPr>
          <w:rFonts w:ascii="仿宋" w:hAnsi="仿宋"/>
        </w:rPr>
      </w:pPr>
      <w:r>
        <w:rPr>
          <w:rFonts w:hint="eastAsia" w:ascii="仿宋" w:hAnsi="仿宋"/>
        </w:rPr>
        <w:t>采购人应当将政府采购合同副本自签订之日起七个工作日内报同级财政部门备案。</w:t>
      </w:r>
    </w:p>
    <w:p>
      <w:pPr>
        <w:pStyle w:val="5"/>
        <w:spacing w:line="400" w:lineRule="exact"/>
        <w:ind w:firstLine="482" w:firstLineChars="200"/>
        <w:rPr>
          <w:rFonts w:ascii="仿宋" w:hAnsi="仿宋"/>
          <w:b w:val="0"/>
          <w:sz w:val="24"/>
          <w:szCs w:val="24"/>
        </w:rPr>
      </w:pPr>
      <w:bookmarkStart w:id="149" w:name="_Toc86701924"/>
      <w:r>
        <w:rPr>
          <w:rFonts w:hint="eastAsia" w:ascii="仿宋" w:hAnsi="仿宋"/>
          <w:sz w:val="24"/>
          <w:szCs w:val="24"/>
        </w:rPr>
        <w:t>33. 履行合同</w:t>
      </w:r>
      <w:bookmarkEnd w:id="146"/>
      <w:bookmarkEnd w:id="147"/>
      <w:bookmarkEnd w:id="149"/>
    </w:p>
    <w:p>
      <w:pPr>
        <w:spacing w:line="400" w:lineRule="exact"/>
        <w:ind w:firstLine="480" w:firstLineChars="200"/>
        <w:rPr>
          <w:rFonts w:ascii="仿宋" w:hAnsi="仿宋"/>
        </w:rPr>
      </w:pPr>
      <w:r>
        <w:rPr>
          <w:rFonts w:hint="eastAsia" w:ascii="仿宋" w:hAnsi="仿宋"/>
        </w:rPr>
        <w:t>33.1 中标人与采购人签订合同后，合同双方应严格执行合同条款，履行合同规定的义务，保证合同的顺利完成。</w:t>
      </w:r>
    </w:p>
    <w:p>
      <w:pPr>
        <w:spacing w:line="400" w:lineRule="exact"/>
        <w:ind w:firstLine="480" w:firstLineChars="200"/>
        <w:rPr>
          <w:rFonts w:ascii="仿宋" w:hAnsi="仿宋"/>
        </w:rPr>
      </w:pPr>
      <w:r>
        <w:rPr>
          <w:rFonts w:hint="eastAsia" w:ascii="仿宋" w:hAnsi="仿宋"/>
        </w:rPr>
        <w:t>33.2 在合同履行过程中，如发生合同纠纷，合同双方应按照《中华人民共和国民法典》的有关规定进行处理。</w:t>
      </w:r>
    </w:p>
    <w:p>
      <w:pPr>
        <w:pStyle w:val="5"/>
        <w:spacing w:line="400" w:lineRule="exact"/>
        <w:ind w:firstLine="482" w:firstLineChars="200"/>
        <w:rPr>
          <w:rFonts w:ascii="仿宋" w:hAnsi="仿宋"/>
          <w:b w:val="0"/>
          <w:sz w:val="24"/>
          <w:szCs w:val="24"/>
        </w:rPr>
      </w:pPr>
      <w:bookmarkStart w:id="150" w:name="_Toc217446070"/>
      <w:bookmarkStart w:id="151" w:name="_Toc86701925"/>
      <w:bookmarkStart w:id="152" w:name="_Toc308164814"/>
      <w:r>
        <w:rPr>
          <w:rFonts w:hint="eastAsia" w:ascii="仿宋" w:hAnsi="仿宋"/>
          <w:sz w:val="24"/>
          <w:szCs w:val="24"/>
        </w:rPr>
        <w:t>34. 验收</w:t>
      </w:r>
      <w:bookmarkEnd w:id="150"/>
      <w:bookmarkEnd w:id="151"/>
      <w:bookmarkEnd w:id="152"/>
    </w:p>
    <w:p>
      <w:pPr>
        <w:spacing w:line="400" w:lineRule="exact"/>
        <w:ind w:firstLine="480" w:firstLineChars="200"/>
        <w:rPr>
          <w:rFonts w:ascii="仿宋" w:hAnsi="仿宋"/>
        </w:rPr>
      </w:pPr>
      <w:r>
        <w:rPr>
          <w:rFonts w:hint="eastAsia" w:ascii="仿宋" w:hAnsi="仿宋"/>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rPr>
      </w:pPr>
      <w:r>
        <w:rPr>
          <w:rFonts w:hint="eastAsia" w:ascii="仿宋" w:hAnsi="仿宋"/>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53" w:name="_Toc217446071"/>
    </w:p>
    <w:p>
      <w:pPr>
        <w:pStyle w:val="5"/>
        <w:keepNext w:val="0"/>
        <w:keepLines w:val="0"/>
        <w:spacing w:line="400" w:lineRule="exact"/>
        <w:ind w:firstLine="482" w:firstLineChars="200"/>
        <w:rPr>
          <w:rFonts w:ascii="仿宋" w:hAnsi="仿宋"/>
          <w:sz w:val="24"/>
          <w:szCs w:val="24"/>
        </w:rPr>
      </w:pPr>
      <w:bookmarkStart w:id="154" w:name="_Toc86701926"/>
      <w:bookmarkStart w:id="155" w:name="_Toc217446077"/>
      <w:bookmarkStart w:id="156" w:name="_Toc308164818"/>
      <w:r>
        <w:rPr>
          <w:rFonts w:hint="eastAsia" w:ascii="仿宋" w:hAnsi="仿宋"/>
          <w:sz w:val="24"/>
          <w:szCs w:val="24"/>
        </w:rPr>
        <w:t>35. 资金支付</w:t>
      </w:r>
      <w:bookmarkEnd w:id="154"/>
      <w:bookmarkEnd w:id="155"/>
      <w:bookmarkEnd w:id="156"/>
    </w:p>
    <w:p>
      <w:pPr>
        <w:spacing w:line="400" w:lineRule="exact"/>
        <w:ind w:firstLine="480" w:firstLineChars="200"/>
        <w:rPr>
          <w:rFonts w:ascii="仿宋" w:hAnsi="仿宋"/>
        </w:rPr>
      </w:pPr>
      <w:r>
        <w:rPr>
          <w:rFonts w:hint="eastAsia" w:ascii="仿宋" w:hAnsi="仿宋"/>
        </w:rPr>
        <w:t>采购人将按照政府采购合同规定，及时向中标供应商支付采购资金。本项目采购资金付款详见第六章商务要求中付款方式。</w:t>
      </w:r>
    </w:p>
    <w:bookmarkEnd w:id="100"/>
    <w:bookmarkEnd w:id="101"/>
    <w:bookmarkEnd w:id="153"/>
    <w:p>
      <w:pPr>
        <w:pStyle w:val="4"/>
        <w:keepNext w:val="0"/>
        <w:keepLines w:val="0"/>
        <w:spacing w:line="400" w:lineRule="exact"/>
        <w:jc w:val="center"/>
        <w:rPr>
          <w:rFonts w:ascii="仿宋" w:hAnsi="仿宋"/>
          <w:szCs w:val="28"/>
        </w:rPr>
      </w:pPr>
      <w:bookmarkStart w:id="157" w:name="_Toc217446074"/>
      <w:bookmarkStart w:id="158" w:name="_Toc308164815"/>
      <w:bookmarkStart w:id="159" w:name="_Toc86701927"/>
      <w:bookmarkStart w:id="160" w:name="_Toc183682380"/>
      <w:bookmarkStart w:id="161" w:name="_Toc183582243"/>
      <w:r>
        <w:rPr>
          <w:rFonts w:hint="eastAsia" w:ascii="仿宋" w:hAnsi="仿宋"/>
          <w:szCs w:val="28"/>
        </w:rPr>
        <w:t>七、投标纪律要求</w:t>
      </w:r>
      <w:bookmarkEnd w:id="157"/>
      <w:bookmarkEnd w:id="158"/>
      <w:bookmarkEnd w:id="159"/>
    </w:p>
    <w:p>
      <w:pPr>
        <w:pStyle w:val="5"/>
        <w:keepNext w:val="0"/>
        <w:keepLines w:val="0"/>
        <w:spacing w:line="400" w:lineRule="exact"/>
        <w:ind w:firstLine="482" w:firstLineChars="200"/>
        <w:rPr>
          <w:rFonts w:ascii="仿宋" w:hAnsi="仿宋"/>
          <w:bCs w:val="0"/>
          <w:sz w:val="24"/>
          <w:szCs w:val="24"/>
        </w:rPr>
      </w:pPr>
      <w:bookmarkStart w:id="162" w:name="_Toc308164816"/>
      <w:bookmarkStart w:id="163" w:name="_Toc217446075"/>
      <w:bookmarkStart w:id="164" w:name="_Toc86701928"/>
      <w:r>
        <w:rPr>
          <w:rFonts w:hint="eastAsia" w:ascii="仿宋" w:hAnsi="仿宋"/>
          <w:sz w:val="24"/>
        </w:rPr>
        <w:t xml:space="preserve">36. </w:t>
      </w:r>
      <w:r>
        <w:rPr>
          <w:rFonts w:hint="eastAsia" w:ascii="仿宋" w:hAnsi="仿宋"/>
          <w:bCs w:val="0"/>
          <w:sz w:val="24"/>
          <w:szCs w:val="24"/>
        </w:rPr>
        <w:t>投标人</w:t>
      </w:r>
      <w:bookmarkEnd w:id="162"/>
      <w:bookmarkEnd w:id="163"/>
      <w:r>
        <w:rPr>
          <w:rFonts w:hint="eastAsia" w:ascii="仿宋" w:hAnsi="仿宋"/>
          <w:bCs w:val="0"/>
          <w:sz w:val="24"/>
          <w:szCs w:val="24"/>
        </w:rPr>
        <w:t>纪律要求</w:t>
      </w:r>
      <w:bookmarkEnd w:id="164"/>
    </w:p>
    <w:p>
      <w:pPr>
        <w:pStyle w:val="6"/>
        <w:spacing w:line="400" w:lineRule="exact"/>
        <w:ind w:firstLine="480"/>
        <w:rPr>
          <w:rFonts w:ascii="仿宋" w:hAnsi="仿宋"/>
        </w:rPr>
      </w:pPr>
      <w:r>
        <w:rPr>
          <w:rFonts w:hint="eastAsia" w:ascii="仿宋" w:hAnsi="仿宋"/>
        </w:rPr>
        <w:t>投标人应当遵循公平竞争的原则，不得恶意串通，不得妨碍其他投标人的竞争行为，不得损害采购人或者其他投标人的合法权益。</w:t>
      </w:r>
    </w:p>
    <w:p>
      <w:pPr>
        <w:pStyle w:val="6"/>
        <w:spacing w:line="400" w:lineRule="exact"/>
        <w:ind w:firstLine="480"/>
        <w:rPr>
          <w:rFonts w:ascii="仿宋" w:hAnsi="仿宋"/>
        </w:rPr>
      </w:pPr>
      <w:r>
        <w:rPr>
          <w:rFonts w:hint="eastAsia" w:ascii="仿宋" w:hAnsi="仿宋"/>
        </w:rPr>
        <w:t>在评标过程中发现投标人有上述情形的，评标委员会应当认定其投标无效，并书面报告本级财政部门。</w:t>
      </w:r>
    </w:p>
    <w:p>
      <w:pPr>
        <w:pStyle w:val="5"/>
        <w:spacing w:line="400" w:lineRule="exact"/>
        <w:ind w:firstLine="482" w:firstLineChars="200"/>
        <w:rPr>
          <w:rFonts w:ascii="仿宋" w:hAnsi="仿宋"/>
          <w:sz w:val="24"/>
        </w:rPr>
      </w:pPr>
      <w:bookmarkStart w:id="165" w:name="_Toc86701929"/>
      <w:r>
        <w:rPr>
          <w:rFonts w:hint="eastAsia" w:ascii="仿宋" w:hAnsi="仿宋"/>
          <w:sz w:val="24"/>
        </w:rPr>
        <w:t>37. 投标人参加本项目投标不得有下列情形：</w:t>
      </w:r>
      <w:bookmarkEnd w:id="165"/>
    </w:p>
    <w:p>
      <w:pPr>
        <w:spacing w:line="400" w:lineRule="exact"/>
        <w:ind w:firstLine="480" w:firstLineChars="200"/>
        <w:rPr>
          <w:rFonts w:ascii="仿宋" w:hAnsi="仿宋"/>
        </w:rPr>
      </w:pPr>
      <w:r>
        <w:rPr>
          <w:rFonts w:hint="eastAsia" w:ascii="仿宋" w:hAnsi="仿宋"/>
        </w:rPr>
        <w:t>（1）提供虚假材料谋取中标；</w:t>
      </w:r>
    </w:p>
    <w:p>
      <w:pPr>
        <w:spacing w:line="400" w:lineRule="exact"/>
        <w:ind w:firstLine="480" w:firstLineChars="200"/>
        <w:rPr>
          <w:rFonts w:ascii="仿宋" w:hAnsi="仿宋"/>
        </w:rPr>
      </w:pPr>
      <w:r>
        <w:rPr>
          <w:rFonts w:hint="eastAsia" w:ascii="仿宋" w:hAnsi="仿宋"/>
        </w:rPr>
        <w:t>（2）采取不正当手段诋毁、排挤其他投标人；</w:t>
      </w:r>
    </w:p>
    <w:p>
      <w:pPr>
        <w:spacing w:line="400" w:lineRule="exact"/>
        <w:ind w:firstLine="480" w:firstLineChars="200"/>
        <w:rPr>
          <w:rFonts w:ascii="仿宋" w:hAnsi="仿宋"/>
        </w:rPr>
      </w:pPr>
      <w:r>
        <w:rPr>
          <w:rFonts w:hint="eastAsia" w:ascii="仿宋" w:hAnsi="仿宋"/>
        </w:rPr>
        <w:t>（3）与招标采购单位、其他投标人恶意串通；</w:t>
      </w:r>
    </w:p>
    <w:p>
      <w:pPr>
        <w:spacing w:line="400" w:lineRule="exact"/>
        <w:ind w:firstLine="480" w:firstLineChars="200"/>
        <w:rPr>
          <w:rFonts w:ascii="仿宋" w:hAnsi="仿宋"/>
        </w:rPr>
      </w:pPr>
      <w:r>
        <w:rPr>
          <w:rFonts w:hint="eastAsia" w:ascii="仿宋" w:hAnsi="仿宋"/>
        </w:rPr>
        <w:t>（4）向招标采购单位、评标委员会成员行贿或者提供其他不正当利益；</w:t>
      </w:r>
    </w:p>
    <w:p>
      <w:pPr>
        <w:spacing w:line="400" w:lineRule="exact"/>
        <w:ind w:firstLine="480" w:firstLineChars="200"/>
        <w:rPr>
          <w:rFonts w:ascii="仿宋" w:hAnsi="仿宋"/>
        </w:rPr>
      </w:pPr>
      <w:r>
        <w:rPr>
          <w:rFonts w:hint="eastAsia" w:ascii="仿宋" w:hAnsi="仿宋"/>
        </w:rPr>
        <w:t>（5）在招标过程中与招标采购单位进行协商谈判；</w:t>
      </w:r>
    </w:p>
    <w:p>
      <w:pPr>
        <w:spacing w:line="400" w:lineRule="exact"/>
        <w:ind w:firstLine="480" w:firstLineChars="200"/>
        <w:rPr>
          <w:rFonts w:ascii="仿宋" w:hAnsi="仿宋"/>
        </w:rPr>
      </w:pPr>
      <w:r>
        <w:rPr>
          <w:rFonts w:hint="eastAsia" w:ascii="仿宋" w:hAnsi="仿宋"/>
        </w:rPr>
        <w:t>（6）中标或者成交后无正当理由拒不与采购人签订政府采购合同；</w:t>
      </w:r>
    </w:p>
    <w:p>
      <w:pPr>
        <w:spacing w:line="400" w:lineRule="exact"/>
        <w:ind w:firstLine="480" w:firstLineChars="200"/>
        <w:rPr>
          <w:rFonts w:ascii="仿宋" w:hAnsi="仿宋"/>
        </w:rPr>
      </w:pPr>
      <w:r>
        <w:rPr>
          <w:rFonts w:hint="eastAsia" w:ascii="仿宋" w:hAnsi="仿宋"/>
        </w:rPr>
        <w:t>（7）未按照采购文件确定的事项签订政府采购合同；</w:t>
      </w:r>
    </w:p>
    <w:p>
      <w:pPr>
        <w:spacing w:line="400" w:lineRule="exact"/>
        <w:ind w:firstLine="480" w:firstLineChars="200"/>
        <w:rPr>
          <w:rFonts w:ascii="仿宋" w:hAnsi="仿宋"/>
        </w:rPr>
      </w:pPr>
      <w:r>
        <w:rPr>
          <w:rFonts w:hint="eastAsia" w:ascii="仿宋" w:hAnsi="仿宋"/>
        </w:rPr>
        <w:t>（8）将政府采购合同转包或者违规分包；</w:t>
      </w:r>
    </w:p>
    <w:p>
      <w:pPr>
        <w:spacing w:line="400" w:lineRule="exact"/>
        <w:ind w:firstLine="480" w:firstLineChars="200"/>
        <w:rPr>
          <w:rFonts w:ascii="仿宋" w:hAnsi="仿宋"/>
        </w:rPr>
      </w:pPr>
      <w:r>
        <w:rPr>
          <w:rFonts w:hint="eastAsia" w:ascii="仿宋" w:hAnsi="仿宋"/>
        </w:rPr>
        <w:t>（9）提供假冒伪劣产品；</w:t>
      </w:r>
    </w:p>
    <w:p>
      <w:pPr>
        <w:spacing w:line="400" w:lineRule="exact"/>
        <w:ind w:firstLine="480" w:firstLineChars="200"/>
        <w:rPr>
          <w:rFonts w:ascii="仿宋" w:hAnsi="仿宋"/>
        </w:rPr>
      </w:pPr>
      <w:r>
        <w:rPr>
          <w:rFonts w:hint="eastAsia" w:ascii="仿宋" w:hAnsi="仿宋"/>
        </w:rPr>
        <w:t>（10）擅自变更、中止或者终止政府采购合同；</w:t>
      </w:r>
    </w:p>
    <w:p>
      <w:pPr>
        <w:spacing w:line="400" w:lineRule="exact"/>
        <w:ind w:firstLine="480" w:firstLineChars="200"/>
        <w:rPr>
          <w:rFonts w:ascii="仿宋" w:hAnsi="仿宋"/>
        </w:rPr>
      </w:pPr>
      <w:r>
        <w:rPr>
          <w:rFonts w:hint="eastAsia" w:ascii="仿宋" w:hAnsi="仿宋"/>
        </w:rPr>
        <w:t>（11）拒绝有关部门的监督检查或者向监督检查部门提供虚假情况；</w:t>
      </w:r>
    </w:p>
    <w:p>
      <w:pPr>
        <w:spacing w:line="400" w:lineRule="exact"/>
        <w:ind w:firstLine="480" w:firstLineChars="200"/>
        <w:rPr>
          <w:rFonts w:ascii="仿宋" w:hAnsi="仿宋"/>
        </w:rPr>
      </w:pPr>
      <w:r>
        <w:rPr>
          <w:rFonts w:hint="eastAsia" w:ascii="仿宋" w:hAnsi="仿宋"/>
        </w:rPr>
        <w:t>（12）法律法规规定的其他情形。</w:t>
      </w:r>
    </w:p>
    <w:p>
      <w:pPr>
        <w:spacing w:line="400" w:lineRule="exact"/>
        <w:ind w:firstLine="480" w:firstLineChars="200"/>
        <w:rPr>
          <w:rFonts w:ascii="仿宋" w:hAnsi="仿宋"/>
        </w:rPr>
      </w:pPr>
      <w:r>
        <w:rPr>
          <w:rFonts w:hint="eastAsia" w:ascii="仿宋" w:hAnsi="仿宋"/>
        </w:rPr>
        <w:t>投标人有上述情形的，按照规定追究法律责任，具备（1）-（10）条情形之一的，同时将取消中标资格或者认定中标无效。</w:t>
      </w:r>
      <w:bookmarkEnd w:id="70"/>
    </w:p>
    <w:p>
      <w:pPr>
        <w:pStyle w:val="5"/>
        <w:spacing w:line="400" w:lineRule="exact"/>
        <w:ind w:firstLine="482" w:firstLineChars="200"/>
        <w:rPr>
          <w:rFonts w:ascii="仿宋" w:hAnsi="仿宋"/>
          <w:sz w:val="24"/>
        </w:rPr>
      </w:pPr>
      <w:bookmarkStart w:id="166" w:name="_Toc86701930"/>
      <w:bookmarkStart w:id="167" w:name="PO_默认文件内容_23"/>
      <w:r>
        <w:rPr>
          <w:rFonts w:hint="eastAsia" w:ascii="仿宋" w:hAnsi="仿宋"/>
          <w:sz w:val="24"/>
        </w:rPr>
        <w:t>38. 投标人有下列情形之一的，视为投标人串通投标，其投标无效：</w:t>
      </w:r>
      <w:bookmarkEnd w:id="166"/>
    </w:p>
    <w:p>
      <w:pPr>
        <w:spacing w:line="400" w:lineRule="exact"/>
        <w:ind w:firstLine="480" w:firstLineChars="200"/>
        <w:rPr>
          <w:rFonts w:ascii="仿宋" w:hAnsi="仿宋"/>
        </w:rPr>
      </w:pPr>
      <w:r>
        <w:rPr>
          <w:rFonts w:hint="eastAsia" w:ascii="仿宋" w:hAnsi="仿宋"/>
        </w:rPr>
        <w:t>（1）不同投标人的投标文件由同一单位或者个人编制；</w:t>
      </w:r>
    </w:p>
    <w:p>
      <w:pPr>
        <w:spacing w:line="400" w:lineRule="exact"/>
        <w:ind w:firstLine="480" w:firstLineChars="200"/>
        <w:rPr>
          <w:rFonts w:ascii="仿宋" w:hAnsi="仿宋"/>
        </w:rPr>
      </w:pPr>
      <w:r>
        <w:rPr>
          <w:rFonts w:hint="eastAsia" w:ascii="仿宋" w:hAnsi="仿宋"/>
        </w:rPr>
        <w:t>（2）不同投标人委托同一单位或者个人办理投标事宜；</w:t>
      </w:r>
    </w:p>
    <w:p>
      <w:pPr>
        <w:spacing w:line="400" w:lineRule="exact"/>
        <w:ind w:firstLine="480" w:firstLineChars="200"/>
        <w:rPr>
          <w:rFonts w:ascii="仿宋" w:hAnsi="仿宋"/>
        </w:rPr>
      </w:pPr>
      <w:r>
        <w:rPr>
          <w:rFonts w:hint="eastAsia" w:ascii="仿宋" w:hAnsi="仿宋"/>
        </w:rPr>
        <w:t>（3）不同投标人的投标文件载明的项目管理成员或者联系人员为同一人；</w:t>
      </w:r>
    </w:p>
    <w:p>
      <w:pPr>
        <w:spacing w:line="400" w:lineRule="exact"/>
        <w:ind w:firstLine="480" w:firstLineChars="200"/>
        <w:rPr>
          <w:rFonts w:ascii="仿宋" w:hAnsi="仿宋"/>
        </w:rPr>
      </w:pPr>
      <w:r>
        <w:rPr>
          <w:rFonts w:hint="eastAsia" w:ascii="仿宋" w:hAnsi="仿宋"/>
        </w:rPr>
        <w:t>（4）不同投标人的投标文件异常一致或者投标报价呈规律性差异；</w:t>
      </w:r>
    </w:p>
    <w:p>
      <w:pPr>
        <w:spacing w:line="400" w:lineRule="exact"/>
        <w:ind w:firstLine="480" w:firstLineChars="200"/>
        <w:rPr>
          <w:rFonts w:ascii="仿宋" w:hAnsi="仿宋"/>
        </w:rPr>
      </w:pPr>
      <w:r>
        <w:rPr>
          <w:rFonts w:hint="eastAsia" w:ascii="仿宋" w:hAnsi="仿宋"/>
        </w:rPr>
        <w:t>（5）不同投标人的投标文件相互混装；</w:t>
      </w:r>
    </w:p>
    <w:p>
      <w:pPr>
        <w:spacing w:line="400" w:lineRule="exact"/>
        <w:ind w:firstLine="480" w:firstLineChars="200"/>
        <w:rPr>
          <w:rFonts w:ascii="仿宋" w:hAnsi="仿宋"/>
        </w:rPr>
      </w:pPr>
      <w:r>
        <w:rPr>
          <w:rFonts w:hint="eastAsia" w:ascii="仿宋" w:hAnsi="仿宋"/>
        </w:rPr>
        <w:t>（6）不同投标人的投标保证金从同一单位或者个人的账户转出。</w:t>
      </w:r>
    </w:p>
    <w:p>
      <w:pPr>
        <w:pStyle w:val="4"/>
        <w:spacing w:line="400" w:lineRule="exact"/>
        <w:jc w:val="center"/>
        <w:rPr>
          <w:rFonts w:ascii="仿宋" w:hAnsi="仿宋"/>
          <w:bCs w:val="0"/>
          <w:szCs w:val="28"/>
        </w:rPr>
      </w:pPr>
      <w:bookmarkStart w:id="168" w:name="_Toc86701931"/>
      <w:bookmarkStart w:id="169" w:name="_Toc308164819"/>
      <w:bookmarkStart w:id="170" w:name="_Toc217446078"/>
      <w:r>
        <w:rPr>
          <w:rFonts w:hint="eastAsia" w:ascii="仿宋" w:hAnsi="仿宋"/>
          <w:bCs w:val="0"/>
          <w:szCs w:val="28"/>
        </w:rPr>
        <w:t>八、询问、质疑和投诉</w:t>
      </w:r>
      <w:bookmarkEnd w:id="168"/>
      <w:bookmarkEnd w:id="169"/>
      <w:bookmarkEnd w:id="170"/>
      <w:bookmarkStart w:id="171" w:name="_Toc217446079"/>
    </w:p>
    <w:bookmarkEnd w:id="171"/>
    <w:p>
      <w:pPr>
        <w:widowControl/>
        <w:spacing w:line="360" w:lineRule="atLeast"/>
        <w:ind w:firstLine="472" w:firstLineChars="196"/>
        <w:outlineLvl w:val="1"/>
        <w:rPr>
          <w:rFonts w:ascii="仿宋" w:hAnsi="仿宋"/>
        </w:rPr>
      </w:pPr>
      <w:bookmarkStart w:id="172" w:name="_Toc86701932"/>
      <w:r>
        <w:rPr>
          <w:rFonts w:hint="eastAsia" w:ascii="仿宋" w:hAnsi="仿宋"/>
          <w:b/>
          <w:bCs/>
          <w:kern w:val="0"/>
          <w:szCs w:val="32"/>
        </w:rPr>
        <w:t>3</w:t>
      </w:r>
      <w:bookmarkEnd w:id="160"/>
      <w:bookmarkEnd w:id="161"/>
      <w:r>
        <w:rPr>
          <w:rFonts w:hint="eastAsia" w:ascii="仿宋" w:hAnsi="仿宋"/>
          <w:b/>
          <w:bCs/>
          <w:kern w:val="0"/>
          <w:szCs w:val="32"/>
        </w:rPr>
        <w:t>9．</w:t>
      </w:r>
      <w:r>
        <w:rPr>
          <w:rFonts w:hint="eastAsia" w:ascii="仿宋" w:hAnsi="仿宋"/>
        </w:rPr>
        <w:t>询问、质疑、投诉的接收和处理严格按照《中华人民共和国政府采购法》、《中华人民共和国政府采购法实施条例》、《政府采购货物和服务招标投标管理办法》、《</w:t>
      </w:r>
      <w:r>
        <w:rPr>
          <w:rFonts w:hint="eastAsia" w:ascii="仿宋" w:hAnsi="仿宋"/>
          <w:bCs/>
        </w:rPr>
        <w:t>政府采购质疑和投诉办法</w:t>
      </w:r>
      <w:r>
        <w:rPr>
          <w:rFonts w:hint="eastAsia" w:ascii="仿宋" w:hAnsi="仿宋"/>
        </w:rPr>
        <w:t>》、《财政部关于加强政府采购供应商投诉受理审查工作的通知》和《四川省政府采购供应商投诉处理工作规程》的规定办理（详细规定请在四川政府采购网政策法规模块查询）。</w:t>
      </w:r>
      <w:bookmarkEnd w:id="172"/>
    </w:p>
    <w:p>
      <w:pPr>
        <w:pStyle w:val="4"/>
        <w:spacing w:line="400" w:lineRule="exact"/>
        <w:jc w:val="center"/>
        <w:rPr>
          <w:rFonts w:ascii="仿宋" w:hAnsi="仿宋"/>
          <w:bCs w:val="0"/>
          <w:szCs w:val="28"/>
        </w:rPr>
      </w:pPr>
      <w:bookmarkStart w:id="173" w:name="_Toc86701933"/>
      <w:r>
        <w:rPr>
          <w:rFonts w:hint="eastAsia" w:ascii="仿宋" w:hAnsi="仿宋"/>
          <w:bCs w:val="0"/>
          <w:szCs w:val="28"/>
        </w:rPr>
        <w:t>九、其他</w:t>
      </w:r>
      <w:bookmarkEnd w:id="173"/>
    </w:p>
    <w:p>
      <w:pPr>
        <w:widowControl/>
        <w:spacing w:line="360" w:lineRule="atLeast"/>
        <w:ind w:firstLine="482" w:firstLineChars="200"/>
        <w:outlineLvl w:val="1"/>
        <w:rPr>
          <w:rFonts w:ascii="仿宋" w:hAnsi="仿宋"/>
        </w:rPr>
      </w:pPr>
      <w:bookmarkStart w:id="174" w:name="_Toc86701934"/>
      <w:r>
        <w:rPr>
          <w:rFonts w:hint="eastAsia" w:ascii="仿宋" w:hAnsi="仿宋"/>
          <w:b/>
          <w:bCs/>
          <w:kern w:val="0"/>
          <w:szCs w:val="32"/>
        </w:rPr>
        <w:t>40</w:t>
      </w:r>
      <w:r>
        <w:rPr>
          <w:rFonts w:hint="eastAsia" w:ascii="仿宋" w:hAnsi="仿宋"/>
        </w:rPr>
        <w:t>. 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bookmarkEnd w:id="174"/>
    </w:p>
    <w:p>
      <w:pPr>
        <w:spacing w:line="400" w:lineRule="exact"/>
        <w:ind w:firstLine="482" w:firstLineChars="200"/>
        <w:rPr>
          <w:rFonts w:ascii="仿宋" w:hAnsi="仿宋"/>
          <w:kern w:val="0"/>
        </w:rPr>
      </w:pPr>
      <w:r>
        <w:rPr>
          <w:rFonts w:hint="eastAsia" w:ascii="仿宋" w:hAnsi="仿宋"/>
          <w:b/>
          <w:bCs/>
        </w:rPr>
        <w:t>41．</w:t>
      </w:r>
      <w:r>
        <w:rPr>
          <w:rFonts w:ascii="仿宋" w:hAnsi="仿宋"/>
        </w:rPr>
        <w:t>国家</w:t>
      </w:r>
      <w:r>
        <w:rPr>
          <w:rFonts w:hint="eastAsia" w:ascii="仿宋" w:hAnsi="仿宋"/>
        </w:rPr>
        <w:t>或行业主管部门</w:t>
      </w:r>
      <w:r>
        <w:rPr>
          <w:rFonts w:ascii="仿宋" w:hAnsi="仿宋"/>
        </w:rPr>
        <w:t>对</w:t>
      </w:r>
      <w:r>
        <w:rPr>
          <w:rFonts w:hint="eastAsia" w:ascii="仿宋" w:hAnsi="仿宋"/>
        </w:rPr>
        <w:t>采购产品的</w:t>
      </w:r>
      <w:r>
        <w:rPr>
          <w:rFonts w:ascii="仿宋" w:hAnsi="仿宋"/>
        </w:rPr>
        <w:t>技术</w:t>
      </w:r>
      <w:r>
        <w:rPr>
          <w:rFonts w:hint="eastAsia" w:ascii="仿宋" w:hAnsi="仿宋"/>
        </w:rPr>
        <w:t>标准、</w:t>
      </w:r>
      <w:r>
        <w:rPr>
          <w:rFonts w:ascii="仿宋" w:hAnsi="仿宋"/>
        </w:rPr>
        <w:t>质量</w:t>
      </w:r>
      <w:r>
        <w:rPr>
          <w:rFonts w:hint="eastAsia" w:ascii="仿宋" w:hAnsi="仿宋"/>
        </w:rPr>
        <w:t>标准和资格资质条件</w:t>
      </w:r>
      <w:r>
        <w:rPr>
          <w:rFonts w:ascii="仿宋" w:hAnsi="仿宋"/>
        </w:rPr>
        <w:t>等有</w:t>
      </w:r>
      <w:r>
        <w:rPr>
          <w:rFonts w:hint="eastAsia" w:ascii="仿宋" w:hAnsi="仿宋"/>
        </w:rPr>
        <w:t>强制性规定</w:t>
      </w:r>
      <w:r>
        <w:rPr>
          <w:rFonts w:ascii="仿宋" w:hAnsi="仿宋"/>
        </w:rPr>
        <w:t>的</w:t>
      </w:r>
      <w:r>
        <w:rPr>
          <w:rFonts w:hint="eastAsia" w:ascii="仿宋" w:hAnsi="仿宋"/>
        </w:rPr>
        <w:t>，必须符合其要求。</w:t>
      </w:r>
      <w:r>
        <w:rPr>
          <w:rFonts w:hint="eastAsia" w:ascii="仿宋" w:hAnsi="仿宋" w:cs="黑体"/>
          <w:b/>
          <w:sz w:val="28"/>
          <w:szCs w:val="28"/>
        </w:rPr>
        <w:t>（实质性要求）</w:t>
      </w:r>
    </w:p>
    <w:p>
      <w:pPr>
        <w:widowControl/>
        <w:spacing w:line="360" w:lineRule="atLeast"/>
        <w:ind w:firstLine="480" w:firstLineChars="200"/>
        <w:rPr>
          <w:rFonts w:ascii="仿宋" w:hAnsi="仿宋"/>
        </w:rPr>
      </w:pPr>
    </w:p>
    <w:p>
      <w:pPr>
        <w:pStyle w:val="3"/>
        <w:rPr>
          <w:rFonts w:ascii="仿宋" w:hAnsi="仿宋"/>
          <w:sz w:val="36"/>
          <w:szCs w:val="36"/>
        </w:rPr>
        <w:sectPr>
          <w:pgSz w:w="11905" w:h="16838"/>
          <w:pgMar w:top="1417" w:right="1417" w:bottom="1417" w:left="1417" w:header="284" w:footer="992" w:gutter="0"/>
          <w:cols w:space="0" w:num="1"/>
          <w:docGrid w:type="lines" w:linePitch="332" w:charSpace="0"/>
        </w:sectPr>
      </w:pPr>
      <w:bookmarkStart w:id="175" w:name="_Toc1368"/>
      <w:bookmarkStart w:id="176" w:name="_Toc217446083"/>
    </w:p>
    <w:p>
      <w:pPr>
        <w:pStyle w:val="3"/>
        <w:rPr>
          <w:rFonts w:ascii="仿宋" w:hAnsi="仿宋"/>
          <w:sz w:val="36"/>
          <w:szCs w:val="36"/>
        </w:rPr>
      </w:pPr>
      <w:bookmarkStart w:id="177" w:name="_Toc23329"/>
      <w:bookmarkStart w:id="178" w:name="_Toc86702053"/>
      <w:bookmarkStart w:id="179" w:name="_Toc86702224"/>
      <w:bookmarkStart w:id="180" w:name="_Toc86701935"/>
      <w:r>
        <w:rPr>
          <w:rFonts w:hint="eastAsia" w:ascii="仿宋" w:hAnsi="仿宋"/>
          <w:sz w:val="36"/>
          <w:szCs w:val="36"/>
        </w:rPr>
        <w:t>第三章  投标文件格式</w:t>
      </w:r>
      <w:bookmarkEnd w:id="175"/>
      <w:bookmarkEnd w:id="177"/>
      <w:bookmarkEnd w:id="178"/>
      <w:bookmarkEnd w:id="179"/>
      <w:bookmarkEnd w:id="180"/>
      <w:bookmarkStart w:id="181" w:name="_Toc308164821"/>
      <w:bookmarkStart w:id="182" w:name="_Toc217446082"/>
    </w:p>
    <w:p>
      <w:pPr>
        <w:widowControl/>
        <w:spacing w:line="360" w:lineRule="atLeast"/>
        <w:ind w:firstLine="470" w:firstLineChars="196"/>
        <w:rPr>
          <w:rFonts w:ascii="仿宋" w:hAnsi="仿宋"/>
        </w:rPr>
      </w:pPr>
      <w:r>
        <w:rPr>
          <w:rFonts w:hint="eastAsia" w:ascii="仿宋" w:hAnsi="仿宋"/>
        </w:rPr>
        <w:t>一、本章所制投标文件格式，除格式中明确将该格式作为实质性要求的，一律不具有强制性。</w:t>
      </w:r>
    </w:p>
    <w:p>
      <w:pPr>
        <w:widowControl/>
        <w:spacing w:line="360" w:lineRule="atLeast"/>
        <w:ind w:firstLine="470" w:firstLineChars="196"/>
        <w:rPr>
          <w:rFonts w:ascii="仿宋" w:hAnsi="仿宋"/>
        </w:rPr>
      </w:pPr>
      <w:r>
        <w:rPr>
          <w:rFonts w:hint="eastAsia" w:ascii="仿宋" w:hAnsi="仿宋"/>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rPr>
      </w:pPr>
      <w:r>
        <w:rPr>
          <w:rFonts w:hint="eastAsia" w:ascii="仿宋" w:hAnsi="仿宋"/>
        </w:rPr>
        <w:t>三、本章所制投标文件格式中需要填写的相关内容事项，可能会与本采购项目无关，在不改变投标文件原义、不影响本项目采购需求的情况下，投标人可以不予填写，但应当注明。</w:t>
      </w:r>
      <w:bookmarkEnd w:id="167"/>
    </w:p>
    <w:p>
      <w:pPr>
        <w:tabs>
          <w:tab w:val="left" w:pos="900"/>
        </w:tabs>
        <w:jc w:val="center"/>
        <w:rPr>
          <w:rFonts w:ascii="仿宋" w:hAnsi="仿宋"/>
          <w:b/>
          <w:sz w:val="32"/>
          <w:szCs w:val="32"/>
        </w:rPr>
      </w:pPr>
      <w:r>
        <w:rPr>
          <w:rFonts w:hint="eastAsia" w:ascii="仿宋" w:hAnsi="仿宋"/>
          <w:b/>
          <w:sz w:val="32"/>
          <w:szCs w:val="32"/>
        </w:rPr>
        <w:br w:type="page"/>
      </w:r>
      <w:bookmarkStart w:id="183" w:name="PO_默认文件内容_24"/>
    </w:p>
    <w:p>
      <w:pPr>
        <w:pStyle w:val="4"/>
        <w:jc w:val="center"/>
        <w:rPr>
          <w:rFonts w:ascii="仿宋" w:hAnsi="仿宋"/>
        </w:rPr>
      </w:pPr>
      <w:bookmarkStart w:id="184" w:name="_Toc86701936"/>
      <w:r>
        <w:rPr>
          <w:rFonts w:ascii="仿宋" w:hAnsi="仿宋"/>
        </w:rPr>
        <w:t xml:space="preserve">第一部分 </w:t>
      </w:r>
      <w:r>
        <w:rPr>
          <w:rFonts w:hint="eastAsia" w:ascii="仿宋" w:hAnsi="仿宋"/>
        </w:rPr>
        <w:t>“</w:t>
      </w:r>
      <w:r>
        <w:rPr>
          <w:rFonts w:ascii="仿宋" w:hAnsi="仿宋"/>
        </w:rPr>
        <w:t>资格性</w:t>
      </w:r>
      <w:r>
        <w:rPr>
          <w:rFonts w:hint="eastAsia" w:ascii="仿宋" w:hAnsi="仿宋"/>
        </w:rPr>
        <w:t>投标</w:t>
      </w:r>
      <w:r>
        <w:rPr>
          <w:rFonts w:ascii="仿宋" w:hAnsi="仿宋"/>
        </w:rPr>
        <w:t>文件</w:t>
      </w:r>
      <w:r>
        <w:rPr>
          <w:rFonts w:hint="eastAsia" w:ascii="仿宋" w:hAnsi="仿宋"/>
        </w:rPr>
        <w:t>”</w:t>
      </w:r>
      <w:r>
        <w:rPr>
          <w:rFonts w:ascii="仿宋" w:hAnsi="仿宋"/>
        </w:rPr>
        <w:t>格式</w:t>
      </w:r>
      <w:bookmarkEnd w:id="184"/>
    </w:p>
    <w:p>
      <w:pPr>
        <w:pStyle w:val="5"/>
        <w:spacing w:before="0" w:after="0"/>
        <w:rPr>
          <w:rFonts w:ascii="仿宋" w:hAnsi="仿宋" w:cs="仿宋"/>
        </w:rPr>
      </w:pPr>
      <w:bookmarkStart w:id="185" w:name="_Toc86701937"/>
      <w:r>
        <w:rPr>
          <w:rFonts w:hint="eastAsia" w:ascii="仿宋" w:hAnsi="仿宋" w:cs="仿宋"/>
        </w:rPr>
        <w:t>格式1-1 封面：</w:t>
      </w:r>
      <w:bookmarkEnd w:id="185"/>
    </w:p>
    <w:p>
      <w:pPr>
        <w:rPr>
          <w:rFonts w:ascii="仿宋" w:hAnsi="仿宋"/>
          <w:b/>
          <w:sz w:val="32"/>
          <w:szCs w:val="32"/>
        </w:rPr>
      </w:pPr>
    </w:p>
    <w:p>
      <w:pPr>
        <w:rPr>
          <w:rFonts w:ascii="仿宋" w:hAnsi="仿宋"/>
          <w:b/>
          <w:sz w:val="32"/>
          <w:szCs w:val="32"/>
        </w:rPr>
      </w:pPr>
    </w:p>
    <w:p>
      <w:pPr>
        <w:jc w:val="center"/>
        <w:rPr>
          <w:rFonts w:ascii="仿宋" w:hAnsi="仿宋"/>
          <w:b/>
          <w:sz w:val="72"/>
        </w:rPr>
      </w:pPr>
      <w:r>
        <w:rPr>
          <w:rFonts w:hint="eastAsia" w:ascii="仿宋" w:hAnsi="仿宋"/>
          <w:b/>
          <w:sz w:val="40"/>
          <w:szCs w:val="48"/>
          <w:u w:val="single"/>
        </w:rPr>
        <w:t>XXXXXX采购</w:t>
      </w:r>
      <w:r>
        <w:rPr>
          <w:rFonts w:hint="eastAsia" w:ascii="仿宋" w:hAnsi="仿宋"/>
          <w:b/>
          <w:sz w:val="40"/>
          <w:szCs w:val="48"/>
        </w:rPr>
        <w:t>项目</w:t>
      </w:r>
    </w:p>
    <w:p>
      <w:pPr>
        <w:rPr>
          <w:rFonts w:ascii="仿宋" w:hAnsi="仿宋"/>
          <w:b/>
          <w:sz w:val="52"/>
          <w:szCs w:val="52"/>
        </w:rPr>
      </w:pPr>
    </w:p>
    <w:p>
      <w:pPr>
        <w:rPr>
          <w:rFonts w:ascii="仿宋" w:hAnsi="仿宋"/>
          <w:b/>
          <w:sz w:val="52"/>
          <w:szCs w:val="52"/>
        </w:rPr>
      </w:pPr>
    </w:p>
    <w:p>
      <w:pPr>
        <w:jc w:val="center"/>
        <w:rPr>
          <w:rFonts w:ascii="仿宋" w:hAnsi="仿宋"/>
          <w:b/>
          <w:sz w:val="52"/>
          <w:szCs w:val="52"/>
        </w:rPr>
      </w:pPr>
      <w:r>
        <w:rPr>
          <w:rFonts w:hint="eastAsia" w:ascii="仿宋" w:hAnsi="仿宋"/>
          <w:b/>
          <w:sz w:val="52"/>
          <w:szCs w:val="52"/>
        </w:rPr>
        <w:t>资格性投标文件</w:t>
      </w:r>
    </w:p>
    <w:p>
      <w:pPr>
        <w:jc w:val="center"/>
        <w:rPr>
          <w:rFonts w:ascii="仿宋" w:hAnsi="仿宋"/>
          <w:b/>
          <w:sz w:val="52"/>
          <w:szCs w:val="52"/>
        </w:rPr>
      </w:pPr>
    </w:p>
    <w:p>
      <w:pPr>
        <w:jc w:val="center"/>
        <w:rPr>
          <w:rFonts w:ascii="仿宋" w:hAnsi="仿宋"/>
          <w:b/>
          <w:sz w:val="32"/>
          <w:szCs w:val="32"/>
        </w:rPr>
      </w:pPr>
    </w:p>
    <w:p>
      <w:pPr>
        <w:rPr>
          <w:rFonts w:ascii="仿宋" w:hAnsi="仿宋"/>
          <w:b/>
          <w:sz w:val="32"/>
          <w:u w:val="single"/>
        </w:rPr>
      </w:pPr>
      <w:r>
        <w:rPr>
          <w:rFonts w:hint="eastAsia" w:ascii="仿宋" w:hAnsi="仿宋"/>
          <w:b/>
          <w:sz w:val="32"/>
        </w:rPr>
        <w:t>投 标 人</w:t>
      </w:r>
      <w:r>
        <w:rPr>
          <w:rFonts w:ascii="仿宋" w:hAnsi="仿宋"/>
          <w:b/>
          <w:sz w:val="32"/>
        </w:rPr>
        <w:t>名称：</w:t>
      </w:r>
      <w:r>
        <w:rPr>
          <w:rFonts w:hint="eastAsia" w:ascii="仿宋" w:hAnsi="仿宋"/>
          <w:b/>
          <w:sz w:val="32"/>
        </w:rPr>
        <w:t>XXXX</w:t>
      </w:r>
    </w:p>
    <w:p>
      <w:pPr>
        <w:rPr>
          <w:rFonts w:ascii="仿宋" w:hAnsi="仿宋"/>
          <w:b/>
          <w:sz w:val="32"/>
          <w:u w:val="single"/>
        </w:rPr>
      </w:pPr>
      <w:r>
        <w:rPr>
          <w:rFonts w:hint="eastAsia" w:ascii="仿宋" w:hAnsi="仿宋"/>
          <w:b/>
          <w:sz w:val="32"/>
        </w:rPr>
        <w:t>采购项目</w:t>
      </w:r>
      <w:r>
        <w:rPr>
          <w:rFonts w:ascii="仿宋" w:hAnsi="仿宋"/>
          <w:b/>
          <w:sz w:val="32"/>
        </w:rPr>
        <w:t>编号：</w:t>
      </w:r>
      <w:r>
        <w:rPr>
          <w:rFonts w:hint="eastAsia" w:ascii="仿宋" w:hAnsi="仿宋"/>
          <w:b/>
          <w:sz w:val="32"/>
        </w:rPr>
        <w:t>XXXX</w:t>
      </w:r>
    </w:p>
    <w:p>
      <w:pPr>
        <w:rPr>
          <w:rFonts w:ascii="仿宋" w:hAnsi="仿宋"/>
          <w:b/>
          <w:sz w:val="32"/>
          <w:u w:val="single"/>
        </w:rPr>
      </w:pPr>
      <w:r>
        <w:rPr>
          <w:rFonts w:hint="eastAsia" w:ascii="仿宋" w:hAnsi="仿宋"/>
          <w:b/>
          <w:sz w:val="32"/>
        </w:rPr>
        <w:t>包        号</w:t>
      </w:r>
      <w:r>
        <w:rPr>
          <w:rFonts w:ascii="仿宋" w:hAnsi="仿宋"/>
          <w:b/>
          <w:sz w:val="32"/>
        </w:rPr>
        <w:t>：</w:t>
      </w:r>
      <w:r>
        <w:rPr>
          <w:rFonts w:hint="eastAsia" w:ascii="仿宋" w:hAnsi="仿宋"/>
          <w:b/>
          <w:sz w:val="32"/>
        </w:rPr>
        <w:t>XXXX</w:t>
      </w:r>
    </w:p>
    <w:p>
      <w:pPr>
        <w:ind w:firstLine="790" w:firstLineChars="246"/>
        <w:jc w:val="center"/>
        <w:rPr>
          <w:rFonts w:ascii="仿宋" w:hAnsi="仿宋"/>
          <w:b/>
          <w:sz w:val="32"/>
        </w:rPr>
      </w:pPr>
    </w:p>
    <w:p>
      <w:pPr>
        <w:ind w:firstLine="790" w:firstLineChars="246"/>
        <w:jc w:val="center"/>
        <w:rPr>
          <w:rFonts w:ascii="仿宋" w:hAnsi="仿宋"/>
          <w:b/>
          <w:sz w:val="32"/>
        </w:rPr>
      </w:pPr>
    </w:p>
    <w:p>
      <w:pPr>
        <w:ind w:firstLine="790" w:firstLineChars="246"/>
        <w:jc w:val="center"/>
        <w:rPr>
          <w:rFonts w:ascii="仿宋" w:hAnsi="仿宋"/>
          <w:b/>
          <w:sz w:val="32"/>
        </w:rPr>
      </w:pPr>
      <w:r>
        <w:rPr>
          <w:rFonts w:hint="eastAsia" w:ascii="仿宋" w:hAnsi="仿宋"/>
          <w:b/>
          <w:sz w:val="32"/>
        </w:rPr>
        <w:t>投标时间</w:t>
      </w:r>
      <w:r>
        <w:rPr>
          <w:rFonts w:ascii="仿宋" w:hAnsi="仿宋"/>
          <w:b/>
          <w:sz w:val="32"/>
        </w:rPr>
        <w:t>：</w:t>
      </w:r>
      <w:r>
        <w:rPr>
          <w:rFonts w:hint="eastAsia" w:ascii="仿宋" w:hAnsi="仿宋"/>
          <w:b/>
          <w:sz w:val="32"/>
        </w:rPr>
        <w:t>20XX年XX</w:t>
      </w:r>
      <w:r>
        <w:rPr>
          <w:rFonts w:ascii="仿宋" w:hAnsi="仿宋"/>
          <w:b/>
          <w:sz w:val="32"/>
        </w:rPr>
        <w:t>月</w:t>
      </w:r>
      <w:r>
        <w:rPr>
          <w:rFonts w:hint="eastAsia" w:ascii="仿宋" w:hAnsi="仿宋"/>
          <w:b/>
          <w:sz w:val="32"/>
        </w:rPr>
        <w:t>XX</w:t>
      </w:r>
      <w:r>
        <w:rPr>
          <w:rFonts w:ascii="仿宋" w:hAnsi="仿宋"/>
          <w:b/>
          <w:sz w:val="32"/>
        </w:rPr>
        <w:t>日</w:t>
      </w:r>
    </w:p>
    <w:p>
      <w:pPr>
        <w:rPr>
          <w:rFonts w:ascii="仿宋" w:hAnsi="仿宋"/>
          <w:b/>
          <w:sz w:val="32"/>
        </w:rPr>
      </w:pPr>
      <w:r>
        <w:rPr>
          <w:rFonts w:ascii="仿宋" w:hAnsi="仿宋"/>
          <w:b/>
          <w:sz w:val="32"/>
        </w:rPr>
        <w:br w:type="page"/>
      </w:r>
    </w:p>
    <w:p>
      <w:pPr>
        <w:outlineLvl w:val="1"/>
        <w:rPr>
          <w:rFonts w:ascii="仿宋" w:hAnsi="仿宋"/>
          <w:b/>
          <w:sz w:val="32"/>
          <w:szCs w:val="32"/>
        </w:rPr>
      </w:pPr>
      <w:bookmarkStart w:id="186" w:name="_Toc86701938"/>
      <w:r>
        <w:rPr>
          <w:rFonts w:hint="eastAsia" w:ascii="仿宋" w:hAnsi="仿宋"/>
          <w:b/>
          <w:sz w:val="32"/>
          <w:szCs w:val="32"/>
        </w:rPr>
        <w:t>资格性投标文件一：</w:t>
      </w:r>
      <w:bookmarkEnd w:id="186"/>
    </w:p>
    <w:p>
      <w:pPr>
        <w:outlineLvl w:val="1"/>
        <w:rPr>
          <w:rFonts w:ascii="仿宋" w:hAnsi="仿宋"/>
          <w:b/>
          <w:sz w:val="32"/>
          <w:szCs w:val="32"/>
        </w:rPr>
      </w:pPr>
      <w:bookmarkStart w:id="187" w:name="_Toc86701939"/>
      <w:r>
        <w:rPr>
          <w:rFonts w:hint="eastAsia" w:ascii="仿宋" w:hAnsi="仿宋"/>
          <w:b/>
          <w:sz w:val="32"/>
          <w:szCs w:val="32"/>
        </w:rPr>
        <w:t>满足《中华人民共和国政府采购法》第二十二条规定的证明材料</w:t>
      </w:r>
      <w:bookmarkEnd w:id="187"/>
    </w:p>
    <w:p>
      <w:pPr>
        <w:pStyle w:val="5"/>
        <w:spacing w:before="0" w:after="0"/>
        <w:rPr>
          <w:rFonts w:ascii="仿宋" w:hAnsi="仿宋" w:cs="仿宋"/>
        </w:rPr>
      </w:pPr>
      <w:bookmarkStart w:id="188" w:name="_Toc86701940"/>
      <w:r>
        <w:rPr>
          <w:rFonts w:hint="eastAsia" w:ascii="仿宋" w:hAnsi="仿宋" w:cs="仿宋"/>
        </w:rPr>
        <w:t>格式1-2 具有独立承担民事责任的能力的证明材料</w:t>
      </w:r>
      <w:bookmarkEnd w:id="188"/>
    </w:p>
    <w:p>
      <w:pPr>
        <w:rPr>
          <w:rFonts w:ascii="仿宋" w:hAnsi="仿宋"/>
        </w:rPr>
      </w:pPr>
    </w:p>
    <w:p>
      <w:pPr>
        <w:rPr>
          <w:rFonts w:ascii="仿宋" w:hAnsi="仿宋"/>
          <w:b/>
          <w:sz w:val="32"/>
          <w:szCs w:val="32"/>
        </w:rPr>
      </w:pPr>
      <w:r>
        <w:rPr>
          <w:rFonts w:hint="eastAsia" w:ascii="仿宋" w:hAnsi="仿宋"/>
        </w:rPr>
        <w:t>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Pr>
          <w:rFonts w:hint="eastAsia" w:ascii="仿宋" w:hAnsi="仿宋"/>
          <w:b/>
          <w:sz w:val="32"/>
          <w:szCs w:val="32"/>
        </w:rPr>
        <w:br w:type="page"/>
      </w:r>
    </w:p>
    <w:p>
      <w:pPr>
        <w:pStyle w:val="5"/>
        <w:spacing w:before="0" w:after="0"/>
        <w:rPr>
          <w:rFonts w:ascii="仿宋" w:hAnsi="仿宋"/>
        </w:rPr>
      </w:pPr>
      <w:bookmarkStart w:id="189" w:name="_Toc86701941"/>
      <w:r>
        <w:rPr>
          <w:rFonts w:hint="eastAsia" w:ascii="仿宋" w:hAnsi="仿宋" w:cs="仿宋"/>
        </w:rPr>
        <w:t xml:space="preserve">格式1-3 </w:t>
      </w:r>
      <w:r>
        <w:rPr>
          <w:rFonts w:hint="eastAsia" w:ascii="仿宋" w:hAnsi="仿宋"/>
        </w:rPr>
        <w:t>承诺函</w:t>
      </w:r>
      <w:bookmarkEnd w:id="189"/>
    </w:p>
    <w:p>
      <w:pPr>
        <w:widowControl/>
        <w:spacing w:line="360" w:lineRule="atLeast"/>
        <w:jc w:val="center"/>
        <w:rPr>
          <w:rFonts w:ascii="仿宋" w:hAnsi="仿宋"/>
          <w:b/>
        </w:rPr>
      </w:pPr>
      <w:r>
        <w:rPr>
          <w:rFonts w:hint="eastAsia" w:ascii="仿宋" w:hAnsi="仿宋" w:cs="仿宋"/>
          <w:b/>
          <w:bCs/>
          <w:sz w:val="32"/>
          <w:szCs w:val="32"/>
        </w:rPr>
        <w:t>承 诺 函</w:t>
      </w:r>
    </w:p>
    <w:p>
      <w:pPr>
        <w:widowControl/>
        <w:spacing w:line="360" w:lineRule="atLeast"/>
        <w:rPr>
          <w:rFonts w:ascii="仿宋" w:hAnsi="仿宋"/>
        </w:rPr>
      </w:pPr>
      <w:r>
        <w:rPr>
          <w:rFonts w:hint="eastAsia" w:ascii="仿宋" w:hAnsi="仿宋"/>
        </w:rPr>
        <w:t>XXXX（采购代理机构名称）：</w:t>
      </w:r>
    </w:p>
    <w:p>
      <w:pPr>
        <w:widowControl/>
        <w:spacing w:line="360" w:lineRule="atLeast"/>
        <w:ind w:firstLine="480" w:firstLineChars="200"/>
        <w:rPr>
          <w:rFonts w:ascii="仿宋" w:hAnsi="仿宋"/>
        </w:rPr>
      </w:pPr>
      <w:r>
        <w:rPr>
          <w:rFonts w:hint="eastAsia" w:ascii="仿宋" w:hAnsi="仿宋"/>
        </w:rPr>
        <w:t>我单位作为本次采购项目的投标人，根据招标文件要求，现郑重承诺如下：</w:t>
      </w:r>
    </w:p>
    <w:p>
      <w:pPr>
        <w:widowControl/>
        <w:spacing w:line="360" w:lineRule="atLeast"/>
        <w:ind w:firstLine="480" w:firstLineChars="200"/>
        <w:rPr>
          <w:rFonts w:ascii="仿宋" w:hAnsi="仿宋"/>
        </w:rPr>
      </w:pPr>
      <w:r>
        <w:rPr>
          <w:rFonts w:hint="eastAsia" w:ascii="仿宋" w:hAnsi="仿宋"/>
        </w:rPr>
        <w:t>具备《中华人民共和国政府采购法》第二十二条第一款和本项目规定的条件：</w:t>
      </w:r>
    </w:p>
    <w:p>
      <w:pPr>
        <w:widowControl/>
        <w:spacing w:line="360" w:lineRule="atLeast"/>
        <w:ind w:firstLine="480" w:firstLineChars="200"/>
        <w:rPr>
          <w:rFonts w:ascii="仿宋" w:hAnsi="仿宋"/>
        </w:rPr>
      </w:pPr>
      <w:r>
        <w:rPr>
          <w:rFonts w:hint="eastAsia" w:ascii="仿宋" w:hAnsi="仿宋"/>
        </w:rPr>
        <w:t>（一）具有独立承担民事责任的能力；</w:t>
      </w:r>
    </w:p>
    <w:p>
      <w:pPr>
        <w:widowControl/>
        <w:spacing w:line="360" w:lineRule="atLeast"/>
        <w:ind w:firstLine="480" w:firstLineChars="200"/>
        <w:rPr>
          <w:rFonts w:ascii="仿宋" w:hAnsi="仿宋"/>
        </w:rPr>
      </w:pPr>
      <w:r>
        <w:rPr>
          <w:rFonts w:hint="eastAsia" w:ascii="仿宋" w:hAnsi="仿宋"/>
        </w:rPr>
        <w:t>（二）具有良好的商业信誉和健全的财务会计制度；</w:t>
      </w:r>
    </w:p>
    <w:p>
      <w:pPr>
        <w:widowControl/>
        <w:spacing w:line="360" w:lineRule="atLeast"/>
        <w:ind w:firstLine="480" w:firstLineChars="200"/>
        <w:rPr>
          <w:rFonts w:ascii="仿宋" w:hAnsi="仿宋"/>
        </w:rPr>
      </w:pPr>
      <w:r>
        <w:rPr>
          <w:rFonts w:hint="eastAsia" w:ascii="仿宋" w:hAnsi="仿宋"/>
        </w:rPr>
        <w:t>（三）具有履行合同所必需的设备和专业技术能力；</w:t>
      </w:r>
    </w:p>
    <w:p>
      <w:pPr>
        <w:widowControl/>
        <w:spacing w:line="360" w:lineRule="atLeast"/>
        <w:ind w:firstLine="480" w:firstLineChars="200"/>
        <w:rPr>
          <w:rFonts w:ascii="仿宋" w:hAnsi="仿宋"/>
        </w:rPr>
      </w:pPr>
      <w:r>
        <w:rPr>
          <w:rFonts w:hint="eastAsia" w:ascii="仿宋" w:hAnsi="仿宋"/>
        </w:rPr>
        <w:t>（四）有依法缴纳税收和社会保障资金的良好记录；</w:t>
      </w:r>
    </w:p>
    <w:p>
      <w:pPr>
        <w:widowControl/>
        <w:spacing w:line="360" w:lineRule="atLeast"/>
        <w:ind w:firstLine="480" w:firstLineChars="200"/>
        <w:rPr>
          <w:rFonts w:ascii="仿宋" w:hAnsi="仿宋"/>
        </w:rPr>
      </w:pPr>
      <w:r>
        <w:rPr>
          <w:rFonts w:hint="eastAsia" w:ascii="仿宋" w:hAnsi="仿宋"/>
        </w:rPr>
        <w:t>（五）参加政府采购活动前三年内，在经营活动中没有重大违法记录；</w:t>
      </w:r>
    </w:p>
    <w:p>
      <w:pPr>
        <w:widowControl/>
        <w:spacing w:line="360" w:lineRule="atLeast"/>
        <w:ind w:firstLine="480" w:firstLineChars="200"/>
        <w:rPr>
          <w:rFonts w:ascii="仿宋" w:hAnsi="仿宋"/>
        </w:rPr>
      </w:pPr>
      <w:r>
        <w:rPr>
          <w:rFonts w:hint="eastAsia" w:ascii="仿宋" w:hAnsi="仿宋"/>
        </w:rPr>
        <w:t>（六）法律、行政法规规定的其他条件；</w:t>
      </w:r>
    </w:p>
    <w:p>
      <w:pPr>
        <w:widowControl/>
        <w:spacing w:line="360" w:lineRule="atLeast"/>
        <w:ind w:firstLine="480" w:firstLineChars="200"/>
        <w:rPr>
          <w:rFonts w:ascii="仿宋" w:hAnsi="仿宋"/>
        </w:rPr>
      </w:pPr>
      <w:r>
        <w:rPr>
          <w:rFonts w:hint="eastAsia" w:ascii="仿宋" w:hAnsi="仿宋"/>
        </w:rPr>
        <w:t>（七）根据采购项目提出的特殊条件</w:t>
      </w:r>
      <w:r>
        <w:rPr>
          <w:rFonts w:ascii="仿宋" w:hAnsi="仿宋"/>
        </w:rPr>
        <w:t>。</w:t>
      </w:r>
    </w:p>
    <w:p>
      <w:pPr>
        <w:widowControl/>
        <w:spacing w:line="360" w:lineRule="atLeast"/>
        <w:ind w:firstLine="480" w:firstLineChars="200"/>
        <w:rPr>
          <w:rFonts w:ascii="仿宋" w:hAnsi="仿宋"/>
        </w:rPr>
      </w:pPr>
      <w:r>
        <w:rPr>
          <w:rFonts w:hint="eastAsia" w:ascii="仿宋" w:hAnsi="仿宋"/>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rPr>
          <w:rFonts w:ascii="仿宋" w:hAnsi="仿宋"/>
        </w:rPr>
      </w:pPr>
    </w:p>
    <w:p>
      <w:pPr>
        <w:widowControl/>
        <w:spacing w:line="360" w:lineRule="atLeast"/>
        <w:ind w:firstLine="470" w:firstLineChars="196"/>
        <w:rPr>
          <w:rFonts w:ascii="仿宋" w:hAnsi="仿宋"/>
        </w:rPr>
      </w:pPr>
      <w:r>
        <w:rPr>
          <w:rFonts w:hint="eastAsia" w:ascii="仿宋" w:hAnsi="仿宋"/>
        </w:rPr>
        <w:t>投标人名称（电子印章）：XXXX</w:t>
      </w:r>
    </w:p>
    <w:p>
      <w:pPr>
        <w:widowControl/>
        <w:spacing w:line="360" w:lineRule="atLeast"/>
        <w:ind w:firstLine="470" w:firstLineChars="196"/>
        <w:rPr>
          <w:rFonts w:ascii="仿宋" w:hAnsi="仿宋"/>
        </w:rPr>
      </w:pPr>
      <w:r>
        <w:rPr>
          <w:rFonts w:hint="eastAsia" w:ascii="仿宋" w:hAnsi="仿宋"/>
        </w:rPr>
        <w:t>日    期：20XX年XX月XX日。</w:t>
      </w:r>
    </w:p>
    <w:p>
      <w:pPr>
        <w:pStyle w:val="2"/>
        <w:ind w:left="0" w:leftChars="0"/>
        <w:rPr>
          <w:rFonts w:ascii="仿宋" w:hAnsi="仿宋"/>
        </w:rPr>
      </w:pPr>
    </w:p>
    <w:p>
      <w:pPr>
        <w:pStyle w:val="2"/>
        <w:spacing w:line="360" w:lineRule="auto"/>
        <w:ind w:left="0" w:leftChars="0"/>
        <w:rPr>
          <w:rFonts w:ascii="仿宋" w:hAnsi="仿宋"/>
        </w:rPr>
      </w:pPr>
      <w:r>
        <w:rPr>
          <w:rFonts w:hint="eastAsia" w:ascii="仿宋" w:hAnsi="仿宋"/>
        </w:rPr>
        <w:t>注：</w:t>
      </w:r>
    </w:p>
    <w:p>
      <w:pPr>
        <w:pStyle w:val="2"/>
        <w:spacing w:line="360" w:lineRule="auto"/>
        <w:ind w:left="0" w:leftChars="0"/>
        <w:rPr>
          <w:rFonts w:ascii="仿宋" w:hAnsi="仿宋"/>
        </w:rPr>
      </w:pPr>
      <w:r>
        <w:rPr>
          <w:rFonts w:hint="eastAsia" w:ascii="仿宋" w:hAnsi="仿宋"/>
        </w:rPr>
        <w:t>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pStyle w:val="2"/>
        <w:spacing w:line="360" w:lineRule="auto"/>
        <w:ind w:left="0" w:leftChars="0"/>
        <w:rPr>
          <w:rFonts w:ascii="仿宋" w:hAnsi="仿宋"/>
        </w:rPr>
      </w:pPr>
      <w:r>
        <w:rPr>
          <w:rFonts w:hint="eastAsia" w:ascii="仿宋" w:hAnsi="仿宋"/>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rPr>
          <w:rFonts w:ascii="仿宋" w:hAnsi="仿宋"/>
        </w:rPr>
      </w:pPr>
      <w:r>
        <w:rPr>
          <w:rFonts w:hint="eastAsia" w:ascii="仿宋" w:hAnsi="仿宋"/>
        </w:rPr>
        <w:br w:type="page"/>
      </w:r>
    </w:p>
    <w:p>
      <w:pPr>
        <w:pStyle w:val="5"/>
        <w:spacing w:before="0" w:after="0"/>
        <w:rPr>
          <w:rFonts w:ascii="仿宋" w:hAnsi="仿宋" w:cs="仿宋"/>
        </w:rPr>
      </w:pPr>
      <w:bookmarkStart w:id="190" w:name="_Toc86701942"/>
      <w:r>
        <w:rPr>
          <w:rFonts w:hint="eastAsia" w:ascii="仿宋" w:hAnsi="仿宋" w:cs="仿宋"/>
        </w:rPr>
        <w:t>格式1-4 具备健全的财务会计制度的证明材料</w:t>
      </w:r>
      <w:bookmarkEnd w:id="190"/>
    </w:p>
    <w:p>
      <w:pPr>
        <w:rPr>
          <w:rFonts w:ascii="仿宋" w:hAnsi="仿宋"/>
        </w:rPr>
      </w:pPr>
    </w:p>
    <w:p>
      <w:pPr>
        <w:rPr>
          <w:rFonts w:ascii="仿宋" w:hAnsi="仿宋"/>
          <w:b/>
          <w:sz w:val="32"/>
          <w:szCs w:val="32"/>
        </w:rPr>
      </w:pPr>
      <w:r>
        <w:rPr>
          <w:rFonts w:hint="eastAsia" w:ascii="仿宋" w:hAnsi="仿宋"/>
        </w:rPr>
        <w:t>注：①可提供20</w:t>
      </w:r>
      <w:r>
        <w:rPr>
          <w:rFonts w:ascii="仿宋" w:hAnsi="仿宋"/>
        </w:rPr>
        <w:t>19</w:t>
      </w:r>
      <w:r>
        <w:rPr>
          <w:rFonts w:hint="eastAsia" w:ascii="仿宋" w:hAnsi="仿宋"/>
        </w:rPr>
        <w:t>或20</w:t>
      </w:r>
      <w:r>
        <w:rPr>
          <w:rFonts w:ascii="仿宋" w:hAnsi="仿宋"/>
        </w:rPr>
        <w:t>20</w:t>
      </w:r>
      <w:r>
        <w:rPr>
          <w:rFonts w:hint="eastAsia" w:ascii="仿宋" w:hAnsi="仿宋"/>
        </w:rPr>
        <w:t>年度经审计的财务报告复印件（包含审计报告和审计报告中所涉及的财务报表和报表附注），②也可提供20</w:t>
      </w:r>
      <w:r>
        <w:rPr>
          <w:rFonts w:ascii="仿宋" w:hAnsi="仿宋"/>
        </w:rPr>
        <w:t>19</w:t>
      </w:r>
      <w:r>
        <w:rPr>
          <w:rFonts w:hint="eastAsia" w:ascii="仿宋" w:hAnsi="仿宋"/>
        </w:rPr>
        <w:t>或20</w:t>
      </w:r>
      <w:r>
        <w:rPr>
          <w:rFonts w:ascii="仿宋" w:hAnsi="仿宋"/>
        </w:rPr>
        <w:t>20</w:t>
      </w:r>
      <w:r>
        <w:rPr>
          <w:rFonts w:hint="eastAsia" w:ascii="仿宋" w:hAnsi="仿宋"/>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rPr>
        <w:t>部门印章</w:t>
      </w:r>
      <w:r>
        <w:rPr>
          <w:rFonts w:hint="eastAsia" w:ascii="仿宋" w:hAnsi="仿宋"/>
        </w:rPr>
        <w:t>的公司章程复印件。</w:t>
      </w:r>
      <w:r>
        <w:rPr>
          <w:rFonts w:hint="eastAsia" w:ascii="仿宋" w:hAnsi="仿宋"/>
          <w:b/>
          <w:sz w:val="32"/>
          <w:szCs w:val="32"/>
        </w:rPr>
        <w:br w:type="page"/>
      </w:r>
    </w:p>
    <w:p>
      <w:pPr>
        <w:outlineLvl w:val="1"/>
        <w:rPr>
          <w:rFonts w:ascii="仿宋" w:hAnsi="仿宋"/>
          <w:b/>
          <w:sz w:val="32"/>
          <w:szCs w:val="32"/>
        </w:rPr>
      </w:pPr>
      <w:bookmarkStart w:id="191" w:name="_Toc86701943"/>
      <w:r>
        <w:rPr>
          <w:rFonts w:hint="eastAsia" w:ascii="仿宋" w:hAnsi="仿宋"/>
          <w:b/>
          <w:sz w:val="32"/>
          <w:szCs w:val="32"/>
        </w:rPr>
        <w:t>资格性投标文件二：</w:t>
      </w:r>
      <w:bookmarkEnd w:id="191"/>
    </w:p>
    <w:p>
      <w:pPr>
        <w:widowControl/>
        <w:spacing w:line="360" w:lineRule="atLeast"/>
        <w:jc w:val="both"/>
        <w:outlineLvl w:val="1"/>
        <w:rPr>
          <w:rFonts w:ascii="仿宋" w:hAnsi="仿宋"/>
          <w:b/>
          <w:sz w:val="32"/>
          <w:szCs w:val="32"/>
        </w:rPr>
      </w:pPr>
      <w:bookmarkStart w:id="192" w:name="_Toc86701944"/>
      <w:r>
        <w:rPr>
          <w:rFonts w:hint="eastAsia" w:ascii="仿宋" w:hAnsi="仿宋"/>
          <w:b/>
          <w:sz w:val="32"/>
          <w:szCs w:val="32"/>
        </w:rPr>
        <w:t>落实政府采购政策需满足的资格要求的证明材料（不涉及）</w:t>
      </w:r>
      <w:bookmarkEnd w:id="192"/>
    </w:p>
    <w:p>
      <w:pPr>
        <w:pStyle w:val="5"/>
        <w:spacing w:before="0" w:after="0"/>
        <w:rPr>
          <w:rFonts w:ascii="仿宋" w:hAnsi="仿宋" w:cs="仿宋"/>
        </w:rPr>
      </w:pPr>
      <w:bookmarkStart w:id="193" w:name="_Toc86701945"/>
      <w:r>
        <w:rPr>
          <w:rFonts w:hint="eastAsia" w:ascii="仿宋" w:hAnsi="仿宋" w:cs="仿宋"/>
        </w:rPr>
        <w:t>格式1-5          中小企业声明函</w:t>
      </w:r>
      <w:bookmarkEnd w:id="193"/>
    </w:p>
    <w:p>
      <w:pPr>
        <w:autoSpaceDE w:val="0"/>
        <w:autoSpaceDN w:val="0"/>
        <w:ind w:firstLine="480" w:firstLineChars="200"/>
        <w:jc w:val="both"/>
        <w:rPr>
          <w:rFonts w:ascii="仿宋" w:hAnsi="仿宋" w:cs="仿宋"/>
        </w:rPr>
      </w:pPr>
      <w:bookmarkStart w:id="194" w:name="_Toc86701946"/>
      <w:r>
        <w:rPr>
          <w:rFonts w:hint="eastAsia" w:ascii="仿宋" w:hAnsi="仿宋" w:cs="仿宋"/>
        </w:rPr>
        <w:t xml:space="preserve">本公司（联合体）郑重声明，根据《政府采购促进中小企业发展管理办法》（财库〔2020〕46 号），本公司（联合体）参加 </w:t>
      </w:r>
      <w:r>
        <w:rPr>
          <w:rFonts w:hint="eastAsia" w:ascii="仿宋" w:hAnsi="仿宋" w:cs="仿宋"/>
          <w:u w:val="single"/>
        </w:rPr>
        <w:t xml:space="preserve">（单位名称） </w:t>
      </w:r>
      <w:r>
        <w:rPr>
          <w:rFonts w:hint="eastAsia" w:ascii="仿宋" w:hAnsi="仿宋" w:cs="仿宋"/>
        </w:rPr>
        <w:t xml:space="preserve">的 </w:t>
      </w:r>
      <w:r>
        <w:rPr>
          <w:rFonts w:hint="eastAsia" w:ascii="仿宋" w:hAnsi="仿宋" w:cs="仿宋"/>
          <w:u w:val="single"/>
        </w:rPr>
        <w:t xml:space="preserve">（项目名称） </w:t>
      </w:r>
      <w:r>
        <w:rPr>
          <w:rFonts w:hint="eastAsia" w:ascii="仿宋" w:hAnsi="仿宋" w:cs="仿宋"/>
        </w:rPr>
        <w:t>采购活动，服务全部由符合政策要求的中小企业承接。相关企业（含联合体中的中小企业、签订分包意向协议的中小企业）的具体情况如下：</w:t>
      </w:r>
    </w:p>
    <w:p>
      <w:pPr>
        <w:autoSpaceDE w:val="0"/>
        <w:autoSpaceDN w:val="0"/>
        <w:ind w:firstLine="480" w:firstLineChars="200"/>
        <w:jc w:val="both"/>
        <w:rPr>
          <w:rFonts w:ascii="仿宋" w:hAnsi="仿宋" w:cs="仿宋"/>
        </w:rPr>
      </w:pPr>
      <w:r>
        <w:rPr>
          <w:rFonts w:hint="eastAsia" w:ascii="仿宋" w:hAnsi="仿宋" w:cs="仿宋"/>
        </w:rPr>
        <w:t xml:space="preserve">　　1. </w:t>
      </w:r>
      <w:r>
        <w:rPr>
          <w:rFonts w:hint="eastAsia" w:ascii="仿宋" w:hAnsi="仿宋" w:cs="仿宋"/>
          <w:u w:val="single"/>
        </w:rPr>
        <w:t xml:space="preserve">（标的名称） </w:t>
      </w:r>
      <w:r>
        <w:rPr>
          <w:rFonts w:hint="eastAsia" w:ascii="仿宋" w:hAnsi="仿宋" w:cs="仿宋"/>
        </w:rPr>
        <w:t>，属于</w:t>
      </w:r>
      <w:r>
        <w:rPr>
          <w:rFonts w:hint="eastAsia" w:ascii="仿宋" w:hAnsi="仿宋" w:cs="仿宋"/>
          <w:u w:val="single"/>
        </w:rPr>
        <w:t xml:space="preserve"> （采购文件中明确的所属行业）行业 </w:t>
      </w:r>
      <w:r>
        <w:rPr>
          <w:rFonts w:hint="eastAsia" w:ascii="仿宋" w:hAnsi="仿宋" w:cs="仿宋"/>
        </w:rPr>
        <w:t>；承接企业为</w:t>
      </w:r>
      <w:r>
        <w:rPr>
          <w:rFonts w:hint="eastAsia" w:ascii="仿宋" w:hAnsi="仿宋" w:cs="仿宋"/>
          <w:u w:val="single"/>
        </w:rPr>
        <w:t xml:space="preserve"> （企业名称） </w:t>
      </w:r>
      <w:r>
        <w:rPr>
          <w:rFonts w:hint="eastAsia" w:ascii="仿宋" w:hAnsi="仿宋" w:cs="仿宋"/>
        </w:rPr>
        <w:t>，从业人员</w:t>
      </w:r>
      <w:r>
        <w:rPr>
          <w:rFonts w:hint="eastAsia" w:ascii="仿宋" w:hAnsi="仿宋" w:cs="仿宋"/>
          <w:u w:val="single"/>
        </w:rPr>
        <w:t xml:space="preserve">   </w:t>
      </w:r>
      <w:r>
        <w:rPr>
          <w:rFonts w:hint="eastAsia" w:ascii="仿宋" w:hAnsi="仿宋" w:cs="仿宋"/>
        </w:rPr>
        <w:t>人，营业收入为</w:t>
      </w:r>
      <w:r>
        <w:rPr>
          <w:rFonts w:hint="eastAsia" w:ascii="仿宋" w:hAnsi="仿宋" w:cs="仿宋"/>
          <w:u w:val="single"/>
        </w:rPr>
        <w:t xml:space="preserve">    </w:t>
      </w:r>
      <w:r>
        <w:rPr>
          <w:rFonts w:hint="eastAsia" w:ascii="仿宋" w:hAnsi="仿宋" w:cs="仿宋"/>
        </w:rPr>
        <w:t>万元，资产总额为</w:t>
      </w:r>
      <w:r>
        <w:rPr>
          <w:rFonts w:hint="eastAsia" w:ascii="仿宋" w:hAnsi="仿宋" w:cs="仿宋"/>
          <w:u w:val="single"/>
        </w:rPr>
        <w:t xml:space="preserve">   </w:t>
      </w:r>
      <w:r>
        <w:rPr>
          <w:rFonts w:hint="eastAsia" w:ascii="仿宋" w:hAnsi="仿宋" w:cs="仿宋"/>
        </w:rPr>
        <w:t>万元</w:t>
      </w:r>
      <w:r>
        <w:rPr>
          <w:rFonts w:hint="eastAsia" w:ascii="仿宋" w:hAnsi="仿宋" w:cs="仿宋"/>
          <w:vertAlign w:val="superscript"/>
        </w:rPr>
        <w:t>1</w:t>
      </w:r>
      <w:r>
        <w:rPr>
          <w:rFonts w:hint="eastAsia" w:ascii="仿宋" w:hAnsi="仿宋" w:cs="仿宋"/>
        </w:rPr>
        <w:t>，属于</w:t>
      </w:r>
      <w:r>
        <w:rPr>
          <w:rFonts w:hint="eastAsia" w:ascii="仿宋" w:hAnsi="仿宋" w:cs="仿宋"/>
          <w:u w:val="single"/>
        </w:rPr>
        <w:t xml:space="preserve"> （中型企业、小型企业、微型企业）</w:t>
      </w:r>
      <w:r>
        <w:rPr>
          <w:rFonts w:hint="eastAsia" w:ascii="仿宋" w:hAnsi="仿宋" w:cs="仿宋"/>
        </w:rPr>
        <w:t>；</w:t>
      </w:r>
    </w:p>
    <w:p>
      <w:pPr>
        <w:autoSpaceDE w:val="0"/>
        <w:autoSpaceDN w:val="0"/>
        <w:ind w:firstLine="600" w:firstLineChars="250"/>
        <w:jc w:val="both"/>
        <w:rPr>
          <w:rFonts w:ascii="仿宋" w:hAnsi="仿宋" w:cs="仿宋"/>
        </w:rPr>
      </w:pPr>
      <w:r>
        <w:rPr>
          <w:rFonts w:hint="eastAsia" w:ascii="仿宋" w:hAnsi="仿宋" w:cs="仿宋"/>
        </w:rPr>
        <w:t>2.</w:t>
      </w:r>
      <w:r>
        <w:rPr>
          <w:rFonts w:hint="eastAsia" w:ascii="仿宋" w:hAnsi="仿宋" w:cs="仿宋"/>
          <w:u w:val="single"/>
        </w:rPr>
        <w:t xml:space="preserve"> （标的名称） </w:t>
      </w:r>
      <w:r>
        <w:rPr>
          <w:rFonts w:hint="eastAsia" w:ascii="仿宋" w:hAnsi="仿宋" w:cs="仿宋"/>
        </w:rPr>
        <w:t>，属于</w:t>
      </w:r>
      <w:r>
        <w:rPr>
          <w:rFonts w:hint="eastAsia" w:ascii="仿宋" w:hAnsi="仿宋" w:cs="仿宋"/>
          <w:u w:val="single"/>
        </w:rPr>
        <w:t xml:space="preserve"> （采购文件中明确的所属行业）行业 ；</w:t>
      </w:r>
      <w:r>
        <w:rPr>
          <w:rFonts w:hint="eastAsia" w:ascii="仿宋" w:hAnsi="仿宋" w:cs="仿宋"/>
        </w:rPr>
        <w:t>承接企业为</w:t>
      </w:r>
      <w:r>
        <w:rPr>
          <w:rFonts w:hint="eastAsia" w:ascii="仿宋" w:hAnsi="仿宋" w:cs="仿宋"/>
          <w:u w:val="single"/>
        </w:rPr>
        <w:t xml:space="preserve"> （企业名称） </w:t>
      </w:r>
      <w:r>
        <w:rPr>
          <w:rFonts w:hint="eastAsia" w:ascii="仿宋" w:hAnsi="仿宋" w:cs="仿宋"/>
        </w:rPr>
        <w:t>，从业人员</w:t>
      </w:r>
      <w:r>
        <w:rPr>
          <w:rFonts w:hint="eastAsia" w:ascii="仿宋" w:hAnsi="仿宋" w:cs="仿宋"/>
          <w:u w:val="single"/>
        </w:rPr>
        <w:t xml:space="preserve">   </w:t>
      </w:r>
      <w:r>
        <w:rPr>
          <w:rFonts w:hint="eastAsia" w:ascii="仿宋" w:hAnsi="仿宋" w:cs="仿宋"/>
        </w:rPr>
        <w:t>人，营业收入为</w:t>
      </w:r>
      <w:r>
        <w:rPr>
          <w:rFonts w:hint="eastAsia" w:ascii="仿宋" w:hAnsi="仿宋" w:cs="仿宋"/>
          <w:u w:val="single"/>
        </w:rPr>
        <w:t xml:space="preserve">    </w:t>
      </w:r>
      <w:r>
        <w:rPr>
          <w:rFonts w:hint="eastAsia" w:ascii="仿宋" w:hAnsi="仿宋" w:cs="仿宋"/>
        </w:rPr>
        <w:t>万元，资产总额为</w:t>
      </w:r>
      <w:r>
        <w:rPr>
          <w:rFonts w:hint="eastAsia" w:ascii="仿宋" w:hAnsi="仿宋" w:cs="仿宋"/>
          <w:u w:val="single"/>
        </w:rPr>
        <w:t xml:space="preserve">   </w:t>
      </w:r>
      <w:r>
        <w:rPr>
          <w:rFonts w:hint="eastAsia" w:ascii="仿宋" w:hAnsi="仿宋" w:cs="仿宋"/>
        </w:rPr>
        <w:t>万元，属于</w:t>
      </w:r>
      <w:r>
        <w:rPr>
          <w:rFonts w:hint="eastAsia" w:ascii="仿宋" w:hAnsi="仿宋" w:cs="仿宋"/>
          <w:u w:val="single"/>
        </w:rPr>
        <w:t xml:space="preserve"> （中型企业、小型企业、微型企业）</w:t>
      </w:r>
      <w:r>
        <w:rPr>
          <w:rFonts w:hint="eastAsia" w:ascii="仿宋" w:hAnsi="仿宋" w:cs="仿宋"/>
        </w:rPr>
        <w:t>；</w:t>
      </w:r>
    </w:p>
    <w:p>
      <w:pPr>
        <w:autoSpaceDE w:val="0"/>
        <w:autoSpaceDN w:val="0"/>
        <w:ind w:firstLine="600" w:firstLineChars="250"/>
        <w:jc w:val="both"/>
        <w:rPr>
          <w:rFonts w:ascii="仿宋" w:hAnsi="仿宋" w:cs="仿宋"/>
        </w:rPr>
      </w:pPr>
      <w:r>
        <w:rPr>
          <w:rFonts w:hint="eastAsia" w:ascii="仿宋" w:hAnsi="仿宋" w:cs="仿宋"/>
        </w:rPr>
        <w:t>……</w:t>
      </w:r>
    </w:p>
    <w:p>
      <w:pPr>
        <w:autoSpaceDE w:val="0"/>
        <w:autoSpaceDN w:val="0"/>
        <w:ind w:firstLine="600" w:firstLineChars="250"/>
        <w:jc w:val="both"/>
        <w:rPr>
          <w:rFonts w:ascii="仿宋" w:hAnsi="仿宋" w:cs="仿宋"/>
        </w:rPr>
      </w:pPr>
      <w:r>
        <w:rPr>
          <w:rFonts w:hint="eastAsia" w:ascii="仿宋" w:hAnsi="仿宋" w:cs="仿宋"/>
        </w:rPr>
        <w:t>以上企业，不属于大企业的分支机构，不存在控股股东为大企业的情形，也不存在与大企业的负责人为同一人的情形。</w:t>
      </w:r>
    </w:p>
    <w:p>
      <w:pPr>
        <w:autoSpaceDE w:val="0"/>
        <w:autoSpaceDN w:val="0"/>
        <w:ind w:firstLine="600" w:firstLineChars="250"/>
        <w:jc w:val="both"/>
        <w:rPr>
          <w:rFonts w:ascii="仿宋" w:hAnsi="仿宋" w:cs="仿宋"/>
        </w:rPr>
      </w:pPr>
      <w:r>
        <w:rPr>
          <w:rFonts w:hint="eastAsia" w:ascii="仿宋" w:hAnsi="仿宋" w:cs="仿宋"/>
        </w:rPr>
        <w:t>本企业对上述声明内容的真实性负责。如有虚假，将依法承担相应责任。</w:t>
      </w:r>
    </w:p>
    <w:p>
      <w:pPr>
        <w:autoSpaceDE w:val="0"/>
        <w:autoSpaceDN w:val="0"/>
        <w:ind w:firstLine="600" w:firstLineChars="250"/>
        <w:jc w:val="both"/>
        <w:rPr>
          <w:rFonts w:ascii="仿宋" w:hAnsi="仿宋" w:cs="仿宋"/>
        </w:rPr>
      </w:pPr>
    </w:p>
    <w:p>
      <w:pPr>
        <w:autoSpaceDE w:val="0"/>
        <w:autoSpaceDN w:val="0"/>
        <w:jc w:val="center"/>
        <w:rPr>
          <w:rFonts w:ascii="仿宋" w:hAnsi="仿宋" w:cs="仿宋"/>
        </w:rPr>
      </w:pPr>
      <w:r>
        <w:rPr>
          <w:rFonts w:hint="eastAsia" w:ascii="仿宋" w:hAnsi="仿宋" w:cs="仿宋"/>
        </w:rPr>
        <w:t xml:space="preserve">                                 企业名称（盖章）：</w:t>
      </w:r>
    </w:p>
    <w:p>
      <w:pPr>
        <w:autoSpaceDE w:val="0"/>
        <w:autoSpaceDN w:val="0"/>
        <w:jc w:val="center"/>
        <w:rPr>
          <w:rFonts w:ascii="仿宋" w:hAnsi="仿宋" w:cs="仿宋"/>
        </w:rPr>
      </w:pPr>
      <w:r>
        <w:rPr>
          <w:rFonts w:hint="eastAsia" w:ascii="仿宋" w:hAnsi="仿宋" w:cs="仿宋"/>
        </w:rPr>
        <w:t xml:space="preserve">                        日 期：</w:t>
      </w:r>
    </w:p>
    <w:p>
      <w:pPr>
        <w:autoSpaceDE w:val="0"/>
        <w:autoSpaceDN w:val="0"/>
        <w:rPr>
          <w:rFonts w:ascii="仿宋" w:hAnsi="仿宋" w:cs="仿宋"/>
        </w:rPr>
      </w:pPr>
    </w:p>
    <w:p>
      <w:pPr>
        <w:autoSpaceDE w:val="0"/>
        <w:autoSpaceDN w:val="0"/>
        <w:rPr>
          <w:rFonts w:ascii="仿宋" w:hAnsi="仿宋" w:cs="仿宋"/>
        </w:rPr>
      </w:pPr>
    </w:p>
    <w:p>
      <w:pPr>
        <w:autoSpaceDE w:val="0"/>
        <w:autoSpaceDN w:val="0"/>
        <w:rPr>
          <w:rFonts w:ascii="仿宋" w:hAnsi="仿宋" w:cs="仿宋"/>
        </w:rPr>
      </w:pPr>
      <w:r>
        <w:rPr>
          <w:rFonts w:hint="eastAsia" w:ascii="仿宋" w:hAnsi="仿宋" w:cs="仿宋"/>
          <w:vertAlign w:val="superscript"/>
        </w:rPr>
        <w:t>1</w:t>
      </w:r>
      <w:r>
        <w:rPr>
          <w:rFonts w:hint="eastAsia" w:ascii="仿宋" w:hAnsi="仿宋" w:cs="仿宋"/>
        </w:rPr>
        <w:t>从业人员、营业收入、资产总额填报上一年度数据，无上一年度数据的新成立企业可不填报。</w:t>
      </w:r>
    </w:p>
    <w:p>
      <w:pPr>
        <w:rPr>
          <w:rFonts w:ascii="仿宋" w:hAnsi="仿宋"/>
        </w:rPr>
      </w:pPr>
    </w:p>
    <w:p>
      <w:pPr>
        <w:rPr>
          <w:rFonts w:ascii="仿宋" w:hAnsi="仿宋" w:cs="仿宋"/>
        </w:rPr>
      </w:pPr>
      <w:r>
        <w:rPr>
          <w:rFonts w:hint="eastAsia" w:ascii="仿宋" w:hAnsi="仿宋" w:cs="仿宋"/>
        </w:rPr>
        <w:br w:type="page"/>
      </w:r>
    </w:p>
    <w:p>
      <w:pPr>
        <w:pStyle w:val="5"/>
        <w:spacing w:before="0" w:after="0"/>
        <w:rPr>
          <w:rFonts w:ascii="仿宋" w:hAnsi="仿宋" w:cs="仿宋"/>
        </w:rPr>
      </w:pPr>
      <w:r>
        <w:rPr>
          <w:rFonts w:hint="eastAsia" w:ascii="仿宋" w:hAnsi="仿宋" w:cs="仿宋"/>
        </w:rPr>
        <w:t>格式1-6 残疾人福利性单位声明函</w:t>
      </w:r>
      <w:bookmarkEnd w:id="194"/>
    </w:p>
    <w:p>
      <w:pPr>
        <w:widowControl/>
        <w:spacing w:line="360" w:lineRule="atLeast"/>
        <w:jc w:val="center"/>
        <w:rPr>
          <w:rFonts w:ascii="仿宋" w:hAnsi="仿宋" w:cs="仿宋"/>
          <w:b/>
          <w:bCs/>
          <w:sz w:val="32"/>
          <w:szCs w:val="32"/>
        </w:rPr>
      </w:pPr>
      <w:r>
        <w:rPr>
          <w:rFonts w:hint="eastAsia" w:ascii="仿宋" w:hAnsi="仿宋" w:cs="仿宋"/>
          <w:b/>
          <w:bCs/>
          <w:sz w:val="32"/>
          <w:szCs w:val="32"/>
        </w:rPr>
        <w:t>残疾人福利性单位声明函</w:t>
      </w:r>
    </w:p>
    <w:p>
      <w:pPr>
        <w:spacing w:line="588" w:lineRule="exact"/>
        <w:ind w:firstLine="480" w:firstLineChars="200"/>
        <w:rPr>
          <w:rFonts w:ascii="仿宋" w:hAnsi="仿宋" w:cs="宋体"/>
        </w:rPr>
      </w:pPr>
    </w:p>
    <w:p>
      <w:pPr>
        <w:spacing w:line="588" w:lineRule="exact"/>
        <w:ind w:firstLine="480" w:firstLineChars="200"/>
        <w:rPr>
          <w:rFonts w:ascii="仿宋" w:hAnsi="仿宋" w:cs="宋体"/>
        </w:rPr>
      </w:pPr>
      <w:r>
        <w:rPr>
          <w:rFonts w:hint="eastAsia" w:ascii="仿宋" w:hAnsi="仿宋" w:cs="宋体"/>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u w:val="single"/>
        </w:rPr>
        <w:t>XXXX</w:t>
      </w:r>
      <w:r>
        <w:rPr>
          <w:rFonts w:hint="eastAsia" w:ascii="仿宋" w:hAnsi="仿宋" w:cs="宋体"/>
        </w:rPr>
        <w:t>单位的</w:t>
      </w:r>
      <w:r>
        <w:rPr>
          <w:rFonts w:hint="eastAsia" w:ascii="仿宋" w:hAnsi="仿宋"/>
          <w:u w:val="single"/>
        </w:rPr>
        <w:t>XXXX</w:t>
      </w:r>
      <w:r>
        <w:rPr>
          <w:rFonts w:hint="eastAsia" w:ascii="仿宋" w:hAnsi="仿宋" w:cs="宋体"/>
        </w:rPr>
        <w:t>项目采购活动</w:t>
      </w:r>
      <w:r>
        <w:rPr>
          <w:rFonts w:hint="eastAsia" w:ascii="仿宋" w:hAnsi="仿宋" w:cs="宋体"/>
          <w:b/>
          <w:bCs/>
        </w:rPr>
        <w:t>提供本单位提供服务</w:t>
      </w:r>
      <w:r>
        <w:rPr>
          <w:rFonts w:hint="eastAsia" w:ascii="仿宋" w:hAnsi="仿宋" w:cs="宋体"/>
        </w:rPr>
        <w:t>，或者提供其他残疾人福利性单位制造的货物（不包括使用非残疾人福利性单位注册商标的货物）。</w:t>
      </w:r>
    </w:p>
    <w:p>
      <w:pPr>
        <w:spacing w:line="588" w:lineRule="exact"/>
        <w:ind w:firstLine="480" w:firstLineChars="200"/>
        <w:rPr>
          <w:rFonts w:ascii="仿宋" w:hAnsi="仿宋" w:cs="宋体"/>
        </w:rPr>
      </w:pPr>
      <w:r>
        <w:rPr>
          <w:rFonts w:hint="eastAsia" w:ascii="仿宋" w:hAnsi="仿宋" w:cs="宋体"/>
        </w:rPr>
        <w:t>本单位对上述声明的真实性负责。如有虚假，将依法承担相应责任。</w:t>
      </w:r>
    </w:p>
    <w:p>
      <w:pPr>
        <w:spacing w:line="588" w:lineRule="exact"/>
        <w:rPr>
          <w:rFonts w:ascii="仿宋" w:hAnsi="仿宋" w:cs="宋体"/>
        </w:rPr>
      </w:pPr>
    </w:p>
    <w:p>
      <w:pPr>
        <w:spacing w:line="588" w:lineRule="exact"/>
        <w:rPr>
          <w:rFonts w:ascii="仿宋" w:hAnsi="仿宋" w:cs="宋体"/>
        </w:rPr>
      </w:pPr>
    </w:p>
    <w:p>
      <w:pPr>
        <w:tabs>
          <w:tab w:val="left" w:pos="4860"/>
        </w:tabs>
        <w:spacing w:line="588" w:lineRule="exact"/>
        <w:ind w:right="1560" w:firstLine="4320" w:firstLineChars="1800"/>
        <w:rPr>
          <w:rFonts w:ascii="仿宋" w:hAnsi="仿宋" w:cs="宋体"/>
        </w:rPr>
      </w:pPr>
      <w:r>
        <w:rPr>
          <w:rFonts w:hint="eastAsia" w:ascii="仿宋" w:hAnsi="仿宋" w:cs="宋体"/>
        </w:rPr>
        <w:t>单位名称</w:t>
      </w:r>
      <w:r>
        <w:rPr>
          <w:rFonts w:hint="eastAsia" w:ascii="仿宋" w:hAnsi="仿宋"/>
        </w:rPr>
        <w:t>（电子印章）</w:t>
      </w:r>
      <w:r>
        <w:rPr>
          <w:rFonts w:hint="eastAsia" w:ascii="仿宋" w:hAnsi="仿宋" w:cs="宋体"/>
        </w:rPr>
        <w:t>：</w:t>
      </w:r>
    </w:p>
    <w:p>
      <w:pPr>
        <w:ind w:firstLine="4320" w:firstLineChars="1800"/>
        <w:rPr>
          <w:rFonts w:ascii="仿宋" w:hAnsi="仿宋" w:cs="宋体"/>
        </w:rPr>
      </w:pPr>
      <w:r>
        <w:rPr>
          <w:rFonts w:hint="eastAsia" w:ascii="仿宋" w:hAnsi="仿宋"/>
        </w:rPr>
        <w:t>日    期：20XX年XX月XX日</w:t>
      </w:r>
    </w:p>
    <w:p>
      <w:pPr>
        <w:rPr>
          <w:rFonts w:ascii="仿宋" w:hAnsi="仿宋" w:cs="宋体"/>
        </w:rPr>
      </w:pPr>
    </w:p>
    <w:p>
      <w:pPr>
        <w:rPr>
          <w:rFonts w:ascii="仿宋" w:hAnsi="仿宋" w:cs="宋体"/>
        </w:rPr>
      </w:pPr>
      <w:r>
        <w:rPr>
          <w:rFonts w:hint="eastAsia" w:ascii="仿宋" w:hAnsi="仿宋" w:cs="宋体"/>
        </w:rPr>
        <w:t>注：</w:t>
      </w:r>
    </w:p>
    <w:p>
      <w:pPr>
        <w:spacing w:after="160"/>
        <w:jc w:val="both"/>
        <w:rPr>
          <w:rFonts w:ascii="仿宋" w:hAnsi="仿宋" w:cs="宋体"/>
        </w:rPr>
      </w:pPr>
      <w:r>
        <w:rPr>
          <w:rFonts w:hint="eastAsia" w:ascii="仿宋" w:hAnsi="仿宋" w:cs="宋体"/>
        </w:rPr>
        <w:t>1.残疾人福利性单位视同小型、微型企业，享受预留份额、评审中价格扣除等促进中</w:t>
      </w:r>
      <w:r>
        <w:rPr>
          <w:rFonts w:hint="eastAsia" w:ascii="仿宋" w:hAnsi="仿宋"/>
        </w:rPr>
        <w:t>小企业发展的政府采购政策。残疾人福利性单位属于小型、微型企业的，不重复享受政策。</w:t>
      </w:r>
    </w:p>
    <w:p>
      <w:pPr>
        <w:numPr>
          <w:ilvl w:val="255"/>
          <w:numId w:val="0"/>
        </w:numPr>
        <w:spacing w:after="160"/>
        <w:jc w:val="both"/>
        <w:rPr>
          <w:rFonts w:ascii="仿宋" w:hAnsi="仿宋" w:cs="宋体"/>
        </w:rPr>
      </w:pPr>
      <w:r>
        <w:rPr>
          <w:rFonts w:hint="eastAsia" w:ascii="仿宋" w:hAnsi="仿宋" w:cs="宋体"/>
        </w:rPr>
        <w:t>2.投标人为非残疾人福利性单位的，可不提供此声明。</w:t>
      </w:r>
    </w:p>
    <w:p>
      <w:pPr>
        <w:numPr>
          <w:ilvl w:val="255"/>
          <w:numId w:val="0"/>
        </w:numPr>
        <w:rPr>
          <w:rFonts w:ascii="仿宋" w:hAnsi="仿宋" w:cs="宋体"/>
        </w:rPr>
      </w:pPr>
      <w:r>
        <w:rPr>
          <w:rFonts w:hint="eastAsia" w:ascii="仿宋" w:hAnsi="仿宋" w:cs="宋体"/>
        </w:rPr>
        <w:br w:type="page"/>
      </w:r>
    </w:p>
    <w:p>
      <w:pPr>
        <w:pStyle w:val="5"/>
        <w:spacing w:before="0" w:after="0"/>
        <w:rPr>
          <w:rFonts w:ascii="仿宋" w:hAnsi="仿宋" w:cs="仿宋"/>
        </w:rPr>
      </w:pPr>
      <w:bookmarkStart w:id="195" w:name="_Toc86701947"/>
      <w:r>
        <w:rPr>
          <w:rFonts w:hint="eastAsia" w:ascii="仿宋" w:hAnsi="仿宋" w:cs="仿宋"/>
        </w:rPr>
        <w:t>格式1-7属于监狱企业的证明文件</w:t>
      </w:r>
      <w:bookmarkEnd w:id="195"/>
    </w:p>
    <w:p>
      <w:pPr>
        <w:widowControl/>
        <w:spacing w:line="360" w:lineRule="atLeast"/>
        <w:jc w:val="center"/>
        <w:rPr>
          <w:rFonts w:ascii="仿宋" w:hAnsi="仿宋" w:cs="仿宋"/>
          <w:b/>
          <w:bCs/>
          <w:sz w:val="32"/>
          <w:szCs w:val="32"/>
        </w:rPr>
      </w:pPr>
      <w:r>
        <w:rPr>
          <w:rFonts w:hint="eastAsia" w:ascii="仿宋" w:hAnsi="仿宋" w:cs="仿宋"/>
          <w:b/>
          <w:bCs/>
          <w:sz w:val="32"/>
          <w:szCs w:val="32"/>
        </w:rPr>
        <w:t>属于监狱企业的证明文件</w:t>
      </w:r>
    </w:p>
    <w:p>
      <w:pPr>
        <w:ind w:firstLine="480" w:firstLineChars="200"/>
        <w:rPr>
          <w:rFonts w:ascii="仿宋" w:hAnsi="仿宋"/>
        </w:rPr>
      </w:pPr>
    </w:p>
    <w:p>
      <w:pPr>
        <w:ind w:firstLine="480" w:firstLineChars="200"/>
        <w:rPr>
          <w:rFonts w:ascii="仿宋" w:hAnsi="仿宋"/>
        </w:rPr>
      </w:pPr>
      <w:r>
        <w:rPr>
          <w:rFonts w:hint="eastAsia" w:ascii="仿宋" w:hAnsi="仿宋"/>
        </w:rPr>
        <w:t>根据</w:t>
      </w:r>
      <w:r>
        <w:rPr>
          <w:rFonts w:hint="eastAsia" w:ascii="仿宋" w:hAnsi="仿宋" w:cs="仿宋"/>
        </w:rPr>
        <w:t>《政府采购支持监狱企业发展有关问题的通知》</w:t>
      </w:r>
      <w:r>
        <w:rPr>
          <w:rFonts w:hint="eastAsia" w:ascii="仿宋" w:hAnsi="仿宋"/>
        </w:rPr>
        <w:t>（财库〔</w:t>
      </w:r>
      <w:r>
        <w:rPr>
          <w:rFonts w:ascii="仿宋" w:hAnsi="仿宋"/>
        </w:rPr>
        <w:t>2014〕68号）的规定</w:t>
      </w:r>
      <w:r>
        <w:rPr>
          <w:rFonts w:hint="eastAsia" w:ascii="仿宋" w:hAnsi="仿宋"/>
        </w:rPr>
        <w:t>监狱企业参加采购活动的，应</w:t>
      </w:r>
      <w:r>
        <w:rPr>
          <w:rFonts w:hint="eastAsia" w:ascii="仿宋" w:hAnsi="仿宋" w:cs="宋体"/>
        </w:rPr>
        <w:t>提供由省级以上监狱管理局、戒毒管理局</w:t>
      </w:r>
      <w:r>
        <w:rPr>
          <w:rFonts w:ascii="仿宋" w:hAnsi="仿宋" w:cs="宋体"/>
        </w:rPr>
        <w:t>(含新疆生产建设兵团)出具的属于监狱企业的证明文件。</w:t>
      </w:r>
    </w:p>
    <w:p>
      <w:pPr>
        <w:rPr>
          <w:rFonts w:ascii="仿宋" w:hAnsi="仿宋" w:cs="宋体"/>
        </w:rPr>
      </w:pPr>
    </w:p>
    <w:p>
      <w:pPr>
        <w:rPr>
          <w:rFonts w:ascii="仿宋" w:hAnsi="仿宋" w:cs="宋体"/>
        </w:rPr>
      </w:pPr>
      <w:r>
        <w:rPr>
          <w:rFonts w:hint="eastAsia" w:ascii="仿宋" w:hAnsi="仿宋" w:cs="宋体"/>
        </w:rPr>
        <w:t>注：</w:t>
      </w:r>
    </w:p>
    <w:p>
      <w:pPr>
        <w:rPr>
          <w:rFonts w:ascii="仿宋" w:hAnsi="仿宋" w:cs="宋体"/>
        </w:rPr>
      </w:pPr>
      <w:r>
        <w:rPr>
          <w:rFonts w:ascii="仿宋" w:hAnsi="仿宋" w:cs="宋体"/>
        </w:rPr>
        <w:t>1</w:t>
      </w:r>
      <w:r>
        <w:rPr>
          <w:rFonts w:hint="eastAsia" w:ascii="仿宋" w:hAnsi="仿宋" w:cs="宋体"/>
        </w:rPr>
        <w:t>.</w:t>
      </w:r>
      <w:r>
        <w:rPr>
          <w:rFonts w:ascii="仿宋" w:hAnsi="仿宋" w:cs="宋体"/>
        </w:rPr>
        <w:t>投标人符合《政府采购支持监狱企业发展有关问题的通知》（财库〔2014〕68号）规定的划分标准为监狱企业</w:t>
      </w:r>
      <w:r>
        <w:rPr>
          <w:rFonts w:hint="eastAsia" w:ascii="仿宋" w:hAnsi="仿宋" w:cs="宋体"/>
        </w:rPr>
        <w:t>的</w:t>
      </w:r>
      <w:r>
        <w:rPr>
          <w:rFonts w:ascii="仿宋" w:hAnsi="仿宋" w:cs="宋体"/>
        </w:rPr>
        <w:t>适用。</w:t>
      </w:r>
    </w:p>
    <w:p>
      <w:pPr>
        <w:rPr>
          <w:rFonts w:ascii="仿宋" w:hAnsi="仿宋" w:cs="宋体"/>
        </w:rPr>
      </w:pPr>
      <w:r>
        <w:rPr>
          <w:rFonts w:ascii="仿宋" w:hAnsi="仿宋" w:cs="宋体"/>
        </w:rPr>
        <w:t>2</w:t>
      </w:r>
      <w:r>
        <w:rPr>
          <w:rFonts w:hint="eastAsia" w:ascii="仿宋" w:hAnsi="仿宋" w:cs="宋体"/>
        </w:rPr>
        <w:t>.</w:t>
      </w:r>
      <w:r>
        <w:rPr>
          <w:rFonts w:ascii="仿宋" w:hAnsi="仿宋" w:cs="宋体"/>
        </w:rPr>
        <w:t>在政府采购活动中，监狱企业视同小型、微型企业，享受预留份额、评审中</w:t>
      </w:r>
      <w:r>
        <w:rPr>
          <w:rFonts w:hint="eastAsia" w:ascii="仿宋" w:hAnsi="仿宋" w:cs="宋体"/>
        </w:rPr>
        <w:t>价格扣除等政府采购促进中小企业发展的政府采购政策。</w:t>
      </w:r>
    </w:p>
    <w:p>
      <w:pPr>
        <w:pStyle w:val="2"/>
        <w:ind w:left="0" w:leftChars="0"/>
        <w:rPr>
          <w:rFonts w:ascii="仿宋" w:hAnsi="仿宋" w:cs="宋体"/>
          <w:bCs/>
        </w:rPr>
      </w:pPr>
    </w:p>
    <w:p>
      <w:pPr>
        <w:rPr>
          <w:rFonts w:ascii="仿宋" w:hAnsi="仿宋"/>
          <w:b/>
          <w:sz w:val="32"/>
          <w:szCs w:val="32"/>
        </w:rPr>
      </w:pPr>
    </w:p>
    <w:p>
      <w:pPr>
        <w:rPr>
          <w:rFonts w:ascii="仿宋" w:hAnsi="仿宋"/>
          <w:b/>
          <w:sz w:val="32"/>
          <w:szCs w:val="32"/>
        </w:rPr>
      </w:pPr>
    </w:p>
    <w:p>
      <w:pPr>
        <w:rPr>
          <w:rFonts w:ascii="仿宋" w:hAnsi="仿宋"/>
          <w:b/>
          <w:sz w:val="32"/>
          <w:szCs w:val="32"/>
        </w:rPr>
      </w:pPr>
      <w:r>
        <w:rPr>
          <w:rFonts w:hint="eastAsia" w:ascii="仿宋" w:hAnsi="仿宋"/>
          <w:b/>
          <w:sz w:val="32"/>
          <w:szCs w:val="32"/>
        </w:rPr>
        <w:br w:type="page"/>
      </w:r>
    </w:p>
    <w:p>
      <w:pPr>
        <w:jc w:val="both"/>
        <w:outlineLvl w:val="1"/>
        <w:rPr>
          <w:rFonts w:ascii="仿宋" w:hAnsi="仿宋"/>
          <w:b/>
          <w:sz w:val="32"/>
          <w:szCs w:val="32"/>
        </w:rPr>
      </w:pPr>
      <w:bookmarkStart w:id="196" w:name="_Toc86701948"/>
      <w:r>
        <w:rPr>
          <w:rFonts w:hint="eastAsia" w:ascii="仿宋" w:hAnsi="仿宋"/>
          <w:b/>
          <w:sz w:val="32"/>
          <w:szCs w:val="32"/>
        </w:rPr>
        <w:t>资格性投标文件三：</w:t>
      </w:r>
      <w:bookmarkEnd w:id="196"/>
    </w:p>
    <w:p>
      <w:pPr>
        <w:jc w:val="both"/>
        <w:outlineLvl w:val="1"/>
        <w:rPr>
          <w:rFonts w:ascii="仿宋" w:hAnsi="仿宋" w:cs="仿宋"/>
        </w:rPr>
      </w:pPr>
      <w:bookmarkStart w:id="197" w:name="_Toc86701949"/>
      <w:r>
        <w:rPr>
          <w:rFonts w:hint="eastAsia" w:ascii="仿宋" w:hAnsi="仿宋"/>
          <w:b/>
          <w:sz w:val="32"/>
          <w:szCs w:val="32"/>
        </w:rPr>
        <w:t>本项目的特定资格要求的证明材料</w:t>
      </w:r>
      <w:bookmarkEnd w:id="197"/>
    </w:p>
    <w:p>
      <w:pPr>
        <w:pStyle w:val="5"/>
        <w:spacing w:before="0" w:after="0"/>
        <w:rPr>
          <w:rFonts w:ascii="仿宋" w:hAnsi="仿宋"/>
        </w:rPr>
      </w:pPr>
      <w:bookmarkStart w:id="198" w:name="_Toc86701950"/>
      <w:r>
        <w:rPr>
          <w:rFonts w:hint="eastAsia" w:ascii="仿宋" w:hAnsi="仿宋" w:cs="仿宋"/>
        </w:rPr>
        <w:t xml:space="preserve">格式1-8 </w:t>
      </w:r>
      <w:r>
        <w:rPr>
          <w:rFonts w:hint="eastAsia" w:ascii="仿宋" w:hAnsi="仿宋"/>
        </w:rPr>
        <w:t>本项目的特定资格要求的证明材料</w:t>
      </w:r>
      <w:bookmarkEnd w:id="198"/>
    </w:p>
    <w:p>
      <w:pPr>
        <w:pStyle w:val="2"/>
        <w:ind w:left="0" w:leftChars="0"/>
        <w:rPr>
          <w:rFonts w:ascii="仿宋" w:hAnsi="仿宋" w:cs="仿宋"/>
        </w:rPr>
      </w:pPr>
    </w:p>
    <w:p>
      <w:pPr>
        <w:rPr>
          <w:rFonts w:ascii="仿宋" w:hAnsi="仿宋" w:cs="仿宋"/>
        </w:rPr>
      </w:pPr>
      <w:r>
        <w:rPr>
          <w:rFonts w:hint="eastAsia" w:ascii="仿宋" w:hAnsi="仿宋" w:cs="仿宋"/>
        </w:rPr>
        <w:t>投标人应按招标文件第五章相关要求提供佐证材料，有格式要求的从其要求，无格式要求的格式自拟。</w:t>
      </w:r>
    </w:p>
    <w:p>
      <w:pPr>
        <w:pStyle w:val="13"/>
        <w:rPr>
          <w:rFonts w:ascii="仿宋" w:hAnsi="仿宋"/>
        </w:rPr>
      </w:pPr>
    </w:p>
    <w:p>
      <w:pPr>
        <w:rPr>
          <w:rFonts w:ascii="仿宋" w:hAnsi="仿宋" w:cs="仿宋"/>
          <w:bCs/>
        </w:rPr>
      </w:pPr>
      <w:r>
        <w:rPr>
          <w:rFonts w:hint="eastAsia" w:ascii="仿宋" w:hAnsi="仿宋" w:cs="仿宋"/>
          <w:bCs/>
        </w:rPr>
        <w:t>注：</w:t>
      </w:r>
    </w:p>
    <w:p>
      <w:pPr>
        <w:rPr>
          <w:rFonts w:ascii="仿宋" w:hAnsi="仿宋"/>
          <w:b/>
          <w:sz w:val="32"/>
          <w:szCs w:val="32"/>
        </w:rPr>
      </w:pPr>
      <w:r>
        <w:rPr>
          <w:rFonts w:hint="eastAsia" w:ascii="仿宋" w:hAnsi="仿宋" w:cs="仿宋"/>
          <w:bCs/>
        </w:rPr>
        <w:t xml:space="preserve">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r>
        <w:rPr>
          <w:rFonts w:hint="eastAsia" w:ascii="仿宋" w:hAnsi="仿宋"/>
          <w:b/>
          <w:sz w:val="32"/>
          <w:szCs w:val="32"/>
        </w:rPr>
        <w:br w:type="page"/>
      </w:r>
    </w:p>
    <w:p>
      <w:pPr>
        <w:pStyle w:val="5"/>
        <w:spacing w:before="0" w:after="0"/>
        <w:jc w:val="both"/>
        <w:rPr>
          <w:rFonts w:ascii="仿宋" w:hAnsi="仿宋" w:cs="仿宋"/>
        </w:rPr>
      </w:pPr>
      <w:bookmarkStart w:id="199" w:name="_Toc86701951"/>
      <w:r>
        <w:rPr>
          <w:rFonts w:hint="eastAsia" w:ascii="仿宋" w:hAnsi="仿宋" w:cs="仿宋"/>
        </w:rPr>
        <w:t>格式1-9 “多证合一”承诺函(如涉及)</w:t>
      </w:r>
      <w:bookmarkEnd w:id="199"/>
    </w:p>
    <w:p>
      <w:pPr>
        <w:widowControl/>
        <w:spacing w:line="360" w:lineRule="atLeast"/>
        <w:jc w:val="center"/>
        <w:rPr>
          <w:rFonts w:ascii="仿宋" w:hAnsi="仿宋" w:cs="仿宋"/>
          <w:b/>
          <w:bCs/>
          <w:sz w:val="32"/>
          <w:szCs w:val="32"/>
        </w:rPr>
      </w:pPr>
      <w:r>
        <w:rPr>
          <w:rFonts w:hint="eastAsia" w:ascii="仿宋" w:hAnsi="仿宋" w:cs="仿宋"/>
          <w:b/>
          <w:bCs/>
          <w:sz w:val="32"/>
          <w:szCs w:val="32"/>
        </w:rPr>
        <w:t>“多证合一”承诺函(如涉及)</w:t>
      </w:r>
    </w:p>
    <w:p>
      <w:pPr>
        <w:widowControl/>
        <w:spacing w:line="360" w:lineRule="atLeast"/>
        <w:jc w:val="center"/>
        <w:rPr>
          <w:rFonts w:ascii="仿宋" w:hAnsi="仿宋"/>
          <w:b/>
        </w:rPr>
      </w:pPr>
    </w:p>
    <w:p>
      <w:pPr>
        <w:rPr>
          <w:rFonts w:ascii="仿宋" w:hAnsi="仿宋" w:cs="宋体"/>
          <w:bCs/>
        </w:rPr>
      </w:pPr>
      <w:r>
        <w:rPr>
          <w:rFonts w:hint="eastAsia" w:ascii="仿宋" w:hAnsi="仿宋" w:cs="宋体"/>
          <w:bCs/>
        </w:rPr>
        <w:t>XXXX（采购代理机构名称）：</w:t>
      </w:r>
    </w:p>
    <w:p>
      <w:pPr>
        <w:ind w:firstLine="480" w:firstLineChars="200"/>
        <w:rPr>
          <w:rFonts w:ascii="仿宋" w:hAnsi="仿宋" w:cs="宋体"/>
          <w:bCs/>
        </w:rPr>
      </w:pPr>
      <w:r>
        <w:rPr>
          <w:rFonts w:hint="eastAsia" w:ascii="仿宋" w:hAnsi="仿宋" w:cs="宋体"/>
          <w:bCs/>
        </w:rPr>
        <w:t>我单位作为本次采购项目的投标人，现郑重承诺如下：</w:t>
      </w:r>
    </w:p>
    <w:p>
      <w:pPr>
        <w:ind w:firstLine="480" w:firstLineChars="200"/>
        <w:rPr>
          <w:rFonts w:ascii="仿宋" w:hAnsi="仿宋" w:cs="宋体"/>
          <w:bCs/>
        </w:rPr>
      </w:pPr>
      <w:r>
        <w:rPr>
          <w:rFonts w:hint="eastAsia" w:ascii="仿宋" w:hAnsi="仿宋" w:cs="宋体"/>
          <w:bCs/>
        </w:rPr>
        <w:t>根据本项目招标文件</w:t>
      </w:r>
      <w:r>
        <w:rPr>
          <w:rFonts w:ascii="仿宋" w:hAnsi="仿宋" w:cs="宋体"/>
          <w:bCs/>
        </w:rPr>
        <w:t>第四章资格证明要求中第</w:t>
      </w:r>
      <w:r>
        <w:rPr>
          <w:rFonts w:hint="eastAsia" w:ascii="仿宋" w:hAnsi="仿宋" w:cs="宋体"/>
          <w:bCs/>
          <w:u w:val="single"/>
        </w:rPr>
        <w:t xml:space="preserve">  </w:t>
      </w:r>
      <w:r>
        <w:rPr>
          <w:rFonts w:hint="eastAsia" w:ascii="仿宋" w:hAnsi="仿宋" w:cs="宋体"/>
          <w:bCs/>
        </w:rPr>
        <w:t>项，</w:t>
      </w:r>
      <w:r>
        <w:rPr>
          <w:rFonts w:ascii="仿宋" w:hAnsi="仿宋" w:cs="宋体"/>
          <w:bCs/>
        </w:rPr>
        <w:t>我</w:t>
      </w:r>
      <w:r>
        <w:rPr>
          <w:rFonts w:hint="eastAsia" w:ascii="仿宋" w:hAnsi="仿宋" w:cs="宋体"/>
          <w:bCs/>
        </w:rPr>
        <w:t>单位</w:t>
      </w:r>
      <w:r>
        <w:rPr>
          <w:rFonts w:ascii="仿宋" w:hAnsi="仿宋" w:cs="宋体"/>
          <w:bCs/>
        </w:rPr>
        <w:t>应具备</w:t>
      </w:r>
      <w:r>
        <w:rPr>
          <w:rFonts w:hint="eastAsia" w:ascii="仿宋" w:hAnsi="仿宋" w:cs="宋体"/>
          <w:bCs/>
          <w:u w:val="single"/>
        </w:rPr>
        <w:t xml:space="preserve">        </w:t>
      </w:r>
      <w:r>
        <w:rPr>
          <w:rFonts w:hint="eastAsia" w:ascii="仿宋" w:hAnsi="仿宋" w:cs="宋体"/>
          <w:bCs/>
        </w:rPr>
        <w:t>（备案</w:t>
      </w:r>
      <w:r>
        <w:rPr>
          <w:rFonts w:ascii="仿宋" w:hAnsi="仿宋" w:cs="宋体"/>
          <w:bCs/>
        </w:rPr>
        <w:t>、登记、其他证照</w:t>
      </w:r>
      <w:r>
        <w:rPr>
          <w:rFonts w:hint="eastAsia" w:ascii="仿宋" w:hAnsi="仿宋" w:cs="宋体"/>
          <w:bCs/>
        </w:rPr>
        <w:t>）。但因</w:t>
      </w:r>
      <w:r>
        <w:rPr>
          <w:rFonts w:ascii="仿宋" w:hAnsi="仿宋" w:cs="宋体"/>
          <w:bCs/>
        </w:rPr>
        <w:t>我单位所在地</w:t>
      </w:r>
      <w:r>
        <w:rPr>
          <w:rFonts w:hint="eastAsia" w:ascii="仿宋" w:hAnsi="仿宋" w:cs="宋体"/>
          <w:bCs/>
        </w:rPr>
        <w:t>已对</w:t>
      </w:r>
      <w:r>
        <w:rPr>
          <w:rFonts w:ascii="仿宋" w:hAnsi="仿宋" w:cs="宋体"/>
          <w:bCs/>
        </w:rPr>
        <w:t>上述</w:t>
      </w:r>
      <w:r>
        <w:rPr>
          <w:rFonts w:hint="eastAsia" w:ascii="仿宋" w:hAnsi="仿宋" w:cs="宋体"/>
          <w:bCs/>
        </w:rPr>
        <w:t>备案</w:t>
      </w:r>
      <w:r>
        <w:rPr>
          <w:rFonts w:ascii="仿宋" w:hAnsi="仿宋" w:cs="宋体"/>
          <w:bCs/>
        </w:rPr>
        <w:t>、登记、其他证照</w:t>
      </w:r>
      <w:r>
        <w:rPr>
          <w:rFonts w:hint="eastAsia" w:ascii="仿宋" w:hAnsi="仿宋" w:cs="宋体"/>
          <w:bCs/>
        </w:rPr>
        <w:t>实行</w:t>
      </w:r>
      <w:r>
        <w:rPr>
          <w:rFonts w:ascii="仿宋" w:hAnsi="仿宋" w:cs="宋体"/>
          <w:bCs/>
        </w:rPr>
        <w:t>“</w:t>
      </w:r>
      <w:r>
        <w:rPr>
          <w:rFonts w:hint="eastAsia" w:ascii="仿宋" w:hAnsi="仿宋" w:cs="宋体"/>
          <w:bCs/>
        </w:rPr>
        <w:t>多证合一</w:t>
      </w:r>
      <w:r>
        <w:rPr>
          <w:rFonts w:ascii="仿宋" w:hAnsi="仿宋" w:cs="宋体"/>
          <w:bCs/>
        </w:rPr>
        <w:t>”</w:t>
      </w:r>
      <w:r>
        <w:rPr>
          <w:rFonts w:hint="eastAsia" w:ascii="仿宋" w:hAnsi="仿宋" w:cs="宋体"/>
          <w:bCs/>
        </w:rPr>
        <w:t>，</w:t>
      </w:r>
      <w:r>
        <w:rPr>
          <w:rFonts w:ascii="仿宋" w:hAnsi="仿宋" w:cs="宋体"/>
          <w:bCs/>
        </w:rPr>
        <w:t>故在此次采购活动</w:t>
      </w:r>
      <w:r>
        <w:rPr>
          <w:rFonts w:hint="eastAsia" w:ascii="仿宋" w:hAnsi="仿宋" w:cs="宋体"/>
          <w:bCs/>
        </w:rPr>
        <w:t>中</w:t>
      </w:r>
      <w:r>
        <w:rPr>
          <w:rFonts w:ascii="仿宋" w:hAnsi="仿宋" w:cs="宋体"/>
          <w:bCs/>
        </w:rPr>
        <w:t>提供</w:t>
      </w:r>
      <w:r>
        <w:rPr>
          <w:rFonts w:hint="eastAsia" w:ascii="仿宋" w:hAnsi="仿宋" w:cs="宋体"/>
          <w:bCs/>
        </w:rPr>
        <w:t>满足</w:t>
      </w:r>
      <w:r>
        <w:rPr>
          <w:rFonts w:ascii="仿宋" w:hAnsi="仿宋" w:cs="宋体"/>
          <w:bCs/>
        </w:rPr>
        <w:t>资格要求</w:t>
      </w:r>
      <w:r>
        <w:rPr>
          <w:rFonts w:hint="eastAsia" w:ascii="仿宋" w:hAnsi="仿宋" w:cs="宋体"/>
          <w:bCs/>
        </w:rPr>
        <w:t>：</w:t>
      </w:r>
      <w:r>
        <w:rPr>
          <w:rFonts w:hint="eastAsia" w:ascii="仿宋" w:hAnsi="仿宋" w:cs="宋体"/>
          <w:bCs/>
          <w:u w:val="single"/>
        </w:rPr>
        <w:t xml:space="preserve">       </w:t>
      </w:r>
      <w:r>
        <w:rPr>
          <w:rFonts w:hint="eastAsia" w:ascii="仿宋" w:hAnsi="仿宋" w:cs="宋体"/>
          <w:bCs/>
        </w:rPr>
        <w:t>（营业执照</w:t>
      </w:r>
      <w:r>
        <w:rPr>
          <w:rFonts w:ascii="仿宋" w:hAnsi="仿宋" w:cs="宋体"/>
          <w:bCs/>
        </w:rPr>
        <w:t>中对</w:t>
      </w:r>
      <w:r>
        <w:rPr>
          <w:rFonts w:hint="eastAsia" w:ascii="仿宋" w:hAnsi="仿宋" w:cs="宋体"/>
          <w:bCs/>
        </w:rPr>
        <w:t>该备案</w:t>
      </w:r>
      <w:r>
        <w:rPr>
          <w:rFonts w:ascii="仿宋" w:hAnsi="仿宋" w:cs="宋体"/>
          <w:bCs/>
        </w:rPr>
        <w:t>、登记、其他证照</w:t>
      </w:r>
      <w:r>
        <w:rPr>
          <w:rFonts w:hint="eastAsia" w:ascii="仿宋" w:hAnsi="仿宋" w:cs="宋体"/>
          <w:bCs/>
        </w:rPr>
        <w:t>的</w:t>
      </w:r>
      <w:r>
        <w:rPr>
          <w:rFonts w:ascii="仿宋" w:hAnsi="仿宋" w:cs="宋体"/>
          <w:bCs/>
        </w:rPr>
        <w:t>描述</w:t>
      </w:r>
      <w:r>
        <w:rPr>
          <w:rFonts w:hint="eastAsia" w:ascii="仿宋" w:hAnsi="仿宋" w:cs="宋体"/>
          <w:bCs/>
        </w:rPr>
        <w:t>）的</w:t>
      </w:r>
      <w:r>
        <w:rPr>
          <w:rFonts w:ascii="仿宋" w:hAnsi="仿宋" w:cs="宋体"/>
          <w:bCs/>
        </w:rPr>
        <w:t>“</w:t>
      </w:r>
      <w:r>
        <w:rPr>
          <w:rFonts w:hint="eastAsia" w:ascii="仿宋" w:hAnsi="仿宋" w:cs="宋体"/>
          <w:bCs/>
        </w:rPr>
        <w:t>多证合一</w:t>
      </w:r>
      <w:r>
        <w:rPr>
          <w:rFonts w:ascii="仿宋" w:hAnsi="仿宋" w:cs="宋体"/>
          <w:bCs/>
        </w:rPr>
        <w:t>”</w:t>
      </w:r>
      <w:r>
        <w:rPr>
          <w:rFonts w:hint="eastAsia" w:ascii="仿宋" w:hAnsi="仿宋" w:cs="宋体"/>
          <w:bCs/>
        </w:rPr>
        <w:t>营业执照</w:t>
      </w:r>
      <w:r>
        <w:rPr>
          <w:rFonts w:ascii="仿宋" w:hAnsi="仿宋" w:cs="宋体"/>
          <w:bCs/>
        </w:rPr>
        <w:t>。</w:t>
      </w:r>
    </w:p>
    <w:p>
      <w:pPr>
        <w:rPr>
          <w:rFonts w:ascii="仿宋" w:hAnsi="仿宋" w:cs="宋体"/>
          <w:bCs/>
        </w:rPr>
      </w:pPr>
    </w:p>
    <w:p>
      <w:pPr>
        <w:ind w:firstLine="480" w:firstLineChars="200"/>
        <w:rPr>
          <w:rFonts w:ascii="仿宋" w:hAnsi="仿宋" w:cs="宋体"/>
          <w:bCs/>
        </w:rPr>
      </w:pPr>
      <w:r>
        <w:rPr>
          <w:rFonts w:hint="eastAsia" w:ascii="仿宋" w:hAnsi="仿宋" w:cs="宋体"/>
          <w:bCs/>
        </w:rPr>
        <w:t>我单位对上述承诺的内容事项真实性负责。如经查实上述承诺内容存在虚假，我单位愿意接受以提供虚假材料谋取成交追究法律责任。</w:t>
      </w:r>
    </w:p>
    <w:p>
      <w:pPr>
        <w:rPr>
          <w:rFonts w:ascii="仿宋" w:hAnsi="仿宋" w:cs="宋体"/>
          <w:bCs/>
        </w:rPr>
      </w:pPr>
    </w:p>
    <w:p>
      <w:pPr>
        <w:ind w:firstLine="480" w:firstLineChars="200"/>
        <w:rPr>
          <w:rFonts w:ascii="仿宋" w:hAnsi="仿宋" w:cs="宋体"/>
          <w:bCs/>
        </w:rPr>
      </w:pPr>
      <w:r>
        <w:rPr>
          <w:rFonts w:hint="eastAsia" w:ascii="仿宋" w:hAnsi="仿宋" w:cs="宋体"/>
          <w:bCs/>
        </w:rPr>
        <w:t>投标人名称</w:t>
      </w:r>
      <w:r>
        <w:rPr>
          <w:rFonts w:hint="eastAsia" w:ascii="仿宋" w:hAnsi="仿宋"/>
        </w:rPr>
        <w:t>（电子印章）</w:t>
      </w:r>
      <w:r>
        <w:rPr>
          <w:rFonts w:hint="eastAsia" w:ascii="仿宋" w:hAnsi="仿宋" w:cs="宋体"/>
          <w:bCs/>
        </w:rPr>
        <w:t>：XXXX</w:t>
      </w:r>
    </w:p>
    <w:p>
      <w:pPr>
        <w:ind w:firstLine="480" w:firstLineChars="200"/>
        <w:rPr>
          <w:rFonts w:ascii="仿宋" w:hAnsi="仿宋" w:cs="宋体"/>
          <w:bCs/>
        </w:rPr>
      </w:pPr>
      <w:r>
        <w:rPr>
          <w:rFonts w:hint="eastAsia" w:ascii="仿宋" w:hAnsi="仿宋"/>
        </w:rPr>
        <w:t>日    期：20XX年XX月XX日</w:t>
      </w:r>
      <w:r>
        <w:rPr>
          <w:rFonts w:hint="eastAsia" w:ascii="仿宋" w:hAnsi="仿宋" w:cs="宋体"/>
          <w:bCs/>
        </w:rPr>
        <w:t>。</w:t>
      </w:r>
    </w:p>
    <w:p>
      <w:pPr>
        <w:rPr>
          <w:rFonts w:ascii="仿宋" w:hAnsi="仿宋" w:cs="宋体"/>
          <w:bCs/>
        </w:rPr>
      </w:pPr>
    </w:p>
    <w:p>
      <w:pPr>
        <w:rPr>
          <w:rFonts w:ascii="仿宋" w:hAnsi="仿宋" w:cs="宋体"/>
          <w:bCs/>
        </w:rPr>
      </w:pPr>
      <w:r>
        <w:rPr>
          <w:rFonts w:hint="eastAsia" w:ascii="仿宋" w:hAnsi="仿宋" w:cs="宋体"/>
          <w:bCs/>
        </w:rPr>
        <w:t>注：</w:t>
      </w:r>
    </w:p>
    <w:p>
      <w:pPr>
        <w:rPr>
          <w:rFonts w:ascii="仿宋" w:hAnsi="仿宋" w:cs="宋体"/>
          <w:bCs/>
        </w:rPr>
      </w:pPr>
      <w:r>
        <w:rPr>
          <w:rFonts w:hint="eastAsia" w:ascii="仿宋" w:hAnsi="仿宋" w:cs="宋体"/>
          <w:bCs/>
        </w:rPr>
        <w:t>1.</w:t>
      </w:r>
      <w:r>
        <w:rPr>
          <w:rFonts w:ascii="仿宋" w:hAnsi="仿宋" w:cs="宋体"/>
          <w:bCs/>
        </w:rPr>
        <w:t>根据国务院办公厅关于加快推进“多证合一”改革的指导意见（国办发</w:t>
      </w:r>
      <w:r>
        <w:rPr>
          <w:rFonts w:hint="eastAsia" w:ascii="仿宋" w:hAnsi="仿宋"/>
        </w:rPr>
        <w:t>〔2017〕</w:t>
      </w:r>
      <w:r>
        <w:rPr>
          <w:rFonts w:ascii="仿宋" w:hAnsi="仿宋" w:cs="宋体"/>
          <w:bCs/>
        </w:rPr>
        <w:t>41号）等政策要求，</w:t>
      </w:r>
      <w:r>
        <w:rPr>
          <w:rFonts w:ascii="仿宋" w:hAnsi="仿宋" w:cs="宋体"/>
          <w:b/>
          <w:bCs/>
        </w:rPr>
        <w:t>若资格要求涉及的登记、备案等有关事项和各类证照已实行多证合一导致供应商无法</w:t>
      </w:r>
      <w:r>
        <w:rPr>
          <w:rFonts w:hint="eastAsia" w:ascii="仿宋" w:hAnsi="仿宋" w:cs="宋体"/>
          <w:b/>
          <w:bCs/>
        </w:rPr>
        <w:t>单独</w:t>
      </w:r>
      <w:r>
        <w:rPr>
          <w:rFonts w:ascii="仿宋" w:hAnsi="仿宋" w:cs="宋体"/>
          <w:b/>
          <w:bCs/>
        </w:rPr>
        <w:t>提供该类证明材料的</w:t>
      </w:r>
      <w:r>
        <w:rPr>
          <w:rFonts w:ascii="仿宋" w:hAnsi="仿宋" w:cs="宋体"/>
          <w:bCs/>
        </w:rPr>
        <w:t>，供应商须提供</w:t>
      </w:r>
      <w:r>
        <w:rPr>
          <w:rFonts w:hint="eastAsia" w:ascii="仿宋" w:hAnsi="仿宋" w:cs="宋体"/>
          <w:bCs/>
        </w:rPr>
        <w:t>该</w:t>
      </w:r>
      <w:r>
        <w:rPr>
          <w:rFonts w:ascii="仿宋" w:hAnsi="仿宋" w:cs="宋体"/>
          <w:bCs/>
        </w:rPr>
        <w:t>承诺。</w:t>
      </w:r>
    </w:p>
    <w:p>
      <w:pPr>
        <w:rPr>
          <w:rFonts w:ascii="仿宋" w:hAnsi="仿宋" w:cs="宋体"/>
          <w:bCs/>
        </w:rPr>
      </w:pPr>
      <w:r>
        <w:rPr>
          <w:rFonts w:hint="eastAsia" w:ascii="仿宋" w:hAnsi="仿宋" w:cs="宋体"/>
          <w:bCs/>
        </w:rPr>
        <w:t>2.若已单独提供</w:t>
      </w:r>
      <w:r>
        <w:rPr>
          <w:rFonts w:ascii="仿宋" w:hAnsi="仿宋" w:cs="宋体"/>
          <w:bCs/>
        </w:rPr>
        <w:t>资格要求涉及的登记、备案等有关事项和各类证照</w:t>
      </w:r>
      <w:r>
        <w:rPr>
          <w:rFonts w:hint="eastAsia" w:ascii="仿宋" w:hAnsi="仿宋" w:cs="宋体"/>
          <w:bCs/>
        </w:rPr>
        <w:t>的证明材料，无需提供该承诺。</w:t>
      </w:r>
    </w:p>
    <w:p>
      <w:pPr>
        <w:rPr>
          <w:rFonts w:ascii="仿宋" w:hAnsi="仿宋" w:cs="仿宋"/>
          <w:bCs/>
        </w:rPr>
      </w:pPr>
      <w:r>
        <w:rPr>
          <w:rFonts w:hint="eastAsia" w:ascii="仿宋" w:hAnsi="仿宋" w:cs="仿宋"/>
          <w:bCs/>
        </w:rPr>
        <w:t>3.例如：资格要求中第X项要求“具备XX经营许可证”，供应商具备该证照：①若因该证照被“多证合一”整合而不能单独提供，则须提供该承诺；②若该证照已单独提供，则无需提供该承诺。</w:t>
      </w:r>
    </w:p>
    <w:p>
      <w:pPr>
        <w:pStyle w:val="2"/>
        <w:ind w:left="0" w:leftChars="0"/>
        <w:rPr>
          <w:rFonts w:ascii="仿宋" w:hAnsi="仿宋" w:cs="宋体"/>
          <w:bCs/>
        </w:rPr>
      </w:pPr>
      <w:r>
        <w:rPr>
          <w:rFonts w:hint="eastAsia" w:ascii="仿宋" w:hAnsi="仿宋" w:cs="宋体"/>
          <w:bCs/>
        </w:rPr>
        <w:t>4</w:t>
      </w:r>
      <w:r>
        <w:rPr>
          <w:rFonts w:ascii="仿宋" w:hAnsi="仿宋" w:cs="宋体"/>
          <w:bCs/>
        </w:rPr>
        <w:t>.若本项目资格要求不涉及</w:t>
      </w:r>
      <w:r>
        <w:rPr>
          <w:rFonts w:hint="eastAsia" w:ascii="仿宋" w:hAnsi="仿宋" w:cs="宋体"/>
          <w:bCs/>
        </w:rPr>
        <w:t>对登记、备案和各类证照的要求，也</w:t>
      </w:r>
      <w:r>
        <w:rPr>
          <w:rFonts w:ascii="仿宋" w:hAnsi="仿宋" w:cs="宋体"/>
          <w:bCs/>
        </w:rPr>
        <w:t>无需提供该承诺。</w:t>
      </w:r>
    </w:p>
    <w:p>
      <w:pPr>
        <w:pStyle w:val="2"/>
        <w:ind w:left="0" w:leftChars="0"/>
        <w:rPr>
          <w:rFonts w:ascii="仿宋" w:hAnsi="仿宋" w:cs="宋体"/>
          <w:bCs/>
        </w:rPr>
      </w:pPr>
    </w:p>
    <w:p>
      <w:pPr>
        <w:rPr>
          <w:rFonts w:ascii="仿宋" w:hAnsi="仿宋"/>
          <w:b/>
          <w:sz w:val="32"/>
          <w:szCs w:val="32"/>
        </w:rPr>
      </w:pPr>
      <w:bookmarkStart w:id="200" w:name="_Toc86701952"/>
      <w:r>
        <w:rPr>
          <w:rFonts w:hint="eastAsia" w:ascii="仿宋" w:hAnsi="仿宋"/>
          <w:b/>
          <w:sz w:val="32"/>
          <w:szCs w:val="32"/>
        </w:rPr>
        <w:br w:type="page"/>
      </w:r>
    </w:p>
    <w:p>
      <w:pPr>
        <w:outlineLvl w:val="1"/>
        <w:rPr>
          <w:rFonts w:ascii="仿宋" w:hAnsi="仿宋" w:cs="仿宋"/>
        </w:rPr>
      </w:pPr>
      <w:r>
        <w:rPr>
          <w:rFonts w:hint="eastAsia" w:ascii="仿宋" w:hAnsi="仿宋"/>
          <w:b/>
          <w:sz w:val="32"/>
          <w:szCs w:val="32"/>
        </w:rPr>
        <w:t>资格性投标文件四：</w:t>
      </w:r>
      <w:bookmarkEnd w:id="200"/>
    </w:p>
    <w:p>
      <w:pPr>
        <w:pStyle w:val="5"/>
        <w:spacing w:before="0" w:after="0"/>
        <w:jc w:val="both"/>
        <w:rPr>
          <w:rFonts w:ascii="仿宋" w:hAnsi="仿宋" w:cs="仿宋"/>
        </w:rPr>
      </w:pPr>
      <w:bookmarkStart w:id="201" w:name="_Toc86701953"/>
      <w:r>
        <w:rPr>
          <w:rFonts w:hint="eastAsia" w:ascii="仿宋" w:hAnsi="仿宋" w:cs="仿宋"/>
        </w:rPr>
        <w:t>格式1-10 投标人和投标产品其他资格、资质性及其他类似效力要求的相关证明材料（如涉及）</w:t>
      </w:r>
      <w:bookmarkEnd w:id="201"/>
    </w:p>
    <w:p>
      <w:pPr>
        <w:rPr>
          <w:rFonts w:ascii="仿宋" w:hAnsi="仿宋" w:cs="宋体"/>
          <w:bCs/>
        </w:rPr>
      </w:pPr>
      <w:r>
        <w:rPr>
          <w:rFonts w:hint="eastAsia" w:ascii="仿宋" w:hAnsi="仿宋" w:cs="宋体"/>
          <w:bCs/>
        </w:rPr>
        <w:t>注：投标人应按招标文件第五章相关要求提供佐证材料，有格式要求的从其要求，无格式要求的格式自拟。</w:t>
      </w:r>
    </w:p>
    <w:p>
      <w:pPr>
        <w:pStyle w:val="2"/>
        <w:ind w:left="0" w:leftChars="0"/>
        <w:rPr>
          <w:rFonts w:ascii="仿宋" w:hAnsi="仿宋" w:cs="宋体"/>
          <w:bCs/>
        </w:rPr>
      </w:pPr>
    </w:p>
    <w:p>
      <w:pPr>
        <w:rPr>
          <w:rFonts w:ascii="仿宋" w:hAnsi="仿宋" w:cs="宋体"/>
          <w:bCs/>
        </w:rPr>
      </w:pPr>
    </w:p>
    <w:p>
      <w:pPr>
        <w:rPr>
          <w:rFonts w:ascii="仿宋" w:hAnsi="仿宋"/>
          <w:b/>
          <w:sz w:val="32"/>
          <w:szCs w:val="32"/>
        </w:rPr>
      </w:pPr>
      <w:r>
        <w:rPr>
          <w:rFonts w:hint="eastAsia" w:ascii="仿宋" w:hAnsi="仿宋"/>
          <w:b/>
          <w:sz w:val="32"/>
          <w:szCs w:val="32"/>
        </w:rPr>
        <w:br w:type="page"/>
      </w:r>
    </w:p>
    <w:p>
      <w:pPr>
        <w:pStyle w:val="4"/>
        <w:jc w:val="center"/>
        <w:rPr>
          <w:rFonts w:ascii="仿宋" w:hAnsi="仿宋"/>
        </w:rPr>
      </w:pPr>
      <w:bookmarkStart w:id="202" w:name="_Toc86701954"/>
      <w:r>
        <w:rPr>
          <w:rFonts w:ascii="仿宋" w:hAnsi="仿宋"/>
        </w:rPr>
        <w:t>第</w:t>
      </w:r>
      <w:r>
        <w:rPr>
          <w:rFonts w:hint="eastAsia" w:ascii="仿宋" w:hAnsi="仿宋"/>
        </w:rPr>
        <w:t>二</w:t>
      </w:r>
      <w:r>
        <w:rPr>
          <w:rFonts w:ascii="仿宋" w:hAnsi="仿宋"/>
        </w:rPr>
        <w:t xml:space="preserve">部分 </w:t>
      </w:r>
      <w:r>
        <w:rPr>
          <w:rFonts w:hint="eastAsia" w:ascii="仿宋" w:hAnsi="仿宋"/>
        </w:rPr>
        <w:t>“其他响应性投标</w:t>
      </w:r>
      <w:r>
        <w:rPr>
          <w:rFonts w:ascii="仿宋" w:hAnsi="仿宋"/>
        </w:rPr>
        <w:t>文件</w:t>
      </w:r>
      <w:r>
        <w:rPr>
          <w:rFonts w:hint="eastAsia" w:ascii="仿宋" w:hAnsi="仿宋"/>
        </w:rPr>
        <w:t>”</w:t>
      </w:r>
      <w:r>
        <w:rPr>
          <w:rFonts w:ascii="仿宋" w:hAnsi="仿宋"/>
        </w:rPr>
        <w:t>格式</w:t>
      </w:r>
      <w:bookmarkEnd w:id="202"/>
    </w:p>
    <w:p>
      <w:pPr>
        <w:pStyle w:val="5"/>
        <w:spacing w:before="0" w:after="0"/>
        <w:rPr>
          <w:rFonts w:ascii="仿宋" w:hAnsi="仿宋" w:cs="仿宋"/>
        </w:rPr>
      </w:pPr>
      <w:bookmarkStart w:id="203" w:name="_Toc86701955"/>
      <w:r>
        <w:rPr>
          <w:rFonts w:hint="eastAsia" w:ascii="仿宋" w:hAnsi="仿宋" w:cs="仿宋"/>
        </w:rPr>
        <w:t>格式2-1 封面：</w:t>
      </w:r>
      <w:bookmarkEnd w:id="203"/>
    </w:p>
    <w:p>
      <w:pPr>
        <w:rPr>
          <w:rFonts w:ascii="仿宋" w:hAnsi="仿宋"/>
          <w:b/>
          <w:sz w:val="32"/>
          <w:szCs w:val="32"/>
        </w:rPr>
      </w:pPr>
    </w:p>
    <w:p>
      <w:pPr>
        <w:rPr>
          <w:rFonts w:ascii="仿宋" w:hAnsi="仿宋"/>
          <w:b/>
          <w:sz w:val="32"/>
          <w:szCs w:val="32"/>
        </w:rPr>
      </w:pPr>
    </w:p>
    <w:p>
      <w:pPr>
        <w:jc w:val="center"/>
        <w:rPr>
          <w:rFonts w:ascii="仿宋" w:hAnsi="仿宋"/>
          <w:b/>
          <w:sz w:val="72"/>
        </w:rPr>
      </w:pPr>
      <w:r>
        <w:rPr>
          <w:rFonts w:hint="eastAsia" w:ascii="仿宋" w:hAnsi="仿宋"/>
          <w:b/>
          <w:sz w:val="40"/>
          <w:szCs w:val="48"/>
        </w:rPr>
        <w:t>X</w:t>
      </w:r>
      <w:r>
        <w:rPr>
          <w:rFonts w:ascii="仿宋" w:hAnsi="仿宋"/>
          <w:b/>
          <w:sz w:val="40"/>
          <w:szCs w:val="48"/>
        </w:rPr>
        <w:t>XX</w:t>
      </w:r>
      <w:r>
        <w:rPr>
          <w:rFonts w:hint="eastAsia" w:ascii="仿宋" w:hAnsi="仿宋"/>
          <w:b/>
          <w:sz w:val="40"/>
          <w:szCs w:val="48"/>
        </w:rPr>
        <w:t>项目</w:t>
      </w:r>
    </w:p>
    <w:p>
      <w:pPr>
        <w:rPr>
          <w:rFonts w:ascii="仿宋" w:hAnsi="仿宋"/>
          <w:b/>
          <w:sz w:val="52"/>
          <w:szCs w:val="52"/>
        </w:rPr>
      </w:pPr>
    </w:p>
    <w:p>
      <w:pPr>
        <w:rPr>
          <w:rFonts w:ascii="仿宋" w:hAnsi="仿宋"/>
          <w:b/>
          <w:sz w:val="52"/>
          <w:szCs w:val="52"/>
        </w:rPr>
      </w:pPr>
    </w:p>
    <w:p>
      <w:pPr>
        <w:jc w:val="center"/>
        <w:rPr>
          <w:rFonts w:ascii="仿宋" w:hAnsi="仿宋"/>
          <w:b/>
          <w:sz w:val="32"/>
          <w:szCs w:val="32"/>
        </w:rPr>
      </w:pPr>
      <w:r>
        <w:rPr>
          <w:rFonts w:hint="eastAsia" w:ascii="仿宋" w:hAnsi="仿宋"/>
          <w:b/>
          <w:sz w:val="52"/>
          <w:szCs w:val="52"/>
        </w:rPr>
        <w:t>其他响应性投标文件</w:t>
      </w:r>
    </w:p>
    <w:p>
      <w:pPr>
        <w:rPr>
          <w:rFonts w:ascii="仿宋" w:hAnsi="仿宋"/>
          <w:b/>
          <w:sz w:val="36"/>
        </w:rPr>
      </w:pPr>
    </w:p>
    <w:p>
      <w:pPr>
        <w:rPr>
          <w:rFonts w:ascii="仿宋" w:hAnsi="仿宋"/>
          <w:b/>
          <w:sz w:val="36"/>
        </w:rPr>
      </w:pPr>
    </w:p>
    <w:p>
      <w:pPr>
        <w:rPr>
          <w:rFonts w:ascii="仿宋" w:hAnsi="仿宋"/>
          <w:b/>
          <w:sz w:val="32"/>
          <w:u w:val="single"/>
        </w:rPr>
      </w:pPr>
      <w:r>
        <w:rPr>
          <w:rFonts w:hint="eastAsia" w:ascii="仿宋" w:hAnsi="仿宋"/>
          <w:b/>
          <w:sz w:val="32"/>
        </w:rPr>
        <w:t>投标人</w:t>
      </w:r>
      <w:r>
        <w:rPr>
          <w:rFonts w:ascii="仿宋" w:hAnsi="仿宋"/>
          <w:b/>
          <w:sz w:val="32"/>
        </w:rPr>
        <w:t>名称</w:t>
      </w:r>
      <w:r>
        <w:rPr>
          <w:rFonts w:hint="eastAsia" w:ascii="仿宋" w:hAnsi="仿宋"/>
          <w:b/>
          <w:sz w:val="32"/>
        </w:rPr>
        <w:t>（电子印章）</w:t>
      </w:r>
      <w:r>
        <w:rPr>
          <w:rFonts w:ascii="仿宋" w:hAnsi="仿宋"/>
          <w:b/>
          <w:sz w:val="32"/>
        </w:rPr>
        <w:t>：</w:t>
      </w:r>
    </w:p>
    <w:p>
      <w:pPr>
        <w:rPr>
          <w:rFonts w:ascii="仿宋" w:hAnsi="仿宋"/>
          <w:b/>
          <w:sz w:val="32"/>
          <w:u w:val="single"/>
        </w:rPr>
      </w:pPr>
      <w:r>
        <w:rPr>
          <w:rFonts w:hint="eastAsia" w:ascii="仿宋" w:hAnsi="仿宋"/>
          <w:b/>
          <w:sz w:val="32"/>
        </w:rPr>
        <w:t>采购项目</w:t>
      </w:r>
      <w:r>
        <w:rPr>
          <w:rFonts w:ascii="仿宋" w:hAnsi="仿宋"/>
          <w:b/>
          <w:sz w:val="32"/>
        </w:rPr>
        <w:t>编号：</w:t>
      </w:r>
    </w:p>
    <w:p>
      <w:pPr>
        <w:rPr>
          <w:rFonts w:ascii="仿宋" w:hAnsi="仿宋"/>
          <w:b/>
          <w:sz w:val="32"/>
          <w:u w:val="single"/>
        </w:rPr>
      </w:pPr>
      <w:r>
        <w:rPr>
          <w:rFonts w:hint="eastAsia" w:ascii="仿宋" w:hAnsi="仿宋"/>
          <w:b/>
          <w:sz w:val="32"/>
        </w:rPr>
        <w:t>包        号</w:t>
      </w:r>
      <w:r>
        <w:rPr>
          <w:rFonts w:ascii="仿宋" w:hAnsi="仿宋"/>
          <w:b/>
          <w:sz w:val="32"/>
        </w:rPr>
        <w:t>：</w:t>
      </w:r>
    </w:p>
    <w:p>
      <w:pPr>
        <w:ind w:firstLine="790" w:firstLineChars="246"/>
        <w:jc w:val="center"/>
        <w:rPr>
          <w:rFonts w:ascii="仿宋" w:hAnsi="仿宋"/>
          <w:b/>
          <w:sz w:val="32"/>
        </w:rPr>
      </w:pPr>
    </w:p>
    <w:p>
      <w:pPr>
        <w:ind w:firstLine="790" w:firstLineChars="246"/>
        <w:rPr>
          <w:rFonts w:ascii="仿宋" w:hAnsi="仿宋"/>
          <w:b/>
          <w:sz w:val="32"/>
        </w:rPr>
      </w:pPr>
      <w:r>
        <w:rPr>
          <w:rFonts w:hint="eastAsia" w:ascii="仿宋" w:hAnsi="仿宋"/>
          <w:b/>
          <w:sz w:val="32"/>
        </w:rPr>
        <w:t xml:space="preserve">        投标时间</w:t>
      </w:r>
      <w:r>
        <w:rPr>
          <w:rFonts w:ascii="仿宋" w:hAnsi="仿宋"/>
          <w:b/>
          <w:sz w:val="32"/>
        </w:rPr>
        <w:t>：</w:t>
      </w:r>
      <w:r>
        <w:rPr>
          <w:rFonts w:hint="eastAsia" w:ascii="仿宋" w:hAnsi="仿宋"/>
          <w:b/>
          <w:sz w:val="32"/>
        </w:rPr>
        <w:t>20XX年XX</w:t>
      </w:r>
      <w:r>
        <w:rPr>
          <w:rFonts w:ascii="仿宋" w:hAnsi="仿宋"/>
          <w:b/>
          <w:sz w:val="32"/>
        </w:rPr>
        <w:t>月</w:t>
      </w:r>
      <w:r>
        <w:rPr>
          <w:rFonts w:hint="eastAsia" w:ascii="仿宋" w:hAnsi="仿宋"/>
          <w:b/>
          <w:sz w:val="32"/>
        </w:rPr>
        <w:t>XX</w:t>
      </w:r>
      <w:r>
        <w:rPr>
          <w:rFonts w:ascii="仿宋" w:hAnsi="仿宋"/>
          <w:b/>
          <w:sz w:val="32"/>
        </w:rPr>
        <w:t>日</w:t>
      </w:r>
      <w:r>
        <w:rPr>
          <w:rFonts w:ascii="仿宋" w:hAnsi="仿宋"/>
          <w:b/>
          <w:sz w:val="32"/>
        </w:rPr>
        <w:br w:type="page"/>
      </w:r>
    </w:p>
    <w:p>
      <w:pPr>
        <w:pStyle w:val="5"/>
        <w:spacing w:before="0" w:after="0"/>
        <w:rPr>
          <w:rFonts w:ascii="仿宋" w:hAnsi="仿宋" w:cs="仿宋"/>
        </w:rPr>
      </w:pPr>
      <w:bookmarkStart w:id="204" w:name="_Toc86701956"/>
      <w:r>
        <w:rPr>
          <w:rFonts w:hint="eastAsia" w:ascii="仿宋" w:hAnsi="仿宋" w:cs="仿宋"/>
        </w:rPr>
        <w:t>格式2-2 投 标 函</w:t>
      </w:r>
      <w:bookmarkEnd w:id="181"/>
      <w:bookmarkEnd w:id="182"/>
      <w:bookmarkEnd w:id="204"/>
    </w:p>
    <w:p>
      <w:pPr>
        <w:widowControl/>
        <w:spacing w:line="360" w:lineRule="atLeast"/>
        <w:jc w:val="center"/>
        <w:rPr>
          <w:rFonts w:ascii="仿宋" w:hAnsi="仿宋"/>
          <w:b/>
          <w:bCs/>
          <w:sz w:val="32"/>
          <w:szCs w:val="32"/>
        </w:rPr>
      </w:pPr>
      <w:r>
        <w:rPr>
          <w:rFonts w:hint="eastAsia" w:ascii="仿宋" w:hAnsi="仿宋" w:cs="仿宋"/>
          <w:b/>
          <w:bCs/>
          <w:sz w:val="32"/>
          <w:szCs w:val="32"/>
        </w:rPr>
        <w:t>投 标 函</w:t>
      </w:r>
    </w:p>
    <w:p>
      <w:pPr>
        <w:widowControl/>
        <w:rPr>
          <w:rFonts w:ascii="仿宋" w:hAnsi="仿宋"/>
        </w:rPr>
      </w:pPr>
      <w:r>
        <w:rPr>
          <w:rFonts w:hint="eastAsia" w:ascii="仿宋" w:hAnsi="仿宋"/>
        </w:rPr>
        <w:t>XXXX（采购代理机构名称）：</w:t>
      </w:r>
    </w:p>
    <w:p>
      <w:pPr>
        <w:widowControl/>
        <w:ind w:firstLine="470" w:firstLineChars="196"/>
        <w:rPr>
          <w:rFonts w:ascii="仿宋" w:hAnsi="仿宋"/>
        </w:rPr>
      </w:pPr>
      <w:r>
        <w:rPr>
          <w:rFonts w:hint="eastAsia" w:ascii="仿宋" w:hAnsi="仿宋"/>
        </w:rPr>
        <w:t>我方全面研究了“</w:t>
      </w:r>
      <w:r>
        <w:rPr>
          <w:rFonts w:hint="eastAsia" w:ascii="仿宋" w:hAnsi="仿宋"/>
          <w:u w:val="single"/>
        </w:rPr>
        <w:t>XXXXXXXX采购</w:t>
      </w:r>
      <w:r>
        <w:rPr>
          <w:rFonts w:hint="eastAsia" w:ascii="仿宋" w:hAnsi="仿宋"/>
        </w:rPr>
        <w:t>项目”（招标编号：</w:t>
      </w:r>
      <w:r>
        <w:rPr>
          <w:rFonts w:hint="eastAsia" w:ascii="仿宋" w:hAnsi="仿宋"/>
          <w:u w:val="single"/>
        </w:rPr>
        <w:t>XXXX</w:t>
      </w:r>
      <w:r>
        <w:rPr>
          <w:rFonts w:hint="eastAsia" w:ascii="仿宋" w:hAnsi="仿宋"/>
        </w:rPr>
        <w:t>）招标文件，决定参加贵单位组织的本项目投标。</w:t>
      </w:r>
    </w:p>
    <w:p>
      <w:pPr>
        <w:widowControl/>
        <w:ind w:firstLine="470" w:firstLineChars="196"/>
        <w:rPr>
          <w:rFonts w:ascii="仿宋" w:hAnsi="仿宋"/>
        </w:rPr>
      </w:pPr>
      <w:r>
        <w:rPr>
          <w:rFonts w:hint="eastAsia" w:ascii="仿宋" w:hAnsi="仿宋"/>
        </w:rPr>
        <w:t>一、我方自愿按照招标文件规定的各项要求向采购人提供所需货物/服务。</w:t>
      </w:r>
    </w:p>
    <w:p>
      <w:pPr>
        <w:widowControl/>
        <w:ind w:firstLine="470" w:firstLineChars="196"/>
        <w:rPr>
          <w:rFonts w:ascii="仿宋" w:hAnsi="仿宋"/>
        </w:rPr>
      </w:pPr>
      <w:r>
        <w:rPr>
          <w:rFonts w:hint="eastAsia" w:ascii="仿宋" w:hAnsi="仿宋"/>
        </w:rPr>
        <w:t>二、一旦我方中标，我方将严格履行政府采购合同规定的责任和义务。</w:t>
      </w:r>
    </w:p>
    <w:p>
      <w:pPr>
        <w:widowControl/>
        <w:ind w:firstLine="470" w:firstLineChars="196"/>
        <w:rPr>
          <w:rFonts w:ascii="仿宋" w:hAnsi="仿宋"/>
        </w:rPr>
      </w:pPr>
      <w:r>
        <w:rPr>
          <w:rFonts w:hint="eastAsia" w:ascii="仿宋" w:hAnsi="仿宋"/>
        </w:rPr>
        <w:t>三、我方同意本次招标的投标有效期为投标截止时间届满后</w:t>
      </w:r>
      <w:r>
        <w:rPr>
          <w:rFonts w:hint="eastAsia" w:ascii="仿宋" w:hAnsi="仿宋"/>
          <w:u w:val="single"/>
        </w:rPr>
        <w:t>XXXX</w:t>
      </w:r>
      <w:r>
        <w:rPr>
          <w:rFonts w:hint="eastAsia" w:ascii="仿宋" w:hAnsi="仿宋"/>
        </w:rPr>
        <w:t>天，</w:t>
      </w:r>
      <w:r>
        <w:rPr>
          <w:rFonts w:ascii="仿宋" w:hAnsi="仿宋"/>
        </w:rPr>
        <w:t>并满足招标文件</w:t>
      </w:r>
      <w:r>
        <w:rPr>
          <w:rFonts w:hint="eastAsia" w:ascii="仿宋" w:hAnsi="仿宋"/>
        </w:rPr>
        <w:t>中其他</w:t>
      </w:r>
      <w:r>
        <w:rPr>
          <w:rFonts w:ascii="仿宋" w:hAnsi="仿宋"/>
        </w:rPr>
        <w:t>关于</w:t>
      </w:r>
      <w:r>
        <w:rPr>
          <w:rFonts w:hint="eastAsia" w:ascii="仿宋" w:hAnsi="仿宋"/>
        </w:rPr>
        <w:t>投标有效期的</w:t>
      </w:r>
      <w:r>
        <w:rPr>
          <w:rFonts w:ascii="仿宋" w:hAnsi="仿宋"/>
        </w:rPr>
        <w:t>实质性要求</w:t>
      </w:r>
      <w:r>
        <w:rPr>
          <w:rFonts w:hint="eastAsia" w:ascii="仿宋" w:hAnsi="仿宋"/>
        </w:rPr>
        <w:t>。</w:t>
      </w:r>
    </w:p>
    <w:p>
      <w:pPr>
        <w:widowControl/>
        <w:ind w:firstLine="470" w:firstLineChars="196"/>
        <w:rPr>
          <w:rFonts w:ascii="仿宋" w:hAnsi="仿宋"/>
        </w:rPr>
      </w:pPr>
      <w:r>
        <w:rPr>
          <w:rFonts w:hint="eastAsia" w:ascii="仿宋" w:hAnsi="仿宋"/>
        </w:rPr>
        <w:t>四、我方愿意提供贵单位可能另外要求的，与投标有关的文件资料，并保证我方已提供和将要提供的文件资料是真实、准确的。</w:t>
      </w:r>
    </w:p>
    <w:p>
      <w:pPr>
        <w:pStyle w:val="2"/>
        <w:spacing w:line="360" w:lineRule="auto"/>
        <w:ind w:left="480"/>
        <w:rPr>
          <w:rFonts w:ascii="仿宋" w:hAnsi="仿宋"/>
        </w:rPr>
      </w:pPr>
    </w:p>
    <w:p>
      <w:pPr>
        <w:widowControl/>
        <w:ind w:firstLine="470" w:firstLineChars="196"/>
        <w:rPr>
          <w:rFonts w:ascii="仿宋" w:hAnsi="仿宋"/>
        </w:rPr>
      </w:pPr>
      <w:r>
        <w:rPr>
          <w:rFonts w:hint="eastAsia" w:ascii="仿宋" w:hAnsi="仿宋"/>
        </w:rPr>
        <w:t>投标人名称：XXXX</w:t>
      </w:r>
    </w:p>
    <w:p>
      <w:pPr>
        <w:widowControl/>
        <w:ind w:firstLine="470" w:firstLineChars="196"/>
        <w:rPr>
          <w:rFonts w:ascii="仿宋" w:hAnsi="仿宋"/>
        </w:rPr>
      </w:pPr>
      <w:r>
        <w:rPr>
          <w:rFonts w:hint="eastAsia" w:ascii="仿宋" w:hAnsi="仿宋"/>
        </w:rPr>
        <w:t>通讯地址：XXXX。</w:t>
      </w:r>
    </w:p>
    <w:p>
      <w:pPr>
        <w:widowControl/>
        <w:ind w:firstLine="470" w:firstLineChars="196"/>
        <w:rPr>
          <w:rFonts w:ascii="仿宋" w:hAnsi="仿宋"/>
        </w:rPr>
      </w:pPr>
      <w:r>
        <w:rPr>
          <w:rFonts w:hint="eastAsia" w:ascii="仿宋" w:hAnsi="仿宋"/>
        </w:rPr>
        <w:t>邮政编码：XXXX。</w:t>
      </w:r>
    </w:p>
    <w:p>
      <w:pPr>
        <w:widowControl/>
        <w:ind w:firstLine="470" w:firstLineChars="196"/>
        <w:rPr>
          <w:rFonts w:ascii="仿宋" w:hAnsi="仿宋"/>
        </w:rPr>
      </w:pPr>
      <w:r>
        <w:rPr>
          <w:rFonts w:hint="eastAsia" w:ascii="仿宋" w:hAnsi="仿宋"/>
        </w:rPr>
        <w:t>联系电话：XXXX。</w:t>
      </w:r>
    </w:p>
    <w:p>
      <w:pPr>
        <w:widowControl/>
        <w:ind w:firstLine="470" w:firstLineChars="196"/>
        <w:rPr>
          <w:rFonts w:ascii="仿宋" w:hAnsi="仿宋"/>
        </w:rPr>
      </w:pPr>
      <w:r>
        <w:rPr>
          <w:rFonts w:hint="eastAsia" w:ascii="仿宋" w:hAnsi="仿宋"/>
        </w:rPr>
        <w:t>传    真：XXXX。</w:t>
      </w:r>
    </w:p>
    <w:p>
      <w:pPr>
        <w:widowControl/>
        <w:ind w:firstLine="470" w:firstLineChars="196"/>
        <w:rPr>
          <w:rFonts w:ascii="仿宋" w:hAnsi="仿宋"/>
        </w:rPr>
      </w:pPr>
      <w:r>
        <w:rPr>
          <w:rFonts w:hint="eastAsia" w:ascii="仿宋" w:hAnsi="仿宋"/>
        </w:rPr>
        <w:t>日    期：20XX年XX月XX日。</w:t>
      </w:r>
    </w:p>
    <w:p>
      <w:pPr>
        <w:widowControl/>
        <w:spacing w:line="480" w:lineRule="auto"/>
        <w:rPr>
          <w:rFonts w:ascii="仿宋" w:hAnsi="仿宋"/>
          <w:b/>
          <w:sz w:val="32"/>
          <w:szCs w:val="32"/>
        </w:rPr>
      </w:pPr>
      <w:bookmarkStart w:id="205" w:name="_Toc308164824"/>
      <w:r>
        <w:rPr>
          <w:rFonts w:hint="eastAsia" w:ascii="仿宋" w:hAnsi="仿宋"/>
          <w:b/>
          <w:sz w:val="32"/>
          <w:szCs w:val="32"/>
        </w:rPr>
        <w:br w:type="page"/>
      </w:r>
    </w:p>
    <w:p>
      <w:pPr>
        <w:pStyle w:val="5"/>
        <w:spacing w:before="0" w:after="0"/>
        <w:rPr>
          <w:rFonts w:ascii="仿宋" w:hAnsi="仿宋" w:cs="仿宋"/>
        </w:rPr>
      </w:pPr>
      <w:bookmarkStart w:id="206" w:name="_Toc86701957"/>
      <w:r>
        <w:rPr>
          <w:rFonts w:hint="eastAsia" w:ascii="仿宋" w:hAnsi="仿宋" w:cs="仿宋"/>
        </w:rPr>
        <w:t>格式2-3 承诺函</w:t>
      </w:r>
      <w:bookmarkEnd w:id="206"/>
    </w:p>
    <w:p>
      <w:pPr>
        <w:widowControl/>
        <w:spacing w:line="240" w:lineRule="auto"/>
        <w:jc w:val="center"/>
        <w:rPr>
          <w:rFonts w:ascii="仿宋" w:hAnsi="仿宋"/>
          <w:b/>
        </w:rPr>
      </w:pPr>
    </w:p>
    <w:p>
      <w:pPr>
        <w:widowControl/>
        <w:spacing w:line="360" w:lineRule="atLeast"/>
        <w:jc w:val="center"/>
        <w:rPr>
          <w:rFonts w:ascii="仿宋" w:hAnsi="仿宋" w:cs="仿宋"/>
          <w:b/>
          <w:bCs/>
          <w:sz w:val="32"/>
          <w:szCs w:val="32"/>
        </w:rPr>
      </w:pPr>
      <w:r>
        <w:rPr>
          <w:rFonts w:hint="eastAsia" w:ascii="仿宋" w:hAnsi="仿宋" w:cs="仿宋"/>
          <w:b/>
          <w:bCs/>
          <w:sz w:val="32"/>
          <w:szCs w:val="32"/>
        </w:rPr>
        <w:t>承 诺 函</w:t>
      </w:r>
    </w:p>
    <w:p>
      <w:pPr>
        <w:widowControl/>
        <w:rPr>
          <w:rFonts w:ascii="仿宋" w:hAnsi="仿宋"/>
        </w:rPr>
      </w:pPr>
      <w:r>
        <w:rPr>
          <w:rFonts w:hint="eastAsia" w:ascii="仿宋" w:hAnsi="仿宋"/>
        </w:rPr>
        <w:t>XXXX（采购代理机构名称）：</w:t>
      </w:r>
    </w:p>
    <w:p>
      <w:pPr>
        <w:widowControl/>
        <w:ind w:firstLine="480" w:firstLineChars="200"/>
        <w:rPr>
          <w:rFonts w:ascii="仿宋" w:hAnsi="仿宋"/>
        </w:rPr>
      </w:pPr>
      <w:r>
        <w:rPr>
          <w:rFonts w:hint="eastAsia" w:ascii="仿宋" w:hAnsi="仿宋"/>
        </w:rPr>
        <w:t>我方作为本次采购项目的投标人，根据招标文件要求，现郑重承诺如下：</w:t>
      </w:r>
    </w:p>
    <w:p>
      <w:pPr>
        <w:widowControl/>
        <w:ind w:firstLine="480" w:firstLineChars="200"/>
        <w:rPr>
          <w:rFonts w:ascii="仿宋" w:hAnsi="仿宋"/>
        </w:rPr>
      </w:pPr>
      <w:r>
        <w:rPr>
          <w:rFonts w:hint="eastAsia" w:ascii="仿宋" w:hAnsi="仿宋"/>
        </w:rPr>
        <w:t>一、我方已认真阅读并接受本项目招标文件第二章的全部实质性要求</w:t>
      </w:r>
      <w:r>
        <w:rPr>
          <w:rFonts w:ascii="仿宋" w:hAnsi="仿宋"/>
        </w:rPr>
        <w:t>，如对招标文件有异议，</w:t>
      </w:r>
      <w:r>
        <w:rPr>
          <w:rFonts w:hint="eastAsia" w:ascii="仿宋" w:hAnsi="仿宋"/>
        </w:rPr>
        <w:t>已</w:t>
      </w:r>
      <w:r>
        <w:rPr>
          <w:rFonts w:ascii="仿宋" w:hAnsi="仿宋"/>
        </w:rPr>
        <w:t>依法进行维权救济，不存在对招标文件有异议的同时又参加投标以求侥幸中标或者为实现其他非法目的的行为。</w:t>
      </w:r>
    </w:p>
    <w:p>
      <w:pPr>
        <w:widowControl/>
        <w:ind w:firstLine="480" w:firstLineChars="200"/>
        <w:rPr>
          <w:rFonts w:ascii="仿宋" w:hAnsi="仿宋"/>
        </w:rPr>
      </w:pPr>
      <w:r>
        <w:rPr>
          <w:rFonts w:hint="eastAsia" w:ascii="仿宋" w:hAnsi="仿宋"/>
        </w:rPr>
        <w:t>二、参加本次招标采购活动，不存在与单位负责人为同一人或者存在直接控股、管理关系的其他供应商参与同一合同项下的政府采购活动的行为。</w:t>
      </w:r>
      <w:r>
        <w:rPr>
          <w:rFonts w:hint="eastAsia" w:ascii="仿宋" w:hAnsi="仿宋"/>
          <w:b/>
          <w:bCs/>
        </w:rPr>
        <w:t>（与我方存在单位负责人为同一人或者存在直接控股、管理关系的单位详见附件“关联关系声明函”）</w:t>
      </w:r>
    </w:p>
    <w:p>
      <w:pPr>
        <w:widowControl/>
        <w:ind w:firstLine="480" w:firstLineChars="200"/>
        <w:rPr>
          <w:rFonts w:ascii="仿宋" w:hAnsi="仿宋"/>
        </w:rPr>
      </w:pPr>
      <w:r>
        <w:rPr>
          <w:rFonts w:hint="eastAsia" w:ascii="仿宋" w:hAnsi="仿宋"/>
        </w:rPr>
        <w:t>三</w:t>
      </w:r>
      <w:r>
        <w:rPr>
          <w:rFonts w:ascii="仿宋" w:hAnsi="仿宋"/>
        </w:rPr>
        <w:t>、</w:t>
      </w:r>
      <w:r>
        <w:rPr>
          <w:rFonts w:hint="eastAsia" w:ascii="仿宋" w:hAnsi="仿宋"/>
        </w:rPr>
        <w:t>为采购项目提供整体设计、规范编制或者项目管理、监理、检测等服务的供应商，不得再参加该采购项目的其他采购活动，我方</w:t>
      </w:r>
      <w:r>
        <w:rPr>
          <w:rFonts w:ascii="仿宋" w:hAnsi="仿宋"/>
        </w:rPr>
        <w:t>承诺</w:t>
      </w:r>
      <w:r>
        <w:rPr>
          <w:rFonts w:hint="eastAsia" w:ascii="仿宋" w:hAnsi="仿宋"/>
        </w:rPr>
        <w:t>不属于此类禁止参加本项目的供应商</w:t>
      </w:r>
      <w:r>
        <w:rPr>
          <w:rFonts w:ascii="仿宋" w:hAnsi="仿宋"/>
        </w:rPr>
        <w:t>。</w:t>
      </w:r>
    </w:p>
    <w:p>
      <w:pPr>
        <w:widowControl/>
        <w:ind w:firstLine="480" w:firstLineChars="200"/>
        <w:rPr>
          <w:rFonts w:ascii="仿宋" w:hAnsi="仿宋"/>
        </w:rPr>
      </w:pPr>
      <w:r>
        <w:rPr>
          <w:rFonts w:hint="eastAsia" w:ascii="仿宋" w:hAnsi="仿宋"/>
        </w:rPr>
        <w:t>四、投标文件中提供的能够给予我方带来优惠、好处的任何材料资料和技术、服务、商务、响应产品等响应承诺情况都是真实的、有效的、合法的。</w:t>
      </w:r>
    </w:p>
    <w:p>
      <w:pPr>
        <w:widowControl/>
        <w:ind w:firstLine="480" w:firstLineChars="200"/>
        <w:rPr>
          <w:rFonts w:ascii="仿宋" w:hAnsi="仿宋"/>
        </w:rPr>
      </w:pPr>
      <w:r>
        <w:rPr>
          <w:rFonts w:hint="eastAsia" w:ascii="仿宋" w:hAnsi="仿宋"/>
        </w:rPr>
        <w:t>五、国家或行业主管部门对采购产品的技术标准、质量标准和资格资质条件等有强制性规定的，我方</w:t>
      </w:r>
      <w:r>
        <w:rPr>
          <w:rFonts w:ascii="仿宋" w:hAnsi="仿宋"/>
        </w:rPr>
        <w:t>承诺符合其要求。</w:t>
      </w:r>
    </w:p>
    <w:p>
      <w:pPr>
        <w:widowControl/>
        <w:ind w:firstLine="480" w:firstLineChars="200"/>
        <w:rPr>
          <w:rFonts w:ascii="仿宋" w:hAnsi="仿宋"/>
        </w:rPr>
      </w:pPr>
      <w:r>
        <w:rPr>
          <w:rFonts w:hint="eastAsia" w:ascii="仿宋" w:hAnsi="仿宋"/>
        </w:rPr>
        <w:t>六、参加本次招标采购活动，</w:t>
      </w:r>
      <w:r>
        <w:rPr>
          <w:rFonts w:ascii="仿宋" w:hAnsi="仿宋"/>
        </w:rPr>
        <w:t>我方</w:t>
      </w:r>
      <w:r>
        <w:rPr>
          <w:rFonts w:hint="eastAsia" w:ascii="仿宋" w:hAnsi="仿宋"/>
        </w:rPr>
        <w:t>完全同意</w:t>
      </w:r>
      <w:r>
        <w:rPr>
          <w:rFonts w:ascii="仿宋" w:hAnsi="仿宋"/>
        </w:rPr>
        <w:t>招标文件第二章关于“</w:t>
      </w:r>
      <w:r>
        <w:rPr>
          <w:rFonts w:hint="eastAsia" w:ascii="仿宋" w:hAnsi="仿宋"/>
        </w:rPr>
        <w:t>投标</w:t>
      </w:r>
      <w:r>
        <w:rPr>
          <w:rFonts w:ascii="仿宋" w:hAnsi="仿宋"/>
        </w:rPr>
        <w:t>费用”</w:t>
      </w:r>
      <w:r>
        <w:rPr>
          <w:rFonts w:hint="eastAsia" w:ascii="仿宋" w:hAnsi="仿宋"/>
        </w:rPr>
        <w:t>、“合同</w:t>
      </w:r>
      <w:r>
        <w:rPr>
          <w:rFonts w:ascii="仿宋" w:hAnsi="仿宋"/>
        </w:rPr>
        <w:t>分包</w:t>
      </w:r>
      <w:r>
        <w:rPr>
          <w:rFonts w:hint="eastAsia" w:ascii="仿宋" w:hAnsi="仿宋"/>
        </w:rPr>
        <w:t>”、</w:t>
      </w:r>
      <w:r>
        <w:rPr>
          <w:rFonts w:ascii="仿宋" w:hAnsi="仿宋"/>
        </w:rPr>
        <w:t>“</w:t>
      </w:r>
      <w:r>
        <w:rPr>
          <w:rFonts w:hint="eastAsia" w:ascii="仿宋" w:hAnsi="仿宋"/>
        </w:rPr>
        <w:t>合同</w:t>
      </w:r>
      <w:r>
        <w:rPr>
          <w:rFonts w:ascii="仿宋" w:hAnsi="仿宋"/>
        </w:rPr>
        <w:t>转包”</w:t>
      </w:r>
      <w:r>
        <w:rPr>
          <w:rFonts w:hint="eastAsia" w:ascii="仿宋" w:hAnsi="仿宋"/>
        </w:rPr>
        <w:t>、</w:t>
      </w:r>
      <w:r>
        <w:rPr>
          <w:rFonts w:ascii="仿宋" w:hAnsi="仿宋"/>
        </w:rPr>
        <w:t>“</w:t>
      </w:r>
      <w:r>
        <w:rPr>
          <w:rFonts w:hint="eastAsia" w:ascii="仿宋" w:hAnsi="仿宋"/>
        </w:rPr>
        <w:t>履约</w:t>
      </w:r>
      <w:r>
        <w:rPr>
          <w:rFonts w:ascii="仿宋" w:hAnsi="仿宋"/>
        </w:rPr>
        <w:t>保证金”</w:t>
      </w:r>
      <w:r>
        <w:rPr>
          <w:rFonts w:hint="eastAsia" w:ascii="仿宋" w:hAnsi="仿宋"/>
        </w:rPr>
        <w:t>的</w:t>
      </w:r>
      <w:r>
        <w:rPr>
          <w:rFonts w:ascii="仿宋" w:hAnsi="仿宋"/>
        </w:rPr>
        <w:t>实质性要求</w:t>
      </w:r>
      <w:r>
        <w:rPr>
          <w:rFonts w:hint="eastAsia" w:ascii="仿宋" w:hAnsi="仿宋"/>
        </w:rPr>
        <w:t>，</w:t>
      </w:r>
      <w:r>
        <w:rPr>
          <w:rFonts w:ascii="仿宋" w:hAnsi="仿宋"/>
        </w:rPr>
        <w:t>并承诺严格按照招标文件要求</w:t>
      </w:r>
      <w:r>
        <w:rPr>
          <w:rFonts w:hint="eastAsia" w:ascii="仿宋" w:hAnsi="仿宋"/>
        </w:rPr>
        <w:t>履行</w:t>
      </w:r>
      <w:r>
        <w:rPr>
          <w:rFonts w:ascii="仿宋" w:hAnsi="仿宋"/>
        </w:rPr>
        <w:t>。</w:t>
      </w:r>
    </w:p>
    <w:p>
      <w:pPr>
        <w:widowControl/>
        <w:ind w:firstLine="480" w:firstLineChars="200"/>
        <w:rPr>
          <w:rFonts w:ascii="仿宋" w:hAnsi="仿宋"/>
        </w:rPr>
      </w:pPr>
      <w:r>
        <w:rPr>
          <w:rFonts w:hint="eastAsia" w:ascii="仿宋" w:hAnsi="仿宋"/>
        </w:rPr>
        <w:t>七、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rPr>
        <w:t>承诺</w:t>
      </w:r>
      <w:r>
        <w:rPr>
          <w:rFonts w:hint="eastAsia" w:ascii="仿宋" w:hAnsi="仿宋"/>
        </w:rPr>
        <w:t>提供开发接口和开发手册等技术文档，并提供无限期技术支持，采购人享有永久使用权（含采购人委托第三方在该项目后续开发的使用权）。如我方在项目实</w:t>
      </w:r>
      <w:r>
        <w:rPr>
          <w:rFonts w:hint="eastAsia" w:ascii="仿宋" w:hAnsi="仿宋"/>
          <w:spacing w:val="-6"/>
        </w:rPr>
        <w:t>施过程中采用非自有的知识产权，则在投标报价中已包括合法获取该知识产权的相关费用。</w:t>
      </w:r>
    </w:p>
    <w:p>
      <w:pPr>
        <w:widowControl/>
        <w:ind w:firstLine="480" w:firstLineChars="200"/>
        <w:rPr>
          <w:rFonts w:ascii="仿宋" w:hAnsi="仿宋"/>
        </w:rPr>
      </w:pPr>
      <w:r>
        <w:rPr>
          <w:rFonts w:hint="eastAsia" w:ascii="仿宋" w:hAnsi="仿宋"/>
        </w:rPr>
        <w:t>八、本次投标报价是响应招标项目要求的全部工作内容的价格体现，包括完成本项目所需的一切费用。</w:t>
      </w:r>
    </w:p>
    <w:p>
      <w:pPr>
        <w:widowControl/>
        <w:ind w:firstLine="480" w:firstLineChars="200"/>
        <w:rPr>
          <w:rFonts w:ascii="仿宋" w:hAnsi="仿宋"/>
        </w:rPr>
      </w:pPr>
      <w:r>
        <w:rPr>
          <w:rFonts w:hint="eastAsia" w:ascii="仿宋" w:hAnsi="仿宋"/>
        </w:rPr>
        <w:t>我方对上述承诺的内容事项真实性负责。如经查实上述承诺的内容事项存在虚假，我方愿意接受以提供虚假材料谋取中标追究法律责任。</w:t>
      </w:r>
    </w:p>
    <w:p>
      <w:pPr>
        <w:widowControl/>
        <w:ind w:firstLine="470" w:firstLineChars="196"/>
        <w:rPr>
          <w:rFonts w:ascii="仿宋" w:hAnsi="仿宋"/>
        </w:rPr>
      </w:pPr>
    </w:p>
    <w:p>
      <w:pPr>
        <w:widowControl/>
        <w:ind w:firstLine="470" w:firstLineChars="196"/>
        <w:rPr>
          <w:rFonts w:ascii="仿宋" w:hAnsi="仿宋"/>
        </w:rPr>
      </w:pPr>
      <w:r>
        <w:rPr>
          <w:rFonts w:hint="eastAsia" w:ascii="仿宋" w:hAnsi="仿宋"/>
        </w:rPr>
        <w:t>投标人名称：XXXX</w:t>
      </w:r>
    </w:p>
    <w:p>
      <w:pPr>
        <w:widowControl/>
        <w:ind w:firstLine="470" w:firstLineChars="196"/>
        <w:rPr>
          <w:rFonts w:ascii="仿宋" w:hAnsi="仿宋"/>
        </w:rPr>
      </w:pPr>
      <w:r>
        <w:rPr>
          <w:rFonts w:hint="eastAsia" w:ascii="仿宋" w:hAnsi="仿宋"/>
        </w:rPr>
        <w:t>日    期：20XX年XX月XX日。</w:t>
      </w:r>
    </w:p>
    <w:p>
      <w:pPr>
        <w:widowControl/>
        <w:spacing w:line="480" w:lineRule="auto"/>
        <w:ind w:firstLine="470" w:firstLineChars="196"/>
        <w:rPr>
          <w:rFonts w:ascii="仿宋" w:hAnsi="仿宋"/>
        </w:rPr>
      </w:pPr>
    </w:p>
    <w:p>
      <w:pPr>
        <w:rPr>
          <w:rFonts w:ascii="仿宋" w:hAnsi="仿宋"/>
          <w:b/>
          <w:sz w:val="32"/>
          <w:szCs w:val="32"/>
        </w:rPr>
      </w:pPr>
      <w:r>
        <w:rPr>
          <w:rFonts w:ascii="仿宋" w:hAnsi="仿宋"/>
          <w:b/>
          <w:sz w:val="32"/>
          <w:szCs w:val="32"/>
        </w:rPr>
        <w:br w:type="page"/>
      </w:r>
    </w:p>
    <w:p>
      <w:pPr>
        <w:jc w:val="both"/>
        <w:rPr>
          <w:rFonts w:ascii="仿宋" w:hAnsi="仿宋"/>
          <w:b/>
          <w:sz w:val="32"/>
          <w:szCs w:val="32"/>
        </w:rPr>
      </w:pPr>
      <w:r>
        <w:rPr>
          <w:rFonts w:hint="eastAsia" w:ascii="仿宋" w:hAnsi="仿宋"/>
          <w:b/>
          <w:sz w:val="32"/>
          <w:szCs w:val="32"/>
        </w:rPr>
        <w:t>附件：</w:t>
      </w:r>
    </w:p>
    <w:p>
      <w:pPr>
        <w:widowControl/>
        <w:spacing w:line="360" w:lineRule="atLeast"/>
        <w:jc w:val="center"/>
        <w:rPr>
          <w:rFonts w:ascii="仿宋" w:hAnsi="仿宋" w:cs="仿宋"/>
          <w:b/>
          <w:bCs/>
          <w:sz w:val="32"/>
          <w:szCs w:val="32"/>
        </w:rPr>
      </w:pPr>
      <w:r>
        <w:rPr>
          <w:rFonts w:hint="eastAsia" w:ascii="仿宋" w:hAnsi="仿宋" w:cs="仿宋"/>
          <w:b/>
          <w:bCs/>
          <w:sz w:val="32"/>
          <w:szCs w:val="32"/>
        </w:rPr>
        <w:t>关联单位声明函</w:t>
      </w:r>
    </w:p>
    <w:p>
      <w:pPr>
        <w:widowControl/>
        <w:spacing w:line="480" w:lineRule="auto"/>
        <w:rPr>
          <w:rFonts w:ascii="仿宋" w:hAnsi="仿宋"/>
        </w:rPr>
      </w:pPr>
      <w:r>
        <w:rPr>
          <w:rFonts w:hint="eastAsia" w:ascii="仿宋" w:hAnsi="仿宋"/>
        </w:rPr>
        <w:t>XXXX（采购代理机构名称）：</w:t>
      </w:r>
    </w:p>
    <w:p>
      <w:pPr>
        <w:widowControl/>
        <w:spacing w:line="480" w:lineRule="auto"/>
        <w:ind w:firstLine="480" w:firstLineChars="200"/>
        <w:rPr>
          <w:rFonts w:ascii="仿宋" w:hAnsi="仿宋"/>
        </w:rPr>
      </w:pPr>
      <w:r>
        <w:rPr>
          <w:rFonts w:hint="eastAsia" w:ascii="仿宋" w:hAnsi="仿宋"/>
        </w:rPr>
        <w:t>我方作为本次采购项目的投标人，根据招标文件要求，现郑重声明如下：</w:t>
      </w:r>
    </w:p>
    <w:p>
      <w:pPr>
        <w:widowControl/>
        <w:spacing w:line="480" w:lineRule="auto"/>
        <w:ind w:firstLine="480" w:firstLineChars="200"/>
        <w:rPr>
          <w:rFonts w:ascii="仿宋" w:hAnsi="仿宋"/>
        </w:rPr>
      </w:pPr>
      <w:r>
        <w:rPr>
          <w:rFonts w:hint="eastAsia" w:ascii="仿宋" w:hAnsi="仿宋"/>
        </w:rPr>
        <w:t>一、本项目与我方存在单位负责人为同一人的单位为：XXX；</w:t>
      </w:r>
    </w:p>
    <w:p>
      <w:pPr>
        <w:widowControl/>
        <w:spacing w:line="480" w:lineRule="auto"/>
        <w:ind w:firstLine="480" w:firstLineChars="200"/>
        <w:rPr>
          <w:rFonts w:ascii="仿宋" w:hAnsi="仿宋"/>
        </w:rPr>
      </w:pPr>
      <w:r>
        <w:rPr>
          <w:rFonts w:hint="eastAsia" w:ascii="仿宋" w:hAnsi="仿宋"/>
        </w:rPr>
        <w:t>二、本项目与我方存在直接控股关系的单位为：XXX；</w:t>
      </w:r>
    </w:p>
    <w:p>
      <w:pPr>
        <w:widowControl/>
        <w:spacing w:line="480" w:lineRule="auto"/>
        <w:ind w:firstLine="480" w:firstLineChars="200"/>
        <w:rPr>
          <w:rFonts w:ascii="仿宋" w:hAnsi="仿宋"/>
        </w:rPr>
      </w:pPr>
      <w:r>
        <w:rPr>
          <w:rFonts w:hint="eastAsia" w:ascii="仿宋" w:hAnsi="仿宋"/>
        </w:rPr>
        <w:t>三、本项目与我方存在直接管理关系单位为：XXX。</w:t>
      </w:r>
    </w:p>
    <w:p>
      <w:pPr>
        <w:widowControl/>
        <w:spacing w:line="480" w:lineRule="auto"/>
        <w:ind w:firstLine="480" w:firstLineChars="200"/>
        <w:rPr>
          <w:rFonts w:ascii="仿宋" w:hAnsi="仿宋"/>
        </w:rPr>
      </w:pPr>
      <w:r>
        <w:rPr>
          <w:rFonts w:hint="eastAsia" w:ascii="仿宋" w:hAnsi="仿宋"/>
        </w:rPr>
        <w:t>我方对上述声明的内容事项真实性负责。如经查实上述承诺的内容事项存在虚假，我方愿意接受以提供虚假材料谋取中标追究法律责任。</w:t>
      </w:r>
    </w:p>
    <w:p>
      <w:pPr>
        <w:widowControl/>
        <w:spacing w:line="240" w:lineRule="auto"/>
        <w:ind w:firstLine="470" w:firstLineChars="196"/>
        <w:rPr>
          <w:rFonts w:ascii="仿宋" w:hAnsi="仿宋"/>
        </w:rPr>
      </w:pPr>
    </w:p>
    <w:p>
      <w:pPr>
        <w:widowControl/>
        <w:spacing w:line="240" w:lineRule="auto"/>
        <w:ind w:firstLine="470" w:firstLineChars="196"/>
        <w:rPr>
          <w:rFonts w:ascii="仿宋" w:hAnsi="仿宋"/>
        </w:rPr>
      </w:pPr>
      <w:r>
        <w:rPr>
          <w:rFonts w:hint="eastAsia" w:ascii="仿宋" w:hAnsi="仿宋"/>
        </w:rPr>
        <w:t>投标人名称：XXXX</w:t>
      </w:r>
    </w:p>
    <w:p>
      <w:pPr>
        <w:widowControl/>
        <w:spacing w:line="240" w:lineRule="auto"/>
        <w:ind w:firstLine="470" w:firstLineChars="196"/>
        <w:rPr>
          <w:rFonts w:ascii="仿宋" w:hAnsi="仿宋"/>
        </w:rPr>
      </w:pPr>
      <w:r>
        <w:rPr>
          <w:rFonts w:hint="eastAsia" w:ascii="仿宋" w:hAnsi="仿宋"/>
        </w:rPr>
        <w:t>日    期：20XX年XX月XX日。</w:t>
      </w:r>
    </w:p>
    <w:p>
      <w:pPr>
        <w:widowControl/>
        <w:spacing w:line="240" w:lineRule="auto"/>
        <w:rPr>
          <w:rFonts w:ascii="仿宋" w:hAnsi="仿宋"/>
        </w:rPr>
      </w:pPr>
    </w:p>
    <w:p>
      <w:pPr>
        <w:widowControl/>
        <w:spacing w:line="240" w:lineRule="auto"/>
        <w:rPr>
          <w:rFonts w:ascii="仿宋" w:hAnsi="仿宋"/>
        </w:rPr>
      </w:pPr>
      <w:r>
        <w:rPr>
          <w:rFonts w:hint="eastAsia" w:ascii="仿宋" w:hAnsi="仿宋"/>
        </w:rPr>
        <w:t>注：</w:t>
      </w:r>
    </w:p>
    <w:p>
      <w:pPr>
        <w:widowControl/>
        <w:rPr>
          <w:rFonts w:ascii="仿宋" w:hAnsi="仿宋"/>
        </w:rPr>
      </w:pPr>
      <w:r>
        <w:rPr>
          <w:rFonts w:hint="eastAsia" w:ascii="仿宋" w:hAnsi="仿宋"/>
        </w:rPr>
        <w:t>1.《政府采购法实施条例》（国务院令第658号）第十八条所规定的控股、管理关系，仅限于直接控股、直接管理关系，而不包括间接的控股或管理关系。</w:t>
      </w:r>
    </w:p>
    <w:p>
      <w:pPr>
        <w:widowControl/>
        <w:rPr>
          <w:rFonts w:ascii="仿宋" w:hAnsi="仿宋"/>
        </w:rPr>
      </w:pPr>
      <w:r>
        <w:rPr>
          <w:rFonts w:hint="eastAsia" w:ascii="仿宋" w:hAnsi="仿宋"/>
          <w:b/>
          <w:bCs/>
        </w:rPr>
        <w:t>2.直接控股关系：</w:t>
      </w:r>
      <w:r>
        <w:rPr>
          <w:rFonts w:hint="eastAsia" w:ascii="仿宋" w:hAnsi="仿宋"/>
        </w:rPr>
        <w:t>是指出资额占有限责任公司资本总额百分之五十以上或者直接持有的股份占股份有限公司股本总额百分之五十以上，或者享有的表决权对被控股单位股东会、股东大会的决议产生重大影响的关系。(不包括虽然不是该公司的股东，但通过投资关系、协议或者其他安排，能够实际支配公司行为的间接控股关系。)</w:t>
      </w:r>
    </w:p>
    <w:p>
      <w:pPr>
        <w:widowControl/>
        <w:rPr>
          <w:rFonts w:ascii="仿宋" w:hAnsi="仿宋"/>
        </w:rPr>
      </w:pPr>
      <w:r>
        <w:rPr>
          <w:rFonts w:hint="eastAsia" w:ascii="仿宋" w:hAnsi="仿宋"/>
          <w:b/>
          <w:bCs/>
        </w:rPr>
        <w:t>3.直接管理关系：</w:t>
      </w:r>
      <w:r>
        <w:rPr>
          <w:rFonts w:hint="eastAsia" w:ascii="仿宋" w:hAnsi="仿宋"/>
        </w:rPr>
        <w:t>是指不具有出资持股关系的其他单位之间存在的管理与被管理关系，如一些上下级关系的事业单位和团体组织。</w:t>
      </w:r>
    </w:p>
    <w:p>
      <w:pPr>
        <w:widowControl/>
        <w:rPr>
          <w:rFonts w:ascii="仿宋" w:hAnsi="仿宋"/>
        </w:rPr>
      </w:pPr>
      <w:r>
        <w:rPr>
          <w:rFonts w:hint="eastAsia" w:ascii="仿宋" w:hAnsi="仿宋"/>
        </w:rPr>
        <w:t>4.与我方存在直接控股关系的单位</w:t>
      </w:r>
      <w:r>
        <w:rPr>
          <w:rFonts w:hint="eastAsia" w:ascii="仿宋" w:hAnsi="仿宋"/>
          <w:b/>
          <w:bCs/>
        </w:rPr>
        <w:t>包括</w:t>
      </w:r>
      <w:r>
        <w:rPr>
          <w:rFonts w:hint="eastAsia" w:ascii="仿宋" w:hAnsi="仿宋"/>
        </w:rPr>
        <w:t>直接控股我方的单位及我方直接控股的单位；与我方存在直接管理关系单位</w:t>
      </w:r>
      <w:r>
        <w:rPr>
          <w:rFonts w:hint="eastAsia" w:ascii="仿宋" w:hAnsi="仿宋"/>
          <w:b/>
          <w:bCs/>
        </w:rPr>
        <w:t>包括</w:t>
      </w:r>
      <w:r>
        <w:rPr>
          <w:rFonts w:hint="eastAsia" w:ascii="仿宋" w:hAnsi="仿宋"/>
        </w:rPr>
        <w:t>直接管理我方的单位及我方直接管理的单位。</w:t>
      </w:r>
      <w:r>
        <w:rPr>
          <w:rFonts w:ascii="仿宋" w:hAnsi="仿宋"/>
        </w:rPr>
        <w:br w:type="page"/>
      </w:r>
    </w:p>
    <w:p>
      <w:pPr>
        <w:pStyle w:val="5"/>
        <w:spacing w:before="0" w:after="0"/>
        <w:rPr>
          <w:rFonts w:ascii="仿宋" w:hAnsi="仿宋" w:cs="仿宋"/>
        </w:rPr>
      </w:pPr>
      <w:bookmarkStart w:id="207" w:name="_Toc86701958"/>
      <w:r>
        <w:rPr>
          <w:rFonts w:hint="eastAsia" w:ascii="仿宋" w:hAnsi="仿宋" w:cs="仿宋"/>
        </w:rPr>
        <w:t>格式2-4</w:t>
      </w:r>
      <w:bookmarkEnd w:id="176"/>
      <w:bookmarkEnd w:id="205"/>
      <w:bookmarkStart w:id="208" w:name="_Toc217446085"/>
      <w:r>
        <w:rPr>
          <w:rFonts w:hint="eastAsia" w:ascii="仿宋" w:hAnsi="仿宋" w:cs="仿宋"/>
        </w:rPr>
        <w:t xml:space="preserve"> 开标一览表</w:t>
      </w:r>
      <w:bookmarkEnd w:id="207"/>
      <w:bookmarkEnd w:id="208"/>
    </w:p>
    <w:p>
      <w:pPr>
        <w:widowControl/>
        <w:spacing w:line="360" w:lineRule="atLeast"/>
        <w:jc w:val="center"/>
        <w:rPr>
          <w:rFonts w:ascii="仿宋" w:hAnsi="仿宋" w:cs="仿宋"/>
          <w:b/>
          <w:bCs/>
          <w:sz w:val="32"/>
          <w:szCs w:val="32"/>
        </w:rPr>
      </w:pPr>
      <w:r>
        <w:rPr>
          <w:rFonts w:hint="eastAsia" w:ascii="仿宋" w:hAnsi="仿宋" w:cs="仿宋"/>
          <w:b/>
          <w:bCs/>
          <w:sz w:val="32"/>
          <w:szCs w:val="32"/>
        </w:rPr>
        <w:t>开标一览表</w:t>
      </w:r>
    </w:p>
    <w:p>
      <w:pPr>
        <w:ind w:right="1488" w:rightChars="620"/>
        <w:rPr>
          <w:rFonts w:ascii="仿宋" w:hAnsi="仿宋"/>
        </w:rPr>
      </w:pPr>
      <w:r>
        <w:rPr>
          <w:rFonts w:ascii="仿宋" w:hAnsi="仿宋"/>
        </w:rPr>
        <w:t>项目名称：</w:t>
      </w:r>
    </w:p>
    <w:p>
      <w:pPr>
        <w:ind w:right="1488" w:rightChars="620"/>
        <w:rPr>
          <w:rFonts w:ascii="仿宋" w:hAnsi="仿宋"/>
        </w:rPr>
      </w:pPr>
      <w:r>
        <w:rPr>
          <w:rFonts w:ascii="仿宋" w:hAnsi="仿宋"/>
        </w:rPr>
        <w:t>采购编号：</w:t>
      </w:r>
    </w:p>
    <w:p>
      <w:pPr>
        <w:ind w:right="1488" w:rightChars="620"/>
        <w:rPr>
          <w:rFonts w:ascii="仿宋" w:hAnsi="仿宋"/>
        </w:rPr>
      </w:pP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1363"/>
        <w:gridCol w:w="1394"/>
        <w:gridCol w:w="2052"/>
        <w:gridCol w:w="3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443" w:type="pct"/>
            <w:vAlign w:val="center"/>
          </w:tcPr>
          <w:p>
            <w:pPr>
              <w:widowControl/>
              <w:jc w:val="center"/>
              <w:rPr>
                <w:rFonts w:ascii="仿宋" w:hAnsi="仿宋" w:cs="宋体"/>
                <w:bCs/>
                <w:kern w:val="0"/>
              </w:rPr>
            </w:pPr>
            <w:r>
              <w:rPr>
                <w:rFonts w:hint="eastAsia" w:ascii="仿宋" w:hAnsi="仿宋" w:cs="宋体"/>
                <w:bCs/>
                <w:kern w:val="0"/>
              </w:rPr>
              <w:t>序号</w:t>
            </w:r>
          </w:p>
        </w:tc>
        <w:tc>
          <w:tcPr>
            <w:tcW w:w="1485" w:type="pct"/>
            <w:gridSpan w:val="2"/>
            <w:vAlign w:val="center"/>
          </w:tcPr>
          <w:p>
            <w:pPr>
              <w:widowControl/>
              <w:jc w:val="center"/>
              <w:rPr>
                <w:rFonts w:ascii="仿宋" w:hAnsi="仿宋" w:cs="宋体"/>
                <w:bCs/>
                <w:kern w:val="0"/>
              </w:rPr>
            </w:pPr>
            <w:r>
              <w:rPr>
                <w:rFonts w:hint="eastAsia" w:ascii="仿宋" w:hAnsi="仿宋" w:cs="宋体"/>
                <w:bCs/>
                <w:kern w:val="0"/>
              </w:rPr>
              <w:t>服务内容</w:t>
            </w:r>
          </w:p>
        </w:tc>
        <w:tc>
          <w:tcPr>
            <w:tcW w:w="1104" w:type="pct"/>
            <w:vAlign w:val="center"/>
          </w:tcPr>
          <w:p>
            <w:pPr>
              <w:jc w:val="center"/>
              <w:rPr>
                <w:rFonts w:ascii="仿宋" w:hAnsi="仿宋" w:cs="宋体"/>
                <w:bCs/>
                <w:kern w:val="0"/>
              </w:rPr>
            </w:pPr>
            <w:r>
              <w:rPr>
                <w:rFonts w:hint="eastAsia" w:ascii="仿宋" w:hAnsi="仿宋" w:cs="宋体"/>
                <w:bCs/>
                <w:kern w:val="0"/>
              </w:rPr>
              <w:t>服务年限</w:t>
            </w:r>
          </w:p>
        </w:tc>
        <w:tc>
          <w:tcPr>
            <w:tcW w:w="1966" w:type="pct"/>
            <w:vAlign w:val="center"/>
          </w:tcPr>
          <w:p>
            <w:pPr>
              <w:widowControl/>
              <w:jc w:val="center"/>
              <w:rPr>
                <w:rFonts w:ascii="仿宋" w:hAnsi="仿宋" w:cs="宋体"/>
                <w:bCs/>
                <w:kern w:val="0"/>
              </w:rPr>
            </w:pPr>
            <w:r>
              <w:rPr>
                <w:rFonts w:hint="eastAsia" w:ascii="仿宋" w:hAnsi="仿宋" w:cs="宋体"/>
                <w:bCs/>
                <w:kern w:val="0"/>
              </w:rPr>
              <w:t>报价（万元）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43" w:type="pct"/>
            <w:vAlign w:val="center"/>
          </w:tcPr>
          <w:p>
            <w:pPr>
              <w:widowControl/>
              <w:jc w:val="center"/>
              <w:rPr>
                <w:rFonts w:ascii="仿宋" w:hAnsi="仿宋" w:cs="宋体"/>
                <w:bCs/>
                <w:kern w:val="0"/>
              </w:rPr>
            </w:pPr>
            <w:r>
              <w:rPr>
                <w:rFonts w:ascii="仿宋" w:hAnsi="仿宋" w:cs="宋体"/>
                <w:bCs/>
                <w:kern w:val="0"/>
              </w:rPr>
              <w:t>1</w:t>
            </w:r>
          </w:p>
        </w:tc>
        <w:tc>
          <w:tcPr>
            <w:tcW w:w="1485" w:type="pct"/>
            <w:gridSpan w:val="2"/>
            <w:vAlign w:val="center"/>
          </w:tcPr>
          <w:p>
            <w:pPr>
              <w:widowControl/>
              <w:jc w:val="center"/>
              <w:rPr>
                <w:rFonts w:ascii="仿宋" w:hAnsi="仿宋" w:cs="宋体"/>
                <w:bCs/>
                <w:kern w:val="0"/>
              </w:rPr>
            </w:pPr>
          </w:p>
        </w:tc>
        <w:tc>
          <w:tcPr>
            <w:tcW w:w="1104" w:type="pct"/>
            <w:vAlign w:val="center"/>
          </w:tcPr>
          <w:p>
            <w:pPr>
              <w:jc w:val="center"/>
              <w:rPr>
                <w:rFonts w:ascii="仿宋" w:hAnsi="仿宋" w:cs="宋体"/>
                <w:bCs/>
                <w:kern w:val="0"/>
              </w:rPr>
            </w:pPr>
          </w:p>
        </w:tc>
        <w:tc>
          <w:tcPr>
            <w:tcW w:w="1966" w:type="pct"/>
            <w:vAlign w:val="center"/>
          </w:tcPr>
          <w:p>
            <w:pPr>
              <w:widowControl/>
              <w:jc w:val="center"/>
              <w:rPr>
                <w:rFonts w:ascii="仿宋" w:hAnsi="仿宋" w:cs="宋体"/>
                <w:bCs/>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443" w:type="pct"/>
            <w:vAlign w:val="center"/>
          </w:tcPr>
          <w:p>
            <w:pPr>
              <w:widowControl/>
              <w:jc w:val="center"/>
              <w:rPr>
                <w:rFonts w:ascii="仿宋" w:hAnsi="仿宋" w:cs="宋体"/>
                <w:bCs/>
                <w:kern w:val="0"/>
              </w:rPr>
            </w:pPr>
            <w:r>
              <w:rPr>
                <w:rFonts w:ascii="仿宋" w:hAnsi="仿宋" w:cs="宋体"/>
                <w:bCs/>
                <w:kern w:val="0"/>
              </w:rPr>
              <w:t>2</w:t>
            </w:r>
          </w:p>
        </w:tc>
        <w:tc>
          <w:tcPr>
            <w:tcW w:w="1485" w:type="pct"/>
            <w:gridSpan w:val="2"/>
            <w:vAlign w:val="center"/>
          </w:tcPr>
          <w:p>
            <w:pPr>
              <w:widowControl/>
              <w:jc w:val="center"/>
              <w:rPr>
                <w:rFonts w:ascii="仿宋" w:hAnsi="仿宋" w:cs="宋体"/>
                <w:bCs/>
                <w:kern w:val="0"/>
              </w:rPr>
            </w:pPr>
          </w:p>
        </w:tc>
        <w:tc>
          <w:tcPr>
            <w:tcW w:w="1104" w:type="pct"/>
            <w:vAlign w:val="center"/>
          </w:tcPr>
          <w:p>
            <w:pPr>
              <w:jc w:val="center"/>
              <w:rPr>
                <w:rFonts w:ascii="仿宋" w:hAnsi="仿宋" w:cs="宋体"/>
                <w:bCs/>
                <w:kern w:val="0"/>
              </w:rPr>
            </w:pPr>
          </w:p>
        </w:tc>
        <w:tc>
          <w:tcPr>
            <w:tcW w:w="1966" w:type="pct"/>
            <w:vAlign w:val="center"/>
          </w:tcPr>
          <w:p>
            <w:pPr>
              <w:widowControl/>
              <w:jc w:val="center"/>
              <w:rPr>
                <w:rFonts w:ascii="仿宋" w:hAnsi="仿宋" w:cs="宋体"/>
                <w:bCs/>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443" w:type="pct"/>
            <w:vAlign w:val="center"/>
          </w:tcPr>
          <w:p>
            <w:pPr>
              <w:widowControl/>
              <w:jc w:val="center"/>
              <w:rPr>
                <w:rFonts w:ascii="仿宋" w:hAnsi="仿宋" w:cs="宋体"/>
                <w:bCs/>
                <w:kern w:val="0"/>
              </w:rPr>
            </w:pPr>
            <w:r>
              <w:rPr>
                <w:rFonts w:ascii="仿宋" w:hAnsi="仿宋" w:cs="宋体"/>
                <w:bCs/>
                <w:kern w:val="0"/>
              </w:rPr>
              <w:t>3</w:t>
            </w:r>
          </w:p>
        </w:tc>
        <w:tc>
          <w:tcPr>
            <w:tcW w:w="1485" w:type="pct"/>
            <w:gridSpan w:val="2"/>
            <w:vAlign w:val="center"/>
          </w:tcPr>
          <w:p>
            <w:pPr>
              <w:widowControl/>
              <w:jc w:val="center"/>
              <w:rPr>
                <w:rFonts w:ascii="仿宋" w:hAnsi="仿宋" w:cs="宋体"/>
                <w:bCs/>
                <w:kern w:val="0"/>
              </w:rPr>
            </w:pPr>
          </w:p>
        </w:tc>
        <w:tc>
          <w:tcPr>
            <w:tcW w:w="1104" w:type="pct"/>
            <w:vAlign w:val="center"/>
          </w:tcPr>
          <w:p>
            <w:pPr>
              <w:jc w:val="center"/>
              <w:rPr>
                <w:rFonts w:ascii="仿宋" w:hAnsi="仿宋" w:cs="宋体"/>
                <w:bCs/>
                <w:kern w:val="0"/>
              </w:rPr>
            </w:pPr>
          </w:p>
        </w:tc>
        <w:tc>
          <w:tcPr>
            <w:tcW w:w="1966" w:type="pct"/>
            <w:vAlign w:val="center"/>
          </w:tcPr>
          <w:p>
            <w:pPr>
              <w:widowControl/>
              <w:jc w:val="center"/>
              <w:rPr>
                <w:rFonts w:ascii="仿宋" w:hAnsi="仿宋" w:cs="宋体"/>
                <w:bCs/>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033" w:type="pct"/>
            <w:gridSpan w:val="4"/>
            <w:vAlign w:val="center"/>
          </w:tcPr>
          <w:p>
            <w:pPr>
              <w:widowControl/>
              <w:jc w:val="center"/>
              <w:rPr>
                <w:rFonts w:ascii="仿宋" w:hAnsi="仿宋" w:cs="宋体"/>
                <w:kern w:val="0"/>
              </w:rPr>
            </w:pPr>
            <w:r>
              <w:rPr>
                <w:rFonts w:hint="eastAsia" w:ascii="仿宋" w:hAnsi="仿宋" w:cs="宋体"/>
                <w:kern w:val="0"/>
              </w:rPr>
              <w:t>合</w:t>
            </w:r>
            <w:r>
              <w:rPr>
                <w:rFonts w:ascii="仿宋" w:hAnsi="仿宋" w:cs="宋体"/>
                <w:kern w:val="0"/>
              </w:rPr>
              <w:t xml:space="preserve">  </w:t>
            </w:r>
            <w:r>
              <w:rPr>
                <w:rFonts w:hint="eastAsia" w:ascii="仿宋" w:hAnsi="仿宋" w:cs="宋体"/>
                <w:kern w:val="0"/>
              </w:rPr>
              <w:t>计</w:t>
            </w:r>
            <w:r>
              <w:rPr>
                <w:rFonts w:ascii="仿宋" w:hAnsi="仿宋" w:cs="宋体"/>
                <w:kern w:val="0"/>
              </w:rPr>
              <w:t>(万元)</w:t>
            </w:r>
          </w:p>
        </w:tc>
        <w:tc>
          <w:tcPr>
            <w:tcW w:w="1966" w:type="pct"/>
            <w:vAlign w:val="center"/>
          </w:tcPr>
          <w:p>
            <w:pPr>
              <w:widowControl/>
              <w:rPr>
                <w:rFonts w:ascii="仿宋" w:hAnsi="仿宋"/>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1177" w:type="pct"/>
            <w:gridSpan w:val="2"/>
            <w:vAlign w:val="center"/>
          </w:tcPr>
          <w:p>
            <w:pPr>
              <w:widowControl/>
              <w:jc w:val="center"/>
              <w:rPr>
                <w:rFonts w:ascii="仿宋" w:hAnsi="仿宋" w:cs="宋体"/>
                <w:kern w:val="0"/>
              </w:rPr>
            </w:pPr>
            <w:r>
              <w:rPr>
                <w:rFonts w:hint="eastAsia" w:ascii="仿宋" w:hAnsi="仿宋" w:cs="宋体"/>
                <w:kern w:val="0"/>
              </w:rPr>
              <w:t>投标总价</w:t>
            </w:r>
          </w:p>
        </w:tc>
        <w:tc>
          <w:tcPr>
            <w:tcW w:w="3822" w:type="pct"/>
            <w:gridSpan w:val="3"/>
            <w:vAlign w:val="center"/>
          </w:tcPr>
          <w:p>
            <w:pPr>
              <w:widowControl/>
              <w:rPr>
                <w:rFonts w:ascii="仿宋" w:hAnsi="仿宋" w:cs="宋体"/>
                <w:kern w:val="0"/>
              </w:rPr>
            </w:pPr>
            <w:r>
              <w:rPr>
                <w:rFonts w:hint="eastAsia" w:ascii="仿宋" w:hAnsi="仿宋"/>
                <w:b/>
              </w:rPr>
              <w:t>人民币大写：（人民币小写：万元）</w:t>
            </w:r>
          </w:p>
        </w:tc>
      </w:tr>
    </w:tbl>
    <w:p>
      <w:pPr>
        <w:widowControl/>
        <w:spacing w:line="360" w:lineRule="atLeast"/>
        <w:rPr>
          <w:rFonts w:ascii="仿宋" w:hAnsi="仿宋"/>
        </w:rPr>
      </w:pPr>
    </w:p>
    <w:p>
      <w:pPr>
        <w:widowControl/>
        <w:spacing w:line="360" w:lineRule="atLeast"/>
        <w:ind w:firstLine="470" w:firstLineChars="196"/>
        <w:rPr>
          <w:rFonts w:ascii="仿宋" w:hAnsi="仿宋"/>
        </w:rPr>
      </w:pPr>
      <w:r>
        <w:rPr>
          <w:rFonts w:hint="eastAsia" w:ascii="仿宋" w:hAnsi="仿宋"/>
        </w:rPr>
        <w:t xml:space="preserve">注：1. 报价应是最终用户验收合格后的总价，包括人工、保险、代理、培训、税费等实施本次采购项目的所有费用。 </w:t>
      </w:r>
    </w:p>
    <w:p>
      <w:pPr>
        <w:spacing w:line="400" w:lineRule="exact"/>
        <w:ind w:firstLine="480" w:firstLineChars="200"/>
        <w:rPr>
          <w:rFonts w:ascii="仿宋" w:hAnsi="仿宋"/>
        </w:rPr>
      </w:pPr>
      <w:r>
        <w:rPr>
          <w:rFonts w:hint="eastAsia" w:ascii="仿宋" w:hAnsi="仿宋"/>
        </w:rPr>
        <w:t>2、“开标一览表”以包为单位填写。</w:t>
      </w:r>
    </w:p>
    <w:p>
      <w:pPr>
        <w:spacing w:line="400" w:lineRule="exact"/>
        <w:rPr>
          <w:rFonts w:ascii="仿宋" w:hAnsi="仿宋"/>
        </w:rPr>
      </w:pPr>
    </w:p>
    <w:p>
      <w:pPr>
        <w:widowControl/>
        <w:spacing w:line="360" w:lineRule="atLeast"/>
        <w:ind w:firstLine="470" w:firstLineChars="196"/>
        <w:rPr>
          <w:rFonts w:ascii="仿宋" w:hAnsi="仿宋"/>
        </w:rPr>
      </w:pPr>
    </w:p>
    <w:p>
      <w:pPr>
        <w:widowControl/>
        <w:spacing w:line="360" w:lineRule="atLeast"/>
        <w:ind w:firstLine="470" w:firstLineChars="196"/>
        <w:rPr>
          <w:rFonts w:ascii="仿宋" w:hAnsi="仿宋"/>
        </w:rPr>
      </w:pPr>
      <w:r>
        <w:rPr>
          <w:rFonts w:hint="eastAsia" w:ascii="仿宋" w:hAnsi="仿宋"/>
        </w:rPr>
        <w:t>投标人名称：XXXX</w:t>
      </w:r>
    </w:p>
    <w:p>
      <w:pPr>
        <w:widowControl/>
        <w:spacing w:line="360" w:lineRule="atLeast"/>
        <w:ind w:firstLine="470" w:firstLineChars="196"/>
        <w:rPr>
          <w:rFonts w:ascii="仿宋" w:hAnsi="仿宋"/>
          <w:b/>
        </w:rPr>
        <w:sectPr>
          <w:pgSz w:w="11905" w:h="16838"/>
          <w:pgMar w:top="1417" w:right="1417" w:bottom="1417" w:left="1417" w:header="425" w:footer="992" w:gutter="0"/>
          <w:cols w:space="0" w:num="1"/>
          <w:titlePg/>
          <w:docGrid w:linePitch="312" w:charSpace="0"/>
        </w:sectPr>
      </w:pPr>
      <w:r>
        <w:rPr>
          <w:rFonts w:hint="eastAsia" w:ascii="仿宋" w:hAnsi="仿宋"/>
        </w:rPr>
        <w:t>投标日期：XXX</w:t>
      </w:r>
    </w:p>
    <w:p>
      <w:pPr>
        <w:jc w:val="both"/>
        <w:rPr>
          <w:rFonts w:ascii="仿宋" w:hAnsi="仿宋"/>
          <w:b/>
          <w:sz w:val="32"/>
          <w:szCs w:val="32"/>
        </w:rPr>
      </w:pPr>
      <w:r>
        <w:rPr>
          <w:rFonts w:hint="eastAsia" w:ascii="仿宋" w:hAnsi="仿宋"/>
          <w:b/>
          <w:sz w:val="32"/>
          <w:szCs w:val="32"/>
        </w:rPr>
        <w:t>格式2-4分项报价明细表</w:t>
      </w:r>
    </w:p>
    <w:bookmarkEnd w:id="183"/>
    <w:p>
      <w:pPr>
        <w:widowControl/>
        <w:spacing w:line="360" w:lineRule="atLeast"/>
        <w:jc w:val="center"/>
        <w:outlineLvl w:val="1"/>
        <w:rPr>
          <w:rFonts w:ascii="仿宋" w:hAnsi="仿宋"/>
          <w:b/>
          <w:sz w:val="32"/>
          <w:szCs w:val="32"/>
        </w:rPr>
      </w:pPr>
      <w:bookmarkStart w:id="209" w:name="_Toc86701969"/>
      <w:bookmarkStart w:id="210" w:name="_Toc217446087"/>
      <w:bookmarkStart w:id="211" w:name="PO_默认文件内容_26"/>
      <w:r>
        <w:rPr>
          <w:rFonts w:hint="eastAsia" w:ascii="仿宋" w:hAnsi="仿宋"/>
          <w:b/>
          <w:sz w:val="32"/>
          <w:szCs w:val="32"/>
        </w:rPr>
        <w:t>四、分项报价明细表</w:t>
      </w:r>
    </w:p>
    <w:p>
      <w:pPr>
        <w:widowControl/>
        <w:spacing w:line="360" w:lineRule="atLeast"/>
        <w:ind w:firstLine="472" w:firstLineChars="196"/>
        <w:rPr>
          <w:rFonts w:ascii="仿宋" w:hAnsi="仿宋"/>
          <w:b/>
        </w:rPr>
      </w:pP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
        <w:gridCol w:w="4472"/>
        <w:gridCol w:w="3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7"/>
              <w:spacing w:before="166" w:beforeLines="50"/>
              <w:jc w:val="center"/>
              <w:rPr>
                <w:rFonts w:ascii="仿宋" w:hAnsi="仿宋"/>
                <w:kern w:val="0"/>
              </w:rPr>
            </w:pPr>
            <w:r>
              <w:rPr>
                <w:rFonts w:hint="eastAsia" w:ascii="仿宋" w:hAnsi="仿宋"/>
                <w:kern w:val="0"/>
              </w:rPr>
              <w:t>序号</w:t>
            </w:r>
          </w:p>
        </w:tc>
        <w:tc>
          <w:tcPr>
            <w:tcW w:w="2407" w:type="pct"/>
            <w:vAlign w:val="center"/>
          </w:tcPr>
          <w:p>
            <w:pPr>
              <w:pStyle w:val="17"/>
              <w:spacing w:before="166" w:beforeLines="50"/>
              <w:jc w:val="center"/>
              <w:rPr>
                <w:rFonts w:ascii="仿宋" w:hAnsi="仿宋"/>
                <w:kern w:val="0"/>
              </w:rPr>
            </w:pPr>
            <w:r>
              <w:rPr>
                <w:rFonts w:hint="eastAsia" w:ascii="仿宋" w:hAnsi="仿宋"/>
                <w:kern w:val="0"/>
              </w:rPr>
              <w:t>服务内容</w:t>
            </w:r>
          </w:p>
        </w:tc>
        <w:tc>
          <w:tcPr>
            <w:tcW w:w="2042" w:type="pct"/>
            <w:vAlign w:val="center"/>
          </w:tcPr>
          <w:p>
            <w:pPr>
              <w:pStyle w:val="17"/>
              <w:spacing w:before="166" w:beforeLines="50"/>
              <w:jc w:val="center"/>
              <w:rPr>
                <w:rFonts w:ascii="仿宋" w:hAnsi="仿宋"/>
                <w:kern w:val="0"/>
              </w:rPr>
            </w:pPr>
            <w:r>
              <w:rPr>
                <w:rFonts w:hint="eastAsia" w:ascii="仿宋" w:hAnsi="仿宋"/>
                <w:kern w:val="0"/>
              </w:rPr>
              <w:t>单项价格（单位：万元）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snapToGrid w:val="0"/>
              <w:jc w:val="center"/>
              <w:rPr>
                <w:rFonts w:ascii="仿宋" w:hAnsi="仿宋"/>
              </w:rPr>
            </w:pPr>
            <w:r>
              <w:rPr>
                <w:rFonts w:ascii="仿宋" w:hAnsi="仿宋"/>
              </w:rPr>
              <w:t>1</w:t>
            </w:r>
          </w:p>
        </w:tc>
        <w:tc>
          <w:tcPr>
            <w:tcW w:w="2407" w:type="pct"/>
            <w:vAlign w:val="center"/>
          </w:tcPr>
          <w:p>
            <w:pPr>
              <w:pStyle w:val="17"/>
              <w:jc w:val="center"/>
              <w:rPr>
                <w:rFonts w:ascii="仿宋" w:hAnsi="仿宋"/>
                <w:kern w:val="0"/>
              </w:rPr>
            </w:pPr>
          </w:p>
        </w:tc>
        <w:tc>
          <w:tcPr>
            <w:tcW w:w="2042" w:type="pct"/>
            <w:vAlign w:val="center"/>
          </w:tcPr>
          <w:p>
            <w:pPr>
              <w:pStyle w:val="17"/>
              <w:jc w:val="center"/>
              <w:rPr>
                <w:rFonts w:ascii="仿宋" w:hAnsi="仿宋"/>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snapToGrid w:val="0"/>
              <w:jc w:val="center"/>
              <w:rPr>
                <w:rFonts w:ascii="仿宋" w:hAnsi="仿宋"/>
              </w:rPr>
            </w:pPr>
            <w:r>
              <w:rPr>
                <w:rFonts w:ascii="仿宋" w:hAnsi="仿宋"/>
              </w:rPr>
              <w:t>2</w:t>
            </w:r>
          </w:p>
        </w:tc>
        <w:tc>
          <w:tcPr>
            <w:tcW w:w="2407" w:type="pct"/>
            <w:vAlign w:val="center"/>
          </w:tcPr>
          <w:p>
            <w:pPr>
              <w:pStyle w:val="17"/>
              <w:jc w:val="center"/>
              <w:rPr>
                <w:rFonts w:ascii="仿宋" w:hAnsi="仿宋"/>
                <w:kern w:val="0"/>
              </w:rPr>
            </w:pPr>
          </w:p>
        </w:tc>
        <w:tc>
          <w:tcPr>
            <w:tcW w:w="2042" w:type="pct"/>
            <w:vAlign w:val="center"/>
          </w:tcPr>
          <w:p>
            <w:pPr>
              <w:pStyle w:val="17"/>
              <w:jc w:val="center"/>
              <w:rPr>
                <w:rFonts w:ascii="仿宋" w:hAnsi="仿宋"/>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snapToGrid w:val="0"/>
              <w:jc w:val="center"/>
              <w:rPr>
                <w:rFonts w:ascii="仿宋" w:hAnsi="仿宋"/>
              </w:rPr>
            </w:pPr>
            <w:r>
              <w:rPr>
                <w:rFonts w:ascii="仿宋" w:hAnsi="仿宋"/>
              </w:rPr>
              <w:t>3</w:t>
            </w:r>
          </w:p>
        </w:tc>
        <w:tc>
          <w:tcPr>
            <w:tcW w:w="2407" w:type="pct"/>
            <w:vAlign w:val="center"/>
          </w:tcPr>
          <w:p>
            <w:pPr>
              <w:pStyle w:val="17"/>
              <w:jc w:val="center"/>
              <w:rPr>
                <w:rFonts w:ascii="仿宋" w:hAnsi="仿宋"/>
                <w:kern w:val="0"/>
              </w:rPr>
            </w:pPr>
          </w:p>
        </w:tc>
        <w:tc>
          <w:tcPr>
            <w:tcW w:w="2042" w:type="pct"/>
            <w:vAlign w:val="center"/>
          </w:tcPr>
          <w:p>
            <w:pPr>
              <w:pStyle w:val="17"/>
              <w:jc w:val="center"/>
              <w:rPr>
                <w:rFonts w:ascii="仿宋" w:hAnsi="仿宋"/>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49" w:type="pct"/>
            <w:vAlign w:val="center"/>
          </w:tcPr>
          <w:p>
            <w:pPr>
              <w:pStyle w:val="17"/>
              <w:jc w:val="center"/>
              <w:rPr>
                <w:rFonts w:ascii="仿宋" w:hAnsi="仿宋"/>
                <w:kern w:val="0"/>
              </w:rPr>
            </w:pPr>
            <w:r>
              <w:rPr>
                <w:rFonts w:ascii="仿宋" w:hAnsi="仿宋"/>
                <w:kern w:val="0"/>
              </w:rPr>
              <w:t>…</w:t>
            </w:r>
          </w:p>
        </w:tc>
        <w:tc>
          <w:tcPr>
            <w:tcW w:w="2407" w:type="pct"/>
            <w:vAlign w:val="center"/>
          </w:tcPr>
          <w:p>
            <w:pPr>
              <w:pStyle w:val="17"/>
              <w:jc w:val="center"/>
              <w:rPr>
                <w:rFonts w:ascii="仿宋" w:hAnsi="仿宋"/>
                <w:kern w:val="0"/>
              </w:rPr>
            </w:pPr>
          </w:p>
        </w:tc>
        <w:tc>
          <w:tcPr>
            <w:tcW w:w="2042" w:type="pct"/>
            <w:vAlign w:val="center"/>
          </w:tcPr>
          <w:p>
            <w:pPr>
              <w:pStyle w:val="17"/>
              <w:jc w:val="center"/>
              <w:rPr>
                <w:rFonts w:ascii="仿宋" w:hAnsi="仿宋"/>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7"/>
              <w:jc w:val="center"/>
              <w:rPr>
                <w:rFonts w:ascii="仿宋" w:hAnsi="仿宋"/>
                <w:kern w:val="0"/>
              </w:rPr>
            </w:pPr>
          </w:p>
        </w:tc>
        <w:tc>
          <w:tcPr>
            <w:tcW w:w="2407" w:type="pct"/>
            <w:vAlign w:val="center"/>
          </w:tcPr>
          <w:p>
            <w:pPr>
              <w:pStyle w:val="17"/>
              <w:jc w:val="center"/>
              <w:rPr>
                <w:rFonts w:ascii="仿宋" w:hAnsi="仿宋"/>
                <w:kern w:val="0"/>
              </w:rPr>
            </w:pPr>
          </w:p>
        </w:tc>
        <w:tc>
          <w:tcPr>
            <w:tcW w:w="2042" w:type="pct"/>
            <w:vAlign w:val="center"/>
          </w:tcPr>
          <w:p>
            <w:pPr>
              <w:pStyle w:val="17"/>
              <w:jc w:val="center"/>
              <w:rPr>
                <w:rFonts w:ascii="仿宋" w:hAnsi="仿宋"/>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7"/>
              <w:jc w:val="center"/>
              <w:rPr>
                <w:rFonts w:ascii="仿宋" w:hAnsi="仿宋"/>
                <w:kern w:val="0"/>
              </w:rPr>
            </w:pPr>
          </w:p>
        </w:tc>
        <w:tc>
          <w:tcPr>
            <w:tcW w:w="2407" w:type="pct"/>
            <w:vAlign w:val="center"/>
          </w:tcPr>
          <w:p>
            <w:pPr>
              <w:pStyle w:val="17"/>
              <w:jc w:val="center"/>
              <w:rPr>
                <w:rFonts w:ascii="仿宋" w:hAnsi="仿宋"/>
                <w:kern w:val="0"/>
              </w:rPr>
            </w:pPr>
          </w:p>
        </w:tc>
        <w:tc>
          <w:tcPr>
            <w:tcW w:w="2042" w:type="pct"/>
            <w:vAlign w:val="center"/>
          </w:tcPr>
          <w:p>
            <w:pPr>
              <w:pStyle w:val="17"/>
              <w:jc w:val="center"/>
              <w:rPr>
                <w:rFonts w:ascii="仿宋" w:hAnsi="仿宋"/>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7"/>
              <w:jc w:val="center"/>
              <w:rPr>
                <w:rFonts w:ascii="仿宋" w:hAnsi="仿宋"/>
                <w:kern w:val="0"/>
              </w:rPr>
            </w:pPr>
          </w:p>
        </w:tc>
        <w:tc>
          <w:tcPr>
            <w:tcW w:w="2407" w:type="pct"/>
            <w:vAlign w:val="center"/>
          </w:tcPr>
          <w:p>
            <w:pPr>
              <w:pStyle w:val="17"/>
              <w:jc w:val="center"/>
              <w:rPr>
                <w:rFonts w:ascii="仿宋" w:hAnsi="仿宋"/>
                <w:kern w:val="0"/>
              </w:rPr>
            </w:pPr>
          </w:p>
        </w:tc>
        <w:tc>
          <w:tcPr>
            <w:tcW w:w="2042" w:type="pct"/>
            <w:vAlign w:val="center"/>
          </w:tcPr>
          <w:p>
            <w:pPr>
              <w:pStyle w:val="17"/>
              <w:jc w:val="center"/>
              <w:rPr>
                <w:rFonts w:ascii="仿宋" w:hAnsi="仿宋"/>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7"/>
              <w:jc w:val="center"/>
              <w:rPr>
                <w:rFonts w:ascii="仿宋" w:hAnsi="仿宋"/>
                <w:kern w:val="0"/>
              </w:rPr>
            </w:pPr>
          </w:p>
        </w:tc>
        <w:tc>
          <w:tcPr>
            <w:tcW w:w="2407" w:type="pct"/>
            <w:vAlign w:val="center"/>
          </w:tcPr>
          <w:p>
            <w:pPr>
              <w:pStyle w:val="17"/>
              <w:jc w:val="center"/>
              <w:rPr>
                <w:rFonts w:ascii="仿宋" w:hAnsi="仿宋"/>
                <w:kern w:val="0"/>
              </w:rPr>
            </w:pPr>
          </w:p>
        </w:tc>
        <w:tc>
          <w:tcPr>
            <w:tcW w:w="2042" w:type="pct"/>
            <w:vAlign w:val="center"/>
          </w:tcPr>
          <w:p>
            <w:pPr>
              <w:pStyle w:val="17"/>
              <w:jc w:val="center"/>
              <w:rPr>
                <w:rFonts w:ascii="仿宋" w:hAnsi="仿宋"/>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7"/>
              <w:jc w:val="center"/>
              <w:rPr>
                <w:rFonts w:ascii="仿宋" w:hAnsi="仿宋"/>
                <w:kern w:val="0"/>
              </w:rPr>
            </w:pPr>
          </w:p>
        </w:tc>
        <w:tc>
          <w:tcPr>
            <w:tcW w:w="2407" w:type="pct"/>
            <w:vAlign w:val="center"/>
          </w:tcPr>
          <w:p>
            <w:pPr>
              <w:pStyle w:val="17"/>
              <w:jc w:val="center"/>
              <w:rPr>
                <w:rFonts w:ascii="仿宋" w:hAnsi="仿宋"/>
                <w:kern w:val="0"/>
              </w:rPr>
            </w:pPr>
          </w:p>
        </w:tc>
        <w:tc>
          <w:tcPr>
            <w:tcW w:w="2042" w:type="pct"/>
            <w:vAlign w:val="center"/>
          </w:tcPr>
          <w:p>
            <w:pPr>
              <w:pStyle w:val="17"/>
              <w:jc w:val="center"/>
              <w:rPr>
                <w:rFonts w:ascii="仿宋" w:hAnsi="仿宋"/>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7"/>
              <w:jc w:val="center"/>
              <w:rPr>
                <w:rFonts w:ascii="仿宋" w:hAnsi="仿宋"/>
                <w:kern w:val="0"/>
              </w:rPr>
            </w:pPr>
          </w:p>
        </w:tc>
        <w:tc>
          <w:tcPr>
            <w:tcW w:w="2407" w:type="pct"/>
            <w:vAlign w:val="center"/>
          </w:tcPr>
          <w:p>
            <w:pPr>
              <w:pStyle w:val="17"/>
              <w:jc w:val="center"/>
              <w:rPr>
                <w:rFonts w:ascii="仿宋" w:hAnsi="仿宋"/>
                <w:kern w:val="0"/>
              </w:rPr>
            </w:pPr>
          </w:p>
        </w:tc>
        <w:tc>
          <w:tcPr>
            <w:tcW w:w="2042" w:type="pct"/>
            <w:vAlign w:val="center"/>
          </w:tcPr>
          <w:p>
            <w:pPr>
              <w:pStyle w:val="17"/>
              <w:jc w:val="center"/>
              <w:rPr>
                <w:rFonts w:ascii="仿宋" w:hAnsi="仿宋"/>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7"/>
              <w:jc w:val="center"/>
              <w:rPr>
                <w:rFonts w:ascii="仿宋" w:hAnsi="仿宋"/>
                <w:kern w:val="0"/>
              </w:rPr>
            </w:pPr>
          </w:p>
        </w:tc>
        <w:tc>
          <w:tcPr>
            <w:tcW w:w="2407" w:type="pct"/>
            <w:vAlign w:val="center"/>
          </w:tcPr>
          <w:p>
            <w:pPr>
              <w:pStyle w:val="17"/>
              <w:jc w:val="center"/>
              <w:rPr>
                <w:rFonts w:ascii="仿宋" w:hAnsi="仿宋"/>
                <w:kern w:val="0"/>
              </w:rPr>
            </w:pPr>
          </w:p>
        </w:tc>
        <w:tc>
          <w:tcPr>
            <w:tcW w:w="2042" w:type="pct"/>
            <w:vAlign w:val="center"/>
          </w:tcPr>
          <w:p>
            <w:pPr>
              <w:pStyle w:val="17"/>
              <w:jc w:val="center"/>
              <w:rPr>
                <w:rFonts w:ascii="仿宋" w:hAnsi="仿宋"/>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7" w:type="pct"/>
            <w:gridSpan w:val="2"/>
            <w:vAlign w:val="center"/>
          </w:tcPr>
          <w:p>
            <w:pPr>
              <w:pStyle w:val="17"/>
              <w:ind w:firstLine="361" w:firstLineChars="150"/>
              <w:rPr>
                <w:rFonts w:ascii="仿宋" w:hAnsi="仿宋"/>
                <w:b/>
                <w:kern w:val="0"/>
              </w:rPr>
            </w:pPr>
            <w:r>
              <w:rPr>
                <w:rFonts w:hint="eastAsia" w:ascii="仿宋" w:hAnsi="仿宋"/>
                <w:b/>
                <w:kern w:val="0"/>
              </w:rPr>
              <w:t>总</w:t>
            </w:r>
            <w:r>
              <w:rPr>
                <w:rFonts w:ascii="仿宋" w:hAnsi="仿宋"/>
                <w:b/>
                <w:kern w:val="0"/>
              </w:rPr>
              <w:t xml:space="preserve">    </w:t>
            </w:r>
            <w:r>
              <w:rPr>
                <w:rFonts w:hint="eastAsia" w:ascii="仿宋" w:hAnsi="仿宋"/>
                <w:b/>
                <w:kern w:val="0"/>
              </w:rPr>
              <w:t>价</w:t>
            </w:r>
            <w:r>
              <w:rPr>
                <w:rFonts w:ascii="仿宋" w:hAnsi="仿宋"/>
                <w:b/>
                <w:kern w:val="0"/>
              </w:rPr>
              <w:t>(万元)</w:t>
            </w:r>
          </w:p>
        </w:tc>
        <w:tc>
          <w:tcPr>
            <w:tcW w:w="2042" w:type="pct"/>
            <w:vAlign w:val="center"/>
          </w:tcPr>
          <w:p>
            <w:pPr>
              <w:pStyle w:val="17"/>
              <w:jc w:val="center"/>
              <w:rPr>
                <w:rFonts w:ascii="仿宋" w:hAnsi="仿宋"/>
                <w:kern w:val="0"/>
              </w:rPr>
            </w:pPr>
          </w:p>
        </w:tc>
      </w:tr>
    </w:tbl>
    <w:p>
      <w:pPr>
        <w:widowControl/>
        <w:spacing w:line="360" w:lineRule="atLeast"/>
        <w:rPr>
          <w:rFonts w:ascii="仿宋" w:hAnsi="仿宋"/>
        </w:rPr>
      </w:pPr>
    </w:p>
    <w:p>
      <w:pPr>
        <w:widowControl/>
        <w:spacing w:line="360" w:lineRule="atLeast"/>
        <w:ind w:firstLine="470" w:firstLineChars="196"/>
        <w:rPr>
          <w:rFonts w:ascii="仿宋" w:hAnsi="仿宋"/>
        </w:rPr>
      </w:pPr>
      <w:r>
        <w:rPr>
          <w:rFonts w:hint="eastAsia" w:ascii="仿宋" w:hAnsi="仿宋"/>
        </w:rPr>
        <w:t>注：1、投标人应按“分项报价明细表”的格式详细报出投标总价的各个组成部分的报价。</w:t>
      </w:r>
    </w:p>
    <w:p>
      <w:pPr>
        <w:widowControl/>
        <w:spacing w:line="360" w:lineRule="atLeast"/>
        <w:ind w:firstLine="470" w:firstLineChars="196"/>
        <w:rPr>
          <w:rFonts w:ascii="仿宋" w:hAnsi="仿宋"/>
        </w:rPr>
      </w:pPr>
      <w:r>
        <w:rPr>
          <w:rFonts w:hint="eastAsia" w:ascii="仿宋" w:hAnsi="仿宋"/>
        </w:rPr>
        <w:t>2、“分项报价明细表”各分项报价合计应当与“开标一览表”报价合计相等。</w:t>
      </w:r>
    </w:p>
    <w:p>
      <w:pPr>
        <w:widowControl/>
        <w:spacing w:line="360" w:lineRule="atLeast"/>
        <w:ind w:firstLine="472" w:firstLineChars="196"/>
        <w:rPr>
          <w:rFonts w:ascii="仿宋" w:hAnsi="仿宋"/>
          <w:b/>
        </w:rPr>
      </w:pPr>
    </w:p>
    <w:p>
      <w:pPr>
        <w:widowControl/>
        <w:spacing w:line="360" w:lineRule="atLeast"/>
        <w:ind w:firstLine="472" w:firstLineChars="196"/>
        <w:rPr>
          <w:rFonts w:ascii="仿宋" w:hAnsi="仿宋"/>
          <w:b/>
        </w:rPr>
      </w:pPr>
    </w:p>
    <w:p>
      <w:pPr>
        <w:widowControl/>
        <w:spacing w:line="360" w:lineRule="atLeast"/>
        <w:ind w:firstLine="470" w:firstLineChars="196"/>
        <w:rPr>
          <w:rFonts w:ascii="仿宋" w:hAnsi="仿宋"/>
        </w:rPr>
      </w:pPr>
      <w:r>
        <w:rPr>
          <w:rFonts w:hint="eastAsia" w:ascii="仿宋" w:hAnsi="仿宋"/>
        </w:rPr>
        <w:t>投标人名称：XXXX</w:t>
      </w:r>
    </w:p>
    <w:p>
      <w:pPr>
        <w:widowControl/>
        <w:spacing w:line="360" w:lineRule="atLeast"/>
        <w:ind w:firstLine="470" w:firstLineChars="196"/>
        <w:rPr>
          <w:rFonts w:ascii="仿宋" w:hAnsi="仿宋"/>
        </w:rPr>
      </w:pPr>
      <w:r>
        <w:rPr>
          <w:rFonts w:hint="eastAsia" w:ascii="仿宋" w:hAnsi="仿宋"/>
        </w:rPr>
        <w:t>投标日期：XXXX。</w:t>
      </w:r>
    </w:p>
    <w:p>
      <w:pPr>
        <w:widowControl/>
        <w:spacing w:line="360" w:lineRule="atLeast"/>
        <w:rPr>
          <w:rFonts w:ascii="仿宋" w:hAnsi="仿宋"/>
        </w:rPr>
      </w:pPr>
      <w:r>
        <w:rPr>
          <w:rFonts w:ascii="仿宋" w:hAnsi="仿宋"/>
        </w:rPr>
        <w:br w:type="page"/>
      </w:r>
    </w:p>
    <w:p>
      <w:pPr>
        <w:pStyle w:val="5"/>
        <w:spacing w:before="0" w:after="0"/>
        <w:rPr>
          <w:rFonts w:ascii="仿宋" w:hAnsi="仿宋" w:cs="仿宋"/>
        </w:rPr>
      </w:pPr>
      <w:r>
        <w:rPr>
          <w:rFonts w:hint="eastAsia" w:ascii="仿宋" w:hAnsi="仿宋" w:cs="仿宋"/>
        </w:rPr>
        <w:t>格式2-6商务应答表</w:t>
      </w:r>
      <w:bookmarkEnd w:id="209"/>
      <w:bookmarkEnd w:id="210"/>
    </w:p>
    <w:p>
      <w:pPr>
        <w:widowControl/>
        <w:spacing w:line="360" w:lineRule="atLeast"/>
        <w:jc w:val="center"/>
        <w:rPr>
          <w:rFonts w:ascii="仿宋" w:hAnsi="仿宋" w:cs="仿宋"/>
          <w:b/>
          <w:bCs/>
          <w:sz w:val="32"/>
          <w:szCs w:val="32"/>
        </w:rPr>
      </w:pPr>
      <w:r>
        <w:rPr>
          <w:rFonts w:hint="eastAsia" w:ascii="仿宋" w:hAnsi="仿宋" w:cs="仿宋"/>
          <w:b/>
          <w:bCs/>
          <w:sz w:val="32"/>
          <w:szCs w:val="32"/>
        </w:rPr>
        <w:t>商务应答表</w:t>
      </w:r>
    </w:p>
    <w:p>
      <w:pPr>
        <w:widowControl/>
        <w:spacing w:line="360" w:lineRule="atLeast"/>
        <w:rPr>
          <w:rFonts w:ascii="仿宋" w:hAnsi="仿宋"/>
        </w:rPr>
      </w:pP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1072"/>
        <w:gridCol w:w="1700"/>
        <w:gridCol w:w="5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577" w:type="pct"/>
            <w:vAlign w:val="center"/>
          </w:tcPr>
          <w:p>
            <w:pPr>
              <w:widowControl/>
              <w:spacing w:line="360" w:lineRule="atLeast"/>
              <w:rPr>
                <w:rFonts w:ascii="仿宋" w:hAnsi="仿宋"/>
              </w:rPr>
            </w:pPr>
            <w:r>
              <w:rPr>
                <w:rFonts w:hint="eastAsia" w:ascii="仿宋" w:hAnsi="仿宋"/>
              </w:rPr>
              <w:t>序号</w:t>
            </w:r>
          </w:p>
        </w:tc>
        <w:tc>
          <w:tcPr>
            <w:tcW w:w="577" w:type="pct"/>
            <w:vAlign w:val="center"/>
          </w:tcPr>
          <w:p>
            <w:pPr>
              <w:widowControl/>
              <w:spacing w:line="360" w:lineRule="atLeast"/>
              <w:rPr>
                <w:rFonts w:ascii="仿宋" w:hAnsi="仿宋"/>
              </w:rPr>
            </w:pPr>
            <w:r>
              <w:rPr>
                <w:rFonts w:hint="eastAsia" w:ascii="仿宋" w:hAnsi="仿宋"/>
              </w:rPr>
              <w:t>包号</w:t>
            </w:r>
          </w:p>
        </w:tc>
        <w:tc>
          <w:tcPr>
            <w:tcW w:w="915" w:type="pct"/>
            <w:vAlign w:val="center"/>
          </w:tcPr>
          <w:p>
            <w:pPr>
              <w:widowControl/>
              <w:spacing w:line="360" w:lineRule="atLeast"/>
              <w:rPr>
                <w:rFonts w:ascii="仿宋" w:hAnsi="仿宋"/>
              </w:rPr>
            </w:pPr>
            <w:r>
              <w:rPr>
                <w:rFonts w:hint="eastAsia" w:ascii="仿宋" w:hAnsi="仿宋"/>
              </w:rPr>
              <w:t>招标要求</w:t>
            </w:r>
          </w:p>
        </w:tc>
        <w:tc>
          <w:tcPr>
            <w:tcW w:w="2930" w:type="pct"/>
            <w:vAlign w:val="center"/>
          </w:tcPr>
          <w:p>
            <w:pPr>
              <w:widowControl/>
              <w:spacing w:line="360" w:lineRule="atLeast"/>
              <w:ind w:firstLine="470" w:firstLineChars="196"/>
              <w:rPr>
                <w:rFonts w:ascii="仿宋" w:hAnsi="仿宋"/>
              </w:rPr>
            </w:pPr>
            <w:r>
              <w:rPr>
                <w:rFonts w:hint="eastAsia" w:ascii="仿宋" w:hAnsi="仿宋"/>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rPr>
            </w:pPr>
          </w:p>
        </w:tc>
        <w:tc>
          <w:tcPr>
            <w:tcW w:w="577" w:type="pct"/>
          </w:tcPr>
          <w:p>
            <w:pPr>
              <w:widowControl/>
              <w:spacing w:line="360" w:lineRule="atLeast"/>
              <w:ind w:firstLine="470" w:firstLineChars="196"/>
              <w:rPr>
                <w:rFonts w:ascii="仿宋" w:hAnsi="仿宋"/>
              </w:rPr>
            </w:pPr>
          </w:p>
        </w:tc>
        <w:tc>
          <w:tcPr>
            <w:tcW w:w="915" w:type="pct"/>
          </w:tcPr>
          <w:p>
            <w:pPr>
              <w:widowControl/>
              <w:spacing w:line="360" w:lineRule="atLeast"/>
              <w:ind w:firstLine="470" w:firstLineChars="196"/>
              <w:rPr>
                <w:rFonts w:ascii="仿宋" w:hAnsi="仿宋"/>
              </w:rPr>
            </w:pPr>
          </w:p>
        </w:tc>
        <w:tc>
          <w:tcPr>
            <w:tcW w:w="2930"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rPr>
            </w:pPr>
          </w:p>
        </w:tc>
        <w:tc>
          <w:tcPr>
            <w:tcW w:w="577" w:type="pct"/>
          </w:tcPr>
          <w:p>
            <w:pPr>
              <w:widowControl/>
              <w:spacing w:line="360" w:lineRule="atLeast"/>
              <w:ind w:firstLine="470" w:firstLineChars="196"/>
              <w:rPr>
                <w:rFonts w:ascii="仿宋" w:hAnsi="仿宋"/>
              </w:rPr>
            </w:pPr>
          </w:p>
        </w:tc>
        <w:tc>
          <w:tcPr>
            <w:tcW w:w="915" w:type="pct"/>
          </w:tcPr>
          <w:p>
            <w:pPr>
              <w:widowControl/>
              <w:spacing w:line="360" w:lineRule="atLeast"/>
              <w:ind w:firstLine="470" w:firstLineChars="196"/>
              <w:rPr>
                <w:rFonts w:ascii="仿宋" w:hAnsi="仿宋"/>
              </w:rPr>
            </w:pPr>
          </w:p>
        </w:tc>
        <w:tc>
          <w:tcPr>
            <w:tcW w:w="2930"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rPr>
            </w:pPr>
          </w:p>
        </w:tc>
        <w:tc>
          <w:tcPr>
            <w:tcW w:w="577" w:type="pct"/>
          </w:tcPr>
          <w:p>
            <w:pPr>
              <w:widowControl/>
              <w:spacing w:line="360" w:lineRule="atLeast"/>
              <w:ind w:firstLine="470" w:firstLineChars="196"/>
              <w:rPr>
                <w:rFonts w:ascii="仿宋" w:hAnsi="仿宋"/>
              </w:rPr>
            </w:pPr>
          </w:p>
        </w:tc>
        <w:tc>
          <w:tcPr>
            <w:tcW w:w="915" w:type="pct"/>
          </w:tcPr>
          <w:p>
            <w:pPr>
              <w:widowControl/>
              <w:spacing w:line="360" w:lineRule="atLeast"/>
              <w:ind w:firstLine="470" w:firstLineChars="196"/>
              <w:rPr>
                <w:rFonts w:ascii="仿宋" w:hAnsi="仿宋"/>
              </w:rPr>
            </w:pPr>
          </w:p>
        </w:tc>
        <w:tc>
          <w:tcPr>
            <w:tcW w:w="2930"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rPr>
            </w:pPr>
          </w:p>
        </w:tc>
        <w:tc>
          <w:tcPr>
            <w:tcW w:w="577" w:type="pct"/>
          </w:tcPr>
          <w:p>
            <w:pPr>
              <w:widowControl/>
              <w:spacing w:line="360" w:lineRule="atLeast"/>
              <w:ind w:firstLine="470" w:firstLineChars="196"/>
              <w:rPr>
                <w:rFonts w:ascii="仿宋" w:hAnsi="仿宋"/>
              </w:rPr>
            </w:pPr>
          </w:p>
        </w:tc>
        <w:tc>
          <w:tcPr>
            <w:tcW w:w="915" w:type="pct"/>
          </w:tcPr>
          <w:p>
            <w:pPr>
              <w:widowControl/>
              <w:spacing w:line="360" w:lineRule="atLeast"/>
              <w:ind w:firstLine="470" w:firstLineChars="196"/>
              <w:rPr>
                <w:rFonts w:ascii="仿宋" w:hAnsi="仿宋"/>
              </w:rPr>
            </w:pPr>
          </w:p>
        </w:tc>
        <w:tc>
          <w:tcPr>
            <w:tcW w:w="2930" w:type="pct"/>
          </w:tcPr>
          <w:p>
            <w:pPr>
              <w:widowControl/>
              <w:spacing w:line="360" w:lineRule="atLeast"/>
              <w:ind w:firstLine="470" w:firstLineChars="196"/>
              <w:rPr>
                <w:rFonts w:ascii="仿宋" w:hAnsi="仿宋"/>
              </w:rPr>
            </w:pPr>
          </w:p>
        </w:tc>
      </w:tr>
    </w:tbl>
    <w:p>
      <w:pPr>
        <w:widowControl/>
        <w:spacing w:line="360" w:lineRule="atLeast"/>
        <w:rPr>
          <w:rFonts w:ascii="仿宋" w:hAnsi="仿宋"/>
        </w:rPr>
      </w:pPr>
      <w:r>
        <w:rPr>
          <w:rFonts w:hint="eastAsia" w:ascii="仿宋" w:hAnsi="仿宋"/>
        </w:rPr>
        <w:t>注：</w:t>
      </w:r>
    </w:p>
    <w:p>
      <w:pPr>
        <w:widowControl/>
        <w:spacing w:line="360" w:lineRule="atLeast"/>
        <w:rPr>
          <w:rFonts w:ascii="仿宋" w:hAnsi="仿宋"/>
        </w:rPr>
      </w:pPr>
      <w:r>
        <w:rPr>
          <w:rFonts w:hint="eastAsia" w:ascii="仿宋" w:hAnsi="仿宋"/>
        </w:rPr>
        <w:t>1. 供应商必须把招标文件</w:t>
      </w:r>
      <w:r>
        <w:rPr>
          <w:rFonts w:hint="eastAsia" w:ascii="仿宋" w:hAnsi="仿宋"/>
          <w:b/>
          <w:bCs/>
        </w:rPr>
        <w:t>第六章全部商务要求</w:t>
      </w:r>
      <w:r>
        <w:rPr>
          <w:rFonts w:hint="eastAsia" w:ascii="仿宋" w:hAnsi="仿宋"/>
        </w:rPr>
        <w:t>列入此表。</w:t>
      </w:r>
    </w:p>
    <w:p>
      <w:pPr>
        <w:widowControl/>
        <w:spacing w:line="360" w:lineRule="atLeast"/>
        <w:rPr>
          <w:rFonts w:ascii="仿宋" w:hAnsi="仿宋"/>
        </w:rPr>
      </w:pPr>
      <w:r>
        <w:rPr>
          <w:rFonts w:hint="eastAsia" w:ascii="仿宋" w:hAnsi="仿宋"/>
        </w:rPr>
        <w:t>2．按照招标项目商务要求的顺序逐条对应填写。</w:t>
      </w:r>
    </w:p>
    <w:p>
      <w:pPr>
        <w:widowControl/>
        <w:spacing w:line="360" w:lineRule="atLeast"/>
        <w:rPr>
          <w:rFonts w:ascii="仿宋" w:hAnsi="仿宋"/>
        </w:rPr>
      </w:pPr>
      <w:r>
        <w:rPr>
          <w:rFonts w:hint="eastAsia" w:ascii="仿宋" w:hAnsi="仿宋"/>
        </w:rPr>
        <w:t>3．供应商必须据实填写，不得虚假填写，否则将取消其投标或中标资格。</w:t>
      </w:r>
    </w:p>
    <w:p>
      <w:pPr>
        <w:widowControl/>
        <w:spacing w:line="360" w:lineRule="atLeast"/>
        <w:ind w:firstLine="470" w:firstLineChars="196"/>
        <w:rPr>
          <w:rFonts w:ascii="仿宋" w:hAnsi="仿宋"/>
        </w:rPr>
      </w:pPr>
    </w:p>
    <w:p>
      <w:pPr>
        <w:widowControl/>
        <w:spacing w:line="360" w:lineRule="atLeast"/>
        <w:ind w:firstLine="470" w:firstLineChars="196"/>
        <w:rPr>
          <w:rFonts w:ascii="仿宋" w:hAnsi="仿宋"/>
        </w:rPr>
      </w:pPr>
      <w:r>
        <w:rPr>
          <w:rFonts w:hint="eastAsia" w:ascii="仿宋" w:hAnsi="仿宋"/>
        </w:rPr>
        <w:t>投标人名称：XXXX</w:t>
      </w:r>
    </w:p>
    <w:p>
      <w:pPr>
        <w:widowControl/>
        <w:spacing w:line="360" w:lineRule="atLeast"/>
        <w:ind w:firstLine="470" w:firstLineChars="196"/>
        <w:rPr>
          <w:rFonts w:ascii="仿宋" w:hAnsi="仿宋"/>
        </w:rPr>
      </w:pPr>
      <w:r>
        <w:rPr>
          <w:rFonts w:hint="eastAsia" w:ascii="仿宋" w:hAnsi="仿宋"/>
        </w:rPr>
        <w:t>投标日期：20XX年XX月XX日。</w:t>
      </w:r>
    </w:p>
    <w:p>
      <w:pPr>
        <w:spacing w:line="340" w:lineRule="exact"/>
        <w:rPr>
          <w:rFonts w:ascii="仿宋" w:hAnsi="仿宋"/>
        </w:rPr>
      </w:pPr>
      <w:r>
        <w:rPr>
          <w:rFonts w:hint="eastAsia" w:ascii="仿宋" w:hAnsi="仿宋"/>
        </w:rPr>
        <w:br w:type="page"/>
      </w:r>
    </w:p>
    <w:p>
      <w:pPr>
        <w:pStyle w:val="5"/>
        <w:spacing w:before="0" w:after="0"/>
        <w:rPr>
          <w:rFonts w:ascii="仿宋" w:hAnsi="仿宋" w:cs="仿宋"/>
        </w:rPr>
      </w:pPr>
      <w:bookmarkStart w:id="212" w:name="_Toc86701970"/>
      <w:bookmarkStart w:id="213" w:name="_Toc217446088"/>
      <w:r>
        <w:rPr>
          <w:rFonts w:hint="eastAsia" w:ascii="仿宋" w:hAnsi="仿宋" w:cs="仿宋"/>
        </w:rPr>
        <w:t>格式2-7投标人基本情况表</w:t>
      </w:r>
      <w:bookmarkEnd w:id="212"/>
      <w:bookmarkEnd w:id="213"/>
    </w:p>
    <w:p>
      <w:pPr>
        <w:widowControl/>
        <w:spacing w:line="360" w:lineRule="atLeast"/>
        <w:jc w:val="center"/>
        <w:rPr>
          <w:rFonts w:ascii="仿宋" w:hAnsi="仿宋" w:cs="仿宋"/>
          <w:b/>
          <w:bCs/>
          <w:sz w:val="32"/>
          <w:szCs w:val="32"/>
        </w:rPr>
      </w:pPr>
      <w:r>
        <w:rPr>
          <w:rFonts w:hint="eastAsia" w:ascii="仿宋" w:hAnsi="仿宋" w:cs="仿宋"/>
          <w:b/>
          <w:bCs/>
          <w:sz w:val="32"/>
          <w:szCs w:val="32"/>
        </w:rPr>
        <w:t>投标人基本情况表</w:t>
      </w:r>
    </w:p>
    <w:tbl>
      <w:tblPr>
        <w:tblStyle w:val="35"/>
        <w:tblW w:w="5000" w:type="pct"/>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1720"/>
        <w:gridCol w:w="1081"/>
        <w:gridCol w:w="1402"/>
        <w:gridCol w:w="1410"/>
        <w:gridCol w:w="1491"/>
        <w:gridCol w:w="180"/>
        <w:gridCol w:w="780"/>
        <w:gridCol w:w="1223"/>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26" w:type="pct"/>
            <w:vAlign w:val="center"/>
          </w:tcPr>
          <w:p>
            <w:pPr>
              <w:widowControl/>
              <w:spacing w:line="360" w:lineRule="atLeast"/>
              <w:jc w:val="center"/>
              <w:outlineLvl w:val="1"/>
              <w:rPr>
                <w:rFonts w:ascii="仿宋" w:hAnsi="仿宋"/>
              </w:rPr>
            </w:pPr>
            <w:bookmarkStart w:id="214" w:name="_Toc86701971"/>
            <w:r>
              <w:rPr>
                <w:rFonts w:hint="eastAsia" w:ascii="仿宋" w:hAnsi="仿宋"/>
              </w:rPr>
              <w:t>投标人名称</w:t>
            </w:r>
            <w:bookmarkEnd w:id="214"/>
          </w:p>
        </w:tc>
        <w:tc>
          <w:tcPr>
            <w:tcW w:w="4074" w:type="pct"/>
            <w:gridSpan w:val="7"/>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26" w:type="pct"/>
            <w:vAlign w:val="center"/>
          </w:tcPr>
          <w:p>
            <w:pPr>
              <w:widowControl/>
              <w:spacing w:line="360" w:lineRule="atLeast"/>
              <w:jc w:val="center"/>
              <w:outlineLvl w:val="1"/>
              <w:rPr>
                <w:rFonts w:ascii="仿宋" w:hAnsi="仿宋"/>
              </w:rPr>
            </w:pPr>
            <w:bookmarkStart w:id="215" w:name="_Toc86701972"/>
            <w:r>
              <w:rPr>
                <w:rFonts w:hint="eastAsia" w:ascii="仿宋" w:hAnsi="仿宋"/>
              </w:rPr>
              <w:t>注册地址</w:t>
            </w:r>
            <w:bookmarkEnd w:id="215"/>
          </w:p>
        </w:tc>
        <w:tc>
          <w:tcPr>
            <w:tcW w:w="2096" w:type="pct"/>
            <w:gridSpan w:val="3"/>
            <w:vAlign w:val="center"/>
          </w:tcPr>
          <w:p>
            <w:pPr>
              <w:widowControl/>
              <w:spacing w:line="360" w:lineRule="atLeast"/>
              <w:ind w:firstLine="470" w:firstLineChars="196"/>
              <w:outlineLvl w:val="1"/>
              <w:rPr>
                <w:rFonts w:ascii="仿宋" w:hAnsi="仿宋"/>
              </w:rPr>
            </w:pPr>
          </w:p>
        </w:tc>
        <w:tc>
          <w:tcPr>
            <w:tcW w:w="803" w:type="pct"/>
            <w:vAlign w:val="center"/>
          </w:tcPr>
          <w:p>
            <w:pPr>
              <w:widowControl/>
              <w:spacing w:line="360" w:lineRule="atLeast"/>
              <w:jc w:val="center"/>
              <w:outlineLvl w:val="1"/>
              <w:rPr>
                <w:rFonts w:ascii="仿宋" w:hAnsi="仿宋"/>
              </w:rPr>
            </w:pPr>
            <w:bookmarkStart w:id="216" w:name="_Toc86701973"/>
            <w:r>
              <w:rPr>
                <w:rFonts w:hint="eastAsia" w:ascii="仿宋" w:hAnsi="仿宋"/>
              </w:rPr>
              <w:t>邮政编码</w:t>
            </w:r>
            <w:bookmarkEnd w:id="216"/>
          </w:p>
        </w:tc>
        <w:tc>
          <w:tcPr>
            <w:tcW w:w="1175" w:type="pct"/>
            <w:gridSpan w:val="3"/>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926" w:type="pct"/>
            <w:vMerge w:val="restart"/>
            <w:vAlign w:val="center"/>
          </w:tcPr>
          <w:p>
            <w:pPr>
              <w:widowControl/>
              <w:spacing w:line="360" w:lineRule="atLeast"/>
              <w:jc w:val="center"/>
              <w:outlineLvl w:val="1"/>
              <w:rPr>
                <w:rFonts w:ascii="仿宋" w:hAnsi="仿宋"/>
              </w:rPr>
            </w:pPr>
            <w:bookmarkStart w:id="217" w:name="_Toc86701974"/>
            <w:r>
              <w:rPr>
                <w:rFonts w:hint="eastAsia" w:ascii="仿宋" w:hAnsi="仿宋"/>
              </w:rPr>
              <w:t>联系方式</w:t>
            </w:r>
            <w:bookmarkEnd w:id="217"/>
          </w:p>
        </w:tc>
        <w:tc>
          <w:tcPr>
            <w:tcW w:w="582" w:type="pct"/>
            <w:vAlign w:val="center"/>
          </w:tcPr>
          <w:p>
            <w:pPr>
              <w:widowControl/>
              <w:spacing w:line="360" w:lineRule="atLeast"/>
              <w:jc w:val="center"/>
              <w:outlineLvl w:val="1"/>
              <w:rPr>
                <w:rFonts w:ascii="仿宋" w:hAnsi="仿宋"/>
              </w:rPr>
            </w:pPr>
            <w:bookmarkStart w:id="218" w:name="_Toc86701975"/>
            <w:r>
              <w:rPr>
                <w:rFonts w:hint="eastAsia" w:ascii="仿宋" w:hAnsi="仿宋"/>
              </w:rPr>
              <w:t>联系人</w:t>
            </w:r>
            <w:bookmarkEnd w:id="218"/>
          </w:p>
        </w:tc>
        <w:tc>
          <w:tcPr>
            <w:tcW w:w="1513" w:type="pct"/>
            <w:gridSpan w:val="2"/>
            <w:vAlign w:val="center"/>
          </w:tcPr>
          <w:p>
            <w:pPr>
              <w:widowControl/>
              <w:spacing w:line="360" w:lineRule="atLeast"/>
              <w:ind w:firstLine="470" w:firstLineChars="196"/>
              <w:outlineLvl w:val="1"/>
              <w:rPr>
                <w:rFonts w:ascii="仿宋" w:hAnsi="仿宋"/>
              </w:rPr>
            </w:pPr>
          </w:p>
        </w:tc>
        <w:tc>
          <w:tcPr>
            <w:tcW w:w="803" w:type="pct"/>
            <w:vAlign w:val="center"/>
          </w:tcPr>
          <w:p>
            <w:pPr>
              <w:widowControl/>
              <w:spacing w:line="360" w:lineRule="atLeast"/>
              <w:ind w:firstLine="470" w:firstLineChars="196"/>
              <w:outlineLvl w:val="1"/>
              <w:rPr>
                <w:rFonts w:ascii="仿宋" w:hAnsi="仿宋"/>
              </w:rPr>
            </w:pPr>
            <w:bookmarkStart w:id="219" w:name="_Toc86701976"/>
            <w:r>
              <w:rPr>
                <w:rFonts w:hint="eastAsia" w:ascii="仿宋" w:hAnsi="仿宋"/>
              </w:rPr>
              <w:t>电话</w:t>
            </w:r>
            <w:bookmarkEnd w:id="219"/>
          </w:p>
        </w:tc>
        <w:tc>
          <w:tcPr>
            <w:tcW w:w="1175" w:type="pct"/>
            <w:gridSpan w:val="3"/>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926" w:type="pct"/>
            <w:vMerge w:val="continue"/>
            <w:vAlign w:val="center"/>
          </w:tcPr>
          <w:p>
            <w:pPr>
              <w:jc w:val="center"/>
              <w:rPr>
                <w:rFonts w:ascii="仿宋" w:hAnsi="仿宋"/>
              </w:rPr>
            </w:pPr>
          </w:p>
        </w:tc>
        <w:tc>
          <w:tcPr>
            <w:tcW w:w="582" w:type="pct"/>
            <w:vAlign w:val="center"/>
          </w:tcPr>
          <w:p>
            <w:pPr>
              <w:widowControl/>
              <w:spacing w:line="360" w:lineRule="atLeast"/>
              <w:jc w:val="center"/>
              <w:outlineLvl w:val="1"/>
              <w:rPr>
                <w:rFonts w:ascii="仿宋" w:hAnsi="仿宋"/>
              </w:rPr>
            </w:pPr>
            <w:bookmarkStart w:id="220" w:name="_Toc86701977"/>
            <w:r>
              <w:rPr>
                <w:rFonts w:hint="eastAsia" w:ascii="仿宋" w:hAnsi="仿宋"/>
              </w:rPr>
              <w:t>传真</w:t>
            </w:r>
            <w:bookmarkEnd w:id="220"/>
          </w:p>
        </w:tc>
        <w:tc>
          <w:tcPr>
            <w:tcW w:w="1513" w:type="pct"/>
            <w:gridSpan w:val="2"/>
            <w:vAlign w:val="center"/>
          </w:tcPr>
          <w:p>
            <w:pPr>
              <w:widowControl/>
              <w:spacing w:line="360" w:lineRule="atLeast"/>
              <w:ind w:firstLine="470" w:firstLineChars="196"/>
              <w:outlineLvl w:val="1"/>
              <w:rPr>
                <w:rFonts w:ascii="仿宋" w:hAnsi="仿宋"/>
              </w:rPr>
            </w:pPr>
          </w:p>
        </w:tc>
        <w:tc>
          <w:tcPr>
            <w:tcW w:w="803" w:type="pct"/>
            <w:vAlign w:val="center"/>
          </w:tcPr>
          <w:p>
            <w:pPr>
              <w:widowControl/>
              <w:spacing w:line="360" w:lineRule="atLeast"/>
              <w:ind w:firstLine="470" w:firstLineChars="196"/>
              <w:outlineLvl w:val="1"/>
              <w:rPr>
                <w:rFonts w:ascii="仿宋" w:hAnsi="仿宋"/>
              </w:rPr>
            </w:pPr>
            <w:bookmarkStart w:id="221" w:name="_Toc86701978"/>
            <w:r>
              <w:rPr>
                <w:rFonts w:hint="eastAsia" w:ascii="仿宋" w:hAnsi="仿宋"/>
              </w:rPr>
              <w:t>网址</w:t>
            </w:r>
            <w:bookmarkEnd w:id="221"/>
          </w:p>
        </w:tc>
        <w:tc>
          <w:tcPr>
            <w:tcW w:w="1175" w:type="pct"/>
            <w:gridSpan w:val="3"/>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926" w:type="pct"/>
            <w:vAlign w:val="center"/>
          </w:tcPr>
          <w:p>
            <w:pPr>
              <w:widowControl/>
              <w:spacing w:line="360" w:lineRule="atLeast"/>
              <w:jc w:val="center"/>
              <w:outlineLvl w:val="1"/>
              <w:rPr>
                <w:rFonts w:ascii="仿宋" w:hAnsi="仿宋"/>
              </w:rPr>
            </w:pPr>
            <w:bookmarkStart w:id="222" w:name="_Toc86701979"/>
            <w:r>
              <w:rPr>
                <w:rFonts w:hint="eastAsia" w:ascii="仿宋" w:hAnsi="仿宋"/>
              </w:rPr>
              <w:t>组织结构</w:t>
            </w:r>
            <w:bookmarkEnd w:id="222"/>
          </w:p>
        </w:tc>
        <w:tc>
          <w:tcPr>
            <w:tcW w:w="4074" w:type="pct"/>
            <w:gridSpan w:val="7"/>
            <w:vAlign w:val="center"/>
          </w:tcPr>
          <w:p>
            <w:pPr>
              <w:widowControl/>
              <w:spacing w:line="360" w:lineRule="atLeast"/>
              <w:ind w:firstLine="470" w:firstLineChars="196"/>
              <w:jc w:val="center"/>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926" w:type="pct"/>
            <w:vAlign w:val="center"/>
          </w:tcPr>
          <w:p>
            <w:pPr>
              <w:widowControl/>
              <w:spacing w:line="360" w:lineRule="atLeast"/>
              <w:jc w:val="center"/>
              <w:outlineLvl w:val="1"/>
              <w:rPr>
                <w:rFonts w:ascii="仿宋" w:hAnsi="仿宋"/>
              </w:rPr>
            </w:pPr>
            <w:bookmarkStart w:id="223" w:name="_Toc86701980"/>
            <w:r>
              <w:rPr>
                <w:rFonts w:hint="eastAsia" w:ascii="仿宋" w:hAnsi="仿宋"/>
              </w:rPr>
              <w:t>法定代表人/单位负责人</w:t>
            </w:r>
            <w:bookmarkEnd w:id="223"/>
          </w:p>
        </w:tc>
        <w:tc>
          <w:tcPr>
            <w:tcW w:w="582" w:type="pct"/>
            <w:vAlign w:val="center"/>
          </w:tcPr>
          <w:p>
            <w:pPr>
              <w:widowControl/>
              <w:spacing w:line="360" w:lineRule="atLeast"/>
              <w:jc w:val="center"/>
              <w:outlineLvl w:val="1"/>
              <w:rPr>
                <w:rFonts w:ascii="仿宋" w:hAnsi="仿宋"/>
              </w:rPr>
            </w:pPr>
            <w:bookmarkStart w:id="224" w:name="_Toc86701981"/>
            <w:r>
              <w:rPr>
                <w:rFonts w:hint="eastAsia" w:ascii="仿宋" w:hAnsi="仿宋"/>
              </w:rPr>
              <w:t>姓名</w:t>
            </w:r>
            <w:bookmarkEnd w:id="224"/>
          </w:p>
        </w:tc>
        <w:tc>
          <w:tcPr>
            <w:tcW w:w="754" w:type="pct"/>
            <w:vAlign w:val="center"/>
          </w:tcPr>
          <w:p>
            <w:pPr>
              <w:widowControl/>
              <w:spacing w:line="360" w:lineRule="atLeast"/>
              <w:ind w:firstLine="470" w:firstLineChars="196"/>
              <w:outlineLvl w:val="1"/>
              <w:rPr>
                <w:rFonts w:ascii="仿宋" w:hAnsi="仿宋"/>
              </w:rPr>
            </w:pPr>
          </w:p>
        </w:tc>
        <w:tc>
          <w:tcPr>
            <w:tcW w:w="759" w:type="pct"/>
            <w:vAlign w:val="center"/>
          </w:tcPr>
          <w:p>
            <w:pPr>
              <w:widowControl/>
              <w:spacing w:line="360" w:lineRule="atLeast"/>
              <w:jc w:val="center"/>
              <w:outlineLvl w:val="1"/>
              <w:rPr>
                <w:rFonts w:ascii="仿宋" w:hAnsi="仿宋"/>
              </w:rPr>
            </w:pPr>
            <w:bookmarkStart w:id="225" w:name="_Toc86701982"/>
            <w:r>
              <w:rPr>
                <w:rFonts w:hint="eastAsia" w:ascii="仿宋" w:hAnsi="仿宋"/>
              </w:rPr>
              <w:t>技术职称</w:t>
            </w:r>
            <w:bookmarkEnd w:id="225"/>
          </w:p>
        </w:tc>
        <w:tc>
          <w:tcPr>
            <w:tcW w:w="803" w:type="pct"/>
            <w:vAlign w:val="center"/>
          </w:tcPr>
          <w:p>
            <w:pPr>
              <w:widowControl/>
              <w:spacing w:line="360" w:lineRule="atLeast"/>
              <w:ind w:firstLine="470" w:firstLineChars="196"/>
              <w:outlineLvl w:val="1"/>
              <w:rPr>
                <w:rFonts w:ascii="仿宋" w:hAnsi="仿宋"/>
              </w:rPr>
            </w:pPr>
          </w:p>
        </w:tc>
        <w:tc>
          <w:tcPr>
            <w:tcW w:w="517" w:type="pct"/>
            <w:gridSpan w:val="2"/>
            <w:vAlign w:val="center"/>
          </w:tcPr>
          <w:p>
            <w:pPr>
              <w:widowControl/>
              <w:spacing w:line="360" w:lineRule="atLeast"/>
              <w:jc w:val="center"/>
              <w:outlineLvl w:val="1"/>
              <w:rPr>
                <w:rFonts w:ascii="仿宋" w:hAnsi="仿宋"/>
              </w:rPr>
            </w:pPr>
            <w:bookmarkStart w:id="226" w:name="_Toc86701983"/>
            <w:r>
              <w:rPr>
                <w:rFonts w:hint="eastAsia" w:ascii="仿宋" w:hAnsi="仿宋"/>
              </w:rPr>
              <w:t>电话</w:t>
            </w:r>
            <w:bookmarkEnd w:id="226"/>
          </w:p>
        </w:tc>
        <w:tc>
          <w:tcPr>
            <w:tcW w:w="657" w:type="pct"/>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926" w:type="pct"/>
            <w:vAlign w:val="center"/>
          </w:tcPr>
          <w:p>
            <w:pPr>
              <w:widowControl/>
              <w:spacing w:line="360" w:lineRule="atLeast"/>
              <w:jc w:val="center"/>
              <w:outlineLvl w:val="1"/>
              <w:rPr>
                <w:rFonts w:ascii="仿宋" w:hAnsi="仿宋"/>
              </w:rPr>
            </w:pPr>
            <w:bookmarkStart w:id="227" w:name="_Toc86701984"/>
            <w:r>
              <w:rPr>
                <w:rFonts w:hint="eastAsia" w:ascii="仿宋" w:hAnsi="仿宋"/>
              </w:rPr>
              <w:t>技术负责人</w:t>
            </w:r>
            <w:bookmarkEnd w:id="227"/>
          </w:p>
        </w:tc>
        <w:tc>
          <w:tcPr>
            <w:tcW w:w="582" w:type="pct"/>
            <w:vAlign w:val="center"/>
          </w:tcPr>
          <w:p>
            <w:pPr>
              <w:widowControl/>
              <w:spacing w:line="360" w:lineRule="atLeast"/>
              <w:jc w:val="center"/>
              <w:outlineLvl w:val="1"/>
              <w:rPr>
                <w:rFonts w:ascii="仿宋" w:hAnsi="仿宋"/>
              </w:rPr>
            </w:pPr>
            <w:bookmarkStart w:id="228" w:name="_Toc86701985"/>
            <w:r>
              <w:rPr>
                <w:rFonts w:hint="eastAsia" w:ascii="仿宋" w:hAnsi="仿宋"/>
              </w:rPr>
              <w:t>姓名</w:t>
            </w:r>
            <w:bookmarkEnd w:id="228"/>
          </w:p>
        </w:tc>
        <w:tc>
          <w:tcPr>
            <w:tcW w:w="754" w:type="pct"/>
            <w:vAlign w:val="center"/>
          </w:tcPr>
          <w:p>
            <w:pPr>
              <w:widowControl/>
              <w:spacing w:line="360" w:lineRule="atLeast"/>
              <w:ind w:firstLine="470" w:firstLineChars="196"/>
              <w:outlineLvl w:val="1"/>
              <w:rPr>
                <w:rFonts w:ascii="仿宋" w:hAnsi="仿宋"/>
              </w:rPr>
            </w:pPr>
          </w:p>
        </w:tc>
        <w:tc>
          <w:tcPr>
            <w:tcW w:w="759" w:type="pct"/>
            <w:vAlign w:val="center"/>
          </w:tcPr>
          <w:p>
            <w:pPr>
              <w:widowControl/>
              <w:spacing w:line="360" w:lineRule="atLeast"/>
              <w:jc w:val="center"/>
              <w:outlineLvl w:val="1"/>
              <w:rPr>
                <w:rFonts w:ascii="仿宋" w:hAnsi="仿宋"/>
              </w:rPr>
            </w:pPr>
            <w:bookmarkStart w:id="229" w:name="_Toc86701986"/>
            <w:r>
              <w:rPr>
                <w:rFonts w:hint="eastAsia" w:ascii="仿宋" w:hAnsi="仿宋"/>
              </w:rPr>
              <w:t>技术职称</w:t>
            </w:r>
            <w:bookmarkEnd w:id="229"/>
          </w:p>
        </w:tc>
        <w:tc>
          <w:tcPr>
            <w:tcW w:w="803" w:type="pct"/>
            <w:vAlign w:val="center"/>
          </w:tcPr>
          <w:p>
            <w:pPr>
              <w:widowControl/>
              <w:spacing w:line="360" w:lineRule="atLeast"/>
              <w:ind w:firstLine="470" w:firstLineChars="196"/>
              <w:outlineLvl w:val="1"/>
              <w:rPr>
                <w:rFonts w:ascii="仿宋" w:hAnsi="仿宋"/>
              </w:rPr>
            </w:pPr>
          </w:p>
        </w:tc>
        <w:tc>
          <w:tcPr>
            <w:tcW w:w="517" w:type="pct"/>
            <w:gridSpan w:val="2"/>
            <w:vAlign w:val="center"/>
          </w:tcPr>
          <w:p>
            <w:pPr>
              <w:widowControl/>
              <w:spacing w:line="360" w:lineRule="atLeast"/>
              <w:jc w:val="center"/>
              <w:outlineLvl w:val="1"/>
              <w:rPr>
                <w:rFonts w:ascii="仿宋" w:hAnsi="仿宋"/>
              </w:rPr>
            </w:pPr>
            <w:bookmarkStart w:id="230" w:name="_Toc86701987"/>
            <w:r>
              <w:rPr>
                <w:rFonts w:hint="eastAsia" w:ascii="仿宋" w:hAnsi="仿宋"/>
              </w:rPr>
              <w:t>电话</w:t>
            </w:r>
            <w:bookmarkEnd w:id="230"/>
          </w:p>
        </w:tc>
        <w:tc>
          <w:tcPr>
            <w:tcW w:w="657" w:type="pct"/>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926" w:type="pct"/>
            <w:vAlign w:val="center"/>
          </w:tcPr>
          <w:p>
            <w:pPr>
              <w:widowControl/>
              <w:spacing w:line="360" w:lineRule="atLeast"/>
              <w:jc w:val="center"/>
              <w:outlineLvl w:val="1"/>
              <w:rPr>
                <w:rFonts w:ascii="仿宋" w:hAnsi="仿宋"/>
              </w:rPr>
            </w:pPr>
            <w:bookmarkStart w:id="231" w:name="_Toc86701988"/>
            <w:r>
              <w:rPr>
                <w:rFonts w:hint="eastAsia" w:ascii="仿宋" w:hAnsi="仿宋"/>
              </w:rPr>
              <w:t>成立时间</w:t>
            </w:r>
            <w:bookmarkEnd w:id="231"/>
          </w:p>
        </w:tc>
        <w:tc>
          <w:tcPr>
            <w:tcW w:w="1337" w:type="pct"/>
            <w:gridSpan w:val="2"/>
            <w:vAlign w:val="center"/>
          </w:tcPr>
          <w:p>
            <w:pPr>
              <w:widowControl/>
              <w:spacing w:line="360" w:lineRule="atLeast"/>
              <w:ind w:firstLine="470" w:firstLineChars="196"/>
              <w:outlineLvl w:val="1"/>
              <w:rPr>
                <w:rFonts w:ascii="仿宋" w:hAnsi="仿宋"/>
              </w:rPr>
            </w:pPr>
          </w:p>
        </w:tc>
        <w:tc>
          <w:tcPr>
            <w:tcW w:w="2737" w:type="pct"/>
            <w:gridSpan w:val="5"/>
            <w:vAlign w:val="center"/>
          </w:tcPr>
          <w:p>
            <w:pPr>
              <w:widowControl/>
              <w:spacing w:line="360" w:lineRule="atLeast"/>
              <w:outlineLvl w:val="1"/>
              <w:rPr>
                <w:rFonts w:ascii="仿宋" w:hAnsi="仿宋"/>
              </w:rPr>
            </w:pPr>
            <w:bookmarkStart w:id="232" w:name="_Toc86701989"/>
            <w:r>
              <w:rPr>
                <w:rFonts w:hint="eastAsia" w:ascii="仿宋" w:hAnsi="仿宋"/>
              </w:rPr>
              <w:t>员工总人数：</w:t>
            </w:r>
            <w:bookmarkEnd w:id="232"/>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26" w:type="pct"/>
            <w:vAlign w:val="center"/>
          </w:tcPr>
          <w:p>
            <w:pPr>
              <w:widowControl/>
              <w:spacing w:line="360" w:lineRule="atLeast"/>
              <w:jc w:val="center"/>
              <w:outlineLvl w:val="1"/>
              <w:rPr>
                <w:rFonts w:ascii="仿宋" w:hAnsi="仿宋"/>
              </w:rPr>
            </w:pPr>
            <w:bookmarkStart w:id="233" w:name="_Toc86701990"/>
            <w:r>
              <w:rPr>
                <w:rFonts w:hint="eastAsia" w:ascii="仿宋" w:hAnsi="仿宋"/>
              </w:rPr>
              <w:t>企业资质等级</w:t>
            </w:r>
            <w:bookmarkEnd w:id="233"/>
          </w:p>
        </w:tc>
        <w:tc>
          <w:tcPr>
            <w:tcW w:w="1337" w:type="pct"/>
            <w:gridSpan w:val="2"/>
            <w:vAlign w:val="center"/>
          </w:tcPr>
          <w:p>
            <w:pPr>
              <w:widowControl/>
              <w:spacing w:line="360" w:lineRule="atLeast"/>
              <w:ind w:firstLine="470" w:firstLineChars="196"/>
              <w:outlineLvl w:val="1"/>
              <w:rPr>
                <w:rFonts w:ascii="仿宋" w:hAnsi="仿宋"/>
              </w:rPr>
            </w:pPr>
          </w:p>
        </w:tc>
        <w:tc>
          <w:tcPr>
            <w:tcW w:w="759" w:type="pct"/>
            <w:vMerge w:val="restart"/>
            <w:vAlign w:val="center"/>
          </w:tcPr>
          <w:p>
            <w:pPr>
              <w:widowControl/>
              <w:spacing w:line="360" w:lineRule="atLeast"/>
              <w:ind w:firstLine="470" w:firstLineChars="196"/>
              <w:outlineLvl w:val="1"/>
              <w:rPr>
                <w:rFonts w:ascii="仿宋" w:hAnsi="仿宋"/>
              </w:rPr>
            </w:pPr>
            <w:bookmarkStart w:id="234" w:name="_Toc86701991"/>
            <w:r>
              <w:rPr>
                <w:rFonts w:hint="eastAsia" w:ascii="仿宋" w:hAnsi="仿宋"/>
              </w:rPr>
              <w:t>其中</w:t>
            </w:r>
            <w:bookmarkEnd w:id="234"/>
          </w:p>
        </w:tc>
        <w:tc>
          <w:tcPr>
            <w:tcW w:w="900" w:type="pct"/>
            <w:gridSpan w:val="2"/>
            <w:vAlign w:val="center"/>
          </w:tcPr>
          <w:p>
            <w:pPr>
              <w:widowControl/>
              <w:spacing w:line="360" w:lineRule="atLeast"/>
              <w:jc w:val="center"/>
              <w:outlineLvl w:val="1"/>
              <w:rPr>
                <w:rFonts w:ascii="仿宋" w:hAnsi="仿宋"/>
              </w:rPr>
            </w:pPr>
            <w:bookmarkStart w:id="235" w:name="_Toc86701992"/>
            <w:r>
              <w:rPr>
                <w:rFonts w:hint="eastAsia" w:ascii="仿宋" w:hAnsi="仿宋"/>
              </w:rPr>
              <w:t>项目经理</w:t>
            </w:r>
            <w:bookmarkEnd w:id="235"/>
          </w:p>
        </w:tc>
        <w:tc>
          <w:tcPr>
            <w:tcW w:w="1079" w:type="pct"/>
            <w:gridSpan w:val="2"/>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926" w:type="pct"/>
            <w:vAlign w:val="center"/>
          </w:tcPr>
          <w:p>
            <w:pPr>
              <w:widowControl/>
              <w:spacing w:line="360" w:lineRule="atLeast"/>
              <w:jc w:val="center"/>
              <w:outlineLvl w:val="1"/>
              <w:rPr>
                <w:rFonts w:ascii="仿宋" w:hAnsi="仿宋"/>
              </w:rPr>
            </w:pPr>
            <w:bookmarkStart w:id="236" w:name="_Toc86701993"/>
            <w:r>
              <w:rPr>
                <w:rFonts w:hint="eastAsia" w:ascii="仿宋" w:hAnsi="仿宋"/>
              </w:rPr>
              <w:t>营业执照号</w:t>
            </w:r>
            <w:bookmarkEnd w:id="236"/>
          </w:p>
        </w:tc>
        <w:tc>
          <w:tcPr>
            <w:tcW w:w="1337" w:type="pct"/>
            <w:gridSpan w:val="2"/>
            <w:vAlign w:val="center"/>
          </w:tcPr>
          <w:p>
            <w:pPr>
              <w:widowControl/>
              <w:spacing w:line="360" w:lineRule="atLeast"/>
              <w:ind w:firstLine="470" w:firstLineChars="196"/>
              <w:outlineLvl w:val="1"/>
              <w:rPr>
                <w:rFonts w:ascii="仿宋" w:hAnsi="仿宋"/>
              </w:rPr>
            </w:pPr>
          </w:p>
        </w:tc>
        <w:tc>
          <w:tcPr>
            <w:tcW w:w="759" w:type="pct"/>
            <w:vMerge w:val="continue"/>
            <w:vAlign w:val="center"/>
          </w:tcPr>
          <w:p>
            <w:pPr>
              <w:rPr>
                <w:rFonts w:ascii="仿宋" w:hAnsi="仿宋"/>
              </w:rPr>
            </w:pPr>
          </w:p>
        </w:tc>
        <w:tc>
          <w:tcPr>
            <w:tcW w:w="900" w:type="pct"/>
            <w:gridSpan w:val="2"/>
            <w:vAlign w:val="center"/>
          </w:tcPr>
          <w:p>
            <w:pPr>
              <w:widowControl/>
              <w:spacing w:line="360" w:lineRule="atLeast"/>
              <w:jc w:val="center"/>
              <w:outlineLvl w:val="1"/>
              <w:rPr>
                <w:rFonts w:ascii="仿宋" w:hAnsi="仿宋"/>
              </w:rPr>
            </w:pPr>
            <w:bookmarkStart w:id="237" w:name="_Toc86701994"/>
            <w:r>
              <w:rPr>
                <w:rFonts w:hint="eastAsia" w:ascii="仿宋" w:hAnsi="仿宋"/>
              </w:rPr>
              <w:t>高级职称人员</w:t>
            </w:r>
            <w:bookmarkEnd w:id="237"/>
          </w:p>
        </w:tc>
        <w:tc>
          <w:tcPr>
            <w:tcW w:w="1079" w:type="pct"/>
            <w:gridSpan w:val="2"/>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926" w:type="pct"/>
            <w:vAlign w:val="center"/>
          </w:tcPr>
          <w:p>
            <w:pPr>
              <w:widowControl/>
              <w:spacing w:line="360" w:lineRule="atLeast"/>
              <w:jc w:val="center"/>
              <w:outlineLvl w:val="1"/>
              <w:rPr>
                <w:rFonts w:ascii="仿宋" w:hAnsi="仿宋"/>
              </w:rPr>
            </w:pPr>
            <w:bookmarkStart w:id="238" w:name="_Toc86701995"/>
            <w:r>
              <w:rPr>
                <w:rFonts w:hint="eastAsia" w:ascii="仿宋" w:hAnsi="仿宋"/>
              </w:rPr>
              <w:t>注册资金</w:t>
            </w:r>
            <w:bookmarkEnd w:id="238"/>
          </w:p>
        </w:tc>
        <w:tc>
          <w:tcPr>
            <w:tcW w:w="1337" w:type="pct"/>
            <w:gridSpan w:val="2"/>
            <w:vAlign w:val="center"/>
          </w:tcPr>
          <w:p>
            <w:pPr>
              <w:widowControl/>
              <w:spacing w:line="360" w:lineRule="atLeast"/>
              <w:ind w:firstLine="470" w:firstLineChars="196"/>
              <w:outlineLvl w:val="1"/>
              <w:rPr>
                <w:rFonts w:ascii="仿宋" w:hAnsi="仿宋"/>
              </w:rPr>
            </w:pPr>
          </w:p>
        </w:tc>
        <w:tc>
          <w:tcPr>
            <w:tcW w:w="759" w:type="pct"/>
            <w:vMerge w:val="continue"/>
            <w:vAlign w:val="center"/>
          </w:tcPr>
          <w:p>
            <w:pPr>
              <w:rPr>
                <w:rFonts w:ascii="仿宋" w:hAnsi="仿宋"/>
              </w:rPr>
            </w:pPr>
          </w:p>
        </w:tc>
        <w:tc>
          <w:tcPr>
            <w:tcW w:w="900" w:type="pct"/>
            <w:gridSpan w:val="2"/>
            <w:vAlign w:val="center"/>
          </w:tcPr>
          <w:p>
            <w:pPr>
              <w:widowControl/>
              <w:spacing w:line="360" w:lineRule="atLeast"/>
              <w:jc w:val="center"/>
              <w:outlineLvl w:val="1"/>
              <w:rPr>
                <w:rFonts w:ascii="仿宋" w:hAnsi="仿宋"/>
              </w:rPr>
            </w:pPr>
            <w:bookmarkStart w:id="239" w:name="_Toc86701996"/>
            <w:r>
              <w:rPr>
                <w:rFonts w:hint="eastAsia" w:ascii="仿宋" w:hAnsi="仿宋"/>
              </w:rPr>
              <w:t>中级职称人员</w:t>
            </w:r>
            <w:bookmarkEnd w:id="239"/>
          </w:p>
        </w:tc>
        <w:tc>
          <w:tcPr>
            <w:tcW w:w="1079" w:type="pct"/>
            <w:gridSpan w:val="2"/>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26" w:type="pct"/>
            <w:vAlign w:val="center"/>
          </w:tcPr>
          <w:p>
            <w:pPr>
              <w:widowControl/>
              <w:spacing w:line="360" w:lineRule="atLeast"/>
              <w:jc w:val="center"/>
              <w:outlineLvl w:val="1"/>
              <w:rPr>
                <w:rFonts w:ascii="仿宋" w:hAnsi="仿宋"/>
              </w:rPr>
            </w:pPr>
            <w:bookmarkStart w:id="240" w:name="_Toc86701997"/>
            <w:r>
              <w:rPr>
                <w:rFonts w:hint="eastAsia" w:ascii="仿宋" w:hAnsi="仿宋"/>
              </w:rPr>
              <w:t>开户银行</w:t>
            </w:r>
            <w:bookmarkEnd w:id="240"/>
          </w:p>
        </w:tc>
        <w:tc>
          <w:tcPr>
            <w:tcW w:w="1337" w:type="pct"/>
            <w:gridSpan w:val="2"/>
            <w:vAlign w:val="center"/>
          </w:tcPr>
          <w:p>
            <w:pPr>
              <w:widowControl/>
              <w:spacing w:line="360" w:lineRule="atLeast"/>
              <w:ind w:firstLine="470" w:firstLineChars="196"/>
              <w:outlineLvl w:val="1"/>
              <w:rPr>
                <w:rFonts w:ascii="仿宋" w:hAnsi="仿宋"/>
              </w:rPr>
            </w:pPr>
          </w:p>
        </w:tc>
        <w:tc>
          <w:tcPr>
            <w:tcW w:w="759" w:type="pct"/>
            <w:vMerge w:val="continue"/>
            <w:vAlign w:val="center"/>
          </w:tcPr>
          <w:p>
            <w:pPr>
              <w:rPr>
                <w:rFonts w:ascii="仿宋" w:hAnsi="仿宋"/>
              </w:rPr>
            </w:pPr>
          </w:p>
        </w:tc>
        <w:tc>
          <w:tcPr>
            <w:tcW w:w="900" w:type="pct"/>
            <w:gridSpan w:val="2"/>
            <w:vAlign w:val="center"/>
          </w:tcPr>
          <w:p>
            <w:pPr>
              <w:widowControl/>
              <w:spacing w:line="360" w:lineRule="atLeast"/>
              <w:jc w:val="center"/>
              <w:outlineLvl w:val="1"/>
              <w:rPr>
                <w:rFonts w:ascii="仿宋" w:hAnsi="仿宋"/>
              </w:rPr>
            </w:pPr>
            <w:bookmarkStart w:id="241" w:name="_Toc86701998"/>
            <w:r>
              <w:rPr>
                <w:rFonts w:hint="eastAsia" w:ascii="仿宋" w:hAnsi="仿宋"/>
              </w:rPr>
              <w:t>初级职称人员</w:t>
            </w:r>
            <w:bookmarkEnd w:id="241"/>
          </w:p>
        </w:tc>
        <w:tc>
          <w:tcPr>
            <w:tcW w:w="1079" w:type="pct"/>
            <w:gridSpan w:val="2"/>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926" w:type="pct"/>
            <w:vAlign w:val="center"/>
          </w:tcPr>
          <w:p>
            <w:pPr>
              <w:widowControl/>
              <w:spacing w:line="360" w:lineRule="atLeast"/>
              <w:ind w:firstLine="470" w:firstLineChars="196"/>
              <w:jc w:val="both"/>
              <w:outlineLvl w:val="1"/>
              <w:rPr>
                <w:rFonts w:ascii="仿宋" w:hAnsi="仿宋"/>
              </w:rPr>
            </w:pPr>
            <w:bookmarkStart w:id="242" w:name="_Toc86701999"/>
            <w:r>
              <w:rPr>
                <w:rFonts w:hint="eastAsia" w:ascii="仿宋" w:hAnsi="仿宋"/>
              </w:rPr>
              <w:t>账号</w:t>
            </w:r>
            <w:bookmarkEnd w:id="242"/>
          </w:p>
        </w:tc>
        <w:tc>
          <w:tcPr>
            <w:tcW w:w="1337" w:type="pct"/>
            <w:gridSpan w:val="2"/>
            <w:vAlign w:val="center"/>
          </w:tcPr>
          <w:p>
            <w:pPr>
              <w:widowControl/>
              <w:spacing w:line="360" w:lineRule="atLeast"/>
              <w:ind w:firstLine="470" w:firstLineChars="196"/>
              <w:outlineLvl w:val="1"/>
              <w:rPr>
                <w:rFonts w:ascii="仿宋" w:hAnsi="仿宋"/>
              </w:rPr>
            </w:pPr>
          </w:p>
        </w:tc>
        <w:tc>
          <w:tcPr>
            <w:tcW w:w="759" w:type="pct"/>
            <w:vMerge w:val="continue"/>
            <w:vAlign w:val="center"/>
          </w:tcPr>
          <w:p>
            <w:pPr>
              <w:rPr>
                <w:rFonts w:ascii="仿宋" w:hAnsi="仿宋"/>
              </w:rPr>
            </w:pPr>
          </w:p>
        </w:tc>
        <w:tc>
          <w:tcPr>
            <w:tcW w:w="900" w:type="pct"/>
            <w:gridSpan w:val="2"/>
            <w:vAlign w:val="center"/>
          </w:tcPr>
          <w:p>
            <w:pPr>
              <w:widowControl/>
              <w:spacing w:line="360" w:lineRule="atLeast"/>
              <w:ind w:firstLine="470" w:firstLineChars="196"/>
              <w:outlineLvl w:val="1"/>
              <w:rPr>
                <w:rFonts w:ascii="仿宋" w:hAnsi="仿宋"/>
              </w:rPr>
            </w:pPr>
            <w:bookmarkStart w:id="243" w:name="_Toc86702000"/>
            <w:r>
              <w:rPr>
                <w:rFonts w:hint="eastAsia" w:ascii="仿宋" w:hAnsi="仿宋"/>
              </w:rPr>
              <w:t>技工</w:t>
            </w:r>
            <w:bookmarkEnd w:id="243"/>
          </w:p>
        </w:tc>
        <w:tc>
          <w:tcPr>
            <w:tcW w:w="1079" w:type="pct"/>
            <w:gridSpan w:val="2"/>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jc w:val="center"/>
        </w:trPr>
        <w:tc>
          <w:tcPr>
            <w:tcW w:w="926" w:type="pct"/>
            <w:vAlign w:val="center"/>
          </w:tcPr>
          <w:p>
            <w:pPr>
              <w:widowControl/>
              <w:spacing w:line="360" w:lineRule="atLeast"/>
              <w:jc w:val="center"/>
              <w:outlineLvl w:val="1"/>
              <w:rPr>
                <w:rFonts w:ascii="仿宋" w:hAnsi="仿宋"/>
              </w:rPr>
            </w:pPr>
            <w:bookmarkStart w:id="244" w:name="_Toc86702001"/>
            <w:r>
              <w:rPr>
                <w:rFonts w:hint="eastAsia" w:ascii="仿宋" w:hAnsi="仿宋"/>
              </w:rPr>
              <w:t>经营范围</w:t>
            </w:r>
            <w:bookmarkEnd w:id="244"/>
          </w:p>
        </w:tc>
        <w:tc>
          <w:tcPr>
            <w:tcW w:w="4074" w:type="pct"/>
            <w:gridSpan w:val="7"/>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926" w:type="pct"/>
            <w:vAlign w:val="center"/>
          </w:tcPr>
          <w:p>
            <w:pPr>
              <w:widowControl/>
              <w:spacing w:line="360" w:lineRule="atLeast"/>
              <w:ind w:firstLine="470" w:firstLineChars="196"/>
              <w:outlineLvl w:val="1"/>
              <w:rPr>
                <w:rFonts w:ascii="仿宋" w:hAnsi="仿宋"/>
              </w:rPr>
            </w:pPr>
            <w:bookmarkStart w:id="245" w:name="_Toc86702002"/>
            <w:r>
              <w:rPr>
                <w:rFonts w:hint="eastAsia" w:ascii="仿宋" w:hAnsi="仿宋"/>
              </w:rPr>
              <w:t>备注</w:t>
            </w:r>
            <w:bookmarkEnd w:id="245"/>
          </w:p>
        </w:tc>
        <w:tc>
          <w:tcPr>
            <w:tcW w:w="4074" w:type="pct"/>
            <w:gridSpan w:val="7"/>
            <w:vAlign w:val="center"/>
          </w:tcPr>
          <w:p>
            <w:pPr>
              <w:widowControl/>
              <w:spacing w:line="360" w:lineRule="atLeast"/>
              <w:ind w:firstLine="470" w:firstLineChars="196"/>
              <w:outlineLvl w:val="1"/>
              <w:rPr>
                <w:rFonts w:ascii="仿宋" w:hAnsi="仿宋"/>
              </w:rPr>
            </w:pPr>
          </w:p>
        </w:tc>
      </w:tr>
    </w:tbl>
    <w:p>
      <w:pPr>
        <w:widowControl/>
        <w:spacing w:line="360" w:lineRule="atLeast"/>
        <w:ind w:firstLine="470" w:firstLineChars="196"/>
        <w:rPr>
          <w:rFonts w:ascii="仿宋" w:hAnsi="仿宋"/>
        </w:rPr>
      </w:pPr>
      <w:r>
        <w:rPr>
          <w:rFonts w:hint="eastAsia" w:ascii="仿宋" w:hAnsi="仿宋"/>
        </w:rPr>
        <w:t>投标人名称：XXXX</w:t>
      </w:r>
    </w:p>
    <w:p>
      <w:pPr>
        <w:widowControl/>
        <w:spacing w:line="360" w:lineRule="atLeast"/>
        <w:ind w:firstLine="470" w:firstLineChars="196"/>
        <w:rPr>
          <w:rFonts w:ascii="仿宋" w:hAnsi="仿宋"/>
        </w:rPr>
      </w:pPr>
      <w:r>
        <w:rPr>
          <w:rFonts w:hint="eastAsia" w:ascii="仿宋" w:hAnsi="仿宋"/>
        </w:rPr>
        <w:t>投标日期：20XX年XX月XX日。</w:t>
      </w:r>
    </w:p>
    <w:p>
      <w:pPr>
        <w:rPr>
          <w:rFonts w:ascii="仿宋" w:hAnsi="仿宋"/>
          <w:b/>
          <w:sz w:val="36"/>
          <w:szCs w:val="36"/>
        </w:rPr>
      </w:pPr>
      <w:bookmarkStart w:id="246" w:name="_Toc217446089"/>
      <w:r>
        <w:rPr>
          <w:rFonts w:hint="eastAsia" w:ascii="仿宋" w:hAnsi="仿宋"/>
          <w:b/>
          <w:sz w:val="36"/>
          <w:szCs w:val="36"/>
        </w:rPr>
        <w:br w:type="page"/>
      </w:r>
    </w:p>
    <w:p>
      <w:pPr>
        <w:pStyle w:val="5"/>
        <w:spacing w:before="0" w:after="0"/>
        <w:rPr>
          <w:rFonts w:ascii="仿宋" w:hAnsi="仿宋" w:cs="仿宋"/>
        </w:rPr>
      </w:pPr>
      <w:bookmarkStart w:id="247" w:name="_Toc86702003"/>
      <w:r>
        <w:rPr>
          <w:rFonts w:hint="eastAsia" w:ascii="仿宋" w:hAnsi="仿宋" w:cs="仿宋"/>
        </w:rPr>
        <w:t>格式2-8类似项目业绩一览表</w:t>
      </w:r>
      <w:bookmarkEnd w:id="246"/>
      <w:bookmarkEnd w:id="247"/>
    </w:p>
    <w:p>
      <w:pPr>
        <w:widowControl/>
        <w:spacing w:line="360" w:lineRule="atLeast"/>
        <w:jc w:val="center"/>
        <w:rPr>
          <w:rFonts w:ascii="仿宋" w:hAnsi="仿宋" w:cs="仿宋"/>
          <w:b/>
          <w:bCs/>
          <w:sz w:val="32"/>
          <w:szCs w:val="32"/>
        </w:rPr>
      </w:pPr>
      <w:r>
        <w:rPr>
          <w:rFonts w:hint="eastAsia" w:ascii="仿宋" w:hAnsi="仿宋" w:cs="仿宋"/>
          <w:b/>
          <w:bCs/>
          <w:sz w:val="32"/>
          <w:szCs w:val="32"/>
        </w:rPr>
        <w:t>类似项目业绩一览表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4" w:type="dxa"/>
          <w:bottom w:w="0" w:type="dxa"/>
          <w:right w:w="54" w:type="dxa"/>
        </w:tblCellMar>
      </w:tblPr>
      <w:tblGrid>
        <w:gridCol w:w="775"/>
        <w:gridCol w:w="1552"/>
        <w:gridCol w:w="1421"/>
        <w:gridCol w:w="1250"/>
        <w:gridCol w:w="1357"/>
        <w:gridCol w:w="9"/>
        <w:gridCol w:w="1746"/>
        <w:gridCol w:w="106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top w:val="single" w:color="auto" w:sz="4" w:space="0"/>
            </w:tcBorders>
            <w:vAlign w:val="center"/>
          </w:tcPr>
          <w:p>
            <w:pPr>
              <w:widowControl/>
              <w:spacing w:line="360" w:lineRule="atLeast"/>
              <w:rPr>
                <w:rFonts w:ascii="仿宋" w:hAnsi="仿宋"/>
              </w:rPr>
            </w:pPr>
            <w:r>
              <w:rPr>
                <w:rFonts w:hint="eastAsia" w:ascii="仿宋" w:hAnsi="仿宋"/>
              </w:rPr>
              <w:t>年份</w:t>
            </w:r>
          </w:p>
        </w:tc>
        <w:tc>
          <w:tcPr>
            <w:tcW w:w="845" w:type="pct"/>
            <w:vAlign w:val="center"/>
          </w:tcPr>
          <w:p>
            <w:pPr>
              <w:widowControl/>
              <w:spacing w:line="360" w:lineRule="atLeast"/>
              <w:rPr>
                <w:rFonts w:ascii="仿宋" w:hAnsi="仿宋"/>
              </w:rPr>
            </w:pPr>
            <w:r>
              <w:rPr>
                <w:rFonts w:hint="eastAsia" w:ascii="仿宋" w:hAnsi="仿宋"/>
              </w:rPr>
              <w:t>用户名称</w:t>
            </w:r>
          </w:p>
        </w:tc>
        <w:tc>
          <w:tcPr>
            <w:tcW w:w="774" w:type="pct"/>
            <w:vAlign w:val="center"/>
          </w:tcPr>
          <w:p>
            <w:pPr>
              <w:widowControl/>
              <w:spacing w:line="360" w:lineRule="atLeast"/>
              <w:rPr>
                <w:rFonts w:ascii="仿宋" w:hAnsi="仿宋"/>
              </w:rPr>
            </w:pPr>
            <w:r>
              <w:rPr>
                <w:rFonts w:hint="eastAsia" w:ascii="仿宋" w:hAnsi="仿宋"/>
              </w:rPr>
              <w:t>项目名称</w:t>
            </w:r>
          </w:p>
        </w:tc>
        <w:tc>
          <w:tcPr>
            <w:tcW w:w="681" w:type="pct"/>
            <w:vAlign w:val="center"/>
          </w:tcPr>
          <w:p>
            <w:pPr>
              <w:widowControl/>
              <w:spacing w:line="360" w:lineRule="atLeast"/>
              <w:rPr>
                <w:rFonts w:ascii="仿宋" w:hAnsi="仿宋"/>
              </w:rPr>
            </w:pPr>
            <w:r>
              <w:rPr>
                <w:rFonts w:hint="eastAsia" w:ascii="仿宋" w:hAnsi="仿宋"/>
              </w:rPr>
              <w:t>完成时间</w:t>
            </w:r>
          </w:p>
        </w:tc>
        <w:tc>
          <w:tcPr>
            <w:tcW w:w="739" w:type="pct"/>
            <w:vAlign w:val="center"/>
          </w:tcPr>
          <w:p>
            <w:pPr>
              <w:widowControl/>
              <w:spacing w:line="360" w:lineRule="atLeast"/>
              <w:rPr>
                <w:rFonts w:ascii="仿宋" w:hAnsi="仿宋"/>
              </w:rPr>
            </w:pPr>
            <w:r>
              <w:rPr>
                <w:rFonts w:hint="eastAsia" w:ascii="仿宋" w:hAnsi="仿宋"/>
              </w:rPr>
              <w:t>合同金额</w:t>
            </w:r>
          </w:p>
        </w:tc>
        <w:tc>
          <w:tcPr>
            <w:tcW w:w="956" w:type="pct"/>
            <w:gridSpan w:val="2"/>
            <w:tcBorders>
              <w:right w:val="single" w:color="auto" w:sz="4" w:space="0"/>
            </w:tcBorders>
            <w:vAlign w:val="center"/>
          </w:tcPr>
          <w:p>
            <w:pPr>
              <w:widowControl/>
              <w:spacing w:line="360" w:lineRule="atLeast"/>
              <w:rPr>
                <w:rFonts w:ascii="仿宋" w:hAnsi="仿宋"/>
              </w:rPr>
            </w:pPr>
            <w:r>
              <w:rPr>
                <w:rFonts w:hint="eastAsia" w:ascii="仿宋" w:hAnsi="仿宋"/>
              </w:rPr>
              <w:t>是否通过验收</w:t>
            </w:r>
          </w:p>
        </w:tc>
        <w:tc>
          <w:tcPr>
            <w:tcW w:w="582" w:type="pct"/>
            <w:tcBorders>
              <w:left w:val="single" w:color="auto" w:sz="4" w:space="0"/>
            </w:tcBorders>
            <w:vAlign w:val="center"/>
          </w:tcPr>
          <w:p>
            <w:pPr>
              <w:widowControl/>
              <w:spacing w:line="360" w:lineRule="atLeast"/>
              <w:rPr>
                <w:rFonts w:ascii="仿宋" w:hAnsi="仿宋"/>
              </w:rPr>
            </w:pPr>
            <w:r>
              <w:rPr>
                <w:rFonts w:hint="eastAsia" w:ascii="仿宋" w:hAnsi="仿宋"/>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rPr>
            </w:pPr>
          </w:p>
        </w:tc>
        <w:tc>
          <w:tcPr>
            <w:tcW w:w="845" w:type="pct"/>
            <w:vAlign w:val="center"/>
          </w:tcPr>
          <w:p>
            <w:pPr>
              <w:widowControl/>
              <w:spacing w:line="360" w:lineRule="atLeast"/>
              <w:ind w:firstLine="470" w:firstLineChars="196"/>
              <w:rPr>
                <w:rFonts w:ascii="仿宋" w:hAnsi="仿宋"/>
              </w:rPr>
            </w:pPr>
          </w:p>
        </w:tc>
        <w:tc>
          <w:tcPr>
            <w:tcW w:w="774" w:type="pct"/>
            <w:vAlign w:val="center"/>
          </w:tcPr>
          <w:p>
            <w:pPr>
              <w:widowControl/>
              <w:spacing w:line="360" w:lineRule="atLeast"/>
              <w:ind w:firstLine="470" w:firstLineChars="196"/>
              <w:rPr>
                <w:rFonts w:ascii="仿宋" w:hAnsi="仿宋"/>
              </w:rPr>
            </w:pPr>
          </w:p>
        </w:tc>
        <w:tc>
          <w:tcPr>
            <w:tcW w:w="681" w:type="pct"/>
            <w:vAlign w:val="center"/>
          </w:tcPr>
          <w:p>
            <w:pPr>
              <w:widowControl/>
              <w:spacing w:line="360" w:lineRule="atLeast"/>
              <w:ind w:firstLine="470" w:firstLineChars="196"/>
              <w:rPr>
                <w:rFonts w:ascii="仿宋" w:hAnsi="仿宋"/>
              </w:rPr>
            </w:pPr>
          </w:p>
        </w:tc>
        <w:tc>
          <w:tcPr>
            <w:tcW w:w="739" w:type="pct"/>
            <w:vAlign w:val="center"/>
          </w:tcPr>
          <w:p>
            <w:pPr>
              <w:widowControl/>
              <w:spacing w:line="360" w:lineRule="atLeast"/>
              <w:ind w:firstLine="470" w:firstLineChars="196"/>
              <w:rPr>
                <w:rFonts w:ascii="仿宋" w:hAnsi="仿宋"/>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rPr>
            </w:pPr>
          </w:p>
        </w:tc>
        <w:tc>
          <w:tcPr>
            <w:tcW w:w="845" w:type="pct"/>
            <w:vAlign w:val="center"/>
          </w:tcPr>
          <w:p>
            <w:pPr>
              <w:widowControl/>
              <w:spacing w:line="360" w:lineRule="atLeast"/>
              <w:ind w:firstLine="470" w:firstLineChars="196"/>
              <w:rPr>
                <w:rFonts w:ascii="仿宋" w:hAnsi="仿宋"/>
              </w:rPr>
            </w:pPr>
          </w:p>
        </w:tc>
        <w:tc>
          <w:tcPr>
            <w:tcW w:w="774" w:type="pct"/>
            <w:vAlign w:val="center"/>
          </w:tcPr>
          <w:p>
            <w:pPr>
              <w:widowControl/>
              <w:spacing w:line="360" w:lineRule="atLeast"/>
              <w:ind w:firstLine="470" w:firstLineChars="196"/>
              <w:rPr>
                <w:rFonts w:ascii="仿宋" w:hAnsi="仿宋"/>
              </w:rPr>
            </w:pPr>
          </w:p>
        </w:tc>
        <w:tc>
          <w:tcPr>
            <w:tcW w:w="681" w:type="pct"/>
            <w:vAlign w:val="center"/>
          </w:tcPr>
          <w:p>
            <w:pPr>
              <w:widowControl/>
              <w:spacing w:line="360" w:lineRule="atLeast"/>
              <w:ind w:firstLine="470" w:firstLineChars="196"/>
              <w:rPr>
                <w:rFonts w:ascii="仿宋" w:hAnsi="仿宋"/>
              </w:rPr>
            </w:pPr>
          </w:p>
        </w:tc>
        <w:tc>
          <w:tcPr>
            <w:tcW w:w="739" w:type="pct"/>
            <w:vAlign w:val="center"/>
          </w:tcPr>
          <w:p>
            <w:pPr>
              <w:widowControl/>
              <w:spacing w:line="360" w:lineRule="atLeast"/>
              <w:ind w:firstLine="470" w:firstLineChars="196"/>
              <w:rPr>
                <w:rFonts w:ascii="仿宋" w:hAnsi="仿宋"/>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rPr>
            </w:pPr>
          </w:p>
        </w:tc>
        <w:tc>
          <w:tcPr>
            <w:tcW w:w="845" w:type="pct"/>
            <w:vAlign w:val="center"/>
          </w:tcPr>
          <w:p>
            <w:pPr>
              <w:widowControl/>
              <w:spacing w:line="360" w:lineRule="atLeast"/>
              <w:ind w:firstLine="470" w:firstLineChars="196"/>
              <w:rPr>
                <w:rFonts w:ascii="仿宋" w:hAnsi="仿宋"/>
              </w:rPr>
            </w:pPr>
          </w:p>
        </w:tc>
        <w:tc>
          <w:tcPr>
            <w:tcW w:w="774" w:type="pct"/>
            <w:vAlign w:val="center"/>
          </w:tcPr>
          <w:p>
            <w:pPr>
              <w:widowControl/>
              <w:spacing w:line="360" w:lineRule="atLeast"/>
              <w:ind w:firstLine="470" w:firstLineChars="196"/>
              <w:rPr>
                <w:rFonts w:ascii="仿宋" w:hAnsi="仿宋"/>
              </w:rPr>
            </w:pPr>
          </w:p>
        </w:tc>
        <w:tc>
          <w:tcPr>
            <w:tcW w:w="681" w:type="pct"/>
            <w:vAlign w:val="center"/>
          </w:tcPr>
          <w:p>
            <w:pPr>
              <w:widowControl/>
              <w:spacing w:line="360" w:lineRule="atLeast"/>
              <w:ind w:firstLine="470" w:firstLineChars="196"/>
              <w:rPr>
                <w:rFonts w:ascii="仿宋" w:hAnsi="仿宋"/>
              </w:rPr>
            </w:pPr>
          </w:p>
        </w:tc>
        <w:tc>
          <w:tcPr>
            <w:tcW w:w="739" w:type="pct"/>
            <w:vAlign w:val="center"/>
          </w:tcPr>
          <w:p>
            <w:pPr>
              <w:widowControl/>
              <w:spacing w:line="360" w:lineRule="atLeast"/>
              <w:ind w:firstLine="470" w:firstLineChars="196"/>
              <w:rPr>
                <w:rFonts w:ascii="仿宋" w:hAnsi="仿宋"/>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rPr>
            </w:pPr>
          </w:p>
        </w:tc>
        <w:tc>
          <w:tcPr>
            <w:tcW w:w="845" w:type="pct"/>
            <w:tcBorders>
              <w:right w:val="single" w:color="auto" w:sz="4" w:space="0"/>
            </w:tcBorders>
            <w:vAlign w:val="center"/>
          </w:tcPr>
          <w:p>
            <w:pPr>
              <w:widowControl/>
              <w:spacing w:line="360" w:lineRule="atLeast"/>
              <w:ind w:firstLine="470" w:firstLineChars="196"/>
              <w:rPr>
                <w:rFonts w:ascii="仿宋" w:hAnsi="仿宋"/>
              </w:rPr>
            </w:pPr>
          </w:p>
        </w:tc>
        <w:tc>
          <w:tcPr>
            <w:tcW w:w="774" w:type="pct"/>
            <w:tcBorders>
              <w:left w:val="single" w:color="auto" w:sz="4" w:space="0"/>
            </w:tcBorders>
            <w:vAlign w:val="center"/>
          </w:tcPr>
          <w:p>
            <w:pPr>
              <w:widowControl/>
              <w:spacing w:line="360" w:lineRule="atLeast"/>
              <w:ind w:firstLine="470" w:firstLineChars="196"/>
              <w:rPr>
                <w:rFonts w:ascii="仿宋" w:hAnsi="仿宋"/>
              </w:rPr>
            </w:pPr>
          </w:p>
        </w:tc>
        <w:tc>
          <w:tcPr>
            <w:tcW w:w="681" w:type="pct"/>
            <w:vAlign w:val="center"/>
          </w:tcPr>
          <w:p>
            <w:pPr>
              <w:widowControl/>
              <w:spacing w:line="360" w:lineRule="atLeast"/>
              <w:ind w:firstLine="470" w:firstLineChars="196"/>
              <w:rPr>
                <w:rFonts w:ascii="仿宋" w:hAnsi="仿宋"/>
              </w:rPr>
            </w:pPr>
          </w:p>
        </w:tc>
        <w:tc>
          <w:tcPr>
            <w:tcW w:w="739" w:type="pct"/>
            <w:vAlign w:val="center"/>
          </w:tcPr>
          <w:p>
            <w:pPr>
              <w:widowControl/>
              <w:spacing w:line="360" w:lineRule="atLeast"/>
              <w:ind w:firstLine="470" w:firstLineChars="196"/>
              <w:rPr>
                <w:rFonts w:ascii="仿宋" w:hAnsi="仿宋"/>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right w:val="single" w:color="auto" w:sz="4" w:space="0"/>
            </w:tcBorders>
            <w:vAlign w:val="center"/>
          </w:tcPr>
          <w:p>
            <w:pPr>
              <w:widowControl/>
              <w:spacing w:line="360" w:lineRule="atLeast"/>
              <w:ind w:firstLine="470" w:firstLineChars="196"/>
              <w:rPr>
                <w:rFonts w:ascii="仿宋" w:hAnsi="仿宋"/>
              </w:rPr>
            </w:pPr>
          </w:p>
        </w:tc>
        <w:tc>
          <w:tcPr>
            <w:tcW w:w="845" w:type="pct"/>
            <w:tcBorders>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774" w:type="pct"/>
            <w:tcBorders>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681" w:type="pct"/>
            <w:tcBorders>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744" w:type="pct"/>
            <w:gridSpan w:val="2"/>
            <w:tcBorders>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rPr>
            </w:pPr>
          </w:p>
        </w:tc>
        <w:tc>
          <w:tcPr>
            <w:tcW w:w="845" w:type="pct"/>
            <w:vAlign w:val="center"/>
          </w:tcPr>
          <w:p>
            <w:pPr>
              <w:widowControl/>
              <w:spacing w:line="360" w:lineRule="atLeast"/>
              <w:ind w:firstLine="470" w:firstLineChars="196"/>
              <w:rPr>
                <w:rFonts w:ascii="仿宋" w:hAnsi="仿宋"/>
              </w:rPr>
            </w:pPr>
          </w:p>
        </w:tc>
        <w:tc>
          <w:tcPr>
            <w:tcW w:w="774" w:type="pct"/>
            <w:vAlign w:val="center"/>
          </w:tcPr>
          <w:p>
            <w:pPr>
              <w:widowControl/>
              <w:spacing w:line="360" w:lineRule="atLeast"/>
              <w:ind w:firstLine="470" w:firstLineChars="196"/>
              <w:rPr>
                <w:rFonts w:ascii="仿宋" w:hAnsi="仿宋"/>
              </w:rPr>
            </w:pPr>
          </w:p>
        </w:tc>
        <w:tc>
          <w:tcPr>
            <w:tcW w:w="681" w:type="pct"/>
            <w:vAlign w:val="center"/>
          </w:tcPr>
          <w:p>
            <w:pPr>
              <w:widowControl/>
              <w:spacing w:line="360" w:lineRule="atLeast"/>
              <w:ind w:firstLine="470" w:firstLineChars="196"/>
              <w:rPr>
                <w:rFonts w:ascii="仿宋" w:hAnsi="仿宋"/>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rPr>
            </w:pPr>
          </w:p>
        </w:tc>
        <w:tc>
          <w:tcPr>
            <w:tcW w:w="845" w:type="pct"/>
            <w:vAlign w:val="center"/>
          </w:tcPr>
          <w:p>
            <w:pPr>
              <w:widowControl/>
              <w:spacing w:line="360" w:lineRule="atLeast"/>
              <w:ind w:firstLine="470" w:firstLineChars="196"/>
              <w:rPr>
                <w:rFonts w:ascii="仿宋" w:hAnsi="仿宋"/>
              </w:rPr>
            </w:pPr>
          </w:p>
        </w:tc>
        <w:tc>
          <w:tcPr>
            <w:tcW w:w="774" w:type="pct"/>
            <w:vAlign w:val="center"/>
          </w:tcPr>
          <w:p>
            <w:pPr>
              <w:widowControl/>
              <w:spacing w:line="360" w:lineRule="atLeast"/>
              <w:ind w:firstLine="470" w:firstLineChars="196"/>
              <w:rPr>
                <w:rFonts w:ascii="仿宋" w:hAnsi="仿宋"/>
              </w:rPr>
            </w:pPr>
          </w:p>
        </w:tc>
        <w:tc>
          <w:tcPr>
            <w:tcW w:w="681" w:type="pct"/>
            <w:vAlign w:val="center"/>
          </w:tcPr>
          <w:p>
            <w:pPr>
              <w:widowControl/>
              <w:spacing w:line="360" w:lineRule="atLeast"/>
              <w:ind w:firstLine="470" w:firstLineChars="196"/>
              <w:rPr>
                <w:rFonts w:ascii="仿宋" w:hAnsi="仿宋"/>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rPr>
            </w:pPr>
          </w:p>
        </w:tc>
        <w:tc>
          <w:tcPr>
            <w:tcW w:w="845" w:type="pct"/>
            <w:vAlign w:val="center"/>
          </w:tcPr>
          <w:p>
            <w:pPr>
              <w:widowControl/>
              <w:spacing w:line="360" w:lineRule="atLeast"/>
              <w:ind w:firstLine="470" w:firstLineChars="196"/>
              <w:rPr>
                <w:rFonts w:ascii="仿宋" w:hAnsi="仿宋"/>
              </w:rPr>
            </w:pPr>
          </w:p>
        </w:tc>
        <w:tc>
          <w:tcPr>
            <w:tcW w:w="774" w:type="pct"/>
            <w:vAlign w:val="center"/>
          </w:tcPr>
          <w:p>
            <w:pPr>
              <w:widowControl/>
              <w:spacing w:line="360" w:lineRule="atLeast"/>
              <w:ind w:firstLine="470" w:firstLineChars="196"/>
              <w:rPr>
                <w:rFonts w:ascii="仿宋" w:hAnsi="仿宋"/>
              </w:rPr>
            </w:pPr>
          </w:p>
        </w:tc>
        <w:tc>
          <w:tcPr>
            <w:tcW w:w="681" w:type="pct"/>
            <w:vAlign w:val="center"/>
          </w:tcPr>
          <w:p>
            <w:pPr>
              <w:widowControl/>
              <w:spacing w:line="360" w:lineRule="atLeast"/>
              <w:ind w:firstLine="470" w:firstLineChars="196"/>
              <w:rPr>
                <w:rFonts w:ascii="仿宋" w:hAnsi="仿宋"/>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422" w:type="pct"/>
            <w:tcBorders>
              <w:bottom w:val="single" w:color="auto" w:sz="4" w:space="0"/>
            </w:tcBorders>
            <w:vAlign w:val="center"/>
          </w:tcPr>
          <w:p>
            <w:pPr>
              <w:widowControl/>
              <w:spacing w:line="360" w:lineRule="atLeast"/>
              <w:ind w:firstLine="470" w:firstLineChars="196"/>
              <w:rPr>
                <w:rFonts w:ascii="仿宋" w:hAnsi="仿宋"/>
              </w:rPr>
            </w:pPr>
          </w:p>
        </w:tc>
        <w:tc>
          <w:tcPr>
            <w:tcW w:w="845" w:type="pct"/>
            <w:tcBorders>
              <w:bottom w:val="single" w:color="auto" w:sz="4" w:space="0"/>
            </w:tcBorders>
            <w:vAlign w:val="center"/>
          </w:tcPr>
          <w:p>
            <w:pPr>
              <w:widowControl/>
              <w:spacing w:line="360" w:lineRule="atLeast"/>
              <w:ind w:firstLine="470" w:firstLineChars="196"/>
              <w:rPr>
                <w:rFonts w:ascii="仿宋" w:hAnsi="仿宋"/>
              </w:rPr>
            </w:pPr>
          </w:p>
        </w:tc>
        <w:tc>
          <w:tcPr>
            <w:tcW w:w="774" w:type="pct"/>
            <w:tcBorders>
              <w:bottom w:val="single" w:color="auto" w:sz="4" w:space="0"/>
            </w:tcBorders>
            <w:vAlign w:val="center"/>
          </w:tcPr>
          <w:p>
            <w:pPr>
              <w:widowControl/>
              <w:spacing w:line="360" w:lineRule="atLeast"/>
              <w:ind w:firstLine="470" w:firstLineChars="196"/>
              <w:rPr>
                <w:rFonts w:ascii="仿宋" w:hAnsi="仿宋"/>
              </w:rPr>
            </w:pPr>
          </w:p>
        </w:tc>
        <w:tc>
          <w:tcPr>
            <w:tcW w:w="681" w:type="pct"/>
            <w:tcBorders>
              <w:bottom w:val="single" w:color="auto" w:sz="4" w:space="0"/>
            </w:tcBorders>
            <w:vAlign w:val="center"/>
          </w:tcPr>
          <w:p>
            <w:pPr>
              <w:widowControl/>
              <w:spacing w:line="360" w:lineRule="atLeast"/>
              <w:ind w:firstLine="470" w:firstLineChars="196"/>
              <w:rPr>
                <w:rFonts w:ascii="仿宋" w:hAnsi="仿宋"/>
              </w:rPr>
            </w:pPr>
          </w:p>
        </w:tc>
        <w:tc>
          <w:tcPr>
            <w:tcW w:w="744" w:type="pct"/>
            <w:gridSpan w:val="2"/>
            <w:tcBorders>
              <w:bottom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951" w:type="pct"/>
            <w:tcBorders>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bottom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422" w:type="pct"/>
            <w:tcBorders>
              <w:top w:val="single" w:color="auto" w:sz="4" w:space="0"/>
            </w:tcBorders>
            <w:vAlign w:val="center"/>
          </w:tcPr>
          <w:p>
            <w:pPr>
              <w:widowControl/>
              <w:spacing w:line="360" w:lineRule="atLeast"/>
              <w:ind w:firstLine="470" w:firstLineChars="196"/>
              <w:rPr>
                <w:rFonts w:ascii="仿宋" w:hAnsi="仿宋"/>
              </w:rPr>
            </w:pPr>
          </w:p>
        </w:tc>
        <w:tc>
          <w:tcPr>
            <w:tcW w:w="845" w:type="pct"/>
            <w:tcBorders>
              <w:top w:val="single" w:color="auto" w:sz="4" w:space="0"/>
            </w:tcBorders>
            <w:vAlign w:val="center"/>
          </w:tcPr>
          <w:p>
            <w:pPr>
              <w:widowControl/>
              <w:spacing w:line="360" w:lineRule="atLeast"/>
              <w:ind w:firstLine="470" w:firstLineChars="196"/>
              <w:rPr>
                <w:rFonts w:ascii="仿宋" w:hAnsi="仿宋"/>
              </w:rPr>
            </w:pPr>
          </w:p>
        </w:tc>
        <w:tc>
          <w:tcPr>
            <w:tcW w:w="774" w:type="pct"/>
            <w:tcBorders>
              <w:top w:val="single" w:color="auto" w:sz="4" w:space="0"/>
            </w:tcBorders>
            <w:vAlign w:val="center"/>
          </w:tcPr>
          <w:p>
            <w:pPr>
              <w:widowControl/>
              <w:spacing w:line="360" w:lineRule="atLeast"/>
              <w:ind w:firstLine="470" w:firstLineChars="196"/>
              <w:rPr>
                <w:rFonts w:ascii="仿宋" w:hAnsi="仿宋"/>
              </w:rPr>
            </w:pPr>
          </w:p>
        </w:tc>
        <w:tc>
          <w:tcPr>
            <w:tcW w:w="681" w:type="pct"/>
            <w:tcBorders>
              <w:top w:val="single" w:color="auto" w:sz="4" w:space="0"/>
            </w:tcBorders>
            <w:vAlign w:val="center"/>
          </w:tcPr>
          <w:p>
            <w:pPr>
              <w:widowControl/>
              <w:spacing w:line="360" w:lineRule="atLeast"/>
              <w:ind w:firstLine="470" w:firstLineChars="196"/>
              <w:rPr>
                <w:rFonts w:ascii="仿宋" w:hAnsi="仿宋"/>
              </w:rPr>
            </w:pPr>
          </w:p>
        </w:tc>
        <w:tc>
          <w:tcPr>
            <w:tcW w:w="744" w:type="pct"/>
            <w:gridSpan w:val="2"/>
            <w:tcBorders>
              <w:top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951" w:type="pct"/>
            <w:tcBorders>
              <w:top w:val="single" w:color="auto" w:sz="4" w:space="0"/>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top w:val="single" w:color="auto" w:sz="4" w:space="0"/>
              <w:left w:val="single" w:color="auto" w:sz="4" w:space="0"/>
            </w:tcBorders>
            <w:vAlign w:val="center"/>
          </w:tcPr>
          <w:p>
            <w:pPr>
              <w:widowControl/>
              <w:spacing w:line="360" w:lineRule="atLeast"/>
              <w:ind w:firstLine="470" w:firstLineChars="196"/>
              <w:rPr>
                <w:rFonts w:ascii="仿宋" w:hAnsi="仿宋"/>
              </w:rPr>
            </w:pPr>
          </w:p>
        </w:tc>
      </w:tr>
    </w:tbl>
    <w:p>
      <w:pPr>
        <w:widowControl/>
        <w:spacing w:line="360" w:lineRule="atLeast"/>
        <w:ind w:firstLine="470" w:firstLineChars="196"/>
        <w:rPr>
          <w:rFonts w:ascii="仿宋" w:hAnsi="仿宋"/>
        </w:rPr>
      </w:pPr>
    </w:p>
    <w:p>
      <w:pPr>
        <w:widowControl/>
        <w:spacing w:line="360" w:lineRule="atLeast"/>
        <w:rPr>
          <w:rFonts w:ascii="仿宋" w:hAnsi="仿宋"/>
        </w:rPr>
      </w:pPr>
      <w:r>
        <w:rPr>
          <w:rFonts w:hint="eastAsia" w:ascii="仿宋" w:hAnsi="仿宋"/>
        </w:rPr>
        <w:t>注：以上业绩需提供招标文件要求的有关书面证明材料。</w:t>
      </w:r>
    </w:p>
    <w:p>
      <w:pPr>
        <w:widowControl/>
        <w:spacing w:line="360" w:lineRule="atLeast"/>
        <w:ind w:firstLine="470" w:firstLineChars="196"/>
        <w:rPr>
          <w:rFonts w:ascii="仿宋" w:hAnsi="仿宋"/>
        </w:rPr>
      </w:pPr>
    </w:p>
    <w:p>
      <w:pPr>
        <w:widowControl/>
        <w:spacing w:line="360" w:lineRule="atLeast"/>
        <w:ind w:firstLine="470" w:firstLineChars="196"/>
        <w:rPr>
          <w:rFonts w:ascii="仿宋" w:hAnsi="仿宋"/>
        </w:rPr>
      </w:pPr>
      <w:r>
        <w:rPr>
          <w:rFonts w:hint="eastAsia" w:ascii="仿宋" w:hAnsi="仿宋"/>
        </w:rPr>
        <w:t>投标人名称：XXXX</w:t>
      </w:r>
    </w:p>
    <w:p>
      <w:pPr>
        <w:widowControl/>
        <w:spacing w:line="360" w:lineRule="atLeast"/>
        <w:ind w:firstLine="470" w:firstLineChars="196"/>
        <w:rPr>
          <w:rFonts w:ascii="仿宋" w:hAnsi="仿宋"/>
          <w:b/>
          <w:sz w:val="32"/>
          <w:szCs w:val="32"/>
        </w:rPr>
      </w:pPr>
      <w:r>
        <w:rPr>
          <w:rFonts w:hint="eastAsia" w:ascii="仿宋" w:hAnsi="仿宋"/>
        </w:rPr>
        <w:t>投标日期：20XX年XX月XX日。</w:t>
      </w:r>
      <w:bookmarkStart w:id="248" w:name="_Toc217446090"/>
      <w:r>
        <w:rPr>
          <w:rFonts w:hint="eastAsia" w:ascii="仿宋" w:hAnsi="仿宋"/>
          <w:b/>
          <w:sz w:val="32"/>
          <w:szCs w:val="32"/>
        </w:rPr>
        <w:br w:type="page"/>
      </w:r>
    </w:p>
    <w:p>
      <w:pPr>
        <w:pStyle w:val="5"/>
        <w:spacing w:before="0" w:after="0"/>
        <w:rPr>
          <w:rFonts w:ascii="仿宋" w:hAnsi="仿宋" w:cs="仿宋"/>
        </w:rPr>
      </w:pPr>
      <w:bookmarkStart w:id="249" w:name="_Toc86702004"/>
      <w:r>
        <w:rPr>
          <w:rFonts w:hint="eastAsia" w:ascii="仿宋" w:hAnsi="仿宋" w:cs="仿宋"/>
        </w:rPr>
        <w:t xml:space="preserve">格式2-9 </w:t>
      </w:r>
      <w:bookmarkEnd w:id="248"/>
      <w:bookmarkEnd w:id="249"/>
      <w:r>
        <w:rPr>
          <w:rFonts w:hint="eastAsia" w:ascii="仿宋" w:hAnsi="仿宋" w:cs="仿宋"/>
        </w:rPr>
        <w:t>服务应答表</w:t>
      </w:r>
    </w:p>
    <w:p>
      <w:pPr>
        <w:widowControl/>
        <w:spacing w:line="360" w:lineRule="atLeast"/>
        <w:jc w:val="center"/>
        <w:outlineLvl w:val="1"/>
        <w:rPr>
          <w:rFonts w:ascii="仿宋" w:hAnsi="仿宋"/>
          <w:b/>
          <w:sz w:val="32"/>
          <w:szCs w:val="32"/>
        </w:rPr>
      </w:pPr>
      <w:bookmarkStart w:id="250" w:name="_Toc86702005"/>
      <w:bookmarkStart w:id="251" w:name="_Toc217446091"/>
      <w:r>
        <w:rPr>
          <w:rFonts w:hint="eastAsia" w:ascii="仿宋" w:hAnsi="仿宋"/>
          <w:b/>
          <w:sz w:val="32"/>
          <w:szCs w:val="32"/>
        </w:rPr>
        <w:t>服务应答表</w:t>
      </w:r>
    </w:p>
    <w:p>
      <w:pPr>
        <w:widowControl/>
        <w:spacing w:line="360" w:lineRule="atLeast"/>
        <w:ind w:firstLine="472" w:firstLineChars="196"/>
        <w:rPr>
          <w:rFonts w:ascii="仿宋" w:hAnsi="仿宋"/>
          <w:b/>
        </w:rPr>
      </w:pPr>
    </w:p>
    <w:p>
      <w:pPr>
        <w:widowControl/>
        <w:spacing w:line="360" w:lineRule="atLeast"/>
        <w:rPr>
          <w:rFonts w:ascii="仿宋" w:hAnsi="仿宋"/>
        </w:rPr>
      </w:pPr>
      <w:r>
        <w:rPr>
          <w:rFonts w:hint="eastAsia" w:ascii="仿宋" w:hAnsi="仿宋"/>
        </w:rPr>
        <w:t>招标编号：</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1042"/>
        <w:gridCol w:w="2130"/>
        <w:gridCol w:w="2485"/>
        <w:gridCol w:w="2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Align w:val="center"/>
          </w:tcPr>
          <w:p>
            <w:pPr>
              <w:widowControl/>
              <w:spacing w:line="360" w:lineRule="atLeast"/>
              <w:rPr>
                <w:rFonts w:ascii="仿宋" w:hAnsi="仿宋"/>
              </w:rPr>
            </w:pPr>
            <w:r>
              <w:rPr>
                <w:rFonts w:hint="eastAsia" w:ascii="仿宋" w:hAnsi="仿宋"/>
              </w:rPr>
              <w:t>序号</w:t>
            </w:r>
          </w:p>
        </w:tc>
        <w:tc>
          <w:tcPr>
            <w:tcW w:w="561" w:type="pct"/>
            <w:vAlign w:val="center"/>
          </w:tcPr>
          <w:p>
            <w:pPr>
              <w:widowControl/>
              <w:spacing w:line="360" w:lineRule="atLeast"/>
              <w:rPr>
                <w:rFonts w:ascii="仿宋" w:hAnsi="仿宋"/>
              </w:rPr>
            </w:pPr>
            <w:r>
              <w:rPr>
                <w:rFonts w:hint="eastAsia" w:ascii="仿宋" w:hAnsi="仿宋"/>
              </w:rPr>
              <w:t xml:space="preserve">包号 </w:t>
            </w:r>
          </w:p>
        </w:tc>
        <w:tc>
          <w:tcPr>
            <w:tcW w:w="1147" w:type="pct"/>
            <w:vAlign w:val="center"/>
          </w:tcPr>
          <w:p>
            <w:pPr>
              <w:widowControl/>
              <w:spacing w:line="360" w:lineRule="atLeast"/>
              <w:rPr>
                <w:rFonts w:ascii="仿宋" w:hAnsi="仿宋"/>
              </w:rPr>
            </w:pPr>
            <w:r>
              <w:rPr>
                <w:rFonts w:hint="eastAsia" w:ascii="仿宋" w:hAnsi="仿宋"/>
              </w:rPr>
              <w:t>招标文件条目号</w:t>
            </w:r>
          </w:p>
        </w:tc>
        <w:tc>
          <w:tcPr>
            <w:tcW w:w="1338" w:type="pct"/>
            <w:vAlign w:val="center"/>
          </w:tcPr>
          <w:p>
            <w:pPr>
              <w:widowControl/>
              <w:spacing w:line="360" w:lineRule="atLeast"/>
              <w:rPr>
                <w:rFonts w:ascii="仿宋" w:hAnsi="仿宋"/>
              </w:rPr>
            </w:pPr>
            <w:r>
              <w:rPr>
                <w:rFonts w:hint="eastAsia" w:ascii="仿宋" w:hAnsi="仿宋"/>
              </w:rPr>
              <w:t>招标文件要求</w:t>
            </w:r>
          </w:p>
        </w:tc>
        <w:tc>
          <w:tcPr>
            <w:tcW w:w="1490" w:type="pct"/>
            <w:vAlign w:val="center"/>
          </w:tcPr>
          <w:p>
            <w:pPr>
              <w:widowControl/>
              <w:spacing w:line="360" w:lineRule="atLeast"/>
              <w:rPr>
                <w:rFonts w:ascii="仿宋" w:hAnsi="仿宋"/>
              </w:rPr>
            </w:pPr>
            <w:r>
              <w:rPr>
                <w:rFonts w:hint="eastAsia" w:ascii="仿宋" w:hAnsi="仿宋"/>
              </w:rPr>
              <w:t>投标文件应答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rPr>
                <w:rFonts w:ascii="仿宋" w:hAnsi="仿宋"/>
              </w:rPr>
            </w:pPr>
          </w:p>
        </w:tc>
        <w:tc>
          <w:tcPr>
            <w:tcW w:w="561" w:type="pct"/>
          </w:tcPr>
          <w:p>
            <w:pPr>
              <w:widowControl/>
              <w:spacing w:line="360" w:lineRule="atLeast"/>
              <w:ind w:firstLine="470" w:firstLineChars="196"/>
              <w:rPr>
                <w:rFonts w:ascii="仿宋" w:hAnsi="仿宋"/>
              </w:rPr>
            </w:pPr>
          </w:p>
        </w:tc>
        <w:tc>
          <w:tcPr>
            <w:tcW w:w="1147" w:type="pct"/>
          </w:tcPr>
          <w:p>
            <w:pPr>
              <w:widowControl/>
              <w:spacing w:line="360" w:lineRule="atLeast"/>
              <w:ind w:firstLine="470" w:firstLineChars="196"/>
              <w:rPr>
                <w:rFonts w:ascii="仿宋" w:hAnsi="仿宋"/>
              </w:rPr>
            </w:pPr>
          </w:p>
        </w:tc>
        <w:tc>
          <w:tcPr>
            <w:tcW w:w="1338" w:type="pct"/>
          </w:tcPr>
          <w:p>
            <w:pPr>
              <w:widowControl/>
              <w:spacing w:line="360" w:lineRule="atLeast"/>
              <w:ind w:firstLine="470" w:firstLineChars="196"/>
              <w:rPr>
                <w:rFonts w:ascii="仿宋" w:hAnsi="仿宋"/>
              </w:rPr>
            </w:pPr>
          </w:p>
        </w:tc>
        <w:tc>
          <w:tcPr>
            <w:tcW w:w="1490"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rPr>
                <w:rFonts w:ascii="仿宋" w:hAnsi="仿宋"/>
              </w:rPr>
            </w:pPr>
          </w:p>
        </w:tc>
        <w:tc>
          <w:tcPr>
            <w:tcW w:w="561" w:type="pct"/>
          </w:tcPr>
          <w:p>
            <w:pPr>
              <w:widowControl/>
              <w:spacing w:line="360" w:lineRule="atLeast"/>
              <w:ind w:firstLine="470" w:firstLineChars="196"/>
              <w:rPr>
                <w:rFonts w:ascii="仿宋" w:hAnsi="仿宋"/>
              </w:rPr>
            </w:pPr>
          </w:p>
        </w:tc>
        <w:tc>
          <w:tcPr>
            <w:tcW w:w="1147" w:type="pct"/>
          </w:tcPr>
          <w:p>
            <w:pPr>
              <w:widowControl/>
              <w:spacing w:line="360" w:lineRule="atLeast"/>
              <w:ind w:firstLine="470" w:firstLineChars="196"/>
              <w:rPr>
                <w:rFonts w:ascii="仿宋" w:hAnsi="仿宋"/>
              </w:rPr>
            </w:pPr>
          </w:p>
        </w:tc>
        <w:tc>
          <w:tcPr>
            <w:tcW w:w="1338" w:type="pct"/>
          </w:tcPr>
          <w:p>
            <w:pPr>
              <w:widowControl/>
              <w:spacing w:line="360" w:lineRule="atLeast"/>
              <w:ind w:firstLine="470" w:firstLineChars="196"/>
              <w:rPr>
                <w:rFonts w:ascii="仿宋" w:hAnsi="仿宋"/>
              </w:rPr>
            </w:pPr>
          </w:p>
        </w:tc>
        <w:tc>
          <w:tcPr>
            <w:tcW w:w="1490"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rPr>
                <w:rFonts w:ascii="仿宋" w:hAnsi="仿宋"/>
              </w:rPr>
            </w:pPr>
          </w:p>
        </w:tc>
        <w:tc>
          <w:tcPr>
            <w:tcW w:w="561" w:type="pct"/>
          </w:tcPr>
          <w:p>
            <w:pPr>
              <w:widowControl/>
              <w:spacing w:line="360" w:lineRule="atLeast"/>
              <w:ind w:firstLine="470" w:firstLineChars="196"/>
              <w:rPr>
                <w:rFonts w:ascii="仿宋" w:hAnsi="仿宋"/>
              </w:rPr>
            </w:pPr>
          </w:p>
        </w:tc>
        <w:tc>
          <w:tcPr>
            <w:tcW w:w="1147" w:type="pct"/>
          </w:tcPr>
          <w:p>
            <w:pPr>
              <w:widowControl/>
              <w:spacing w:line="360" w:lineRule="atLeast"/>
              <w:ind w:firstLine="470" w:firstLineChars="196"/>
              <w:rPr>
                <w:rFonts w:ascii="仿宋" w:hAnsi="仿宋"/>
              </w:rPr>
            </w:pPr>
          </w:p>
        </w:tc>
        <w:tc>
          <w:tcPr>
            <w:tcW w:w="1338" w:type="pct"/>
          </w:tcPr>
          <w:p>
            <w:pPr>
              <w:widowControl/>
              <w:spacing w:line="360" w:lineRule="atLeast"/>
              <w:ind w:firstLine="470" w:firstLineChars="196"/>
              <w:rPr>
                <w:rFonts w:ascii="仿宋" w:hAnsi="仿宋"/>
              </w:rPr>
            </w:pPr>
          </w:p>
        </w:tc>
        <w:tc>
          <w:tcPr>
            <w:tcW w:w="1490"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rPr>
                <w:rFonts w:ascii="仿宋" w:hAnsi="仿宋"/>
              </w:rPr>
            </w:pPr>
          </w:p>
        </w:tc>
        <w:tc>
          <w:tcPr>
            <w:tcW w:w="561" w:type="pct"/>
          </w:tcPr>
          <w:p>
            <w:pPr>
              <w:widowControl/>
              <w:spacing w:line="360" w:lineRule="atLeast"/>
              <w:ind w:firstLine="470" w:firstLineChars="196"/>
              <w:rPr>
                <w:rFonts w:ascii="仿宋" w:hAnsi="仿宋"/>
              </w:rPr>
            </w:pPr>
          </w:p>
        </w:tc>
        <w:tc>
          <w:tcPr>
            <w:tcW w:w="1147" w:type="pct"/>
          </w:tcPr>
          <w:p>
            <w:pPr>
              <w:widowControl/>
              <w:spacing w:line="360" w:lineRule="atLeast"/>
              <w:ind w:firstLine="470" w:firstLineChars="196"/>
              <w:rPr>
                <w:rFonts w:ascii="仿宋" w:hAnsi="仿宋"/>
              </w:rPr>
            </w:pPr>
          </w:p>
        </w:tc>
        <w:tc>
          <w:tcPr>
            <w:tcW w:w="1338" w:type="pct"/>
          </w:tcPr>
          <w:p>
            <w:pPr>
              <w:widowControl/>
              <w:spacing w:line="360" w:lineRule="atLeast"/>
              <w:ind w:firstLine="470" w:firstLineChars="196"/>
              <w:rPr>
                <w:rFonts w:ascii="仿宋" w:hAnsi="仿宋"/>
              </w:rPr>
            </w:pPr>
          </w:p>
        </w:tc>
        <w:tc>
          <w:tcPr>
            <w:tcW w:w="1490"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rPr>
                <w:rFonts w:ascii="仿宋" w:hAnsi="仿宋"/>
              </w:rPr>
            </w:pPr>
          </w:p>
        </w:tc>
        <w:tc>
          <w:tcPr>
            <w:tcW w:w="561" w:type="pct"/>
          </w:tcPr>
          <w:p>
            <w:pPr>
              <w:widowControl/>
              <w:spacing w:line="360" w:lineRule="atLeast"/>
              <w:ind w:firstLine="470" w:firstLineChars="196"/>
              <w:rPr>
                <w:rFonts w:ascii="仿宋" w:hAnsi="仿宋"/>
              </w:rPr>
            </w:pPr>
          </w:p>
        </w:tc>
        <w:tc>
          <w:tcPr>
            <w:tcW w:w="1147" w:type="pct"/>
          </w:tcPr>
          <w:p>
            <w:pPr>
              <w:widowControl/>
              <w:spacing w:line="360" w:lineRule="atLeast"/>
              <w:ind w:firstLine="470" w:firstLineChars="196"/>
              <w:rPr>
                <w:rFonts w:ascii="仿宋" w:hAnsi="仿宋"/>
              </w:rPr>
            </w:pPr>
          </w:p>
        </w:tc>
        <w:tc>
          <w:tcPr>
            <w:tcW w:w="1338" w:type="pct"/>
          </w:tcPr>
          <w:p>
            <w:pPr>
              <w:widowControl/>
              <w:spacing w:line="360" w:lineRule="atLeast"/>
              <w:ind w:firstLine="470" w:firstLineChars="196"/>
              <w:rPr>
                <w:rFonts w:ascii="仿宋" w:hAnsi="仿宋"/>
              </w:rPr>
            </w:pPr>
          </w:p>
        </w:tc>
        <w:tc>
          <w:tcPr>
            <w:tcW w:w="1490"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rPr>
                <w:rFonts w:ascii="仿宋" w:hAnsi="仿宋"/>
              </w:rPr>
            </w:pPr>
          </w:p>
        </w:tc>
        <w:tc>
          <w:tcPr>
            <w:tcW w:w="561" w:type="pct"/>
          </w:tcPr>
          <w:p>
            <w:pPr>
              <w:widowControl/>
              <w:spacing w:line="360" w:lineRule="atLeast"/>
              <w:ind w:firstLine="470" w:firstLineChars="196"/>
              <w:rPr>
                <w:rFonts w:ascii="仿宋" w:hAnsi="仿宋"/>
              </w:rPr>
            </w:pPr>
          </w:p>
        </w:tc>
        <w:tc>
          <w:tcPr>
            <w:tcW w:w="1147" w:type="pct"/>
          </w:tcPr>
          <w:p>
            <w:pPr>
              <w:widowControl/>
              <w:spacing w:line="360" w:lineRule="atLeast"/>
              <w:ind w:firstLine="470" w:firstLineChars="196"/>
              <w:rPr>
                <w:rFonts w:ascii="仿宋" w:hAnsi="仿宋"/>
              </w:rPr>
            </w:pPr>
          </w:p>
        </w:tc>
        <w:tc>
          <w:tcPr>
            <w:tcW w:w="1338" w:type="pct"/>
          </w:tcPr>
          <w:p>
            <w:pPr>
              <w:widowControl/>
              <w:spacing w:line="360" w:lineRule="atLeast"/>
              <w:ind w:firstLine="470" w:firstLineChars="196"/>
              <w:rPr>
                <w:rFonts w:ascii="仿宋" w:hAnsi="仿宋"/>
              </w:rPr>
            </w:pPr>
          </w:p>
        </w:tc>
        <w:tc>
          <w:tcPr>
            <w:tcW w:w="1490"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rPr>
                <w:rFonts w:ascii="仿宋" w:hAnsi="仿宋"/>
              </w:rPr>
            </w:pPr>
          </w:p>
        </w:tc>
        <w:tc>
          <w:tcPr>
            <w:tcW w:w="561" w:type="pct"/>
          </w:tcPr>
          <w:p>
            <w:pPr>
              <w:widowControl/>
              <w:spacing w:line="360" w:lineRule="atLeast"/>
              <w:ind w:firstLine="470" w:firstLineChars="196"/>
              <w:rPr>
                <w:rFonts w:ascii="仿宋" w:hAnsi="仿宋"/>
              </w:rPr>
            </w:pPr>
          </w:p>
        </w:tc>
        <w:tc>
          <w:tcPr>
            <w:tcW w:w="1147" w:type="pct"/>
          </w:tcPr>
          <w:p>
            <w:pPr>
              <w:widowControl/>
              <w:spacing w:line="360" w:lineRule="atLeast"/>
              <w:ind w:firstLine="470" w:firstLineChars="196"/>
              <w:rPr>
                <w:rFonts w:ascii="仿宋" w:hAnsi="仿宋"/>
              </w:rPr>
            </w:pPr>
          </w:p>
        </w:tc>
        <w:tc>
          <w:tcPr>
            <w:tcW w:w="1338" w:type="pct"/>
          </w:tcPr>
          <w:p>
            <w:pPr>
              <w:widowControl/>
              <w:spacing w:line="360" w:lineRule="atLeast"/>
              <w:ind w:firstLine="470" w:firstLineChars="196"/>
              <w:rPr>
                <w:rFonts w:ascii="仿宋" w:hAnsi="仿宋"/>
              </w:rPr>
            </w:pPr>
          </w:p>
        </w:tc>
        <w:tc>
          <w:tcPr>
            <w:tcW w:w="1490" w:type="pct"/>
          </w:tcPr>
          <w:p>
            <w:pPr>
              <w:widowControl/>
              <w:spacing w:line="360" w:lineRule="atLeast"/>
              <w:ind w:firstLine="470" w:firstLineChars="196"/>
              <w:rPr>
                <w:rFonts w:ascii="仿宋" w:hAnsi="仿宋"/>
              </w:rPr>
            </w:pPr>
          </w:p>
        </w:tc>
      </w:tr>
    </w:tbl>
    <w:p>
      <w:pPr>
        <w:widowControl/>
        <w:spacing w:line="360" w:lineRule="atLeast"/>
        <w:ind w:firstLine="470" w:firstLineChars="196"/>
        <w:rPr>
          <w:rFonts w:ascii="仿宋" w:hAnsi="仿宋"/>
        </w:rPr>
      </w:pPr>
    </w:p>
    <w:p>
      <w:pPr>
        <w:widowControl/>
        <w:spacing w:line="360" w:lineRule="atLeast"/>
        <w:ind w:firstLine="470" w:firstLineChars="196"/>
        <w:rPr>
          <w:rFonts w:ascii="仿宋" w:hAnsi="仿宋"/>
        </w:rPr>
      </w:pPr>
      <w:r>
        <w:rPr>
          <w:rFonts w:hint="eastAsia" w:ascii="仿宋" w:hAnsi="仿宋"/>
        </w:rPr>
        <w:t>注：1.</w:t>
      </w:r>
      <w:r>
        <w:rPr>
          <w:rFonts w:ascii="仿宋" w:hAnsi="仿宋"/>
        </w:rPr>
        <w:t xml:space="preserve"> </w:t>
      </w:r>
      <w:r>
        <w:rPr>
          <w:rFonts w:hint="eastAsia" w:ascii="仿宋" w:hAnsi="仿宋"/>
        </w:rPr>
        <w:t>供应商必须把招标文件</w:t>
      </w:r>
      <w:r>
        <w:rPr>
          <w:rFonts w:hint="eastAsia" w:ascii="仿宋" w:hAnsi="仿宋"/>
          <w:b/>
          <w:bCs/>
        </w:rPr>
        <w:t>第六章技术服务要求全部</w:t>
      </w:r>
      <w:r>
        <w:rPr>
          <w:rFonts w:hint="eastAsia" w:ascii="仿宋" w:hAnsi="仿宋"/>
        </w:rPr>
        <w:t>列入此表。</w:t>
      </w:r>
    </w:p>
    <w:p>
      <w:pPr>
        <w:widowControl/>
        <w:spacing w:line="360" w:lineRule="atLeast"/>
        <w:ind w:firstLine="470" w:firstLineChars="196"/>
        <w:rPr>
          <w:rFonts w:ascii="仿宋" w:hAnsi="仿宋"/>
        </w:rPr>
      </w:pPr>
      <w:r>
        <w:rPr>
          <w:rFonts w:hint="eastAsia" w:ascii="仿宋" w:hAnsi="仿宋"/>
        </w:rPr>
        <w:t>2．按照招标项目技术要求的顺序逐条对应填写。</w:t>
      </w:r>
    </w:p>
    <w:p>
      <w:pPr>
        <w:widowControl/>
        <w:spacing w:line="360" w:lineRule="atLeast"/>
        <w:ind w:firstLine="470" w:firstLineChars="196"/>
        <w:rPr>
          <w:rFonts w:ascii="仿宋" w:hAnsi="仿宋"/>
        </w:rPr>
      </w:pPr>
      <w:r>
        <w:rPr>
          <w:rFonts w:hint="eastAsia" w:ascii="仿宋" w:hAnsi="仿宋"/>
        </w:rPr>
        <w:t>3．供应商必须据实填写，不得虚假填写，否则将取消其投标或中标资格。</w:t>
      </w:r>
    </w:p>
    <w:p>
      <w:pPr>
        <w:widowControl/>
        <w:spacing w:line="360" w:lineRule="atLeast"/>
        <w:ind w:firstLine="470" w:firstLineChars="196"/>
        <w:rPr>
          <w:rFonts w:ascii="仿宋" w:hAnsi="仿宋"/>
        </w:rPr>
      </w:pPr>
    </w:p>
    <w:p>
      <w:pPr>
        <w:widowControl/>
        <w:spacing w:line="360" w:lineRule="atLeast"/>
        <w:ind w:firstLine="470" w:firstLineChars="196"/>
        <w:rPr>
          <w:rFonts w:ascii="仿宋" w:hAnsi="仿宋"/>
        </w:rPr>
      </w:pPr>
      <w:r>
        <w:rPr>
          <w:rFonts w:hint="eastAsia" w:ascii="仿宋" w:hAnsi="仿宋"/>
        </w:rPr>
        <w:t>投标人名称：XXXX</w:t>
      </w:r>
    </w:p>
    <w:p>
      <w:pPr>
        <w:widowControl/>
        <w:spacing w:line="360" w:lineRule="atLeast"/>
        <w:ind w:firstLine="470" w:firstLineChars="196"/>
        <w:rPr>
          <w:rFonts w:ascii="仿宋" w:hAnsi="仿宋"/>
        </w:rPr>
      </w:pPr>
      <w:r>
        <w:rPr>
          <w:rFonts w:hint="eastAsia" w:ascii="仿宋" w:hAnsi="仿宋"/>
        </w:rPr>
        <w:t>投标日期:</w:t>
      </w:r>
      <w:r>
        <w:rPr>
          <w:rFonts w:ascii="仿宋" w:hAnsi="仿宋"/>
        </w:rPr>
        <w:t xml:space="preserve"> </w:t>
      </w:r>
      <w:r>
        <w:rPr>
          <w:rFonts w:hint="eastAsia" w:ascii="仿宋" w:hAnsi="仿宋"/>
        </w:rPr>
        <w:t>XXXX。</w:t>
      </w:r>
    </w:p>
    <w:p>
      <w:pPr>
        <w:rPr>
          <w:rFonts w:ascii="仿宋" w:hAnsi="仿宋" w:cs="仿宋"/>
        </w:rPr>
      </w:pPr>
      <w:r>
        <w:rPr>
          <w:rFonts w:hint="eastAsia" w:ascii="仿宋" w:hAnsi="仿宋" w:cs="仿宋"/>
        </w:rPr>
        <w:br w:type="page"/>
      </w:r>
    </w:p>
    <w:p>
      <w:pPr>
        <w:pStyle w:val="5"/>
        <w:spacing w:before="0" w:after="0"/>
        <w:rPr>
          <w:rFonts w:ascii="仿宋" w:hAnsi="仿宋" w:cs="仿宋"/>
        </w:rPr>
      </w:pPr>
      <w:r>
        <w:rPr>
          <w:rFonts w:hint="eastAsia" w:ascii="仿宋" w:hAnsi="仿宋" w:cs="仿宋"/>
        </w:rPr>
        <w:t>格式2-10 投标人本项目管理、技术、服务人员情况表</w:t>
      </w:r>
      <w:bookmarkEnd w:id="250"/>
      <w:bookmarkEnd w:id="251"/>
    </w:p>
    <w:p>
      <w:pPr>
        <w:widowControl/>
        <w:spacing w:line="360" w:lineRule="atLeast"/>
        <w:jc w:val="center"/>
        <w:rPr>
          <w:rFonts w:ascii="仿宋" w:hAnsi="仿宋" w:cs="仿宋"/>
          <w:b/>
          <w:bCs/>
          <w:sz w:val="32"/>
          <w:szCs w:val="32"/>
        </w:rPr>
      </w:pPr>
      <w:r>
        <w:rPr>
          <w:rFonts w:hint="eastAsia" w:ascii="仿宋" w:hAnsi="仿宋" w:cs="仿宋"/>
          <w:b/>
          <w:bCs/>
          <w:sz w:val="32"/>
          <w:szCs w:val="32"/>
        </w:rPr>
        <w:t>投标人本项目管理、技术、服务人员情况表</w:t>
      </w:r>
    </w:p>
    <w:p>
      <w:pPr>
        <w:widowControl/>
        <w:spacing w:line="360" w:lineRule="atLeast"/>
        <w:rPr>
          <w:rFonts w:ascii="仿宋" w:hAnsi="仿宋"/>
        </w:rPr>
      </w:pP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990"/>
        <w:gridCol w:w="990"/>
        <w:gridCol w:w="990"/>
        <w:gridCol w:w="990"/>
        <w:gridCol w:w="1044"/>
        <w:gridCol w:w="1178"/>
        <w:gridCol w:w="1037"/>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restart"/>
            <w:vAlign w:val="center"/>
          </w:tcPr>
          <w:p>
            <w:pPr>
              <w:widowControl/>
              <w:spacing w:line="360" w:lineRule="atLeast"/>
              <w:jc w:val="center"/>
              <w:rPr>
                <w:rFonts w:ascii="仿宋" w:hAnsi="仿宋"/>
              </w:rPr>
            </w:pPr>
            <w:r>
              <w:rPr>
                <w:rFonts w:hint="eastAsia" w:ascii="仿宋" w:hAnsi="仿宋"/>
              </w:rPr>
              <w:t>类别</w:t>
            </w:r>
          </w:p>
        </w:tc>
        <w:tc>
          <w:tcPr>
            <w:tcW w:w="533" w:type="pct"/>
            <w:vMerge w:val="restart"/>
            <w:vAlign w:val="center"/>
          </w:tcPr>
          <w:p>
            <w:pPr>
              <w:widowControl/>
              <w:spacing w:line="360" w:lineRule="atLeast"/>
              <w:rPr>
                <w:rFonts w:ascii="仿宋" w:hAnsi="仿宋"/>
              </w:rPr>
            </w:pPr>
            <w:r>
              <w:rPr>
                <w:rFonts w:hint="eastAsia" w:ascii="仿宋" w:hAnsi="仿宋"/>
              </w:rPr>
              <w:t>职务</w:t>
            </w:r>
          </w:p>
        </w:tc>
        <w:tc>
          <w:tcPr>
            <w:tcW w:w="533" w:type="pct"/>
            <w:vMerge w:val="restart"/>
            <w:vAlign w:val="center"/>
          </w:tcPr>
          <w:p>
            <w:pPr>
              <w:widowControl/>
              <w:spacing w:line="360" w:lineRule="atLeast"/>
              <w:rPr>
                <w:rFonts w:ascii="仿宋" w:hAnsi="仿宋"/>
              </w:rPr>
            </w:pPr>
            <w:r>
              <w:rPr>
                <w:rFonts w:hint="eastAsia" w:ascii="仿宋" w:hAnsi="仿宋"/>
              </w:rPr>
              <w:t>姓名</w:t>
            </w:r>
          </w:p>
        </w:tc>
        <w:tc>
          <w:tcPr>
            <w:tcW w:w="533" w:type="pct"/>
            <w:vMerge w:val="restart"/>
            <w:vAlign w:val="center"/>
          </w:tcPr>
          <w:p>
            <w:pPr>
              <w:widowControl/>
              <w:spacing w:line="360" w:lineRule="atLeast"/>
              <w:rPr>
                <w:rFonts w:ascii="仿宋" w:hAnsi="仿宋"/>
              </w:rPr>
            </w:pPr>
            <w:r>
              <w:rPr>
                <w:rFonts w:hint="eastAsia" w:ascii="仿宋" w:hAnsi="仿宋"/>
              </w:rPr>
              <w:t>职称</w:t>
            </w:r>
          </w:p>
        </w:tc>
        <w:tc>
          <w:tcPr>
            <w:tcW w:w="533" w:type="pct"/>
            <w:vMerge w:val="restart"/>
            <w:vAlign w:val="center"/>
          </w:tcPr>
          <w:p>
            <w:pPr>
              <w:widowControl/>
              <w:spacing w:line="360" w:lineRule="atLeast"/>
              <w:rPr>
                <w:rFonts w:ascii="仿宋" w:hAnsi="仿宋"/>
              </w:rPr>
            </w:pPr>
            <w:r>
              <w:rPr>
                <w:rFonts w:hint="eastAsia" w:ascii="仿宋" w:hAnsi="仿宋"/>
              </w:rPr>
              <w:t>常住地</w:t>
            </w:r>
          </w:p>
        </w:tc>
        <w:tc>
          <w:tcPr>
            <w:tcW w:w="2238" w:type="pct"/>
            <w:gridSpan w:val="4"/>
            <w:vAlign w:val="center"/>
          </w:tcPr>
          <w:p>
            <w:pPr>
              <w:widowControl/>
              <w:spacing w:line="360" w:lineRule="atLeast"/>
              <w:jc w:val="center"/>
              <w:rPr>
                <w:rFonts w:ascii="仿宋" w:hAnsi="仿宋"/>
              </w:rPr>
            </w:pPr>
            <w:r>
              <w:rPr>
                <w:rFonts w:hint="eastAsia" w:ascii="仿宋" w:hAnsi="仿宋"/>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vAlign w:val="center"/>
          </w:tcPr>
          <w:p>
            <w:pPr>
              <w:jc w:val="center"/>
              <w:rPr>
                <w:rFonts w:ascii="仿宋" w:hAnsi="仿宋"/>
              </w:rPr>
            </w:pPr>
          </w:p>
        </w:tc>
        <w:tc>
          <w:tcPr>
            <w:tcW w:w="533" w:type="pct"/>
            <w:vMerge w:val="continue"/>
            <w:vAlign w:val="center"/>
          </w:tcPr>
          <w:p>
            <w:pPr>
              <w:rPr>
                <w:rFonts w:ascii="仿宋" w:hAnsi="仿宋"/>
              </w:rPr>
            </w:pPr>
          </w:p>
        </w:tc>
        <w:tc>
          <w:tcPr>
            <w:tcW w:w="533" w:type="pct"/>
            <w:vMerge w:val="continue"/>
            <w:vAlign w:val="center"/>
          </w:tcPr>
          <w:p>
            <w:pPr>
              <w:rPr>
                <w:rFonts w:ascii="仿宋" w:hAnsi="仿宋"/>
              </w:rPr>
            </w:pPr>
          </w:p>
        </w:tc>
        <w:tc>
          <w:tcPr>
            <w:tcW w:w="533" w:type="pct"/>
            <w:vMerge w:val="continue"/>
            <w:vAlign w:val="center"/>
          </w:tcPr>
          <w:p>
            <w:pPr>
              <w:rPr>
                <w:rFonts w:ascii="仿宋" w:hAnsi="仿宋"/>
              </w:rPr>
            </w:pPr>
          </w:p>
        </w:tc>
        <w:tc>
          <w:tcPr>
            <w:tcW w:w="533" w:type="pct"/>
            <w:vMerge w:val="continue"/>
            <w:vAlign w:val="center"/>
          </w:tcPr>
          <w:p>
            <w:pPr>
              <w:rPr>
                <w:rFonts w:ascii="仿宋" w:hAnsi="仿宋"/>
              </w:rPr>
            </w:pPr>
          </w:p>
        </w:tc>
        <w:tc>
          <w:tcPr>
            <w:tcW w:w="562" w:type="pct"/>
            <w:vAlign w:val="center"/>
          </w:tcPr>
          <w:p>
            <w:pPr>
              <w:widowControl/>
              <w:spacing w:line="360" w:lineRule="atLeast"/>
              <w:jc w:val="center"/>
              <w:rPr>
                <w:rFonts w:ascii="仿宋" w:hAnsi="仿宋"/>
              </w:rPr>
            </w:pPr>
            <w:r>
              <w:rPr>
                <w:rFonts w:hint="eastAsia" w:ascii="仿宋" w:hAnsi="仿宋"/>
              </w:rPr>
              <w:t>证书</w:t>
            </w:r>
          </w:p>
          <w:p>
            <w:pPr>
              <w:widowControl/>
              <w:spacing w:line="360" w:lineRule="atLeast"/>
              <w:jc w:val="center"/>
              <w:rPr>
                <w:rFonts w:ascii="仿宋" w:hAnsi="仿宋"/>
              </w:rPr>
            </w:pPr>
            <w:r>
              <w:rPr>
                <w:rFonts w:hint="eastAsia" w:ascii="仿宋" w:hAnsi="仿宋"/>
              </w:rPr>
              <w:t>名称</w:t>
            </w:r>
          </w:p>
        </w:tc>
        <w:tc>
          <w:tcPr>
            <w:tcW w:w="634" w:type="pct"/>
            <w:vAlign w:val="center"/>
          </w:tcPr>
          <w:p>
            <w:pPr>
              <w:widowControl/>
              <w:spacing w:line="360" w:lineRule="atLeast"/>
              <w:jc w:val="center"/>
              <w:rPr>
                <w:rFonts w:ascii="仿宋" w:hAnsi="仿宋"/>
              </w:rPr>
            </w:pPr>
            <w:r>
              <w:rPr>
                <w:rFonts w:hint="eastAsia" w:ascii="仿宋" w:hAnsi="仿宋"/>
              </w:rPr>
              <w:t>级别</w:t>
            </w:r>
          </w:p>
        </w:tc>
        <w:tc>
          <w:tcPr>
            <w:tcW w:w="558" w:type="pct"/>
            <w:vAlign w:val="center"/>
          </w:tcPr>
          <w:p>
            <w:pPr>
              <w:widowControl/>
              <w:spacing w:line="360" w:lineRule="atLeast"/>
              <w:jc w:val="center"/>
              <w:rPr>
                <w:rFonts w:ascii="仿宋" w:hAnsi="仿宋"/>
              </w:rPr>
            </w:pPr>
            <w:r>
              <w:rPr>
                <w:rFonts w:hint="eastAsia" w:ascii="仿宋" w:hAnsi="仿宋"/>
              </w:rPr>
              <w:t>证号</w:t>
            </w:r>
          </w:p>
        </w:tc>
        <w:tc>
          <w:tcPr>
            <w:tcW w:w="482" w:type="pct"/>
            <w:vAlign w:val="center"/>
          </w:tcPr>
          <w:p>
            <w:pPr>
              <w:widowControl/>
              <w:spacing w:line="360" w:lineRule="atLeast"/>
              <w:jc w:val="center"/>
              <w:rPr>
                <w:rFonts w:ascii="仿宋" w:hAnsi="仿宋"/>
              </w:rPr>
            </w:pPr>
            <w:r>
              <w:rPr>
                <w:rFonts w:hint="eastAsia" w:ascii="仿宋" w:hAnsi="仿宋"/>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restart"/>
            <w:vAlign w:val="center"/>
          </w:tcPr>
          <w:p>
            <w:pPr>
              <w:widowControl/>
              <w:spacing w:line="360" w:lineRule="atLeast"/>
              <w:jc w:val="center"/>
              <w:rPr>
                <w:rFonts w:ascii="仿宋" w:hAnsi="仿宋"/>
              </w:rPr>
            </w:pPr>
            <w:r>
              <w:rPr>
                <w:rFonts w:hint="eastAsia" w:ascii="仿宋" w:hAnsi="仿宋"/>
              </w:rPr>
              <w:t>管理</w:t>
            </w:r>
          </w:p>
          <w:p>
            <w:pPr>
              <w:widowControl/>
              <w:spacing w:line="360" w:lineRule="atLeast"/>
              <w:jc w:val="center"/>
              <w:rPr>
                <w:rFonts w:ascii="仿宋" w:hAnsi="仿宋"/>
              </w:rPr>
            </w:pPr>
            <w:r>
              <w:rPr>
                <w:rFonts w:hint="eastAsia" w:ascii="仿宋" w:hAnsi="仿宋"/>
              </w:rPr>
              <w:t>人员</w:t>
            </w: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62" w:type="pct"/>
            <w:vAlign w:val="center"/>
          </w:tcPr>
          <w:p>
            <w:pPr>
              <w:widowControl/>
              <w:spacing w:line="360" w:lineRule="atLeast"/>
              <w:rPr>
                <w:rFonts w:ascii="仿宋" w:hAnsi="仿宋"/>
              </w:rPr>
            </w:pPr>
          </w:p>
        </w:tc>
        <w:tc>
          <w:tcPr>
            <w:tcW w:w="634" w:type="pct"/>
            <w:vAlign w:val="center"/>
          </w:tcPr>
          <w:p>
            <w:pPr>
              <w:widowControl/>
              <w:spacing w:line="360" w:lineRule="atLeast"/>
              <w:rPr>
                <w:rFonts w:ascii="仿宋" w:hAnsi="仿宋"/>
              </w:rPr>
            </w:pPr>
          </w:p>
        </w:tc>
        <w:tc>
          <w:tcPr>
            <w:tcW w:w="558" w:type="pct"/>
            <w:vAlign w:val="center"/>
          </w:tcPr>
          <w:p>
            <w:pPr>
              <w:widowControl/>
              <w:spacing w:line="360" w:lineRule="atLeast"/>
              <w:rPr>
                <w:rFonts w:ascii="仿宋" w:hAnsi="仿宋"/>
              </w:rPr>
            </w:pPr>
          </w:p>
        </w:tc>
        <w:tc>
          <w:tcPr>
            <w:tcW w:w="482" w:type="pct"/>
            <w:vAlign w:val="center"/>
          </w:tcPr>
          <w:p>
            <w:pPr>
              <w:widowControl/>
              <w:spacing w:line="360" w:lineRule="atLeast"/>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vAlign w:val="center"/>
          </w:tcPr>
          <w:p>
            <w:pPr>
              <w:jc w:val="center"/>
              <w:rPr>
                <w:rFonts w:ascii="仿宋" w:hAnsi="仿宋"/>
              </w:rPr>
            </w:pP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62" w:type="pct"/>
            <w:vAlign w:val="center"/>
          </w:tcPr>
          <w:p>
            <w:pPr>
              <w:widowControl/>
              <w:spacing w:line="360" w:lineRule="atLeast"/>
              <w:rPr>
                <w:rFonts w:ascii="仿宋" w:hAnsi="仿宋"/>
              </w:rPr>
            </w:pPr>
          </w:p>
        </w:tc>
        <w:tc>
          <w:tcPr>
            <w:tcW w:w="634" w:type="pct"/>
            <w:vAlign w:val="center"/>
          </w:tcPr>
          <w:p>
            <w:pPr>
              <w:widowControl/>
              <w:spacing w:line="360" w:lineRule="atLeast"/>
              <w:rPr>
                <w:rFonts w:ascii="仿宋" w:hAnsi="仿宋"/>
              </w:rPr>
            </w:pPr>
          </w:p>
        </w:tc>
        <w:tc>
          <w:tcPr>
            <w:tcW w:w="558" w:type="pct"/>
            <w:vAlign w:val="center"/>
          </w:tcPr>
          <w:p>
            <w:pPr>
              <w:widowControl/>
              <w:spacing w:line="360" w:lineRule="atLeast"/>
              <w:rPr>
                <w:rFonts w:ascii="仿宋" w:hAnsi="仿宋"/>
              </w:rPr>
            </w:pPr>
          </w:p>
        </w:tc>
        <w:tc>
          <w:tcPr>
            <w:tcW w:w="482" w:type="pct"/>
            <w:vAlign w:val="center"/>
          </w:tcPr>
          <w:p>
            <w:pPr>
              <w:widowControl/>
              <w:spacing w:line="360" w:lineRule="atLeast"/>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continue"/>
            <w:vAlign w:val="center"/>
          </w:tcPr>
          <w:p>
            <w:pPr>
              <w:jc w:val="center"/>
              <w:rPr>
                <w:rFonts w:ascii="仿宋" w:hAnsi="仿宋"/>
              </w:rPr>
            </w:pP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62" w:type="pct"/>
            <w:vAlign w:val="center"/>
          </w:tcPr>
          <w:p>
            <w:pPr>
              <w:widowControl/>
              <w:spacing w:line="360" w:lineRule="atLeast"/>
              <w:rPr>
                <w:rFonts w:ascii="仿宋" w:hAnsi="仿宋"/>
              </w:rPr>
            </w:pPr>
          </w:p>
        </w:tc>
        <w:tc>
          <w:tcPr>
            <w:tcW w:w="634" w:type="pct"/>
            <w:vAlign w:val="center"/>
          </w:tcPr>
          <w:p>
            <w:pPr>
              <w:widowControl/>
              <w:spacing w:line="360" w:lineRule="atLeast"/>
              <w:rPr>
                <w:rFonts w:ascii="仿宋" w:hAnsi="仿宋"/>
              </w:rPr>
            </w:pPr>
          </w:p>
        </w:tc>
        <w:tc>
          <w:tcPr>
            <w:tcW w:w="558" w:type="pct"/>
            <w:vAlign w:val="center"/>
          </w:tcPr>
          <w:p>
            <w:pPr>
              <w:widowControl/>
              <w:spacing w:line="360" w:lineRule="atLeast"/>
              <w:rPr>
                <w:rFonts w:ascii="仿宋" w:hAnsi="仿宋"/>
              </w:rPr>
            </w:pPr>
          </w:p>
        </w:tc>
        <w:tc>
          <w:tcPr>
            <w:tcW w:w="482" w:type="pct"/>
            <w:vAlign w:val="center"/>
          </w:tcPr>
          <w:p>
            <w:pPr>
              <w:widowControl/>
              <w:spacing w:line="360" w:lineRule="atLeast"/>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restart"/>
            <w:vAlign w:val="center"/>
          </w:tcPr>
          <w:p>
            <w:pPr>
              <w:widowControl/>
              <w:spacing w:line="360" w:lineRule="atLeast"/>
              <w:jc w:val="center"/>
              <w:rPr>
                <w:rFonts w:ascii="仿宋" w:hAnsi="仿宋"/>
              </w:rPr>
            </w:pPr>
            <w:r>
              <w:rPr>
                <w:rFonts w:hint="eastAsia" w:ascii="仿宋" w:hAnsi="仿宋"/>
              </w:rPr>
              <w:t>技术</w:t>
            </w:r>
          </w:p>
          <w:p>
            <w:pPr>
              <w:widowControl/>
              <w:spacing w:line="360" w:lineRule="atLeast"/>
              <w:jc w:val="center"/>
              <w:rPr>
                <w:rFonts w:ascii="仿宋" w:hAnsi="仿宋"/>
              </w:rPr>
            </w:pPr>
            <w:r>
              <w:rPr>
                <w:rFonts w:hint="eastAsia" w:ascii="仿宋" w:hAnsi="仿宋"/>
              </w:rPr>
              <w:t>人员</w:t>
            </w: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62" w:type="pct"/>
            <w:vAlign w:val="center"/>
          </w:tcPr>
          <w:p>
            <w:pPr>
              <w:widowControl/>
              <w:spacing w:line="360" w:lineRule="atLeast"/>
              <w:rPr>
                <w:rFonts w:ascii="仿宋" w:hAnsi="仿宋"/>
              </w:rPr>
            </w:pPr>
          </w:p>
        </w:tc>
        <w:tc>
          <w:tcPr>
            <w:tcW w:w="634" w:type="pct"/>
            <w:vAlign w:val="center"/>
          </w:tcPr>
          <w:p>
            <w:pPr>
              <w:widowControl/>
              <w:spacing w:line="360" w:lineRule="atLeast"/>
              <w:rPr>
                <w:rFonts w:ascii="仿宋" w:hAnsi="仿宋"/>
              </w:rPr>
            </w:pPr>
          </w:p>
        </w:tc>
        <w:tc>
          <w:tcPr>
            <w:tcW w:w="558" w:type="pct"/>
            <w:vAlign w:val="center"/>
          </w:tcPr>
          <w:p>
            <w:pPr>
              <w:widowControl/>
              <w:spacing w:line="360" w:lineRule="atLeast"/>
              <w:rPr>
                <w:rFonts w:ascii="仿宋" w:hAnsi="仿宋"/>
              </w:rPr>
            </w:pPr>
          </w:p>
        </w:tc>
        <w:tc>
          <w:tcPr>
            <w:tcW w:w="482" w:type="pct"/>
            <w:vAlign w:val="center"/>
          </w:tcPr>
          <w:p>
            <w:pPr>
              <w:widowControl/>
              <w:spacing w:line="360" w:lineRule="atLeast"/>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continue"/>
            <w:vAlign w:val="center"/>
          </w:tcPr>
          <w:p>
            <w:pPr>
              <w:jc w:val="center"/>
              <w:rPr>
                <w:rFonts w:ascii="仿宋" w:hAnsi="仿宋"/>
              </w:rPr>
            </w:pP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62" w:type="pct"/>
            <w:vAlign w:val="center"/>
          </w:tcPr>
          <w:p>
            <w:pPr>
              <w:widowControl/>
              <w:spacing w:line="360" w:lineRule="atLeast"/>
              <w:rPr>
                <w:rFonts w:ascii="仿宋" w:hAnsi="仿宋"/>
              </w:rPr>
            </w:pPr>
          </w:p>
        </w:tc>
        <w:tc>
          <w:tcPr>
            <w:tcW w:w="634" w:type="pct"/>
            <w:vAlign w:val="center"/>
          </w:tcPr>
          <w:p>
            <w:pPr>
              <w:widowControl/>
              <w:spacing w:line="360" w:lineRule="atLeast"/>
              <w:rPr>
                <w:rFonts w:ascii="仿宋" w:hAnsi="仿宋"/>
              </w:rPr>
            </w:pPr>
          </w:p>
        </w:tc>
        <w:tc>
          <w:tcPr>
            <w:tcW w:w="558" w:type="pct"/>
            <w:vAlign w:val="center"/>
          </w:tcPr>
          <w:p>
            <w:pPr>
              <w:widowControl/>
              <w:spacing w:line="360" w:lineRule="atLeast"/>
              <w:rPr>
                <w:rFonts w:ascii="仿宋" w:hAnsi="仿宋"/>
              </w:rPr>
            </w:pPr>
          </w:p>
        </w:tc>
        <w:tc>
          <w:tcPr>
            <w:tcW w:w="482" w:type="pct"/>
            <w:vAlign w:val="center"/>
          </w:tcPr>
          <w:p>
            <w:pPr>
              <w:widowControl/>
              <w:spacing w:line="360" w:lineRule="atLeast"/>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vAlign w:val="center"/>
          </w:tcPr>
          <w:p>
            <w:pPr>
              <w:jc w:val="center"/>
              <w:rPr>
                <w:rFonts w:ascii="仿宋" w:hAnsi="仿宋"/>
              </w:rPr>
            </w:pP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62" w:type="pct"/>
            <w:vAlign w:val="center"/>
          </w:tcPr>
          <w:p>
            <w:pPr>
              <w:widowControl/>
              <w:spacing w:line="360" w:lineRule="atLeast"/>
              <w:rPr>
                <w:rFonts w:ascii="仿宋" w:hAnsi="仿宋"/>
              </w:rPr>
            </w:pPr>
          </w:p>
        </w:tc>
        <w:tc>
          <w:tcPr>
            <w:tcW w:w="634" w:type="pct"/>
            <w:vAlign w:val="center"/>
          </w:tcPr>
          <w:p>
            <w:pPr>
              <w:widowControl/>
              <w:spacing w:line="360" w:lineRule="atLeast"/>
              <w:rPr>
                <w:rFonts w:ascii="仿宋" w:hAnsi="仿宋"/>
              </w:rPr>
            </w:pPr>
          </w:p>
        </w:tc>
        <w:tc>
          <w:tcPr>
            <w:tcW w:w="558" w:type="pct"/>
            <w:vAlign w:val="center"/>
          </w:tcPr>
          <w:p>
            <w:pPr>
              <w:widowControl/>
              <w:spacing w:line="360" w:lineRule="atLeast"/>
              <w:rPr>
                <w:rFonts w:ascii="仿宋" w:hAnsi="仿宋"/>
              </w:rPr>
            </w:pPr>
          </w:p>
        </w:tc>
        <w:tc>
          <w:tcPr>
            <w:tcW w:w="482" w:type="pct"/>
            <w:vAlign w:val="center"/>
          </w:tcPr>
          <w:p>
            <w:pPr>
              <w:widowControl/>
              <w:spacing w:line="360" w:lineRule="atLeast"/>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restart"/>
            <w:vAlign w:val="center"/>
          </w:tcPr>
          <w:p>
            <w:pPr>
              <w:widowControl/>
              <w:spacing w:line="360" w:lineRule="atLeast"/>
              <w:jc w:val="center"/>
              <w:rPr>
                <w:rFonts w:ascii="仿宋" w:hAnsi="仿宋"/>
              </w:rPr>
            </w:pPr>
            <w:r>
              <w:rPr>
                <w:rFonts w:hint="eastAsia" w:ascii="仿宋" w:hAnsi="仿宋"/>
              </w:rPr>
              <w:t>售后服务人员</w:t>
            </w: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62" w:type="pct"/>
            <w:vAlign w:val="center"/>
          </w:tcPr>
          <w:p>
            <w:pPr>
              <w:widowControl/>
              <w:spacing w:line="360" w:lineRule="atLeast"/>
              <w:rPr>
                <w:rFonts w:ascii="仿宋" w:hAnsi="仿宋"/>
              </w:rPr>
            </w:pPr>
          </w:p>
        </w:tc>
        <w:tc>
          <w:tcPr>
            <w:tcW w:w="634" w:type="pct"/>
            <w:vAlign w:val="center"/>
          </w:tcPr>
          <w:p>
            <w:pPr>
              <w:widowControl/>
              <w:spacing w:line="360" w:lineRule="atLeast"/>
              <w:rPr>
                <w:rFonts w:ascii="仿宋" w:hAnsi="仿宋"/>
              </w:rPr>
            </w:pPr>
          </w:p>
        </w:tc>
        <w:tc>
          <w:tcPr>
            <w:tcW w:w="558" w:type="pct"/>
            <w:vAlign w:val="center"/>
          </w:tcPr>
          <w:p>
            <w:pPr>
              <w:widowControl/>
              <w:spacing w:line="360" w:lineRule="atLeast"/>
              <w:rPr>
                <w:rFonts w:ascii="仿宋" w:hAnsi="仿宋"/>
              </w:rPr>
            </w:pPr>
          </w:p>
        </w:tc>
        <w:tc>
          <w:tcPr>
            <w:tcW w:w="482" w:type="pct"/>
            <w:vAlign w:val="center"/>
          </w:tcPr>
          <w:p>
            <w:pPr>
              <w:widowControl/>
              <w:spacing w:line="360" w:lineRule="atLeast"/>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continue"/>
            <w:vAlign w:val="center"/>
          </w:tcPr>
          <w:p>
            <w:pPr>
              <w:widowControl/>
              <w:spacing w:line="360" w:lineRule="atLeast"/>
              <w:jc w:val="center"/>
              <w:rPr>
                <w:rFonts w:ascii="仿宋" w:hAnsi="仿宋"/>
              </w:rPr>
            </w:pP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62" w:type="pct"/>
            <w:vAlign w:val="center"/>
          </w:tcPr>
          <w:p>
            <w:pPr>
              <w:widowControl/>
              <w:spacing w:line="360" w:lineRule="atLeast"/>
              <w:rPr>
                <w:rFonts w:ascii="仿宋" w:hAnsi="仿宋"/>
              </w:rPr>
            </w:pPr>
          </w:p>
        </w:tc>
        <w:tc>
          <w:tcPr>
            <w:tcW w:w="634" w:type="pct"/>
            <w:vAlign w:val="center"/>
          </w:tcPr>
          <w:p>
            <w:pPr>
              <w:widowControl/>
              <w:spacing w:line="360" w:lineRule="atLeast"/>
              <w:rPr>
                <w:rFonts w:ascii="仿宋" w:hAnsi="仿宋"/>
              </w:rPr>
            </w:pPr>
          </w:p>
        </w:tc>
        <w:tc>
          <w:tcPr>
            <w:tcW w:w="558" w:type="pct"/>
            <w:vAlign w:val="center"/>
          </w:tcPr>
          <w:p>
            <w:pPr>
              <w:widowControl/>
              <w:spacing w:line="360" w:lineRule="atLeast"/>
              <w:rPr>
                <w:rFonts w:ascii="仿宋" w:hAnsi="仿宋"/>
              </w:rPr>
            </w:pPr>
          </w:p>
        </w:tc>
        <w:tc>
          <w:tcPr>
            <w:tcW w:w="482" w:type="pct"/>
            <w:vAlign w:val="center"/>
          </w:tcPr>
          <w:p>
            <w:pPr>
              <w:widowControl/>
              <w:spacing w:line="360" w:lineRule="atLeast"/>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tcBorders>
              <w:bottom w:val="single" w:color="auto" w:sz="4" w:space="0"/>
            </w:tcBorders>
            <w:vAlign w:val="center"/>
          </w:tcPr>
          <w:p>
            <w:pPr>
              <w:rPr>
                <w:rFonts w:ascii="仿宋" w:hAnsi="仿宋"/>
              </w:rPr>
            </w:pPr>
          </w:p>
        </w:tc>
        <w:tc>
          <w:tcPr>
            <w:tcW w:w="533" w:type="pct"/>
            <w:tcBorders>
              <w:bottom w:val="single" w:color="auto" w:sz="4" w:space="0"/>
            </w:tcBorders>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33" w:type="pct"/>
            <w:vAlign w:val="center"/>
          </w:tcPr>
          <w:p>
            <w:pPr>
              <w:widowControl/>
              <w:spacing w:line="360" w:lineRule="atLeast"/>
              <w:rPr>
                <w:rFonts w:ascii="仿宋" w:hAnsi="仿宋"/>
              </w:rPr>
            </w:pPr>
          </w:p>
        </w:tc>
        <w:tc>
          <w:tcPr>
            <w:tcW w:w="562" w:type="pct"/>
            <w:vAlign w:val="center"/>
          </w:tcPr>
          <w:p>
            <w:pPr>
              <w:widowControl/>
              <w:spacing w:line="360" w:lineRule="atLeast"/>
              <w:rPr>
                <w:rFonts w:ascii="仿宋" w:hAnsi="仿宋"/>
              </w:rPr>
            </w:pPr>
          </w:p>
        </w:tc>
        <w:tc>
          <w:tcPr>
            <w:tcW w:w="634" w:type="pct"/>
            <w:vAlign w:val="center"/>
          </w:tcPr>
          <w:p>
            <w:pPr>
              <w:widowControl/>
              <w:spacing w:line="360" w:lineRule="atLeast"/>
              <w:rPr>
                <w:rFonts w:ascii="仿宋" w:hAnsi="仿宋"/>
              </w:rPr>
            </w:pPr>
          </w:p>
        </w:tc>
        <w:tc>
          <w:tcPr>
            <w:tcW w:w="558" w:type="pct"/>
            <w:vAlign w:val="center"/>
          </w:tcPr>
          <w:p>
            <w:pPr>
              <w:widowControl/>
              <w:spacing w:line="360" w:lineRule="atLeast"/>
              <w:rPr>
                <w:rFonts w:ascii="仿宋" w:hAnsi="仿宋"/>
              </w:rPr>
            </w:pPr>
          </w:p>
        </w:tc>
        <w:tc>
          <w:tcPr>
            <w:tcW w:w="482" w:type="pct"/>
            <w:vAlign w:val="center"/>
          </w:tcPr>
          <w:p>
            <w:pPr>
              <w:widowControl/>
              <w:spacing w:line="360" w:lineRule="atLeast"/>
              <w:rPr>
                <w:rFonts w:ascii="仿宋" w:hAnsi="仿宋"/>
              </w:rPr>
            </w:pPr>
          </w:p>
        </w:tc>
      </w:tr>
    </w:tbl>
    <w:p>
      <w:pPr>
        <w:widowControl/>
        <w:spacing w:after="160" w:line="360" w:lineRule="atLeast"/>
        <w:rPr>
          <w:rFonts w:ascii="仿宋" w:hAnsi="仿宋"/>
        </w:rPr>
      </w:pPr>
    </w:p>
    <w:p>
      <w:pPr>
        <w:widowControl/>
        <w:spacing w:after="160" w:line="360" w:lineRule="atLeast"/>
        <w:rPr>
          <w:rFonts w:ascii="仿宋" w:hAnsi="仿宋"/>
        </w:rPr>
      </w:pPr>
      <w:r>
        <w:rPr>
          <w:rFonts w:hint="eastAsia" w:ascii="仿宋" w:hAnsi="仿宋"/>
        </w:rPr>
        <w:t>注：此表填写的管理人员将作为《政府采购货物和服务招标投标管理办法》（财政部令第87号）第37条的判定依据之一。</w:t>
      </w:r>
    </w:p>
    <w:p>
      <w:pPr>
        <w:widowControl/>
        <w:spacing w:line="360" w:lineRule="atLeast"/>
        <w:ind w:firstLine="470" w:firstLineChars="196"/>
        <w:rPr>
          <w:rFonts w:ascii="仿宋" w:hAnsi="仿宋"/>
        </w:rPr>
      </w:pPr>
    </w:p>
    <w:p>
      <w:pPr>
        <w:widowControl/>
        <w:spacing w:line="360" w:lineRule="atLeast"/>
        <w:ind w:firstLine="470" w:firstLineChars="196"/>
        <w:rPr>
          <w:rFonts w:ascii="仿宋" w:hAnsi="仿宋"/>
        </w:rPr>
      </w:pPr>
    </w:p>
    <w:p>
      <w:pPr>
        <w:widowControl/>
        <w:spacing w:line="360" w:lineRule="atLeast"/>
        <w:ind w:firstLine="470" w:firstLineChars="196"/>
        <w:rPr>
          <w:rFonts w:ascii="仿宋" w:hAnsi="仿宋"/>
        </w:rPr>
      </w:pPr>
      <w:r>
        <w:rPr>
          <w:rFonts w:hint="eastAsia" w:ascii="仿宋" w:hAnsi="仿宋"/>
        </w:rPr>
        <w:t>投标人名称：XXXX</w:t>
      </w:r>
    </w:p>
    <w:p>
      <w:pPr>
        <w:widowControl/>
        <w:spacing w:line="360" w:lineRule="atLeast"/>
        <w:ind w:firstLine="470" w:firstLineChars="196"/>
        <w:rPr>
          <w:rFonts w:ascii="仿宋" w:hAnsi="仿宋"/>
        </w:rPr>
      </w:pPr>
      <w:r>
        <w:rPr>
          <w:rFonts w:hint="eastAsia" w:ascii="仿宋" w:hAnsi="仿宋"/>
        </w:rPr>
        <w:t>投标日期：20XX年XX月XX日。</w:t>
      </w:r>
    </w:p>
    <w:p>
      <w:pPr>
        <w:widowControl/>
        <w:spacing w:line="360" w:lineRule="atLeast"/>
        <w:ind w:firstLine="472" w:firstLineChars="196"/>
        <w:rPr>
          <w:rFonts w:ascii="仿宋" w:hAnsi="仿宋"/>
          <w:b/>
        </w:rPr>
      </w:pPr>
    </w:p>
    <w:p>
      <w:pPr>
        <w:widowControl/>
        <w:spacing w:line="360" w:lineRule="atLeast"/>
        <w:ind w:firstLine="472" w:firstLineChars="196"/>
        <w:rPr>
          <w:rFonts w:ascii="仿宋" w:hAnsi="仿宋"/>
          <w:b/>
        </w:rPr>
      </w:pPr>
    </w:p>
    <w:p>
      <w:pPr>
        <w:widowControl/>
        <w:spacing w:line="360" w:lineRule="atLeast"/>
        <w:ind w:firstLine="472" w:firstLineChars="196"/>
        <w:rPr>
          <w:rFonts w:ascii="仿宋" w:hAnsi="仿宋"/>
          <w:b/>
        </w:rPr>
      </w:pPr>
    </w:p>
    <w:p>
      <w:pPr>
        <w:widowControl/>
        <w:spacing w:line="240" w:lineRule="auto"/>
        <w:rPr>
          <w:rFonts w:ascii="仿宋" w:hAnsi="仿宋"/>
          <w:b/>
          <w:sz w:val="32"/>
          <w:szCs w:val="32"/>
        </w:rPr>
      </w:pPr>
      <w:r>
        <w:rPr>
          <w:rFonts w:ascii="仿宋" w:hAnsi="仿宋"/>
          <w:b/>
          <w:sz w:val="32"/>
          <w:szCs w:val="32"/>
        </w:rPr>
        <w:br w:type="page"/>
      </w:r>
    </w:p>
    <w:p>
      <w:pPr>
        <w:pStyle w:val="5"/>
        <w:spacing w:before="0" w:after="0"/>
        <w:rPr>
          <w:rFonts w:ascii="仿宋" w:hAnsi="仿宋" w:cs="仿宋"/>
        </w:rPr>
      </w:pPr>
      <w:bookmarkStart w:id="252" w:name="_Toc86702006"/>
      <w:r>
        <w:rPr>
          <w:rFonts w:hint="eastAsia" w:ascii="仿宋" w:hAnsi="仿宋" w:cs="仿宋"/>
        </w:rPr>
        <w:t>格式</w:t>
      </w:r>
      <w:r>
        <w:rPr>
          <w:rFonts w:ascii="仿宋" w:hAnsi="仿宋" w:cs="仿宋"/>
        </w:rPr>
        <w:t>2</w:t>
      </w:r>
      <w:r>
        <w:rPr>
          <w:rFonts w:hint="eastAsia" w:ascii="仿宋" w:hAnsi="仿宋" w:cs="仿宋"/>
        </w:rPr>
        <w:t>-</w:t>
      </w:r>
      <w:r>
        <w:rPr>
          <w:rFonts w:ascii="仿宋" w:hAnsi="仿宋" w:cs="仿宋"/>
        </w:rPr>
        <w:t>11</w:t>
      </w:r>
      <w:r>
        <w:rPr>
          <w:rFonts w:hint="eastAsia" w:ascii="仿宋" w:hAnsi="仿宋" w:cs="仿宋"/>
        </w:rPr>
        <w:t>中小企业声明函</w:t>
      </w:r>
      <w:bookmarkEnd w:id="252"/>
    </w:p>
    <w:p>
      <w:pPr>
        <w:widowControl/>
        <w:spacing w:line="360" w:lineRule="atLeast"/>
        <w:jc w:val="center"/>
        <w:outlineLvl w:val="1"/>
        <w:rPr>
          <w:rFonts w:ascii="仿宋" w:hAnsi="仿宋"/>
          <w:b/>
          <w:sz w:val="32"/>
          <w:szCs w:val="32"/>
        </w:rPr>
      </w:pPr>
      <w:bookmarkStart w:id="253" w:name="_Toc14002"/>
      <w:bookmarkStart w:id="254" w:name="_Toc86702007"/>
      <w:r>
        <w:rPr>
          <w:rFonts w:hint="eastAsia" w:ascii="仿宋" w:hAnsi="仿宋"/>
          <w:b/>
          <w:sz w:val="32"/>
          <w:szCs w:val="32"/>
        </w:rPr>
        <w:t>中小企业声明函（服务）</w:t>
      </w:r>
      <w:bookmarkEnd w:id="253"/>
    </w:p>
    <w:p>
      <w:pPr>
        <w:pStyle w:val="18"/>
        <w:ind w:left="0"/>
        <w:rPr>
          <w:rFonts w:asciiTheme="minorEastAsia" w:hAnsiTheme="minorEastAsia"/>
          <w:b/>
          <w:szCs w:val="21"/>
        </w:rPr>
      </w:pPr>
    </w:p>
    <w:p>
      <w:pPr>
        <w:autoSpaceDE w:val="0"/>
        <w:autoSpaceDN w:val="0"/>
        <w:ind w:firstLine="480" w:firstLineChars="200"/>
        <w:jc w:val="both"/>
        <w:rPr>
          <w:rFonts w:ascii="仿宋" w:hAnsi="仿宋" w:cs="仿宋"/>
        </w:rPr>
      </w:pPr>
      <w:r>
        <w:rPr>
          <w:rFonts w:hint="eastAsia" w:ascii="仿宋" w:hAnsi="仿宋" w:cs="仿宋"/>
        </w:rPr>
        <w:t xml:space="preserve">本公司（联合体）郑重声明，根据《政府采购促进中小企业发展管理办法》（财库〔2020〕46 号），本公司（联合体）参加 </w:t>
      </w:r>
      <w:r>
        <w:rPr>
          <w:rFonts w:hint="eastAsia" w:ascii="仿宋" w:hAnsi="仿宋" w:cs="仿宋"/>
          <w:u w:val="single"/>
        </w:rPr>
        <w:t xml:space="preserve">（单位名称） </w:t>
      </w:r>
      <w:r>
        <w:rPr>
          <w:rFonts w:hint="eastAsia" w:ascii="仿宋" w:hAnsi="仿宋" w:cs="仿宋"/>
        </w:rPr>
        <w:t xml:space="preserve">的 </w:t>
      </w:r>
      <w:r>
        <w:rPr>
          <w:rFonts w:hint="eastAsia" w:ascii="仿宋" w:hAnsi="仿宋" w:cs="仿宋"/>
          <w:u w:val="single"/>
        </w:rPr>
        <w:t xml:space="preserve">（项目名称） </w:t>
      </w:r>
      <w:r>
        <w:rPr>
          <w:rFonts w:hint="eastAsia" w:ascii="仿宋" w:hAnsi="仿宋" w:cs="仿宋"/>
        </w:rPr>
        <w:t>采购活动，服务全部由符合政策要求的中小企业承接。相关企业（含联合体中的中小企业、签订分包意向协议的中小企业）的具体情况如下：</w:t>
      </w:r>
    </w:p>
    <w:p>
      <w:pPr>
        <w:autoSpaceDE w:val="0"/>
        <w:autoSpaceDN w:val="0"/>
        <w:ind w:firstLine="480" w:firstLineChars="200"/>
        <w:jc w:val="both"/>
        <w:rPr>
          <w:rFonts w:ascii="仿宋" w:hAnsi="仿宋" w:cs="仿宋"/>
        </w:rPr>
      </w:pPr>
      <w:r>
        <w:rPr>
          <w:rFonts w:hint="eastAsia" w:ascii="仿宋" w:hAnsi="仿宋" w:cs="仿宋"/>
        </w:rPr>
        <w:t xml:space="preserve">　　1. </w:t>
      </w:r>
      <w:r>
        <w:rPr>
          <w:rFonts w:hint="eastAsia" w:ascii="仿宋" w:hAnsi="仿宋" w:cs="仿宋"/>
          <w:u w:val="single"/>
        </w:rPr>
        <w:t xml:space="preserve">（标的名称） </w:t>
      </w:r>
      <w:r>
        <w:rPr>
          <w:rFonts w:hint="eastAsia" w:ascii="仿宋" w:hAnsi="仿宋" w:cs="仿宋"/>
        </w:rPr>
        <w:t>，属于</w:t>
      </w:r>
      <w:r>
        <w:rPr>
          <w:rFonts w:hint="eastAsia" w:ascii="仿宋" w:hAnsi="仿宋" w:cs="仿宋"/>
          <w:u w:val="single"/>
        </w:rPr>
        <w:t xml:space="preserve"> （采购文件中明确的所属行业）行业 </w:t>
      </w:r>
      <w:r>
        <w:rPr>
          <w:rFonts w:hint="eastAsia" w:ascii="仿宋" w:hAnsi="仿宋" w:cs="仿宋"/>
        </w:rPr>
        <w:t>；承接企业为</w:t>
      </w:r>
      <w:r>
        <w:rPr>
          <w:rFonts w:hint="eastAsia" w:ascii="仿宋" w:hAnsi="仿宋" w:cs="仿宋"/>
          <w:u w:val="single"/>
        </w:rPr>
        <w:t xml:space="preserve"> （企业名称） </w:t>
      </w:r>
      <w:r>
        <w:rPr>
          <w:rFonts w:hint="eastAsia" w:ascii="仿宋" w:hAnsi="仿宋" w:cs="仿宋"/>
        </w:rPr>
        <w:t>，从业人员</w:t>
      </w:r>
      <w:r>
        <w:rPr>
          <w:rFonts w:hint="eastAsia" w:ascii="仿宋" w:hAnsi="仿宋" w:cs="仿宋"/>
          <w:u w:val="single"/>
        </w:rPr>
        <w:t xml:space="preserve">   </w:t>
      </w:r>
      <w:r>
        <w:rPr>
          <w:rFonts w:hint="eastAsia" w:ascii="仿宋" w:hAnsi="仿宋" w:cs="仿宋"/>
        </w:rPr>
        <w:t>人，营业收入为</w:t>
      </w:r>
      <w:r>
        <w:rPr>
          <w:rFonts w:hint="eastAsia" w:ascii="仿宋" w:hAnsi="仿宋" w:cs="仿宋"/>
          <w:u w:val="single"/>
        </w:rPr>
        <w:t xml:space="preserve">    </w:t>
      </w:r>
      <w:r>
        <w:rPr>
          <w:rFonts w:hint="eastAsia" w:ascii="仿宋" w:hAnsi="仿宋" w:cs="仿宋"/>
        </w:rPr>
        <w:t>万元，资产总额为</w:t>
      </w:r>
      <w:r>
        <w:rPr>
          <w:rFonts w:hint="eastAsia" w:ascii="仿宋" w:hAnsi="仿宋" w:cs="仿宋"/>
          <w:u w:val="single"/>
        </w:rPr>
        <w:t xml:space="preserve">   </w:t>
      </w:r>
      <w:r>
        <w:rPr>
          <w:rFonts w:hint="eastAsia" w:ascii="仿宋" w:hAnsi="仿宋" w:cs="仿宋"/>
        </w:rPr>
        <w:t>万元</w:t>
      </w:r>
      <w:r>
        <w:rPr>
          <w:rFonts w:hint="eastAsia" w:ascii="仿宋" w:hAnsi="仿宋" w:cs="仿宋"/>
          <w:vertAlign w:val="superscript"/>
        </w:rPr>
        <w:t>1</w:t>
      </w:r>
      <w:r>
        <w:rPr>
          <w:rFonts w:hint="eastAsia" w:ascii="仿宋" w:hAnsi="仿宋" w:cs="仿宋"/>
        </w:rPr>
        <w:t>，属于</w:t>
      </w:r>
      <w:r>
        <w:rPr>
          <w:rFonts w:hint="eastAsia" w:ascii="仿宋" w:hAnsi="仿宋" w:cs="仿宋"/>
          <w:u w:val="single"/>
        </w:rPr>
        <w:t xml:space="preserve"> （中型企业、小型企业、微型企业）</w:t>
      </w:r>
      <w:r>
        <w:rPr>
          <w:rFonts w:hint="eastAsia" w:ascii="仿宋" w:hAnsi="仿宋" w:cs="仿宋"/>
        </w:rPr>
        <w:t>；</w:t>
      </w:r>
    </w:p>
    <w:p>
      <w:pPr>
        <w:autoSpaceDE w:val="0"/>
        <w:autoSpaceDN w:val="0"/>
        <w:ind w:firstLine="600" w:firstLineChars="250"/>
        <w:jc w:val="both"/>
        <w:rPr>
          <w:rFonts w:ascii="仿宋" w:hAnsi="仿宋" w:cs="仿宋"/>
        </w:rPr>
      </w:pPr>
      <w:r>
        <w:rPr>
          <w:rFonts w:hint="eastAsia" w:ascii="仿宋" w:hAnsi="仿宋" w:cs="仿宋"/>
        </w:rPr>
        <w:t>2.</w:t>
      </w:r>
      <w:r>
        <w:rPr>
          <w:rFonts w:hint="eastAsia" w:ascii="仿宋" w:hAnsi="仿宋" w:cs="仿宋"/>
          <w:u w:val="single"/>
        </w:rPr>
        <w:t xml:space="preserve"> （标的名称） </w:t>
      </w:r>
      <w:r>
        <w:rPr>
          <w:rFonts w:hint="eastAsia" w:ascii="仿宋" w:hAnsi="仿宋" w:cs="仿宋"/>
        </w:rPr>
        <w:t>，属于</w:t>
      </w:r>
      <w:r>
        <w:rPr>
          <w:rFonts w:hint="eastAsia" w:ascii="仿宋" w:hAnsi="仿宋" w:cs="仿宋"/>
          <w:u w:val="single"/>
        </w:rPr>
        <w:t xml:space="preserve"> （采购文件中明确的所属行业）行业 ；</w:t>
      </w:r>
      <w:r>
        <w:rPr>
          <w:rFonts w:hint="eastAsia" w:ascii="仿宋" w:hAnsi="仿宋" w:cs="仿宋"/>
        </w:rPr>
        <w:t>承接企业为</w:t>
      </w:r>
      <w:r>
        <w:rPr>
          <w:rFonts w:hint="eastAsia" w:ascii="仿宋" w:hAnsi="仿宋" w:cs="仿宋"/>
          <w:u w:val="single"/>
        </w:rPr>
        <w:t xml:space="preserve"> （企业名称） </w:t>
      </w:r>
      <w:r>
        <w:rPr>
          <w:rFonts w:hint="eastAsia" w:ascii="仿宋" w:hAnsi="仿宋" w:cs="仿宋"/>
        </w:rPr>
        <w:t>，从业人员</w:t>
      </w:r>
      <w:r>
        <w:rPr>
          <w:rFonts w:hint="eastAsia" w:ascii="仿宋" w:hAnsi="仿宋" w:cs="仿宋"/>
          <w:u w:val="single"/>
        </w:rPr>
        <w:t xml:space="preserve">   </w:t>
      </w:r>
      <w:r>
        <w:rPr>
          <w:rFonts w:hint="eastAsia" w:ascii="仿宋" w:hAnsi="仿宋" w:cs="仿宋"/>
        </w:rPr>
        <w:t>人，营业收入为</w:t>
      </w:r>
      <w:r>
        <w:rPr>
          <w:rFonts w:hint="eastAsia" w:ascii="仿宋" w:hAnsi="仿宋" w:cs="仿宋"/>
          <w:u w:val="single"/>
        </w:rPr>
        <w:t xml:space="preserve">    </w:t>
      </w:r>
      <w:r>
        <w:rPr>
          <w:rFonts w:hint="eastAsia" w:ascii="仿宋" w:hAnsi="仿宋" w:cs="仿宋"/>
        </w:rPr>
        <w:t>万元，资产总额为</w:t>
      </w:r>
      <w:r>
        <w:rPr>
          <w:rFonts w:hint="eastAsia" w:ascii="仿宋" w:hAnsi="仿宋" w:cs="仿宋"/>
          <w:u w:val="single"/>
        </w:rPr>
        <w:t xml:space="preserve">   </w:t>
      </w:r>
      <w:r>
        <w:rPr>
          <w:rFonts w:hint="eastAsia" w:ascii="仿宋" w:hAnsi="仿宋" w:cs="仿宋"/>
        </w:rPr>
        <w:t>万元，属于</w:t>
      </w:r>
      <w:r>
        <w:rPr>
          <w:rFonts w:hint="eastAsia" w:ascii="仿宋" w:hAnsi="仿宋" w:cs="仿宋"/>
          <w:u w:val="single"/>
        </w:rPr>
        <w:t xml:space="preserve"> （中型企业、小型企业、微型企业）</w:t>
      </w:r>
      <w:r>
        <w:rPr>
          <w:rFonts w:hint="eastAsia" w:ascii="仿宋" w:hAnsi="仿宋" w:cs="仿宋"/>
        </w:rPr>
        <w:t>；</w:t>
      </w:r>
    </w:p>
    <w:p>
      <w:pPr>
        <w:autoSpaceDE w:val="0"/>
        <w:autoSpaceDN w:val="0"/>
        <w:ind w:firstLine="600" w:firstLineChars="250"/>
        <w:jc w:val="both"/>
        <w:rPr>
          <w:rFonts w:ascii="仿宋" w:hAnsi="仿宋" w:cs="仿宋"/>
        </w:rPr>
      </w:pPr>
      <w:r>
        <w:rPr>
          <w:rFonts w:hint="eastAsia" w:ascii="仿宋" w:hAnsi="仿宋" w:cs="仿宋"/>
        </w:rPr>
        <w:t>……</w:t>
      </w:r>
    </w:p>
    <w:p>
      <w:pPr>
        <w:autoSpaceDE w:val="0"/>
        <w:autoSpaceDN w:val="0"/>
        <w:ind w:firstLine="600" w:firstLineChars="250"/>
        <w:jc w:val="both"/>
        <w:rPr>
          <w:rFonts w:ascii="仿宋" w:hAnsi="仿宋" w:cs="仿宋"/>
        </w:rPr>
      </w:pPr>
      <w:r>
        <w:rPr>
          <w:rFonts w:hint="eastAsia" w:ascii="仿宋" w:hAnsi="仿宋" w:cs="仿宋"/>
        </w:rPr>
        <w:t>以上企业，不属于大企业的分支机构，不存在控股股东为大企业的情形，也不存在与大企业的负责人为同一人的情形。</w:t>
      </w:r>
    </w:p>
    <w:p>
      <w:pPr>
        <w:autoSpaceDE w:val="0"/>
        <w:autoSpaceDN w:val="0"/>
        <w:ind w:firstLine="600" w:firstLineChars="250"/>
        <w:jc w:val="both"/>
        <w:rPr>
          <w:rFonts w:ascii="仿宋" w:hAnsi="仿宋" w:cs="仿宋"/>
        </w:rPr>
      </w:pPr>
      <w:r>
        <w:rPr>
          <w:rFonts w:hint="eastAsia" w:ascii="仿宋" w:hAnsi="仿宋" w:cs="仿宋"/>
        </w:rPr>
        <w:t>本企业对上述声明内容的真实性负责。如有虚假，将依法承担相应责任。</w:t>
      </w:r>
    </w:p>
    <w:p>
      <w:pPr>
        <w:autoSpaceDE w:val="0"/>
        <w:autoSpaceDN w:val="0"/>
        <w:ind w:firstLine="600" w:firstLineChars="250"/>
        <w:jc w:val="both"/>
        <w:rPr>
          <w:rFonts w:ascii="仿宋" w:hAnsi="仿宋" w:cs="仿宋"/>
        </w:rPr>
      </w:pPr>
    </w:p>
    <w:p>
      <w:pPr>
        <w:autoSpaceDE w:val="0"/>
        <w:autoSpaceDN w:val="0"/>
        <w:jc w:val="center"/>
        <w:rPr>
          <w:rFonts w:ascii="仿宋" w:hAnsi="仿宋" w:cs="仿宋"/>
        </w:rPr>
      </w:pPr>
      <w:r>
        <w:rPr>
          <w:rFonts w:hint="eastAsia" w:ascii="仿宋" w:hAnsi="仿宋" w:cs="仿宋"/>
        </w:rPr>
        <w:t xml:space="preserve">                                 企业名称（</w:t>
      </w:r>
      <w:r>
        <w:rPr>
          <w:rFonts w:hint="eastAsia" w:ascii="仿宋" w:hAnsi="仿宋" w:cs="仿宋"/>
          <w:lang w:val="en-US" w:eastAsia="zh-CN"/>
        </w:rPr>
        <w:t>电子印章</w:t>
      </w:r>
      <w:r>
        <w:rPr>
          <w:rFonts w:hint="eastAsia" w:ascii="仿宋" w:hAnsi="仿宋" w:cs="仿宋"/>
        </w:rPr>
        <w:t>）：</w:t>
      </w:r>
    </w:p>
    <w:p>
      <w:pPr>
        <w:autoSpaceDE w:val="0"/>
        <w:autoSpaceDN w:val="0"/>
        <w:jc w:val="center"/>
        <w:rPr>
          <w:rFonts w:ascii="仿宋" w:hAnsi="仿宋" w:cs="仿宋"/>
        </w:rPr>
      </w:pPr>
      <w:r>
        <w:rPr>
          <w:rFonts w:hint="eastAsia" w:ascii="仿宋" w:hAnsi="仿宋" w:cs="仿宋"/>
        </w:rPr>
        <w:t xml:space="preserve">                        日 期：</w:t>
      </w:r>
    </w:p>
    <w:p>
      <w:pPr>
        <w:autoSpaceDE w:val="0"/>
        <w:autoSpaceDN w:val="0"/>
        <w:rPr>
          <w:rFonts w:ascii="仿宋" w:hAnsi="仿宋" w:cs="仿宋"/>
        </w:rPr>
      </w:pPr>
    </w:p>
    <w:p>
      <w:pPr>
        <w:autoSpaceDE w:val="0"/>
        <w:autoSpaceDN w:val="0"/>
        <w:rPr>
          <w:rFonts w:ascii="仿宋" w:hAnsi="仿宋" w:cs="仿宋"/>
        </w:rPr>
      </w:pPr>
    </w:p>
    <w:p>
      <w:pPr>
        <w:autoSpaceDE w:val="0"/>
        <w:autoSpaceDN w:val="0"/>
        <w:rPr>
          <w:rFonts w:ascii="仿宋" w:hAnsi="仿宋" w:cs="仿宋"/>
        </w:rPr>
      </w:pPr>
      <w:r>
        <w:rPr>
          <w:rFonts w:hint="eastAsia" w:ascii="仿宋" w:hAnsi="仿宋" w:cs="仿宋"/>
          <w:vertAlign w:val="superscript"/>
        </w:rPr>
        <w:t>1</w:t>
      </w:r>
      <w:r>
        <w:rPr>
          <w:rFonts w:hint="eastAsia" w:ascii="仿宋" w:hAnsi="仿宋" w:cs="仿宋"/>
        </w:rPr>
        <w:t>从业人员、营业收入、资产总额填报上一年度数据，无上一年度数据的新成立企业可不填报。</w:t>
      </w:r>
    </w:p>
    <w:p>
      <w:pPr>
        <w:rPr>
          <w:rFonts w:ascii="仿宋" w:hAnsi="仿宋" w:cs="仿宋"/>
        </w:rPr>
      </w:pPr>
      <w:r>
        <w:rPr>
          <w:rFonts w:hint="eastAsia" w:ascii="仿宋" w:hAnsi="仿宋" w:cs="仿宋"/>
        </w:rPr>
        <w:br w:type="page"/>
      </w:r>
    </w:p>
    <w:p>
      <w:pPr>
        <w:pStyle w:val="5"/>
        <w:spacing w:before="0" w:after="0"/>
        <w:rPr>
          <w:rFonts w:ascii="仿宋" w:hAnsi="仿宋" w:cs="仿宋"/>
        </w:rPr>
      </w:pPr>
      <w:r>
        <w:rPr>
          <w:rFonts w:hint="eastAsia" w:ascii="仿宋" w:hAnsi="仿宋" w:cs="仿宋"/>
        </w:rPr>
        <w:t>格式</w:t>
      </w:r>
      <w:r>
        <w:rPr>
          <w:rFonts w:ascii="仿宋" w:hAnsi="仿宋" w:cs="仿宋"/>
        </w:rPr>
        <w:t>2</w:t>
      </w:r>
      <w:r>
        <w:rPr>
          <w:rFonts w:hint="eastAsia" w:ascii="仿宋" w:hAnsi="仿宋" w:cs="仿宋"/>
        </w:rPr>
        <w:t>-</w:t>
      </w:r>
      <w:r>
        <w:rPr>
          <w:rFonts w:ascii="仿宋" w:hAnsi="仿宋" w:cs="仿宋"/>
        </w:rPr>
        <w:t>12</w:t>
      </w:r>
      <w:r>
        <w:rPr>
          <w:rFonts w:hint="eastAsia" w:ascii="仿宋" w:hAnsi="仿宋" w:cs="仿宋"/>
        </w:rPr>
        <w:t>残疾人福利性单位声明函</w:t>
      </w:r>
      <w:bookmarkEnd w:id="254"/>
    </w:p>
    <w:p>
      <w:pPr>
        <w:widowControl/>
        <w:spacing w:line="360" w:lineRule="atLeast"/>
        <w:jc w:val="center"/>
        <w:rPr>
          <w:rFonts w:ascii="仿宋" w:hAnsi="仿宋" w:cs="仿宋"/>
          <w:b/>
          <w:bCs/>
          <w:sz w:val="32"/>
          <w:szCs w:val="32"/>
        </w:rPr>
      </w:pPr>
      <w:r>
        <w:rPr>
          <w:rFonts w:hint="eastAsia" w:ascii="仿宋" w:hAnsi="仿宋" w:cs="仿宋"/>
          <w:b/>
          <w:bCs/>
          <w:sz w:val="32"/>
          <w:szCs w:val="32"/>
        </w:rPr>
        <w:t>残疾人福利性单位声明函</w:t>
      </w:r>
    </w:p>
    <w:p>
      <w:pPr>
        <w:spacing w:line="588" w:lineRule="exact"/>
        <w:ind w:firstLine="480" w:firstLineChars="200"/>
        <w:rPr>
          <w:rFonts w:ascii="仿宋" w:hAnsi="仿宋" w:cs="宋体"/>
        </w:rPr>
      </w:pPr>
    </w:p>
    <w:p>
      <w:pPr>
        <w:spacing w:line="588" w:lineRule="exact"/>
        <w:ind w:firstLine="480" w:firstLineChars="200"/>
        <w:rPr>
          <w:rFonts w:ascii="仿宋" w:hAnsi="仿宋" w:cs="宋体"/>
        </w:rPr>
      </w:pPr>
      <w:r>
        <w:rPr>
          <w:rFonts w:hint="eastAsia" w:ascii="仿宋" w:hAnsi="仿宋" w:cs="宋体"/>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u w:val="single"/>
        </w:rPr>
        <w:t>XXXX</w:t>
      </w:r>
      <w:r>
        <w:rPr>
          <w:rFonts w:hint="eastAsia" w:ascii="仿宋" w:hAnsi="仿宋" w:cs="宋体"/>
        </w:rPr>
        <w:t>单位的</w:t>
      </w:r>
      <w:r>
        <w:rPr>
          <w:rFonts w:hint="eastAsia" w:ascii="仿宋" w:hAnsi="仿宋"/>
          <w:u w:val="single"/>
        </w:rPr>
        <w:t>XXXX</w:t>
      </w:r>
      <w:r>
        <w:rPr>
          <w:rFonts w:hint="eastAsia" w:ascii="仿宋" w:hAnsi="仿宋" w:cs="宋体"/>
        </w:rPr>
        <w:t>项目采购活动</w:t>
      </w:r>
      <w:r>
        <w:rPr>
          <w:rFonts w:hint="eastAsia" w:ascii="仿宋" w:hAnsi="仿宋" w:cs="宋体"/>
          <w:b/>
          <w:bCs/>
        </w:rPr>
        <w:t>提供本单位提供服务</w:t>
      </w:r>
      <w:r>
        <w:rPr>
          <w:rFonts w:hint="eastAsia" w:ascii="仿宋" w:hAnsi="仿宋" w:cs="宋体"/>
        </w:rPr>
        <w:t>，或者提供其他残疾人福利性单位制造的货物（不包括使用非残疾人福利性单位注册商标的货物）。</w:t>
      </w:r>
    </w:p>
    <w:p>
      <w:pPr>
        <w:spacing w:line="588" w:lineRule="exact"/>
        <w:ind w:firstLine="480" w:firstLineChars="200"/>
        <w:rPr>
          <w:rFonts w:ascii="仿宋" w:hAnsi="仿宋" w:cs="宋体"/>
        </w:rPr>
      </w:pPr>
      <w:r>
        <w:rPr>
          <w:rFonts w:hint="eastAsia" w:ascii="仿宋" w:hAnsi="仿宋" w:cs="宋体"/>
        </w:rPr>
        <w:t>本单位对上述声明的真实性负责。如有虚假，将依法承担相应责任。</w:t>
      </w:r>
    </w:p>
    <w:p>
      <w:pPr>
        <w:spacing w:line="588" w:lineRule="exact"/>
        <w:rPr>
          <w:rFonts w:ascii="仿宋" w:hAnsi="仿宋" w:cs="宋体"/>
        </w:rPr>
      </w:pPr>
    </w:p>
    <w:p>
      <w:pPr>
        <w:spacing w:line="588" w:lineRule="exact"/>
        <w:rPr>
          <w:rFonts w:ascii="仿宋" w:hAnsi="仿宋" w:cs="宋体"/>
        </w:rPr>
      </w:pPr>
    </w:p>
    <w:p>
      <w:pPr>
        <w:tabs>
          <w:tab w:val="left" w:pos="4860"/>
        </w:tabs>
        <w:spacing w:line="588" w:lineRule="exact"/>
        <w:ind w:right="1560" w:firstLine="4320" w:firstLineChars="1800"/>
        <w:rPr>
          <w:rFonts w:ascii="仿宋" w:hAnsi="仿宋" w:cs="宋体"/>
        </w:rPr>
      </w:pPr>
      <w:r>
        <w:rPr>
          <w:rFonts w:hint="eastAsia" w:ascii="仿宋" w:hAnsi="仿宋" w:cs="宋体"/>
        </w:rPr>
        <w:t>单位名称</w:t>
      </w:r>
      <w:r>
        <w:rPr>
          <w:rFonts w:hint="eastAsia" w:ascii="仿宋" w:hAnsi="仿宋"/>
        </w:rPr>
        <w:t>（电子印章）</w:t>
      </w:r>
      <w:r>
        <w:rPr>
          <w:rFonts w:hint="eastAsia" w:ascii="仿宋" w:hAnsi="仿宋" w:cs="宋体"/>
        </w:rPr>
        <w:t>：</w:t>
      </w:r>
    </w:p>
    <w:p>
      <w:pPr>
        <w:ind w:firstLine="4320" w:firstLineChars="1800"/>
        <w:rPr>
          <w:rFonts w:ascii="仿宋" w:hAnsi="仿宋" w:cs="宋体"/>
        </w:rPr>
      </w:pPr>
      <w:r>
        <w:rPr>
          <w:rFonts w:hint="eastAsia" w:ascii="仿宋" w:hAnsi="仿宋"/>
        </w:rPr>
        <w:t>日    期：20XX年XX月XX日</w:t>
      </w:r>
    </w:p>
    <w:p>
      <w:pPr>
        <w:rPr>
          <w:rFonts w:ascii="仿宋" w:hAnsi="仿宋" w:cs="宋体"/>
        </w:rPr>
      </w:pPr>
    </w:p>
    <w:p>
      <w:pPr>
        <w:rPr>
          <w:rFonts w:ascii="仿宋" w:hAnsi="仿宋" w:cs="宋体"/>
        </w:rPr>
      </w:pPr>
      <w:r>
        <w:rPr>
          <w:rFonts w:hint="eastAsia" w:ascii="仿宋" w:hAnsi="仿宋" w:cs="宋体"/>
        </w:rPr>
        <w:t>注：</w:t>
      </w:r>
    </w:p>
    <w:p>
      <w:pPr>
        <w:spacing w:after="160"/>
        <w:jc w:val="both"/>
        <w:rPr>
          <w:rFonts w:ascii="仿宋" w:hAnsi="仿宋" w:cs="宋体"/>
        </w:rPr>
      </w:pPr>
      <w:r>
        <w:rPr>
          <w:rFonts w:hint="eastAsia" w:ascii="仿宋" w:hAnsi="仿宋" w:cs="宋体"/>
        </w:rPr>
        <w:t>1.残疾人福利性单位视同小型、微型企业，享受预留份额、评审中价格扣除等促进中</w:t>
      </w:r>
      <w:r>
        <w:rPr>
          <w:rFonts w:hint="eastAsia" w:ascii="仿宋" w:hAnsi="仿宋"/>
        </w:rPr>
        <w:t>小企业发展的政府采购政策。残疾人福利性单位属于小型、微型企业的，不重复享受政策。</w:t>
      </w:r>
    </w:p>
    <w:p>
      <w:pPr>
        <w:numPr>
          <w:ilvl w:val="255"/>
          <w:numId w:val="0"/>
        </w:numPr>
        <w:spacing w:after="160"/>
        <w:jc w:val="both"/>
        <w:rPr>
          <w:rFonts w:ascii="仿宋" w:hAnsi="仿宋" w:cs="宋体"/>
        </w:rPr>
      </w:pPr>
      <w:r>
        <w:rPr>
          <w:rFonts w:hint="eastAsia" w:ascii="仿宋" w:hAnsi="仿宋" w:cs="宋体"/>
        </w:rPr>
        <w:t>2.投标人为非残疾人福利性单位的，可不提供此声明。</w:t>
      </w:r>
    </w:p>
    <w:p>
      <w:pPr>
        <w:numPr>
          <w:ilvl w:val="255"/>
          <w:numId w:val="0"/>
        </w:numPr>
        <w:rPr>
          <w:rFonts w:ascii="仿宋" w:hAnsi="仿宋" w:cs="宋体"/>
        </w:rPr>
      </w:pPr>
      <w:r>
        <w:rPr>
          <w:rFonts w:hint="eastAsia" w:ascii="仿宋" w:hAnsi="仿宋" w:cs="宋体"/>
        </w:rPr>
        <w:br w:type="page"/>
      </w:r>
    </w:p>
    <w:p>
      <w:pPr>
        <w:pStyle w:val="5"/>
        <w:spacing w:before="0" w:after="0"/>
        <w:rPr>
          <w:rFonts w:ascii="仿宋" w:hAnsi="仿宋" w:cs="仿宋"/>
        </w:rPr>
      </w:pPr>
      <w:bookmarkStart w:id="255" w:name="_Toc86702008"/>
      <w:r>
        <w:rPr>
          <w:rFonts w:hint="eastAsia" w:ascii="仿宋" w:hAnsi="仿宋" w:cs="仿宋"/>
        </w:rPr>
        <w:t>格式</w:t>
      </w:r>
      <w:r>
        <w:rPr>
          <w:rFonts w:ascii="仿宋" w:hAnsi="仿宋" w:cs="仿宋"/>
        </w:rPr>
        <w:t>2</w:t>
      </w:r>
      <w:r>
        <w:rPr>
          <w:rFonts w:hint="eastAsia" w:ascii="仿宋" w:hAnsi="仿宋" w:cs="仿宋"/>
        </w:rPr>
        <w:t>-</w:t>
      </w:r>
      <w:r>
        <w:rPr>
          <w:rFonts w:ascii="仿宋" w:hAnsi="仿宋" w:cs="仿宋"/>
        </w:rPr>
        <w:t>13</w:t>
      </w:r>
      <w:r>
        <w:rPr>
          <w:rFonts w:hint="eastAsia" w:ascii="仿宋" w:hAnsi="仿宋" w:cs="仿宋"/>
        </w:rPr>
        <w:t>属于监狱企业的证明文件</w:t>
      </w:r>
      <w:bookmarkEnd w:id="255"/>
    </w:p>
    <w:p>
      <w:pPr>
        <w:widowControl/>
        <w:spacing w:line="360" w:lineRule="atLeast"/>
        <w:jc w:val="center"/>
        <w:rPr>
          <w:rFonts w:ascii="仿宋" w:hAnsi="仿宋" w:cs="仿宋"/>
          <w:b/>
          <w:bCs/>
          <w:sz w:val="32"/>
          <w:szCs w:val="32"/>
        </w:rPr>
      </w:pPr>
      <w:r>
        <w:rPr>
          <w:rFonts w:hint="eastAsia" w:ascii="仿宋" w:hAnsi="仿宋" w:cs="仿宋"/>
          <w:b/>
          <w:bCs/>
          <w:sz w:val="32"/>
          <w:szCs w:val="32"/>
        </w:rPr>
        <w:t>属于监狱企业的证明文件</w:t>
      </w:r>
    </w:p>
    <w:p>
      <w:pPr>
        <w:ind w:firstLine="480" w:firstLineChars="200"/>
        <w:rPr>
          <w:rFonts w:ascii="仿宋" w:hAnsi="仿宋"/>
        </w:rPr>
      </w:pPr>
    </w:p>
    <w:p>
      <w:pPr>
        <w:ind w:firstLine="480" w:firstLineChars="200"/>
        <w:rPr>
          <w:rFonts w:ascii="仿宋" w:hAnsi="仿宋"/>
        </w:rPr>
      </w:pPr>
      <w:r>
        <w:rPr>
          <w:rFonts w:hint="eastAsia" w:ascii="仿宋" w:hAnsi="仿宋"/>
        </w:rPr>
        <w:t>根据</w:t>
      </w:r>
      <w:r>
        <w:rPr>
          <w:rFonts w:hint="eastAsia" w:ascii="仿宋" w:hAnsi="仿宋" w:cs="仿宋"/>
        </w:rPr>
        <w:t>《政府采购支持监狱企业发展有关问题的通知》</w:t>
      </w:r>
      <w:r>
        <w:rPr>
          <w:rFonts w:hint="eastAsia" w:ascii="仿宋" w:hAnsi="仿宋"/>
        </w:rPr>
        <w:t>（财库〔</w:t>
      </w:r>
      <w:r>
        <w:rPr>
          <w:rFonts w:ascii="仿宋" w:hAnsi="仿宋"/>
        </w:rPr>
        <w:t>2014〕68号）的规定</w:t>
      </w:r>
      <w:r>
        <w:rPr>
          <w:rFonts w:hint="eastAsia" w:ascii="仿宋" w:hAnsi="仿宋"/>
        </w:rPr>
        <w:t>监狱企业参加采购活动的，应</w:t>
      </w:r>
      <w:r>
        <w:rPr>
          <w:rFonts w:hint="eastAsia" w:ascii="仿宋" w:hAnsi="仿宋" w:cs="宋体"/>
        </w:rPr>
        <w:t>提供由省级以上监狱管理局、戒毒管理局</w:t>
      </w:r>
      <w:r>
        <w:rPr>
          <w:rFonts w:ascii="仿宋" w:hAnsi="仿宋" w:cs="宋体"/>
        </w:rPr>
        <w:t>(含新疆生产建设兵团)出具的属于监狱企业的证明文件。</w:t>
      </w:r>
    </w:p>
    <w:p>
      <w:pPr>
        <w:rPr>
          <w:rFonts w:ascii="仿宋" w:hAnsi="仿宋" w:cs="宋体"/>
        </w:rPr>
      </w:pPr>
    </w:p>
    <w:p>
      <w:pPr>
        <w:rPr>
          <w:rFonts w:ascii="仿宋" w:hAnsi="仿宋" w:cs="宋体"/>
        </w:rPr>
      </w:pPr>
      <w:r>
        <w:rPr>
          <w:rFonts w:hint="eastAsia" w:ascii="仿宋" w:hAnsi="仿宋" w:cs="宋体"/>
        </w:rPr>
        <w:t>注：</w:t>
      </w:r>
    </w:p>
    <w:p>
      <w:pPr>
        <w:rPr>
          <w:rFonts w:ascii="仿宋" w:hAnsi="仿宋" w:cs="宋体"/>
        </w:rPr>
      </w:pPr>
      <w:r>
        <w:rPr>
          <w:rFonts w:ascii="仿宋" w:hAnsi="仿宋" w:cs="宋体"/>
        </w:rPr>
        <w:t>1</w:t>
      </w:r>
      <w:r>
        <w:rPr>
          <w:rFonts w:hint="eastAsia" w:ascii="仿宋" w:hAnsi="仿宋" w:cs="宋体"/>
        </w:rPr>
        <w:t>.</w:t>
      </w:r>
      <w:r>
        <w:rPr>
          <w:rFonts w:ascii="仿宋" w:hAnsi="仿宋" w:cs="宋体"/>
        </w:rPr>
        <w:t>投标人符合《政府采购支持监狱企业发展有关问题的通知》（财库〔2014〕68号）规定的划分标准为监狱企业</w:t>
      </w:r>
      <w:r>
        <w:rPr>
          <w:rFonts w:hint="eastAsia" w:ascii="仿宋" w:hAnsi="仿宋" w:cs="宋体"/>
        </w:rPr>
        <w:t>的</w:t>
      </w:r>
      <w:r>
        <w:rPr>
          <w:rFonts w:ascii="仿宋" w:hAnsi="仿宋" w:cs="宋体"/>
        </w:rPr>
        <w:t>适用。</w:t>
      </w:r>
    </w:p>
    <w:p>
      <w:pPr>
        <w:rPr>
          <w:rFonts w:ascii="仿宋" w:hAnsi="仿宋" w:cs="宋体"/>
        </w:rPr>
      </w:pPr>
      <w:r>
        <w:rPr>
          <w:rFonts w:ascii="仿宋" w:hAnsi="仿宋" w:cs="宋体"/>
        </w:rPr>
        <w:t>2</w:t>
      </w:r>
      <w:r>
        <w:rPr>
          <w:rFonts w:hint="eastAsia" w:ascii="仿宋" w:hAnsi="仿宋" w:cs="宋体"/>
        </w:rPr>
        <w:t>.</w:t>
      </w:r>
      <w:r>
        <w:rPr>
          <w:rFonts w:ascii="仿宋" w:hAnsi="仿宋" w:cs="宋体"/>
        </w:rPr>
        <w:t>在政府采购活动中，监狱企业视同小型、微型企业，享受预留份额、评审中</w:t>
      </w:r>
      <w:r>
        <w:rPr>
          <w:rFonts w:hint="eastAsia" w:ascii="仿宋" w:hAnsi="仿宋" w:cs="宋体"/>
        </w:rPr>
        <w:t>价格扣除等政府采购促进中小企业发展的政府采购政策。</w:t>
      </w:r>
    </w:p>
    <w:p>
      <w:pPr>
        <w:widowControl/>
        <w:spacing w:line="240" w:lineRule="auto"/>
        <w:rPr>
          <w:rFonts w:ascii="仿宋" w:hAnsi="仿宋"/>
          <w:b/>
          <w:sz w:val="32"/>
          <w:szCs w:val="32"/>
        </w:rPr>
      </w:pPr>
    </w:p>
    <w:p>
      <w:pPr>
        <w:rPr>
          <w:rFonts w:ascii="仿宋" w:hAnsi="仿宋"/>
          <w:bCs/>
        </w:rPr>
      </w:pPr>
      <w:r>
        <w:rPr>
          <w:rFonts w:ascii="仿宋" w:hAnsi="仿宋"/>
          <w:bCs/>
        </w:rPr>
        <w:br w:type="page"/>
      </w:r>
    </w:p>
    <w:p>
      <w:pPr>
        <w:spacing w:line="300" w:lineRule="exact"/>
        <w:rPr>
          <w:rFonts w:ascii="仿宋" w:hAnsi="仿宋" w:cs="宋体"/>
        </w:rPr>
        <w:sectPr>
          <w:headerReference r:id="rId16" w:type="first"/>
          <w:headerReference r:id="rId14" w:type="default"/>
          <w:footerReference r:id="rId17" w:type="default"/>
          <w:headerReference r:id="rId15" w:type="even"/>
          <w:pgSz w:w="11905" w:h="16838"/>
          <w:pgMar w:top="1417" w:right="1417" w:bottom="1417" w:left="1417" w:header="425" w:footer="992" w:gutter="0"/>
          <w:cols w:space="0" w:num="1"/>
          <w:docGrid w:type="lines" w:linePitch="332" w:charSpace="0"/>
        </w:sectPr>
      </w:pPr>
      <w:bookmarkStart w:id="256" w:name="_Toc28495"/>
    </w:p>
    <w:p>
      <w:pPr>
        <w:pStyle w:val="3"/>
        <w:spacing w:line="240" w:lineRule="auto"/>
        <w:rPr>
          <w:rFonts w:ascii="仿宋" w:hAnsi="仿宋"/>
          <w:sz w:val="36"/>
          <w:szCs w:val="36"/>
        </w:rPr>
      </w:pPr>
      <w:bookmarkStart w:id="257" w:name="_Toc86702009"/>
      <w:bookmarkStart w:id="258" w:name="_Toc86702225"/>
      <w:bookmarkStart w:id="259" w:name="_Toc151"/>
      <w:bookmarkStart w:id="260" w:name="_Toc86702054"/>
      <w:r>
        <w:rPr>
          <w:rFonts w:hint="eastAsia" w:ascii="仿宋" w:hAnsi="仿宋"/>
          <w:sz w:val="36"/>
          <w:szCs w:val="36"/>
        </w:rPr>
        <w:t>第四章  投标人和投标产品的资格、资质性及其他类似效力要求</w:t>
      </w:r>
      <w:bookmarkEnd w:id="256"/>
      <w:bookmarkEnd w:id="257"/>
      <w:bookmarkEnd w:id="258"/>
      <w:bookmarkEnd w:id="259"/>
      <w:bookmarkEnd w:id="260"/>
    </w:p>
    <w:p>
      <w:pPr>
        <w:pStyle w:val="4"/>
        <w:spacing w:line="360" w:lineRule="exact"/>
        <w:rPr>
          <w:rFonts w:ascii="仿宋" w:hAnsi="仿宋"/>
          <w:sz w:val="24"/>
          <w:szCs w:val="24"/>
        </w:rPr>
      </w:pPr>
      <w:bookmarkStart w:id="261" w:name="_Toc86702010"/>
      <w:r>
        <w:rPr>
          <w:rFonts w:hint="eastAsia" w:ascii="仿宋" w:hAnsi="仿宋"/>
          <w:sz w:val="24"/>
          <w:szCs w:val="24"/>
        </w:rPr>
        <w:t>一、投标人资格、资质性及其他类似效力要求</w:t>
      </w:r>
      <w:bookmarkEnd w:id="261"/>
    </w:p>
    <w:p>
      <w:pPr>
        <w:pStyle w:val="84"/>
        <w:spacing w:line="420" w:lineRule="exact"/>
        <w:ind w:firstLine="0" w:firstLineChars="0"/>
        <w:rPr>
          <w:rFonts w:ascii="仿宋" w:hAnsi="仿宋" w:eastAsia="仿宋"/>
          <w:sz w:val="24"/>
        </w:rPr>
      </w:pPr>
      <w:r>
        <w:rPr>
          <w:rFonts w:ascii="仿宋" w:hAnsi="仿宋" w:eastAsia="仿宋"/>
          <w:sz w:val="24"/>
        </w:rPr>
        <w:t>（一）</w:t>
      </w:r>
      <w:r>
        <w:rPr>
          <w:rFonts w:hint="eastAsia" w:ascii="仿宋" w:hAnsi="仿宋" w:eastAsia="仿宋"/>
          <w:sz w:val="24"/>
        </w:rPr>
        <w:t>资格要求：详见第五章资格性审查要求。</w:t>
      </w:r>
    </w:p>
    <w:p>
      <w:pPr>
        <w:pStyle w:val="84"/>
        <w:spacing w:line="420" w:lineRule="exact"/>
        <w:ind w:firstLine="0" w:firstLineChars="0"/>
        <w:rPr>
          <w:rFonts w:ascii="仿宋" w:hAnsi="仿宋" w:eastAsia="仿宋"/>
          <w:sz w:val="24"/>
        </w:rPr>
      </w:pPr>
      <w:r>
        <w:rPr>
          <w:rFonts w:hint="eastAsia" w:ascii="仿宋" w:hAnsi="仿宋" w:eastAsia="仿宋"/>
          <w:sz w:val="24"/>
        </w:rPr>
        <w:t>（二）资质性要求：详见第五章资格性审查要求。</w:t>
      </w:r>
    </w:p>
    <w:p>
      <w:pPr>
        <w:pStyle w:val="84"/>
        <w:spacing w:line="420" w:lineRule="exact"/>
        <w:ind w:firstLine="0" w:firstLineChars="0"/>
        <w:rPr>
          <w:rFonts w:ascii="仿宋" w:hAnsi="仿宋" w:eastAsia="仿宋"/>
          <w:sz w:val="24"/>
        </w:rPr>
      </w:pPr>
      <w:r>
        <w:rPr>
          <w:rFonts w:hint="eastAsia" w:ascii="仿宋" w:hAnsi="仿宋" w:eastAsia="仿宋"/>
          <w:sz w:val="24"/>
        </w:rPr>
        <w:t>（三）其他类似效力要求：详见第五章资格性审查要求。</w:t>
      </w:r>
    </w:p>
    <w:p>
      <w:pPr>
        <w:pStyle w:val="4"/>
        <w:spacing w:line="360" w:lineRule="exact"/>
        <w:rPr>
          <w:rFonts w:ascii="仿宋" w:hAnsi="仿宋"/>
          <w:sz w:val="24"/>
          <w:szCs w:val="24"/>
        </w:rPr>
      </w:pPr>
      <w:bookmarkStart w:id="262" w:name="_Toc86702011"/>
      <w:r>
        <w:rPr>
          <w:rFonts w:hint="eastAsia" w:ascii="仿宋" w:hAnsi="仿宋"/>
          <w:b w:val="0"/>
          <w:bCs w:val="0"/>
          <w:sz w:val="24"/>
          <w:szCs w:val="24"/>
        </w:rPr>
        <w:t>二、</w:t>
      </w:r>
      <w:r>
        <w:rPr>
          <w:rFonts w:hint="eastAsia" w:ascii="仿宋" w:hAnsi="仿宋"/>
          <w:sz w:val="24"/>
          <w:szCs w:val="24"/>
        </w:rPr>
        <w:t>投标产品的资格、资质性及其他具有类似效力的要求</w:t>
      </w:r>
      <w:bookmarkEnd w:id="262"/>
    </w:p>
    <w:p>
      <w:pPr>
        <w:rPr>
          <w:rFonts w:ascii="仿宋" w:hAnsi="仿宋"/>
        </w:rPr>
      </w:pPr>
      <w:r>
        <w:rPr>
          <w:rFonts w:hint="eastAsia" w:ascii="仿宋" w:hAnsi="仿宋"/>
        </w:rPr>
        <w:t>（一）资格要求：详见第五章资格性审查要求。</w:t>
      </w:r>
    </w:p>
    <w:p>
      <w:pPr>
        <w:rPr>
          <w:rFonts w:ascii="仿宋" w:hAnsi="仿宋"/>
        </w:rPr>
      </w:pPr>
      <w:r>
        <w:rPr>
          <w:rFonts w:hint="eastAsia" w:ascii="仿宋" w:hAnsi="仿宋"/>
        </w:rPr>
        <w:t>（二）资质性要求：详见第五章资格性审查要求。</w:t>
      </w:r>
    </w:p>
    <w:p>
      <w:pPr>
        <w:rPr>
          <w:rFonts w:ascii="仿宋" w:hAnsi="仿宋"/>
        </w:rPr>
      </w:pPr>
      <w:r>
        <w:rPr>
          <w:rFonts w:hint="eastAsia" w:ascii="仿宋" w:hAnsi="仿宋"/>
        </w:rPr>
        <w:t>（三）其他类似效力要求：详见第五章资格性审查要求。</w:t>
      </w:r>
    </w:p>
    <w:p>
      <w:pPr>
        <w:pStyle w:val="3"/>
        <w:spacing w:line="240" w:lineRule="auto"/>
        <w:rPr>
          <w:rFonts w:ascii="仿宋" w:hAnsi="仿宋"/>
          <w:sz w:val="36"/>
          <w:szCs w:val="36"/>
        </w:rPr>
      </w:pPr>
      <w:bookmarkStart w:id="263" w:name="_Toc1588"/>
      <w:r>
        <w:rPr>
          <w:rFonts w:hint="eastAsia" w:ascii="仿宋" w:hAnsi="仿宋"/>
          <w:b w:val="0"/>
          <w:sz w:val="36"/>
          <w:szCs w:val="36"/>
        </w:rPr>
        <w:br w:type="page"/>
      </w:r>
      <w:bookmarkStart w:id="264" w:name="_Toc86702055"/>
      <w:bookmarkStart w:id="265" w:name="_Toc86702012"/>
      <w:bookmarkStart w:id="266" w:name="_Toc86702226"/>
      <w:bookmarkStart w:id="267" w:name="_Toc20211"/>
      <w:r>
        <w:rPr>
          <w:rFonts w:hint="eastAsia" w:ascii="仿宋" w:hAnsi="仿宋"/>
          <w:sz w:val="36"/>
          <w:szCs w:val="36"/>
        </w:rPr>
        <w:t xml:space="preserve">第五章  </w:t>
      </w:r>
      <w:bookmarkEnd w:id="263"/>
      <w:r>
        <w:rPr>
          <w:rFonts w:hint="eastAsia" w:ascii="仿宋" w:hAnsi="仿宋"/>
          <w:sz w:val="36"/>
          <w:szCs w:val="36"/>
        </w:rPr>
        <w:t>资格性审查要求</w:t>
      </w:r>
      <w:bookmarkEnd w:id="264"/>
      <w:bookmarkEnd w:id="265"/>
      <w:bookmarkEnd w:id="266"/>
      <w:bookmarkEnd w:id="267"/>
    </w:p>
    <w:p>
      <w:pPr>
        <w:rPr>
          <w:rFonts w:ascii="仿宋" w:hAnsi="仿宋"/>
          <w:b/>
          <w:bCs/>
        </w:rPr>
      </w:pPr>
      <w:r>
        <w:rPr>
          <w:rFonts w:hint="eastAsia" w:ascii="仿宋" w:hAnsi="仿宋"/>
          <w:b/>
          <w:bCs/>
        </w:rPr>
        <w:t>采购人或者采购代理机构应当依法对投标人的资格进行审查，资格审查内容详见下表。</w:t>
      </w:r>
    </w:p>
    <w:tbl>
      <w:tblPr>
        <w:tblStyle w:val="36"/>
        <w:tblW w:w="4942"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238"/>
        <w:gridCol w:w="4590"/>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5000" w:type="pct"/>
            <w:gridSpan w:val="4"/>
            <w:vAlign w:val="center"/>
          </w:tcPr>
          <w:p>
            <w:pPr>
              <w:spacing w:line="240" w:lineRule="auto"/>
              <w:jc w:val="center"/>
              <w:rPr>
                <w:rFonts w:ascii="仿宋" w:hAnsi="仿宋" w:cs="仿宋"/>
                <w:b/>
                <w:sz w:val="21"/>
                <w:szCs w:val="21"/>
              </w:rPr>
            </w:pPr>
            <w:r>
              <w:rPr>
                <w:rFonts w:hint="eastAsia" w:ascii="仿宋" w:hAnsi="仿宋" w:cs="仿宋"/>
                <w:b/>
                <w:sz w:val="21"/>
                <w:szCs w:val="21"/>
              </w:rPr>
              <w:t>资格性审查表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tabs>
                <w:tab w:val="left" w:pos="851"/>
              </w:tabs>
              <w:spacing w:line="240" w:lineRule="auto"/>
              <w:jc w:val="center"/>
              <w:rPr>
                <w:rFonts w:ascii="仿宋" w:hAnsi="仿宋" w:cs="仿宋"/>
                <w:b/>
                <w:sz w:val="21"/>
                <w:szCs w:val="21"/>
              </w:rPr>
            </w:pPr>
            <w:r>
              <w:rPr>
                <w:rFonts w:hint="eastAsia" w:ascii="仿宋" w:hAnsi="仿宋" w:cs="仿宋"/>
                <w:b/>
                <w:sz w:val="21"/>
                <w:szCs w:val="21"/>
              </w:rPr>
              <w:t>序号</w:t>
            </w:r>
          </w:p>
        </w:tc>
        <w:tc>
          <w:tcPr>
            <w:tcW w:w="1219" w:type="pct"/>
            <w:vAlign w:val="center"/>
          </w:tcPr>
          <w:p>
            <w:pPr>
              <w:tabs>
                <w:tab w:val="left" w:pos="851"/>
              </w:tabs>
              <w:spacing w:line="240" w:lineRule="auto"/>
              <w:jc w:val="center"/>
              <w:rPr>
                <w:rFonts w:ascii="仿宋" w:hAnsi="仿宋" w:cs="仿宋"/>
                <w:b/>
                <w:sz w:val="21"/>
                <w:szCs w:val="21"/>
              </w:rPr>
            </w:pPr>
            <w:r>
              <w:rPr>
                <w:rFonts w:hint="eastAsia" w:ascii="仿宋" w:hAnsi="仿宋" w:cs="仿宋"/>
                <w:b/>
                <w:sz w:val="21"/>
                <w:szCs w:val="21"/>
              </w:rPr>
              <w:t>第四章 投标人和投标产品的资格、资质性及其他类似效力要求</w:t>
            </w:r>
          </w:p>
        </w:tc>
        <w:tc>
          <w:tcPr>
            <w:tcW w:w="2500" w:type="pct"/>
            <w:vAlign w:val="center"/>
          </w:tcPr>
          <w:p>
            <w:pPr>
              <w:tabs>
                <w:tab w:val="left" w:pos="851"/>
              </w:tabs>
              <w:spacing w:line="240" w:lineRule="auto"/>
              <w:jc w:val="center"/>
              <w:rPr>
                <w:rFonts w:ascii="仿宋" w:hAnsi="仿宋" w:cs="仿宋"/>
                <w:b/>
                <w:sz w:val="21"/>
                <w:szCs w:val="21"/>
              </w:rPr>
            </w:pPr>
            <w:r>
              <w:rPr>
                <w:rFonts w:hint="eastAsia" w:ascii="仿宋" w:hAnsi="仿宋" w:cs="仿宋"/>
                <w:b/>
                <w:sz w:val="21"/>
                <w:szCs w:val="21"/>
              </w:rPr>
              <w:t>资格审查要求的证明材料</w:t>
            </w:r>
          </w:p>
        </w:tc>
        <w:tc>
          <w:tcPr>
            <w:tcW w:w="801" w:type="pct"/>
            <w:vAlign w:val="center"/>
          </w:tcPr>
          <w:p>
            <w:pPr>
              <w:spacing w:line="240" w:lineRule="auto"/>
              <w:jc w:val="center"/>
              <w:rPr>
                <w:rFonts w:ascii="仿宋" w:hAnsi="仿宋" w:cs="仿宋"/>
                <w:b/>
                <w:sz w:val="21"/>
                <w:szCs w:val="21"/>
              </w:rPr>
            </w:pPr>
            <w:r>
              <w:rPr>
                <w:rFonts w:hint="eastAsia" w:ascii="仿宋" w:hAnsi="仿宋"/>
                <w:b/>
                <w:sz w:val="21"/>
                <w:szCs w:val="21"/>
              </w:rPr>
              <w:t>提示说明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spacing w:line="240" w:lineRule="auto"/>
              <w:jc w:val="center"/>
              <w:rPr>
                <w:rFonts w:ascii="仿宋" w:hAnsi="仿宋" w:cs="仿宋"/>
                <w:bCs/>
                <w:sz w:val="21"/>
                <w:szCs w:val="21"/>
              </w:rPr>
            </w:pPr>
            <w:r>
              <w:rPr>
                <w:rFonts w:hint="eastAsia" w:ascii="仿宋" w:hAnsi="仿宋" w:cs="仿宋"/>
                <w:bCs/>
                <w:sz w:val="21"/>
                <w:szCs w:val="21"/>
              </w:rPr>
              <w:t>1</w:t>
            </w:r>
          </w:p>
        </w:tc>
        <w:tc>
          <w:tcPr>
            <w:tcW w:w="1219" w:type="pct"/>
            <w:vAlign w:val="center"/>
          </w:tcPr>
          <w:p>
            <w:pPr>
              <w:spacing w:line="240" w:lineRule="auto"/>
              <w:jc w:val="both"/>
              <w:rPr>
                <w:rFonts w:ascii="仿宋" w:hAnsi="仿宋" w:cs="仿宋"/>
                <w:bCs/>
                <w:sz w:val="21"/>
                <w:szCs w:val="21"/>
              </w:rPr>
            </w:pPr>
            <w:r>
              <w:rPr>
                <w:rFonts w:hint="eastAsia" w:ascii="仿宋" w:hAnsi="仿宋" w:cs="仿宋"/>
                <w:bCs/>
                <w:sz w:val="21"/>
                <w:szCs w:val="21"/>
              </w:rPr>
              <w:t>1.满足《中华人民共和国政府采购法》第二十二条规定；</w:t>
            </w:r>
          </w:p>
        </w:tc>
        <w:tc>
          <w:tcPr>
            <w:tcW w:w="2500" w:type="pct"/>
            <w:vAlign w:val="center"/>
          </w:tcPr>
          <w:p>
            <w:pPr>
              <w:pStyle w:val="84"/>
              <w:spacing w:line="240" w:lineRule="auto"/>
              <w:ind w:firstLine="0" w:firstLineChars="0"/>
              <w:rPr>
                <w:rFonts w:ascii="仿宋" w:hAnsi="仿宋" w:eastAsia="仿宋"/>
                <w:szCs w:val="21"/>
              </w:rPr>
            </w:pPr>
            <w:r>
              <w:rPr>
                <w:rFonts w:hint="eastAsia" w:ascii="仿宋" w:hAnsi="仿宋" w:eastAsia="仿宋"/>
                <w:b/>
                <w:bCs/>
                <w:szCs w:val="21"/>
              </w:rPr>
              <w:t>1.1具有独立承担民事责任的能力。</w:t>
            </w:r>
            <w:r>
              <w:rPr>
                <w:rFonts w:hint="eastAsia" w:ascii="仿宋" w:hAnsi="仿宋" w:eastAsia="仿宋"/>
                <w:szCs w:val="21"/>
              </w:rPr>
              <w:t>（注：①供应商若为企业法人：提供“统一社会信用代码营业执照”；未换证的提供“营业执照、税务登记证、组织机构代码证”；②若为事业法人：提供“统一社会信用代码法人登记证书”；未换证的提交“事业法人登记证书、组织机构代码证”；③若为其他组织：提供“对应主管部门颁发的准许执业证明文件或营业执照”；④若为自然人：提供“身份证明材料”。</w:t>
            </w:r>
            <w:r>
              <w:rPr>
                <w:rFonts w:hint="eastAsia" w:ascii="仿宋" w:hAnsi="仿宋" w:eastAsia="仿宋"/>
                <w:b/>
                <w:bCs/>
                <w:szCs w:val="21"/>
              </w:rPr>
              <w:t>提供以上一种证明材料的复印件</w:t>
            </w:r>
            <w:r>
              <w:rPr>
                <w:rFonts w:hint="eastAsia" w:ascii="仿宋" w:hAnsi="仿宋" w:eastAsia="仿宋"/>
                <w:szCs w:val="21"/>
              </w:rPr>
              <w:t>）；</w:t>
            </w:r>
          </w:p>
          <w:p>
            <w:pPr>
              <w:pStyle w:val="84"/>
              <w:ind w:firstLine="0" w:firstLineChars="0"/>
              <w:rPr>
                <w:rFonts w:ascii="仿宋" w:hAnsi="仿宋" w:eastAsia="仿宋"/>
                <w:szCs w:val="21"/>
              </w:rPr>
            </w:pPr>
            <w:r>
              <w:rPr>
                <w:rFonts w:hint="eastAsia" w:ascii="仿宋" w:hAnsi="仿宋" w:eastAsia="仿宋"/>
                <w:b/>
                <w:bCs/>
                <w:szCs w:val="21"/>
              </w:rPr>
              <w:t>1.2具备良好商业信誉</w:t>
            </w:r>
            <w:r>
              <w:rPr>
                <w:rFonts w:hint="eastAsia" w:ascii="仿宋" w:hAnsi="仿宋" w:eastAsia="仿宋"/>
                <w:szCs w:val="21"/>
              </w:rPr>
              <w:t>的证明材料（可提供承诺函，格式详见第三章）</w:t>
            </w:r>
          </w:p>
          <w:p>
            <w:pPr>
              <w:pStyle w:val="84"/>
              <w:spacing w:line="240" w:lineRule="auto"/>
              <w:ind w:firstLine="0" w:firstLineChars="0"/>
              <w:rPr>
                <w:rFonts w:ascii="仿宋" w:hAnsi="仿宋" w:eastAsia="仿宋"/>
                <w:szCs w:val="21"/>
              </w:rPr>
            </w:pPr>
            <w:r>
              <w:rPr>
                <w:rFonts w:hint="eastAsia" w:ascii="仿宋" w:hAnsi="仿宋" w:eastAsia="仿宋"/>
                <w:szCs w:val="21"/>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84"/>
              <w:spacing w:line="240" w:lineRule="auto"/>
              <w:ind w:firstLine="0" w:firstLineChars="0"/>
              <w:rPr>
                <w:rFonts w:ascii="仿宋" w:hAnsi="仿宋" w:eastAsia="仿宋"/>
                <w:szCs w:val="21"/>
              </w:rPr>
            </w:pPr>
            <w:r>
              <w:rPr>
                <w:rFonts w:hint="eastAsia" w:ascii="仿宋" w:hAnsi="仿宋" w:eastAsia="仿宋"/>
                <w:b/>
                <w:bCs/>
                <w:szCs w:val="21"/>
              </w:rPr>
              <w:t>1.3具备健全的财务会计制度</w:t>
            </w:r>
            <w:r>
              <w:rPr>
                <w:rFonts w:hint="eastAsia" w:ascii="仿宋" w:hAnsi="仿宋" w:eastAsia="仿宋"/>
                <w:szCs w:val="21"/>
              </w:rPr>
              <w:t>的证明材料；[注：①可提供20</w:t>
            </w:r>
            <w:r>
              <w:rPr>
                <w:rFonts w:ascii="仿宋" w:hAnsi="仿宋" w:eastAsia="仿宋"/>
                <w:szCs w:val="21"/>
              </w:rPr>
              <w:t>19</w:t>
            </w:r>
            <w:r>
              <w:rPr>
                <w:rFonts w:hint="eastAsia" w:ascii="仿宋" w:hAnsi="仿宋" w:eastAsia="仿宋"/>
                <w:szCs w:val="21"/>
              </w:rPr>
              <w:t>或20</w:t>
            </w:r>
            <w:r>
              <w:rPr>
                <w:rFonts w:ascii="仿宋" w:hAnsi="仿宋" w:eastAsia="仿宋"/>
                <w:szCs w:val="21"/>
              </w:rPr>
              <w:t>20</w:t>
            </w:r>
            <w:r>
              <w:rPr>
                <w:rFonts w:hint="eastAsia" w:ascii="仿宋" w:hAnsi="仿宋" w:eastAsia="仿宋"/>
                <w:szCs w:val="21"/>
              </w:rPr>
              <w:t>年度经审计的财务报告（包含审计报告和审计报告中所涉及的财务报表和报表附注）；②也可提供20</w:t>
            </w:r>
            <w:r>
              <w:rPr>
                <w:rFonts w:ascii="仿宋" w:hAnsi="仿宋" w:eastAsia="仿宋"/>
                <w:szCs w:val="21"/>
              </w:rPr>
              <w:t>19</w:t>
            </w:r>
            <w:r>
              <w:rPr>
                <w:rFonts w:hint="eastAsia" w:ascii="仿宋" w:hAnsi="仿宋" w:eastAsia="仿宋"/>
                <w:szCs w:val="21"/>
              </w:rPr>
              <w:t>或20</w:t>
            </w:r>
            <w:r>
              <w:rPr>
                <w:rFonts w:ascii="仿宋" w:hAnsi="仿宋" w:eastAsia="仿宋"/>
                <w:szCs w:val="21"/>
              </w:rPr>
              <w:t>20</w:t>
            </w:r>
            <w:r>
              <w:rPr>
                <w:rFonts w:hint="eastAsia" w:ascii="仿宋" w:hAnsi="仿宋" w:eastAsia="仿宋"/>
                <w:szCs w:val="21"/>
              </w:rPr>
              <w:t>年度供应商内部的财务报表（至少包含资产负债表）；③也可提供截至投标文件递交截止日一年内银行出具的资信证明；④供应商注册时间截至投标文件递交截止日不足一年的，也可提供加盖工商备案主管</w:t>
            </w:r>
            <w:r>
              <w:rPr>
                <w:rFonts w:ascii="仿宋" w:hAnsi="仿宋" w:eastAsia="仿宋"/>
                <w:szCs w:val="21"/>
              </w:rPr>
              <w:t>部门印章</w:t>
            </w:r>
            <w:r>
              <w:rPr>
                <w:rFonts w:hint="eastAsia" w:ascii="仿宋" w:hAnsi="仿宋" w:eastAsia="仿宋"/>
                <w:szCs w:val="21"/>
              </w:rPr>
              <w:t>的公司章程。</w:t>
            </w:r>
            <w:r>
              <w:rPr>
                <w:rFonts w:hint="eastAsia" w:ascii="仿宋" w:hAnsi="仿宋" w:eastAsia="仿宋"/>
                <w:b/>
                <w:bCs/>
                <w:szCs w:val="21"/>
              </w:rPr>
              <w:t>提供以上一种证明材料的复印件</w:t>
            </w:r>
            <w:r>
              <w:rPr>
                <w:rFonts w:hint="eastAsia" w:ascii="仿宋" w:hAnsi="仿宋" w:eastAsia="仿宋"/>
                <w:szCs w:val="21"/>
              </w:rPr>
              <w:t>]</w:t>
            </w:r>
          </w:p>
          <w:p>
            <w:pPr>
              <w:pStyle w:val="84"/>
              <w:spacing w:line="240" w:lineRule="auto"/>
              <w:ind w:firstLine="0" w:firstLineChars="0"/>
              <w:rPr>
                <w:rFonts w:ascii="仿宋" w:hAnsi="仿宋" w:eastAsia="仿宋"/>
                <w:szCs w:val="21"/>
              </w:rPr>
            </w:pPr>
            <w:r>
              <w:rPr>
                <w:rFonts w:hint="eastAsia" w:ascii="仿宋" w:hAnsi="仿宋" w:eastAsia="仿宋"/>
                <w:b/>
                <w:bCs/>
                <w:szCs w:val="21"/>
              </w:rPr>
              <w:t>1.4具有依法缴纳税收和社会保障资金的良好记录</w:t>
            </w:r>
            <w:r>
              <w:rPr>
                <w:rFonts w:hint="eastAsia" w:ascii="仿宋" w:hAnsi="仿宋" w:eastAsia="仿宋"/>
                <w:szCs w:val="21"/>
              </w:rPr>
              <w:t>（可提供承诺函，格式详见第三章）；</w:t>
            </w:r>
          </w:p>
          <w:p>
            <w:pPr>
              <w:pStyle w:val="84"/>
              <w:spacing w:line="240" w:lineRule="auto"/>
              <w:ind w:firstLine="0" w:firstLineChars="0"/>
              <w:rPr>
                <w:rFonts w:ascii="仿宋" w:hAnsi="仿宋" w:eastAsia="仿宋"/>
                <w:szCs w:val="21"/>
              </w:rPr>
            </w:pPr>
            <w:r>
              <w:rPr>
                <w:rFonts w:hint="eastAsia" w:ascii="仿宋" w:hAnsi="仿宋" w:eastAsia="仿宋"/>
                <w:b/>
                <w:bCs/>
                <w:szCs w:val="21"/>
              </w:rPr>
              <w:t>1.5具备履行合同所必需的设备和专业技术能力</w:t>
            </w:r>
            <w:r>
              <w:rPr>
                <w:rFonts w:hint="eastAsia" w:ascii="仿宋" w:hAnsi="仿宋" w:eastAsia="仿宋"/>
                <w:szCs w:val="21"/>
              </w:rPr>
              <w:t>的证明材料（可提供承诺函，格式详见第三章）；</w:t>
            </w:r>
          </w:p>
          <w:p>
            <w:pPr>
              <w:pStyle w:val="84"/>
              <w:spacing w:line="240" w:lineRule="auto"/>
              <w:ind w:firstLine="0" w:firstLineChars="0"/>
              <w:rPr>
                <w:rFonts w:ascii="仿宋" w:hAnsi="仿宋" w:eastAsia="仿宋"/>
                <w:szCs w:val="21"/>
              </w:rPr>
            </w:pPr>
            <w:r>
              <w:rPr>
                <w:rFonts w:hint="eastAsia" w:ascii="仿宋" w:hAnsi="仿宋" w:eastAsia="仿宋"/>
                <w:b/>
                <w:bCs/>
                <w:szCs w:val="21"/>
              </w:rPr>
              <w:t>1.6参加政府采购活动前3年内在经营活动中没有重大违法记录</w:t>
            </w:r>
            <w:r>
              <w:rPr>
                <w:rFonts w:hint="eastAsia" w:ascii="仿宋" w:hAnsi="仿宋" w:eastAsia="仿宋"/>
                <w:szCs w:val="21"/>
              </w:rPr>
              <w:t>的承诺函（格式详见第三章）；</w:t>
            </w:r>
          </w:p>
          <w:p>
            <w:pPr>
              <w:pStyle w:val="84"/>
              <w:spacing w:line="240" w:lineRule="auto"/>
              <w:ind w:firstLine="0" w:firstLineChars="0"/>
              <w:rPr>
                <w:rFonts w:ascii="仿宋" w:hAnsi="仿宋" w:eastAsia="仿宋"/>
                <w:bCs/>
                <w:szCs w:val="21"/>
              </w:rPr>
            </w:pPr>
            <w:r>
              <w:rPr>
                <w:rFonts w:hint="eastAsia" w:ascii="仿宋" w:hAnsi="仿宋" w:eastAsia="仿宋" w:cs="仿宋"/>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pStyle w:val="84"/>
              <w:spacing w:line="240" w:lineRule="auto"/>
              <w:ind w:firstLine="0" w:firstLineChars="0"/>
              <w:rPr>
                <w:rFonts w:ascii="仿宋" w:hAnsi="仿宋" w:eastAsia="仿宋"/>
                <w:szCs w:val="21"/>
              </w:rPr>
            </w:pPr>
            <w:r>
              <w:rPr>
                <w:rFonts w:hint="eastAsia" w:ascii="仿宋" w:hAnsi="仿宋" w:eastAsia="仿宋"/>
                <w:b/>
                <w:bCs/>
                <w:szCs w:val="21"/>
              </w:rPr>
              <w:t>1.7具备法律、行政法规规定的其他条件</w:t>
            </w:r>
            <w:r>
              <w:rPr>
                <w:rFonts w:hint="eastAsia" w:ascii="仿宋" w:hAnsi="仿宋" w:eastAsia="仿宋"/>
                <w:szCs w:val="21"/>
              </w:rPr>
              <w:t>的证明材料（可提供承诺函，格式详见第三章）。</w:t>
            </w:r>
          </w:p>
        </w:tc>
        <w:tc>
          <w:tcPr>
            <w:tcW w:w="801" w:type="pct"/>
            <w:vAlign w:val="center"/>
          </w:tcPr>
          <w:p>
            <w:pPr>
              <w:spacing w:line="240" w:lineRule="auto"/>
              <w:rPr>
                <w:rFonts w:ascii="仿宋" w:hAnsi="仿宋" w:cs="仿宋"/>
                <w:bCs/>
                <w:sz w:val="21"/>
                <w:szCs w:val="21"/>
              </w:rPr>
            </w:pPr>
            <w:r>
              <w:rPr>
                <w:rFonts w:hint="eastAsia" w:ascii="仿宋" w:hAnsi="仿宋" w:cs="仿宋"/>
                <w:bCs/>
                <w:sz w:val="21"/>
                <w:szCs w:val="21"/>
              </w:rPr>
              <w:t>投标人按照要求上传格式1-1至1-4证明材料。</w:t>
            </w:r>
          </w:p>
          <w:p>
            <w:pPr>
              <w:spacing w:line="240" w:lineRule="auto"/>
              <w:rPr>
                <w:rFonts w:ascii="仿宋" w:hAnsi="仿宋" w:cs="仿宋"/>
                <w:bCs/>
                <w:sz w:val="21"/>
                <w:szCs w:val="21"/>
              </w:rPr>
            </w:pPr>
            <w:r>
              <w:rPr>
                <w:rFonts w:hint="eastAsia" w:ascii="仿宋" w:hAnsi="仿宋"/>
                <w:sz w:val="21"/>
                <w:szCs w:val="21"/>
              </w:rPr>
              <w:t>采购人或者采购代理机构</w:t>
            </w:r>
            <w:r>
              <w:rPr>
                <w:rFonts w:hint="eastAsia" w:ascii="仿宋" w:hAnsi="仿宋" w:cs="仿宋"/>
                <w:bCs/>
                <w:sz w:val="21"/>
                <w:szCs w:val="21"/>
              </w:rPr>
              <w:t>根据上传内容，结合投标文件</w:t>
            </w:r>
            <w:r>
              <w:rPr>
                <w:rFonts w:hint="eastAsia" w:ascii="仿宋" w:hAnsi="仿宋"/>
                <w:sz w:val="21"/>
                <w:szCs w:val="21"/>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spacing w:line="240" w:lineRule="auto"/>
              <w:jc w:val="center"/>
              <w:rPr>
                <w:rFonts w:ascii="仿宋" w:hAnsi="仿宋" w:cs="仿宋"/>
                <w:bCs/>
                <w:sz w:val="21"/>
                <w:szCs w:val="21"/>
              </w:rPr>
            </w:pPr>
            <w:r>
              <w:rPr>
                <w:rFonts w:hint="eastAsia" w:ascii="仿宋" w:hAnsi="仿宋" w:cs="仿宋"/>
                <w:bCs/>
                <w:sz w:val="21"/>
                <w:szCs w:val="21"/>
              </w:rPr>
              <w:t>2</w:t>
            </w:r>
          </w:p>
        </w:tc>
        <w:tc>
          <w:tcPr>
            <w:tcW w:w="1219" w:type="pct"/>
            <w:vAlign w:val="center"/>
          </w:tcPr>
          <w:p>
            <w:pPr>
              <w:tabs>
                <w:tab w:val="left" w:pos="7665"/>
              </w:tabs>
              <w:spacing w:line="240" w:lineRule="auto"/>
              <w:rPr>
                <w:rFonts w:ascii="仿宋" w:hAnsi="仿宋" w:cs="宋体"/>
                <w:b/>
                <w:bCs/>
                <w:sz w:val="21"/>
                <w:szCs w:val="21"/>
              </w:rPr>
            </w:pPr>
            <w:r>
              <w:rPr>
                <w:rFonts w:hint="eastAsia" w:ascii="仿宋" w:hAnsi="仿宋" w:cs="宋体"/>
                <w:b/>
                <w:bCs/>
                <w:sz w:val="21"/>
                <w:szCs w:val="21"/>
              </w:rPr>
              <w:t>2.落实政府采购政策需满足的资格要求：</w:t>
            </w:r>
          </w:p>
          <w:p>
            <w:pPr>
              <w:tabs>
                <w:tab w:val="left" w:pos="7665"/>
              </w:tabs>
              <w:spacing w:line="240" w:lineRule="auto"/>
              <w:rPr>
                <w:rFonts w:ascii="仿宋" w:hAnsi="仿宋" w:cs="宋体"/>
                <w:sz w:val="21"/>
                <w:szCs w:val="21"/>
                <w:highlight w:val="yellow"/>
              </w:rPr>
            </w:pPr>
            <w:r>
              <w:rPr>
                <w:rFonts w:hint="eastAsia" w:ascii="仿宋" w:hAnsi="仿宋" w:cs="宋体"/>
                <w:sz w:val="21"/>
                <w:szCs w:val="21"/>
              </w:rPr>
              <w:t>无</w:t>
            </w:r>
            <w:r>
              <w:rPr>
                <w:rFonts w:ascii="仿宋" w:hAnsi="仿宋"/>
                <w:sz w:val="21"/>
                <w:szCs w:val="21"/>
              </w:rPr>
              <w:t>。</w:t>
            </w:r>
          </w:p>
        </w:tc>
        <w:tc>
          <w:tcPr>
            <w:tcW w:w="2500" w:type="pct"/>
            <w:vAlign w:val="center"/>
          </w:tcPr>
          <w:p>
            <w:pPr>
              <w:pStyle w:val="84"/>
              <w:spacing w:line="240" w:lineRule="auto"/>
              <w:ind w:firstLine="0" w:firstLineChars="0"/>
              <w:rPr>
                <w:rFonts w:ascii="仿宋" w:hAnsi="仿宋" w:eastAsia="仿宋"/>
                <w:szCs w:val="21"/>
              </w:rPr>
            </w:pPr>
            <w:r>
              <w:rPr>
                <w:rFonts w:hint="eastAsia" w:ascii="仿宋" w:hAnsi="仿宋" w:eastAsia="仿宋" w:cs="宋体"/>
                <w:b/>
                <w:bCs/>
                <w:szCs w:val="21"/>
              </w:rPr>
              <w:t>2.落实政府采购政策需满足的资格要求：</w:t>
            </w:r>
          </w:p>
          <w:p>
            <w:pPr>
              <w:tabs>
                <w:tab w:val="left" w:pos="7665"/>
              </w:tabs>
              <w:spacing w:line="240" w:lineRule="auto"/>
              <w:rPr>
                <w:rFonts w:ascii="仿宋" w:hAnsi="仿宋"/>
                <w:sz w:val="21"/>
                <w:szCs w:val="21"/>
              </w:rPr>
            </w:pPr>
            <w:r>
              <w:rPr>
                <w:rFonts w:hint="eastAsia" w:ascii="仿宋" w:hAnsi="仿宋" w:cs="宋体"/>
                <w:sz w:val="21"/>
                <w:szCs w:val="21"/>
              </w:rPr>
              <w:t>无。</w:t>
            </w:r>
          </w:p>
        </w:tc>
        <w:tc>
          <w:tcPr>
            <w:tcW w:w="801" w:type="pct"/>
            <w:vAlign w:val="center"/>
          </w:tcPr>
          <w:p>
            <w:pPr>
              <w:spacing w:line="240" w:lineRule="auto"/>
              <w:rPr>
                <w:rFonts w:ascii="仿宋" w:hAnsi="仿宋" w:cs="仿宋"/>
                <w:bCs/>
                <w:sz w:val="21"/>
                <w:szCs w:val="21"/>
              </w:rPr>
            </w:pPr>
            <w:r>
              <w:rPr>
                <w:rFonts w:hint="eastAsia" w:ascii="仿宋" w:hAnsi="仿宋" w:cs="仿宋"/>
                <w:bCs/>
                <w:spacing w:val="-6"/>
                <w:sz w:val="21"/>
                <w:szCs w:val="21"/>
              </w:rPr>
              <w:t>若不涉及，</w:t>
            </w:r>
            <w:r>
              <w:rPr>
                <w:rFonts w:hint="eastAsia" w:ascii="仿宋" w:hAnsi="仿宋" w:cs="仿宋"/>
                <w:bCs/>
                <w:sz w:val="20"/>
                <w:szCs w:val="20"/>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spacing w:line="240" w:lineRule="auto"/>
              <w:jc w:val="center"/>
              <w:rPr>
                <w:rFonts w:ascii="仿宋" w:hAnsi="仿宋" w:cs="仿宋"/>
                <w:bCs/>
                <w:sz w:val="21"/>
                <w:szCs w:val="21"/>
              </w:rPr>
            </w:pPr>
            <w:r>
              <w:rPr>
                <w:rFonts w:hint="eastAsia" w:ascii="仿宋" w:hAnsi="仿宋" w:cs="仿宋"/>
                <w:bCs/>
                <w:sz w:val="21"/>
                <w:szCs w:val="21"/>
              </w:rPr>
              <w:t>3</w:t>
            </w:r>
          </w:p>
        </w:tc>
        <w:tc>
          <w:tcPr>
            <w:tcW w:w="1219" w:type="pct"/>
            <w:vAlign w:val="center"/>
          </w:tcPr>
          <w:p>
            <w:pPr>
              <w:tabs>
                <w:tab w:val="left" w:pos="7665"/>
              </w:tabs>
              <w:spacing w:line="240" w:lineRule="auto"/>
              <w:rPr>
                <w:rFonts w:ascii="仿宋" w:hAnsi="仿宋" w:cs="仿宋"/>
                <w:b/>
                <w:bCs/>
                <w:sz w:val="21"/>
                <w:szCs w:val="21"/>
              </w:rPr>
            </w:pPr>
            <w:r>
              <w:rPr>
                <w:rFonts w:hint="eastAsia" w:ascii="仿宋" w:hAnsi="仿宋" w:cs="仿宋"/>
                <w:b/>
                <w:bCs/>
                <w:spacing w:val="-11"/>
                <w:sz w:val="21"/>
                <w:szCs w:val="21"/>
              </w:rPr>
              <w:t>3.本项目的特定资格要求：无。</w:t>
            </w:r>
          </w:p>
        </w:tc>
        <w:tc>
          <w:tcPr>
            <w:tcW w:w="2500" w:type="pct"/>
            <w:vAlign w:val="center"/>
          </w:tcPr>
          <w:p>
            <w:pPr>
              <w:spacing w:line="240" w:lineRule="auto"/>
              <w:rPr>
                <w:rFonts w:ascii="仿宋" w:hAnsi="仿宋" w:cs="仿宋"/>
                <w:sz w:val="21"/>
                <w:szCs w:val="21"/>
              </w:rPr>
            </w:pPr>
            <w:r>
              <w:rPr>
                <w:rFonts w:hint="eastAsia" w:ascii="仿宋" w:hAnsi="仿宋" w:cs="仿宋"/>
                <w:b/>
                <w:bCs/>
                <w:sz w:val="21"/>
                <w:szCs w:val="21"/>
              </w:rPr>
              <w:t>3.本项目的特定资格要求：无。</w:t>
            </w:r>
          </w:p>
          <w:p>
            <w:pPr>
              <w:spacing w:line="240" w:lineRule="auto"/>
              <w:rPr>
                <w:rFonts w:ascii="仿宋" w:hAnsi="仿宋" w:cs="仿宋"/>
                <w:bCs/>
                <w:sz w:val="21"/>
                <w:szCs w:val="21"/>
              </w:rPr>
            </w:pPr>
            <w:r>
              <w:rPr>
                <w:rFonts w:hint="eastAsia" w:ascii="仿宋" w:hAnsi="仿宋" w:cs="仿宋"/>
                <w:b/>
                <w:sz w:val="21"/>
                <w:szCs w:val="21"/>
              </w:rPr>
              <w:t>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w:t>
            </w:r>
          </w:p>
        </w:tc>
        <w:tc>
          <w:tcPr>
            <w:tcW w:w="801" w:type="pct"/>
            <w:vAlign w:val="center"/>
          </w:tcPr>
          <w:p>
            <w:pPr>
              <w:spacing w:line="240" w:lineRule="auto"/>
              <w:rPr>
                <w:rFonts w:ascii="仿宋" w:hAnsi="仿宋" w:cs="仿宋"/>
                <w:bCs/>
                <w:sz w:val="21"/>
                <w:szCs w:val="21"/>
              </w:rPr>
            </w:pPr>
            <w:r>
              <w:rPr>
                <w:rFonts w:hint="eastAsia" w:ascii="仿宋" w:hAnsi="仿宋" w:cs="仿宋"/>
                <w:bCs/>
                <w:spacing w:val="-6"/>
                <w:sz w:val="21"/>
                <w:szCs w:val="21"/>
              </w:rPr>
              <w:t>若不涉及，</w:t>
            </w:r>
            <w:r>
              <w:rPr>
                <w:rFonts w:hint="eastAsia" w:ascii="仿宋" w:hAnsi="仿宋" w:cs="仿宋"/>
                <w:bCs/>
                <w:sz w:val="20"/>
                <w:szCs w:val="20"/>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spacing w:line="240" w:lineRule="auto"/>
              <w:jc w:val="center"/>
              <w:rPr>
                <w:rFonts w:ascii="仿宋" w:hAnsi="仿宋" w:cs="仿宋"/>
                <w:bCs/>
                <w:sz w:val="21"/>
                <w:szCs w:val="21"/>
              </w:rPr>
            </w:pPr>
            <w:r>
              <w:rPr>
                <w:rFonts w:hint="eastAsia" w:ascii="仿宋" w:hAnsi="仿宋" w:cs="仿宋"/>
                <w:bCs/>
                <w:sz w:val="21"/>
                <w:szCs w:val="21"/>
              </w:rPr>
              <w:t>4</w:t>
            </w:r>
          </w:p>
        </w:tc>
        <w:tc>
          <w:tcPr>
            <w:tcW w:w="1219" w:type="pct"/>
            <w:vAlign w:val="center"/>
          </w:tcPr>
          <w:p>
            <w:pPr>
              <w:tabs>
                <w:tab w:val="left" w:pos="7665"/>
              </w:tabs>
              <w:spacing w:line="240" w:lineRule="auto"/>
              <w:rPr>
                <w:rFonts w:ascii="仿宋" w:hAnsi="仿宋" w:cs="仿宋"/>
                <w:b/>
                <w:sz w:val="21"/>
                <w:szCs w:val="21"/>
              </w:rPr>
            </w:pPr>
            <w:r>
              <w:rPr>
                <w:rFonts w:hint="eastAsia" w:ascii="仿宋" w:hAnsi="仿宋" w:cs="宋体"/>
                <w:sz w:val="21"/>
                <w:szCs w:val="21"/>
              </w:rPr>
              <w:t>4.</w:t>
            </w:r>
            <w:r>
              <w:rPr>
                <w:rFonts w:hint="eastAsia" w:ascii="仿宋" w:hAnsi="仿宋"/>
                <w:sz w:val="21"/>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2500" w:type="pct"/>
            <w:vAlign w:val="center"/>
          </w:tcPr>
          <w:p>
            <w:pPr>
              <w:spacing w:line="240" w:lineRule="auto"/>
              <w:rPr>
                <w:rFonts w:ascii="仿宋" w:hAnsi="仿宋" w:cs="宋体"/>
                <w:sz w:val="21"/>
                <w:szCs w:val="21"/>
              </w:rPr>
            </w:pPr>
            <w:r>
              <w:rPr>
                <w:rFonts w:hint="eastAsia" w:ascii="仿宋" w:hAnsi="仿宋" w:cs="宋体"/>
                <w:spacing w:val="-6"/>
                <w:sz w:val="21"/>
                <w:szCs w:val="21"/>
              </w:rPr>
              <w:t>4.采购人/采购代理机构通过“信用中国”网站（www.creditchina.gov.cn）、“中国政府采购网”网站（www.ccgp.gov.cn）等渠道</w:t>
            </w:r>
            <w:r>
              <w:rPr>
                <w:rFonts w:hint="eastAsia" w:ascii="仿宋" w:hAnsi="仿宋" w:cs="宋体"/>
                <w:sz w:val="21"/>
                <w:szCs w:val="21"/>
              </w:rPr>
              <w:t>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spacing w:line="240" w:lineRule="auto"/>
              <w:rPr>
                <w:rFonts w:ascii="仿宋" w:hAnsi="仿宋" w:cs="仿宋"/>
                <w:b/>
                <w:sz w:val="21"/>
                <w:szCs w:val="21"/>
              </w:rPr>
            </w:pPr>
            <w:r>
              <w:rPr>
                <w:rFonts w:hint="eastAsia" w:ascii="仿宋" w:hAnsi="仿宋" w:cs="宋体"/>
                <w:b/>
                <w:bCs/>
                <w:spacing w:val="-6"/>
                <w:sz w:val="21"/>
                <w:szCs w:val="21"/>
              </w:rPr>
              <w:t>（注：此项由采购人或采购代理机构查询，投标人不提供证明材料）</w:t>
            </w:r>
          </w:p>
        </w:tc>
        <w:tc>
          <w:tcPr>
            <w:tcW w:w="801" w:type="pct"/>
            <w:vAlign w:val="center"/>
          </w:tcPr>
          <w:p>
            <w:pPr>
              <w:pStyle w:val="13"/>
              <w:spacing w:after="0" w:line="240" w:lineRule="auto"/>
              <w:rPr>
                <w:rFonts w:ascii="仿宋" w:hAnsi="仿宋"/>
                <w:sz w:val="21"/>
                <w:szCs w:val="21"/>
              </w:rPr>
            </w:pPr>
            <w:r>
              <w:rPr>
                <w:rFonts w:hint="eastAsia" w:ascii="仿宋" w:hAnsi="仿宋" w:cs="仿宋"/>
                <w:bCs/>
                <w:spacing w:val="-6"/>
                <w:sz w:val="21"/>
                <w:szCs w:val="21"/>
              </w:rPr>
              <w:t>投标人不用上传证明材料。由采购人或者采购代理机构查询，并根据查询的信用记录结果对投标人的资格进行审查。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spacing w:line="240" w:lineRule="auto"/>
              <w:jc w:val="center"/>
              <w:rPr>
                <w:rFonts w:ascii="仿宋" w:hAnsi="仿宋" w:cs="仿宋"/>
                <w:bCs/>
                <w:sz w:val="21"/>
                <w:szCs w:val="21"/>
              </w:rPr>
            </w:pPr>
            <w:r>
              <w:rPr>
                <w:rFonts w:hint="eastAsia" w:ascii="仿宋" w:hAnsi="仿宋" w:cs="仿宋"/>
                <w:bCs/>
                <w:sz w:val="21"/>
                <w:szCs w:val="21"/>
              </w:rPr>
              <w:t>5</w:t>
            </w:r>
          </w:p>
        </w:tc>
        <w:tc>
          <w:tcPr>
            <w:tcW w:w="1219" w:type="pct"/>
            <w:vAlign w:val="center"/>
          </w:tcPr>
          <w:p>
            <w:pPr>
              <w:pStyle w:val="84"/>
              <w:spacing w:line="240" w:lineRule="auto"/>
              <w:ind w:firstLine="0" w:firstLineChars="0"/>
              <w:rPr>
                <w:rFonts w:ascii="仿宋" w:hAnsi="仿宋" w:eastAsia="仿宋" w:cs="仿宋"/>
                <w:bCs/>
                <w:szCs w:val="21"/>
              </w:rPr>
            </w:pPr>
            <w:r>
              <w:rPr>
                <w:rFonts w:hint="eastAsia" w:ascii="仿宋" w:hAnsi="仿宋" w:eastAsia="仿宋"/>
                <w:b/>
                <w:bCs/>
                <w:szCs w:val="21"/>
              </w:rPr>
              <w:t>资质性要求：无。</w:t>
            </w:r>
          </w:p>
        </w:tc>
        <w:tc>
          <w:tcPr>
            <w:tcW w:w="2500" w:type="pct"/>
            <w:vAlign w:val="center"/>
          </w:tcPr>
          <w:p>
            <w:pPr>
              <w:spacing w:line="240" w:lineRule="auto"/>
              <w:rPr>
                <w:rFonts w:ascii="仿宋" w:hAnsi="仿宋" w:cs="仿宋"/>
                <w:bCs/>
                <w:sz w:val="21"/>
                <w:szCs w:val="21"/>
              </w:rPr>
            </w:pPr>
            <w:r>
              <w:rPr>
                <w:rFonts w:hint="eastAsia" w:ascii="仿宋" w:hAnsi="仿宋"/>
                <w:b/>
                <w:bCs/>
                <w:sz w:val="21"/>
                <w:szCs w:val="21"/>
              </w:rPr>
              <w:t>资质性要求：</w:t>
            </w:r>
            <w:r>
              <w:rPr>
                <w:rFonts w:hint="eastAsia" w:ascii="仿宋" w:hAnsi="仿宋" w:cs="仿宋"/>
                <w:bCs/>
                <w:sz w:val="21"/>
                <w:szCs w:val="21"/>
              </w:rPr>
              <w:t>无。</w:t>
            </w:r>
          </w:p>
        </w:tc>
        <w:tc>
          <w:tcPr>
            <w:tcW w:w="801" w:type="pct"/>
            <w:vAlign w:val="center"/>
          </w:tcPr>
          <w:p>
            <w:pPr>
              <w:spacing w:line="240" w:lineRule="auto"/>
              <w:rPr>
                <w:rFonts w:ascii="仿宋" w:hAnsi="仿宋" w:cs="仿宋"/>
                <w:bCs/>
                <w:sz w:val="21"/>
                <w:szCs w:val="21"/>
              </w:rPr>
            </w:pPr>
            <w:r>
              <w:rPr>
                <w:rFonts w:hint="eastAsia" w:ascii="仿宋" w:hAnsi="仿宋" w:cs="仿宋"/>
                <w:bCs/>
                <w:spacing w:val="-6"/>
                <w:sz w:val="21"/>
                <w:szCs w:val="21"/>
              </w:rPr>
              <w:t>若不涉及，投标人不用上传证明材料。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spacing w:line="240" w:lineRule="auto"/>
              <w:jc w:val="center"/>
              <w:rPr>
                <w:rFonts w:ascii="仿宋" w:hAnsi="仿宋" w:cs="仿宋"/>
                <w:bCs/>
                <w:sz w:val="21"/>
                <w:szCs w:val="21"/>
              </w:rPr>
            </w:pPr>
            <w:r>
              <w:rPr>
                <w:rFonts w:ascii="仿宋" w:hAnsi="仿宋" w:cs="仿宋"/>
                <w:bCs/>
                <w:sz w:val="21"/>
                <w:szCs w:val="21"/>
              </w:rPr>
              <w:t>6</w:t>
            </w:r>
          </w:p>
        </w:tc>
        <w:tc>
          <w:tcPr>
            <w:tcW w:w="1219" w:type="pct"/>
            <w:vAlign w:val="center"/>
          </w:tcPr>
          <w:p>
            <w:pPr>
              <w:pStyle w:val="84"/>
              <w:spacing w:line="240" w:lineRule="auto"/>
              <w:ind w:firstLine="0" w:firstLineChars="0"/>
              <w:rPr>
                <w:rFonts w:ascii="仿宋" w:hAnsi="仿宋" w:eastAsia="仿宋" w:cs="仿宋"/>
                <w:bCs/>
                <w:szCs w:val="21"/>
              </w:rPr>
            </w:pPr>
            <w:r>
              <w:rPr>
                <w:rFonts w:hint="eastAsia" w:ascii="仿宋" w:hAnsi="仿宋" w:eastAsia="仿宋"/>
                <w:b/>
                <w:bCs/>
                <w:szCs w:val="21"/>
              </w:rPr>
              <w:t>其他类似效力要求：无。</w:t>
            </w:r>
          </w:p>
        </w:tc>
        <w:tc>
          <w:tcPr>
            <w:tcW w:w="2500" w:type="pct"/>
            <w:vAlign w:val="center"/>
          </w:tcPr>
          <w:p>
            <w:pPr>
              <w:spacing w:line="240" w:lineRule="auto"/>
              <w:rPr>
                <w:rFonts w:ascii="仿宋" w:hAnsi="仿宋" w:cs="仿宋"/>
                <w:bCs/>
                <w:sz w:val="21"/>
                <w:szCs w:val="21"/>
              </w:rPr>
            </w:pPr>
            <w:r>
              <w:rPr>
                <w:rFonts w:hint="eastAsia" w:ascii="仿宋" w:hAnsi="仿宋"/>
                <w:b/>
                <w:bCs/>
                <w:sz w:val="21"/>
                <w:szCs w:val="21"/>
              </w:rPr>
              <w:t>其他类似效力要求：</w:t>
            </w:r>
            <w:r>
              <w:rPr>
                <w:rFonts w:hint="eastAsia" w:ascii="仿宋" w:hAnsi="仿宋" w:cs="仿宋"/>
                <w:bCs/>
                <w:sz w:val="21"/>
                <w:szCs w:val="21"/>
              </w:rPr>
              <w:t>无。</w:t>
            </w:r>
          </w:p>
        </w:tc>
        <w:tc>
          <w:tcPr>
            <w:tcW w:w="801" w:type="pct"/>
            <w:vAlign w:val="center"/>
          </w:tcPr>
          <w:p>
            <w:pPr>
              <w:spacing w:line="240" w:lineRule="auto"/>
              <w:rPr>
                <w:rFonts w:ascii="仿宋" w:hAnsi="仿宋" w:cs="仿宋"/>
                <w:bCs/>
                <w:spacing w:val="-6"/>
                <w:sz w:val="21"/>
                <w:szCs w:val="21"/>
              </w:rPr>
            </w:pPr>
            <w:r>
              <w:rPr>
                <w:rFonts w:hint="eastAsia" w:ascii="仿宋" w:hAnsi="仿宋" w:cs="仿宋"/>
                <w:bCs/>
                <w:spacing w:val="-6"/>
                <w:sz w:val="21"/>
                <w:szCs w:val="21"/>
              </w:rPr>
              <w:t>若不涉及，投标人不用上传证明材料。</w:t>
            </w:r>
          </w:p>
        </w:tc>
      </w:tr>
    </w:tbl>
    <w:p>
      <w:pPr>
        <w:rPr>
          <w:rFonts w:ascii="仿宋" w:hAnsi="仿宋"/>
        </w:rPr>
      </w:pPr>
    </w:p>
    <w:bookmarkEnd w:id="211"/>
    <w:p>
      <w:pPr>
        <w:rPr>
          <w:rFonts w:ascii="仿宋" w:hAnsi="仿宋"/>
          <w:sz w:val="36"/>
          <w:szCs w:val="36"/>
        </w:rPr>
        <w:sectPr>
          <w:pgSz w:w="11905" w:h="16838"/>
          <w:pgMar w:top="1417" w:right="1417" w:bottom="1417" w:left="1417" w:header="425" w:footer="992" w:gutter="0"/>
          <w:cols w:space="0" w:num="1"/>
          <w:docGrid w:type="lines" w:linePitch="332" w:charSpace="0"/>
        </w:sectPr>
      </w:pPr>
      <w:bookmarkStart w:id="268" w:name="_Toc217446093"/>
    </w:p>
    <w:p>
      <w:pPr>
        <w:pStyle w:val="3"/>
        <w:spacing w:line="240" w:lineRule="auto"/>
        <w:rPr>
          <w:rFonts w:ascii="仿宋" w:hAnsi="仿宋"/>
          <w:sz w:val="36"/>
          <w:szCs w:val="36"/>
        </w:rPr>
      </w:pPr>
      <w:bookmarkStart w:id="269" w:name="_Toc29522"/>
      <w:bookmarkStart w:id="270" w:name="_Toc86702013"/>
      <w:bookmarkStart w:id="271" w:name="_Toc86702227"/>
      <w:bookmarkStart w:id="272" w:name="_Toc86702056"/>
      <w:bookmarkStart w:id="273" w:name="PO_默认文件内容_32"/>
      <w:r>
        <w:rPr>
          <w:rFonts w:hint="eastAsia" w:ascii="仿宋" w:hAnsi="仿宋"/>
          <w:sz w:val="36"/>
          <w:szCs w:val="36"/>
        </w:rPr>
        <w:t xml:space="preserve">第六章   </w:t>
      </w:r>
      <w:bookmarkEnd w:id="269"/>
      <w:r>
        <w:rPr>
          <w:rFonts w:hint="eastAsia" w:ascii="仿宋" w:hAnsi="仿宋"/>
          <w:sz w:val="36"/>
          <w:szCs w:val="36"/>
        </w:rPr>
        <w:t>招标项目技术、服务、商务及其他要求</w:t>
      </w:r>
      <w:bookmarkEnd w:id="270"/>
      <w:bookmarkEnd w:id="271"/>
      <w:bookmarkEnd w:id="272"/>
    </w:p>
    <w:bookmarkEnd w:id="268"/>
    <w:p>
      <w:pPr>
        <w:keepNext/>
        <w:keepLines/>
        <w:rPr>
          <w:rFonts w:ascii="仿宋" w:hAnsi="仿宋" w:cs="仿宋"/>
          <w:b/>
          <w:bCs/>
        </w:rPr>
      </w:pPr>
      <w:bookmarkStart w:id="274" w:name="_Toc24786"/>
      <w:bookmarkStart w:id="275" w:name="_Toc13518"/>
      <w:r>
        <w:rPr>
          <w:rFonts w:hint="eastAsia" w:ascii="仿宋" w:hAnsi="仿宋" w:cs="仿宋"/>
          <w:b/>
          <w:bCs/>
        </w:rPr>
        <w:t>注：本章采购需求中标注“★”号的条款为本次采购项目的实质性要求，投标人应全部满足。</w:t>
      </w:r>
    </w:p>
    <w:p>
      <w:pPr>
        <w:pStyle w:val="2"/>
        <w:ind w:left="480"/>
        <w:jc w:val="center"/>
        <w:rPr>
          <w:b/>
          <w:bCs/>
          <w:sz w:val="28"/>
          <w:szCs w:val="28"/>
        </w:rPr>
      </w:pPr>
      <w:r>
        <w:rPr>
          <w:rFonts w:hint="eastAsia" w:ascii="仿宋" w:hAnsi="仿宋" w:cs="仿宋"/>
          <w:b/>
          <w:bCs/>
          <w:sz w:val="28"/>
          <w:szCs w:val="28"/>
        </w:rPr>
        <w:t>服务名称及所属行业</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2874"/>
        <w:gridCol w:w="2120"/>
        <w:gridCol w:w="2014"/>
        <w:gridCol w:w="1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6" w:hRule="atLeast"/>
          <w:jc w:val="center"/>
        </w:trPr>
        <w:tc>
          <w:tcPr>
            <w:tcW w:w="487" w:type="pct"/>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包号</w:t>
            </w:r>
          </w:p>
        </w:tc>
        <w:tc>
          <w:tcPr>
            <w:tcW w:w="1548" w:type="pct"/>
            <w:vAlign w:val="center"/>
          </w:tcPr>
          <w:p>
            <w:pPr>
              <w:pStyle w:val="6"/>
              <w:spacing w:line="400" w:lineRule="exact"/>
              <w:ind w:firstLine="0"/>
              <w:rPr>
                <w:rFonts w:ascii="仿宋" w:hAnsi="仿宋" w:cs="仿宋"/>
                <w:bCs/>
                <w:highlight w:val="none"/>
              </w:rPr>
            </w:pPr>
            <w:r>
              <w:rPr>
                <w:rFonts w:hint="eastAsia" w:ascii="仿宋" w:hAnsi="仿宋" w:cs="仿宋"/>
                <w:bCs/>
                <w:highlight w:val="none"/>
              </w:rPr>
              <w:t>标的名称</w:t>
            </w:r>
          </w:p>
        </w:tc>
        <w:tc>
          <w:tcPr>
            <w:tcW w:w="1142" w:type="pct"/>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预算金额（万元）</w:t>
            </w:r>
          </w:p>
        </w:tc>
        <w:tc>
          <w:tcPr>
            <w:tcW w:w="1085" w:type="pct"/>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最高限价（万元）</w:t>
            </w:r>
          </w:p>
        </w:tc>
        <w:tc>
          <w:tcPr>
            <w:tcW w:w="737" w:type="pct"/>
            <w:vAlign w:val="center"/>
          </w:tcPr>
          <w:p>
            <w:pPr>
              <w:pStyle w:val="6"/>
              <w:spacing w:line="400" w:lineRule="exact"/>
              <w:ind w:firstLine="0"/>
              <w:rPr>
                <w:rFonts w:ascii="仿宋" w:hAnsi="仿宋" w:cs="仿宋"/>
                <w:bCs/>
                <w:highlight w:val="none"/>
              </w:rPr>
            </w:pPr>
            <w:r>
              <w:rPr>
                <w:rFonts w:hint="eastAsia" w:ascii="仿宋" w:hAnsi="仿宋" w:cs="仿宋"/>
                <w:bCs/>
                <w:highlight w:val="none"/>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87" w:type="pct"/>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1</w:t>
            </w:r>
          </w:p>
        </w:tc>
        <w:tc>
          <w:tcPr>
            <w:tcW w:w="1548" w:type="pct"/>
            <w:vAlign w:val="center"/>
          </w:tcPr>
          <w:p>
            <w:pPr>
              <w:pStyle w:val="6"/>
              <w:spacing w:line="400" w:lineRule="exact"/>
              <w:ind w:firstLine="0"/>
              <w:rPr>
                <w:rFonts w:ascii="仿宋" w:hAnsi="仿宋" w:cs="仿宋"/>
                <w:bCs/>
                <w:highlight w:val="none"/>
              </w:rPr>
            </w:pPr>
            <w:r>
              <w:rPr>
                <w:rFonts w:hint="eastAsia" w:ascii="仿宋" w:hAnsi="仿宋" w:cs="仿宋"/>
                <w:bCs/>
                <w:highlight w:val="none"/>
              </w:rPr>
              <w:t xml:space="preserve">重症监护信息化系统 </w:t>
            </w:r>
          </w:p>
        </w:tc>
        <w:tc>
          <w:tcPr>
            <w:tcW w:w="1142" w:type="pct"/>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181.04</w:t>
            </w:r>
          </w:p>
        </w:tc>
        <w:tc>
          <w:tcPr>
            <w:tcW w:w="2014" w:type="dxa"/>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181.04</w:t>
            </w:r>
          </w:p>
        </w:tc>
        <w:tc>
          <w:tcPr>
            <w:tcW w:w="737" w:type="pct"/>
            <w:vMerge w:val="restart"/>
            <w:vAlign w:val="center"/>
          </w:tcPr>
          <w:p>
            <w:pPr>
              <w:pStyle w:val="6"/>
              <w:spacing w:line="400" w:lineRule="exact"/>
              <w:ind w:firstLine="0"/>
              <w:rPr>
                <w:highlight w:val="none"/>
              </w:rPr>
            </w:pPr>
            <w:r>
              <w:rPr>
                <w:rFonts w:hint="eastAsia"/>
                <w:highlight w:val="none"/>
              </w:rPr>
              <w:t>软件和信息技术服务业</w:t>
            </w:r>
          </w:p>
          <w:p>
            <w:pPr>
              <w:pStyle w:val="6"/>
              <w:spacing w:line="400" w:lineRule="exact"/>
              <w:ind w:firstLine="0"/>
              <w:rPr>
                <w:rFonts w:ascii="仿宋" w:hAnsi="仿宋" w:cs="仿宋"/>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87" w:type="pct"/>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2</w:t>
            </w:r>
          </w:p>
        </w:tc>
        <w:tc>
          <w:tcPr>
            <w:tcW w:w="1548" w:type="pct"/>
            <w:vAlign w:val="center"/>
          </w:tcPr>
          <w:p>
            <w:pPr>
              <w:pStyle w:val="6"/>
              <w:spacing w:line="400" w:lineRule="exact"/>
              <w:ind w:firstLine="0"/>
              <w:rPr>
                <w:rFonts w:ascii="仿宋" w:hAnsi="仿宋" w:cs="仿宋"/>
                <w:bCs/>
                <w:highlight w:val="none"/>
              </w:rPr>
            </w:pPr>
            <w:r>
              <w:rPr>
                <w:rFonts w:hint="eastAsia" w:ascii="仿宋" w:hAnsi="仿宋" w:cs="仿宋"/>
                <w:bCs/>
                <w:highlight w:val="none"/>
              </w:rPr>
              <w:t xml:space="preserve">呼吸专科大数据平台   </w:t>
            </w:r>
          </w:p>
        </w:tc>
        <w:tc>
          <w:tcPr>
            <w:tcW w:w="1142" w:type="pct"/>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193.50</w:t>
            </w:r>
          </w:p>
        </w:tc>
        <w:tc>
          <w:tcPr>
            <w:tcW w:w="2014" w:type="dxa"/>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193.50</w:t>
            </w:r>
          </w:p>
        </w:tc>
        <w:tc>
          <w:tcPr>
            <w:tcW w:w="737" w:type="pct"/>
            <w:vMerge w:val="continue"/>
            <w:vAlign w:val="center"/>
          </w:tcPr>
          <w:p>
            <w:pPr>
              <w:pStyle w:val="6"/>
              <w:spacing w:line="400" w:lineRule="exact"/>
              <w:ind w:firstLine="0"/>
              <w:rPr>
                <w:rFonts w:ascii="仿宋" w:hAnsi="仿宋" w:cs="仿宋"/>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7" w:type="pct"/>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3</w:t>
            </w:r>
          </w:p>
        </w:tc>
        <w:tc>
          <w:tcPr>
            <w:tcW w:w="1548" w:type="pct"/>
            <w:vAlign w:val="center"/>
          </w:tcPr>
          <w:p>
            <w:pPr>
              <w:pStyle w:val="6"/>
              <w:spacing w:line="400" w:lineRule="exact"/>
              <w:ind w:firstLine="0"/>
              <w:rPr>
                <w:rFonts w:ascii="仿宋" w:hAnsi="仿宋" w:cs="仿宋"/>
                <w:bCs/>
                <w:highlight w:val="none"/>
              </w:rPr>
            </w:pPr>
            <w:r>
              <w:rPr>
                <w:rFonts w:hint="eastAsia" w:ascii="仿宋" w:hAnsi="仿宋" w:cs="仿宋"/>
                <w:bCs/>
                <w:highlight w:val="none"/>
              </w:rPr>
              <w:t xml:space="preserve">医学图像处理软件  </w:t>
            </w:r>
          </w:p>
        </w:tc>
        <w:tc>
          <w:tcPr>
            <w:tcW w:w="1142" w:type="pct"/>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84.67</w:t>
            </w:r>
          </w:p>
        </w:tc>
        <w:tc>
          <w:tcPr>
            <w:tcW w:w="2014" w:type="dxa"/>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84.67</w:t>
            </w:r>
          </w:p>
        </w:tc>
        <w:tc>
          <w:tcPr>
            <w:tcW w:w="737" w:type="pct"/>
            <w:vMerge w:val="continue"/>
            <w:vAlign w:val="center"/>
          </w:tcPr>
          <w:p>
            <w:pPr>
              <w:pStyle w:val="6"/>
              <w:spacing w:line="400" w:lineRule="exact"/>
              <w:ind w:firstLine="0"/>
              <w:rPr>
                <w:rFonts w:ascii="仿宋" w:hAnsi="仿宋" w:cs="仿宋"/>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7" w:type="pct"/>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4</w:t>
            </w:r>
          </w:p>
        </w:tc>
        <w:tc>
          <w:tcPr>
            <w:tcW w:w="1548" w:type="pct"/>
            <w:vAlign w:val="center"/>
          </w:tcPr>
          <w:p>
            <w:pPr>
              <w:pStyle w:val="6"/>
              <w:spacing w:line="400" w:lineRule="exact"/>
              <w:ind w:firstLine="0"/>
              <w:rPr>
                <w:rFonts w:ascii="仿宋" w:hAnsi="仿宋" w:cs="仿宋"/>
                <w:bCs/>
                <w:highlight w:val="none"/>
              </w:rPr>
            </w:pPr>
            <w:r>
              <w:rPr>
                <w:rFonts w:hint="eastAsia" w:ascii="仿宋" w:hAnsi="仿宋" w:cs="仿宋"/>
                <w:bCs/>
                <w:highlight w:val="none"/>
              </w:rPr>
              <w:t xml:space="preserve">肺功能信息化系统   </w:t>
            </w:r>
          </w:p>
        </w:tc>
        <w:tc>
          <w:tcPr>
            <w:tcW w:w="1142" w:type="pct"/>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33.23</w:t>
            </w:r>
          </w:p>
        </w:tc>
        <w:tc>
          <w:tcPr>
            <w:tcW w:w="2014" w:type="dxa"/>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33.23</w:t>
            </w:r>
          </w:p>
        </w:tc>
        <w:tc>
          <w:tcPr>
            <w:tcW w:w="737" w:type="pct"/>
            <w:vMerge w:val="continue"/>
            <w:vAlign w:val="center"/>
          </w:tcPr>
          <w:p>
            <w:pPr>
              <w:pStyle w:val="6"/>
              <w:spacing w:line="400" w:lineRule="exact"/>
              <w:ind w:firstLine="0"/>
              <w:rPr>
                <w:rFonts w:ascii="仿宋" w:hAnsi="仿宋" w:cs="仿宋"/>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7" w:type="pct"/>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5</w:t>
            </w:r>
          </w:p>
        </w:tc>
        <w:tc>
          <w:tcPr>
            <w:tcW w:w="1548" w:type="pct"/>
            <w:vAlign w:val="center"/>
          </w:tcPr>
          <w:p>
            <w:pPr>
              <w:pStyle w:val="6"/>
              <w:spacing w:line="400" w:lineRule="exact"/>
              <w:ind w:firstLine="0"/>
              <w:rPr>
                <w:rFonts w:ascii="仿宋" w:hAnsi="仿宋" w:cs="仿宋"/>
                <w:bCs/>
                <w:highlight w:val="none"/>
              </w:rPr>
            </w:pPr>
            <w:r>
              <w:rPr>
                <w:rFonts w:hint="eastAsia" w:ascii="仿宋" w:hAnsi="仿宋" w:cs="仿宋"/>
                <w:bCs/>
                <w:highlight w:val="none"/>
              </w:rPr>
              <w:t>专科专病数据平台</w:t>
            </w:r>
          </w:p>
        </w:tc>
        <w:tc>
          <w:tcPr>
            <w:tcW w:w="1142" w:type="pct"/>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294</w:t>
            </w:r>
          </w:p>
        </w:tc>
        <w:tc>
          <w:tcPr>
            <w:tcW w:w="2014" w:type="dxa"/>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294</w:t>
            </w:r>
          </w:p>
        </w:tc>
        <w:tc>
          <w:tcPr>
            <w:tcW w:w="737" w:type="pct"/>
            <w:vMerge w:val="continue"/>
            <w:vAlign w:val="center"/>
          </w:tcPr>
          <w:p>
            <w:pPr>
              <w:pStyle w:val="6"/>
              <w:spacing w:line="400" w:lineRule="exact"/>
              <w:ind w:firstLine="0"/>
              <w:rPr>
                <w:rFonts w:ascii="仿宋" w:hAnsi="仿宋" w:cs="仿宋"/>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7" w:type="pct"/>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6</w:t>
            </w:r>
          </w:p>
        </w:tc>
        <w:tc>
          <w:tcPr>
            <w:tcW w:w="1548" w:type="pct"/>
            <w:vAlign w:val="center"/>
          </w:tcPr>
          <w:p>
            <w:pPr>
              <w:pStyle w:val="6"/>
              <w:spacing w:line="400" w:lineRule="exact"/>
              <w:ind w:firstLine="0"/>
              <w:rPr>
                <w:rFonts w:ascii="仿宋" w:hAnsi="仿宋" w:cs="仿宋"/>
                <w:bCs/>
                <w:highlight w:val="none"/>
              </w:rPr>
            </w:pPr>
            <w:r>
              <w:rPr>
                <w:rFonts w:hint="eastAsia" w:ascii="仿宋" w:hAnsi="仿宋" w:cs="仿宋"/>
                <w:bCs/>
                <w:highlight w:val="none"/>
              </w:rPr>
              <w:t xml:space="preserve">心脏介入中心数字化管理系统 </w:t>
            </w:r>
          </w:p>
        </w:tc>
        <w:tc>
          <w:tcPr>
            <w:tcW w:w="1142" w:type="pct"/>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197.50</w:t>
            </w:r>
          </w:p>
        </w:tc>
        <w:tc>
          <w:tcPr>
            <w:tcW w:w="2014" w:type="dxa"/>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197.50</w:t>
            </w:r>
          </w:p>
        </w:tc>
        <w:tc>
          <w:tcPr>
            <w:tcW w:w="737" w:type="pct"/>
            <w:vMerge w:val="continue"/>
            <w:vAlign w:val="center"/>
          </w:tcPr>
          <w:p>
            <w:pPr>
              <w:pStyle w:val="6"/>
              <w:spacing w:line="400" w:lineRule="exact"/>
              <w:ind w:firstLine="0"/>
              <w:rPr>
                <w:rFonts w:ascii="仿宋" w:hAnsi="仿宋" w:cs="仿宋"/>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7" w:type="pct"/>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7</w:t>
            </w:r>
          </w:p>
        </w:tc>
        <w:tc>
          <w:tcPr>
            <w:tcW w:w="1548" w:type="pct"/>
            <w:vAlign w:val="center"/>
          </w:tcPr>
          <w:p>
            <w:pPr>
              <w:pStyle w:val="6"/>
              <w:spacing w:line="400" w:lineRule="exact"/>
              <w:ind w:firstLine="0"/>
              <w:rPr>
                <w:rFonts w:ascii="仿宋" w:hAnsi="仿宋" w:cs="仿宋"/>
                <w:bCs/>
                <w:highlight w:val="none"/>
              </w:rPr>
            </w:pPr>
            <w:r>
              <w:rPr>
                <w:rFonts w:hint="eastAsia" w:ascii="仿宋" w:hAnsi="仿宋" w:cs="仿宋"/>
                <w:bCs/>
                <w:highlight w:val="none"/>
              </w:rPr>
              <w:t>心脏核磁共振后处理系统</w:t>
            </w:r>
          </w:p>
        </w:tc>
        <w:tc>
          <w:tcPr>
            <w:tcW w:w="1142" w:type="pct"/>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100</w:t>
            </w:r>
          </w:p>
        </w:tc>
        <w:tc>
          <w:tcPr>
            <w:tcW w:w="2014" w:type="dxa"/>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100</w:t>
            </w:r>
          </w:p>
        </w:tc>
        <w:tc>
          <w:tcPr>
            <w:tcW w:w="737" w:type="pct"/>
            <w:vMerge w:val="continue"/>
            <w:vAlign w:val="center"/>
          </w:tcPr>
          <w:p>
            <w:pPr>
              <w:pStyle w:val="6"/>
              <w:spacing w:line="400" w:lineRule="exact"/>
              <w:ind w:firstLine="0"/>
              <w:rPr>
                <w:rFonts w:ascii="仿宋" w:hAnsi="仿宋" w:cs="仿宋"/>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7" w:type="pct"/>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8</w:t>
            </w:r>
          </w:p>
        </w:tc>
        <w:tc>
          <w:tcPr>
            <w:tcW w:w="1548" w:type="pct"/>
            <w:vAlign w:val="center"/>
          </w:tcPr>
          <w:p>
            <w:pPr>
              <w:pStyle w:val="6"/>
              <w:spacing w:line="400" w:lineRule="exact"/>
              <w:ind w:firstLine="0"/>
              <w:rPr>
                <w:rFonts w:ascii="仿宋" w:hAnsi="仿宋" w:cs="仿宋"/>
                <w:bCs/>
                <w:highlight w:val="none"/>
              </w:rPr>
            </w:pPr>
            <w:r>
              <w:rPr>
                <w:rFonts w:hint="eastAsia" w:ascii="仿宋" w:hAnsi="仿宋" w:cs="仿宋"/>
                <w:bCs/>
                <w:highlight w:val="none"/>
              </w:rPr>
              <w:t xml:space="preserve">肥胖专病信息化系统   </w:t>
            </w:r>
          </w:p>
        </w:tc>
        <w:tc>
          <w:tcPr>
            <w:tcW w:w="1142" w:type="pct"/>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112.50</w:t>
            </w:r>
          </w:p>
        </w:tc>
        <w:tc>
          <w:tcPr>
            <w:tcW w:w="2014" w:type="dxa"/>
            <w:vAlign w:val="center"/>
          </w:tcPr>
          <w:p>
            <w:pPr>
              <w:pStyle w:val="6"/>
              <w:spacing w:line="400" w:lineRule="exact"/>
              <w:ind w:firstLine="0"/>
              <w:jc w:val="center"/>
              <w:rPr>
                <w:rFonts w:ascii="仿宋" w:hAnsi="仿宋" w:cs="仿宋"/>
                <w:bCs/>
                <w:highlight w:val="none"/>
              </w:rPr>
            </w:pPr>
            <w:r>
              <w:rPr>
                <w:rFonts w:hint="eastAsia" w:ascii="仿宋" w:hAnsi="仿宋" w:cs="仿宋"/>
                <w:bCs/>
                <w:highlight w:val="none"/>
              </w:rPr>
              <w:t>112.50</w:t>
            </w:r>
          </w:p>
        </w:tc>
        <w:tc>
          <w:tcPr>
            <w:tcW w:w="737" w:type="pct"/>
            <w:vMerge w:val="continue"/>
            <w:vAlign w:val="center"/>
          </w:tcPr>
          <w:p>
            <w:pPr>
              <w:pStyle w:val="6"/>
              <w:spacing w:line="400" w:lineRule="exact"/>
              <w:ind w:firstLine="0"/>
              <w:rPr>
                <w:rFonts w:ascii="仿宋" w:hAnsi="仿宋" w:cs="仿宋"/>
                <w:bCs/>
                <w:highlight w:val="none"/>
              </w:rPr>
            </w:pPr>
          </w:p>
        </w:tc>
      </w:tr>
    </w:tbl>
    <w:p>
      <w:pPr>
        <w:pStyle w:val="2"/>
        <w:ind w:left="480"/>
      </w:pPr>
    </w:p>
    <w:p>
      <w:pPr>
        <w:pStyle w:val="5"/>
        <w:bidi w:val="0"/>
        <w:rPr>
          <w:sz w:val="30"/>
          <w:szCs w:val="30"/>
        </w:rPr>
      </w:pPr>
      <w:bookmarkStart w:id="276" w:name="_Toc5068"/>
      <w:bookmarkStart w:id="277" w:name="_Toc217446094"/>
      <w:bookmarkStart w:id="278" w:name="_Toc15228"/>
      <w:bookmarkStart w:id="279" w:name="_Toc5688"/>
      <w:bookmarkStart w:id="280" w:name="_Toc27362"/>
      <w:bookmarkStart w:id="281" w:name="_Toc5413"/>
      <w:bookmarkStart w:id="282" w:name="_Toc32532"/>
      <w:bookmarkStart w:id="283" w:name="_Toc7601"/>
      <w:r>
        <w:rPr>
          <w:rFonts w:hint="eastAsia"/>
          <w:sz w:val="30"/>
          <w:szCs w:val="30"/>
        </w:rPr>
        <w:t xml:space="preserve">包1：重症监护信息化系统 </w:t>
      </w:r>
    </w:p>
    <w:p>
      <w:pPr>
        <w:pStyle w:val="4"/>
        <w:keepNext w:val="0"/>
        <w:keepLines w:val="0"/>
        <w:spacing w:before="0" w:after="0" w:line="360" w:lineRule="auto"/>
        <w:rPr>
          <w:rFonts w:ascii="仿宋" w:hAnsi="仿宋" w:cs="仿宋"/>
          <w:sz w:val="24"/>
          <w:szCs w:val="24"/>
        </w:rPr>
      </w:pPr>
      <w:r>
        <w:rPr>
          <w:rFonts w:hint="eastAsia" w:ascii="仿宋" w:hAnsi="仿宋" w:cs="仿宋"/>
          <w:sz w:val="24"/>
          <w:szCs w:val="24"/>
        </w:rPr>
        <w:t>一、项目概述</w:t>
      </w:r>
      <w:bookmarkEnd w:id="276"/>
      <w:bookmarkEnd w:id="277"/>
      <w:bookmarkEnd w:id="278"/>
      <w:bookmarkEnd w:id="279"/>
      <w:bookmarkEnd w:id="280"/>
      <w:bookmarkEnd w:id="281"/>
      <w:bookmarkEnd w:id="282"/>
      <w:bookmarkEnd w:id="283"/>
    </w:p>
    <w:p>
      <w:pPr>
        <w:pStyle w:val="6"/>
        <w:spacing w:line="400" w:lineRule="exact"/>
        <w:ind w:firstLine="480"/>
        <w:rPr>
          <w:rFonts w:ascii="仿宋" w:hAnsi="仿宋" w:cs="仿宋"/>
          <w:bCs/>
          <w:szCs w:val="24"/>
        </w:rPr>
      </w:pPr>
      <w:bookmarkStart w:id="284" w:name="_Toc217446095"/>
      <w:r>
        <w:rPr>
          <w:rFonts w:hint="eastAsia" w:ascii="仿宋" w:hAnsi="仿宋" w:cs="仿宋"/>
          <w:szCs w:val="24"/>
        </w:rPr>
        <w:t>成都市第三人民</w:t>
      </w:r>
      <w:r>
        <w:rPr>
          <w:rFonts w:hint="eastAsia" w:ascii="仿宋" w:hAnsi="仿宋" w:cs="仿宋"/>
          <w:bCs/>
          <w:szCs w:val="24"/>
        </w:rPr>
        <w:t>医院</w:t>
      </w:r>
      <w:r>
        <w:rPr>
          <w:rFonts w:hint="eastAsia" w:ascii="仿宋" w:hAnsi="仿宋" w:cs="仿宋"/>
          <w:szCs w:val="24"/>
        </w:rPr>
        <w:t>为西南交通大学附属医院和重庆医科大学第二临床医院，属于西南地区教学型</w:t>
      </w:r>
      <w:r>
        <w:rPr>
          <w:rFonts w:hint="eastAsia" w:ascii="仿宋" w:hAnsi="仿宋" w:cs="仿宋"/>
          <w:bCs/>
          <w:szCs w:val="24"/>
        </w:rPr>
        <w:t>医院</w:t>
      </w:r>
      <w:r>
        <w:rPr>
          <w:rFonts w:hint="eastAsia" w:ascii="仿宋" w:hAnsi="仿宋" w:cs="仿宋"/>
          <w:szCs w:val="24"/>
        </w:rPr>
        <w:t>，承担着重要的科研和教学任务，建成后的</w:t>
      </w:r>
      <w:r>
        <w:rPr>
          <w:rFonts w:hint="eastAsia" w:ascii="仿宋" w:hAnsi="仿宋" w:cs="仿宋"/>
          <w:bCs/>
          <w:szCs w:val="24"/>
        </w:rPr>
        <w:t>重症监护</w:t>
      </w:r>
      <w:r>
        <w:rPr>
          <w:rFonts w:hint="eastAsia" w:ascii="仿宋" w:hAnsi="仿宋" w:cs="仿宋"/>
          <w:szCs w:val="24"/>
        </w:rPr>
        <w:t>信息化</w:t>
      </w:r>
      <w:r>
        <w:rPr>
          <w:rFonts w:hint="eastAsia" w:ascii="仿宋" w:hAnsi="仿宋" w:cs="仿宋"/>
          <w:bCs/>
          <w:szCs w:val="24"/>
        </w:rPr>
        <w:t>系统</w:t>
      </w:r>
      <w:r>
        <w:rPr>
          <w:rFonts w:hint="eastAsia" w:ascii="仿宋" w:hAnsi="仿宋" w:cs="仿宋"/>
          <w:szCs w:val="24"/>
        </w:rPr>
        <w:t>所积累的病例数据能够用于医院</w:t>
      </w:r>
      <w:r>
        <w:rPr>
          <w:rFonts w:hint="eastAsia" w:ascii="仿宋" w:hAnsi="仿宋" w:cs="仿宋"/>
          <w:bCs/>
          <w:szCs w:val="24"/>
        </w:rPr>
        <w:t>进行临床</w:t>
      </w:r>
      <w:r>
        <w:rPr>
          <w:rFonts w:hint="eastAsia" w:ascii="仿宋" w:hAnsi="仿宋" w:cs="仿宋"/>
          <w:szCs w:val="24"/>
        </w:rPr>
        <w:t>及医学人工智能方面的科学研究。在将来</w:t>
      </w:r>
      <w:r>
        <w:rPr>
          <w:rFonts w:hint="eastAsia" w:ascii="仿宋" w:hAnsi="仿宋" w:cs="仿宋"/>
          <w:bCs/>
          <w:szCs w:val="24"/>
        </w:rPr>
        <w:t>通过系统</w:t>
      </w:r>
      <w:r>
        <w:rPr>
          <w:rFonts w:hint="eastAsia" w:ascii="仿宋" w:hAnsi="仿宋" w:cs="仿宋"/>
          <w:szCs w:val="24"/>
        </w:rPr>
        <w:t>病例</w:t>
      </w:r>
      <w:r>
        <w:rPr>
          <w:rFonts w:hint="eastAsia" w:ascii="仿宋" w:hAnsi="仿宋" w:cs="仿宋"/>
          <w:bCs/>
          <w:szCs w:val="24"/>
        </w:rPr>
        <w:t>数据</w:t>
      </w:r>
      <w:r>
        <w:rPr>
          <w:rFonts w:hint="eastAsia" w:ascii="仿宋" w:hAnsi="仿宋" w:cs="仿宋"/>
          <w:szCs w:val="24"/>
        </w:rPr>
        <w:t>所产生和发表的科研论文能够和国际</w:t>
      </w:r>
      <w:r>
        <w:rPr>
          <w:rFonts w:hint="eastAsia" w:ascii="仿宋" w:hAnsi="仿宋" w:cs="仿宋"/>
          <w:bCs/>
          <w:szCs w:val="24"/>
        </w:rPr>
        <w:t>重症</w:t>
      </w:r>
      <w:r>
        <w:rPr>
          <w:rFonts w:hint="eastAsia" w:ascii="仿宋" w:hAnsi="仿宋" w:cs="仿宋"/>
          <w:szCs w:val="24"/>
        </w:rPr>
        <w:t>医学界进行交流。</w:t>
      </w:r>
    </w:p>
    <w:tbl>
      <w:tblPr>
        <w:tblStyle w:val="35"/>
        <w:tblW w:w="8642" w:type="dxa"/>
        <w:tblInd w:w="0" w:type="dxa"/>
        <w:tblLayout w:type="fixed"/>
        <w:tblCellMar>
          <w:top w:w="0" w:type="dxa"/>
          <w:left w:w="108" w:type="dxa"/>
          <w:bottom w:w="0" w:type="dxa"/>
          <w:right w:w="108" w:type="dxa"/>
        </w:tblCellMar>
      </w:tblPr>
      <w:tblGrid>
        <w:gridCol w:w="704"/>
        <w:gridCol w:w="3413"/>
        <w:gridCol w:w="1378"/>
        <w:gridCol w:w="1134"/>
        <w:gridCol w:w="2013"/>
      </w:tblGrid>
      <w:tr>
        <w:tblPrEx>
          <w:tblCellMar>
            <w:top w:w="0" w:type="dxa"/>
            <w:left w:w="108" w:type="dxa"/>
            <w:bottom w:w="0" w:type="dxa"/>
            <w:right w:w="108" w:type="dxa"/>
          </w:tblCellMar>
        </w:tblPrEx>
        <w:trPr>
          <w:trHeight w:val="31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仿宋" w:hAnsi="仿宋" w:cs="仿宋"/>
                <w:kern w:val="0"/>
              </w:rPr>
            </w:pPr>
            <w:r>
              <w:rPr>
                <w:rFonts w:hint="eastAsia" w:ascii="仿宋" w:hAnsi="仿宋" w:cs="仿宋"/>
                <w:kern w:val="0"/>
              </w:rPr>
              <w:t>序号</w:t>
            </w:r>
          </w:p>
        </w:tc>
        <w:tc>
          <w:tcPr>
            <w:tcW w:w="341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仿宋" w:hAnsi="仿宋" w:cs="仿宋"/>
                <w:kern w:val="0"/>
              </w:rPr>
            </w:pPr>
            <w:r>
              <w:rPr>
                <w:rFonts w:hint="eastAsia" w:ascii="仿宋" w:hAnsi="仿宋" w:cs="仿宋"/>
                <w:kern w:val="0"/>
              </w:rPr>
              <w:t>名称</w:t>
            </w:r>
          </w:p>
        </w:tc>
        <w:tc>
          <w:tcPr>
            <w:tcW w:w="137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仿宋" w:hAnsi="仿宋" w:cs="仿宋"/>
                <w:kern w:val="0"/>
              </w:rPr>
            </w:pPr>
            <w:r>
              <w:rPr>
                <w:rFonts w:hint="eastAsia" w:ascii="仿宋" w:hAnsi="仿宋" w:cs="仿宋"/>
                <w:kern w:val="0"/>
              </w:rPr>
              <w:t>数量</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仿宋" w:hAnsi="仿宋" w:cs="仿宋"/>
                <w:kern w:val="0"/>
              </w:rPr>
            </w:pPr>
            <w:r>
              <w:rPr>
                <w:rFonts w:hint="eastAsia" w:ascii="仿宋" w:hAnsi="仿宋" w:cs="仿宋"/>
                <w:kern w:val="0"/>
              </w:rPr>
              <w:t>单位</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仿宋" w:hAnsi="仿宋" w:cs="仿宋"/>
                <w:kern w:val="0"/>
              </w:rPr>
            </w:pPr>
            <w:r>
              <w:rPr>
                <w:rFonts w:hint="eastAsia" w:ascii="仿宋" w:hAnsi="仿宋" w:cs="仿宋"/>
                <w:kern w:val="0"/>
              </w:rPr>
              <w:t>备注</w:t>
            </w:r>
          </w:p>
        </w:tc>
      </w:tr>
      <w:tr>
        <w:tblPrEx>
          <w:tblCellMar>
            <w:top w:w="0" w:type="dxa"/>
            <w:left w:w="108" w:type="dxa"/>
            <w:bottom w:w="0" w:type="dxa"/>
            <w:right w:w="108" w:type="dxa"/>
          </w:tblCellMar>
        </w:tblPrEx>
        <w:trPr>
          <w:trHeight w:val="526" w:hRule="atLeast"/>
        </w:trPr>
        <w:tc>
          <w:tcPr>
            <w:tcW w:w="7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仿宋" w:hAnsi="仿宋" w:cs="仿宋"/>
                <w:kern w:val="0"/>
              </w:rPr>
            </w:pPr>
            <w:r>
              <w:rPr>
                <w:rFonts w:hint="eastAsia" w:ascii="仿宋" w:hAnsi="仿宋" w:cs="仿宋"/>
                <w:kern w:val="0"/>
              </w:rPr>
              <w:t>1</w:t>
            </w:r>
          </w:p>
        </w:tc>
        <w:tc>
          <w:tcPr>
            <w:tcW w:w="3413" w:type="dxa"/>
            <w:tcBorders>
              <w:top w:val="nil"/>
              <w:left w:val="nil"/>
              <w:bottom w:val="single" w:color="auto" w:sz="4" w:space="0"/>
              <w:right w:val="single" w:color="auto" w:sz="4" w:space="0"/>
            </w:tcBorders>
            <w:shd w:val="clear" w:color="auto" w:fill="auto"/>
            <w:vAlign w:val="center"/>
          </w:tcPr>
          <w:p>
            <w:pPr>
              <w:widowControl/>
              <w:spacing w:line="240" w:lineRule="auto"/>
              <w:rPr>
                <w:rFonts w:ascii="仿宋" w:hAnsi="仿宋" w:cs="仿宋"/>
                <w:kern w:val="0"/>
              </w:rPr>
            </w:pPr>
            <w:r>
              <w:rPr>
                <w:rFonts w:hint="eastAsia"/>
              </w:rPr>
              <w:t xml:space="preserve">重症监护信息化系统 </w:t>
            </w:r>
          </w:p>
        </w:tc>
        <w:tc>
          <w:tcPr>
            <w:tcW w:w="1378"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hint="eastAsia" w:ascii="仿宋" w:hAnsi="仿宋" w:eastAsia="仿宋" w:cs="仿宋"/>
                <w:kern w:val="0"/>
                <w:lang w:eastAsia="zh-CN"/>
              </w:rPr>
            </w:pPr>
            <w:r>
              <w:rPr>
                <w:rFonts w:hint="eastAsia" w:ascii="仿宋" w:hAnsi="仿宋" w:cs="仿宋"/>
                <w:kern w:val="0"/>
                <w:lang w:val="en-US" w:eastAsia="zh-CN"/>
              </w:rPr>
              <w:t>1</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hint="eastAsia" w:ascii="仿宋" w:hAnsi="仿宋" w:eastAsia="仿宋" w:cs="仿宋"/>
                <w:kern w:val="0"/>
                <w:lang w:eastAsia="zh-CN"/>
              </w:rPr>
            </w:pPr>
            <w:r>
              <w:rPr>
                <w:rFonts w:hint="eastAsia" w:ascii="仿宋" w:hAnsi="仿宋" w:cs="仿宋"/>
                <w:kern w:val="0"/>
                <w:lang w:val="en-US" w:eastAsia="zh-CN"/>
              </w:rPr>
              <w:t>套</w:t>
            </w:r>
          </w:p>
        </w:tc>
        <w:tc>
          <w:tcPr>
            <w:tcW w:w="2013"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hint="default" w:ascii="仿宋" w:hAnsi="仿宋" w:eastAsia="仿宋" w:cs="仿宋"/>
                <w:kern w:val="0"/>
                <w:lang w:val="en-US" w:eastAsia="zh-CN"/>
              </w:rPr>
            </w:pPr>
            <w:r>
              <w:rPr>
                <w:rFonts w:hint="eastAsia" w:ascii="仿宋" w:hAnsi="仿宋" w:cs="仿宋"/>
                <w:kern w:val="0"/>
                <w:lang w:val="en-US" w:eastAsia="zh-CN"/>
              </w:rPr>
              <w:t>满足14床使用</w:t>
            </w:r>
          </w:p>
        </w:tc>
      </w:tr>
    </w:tbl>
    <w:p>
      <w:pPr>
        <w:pStyle w:val="6"/>
        <w:ind w:firstLine="480"/>
        <w:rPr>
          <w:rFonts w:ascii="仿宋" w:hAnsi="仿宋" w:cs="仿宋"/>
          <w:szCs w:val="24"/>
        </w:rPr>
      </w:pPr>
      <w:r>
        <w:rPr>
          <w:rFonts w:hint="eastAsia" w:ascii="仿宋" w:hAnsi="仿宋" w:cs="仿宋"/>
          <w:szCs w:val="24"/>
        </w:rPr>
        <w:t xml:space="preserve">                     </w:t>
      </w:r>
    </w:p>
    <w:bookmarkEnd w:id="284"/>
    <w:p>
      <w:pPr>
        <w:pStyle w:val="4"/>
        <w:keepNext w:val="0"/>
        <w:keepLines w:val="0"/>
        <w:spacing w:before="0" w:after="0" w:line="360" w:lineRule="auto"/>
        <w:rPr>
          <w:rFonts w:ascii="仿宋" w:hAnsi="仿宋" w:cs="仿宋"/>
          <w:sz w:val="24"/>
          <w:szCs w:val="24"/>
        </w:rPr>
      </w:pPr>
      <w:r>
        <w:rPr>
          <w:rFonts w:hint="eastAsia" w:ascii="仿宋" w:hAnsi="仿宋" w:cs="仿宋"/>
          <w:sz w:val="24"/>
          <w:szCs w:val="24"/>
        </w:rPr>
        <w:t>二、商务要求</w:t>
      </w:r>
    </w:p>
    <w:p>
      <w:pPr>
        <w:pStyle w:val="13"/>
        <w:rPr>
          <w:rFonts w:ascii="仿宋" w:hAnsi="仿宋" w:cs="仿宋"/>
          <w:szCs w:val="24"/>
        </w:rPr>
      </w:pPr>
      <w:r>
        <w:rPr>
          <w:rFonts w:hint="eastAsia" w:ascii="仿宋" w:hAnsi="仿宋" w:cs="仿宋"/>
          <w:szCs w:val="24"/>
        </w:rPr>
        <w:t>★1、质保期： 验收</w:t>
      </w:r>
      <w:r>
        <w:rPr>
          <w:rFonts w:hint="eastAsia" w:ascii="仿宋" w:hAnsi="仿宋" w:cs="仿宋"/>
          <w:szCs w:val="24"/>
          <w:lang w:val="en-US" w:eastAsia="zh-CN"/>
        </w:rPr>
        <w:t>合格</w:t>
      </w:r>
      <w:r>
        <w:rPr>
          <w:rFonts w:hint="eastAsia" w:ascii="仿宋" w:hAnsi="仿宋" w:cs="仿宋"/>
          <w:szCs w:val="24"/>
        </w:rPr>
        <w:t>之日起，重症监护信息化系统提供1年质保。</w:t>
      </w:r>
    </w:p>
    <w:p>
      <w:pPr>
        <w:pStyle w:val="13"/>
        <w:rPr>
          <w:rFonts w:ascii="仿宋" w:hAnsi="仿宋" w:cs="仿宋"/>
          <w:szCs w:val="24"/>
        </w:rPr>
      </w:pPr>
      <w:r>
        <w:rPr>
          <w:rFonts w:hint="eastAsia" w:ascii="仿宋" w:hAnsi="仿宋" w:cs="仿宋"/>
          <w:szCs w:val="24"/>
        </w:rPr>
        <w:t>★2、售后服务：</w:t>
      </w:r>
    </w:p>
    <w:p>
      <w:pPr>
        <w:pStyle w:val="13"/>
        <w:rPr>
          <w:rFonts w:ascii="仿宋" w:hAnsi="仿宋" w:cs="仿宋"/>
          <w:szCs w:val="24"/>
        </w:rPr>
      </w:pPr>
      <w:r>
        <w:rPr>
          <w:rFonts w:hint="eastAsia" w:ascii="仿宋" w:hAnsi="仿宋" w:cs="仿宋"/>
          <w:szCs w:val="24"/>
        </w:rPr>
        <w:t>2.1服务热线：提供7×24小时故障报修热线电话服务。当在保修期内或采购人发现系统发生异常，或遇难以解决的系统疑问时，可以通过热线电话获得服务支持。对于用户服务要求，厂商负责首先提供远程电话技术支持，随时准备帮助客户处理各种突发事件。电话响应时间为 ≤1小时。</w:t>
      </w:r>
    </w:p>
    <w:p>
      <w:pPr>
        <w:pStyle w:val="13"/>
        <w:rPr>
          <w:rFonts w:ascii="仿宋" w:hAnsi="仿宋" w:cs="仿宋"/>
          <w:szCs w:val="24"/>
        </w:rPr>
      </w:pPr>
      <w:r>
        <w:rPr>
          <w:rFonts w:hint="eastAsia" w:ascii="仿宋" w:hAnsi="仿宋" w:cs="仿宋"/>
          <w:szCs w:val="24"/>
        </w:rPr>
        <w:t>2.2 E-mail支持：对于在热线电话中无法解决的问题，如果需要以电子文件的方式提供，售后服务人员需根据用户提供的Email地址及时给以回复。</w:t>
      </w:r>
    </w:p>
    <w:p>
      <w:pPr>
        <w:pStyle w:val="13"/>
        <w:rPr>
          <w:rFonts w:ascii="仿宋" w:hAnsi="仿宋" w:cs="仿宋"/>
          <w:szCs w:val="24"/>
        </w:rPr>
      </w:pPr>
      <w:r>
        <w:rPr>
          <w:rFonts w:hint="eastAsia" w:ascii="仿宋" w:hAnsi="仿宋" w:cs="仿宋"/>
          <w:szCs w:val="24"/>
        </w:rPr>
        <w:t>2.3售后现场服务：在远程不能解决问题的情况下，服务将以现场支持方式进行。维护服务人员需及时抵达客户现场进行问题排查和解决；对于系统灾难性故障，立即安排维护服务人员到现场进行系统恢复，现场响应时间：7*24小时。</w:t>
      </w:r>
    </w:p>
    <w:p>
      <w:pPr>
        <w:rPr>
          <w:rFonts w:ascii="仿宋" w:hAnsi="仿宋" w:cs="仿宋"/>
          <w:kern w:val="0"/>
        </w:rPr>
      </w:pPr>
      <w:r>
        <w:rPr>
          <w:rFonts w:hint="eastAsia" w:ascii="仿宋" w:hAnsi="仿宋" w:cs="仿宋"/>
          <w:kern w:val="0"/>
        </w:rPr>
        <w:t>2.4驻场服务</w:t>
      </w:r>
    </w:p>
    <w:p>
      <w:pPr>
        <w:rPr>
          <w:rFonts w:ascii="仿宋" w:hAnsi="仿宋" w:cs="仿宋"/>
          <w:kern w:val="0"/>
        </w:rPr>
      </w:pPr>
      <w:r>
        <w:rPr>
          <w:rFonts w:hint="eastAsia" w:ascii="仿宋" w:hAnsi="仿宋" w:cs="仿宋"/>
          <w:kern w:val="0"/>
        </w:rPr>
        <w:t xml:space="preserve">投标人承诺项目验收合格后派驻一名及以上的具备至少1年相关经验的工程师提供1年的医院现场的驻场质保服务。 </w:t>
      </w:r>
    </w:p>
    <w:p>
      <w:pPr>
        <w:rPr>
          <w:rFonts w:ascii="仿宋" w:hAnsi="仿宋" w:cs="仿宋"/>
          <w:bCs/>
        </w:rPr>
      </w:pPr>
      <w:r>
        <w:rPr>
          <w:rFonts w:hint="eastAsia" w:ascii="仿宋" w:hAnsi="仿宋" w:cs="仿宋"/>
        </w:rPr>
        <w:t>★</w:t>
      </w:r>
      <w:r>
        <w:rPr>
          <w:rFonts w:hint="eastAsia" w:ascii="仿宋" w:hAnsi="仿宋" w:cs="仿宋"/>
          <w:bCs/>
        </w:rPr>
        <w:t>3、付款方法和条件：</w:t>
      </w:r>
    </w:p>
    <w:p>
      <w:pPr>
        <w:spacing w:line="500" w:lineRule="exact"/>
        <w:rPr>
          <w:rFonts w:hint="eastAsia" w:ascii="仿宋" w:hAnsi="仿宋" w:cs="仿宋"/>
        </w:rPr>
      </w:pPr>
      <w:r>
        <w:rPr>
          <w:rFonts w:hint="eastAsia" w:ascii="仿宋" w:hAnsi="仿宋" w:cs="仿宋"/>
        </w:rPr>
        <w:t>合同签订后，5个工作日内向中标人支付合同总金额的40%预付款；项目整体验收完成后，收到发票后15日内支付合同总金额的55%；剩余合同总金额的5%从验收合格之日起一年满后收到发票后15日内支付（不计利息）。</w:t>
      </w:r>
    </w:p>
    <w:p>
      <w:pPr>
        <w:spacing w:line="500" w:lineRule="exact"/>
        <w:rPr>
          <w:rFonts w:ascii="仿宋" w:hAnsi="仿宋" w:cs="仿宋"/>
          <w:bCs/>
        </w:rPr>
      </w:pPr>
      <w:r>
        <w:rPr>
          <w:rFonts w:hint="eastAsia" w:ascii="仿宋" w:hAnsi="仿宋" w:cs="仿宋"/>
        </w:rPr>
        <w:t>★</w:t>
      </w:r>
      <w:r>
        <w:rPr>
          <w:rFonts w:hint="eastAsia" w:ascii="仿宋" w:hAnsi="仿宋" w:cs="仿宋"/>
          <w:bCs/>
        </w:rPr>
        <w:t>4、完成时间及地点</w:t>
      </w:r>
    </w:p>
    <w:p>
      <w:pPr>
        <w:rPr>
          <w:rFonts w:ascii="仿宋" w:hAnsi="仿宋" w:cs="仿宋"/>
        </w:rPr>
      </w:pPr>
      <w:r>
        <w:rPr>
          <w:rFonts w:hint="eastAsia" w:ascii="仿宋" w:hAnsi="仿宋" w:cs="仿宋"/>
        </w:rPr>
        <w:t>4.1 完成时间：合同签订生效后，在接到采购人正式通知的前提下5个月内完成，并交付采购人验收。</w:t>
      </w:r>
    </w:p>
    <w:p>
      <w:pPr>
        <w:rPr>
          <w:rFonts w:ascii="仿宋" w:hAnsi="仿宋" w:cs="仿宋"/>
        </w:rPr>
      </w:pPr>
      <w:r>
        <w:rPr>
          <w:rFonts w:hint="eastAsia" w:ascii="仿宋" w:hAnsi="仿宋" w:cs="仿宋"/>
        </w:rPr>
        <w:t>4.2 完成地点: 成都市第三人民医院</w:t>
      </w:r>
    </w:p>
    <w:p>
      <w:pPr>
        <w:pStyle w:val="4"/>
        <w:spacing w:line="400" w:lineRule="exact"/>
        <w:rPr>
          <w:rFonts w:ascii="仿宋" w:hAnsi="仿宋" w:cs="仿宋"/>
          <w:b w:val="0"/>
          <w:bCs w:val="0"/>
          <w:sz w:val="24"/>
          <w:szCs w:val="24"/>
        </w:rPr>
      </w:pPr>
      <w:r>
        <w:rPr>
          <w:rFonts w:hint="eastAsia" w:ascii="仿宋" w:hAnsi="仿宋" w:cs="仿宋"/>
          <w:sz w:val="24"/>
          <w:szCs w:val="24"/>
        </w:rPr>
        <w:t>★</w:t>
      </w:r>
      <w:r>
        <w:rPr>
          <w:rFonts w:hint="eastAsia" w:ascii="仿宋" w:hAnsi="仿宋" w:cs="仿宋"/>
          <w:b w:val="0"/>
          <w:bCs w:val="0"/>
          <w:sz w:val="24"/>
          <w:szCs w:val="24"/>
        </w:rPr>
        <w:t>5、系统兼容性要求</w:t>
      </w:r>
    </w:p>
    <w:p>
      <w:pPr>
        <w:rPr>
          <w:rFonts w:ascii="仿宋" w:hAnsi="仿宋" w:cs="仿宋"/>
        </w:rPr>
      </w:pPr>
      <w:r>
        <w:rPr>
          <w:rFonts w:hint="eastAsia" w:ascii="仿宋" w:hAnsi="仿宋" w:cs="仿宋"/>
        </w:rPr>
        <w:t>5.1终端要求能够支持windows7、windows10等32位/64位操作系统，支持chrome、firefox、Edge等主流浏览器，且持续支持主流的web标准；</w:t>
      </w:r>
    </w:p>
    <w:p>
      <w:pPr>
        <w:rPr>
          <w:rFonts w:ascii="仿宋" w:hAnsi="仿宋" w:cs="仿宋"/>
        </w:rPr>
      </w:pPr>
      <w:r>
        <w:rPr>
          <w:rFonts w:hint="eastAsia" w:ascii="仿宋" w:hAnsi="仿宋" w:cs="仿宋"/>
        </w:rPr>
        <w:t>5.2对医院开放数据(数据库、文件等)读取使用权限；</w:t>
      </w:r>
    </w:p>
    <w:p>
      <w:pPr>
        <w:rPr>
          <w:rFonts w:ascii="仿宋" w:hAnsi="仿宋" w:cs="仿宋"/>
        </w:rPr>
      </w:pPr>
      <w:r>
        <w:rPr>
          <w:rFonts w:hint="eastAsia" w:ascii="仿宋" w:hAnsi="仿宋" w:cs="仿宋"/>
        </w:rPr>
        <w:t>5.3系统能够根据医院的技术路线调整其架构，系统涉及外网的接口须满足医院信息安全架构及规范要求；内网接口必须符合医院内网系统架构设计，按照医院约定方式(集成平台等)进行消息交互；</w:t>
      </w:r>
    </w:p>
    <w:p>
      <w:pPr>
        <w:rPr>
          <w:rFonts w:ascii="仿宋" w:hAnsi="仿宋" w:cs="仿宋"/>
        </w:rPr>
      </w:pPr>
      <w:r>
        <w:rPr>
          <w:rFonts w:hint="eastAsia" w:ascii="仿宋" w:hAnsi="仿宋" w:cs="仿宋"/>
        </w:rPr>
        <w:t>5.4需配合医院进行互联互通五级乙等、电子病历五级与六级评级、智慧服务三级与四级、智慧医院三星等信息标准化建设（费用包含在投标报价中）。</w:t>
      </w:r>
    </w:p>
    <w:p>
      <w:pPr>
        <w:pStyle w:val="4"/>
        <w:keepNext w:val="0"/>
        <w:keepLines w:val="0"/>
        <w:spacing w:before="0" w:after="0" w:line="360" w:lineRule="auto"/>
        <w:rPr>
          <w:rFonts w:ascii="仿宋" w:hAnsi="仿宋" w:cs="仿宋"/>
          <w:sz w:val="24"/>
          <w:szCs w:val="24"/>
        </w:rPr>
      </w:pPr>
      <w:r>
        <w:rPr>
          <w:rFonts w:hint="eastAsia" w:ascii="仿宋" w:hAnsi="仿宋" w:cs="仿宋"/>
          <w:sz w:val="24"/>
          <w:szCs w:val="24"/>
        </w:rPr>
        <w:t>三、技术服务要求</w:t>
      </w:r>
    </w:p>
    <w:p>
      <w:pPr>
        <w:widowControl/>
        <w:rPr>
          <w:rFonts w:ascii="仿宋" w:hAnsi="仿宋" w:cs="仿宋"/>
        </w:rPr>
      </w:pPr>
      <w:r>
        <w:rPr>
          <w:rFonts w:hint="eastAsia" w:ascii="仿宋" w:hAnsi="仿宋" w:cs="仿宋"/>
        </w:rPr>
        <w:t>（一）技术参数要求：</w:t>
      </w:r>
    </w:p>
    <w:tbl>
      <w:tblPr>
        <w:tblStyle w:val="35"/>
        <w:tblW w:w="8887" w:type="dxa"/>
        <w:tblInd w:w="0" w:type="dxa"/>
        <w:tblLayout w:type="fixed"/>
        <w:tblCellMar>
          <w:top w:w="0" w:type="dxa"/>
          <w:left w:w="108" w:type="dxa"/>
          <w:bottom w:w="0" w:type="dxa"/>
          <w:right w:w="108" w:type="dxa"/>
        </w:tblCellMar>
      </w:tblPr>
      <w:tblGrid>
        <w:gridCol w:w="828"/>
        <w:gridCol w:w="1719"/>
        <w:gridCol w:w="6340"/>
      </w:tblGrid>
      <w:tr>
        <w:tblPrEx>
          <w:tblCellMar>
            <w:top w:w="0" w:type="dxa"/>
            <w:left w:w="108" w:type="dxa"/>
            <w:bottom w:w="0" w:type="dxa"/>
            <w:right w:w="108" w:type="dxa"/>
          </w:tblCellMar>
        </w:tblPrEx>
        <w:trPr>
          <w:trHeight w:val="276" w:hRule="atLeast"/>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cs="仿宋"/>
                <w:kern w:val="0"/>
              </w:rPr>
            </w:pPr>
            <w:r>
              <w:rPr>
                <w:rFonts w:hint="eastAsia" w:ascii="仿宋" w:hAnsi="仿宋" w:cs="仿宋"/>
                <w:kern w:val="0"/>
              </w:rPr>
              <w:t>序号</w:t>
            </w:r>
          </w:p>
        </w:tc>
        <w:tc>
          <w:tcPr>
            <w:tcW w:w="17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cs="仿宋"/>
                <w:kern w:val="0"/>
              </w:rPr>
            </w:pPr>
            <w:r>
              <w:rPr>
                <w:rFonts w:hint="eastAsia" w:ascii="仿宋" w:hAnsi="仿宋" w:cs="仿宋"/>
                <w:kern w:val="0"/>
              </w:rPr>
              <w:t>参数要求</w:t>
            </w:r>
          </w:p>
        </w:tc>
        <w:tc>
          <w:tcPr>
            <w:tcW w:w="63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cs="仿宋"/>
                <w:kern w:val="0"/>
              </w:rPr>
            </w:pPr>
            <w:r>
              <w:rPr>
                <w:rFonts w:hint="eastAsia" w:ascii="仿宋" w:hAnsi="仿宋" w:cs="仿宋"/>
                <w:kern w:val="0"/>
              </w:rPr>
              <w:t>参数描述</w:t>
            </w:r>
          </w:p>
        </w:tc>
      </w:tr>
      <w:tr>
        <w:tblPrEx>
          <w:tblCellMar>
            <w:top w:w="0" w:type="dxa"/>
            <w:left w:w="108" w:type="dxa"/>
            <w:bottom w:w="0" w:type="dxa"/>
            <w:right w:w="108" w:type="dxa"/>
          </w:tblCellMar>
        </w:tblPrEx>
        <w:trPr>
          <w:trHeight w:val="624" w:hRule="atLeast"/>
        </w:trPr>
        <w:tc>
          <w:tcPr>
            <w:tcW w:w="82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cs="仿宋"/>
                <w:kern w:val="0"/>
              </w:rPr>
            </w:pPr>
            <w:r>
              <w:rPr>
                <w:rFonts w:hint="eastAsia" w:ascii="仿宋" w:hAnsi="仿宋" w:cs="仿宋"/>
                <w:kern w:val="0"/>
              </w:rPr>
              <w:t>1</w:t>
            </w:r>
          </w:p>
        </w:tc>
        <w:tc>
          <w:tcPr>
            <w:tcW w:w="1719" w:type="dxa"/>
            <w:vMerge w:val="restart"/>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基本要求</w:t>
            </w: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1.1系统支持可以与病人监护仪运作于不同的网络上，以避免病毒感染或网络有问题时，重症信息系统不会影响病人监护仪的正常运作。</w:t>
            </w:r>
          </w:p>
        </w:tc>
      </w:tr>
      <w:tr>
        <w:tblPrEx>
          <w:tblCellMar>
            <w:top w:w="0" w:type="dxa"/>
            <w:left w:w="108" w:type="dxa"/>
            <w:bottom w:w="0" w:type="dxa"/>
            <w:right w:w="108" w:type="dxa"/>
          </w:tblCellMar>
        </w:tblPrEx>
        <w:trPr>
          <w:trHeight w:val="624"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1.2要求系统独立于医院的域控管理功能，亦可支持医院的Windows域的安全管控，实现使用者单一账号登录系统功能，在医院统一的域环境下，用户不需要使用不同的密码与账号。</w:t>
            </w:r>
          </w:p>
        </w:tc>
      </w:tr>
      <w:tr>
        <w:tblPrEx>
          <w:tblCellMar>
            <w:top w:w="0" w:type="dxa"/>
            <w:left w:w="108" w:type="dxa"/>
            <w:bottom w:w="0" w:type="dxa"/>
            <w:right w:w="108" w:type="dxa"/>
          </w:tblCellMar>
        </w:tblPrEx>
        <w:trPr>
          <w:trHeight w:val="312"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1.3要求系统支持整个系统内客户端时间的同步，避免各客户端时间不一致带来的记录误差。</w:t>
            </w:r>
          </w:p>
        </w:tc>
      </w:tr>
      <w:tr>
        <w:tblPrEx>
          <w:tblCellMar>
            <w:top w:w="0" w:type="dxa"/>
            <w:left w:w="108" w:type="dxa"/>
            <w:bottom w:w="0" w:type="dxa"/>
            <w:right w:w="108" w:type="dxa"/>
          </w:tblCellMar>
        </w:tblPrEx>
        <w:trPr>
          <w:trHeight w:val="936"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1.4要求系统支持近期及长期储存的功能，可以将旧的记录数据储存至其它数据库，以确保在线数据的访问速度。旧的长期储存记录数据可直接从软件读取，不需人工介入将数据导回。</w:t>
            </w:r>
          </w:p>
        </w:tc>
      </w:tr>
      <w:tr>
        <w:tblPrEx>
          <w:tblCellMar>
            <w:top w:w="0" w:type="dxa"/>
            <w:left w:w="108" w:type="dxa"/>
            <w:bottom w:w="0" w:type="dxa"/>
            <w:right w:w="108" w:type="dxa"/>
          </w:tblCellMar>
        </w:tblPrEx>
        <w:trPr>
          <w:trHeight w:val="624"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1.5系统各逻辑组件如数据库服务器、报表数据库、备份数据库等组件可分开部署在不同服务器上面，便于系统具备良好的扩展性。</w:t>
            </w:r>
          </w:p>
        </w:tc>
      </w:tr>
      <w:tr>
        <w:tblPrEx>
          <w:tblCellMar>
            <w:top w:w="0" w:type="dxa"/>
            <w:left w:w="108" w:type="dxa"/>
            <w:bottom w:w="0" w:type="dxa"/>
            <w:right w:w="108" w:type="dxa"/>
          </w:tblCellMar>
        </w:tblPrEx>
        <w:trPr>
          <w:trHeight w:val="936"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1.6系统将支持内置的功能配置导入或导出；当需要进行新增功能模块进行模拟测试时，可将现有配置导出到外部测试环境；外部测试环境系统联调新功能测试时不影响正常系统环境的运行。</w:t>
            </w:r>
          </w:p>
        </w:tc>
      </w:tr>
      <w:tr>
        <w:tblPrEx>
          <w:tblCellMar>
            <w:top w:w="0" w:type="dxa"/>
            <w:left w:w="108" w:type="dxa"/>
            <w:bottom w:w="0" w:type="dxa"/>
            <w:right w:w="108" w:type="dxa"/>
          </w:tblCellMar>
        </w:tblPrEx>
        <w:trPr>
          <w:trHeight w:val="312"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1.7系统的所有数据能够对医院开放</w:t>
            </w:r>
          </w:p>
        </w:tc>
      </w:tr>
      <w:tr>
        <w:tblPrEx>
          <w:tblCellMar>
            <w:top w:w="0" w:type="dxa"/>
            <w:left w:w="108" w:type="dxa"/>
            <w:bottom w:w="0" w:type="dxa"/>
            <w:right w:w="108" w:type="dxa"/>
          </w:tblCellMar>
        </w:tblPrEx>
        <w:trPr>
          <w:trHeight w:val="312"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1.8系统支持针对不同的临床角色设置不同表单的读写权限。</w:t>
            </w:r>
          </w:p>
        </w:tc>
      </w:tr>
      <w:tr>
        <w:tblPrEx>
          <w:tblCellMar>
            <w:top w:w="0" w:type="dxa"/>
            <w:left w:w="108" w:type="dxa"/>
            <w:bottom w:w="0" w:type="dxa"/>
            <w:right w:w="108" w:type="dxa"/>
          </w:tblCellMar>
        </w:tblPrEx>
        <w:trPr>
          <w:trHeight w:val="312"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1.9系统提供对登录用户的操作行为提供系统日志。</w:t>
            </w:r>
          </w:p>
        </w:tc>
      </w:tr>
      <w:tr>
        <w:tblPrEx>
          <w:tblCellMar>
            <w:top w:w="0" w:type="dxa"/>
            <w:left w:w="108" w:type="dxa"/>
            <w:bottom w:w="0" w:type="dxa"/>
            <w:right w:w="108" w:type="dxa"/>
          </w:tblCellMar>
        </w:tblPrEx>
        <w:trPr>
          <w:trHeight w:val="312"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1.10系统支持SNOMED-CT的国际标准编码，便于国内外院际间交流。</w:t>
            </w:r>
          </w:p>
        </w:tc>
      </w:tr>
      <w:tr>
        <w:tblPrEx>
          <w:tblCellMar>
            <w:top w:w="0" w:type="dxa"/>
            <w:left w:w="108" w:type="dxa"/>
            <w:bottom w:w="0" w:type="dxa"/>
            <w:right w:w="108" w:type="dxa"/>
          </w:tblCellMar>
        </w:tblPrEx>
        <w:trPr>
          <w:trHeight w:val="312"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1.11系统支持HL7等数据交换标准，便于与外部系统数据交互。</w:t>
            </w:r>
          </w:p>
        </w:tc>
      </w:tr>
      <w:tr>
        <w:tblPrEx>
          <w:tblCellMar>
            <w:top w:w="0" w:type="dxa"/>
            <w:left w:w="108" w:type="dxa"/>
            <w:bottom w:w="0" w:type="dxa"/>
            <w:right w:w="108" w:type="dxa"/>
          </w:tblCellMar>
        </w:tblPrEx>
        <w:trPr>
          <w:trHeight w:val="312"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1.12系统支持ICD 10其扩展码诊断与处置标准，便于疾病研究统计分析。</w:t>
            </w:r>
          </w:p>
        </w:tc>
      </w:tr>
      <w:tr>
        <w:tblPrEx>
          <w:tblCellMar>
            <w:top w:w="0" w:type="dxa"/>
            <w:left w:w="108" w:type="dxa"/>
            <w:bottom w:w="0" w:type="dxa"/>
            <w:right w:w="108" w:type="dxa"/>
          </w:tblCellMar>
        </w:tblPrEx>
        <w:trPr>
          <w:trHeight w:val="624" w:hRule="atLeast"/>
        </w:trPr>
        <w:tc>
          <w:tcPr>
            <w:tcW w:w="82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cs="仿宋"/>
                <w:kern w:val="0"/>
              </w:rPr>
            </w:pPr>
            <w:r>
              <w:rPr>
                <w:rFonts w:hint="eastAsia" w:ascii="仿宋" w:hAnsi="仿宋" w:cs="仿宋"/>
                <w:kern w:val="0"/>
              </w:rPr>
              <w:t>2</w:t>
            </w:r>
          </w:p>
        </w:tc>
        <w:tc>
          <w:tcPr>
            <w:tcW w:w="1719" w:type="dxa"/>
            <w:vMerge w:val="restart"/>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安全与互联互通</w:t>
            </w: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2.1系统在线数据库大小≥5G容量之后，系统自动重新生成新的在线数据库，同时不影响任一病人的数据检索及查询，保证系统的稳定性。</w:t>
            </w:r>
          </w:p>
        </w:tc>
      </w:tr>
      <w:tr>
        <w:tblPrEx>
          <w:tblCellMar>
            <w:top w:w="0" w:type="dxa"/>
            <w:left w:w="108" w:type="dxa"/>
            <w:bottom w:w="0" w:type="dxa"/>
            <w:right w:w="108" w:type="dxa"/>
          </w:tblCellMar>
        </w:tblPrEx>
        <w:trPr>
          <w:trHeight w:val="936"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2.2系统支持独立于正式工作环境的测试环境，当新增配置模块后，可独立在测试环境进行模拟测试，测试成功后，可支持一键激活，快速安全的部署到正式环境中，实现临床业务模块的快速、稳定实施。</w:t>
            </w:r>
          </w:p>
        </w:tc>
      </w:tr>
      <w:tr>
        <w:tblPrEx>
          <w:tblCellMar>
            <w:top w:w="0" w:type="dxa"/>
            <w:left w:w="108" w:type="dxa"/>
            <w:bottom w:w="0" w:type="dxa"/>
            <w:right w:w="108" w:type="dxa"/>
          </w:tblCellMar>
        </w:tblPrEx>
        <w:trPr>
          <w:trHeight w:val="312"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2.3系统支持多服务器病人数据记录数据库的负载均衡设置功能。</w:t>
            </w:r>
          </w:p>
        </w:tc>
      </w:tr>
      <w:tr>
        <w:tblPrEx>
          <w:tblCellMar>
            <w:top w:w="0" w:type="dxa"/>
            <w:left w:w="108" w:type="dxa"/>
            <w:bottom w:w="0" w:type="dxa"/>
            <w:right w:w="108" w:type="dxa"/>
          </w:tblCellMar>
        </w:tblPrEx>
        <w:trPr>
          <w:trHeight w:val="624"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2.4系统报表数据库独立于临床记录数据库，两个数据库各自独立运行，以保证两个数据库的运行的稳定性。</w:t>
            </w:r>
          </w:p>
        </w:tc>
      </w:tr>
      <w:tr>
        <w:tblPrEx>
          <w:tblCellMar>
            <w:top w:w="0" w:type="dxa"/>
            <w:left w:w="108" w:type="dxa"/>
            <w:bottom w:w="0" w:type="dxa"/>
            <w:right w:w="108" w:type="dxa"/>
          </w:tblCellMar>
        </w:tblPrEx>
        <w:trPr>
          <w:trHeight w:val="624"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2.5系统可对病例的数据修改，可记录每次修改的详细信息，并支持特定角色查阅，可在表单界面查阅详细信息，包括数据修改时间、修改人及修改内容。</w:t>
            </w:r>
          </w:p>
        </w:tc>
      </w:tr>
      <w:tr>
        <w:tblPrEx>
          <w:tblCellMar>
            <w:top w:w="0" w:type="dxa"/>
            <w:left w:w="108" w:type="dxa"/>
            <w:bottom w:w="0" w:type="dxa"/>
            <w:right w:w="108" w:type="dxa"/>
          </w:tblCellMar>
        </w:tblPrEx>
        <w:trPr>
          <w:trHeight w:val="312"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2.6支持用户可以随时自行更换自己的密码，无须管理者授权。</w:t>
            </w:r>
          </w:p>
        </w:tc>
      </w:tr>
      <w:tr>
        <w:tblPrEx>
          <w:tblCellMar>
            <w:top w:w="0" w:type="dxa"/>
            <w:left w:w="108" w:type="dxa"/>
            <w:bottom w:w="0" w:type="dxa"/>
            <w:right w:w="108" w:type="dxa"/>
          </w:tblCellMar>
        </w:tblPrEx>
        <w:trPr>
          <w:trHeight w:val="312"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2.7监护系统提供数据接口，能够将数据按照医院现有规范(集成平台或webservice等)传送给全院应用；</w:t>
            </w:r>
          </w:p>
        </w:tc>
      </w:tr>
      <w:tr>
        <w:tblPrEx>
          <w:tblCellMar>
            <w:top w:w="0" w:type="dxa"/>
            <w:left w:w="108" w:type="dxa"/>
            <w:bottom w:w="0" w:type="dxa"/>
            <w:right w:w="108" w:type="dxa"/>
          </w:tblCellMar>
        </w:tblPrEx>
        <w:trPr>
          <w:trHeight w:val="624" w:hRule="atLeast"/>
        </w:trPr>
        <w:tc>
          <w:tcPr>
            <w:tcW w:w="82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cs="仿宋"/>
                <w:kern w:val="0"/>
              </w:rPr>
            </w:pPr>
            <w:r>
              <w:rPr>
                <w:rFonts w:hint="eastAsia" w:ascii="仿宋" w:hAnsi="仿宋" w:cs="仿宋"/>
                <w:kern w:val="0"/>
              </w:rPr>
              <w:t>3</w:t>
            </w:r>
          </w:p>
        </w:tc>
        <w:tc>
          <w:tcPr>
            <w:tcW w:w="1719" w:type="dxa"/>
            <w:vMerge w:val="restart"/>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临床基本功能</w:t>
            </w: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3.1系统提供护理入科登记，通过HIS系统或者医院集成平台同步患者的基本信息，实现快速患者入科登记，减少护理人员手工登记工作量。</w:t>
            </w:r>
          </w:p>
        </w:tc>
      </w:tr>
      <w:tr>
        <w:tblPrEx>
          <w:tblCellMar>
            <w:top w:w="0" w:type="dxa"/>
            <w:left w:w="108" w:type="dxa"/>
            <w:bottom w:w="0" w:type="dxa"/>
            <w:right w:w="108" w:type="dxa"/>
          </w:tblCellMar>
        </w:tblPrEx>
        <w:trPr>
          <w:trHeight w:val="1248"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3.2系统提供生命体征信息记录，监护生命体征数据自动传输，提供自动记录及手动记录/确认默认值两种方式可选；并针对记录的数据在超正常值范围予以高亮显示，包含：体温、心率、无创血压、有创血压、呼吸频率、氧饱和度、中心静脉压等参数。（须在投标文件中提供截图证明）</w:t>
            </w:r>
          </w:p>
        </w:tc>
      </w:tr>
      <w:tr>
        <w:tblPrEx>
          <w:tblCellMar>
            <w:top w:w="0" w:type="dxa"/>
            <w:left w:w="108" w:type="dxa"/>
            <w:bottom w:w="0" w:type="dxa"/>
            <w:right w:w="108" w:type="dxa"/>
          </w:tblCellMar>
        </w:tblPrEx>
        <w:trPr>
          <w:trHeight w:val="936"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3.3系统提供神经系统信息记录，提供可通过下拉单选项或多选项或自由输入形式的神经系统相关记录项，包括：意识状态、瞳孔大小、对光反射、颅内压及肌力分级。（须在投标文件中提供截图证明）</w:t>
            </w:r>
          </w:p>
        </w:tc>
      </w:tr>
      <w:tr>
        <w:tblPrEx>
          <w:tblCellMar>
            <w:top w:w="0" w:type="dxa"/>
            <w:left w:w="108" w:type="dxa"/>
            <w:bottom w:w="0" w:type="dxa"/>
            <w:right w:w="108" w:type="dxa"/>
          </w:tblCellMar>
        </w:tblPrEx>
        <w:trPr>
          <w:trHeight w:val="624"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3.4系统提供呼吸系统信息记录，提供可通过下拉单选项或多选项或自由输入形式对二氧化碳分压、吸氧方式、氧流量、气道分泌物、呼吸音等。（须在投标文件中提供截图证明）</w:t>
            </w:r>
          </w:p>
        </w:tc>
      </w:tr>
      <w:tr>
        <w:tblPrEx>
          <w:tblCellMar>
            <w:top w:w="0" w:type="dxa"/>
            <w:left w:w="108" w:type="dxa"/>
            <w:bottom w:w="0" w:type="dxa"/>
            <w:right w:w="108" w:type="dxa"/>
          </w:tblCellMar>
        </w:tblPrEx>
        <w:trPr>
          <w:trHeight w:val="936"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3.5系统提供机械通气信息记录，提供可通过下拉单选项或多选项或自由输入形式记录呼吸机的上机时间、撤机时间、报警等参数，呼吸机数据自动采集到系统供护士确认。系统自动计算呼吸机上机时间、持续时间。（须在投标文件中提供截图证明）</w:t>
            </w:r>
          </w:p>
        </w:tc>
      </w:tr>
      <w:tr>
        <w:tblPrEx>
          <w:tblCellMar>
            <w:top w:w="0" w:type="dxa"/>
            <w:left w:w="108" w:type="dxa"/>
            <w:bottom w:w="0" w:type="dxa"/>
            <w:right w:w="108" w:type="dxa"/>
          </w:tblCellMar>
        </w:tblPrEx>
        <w:trPr>
          <w:trHeight w:val="624"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3.6系统提供循环系统信息记录，提供可通过下拉单选项或多选项或自由输入形式对肢体循环（不同肢体）、各动脉搏动及术后护理内容相关评估项目的记录。（须在投标文件中提供截图证明）</w:t>
            </w:r>
          </w:p>
        </w:tc>
      </w:tr>
      <w:tr>
        <w:tblPrEx>
          <w:tblCellMar>
            <w:top w:w="0" w:type="dxa"/>
            <w:left w:w="108" w:type="dxa"/>
            <w:bottom w:w="0" w:type="dxa"/>
            <w:right w:w="108" w:type="dxa"/>
          </w:tblCellMar>
        </w:tblPrEx>
        <w:trPr>
          <w:trHeight w:val="936"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3.7系统提供心排量监测（PICCO）、/肾脏替代治疗监测（CRRT）信息记录，可记录PICCO/ CRRT上机及下机时间及相关指数，自动计算上机时间、持续时间。（须在投标文件中提供截图证明）</w:t>
            </w:r>
          </w:p>
        </w:tc>
      </w:tr>
      <w:tr>
        <w:tblPrEx>
          <w:tblCellMar>
            <w:top w:w="0" w:type="dxa"/>
            <w:left w:w="108" w:type="dxa"/>
            <w:bottom w:w="0" w:type="dxa"/>
            <w:right w:w="108" w:type="dxa"/>
          </w:tblCellMar>
        </w:tblPrEx>
        <w:trPr>
          <w:trHeight w:val="457"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3.8系统提供其他评估信息记录，可记录膀胱压监测项，自动转换计算膀胱压与腹内压。可记录腹围监测项目。（须在投标文件中提供截图证明）</w:t>
            </w:r>
          </w:p>
        </w:tc>
      </w:tr>
      <w:tr>
        <w:tblPrEx>
          <w:tblCellMar>
            <w:top w:w="0" w:type="dxa"/>
            <w:left w:w="108" w:type="dxa"/>
            <w:bottom w:w="0" w:type="dxa"/>
            <w:right w:w="108" w:type="dxa"/>
          </w:tblCellMar>
        </w:tblPrEx>
        <w:trPr>
          <w:trHeight w:val="936"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3.9系统提供基础护理信息记录，提供可通过下拉单选项或多选项或自由输入形式对基础护理项目进行记录，项目包括：翻身、口腔护理、声门下吸引、床头抬高、DVT预防、约束评估等。（须在投标文件中提供截图证明）</w:t>
            </w:r>
          </w:p>
        </w:tc>
      </w:tr>
      <w:tr>
        <w:tblPrEx>
          <w:tblCellMar>
            <w:top w:w="0" w:type="dxa"/>
            <w:left w:w="108" w:type="dxa"/>
            <w:bottom w:w="0" w:type="dxa"/>
            <w:right w:w="108" w:type="dxa"/>
          </w:tblCellMar>
        </w:tblPrEx>
        <w:trPr>
          <w:trHeight w:val="936"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3.10系统提供皮肤护理信息记录，提供可通过下拉单选项或多选项或自由输入形式对压疮风险评估及压疮护理、刺激性皮炎、创伤及其他皮肤问题项目的记录项。（须在投标文件中提供截图证明）</w:t>
            </w:r>
          </w:p>
        </w:tc>
      </w:tr>
      <w:tr>
        <w:tblPrEx>
          <w:tblCellMar>
            <w:top w:w="0" w:type="dxa"/>
            <w:left w:w="108" w:type="dxa"/>
            <w:bottom w:w="0" w:type="dxa"/>
            <w:right w:w="108" w:type="dxa"/>
          </w:tblCellMar>
        </w:tblPrEx>
        <w:trPr>
          <w:trHeight w:val="936"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3.11系统提供操作/送检/检查信息记录，提供可通过下拉单选项或多选项或自由输入形式快速对常规临床操作进行记录，包括：包含肺泡灌洗、纤支镜检查、心肺复苏术、腹穿及胸穿等。（须在投标文件中提供截图证明）</w:t>
            </w:r>
          </w:p>
        </w:tc>
      </w:tr>
      <w:tr>
        <w:tblPrEx>
          <w:tblCellMar>
            <w:top w:w="0" w:type="dxa"/>
            <w:left w:w="108" w:type="dxa"/>
            <w:bottom w:w="0" w:type="dxa"/>
            <w:right w:w="108" w:type="dxa"/>
          </w:tblCellMar>
        </w:tblPrEx>
        <w:trPr>
          <w:trHeight w:val="658"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3.12系统提供护理评分，提供包括以下护理评分：格拉斯哥昏迷指数评分(GCS评分)；Braden皮肤风险评估；患者管道滑脱危险因素评估表；疼痛 数字评分量表（&gt;7Y）；MORSE跌倒风险评估表；跌倒/坠床评估表；深静脉血栓Autar风险评估表；静脉血栓风险Caprini评估量表；镇静评估(Ramsay评分)；镇静躁动评分(SAS评分)；谵妄CAM-ICU评分；管道外周静脉炎危险因素评估；疼痛BPS疼痛评分；重症监护谵妄筛查量表(ICDSC)；重症患者吞咽困难评分。（至少须在投标文件中提供一种评分截图证明。）</w:t>
            </w:r>
          </w:p>
        </w:tc>
      </w:tr>
      <w:tr>
        <w:tblPrEx>
          <w:tblCellMar>
            <w:top w:w="0" w:type="dxa"/>
            <w:left w:w="108" w:type="dxa"/>
            <w:bottom w:w="0" w:type="dxa"/>
            <w:right w:w="108" w:type="dxa"/>
          </w:tblCellMar>
        </w:tblPrEx>
        <w:trPr>
          <w:trHeight w:val="936"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3.13系统提供管路护理信息记录，提供对气管切开、气管插管、动脉导管、中心静脉导管、PICC导管各种引流管常规导管护理记录项目，根据插管时间、拔管时间自动计算持续时间。（须在投标文件中提供截图证明）</w:t>
            </w:r>
          </w:p>
        </w:tc>
      </w:tr>
      <w:tr>
        <w:tblPrEx>
          <w:tblCellMar>
            <w:top w:w="0" w:type="dxa"/>
            <w:left w:w="108" w:type="dxa"/>
            <w:bottom w:w="0" w:type="dxa"/>
            <w:right w:w="108" w:type="dxa"/>
          </w:tblCellMar>
        </w:tblPrEx>
        <w:trPr>
          <w:trHeight w:val="624"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3.14系统提供外科引流管理信息记录，提供记录不同引流管的引流量、引流液性状、引流液颜色，可累积计算引流量。</w:t>
            </w:r>
          </w:p>
        </w:tc>
      </w:tr>
      <w:tr>
        <w:tblPrEx>
          <w:tblCellMar>
            <w:top w:w="0" w:type="dxa"/>
            <w:left w:w="108" w:type="dxa"/>
            <w:bottom w:w="0" w:type="dxa"/>
            <w:right w:w="108" w:type="dxa"/>
          </w:tblCellMar>
        </w:tblPrEx>
        <w:trPr>
          <w:trHeight w:val="624"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3.15系统提供出入量信息记录，提供对口服摄入、胃肠管摄入、胃肠余量回相关输入量项目的记录项目。提供对胃出量、尿量、大便量等相关出量的记录项目。（须在投标文件中提供截图证明）</w:t>
            </w:r>
          </w:p>
        </w:tc>
      </w:tr>
      <w:tr>
        <w:tblPrEx>
          <w:tblCellMar>
            <w:top w:w="0" w:type="dxa"/>
            <w:left w:w="108" w:type="dxa"/>
            <w:bottom w:w="0" w:type="dxa"/>
            <w:right w:w="108" w:type="dxa"/>
          </w:tblCellMar>
        </w:tblPrEx>
        <w:trPr>
          <w:trHeight w:val="624"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3.16系统提供出入量合计及平衡管理信息记录，入量合计记录、出量合计记录、平衡量合计记录。</w:t>
            </w:r>
          </w:p>
        </w:tc>
      </w:tr>
      <w:tr>
        <w:tblPrEx>
          <w:tblCellMar>
            <w:top w:w="0" w:type="dxa"/>
            <w:left w:w="108" w:type="dxa"/>
            <w:bottom w:w="0" w:type="dxa"/>
            <w:right w:w="108" w:type="dxa"/>
          </w:tblCellMar>
        </w:tblPrEx>
        <w:trPr>
          <w:trHeight w:val="936"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3.17能够在同一时间序列上同时查看各种护理信息记录表单，如生命体征表单、呼吸系统记录表单、神经系统记录表单、循环系统记录表单、CRRT肾脏替代设备信息记录、心排量记录单等，以便于真实的反应患者的真实病情。（须在投标文件中提供截图证明）</w:t>
            </w:r>
          </w:p>
        </w:tc>
      </w:tr>
      <w:tr>
        <w:tblPrEx>
          <w:tblCellMar>
            <w:top w:w="0" w:type="dxa"/>
            <w:left w:w="108" w:type="dxa"/>
            <w:bottom w:w="0" w:type="dxa"/>
            <w:right w:w="108" w:type="dxa"/>
          </w:tblCellMar>
        </w:tblPrEx>
        <w:trPr>
          <w:trHeight w:val="624"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3.18系统提供病人病情总览，提供查看病人生命体征、血流动力学各类检验指标及本班抗生素使用信息的浏览界面，汇总展示病人当前诊断信息。</w:t>
            </w:r>
          </w:p>
        </w:tc>
      </w:tr>
      <w:tr>
        <w:tblPrEx>
          <w:tblCellMar>
            <w:top w:w="0" w:type="dxa"/>
            <w:left w:w="108" w:type="dxa"/>
            <w:bottom w:w="0" w:type="dxa"/>
            <w:right w:w="108" w:type="dxa"/>
          </w:tblCellMar>
        </w:tblPrEx>
        <w:trPr>
          <w:trHeight w:val="624"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3.19系统提供医生入科评估，提供完善的病人入科评估项，满足医生进行科研数据分析及三甲评审需求，并提供固定选项等快捷方式，实现文书标准化、记录简单化。</w:t>
            </w:r>
          </w:p>
        </w:tc>
      </w:tr>
      <w:tr>
        <w:tblPrEx>
          <w:tblCellMar>
            <w:top w:w="0" w:type="dxa"/>
            <w:left w:w="108" w:type="dxa"/>
            <w:bottom w:w="0" w:type="dxa"/>
            <w:right w:w="108" w:type="dxa"/>
          </w:tblCellMar>
        </w:tblPrEx>
        <w:trPr>
          <w:trHeight w:val="460"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3.20系统提供医生评分：急性生理学及慢性健康状况评分(APACHE II)；序贯器官衰竭估计(SOFA-Sequential Organ Failure Assessment )；急性肾损伤分级（AKI）；肺部感染指数评分（CPIS）；格拉斯哥昏迷指数评分(GCS)；镇静程度评分(Ramsay)；镇静躁动评分(SAS)；MODS评分；NUTRIC 评分2002；急性肾损伤评分(AKI)；临床危险指数评分（CRIB）；肝损伤评分Child-pugh分级；DIC-ISTH评分；DIC-JAAM评分；Killip 心功能分级；NYHA分级；RANKIN神经系统评分；NIHSS神经系统评分及CRUSADE出血风险评分。（至少须在投标文件中提供一种评分截图证明。）</w:t>
            </w:r>
          </w:p>
        </w:tc>
      </w:tr>
      <w:tr>
        <w:tblPrEx>
          <w:tblCellMar>
            <w:top w:w="0" w:type="dxa"/>
            <w:left w:w="108" w:type="dxa"/>
            <w:bottom w:w="0" w:type="dxa"/>
            <w:right w:w="108" w:type="dxa"/>
          </w:tblCellMar>
        </w:tblPrEx>
        <w:trPr>
          <w:trHeight w:val="936"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3.21系统提供病情观察对比视图，提供患者病情观察对比示图，将相关数据重组于同一界面，包括液体管理、 呼吸监测、血流动力及容量监测、CRRT抗凝监测等。（须在投标文件中提供截图证明）</w:t>
            </w:r>
          </w:p>
        </w:tc>
      </w:tr>
      <w:tr>
        <w:tblPrEx>
          <w:tblCellMar>
            <w:top w:w="0" w:type="dxa"/>
            <w:left w:w="108" w:type="dxa"/>
            <w:bottom w:w="0" w:type="dxa"/>
            <w:right w:w="108" w:type="dxa"/>
          </w:tblCellMar>
        </w:tblPrEx>
        <w:trPr>
          <w:trHeight w:val="624"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3.22系统提供实验室检验流程单记录，提供医生查阅查看患者检验数据。（须在投标文件中提供截图证明）</w:t>
            </w:r>
          </w:p>
        </w:tc>
      </w:tr>
      <w:tr>
        <w:tblPrEx>
          <w:tblCellMar>
            <w:top w:w="0" w:type="dxa"/>
            <w:left w:w="108" w:type="dxa"/>
            <w:bottom w:w="0" w:type="dxa"/>
            <w:right w:w="108" w:type="dxa"/>
          </w:tblCellMar>
        </w:tblPrEx>
        <w:trPr>
          <w:trHeight w:val="936" w:hRule="atLeast"/>
        </w:trPr>
        <w:tc>
          <w:tcPr>
            <w:tcW w:w="82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cs="仿宋"/>
                <w:kern w:val="0"/>
              </w:rPr>
            </w:pPr>
            <w:r>
              <w:rPr>
                <w:rFonts w:hint="eastAsia" w:ascii="仿宋" w:hAnsi="仿宋" w:cs="仿宋"/>
                <w:kern w:val="0"/>
              </w:rPr>
              <w:t>4</w:t>
            </w:r>
          </w:p>
        </w:tc>
        <w:tc>
          <w:tcPr>
            <w:tcW w:w="1719" w:type="dxa"/>
            <w:vMerge w:val="restart"/>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医嘱管理</w:t>
            </w: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4.1系统提供医嘱管理信息记录，提供医嘱信息同步、待执行医嘱核对、医嘱执行记录、剂量核算、紧急医嘱管理、输液通道管理、输液时长管理、输液余量管理、血制品医嘱管理等功能，并且能够与院内其他系统进行数据交互。</w:t>
            </w:r>
          </w:p>
        </w:tc>
      </w:tr>
      <w:tr>
        <w:tblPrEx>
          <w:tblCellMar>
            <w:top w:w="0" w:type="dxa"/>
            <w:left w:w="108" w:type="dxa"/>
            <w:bottom w:w="0" w:type="dxa"/>
            <w:right w:w="108" w:type="dxa"/>
          </w:tblCellMar>
        </w:tblPrEx>
        <w:trPr>
          <w:trHeight w:val="936"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4.2系统支持医嘱管理功能，包括但不限于药物医嘱提醒、药物医嘱执行及逾期提醒，并根据每个病人不同的体重及体表面积等信息，自行评价血管活性药物、镇静药物等超剂量，进行预警提示。（须在投标文件中提供截图证明）</w:t>
            </w:r>
          </w:p>
        </w:tc>
      </w:tr>
      <w:tr>
        <w:tblPrEx>
          <w:tblCellMar>
            <w:top w:w="0" w:type="dxa"/>
            <w:left w:w="108" w:type="dxa"/>
            <w:bottom w:w="0" w:type="dxa"/>
            <w:right w:w="108" w:type="dxa"/>
          </w:tblCellMar>
        </w:tblPrEx>
        <w:trPr>
          <w:trHeight w:val="624"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4.3系统内置重症药学知识库，能自动识别病人目前使用 药品为血管活性药物、镇静药物等，帮助临床进行自动药物归类展示，用药过程预警及规范管理。</w:t>
            </w:r>
          </w:p>
        </w:tc>
      </w:tr>
      <w:tr>
        <w:tblPrEx>
          <w:tblCellMar>
            <w:top w:w="0" w:type="dxa"/>
            <w:left w:w="108" w:type="dxa"/>
            <w:bottom w:w="0" w:type="dxa"/>
            <w:right w:w="108" w:type="dxa"/>
          </w:tblCellMar>
        </w:tblPrEx>
        <w:trPr>
          <w:trHeight w:val="624" w:hRule="atLeast"/>
        </w:trPr>
        <w:tc>
          <w:tcPr>
            <w:tcW w:w="82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cs="仿宋"/>
                <w:kern w:val="0"/>
              </w:rPr>
            </w:pPr>
            <w:r>
              <w:rPr>
                <w:rFonts w:hint="eastAsia" w:ascii="仿宋" w:hAnsi="仿宋" w:cs="仿宋"/>
              </w:rPr>
              <w:t>▲</w:t>
            </w:r>
            <w:r>
              <w:rPr>
                <w:rFonts w:hint="eastAsia" w:ascii="仿宋" w:hAnsi="仿宋" w:cs="仿宋"/>
                <w:kern w:val="0"/>
              </w:rPr>
              <w:t>5</w:t>
            </w:r>
          </w:p>
        </w:tc>
        <w:tc>
          <w:tcPr>
            <w:tcW w:w="1719"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脓毒症决策支持管理模块</w:t>
            </w: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实现脓毒症早期自动筛查与预警，诊断确认，实时对脓毒症治疗相关三甲质控评估监测，实现相关病种的快速分析及汇总。（须在投标文件中提供</w:t>
            </w:r>
            <w:r>
              <w:rPr>
                <w:rFonts w:hint="eastAsia" w:ascii="仿宋" w:hAnsi="仿宋" w:cs="仿宋"/>
                <w:kern w:val="0"/>
                <w:lang w:val="en-US" w:eastAsia="zh-CN"/>
              </w:rPr>
              <w:t>软件功能</w:t>
            </w:r>
            <w:r>
              <w:rPr>
                <w:rFonts w:hint="eastAsia" w:ascii="仿宋" w:hAnsi="仿宋" w:cs="仿宋"/>
                <w:kern w:val="0"/>
              </w:rPr>
              <w:t>演示截图证明）</w:t>
            </w:r>
          </w:p>
        </w:tc>
      </w:tr>
      <w:tr>
        <w:tblPrEx>
          <w:tblCellMar>
            <w:top w:w="0" w:type="dxa"/>
            <w:left w:w="108" w:type="dxa"/>
            <w:bottom w:w="0" w:type="dxa"/>
            <w:right w:w="108" w:type="dxa"/>
          </w:tblCellMar>
        </w:tblPrEx>
        <w:trPr>
          <w:trHeight w:val="90" w:hRule="atLeast"/>
        </w:trPr>
        <w:tc>
          <w:tcPr>
            <w:tcW w:w="82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cs="仿宋"/>
                <w:kern w:val="0"/>
              </w:rPr>
            </w:pPr>
            <w:r>
              <w:rPr>
                <w:rFonts w:hint="eastAsia" w:ascii="仿宋" w:hAnsi="仿宋" w:cs="仿宋"/>
              </w:rPr>
              <w:t>▲</w:t>
            </w:r>
            <w:r>
              <w:rPr>
                <w:rFonts w:hint="eastAsia" w:ascii="仿宋" w:hAnsi="仿宋" w:cs="仿宋"/>
                <w:kern w:val="0"/>
              </w:rPr>
              <w:t>6</w:t>
            </w:r>
          </w:p>
        </w:tc>
        <w:tc>
          <w:tcPr>
            <w:tcW w:w="1719"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呼吸机相关性肺炎（VAP）决策支持管理模块</w:t>
            </w: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实现VAP早期自动筛查与预警，诊断确认，实时VAP治疗相关三甲质控评估监测，实现相关病种的快速分析及汇总。（须在投标文件中提供截图证明）</w:t>
            </w:r>
          </w:p>
        </w:tc>
      </w:tr>
      <w:tr>
        <w:tblPrEx>
          <w:tblCellMar>
            <w:top w:w="0" w:type="dxa"/>
            <w:left w:w="108" w:type="dxa"/>
            <w:bottom w:w="0" w:type="dxa"/>
            <w:right w:w="108" w:type="dxa"/>
          </w:tblCellMar>
        </w:tblPrEx>
        <w:trPr>
          <w:trHeight w:val="624" w:hRule="atLeast"/>
        </w:trPr>
        <w:tc>
          <w:tcPr>
            <w:tcW w:w="82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cs="仿宋"/>
                <w:kern w:val="0"/>
              </w:rPr>
            </w:pPr>
            <w:r>
              <w:rPr>
                <w:rFonts w:hint="eastAsia" w:ascii="仿宋" w:hAnsi="仿宋" w:cs="仿宋"/>
              </w:rPr>
              <w:t>▲</w:t>
            </w:r>
            <w:r>
              <w:rPr>
                <w:rFonts w:hint="eastAsia" w:ascii="仿宋" w:hAnsi="仿宋" w:cs="仿宋"/>
                <w:kern w:val="0"/>
              </w:rPr>
              <w:t>7</w:t>
            </w:r>
          </w:p>
        </w:tc>
        <w:tc>
          <w:tcPr>
            <w:tcW w:w="1719"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导管相关血流感染（CRBSI）决策支持管理模块</w:t>
            </w: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实现CRBSI早期自动筛查与预警，诊断确认，实时CRBSI治疗相关三甲质控评估监测，实现相关病种的快速分析及汇总。（须在投标文件中提供</w:t>
            </w:r>
            <w:r>
              <w:rPr>
                <w:rFonts w:hint="eastAsia" w:ascii="仿宋" w:hAnsi="仿宋" w:cs="仿宋"/>
                <w:kern w:val="0"/>
                <w:lang w:val="en-US" w:eastAsia="zh-CN"/>
              </w:rPr>
              <w:t>软件功能</w:t>
            </w:r>
            <w:r>
              <w:rPr>
                <w:rFonts w:hint="eastAsia" w:ascii="仿宋" w:hAnsi="仿宋" w:cs="仿宋"/>
                <w:kern w:val="0"/>
              </w:rPr>
              <w:t>演示截图证明）</w:t>
            </w:r>
          </w:p>
        </w:tc>
      </w:tr>
      <w:tr>
        <w:tblPrEx>
          <w:tblCellMar>
            <w:top w:w="0" w:type="dxa"/>
            <w:left w:w="108" w:type="dxa"/>
            <w:bottom w:w="0" w:type="dxa"/>
            <w:right w:w="108" w:type="dxa"/>
          </w:tblCellMar>
        </w:tblPrEx>
        <w:trPr>
          <w:trHeight w:val="624" w:hRule="atLeast"/>
        </w:trPr>
        <w:tc>
          <w:tcPr>
            <w:tcW w:w="82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cs="仿宋"/>
                <w:kern w:val="0"/>
              </w:rPr>
            </w:pPr>
            <w:r>
              <w:rPr>
                <w:rFonts w:hint="eastAsia" w:ascii="仿宋" w:hAnsi="仿宋" w:cs="仿宋"/>
              </w:rPr>
              <w:t>▲</w:t>
            </w:r>
            <w:r>
              <w:rPr>
                <w:rFonts w:hint="eastAsia" w:ascii="仿宋" w:hAnsi="仿宋" w:cs="仿宋"/>
                <w:kern w:val="0"/>
              </w:rPr>
              <w:t>8</w:t>
            </w:r>
          </w:p>
        </w:tc>
        <w:tc>
          <w:tcPr>
            <w:tcW w:w="1719"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导尿管相关泌尿系感染（CAUTI）决策支持管理模块</w:t>
            </w:r>
          </w:p>
        </w:tc>
        <w:tc>
          <w:tcPr>
            <w:tcW w:w="6340" w:type="dxa"/>
            <w:tcBorders>
              <w:top w:val="nil"/>
              <w:left w:val="nil"/>
              <w:bottom w:val="single" w:color="auto" w:sz="4" w:space="0"/>
              <w:right w:val="single" w:color="auto" w:sz="4" w:space="0"/>
            </w:tcBorders>
            <w:shd w:val="clear" w:color="auto" w:fill="auto"/>
            <w:vAlign w:val="center"/>
          </w:tcPr>
          <w:p>
            <w:pPr>
              <w:rPr>
                <w:rFonts w:ascii="仿宋" w:hAnsi="仿宋" w:cs="仿宋"/>
              </w:rPr>
            </w:pPr>
            <w:r>
              <w:rPr>
                <w:rFonts w:hint="eastAsia" w:ascii="仿宋" w:hAnsi="仿宋" w:cs="仿宋"/>
                <w:kern w:val="0"/>
              </w:rPr>
              <w:t>实现CAUTI早期筛查与诊断，实时CAUTI治疗相关三甲质控评估监测，实现相关病种的快速分析及汇总。（须在投标文件中提供</w:t>
            </w:r>
            <w:r>
              <w:rPr>
                <w:rFonts w:hint="eastAsia" w:ascii="仿宋" w:hAnsi="仿宋" w:cs="仿宋"/>
                <w:kern w:val="0"/>
                <w:lang w:val="en-US" w:eastAsia="zh-CN"/>
              </w:rPr>
              <w:t>软件功能</w:t>
            </w:r>
            <w:r>
              <w:rPr>
                <w:rFonts w:hint="eastAsia" w:ascii="仿宋" w:hAnsi="仿宋" w:cs="仿宋"/>
                <w:kern w:val="0"/>
              </w:rPr>
              <w:t>演示截图证明）</w:t>
            </w:r>
          </w:p>
          <w:p>
            <w:pPr>
              <w:widowControl/>
              <w:rPr>
                <w:rFonts w:ascii="仿宋" w:hAnsi="仿宋" w:cs="仿宋"/>
                <w:kern w:val="0"/>
              </w:rPr>
            </w:pPr>
          </w:p>
        </w:tc>
      </w:tr>
      <w:tr>
        <w:tblPrEx>
          <w:tblCellMar>
            <w:top w:w="0" w:type="dxa"/>
            <w:left w:w="108" w:type="dxa"/>
            <w:bottom w:w="0" w:type="dxa"/>
            <w:right w:w="108" w:type="dxa"/>
          </w:tblCellMar>
        </w:tblPrEx>
        <w:trPr>
          <w:trHeight w:val="624" w:hRule="atLeast"/>
        </w:trPr>
        <w:tc>
          <w:tcPr>
            <w:tcW w:w="82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cs="仿宋"/>
                <w:kern w:val="0"/>
              </w:rPr>
            </w:pPr>
            <w:r>
              <w:rPr>
                <w:rFonts w:hint="eastAsia" w:ascii="仿宋" w:hAnsi="仿宋" w:cs="仿宋"/>
              </w:rPr>
              <w:t>▲</w:t>
            </w:r>
            <w:r>
              <w:rPr>
                <w:rFonts w:hint="eastAsia" w:ascii="仿宋" w:hAnsi="仿宋" w:cs="仿宋"/>
                <w:kern w:val="0"/>
              </w:rPr>
              <w:t>9</w:t>
            </w:r>
          </w:p>
        </w:tc>
        <w:tc>
          <w:tcPr>
            <w:tcW w:w="1719"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急性呼吸窘迫综合症（ARDS）决策支持管理模块</w:t>
            </w:r>
          </w:p>
        </w:tc>
        <w:tc>
          <w:tcPr>
            <w:tcW w:w="6340" w:type="dxa"/>
            <w:tcBorders>
              <w:top w:val="nil"/>
              <w:left w:val="nil"/>
              <w:bottom w:val="single" w:color="auto" w:sz="4" w:space="0"/>
              <w:right w:val="single" w:color="auto" w:sz="4" w:space="0"/>
            </w:tcBorders>
            <w:shd w:val="clear" w:color="auto" w:fill="auto"/>
            <w:vAlign w:val="center"/>
          </w:tcPr>
          <w:p>
            <w:pPr>
              <w:rPr>
                <w:rFonts w:ascii="仿宋" w:hAnsi="仿宋" w:cs="仿宋"/>
              </w:rPr>
            </w:pPr>
            <w:r>
              <w:rPr>
                <w:rFonts w:hint="eastAsia" w:ascii="仿宋" w:hAnsi="仿宋" w:cs="仿宋"/>
                <w:kern w:val="0"/>
              </w:rPr>
              <w:t>实现ARDS早期筛查与诊断，实时ARDS治疗相关估监测，实现相关病种的快速分析及汇总。（须在投标文件中提供</w:t>
            </w:r>
            <w:r>
              <w:rPr>
                <w:rFonts w:hint="eastAsia" w:ascii="仿宋" w:hAnsi="仿宋" w:cs="仿宋"/>
                <w:kern w:val="0"/>
                <w:lang w:val="en-US" w:eastAsia="zh-CN"/>
              </w:rPr>
              <w:t>软件功能</w:t>
            </w:r>
            <w:r>
              <w:rPr>
                <w:rFonts w:hint="eastAsia" w:ascii="仿宋" w:hAnsi="仿宋" w:cs="仿宋"/>
                <w:kern w:val="0"/>
              </w:rPr>
              <w:t>演示截图证明）</w:t>
            </w:r>
          </w:p>
          <w:p>
            <w:pPr>
              <w:widowControl/>
              <w:rPr>
                <w:rFonts w:ascii="仿宋" w:hAnsi="仿宋" w:cs="仿宋"/>
                <w:kern w:val="0"/>
              </w:rPr>
            </w:pPr>
          </w:p>
        </w:tc>
      </w:tr>
      <w:tr>
        <w:tblPrEx>
          <w:tblCellMar>
            <w:top w:w="0" w:type="dxa"/>
            <w:left w:w="108" w:type="dxa"/>
            <w:bottom w:w="0" w:type="dxa"/>
            <w:right w:w="108" w:type="dxa"/>
          </w:tblCellMar>
        </w:tblPrEx>
        <w:trPr>
          <w:trHeight w:val="624" w:hRule="atLeast"/>
        </w:trPr>
        <w:tc>
          <w:tcPr>
            <w:tcW w:w="82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cs="仿宋"/>
                <w:kern w:val="0"/>
              </w:rPr>
            </w:pPr>
            <w:r>
              <w:rPr>
                <w:rFonts w:hint="eastAsia" w:ascii="仿宋" w:hAnsi="仿宋" w:cs="仿宋"/>
              </w:rPr>
              <w:t>▲</w:t>
            </w:r>
            <w:r>
              <w:rPr>
                <w:rFonts w:hint="eastAsia" w:ascii="仿宋" w:hAnsi="仿宋" w:cs="仿宋"/>
                <w:kern w:val="0"/>
              </w:rPr>
              <w:t>10</w:t>
            </w:r>
          </w:p>
        </w:tc>
        <w:tc>
          <w:tcPr>
            <w:tcW w:w="1719"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急性肾损伤（AKI）决策支持管理模块</w:t>
            </w:r>
          </w:p>
        </w:tc>
        <w:tc>
          <w:tcPr>
            <w:tcW w:w="6340" w:type="dxa"/>
            <w:tcBorders>
              <w:top w:val="nil"/>
              <w:left w:val="nil"/>
              <w:bottom w:val="single" w:color="auto" w:sz="4" w:space="0"/>
              <w:right w:val="single" w:color="auto" w:sz="4" w:space="0"/>
            </w:tcBorders>
            <w:shd w:val="clear" w:color="auto" w:fill="auto"/>
            <w:vAlign w:val="center"/>
          </w:tcPr>
          <w:p>
            <w:pPr>
              <w:rPr>
                <w:rFonts w:ascii="仿宋" w:hAnsi="仿宋" w:cs="仿宋"/>
              </w:rPr>
            </w:pPr>
            <w:r>
              <w:rPr>
                <w:rFonts w:hint="eastAsia" w:ascii="仿宋" w:hAnsi="仿宋" w:cs="仿宋"/>
                <w:kern w:val="0"/>
              </w:rPr>
              <w:t>实现AKI早期筛查与诊断，实时AKI治疗相关估监测，实现相关病种的快速分析及汇总。（须在投标文件中提供</w:t>
            </w:r>
            <w:r>
              <w:rPr>
                <w:rFonts w:hint="eastAsia" w:ascii="仿宋" w:hAnsi="仿宋" w:cs="仿宋"/>
                <w:kern w:val="0"/>
                <w:lang w:val="en-US" w:eastAsia="zh-CN"/>
              </w:rPr>
              <w:t>软件功能</w:t>
            </w:r>
            <w:r>
              <w:rPr>
                <w:rFonts w:hint="eastAsia" w:ascii="仿宋" w:hAnsi="仿宋" w:cs="仿宋"/>
                <w:kern w:val="0"/>
              </w:rPr>
              <w:t>演示截图证明）</w:t>
            </w:r>
          </w:p>
          <w:p>
            <w:pPr>
              <w:widowControl/>
              <w:rPr>
                <w:rFonts w:ascii="仿宋" w:hAnsi="仿宋" w:cs="仿宋"/>
                <w:kern w:val="0"/>
              </w:rPr>
            </w:pPr>
          </w:p>
        </w:tc>
      </w:tr>
      <w:tr>
        <w:tblPrEx>
          <w:tblCellMar>
            <w:top w:w="0" w:type="dxa"/>
            <w:left w:w="108" w:type="dxa"/>
            <w:bottom w:w="0" w:type="dxa"/>
            <w:right w:w="108" w:type="dxa"/>
          </w:tblCellMar>
        </w:tblPrEx>
        <w:trPr>
          <w:trHeight w:val="624" w:hRule="atLeast"/>
        </w:trPr>
        <w:tc>
          <w:tcPr>
            <w:tcW w:w="82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cs="仿宋"/>
                <w:kern w:val="0"/>
              </w:rPr>
            </w:pPr>
            <w:r>
              <w:rPr>
                <w:rFonts w:hint="eastAsia" w:ascii="仿宋" w:hAnsi="仿宋" w:cs="仿宋"/>
                <w:kern w:val="0"/>
              </w:rPr>
              <w:t>10</w:t>
            </w:r>
          </w:p>
        </w:tc>
        <w:tc>
          <w:tcPr>
            <w:tcW w:w="1719" w:type="dxa"/>
            <w:vMerge w:val="restart"/>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科室管理与质控管理</w:t>
            </w: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10.1要求系统提供ICU科室患者相关信息，具有高危风险可视化管理，并对全科安全及风险进行监控及分析。（须在投标文件中提供</w:t>
            </w:r>
            <w:r>
              <w:rPr>
                <w:rFonts w:hint="eastAsia" w:ascii="仿宋" w:hAnsi="仿宋" w:cs="仿宋"/>
                <w:kern w:val="0"/>
                <w:lang w:val="en-US" w:eastAsia="zh-CN"/>
              </w:rPr>
              <w:t>软件功能</w:t>
            </w:r>
            <w:r>
              <w:rPr>
                <w:rFonts w:hint="eastAsia" w:ascii="仿宋" w:hAnsi="仿宋" w:cs="仿宋"/>
                <w:kern w:val="0"/>
              </w:rPr>
              <w:t>演示截图证明）</w:t>
            </w:r>
          </w:p>
        </w:tc>
      </w:tr>
      <w:tr>
        <w:tblPrEx>
          <w:tblCellMar>
            <w:top w:w="0" w:type="dxa"/>
            <w:left w:w="108" w:type="dxa"/>
            <w:bottom w:w="0" w:type="dxa"/>
            <w:right w:w="108" w:type="dxa"/>
          </w:tblCellMar>
        </w:tblPrEx>
        <w:trPr>
          <w:trHeight w:val="1262"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10.2要求系统提供重症医护数据统计功能，实现工作量的实时自动统计，至少具有以下等数据统计：出入科登记明细统计；转运检查人次；CPR(ICU)人次；除颤人次；电复律人次；临时起搏器人次；体外起搏人次；呼吸机(有创)人次；新上机(有创)人次；呼吸机(有创)人天(不同模式持续时间)；呼吸机(无创)人次；气管插管人次；气管切开人次；换气切套管人次；机械排痰人次；床边ABG(血气)人次；胸穿人次；腹穿人次；腰穿人次；纤支镜人次；IABP人次；ECMO人次；ECMO新上机人次；ECMO人天(不同模式持续时间)。</w:t>
            </w:r>
          </w:p>
        </w:tc>
      </w:tr>
      <w:tr>
        <w:tblPrEx>
          <w:tblCellMar>
            <w:top w:w="0" w:type="dxa"/>
            <w:left w:w="108" w:type="dxa"/>
            <w:bottom w:w="0" w:type="dxa"/>
            <w:right w:w="108" w:type="dxa"/>
          </w:tblCellMar>
        </w:tblPrEx>
        <w:trPr>
          <w:trHeight w:val="2532"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10.3系统提供三甲质控统计分析；系统支持2015重症医学专业医疗质量控制指标的相关统计报表：ICU患者收治率和ICU患者收治床日率、APACHEⅡ评分(急性生理与慢性健康评分)大于等于15分患者收治率(入ICU 24小时内)、感染性休克3h集束化治疗方案完成率、感染性休克6h集束化治疗方案完成率、ICU抗菌药物治疗前病原学送检率、ICU深静脉血栓（DVT）预防率、ICU患者预计病死率、ICU患者标化病死指数、ICU非计划气管插管拔管率、ICU气管插管拔管后48h内再插管率、非计划转入ICU率、转出ICU后48H内重返率、ICU呼吸机相关性肺炎（VAP）发病率、ICU血管内导管相关血流感染（CRBSI）发病率、ICU导尿管相关泌尿系感染（CAUTI）发病率。</w:t>
            </w:r>
          </w:p>
        </w:tc>
      </w:tr>
      <w:tr>
        <w:tblPrEx>
          <w:tblCellMar>
            <w:top w:w="0" w:type="dxa"/>
            <w:left w:w="108" w:type="dxa"/>
            <w:bottom w:w="0" w:type="dxa"/>
            <w:right w:w="108" w:type="dxa"/>
          </w:tblCellMar>
        </w:tblPrEx>
        <w:trPr>
          <w:trHeight w:val="312" w:hRule="atLeast"/>
        </w:trPr>
        <w:tc>
          <w:tcPr>
            <w:tcW w:w="82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cs="仿宋"/>
                <w:kern w:val="0"/>
              </w:rPr>
            </w:pPr>
            <w:r>
              <w:rPr>
                <w:rFonts w:hint="eastAsia" w:ascii="仿宋" w:hAnsi="仿宋" w:cs="仿宋"/>
                <w:kern w:val="0"/>
              </w:rPr>
              <w:t>11</w:t>
            </w:r>
          </w:p>
        </w:tc>
        <w:tc>
          <w:tcPr>
            <w:tcW w:w="1719" w:type="dxa"/>
            <w:vMerge w:val="restart"/>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医疗文书打印</w:t>
            </w: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11.1要求系统支持重症护理记录单打印，可选择打印不同时间的护理记录单。</w:t>
            </w:r>
          </w:p>
        </w:tc>
      </w:tr>
      <w:tr>
        <w:tblPrEx>
          <w:tblCellMar>
            <w:top w:w="0" w:type="dxa"/>
            <w:left w:w="108" w:type="dxa"/>
            <w:bottom w:w="0" w:type="dxa"/>
            <w:right w:w="108" w:type="dxa"/>
          </w:tblCellMar>
        </w:tblPrEx>
        <w:trPr>
          <w:trHeight w:val="312"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11.2要求系统支持APACHEII评分单打印，可选择打印不同时间的评分单。</w:t>
            </w:r>
          </w:p>
        </w:tc>
      </w:tr>
      <w:tr>
        <w:tblPrEx>
          <w:tblCellMar>
            <w:top w:w="0" w:type="dxa"/>
            <w:left w:w="108" w:type="dxa"/>
            <w:bottom w:w="0" w:type="dxa"/>
            <w:right w:w="108" w:type="dxa"/>
          </w:tblCellMar>
        </w:tblPrEx>
        <w:trPr>
          <w:trHeight w:val="312"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11.3要求系统支持护理交班记录单打印，可选择打印不同时间的交班单。</w:t>
            </w:r>
          </w:p>
        </w:tc>
      </w:tr>
      <w:tr>
        <w:tblPrEx>
          <w:tblCellMar>
            <w:top w:w="0" w:type="dxa"/>
            <w:left w:w="108" w:type="dxa"/>
            <w:bottom w:w="0" w:type="dxa"/>
            <w:right w:w="108" w:type="dxa"/>
          </w:tblCellMar>
        </w:tblPrEx>
        <w:trPr>
          <w:trHeight w:val="1248" w:hRule="atLeast"/>
        </w:trPr>
        <w:tc>
          <w:tcPr>
            <w:tcW w:w="82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cs="仿宋"/>
                <w:kern w:val="0"/>
              </w:rPr>
            </w:pPr>
            <w:r>
              <w:rPr>
                <w:rFonts w:hint="eastAsia" w:ascii="仿宋" w:hAnsi="仿宋" w:cs="仿宋"/>
                <w:kern w:val="0"/>
              </w:rPr>
              <w:t>12</w:t>
            </w:r>
          </w:p>
        </w:tc>
        <w:tc>
          <w:tcPr>
            <w:tcW w:w="1719" w:type="dxa"/>
            <w:vMerge w:val="restart"/>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数据采集</w:t>
            </w: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12.1在科室床旁设备配置数据数据输出协议和数据输出模块的情况下，系统能够提供实现床旁设备集成以进行数据采集，包括监护仪、呼吸机、PICCO、血气分析仪、ECMO、输液泵工作站系统等现有设备。并按HL7等(标准化的卫生信息传输协议)标准传输至系统中，无需人工抄写记录。</w:t>
            </w:r>
          </w:p>
        </w:tc>
      </w:tr>
      <w:tr>
        <w:tblPrEx>
          <w:tblCellMar>
            <w:top w:w="0" w:type="dxa"/>
            <w:left w:w="108" w:type="dxa"/>
            <w:bottom w:w="0" w:type="dxa"/>
            <w:right w:w="108" w:type="dxa"/>
          </w:tblCellMar>
        </w:tblPrEx>
        <w:trPr>
          <w:trHeight w:val="936"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12.2要求系统自动采集接入的监护仪参数，包括心率、无创血压、有创血压、中心静脉压、体温、氧饱和度、呼吸频率、呼气末二氧化碳等监测参数，并传输至系统中，供护理人员确认并记录。</w:t>
            </w:r>
          </w:p>
        </w:tc>
      </w:tr>
      <w:tr>
        <w:tblPrEx>
          <w:tblCellMar>
            <w:top w:w="0" w:type="dxa"/>
            <w:left w:w="108" w:type="dxa"/>
            <w:bottom w:w="0" w:type="dxa"/>
            <w:right w:w="108" w:type="dxa"/>
          </w:tblCellMar>
        </w:tblPrEx>
        <w:trPr>
          <w:trHeight w:val="936"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12.3要求系统自动采集接入的呼吸机参数，包括呼吸机使用模式、呼吸频率、潮气量、吸呼比、气道压力、顺应性、阻力、内源性压力等监测参数，并传输至系统中，供护理人员确认并记录。</w:t>
            </w:r>
          </w:p>
        </w:tc>
      </w:tr>
      <w:tr>
        <w:tblPrEx>
          <w:tblCellMar>
            <w:top w:w="0" w:type="dxa"/>
            <w:left w:w="108" w:type="dxa"/>
            <w:bottom w:w="0" w:type="dxa"/>
            <w:right w:w="108" w:type="dxa"/>
          </w:tblCellMar>
        </w:tblPrEx>
        <w:trPr>
          <w:trHeight w:val="348"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12.4系统支持自动采集床边设备数据的频率不超过60秒</w:t>
            </w:r>
          </w:p>
        </w:tc>
      </w:tr>
      <w:tr>
        <w:tblPrEx>
          <w:tblCellMar>
            <w:top w:w="0" w:type="dxa"/>
            <w:left w:w="108" w:type="dxa"/>
            <w:bottom w:w="0" w:type="dxa"/>
            <w:right w:w="108" w:type="dxa"/>
          </w:tblCellMar>
        </w:tblPrEx>
        <w:trPr>
          <w:trHeight w:val="348" w:hRule="atLeast"/>
        </w:trPr>
        <w:tc>
          <w:tcPr>
            <w:tcW w:w="828" w:type="dxa"/>
            <w:vMerge w:val="restart"/>
            <w:tcBorders>
              <w:top w:val="nil"/>
              <w:left w:val="single" w:color="auto" w:sz="4" w:space="0"/>
              <w:right w:val="single" w:color="auto" w:sz="4" w:space="0"/>
            </w:tcBorders>
            <w:vAlign w:val="center"/>
          </w:tcPr>
          <w:p>
            <w:pPr>
              <w:widowControl/>
              <w:rPr>
                <w:rFonts w:ascii="仿宋" w:hAnsi="仿宋" w:cs="仿宋"/>
                <w:kern w:val="0"/>
              </w:rPr>
            </w:pPr>
            <w:r>
              <w:rPr>
                <w:rFonts w:hint="eastAsia" w:ascii="仿宋" w:hAnsi="仿宋" w:cs="仿宋"/>
                <w:kern w:val="0"/>
              </w:rPr>
              <w:t>13</w:t>
            </w:r>
          </w:p>
        </w:tc>
        <w:tc>
          <w:tcPr>
            <w:tcW w:w="1719" w:type="dxa"/>
            <w:vMerge w:val="restart"/>
            <w:tcBorders>
              <w:top w:val="nil"/>
              <w:left w:val="single" w:color="auto" w:sz="4" w:space="0"/>
              <w:right w:val="single" w:color="auto" w:sz="4" w:space="0"/>
            </w:tcBorders>
            <w:vAlign w:val="center"/>
          </w:tcPr>
          <w:p>
            <w:pPr>
              <w:rPr>
                <w:rFonts w:ascii="仿宋" w:hAnsi="仿宋" w:cs="仿宋"/>
                <w:kern w:val="0"/>
              </w:rPr>
            </w:pPr>
            <w:r>
              <w:rPr>
                <w:rFonts w:hint="eastAsia" w:ascii="仿宋" w:hAnsi="仿宋" w:cs="仿宋"/>
                <w:kern w:val="0"/>
              </w:rPr>
              <w:t>床旁设备移动性及扩展性要求</w:t>
            </w: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13.1各类设备的集成必须满足设备移动过程中即插即用，即设备从一张床移动到另一张床，无需设置即可实现设备的自动识别，即可自动记录到信息系统中。</w:t>
            </w:r>
          </w:p>
        </w:tc>
      </w:tr>
      <w:tr>
        <w:tblPrEx>
          <w:tblCellMar>
            <w:top w:w="0" w:type="dxa"/>
            <w:left w:w="108" w:type="dxa"/>
            <w:bottom w:w="0" w:type="dxa"/>
            <w:right w:w="108" w:type="dxa"/>
          </w:tblCellMar>
        </w:tblPrEx>
        <w:trPr>
          <w:trHeight w:val="348" w:hRule="atLeast"/>
        </w:trPr>
        <w:tc>
          <w:tcPr>
            <w:tcW w:w="828" w:type="dxa"/>
            <w:vMerge w:val="continue"/>
            <w:tcBorders>
              <w:left w:val="single" w:color="auto" w:sz="4" w:space="0"/>
              <w:right w:val="single" w:color="auto" w:sz="4" w:space="0"/>
            </w:tcBorders>
            <w:vAlign w:val="center"/>
          </w:tcPr>
          <w:p>
            <w:pPr>
              <w:widowControl/>
              <w:rPr>
                <w:rFonts w:ascii="仿宋" w:hAnsi="仿宋" w:cs="仿宋"/>
                <w:kern w:val="0"/>
              </w:rPr>
            </w:pPr>
          </w:p>
        </w:tc>
        <w:tc>
          <w:tcPr>
            <w:tcW w:w="1719" w:type="dxa"/>
            <w:vMerge w:val="continue"/>
            <w:tcBorders>
              <w:left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13.2系统完成设备配置后，设备可以在不同床位之间自由移动而不需要对设备重新进行配置，支持即插即用</w:t>
            </w:r>
            <w:r>
              <w:rPr>
                <w:rFonts w:hint="eastAsia" w:ascii="仿宋" w:hAnsi="仿宋" w:cs="仿宋"/>
              </w:rPr>
              <w:t>。</w:t>
            </w:r>
          </w:p>
        </w:tc>
      </w:tr>
      <w:tr>
        <w:tblPrEx>
          <w:tblCellMar>
            <w:top w:w="0" w:type="dxa"/>
            <w:left w:w="108" w:type="dxa"/>
            <w:bottom w:w="0" w:type="dxa"/>
            <w:right w:w="108" w:type="dxa"/>
          </w:tblCellMar>
        </w:tblPrEx>
        <w:trPr>
          <w:trHeight w:val="348" w:hRule="atLeast"/>
        </w:trPr>
        <w:tc>
          <w:tcPr>
            <w:tcW w:w="828" w:type="dxa"/>
            <w:vMerge w:val="continue"/>
            <w:tcBorders>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13.3配置相应床位数量的采集器，且每个床旁设备数据采集器上至少有4个设备连接口，满足维保期间新增的设备。</w:t>
            </w:r>
          </w:p>
        </w:tc>
      </w:tr>
      <w:tr>
        <w:tblPrEx>
          <w:tblCellMar>
            <w:top w:w="0" w:type="dxa"/>
            <w:left w:w="108" w:type="dxa"/>
            <w:bottom w:w="0" w:type="dxa"/>
            <w:right w:w="108" w:type="dxa"/>
          </w:tblCellMar>
        </w:tblPrEx>
        <w:trPr>
          <w:trHeight w:val="624" w:hRule="atLeast"/>
        </w:trPr>
        <w:tc>
          <w:tcPr>
            <w:tcW w:w="82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cs="仿宋"/>
                <w:kern w:val="0"/>
              </w:rPr>
            </w:pPr>
            <w:r>
              <w:rPr>
                <w:rFonts w:hint="eastAsia" w:ascii="仿宋" w:hAnsi="仿宋" w:cs="仿宋"/>
                <w:kern w:val="0"/>
              </w:rPr>
              <w:t>14</w:t>
            </w:r>
          </w:p>
        </w:tc>
        <w:tc>
          <w:tcPr>
            <w:tcW w:w="1719" w:type="dxa"/>
            <w:vMerge w:val="restart"/>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院内系统集成</w:t>
            </w: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14.1要求系统能够与院内集成平台对接，通过与集成平台的对接能够自动从HIS，LIS，NIS等系统获取重症信息必须的信息，如HIS ADT信息，HIS医嘱信息，LIS信息。</w:t>
            </w:r>
          </w:p>
        </w:tc>
      </w:tr>
      <w:tr>
        <w:tblPrEx>
          <w:tblCellMar>
            <w:top w:w="0" w:type="dxa"/>
            <w:left w:w="108" w:type="dxa"/>
            <w:bottom w:w="0" w:type="dxa"/>
            <w:right w:w="108" w:type="dxa"/>
          </w:tblCellMar>
        </w:tblPrEx>
        <w:trPr>
          <w:trHeight w:val="312" w:hRule="atLeast"/>
        </w:trPr>
        <w:tc>
          <w:tcPr>
            <w:tcW w:w="82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1719" w:type="dxa"/>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kern w:val="0"/>
              </w:rPr>
            </w:pPr>
          </w:p>
        </w:tc>
        <w:tc>
          <w:tcPr>
            <w:tcW w:w="6340" w:type="dxa"/>
            <w:tcBorders>
              <w:top w:val="nil"/>
              <w:left w:val="nil"/>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14.2支持数据输出能力，能够将重症信息系统相关的医疗文书等信息通过集成平台输出到电子病历系统中。同时能够根据医院需要将需要的信息通过集成平台进行输出。</w:t>
            </w:r>
          </w:p>
        </w:tc>
      </w:tr>
      <w:tr>
        <w:tblPrEx>
          <w:tblCellMar>
            <w:top w:w="0" w:type="dxa"/>
            <w:left w:w="108" w:type="dxa"/>
            <w:bottom w:w="0" w:type="dxa"/>
            <w:right w:w="108" w:type="dxa"/>
          </w:tblCellMar>
        </w:tblPrEx>
        <w:trPr>
          <w:trHeight w:val="312" w:hRule="atLeast"/>
        </w:trPr>
        <w:tc>
          <w:tcPr>
            <w:tcW w:w="828"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cs="仿宋"/>
                <w:kern w:val="0"/>
              </w:rPr>
            </w:pPr>
            <w:r>
              <w:rPr>
                <w:rFonts w:hint="eastAsia" w:ascii="仿宋" w:hAnsi="仿宋" w:cs="仿宋"/>
              </w:rPr>
              <w:t>▲</w:t>
            </w:r>
            <w:r>
              <w:rPr>
                <w:rFonts w:hint="eastAsia" w:ascii="仿宋" w:hAnsi="仿宋" w:cs="仿宋"/>
                <w:kern w:val="0"/>
              </w:rPr>
              <w:t>15</w:t>
            </w:r>
          </w:p>
        </w:tc>
        <w:tc>
          <w:tcPr>
            <w:tcW w:w="1719"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cs="仿宋"/>
                <w:kern w:val="0"/>
              </w:rPr>
            </w:pPr>
            <w:r>
              <w:rPr>
                <w:rFonts w:hint="eastAsia" w:ascii="仿宋" w:hAnsi="仿宋" w:cs="仿宋"/>
                <w:kern w:val="0"/>
              </w:rPr>
              <w:t>患者管理标准化</w:t>
            </w:r>
          </w:p>
        </w:tc>
        <w:tc>
          <w:tcPr>
            <w:tcW w:w="63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仿宋" w:hAnsi="仿宋" w:cs="仿宋"/>
                <w:kern w:val="0"/>
              </w:rPr>
            </w:pPr>
            <w:r>
              <w:rPr>
                <w:rFonts w:hint="eastAsia" w:ascii="仿宋" w:hAnsi="仿宋" w:cs="仿宋"/>
                <w:kern w:val="0"/>
              </w:rPr>
              <w:t>15.1系统所提供的决策支持管理模块所提供的筛查、预警、诊断、确认、评估、监测与医院现有重症监护信息系统一致，以确科室对患者管的标准化和规范化。</w:t>
            </w:r>
          </w:p>
        </w:tc>
      </w:tr>
    </w:tbl>
    <w:p>
      <w:pPr>
        <w:pStyle w:val="5"/>
        <w:rPr>
          <w:rFonts w:hint="eastAsia" w:ascii="Times New Roman" w:hAnsi="Times New Roman" w:cs="Times New Roman"/>
          <w:b/>
          <w:bCs/>
          <w:kern w:val="0"/>
          <w:sz w:val="30"/>
          <w:szCs w:val="30"/>
        </w:rPr>
      </w:pPr>
      <w:bookmarkStart w:id="285" w:name="4052-1539669662908"/>
      <w:bookmarkEnd w:id="285"/>
      <w:bookmarkStart w:id="286" w:name="3270-1539669662908"/>
      <w:bookmarkEnd w:id="286"/>
      <w:bookmarkStart w:id="287" w:name="9400-1539669662908"/>
      <w:bookmarkEnd w:id="287"/>
      <w:bookmarkStart w:id="288" w:name="4670-1539669662908"/>
      <w:bookmarkEnd w:id="288"/>
      <w:bookmarkStart w:id="289" w:name="8065-1539669662908"/>
      <w:bookmarkEnd w:id="289"/>
      <w:bookmarkStart w:id="290" w:name="7539-1539669662908"/>
      <w:bookmarkEnd w:id="290"/>
      <w:bookmarkStart w:id="291" w:name="6977-1539669662908"/>
      <w:bookmarkEnd w:id="291"/>
      <w:bookmarkStart w:id="292" w:name="1011-1539669662908"/>
      <w:bookmarkEnd w:id="292"/>
      <w:bookmarkStart w:id="293" w:name="3862-1539669662908"/>
      <w:bookmarkEnd w:id="293"/>
      <w:bookmarkStart w:id="294" w:name="9789-1539669662908"/>
      <w:bookmarkEnd w:id="294"/>
      <w:bookmarkStart w:id="295" w:name="7221-1539669662908"/>
      <w:bookmarkEnd w:id="295"/>
      <w:bookmarkStart w:id="296" w:name="2826-1539669662908"/>
      <w:bookmarkEnd w:id="296"/>
      <w:bookmarkStart w:id="297" w:name="9011-1539669662908"/>
      <w:bookmarkEnd w:id="297"/>
      <w:bookmarkStart w:id="298" w:name="8649-1539669662908"/>
      <w:bookmarkEnd w:id="298"/>
      <w:bookmarkStart w:id="299" w:name="2029-1539669662908"/>
      <w:bookmarkEnd w:id="299"/>
      <w:bookmarkStart w:id="300" w:name="2938-1539669662908"/>
      <w:bookmarkEnd w:id="300"/>
      <w:bookmarkStart w:id="301" w:name="6594-1539669662908"/>
      <w:bookmarkEnd w:id="301"/>
      <w:bookmarkStart w:id="302" w:name="6852-1539669662908"/>
      <w:bookmarkEnd w:id="302"/>
      <w:bookmarkStart w:id="303" w:name="3879-1539669662908"/>
      <w:bookmarkEnd w:id="303"/>
      <w:r>
        <w:rPr>
          <w:rFonts w:hint="eastAsia" w:ascii="Times New Roman" w:hAnsi="Times New Roman" w:cs="Times New Roman"/>
          <w:b/>
          <w:bCs/>
          <w:kern w:val="0"/>
          <w:sz w:val="30"/>
          <w:szCs w:val="30"/>
        </w:rPr>
        <w:t>包2：呼吸专科大数据平台</w:t>
      </w:r>
    </w:p>
    <w:p>
      <w:pPr>
        <w:pStyle w:val="4"/>
        <w:rPr>
          <w:rFonts w:ascii="仿宋" w:hAnsi="仿宋" w:cs="黑体"/>
          <w:sz w:val="24"/>
        </w:rPr>
      </w:pPr>
      <w:r>
        <w:rPr>
          <w:rFonts w:hint="eastAsia" w:ascii="仿宋" w:hAnsi="仿宋" w:cs="黑体"/>
          <w:sz w:val="24"/>
        </w:rPr>
        <w:t>一、项目概述：</w:t>
      </w:r>
    </w:p>
    <w:p>
      <w:pPr>
        <w:pStyle w:val="2"/>
        <w:ind w:left="0" w:leftChars="0"/>
        <w:rPr>
          <w:rFonts w:ascii="仿宋_GB2312" w:hAnsi="仿宋_GB2312" w:eastAsia="仿宋_GB2312" w:cs="仿宋_GB2312"/>
        </w:rPr>
      </w:pPr>
      <w:r>
        <w:rPr>
          <w:rFonts w:ascii="仿宋_GB2312" w:hAnsi="仿宋_GB2312" w:eastAsia="仿宋_GB2312" w:cs="仿宋_GB2312"/>
        </w:rPr>
        <w:t>本项目采购</w:t>
      </w:r>
      <w:r>
        <w:rPr>
          <w:rFonts w:hint="eastAsia" w:ascii="仿宋_GB2312" w:hAnsi="仿宋_GB2312" w:eastAsia="仿宋_GB2312" w:cs="仿宋_GB2312"/>
        </w:rPr>
        <w:t>呼吸专科大数据平台一套。</w:t>
      </w:r>
    </w:p>
    <w:p>
      <w:pPr>
        <w:pStyle w:val="4"/>
        <w:rPr>
          <w:rFonts w:ascii="仿宋" w:hAnsi="仿宋" w:cs="黑体"/>
          <w:sz w:val="24"/>
        </w:rPr>
      </w:pPr>
      <w:r>
        <w:rPr>
          <w:rFonts w:hint="eastAsia" w:ascii="仿宋" w:hAnsi="仿宋" w:cs="黑体"/>
          <w:sz w:val="24"/>
        </w:rPr>
        <w:t>二、商务要求：</w:t>
      </w:r>
    </w:p>
    <w:p>
      <w:pPr>
        <w:pStyle w:val="4"/>
        <w:ind w:right="240" w:rightChars="100"/>
        <w:rPr>
          <w:rFonts w:ascii="仿宋" w:hAnsi="仿宋" w:cs="仿宋"/>
          <w:sz w:val="24"/>
        </w:rPr>
      </w:pPr>
      <w:r>
        <w:rPr>
          <w:rFonts w:hint="eastAsia" w:ascii="仿宋" w:hAnsi="仿宋" w:cs="黑体"/>
          <w:b w:val="0"/>
          <w:sz w:val="24"/>
        </w:rPr>
        <w:t>★1、</w:t>
      </w:r>
      <w:r>
        <w:rPr>
          <w:rFonts w:hint="eastAsia" w:ascii="仿宋" w:hAnsi="仿宋" w:cs="仿宋"/>
          <w:sz w:val="24"/>
        </w:rPr>
        <w:t>质保期：系统自验收合格之日起一年。</w:t>
      </w:r>
    </w:p>
    <w:p>
      <w:pPr>
        <w:pStyle w:val="4"/>
        <w:ind w:right="240" w:rightChars="100"/>
        <w:rPr>
          <w:rFonts w:ascii="仿宋" w:hAnsi="仿宋" w:cs="仿宋"/>
          <w:sz w:val="24"/>
        </w:rPr>
      </w:pPr>
      <w:r>
        <w:rPr>
          <w:rFonts w:hint="eastAsia" w:ascii="仿宋" w:hAnsi="仿宋" w:cs="黑体"/>
          <w:b w:val="0"/>
          <w:sz w:val="24"/>
        </w:rPr>
        <w:t>★2、</w:t>
      </w:r>
      <w:r>
        <w:rPr>
          <w:rFonts w:hint="eastAsia" w:ascii="仿宋" w:hAnsi="仿宋" w:cs="仿宋"/>
          <w:sz w:val="24"/>
        </w:rPr>
        <w:t>售后服务要求</w:t>
      </w:r>
    </w:p>
    <w:p>
      <w:pPr>
        <w:pStyle w:val="69"/>
        <w:autoSpaceDE w:val="0"/>
        <w:autoSpaceDN w:val="0"/>
        <w:spacing w:line="480" w:lineRule="exact"/>
        <w:ind w:firstLine="480"/>
        <w:rPr>
          <w:rFonts w:ascii="仿宋" w:hAnsi="仿宋" w:cs="仿宋"/>
        </w:rPr>
      </w:pPr>
      <w:r>
        <w:rPr>
          <w:rFonts w:hint="eastAsia" w:ascii="仿宋" w:hAnsi="仿宋" w:cs="仿宋"/>
        </w:rPr>
        <w:t>（</w:t>
      </w:r>
      <w:r>
        <w:rPr>
          <w:rFonts w:ascii="仿宋" w:hAnsi="仿宋" w:cs="仿宋"/>
        </w:rPr>
        <w:t>1）系统验收后提供一年维保。提供7</w:t>
      </w:r>
      <w:r>
        <w:rPr>
          <w:rFonts w:hint="eastAsia" w:ascii="仿宋" w:hAnsi="仿宋" w:cs="仿宋"/>
        </w:rPr>
        <w:t>×</w:t>
      </w:r>
      <w:r>
        <w:rPr>
          <w:rFonts w:ascii="仿宋" w:hAnsi="仿宋" w:cs="仿宋"/>
        </w:rPr>
        <w:t>24电话支持、远程服务支持；简单故障2小时内解决，重大故障48小时内工程师到场解决。</w:t>
      </w:r>
    </w:p>
    <w:p>
      <w:pPr>
        <w:pStyle w:val="69"/>
        <w:autoSpaceDE w:val="0"/>
        <w:autoSpaceDN w:val="0"/>
        <w:spacing w:line="480" w:lineRule="exact"/>
        <w:ind w:firstLine="480"/>
        <w:rPr>
          <w:rFonts w:ascii="仿宋" w:hAnsi="仿宋" w:cs="仿宋"/>
        </w:rPr>
      </w:pPr>
      <w:r>
        <w:rPr>
          <w:rFonts w:hint="eastAsia" w:ascii="仿宋" w:hAnsi="仿宋" w:cs="仿宋"/>
        </w:rPr>
        <w:t>（</w:t>
      </w:r>
      <w:r>
        <w:rPr>
          <w:rFonts w:ascii="仿宋" w:hAnsi="仿宋" w:cs="仿宋"/>
        </w:rPr>
        <w:t>2）项目投标最终报价包含系统建设、测试、实施、培训、试运行的费用。</w:t>
      </w:r>
    </w:p>
    <w:p>
      <w:pPr>
        <w:pStyle w:val="69"/>
        <w:autoSpaceDE w:val="0"/>
        <w:autoSpaceDN w:val="0"/>
        <w:spacing w:line="480" w:lineRule="exact"/>
        <w:ind w:firstLine="480"/>
        <w:rPr>
          <w:rFonts w:ascii="仿宋" w:hAnsi="仿宋" w:cs="仿宋"/>
        </w:rPr>
      </w:pPr>
      <w:r>
        <w:rPr>
          <w:rFonts w:hint="eastAsia" w:ascii="仿宋" w:hAnsi="仿宋" w:cs="仿宋"/>
        </w:rPr>
        <w:t>（</w:t>
      </w:r>
      <w:r>
        <w:rPr>
          <w:rFonts w:ascii="仿宋" w:hAnsi="仿宋" w:cs="仿宋"/>
        </w:rPr>
        <w:t>3）投标人</w:t>
      </w:r>
      <w:r>
        <w:rPr>
          <w:rFonts w:hint="eastAsia" w:ascii="仿宋" w:hAnsi="仿宋" w:cs="仿宋"/>
        </w:rPr>
        <w:t>须承诺本项目采购的系统满足采购人使用需要，安装数量和用户数量以满足采购人实际需要为准。</w:t>
      </w:r>
    </w:p>
    <w:p>
      <w:pPr>
        <w:pStyle w:val="4"/>
        <w:ind w:right="240" w:rightChars="100"/>
        <w:rPr>
          <w:rFonts w:ascii="仿宋" w:hAnsi="仿宋" w:cs="仿宋"/>
          <w:sz w:val="24"/>
        </w:rPr>
      </w:pPr>
      <w:r>
        <w:rPr>
          <w:rFonts w:hint="eastAsia" w:ascii="仿宋" w:hAnsi="仿宋" w:cs="黑体"/>
          <w:sz w:val="24"/>
        </w:rPr>
        <w:t>★3、</w:t>
      </w:r>
      <w:bookmarkStart w:id="304" w:name="_Toc28870"/>
      <w:bookmarkStart w:id="305" w:name="_Toc24585101"/>
      <w:bookmarkStart w:id="306" w:name="_Toc80363538"/>
      <w:bookmarkStart w:id="307" w:name="_Toc24732"/>
      <w:r>
        <w:rPr>
          <w:rFonts w:hint="eastAsia" w:ascii="仿宋" w:hAnsi="仿宋" w:cs="仿宋"/>
          <w:sz w:val="24"/>
        </w:rPr>
        <w:t>项目实施与交付要求</w:t>
      </w:r>
      <w:bookmarkEnd w:id="304"/>
      <w:bookmarkEnd w:id="305"/>
      <w:bookmarkEnd w:id="306"/>
      <w:bookmarkEnd w:id="307"/>
    </w:p>
    <w:p>
      <w:pPr>
        <w:widowControl/>
        <w:spacing w:line="480" w:lineRule="exact"/>
        <w:ind w:firstLine="480"/>
        <w:rPr>
          <w:rFonts w:ascii="仿宋" w:hAnsi="仿宋" w:cs="仿宋"/>
        </w:rPr>
      </w:pPr>
      <w:r>
        <w:rPr>
          <w:rFonts w:hint="eastAsia" w:ascii="仿宋" w:hAnsi="仿宋" w:cs="仿宋"/>
        </w:rPr>
        <w:t>（</w:t>
      </w:r>
      <w:r>
        <w:rPr>
          <w:rFonts w:ascii="仿宋" w:hAnsi="仿宋" w:cs="仿宋"/>
        </w:rPr>
        <w:t xml:space="preserve">1）详细实施进度要求如下： </w:t>
      </w:r>
    </w:p>
    <w:p>
      <w:pPr>
        <w:spacing w:line="480" w:lineRule="exact"/>
        <w:ind w:firstLine="480"/>
        <w:rPr>
          <w:rFonts w:ascii="仿宋" w:hAnsi="仿宋" w:cs="仿宋"/>
        </w:rPr>
      </w:pPr>
      <w:r>
        <w:rPr>
          <w:rFonts w:hint="eastAsia" w:ascii="仿宋" w:hAnsi="仿宋" w:cs="仿宋"/>
        </w:rPr>
        <w:t>项目总建设周期为签订合同后</w:t>
      </w:r>
      <w:r>
        <w:rPr>
          <w:rFonts w:ascii="仿宋" w:hAnsi="仿宋" w:cs="仿宋"/>
        </w:rPr>
        <w:t xml:space="preserve"> 6 </w:t>
      </w:r>
      <w:r>
        <w:rPr>
          <w:rFonts w:hint="eastAsia" w:ascii="仿宋" w:hAnsi="仿宋" w:cs="仿宋"/>
        </w:rPr>
        <w:t>个自然月内完成所有工作。</w:t>
      </w:r>
    </w:p>
    <w:p>
      <w:pPr>
        <w:spacing w:line="480" w:lineRule="exact"/>
        <w:ind w:firstLine="480"/>
        <w:rPr>
          <w:rFonts w:ascii="仿宋" w:hAnsi="仿宋" w:cs="仿宋"/>
        </w:rPr>
      </w:pPr>
      <w:r>
        <w:rPr>
          <w:rFonts w:hint="eastAsia" w:ascii="仿宋" w:hAnsi="仿宋" w:cs="仿宋"/>
        </w:rPr>
        <w:t>项目交付地点：成都市第三人民医院指定地点。</w:t>
      </w:r>
    </w:p>
    <w:p>
      <w:pPr>
        <w:spacing w:line="480" w:lineRule="exact"/>
        <w:ind w:firstLine="480"/>
        <w:rPr>
          <w:rFonts w:ascii="仿宋" w:hAnsi="仿宋" w:cs="仿宋"/>
        </w:rPr>
      </w:pPr>
      <w:r>
        <w:rPr>
          <w:rFonts w:hint="eastAsia" w:ascii="仿宋" w:hAnsi="仿宋" w:cs="仿宋"/>
        </w:rPr>
        <w:t>（</w:t>
      </w:r>
      <w:r>
        <w:rPr>
          <w:rFonts w:ascii="仿宋" w:hAnsi="仿宋" w:cs="仿宋"/>
        </w:rPr>
        <w:t>2）测试要求</w:t>
      </w:r>
    </w:p>
    <w:p>
      <w:pPr>
        <w:numPr>
          <w:ilvl w:val="0"/>
          <w:numId w:val="3"/>
        </w:numPr>
        <w:spacing w:line="480" w:lineRule="exact"/>
        <w:ind w:firstLine="480"/>
        <w:rPr>
          <w:rFonts w:ascii="仿宋" w:hAnsi="仿宋" w:cs="仿宋"/>
        </w:rPr>
      </w:pPr>
      <w:r>
        <w:rPr>
          <w:rFonts w:hint="eastAsia" w:ascii="仿宋" w:hAnsi="仿宋" w:cs="仿宋"/>
        </w:rPr>
        <w:t>在测试阶段，要求中标单位具有完备的质量保证小组，对软件的实施、测试及版本进行管理，对承建项目的质量进行管理和控制。</w:t>
      </w:r>
    </w:p>
    <w:p>
      <w:pPr>
        <w:numPr>
          <w:ilvl w:val="0"/>
          <w:numId w:val="3"/>
        </w:numPr>
        <w:spacing w:line="480" w:lineRule="exact"/>
        <w:ind w:firstLine="480"/>
        <w:rPr>
          <w:rFonts w:ascii="仿宋" w:hAnsi="仿宋" w:cs="仿宋"/>
        </w:rPr>
      </w:pPr>
      <w:r>
        <w:rPr>
          <w:rFonts w:hint="eastAsia" w:ascii="仿宋" w:hAnsi="仿宋" w:cs="仿宋"/>
        </w:rPr>
        <w:t>使用专业的版本控制工具对开发程序的版本进行规范管理；</w:t>
      </w:r>
    </w:p>
    <w:p>
      <w:pPr>
        <w:numPr>
          <w:ilvl w:val="0"/>
          <w:numId w:val="3"/>
        </w:numPr>
        <w:spacing w:line="480" w:lineRule="exact"/>
        <w:ind w:firstLine="480"/>
        <w:rPr>
          <w:rFonts w:ascii="仿宋" w:hAnsi="仿宋" w:cs="仿宋"/>
        </w:rPr>
      </w:pPr>
      <w:r>
        <w:rPr>
          <w:rFonts w:hint="eastAsia" w:ascii="仿宋" w:hAnsi="仿宋" w:cs="仿宋"/>
        </w:rPr>
        <w:t>建立一套切实可行的测试制度及管理方法；</w:t>
      </w:r>
    </w:p>
    <w:p>
      <w:pPr>
        <w:numPr>
          <w:ilvl w:val="0"/>
          <w:numId w:val="3"/>
        </w:numPr>
        <w:spacing w:line="480" w:lineRule="exact"/>
        <w:ind w:firstLine="480"/>
        <w:rPr>
          <w:rFonts w:ascii="仿宋" w:hAnsi="仿宋" w:cs="仿宋"/>
        </w:rPr>
      </w:pPr>
      <w:r>
        <w:rPr>
          <w:rFonts w:hint="eastAsia" w:ascii="仿宋" w:hAnsi="仿宋" w:cs="仿宋"/>
        </w:rPr>
        <w:t>要求中标单位拥有测试工具，对系统进行压力和性能测试，确保在系统交付时能够流畅运行。</w:t>
      </w:r>
    </w:p>
    <w:p>
      <w:pPr>
        <w:spacing w:line="480" w:lineRule="exact"/>
        <w:ind w:firstLine="480"/>
        <w:rPr>
          <w:rFonts w:ascii="仿宋" w:hAnsi="仿宋" w:cs="仿宋"/>
        </w:rPr>
      </w:pPr>
      <w:r>
        <w:rPr>
          <w:rFonts w:hint="eastAsia" w:ascii="仿宋" w:hAnsi="仿宋" w:cs="仿宋"/>
        </w:rPr>
        <w:t>（</w:t>
      </w:r>
      <w:r>
        <w:rPr>
          <w:rFonts w:ascii="仿宋" w:hAnsi="仿宋" w:cs="仿宋"/>
        </w:rPr>
        <w:t>3）项目文档</w:t>
      </w:r>
    </w:p>
    <w:p>
      <w:pPr>
        <w:spacing w:line="480" w:lineRule="exact"/>
        <w:ind w:firstLine="480"/>
        <w:rPr>
          <w:rFonts w:ascii="仿宋" w:hAnsi="仿宋" w:cs="仿宋"/>
        </w:rPr>
      </w:pPr>
      <w:r>
        <w:rPr>
          <w:rFonts w:hint="eastAsia" w:ascii="仿宋" w:hAnsi="仿宋" w:cs="仿宋"/>
        </w:rPr>
        <w:t>供应商在项目建设的各个阶段及时提交建设成果，主要包括以下内容：</w:t>
      </w:r>
    </w:p>
    <w:p>
      <w:pPr>
        <w:numPr>
          <w:ilvl w:val="0"/>
          <w:numId w:val="4"/>
        </w:numPr>
        <w:spacing w:line="480" w:lineRule="exact"/>
        <w:ind w:firstLine="480"/>
        <w:rPr>
          <w:rFonts w:ascii="仿宋" w:hAnsi="仿宋" w:cs="仿宋"/>
        </w:rPr>
      </w:pPr>
      <w:r>
        <w:rPr>
          <w:rFonts w:hint="eastAsia" w:ascii="仿宋" w:hAnsi="仿宋" w:cs="仿宋"/>
        </w:rPr>
        <w:t>项目启动阶段：项目实施方案。</w:t>
      </w:r>
    </w:p>
    <w:p>
      <w:pPr>
        <w:numPr>
          <w:ilvl w:val="0"/>
          <w:numId w:val="4"/>
        </w:numPr>
        <w:spacing w:line="480" w:lineRule="exact"/>
        <w:ind w:firstLine="480"/>
        <w:rPr>
          <w:rFonts w:ascii="仿宋" w:hAnsi="仿宋" w:cs="仿宋"/>
        </w:rPr>
      </w:pPr>
      <w:r>
        <w:rPr>
          <w:rFonts w:hint="eastAsia" w:ascii="仿宋" w:hAnsi="仿宋" w:cs="仿宋"/>
        </w:rPr>
        <w:t>系统设计、开发阶段：需求规格说明书和项目设计说明书；</w:t>
      </w:r>
    </w:p>
    <w:p>
      <w:pPr>
        <w:numPr>
          <w:ilvl w:val="0"/>
          <w:numId w:val="4"/>
        </w:numPr>
        <w:spacing w:line="480" w:lineRule="exact"/>
        <w:ind w:firstLine="480"/>
        <w:rPr>
          <w:rFonts w:ascii="仿宋" w:hAnsi="仿宋" w:cs="仿宋"/>
        </w:rPr>
      </w:pPr>
      <w:r>
        <w:rPr>
          <w:rFonts w:hint="eastAsia" w:ascii="仿宋" w:hAnsi="仿宋" w:cs="仿宋"/>
        </w:rPr>
        <w:t>系统实施阶段：软件安装说明书、软件使用说明书、系统培训手册。</w:t>
      </w:r>
    </w:p>
    <w:p>
      <w:pPr>
        <w:numPr>
          <w:ilvl w:val="0"/>
          <w:numId w:val="4"/>
        </w:numPr>
        <w:spacing w:line="480" w:lineRule="exact"/>
        <w:ind w:firstLine="480"/>
        <w:rPr>
          <w:rFonts w:ascii="仿宋" w:hAnsi="仿宋" w:cs="仿宋"/>
        </w:rPr>
      </w:pPr>
      <w:r>
        <w:rPr>
          <w:rFonts w:hint="eastAsia" w:ascii="仿宋" w:hAnsi="仿宋" w:cs="仿宋"/>
        </w:rPr>
        <w:t>项目验收阶段：</w:t>
      </w:r>
      <w:r>
        <w:rPr>
          <w:rFonts w:ascii="仿宋" w:hAnsi="仿宋" w:cs="仿宋"/>
        </w:rPr>
        <w:t>1、测试报告、2、项目验收报告。</w:t>
      </w:r>
    </w:p>
    <w:p>
      <w:pPr>
        <w:spacing w:line="480" w:lineRule="exact"/>
        <w:ind w:firstLine="480"/>
        <w:rPr>
          <w:rFonts w:ascii="仿宋" w:hAnsi="仿宋" w:cs="仿宋"/>
        </w:rPr>
      </w:pPr>
      <w:r>
        <w:rPr>
          <w:rFonts w:hint="eastAsia" w:ascii="仿宋" w:hAnsi="仿宋" w:cs="仿宋"/>
        </w:rPr>
        <w:t>（</w:t>
      </w:r>
      <w:r>
        <w:rPr>
          <w:rFonts w:ascii="仿宋" w:hAnsi="仿宋" w:cs="仿宋"/>
        </w:rPr>
        <w:t>4）</w:t>
      </w:r>
      <w:r>
        <w:rPr>
          <w:rFonts w:hint="eastAsia" w:ascii="仿宋" w:hAnsi="仿宋" w:cs="仿宋"/>
        </w:rPr>
        <w:t>项目培训要求</w:t>
      </w:r>
    </w:p>
    <w:p>
      <w:pPr>
        <w:widowControl/>
        <w:spacing w:line="480" w:lineRule="exact"/>
        <w:ind w:firstLine="480"/>
        <w:rPr>
          <w:rFonts w:ascii="仿宋" w:hAnsi="仿宋" w:cs="仿宋"/>
        </w:rPr>
      </w:pPr>
      <w:r>
        <w:rPr>
          <w:rFonts w:hint="eastAsia" w:ascii="仿宋" w:hAnsi="仿宋" w:cs="仿宋"/>
        </w:rPr>
        <w:t>供应商须提出详细的项目培训计划，具体如下：</w:t>
      </w:r>
    </w:p>
    <w:p>
      <w:pPr>
        <w:widowControl/>
        <w:spacing w:line="480" w:lineRule="exact"/>
        <w:ind w:firstLine="480"/>
        <w:rPr>
          <w:rFonts w:ascii="仿宋" w:hAnsi="仿宋" w:cs="仿宋"/>
        </w:rPr>
      </w:pPr>
      <w:r>
        <w:rPr>
          <w:rFonts w:ascii="仿宋" w:hAnsi="仿宋" w:cs="仿宋"/>
        </w:rPr>
        <w:t>①</w:t>
      </w:r>
      <w:r>
        <w:rPr>
          <w:rFonts w:hint="eastAsia" w:ascii="仿宋" w:hAnsi="仿宋" w:cs="仿宋"/>
        </w:rPr>
        <w:t>对系统使用人员、系统运行维护管理人员等不同对象的培训计划；</w:t>
      </w:r>
    </w:p>
    <w:p>
      <w:pPr>
        <w:widowControl/>
        <w:spacing w:line="480" w:lineRule="exact"/>
        <w:ind w:firstLine="480"/>
        <w:rPr>
          <w:rFonts w:ascii="仿宋" w:hAnsi="仿宋" w:cs="仿宋"/>
        </w:rPr>
      </w:pPr>
      <w:r>
        <w:rPr>
          <w:rFonts w:ascii="仿宋" w:hAnsi="仿宋" w:cs="仿宋"/>
        </w:rPr>
        <w:t>②</w:t>
      </w:r>
      <w:r>
        <w:rPr>
          <w:rFonts w:hint="eastAsia" w:ascii="仿宋" w:hAnsi="仿宋" w:cs="仿宋"/>
        </w:rPr>
        <w:t>培训课程安排、培训方式及时间；地点场所由采购人提供；</w:t>
      </w:r>
    </w:p>
    <w:p>
      <w:pPr>
        <w:widowControl/>
        <w:spacing w:line="480" w:lineRule="exact"/>
        <w:ind w:firstLine="480"/>
        <w:rPr>
          <w:rFonts w:ascii="仿宋" w:hAnsi="仿宋" w:cs="仿宋"/>
        </w:rPr>
      </w:pPr>
      <w:r>
        <w:rPr>
          <w:rFonts w:ascii="仿宋" w:hAnsi="仿宋" w:cs="仿宋"/>
        </w:rPr>
        <w:t>③</w:t>
      </w:r>
      <w:r>
        <w:rPr>
          <w:rFonts w:hint="eastAsia" w:ascii="仿宋" w:hAnsi="仿宋" w:cs="仿宋"/>
        </w:rPr>
        <w:t>提供系统操作培训：主要面向医院护士及相关管理部门等使用系统的人员，提供操作培训；</w:t>
      </w:r>
    </w:p>
    <w:p>
      <w:pPr>
        <w:widowControl/>
        <w:spacing w:line="480" w:lineRule="exact"/>
        <w:ind w:firstLine="480"/>
        <w:rPr>
          <w:rFonts w:ascii="仿宋" w:hAnsi="仿宋" w:cs="仿宋"/>
        </w:rPr>
      </w:pPr>
      <w:r>
        <w:rPr>
          <w:rFonts w:hint="eastAsia" w:ascii="仿宋" w:hAnsi="仿宋" w:cs="仿宋"/>
        </w:rPr>
        <w:t>④提供系统日常维护系统培训：主要面向医院信息管理技术人员（至少</w:t>
      </w:r>
      <w:r>
        <w:rPr>
          <w:rFonts w:ascii="仿宋" w:hAnsi="仿宋" w:cs="仿宋"/>
        </w:rPr>
        <w:t>2名）进行培训，使其具备独立进行系统日常维护、故障的诊断与处理等方面的培训。</w:t>
      </w:r>
    </w:p>
    <w:p>
      <w:pPr>
        <w:widowControl/>
        <w:spacing w:line="480" w:lineRule="exact"/>
        <w:ind w:firstLine="480"/>
        <w:rPr>
          <w:rFonts w:ascii="仿宋" w:hAnsi="仿宋" w:cs="仿宋"/>
        </w:rPr>
      </w:pPr>
      <w:r>
        <w:rPr>
          <w:rFonts w:hint="eastAsia" w:ascii="仿宋" w:hAnsi="仿宋" w:cs="仿宋"/>
        </w:rPr>
        <w:t>⑤至少提供</w:t>
      </w:r>
      <w:r>
        <w:rPr>
          <w:rFonts w:ascii="仿宋" w:hAnsi="仿宋" w:cs="仿宋"/>
        </w:rPr>
        <w:t>1名工程师</w:t>
      </w:r>
      <w:r>
        <w:rPr>
          <w:rFonts w:hint="eastAsia" w:ascii="仿宋" w:hAnsi="仿宋" w:cs="仿宋"/>
        </w:rPr>
        <w:t>进行现场培训。</w:t>
      </w:r>
    </w:p>
    <w:p>
      <w:pPr>
        <w:spacing w:line="480" w:lineRule="exact"/>
        <w:ind w:firstLine="480"/>
        <w:rPr>
          <w:rFonts w:ascii="仿宋" w:hAnsi="仿宋" w:cs="仿宋"/>
        </w:rPr>
      </w:pPr>
      <w:r>
        <w:rPr>
          <w:rFonts w:hint="eastAsia" w:ascii="仿宋" w:hAnsi="仿宋" w:cs="仿宋"/>
        </w:rPr>
        <w:t>（</w:t>
      </w:r>
      <w:r>
        <w:rPr>
          <w:rFonts w:ascii="仿宋" w:hAnsi="仿宋" w:cs="仿宋"/>
        </w:rPr>
        <w:t>5）</w:t>
      </w:r>
      <w:r>
        <w:rPr>
          <w:rFonts w:hint="eastAsia" w:ascii="仿宋" w:hAnsi="仿宋" w:cs="仿宋"/>
        </w:rPr>
        <w:t>项目验收要求</w:t>
      </w:r>
    </w:p>
    <w:p>
      <w:pPr>
        <w:widowControl/>
        <w:spacing w:line="480" w:lineRule="exact"/>
        <w:ind w:firstLine="480"/>
        <w:rPr>
          <w:rFonts w:ascii="仿宋" w:hAnsi="仿宋" w:cs="仿宋"/>
        </w:rPr>
      </w:pPr>
      <w:r>
        <w:rPr>
          <w:rFonts w:ascii="仿宋" w:hAnsi="仿宋" w:cs="仿宋"/>
        </w:rPr>
        <w:t>①</w:t>
      </w:r>
      <w:r>
        <w:rPr>
          <w:rFonts w:hint="eastAsia" w:ascii="仿宋" w:hAnsi="仿宋" w:cs="仿宋"/>
        </w:rPr>
        <w:t>完成项目规定的既定目标且试运行满</w:t>
      </w:r>
      <w:r>
        <w:rPr>
          <w:rFonts w:ascii="仿宋" w:hAnsi="仿宋" w:cs="仿宋"/>
        </w:rPr>
        <w:t>30日以上，无重大问题，由供应商向招标人提出验收申请，招标人负责组织项目验收。</w:t>
      </w:r>
    </w:p>
    <w:p>
      <w:pPr>
        <w:widowControl/>
        <w:spacing w:line="480" w:lineRule="exact"/>
        <w:ind w:firstLine="480"/>
        <w:rPr>
          <w:rFonts w:ascii="仿宋" w:hAnsi="仿宋" w:cs="仿宋"/>
        </w:rPr>
      </w:pPr>
      <w:r>
        <w:rPr>
          <w:rFonts w:ascii="仿宋" w:hAnsi="仿宋" w:cs="仿宋"/>
        </w:rPr>
        <w:t>②</w:t>
      </w:r>
      <w:r>
        <w:rPr>
          <w:rFonts w:hint="eastAsia" w:ascii="仿宋" w:hAnsi="仿宋" w:cs="仿宋"/>
        </w:rPr>
        <w:t>验收组织：成立由招标人、供应商以及其他有关人员组成的验收小组，负责对整个系统进行全面的验收。</w:t>
      </w:r>
    </w:p>
    <w:p>
      <w:pPr>
        <w:widowControl/>
        <w:spacing w:line="480" w:lineRule="exact"/>
        <w:ind w:firstLine="480"/>
        <w:rPr>
          <w:rFonts w:ascii="仿宋" w:hAnsi="仿宋" w:cs="仿宋"/>
        </w:rPr>
      </w:pPr>
      <w:r>
        <w:rPr>
          <w:rFonts w:ascii="仿宋" w:hAnsi="仿宋" w:cs="仿宋"/>
        </w:rPr>
        <w:t>③</w:t>
      </w:r>
      <w:r>
        <w:rPr>
          <w:rFonts w:hint="eastAsia" w:ascii="仿宋" w:hAnsi="仿宋" w:cs="仿宋"/>
        </w:rPr>
        <w:t>验收标准：依据招标文件及相关需求文档，从系统的实用性、稳定性、可维护性、灵活性、可操作性等方面全面组织验收。</w:t>
      </w:r>
    </w:p>
    <w:p>
      <w:pPr>
        <w:widowControl/>
        <w:spacing w:line="480" w:lineRule="exact"/>
        <w:ind w:firstLine="480"/>
        <w:rPr>
          <w:rFonts w:ascii="仿宋" w:hAnsi="仿宋" w:cs="仿宋"/>
        </w:rPr>
      </w:pPr>
      <w:r>
        <w:rPr>
          <w:rFonts w:hint="eastAsia" w:ascii="仿宋" w:hAnsi="仿宋" w:cs="仿宋"/>
        </w:rPr>
        <w:t>④验收条件：整理本次项目相关文档，提交给用户；所有合同范围内业务系统均全部完成上线，正常试运行至少满</w:t>
      </w:r>
      <w:r>
        <w:rPr>
          <w:rFonts w:ascii="仿宋" w:hAnsi="仿宋" w:cs="仿宋"/>
        </w:rPr>
        <w:t>30天。</w:t>
      </w:r>
    </w:p>
    <w:p>
      <w:pPr>
        <w:spacing w:line="480" w:lineRule="exact"/>
        <w:ind w:firstLine="480"/>
        <w:rPr>
          <w:rFonts w:ascii="仿宋" w:hAnsi="仿宋" w:cs="仿宋"/>
        </w:rPr>
      </w:pPr>
      <w:r>
        <w:rPr>
          <w:rFonts w:hint="eastAsia" w:ascii="仿宋" w:hAnsi="仿宋" w:cs="仿宋"/>
        </w:rPr>
        <w:t>⑤向采购人供的验收材料包括：</w:t>
      </w:r>
    </w:p>
    <w:p>
      <w:pPr>
        <w:pStyle w:val="98"/>
        <w:spacing w:line="480" w:lineRule="exact"/>
        <w:ind w:left="0" w:firstLine="480" w:firstLineChars="200"/>
        <w:rPr>
          <w:rFonts w:ascii="仿宋" w:hAnsi="仿宋" w:cs="仿宋"/>
          <w:color w:val="auto"/>
          <w:kern w:val="2"/>
          <w:lang w:val="en-US"/>
        </w:rPr>
      </w:pPr>
      <w:r>
        <w:rPr>
          <w:rFonts w:hint="eastAsia" w:ascii="仿宋" w:hAnsi="仿宋" w:cs="仿宋"/>
          <w:color w:val="auto"/>
          <w:kern w:val="2"/>
          <w:lang w:val="en-US"/>
        </w:rPr>
        <w:t>技术文档：用户调查与需求分析报告、系统概要设计方案、项目实施计划、项目实施过程文档、功能规格说明书、系统详细设计说明书、系统模块设计说明书、系统维护手册、用户操作手册、测试报告、用户使用报告、验收报告、软件安装程序说明（一式两份）、验收报告纸质版</w:t>
      </w:r>
      <w:r>
        <w:rPr>
          <w:rFonts w:ascii="仿宋" w:hAnsi="仿宋" w:cs="仿宋"/>
          <w:color w:val="auto"/>
          <w:kern w:val="2"/>
          <w:lang w:val="en-US"/>
        </w:rPr>
        <w:t xml:space="preserve">5份、PDF电子版（含印章）一套，电子版与纸质版必须保持一致。 </w:t>
      </w:r>
    </w:p>
    <w:p>
      <w:pPr>
        <w:pStyle w:val="4"/>
        <w:ind w:right="240" w:rightChars="100"/>
        <w:rPr>
          <w:rFonts w:ascii="仿宋" w:hAnsi="仿宋" w:cs="仿宋"/>
          <w:sz w:val="24"/>
        </w:rPr>
      </w:pPr>
      <w:r>
        <w:rPr>
          <w:rFonts w:hint="eastAsia" w:ascii="仿宋" w:hAnsi="仿宋" w:cs="黑体"/>
          <w:b w:val="0"/>
          <w:sz w:val="24"/>
        </w:rPr>
        <w:t>★4、</w:t>
      </w:r>
      <w:r>
        <w:rPr>
          <w:rFonts w:hint="eastAsia" w:ascii="仿宋" w:hAnsi="仿宋" w:cs="仿宋"/>
          <w:sz w:val="24"/>
        </w:rPr>
        <w:t>付款方式</w:t>
      </w:r>
    </w:p>
    <w:p>
      <w:pPr>
        <w:pStyle w:val="99"/>
        <w:ind w:firstLine="482"/>
        <w:rPr>
          <w:rFonts w:ascii="仿宋" w:hAnsi="仿宋"/>
          <w:color w:val="auto"/>
        </w:rPr>
      </w:pPr>
      <w:r>
        <w:rPr>
          <w:rFonts w:hint="eastAsia" w:ascii="仿宋" w:hAnsi="仿宋"/>
          <w:color w:val="auto"/>
        </w:rPr>
        <w:t>本建设项目付款方式：</w:t>
      </w:r>
    </w:p>
    <w:p>
      <w:pPr>
        <w:pStyle w:val="99"/>
        <w:ind w:firstLine="482"/>
        <w:rPr>
          <w:rFonts w:hint="eastAsia" w:ascii="仿宋" w:hAnsi="仿宋"/>
          <w:color w:val="auto"/>
        </w:rPr>
      </w:pPr>
      <w:r>
        <w:rPr>
          <w:rFonts w:hint="eastAsia" w:ascii="仿宋" w:hAnsi="仿宋"/>
          <w:color w:val="auto"/>
        </w:rPr>
        <w:t>合同签订后，5个工作日内向中标人支付合同总金额的40%预付款；项目整体验收完成后，收到发票后15日内支付合同总金额的55%；剩余合同总金额的5%从验收合格之日起一年满后收到发票后15日内支付（不计利息）。</w:t>
      </w:r>
    </w:p>
    <w:p>
      <w:pPr>
        <w:pStyle w:val="99"/>
        <w:ind w:firstLine="482"/>
        <w:rPr>
          <w:rFonts w:ascii="仿宋" w:hAnsi="仿宋"/>
          <w:color w:val="auto"/>
        </w:rPr>
      </w:pPr>
      <w:r>
        <w:rPr>
          <w:rFonts w:hint="eastAsia" w:ascii="仿宋" w:hAnsi="仿宋"/>
          <w:color w:val="auto"/>
        </w:rPr>
        <w:t>中标人凭以下有效文件与采购人结算：（</w:t>
      </w:r>
      <w:r>
        <w:rPr>
          <w:rFonts w:ascii="仿宋" w:hAnsi="仿宋"/>
          <w:color w:val="auto"/>
        </w:rPr>
        <w:t>1</w:t>
      </w:r>
      <w:r>
        <w:rPr>
          <w:rFonts w:hint="eastAsia" w:ascii="仿宋" w:hAnsi="仿宋"/>
          <w:color w:val="auto"/>
        </w:rPr>
        <w:t>）合同；（</w:t>
      </w:r>
      <w:r>
        <w:rPr>
          <w:rFonts w:ascii="仿宋" w:hAnsi="仿宋"/>
          <w:color w:val="auto"/>
        </w:rPr>
        <w:t>2</w:t>
      </w:r>
      <w:r>
        <w:rPr>
          <w:rFonts w:hint="eastAsia" w:ascii="仿宋" w:hAnsi="仿宋"/>
          <w:color w:val="auto"/>
        </w:rPr>
        <w:t>）中标人开具的正式发票；（</w:t>
      </w:r>
      <w:r>
        <w:rPr>
          <w:rFonts w:ascii="仿宋" w:hAnsi="仿宋"/>
          <w:color w:val="auto"/>
        </w:rPr>
        <w:t>3</w:t>
      </w:r>
      <w:r>
        <w:rPr>
          <w:rFonts w:hint="eastAsia" w:ascii="仿宋" w:hAnsi="仿宋"/>
          <w:color w:val="auto"/>
        </w:rPr>
        <w:t>）验收报告（加盖采购人公章，预付款除外）；（</w:t>
      </w:r>
      <w:r>
        <w:rPr>
          <w:rFonts w:ascii="仿宋" w:hAnsi="仿宋"/>
          <w:color w:val="auto"/>
        </w:rPr>
        <w:t>4</w:t>
      </w:r>
      <w:r>
        <w:rPr>
          <w:rFonts w:hint="eastAsia" w:ascii="仿宋" w:hAnsi="仿宋"/>
          <w:color w:val="auto"/>
        </w:rPr>
        <w:t>）中标通知书。</w:t>
      </w:r>
    </w:p>
    <w:p>
      <w:pPr>
        <w:pStyle w:val="4"/>
        <w:ind w:right="240" w:rightChars="100"/>
        <w:rPr>
          <w:rFonts w:ascii="仿宋" w:hAnsi="仿宋" w:cs="仿宋"/>
          <w:sz w:val="24"/>
        </w:rPr>
      </w:pPr>
      <w:r>
        <w:rPr>
          <w:rFonts w:hint="eastAsia" w:ascii="仿宋" w:hAnsi="仿宋" w:cs="黑体"/>
          <w:sz w:val="24"/>
        </w:rPr>
        <w:t>★5、</w:t>
      </w:r>
      <w:r>
        <w:rPr>
          <w:rFonts w:ascii="仿宋" w:hAnsi="仿宋" w:cs="仿宋"/>
          <w:sz w:val="24"/>
        </w:rPr>
        <w:t>其他要求</w:t>
      </w:r>
    </w:p>
    <w:p>
      <w:pPr>
        <w:pStyle w:val="99"/>
        <w:rPr>
          <w:rFonts w:ascii="仿宋" w:hAnsi="仿宋"/>
          <w:color w:val="auto"/>
        </w:rPr>
      </w:pPr>
      <w:r>
        <w:rPr>
          <w:rFonts w:ascii="仿宋" w:hAnsi="仿宋"/>
          <w:color w:val="auto"/>
        </w:rPr>
        <w:t>1.</w:t>
      </w:r>
      <w:r>
        <w:rPr>
          <w:rFonts w:ascii="仿宋" w:hAnsi="仿宋"/>
          <w:color w:val="auto"/>
        </w:rPr>
        <w:tab/>
      </w:r>
      <w:r>
        <w:rPr>
          <w:rFonts w:ascii="仿宋" w:hAnsi="仿宋"/>
          <w:color w:val="auto"/>
        </w:rPr>
        <w:t>终端要求能够支持windows7、windows10等32位/64位操作系统，支持chrome、firefox、Edge等主流浏览器，且持续支持主流的web标准；</w:t>
      </w:r>
    </w:p>
    <w:p>
      <w:pPr>
        <w:pStyle w:val="99"/>
        <w:rPr>
          <w:rFonts w:ascii="仿宋" w:hAnsi="仿宋"/>
          <w:color w:val="auto"/>
        </w:rPr>
      </w:pPr>
      <w:r>
        <w:rPr>
          <w:rFonts w:ascii="仿宋" w:hAnsi="仿宋"/>
          <w:color w:val="auto"/>
        </w:rPr>
        <w:t>2.</w:t>
      </w:r>
      <w:r>
        <w:rPr>
          <w:rFonts w:ascii="仿宋" w:hAnsi="仿宋"/>
          <w:color w:val="auto"/>
        </w:rPr>
        <w:tab/>
      </w:r>
      <w:r>
        <w:rPr>
          <w:rFonts w:ascii="仿宋" w:hAnsi="仿宋"/>
          <w:color w:val="auto"/>
        </w:rPr>
        <w:t>对医院开放数据(数据库、文件等)读取使用权限；</w:t>
      </w:r>
    </w:p>
    <w:p>
      <w:pPr>
        <w:pStyle w:val="99"/>
        <w:rPr>
          <w:rFonts w:ascii="仿宋" w:hAnsi="仿宋"/>
          <w:color w:val="auto"/>
        </w:rPr>
      </w:pPr>
      <w:r>
        <w:rPr>
          <w:rFonts w:ascii="仿宋" w:hAnsi="仿宋"/>
          <w:color w:val="auto"/>
        </w:rPr>
        <w:t>3.</w:t>
      </w:r>
      <w:r>
        <w:rPr>
          <w:rFonts w:ascii="仿宋" w:hAnsi="仿宋"/>
          <w:color w:val="auto"/>
        </w:rPr>
        <w:tab/>
      </w:r>
      <w:r>
        <w:rPr>
          <w:rFonts w:ascii="仿宋" w:hAnsi="仿宋"/>
          <w:color w:val="auto"/>
        </w:rPr>
        <w:t>系统能够通过多种方式(不限于webservice、消息队列等)对接院内的其他业务系统或者集成平台。</w:t>
      </w:r>
    </w:p>
    <w:p>
      <w:pPr>
        <w:pStyle w:val="99"/>
        <w:rPr>
          <w:rFonts w:ascii="仿宋" w:hAnsi="仿宋"/>
          <w:color w:val="auto"/>
        </w:rPr>
      </w:pPr>
      <w:r>
        <w:rPr>
          <w:rFonts w:ascii="仿宋" w:hAnsi="仿宋"/>
          <w:color w:val="auto"/>
        </w:rPr>
        <w:t>4.</w:t>
      </w:r>
      <w:r>
        <w:rPr>
          <w:rFonts w:ascii="仿宋" w:hAnsi="仿宋"/>
          <w:color w:val="auto"/>
        </w:rPr>
        <w:tab/>
      </w:r>
      <w:r>
        <w:rPr>
          <w:rFonts w:ascii="仿宋" w:hAnsi="仿宋"/>
          <w:color w:val="auto"/>
        </w:rPr>
        <w:t>系统能够根据医院的技术路线调整其架构，系统涉及外网的接口必须满足医院信息安全架构及规范要求；内网接口必须符合医院内网系统架构设计，按照医院约定方式(集成平台等)进行消息交互；</w:t>
      </w:r>
    </w:p>
    <w:p>
      <w:pPr>
        <w:pStyle w:val="99"/>
        <w:ind w:firstLineChars="200"/>
        <w:rPr>
          <w:rFonts w:ascii="仿宋" w:hAnsi="仿宋"/>
          <w:color w:val="auto"/>
        </w:rPr>
      </w:pPr>
      <w:r>
        <w:rPr>
          <w:rFonts w:ascii="仿宋" w:hAnsi="仿宋"/>
          <w:color w:val="auto"/>
        </w:rPr>
        <w:t>5.</w:t>
      </w:r>
      <w:r>
        <w:rPr>
          <w:rFonts w:ascii="仿宋" w:hAnsi="仿宋"/>
          <w:color w:val="auto"/>
        </w:rPr>
        <w:tab/>
      </w:r>
      <w:r>
        <w:rPr>
          <w:rFonts w:ascii="仿宋" w:hAnsi="仿宋"/>
          <w:color w:val="auto"/>
        </w:rPr>
        <w:t>需配合医院进行互联互通五级乙等、电子病历五级与六级评级、智慧服务三级与四级、智慧医院三星等信息标准化建设</w:t>
      </w:r>
      <w:r>
        <w:rPr>
          <w:rFonts w:hint="eastAsia" w:ascii="仿宋" w:hAnsi="仿宋" w:cs="仿宋"/>
          <w:color w:val="auto"/>
        </w:rPr>
        <w:t>（费用包含在投标报价中）</w:t>
      </w:r>
      <w:r>
        <w:rPr>
          <w:rFonts w:ascii="仿宋" w:hAnsi="仿宋"/>
          <w:color w:val="auto"/>
        </w:rPr>
        <w:t>。</w:t>
      </w:r>
    </w:p>
    <w:p>
      <w:pPr>
        <w:pStyle w:val="4"/>
        <w:rPr>
          <w:rFonts w:ascii="仿宋" w:hAnsi="仿宋" w:cs="黑体"/>
          <w:sz w:val="24"/>
        </w:rPr>
      </w:pPr>
      <w:r>
        <w:rPr>
          <w:rFonts w:hint="eastAsia" w:ascii="仿宋" w:hAnsi="仿宋" w:cs="黑体"/>
          <w:sz w:val="24"/>
        </w:rPr>
        <w:t>三、技术、服务要求：</w:t>
      </w:r>
    </w:p>
    <w:p>
      <w:pPr>
        <w:rPr>
          <w:rFonts w:ascii="仿宋" w:hAnsi="仿宋"/>
        </w:rPr>
      </w:pPr>
      <w:r>
        <w:rPr>
          <w:rFonts w:hint="eastAsia" w:ascii="仿宋" w:hAnsi="仿宋"/>
        </w:rPr>
        <w:t>备注：下述“</w:t>
      </w:r>
      <w:r>
        <w:rPr>
          <w:rFonts w:hint="eastAsia" w:ascii="仿宋" w:hAnsi="仿宋" w:cs="仿宋"/>
          <w:bCs/>
        </w:rPr>
        <w:t>▲</w:t>
      </w:r>
      <w:r>
        <w:rPr>
          <w:rFonts w:hint="eastAsia" w:ascii="仿宋" w:hAnsi="仿宋"/>
        </w:rPr>
        <w:t>”项条款，均需提供清晰系统截图作为证明材料，否则视为对应条款不满足。</w:t>
      </w:r>
    </w:p>
    <w:p>
      <w:pPr>
        <w:pStyle w:val="4"/>
        <w:numPr>
          <w:ilvl w:val="0"/>
          <w:numId w:val="5"/>
        </w:numPr>
        <w:ind w:right="240" w:rightChars="100"/>
        <w:rPr>
          <w:rFonts w:ascii="仿宋" w:hAnsi="仿宋" w:cs="仿宋"/>
          <w:sz w:val="24"/>
        </w:rPr>
      </w:pPr>
      <w:bookmarkStart w:id="308" w:name="_Toc80363529"/>
      <w:r>
        <w:rPr>
          <w:rFonts w:hint="eastAsia" w:ascii="仿宋" w:hAnsi="仿宋" w:cs="仿宋"/>
          <w:sz w:val="24"/>
        </w:rPr>
        <w:t>数据采集与治理</w:t>
      </w:r>
      <w:bookmarkEnd w:id="308"/>
    </w:p>
    <w:p>
      <w:pPr>
        <w:pStyle w:val="4"/>
        <w:ind w:right="240" w:rightChars="100"/>
        <w:rPr>
          <w:rFonts w:ascii="仿宋" w:hAnsi="仿宋" w:cs="仿宋"/>
          <w:sz w:val="24"/>
        </w:rPr>
      </w:pPr>
      <w:r>
        <w:rPr>
          <w:rFonts w:hint="eastAsia" w:ascii="仿宋" w:hAnsi="仿宋" w:cs="仿宋"/>
          <w:sz w:val="24"/>
        </w:rPr>
        <w:t>1.1多源异构数据采集</w:t>
      </w:r>
    </w:p>
    <w:p>
      <w:pPr>
        <w:ind w:firstLine="480"/>
        <w:rPr>
          <w:rFonts w:ascii="仿宋" w:hAnsi="仿宋" w:cs="仿宋"/>
        </w:rPr>
      </w:pPr>
      <w:r>
        <w:rPr>
          <w:rFonts w:hint="eastAsia" w:ascii="仿宋" w:hAnsi="仿宋" w:cs="仿宋"/>
        </w:rPr>
        <w:t>通过与院内集成平台及业务系统（如：</w:t>
      </w:r>
      <w:r>
        <w:rPr>
          <w:rFonts w:ascii="仿宋" w:hAnsi="仿宋" w:cs="仿宋"/>
        </w:rPr>
        <w:t>HIS/LIS/PACS/EMR等）的呼吸相关专病数据系统进行对接，采集范围需根据我院临床数据的完整度和要求，将相关信息系统的历史数据及增量数据进行采集。具体包括：</w:t>
      </w:r>
    </w:p>
    <w:p>
      <w:pPr>
        <w:ind w:firstLine="424" w:firstLineChars="177"/>
        <w:rPr>
          <w:rFonts w:ascii="仿宋" w:hAnsi="仿宋" w:cs="仿宋"/>
        </w:rPr>
      </w:pPr>
      <w:r>
        <w:rPr>
          <w:rFonts w:ascii="仿宋" w:hAnsi="仿宋" w:cs="仿宋"/>
        </w:rPr>
        <w:t>1）根据专科相关科室的需求，设置数据采集范围和权限。</w:t>
      </w:r>
    </w:p>
    <w:p>
      <w:pPr>
        <w:ind w:firstLine="424" w:firstLineChars="177"/>
        <w:rPr>
          <w:rFonts w:ascii="仿宋" w:hAnsi="仿宋" w:cs="仿宋"/>
        </w:rPr>
      </w:pPr>
      <w:r>
        <w:rPr>
          <w:rFonts w:ascii="仿宋" w:hAnsi="仿宋" w:cs="仿宋"/>
        </w:rPr>
        <w:t>2)</w:t>
      </w:r>
      <w:r>
        <w:rPr>
          <w:rFonts w:ascii="仿宋" w:hAnsi="仿宋" w:cs="仿宋"/>
        </w:rPr>
        <w:tab/>
      </w:r>
      <w:r>
        <w:rPr>
          <w:rFonts w:hint="eastAsia" w:ascii="仿宋" w:hAnsi="仿宋" w:cs="仿宋"/>
        </w:rPr>
        <w:t>采集的数据涉及门诊和住院患者相关诊疗数据；</w:t>
      </w:r>
    </w:p>
    <w:p>
      <w:pPr>
        <w:ind w:firstLine="424" w:firstLineChars="177"/>
        <w:rPr>
          <w:rFonts w:ascii="仿宋" w:hAnsi="仿宋" w:cs="仿宋"/>
        </w:rPr>
      </w:pPr>
      <w:r>
        <w:rPr>
          <w:rFonts w:ascii="仿宋" w:hAnsi="仿宋" w:cs="仿宋"/>
        </w:rPr>
        <w:t>3)</w:t>
      </w:r>
      <w:r>
        <w:rPr>
          <w:rFonts w:ascii="仿宋" w:hAnsi="仿宋" w:cs="仿宋"/>
        </w:rPr>
        <w:tab/>
      </w:r>
      <w:r>
        <w:rPr>
          <w:rFonts w:hint="eastAsia" w:ascii="仿宋" w:hAnsi="仿宋" w:cs="仿宋"/>
        </w:rPr>
        <w:t>根据采购人信息化情况和临床科研要求，设置相应的历史数据采集时间范围及后续发生的增量数据。</w:t>
      </w:r>
      <w:r>
        <w:rPr>
          <w:rFonts w:ascii="仿宋" w:hAnsi="仿宋" w:cs="仿宋"/>
        </w:rPr>
        <w:softHyphen/>
      </w:r>
    </w:p>
    <w:p>
      <w:pPr>
        <w:ind w:firstLine="480"/>
        <w:rPr>
          <w:rFonts w:ascii="仿宋" w:hAnsi="仿宋" w:cs="仿宋"/>
        </w:rPr>
      </w:pPr>
      <w:r>
        <w:rPr>
          <w:rFonts w:hint="eastAsia" w:ascii="仿宋" w:hAnsi="仿宋" w:cs="仿宋"/>
        </w:rPr>
        <w:t>包括但不限于下列</w:t>
      </w:r>
      <w:r>
        <w:rPr>
          <w:rFonts w:hint="eastAsia" w:ascii="仿宋" w:hAnsi="仿宋" w:cs="仿宋"/>
          <w:bCs/>
        </w:rPr>
        <w:t>系统及系统中的信息</w:t>
      </w:r>
      <w:r>
        <w:rPr>
          <w:rFonts w:hint="eastAsia" w:ascii="仿宋" w:hAnsi="仿宋" w:cs="仿宋"/>
        </w:rPr>
        <w:t>：病案管理系统、电子病历系统、护理系统、重症监护系统、放射信息系统、介入手术信息系统、超声信息系统、心电信息系统、病理信息系统、实验室系统、随访信息系统；</w:t>
      </w:r>
    </w:p>
    <w:p>
      <w:pPr>
        <w:ind w:firstLine="480"/>
        <w:rPr>
          <w:rFonts w:ascii="仿宋" w:hAnsi="仿宋" w:cs="仿宋"/>
        </w:rPr>
      </w:pPr>
      <w:r>
        <w:rPr>
          <w:rFonts w:hint="eastAsia" w:ascii="仿宋" w:hAnsi="仿宋" w:cs="仿宋"/>
          <w:bCs/>
        </w:rPr>
        <w:t>平台采集的数据包括</w:t>
      </w:r>
      <w:r>
        <w:rPr>
          <w:rFonts w:hint="eastAsia" w:ascii="仿宋" w:hAnsi="仿宋" w:cs="仿宋"/>
        </w:rPr>
        <w:t>：</w:t>
      </w:r>
    </w:p>
    <w:p>
      <w:pPr>
        <w:ind w:firstLine="480" w:firstLineChars="200"/>
        <w:rPr>
          <w:rFonts w:ascii="仿宋" w:hAnsi="仿宋" w:cs="仿宋"/>
        </w:rPr>
      </w:pPr>
      <w:r>
        <w:rPr>
          <w:rFonts w:ascii="仿宋" w:hAnsi="仿宋" w:cs="仿宋"/>
          <w:bCs/>
        </w:rPr>
        <w:t>1).病历数据：</w:t>
      </w:r>
      <w:r>
        <w:rPr>
          <w:rFonts w:hint="eastAsia" w:ascii="仿宋" w:hAnsi="仿宋" w:cs="仿宋"/>
        </w:rPr>
        <w:t>包括患者的一诉五史、诊断、检验、检查、治疗等。</w:t>
      </w:r>
    </w:p>
    <w:p>
      <w:pPr>
        <w:ind w:firstLine="480" w:firstLineChars="200"/>
        <w:rPr>
          <w:rFonts w:ascii="仿宋" w:hAnsi="仿宋" w:cs="仿宋"/>
          <w:bCs/>
        </w:rPr>
      </w:pPr>
      <w:r>
        <w:rPr>
          <w:rFonts w:ascii="仿宋" w:hAnsi="仿宋" w:cs="仿宋"/>
          <w:bCs/>
        </w:rPr>
        <w:t>2).化验数据：</w:t>
      </w:r>
    </w:p>
    <w:p>
      <w:pPr>
        <w:ind w:firstLine="480" w:firstLineChars="200"/>
        <w:rPr>
          <w:rFonts w:ascii="仿宋" w:hAnsi="仿宋" w:cs="仿宋"/>
        </w:rPr>
      </w:pPr>
      <w:r>
        <w:rPr>
          <w:rFonts w:hint="eastAsia" w:ascii="仿宋" w:hAnsi="仿宋" w:cs="仿宋"/>
          <w:bCs/>
        </w:rPr>
        <w:t>血液检查：</w:t>
      </w:r>
      <w:r>
        <w:rPr>
          <w:rFonts w:hint="eastAsia" w:ascii="仿宋" w:hAnsi="仿宋" w:cs="仿宋"/>
        </w:rPr>
        <w:t>血常规、凝血功能、肝功能、肾功能、电解质、血脂、血糖、心肌损伤标记物、</w:t>
      </w:r>
      <w:r>
        <w:rPr>
          <w:rFonts w:ascii="仿宋" w:hAnsi="仿宋" w:cs="仿宋"/>
        </w:rPr>
        <w:t>BNP、PCT、肿瘤标记物、血沉、抗核抗体谱、ANCA、抗心磷脂抗体谱、血气分析等检查；</w:t>
      </w:r>
    </w:p>
    <w:p>
      <w:pPr>
        <w:ind w:firstLine="480" w:firstLineChars="200"/>
        <w:rPr>
          <w:rFonts w:ascii="仿宋" w:hAnsi="仿宋" w:cs="仿宋"/>
        </w:rPr>
      </w:pPr>
      <w:r>
        <w:rPr>
          <w:rFonts w:hint="eastAsia" w:ascii="仿宋" w:hAnsi="仿宋" w:cs="仿宋"/>
          <w:bCs/>
        </w:rPr>
        <w:t>体液检查</w:t>
      </w:r>
      <w:r>
        <w:rPr>
          <w:rFonts w:hint="eastAsia" w:ascii="仿宋" w:hAnsi="仿宋" w:cs="仿宋"/>
        </w:rPr>
        <w:t>：尿常规、大便常规、胸水常规</w:t>
      </w:r>
      <w:r>
        <w:rPr>
          <w:rFonts w:ascii="仿宋" w:hAnsi="仿宋" w:cs="仿宋"/>
        </w:rPr>
        <w:t>+生化等检查；</w:t>
      </w:r>
    </w:p>
    <w:p>
      <w:pPr>
        <w:ind w:firstLine="480" w:firstLineChars="200"/>
        <w:rPr>
          <w:rFonts w:ascii="仿宋" w:hAnsi="仿宋" w:cs="仿宋"/>
        </w:rPr>
      </w:pPr>
      <w:r>
        <w:rPr>
          <w:rFonts w:hint="eastAsia" w:ascii="仿宋" w:hAnsi="仿宋" w:cs="仿宋"/>
          <w:bCs/>
        </w:rPr>
        <w:t>微生物检查：</w:t>
      </w:r>
      <w:r>
        <w:rPr>
          <w:rFonts w:hint="eastAsia" w:ascii="仿宋" w:hAnsi="仿宋" w:cs="仿宋"/>
        </w:rPr>
        <w:t>痰培养、血培养、灌洗液培养、尿培养结果及药敏等检查；</w:t>
      </w:r>
    </w:p>
    <w:p>
      <w:pPr>
        <w:ind w:firstLine="480" w:firstLineChars="200"/>
        <w:rPr>
          <w:rFonts w:ascii="仿宋" w:hAnsi="仿宋" w:cs="仿宋"/>
        </w:rPr>
      </w:pPr>
      <w:r>
        <w:rPr>
          <w:rFonts w:hint="eastAsia" w:ascii="仿宋" w:hAnsi="仿宋" w:cs="仿宋"/>
          <w:bCs/>
        </w:rPr>
        <w:t>其他检查：</w:t>
      </w:r>
      <w:r>
        <w:rPr>
          <w:rFonts w:hint="eastAsia" w:ascii="仿宋" w:hAnsi="仿宋" w:cs="仿宋"/>
        </w:rPr>
        <w:t>诱导痰细胞计数、支气管肺泡灌洗液细胞计数等检查；</w:t>
      </w:r>
    </w:p>
    <w:p>
      <w:pPr>
        <w:ind w:firstLine="480" w:firstLineChars="200"/>
        <w:rPr>
          <w:rFonts w:ascii="仿宋" w:hAnsi="仿宋" w:cs="仿宋"/>
        </w:rPr>
      </w:pPr>
      <w:r>
        <w:rPr>
          <w:rFonts w:ascii="仿宋" w:hAnsi="仿宋" w:cs="仿宋"/>
          <w:bCs/>
        </w:rPr>
        <w:t>3).检查数据</w:t>
      </w:r>
      <w:r>
        <w:rPr>
          <w:rFonts w:hint="eastAsia" w:ascii="仿宋" w:hAnsi="仿宋" w:cs="仿宋"/>
        </w:rPr>
        <w:t>：肺功能（肺通气功能、支气管舒张试验、肺弥散功能等）、呼出气一氧化氮、胸部</w:t>
      </w:r>
      <w:r>
        <w:rPr>
          <w:rFonts w:ascii="仿宋" w:hAnsi="仿宋" w:cs="仿宋"/>
        </w:rPr>
        <w:t>CT、胸片DR、心脏彩超、四肢静脉B超、支气管镜检查等。</w:t>
      </w:r>
    </w:p>
    <w:p>
      <w:pPr>
        <w:ind w:firstLine="480" w:firstLineChars="200"/>
        <w:rPr>
          <w:rFonts w:ascii="仿宋" w:hAnsi="仿宋" w:cs="仿宋"/>
          <w:bCs/>
        </w:rPr>
      </w:pPr>
      <w:r>
        <w:rPr>
          <w:rFonts w:ascii="仿宋" w:hAnsi="仿宋" w:cs="仿宋"/>
          <w:bCs/>
        </w:rPr>
        <w:t>4).治疗数据：</w:t>
      </w:r>
    </w:p>
    <w:p>
      <w:pPr>
        <w:ind w:firstLine="480" w:firstLineChars="200"/>
        <w:rPr>
          <w:rFonts w:ascii="仿宋" w:hAnsi="仿宋" w:cs="仿宋"/>
        </w:rPr>
      </w:pPr>
      <w:r>
        <w:rPr>
          <w:rFonts w:hint="eastAsia" w:ascii="仿宋" w:hAnsi="仿宋" w:cs="仿宋"/>
          <w:bCs/>
        </w:rPr>
        <w:t>药物</w:t>
      </w:r>
      <w:r>
        <w:rPr>
          <w:rFonts w:hint="eastAsia" w:ascii="仿宋" w:hAnsi="仿宋" w:cs="仿宋"/>
        </w:rPr>
        <w:t>（种类、剂量、用法、频率、疗程）</w:t>
      </w:r>
      <w:r>
        <w:rPr>
          <w:rFonts w:hint="eastAsia" w:ascii="仿宋" w:hAnsi="仿宋" w:cs="仿宋"/>
          <w:bCs/>
        </w:rPr>
        <w:t>：</w:t>
      </w:r>
      <w:r>
        <w:rPr>
          <w:rFonts w:hint="eastAsia" w:ascii="仿宋" w:hAnsi="仿宋" w:cs="仿宋"/>
        </w:rPr>
        <w:t>化痰药、抗生素、激素、抗凝药、支气管扩张剂等；</w:t>
      </w:r>
    </w:p>
    <w:p>
      <w:pPr>
        <w:ind w:firstLine="480" w:firstLineChars="200"/>
        <w:rPr>
          <w:rFonts w:ascii="仿宋" w:hAnsi="仿宋" w:cs="仿宋"/>
        </w:rPr>
      </w:pPr>
      <w:r>
        <w:rPr>
          <w:rFonts w:hint="eastAsia" w:ascii="仿宋" w:hAnsi="仿宋" w:cs="仿宋"/>
          <w:bCs/>
        </w:rPr>
        <w:t>其他治疗</w:t>
      </w:r>
      <w:r>
        <w:rPr>
          <w:rFonts w:hint="eastAsia" w:ascii="仿宋" w:hAnsi="仿宋" w:cs="仿宋"/>
        </w:rPr>
        <w:t>：氧疗、有创机械通气、无创机械通气、治疗时间等。</w:t>
      </w:r>
    </w:p>
    <w:p>
      <w:pPr>
        <w:ind w:firstLine="480" w:firstLineChars="200"/>
        <w:rPr>
          <w:rFonts w:ascii="仿宋" w:hAnsi="仿宋" w:cs="仿宋"/>
        </w:rPr>
      </w:pPr>
      <w:r>
        <w:rPr>
          <w:rFonts w:hint="eastAsia" w:ascii="仿宋" w:hAnsi="仿宋" w:cs="仿宋"/>
          <w:bCs/>
        </w:rPr>
        <w:t>治疗结局：</w:t>
      </w:r>
      <w:r>
        <w:rPr>
          <w:rFonts w:hint="eastAsia" w:ascii="仿宋" w:hAnsi="仿宋" w:cs="仿宋"/>
        </w:rPr>
        <w:t>出院方式。</w:t>
      </w:r>
    </w:p>
    <w:p>
      <w:pPr>
        <w:ind w:firstLine="480" w:firstLineChars="200"/>
        <w:rPr>
          <w:rFonts w:ascii="仿宋" w:hAnsi="仿宋" w:cs="仿宋"/>
          <w:bCs/>
        </w:rPr>
      </w:pPr>
      <w:r>
        <w:rPr>
          <w:rFonts w:ascii="仿宋" w:hAnsi="仿宋" w:cs="仿宋"/>
          <w:bCs/>
        </w:rPr>
        <w:t>5).卫生经济学数据：</w:t>
      </w:r>
      <w:r>
        <w:rPr>
          <w:rFonts w:hint="eastAsia" w:ascii="仿宋" w:hAnsi="仿宋" w:cs="仿宋"/>
        </w:rPr>
        <w:t>挂号费、化验费、住院费、药品费及手术费等。</w:t>
      </w:r>
    </w:p>
    <w:p>
      <w:pPr>
        <w:ind w:firstLine="480" w:firstLineChars="200"/>
        <w:rPr>
          <w:rFonts w:ascii="仿宋" w:hAnsi="仿宋" w:cs="仿宋"/>
        </w:rPr>
      </w:pPr>
      <w:r>
        <w:rPr>
          <w:rFonts w:ascii="仿宋" w:hAnsi="仿宋" w:cs="仿宋"/>
          <w:bCs/>
        </w:rPr>
        <w:t>6).质控相关数据：</w:t>
      </w:r>
      <w:r>
        <w:rPr>
          <w:rFonts w:hint="eastAsia" w:ascii="仿宋" w:hAnsi="仿宋" w:cs="仿宋"/>
        </w:rPr>
        <w:t>入出院诊断符合率、手术前后诊断符合率、病案首页主要诊断符合率、急危重症抢救成功率、清洁手术切口甲级愈合率、住院病历合格率、不良事件报告率、院内急会诊到位时间、治愈好转率。</w:t>
      </w:r>
    </w:p>
    <w:p>
      <w:pPr>
        <w:pStyle w:val="4"/>
        <w:ind w:right="240" w:rightChars="100"/>
        <w:rPr>
          <w:rFonts w:ascii="仿宋" w:hAnsi="仿宋" w:cs="仿宋"/>
          <w:b w:val="0"/>
          <w:sz w:val="24"/>
        </w:rPr>
      </w:pPr>
      <w:bookmarkStart w:id="309" w:name="_Toc28466"/>
      <w:r>
        <w:rPr>
          <w:rFonts w:ascii="仿宋" w:hAnsi="仿宋" w:cs="仿宋"/>
          <w:sz w:val="24"/>
        </w:rPr>
        <w:t>1.2多源异构数据处理与存储</w:t>
      </w:r>
      <w:bookmarkEnd w:id="309"/>
    </w:p>
    <w:p>
      <w:pPr>
        <w:pStyle w:val="2"/>
        <w:spacing w:line="360" w:lineRule="auto"/>
        <w:ind w:left="0" w:leftChars="0" w:firstLine="480" w:firstLineChars="200"/>
        <w:rPr>
          <w:rFonts w:ascii="仿宋" w:hAnsi="仿宋" w:cs="仿宋"/>
        </w:rPr>
      </w:pPr>
      <w:r>
        <w:rPr>
          <w:rFonts w:ascii="仿宋" w:hAnsi="仿宋" w:cs="仿宋"/>
        </w:rPr>
        <w:t>支持对冗余数据和无效数据的判断及清除，支持纠正不一致数据。</w:t>
      </w:r>
    </w:p>
    <w:p>
      <w:pPr>
        <w:ind w:firstLine="480" w:firstLineChars="200"/>
        <w:rPr>
          <w:rFonts w:ascii="仿宋" w:hAnsi="仿宋" w:cs="仿宋"/>
        </w:rPr>
      </w:pPr>
      <w:r>
        <w:rPr>
          <w:rFonts w:ascii="仿宋" w:hAnsi="仿宋" w:cs="仿宋"/>
        </w:rPr>
        <w:t xml:space="preserve">1)支持将不同表述经过数据治理后纳入通用数据模型框架； </w:t>
      </w:r>
    </w:p>
    <w:p>
      <w:pPr>
        <w:ind w:firstLine="480" w:firstLineChars="200"/>
        <w:rPr>
          <w:rFonts w:ascii="仿宋" w:hAnsi="仿宋" w:cs="仿宋"/>
        </w:rPr>
      </w:pPr>
      <w:r>
        <w:rPr>
          <w:rFonts w:ascii="仿宋" w:hAnsi="仿宋" w:cs="仿宋"/>
        </w:rPr>
        <w:t>2)支持对应不同病种的个性化需求，进一步在专病范围内建立标准化模型；</w:t>
      </w:r>
    </w:p>
    <w:p>
      <w:pPr>
        <w:ind w:firstLine="480" w:firstLineChars="200"/>
        <w:rPr>
          <w:rFonts w:ascii="仿宋" w:hAnsi="仿宋" w:cs="仿宋"/>
        </w:rPr>
      </w:pPr>
      <w:r>
        <w:rPr>
          <w:rFonts w:ascii="仿宋" w:hAnsi="仿宋" w:cs="仿宋"/>
        </w:rPr>
        <w:t xml:space="preserve">3)支持为专病数据管理提供一套术语规范、定义明确、语义语境无歧义并支持扩展的标准； </w:t>
      </w:r>
    </w:p>
    <w:p>
      <w:pPr>
        <w:ind w:firstLine="480" w:firstLineChars="200"/>
        <w:rPr>
          <w:rFonts w:ascii="仿宋" w:hAnsi="仿宋" w:cs="仿宋"/>
        </w:rPr>
      </w:pPr>
      <w:r>
        <w:rPr>
          <w:rFonts w:ascii="仿宋" w:hAnsi="仿宋" w:cs="仿宋"/>
        </w:rPr>
        <w:t xml:space="preserve">4)支持整合患者个人信息、电子病历、检查、化验、治疗等信息全结构化数据。 </w:t>
      </w:r>
    </w:p>
    <w:p>
      <w:pPr>
        <w:ind w:firstLine="480" w:firstLineChars="200"/>
        <w:rPr>
          <w:rFonts w:ascii="仿宋" w:hAnsi="仿宋" w:cs="仿宋"/>
        </w:rPr>
      </w:pPr>
      <w:r>
        <w:rPr>
          <w:rFonts w:hint="eastAsia" w:ascii="仿宋" w:hAnsi="仿宋" w:cs="仿宋"/>
        </w:rPr>
        <w:t>针对临床应用场景，支持基于人工智能技术将我院的临床数据进行结构化、标准化、归一化处理，供临床科研直接利用与进行数据分析。</w:t>
      </w:r>
      <w:r>
        <w:rPr>
          <w:rFonts w:ascii="仿宋" w:hAnsi="仿宋" w:cs="仿宋"/>
        </w:rPr>
        <w:t xml:space="preserve"> </w:t>
      </w:r>
    </w:p>
    <w:p>
      <w:pPr>
        <w:ind w:firstLine="480" w:firstLineChars="200"/>
        <w:rPr>
          <w:rFonts w:ascii="仿宋" w:hAnsi="仿宋" w:cs="仿宋"/>
        </w:rPr>
      </w:pPr>
      <w:r>
        <w:rPr>
          <w:rFonts w:hint="eastAsia" w:ascii="仿宋" w:hAnsi="仿宋" w:cs="仿宋"/>
        </w:rPr>
        <w:t>需要满足以下功能需求：</w:t>
      </w:r>
      <w:r>
        <w:rPr>
          <w:rFonts w:ascii="仿宋" w:hAnsi="仿宋" w:cs="仿宋"/>
        </w:rPr>
        <w:t xml:space="preserve"> </w:t>
      </w:r>
    </w:p>
    <w:p>
      <w:pPr>
        <w:ind w:firstLine="480" w:firstLineChars="200"/>
        <w:rPr>
          <w:rFonts w:ascii="仿宋" w:hAnsi="仿宋" w:cs="仿宋"/>
        </w:rPr>
      </w:pPr>
      <w:r>
        <w:rPr>
          <w:rFonts w:ascii="仿宋" w:hAnsi="仿宋" w:cs="仿宋"/>
        </w:rPr>
        <w:t>1)支持基于自然语言处理</w:t>
      </w:r>
      <w:r>
        <w:rPr>
          <w:rFonts w:ascii="仿宋" w:hAnsi="仿宋" w:cs="仿宋"/>
        </w:rPr>
        <w:tab/>
      </w:r>
      <w:r>
        <w:rPr>
          <w:rFonts w:ascii="仿宋" w:hAnsi="仿宋" w:cs="仿宋"/>
        </w:rPr>
        <w:t xml:space="preserve">技术的医疗文书类非结构化数据治理； </w:t>
      </w:r>
    </w:p>
    <w:p>
      <w:pPr>
        <w:ind w:firstLine="480" w:firstLineChars="200"/>
        <w:rPr>
          <w:rFonts w:ascii="仿宋" w:hAnsi="仿宋" w:cs="仿宋"/>
        </w:rPr>
      </w:pPr>
      <w:r>
        <w:rPr>
          <w:rFonts w:ascii="仿宋" w:hAnsi="仿宋" w:cs="仿宋"/>
        </w:rPr>
        <w:t xml:space="preserve">2)支持非标准化概念与标准化概念间的映射转换，实现数据标准化应用； </w:t>
      </w:r>
    </w:p>
    <w:p>
      <w:pPr>
        <w:ind w:firstLine="480" w:firstLineChars="200"/>
        <w:rPr>
          <w:rFonts w:ascii="仿宋" w:hAnsi="仿宋" w:cs="仿宋"/>
        </w:rPr>
      </w:pPr>
      <w:r>
        <w:rPr>
          <w:rFonts w:ascii="仿宋" w:hAnsi="仿宋" w:cs="仿宋"/>
        </w:rPr>
        <w:t xml:space="preserve">3)支持患者隐私信息脱敏技术，包括患者个人信息、病历信息等； </w:t>
      </w:r>
    </w:p>
    <w:p>
      <w:pPr>
        <w:ind w:firstLine="480" w:firstLineChars="200"/>
        <w:rPr>
          <w:rFonts w:ascii="仿宋" w:hAnsi="仿宋" w:cs="仿宋"/>
        </w:rPr>
      </w:pPr>
      <w:r>
        <w:rPr>
          <w:rFonts w:ascii="仿宋" w:hAnsi="仿宋" w:cs="仿宋"/>
        </w:rPr>
        <w:t>4)支持处理多种病历类型的自然语言处理模型。</w:t>
      </w:r>
    </w:p>
    <w:p>
      <w:pPr>
        <w:ind w:firstLine="480" w:firstLineChars="200"/>
        <w:rPr>
          <w:rFonts w:ascii="仿宋" w:hAnsi="仿宋" w:cs="仿宋"/>
        </w:rPr>
      </w:pPr>
      <w:r>
        <w:rPr>
          <w:rFonts w:hint="eastAsia" w:ascii="仿宋" w:hAnsi="仿宋" w:cs="仿宋"/>
        </w:rPr>
        <w:t>结构化处理后的数据基于国内外医疗行业等相关标准，如</w:t>
      </w:r>
      <w:r>
        <w:rPr>
          <w:rFonts w:ascii="仿宋" w:hAnsi="仿宋" w:cs="仿宋"/>
        </w:rPr>
        <w:t>SNOMED-CT、LOINC、ICD10、药品词典规范等，将采集数据进行标准化、结构化处理，并按科研所需要的数据模型进行存储在医疗科研数据仓库中。</w:t>
      </w:r>
    </w:p>
    <w:p>
      <w:pPr>
        <w:pStyle w:val="4"/>
        <w:ind w:right="240" w:rightChars="100"/>
        <w:rPr>
          <w:rFonts w:ascii="仿宋" w:hAnsi="仿宋" w:cs="仿宋"/>
          <w:b w:val="0"/>
          <w:sz w:val="24"/>
        </w:rPr>
      </w:pPr>
      <w:r>
        <w:rPr>
          <w:rFonts w:ascii="仿宋" w:hAnsi="仿宋" w:cs="仿宋"/>
          <w:sz w:val="24"/>
        </w:rPr>
        <w:t>1.3患者主索引</w:t>
      </w:r>
    </w:p>
    <w:p>
      <w:pPr>
        <w:spacing w:line="480" w:lineRule="exact"/>
        <w:ind w:firstLine="480"/>
        <w:rPr>
          <w:rFonts w:ascii="仿宋" w:hAnsi="仿宋" w:cs="仿宋"/>
        </w:rPr>
      </w:pPr>
      <w:r>
        <w:rPr>
          <w:rFonts w:hint="eastAsia" w:ascii="仿宋" w:hAnsi="仿宋" w:cs="仿宋"/>
        </w:rPr>
        <w:t>采用患者</w:t>
      </w:r>
      <w:r>
        <w:rPr>
          <w:rFonts w:ascii="仿宋" w:hAnsi="仿宋" w:cs="仿宋"/>
        </w:rPr>
        <w:t>EMPI等技术，利用病人基本病历信息，自定义规则权重跟计算规则，进行相似度计算。将确定为同一病人的病人信息进行合并，建立患者维度的</w:t>
      </w:r>
      <w:r>
        <w:rPr>
          <w:rFonts w:hint="eastAsia" w:ascii="仿宋" w:hAnsi="仿宋" w:cs="仿宋"/>
        </w:rPr>
        <w:t>数据集。</w:t>
      </w:r>
    </w:p>
    <w:p>
      <w:pPr>
        <w:pStyle w:val="4"/>
        <w:ind w:right="240" w:rightChars="100"/>
        <w:rPr>
          <w:rFonts w:ascii="仿宋" w:hAnsi="仿宋" w:cs="仿宋"/>
          <w:b w:val="0"/>
          <w:sz w:val="24"/>
        </w:rPr>
      </w:pPr>
      <w:r>
        <w:rPr>
          <w:rFonts w:ascii="仿宋" w:hAnsi="仿宋" w:cs="仿宋"/>
          <w:sz w:val="24"/>
        </w:rPr>
        <w:t>1.4标准术语库</w:t>
      </w:r>
    </w:p>
    <w:p>
      <w:pPr>
        <w:ind w:firstLine="480" w:firstLineChars="200"/>
        <w:rPr>
          <w:rFonts w:ascii="仿宋" w:hAnsi="仿宋" w:cs="仿宋"/>
        </w:rPr>
      </w:pPr>
      <w:r>
        <w:rPr>
          <w:rFonts w:hint="eastAsia" w:ascii="仿宋" w:hAnsi="仿宋" w:cs="仿宋"/>
        </w:rPr>
        <w:t>将医疗数据分为医疗基础数据和医疗指标类数据。对于已结构化基础数据或指标与国家标准、国际标准或行业标准分别进行映射，从而实现已结构化变量的标准化。</w:t>
      </w:r>
      <w:r>
        <w:rPr>
          <w:rFonts w:ascii="仿宋" w:hAnsi="仿宋" w:cs="仿宋"/>
        </w:rPr>
        <w:t xml:space="preserve"> </w:t>
      </w:r>
    </w:p>
    <w:p>
      <w:pPr>
        <w:ind w:firstLine="480" w:firstLineChars="200"/>
        <w:rPr>
          <w:rFonts w:ascii="仿宋" w:hAnsi="仿宋" w:cs="仿宋"/>
        </w:rPr>
      </w:pPr>
      <w:r>
        <w:rPr>
          <w:rFonts w:hint="eastAsia" w:ascii="仿宋" w:hAnsi="仿宋" w:cs="仿宋"/>
        </w:rPr>
        <w:t>需要满足以下功能需求：</w:t>
      </w:r>
      <w:r>
        <w:rPr>
          <w:rFonts w:ascii="仿宋" w:hAnsi="仿宋" w:cs="仿宋"/>
        </w:rPr>
        <w:t xml:space="preserve"> </w:t>
      </w:r>
    </w:p>
    <w:p>
      <w:pPr>
        <w:ind w:firstLine="480" w:firstLineChars="200"/>
        <w:rPr>
          <w:rFonts w:ascii="仿宋" w:hAnsi="仿宋" w:cs="仿宋"/>
        </w:rPr>
      </w:pPr>
      <w:r>
        <w:rPr>
          <w:rFonts w:ascii="仿宋" w:hAnsi="仿宋" w:cs="仿宋"/>
        </w:rPr>
        <w:t xml:space="preserve">1) 支持对国家、国际标准编码映射，如诊断名称、症状名称、检验名称、药品名称、检查名称等。 </w:t>
      </w:r>
    </w:p>
    <w:p>
      <w:pPr>
        <w:ind w:firstLine="480" w:firstLineChars="200"/>
        <w:rPr>
          <w:rFonts w:ascii="仿宋" w:hAnsi="仿宋" w:cs="仿宋"/>
        </w:rPr>
      </w:pPr>
      <w:r>
        <w:rPr>
          <w:rFonts w:ascii="仿宋" w:hAnsi="仿宋" w:cs="仿宋"/>
        </w:rPr>
        <w:t xml:space="preserve">2) 支持国际标准临床术语SNOMED-CT、LOINC、ICD-10编码的对照映射； </w:t>
      </w:r>
    </w:p>
    <w:p>
      <w:pPr>
        <w:ind w:firstLine="480" w:firstLineChars="200"/>
        <w:rPr>
          <w:rFonts w:ascii="仿宋" w:hAnsi="仿宋" w:cs="仿宋"/>
        </w:rPr>
      </w:pPr>
      <w:r>
        <w:rPr>
          <w:rFonts w:ascii="仿宋" w:hAnsi="仿宋" w:cs="仿宋"/>
        </w:rPr>
        <w:t xml:space="preserve">3) </w:t>
      </w:r>
      <w:r>
        <w:rPr>
          <w:rFonts w:hint="eastAsia" w:ascii="仿宋" w:hAnsi="仿宋" w:cs="仿宋"/>
        </w:rPr>
        <w:t>支持术语一体化管理：满足多用户协同工作，可进行术语管理、规则核查等</w:t>
      </w:r>
    </w:p>
    <w:p>
      <w:pPr>
        <w:pStyle w:val="4"/>
        <w:ind w:right="240" w:rightChars="100"/>
        <w:rPr>
          <w:rFonts w:ascii="仿宋" w:hAnsi="仿宋" w:cs="仿宋"/>
          <w:b w:val="0"/>
          <w:sz w:val="24"/>
        </w:rPr>
      </w:pPr>
      <w:r>
        <w:rPr>
          <w:rFonts w:hint="eastAsia" w:ascii="仿宋" w:hAnsi="仿宋" w:cs="仿宋"/>
          <w:sz w:val="24"/>
        </w:rPr>
        <w:t>▲</w:t>
      </w:r>
      <w:r>
        <w:rPr>
          <w:rFonts w:ascii="仿宋" w:hAnsi="仿宋" w:cs="仿宋"/>
          <w:sz w:val="24"/>
        </w:rPr>
        <w:t>1.5</w:t>
      </w:r>
      <w:r>
        <w:rPr>
          <w:rFonts w:hint="eastAsia" w:ascii="仿宋" w:hAnsi="仿宋" w:cs="仿宋"/>
          <w:sz w:val="24"/>
        </w:rPr>
        <w:t>数据校验</w:t>
      </w:r>
      <w:bookmarkStart w:id="310" w:name="_Hlk87368653"/>
      <w:r>
        <w:rPr>
          <w:rFonts w:hint="eastAsia" w:ascii="仿宋" w:hAnsi="仿宋" w:cs="仿宋"/>
          <w:sz w:val="24"/>
        </w:rPr>
        <w:t>（提供清晰的系统截图）</w:t>
      </w:r>
      <w:bookmarkEnd w:id="310"/>
    </w:p>
    <w:p>
      <w:pPr>
        <w:spacing w:line="480" w:lineRule="exact"/>
        <w:ind w:firstLine="480"/>
        <w:rPr>
          <w:rFonts w:ascii="仿宋" w:hAnsi="仿宋" w:cs="仿宋"/>
        </w:rPr>
      </w:pPr>
      <w:r>
        <w:rPr>
          <w:rFonts w:hint="eastAsia" w:ascii="仿宋" w:hAnsi="仿宋" w:cs="仿宋"/>
        </w:rPr>
        <w:t>供应商须提供在数据采集阶段与数据处理阶段进行数据校验的技术引擎；引擎具备扩展性，支持添加数据校验规则，在数据采集阶段实现数据完整性、数据关联性、数据合理性校验，支持校验结果可视化；在数据处理阶段提供可操作的界面。</w:t>
      </w:r>
    </w:p>
    <w:p>
      <w:pPr>
        <w:spacing w:line="480" w:lineRule="exact"/>
        <w:ind w:firstLine="480"/>
        <w:rPr>
          <w:rFonts w:ascii="仿宋" w:hAnsi="仿宋" w:cs="仿宋"/>
        </w:rPr>
      </w:pPr>
      <w:r>
        <w:rPr>
          <w:rFonts w:hint="eastAsia" w:ascii="仿宋" w:hAnsi="仿宋" w:cs="仿宋"/>
        </w:rPr>
        <w:t>在该模块支持数据校验规则管理功能，支持采集合格率统计功能，支持数据构成异常校验的功能。</w:t>
      </w:r>
    </w:p>
    <w:p>
      <w:pPr>
        <w:pStyle w:val="4"/>
        <w:ind w:right="240" w:rightChars="100"/>
        <w:rPr>
          <w:rFonts w:ascii="仿宋" w:hAnsi="仿宋" w:cs="仿宋"/>
          <w:b w:val="0"/>
          <w:sz w:val="24"/>
        </w:rPr>
      </w:pPr>
      <w:r>
        <w:rPr>
          <w:rFonts w:ascii="仿宋" w:hAnsi="仿宋" w:cs="仿宋"/>
          <w:sz w:val="24"/>
        </w:rPr>
        <w:t>1.6数据溯源</w:t>
      </w:r>
    </w:p>
    <w:p>
      <w:pPr>
        <w:spacing w:line="480" w:lineRule="exact"/>
        <w:ind w:firstLine="480" w:firstLineChars="200"/>
        <w:rPr>
          <w:rFonts w:ascii="仿宋" w:hAnsi="仿宋" w:cs="仿宋"/>
        </w:rPr>
      </w:pPr>
      <w:r>
        <w:rPr>
          <w:rFonts w:hint="eastAsia" w:ascii="仿宋" w:hAnsi="仿宋" w:cs="仿宋"/>
        </w:rPr>
        <w:t>专病数据库需支持对数据的溯源管理，并提供对数据映射关系的管理、展示和数据钻取功能，溯源功能支持数据转换关联关系展示。</w:t>
      </w:r>
    </w:p>
    <w:p>
      <w:pPr>
        <w:spacing w:line="480" w:lineRule="exact"/>
        <w:ind w:firstLine="480" w:firstLineChars="200"/>
        <w:rPr>
          <w:rFonts w:ascii="仿宋" w:hAnsi="仿宋" w:cs="仿宋"/>
        </w:rPr>
      </w:pPr>
      <w:r>
        <w:rPr>
          <w:rFonts w:ascii="仿宋" w:hAnsi="仿宋" w:cs="仿宋"/>
        </w:rPr>
        <w:t>1）</w:t>
      </w:r>
      <w:r>
        <w:rPr>
          <w:rFonts w:hint="eastAsia" w:ascii="仿宋" w:hAnsi="仿宋" w:cs="仿宋"/>
        </w:rPr>
        <w:t>支持特征指标数据溯源、规范化数据溯源、标准数据元溯源；</w:t>
      </w:r>
    </w:p>
    <w:p>
      <w:pPr>
        <w:spacing w:line="480" w:lineRule="exact"/>
        <w:ind w:firstLine="480" w:firstLineChars="200"/>
        <w:rPr>
          <w:rFonts w:ascii="仿宋" w:hAnsi="仿宋" w:cs="仿宋"/>
        </w:rPr>
      </w:pPr>
      <w:r>
        <w:rPr>
          <w:rFonts w:hint="eastAsia" w:ascii="仿宋" w:hAnsi="仿宋" w:cs="仿宋"/>
        </w:rPr>
        <w:t>2</w:t>
      </w:r>
      <w:r>
        <w:rPr>
          <w:rFonts w:ascii="仿宋" w:hAnsi="仿宋" w:cs="仿宋"/>
        </w:rPr>
        <w:t>）</w:t>
      </w:r>
      <w:r>
        <w:rPr>
          <w:rFonts w:hint="eastAsia" w:ascii="仿宋" w:hAnsi="仿宋" w:cs="仿宋"/>
        </w:rPr>
        <w:t>支持溯源列表内容：病人基本信息</w:t>
      </w:r>
      <w:r>
        <w:rPr>
          <w:rFonts w:ascii="仿宋" w:hAnsi="仿宋" w:cs="仿宋"/>
        </w:rPr>
        <w:t>+图表展示相关信息+数据范围+全景病历链接；</w:t>
      </w:r>
    </w:p>
    <w:p>
      <w:pPr>
        <w:spacing w:line="480" w:lineRule="exact"/>
        <w:ind w:firstLine="480" w:firstLineChars="200"/>
        <w:rPr>
          <w:rFonts w:ascii="仿宋" w:hAnsi="仿宋" w:cs="仿宋"/>
        </w:rPr>
      </w:pPr>
      <w:r>
        <w:rPr>
          <w:rFonts w:hint="eastAsia" w:ascii="仿宋" w:hAnsi="仿宋" w:cs="仿宋"/>
        </w:rPr>
        <w:t>3</w:t>
      </w:r>
      <w:r>
        <w:rPr>
          <w:rFonts w:ascii="仿宋" w:hAnsi="仿宋" w:cs="仿宋"/>
        </w:rPr>
        <w:t>）</w:t>
      </w:r>
      <w:r>
        <w:rPr>
          <w:rFonts w:hint="eastAsia" w:ascii="仿宋" w:hAnsi="仿宋" w:cs="仿宋"/>
        </w:rPr>
        <w:t>支持导出方式：按钮式导出</w:t>
      </w:r>
      <w:r>
        <w:rPr>
          <w:rFonts w:ascii="仿宋" w:hAnsi="仿宋" w:cs="仿宋"/>
        </w:rPr>
        <w:t>EXCEL表格；</w:t>
      </w:r>
    </w:p>
    <w:p>
      <w:pPr>
        <w:spacing w:line="480" w:lineRule="exact"/>
        <w:ind w:firstLine="480" w:firstLineChars="200"/>
        <w:rPr>
          <w:rFonts w:ascii="仿宋" w:hAnsi="仿宋" w:cs="仿宋"/>
        </w:rPr>
      </w:pPr>
      <w:r>
        <w:rPr>
          <w:rFonts w:hint="eastAsia" w:ascii="仿宋" w:hAnsi="仿宋" w:cs="仿宋"/>
        </w:rPr>
        <w:t>4</w:t>
      </w:r>
      <w:r>
        <w:rPr>
          <w:rFonts w:ascii="仿宋" w:hAnsi="仿宋" w:cs="仿宋"/>
        </w:rPr>
        <w:t>）</w:t>
      </w:r>
      <w:r>
        <w:rPr>
          <w:rFonts w:hint="eastAsia" w:ascii="仿宋" w:hAnsi="仿宋" w:cs="仿宋"/>
        </w:rPr>
        <w:t>支持导出内容：溯源列表内容；</w:t>
      </w:r>
    </w:p>
    <w:p>
      <w:pPr>
        <w:spacing w:line="480" w:lineRule="exact"/>
        <w:ind w:firstLine="480" w:firstLineChars="200"/>
        <w:rPr>
          <w:rFonts w:ascii="仿宋" w:hAnsi="仿宋" w:cs="仿宋"/>
        </w:rPr>
      </w:pPr>
      <w:r>
        <w:rPr>
          <w:rFonts w:hint="eastAsia" w:ascii="仿宋" w:hAnsi="仿宋" w:cs="仿宋"/>
        </w:rPr>
        <w:t>5</w:t>
      </w:r>
      <w:r>
        <w:rPr>
          <w:rFonts w:ascii="仿宋" w:hAnsi="仿宋" w:cs="仿宋"/>
        </w:rPr>
        <w:t>）</w:t>
      </w:r>
      <w:r>
        <w:rPr>
          <w:rFonts w:hint="eastAsia" w:ascii="仿宋" w:hAnsi="仿宋" w:cs="仿宋"/>
        </w:rPr>
        <w:t>支持生成数据集方式：按钮式生成数据集；</w:t>
      </w:r>
    </w:p>
    <w:p>
      <w:pPr>
        <w:spacing w:line="480" w:lineRule="exact"/>
        <w:ind w:firstLine="480" w:firstLineChars="200"/>
        <w:rPr>
          <w:rFonts w:ascii="仿宋" w:hAnsi="仿宋" w:cs="仿宋"/>
        </w:rPr>
      </w:pPr>
      <w:r>
        <w:rPr>
          <w:rFonts w:hint="eastAsia" w:ascii="仿宋" w:hAnsi="仿宋" w:cs="仿宋"/>
        </w:rPr>
        <w:t>6</w:t>
      </w:r>
      <w:r>
        <w:rPr>
          <w:rFonts w:ascii="仿宋" w:hAnsi="仿宋" w:cs="仿宋"/>
        </w:rPr>
        <w:t>）</w:t>
      </w:r>
      <w:r>
        <w:rPr>
          <w:rFonts w:hint="eastAsia" w:ascii="仿宋" w:hAnsi="仿宋" w:cs="仿宋"/>
        </w:rPr>
        <w:t>支持生成数据集内容：溯源列表内容。</w:t>
      </w:r>
    </w:p>
    <w:p>
      <w:pPr>
        <w:pStyle w:val="4"/>
        <w:ind w:right="240" w:rightChars="100"/>
        <w:rPr>
          <w:rFonts w:ascii="仿宋" w:hAnsi="仿宋" w:cs="仿宋"/>
          <w:b w:val="0"/>
          <w:sz w:val="24"/>
        </w:rPr>
      </w:pPr>
      <w:bookmarkStart w:id="311" w:name="_Toc1609"/>
      <w:bookmarkStart w:id="312" w:name="_Toc10231"/>
      <w:bookmarkStart w:id="313" w:name="_Toc80363530"/>
      <w:r>
        <w:rPr>
          <w:rFonts w:hint="eastAsia" w:ascii="仿宋" w:hAnsi="仿宋" w:cs="仿宋"/>
          <w:sz w:val="24"/>
        </w:rPr>
        <w:t>▲2、专病数据库</w:t>
      </w:r>
      <w:bookmarkEnd w:id="311"/>
      <w:bookmarkEnd w:id="312"/>
      <w:bookmarkEnd w:id="313"/>
      <w:r>
        <w:rPr>
          <w:rFonts w:hint="eastAsia" w:ascii="仿宋" w:hAnsi="仿宋" w:cs="仿宋"/>
          <w:sz w:val="24"/>
        </w:rPr>
        <w:t>（提供清晰的系统截图）</w:t>
      </w:r>
    </w:p>
    <w:p>
      <w:pPr>
        <w:ind w:firstLine="480" w:firstLineChars="200"/>
        <w:rPr>
          <w:rFonts w:ascii="仿宋" w:hAnsi="仿宋" w:cs="仿宋"/>
          <w:kern w:val="0"/>
          <w:shd w:val="clear" w:color="auto" w:fill="FFFFFF"/>
        </w:rPr>
      </w:pPr>
      <w:r>
        <w:rPr>
          <w:rFonts w:hint="eastAsia" w:ascii="仿宋" w:hAnsi="仿宋" w:cs="仿宋"/>
          <w:kern w:val="0"/>
          <w:shd w:val="clear" w:color="auto" w:fill="FFFFFF"/>
        </w:rPr>
        <w:t>呼吸医学专病数据库建设新增呼吸专科的间质性肺炎、肺癌</w:t>
      </w:r>
      <w:r>
        <w:rPr>
          <w:rFonts w:ascii="仿宋" w:hAnsi="仿宋" w:cs="仿宋"/>
          <w:kern w:val="0"/>
          <w:shd w:val="clear" w:color="auto" w:fill="FFFFFF"/>
        </w:rPr>
        <w:t>2个病种。</w:t>
      </w:r>
    </w:p>
    <w:p>
      <w:pPr>
        <w:ind w:firstLine="480" w:firstLineChars="200"/>
        <w:rPr>
          <w:rFonts w:ascii="仿宋" w:hAnsi="仿宋" w:cs="仿宋"/>
        </w:rPr>
      </w:pPr>
      <w:r>
        <w:rPr>
          <w:rFonts w:ascii="仿宋" w:hAnsi="仿宋" w:cs="仿宋"/>
        </w:rPr>
        <w:t>1）数据采集与处理：采集2个病种相关疾病及患者数据，通过ETL抽取、数据清洗、处理等技术治理，形成完整、精准、可用的数据，用于科研分析、临床应用等。</w:t>
      </w:r>
    </w:p>
    <w:p>
      <w:pPr>
        <w:ind w:firstLine="480" w:firstLineChars="200"/>
        <w:rPr>
          <w:rFonts w:ascii="仿宋" w:hAnsi="仿宋" w:cs="仿宋"/>
        </w:rPr>
      </w:pPr>
      <w:r>
        <w:rPr>
          <w:rFonts w:ascii="仿宋" w:hAnsi="仿宋" w:cs="仿宋"/>
        </w:rPr>
        <w:t>2）数据标准：建设2个病种医学数据元、医学术语库、医学指标库的标准化建设。</w:t>
      </w:r>
    </w:p>
    <w:p>
      <w:pPr>
        <w:ind w:firstLine="480" w:firstLineChars="200"/>
        <w:rPr>
          <w:rFonts w:ascii="仿宋" w:hAnsi="仿宋" w:cs="仿宋"/>
        </w:rPr>
      </w:pPr>
      <w:r>
        <w:rPr>
          <w:rFonts w:ascii="仿宋" w:hAnsi="仿宋" w:cs="仿宋"/>
        </w:rPr>
        <w:t>3）后结构化技术：基于自然语言处理技术，提供后结构化工具，加工临床电子病历、影像报告、检验报告等非结构化数据，形成结构化、标准化数据。</w:t>
      </w:r>
    </w:p>
    <w:p>
      <w:pPr>
        <w:ind w:firstLine="480" w:firstLineChars="200"/>
        <w:rPr>
          <w:rFonts w:ascii="仿宋" w:hAnsi="仿宋" w:cs="仿宋"/>
        </w:rPr>
      </w:pPr>
      <w:r>
        <w:rPr>
          <w:rFonts w:ascii="仿宋" w:hAnsi="仿宋" w:cs="仿宋"/>
        </w:rPr>
        <w:t>4）归一化技术：针对诊断、药品、检验、检查等提供同义词转换、近义词转换与归一规则，并提交数据报告，以便院方优化原始数据。</w:t>
      </w:r>
    </w:p>
    <w:p>
      <w:pPr>
        <w:pStyle w:val="4"/>
        <w:ind w:right="240" w:rightChars="100"/>
        <w:rPr>
          <w:rFonts w:ascii="仿宋" w:hAnsi="仿宋" w:cs="仿宋"/>
          <w:b w:val="0"/>
          <w:sz w:val="24"/>
        </w:rPr>
      </w:pPr>
      <w:bookmarkStart w:id="314" w:name="_Toc80363531"/>
      <w:r>
        <w:rPr>
          <w:rFonts w:hint="eastAsia" w:ascii="仿宋" w:hAnsi="仿宋" w:cs="仿宋"/>
          <w:sz w:val="24"/>
        </w:rPr>
        <w:t>3、专病数据库应用功能</w:t>
      </w:r>
      <w:bookmarkEnd w:id="314"/>
    </w:p>
    <w:p>
      <w:pPr>
        <w:pStyle w:val="4"/>
        <w:ind w:right="240" w:rightChars="100"/>
        <w:rPr>
          <w:rFonts w:ascii="仿宋" w:hAnsi="仿宋" w:cs="仿宋"/>
          <w:b w:val="0"/>
          <w:sz w:val="24"/>
        </w:rPr>
      </w:pPr>
      <w:bookmarkStart w:id="315" w:name="_Toc24610"/>
      <w:bookmarkStart w:id="316" w:name="_Toc12421"/>
      <w:r>
        <w:rPr>
          <w:rFonts w:ascii="仿宋" w:hAnsi="仿宋" w:cs="仿宋"/>
          <w:sz w:val="24"/>
        </w:rPr>
        <w:t>3.1全景360病历</w:t>
      </w:r>
      <w:bookmarkEnd w:id="315"/>
    </w:p>
    <w:p>
      <w:pPr>
        <w:snapToGrid w:val="0"/>
        <w:ind w:firstLine="480"/>
        <w:rPr>
          <w:rFonts w:ascii="仿宋" w:hAnsi="仿宋" w:cs="仿宋"/>
        </w:rPr>
      </w:pPr>
      <w:r>
        <w:rPr>
          <w:rFonts w:hint="eastAsia" w:ascii="仿宋" w:hAnsi="仿宋" w:cs="仿宋"/>
        </w:rPr>
        <w:t>需快速定位患者近期异常指标，应支持查看患者全病程的门诊、住院、检验、检查、肺功能检查、访视、治疗时间轴的关键信息以及患者门诊住院的主要诊断和相关费用数据，方便全面了解患者，实时跟踪患者病情。支持自定义导出和打印。</w:t>
      </w:r>
    </w:p>
    <w:p>
      <w:pPr>
        <w:pStyle w:val="4"/>
        <w:ind w:right="240" w:rightChars="100"/>
        <w:rPr>
          <w:rFonts w:ascii="仿宋" w:hAnsi="仿宋" w:cs="仿宋"/>
          <w:b w:val="0"/>
          <w:sz w:val="24"/>
        </w:rPr>
      </w:pPr>
      <w:r>
        <w:rPr>
          <w:rFonts w:ascii="仿宋" w:hAnsi="仿宋" w:cs="仿宋"/>
          <w:sz w:val="24"/>
        </w:rPr>
        <w:t>3.2智能数据驾驶舱</w:t>
      </w:r>
      <w:bookmarkEnd w:id="316"/>
    </w:p>
    <w:p>
      <w:pPr>
        <w:ind w:firstLine="480"/>
        <w:rPr>
          <w:rFonts w:ascii="仿宋" w:hAnsi="仿宋" w:cs="仿宋"/>
        </w:rPr>
      </w:pPr>
      <w:r>
        <w:rPr>
          <w:rFonts w:hint="eastAsia" w:ascii="仿宋" w:hAnsi="仿宋" w:cs="仿宋"/>
        </w:rPr>
        <w:t>智能数据驾驶舱应展示单病种患者的各类统计信息，应对呼吸科室、单病种（多病种）、患者等指标数据进行可视化监控，标准化、结构化数据可视化展示，将大量繁冗的数据关系简单明了地呈现。</w:t>
      </w:r>
    </w:p>
    <w:p>
      <w:pPr>
        <w:pStyle w:val="2"/>
        <w:ind w:left="0" w:leftChars="0"/>
        <w:rPr>
          <w:rFonts w:ascii="仿宋" w:hAnsi="仿宋" w:cs="仿宋"/>
          <w:b/>
          <w:bCs/>
        </w:rPr>
      </w:pPr>
      <w:r>
        <w:rPr>
          <w:rFonts w:ascii="仿宋" w:hAnsi="仿宋" w:cs="仿宋"/>
          <w:b/>
          <w:bCs/>
        </w:rPr>
        <w:t>3.2.1多模态数据采集大屏</w:t>
      </w:r>
    </w:p>
    <w:p>
      <w:pPr>
        <w:ind w:firstLine="480"/>
        <w:rPr>
          <w:rFonts w:ascii="仿宋" w:hAnsi="仿宋" w:cs="仿宋"/>
        </w:rPr>
      </w:pPr>
      <w:r>
        <w:rPr>
          <w:rFonts w:hint="eastAsia" w:ascii="仿宋" w:hAnsi="仿宋" w:cs="仿宋"/>
        </w:rPr>
        <w:t>应支持源数据采集情况可视化展示，通过多模态数据采集大屏，展示数据采集统计信息，直观展示采购人各系统数据采集情况，包括：</w:t>
      </w:r>
      <w:r>
        <w:rPr>
          <w:rFonts w:ascii="仿宋" w:hAnsi="仿宋" w:cs="仿宋"/>
        </w:rPr>
        <w:t>HIS系统数据、EMR&amp;护理系统、PACS&amp;LIS系统、肺功能系统等数据的统计与分析。</w:t>
      </w:r>
    </w:p>
    <w:p>
      <w:pPr>
        <w:pStyle w:val="2"/>
        <w:ind w:left="0" w:leftChars="0"/>
        <w:rPr>
          <w:rFonts w:ascii="仿宋" w:hAnsi="仿宋" w:cs="仿宋"/>
          <w:b/>
          <w:bCs/>
        </w:rPr>
      </w:pPr>
      <w:r>
        <w:rPr>
          <w:rFonts w:ascii="仿宋" w:hAnsi="仿宋" w:cs="仿宋"/>
          <w:b/>
          <w:bCs/>
        </w:rPr>
        <w:t>3.2.2数据概况大屏</w:t>
      </w:r>
    </w:p>
    <w:p>
      <w:pPr>
        <w:pStyle w:val="99"/>
        <w:rPr>
          <w:rFonts w:ascii="仿宋" w:hAnsi="仿宋" w:cs="仿宋"/>
          <w:color w:val="auto"/>
        </w:rPr>
      </w:pPr>
      <w:r>
        <w:rPr>
          <w:rFonts w:hint="eastAsia" w:ascii="仿宋" w:hAnsi="仿宋" w:cs="仿宋"/>
          <w:color w:val="auto"/>
        </w:rPr>
        <w:t>应</w:t>
      </w:r>
      <w:r>
        <w:rPr>
          <w:rFonts w:hint="eastAsia" w:ascii="仿宋" w:hAnsi="仿宋" w:cs="仿宋"/>
          <w:color w:val="auto"/>
          <w:shd w:val="clear" w:color="auto" w:fill="FFFFFF"/>
        </w:rPr>
        <w:t>将呼吸患者数据转化为实时可视化的指标和统计图表，全方位展示呼吸科临床数据各项指标情况，患者分析、科室分析、疾病特征分析、检查检验分析、疾病治疗分析和手术分析等模块分类分析。</w:t>
      </w:r>
    </w:p>
    <w:p>
      <w:pPr>
        <w:pStyle w:val="2"/>
        <w:ind w:left="0" w:leftChars="0"/>
        <w:rPr>
          <w:rFonts w:ascii="仿宋" w:hAnsi="仿宋" w:cs="仿宋"/>
          <w:b/>
          <w:bCs/>
        </w:rPr>
      </w:pPr>
      <w:r>
        <w:rPr>
          <w:rFonts w:ascii="仿宋" w:hAnsi="仿宋" w:cs="仿宋"/>
          <w:b/>
          <w:bCs/>
        </w:rPr>
        <w:t>3.2.3可视化病种大屏</w:t>
      </w:r>
    </w:p>
    <w:p>
      <w:pPr>
        <w:ind w:left="120" w:leftChars="50" w:firstLine="360" w:firstLineChars="150"/>
        <w:rPr>
          <w:rFonts w:ascii="仿宋" w:hAnsi="仿宋" w:cs="仿宋"/>
        </w:rPr>
      </w:pPr>
      <w:r>
        <w:rPr>
          <w:rFonts w:hint="eastAsia" w:ascii="仿宋" w:hAnsi="仿宋" w:cs="仿宋"/>
        </w:rPr>
        <w:t>应支持对慢性阻塞性肺疾病、间质性肺炎、肺癌等呼吸专病指标数据进行可视化监控，支持标准化、结构化数据可视化展示。</w:t>
      </w:r>
    </w:p>
    <w:p>
      <w:pPr>
        <w:ind w:firstLine="480"/>
        <w:rPr>
          <w:rFonts w:ascii="仿宋" w:hAnsi="仿宋" w:cs="仿宋"/>
        </w:rPr>
      </w:pPr>
      <w:r>
        <w:rPr>
          <w:rFonts w:hint="eastAsia" w:ascii="仿宋" w:hAnsi="仿宋" w:cs="仿宋"/>
        </w:rPr>
        <w:t>各单病种大屏支持查看指定时间范围内的患者分布人数。支持可视化及交互式图表查看各单病种的关键指标，如性别分析、年龄分析、药物使用情况、各项</w:t>
      </w:r>
      <w:r>
        <w:rPr>
          <w:rFonts w:ascii="仿宋" w:hAnsi="仿宋" w:cs="仿宋"/>
        </w:rPr>
        <w:t>KPI评价指标等，提供决策支持。</w:t>
      </w:r>
    </w:p>
    <w:p>
      <w:pPr>
        <w:pStyle w:val="4"/>
        <w:ind w:right="240" w:rightChars="100"/>
        <w:rPr>
          <w:rFonts w:ascii="仿宋" w:hAnsi="仿宋" w:cs="仿宋"/>
          <w:b w:val="0"/>
          <w:sz w:val="24"/>
        </w:rPr>
      </w:pPr>
      <w:bookmarkStart w:id="317" w:name="_Toc7453"/>
      <w:r>
        <w:rPr>
          <w:rFonts w:ascii="仿宋" w:hAnsi="仿宋" w:cs="仿宋"/>
          <w:sz w:val="24"/>
        </w:rPr>
        <w:t>3.3科研分析应用</w:t>
      </w:r>
      <w:bookmarkEnd w:id="317"/>
    </w:p>
    <w:p>
      <w:pPr>
        <w:ind w:firstLine="480"/>
        <w:rPr>
          <w:rFonts w:ascii="仿宋" w:hAnsi="仿宋" w:cs="仿宋"/>
          <w:lang w:val="zh-CN"/>
        </w:rPr>
      </w:pPr>
      <w:r>
        <w:rPr>
          <w:rFonts w:hint="eastAsia" w:ascii="仿宋" w:hAnsi="仿宋" w:cs="仿宋"/>
          <w:lang w:val="zh-CN"/>
        </w:rPr>
        <w:t>科研分析应用需包括科研课题推荐、病历筛选、在线分析等功能模块。</w:t>
      </w:r>
    </w:p>
    <w:p>
      <w:pPr>
        <w:pStyle w:val="2"/>
        <w:ind w:left="0" w:leftChars="0"/>
        <w:rPr>
          <w:rFonts w:ascii="仿宋" w:hAnsi="仿宋" w:cs="仿宋"/>
          <w:b/>
          <w:bCs/>
        </w:rPr>
      </w:pPr>
      <w:r>
        <w:rPr>
          <w:rFonts w:ascii="仿宋" w:hAnsi="仿宋" w:cs="仿宋"/>
          <w:b/>
          <w:bCs/>
        </w:rPr>
        <w:t>3.3.1科研课题推荐</w:t>
      </w:r>
    </w:p>
    <w:p>
      <w:pPr>
        <w:ind w:firstLine="480"/>
        <w:rPr>
          <w:rFonts w:ascii="仿宋" w:hAnsi="仿宋" w:cs="仿宋"/>
        </w:rPr>
      </w:pPr>
      <w:r>
        <w:rPr>
          <w:rFonts w:hint="eastAsia" w:ascii="仿宋" w:hAnsi="仿宋" w:cs="仿宋"/>
          <w:lang w:val="zh-CN"/>
        </w:rPr>
        <w:t>科研课题推荐支持通过关键字、标题、摘要进行检索，辅助医生判断疾病的热门或冷门研究领域，挖掘新科研方向，节省文献检索时间，拓展课题新思路。支持对符合条件的文献，进行处理计算，最终以多维度图表形式进行可视化展示。</w:t>
      </w:r>
    </w:p>
    <w:p>
      <w:pPr>
        <w:pStyle w:val="2"/>
        <w:ind w:left="0" w:leftChars="0"/>
        <w:rPr>
          <w:rFonts w:ascii="仿宋" w:hAnsi="仿宋" w:cs="仿宋"/>
          <w:b/>
          <w:bCs/>
        </w:rPr>
      </w:pPr>
      <w:bookmarkStart w:id="318" w:name="_Hlk29050052"/>
      <w:r>
        <w:rPr>
          <w:rFonts w:ascii="仿宋" w:hAnsi="仿宋" w:cs="仿宋"/>
          <w:b/>
          <w:bCs/>
        </w:rPr>
        <w:t>3.3.2临床指标筛选</w:t>
      </w:r>
    </w:p>
    <w:p>
      <w:pPr>
        <w:ind w:firstLine="480"/>
        <w:rPr>
          <w:rFonts w:ascii="仿宋" w:hAnsi="仿宋" w:cs="仿宋"/>
        </w:rPr>
      </w:pPr>
      <w:r>
        <w:rPr>
          <w:rFonts w:hint="eastAsia" w:ascii="仿宋" w:hAnsi="仿宋" w:cs="仿宋"/>
        </w:rPr>
        <w:t>选定科研方向之后，进入病历筛选模块，需支持模糊筛选、多重筛选模式。</w:t>
      </w:r>
    </w:p>
    <w:p>
      <w:pPr>
        <w:pStyle w:val="2"/>
        <w:ind w:left="0" w:leftChars="0"/>
        <w:rPr>
          <w:rFonts w:ascii="仿宋" w:hAnsi="仿宋" w:cs="仿宋"/>
          <w:b/>
          <w:bCs/>
        </w:rPr>
      </w:pPr>
      <w:r>
        <w:rPr>
          <w:rFonts w:ascii="仿宋" w:hAnsi="仿宋" w:cs="仿宋"/>
          <w:b/>
          <w:bCs/>
        </w:rPr>
        <w:t>3.3.2.1模糊搜索</w:t>
      </w:r>
    </w:p>
    <w:p>
      <w:pPr>
        <w:ind w:firstLine="480"/>
        <w:rPr>
          <w:rFonts w:ascii="仿宋" w:hAnsi="仿宋" w:cs="仿宋"/>
        </w:rPr>
      </w:pPr>
      <w:r>
        <w:rPr>
          <w:rFonts w:hint="eastAsia" w:ascii="仿宋" w:hAnsi="仿宋" w:cs="仿宋"/>
        </w:rPr>
        <w:t>支持各种类型的关键词进行模糊筛选（如疾病诊断、症状、体格检查、检验检查项目等），系统可根据关键字查询到存在该关键字的病历及患者，可查看用户保存的筛选收藏条件和既往筛选历史条件，一键选中直接进行筛选。</w:t>
      </w:r>
    </w:p>
    <w:p>
      <w:pPr>
        <w:pStyle w:val="2"/>
        <w:ind w:left="0" w:leftChars="0"/>
        <w:rPr>
          <w:rFonts w:ascii="仿宋" w:hAnsi="仿宋" w:cs="仿宋"/>
          <w:b/>
          <w:bCs/>
        </w:rPr>
      </w:pPr>
      <w:r>
        <w:rPr>
          <w:rFonts w:hint="eastAsia" w:ascii="仿宋" w:hAnsi="仿宋" w:cs="仿宋"/>
          <w:b/>
          <w:bCs/>
        </w:rPr>
        <w:t>▲</w:t>
      </w:r>
      <w:r>
        <w:rPr>
          <w:rFonts w:ascii="仿宋" w:hAnsi="仿宋" w:cs="仿宋"/>
          <w:b/>
          <w:bCs/>
        </w:rPr>
        <w:t>3.3.2.2</w:t>
      </w:r>
      <w:r>
        <w:rPr>
          <w:rFonts w:hint="eastAsia" w:ascii="仿宋" w:hAnsi="仿宋" w:cs="仿宋"/>
          <w:b/>
          <w:bCs/>
        </w:rPr>
        <w:t>精准筛选（提供清晰的系统截图）</w:t>
      </w:r>
    </w:p>
    <w:p>
      <w:pPr>
        <w:pStyle w:val="2"/>
        <w:spacing w:after="0" w:line="360" w:lineRule="auto"/>
        <w:ind w:left="0" w:leftChars="0" w:firstLine="480" w:firstLineChars="200"/>
        <w:rPr>
          <w:rFonts w:ascii="仿宋" w:hAnsi="仿宋"/>
        </w:rPr>
      </w:pPr>
      <w:r>
        <w:rPr>
          <w:rFonts w:hint="eastAsia" w:ascii="仿宋" w:hAnsi="仿宋"/>
        </w:rPr>
        <w:t>供应商提供的系统能够通过严谨医学逻辑（筛选条件的定制严格遵循科研标准）与严谨的数学逻辑（</w:t>
      </w:r>
      <w:r>
        <w:rPr>
          <w:rFonts w:ascii="仿宋" w:hAnsi="仿宋"/>
        </w:rPr>
        <w:t>and、or、not）的纳排条件组合，实现自定义条件的患者结构化病例数据筛选，无论是科研数据探索还是临床数据分析，都可通过对不同指标的排列组合筛查到符合条件的患者数据，并能直接生成数据集，提供直接通过平台集成的数据分析系统，进行在线统计分析，也提供导出csv文件格式，到其它平台进行分析应用所需筛选指标，开展统计分析。</w:t>
      </w:r>
    </w:p>
    <w:p>
      <w:pPr>
        <w:pStyle w:val="2"/>
        <w:spacing w:after="0" w:line="360" w:lineRule="auto"/>
        <w:ind w:left="0" w:leftChars="0" w:firstLine="480" w:firstLineChars="200"/>
        <w:rPr>
          <w:rFonts w:ascii="仿宋" w:hAnsi="仿宋"/>
        </w:rPr>
      </w:pPr>
      <w:r>
        <w:rPr>
          <w:rFonts w:hint="eastAsia" w:ascii="仿宋" w:hAnsi="仿宋"/>
        </w:rPr>
        <w:t>（</w:t>
      </w:r>
      <w:r>
        <w:rPr>
          <w:rFonts w:ascii="仿宋" w:hAnsi="仿宋"/>
        </w:rPr>
        <w:t>1）</w:t>
      </w:r>
      <w:r>
        <w:rPr>
          <w:rFonts w:ascii="Calibri" w:hAnsi="Calibri" w:cs="Calibri"/>
        </w:rPr>
        <w:t> </w:t>
      </w:r>
      <w:r>
        <w:rPr>
          <w:rFonts w:ascii="仿宋" w:hAnsi="仿宋"/>
        </w:rPr>
        <w:t>支持疾病指标编码可视化；</w:t>
      </w:r>
    </w:p>
    <w:p>
      <w:pPr>
        <w:pStyle w:val="2"/>
        <w:spacing w:after="0" w:line="360" w:lineRule="auto"/>
        <w:ind w:left="0" w:leftChars="0" w:firstLine="480" w:firstLineChars="200"/>
        <w:rPr>
          <w:rFonts w:ascii="仿宋" w:hAnsi="仿宋"/>
        </w:rPr>
      </w:pPr>
      <w:r>
        <w:rPr>
          <w:rFonts w:hint="eastAsia" w:ascii="仿宋" w:hAnsi="仿宋"/>
        </w:rPr>
        <w:t>（</w:t>
      </w:r>
      <w:r>
        <w:rPr>
          <w:rFonts w:ascii="仿宋" w:hAnsi="仿宋"/>
        </w:rPr>
        <w:t>2）</w:t>
      </w:r>
      <w:r>
        <w:rPr>
          <w:rFonts w:ascii="Calibri" w:hAnsi="Calibri" w:cs="Calibri"/>
        </w:rPr>
        <w:t> </w:t>
      </w:r>
      <w:r>
        <w:rPr>
          <w:rFonts w:ascii="仿宋" w:hAnsi="仿宋"/>
        </w:rPr>
        <w:t>支持查看筛选结果的数据来源；</w:t>
      </w:r>
    </w:p>
    <w:p>
      <w:pPr>
        <w:pStyle w:val="2"/>
        <w:spacing w:after="0" w:line="360" w:lineRule="auto"/>
        <w:ind w:left="0" w:leftChars="0" w:firstLine="480" w:firstLineChars="200"/>
        <w:rPr>
          <w:rFonts w:ascii="仿宋" w:hAnsi="仿宋"/>
        </w:rPr>
      </w:pPr>
      <w:r>
        <w:rPr>
          <w:rFonts w:hint="eastAsia" w:ascii="仿宋" w:hAnsi="仿宋"/>
        </w:rPr>
        <w:t>（</w:t>
      </w:r>
      <w:r>
        <w:rPr>
          <w:rFonts w:ascii="仿宋" w:hAnsi="仿宋"/>
        </w:rPr>
        <w:t>3）</w:t>
      </w:r>
      <w:r>
        <w:rPr>
          <w:rFonts w:ascii="Calibri" w:hAnsi="Calibri" w:cs="Calibri"/>
        </w:rPr>
        <w:t> </w:t>
      </w:r>
      <w:r>
        <w:rPr>
          <w:rFonts w:ascii="仿宋" w:hAnsi="仿宋"/>
        </w:rPr>
        <w:t>支持保存筛选结果，为统计分析准备数据集；</w:t>
      </w:r>
    </w:p>
    <w:p>
      <w:pPr>
        <w:pStyle w:val="2"/>
        <w:spacing w:after="0" w:line="360" w:lineRule="auto"/>
        <w:ind w:left="0" w:leftChars="0" w:firstLine="480" w:firstLineChars="200"/>
        <w:rPr>
          <w:rFonts w:ascii="仿宋" w:hAnsi="仿宋"/>
        </w:rPr>
      </w:pPr>
      <w:r>
        <w:rPr>
          <w:rFonts w:hint="eastAsia" w:ascii="仿宋" w:hAnsi="仿宋"/>
        </w:rPr>
        <w:t>（</w:t>
      </w:r>
      <w:r>
        <w:rPr>
          <w:rFonts w:ascii="仿宋" w:hAnsi="仿宋"/>
        </w:rPr>
        <w:t>4）</w:t>
      </w:r>
      <w:r>
        <w:rPr>
          <w:rFonts w:ascii="Calibri" w:hAnsi="Calibri" w:cs="Calibri"/>
        </w:rPr>
        <w:t> </w:t>
      </w:r>
      <w:r>
        <w:rPr>
          <w:rFonts w:ascii="仿宋" w:hAnsi="仿宋"/>
        </w:rPr>
        <w:t>支持导出筛选结果；</w:t>
      </w:r>
    </w:p>
    <w:bookmarkEnd w:id="318"/>
    <w:p>
      <w:pPr>
        <w:pStyle w:val="2"/>
        <w:ind w:left="0" w:leftChars="0"/>
        <w:rPr>
          <w:rFonts w:ascii="仿宋" w:hAnsi="仿宋" w:cs="仿宋"/>
          <w:bCs/>
        </w:rPr>
      </w:pPr>
      <w:r>
        <w:rPr>
          <w:rFonts w:hint="eastAsia" w:ascii="仿宋" w:hAnsi="仿宋" w:cs="仿宋"/>
          <w:b/>
          <w:bCs/>
        </w:rPr>
        <w:t>▲</w:t>
      </w:r>
      <w:r>
        <w:rPr>
          <w:rFonts w:ascii="仿宋" w:hAnsi="仿宋" w:cs="仿宋"/>
          <w:b/>
          <w:bCs/>
        </w:rPr>
        <w:t>3.3.</w:t>
      </w:r>
      <w:r>
        <w:rPr>
          <w:rFonts w:hint="eastAsia" w:ascii="仿宋" w:hAnsi="仿宋" w:cs="仿宋"/>
          <w:b/>
          <w:bCs/>
        </w:rPr>
        <w:t>3探索性分析（提供清晰的系统截图）</w:t>
      </w:r>
    </w:p>
    <w:p>
      <w:pPr>
        <w:spacing w:line="480" w:lineRule="exact"/>
        <w:ind w:firstLine="480"/>
        <w:rPr>
          <w:rFonts w:ascii="仿宋" w:hAnsi="仿宋" w:cs="仿宋"/>
        </w:rPr>
      </w:pPr>
      <w:r>
        <w:rPr>
          <w:rFonts w:hint="eastAsia" w:ascii="仿宋" w:hAnsi="仿宋" w:cs="仿宋"/>
        </w:rPr>
        <w:t>选定目标数据集后，即可在数据分析板块进行数据集管理以及在我院内网环境中进行在线分析。需具备基于统计学的基础分析功能和基于机器学习的数据挖掘功能。不仅需具备对平台自有数据的数据分析，还需支持自行上传数据集进行分析。</w:t>
      </w:r>
    </w:p>
    <w:p>
      <w:pPr>
        <w:spacing w:line="480" w:lineRule="exact"/>
        <w:ind w:firstLine="480"/>
        <w:rPr>
          <w:rFonts w:ascii="仿宋" w:hAnsi="仿宋" w:cs="仿宋"/>
        </w:rPr>
      </w:pPr>
      <w:r>
        <w:rPr>
          <w:rFonts w:hint="eastAsia" w:ascii="仿宋" w:hAnsi="仿宋" w:cs="仿宋"/>
        </w:rPr>
        <w:t>对于已经创建有效数据集的指标数据进行分析，需集成多种分析模型与分析方法，分析内容包括描述性分析、差异性分析、相关性分析、回归分析、广义线性模型、聚类分析、降维分析、生存分析、时间序列分析等多种分析方法与算法模型的在线应用。所有分析功能需实现可视化、菜单式操作，所有的数据处理功能及分析功能需带有算法说明，提供解释与说明，参数的选择需带有明确标签说明，并可汇总分析结果显示。</w:t>
      </w:r>
    </w:p>
    <w:p>
      <w:pPr>
        <w:pStyle w:val="2"/>
        <w:ind w:left="0" w:leftChars="0"/>
        <w:rPr>
          <w:rFonts w:ascii="仿宋" w:hAnsi="仿宋" w:cs="仿宋"/>
          <w:bCs/>
        </w:rPr>
      </w:pPr>
      <w:bookmarkStart w:id="319" w:name="_Toc55729599"/>
      <w:r>
        <w:rPr>
          <w:rFonts w:ascii="仿宋" w:hAnsi="仿宋" w:cs="仿宋"/>
          <w:b/>
          <w:bCs/>
        </w:rPr>
        <w:t>3.3.4科研成果展示</w:t>
      </w:r>
      <w:bookmarkEnd w:id="319"/>
    </w:p>
    <w:p>
      <w:pPr>
        <w:spacing w:line="480" w:lineRule="exact"/>
        <w:ind w:firstLine="480"/>
        <w:rPr>
          <w:rFonts w:ascii="仿宋" w:hAnsi="仿宋" w:cs="仿宋"/>
        </w:rPr>
      </w:pPr>
      <w:r>
        <w:rPr>
          <w:rFonts w:hint="eastAsia" w:ascii="仿宋" w:hAnsi="仿宋" w:cs="仿宋"/>
        </w:rPr>
        <w:t>需支持完整记录课题内数据集的筛选标准、数据处理历史等，分析结果自动根据统计算法类型分类呈现；可随时回顾课题内容或对其进行修改、下载，可针对高频次课题进行置顶显示；分析结果支持线上保存，多人协同进行课题设计。</w:t>
      </w:r>
    </w:p>
    <w:p>
      <w:pPr>
        <w:pStyle w:val="4"/>
        <w:numPr>
          <w:ilvl w:val="0"/>
          <w:numId w:val="5"/>
        </w:numPr>
        <w:ind w:right="240" w:rightChars="100"/>
        <w:rPr>
          <w:rFonts w:ascii="仿宋" w:hAnsi="仿宋" w:cs="仿宋"/>
          <w:sz w:val="24"/>
        </w:rPr>
      </w:pPr>
      <w:bookmarkStart w:id="320" w:name="_Toc40722297"/>
      <w:bookmarkStart w:id="321" w:name="_Toc6087"/>
      <w:bookmarkStart w:id="322" w:name="OLE_LINK24"/>
      <w:bookmarkStart w:id="323" w:name="OLE_LINK23"/>
      <w:r>
        <w:rPr>
          <w:rFonts w:hint="eastAsia" w:ascii="仿宋" w:hAnsi="仿宋" w:cs="仿宋"/>
          <w:sz w:val="24"/>
        </w:rPr>
        <w:t>随访管理</w:t>
      </w:r>
      <w:bookmarkEnd w:id="320"/>
      <w:r>
        <w:rPr>
          <w:rFonts w:hint="eastAsia" w:ascii="仿宋" w:hAnsi="仿宋" w:cs="仿宋"/>
          <w:sz w:val="24"/>
        </w:rPr>
        <w:t>应用</w:t>
      </w:r>
      <w:bookmarkEnd w:id="321"/>
    </w:p>
    <w:p>
      <w:pPr>
        <w:spacing w:line="480" w:lineRule="exact"/>
        <w:ind w:firstLine="480"/>
        <w:rPr>
          <w:rFonts w:ascii="仿宋" w:hAnsi="仿宋" w:cs="仿宋"/>
        </w:rPr>
      </w:pPr>
      <w:r>
        <w:rPr>
          <w:rFonts w:hint="eastAsia" w:ascii="仿宋" w:hAnsi="仿宋" w:cs="仿宋"/>
        </w:rPr>
        <w:t>为保障科研数据的全面性，收集患者全生命周期的数据，需支持自行创建随访任务，并实时跟踪项目的进度。需提供电子化的患者临床随访、院后跟踪随访功能，有效跟进慢病患者的病情发展并进行及时干预，帮助患者有效康复。支持建立专病随访队列数据库。</w:t>
      </w:r>
    </w:p>
    <w:p>
      <w:pPr>
        <w:spacing w:line="480" w:lineRule="exact"/>
        <w:ind w:firstLine="480"/>
        <w:rPr>
          <w:rFonts w:ascii="仿宋" w:hAnsi="仿宋" w:cs="仿宋"/>
        </w:rPr>
      </w:pPr>
      <w:r>
        <w:rPr>
          <w:rFonts w:hint="eastAsia" w:ascii="仿宋" w:hAnsi="仿宋" w:cs="仿宋"/>
        </w:rPr>
        <w:t>随访管理需包括项目管理、题库管理、问卷模版管理、患者列表等。</w:t>
      </w:r>
    </w:p>
    <w:p>
      <w:pPr>
        <w:pStyle w:val="4"/>
        <w:ind w:right="240" w:rightChars="100"/>
        <w:rPr>
          <w:rFonts w:ascii="仿宋" w:hAnsi="仿宋" w:cs="仿宋"/>
          <w:sz w:val="24"/>
        </w:rPr>
      </w:pPr>
      <w:r>
        <w:rPr>
          <w:rFonts w:ascii="仿宋" w:hAnsi="仿宋" w:cs="仿宋"/>
          <w:sz w:val="24"/>
        </w:rPr>
        <w:t>4.1项目管理</w:t>
      </w:r>
    </w:p>
    <w:p>
      <w:pPr>
        <w:pStyle w:val="2"/>
        <w:ind w:left="0" w:leftChars="0"/>
        <w:rPr>
          <w:rFonts w:ascii="仿宋" w:hAnsi="仿宋" w:cs="仿宋"/>
          <w:bCs/>
        </w:rPr>
      </w:pPr>
      <w:r>
        <w:rPr>
          <w:rFonts w:ascii="仿宋" w:hAnsi="仿宋" w:cs="仿宋"/>
          <w:b/>
          <w:bCs/>
        </w:rPr>
        <w:t>4.1.1创建项目</w:t>
      </w:r>
    </w:p>
    <w:p>
      <w:pPr>
        <w:rPr>
          <w:rFonts w:ascii="仿宋" w:hAnsi="仿宋" w:cs="仿宋"/>
        </w:rPr>
      </w:pPr>
      <w:r>
        <w:rPr>
          <w:rFonts w:hint="eastAsia" w:ascii="仿宋" w:hAnsi="仿宋" w:cs="仿宋"/>
        </w:rPr>
        <w:t>需支持编辑项目基本信息：</w:t>
      </w:r>
    </w:p>
    <w:p>
      <w:pPr>
        <w:pStyle w:val="69"/>
        <w:numPr>
          <w:ilvl w:val="0"/>
          <w:numId w:val="6"/>
        </w:numPr>
        <w:ind w:left="0" w:firstLine="480"/>
        <w:rPr>
          <w:rFonts w:ascii="仿宋" w:hAnsi="仿宋"/>
        </w:rPr>
      </w:pPr>
      <w:r>
        <w:rPr>
          <w:rFonts w:hint="eastAsia" w:ascii="仿宋" w:hAnsi="仿宋"/>
        </w:rPr>
        <w:t>选择项目模式（单中心</w:t>
      </w:r>
      <w:r>
        <w:rPr>
          <w:rFonts w:ascii="仿宋" w:hAnsi="仿宋"/>
        </w:rPr>
        <w:t>/多中心）；</w:t>
      </w:r>
    </w:p>
    <w:p>
      <w:pPr>
        <w:pStyle w:val="69"/>
        <w:numPr>
          <w:ilvl w:val="0"/>
          <w:numId w:val="6"/>
        </w:numPr>
        <w:ind w:left="0" w:firstLine="480"/>
        <w:rPr>
          <w:rFonts w:ascii="仿宋" w:hAnsi="仿宋"/>
        </w:rPr>
      </w:pPr>
      <w:r>
        <w:rPr>
          <w:rFonts w:hint="eastAsia" w:ascii="仿宋" w:hAnsi="仿宋"/>
        </w:rPr>
        <w:t>编辑项目名称、项目研究目的等信息；</w:t>
      </w:r>
    </w:p>
    <w:p>
      <w:pPr>
        <w:pStyle w:val="69"/>
        <w:numPr>
          <w:ilvl w:val="0"/>
          <w:numId w:val="6"/>
        </w:numPr>
        <w:ind w:left="0" w:firstLine="480"/>
        <w:rPr>
          <w:rFonts w:ascii="仿宋" w:hAnsi="仿宋"/>
        </w:rPr>
      </w:pPr>
      <w:r>
        <w:rPr>
          <w:rFonts w:hint="eastAsia" w:ascii="仿宋" w:hAnsi="仿宋"/>
        </w:rPr>
        <w:t>选择研究类型，包括队列性研究、横断面研究、临床药物试验、随机对照试验、回顾性研究等；</w:t>
      </w:r>
    </w:p>
    <w:p>
      <w:pPr>
        <w:pStyle w:val="69"/>
        <w:numPr>
          <w:ilvl w:val="0"/>
          <w:numId w:val="6"/>
        </w:numPr>
        <w:ind w:left="0" w:firstLine="480"/>
        <w:rPr>
          <w:rFonts w:ascii="仿宋" w:hAnsi="仿宋"/>
        </w:rPr>
      </w:pPr>
      <w:r>
        <w:rPr>
          <w:rFonts w:hint="eastAsia" w:ascii="仿宋" w:hAnsi="仿宋"/>
        </w:rPr>
        <w:t>随机分组设置（支持静态随机（如简单随机、区组随机）及动态随机入组方式）；</w:t>
      </w:r>
    </w:p>
    <w:p>
      <w:pPr>
        <w:pStyle w:val="69"/>
        <w:numPr>
          <w:ilvl w:val="0"/>
          <w:numId w:val="6"/>
        </w:numPr>
        <w:ind w:left="0" w:firstLine="480"/>
        <w:rPr>
          <w:rFonts w:ascii="仿宋" w:hAnsi="仿宋"/>
        </w:rPr>
      </w:pPr>
      <w:r>
        <w:rPr>
          <w:rFonts w:hint="eastAsia" w:ascii="仿宋" w:hAnsi="仿宋"/>
        </w:rPr>
        <w:t>可设置项目是否需通过筛选期筛选研究对象；</w:t>
      </w:r>
    </w:p>
    <w:p>
      <w:pPr>
        <w:pStyle w:val="69"/>
        <w:numPr>
          <w:ilvl w:val="0"/>
          <w:numId w:val="6"/>
        </w:numPr>
        <w:ind w:left="0" w:firstLine="480"/>
        <w:rPr>
          <w:rFonts w:ascii="仿宋" w:hAnsi="仿宋"/>
        </w:rPr>
      </w:pPr>
      <w:r>
        <w:rPr>
          <w:rFonts w:hint="eastAsia" w:ascii="仿宋" w:hAnsi="仿宋"/>
        </w:rPr>
        <w:t>设置研究流程（支持基线、随访组合模式）；</w:t>
      </w:r>
    </w:p>
    <w:p>
      <w:pPr>
        <w:pStyle w:val="69"/>
        <w:numPr>
          <w:ilvl w:val="0"/>
          <w:numId w:val="6"/>
        </w:numPr>
        <w:ind w:left="0" w:firstLine="480"/>
        <w:rPr>
          <w:rFonts w:ascii="仿宋" w:hAnsi="仿宋"/>
        </w:rPr>
      </w:pPr>
      <w:r>
        <w:rPr>
          <w:rFonts w:hint="eastAsia" w:ascii="仿宋" w:hAnsi="仿宋"/>
        </w:rPr>
        <w:t>编辑项目其他说明、上传附件等。</w:t>
      </w:r>
    </w:p>
    <w:p>
      <w:pPr>
        <w:pStyle w:val="2"/>
        <w:ind w:left="0" w:leftChars="0"/>
        <w:rPr>
          <w:rFonts w:ascii="仿宋" w:hAnsi="仿宋" w:cs="仿宋"/>
          <w:b/>
          <w:bCs/>
        </w:rPr>
      </w:pPr>
      <w:r>
        <w:rPr>
          <w:rFonts w:hint="eastAsia" w:ascii="仿宋" w:hAnsi="仿宋" w:cs="仿宋"/>
          <w:b/>
          <w:bCs/>
        </w:rPr>
        <w:t>▲</w:t>
      </w:r>
      <w:r>
        <w:rPr>
          <w:rFonts w:ascii="仿宋" w:hAnsi="仿宋" w:cs="仿宋"/>
          <w:b/>
          <w:bCs/>
        </w:rPr>
        <w:t>4.1.2</w:t>
      </w:r>
      <w:r>
        <w:rPr>
          <w:rFonts w:hint="eastAsia" w:ascii="仿宋" w:hAnsi="仿宋" w:cs="仿宋"/>
          <w:b/>
          <w:bCs/>
        </w:rPr>
        <w:t>筛选期（提供清晰的系统截图）</w:t>
      </w:r>
    </w:p>
    <w:p>
      <w:pPr>
        <w:pStyle w:val="69"/>
        <w:numPr>
          <w:ilvl w:val="0"/>
          <w:numId w:val="7"/>
        </w:numPr>
        <w:ind w:left="0" w:firstLine="480"/>
        <w:rPr>
          <w:rFonts w:ascii="仿宋" w:hAnsi="仿宋"/>
        </w:rPr>
      </w:pPr>
      <w:r>
        <w:rPr>
          <w:rFonts w:hint="eastAsia" w:ascii="仿宋" w:hAnsi="仿宋"/>
        </w:rPr>
        <w:t>筛选添加研究对象，包括通过高级筛选器筛选出符合纳排条件的研究对象、从患者列表查询选择目标患者、研究对象扫二维码加入等；</w:t>
      </w:r>
    </w:p>
    <w:p>
      <w:pPr>
        <w:pStyle w:val="69"/>
        <w:numPr>
          <w:ilvl w:val="0"/>
          <w:numId w:val="7"/>
        </w:numPr>
        <w:ind w:left="0" w:firstLine="480"/>
        <w:rPr>
          <w:rFonts w:ascii="仿宋" w:hAnsi="仿宋"/>
        </w:rPr>
      </w:pPr>
      <w:r>
        <w:rPr>
          <w:rFonts w:hint="eastAsia" w:ascii="仿宋" w:hAnsi="仿宋"/>
        </w:rPr>
        <w:t>查看研究对象筛选列表，搜索研究对象；</w:t>
      </w:r>
    </w:p>
    <w:p>
      <w:pPr>
        <w:pStyle w:val="69"/>
        <w:numPr>
          <w:ilvl w:val="0"/>
          <w:numId w:val="7"/>
        </w:numPr>
        <w:ind w:left="0" w:firstLine="480"/>
        <w:rPr>
          <w:rFonts w:ascii="仿宋" w:hAnsi="仿宋"/>
        </w:rPr>
      </w:pPr>
      <w:r>
        <w:rPr>
          <w:rFonts w:hint="eastAsia" w:ascii="仿宋" w:hAnsi="仿宋"/>
        </w:rPr>
        <w:t>可剔除不符合的患者，系统拥有自动剔除功能；</w:t>
      </w:r>
    </w:p>
    <w:p>
      <w:pPr>
        <w:pStyle w:val="69"/>
        <w:numPr>
          <w:ilvl w:val="0"/>
          <w:numId w:val="7"/>
        </w:numPr>
        <w:ind w:left="0" w:firstLine="480"/>
        <w:rPr>
          <w:rFonts w:ascii="仿宋" w:hAnsi="仿宋"/>
        </w:rPr>
      </w:pPr>
      <w:r>
        <w:rPr>
          <w:rFonts w:hint="eastAsia" w:ascii="仿宋" w:hAnsi="仿宋"/>
        </w:rPr>
        <w:t>将符合纳排标准的研究对象添加入组。</w:t>
      </w:r>
    </w:p>
    <w:p>
      <w:pPr>
        <w:pStyle w:val="2"/>
        <w:ind w:left="0" w:leftChars="0"/>
        <w:rPr>
          <w:rFonts w:ascii="仿宋" w:hAnsi="仿宋" w:cs="仿宋"/>
          <w:b/>
          <w:bCs/>
        </w:rPr>
      </w:pPr>
      <w:r>
        <w:rPr>
          <w:rFonts w:ascii="仿宋" w:hAnsi="仿宋" w:cs="仿宋"/>
          <w:b/>
          <w:bCs/>
        </w:rPr>
        <w:t>4.1.3</w:t>
      </w:r>
      <w:r>
        <w:rPr>
          <w:rFonts w:hint="eastAsia" w:ascii="仿宋" w:hAnsi="仿宋" w:cs="仿宋"/>
          <w:b/>
          <w:bCs/>
        </w:rPr>
        <w:t>研究分组</w:t>
      </w:r>
    </w:p>
    <w:p>
      <w:pPr>
        <w:pStyle w:val="69"/>
        <w:numPr>
          <w:ilvl w:val="0"/>
          <w:numId w:val="8"/>
        </w:numPr>
        <w:ind w:left="0" w:firstLine="480"/>
        <w:rPr>
          <w:rFonts w:ascii="仿宋" w:hAnsi="仿宋"/>
        </w:rPr>
      </w:pPr>
      <w:r>
        <w:rPr>
          <w:rFonts w:hint="eastAsia" w:ascii="仿宋" w:hAnsi="仿宋"/>
        </w:rPr>
        <w:t>支持添加研究对象、研究对象扫二维码加入；</w:t>
      </w:r>
    </w:p>
    <w:p>
      <w:pPr>
        <w:pStyle w:val="69"/>
        <w:numPr>
          <w:ilvl w:val="0"/>
          <w:numId w:val="8"/>
        </w:numPr>
        <w:ind w:left="0" w:firstLine="480"/>
        <w:rPr>
          <w:rFonts w:ascii="仿宋" w:hAnsi="仿宋"/>
        </w:rPr>
      </w:pPr>
      <w:r>
        <w:rPr>
          <w:rFonts w:hint="eastAsia" w:ascii="仿宋" w:hAnsi="仿宋"/>
        </w:rPr>
        <w:t>基线及随访的流程配置：访视频次（不定期</w:t>
      </w:r>
      <w:r>
        <w:rPr>
          <w:rFonts w:ascii="仿宋" w:hAnsi="仿宋"/>
        </w:rPr>
        <w:t>/定期）、访视次数、访视窗口、访视问卷，开始规则设置。</w:t>
      </w:r>
    </w:p>
    <w:p>
      <w:pPr>
        <w:pStyle w:val="69"/>
        <w:numPr>
          <w:ilvl w:val="0"/>
          <w:numId w:val="8"/>
        </w:numPr>
        <w:ind w:left="0" w:firstLine="480"/>
        <w:rPr>
          <w:rFonts w:ascii="仿宋" w:hAnsi="仿宋"/>
        </w:rPr>
      </w:pPr>
      <w:r>
        <w:rPr>
          <w:rFonts w:hint="eastAsia" w:ascii="仿宋" w:hAnsi="仿宋"/>
        </w:rPr>
        <w:t>不定期，根据实际情况制定访视节点；</w:t>
      </w:r>
    </w:p>
    <w:p>
      <w:pPr>
        <w:pStyle w:val="69"/>
        <w:numPr>
          <w:ilvl w:val="0"/>
          <w:numId w:val="8"/>
        </w:numPr>
        <w:ind w:left="0" w:firstLine="480"/>
        <w:rPr>
          <w:rFonts w:ascii="仿宋" w:hAnsi="仿宋"/>
        </w:rPr>
      </w:pPr>
      <w:r>
        <w:rPr>
          <w:rFonts w:hint="eastAsia" w:ascii="仿宋" w:hAnsi="仿宋"/>
        </w:rPr>
        <w:t>定期，预先计划周期性访视节点。</w:t>
      </w:r>
    </w:p>
    <w:p>
      <w:pPr>
        <w:pStyle w:val="69"/>
        <w:numPr>
          <w:ilvl w:val="0"/>
          <w:numId w:val="8"/>
        </w:numPr>
        <w:ind w:left="0" w:firstLine="480"/>
        <w:rPr>
          <w:rFonts w:ascii="仿宋" w:hAnsi="仿宋"/>
        </w:rPr>
      </w:pPr>
      <w:r>
        <w:rPr>
          <w:rFonts w:hint="eastAsia" w:ascii="仿宋" w:hAnsi="仿宋"/>
        </w:rPr>
        <w:t>具有剔除患者功能。</w:t>
      </w:r>
    </w:p>
    <w:p>
      <w:pPr>
        <w:pStyle w:val="2"/>
        <w:ind w:left="0" w:leftChars="0"/>
        <w:rPr>
          <w:rFonts w:ascii="仿宋" w:hAnsi="仿宋" w:cs="仿宋"/>
          <w:b/>
          <w:bCs/>
        </w:rPr>
      </w:pPr>
      <w:r>
        <w:rPr>
          <w:rFonts w:ascii="仿宋" w:hAnsi="仿宋" w:cs="仿宋"/>
          <w:b/>
          <w:bCs/>
        </w:rPr>
        <w:t>4.1.4</w:t>
      </w:r>
      <w:r>
        <w:rPr>
          <w:rFonts w:hint="eastAsia" w:ascii="仿宋" w:hAnsi="仿宋" w:cs="仿宋"/>
          <w:b/>
          <w:bCs/>
        </w:rPr>
        <w:t>问卷稽查</w:t>
      </w:r>
    </w:p>
    <w:p>
      <w:pPr>
        <w:ind w:firstLine="480"/>
        <w:rPr>
          <w:rFonts w:ascii="仿宋" w:hAnsi="仿宋" w:cs="仿宋"/>
        </w:rPr>
      </w:pPr>
      <w:r>
        <w:rPr>
          <w:rFonts w:hint="eastAsia" w:ascii="仿宋" w:hAnsi="仿宋" w:cs="仿宋"/>
        </w:rPr>
        <w:t>录入员提交</w:t>
      </w:r>
      <w:r>
        <w:rPr>
          <w:rFonts w:ascii="仿宋" w:hAnsi="仿宋" w:cs="仿宋"/>
        </w:rPr>
        <w:t>CRF答卷后，稽查员可对其CRF答卷进行质疑，录入员正确修订后即可完成稽查。</w:t>
      </w:r>
    </w:p>
    <w:p>
      <w:pPr>
        <w:pStyle w:val="2"/>
        <w:ind w:left="0" w:leftChars="0"/>
        <w:rPr>
          <w:rFonts w:ascii="仿宋" w:hAnsi="仿宋" w:cs="仿宋"/>
          <w:b/>
          <w:bCs/>
        </w:rPr>
      </w:pPr>
      <w:r>
        <w:rPr>
          <w:rFonts w:ascii="仿宋" w:hAnsi="仿宋" w:cs="仿宋"/>
          <w:b/>
          <w:bCs/>
        </w:rPr>
        <w:t>4.1.5</w:t>
      </w:r>
      <w:r>
        <w:rPr>
          <w:rFonts w:hint="eastAsia" w:ascii="仿宋" w:hAnsi="仿宋" w:cs="仿宋"/>
          <w:b/>
          <w:bCs/>
        </w:rPr>
        <w:t>导出访视数据</w:t>
      </w:r>
    </w:p>
    <w:p>
      <w:pPr>
        <w:ind w:firstLine="480"/>
        <w:rPr>
          <w:rFonts w:ascii="仿宋" w:hAnsi="仿宋" w:cs="仿宋"/>
        </w:rPr>
      </w:pPr>
      <w:r>
        <w:rPr>
          <w:rFonts w:hint="eastAsia" w:ascii="仿宋" w:hAnsi="仿宋" w:cs="仿宋"/>
        </w:rPr>
        <w:t>访视数据的导出，包括患者信息、录入员、稽查员、</w:t>
      </w:r>
      <w:r>
        <w:rPr>
          <w:rFonts w:ascii="仿宋" w:hAnsi="仿宋" w:cs="仿宋"/>
        </w:rPr>
        <w:t>CRF问卷答案、访视记录信息。</w:t>
      </w:r>
    </w:p>
    <w:p>
      <w:pPr>
        <w:pStyle w:val="2"/>
        <w:ind w:left="0" w:leftChars="0"/>
        <w:rPr>
          <w:rFonts w:ascii="仿宋" w:hAnsi="仿宋" w:cs="仿宋"/>
          <w:b/>
          <w:bCs/>
        </w:rPr>
      </w:pPr>
      <w:r>
        <w:rPr>
          <w:rFonts w:ascii="仿宋" w:hAnsi="仿宋" w:cs="仿宋"/>
          <w:b/>
          <w:bCs/>
        </w:rPr>
        <w:t>4.1.6</w:t>
      </w:r>
      <w:r>
        <w:rPr>
          <w:rFonts w:hint="eastAsia" w:ascii="仿宋" w:hAnsi="仿宋" w:cs="仿宋"/>
          <w:b/>
          <w:bCs/>
        </w:rPr>
        <w:t>剔除记录</w:t>
      </w:r>
    </w:p>
    <w:p>
      <w:pPr>
        <w:ind w:firstLine="480"/>
        <w:rPr>
          <w:rFonts w:ascii="仿宋" w:hAnsi="仿宋" w:cs="仿宋"/>
        </w:rPr>
      </w:pPr>
      <w:r>
        <w:rPr>
          <w:rFonts w:hint="eastAsia" w:ascii="仿宋" w:hAnsi="仿宋" w:cs="仿宋"/>
        </w:rPr>
        <w:t>支持查看已剔除患者记录。包括：筛选编号、入组编号、中心名称、科室名称、研究对象、手机号码、项目分组、剔除方式、剔除原因、剔除日期等。</w:t>
      </w:r>
    </w:p>
    <w:p>
      <w:pPr>
        <w:pStyle w:val="2"/>
        <w:ind w:left="0" w:leftChars="0"/>
        <w:rPr>
          <w:rFonts w:ascii="仿宋" w:hAnsi="仿宋" w:cs="仿宋"/>
          <w:b/>
          <w:bCs/>
        </w:rPr>
      </w:pPr>
      <w:r>
        <w:rPr>
          <w:rFonts w:ascii="仿宋" w:hAnsi="仿宋" w:cs="仿宋"/>
          <w:b/>
          <w:bCs/>
        </w:rPr>
        <w:t>4.1.7</w:t>
      </w:r>
      <w:r>
        <w:rPr>
          <w:rFonts w:hint="eastAsia" w:ascii="仿宋" w:hAnsi="仿宋" w:cs="仿宋"/>
          <w:b/>
          <w:bCs/>
        </w:rPr>
        <w:t>项目进度</w:t>
      </w:r>
    </w:p>
    <w:p>
      <w:pPr>
        <w:pStyle w:val="69"/>
        <w:widowControl/>
        <w:numPr>
          <w:ilvl w:val="0"/>
          <w:numId w:val="9"/>
        </w:numPr>
        <w:ind w:firstLine="480"/>
        <w:rPr>
          <w:rFonts w:ascii="仿宋" w:hAnsi="仿宋" w:cs="仿宋"/>
        </w:rPr>
      </w:pPr>
      <w:r>
        <w:rPr>
          <w:rFonts w:hint="eastAsia" w:ascii="仿宋" w:hAnsi="仿宋" w:cs="仿宋"/>
        </w:rPr>
        <w:t>统计研究对象当前随访状态人次：进行中、已结束、已终止、已剔除；</w:t>
      </w:r>
    </w:p>
    <w:p>
      <w:pPr>
        <w:pStyle w:val="69"/>
        <w:widowControl/>
        <w:numPr>
          <w:ilvl w:val="0"/>
          <w:numId w:val="9"/>
        </w:numPr>
        <w:ind w:firstLine="480"/>
        <w:rPr>
          <w:rFonts w:ascii="仿宋" w:hAnsi="仿宋" w:cs="仿宋"/>
        </w:rPr>
      </w:pPr>
      <w:r>
        <w:rPr>
          <w:rFonts w:hint="eastAsia" w:ascii="仿宋" w:hAnsi="仿宋" w:cs="仿宋"/>
        </w:rPr>
        <w:t>统计近期（今日</w:t>
      </w:r>
      <w:r>
        <w:rPr>
          <w:rFonts w:ascii="仿宋" w:hAnsi="仿宋" w:cs="仿宋"/>
        </w:rPr>
        <w:t>/本周/本月）完成情况；</w:t>
      </w:r>
    </w:p>
    <w:p>
      <w:pPr>
        <w:pStyle w:val="69"/>
        <w:widowControl/>
        <w:numPr>
          <w:ilvl w:val="0"/>
          <w:numId w:val="9"/>
        </w:numPr>
        <w:ind w:firstLine="480"/>
        <w:rPr>
          <w:rFonts w:ascii="仿宋" w:hAnsi="仿宋" w:cs="仿宋"/>
        </w:rPr>
      </w:pPr>
      <w:r>
        <w:rPr>
          <w:rFonts w:hint="eastAsia" w:ascii="仿宋" w:hAnsi="仿宋" w:cs="仿宋"/>
        </w:rPr>
        <w:t>统计项目成员任务明细：录入</w:t>
      </w:r>
      <w:r>
        <w:rPr>
          <w:rFonts w:ascii="仿宋" w:hAnsi="仿宋" w:cs="仿宋"/>
        </w:rPr>
        <w:t>/稽查次数等。</w:t>
      </w:r>
    </w:p>
    <w:p>
      <w:pPr>
        <w:pStyle w:val="2"/>
        <w:ind w:left="0" w:leftChars="0"/>
        <w:rPr>
          <w:rFonts w:ascii="仿宋" w:hAnsi="仿宋" w:cs="仿宋"/>
          <w:b/>
          <w:bCs/>
        </w:rPr>
      </w:pPr>
      <w:r>
        <w:rPr>
          <w:rFonts w:ascii="仿宋" w:hAnsi="仿宋" w:cs="仿宋"/>
          <w:b/>
          <w:bCs/>
        </w:rPr>
        <w:t>4.1.8</w:t>
      </w:r>
      <w:r>
        <w:rPr>
          <w:rFonts w:hint="eastAsia" w:ascii="仿宋" w:hAnsi="仿宋" w:cs="仿宋"/>
          <w:b/>
          <w:bCs/>
        </w:rPr>
        <w:t>任务列表</w:t>
      </w:r>
    </w:p>
    <w:p>
      <w:pPr>
        <w:pStyle w:val="69"/>
        <w:widowControl/>
        <w:numPr>
          <w:ilvl w:val="0"/>
          <w:numId w:val="10"/>
        </w:numPr>
        <w:ind w:left="-2" w:leftChars="-1" w:firstLine="480"/>
        <w:rPr>
          <w:rFonts w:ascii="仿宋" w:hAnsi="仿宋" w:cs="仿宋"/>
        </w:rPr>
      </w:pPr>
      <w:r>
        <w:rPr>
          <w:rFonts w:hint="eastAsia" w:ascii="仿宋" w:hAnsi="仿宋" w:cs="仿宋"/>
        </w:rPr>
        <w:t>查看项目</w:t>
      </w:r>
      <w:r>
        <w:rPr>
          <w:rFonts w:ascii="仿宋" w:hAnsi="仿宋" w:cs="仿宋"/>
        </w:rPr>
        <w:t>CRF问卷的待录入列表及待稽查列表；</w:t>
      </w:r>
    </w:p>
    <w:p>
      <w:pPr>
        <w:pStyle w:val="69"/>
        <w:widowControl/>
        <w:numPr>
          <w:ilvl w:val="0"/>
          <w:numId w:val="10"/>
        </w:numPr>
        <w:ind w:left="-2" w:leftChars="-1" w:firstLine="480"/>
        <w:rPr>
          <w:rFonts w:ascii="仿宋" w:hAnsi="仿宋" w:cs="仿宋"/>
        </w:rPr>
      </w:pPr>
      <w:r>
        <w:rPr>
          <w:rFonts w:hint="eastAsia" w:ascii="仿宋" w:hAnsi="仿宋" w:cs="仿宋"/>
        </w:rPr>
        <w:t>记录受试者在研究过程中出现的情况，如按时访视、超时失访、异常出组、正常完成研究等。</w:t>
      </w:r>
    </w:p>
    <w:p>
      <w:pPr>
        <w:pStyle w:val="2"/>
        <w:ind w:left="0" w:leftChars="0"/>
        <w:rPr>
          <w:rFonts w:ascii="仿宋" w:hAnsi="仿宋" w:cs="仿宋"/>
          <w:b/>
          <w:bCs/>
        </w:rPr>
      </w:pPr>
      <w:r>
        <w:rPr>
          <w:rFonts w:ascii="仿宋" w:hAnsi="仿宋" w:cs="仿宋"/>
          <w:b/>
          <w:bCs/>
        </w:rPr>
        <w:t>4.1.9</w:t>
      </w:r>
      <w:r>
        <w:rPr>
          <w:rFonts w:hint="eastAsia" w:ascii="仿宋" w:hAnsi="仿宋" w:cs="仿宋"/>
          <w:b/>
          <w:bCs/>
        </w:rPr>
        <w:t>知情同意书</w:t>
      </w:r>
    </w:p>
    <w:p>
      <w:pPr>
        <w:ind w:firstLine="480"/>
        <w:rPr>
          <w:rFonts w:ascii="仿宋" w:hAnsi="仿宋" w:cs="仿宋"/>
        </w:rPr>
      </w:pPr>
      <w:r>
        <w:rPr>
          <w:rFonts w:hint="eastAsia" w:ascii="仿宋" w:hAnsi="仿宋" w:cs="仿宋"/>
        </w:rPr>
        <w:t>需显示出筛选期的研究对象，可对研究对象的知情同意书进行查看详情、上传、修改、下载等操作。</w:t>
      </w:r>
    </w:p>
    <w:p>
      <w:pPr>
        <w:pStyle w:val="2"/>
        <w:ind w:left="0" w:leftChars="0"/>
        <w:rPr>
          <w:rFonts w:ascii="仿宋" w:hAnsi="仿宋" w:cs="仿宋"/>
          <w:b/>
          <w:bCs/>
        </w:rPr>
      </w:pPr>
      <w:r>
        <w:rPr>
          <w:rFonts w:ascii="仿宋" w:hAnsi="仿宋" w:cs="仿宋"/>
          <w:b/>
          <w:bCs/>
        </w:rPr>
        <w:t>4.1.10</w:t>
      </w:r>
      <w:r>
        <w:rPr>
          <w:rFonts w:hint="eastAsia" w:ascii="仿宋" w:hAnsi="仿宋" w:cs="仿宋"/>
          <w:b/>
          <w:bCs/>
        </w:rPr>
        <w:t>不良事件</w:t>
      </w:r>
    </w:p>
    <w:p>
      <w:pPr>
        <w:ind w:firstLine="480"/>
        <w:rPr>
          <w:rFonts w:ascii="仿宋" w:hAnsi="仿宋" w:cs="仿宋"/>
        </w:rPr>
      </w:pPr>
      <w:r>
        <w:rPr>
          <w:rFonts w:hint="eastAsia" w:ascii="仿宋" w:hAnsi="仿宋" w:cs="仿宋"/>
        </w:rPr>
        <w:t>需显示出研究分组已上报不良事件的研究对象。功能包括：</w:t>
      </w:r>
    </w:p>
    <w:p>
      <w:pPr>
        <w:pStyle w:val="69"/>
        <w:widowControl/>
        <w:numPr>
          <w:ilvl w:val="0"/>
          <w:numId w:val="11"/>
        </w:numPr>
        <w:ind w:firstLine="480"/>
        <w:rPr>
          <w:rFonts w:ascii="仿宋" w:hAnsi="仿宋" w:cs="仿宋"/>
        </w:rPr>
      </w:pPr>
      <w:r>
        <w:rPr>
          <w:rFonts w:hint="eastAsia" w:ascii="仿宋" w:hAnsi="仿宋" w:cs="仿宋"/>
        </w:rPr>
        <w:t>查看详情、导出不良事件、导出记录；</w:t>
      </w:r>
    </w:p>
    <w:p>
      <w:pPr>
        <w:pStyle w:val="69"/>
        <w:widowControl/>
        <w:numPr>
          <w:ilvl w:val="0"/>
          <w:numId w:val="11"/>
        </w:numPr>
        <w:ind w:firstLine="480"/>
        <w:rPr>
          <w:rFonts w:ascii="仿宋" w:hAnsi="仿宋" w:cs="仿宋"/>
        </w:rPr>
      </w:pPr>
      <w:r>
        <w:rPr>
          <w:rFonts w:hint="eastAsia" w:ascii="仿宋" w:hAnsi="仿宋" w:cs="仿宋"/>
        </w:rPr>
        <w:t>对研究过程中不良事件报告管理及统计分析；</w:t>
      </w:r>
    </w:p>
    <w:p>
      <w:pPr>
        <w:pStyle w:val="69"/>
        <w:widowControl/>
        <w:numPr>
          <w:ilvl w:val="0"/>
          <w:numId w:val="11"/>
        </w:numPr>
        <w:ind w:firstLine="480"/>
        <w:rPr>
          <w:rFonts w:ascii="仿宋" w:hAnsi="仿宋" w:cs="仿宋"/>
        </w:rPr>
      </w:pPr>
      <w:r>
        <w:rPr>
          <w:rFonts w:hint="eastAsia" w:ascii="仿宋" w:hAnsi="仿宋" w:cs="仿宋"/>
        </w:rPr>
        <w:t>查看不良事件，对所有项目的不良事件进行统计；</w:t>
      </w:r>
    </w:p>
    <w:p>
      <w:pPr>
        <w:pStyle w:val="2"/>
        <w:ind w:left="0" w:leftChars="0"/>
        <w:rPr>
          <w:rFonts w:ascii="仿宋" w:hAnsi="仿宋" w:cs="仿宋"/>
          <w:b/>
          <w:bCs/>
        </w:rPr>
      </w:pPr>
      <w:r>
        <w:rPr>
          <w:rFonts w:ascii="仿宋" w:hAnsi="仿宋" w:cs="仿宋"/>
          <w:b/>
          <w:bCs/>
        </w:rPr>
        <w:t>4.1.11</w:t>
      </w:r>
      <w:r>
        <w:rPr>
          <w:rFonts w:hint="eastAsia" w:ascii="仿宋" w:hAnsi="仿宋" w:cs="仿宋"/>
          <w:b/>
          <w:bCs/>
        </w:rPr>
        <w:t>研究对象详情</w:t>
      </w:r>
    </w:p>
    <w:p>
      <w:pPr>
        <w:ind w:firstLine="480"/>
        <w:rPr>
          <w:rFonts w:ascii="仿宋" w:hAnsi="仿宋" w:cs="仿宋"/>
        </w:rPr>
      </w:pPr>
      <w:r>
        <w:rPr>
          <w:rFonts w:hint="eastAsia" w:ascii="仿宋" w:hAnsi="仿宋" w:cs="仿宋"/>
        </w:rPr>
        <w:t>需查看研究对象信息、访视详情、知情同意书、不良事件。</w:t>
      </w:r>
    </w:p>
    <w:p>
      <w:pPr>
        <w:ind w:firstLine="480"/>
        <w:rPr>
          <w:rFonts w:ascii="仿宋" w:hAnsi="仿宋" w:cs="仿宋"/>
        </w:rPr>
      </w:pPr>
      <w:r>
        <w:rPr>
          <w:rFonts w:hint="eastAsia" w:ascii="仿宋" w:hAnsi="仿宋" w:cs="仿宋"/>
        </w:rPr>
        <w:t>访视详情列表中筛选期可查看、录入、编辑、提交、稽查、修订、确认；</w:t>
      </w:r>
    </w:p>
    <w:p>
      <w:pPr>
        <w:ind w:firstLine="480"/>
        <w:rPr>
          <w:rFonts w:ascii="仿宋" w:hAnsi="仿宋" w:cs="仿宋"/>
        </w:rPr>
      </w:pPr>
      <w:r>
        <w:rPr>
          <w:rFonts w:hint="eastAsia" w:ascii="仿宋" w:hAnsi="仿宋" w:cs="仿宋"/>
        </w:rPr>
        <w:t>研究分组可查看、计划、录入、编辑、提交、稽查、修订、确认、标记为失访、补访。</w:t>
      </w:r>
    </w:p>
    <w:p>
      <w:pPr>
        <w:pStyle w:val="2"/>
        <w:ind w:left="0" w:leftChars="0"/>
        <w:rPr>
          <w:rFonts w:ascii="仿宋" w:hAnsi="仿宋" w:cs="仿宋"/>
          <w:b/>
          <w:bCs/>
        </w:rPr>
      </w:pPr>
      <w:r>
        <w:rPr>
          <w:rFonts w:ascii="仿宋" w:hAnsi="仿宋" w:cs="仿宋"/>
          <w:b/>
          <w:bCs/>
        </w:rPr>
        <w:t>4.1.12</w:t>
      </w:r>
      <w:r>
        <w:rPr>
          <w:rFonts w:hint="eastAsia" w:ascii="仿宋" w:hAnsi="仿宋" w:cs="仿宋"/>
          <w:b/>
          <w:bCs/>
        </w:rPr>
        <w:t>终止访视</w:t>
      </w:r>
    </w:p>
    <w:p>
      <w:pPr>
        <w:ind w:firstLine="480"/>
        <w:rPr>
          <w:rFonts w:ascii="仿宋" w:hAnsi="仿宋" w:cs="仿宋"/>
        </w:rPr>
      </w:pPr>
      <w:r>
        <w:rPr>
          <w:rFonts w:hint="eastAsia" w:ascii="仿宋" w:hAnsi="仿宋" w:cs="仿宋"/>
        </w:rPr>
        <w:t>需根据实际情况对研究对象进行终止访视操作，填写终止原因，进行终止确认，终止后将无法撤销，研究对象状态会呈现已终止。</w:t>
      </w:r>
    </w:p>
    <w:p>
      <w:pPr>
        <w:pStyle w:val="2"/>
        <w:ind w:left="0" w:leftChars="0"/>
        <w:rPr>
          <w:rFonts w:ascii="仿宋" w:hAnsi="仿宋" w:cs="仿宋"/>
          <w:b/>
          <w:bCs/>
        </w:rPr>
      </w:pPr>
      <w:r>
        <w:rPr>
          <w:rFonts w:ascii="仿宋" w:hAnsi="仿宋" w:cs="仿宋"/>
          <w:b/>
          <w:bCs/>
        </w:rPr>
        <w:t>4.1.13</w:t>
      </w:r>
      <w:r>
        <w:rPr>
          <w:rFonts w:hint="eastAsia" w:ascii="仿宋" w:hAnsi="仿宋" w:cs="仿宋"/>
          <w:b/>
          <w:bCs/>
        </w:rPr>
        <w:t>项目设置</w:t>
      </w:r>
    </w:p>
    <w:p>
      <w:pPr>
        <w:pStyle w:val="69"/>
        <w:widowControl/>
        <w:numPr>
          <w:ilvl w:val="0"/>
          <w:numId w:val="12"/>
        </w:numPr>
        <w:ind w:firstLine="480"/>
        <w:rPr>
          <w:rFonts w:ascii="仿宋" w:hAnsi="仿宋" w:cs="仿宋"/>
        </w:rPr>
      </w:pPr>
      <w:r>
        <w:rPr>
          <w:rFonts w:hint="eastAsia" w:ascii="仿宋" w:hAnsi="仿宋" w:cs="仿宋"/>
        </w:rPr>
        <w:t>信息管理，包括项目信息、筛选期、研究分组；</w:t>
      </w:r>
    </w:p>
    <w:p>
      <w:pPr>
        <w:pStyle w:val="69"/>
        <w:widowControl/>
        <w:numPr>
          <w:ilvl w:val="0"/>
          <w:numId w:val="12"/>
        </w:numPr>
        <w:ind w:firstLine="480"/>
        <w:rPr>
          <w:rFonts w:ascii="仿宋" w:hAnsi="仿宋" w:cs="仿宋"/>
        </w:rPr>
      </w:pPr>
      <w:r>
        <w:rPr>
          <w:rFonts w:hint="eastAsia" w:ascii="仿宋" w:hAnsi="仿宋" w:cs="仿宋"/>
        </w:rPr>
        <w:t>访视管理设置，包括筛选期计划、访视分组计划；</w:t>
      </w:r>
    </w:p>
    <w:p>
      <w:pPr>
        <w:pStyle w:val="69"/>
        <w:widowControl/>
        <w:numPr>
          <w:ilvl w:val="0"/>
          <w:numId w:val="12"/>
        </w:numPr>
        <w:ind w:firstLine="480"/>
        <w:rPr>
          <w:rFonts w:ascii="仿宋" w:hAnsi="仿宋" w:cs="仿宋"/>
        </w:rPr>
      </w:pPr>
      <w:r>
        <w:rPr>
          <w:rFonts w:hint="eastAsia" w:ascii="仿宋" w:hAnsi="仿宋" w:cs="仿宋"/>
        </w:rPr>
        <w:t>人员管理设置，查看及设置项目成员（管理员</w:t>
      </w:r>
      <w:r>
        <w:rPr>
          <w:rFonts w:ascii="仿宋" w:hAnsi="仿宋" w:cs="仿宋"/>
        </w:rPr>
        <w:t>/录入员/稽查员等），可新增成员；</w:t>
      </w:r>
    </w:p>
    <w:p>
      <w:pPr>
        <w:pStyle w:val="69"/>
        <w:widowControl/>
        <w:numPr>
          <w:ilvl w:val="0"/>
          <w:numId w:val="12"/>
        </w:numPr>
        <w:ind w:firstLine="480"/>
        <w:rPr>
          <w:rFonts w:ascii="仿宋" w:hAnsi="仿宋" w:cs="仿宋"/>
        </w:rPr>
      </w:pPr>
      <w:r>
        <w:rPr>
          <w:rFonts w:hint="eastAsia" w:ascii="仿宋" w:hAnsi="仿宋" w:cs="仿宋"/>
        </w:rPr>
        <w:t>对各研究员权限可自由配置，如录入、审核、监察等。</w:t>
      </w:r>
    </w:p>
    <w:p>
      <w:pPr>
        <w:pStyle w:val="2"/>
        <w:ind w:left="0" w:leftChars="0"/>
        <w:rPr>
          <w:rFonts w:ascii="仿宋" w:hAnsi="仿宋" w:cs="仿宋"/>
          <w:b/>
          <w:bCs/>
        </w:rPr>
      </w:pPr>
      <w:r>
        <w:rPr>
          <w:rFonts w:ascii="仿宋" w:hAnsi="仿宋" w:cs="仿宋"/>
          <w:b/>
          <w:bCs/>
        </w:rPr>
        <w:t>4.1.14</w:t>
      </w:r>
      <w:r>
        <w:rPr>
          <w:rFonts w:hint="eastAsia" w:ascii="仿宋" w:hAnsi="仿宋" w:cs="仿宋"/>
          <w:b/>
          <w:bCs/>
        </w:rPr>
        <w:t>智能辅助</w:t>
      </w:r>
    </w:p>
    <w:p>
      <w:pPr>
        <w:pStyle w:val="69"/>
        <w:widowControl/>
        <w:numPr>
          <w:ilvl w:val="0"/>
          <w:numId w:val="13"/>
        </w:numPr>
        <w:ind w:left="-2" w:leftChars="-1" w:right="238" w:firstLine="480"/>
        <w:rPr>
          <w:rFonts w:ascii="仿宋" w:hAnsi="仿宋" w:cs="仿宋"/>
        </w:rPr>
      </w:pPr>
      <w:r>
        <w:rPr>
          <w:rFonts w:hint="eastAsia" w:ascii="仿宋" w:hAnsi="仿宋" w:cs="仿宋"/>
        </w:rPr>
        <w:t>需支持导出可用于其他分析工具的数据集格式，方便研究人员作分析研究；</w:t>
      </w:r>
    </w:p>
    <w:p>
      <w:pPr>
        <w:pStyle w:val="69"/>
        <w:widowControl/>
        <w:numPr>
          <w:ilvl w:val="0"/>
          <w:numId w:val="13"/>
        </w:numPr>
        <w:ind w:left="-2" w:leftChars="-1" w:right="238" w:firstLine="480"/>
        <w:rPr>
          <w:rFonts w:ascii="仿宋" w:hAnsi="仿宋" w:cs="仿宋"/>
        </w:rPr>
      </w:pPr>
      <w:r>
        <w:rPr>
          <w:rFonts w:hint="eastAsia" w:ascii="仿宋" w:hAnsi="仿宋" w:cs="仿宋"/>
        </w:rPr>
        <w:t>受试者可在移动端填写问卷，提高研究者的数据录入效率；</w:t>
      </w:r>
    </w:p>
    <w:p>
      <w:pPr>
        <w:pStyle w:val="69"/>
        <w:widowControl/>
        <w:numPr>
          <w:ilvl w:val="0"/>
          <w:numId w:val="13"/>
        </w:numPr>
        <w:ind w:left="-2" w:leftChars="-1" w:right="238" w:firstLine="480"/>
        <w:rPr>
          <w:rFonts w:ascii="仿宋" w:hAnsi="仿宋" w:cs="仿宋"/>
        </w:rPr>
      </w:pPr>
      <w:r>
        <w:rPr>
          <w:rFonts w:hint="eastAsia" w:ascii="仿宋" w:hAnsi="仿宋" w:cs="仿宋"/>
        </w:rPr>
        <w:t>对</w:t>
      </w:r>
      <w:r>
        <w:rPr>
          <w:rFonts w:ascii="仿宋" w:hAnsi="仿宋" w:cs="仿宋"/>
        </w:rPr>
        <w:t>CRF题目与临床数据进行智能匹配，助力研究者准确、快速填写CRF；</w:t>
      </w:r>
    </w:p>
    <w:p>
      <w:pPr>
        <w:pStyle w:val="69"/>
        <w:widowControl/>
        <w:numPr>
          <w:ilvl w:val="0"/>
          <w:numId w:val="13"/>
        </w:numPr>
        <w:ind w:left="-2" w:leftChars="-1" w:right="238" w:firstLine="480"/>
        <w:rPr>
          <w:rFonts w:ascii="仿宋" w:hAnsi="仿宋" w:cs="仿宋"/>
        </w:rPr>
      </w:pPr>
      <w:r>
        <w:rPr>
          <w:rFonts w:hint="eastAsia" w:ascii="仿宋" w:hAnsi="仿宋" w:cs="仿宋"/>
        </w:rPr>
        <w:t>具有快捷填写检验检查数据的功能。</w:t>
      </w:r>
    </w:p>
    <w:p>
      <w:pPr>
        <w:pStyle w:val="4"/>
        <w:ind w:right="240" w:rightChars="100"/>
        <w:rPr>
          <w:rFonts w:ascii="仿宋" w:hAnsi="仿宋" w:cs="仿宋"/>
          <w:b w:val="0"/>
          <w:sz w:val="24"/>
        </w:rPr>
      </w:pPr>
      <w:bookmarkStart w:id="324" w:name="_Toc40722300"/>
      <w:r>
        <w:rPr>
          <w:rFonts w:hint="eastAsia" w:ascii="仿宋" w:hAnsi="仿宋" w:cs="仿宋"/>
          <w:sz w:val="24"/>
        </w:rPr>
        <w:t>▲</w:t>
      </w:r>
      <w:r>
        <w:rPr>
          <w:rFonts w:ascii="仿宋" w:hAnsi="仿宋" w:cs="仿宋"/>
          <w:sz w:val="24"/>
        </w:rPr>
        <w:t>4.2</w:t>
      </w:r>
      <w:r>
        <w:rPr>
          <w:rFonts w:hint="eastAsia" w:ascii="仿宋" w:hAnsi="仿宋" w:cs="仿宋"/>
          <w:sz w:val="24"/>
        </w:rPr>
        <w:t>题库管理（提供清晰的系统截图）</w:t>
      </w:r>
    </w:p>
    <w:p>
      <w:pPr>
        <w:ind w:firstLine="480"/>
        <w:rPr>
          <w:rFonts w:ascii="仿宋" w:hAnsi="仿宋" w:cs="仿宋"/>
        </w:rPr>
      </w:pPr>
      <w:r>
        <w:rPr>
          <w:rFonts w:hint="eastAsia" w:ascii="仿宋" w:hAnsi="仿宋" w:cs="仿宋"/>
        </w:rPr>
        <w:t>平台需支持对各种问题的自定义配置功能。</w:t>
      </w:r>
    </w:p>
    <w:p>
      <w:pPr>
        <w:pStyle w:val="69"/>
        <w:widowControl/>
        <w:numPr>
          <w:ilvl w:val="0"/>
          <w:numId w:val="14"/>
        </w:numPr>
        <w:ind w:left="-2" w:leftChars="-1" w:right="238" w:firstLine="480"/>
        <w:rPr>
          <w:rFonts w:ascii="仿宋" w:hAnsi="仿宋" w:cs="仿宋"/>
        </w:rPr>
      </w:pPr>
      <w:r>
        <w:rPr>
          <w:rFonts w:hint="eastAsia" w:ascii="仿宋" w:hAnsi="仿宋" w:cs="仿宋"/>
        </w:rPr>
        <w:t>对各种问题的自定义配置功能；包括：填空题、时间题、单选题、多选题、计量题、附件题、表格题、检索题等，还可根据题目配图；</w:t>
      </w:r>
    </w:p>
    <w:p>
      <w:pPr>
        <w:pStyle w:val="69"/>
        <w:widowControl/>
        <w:numPr>
          <w:ilvl w:val="0"/>
          <w:numId w:val="14"/>
        </w:numPr>
        <w:ind w:left="-2" w:leftChars="-1" w:right="238" w:firstLine="480"/>
        <w:rPr>
          <w:rFonts w:ascii="仿宋" w:hAnsi="仿宋" w:cs="仿宋"/>
        </w:rPr>
      </w:pPr>
      <w:r>
        <w:rPr>
          <w:rFonts w:hint="eastAsia" w:ascii="仿宋" w:hAnsi="仿宋" w:cs="仿宋"/>
        </w:rPr>
        <w:t>对题目管理，包括增加、删除和修改；</w:t>
      </w:r>
    </w:p>
    <w:p>
      <w:pPr>
        <w:pStyle w:val="69"/>
        <w:widowControl/>
        <w:numPr>
          <w:ilvl w:val="0"/>
          <w:numId w:val="14"/>
        </w:numPr>
        <w:ind w:left="-2" w:leftChars="-1" w:right="238" w:firstLine="480"/>
        <w:rPr>
          <w:rFonts w:ascii="仿宋" w:hAnsi="仿宋" w:cs="仿宋"/>
        </w:rPr>
      </w:pPr>
      <w:r>
        <w:rPr>
          <w:rFonts w:hint="eastAsia" w:ascii="仿宋" w:hAnsi="仿宋" w:cs="仿宋"/>
        </w:rPr>
        <w:t>创建公共题库、个人题库，分享个人题库；</w:t>
      </w:r>
    </w:p>
    <w:p>
      <w:pPr>
        <w:pStyle w:val="69"/>
        <w:widowControl/>
        <w:numPr>
          <w:ilvl w:val="0"/>
          <w:numId w:val="14"/>
        </w:numPr>
        <w:ind w:left="-2" w:leftChars="-1" w:right="238" w:firstLine="480"/>
        <w:rPr>
          <w:rFonts w:ascii="仿宋" w:hAnsi="仿宋" w:cs="仿宋"/>
        </w:rPr>
      </w:pPr>
      <w:r>
        <w:rPr>
          <w:rFonts w:hint="eastAsia" w:ascii="仿宋" w:hAnsi="仿宋" w:cs="仿宋"/>
        </w:rPr>
        <w:t>支持自定义各项题目的校验规则。</w:t>
      </w:r>
    </w:p>
    <w:bookmarkEnd w:id="324"/>
    <w:p>
      <w:pPr>
        <w:pStyle w:val="4"/>
        <w:ind w:right="240" w:rightChars="100"/>
        <w:rPr>
          <w:rFonts w:ascii="仿宋" w:hAnsi="仿宋" w:cs="仿宋"/>
          <w:b w:val="0"/>
          <w:sz w:val="24"/>
        </w:rPr>
      </w:pPr>
      <w:bookmarkStart w:id="325" w:name="_Toc40722298"/>
      <w:r>
        <w:rPr>
          <w:rFonts w:hint="eastAsia" w:ascii="仿宋" w:hAnsi="仿宋" w:cs="仿宋"/>
          <w:sz w:val="24"/>
        </w:rPr>
        <w:t>▲</w:t>
      </w:r>
      <w:r>
        <w:rPr>
          <w:rFonts w:ascii="仿宋" w:hAnsi="仿宋" w:cs="仿宋"/>
          <w:sz w:val="24"/>
        </w:rPr>
        <w:t>4.3</w:t>
      </w:r>
      <w:r>
        <w:rPr>
          <w:rFonts w:hint="eastAsia" w:ascii="仿宋" w:hAnsi="仿宋" w:cs="仿宋"/>
          <w:sz w:val="24"/>
        </w:rPr>
        <w:t>问卷模版管理</w:t>
      </w:r>
      <w:bookmarkEnd w:id="325"/>
      <w:r>
        <w:rPr>
          <w:rFonts w:hint="eastAsia" w:ascii="仿宋" w:hAnsi="仿宋" w:cs="仿宋"/>
          <w:sz w:val="24"/>
        </w:rPr>
        <w:t>（提供清晰的系统截图）</w:t>
      </w:r>
    </w:p>
    <w:p>
      <w:pPr>
        <w:ind w:firstLine="480"/>
        <w:rPr>
          <w:rFonts w:ascii="仿宋" w:hAnsi="仿宋" w:cs="仿宋"/>
        </w:rPr>
      </w:pPr>
      <w:r>
        <w:rPr>
          <w:rFonts w:ascii="仿宋" w:hAnsi="仿宋" w:cs="仿宋"/>
        </w:rPr>
        <w:t>1</w:t>
      </w:r>
      <w:r>
        <w:rPr>
          <w:rFonts w:hint="eastAsia" w:ascii="仿宋" w:hAnsi="仿宋" w:cs="仿宋"/>
        </w:rPr>
        <w:t>、需具备简便易操作的题库及</w:t>
      </w:r>
      <w:r>
        <w:rPr>
          <w:rFonts w:ascii="仿宋" w:hAnsi="仿宋" w:cs="仿宋"/>
        </w:rPr>
        <w:t>CRF编辑与管理功能，设置灵活、调整随访计划，支持对随访问卷的增减、编辑和自定义功能。</w:t>
      </w:r>
    </w:p>
    <w:p>
      <w:pPr>
        <w:ind w:firstLine="480"/>
        <w:rPr>
          <w:rFonts w:ascii="仿宋" w:hAnsi="仿宋" w:cs="仿宋"/>
        </w:rPr>
      </w:pPr>
      <w:r>
        <w:rPr>
          <w:rFonts w:ascii="仿宋" w:hAnsi="仿宋" w:cs="仿宋"/>
        </w:rPr>
        <w:t>2</w:t>
      </w:r>
      <w:r>
        <w:rPr>
          <w:rFonts w:hint="eastAsia" w:ascii="仿宋" w:hAnsi="仿宋" w:cs="仿宋"/>
        </w:rPr>
        <w:t>、需支持自动抓取患者基本信息和检验数据进行</w:t>
      </w:r>
      <w:r>
        <w:rPr>
          <w:rFonts w:ascii="仿宋" w:hAnsi="仿宋" w:cs="仿宋"/>
        </w:rPr>
        <w:t>CRF答卷预填，支持智能化题目逻辑关联及派生计算，答卷提交时提供多种答卷信息校验方式。</w:t>
      </w:r>
    </w:p>
    <w:p>
      <w:pPr>
        <w:ind w:firstLine="480"/>
        <w:rPr>
          <w:rFonts w:ascii="仿宋" w:hAnsi="仿宋" w:cs="仿宋"/>
        </w:rPr>
      </w:pPr>
      <w:r>
        <w:rPr>
          <w:rFonts w:hint="eastAsia" w:ascii="仿宋" w:hAnsi="仿宋" w:cs="仿宋"/>
        </w:rPr>
        <w:t>3、需支持多种数据导出方式，可直接用于</w:t>
      </w:r>
      <w:r>
        <w:rPr>
          <w:rFonts w:ascii="仿宋" w:hAnsi="仿宋" w:cs="仿宋"/>
        </w:rPr>
        <w:t>SPSS等分析软件进行数据分析。</w:t>
      </w:r>
    </w:p>
    <w:p>
      <w:pPr>
        <w:pStyle w:val="4"/>
        <w:ind w:right="240" w:rightChars="100"/>
        <w:rPr>
          <w:rFonts w:ascii="仿宋" w:hAnsi="仿宋" w:cs="仿宋"/>
          <w:b w:val="0"/>
          <w:sz w:val="24"/>
        </w:rPr>
      </w:pPr>
      <w:r>
        <w:rPr>
          <w:rFonts w:ascii="仿宋" w:hAnsi="仿宋" w:cs="仿宋"/>
          <w:sz w:val="24"/>
        </w:rPr>
        <w:t>4.4患者列表</w:t>
      </w:r>
    </w:p>
    <w:p>
      <w:pPr>
        <w:pStyle w:val="69"/>
        <w:widowControl/>
        <w:numPr>
          <w:ilvl w:val="0"/>
          <w:numId w:val="15"/>
        </w:numPr>
        <w:ind w:left="0" w:firstLine="480"/>
        <w:rPr>
          <w:rFonts w:ascii="仿宋" w:hAnsi="仿宋" w:cs="仿宋"/>
        </w:rPr>
      </w:pPr>
      <w:r>
        <w:rPr>
          <w:rFonts w:hint="eastAsia" w:ascii="仿宋" w:hAnsi="仿宋" w:cs="仿宋"/>
        </w:rPr>
        <w:t>需支持查看患者基本信息；</w:t>
      </w:r>
    </w:p>
    <w:p>
      <w:pPr>
        <w:pStyle w:val="69"/>
        <w:widowControl/>
        <w:numPr>
          <w:ilvl w:val="0"/>
          <w:numId w:val="15"/>
        </w:numPr>
        <w:ind w:left="0" w:firstLine="480"/>
        <w:rPr>
          <w:rFonts w:ascii="仿宋" w:hAnsi="仿宋" w:cs="仿宋"/>
        </w:rPr>
      </w:pPr>
      <w:r>
        <w:rPr>
          <w:rFonts w:hint="eastAsia" w:ascii="仿宋" w:hAnsi="仿宋" w:cs="仿宋"/>
        </w:rPr>
        <w:t>需根据证件号、姓名或手机号进行患者搜索；</w:t>
      </w:r>
    </w:p>
    <w:p>
      <w:pPr>
        <w:pStyle w:val="69"/>
        <w:widowControl/>
        <w:numPr>
          <w:ilvl w:val="0"/>
          <w:numId w:val="15"/>
        </w:numPr>
        <w:ind w:left="0" w:firstLine="480"/>
        <w:rPr>
          <w:rFonts w:ascii="仿宋" w:hAnsi="仿宋" w:cs="仿宋"/>
        </w:rPr>
      </w:pPr>
      <w:r>
        <w:rPr>
          <w:rFonts w:hint="eastAsia" w:ascii="仿宋" w:hAnsi="仿宋" w:cs="仿宋"/>
        </w:rPr>
        <w:t>支持新增患者，导出患者；</w:t>
      </w:r>
    </w:p>
    <w:p>
      <w:pPr>
        <w:pStyle w:val="69"/>
        <w:widowControl/>
        <w:numPr>
          <w:ilvl w:val="0"/>
          <w:numId w:val="15"/>
        </w:numPr>
        <w:ind w:left="0" w:firstLine="480"/>
        <w:rPr>
          <w:rFonts w:ascii="仿宋" w:hAnsi="仿宋" w:cs="仿宋"/>
        </w:rPr>
      </w:pPr>
      <w:r>
        <w:rPr>
          <w:rFonts w:hint="eastAsia" w:ascii="仿宋" w:hAnsi="仿宋" w:cs="仿宋"/>
        </w:rPr>
        <w:t>支持查看患者的全景病历。全景病历支持分为全景首页、访视、门诊信息、住院、诊断、肺功能检查、用药、检验、检查、治疗时间轴等；</w:t>
      </w:r>
    </w:p>
    <w:p>
      <w:pPr>
        <w:pStyle w:val="69"/>
        <w:widowControl/>
        <w:numPr>
          <w:ilvl w:val="0"/>
          <w:numId w:val="15"/>
        </w:numPr>
        <w:ind w:left="0" w:firstLine="480"/>
        <w:rPr>
          <w:rFonts w:ascii="仿宋" w:hAnsi="仿宋" w:cs="仿宋"/>
        </w:rPr>
      </w:pPr>
      <w:r>
        <w:rPr>
          <w:rFonts w:hint="eastAsia" w:ascii="仿宋" w:hAnsi="仿宋" w:cs="仿宋"/>
        </w:rPr>
        <w:t>支持查看患者门诊住院的主要诊断和相关费用数据。</w:t>
      </w:r>
    </w:p>
    <w:p>
      <w:pPr>
        <w:pStyle w:val="4"/>
        <w:ind w:right="240" w:rightChars="100"/>
        <w:rPr>
          <w:rFonts w:ascii="仿宋" w:hAnsi="仿宋" w:cs="仿宋"/>
          <w:b w:val="0"/>
          <w:sz w:val="24"/>
        </w:rPr>
      </w:pPr>
      <w:r>
        <w:rPr>
          <w:rFonts w:ascii="仿宋" w:hAnsi="仿宋" w:cs="仿宋"/>
          <w:sz w:val="24"/>
        </w:rPr>
        <w:t>4.5患者随访管理</w:t>
      </w:r>
    </w:p>
    <w:p>
      <w:pPr>
        <w:pStyle w:val="2"/>
        <w:ind w:left="0" w:leftChars="0"/>
        <w:rPr>
          <w:rFonts w:ascii="仿宋" w:hAnsi="仿宋" w:cs="仿宋"/>
          <w:b/>
          <w:bCs/>
        </w:rPr>
      </w:pPr>
      <w:r>
        <w:rPr>
          <w:rFonts w:ascii="仿宋" w:hAnsi="仿宋" w:cs="仿宋"/>
          <w:b/>
          <w:bCs/>
        </w:rPr>
        <w:t>4.5.1患者移动端</w:t>
      </w:r>
    </w:p>
    <w:p>
      <w:pPr>
        <w:ind w:firstLine="480"/>
        <w:rPr>
          <w:rFonts w:ascii="仿宋" w:hAnsi="仿宋" w:cs="仿宋"/>
        </w:rPr>
      </w:pPr>
      <w:r>
        <w:rPr>
          <w:rFonts w:hint="eastAsia" w:ascii="仿宋" w:hAnsi="仿宋" w:cs="仿宋"/>
        </w:rPr>
        <w:t>需支持多维度的随访计划，通过长期的随访问卷对研究对象进行疾病管理跟踪分析。</w:t>
      </w:r>
    </w:p>
    <w:p>
      <w:pPr>
        <w:widowControl/>
        <w:numPr>
          <w:ilvl w:val="0"/>
          <w:numId w:val="16"/>
        </w:numPr>
        <w:ind w:left="0" w:firstLine="480"/>
        <w:rPr>
          <w:rFonts w:ascii="仿宋" w:hAnsi="仿宋" w:cs="仿宋"/>
        </w:rPr>
      </w:pPr>
      <w:r>
        <w:rPr>
          <w:rFonts w:hint="eastAsia" w:ascii="仿宋" w:hAnsi="仿宋" w:cs="仿宋"/>
        </w:rPr>
        <w:t>通过查看首页</w:t>
      </w:r>
      <w:r>
        <w:rPr>
          <w:rFonts w:ascii="仿宋" w:hAnsi="仿宋" w:cs="仿宋"/>
        </w:rPr>
        <w:t>banner图片，了解最新资讯信息；</w:t>
      </w:r>
    </w:p>
    <w:p>
      <w:pPr>
        <w:widowControl/>
        <w:numPr>
          <w:ilvl w:val="0"/>
          <w:numId w:val="16"/>
        </w:numPr>
        <w:ind w:left="0" w:firstLine="480"/>
        <w:rPr>
          <w:rFonts w:ascii="仿宋" w:hAnsi="仿宋" w:cs="仿宋"/>
        </w:rPr>
      </w:pPr>
      <w:r>
        <w:rPr>
          <w:rFonts w:hint="eastAsia" w:ascii="仿宋" w:hAnsi="仿宋" w:cs="仿宋"/>
        </w:rPr>
        <w:t>查看健康宣教知识，增加健康了解，培养健康知识点；</w:t>
      </w:r>
    </w:p>
    <w:p>
      <w:pPr>
        <w:widowControl/>
        <w:numPr>
          <w:ilvl w:val="0"/>
          <w:numId w:val="16"/>
        </w:numPr>
        <w:ind w:left="0" w:firstLine="480"/>
        <w:rPr>
          <w:rFonts w:ascii="仿宋" w:hAnsi="仿宋" w:cs="仿宋"/>
        </w:rPr>
      </w:pPr>
      <w:r>
        <w:rPr>
          <w:rFonts w:hint="eastAsia" w:ascii="仿宋" w:hAnsi="仿宋" w:cs="仿宋"/>
        </w:rPr>
        <w:t>查看患者本人在院的全景诊疗记录，包括门诊、住院、手术、药品等信息；</w:t>
      </w:r>
    </w:p>
    <w:p>
      <w:pPr>
        <w:widowControl/>
        <w:numPr>
          <w:ilvl w:val="0"/>
          <w:numId w:val="16"/>
        </w:numPr>
        <w:ind w:left="0" w:firstLine="480"/>
        <w:rPr>
          <w:rFonts w:ascii="仿宋" w:hAnsi="仿宋" w:cs="仿宋"/>
        </w:rPr>
      </w:pPr>
      <w:r>
        <w:rPr>
          <w:rFonts w:hint="eastAsia" w:ascii="仿宋" w:hAnsi="仿宋" w:cs="仿宋"/>
        </w:rPr>
        <w:t>患者在移动端填写问卷，提高研究者的数据录入效率；</w:t>
      </w:r>
    </w:p>
    <w:p>
      <w:pPr>
        <w:widowControl/>
        <w:numPr>
          <w:ilvl w:val="0"/>
          <w:numId w:val="16"/>
        </w:numPr>
        <w:ind w:left="0" w:firstLine="480"/>
        <w:rPr>
          <w:rFonts w:ascii="仿宋" w:hAnsi="仿宋" w:cs="仿宋"/>
        </w:rPr>
      </w:pPr>
      <w:r>
        <w:rPr>
          <w:rFonts w:hint="eastAsia" w:ascii="仿宋" w:hAnsi="仿宋" w:cs="仿宋"/>
        </w:rPr>
        <w:t>查看招募信息，进行招募登记等服务；</w:t>
      </w:r>
    </w:p>
    <w:p>
      <w:pPr>
        <w:widowControl/>
        <w:numPr>
          <w:ilvl w:val="0"/>
          <w:numId w:val="16"/>
        </w:numPr>
        <w:ind w:left="0" w:firstLine="480"/>
        <w:rPr>
          <w:rFonts w:ascii="仿宋" w:hAnsi="仿宋" w:cs="仿宋"/>
        </w:rPr>
      </w:pPr>
      <w:r>
        <w:rPr>
          <w:rFonts w:hint="eastAsia" w:ascii="仿宋" w:hAnsi="仿宋" w:cs="仿宋"/>
        </w:rPr>
        <w:t>个性化设置用药提醒，可通过系统内消息提醒或者短信提醒方式，多渠道提醒患者准时用药；</w:t>
      </w:r>
    </w:p>
    <w:p>
      <w:pPr>
        <w:widowControl/>
        <w:numPr>
          <w:ilvl w:val="0"/>
          <w:numId w:val="16"/>
        </w:numPr>
        <w:ind w:left="0" w:firstLine="480"/>
        <w:rPr>
          <w:rFonts w:ascii="仿宋" w:hAnsi="仿宋" w:cs="仿宋"/>
        </w:rPr>
      </w:pPr>
      <w:r>
        <w:rPr>
          <w:rFonts w:hint="eastAsia" w:ascii="仿宋" w:hAnsi="仿宋" w:cs="仿宋"/>
        </w:rPr>
        <w:t>根据使用人群个性化需求，切换日常版及老年版。</w:t>
      </w:r>
    </w:p>
    <w:p>
      <w:pPr>
        <w:pStyle w:val="2"/>
        <w:ind w:left="0" w:leftChars="0"/>
        <w:rPr>
          <w:rFonts w:ascii="仿宋" w:hAnsi="仿宋" w:cs="仿宋"/>
          <w:b/>
          <w:bCs/>
        </w:rPr>
      </w:pPr>
      <w:r>
        <w:rPr>
          <w:rFonts w:ascii="仿宋" w:hAnsi="仿宋" w:cs="仿宋"/>
          <w:b/>
          <w:bCs/>
        </w:rPr>
        <w:t>4.5.2随访后台管理</w:t>
      </w:r>
    </w:p>
    <w:p>
      <w:pPr>
        <w:ind w:firstLine="480"/>
        <w:rPr>
          <w:rFonts w:ascii="仿宋" w:hAnsi="仿宋" w:cs="仿宋"/>
        </w:rPr>
      </w:pPr>
      <w:r>
        <w:rPr>
          <w:rFonts w:hint="eastAsia" w:ascii="仿宋" w:hAnsi="仿宋" w:cs="仿宋"/>
        </w:rPr>
        <w:t>随访后台管理需包括患者列表管理、患者消息管理、医患沟通管理、内容管理。</w:t>
      </w:r>
    </w:p>
    <w:p>
      <w:pPr>
        <w:pStyle w:val="99"/>
        <w:rPr>
          <w:rFonts w:ascii="仿宋" w:hAnsi="仿宋" w:cs="仿宋"/>
          <w:color w:val="auto"/>
        </w:rPr>
      </w:pPr>
      <w:r>
        <w:rPr>
          <w:rFonts w:ascii="仿宋" w:hAnsi="仿宋" w:cs="仿宋"/>
          <w:color w:val="auto"/>
        </w:rPr>
        <w:t>1）患者列表，需支持查看移动端的患者列表，查看患者信息，设置患者状态等。</w:t>
      </w:r>
    </w:p>
    <w:p>
      <w:pPr>
        <w:pStyle w:val="99"/>
        <w:rPr>
          <w:rFonts w:ascii="仿宋" w:hAnsi="仿宋" w:cs="仿宋"/>
          <w:color w:val="auto"/>
        </w:rPr>
      </w:pPr>
      <w:r>
        <w:rPr>
          <w:rFonts w:ascii="仿宋" w:hAnsi="仿宋" w:cs="仿宋"/>
          <w:color w:val="auto"/>
        </w:rPr>
        <w:t>2）患者消息，需支持给患者发送消息，例如：医院通知、项目消息、招募消息、平台通知、综合新闻等。</w:t>
      </w:r>
    </w:p>
    <w:p>
      <w:pPr>
        <w:pStyle w:val="99"/>
        <w:rPr>
          <w:rFonts w:ascii="仿宋" w:hAnsi="仿宋" w:cs="仿宋"/>
          <w:color w:val="auto"/>
        </w:rPr>
      </w:pPr>
      <w:r>
        <w:rPr>
          <w:rFonts w:ascii="仿宋" w:hAnsi="仿宋" w:cs="仿宋"/>
          <w:color w:val="auto"/>
        </w:rPr>
        <w:t>3）医患沟通，需支持医生在管理平台查看并回复患者咨询内容。</w:t>
      </w:r>
    </w:p>
    <w:p>
      <w:pPr>
        <w:pStyle w:val="99"/>
        <w:rPr>
          <w:rFonts w:ascii="仿宋" w:hAnsi="仿宋" w:cs="仿宋"/>
          <w:color w:val="auto"/>
        </w:rPr>
      </w:pPr>
      <w:r>
        <w:rPr>
          <w:rFonts w:ascii="仿宋" w:hAnsi="仿宋" w:cs="仿宋"/>
          <w:color w:val="auto"/>
        </w:rPr>
        <w:t>4）内容管理，需支持管理平台中发布首页banner图，编辑并发布患教知识，培养患者健康意识。</w:t>
      </w:r>
    </w:p>
    <w:p>
      <w:pPr>
        <w:pStyle w:val="4"/>
        <w:ind w:right="240" w:rightChars="100"/>
        <w:rPr>
          <w:rFonts w:ascii="仿宋" w:hAnsi="仿宋" w:cs="仿宋"/>
          <w:sz w:val="24"/>
        </w:rPr>
      </w:pPr>
      <w:bookmarkStart w:id="326" w:name="_Toc12539"/>
      <w:r>
        <w:rPr>
          <w:rFonts w:hint="eastAsia" w:ascii="仿宋" w:hAnsi="仿宋" w:cs="仿宋"/>
          <w:sz w:val="24"/>
        </w:rPr>
        <w:t>5、临床辅助决策</w:t>
      </w:r>
      <w:bookmarkEnd w:id="326"/>
    </w:p>
    <w:p>
      <w:pPr>
        <w:pStyle w:val="4"/>
        <w:ind w:right="240" w:rightChars="100"/>
        <w:rPr>
          <w:rFonts w:ascii="仿宋" w:hAnsi="仿宋" w:cs="仿宋"/>
          <w:sz w:val="24"/>
        </w:rPr>
      </w:pPr>
      <w:r>
        <w:rPr>
          <w:rFonts w:ascii="仿宋" w:hAnsi="仿宋" w:cs="仿宋"/>
          <w:sz w:val="24"/>
        </w:rPr>
        <w:t>5.1诊断预测</w:t>
      </w:r>
    </w:p>
    <w:p>
      <w:pPr>
        <w:snapToGrid w:val="0"/>
        <w:ind w:firstLine="480"/>
        <w:rPr>
          <w:rFonts w:ascii="仿宋" w:hAnsi="仿宋" w:cs="仿宋"/>
        </w:rPr>
      </w:pPr>
      <w:r>
        <w:rPr>
          <w:rFonts w:hint="eastAsia" w:ascii="仿宋" w:hAnsi="仿宋" w:cs="仿宋"/>
        </w:rPr>
        <w:t>需通过输入症状和检验检查指标等信息，辅助医生进行临床疾病快速鉴别诊断，拓展医生的诊断思维，降低漏诊和误诊的几率。通过医学知识图谱的分析推荐疑似常见疾病以及疑似罕见病，同时还需提供相关的鉴别诊断、检验检查推荐和治疗方案推荐，提供这些疾病对应的知识库查询功能，包括疾病概述、危险因素、病因及发病机制、临床表现、并发症、流行病学、辅助检查、诊断标准、鉴别诊断、治疗方案、临床路径、预防、预后、权威指南共识和相关文献。</w:t>
      </w:r>
    </w:p>
    <w:p>
      <w:pPr>
        <w:pStyle w:val="4"/>
        <w:ind w:right="240" w:rightChars="100"/>
        <w:rPr>
          <w:rFonts w:ascii="仿宋" w:hAnsi="仿宋" w:cs="仿宋"/>
          <w:sz w:val="24"/>
        </w:rPr>
      </w:pPr>
      <w:r>
        <w:rPr>
          <w:rFonts w:hint="eastAsia" w:ascii="仿宋" w:hAnsi="仿宋" w:cs="仿宋"/>
          <w:sz w:val="24"/>
        </w:rPr>
        <w:t>▲</w:t>
      </w:r>
      <w:r>
        <w:rPr>
          <w:rFonts w:ascii="仿宋" w:hAnsi="仿宋" w:cs="仿宋"/>
          <w:sz w:val="24"/>
        </w:rPr>
        <w:t>5.2相似病例智能分析</w:t>
      </w:r>
      <w:r>
        <w:rPr>
          <w:rFonts w:hint="eastAsia" w:ascii="仿宋" w:hAnsi="仿宋" w:cs="仿宋"/>
          <w:sz w:val="24"/>
        </w:rPr>
        <w:t>（提供清晰的系统截图）</w:t>
      </w:r>
    </w:p>
    <w:p>
      <w:pPr>
        <w:snapToGrid w:val="0"/>
        <w:ind w:firstLine="480"/>
        <w:rPr>
          <w:rFonts w:ascii="仿宋" w:hAnsi="仿宋" w:cs="仿宋"/>
        </w:rPr>
      </w:pPr>
      <w:r>
        <w:rPr>
          <w:rFonts w:hint="eastAsia" w:ascii="仿宋" w:hAnsi="仿宋" w:cs="仿宋"/>
        </w:rPr>
        <w:t>系统需基于患者电子病历中的信息，如病案首页信息、实验室检验、检查等内容，通过</w:t>
      </w:r>
      <w:r>
        <w:rPr>
          <w:rFonts w:ascii="仿宋" w:hAnsi="仿宋" w:cs="仿宋"/>
        </w:rPr>
        <w:t>AI模型寻找与特定患者疾病特征相似的其他患者病历。搜索到相似病历后，支持提供</w:t>
      </w:r>
      <w:r>
        <w:rPr>
          <w:rFonts w:hint="eastAsia" w:ascii="仿宋" w:hAnsi="仿宋" w:cs="仿宋"/>
        </w:rPr>
        <w:t>目标患者的相似病例进行智能分析，包括住院指标统计、治疗路径、患者诊疗时间轴、患者对比等。</w:t>
      </w:r>
    </w:p>
    <w:bookmarkEnd w:id="322"/>
    <w:bookmarkEnd w:id="323"/>
    <w:p>
      <w:pPr>
        <w:pStyle w:val="4"/>
        <w:ind w:right="240" w:rightChars="100"/>
        <w:rPr>
          <w:rFonts w:ascii="仿宋" w:hAnsi="仿宋" w:cs="仿宋"/>
          <w:sz w:val="24"/>
        </w:rPr>
      </w:pPr>
      <w:bookmarkStart w:id="327" w:name="_Toc2024"/>
      <w:bookmarkStart w:id="328" w:name="_Toc55729603"/>
      <w:r>
        <w:rPr>
          <w:rFonts w:hint="eastAsia" w:ascii="仿宋" w:hAnsi="仿宋" w:cs="仿宋"/>
          <w:sz w:val="24"/>
        </w:rPr>
        <w:t>6、肺功能规范化管理</w:t>
      </w:r>
      <w:bookmarkEnd w:id="327"/>
      <w:bookmarkEnd w:id="328"/>
    </w:p>
    <w:p>
      <w:pPr>
        <w:pStyle w:val="4"/>
        <w:ind w:right="240" w:rightChars="100"/>
        <w:rPr>
          <w:rFonts w:ascii="仿宋" w:hAnsi="仿宋" w:cs="仿宋"/>
          <w:sz w:val="24"/>
        </w:rPr>
      </w:pPr>
      <w:r>
        <w:rPr>
          <w:rFonts w:ascii="仿宋" w:hAnsi="仿宋" w:cs="仿宋"/>
          <w:sz w:val="24"/>
        </w:rPr>
        <w:t>6.1肺功能大屏</w:t>
      </w:r>
      <w:r>
        <w:rPr>
          <w:rFonts w:hint="eastAsia" w:ascii="仿宋" w:hAnsi="仿宋" w:cs="仿宋"/>
          <w:sz w:val="24"/>
        </w:rPr>
        <w:t>展示</w:t>
      </w:r>
    </w:p>
    <w:p>
      <w:pPr>
        <w:ind w:firstLine="480"/>
        <w:rPr>
          <w:rFonts w:ascii="仿宋" w:hAnsi="仿宋" w:cs="仿宋"/>
        </w:rPr>
      </w:pPr>
      <w:r>
        <w:rPr>
          <w:rFonts w:hint="eastAsia" w:ascii="仿宋" w:hAnsi="仿宋" w:cs="仿宋"/>
        </w:rPr>
        <w:t>需支持查看指定时间范围内的在全国或本省或本市的肺功能检查患者分布人数。同时支持可视化及交互式图表查看肺功能检查的关键指标，如性别分析、年龄分析、肺通气功能障碍类型、肺通气功能障碍程度、项目检查人次、气道高反应性分级、激发试验阴性</w:t>
      </w:r>
      <w:r>
        <w:rPr>
          <w:rFonts w:ascii="仿宋" w:hAnsi="仿宋" w:cs="仿宋"/>
        </w:rPr>
        <w:t>/阳性/可疑阳性率、GOLD分级、舒张试验阴性/阳性率等指标，</w:t>
      </w:r>
      <w:r>
        <w:rPr>
          <w:rFonts w:hint="eastAsia" w:ascii="仿宋" w:hAnsi="仿宋" w:cs="仿宋"/>
        </w:rPr>
        <w:t>为科室领导提供决策支持。</w:t>
      </w:r>
    </w:p>
    <w:p>
      <w:pPr>
        <w:pStyle w:val="4"/>
        <w:ind w:right="240" w:rightChars="100"/>
        <w:rPr>
          <w:rFonts w:ascii="仿宋" w:hAnsi="仿宋" w:cs="仿宋"/>
          <w:sz w:val="24"/>
        </w:rPr>
      </w:pPr>
      <w:r>
        <w:rPr>
          <w:rFonts w:ascii="仿宋" w:hAnsi="仿宋" w:cs="仿宋"/>
          <w:sz w:val="24"/>
        </w:rPr>
        <w:t>6.2指标筛选与分析</w:t>
      </w:r>
    </w:p>
    <w:p>
      <w:pPr>
        <w:ind w:firstLine="480"/>
        <w:rPr>
          <w:rFonts w:ascii="仿宋" w:hAnsi="仿宋" w:cs="仿宋"/>
        </w:rPr>
      </w:pPr>
      <w:r>
        <w:rPr>
          <w:rFonts w:hint="eastAsia" w:ascii="仿宋" w:hAnsi="仿宋" w:cs="仿宋"/>
        </w:rPr>
        <w:t>需支持利用各种指标的排列组合进行患者的逻辑筛查。对肺功能仪报告的标准化处理，包含肺功能指标提取，指标类别包括患者基本信息、呼吸相关症状、临床初步诊断、支气管舒张试验、支气管激发试验、残气容积测定、气道阻力检查、肺弥散功能检查等，可进行各种指标的排列组合筛查，并保存结果数据集和导出。</w:t>
      </w:r>
    </w:p>
    <w:p>
      <w:pPr>
        <w:pStyle w:val="4"/>
        <w:ind w:right="240" w:rightChars="100"/>
        <w:rPr>
          <w:rFonts w:ascii="仿宋" w:hAnsi="仿宋" w:cs="仿宋"/>
          <w:sz w:val="24"/>
        </w:rPr>
      </w:pPr>
      <w:r>
        <w:rPr>
          <w:rFonts w:ascii="仿宋" w:hAnsi="仿宋" w:cs="仿宋"/>
          <w:sz w:val="24"/>
        </w:rPr>
        <w:t>6.3患者趋势分析</w:t>
      </w:r>
    </w:p>
    <w:p>
      <w:pPr>
        <w:ind w:firstLine="480"/>
        <w:rPr>
          <w:rFonts w:ascii="仿宋" w:hAnsi="仿宋" w:cs="仿宋"/>
        </w:rPr>
      </w:pPr>
      <w:r>
        <w:rPr>
          <w:rFonts w:hint="eastAsia" w:ascii="仿宋" w:hAnsi="仿宋" w:cs="仿宋"/>
        </w:rPr>
        <w:t>支持查看患者多次肺功能检查的报告详情，对多次肺功能检查的患者进行肺功能指标趋势分析，并快速筛选出结果。</w:t>
      </w:r>
    </w:p>
    <w:p>
      <w:pPr>
        <w:pStyle w:val="4"/>
        <w:ind w:right="240" w:rightChars="100"/>
        <w:rPr>
          <w:rFonts w:ascii="仿宋" w:hAnsi="仿宋" w:cs="仿宋"/>
          <w:sz w:val="24"/>
        </w:rPr>
      </w:pPr>
      <w:bookmarkStart w:id="329" w:name="_Toc4393"/>
      <w:r>
        <w:rPr>
          <w:rFonts w:hint="eastAsia" w:ascii="仿宋" w:hAnsi="仿宋" w:cs="仿宋"/>
          <w:sz w:val="24"/>
        </w:rPr>
        <w:t>7、单病种质控分析</w:t>
      </w:r>
      <w:bookmarkEnd w:id="329"/>
    </w:p>
    <w:p>
      <w:pPr>
        <w:ind w:right="240" w:firstLine="480"/>
        <w:rPr>
          <w:rFonts w:ascii="仿宋" w:hAnsi="仿宋" w:cs="仿宋"/>
        </w:rPr>
      </w:pPr>
      <w:bookmarkStart w:id="330" w:name="OLE_LINK9"/>
      <w:bookmarkStart w:id="331" w:name="OLE_LINK10"/>
      <w:r>
        <w:rPr>
          <w:rFonts w:hint="eastAsia" w:ascii="仿宋" w:hAnsi="仿宋" w:cs="仿宋"/>
        </w:rPr>
        <w:t>需提供质控指标分析功能，</w:t>
      </w:r>
      <w:bookmarkEnd w:id="330"/>
      <w:bookmarkEnd w:id="331"/>
      <w:r>
        <w:rPr>
          <w:rFonts w:hint="eastAsia" w:ascii="仿宋" w:hAnsi="仿宋" w:cs="仿宋"/>
        </w:rPr>
        <w:t>监测疾病终末指标的变化趋势，包括安全指标，合理用药指标，患者基础指标，综合指标以及治疗指标进行质控分析并对其进行监控与评估，建立呼吸专病质控数据管理与评价体系。</w:t>
      </w:r>
    </w:p>
    <w:p>
      <w:pPr>
        <w:pStyle w:val="69"/>
        <w:ind w:left="480" w:firstLine="482"/>
        <w:rPr>
          <w:rFonts w:ascii="仿宋" w:hAnsi="仿宋"/>
        </w:rPr>
      </w:pPr>
      <w:bookmarkStart w:id="332" w:name="_Toc20891"/>
      <w:r>
        <w:rPr>
          <w:rFonts w:hint="eastAsia" w:ascii="仿宋" w:hAnsi="仿宋"/>
          <w:b/>
        </w:rPr>
        <w:t>7.1指标异常预警</w:t>
      </w:r>
      <w:bookmarkEnd w:id="332"/>
      <w:r>
        <w:rPr>
          <w:rFonts w:hint="eastAsia" w:ascii="仿宋" w:hAnsi="仿宋"/>
          <w:b/>
        </w:rPr>
        <w:t>：</w:t>
      </w:r>
      <w:r>
        <w:rPr>
          <w:rFonts w:hint="eastAsia" w:ascii="仿宋" w:hAnsi="仿宋"/>
        </w:rPr>
        <w:t>进入系统，需第一时间获取指标异常信息，方便及时快速做出应对。每个指标独立设置预警范围，也可统一设置范围。</w:t>
      </w:r>
    </w:p>
    <w:p>
      <w:pPr>
        <w:pStyle w:val="69"/>
        <w:ind w:left="480" w:firstLine="482"/>
        <w:rPr>
          <w:rFonts w:ascii="仿宋" w:hAnsi="仿宋"/>
        </w:rPr>
      </w:pPr>
      <w:bookmarkStart w:id="333" w:name="_Toc18704"/>
      <w:r>
        <w:rPr>
          <w:rFonts w:hint="eastAsia" w:ascii="仿宋" w:hAnsi="仿宋"/>
          <w:b/>
        </w:rPr>
        <w:t>7.2时间筛查功能</w:t>
      </w:r>
      <w:bookmarkEnd w:id="333"/>
      <w:r>
        <w:rPr>
          <w:rFonts w:hint="eastAsia" w:ascii="仿宋" w:hAnsi="仿宋"/>
          <w:b/>
        </w:rPr>
        <w:t>：</w:t>
      </w:r>
      <w:r>
        <w:rPr>
          <w:rFonts w:hint="eastAsia" w:ascii="仿宋" w:hAnsi="仿宋"/>
        </w:rPr>
        <w:t>提供多种时间维度筛选，各种报表实现日周月年的数据切换。</w:t>
      </w:r>
    </w:p>
    <w:p>
      <w:pPr>
        <w:pStyle w:val="69"/>
        <w:ind w:left="480" w:firstLine="482"/>
        <w:rPr>
          <w:rFonts w:ascii="仿宋" w:hAnsi="仿宋"/>
        </w:rPr>
      </w:pPr>
      <w:bookmarkStart w:id="334" w:name="_Toc27927"/>
      <w:r>
        <w:rPr>
          <w:rFonts w:hint="eastAsia" w:ascii="仿宋" w:hAnsi="仿宋"/>
          <w:b/>
        </w:rPr>
        <w:t>7.3自定义展示面板</w:t>
      </w:r>
      <w:bookmarkEnd w:id="334"/>
      <w:r>
        <w:rPr>
          <w:rFonts w:hint="eastAsia" w:ascii="仿宋" w:hAnsi="仿宋"/>
          <w:b/>
        </w:rPr>
        <w:t>：</w:t>
      </w:r>
      <w:r>
        <w:rPr>
          <w:rFonts w:hint="eastAsia" w:ascii="仿宋" w:hAnsi="仿宋"/>
        </w:rPr>
        <w:t>应支持根据自己的需求可以自定义领导页面展示内容。应支持不同的指标设计不同风格的看板。显示模块应支持大小设计跟统计图的展示形式。</w:t>
      </w:r>
    </w:p>
    <w:p>
      <w:pPr>
        <w:pStyle w:val="69"/>
        <w:ind w:left="480" w:firstLine="482"/>
        <w:rPr>
          <w:rFonts w:ascii="仿宋" w:hAnsi="仿宋"/>
        </w:rPr>
      </w:pPr>
      <w:bookmarkStart w:id="335" w:name="_Toc16507"/>
      <w:r>
        <w:rPr>
          <w:rFonts w:hint="eastAsia" w:ascii="仿宋" w:hAnsi="仿宋"/>
          <w:b/>
        </w:rPr>
        <w:t>7.4指标计算算法详解</w:t>
      </w:r>
      <w:bookmarkEnd w:id="335"/>
      <w:r>
        <w:rPr>
          <w:rFonts w:hint="eastAsia" w:ascii="仿宋" w:hAnsi="仿宋"/>
          <w:b/>
        </w:rPr>
        <w:t>：</w:t>
      </w:r>
      <w:r>
        <w:rPr>
          <w:rFonts w:hint="eastAsia" w:ascii="仿宋" w:hAnsi="仿宋"/>
        </w:rPr>
        <w:t>针对指标数据的计算方式，系统需给出对应的详细解释跟算法用例。</w:t>
      </w:r>
    </w:p>
    <w:p>
      <w:pPr>
        <w:pStyle w:val="69"/>
        <w:ind w:left="480" w:firstLine="482"/>
        <w:rPr>
          <w:rFonts w:ascii="仿宋" w:hAnsi="仿宋"/>
        </w:rPr>
      </w:pPr>
      <w:bookmarkStart w:id="336" w:name="_Toc11222"/>
      <w:r>
        <w:rPr>
          <w:rFonts w:hint="eastAsia" w:ascii="仿宋" w:hAnsi="仿宋"/>
          <w:b/>
        </w:rPr>
        <w:t>7.5多种指标走势图切换</w:t>
      </w:r>
      <w:bookmarkEnd w:id="336"/>
      <w:r>
        <w:rPr>
          <w:rFonts w:hint="eastAsia" w:ascii="仿宋" w:hAnsi="仿宋"/>
          <w:b/>
        </w:rPr>
        <w:t>：</w:t>
      </w:r>
      <w:r>
        <w:rPr>
          <w:rFonts w:hint="eastAsia" w:ascii="仿宋" w:hAnsi="仿宋"/>
        </w:rPr>
        <w:t>需考虑到不同指标的展示效果差异，可以随意切换展示图表形态。</w:t>
      </w:r>
    </w:p>
    <w:p>
      <w:pPr>
        <w:pStyle w:val="69"/>
        <w:ind w:left="480" w:firstLine="482"/>
        <w:rPr>
          <w:rFonts w:ascii="仿宋" w:hAnsi="仿宋"/>
        </w:rPr>
      </w:pPr>
      <w:bookmarkStart w:id="337" w:name="_Toc3424"/>
      <w:r>
        <w:rPr>
          <w:rFonts w:hint="eastAsia" w:ascii="仿宋" w:hAnsi="仿宋"/>
          <w:b/>
        </w:rPr>
        <w:t>7.6自动计算同比</w:t>
      </w:r>
      <w:r>
        <w:rPr>
          <w:rFonts w:ascii="仿宋" w:hAnsi="仿宋"/>
          <w:b/>
        </w:rPr>
        <w:t>/环比数据</w:t>
      </w:r>
      <w:bookmarkEnd w:id="337"/>
      <w:r>
        <w:rPr>
          <w:rFonts w:hint="eastAsia" w:ascii="仿宋" w:hAnsi="仿宋"/>
          <w:b/>
        </w:rPr>
        <w:t>：</w:t>
      </w:r>
      <w:r>
        <w:rPr>
          <w:rFonts w:hint="eastAsia" w:ascii="仿宋" w:hAnsi="仿宋"/>
        </w:rPr>
        <w:t>每个指标应给出时间范围的对应结果，还需提供上个时间段的同比增长率跟往年同期的环比增长率结果。</w:t>
      </w:r>
    </w:p>
    <w:p>
      <w:pPr>
        <w:pStyle w:val="69"/>
        <w:ind w:left="480" w:firstLine="482"/>
        <w:rPr>
          <w:rFonts w:ascii="仿宋" w:hAnsi="仿宋"/>
        </w:rPr>
      </w:pPr>
      <w:bookmarkStart w:id="338" w:name="_Toc16738"/>
      <w:r>
        <w:rPr>
          <w:rFonts w:hint="eastAsia" w:ascii="仿宋" w:hAnsi="仿宋"/>
          <w:b/>
        </w:rPr>
        <w:t>7.7导出报表</w:t>
      </w:r>
      <w:r>
        <w:rPr>
          <w:rFonts w:ascii="仿宋" w:hAnsi="仿宋"/>
          <w:b/>
        </w:rPr>
        <w:t>/保存走势图</w:t>
      </w:r>
      <w:bookmarkEnd w:id="338"/>
      <w:r>
        <w:rPr>
          <w:rFonts w:hint="eastAsia" w:ascii="仿宋" w:hAnsi="仿宋"/>
          <w:b/>
        </w:rPr>
        <w:t>：</w:t>
      </w:r>
      <w:r>
        <w:rPr>
          <w:rFonts w:hint="eastAsia" w:ascii="仿宋" w:hAnsi="仿宋"/>
        </w:rPr>
        <w:t>每个指标的计算结果图表都需通过页面按钮实现导出或保存到本地的功能。</w:t>
      </w:r>
    </w:p>
    <w:p>
      <w:pPr>
        <w:pStyle w:val="69"/>
        <w:ind w:left="480" w:firstLine="482"/>
        <w:rPr>
          <w:rFonts w:ascii="仿宋" w:hAnsi="仿宋"/>
        </w:rPr>
      </w:pPr>
      <w:bookmarkStart w:id="339" w:name="_Toc4391"/>
      <w:r>
        <w:rPr>
          <w:rFonts w:hint="eastAsia" w:ascii="仿宋" w:hAnsi="仿宋"/>
          <w:b/>
        </w:rPr>
        <w:t>7.8快捷个人全景</w:t>
      </w:r>
      <w:bookmarkEnd w:id="339"/>
      <w:r>
        <w:rPr>
          <w:rFonts w:hint="eastAsia" w:ascii="仿宋" w:hAnsi="仿宋"/>
          <w:b/>
        </w:rPr>
        <w:t>：</w:t>
      </w:r>
      <w:r>
        <w:rPr>
          <w:rFonts w:hint="eastAsia" w:ascii="仿宋" w:hAnsi="仿宋"/>
        </w:rPr>
        <w:t>图表上每个数据背后代表的统计都需具备页面深入连通，例如通过点击死亡人数可以得到完整患者列表，从而进入每个患者的全景数据页面。</w:t>
      </w:r>
    </w:p>
    <w:p>
      <w:pPr>
        <w:pStyle w:val="69"/>
        <w:ind w:left="480" w:firstLine="482"/>
        <w:rPr>
          <w:rFonts w:ascii="仿宋" w:hAnsi="仿宋"/>
        </w:rPr>
      </w:pPr>
      <w:bookmarkStart w:id="340" w:name="_Toc15720"/>
      <w:r>
        <w:rPr>
          <w:rFonts w:hint="eastAsia" w:ascii="仿宋" w:hAnsi="仿宋"/>
          <w:b/>
        </w:rPr>
        <w:t>7.9多医院多指标排行榜</w:t>
      </w:r>
      <w:bookmarkEnd w:id="340"/>
      <w:r>
        <w:rPr>
          <w:rFonts w:hint="eastAsia" w:ascii="仿宋" w:hAnsi="仿宋"/>
          <w:b/>
        </w:rPr>
        <w:t>：</w:t>
      </w:r>
      <w:r>
        <w:rPr>
          <w:rFonts w:hint="eastAsia" w:ascii="仿宋" w:hAnsi="仿宋"/>
        </w:rPr>
        <w:t>各个指标数据应支持横向对比，对于我院的各种质量控制可以一目了然。</w:t>
      </w:r>
    </w:p>
    <w:p>
      <w:pPr>
        <w:pStyle w:val="69"/>
        <w:ind w:left="480" w:firstLine="482"/>
        <w:rPr>
          <w:rFonts w:ascii="仿宋" w:hAnsi="仿宋"/>
        </w:rPr>
      </w:pPr>
      <w:bookmarkStart w:id="341" w:name="_Toc2344"/>
      <w:r>
        <w:rPr>
          <w:rFonts w:hint="eastAsia" w:ascii="仿宋" w:hAnsi="仿宋"/>
          <w:b/>
        </w:rPr>
        <w:t>7.10一键打印大类指标图表</w:t>
      </w:r>
      <w:bookmarkEnd w:id="341"/>
      <w:r>
        <w:rPr>
          <w:rFonts w:hint="eastAsia" w:ascii="仿宋" w:hAnsi="仿宋"/>
          <w:b/>
        </w:rPr>
        <w:t>：</w:t>
      </w:r>
      <w:r>
        <w:rPr>
          <w:rFonts w:hint="eastAsia" w:ascii="仿宋" w:hAnsi="仿宋"/>
        </w:rPr>
        <w:t>应提供一个高效的打印报表功能，可以一键打印成纸质文档方便领导审阅。</w:t>
      </w:r>
    </w:p>
    <w:p>
      <w:pPr>
        <w:pStyle w:val="4"/>
        <w:ind w:right="240" w:rightChars="100"/>
        <w:rPr>
          <w:rFonts w:ascii="仿宋" w:hAnsi="仿宋" w:cs="仿宋"/>
          <w:sz w:val="24"/>
        </w:rPr>
      </w:pPr>
      <w:bookmarkStart w:id="342" w:name="_Toc58356881"/>
      <w:bookmarkStart w:id="343" w:name="_Toc19453"/>
      <w:r>
        <w:rPr>
          <w:rFonts w:hint="eastAsia" w:ascii="仿宋" w:hAnsi="仿宋" w:cs="仿宋"/>
          <w:sz w:val="24"/>
        </w:rPr>
        <w:t>8、知识库</w:t>
      </w:r>
      <w:bookmarkEnd w:id="342"/>
      <w:bookmarkEnd w:id="343"/>
    </w:p>
    <w:p>
      <w:pPr>
        <w:ind w:firstLine="480"/>
        <w:rPr>
          <w:rFonts w:ascii="仿宋" w:hAnsi="仿宋" w:cs="仿宋"/>
        </w:rPr>
      </w:pPr>
      <w:r>
        <w:rPr>
          <w:rFonts w:hint="eastAsia" w:ascii="仿宋" w:hAnsi="仿宋" w:cs="仿宋"/>
        </w:rPr>
        <w:t>需支持与医院本地临床大数据结合应用，囊括多种常见疾病的基础知识以及罕见疾病的知识库、国内外最新指南和文献，并将疾病知识做结构化呈现，方便查阅与搜索；同时需具备药品知识图谱，可视化的动态展现了药物、症状、适应症、禁忌症等内容的相关性。</w:t>
      </w:r>
    </w:p>
    <w:p>
      <w:pPr>
        <w:pStyle w:val="4"/>
        <w:ind w:right="240" w:rightChars="100"/>
        <w:rPr>
          <w:rFonts w:ascii="仿宋" w:hAnsi="仿宋" w:cs="仿宋"/>
          <w:sz w:val="24"/>
        </w:rPr>
      </w:pPr>
      <w:r>
        <w:rPr>
          <w:rFonts w:ascii="仿宋" w:hAnsi="仿宋" w:cs="仿宋"/>
          <w:sz w:val="24"/>
        </w:rPr>
        <w:t>8.1疾病知识库</w:t>
      </w:r>
    </w:p>
    <w:p>
      <w:pPr>
        <w:ind w:firstLine="424" w:firstLineChars="177"/>
        <w:rPr>
          <w:rFonts w:ascii="仿宋" w:hAnsi="仿宋" w:cs="仿宋"/>
        </w:rPr>
      </w:pPr>
      <w:r>
        <w:rPr>
          <w:rFonts w:hint="eastAsia" w:ascii="仿宋" w:hAnsi="仿宋" w:cs="仿宋"/>
        </w:rPr>
        <w:t>需支持基于</w:t>
      </w:r>
      <w:r>
        <w:rPr>
          <w:rFonts w:ascii="仿宋" w:hAnsi="仿宋" w:cs="仿宋"/>
        </w:rPr>
        <w:t>PubMed等权威医学数据库对专科领域核心期刊进行检索，对检索结果进行多维统计分析。帮助临床医生迅速找到相关领域的领头羊，并了解最新的研究方向。</w:t>
      </w:r>
    </w:p>
    <w:p>
      <w:pPr>
        <w:ind w:firstLine="424" w:firstLineChars="177"/>
        <w:rPr>
          <w:rFonts w:ascii="仿宋" w:hAnsi="仿宋" w:cs="仿宋"/>
        </w:rPr>
      </w:pPr>
      <w:r>
        <w:rPr>
          <w:rFonts w:hint="eastAsia" w:ascii="仿宋" w:hAnsi="仿宋" w:cs="仿宋"/>
        </w:rPr>
        <w:t>疾病知识库需面向临床医生，以疾病诊疗为核心，需遵循医生诊断和治疗疾病的客观过程，为医生提供诊疗数据支持，为诊断预测、推荐检查、推荐治疗等功能提供循证医学证据。</w:t>
      </w:r>
    </w:p>
    <w:p>
      <w:pPr>
        <w:pStyle w:val="69"/>
        <w:widowControl/>
        <w:ind w:firstLine="480"/>
        <w:rPr>
          <w:rFonts w:ascii="仿宋" w:hAnsi="仿宋" w:cs="仿宋"/>
        </w:rPr>
      </w:pPr>
      <w:r>
        <w:rPr>
          <w:rFonts w:hint="eastAsia" w:ascii="仿宋" w:hAnsi="仿宋" w:cs="仿宋"/>
        </w:rPr>
        <w:t>（</w:t>
      </w:r>
      <w:r>
        <w:rPr>
          <w:rFonts w:ascii="仿宋" w:hAnsi="仿宋" w:cs="仿宋"/>
        </w:rPr>
        <w:t>1）需支持疾病检索功能，并以知识库、知识图谱形式查看疾病知识；</w:t>
      </w:r>
    </w:p>
    <w:p>
      <w:pPr>
        <w:pStyle w:val="69"/>
        <w:widowControl/>
        <w:ind w:firstLine="480"/>
        <w:rPr>
          <w:rFonts w:ascii="仿宋" w:hAnsi="仿宋" w:cs="仿宋"/>
        </w:rPr>
      </w:pPr>
      <w:r>
        <w:rPr>
          <w:rFonts w:hint="eastAsia" w:ascii="仿宋" w:hAnsi="仿宋" w:cs="仿宋"/>
        </w:rPr>
        <w:t>（</w:t>
      </w:r>
      <w:r>
        <w:rPr>
          <w:rFonts w:ascii="仿宋" w:hAnsi="仿宋" w:cs="仿宋"/>
        </w:rPr>
        <w:t>2）需支持文献检索功能，可通过关键字及高级检索功能对指南、文献进行检索，并以影响因子、相关性、发表时间进行排序；</w:t>
      </w:r>
    </w:p>
    <w:p>
      <w:pPr>
        <w:pStyle w:val="69"/>
        <w:widowControl/>
        <w:ind w:firstLine="480"/>
        <w:rPr>
          <w:rFonts w:ascii="仿宋" w:hAnsi="仿宋" w:cs="仿宋"/>
        </w:rPr>
      </w:pPr>
      <w:r>
        <w:rPr>
          <w:rFonts w:hint="eastAsia" w:ascii="仿宋" w:hAnsi="仿宋" w:cs="仿宋"/>
        </w:rPr>
        <w:t>（</w:t>
      </w:r>
      <w:r>
        <w:rPr>
          <w:rFonts w:ascii="仿宋" w:hAnsi="仿宋" w:cs="仿宋"/>
        </w:rPr>
        <w:t>3）需支持统计搜索数据，提供热门搜索信息；</w:t>
      </w:r>
    </w:p>
    <w:p>
      <w:pPr>
        <w:pStyle w:val="69"/>
        <w:widowControl/>
        <w:ind w:firstLine="480"/>
        <w:rPr>
          <w:rFonts w:ascii="仿宋" w:hAnsi="仿宋" w:cs="仿宋"/>
        </w:rPr>
      </w:pPr>
      <w:r>
        <w:rPr>
          <w:rFonts w:hint="eastAsia" w:ascii="仿宋" w:hAnsi="仿宋" w:cs="仿宋"/>
        </w:rPr>
        <w:t>（</w:t>
      </w:r>
      <w:r>
        <w:rPr>
          <w:rFonts w:ascii="仿宋" w:hAnsi="仿宋" w:cs="仿宋"/>
        </w:rPr>
        <w:t>4）需支持词云分析功能，对文献标题、文献全文、疾病知识、搜索引擎进行词云分析，为临床医生提供热门信息。</w:t>
      </w:r>
    </w:p>
    <w:p>
      <w:pPr>
        <w:pStyle w:val="4"/>
        <w:ind w:right="240" w:rightChars="100"/>
        <w:rPr>
          <w:rFonts w:ascii="仿宋" w:hAnsi="仿宋" w:cs="仿宋"/>
          <w:sz w:val="24"/>
        </w:rPr>
      </w:pPr>
      <w:r>
        <w:rPr>
          <w:rFonts w:ascii="仿宋" w:hAnsi="仿宋" w:cs="仿宋"/>
          <w:sz w:val="24"/>
        </w:rPr>
        <w:t>8.2药品通</w:t>
      </w:r>
      <w:r>
        <w:rPr>
          <w:rFonts w:ascii="仿宋" w:hAnsi="仿宋" w:cs="仿宋"/>
          <w:sz w:val="24"/>
        </w:rPr>
        <w:tab/>
      </w:r>
    </w:p>
    <w:p>
      <w:pPr>
        <w:snapToGrid w:val="0"/>
        <w:ind w:firstLine="480" w:firstLineChars="200"/>
        <w:rPr>
          <w:rFonts w:ascii="仿宋" w:hAnsi="仿宋" w:cs="仿宋"/>
        </w:rPr>
      </w:pPr>
      <w:r>
        <w:rPr>
          <w:rFonts w:hint="eastAsia" w:ascii="仿宋" w:hAnsi="仿宋" w:cs="仿宋"/>
        </w:rPr>
        <w:t>（</w:t>
      </w:r>
      <w:r>
        <w:rPr>
          <w:rFonts w:ascii="仿宋" w:hAnsi="仿宋" w:cs="仿宋"/>
        </w:rPr>
        <w:t>1）</w:t>
      </w:r>
      <w:r>
        <w:rPr>
          <w:rFonts w:hint="eastAsia" w:ascii="仿宋" w:hAnsi="仿宋" w:cs="仿宋"/>
        </w:rPr>
        <w:t>需提供智能化、可视化用药服务的支持系统，将琐碎、零散的药物知识相互连接，实现药物知识的有效整合，从而提供全面、准确、智能的药物知识服务。</w:t>
      </w:r>
    </w:p>
    <w:p>
      <w:pPr>
        <w:snapToGrid w:val="0"/>
        <w:ind w:firstLine="480" w:firstLineChars="200"/>
        <w:rPr>
          <w:rFonts w:ascii="仿宋" w:hAnsi="仿宋" w:cs="仿宋"/>
        </w:rPr>
      </w:pPr>
      <w:r>
        <w:rPr>
          <w:rFonts w:hint="eastAsia" w:ascii="仿宋" w:hAnsi="仿宋" w:cs="仿宋"/>
        </w:rPr>
        <w:t>（2</w:t>
      </w:r>
      <w:r>
        <w:rPr>
          <w:rFonts w:ascii="仿宋" w:hAnsi="仿宋" w:cs="仿宋"/>
        </w:rPr>
        <w:t>）</w:t>
      </w:r>
      <w:r>
        <w:rPr>
          <w:rFonts w:hint="eastAsia" w:ascii="仿宋" w:hAnsi="仿宋" w:cs="仿宋"/>
        </w:rPr>
        <w:t>提供药物查询功能，根据药物</w:t>
      </w:r>
      <w:r>
        <w:rPr>
          <w:rFonts w:ascii="仿宋" w:hAnsi="仿宋" w:cs="仿宋"/>
        </w:rPr>
        <w:t>ATC（解剖学治疗学化学）分类快速查询以及多条件精确搜索药物，查看具体药品的药物说明书、药物知识图谱、相似药物推荐。</w:t>
      </w:r>
    </w:p>
    <w:p>
      <w:pPr>
        <w:snapToGrid w:val="0"/>
        <w:ind w:firstLine="480" w:firstLineChars="200"/>
        <w:rPr>
          <w:rFonts w:ascii="仿宋" w:hAnsi="仿宋" w:cs="仿宋"/>
        </w:rPr>
      </w:pPr>
      <w:r>
        <w:rPr>
          <w:rFonts w:hint="eastAsia" w:ascii="仿宋" w:hAnsi="仿宋" w:cs="仿宋"/>
        </w:rPr>
        <w:t>（3</w:t>
      </w:r>
      <w:r>
        <w:rPr>
          <w:rFonts w:ascii="仿宋" w:hAnsi="仿宋" w:cs="仿宋"/>
        </w:rPr>
        <w:t>）</w:t>
      </w:r>
      <w:r>
        <w:rPr>
          <w:rFonts w:hint="eastAsia" w:ascii="仿宋" w:hAnsi="仿宋" w:cs="仿宋"/>
        </w:rPr>
        <w:t>需提供药物对比功能，输入相关药品名称后，可选择多个维度进行对比，可查看药物对比图谱。</w:t>
      </w:r>
    </w:p>
    <w:p>
      <w:pPr>
        <w:ind w:firstLine="480" w:firstLineChars="200"/>
        <w:rPr>
          <w:rFonts w:ascii="仿宋" w:hAnsi="仿宋" w:cs="仿宋"/>
        </w:rPr>
      </w:pPr>
      <w:r>
        <w:rPr>
          <w:rFonts w:hint="eastAsia" w:ascii="仿宋" w:hAnsi="仿宋" w:cs="仿宋"/>
        </w:rPr>
        <w:t>（4</w:t>
      </w:r>
      <w:r>
        <w:rPr>
          <w:rFonts w:ascii="仿宋" w:hAnsi="仿宋" w:cs="仿宋"/>
        </w:rPr>
        <w:t>）</w:t>
      </w:r>
      <w:r>
        <w:rPr>
          <w:rFonts w:hint="eastAsia" w:ascii="仿宋" w:hAnsi="仿宋" w:cs="仿宋"/>
        </w:rPr>
        <w:t>需提供药物相互作用知识库，输入两种相关药物名称后，可查看两种药物直接相互作用详情，如两药作用增强、无相互作用、谨慎合用等。</w:t>
      </w:r>
    </w:p>
    <w:p>
      <w:r>
        <w:rPr>
          <w:rFonts w:hint="eastAsia"/>
        </w:rPr>
        <w:br w:type="page"/>
      </w:r>
    </w:p>
    <w:p>
      <w:pPr>
        <w:pStyle w:val="5"/>
      </w:pPr>
      <w:r>
        <w:rPr>
          <w:rFonts w:hint="eastAsia"/>
        </w:rPr>
        <w:t>包3：医学图像处理软件</w:t>
      </w:r>
    </w:p>
    <w:p>
      <w:pPr>
        <w:outlineLvl w:val="0"/>
        <w:rPr>
          <w:rFonts w:ascii="仿宋" w:hAnsi="仿宋" w:cs="仿宋"/>
          <w:b/>
          <w:szCs w:val="32"/>
        </w:rPr>
      </w:pPr>
      <w:r>
        <w:rPr>
          <w:rFonts w:hint="eastAsia" w:ascii="仿宋" w:hAnsi="仿宋" w:cs="仿宋"/>
          <w:b/>
          <w:szCs w:val="32"/>
        </w:rPr>
        <w:t>一、项目概况</w:t>
      </w:r>
    </w:p>
    <w:p>
      <w:bookmarkStart w:id="344" w:name="_Toc529519003"/>
      <w:bookmarkStart w:id="345" w:name="_Toc1187346552"/>
      <w:bookmarkStart w:id="346" w:name="_Toc24814"/>
      <w:r>
        <w:rPr>
          <w:rFonts w:hint="eastAsia"/>
        </w:rPr>
        <w:t>（一）建设背景</w:t>
      </w:r>
    </w:p>
    <w:p>
      <w:pPr>
        <w:widowControl/>
        <w:rPr>
          <w:rFonts w:ascii="仿宋" w:hAnsi="仿宋" w:cs="仿宋"/>
          <w:szCs w:val="32"/>
        </w:rPr>
      </w:pPr>
      <w:r>
        <w:rPr>
          <w:rFonts w:hint="eastAsia" w:ascii="仿宋" w:hAnsi="仿宋" w:cs="仿宋"/>
        </w:rPr>
        <w:t xml:space="preserve">   </w:t>
      </w:r>
      <w:r>
        <w:rPr>
          <w:rFonts w:hint="eastAsia" w:ascii="仿宋" w:hAnsi="仿宋" w:cs="仿宋"/>
          <w:szCs w:val="32"/>
        </w:rPr>
        <w:t xml:space="preserve"> 近年来伴随着大数据时代的到来，医院的大型影像检查设备图形越来越清晰，但病人的影像大数据还仅用作疾病的诊断，随着医疗信息化发展迅速，影像数据也在逐步为临床诊疗服务。</w:t>
      </w:r>
    </w:p>
    <w:p>
      <w:pPr>
        <w:widowControl/>
        <w:ind w:firstLine="480" w:firstLineChars="200"/>
        <w:rPr>
          <w:rFonts w:ascii="仿宋" w:hAnsi="仿宋" w:cs="仿宋"/>
          <w:szCs w:val="32"/>
        </w:rPr>
      </w:pPr>
      <w:r>
        <w:rPr>
          <w:rFonts w:hint="eastAsia" w:ascii="仿宋" w:hAnsi="仿宋" w:cs="仿宋"/>
          <w:szCs w:val="32"/>
        </w:rPr>
        <w:t>将病人的二维影像数据重建成三维影像，在术前更加清晰的显示病灶的位置，并且做模拟介入手术方案，医工结合，助力临床逐步走向精准医疗，是当今医疗发展的趋势。</w:t>
      </w:r>
    </w:p>
    <w:p>
      <w:pPr>
        <w:widowControl/>
        <w:rPr>
          <w:rFonts w:ascii="仿宋" w:hAnsi="仿宋" w:cs="仿宋"/>
          <w:szCs w:val="32"/>
        </w:rPr>
      </w:pPr>
      <w:r>
        <w:rPr>
          <w:rFonts w:hint="eastAsia" w:ascii="仿宋" w:hAnsi="仿宋" w:cs="仿宋"/>
          <w:szCs w:val="32"/>
        </w:rPr>
        <w:t xml:space="preserve">    介入手术的精准化，需要相应的手术理念，手术规划方式，以及配套的手术工具。目前在临床手术实践中，术中的工具如支气管镜，EBUS超声镜，专用手术器械等等已经开始普及，但手术前的术前影像评估分析和手术规划，还仍然停留在观看CT平片，用直尺和笔勾画的阶段，需要引进更强有力的有关影像分析和手术计划工具。</w:t>
      </w:r>
    </w:p>
    <w:p>
      <w:pPr>
        <w:ind w:firstLine="480" w:firstLineChars="200"/>
        <w:rPr>
          <w:rFonts w:ascii="仿宋" w:hAnsi="仿宋" w:cs="仿宋"/>
          <w:szCs w:val="32"/>
        </w:rPr>
      </w:pPr>
      <w:r>
        <w:rPr>
          <w:rFonts w:hint="eastAsia" w:ascii="仿宋" w:hAnsi="仿宋" w:cs="仿宋"/>
          <w:szCs w:val="32"/>
        </w:rPr>
        <w:t>近年，发达国家和国内一些重要的呼研所已经开始使用专用CT影像分析工具，以解决手术前的解剖结构三维数量化和精确分析,进行手术虚拟规划的需要。临床实践证明，利用现代数字化影像技术进行先进的肺部术前全定量评估是为肺病患者选择合理的介入手术方案的重要基础和关键，已经成为精准治疗的一种必备工具。</w:t>
      </w:r>
    </w:p>
    <w:bookmarkEnd w:id="344"/>
    <w:bookmarkEnd w:id="345"/>
    <w:p>
      <w:bookmarkStart w:id="347" w:name="_Toc827975518"/>
      <w:bookmarkStart w:id="348" w:name="_Toc772889086"/>
      <w:r>
        <w:rPr>
          <w:rFonts w:hint="eastAsia"/>
        </w:rPr>
        <w:t>（二）建设</w:t>
      </w:r>
      <w:bookmarkEnd w:id="347"/>
      <w:bookmarkEnd w:id="348"/>
      <w:r>
        <w:rPr>
          <w:rFonts w:hint="eastAsia"/>
        </w:rPr>
        <w:t>目标</w:t>
      </w:r>
      <w:bookmarkEnd w:id="346"/>
    </w:p>
    <w:p>
      <w:pPr>
        <w:rPr>
          <w:rFonts w:ascii="仿宋" w:hAnsi="仿宋" w:cs="仿宋"/>
          <w:szCs w:val="32"/>
        </w:rPr>
      </w:pPr>
      <w:r>
        <w:rPr>
          <w:rFonts w:hint="eastAsia" w:ascii="仿宋" w:hAnsi="仿宋" w:cs="仿宋"/>
          <w:szCs w:val="32"/>
        </w:rPr>
        <w:t>1. 精确介入手术前评估和虚拟规划，对于介入可以达到手术精准化和微创化，有利于患者术后生存率的提升以及恢复，降低患者总治疗费用。</w:t>
      </w:r>
      <w:r>
        <w:rPr>
          <w:rFonts w:hint="eastAsia" w:ascii="仿宋" w:hAnsi="仿宋" w:cs="仿宋"/>
          <w:szCs w:val="32"/>
        </w:rPr>
        <w:br w:type="textWrapping"/>
      </w:r>
      <w:r>
        <w:rPr>
          <w:rFonts w:hint="eastAsia" w:ascii="仿宋" w:hAnsi="仿宋" w:cs="仿宋"/>
          <w:szCs w:val="32"/>
        </w:rPr>
        <w:t>2. 对于肺结节病例，可以查看病灶体积大小、与周围血管关系以及GGN磨玻璃占比及成分分析。</w:t>
      </w:r>
    </w:p>
    <w:p>
      <w:pPr>
        <w:rPr>
          <w:rFonts w:ascii="仿宋" w:hAnsi="仿宋" w:cs="仿宋"/>
          <w:szCs w:val="32"/>
        </w:rPr>
      </w:pPr>
      <w:r>
        <w:rPr>
          <w:rFonts w:hint="eastAsia" w:ascii="仿宋" w:hAnsi="仿宋" w:cs="仿宋"/>
          <w:szCs w:val="32"/>
        </w:rPr>
        <w:t>3.可以进行气道分析，能评估COPO的严重程度，采取不同的治疗方案，或者根据治疗前的数据对比，评估治疗有效性。</w:t>
      </w:r>
    </w:p>
    <w:p>
      <w:pPr>
        <w:rPr>
          <w:rFonts w:ascii="仿宋" w:hAnsi="仿宋" w:cs="仿宋"/>
          <w:szCs w:val="32"/>
        </w:rPr>
      </w:pPr>
      <w:r>
        <w:rPr>
          <w:rFonts w:hint="eastAsia" w:ascii="仿宋" w:hAnsi="仿宋" w:cs="仿宋"/>
          <w:szCs w:val="32"/>
        </w:rPr>
        <w:t>4.进行低衰减密度区域分布分析，可以评估肺气肿得严重程度。</w:t>
      </w:r>
    </w:p>
    <w:p>
      <w:pPr>
        <w:rPr>
          <w:rFonts w:ascii="仿宋" w:hAnsi="仿宋" w:cs="仿宋"/>
          <w:szCs w:val="32"/>
        </w:rPr>
      </w:pPr>
      <w:r>
        <w:rPr>
          <w:rFonts w:hint="eastAsia" w:ascii="仿宋" w:hAnsi="仿宋" w:cs="仿宋"/>
          <w:szCs w:val="32"/>
        </w:rPr>
        <w:t>5.可以进行肺大疱分析，可观察到小体积的肺大疱。</w:t>
      </w:r>
    </w:p>
    <w:p>
      <w:pPr>
        <w:rPr>
          <w:rFonts w:ascii="仿宋" w:hAnsi="仿宋" w:cs="仿宋"/>
          <w:szCs w:val="32"/>
        </w:rPr>
      </w:pPr>
      <w:r>
        <w:rPr>
          <w:rFonts w:hint="eastAsia" w:ascii="仿宋" w:hAnsi="仿宋" w:cs="仿宋"/>
          <w:szCs w:val="32"/>
        </w:rPr>
        <w:t>6.提升本院科室肺病治疗相关科研水平和学术竞争能力。</w:t>
      </w:r>
    </w:p>
    <w:p>
      <w:pPr>
        <w:pStyle w:val="13"/>
        <w:rPr>
          <w:rFonts w:ascii="仿宋" w:hAnsi="仿宋" w:cs="仿宋"/>
          <w:szCs w:val="32"/>
        </w:rPr>
      </w:pPr>
      <w:r>
        <w:rPr>
          <w:rFonts w:hint="eastAsia" w:ascii="仿宋" w:hAnsi="仿宋" w:cs="仿宋"/>
          <w:szCs w:val="32"/>
        </w:rPr>
        <w:t>（三）采购清单</w:t>
      </w:r>
    </w:p>
    <w:tbl>
      <w:tblPr>
        <w:tblStyle w:val="36"/>
        <w:tblpPr w:leftFromText="180" w:rightFromText="180" w:vertAnchor="text" w:tblpY="36"/>
        <w:tblOverlap w:val="never"/>
        <w:tblW w:w="54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3630"/>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857" w:type="dxa"/>
            <w:vAlign w:val="center"/>
          </w:tcPr>
          <w:p>
            <w:pPr>
              <w:pStyle w:val="6"/>
              <w:ind w:firstLine="0"/>
              <w:jc w:val="center"/>
              <w:rPr>
                <w:rFonts w:ascii="仿宋" w:hAnsi="仿宋" w:cs="仿宋"/>
                <w:kern w:val="2"/>
                <w:szCs w:val="32"/>
              </w:rPr>
            </w:pPr>
            <w:r>
              <w:rPr>
                <w:rFonts w:hint="eastAsia" w:ascii="仿宋" w:hAnsi="仿宋" w:cs="仿宋"/>
                <w:kern w:val="2"/>
                <w:szCs w:val="32"/>
              </w:rPr>
              <w:t>序号</w:t>
            </w:r>
          </w:p>
        </w:tc>
        <w:tc>
          <w:tcPr>
            <w:tcW w:w="3630" w:type="dxa"/>
            <w:vAlign w:val="center"/>
          </w:tcPr>
          <w:p>
            <w:pPr>
              <w:pStyle w:val="6"/>
              <w:ind w:firstLine="0"/>
              <w:jc w:val="center"/>
              <w:rPr>
                <w:rFonts w:ascii="仿宋" w:hAnsi="仿宋" w:cs="仿宋"/>
                <w:kern w:val="2"/>
                <w:szCs w:val="32"/>
              </w:rPr>
            </w:pPr>
            <w:r>
              <w:rPr>
                <w:rFonts w:hint="eastAsia" w:ascii="仿宋" w:hAnsi="仿宋" w:cs="仿宋"/>
                <w:kern w:val="2"/>
                <w:szCs w:val="32"/>
              </w:rPr>
              <w:t>产品名称</w:t>
            </w:r>
          </w:p>
        </w:tc>
        <w:tc>
          <w:tcPr>
            <w:tcW w:w="964" w:type="dxa"/>
            <w:vAlign w:val="center"/>
          </w:tcPr>
          <w:p>
            <w:pPr>
              <w:pStyle w:val="6"/>
              <w:ind w:firstLine="0"/>
              <w:jc w:val="center"/>
              <w:rPr>
                <w:rFonts w:ascii="仿宋" w:hAnsi="仿宋" w:cs="仿宋"/>
                <w:kern w:val="2"/>
                <w:szCs w:val="32"/>
              </w:rPr>
            </w:pPr>
            <w:r>
              <w:rPr>
                <w:rFonts w:hint="eastAsia" w:ascii="仿宋" w:hAnsi="仿宋" w:cs="仿宋"/>
                <w:kern w:val="2"/>
                <w:szCs w:val="3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7" w:type="dxa"/>
            <w:vAlign w:val="center"/>
          </w:tcPr>
          <w:p>
            <w:pPr>
              <w:pStyle w:val="6"/>
              <w:ind w:firstLine="0"/>
              <w:jc w:val="center"/>
              <w:rPr>
                <w:rFonts w:ascii="仿宋" w:hAnsi="仿宋" w:cs="仿宋"/>
                <w:kern w:val="2"/>
                <w:szCs w:val="32"/>
              </w:rPr>
            </w:pPr>
            <w:r>
              <w:rPr>
                <w:rFonts w:hint="eastAsia" w:ascii="仿宋" w:hAnsi="仿宋" w:cs="仿宋"/>
                <w:kern w:val="2"/>
                <w:szCs w:val="32"/>
              </w:rPr>
              <w:t>1</w:t>
            </w:r>
          </w:p>
        </w:tc>
        <w:tc>
          <w:tcPr>
            <w:tcW w:w="3630" w:type="dxa"/>
            <w:vAlign w:val="center"/>
          </w:tcPr>
          <w:p>
            <w:pPr>
              <w:widowControl/>
              <w:rPr>
                <w:rFonts w:ascii="仿宋" w:hAnsi="仿宋" w:cs="仿宋"/>
                <w:szCs w:val="32"/>
              </w:rPr>
            </w:pPr>
            <w:r>
              <w:rPr>
                <w:rFonts w:hint="eastAsia" w:ascii="仿宋" w:hAnsi="仿宋" w:cs="仿宋"/>
                <w:szCs w:val="32"/>
              </w:rPr>
              <w:t>医学图像处理软件系统</w:t>
            </w:r>
          </w:p>
        </w:tc>
        <w:tc>
          <w:tcPr>
            <w:tcW w:w="964" w:type="dxa"/>
            <w:vAlign w:val="center"/>
          </w:tcPr>
          <w:p>
            <w:pPr>
              <w:pStyle w:val="6"/>
              <w:ind w:firstLine="0"/>
              <w:jc w:val="both"/>
              <w:rPr>
                <w:rFonts w:ascii="仿宋" w:hAnsi="仿宋" w:cs="仿宋"/>
                <w:kern w:val="2"/>
                <w:szCs w:val="32"/>
              </w:rPr>
            </w:pPr>
            <w:r>
              <w:rPr>
                <w:rFonts w:hint="eastAsia" w:ascii="仿宋" w:hAnsi="仿宋" w:cs="仿宋"/>
                <w:kern w:val="2"/>
                <w:szCs w:val="32"/>
              </w:rPr>
              <w:t>1套</w:t>
            </w:r>
          </w:p>
        </w:tc>
      </w:tr>
    </w:tbl>
    <w:p>
      <w:pPr>
        <w:pStyle w:val="2"/>
        <w:ind w:left="480"/>
      </w:pPr>
    </w:p>
    <w:p>
      <w:pPr>
        <w:ind w:left="0" w:firstLine="0"/>
        <w:outlineLvl w:val="9"/>
      </w:pPr>
    </w:p>
    <w:p>
      <w:pPr>
        <w:outlineLvl w:val="0"/>
        <w:rPr>
          <w:rFonts w:ascii="仿宋" w:hAnsi="仿宋" w:cs="仿宋"/>
          <w:b/>
          <w:szCs w:val="32"/>
        </w:rPr>
      </w:pPr>
      <w:r>
        <w:rPr>
          <w:rFonts w:hint="eastAsia" w:ascii="仿宋" w:hAnsi="仿宋" w:cs="仿宋"/>
          <w:b/>
          <w:szCs w:val="32"/>
        </w:rPr>
        <w:t>二、商务要求</w:t>
      </w:r>
    </w:p>
    <w:p>
      <w:r>
        <w:rPr>
          <w:rFonts w:hint="eastAsia"/>
        </w:rPr>
        <w:t>★</w:t>
      </w:r>
      <w:r>
        <w:t>1、质保期： 验收</w:t>
      </w:r>
      <w:r>
        <w:rPr>
          <w:rFonts w:hint="eastAsia"/>
          <w:lang w:val="en-US" w:eastAsia="zh-CN"/>
        </w:rPr>
        <w:t>合格</w:t>
      </w:r>
      <w:r>
        <w:t>之日起，</w:t>
      </w:r>
      <w:r>
        <w:rPr>
          <w:rFonts w:hint="eastAsia"/>
        </w:rPr>
        <w:t>医学图像处理软件</w:t>
      </w:r>
      <w:r>
        <w:t>的软件部分提供1年质保，硬件部分提供3年质保。</w:t>
      </w:r>
    </w:p>
    <w:p>
      <w:r>
        <w:rPr>
          <w:rFonts w:hint="eastAsia"/>
        </w:rPr>
        <w:t>★</w:t>
      </w:r>
      <w:r>
        <w:t>2、售后服务：</w:t>
      </w:r>
    </w:p>
    <w:p>
      <w:r>
        <w:t>2.1服务热线：提供7×24小时故障报修热线电话服务。当在保修期内或采购人发现系统发生异常，或遇难以解决的系统疑问时，可以通过热线电话获得服务支持。对于用户服务要求，厂商负责首先提供远程电话技术支持，随时准备帮助客户处理各种突发事件。电话响应时间为 ≤1小时。</w:t>
      </w:r>
    </w:p>
    <w:p>
      <w:r>
        <w:t>2.2 E-mail支持：对于在热线电话中无法解决的问题，如果需要以电子文件的方式提供，售后服务人员需根据用户提供的Email地址及时给以回复。</w:t>
      </w:r>
    </w:p>
    <w:p>
      <w:r>
        <w:t>2.3售后现场服务：在远程不能解决问题的情况下，服务将以现场支持方式进行。维护服务人员需及时抵达客户现场进行问题排查和解决；对于系统灾难性故障，立即安排维护服务人员到现场进行系统恢复，现场响应时间：7*24小时。</w:t>
      </w:r>
    </w:p>
    <w:p>
      <w:pPr>
        <w:rPr>
          <w:rFonts w:ascii="仿宋" w:hAnsi="仿宋" w:cs="仿宋"/>
          <w:szCs w:val="32"/>
        </w:rPr>
      </w:pPr>
      <w:r>
        <w:rPr>
          <w:rFonts w:hint="eastAsia"/>
        </w:rPr>
        <w:t>2</w:t>
      </w:r>
      <w:r>
        <w:t xml:space="preserve">.4 </w:t>
      </w:r>
      <w:r>
        <w:rPr>
          <w:rFonts w:hint="eastAsia" w:ascii="仿宋" w:hAnsi="仿宋" w:cs="仿宋"/>
          <w:szCs w:val="32"/>
        </w:rPr>
        <w:t>厂商必须对操作人员进行培训，并保证正常使用。同时必须配备不少于一名的原厂维修工程师，提供工程师名单、电话。</w:t>
      </w:r>
    </w:p>
    <w:p>
      <w:r>
        <w:rPr>
          <w:rFonts w:hint="eastAsia"/>
        </w:rPr>
        <w:t>★</w:t>
      </w:r>
      <w:r>
        <w:t>3、付款方法和条件：</w:t>
      </w:r>
    </w:p>
    <w:p>
      <w:pPr>
        <w:rPr>
          <w:rFonts w:hint="eastAsia"/>
        </w:rPr>
      </w:pPr>
      <w:r>
        <w:rPr>
          <w:rFonts w:hint="eastAsia"/>
        </w:rPr>
        <w:t>合同签订后，5个工作日内向中标人支付合同总金额的40%预付款；项目整体验收完成后，收到发票后15日内支付合同总金额的55%；剩余合同总金额的5%从验收合格之日起一年满后收到发票后15日内支付（不计利息）。</w:t>
      </w:r>
    </w:p>
    <w:p>
      <w:r>
        <w:rPr>
          <w:rFonts w:hint="eastAsia"/>
        </w:rPr>
        <w:t>★</w:t>
      </w:r>
      <w:r>
        <w:t>4、完成时间及地点</w:t>
      </w:r>
    </w:p>
    <w:p>
      <w:r>
        <w:t>4.1 完成时间：合同签订生效后1个月内完成，并交付采购人验收。</w:t>
      </w:r>
    </w:p>
    <w:p>
      <w:r>
        <w:t>4.2 完成地点: 成都市第三人民医院</w:t>
      </w:r>
    </w:p>
    <w:p>
      <w:r>
        <w:rPr>
          <w:rFonts w:hint="eastAsia"/>
        </w:rPr>
        <w:t>★</w:t>
      </w:r>
      <w:r>
        <w:t>5、系统兼容性要求</w:t>
      </w:r>
    </w:p>
    <w:p>
      <w:r>
        <w:t>5.1终端要求能够支持Windows 8 X64标准版及以上操作系统；</w:t>
      </w:r>
    </w:p>
    <w:p>
      <w:r>
        <w:t>5.2对医院开放数据(数据库、文件等)读取使用权限；</w:t>
      </w:r>
    </w:p>
    <w:p>
      <w:r>
        <w:rPr>
          <w:rFonts w:hint="eastAsia" w:ascii="仿宋" w:hAnsi="仿宋" w:cs="仿宋"/>
          <w:b/>
          <w:szCs w:val="32"/>
        </w:rPr>
        <w:t>三、技术、服务要求</w:t>
      </w:r>
      <w:r>
        <w:rPr>
          <w:rFonts w:hint="eastAsia" w:ascii="仿宋" w:hAnsi="仿宋" w:cs="仿宋"/>
          <w:szCs w:val="32"/>
        </w:rPr>
        <w:br w:type="textWrapping"/>
      </w:r>
      <w:bookmarkStart w:id="349" w:name="_Toc3257"/>
      <w:r>
        <w:rPr>
          <w:rFonts w:hint="eastAsia"/>
        </w:rPr>
        <w:t>（一）</w:t>
      </w:r>
      <w:r>
        <w:rPr>
          <w:rFonts w:hint="eastAsia" w:ascii="仿宋" w:hAnsi="仿宋" w:cs="仿宋"/>
          <w:bCs/>
          <w:szCs w:val="32"/>
        </w:rPr>
        <w:t>终端硬件配置</w:t>
      </w:r>
    </w:p>
    <w:tbl>
      <w:tblPr>
        <w:tblStyle w:val="36"/>
        <w:tblpPr w:leftFromText="180" w:rightFromText="180" w:vertAnchor="text" w:tblpY="36"/>
        <w:tblOverlap w:val="never"/>
        <w:tblW w:w="9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568"/>
        <w:gridCol w:w="5940"/>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857" w:type="dxa"/>
            <w:vAlign w:val="center"/>
          </w:tcPr>
          <w:p>
            <w:pPr>
              <w:pStyle w:val="6"/>
              <w:ind w:firstLine="0"/>
              <w:jc w:val="center"/>
              <w:rPr>
                <w:rFonts w:ascii="仿宋" w:hAnsi="仿宋" w:cs="仿宋"/>
                <w:szCs w:val="24"/>
              </w:rPr>
            </w:pPr>
            <w:r>
              <w:rPr>
                <w:rFonts w:hint="eastAsia" w:ascii="仿宋" w:hAnsi="仿宋" w:cs="仿宋"/>
                <w:szCs w:val="24"/>
              </w:rPr>
              <w:t>序号</w:t>
            </w:r>
          </w:p>
        </w:tc>
        <w:tc>
          <w:tcPr>
            <w:tcW w:w="1568" w:type="dxa"/>
            <w:vAlign w:val="center"/>
          </w:tcPr>
          <w:p>
            <w:pPr>
              <w:pStyle w:val="6"/>
              <w:ind w:firstLine="0"/>
              <w:jc w:val="center"/>
              <w:rPr>
                <w:rFonts w:ascii="仿宋" w:hAnsi="仿宋" w:cs="仿宋"/>
                <w:kern w:val="2"/>
                <w:szCs w:val="24"/>
              </w:rPr>
            </w:pPr>
            <w:r>
              <w:rPr>
                <w:rFonts w:hint="eastAsia" w:ascii="仿宋" w:hAnsi="仿宋" w:cs="仿宋"/>
                <w:kern w:val="2"/>
                <w:szCs w:val="24"/>
              </w:rPr>
              <w:t>产品名称</w:t>
            </w:r>
          </w:p>
        </w:tc>
        <w:tc>
          <w:tcPr>
            <w:tcW w:w="5940" w:type="dxa"/>
            <w:vAlign w:val="center"/>
          </w:tcPr>
          <w:p>
            <w:pPr>
              <w:pStyle w:val="6"/>
              <w:ind w:firstLine="0"/>
              <w:jc w:val="center"/>
              <w:rPr>
                <w:rFonts w:ascii="仿宋" w:hAnsi="仿宋" w:cs="仿宋"/>
                <w:szCs w:val="24"/>
              </w:rPr>
            </w:pPr>
            <w:r>
              <w:rPr>
                <w:rFonts w:hint="eastAsia" w:ascii="仿宋" w:hAnsi="仿宋" w:cs="仿宋"/>
                <w:szCs w:val="24"/>
              </w:rPr>
              <w:t>配置要求</w:t>
            </w:r>
          </w:p>
        </w:tc>
        <w:tc>
          <w:tcPr>
            <w:tcW w:w="993" w:type="dxa"/>
            <w:vAlign w:val="center"/>
          </w:tcPr>
          <w:p>
            <w:pPr>
              <w:pStyle w:val="6"/>
              <w:ind w:firstLine="0"/>
              <w:jc w:val="center"/>
              <w:rPr>
                <w:rFonts w:ascii="仿宋" w:hAnsi="仿宋" w:cs="仿宋"/>
                <w:szCs w:val="24"/>
              </w:rPr>
            </w:pPr>
            <w:r>
              <w:rPr>
                <w:rFonts w:hint="eastAsia" w:ascii="仿宋" w:hAnsi="仿宋" w:cs="仿宋"/>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7" w:type="dxa"/>
            <w:vAlign w:val="center"/>
          </w:tcPr>
          <w:p>
            <w:pPr>
              <w:pStyle w:val="6"/>
              <w:ind w:firstLine="0"/>
              <w:jc w:val="center"/>
              <w:rPr>
                <w:rFonts w:ascii="仿宋" w:hAnsi="仿宋" w:cs="仿宋"/>
                <w:szCs w:val="24"/>
              </w:rPr>
            </w:pPr>
            <w:r>
              <w:rPr>
                <w:rFonts w:hint="eastAsia" w:ascii="仿宋" w:hAnsi="仿宋" w:cs="仿宋"/>
                <w:szCs w:val="24"/>
              </w:rPr>
              <w:t>1</w:t>
            </w:r>
          </w:p>
        </w:tc>
        <w:tc>
          <w:tcPr>
            <w:tcW w:w="1568" w:type="dxa"/>
            <w:vAlign w:val="center"/>
          </w:tcPr>
          <w:p>
            <w:pPr>
              <w:widowControl/>
              <w:rPr>
                <w:rFonts w:ascii="仿宋" w:hAnsi="仿宋" w:cs="仿宋"/>
              </w:rPr>
            </w:pPr>
            <w:r>
              <w:rPr>
                <w:rFonts w:hint="eastAsia" w:ascii="仿宋" w:hAnsi="仿宋" w:cs="仿宋"/>
                <w:b/>
              </w:rPr>
              <w:t>医学图像处理软件系统终端设备</w:t>
            </w:r>
          </w:p>
        </w:tc>
        <w:tc>
          <w:tcPr>
            <w:tcW w:w="5940" w:type="dxa"/>
            <w:vAlign w:val="center"/>
          </w:tcPr>
          <w:p>
            <w:pPr>
              <w:pStyle w:val="11"/>
              <w:rPr>
                <w:rFonts w:ascii="仿宋" w:hAnsi="仿宋" w:eastAsia="仿宋" w:cs="仿宋"/>
                <w:sz w:val="24"/>
              </w:rPr>
            </w:pPr>
            <w:r>
              <w:rPr>
                <w:rFonts w:hint="eastAsia" w:ascii="仿宋" w:hAnsi="仿宋" w:eastAsia="仿宋" w:cs="仿宋"/>
                <w:sz w:val="24"/>
              </w:rPr>
              <w:t>1、CPU性能不低于2颗八核，Intel E5-2620 V4 2.1GHz</w:t>
            </w:r>
          </w:p>
          <w:p>
            <w:pPr>
              <w:snapToGrid w:val="0"/>
              <w:rPr>
                <w:rFonts w:ascii="仿宋" w:hAnsi="仿宋" w:cs="仿宋"/>
              </w:rPr>
            </w:pPr>
            <w:r>
              <w:rPr>
                <w:rFonts w:hint="eastAsia" w:ascii="仿宋" w:hAnsi="仿宋" w:cs="仿宋"/>
              </w:rPr>
              <w:t>2、内存≥4×8GB 2400MHz DDR4 RDIMM ECC</w:t>
            </w:r>
          </w:p>
          <w:p>
            <w:pPr>
              <w:snapToGrid w:val="0"/>
              <w:rPr>
                <w:rFonts w:ascii="仿宋" w:hAnsi="仿宋" w:cs="仿宋"/>
              </w:rPr>
            </w:pPr>
            <w:r>
              <w:rPr>
                <w:rFonts w:hint="eastAsia" w:ascii="仿宋" w:hAnsi="仿宋" w:cs="仿宋"/>
              </w:rPr>
              <w:t>3、硬盘≥4×1TB SATA</w:t>
            </w:r>
          </w:p>
          <w:p>
            <w:pPr>
              <w:snapToGrid w:val="0"/>
              <w:rPr>
                <w:rFonts w:ascii="仿宋" w:hAnsi="仿宋" w:cs="仿宋"/>
              </w:rPr>
            </w:pPr>
            <w:r>
              <w:rPr>
                <w:rFonts w:hint="eastAsia" w:ascii="仿宋" w:hAnsi="仿宋" w:cs="仿宋"/>
              </w:rPr>
              <w:t>4、显卡≥2GB独立显卡</w:t>
            </w:r>
          </w:p>
          <w:p>
            <w:pPr>
              <w:snapToGrid w:val="0"/>
              <w:rPr>
                <w:rFonts w:ascii="仿宋" w:hAnsi="仿宋" w:cs="仿宋"/>
              </w:rPr>
            </w:pPr>
            <w:r>
              <w:rPr>
                <w:rFonts w:hint="eastAsia" w:ascii="仿宋" w:hAnsi="仿宋" w:cs="仿宋"/>
              </w:rPr>
              <w:t>5、RAID卡：支持RAID1</w:t>
            </w:r>
          </w:p>
          <w:p>
            <w:pPr>
              <w:snapToGrid w:val="0"/>
              <w:rPr>
                <w:rFonts w:ascii="仿宋" w:hAnsi="仿宋" w:cs="仿宋"/>
              </w:rPr>
            </w:pPr>
            <w:r>
              <w:rPr>
                <w:rFonts w:hint="eastAsia" w:ascii="仿宋" w:hAnsi="仿宋" w:cs="仿宋"/>
              </w:rPr>
              <w:t>6、网卡：千兆以太网</w:t>
            </w:r>
          </w:p>
          <w:p>
            <w:pPr>
              <w:snapToGrid w:val="0"/>
              <w:rPr>
                <w:rFonts w:ascii="仿宋" w:hAnsi="仿宋" w:cs="仿宋"/>
              </w:rPr>
            </w:pPr>
            <w:r>
              <w:rPr>
                <w:rFonts w:hint="eastAsia" w:ascii="仿宋" w:hAnsi="仿宋" w:cs="仿宋"/>
              </w:rPr>
              <w:t>7、其他配件：键盘鼠标，DVD刻录机</w:t>
            </w:r>
          </w:p>
          <w:p>
            <w:pPr>
              <w:snapToGrid w:val="0"/>
              <w:rPr>
                <w:rStyle w:val="45"/>
                <w:rFonts w:ascii="仿宋" w:hAnsi="仿宋" w:cs="仿宋"/>
                <w:sz w:val="24"/>
                <w:szCs w:val="24"/>
              </w:rPr>
            </w:pPr>
            <w:r>
              <w:rPr>
                <w:rFonts w:hint="eastAsia" w:ascii="仿宋" w:hAnsi="仿宋" w:cs="仿宋"/>
              </w:rPr>
              <w:t>8、操作系统：Windows 8 X64标准版及以上系统</w:t>
            </w:r>
          </w:p>
          <w:p>
            <w:pPr>
              <w:widowControl/>
              <w:jc w:val="both"/>
              <w:rPr>
                <w:rFonts w:ascii="仿宋" w:hAnsi="仿宋" w:cs="仿宋"/>
              </w:rPr>
            </w:pPr>
            <w:r>
              <w:rPr>
                <w:rFonts w:hint="eastAsia" w:ascii="仿宋" w:hAnsi="仿宋" w:cs="仿宋"/>
              </w:rPr>
              <w:t>9、显示屏：≥19英寸液晶显示屏</w:t>
            </w:r>
          </w:p>
        </w:tc>
        <w:tc>
          <w:tcPr>
            <w:tcW w:w="993" w:type="dxa"/>
            <w:vAlign w:val="center"/>
          </w:tcPr>
          <w:p>
            <w:pPr>
              <w:pStyle w:val="6"/>
              <w:ind w:firstLine="0"/>
              <w:jc w:val="both"/>
              <w:rPr>
                <w:rFonts w:ascii="仿宋" w:hAnsi="仿宋" w:cs="仿宋"/>
                <w:szCs w:val="24"/>
              </w:rPr>
            </w:pPr>
            <w:r>
              <w:rPr>
                <w:rFonts w:hint="eastAsia" w:ascii="仿宋" w:hAnsi="仿宋" w:cs="仿宋"/>
                <w:szCs w:val="24"/>
              </w:rPr>
              <w:t>1台</w:t>
            </w:r>
          </w:p>
        </w:tc>
      </w:tr>
      <w:bookmarkEnd w:id="349"/>
    </w:tbl>
    <w:p>
      <w:pPr>
        <w:snapToGrid w:val="0"/>
        <w:rPr>
          <w:rFonts w:ascii="仿宋" w:hAnsi="仿宋" w:cs="仿宋"/>
          <w:szCs w:val="32"/>
        </w:rPr>
      </w:pPr>
      <w:r>
        <w:rPr>
          <w:rFonts w:hint="eastAsia" w:ascii="仿宋_GB2312" w:eastAsia="仿宋_GB2312" w:cs="宋体"/>
          <w:sz w:val="28"/>
          <w:szCs w:val="28"/>
        </w:rPr>
        <w:t>（</w:t>
      </w:r>
      <w:r>
        <w:rPr>
          <w:rFonts w:hint="eastAsia" w:ascii="仿宋" w:hAnsi="仿宋" w:eastAsia="仿宋_GB2312" w:cs="仿宋"/>
          <w:szCs w:val="32"/>
        </w:rPr>
        <w:t>二</w:t>
      </w:r>
      <w:r>
        <w:rPr>
          <w:rFonts w:hint="eastAsia" w:ascii="仿宋" w:hAnsi="仿宋" w:cs="仿宋"/>
          <w:szCs w:val="32"/>
        </w:rPr>
        <w:t>）软件功能</w:t>
      </w:r>
      <w:r>
        <w:rPr>
          <w:rFonts w:hint="eastAsia" w:ascii="仿宋" w:hAnsi="仿宋" w:cs="仿宋"/>
          <w:szCs w:val="32"/>
        </w:rPr>
        <w:tab/>
      </w:r>
    </w:p>
    <w:p>
      <w:pPr>
        <w:snapToGrid w:val="0"/>
        <w:rPr>
          <w:rFonts w:ascii="仿宋" w:hAnsi="仿宋" w:cs="仿宋"/>
          <w:szCs w:val="32"/>
        </w:rPr>
      </w:pPr>
      <w:r>
        <w:rPr>
          <w:rFonts w:hint="eastAsia" w:ascii="仿宋" w:hAnsi="仿宋" w:cs="仿宋"/>
          <w:szCs w:val="32"/>
        </w:rPr>
        <w:t>1、支持源文件格式：DICOM格式</w:t>
      </w:r>
    </w:p>
    <w:p>
      <w:pPr>
        <w:snapToGrid w:val="0"/>
        <w:rPr>
          <w:rFonts w:ascii="仿宋" w:hAnsi="仿宋" w:cs="仿宋"/>
          <w:szCs w:val="32"/>
        </w:rPr>
      </w:pPr>
      <w:r>
        <w:rPr>
          <w:rFonts w:hint="eastAsia" w:ascii="仿宋" w:hAnsi="仿宋" w:cs="仿宋"/>
          <w:szCs w:val="32"/>
        </w:rPr>
        <w:t>2、支持CT扫描层厚至少满足1.0～1.5mm</w:t>
      </w:r>
    </w:p>
    <w:p>
      <w:pPr>
        <w:snapToGrid w:val="0"/>
        <w:rPr>
          <w:rFonts w:ascii="仿宋" w:hAnsi="仿宋" w:cs="仿宋"/>
          <w:szCs w:val="32"/>
        </w:rPr>
      </w:pPr>
      <w:r>
        <w:rPr>
          <w:rFonts w:hint="eastAsia" w:ascii="仿宋" w:hAnsi="仿宋" w:cs="仿宋"/>
          <w:szCs w:val="32"/>
        </w:rPr>
        <w:t>3、支持CT扫描层间距至少满足1.0～1.5mm，与层厚相同</w:t>
      </w:r>
    </w:p>
    <w:p>
      <w:pPr>
        <w:snapToGrid w:val="0"/>
        <w:rPr>
          <w:rFonts w:ascii="仿宋" w:hAnsi="仿宋" w:cs="仿宋"/>
          <w:szCs w:val="32"/>
        </w:rPr>
      </w:pPr>
      <w:r>
        <w:rPr>
          <w:rFonts w:hint="eastAsia" w:ascii="仿宋" w:hAnsi="仿宋" w:cs="仿宋"/>
          <w:szCs w:val="32"/>
        </w:rPr>
        <w:t>4、图像来源：≥16排螺旋CT，轴向扫描</w:t>
      </w:r>
    </w:p>
    <w:p>
      <w:pPr>
        <w:snapToGrid w:val="0"/>
        <w:rPr>
          <w:rFonts w:ascii="仿宋" w:hAnsi="仿宋" w:cs="仿宋"/>
          <w:szCs w:val="32"/>
        </w:rPr>
      </w:pPr>
      <w:r>
        <w:rPr>
          <w:rFonts w:hint="eastAsia" w:ascii="仿宋" w:hAnsi="仿宋" w:cs="仿宋"/>
          <w:szCs w:val="32"/>
        </w:rPr>
        <w:t>（三）肺功能分析模块</w:t>
      </w:r>
      <w:r>
        <w:rPr>
          <w:rFonts w:hint="eastAsia" w:ascii="仿宋" w:hAnsi="仿宋" w:cs="仿宋"/>
          <w:szCs w:val="32"/>
        </w:rPr>
        <w:tab/>
      </w:r>
    </w:p>
    <w:p>
      <w:pPr>
        <w:snapToGrid w:val="0"/>
        <w:rPr>
          <w:rFonts w:ascii="仿宋" w:hAnsi="仿宋" w:cs="仿宋"/>
          <w:szCs w:val="32"/>
        </w:rPr>
      </w:pPr>
      <w:r>
        <w:rPr>
          <w:rFonts w:hint="eastAsia" w:ascii="仿宋" w:hAnsi="仿宋" w:cs="仿宋"/>
          <w:szCs w:val="32"/>
        </w:rPr>
        <w:t>1、结节分析功能：半自动标记结节直径，提取肺结节</w:t>
      </w:r>
    </w:p>
    <w:p>
      <w:pPr>
        <w:snapToGrid w:val="0"/>
        <w:rPr>
          <w:rFonts w:ascii="仿宋" w:hAnsi="仿宋" w:cs="仿宋"/>
          <w:szCs w:val="32"/>
        </w:rPr>
      </w:pPr>
      <w:r>
        <w:rPr>
          <w:rFonts w:hint="eastAsia" w:ascii="仿宋" w:hAnsi="仿宋" w:cs="仿宋"/>
          <w:szCs w:val="32"/>
        </w:rPr>
        <w:t>2、提取肺结节三维结构：支持半自动提取与手动模式提取</w:t>
      </w:r>
    </w:p>
    <w:p>
      <w:pPr>
        <w:snapToGrid w:val="0"/>
        <w:rPr>
          <w:rFonts w:ascii="仿宋" w:hAnsi="仿宋" w:cs="仿宋"/>
          <w:szCs w:val="32"/>
        </w:rPr>
      </w:pPr>
      <w:r>
        <w:rPr>
          <w:rFonts w:hint="eastAsia" w:ascii="仿宋" w:hAnsi="仿宋" w:cs="仿宋"/>
          <w:szCs w:val="32"/>
        </w:rPr>
        <w:t>3、结节分析功能：支持显示结节体积，尺寸，CT值等参数支持，显示结节3D结构，支持以数据表形式导出</w:t>
      </w:r>
    </w:p>
    <w:p>
      <w:pPr>
        <w:snapToGrid w:val="0"/>
        <w:rPr>
          <w:rFonts w:ascii="仿宋" w:hAnsi="仿宋" w:cs="仿宋"/>
          <w:szCs w:val="32"/>
        </w:rPr>
      </w:pPr>
      <w:r>
        <w:rPr>
          <w:rFonts w:hint="eastAsia" w:ascii="仿宋" w:hAnsi="仿宋" w:cs="仿宋"/>
          <w:szCs w:val="32"/>
        </w:rPr>
        <w:t>4、GGN分析功能：支持分析结节毛玻璃体积，毛玻璃部分百分比，结节病变体积，结节病变占比等参数</w:t>
      </w:r>
    </w:p>
    <w:p>
      <w:pPr>
        <w:snapToGrid w:val="0"/>
        <w:rPr>
          <w:rFonts w:ascii="仿宋" w:hAnsi="仿宋" w:cs="仿宋"/>
          <w:szCs w:val="32"/>
        </w:rPr>
      </w:pPr>
      <w:r>
        <w:rPr>
          <w:rFonts w:hint="eastAsia" w:ascii="仿宋" w:hAnsi="仿宋" w:cs="仿宋"/>
          <w:szCs w:val="32"/>
        </w:rPr>
        <w:t>5、结节密度图谱分析功能：有</w:t>
      </w:r>
    </w:p>
    <w:p>
      <w:pPr>
        <w:snapToGrid w:val="0"/>
        <w:rPr>
          <w:rFonts w:ascii="仿宋" w:hAnsi="仿宋" w:cs="仿宋"/>
          <w:szCs w:val="32"/>
        </w:rPr>
      </w:pPr>
      <w:r>
        <w:rPr>
          <w:rFonts w:hint="eastAsia" w:ascii="仿宋" w:hAnsi="仿宋" w:cs="仿宋"/>
          <w:szCs w:val="32"/>
        </w:rPr>
        <w:t>6、自动提取肺五叶：支持</w:t>
      </w:r>
    </w:p>
    <w:p>
      <w:pPr>
        <w:snapToGrid w:val="0"/>
        <w:rPr>
          <w:rFonts w:ascii="仿宋" w:hAnsi="仿宋" w:cs="仿宋"/>
          <w:szCs w:val="32"/>
        </w:rPr>
      </w:pPr>
      <w:r>
        <w:rPr>
          <w:rFonts w:hint="eastAsia" w:ascii="仿宋" w:hAnsi="仿宋" w:cs="仿宋"/>
          <w:szCs w:val="32"/>
        </w:rPr>
        <w:t>7、肺叶体积计算：支持</w:t>
      </w:r>
    </w:p>
    <w:p>
      <w:pPr>
        <w:snapToGrid w:val="0"/>
        <w:rPr>
          <w:rFonts w:ascii="仿宋" w:hAnsi="仿宋" w:cs="仿宋"/>
          <w:szCs w:val="32"/>
        </w:rPr>
      </w:pPr>
      <w:r>
        <w:rPr>
          <w:rFonts w:hint="eastAsia" w:ascii="仿宋" w:hAnsi="仿宋" w:cs="仿宋"/>
          <w:sz w:val="21"/>
          <w:szCs w:val="21"/>
        </w:rPr>
        <w:t>▲</w:t>
      </w:r>
      <w:r>
        <w:rPr>
          <w:rFonts w:hint="eastAsia" w:ascii="仿宋" w:hAnsi="仿宋" w:cs="仿宋"/>
          <w:szCs w:val="32"/>
        </w:rPr>
        <w:t>8、满足自动提取支气管级数：7-9级</w:t>
      </w:r>
    </w:p>
    <w:p>
      <w:pPr>
        <w:snapToGrid w:val="0"/>
        <w:rPr>
          <w:rFonts w:ascii="仿宋" w:hAnsi="仿宋" w:cs="仿宋"/>
          <w:szCs w:val="32"/>
        </w:rPr>
      </w:pPr>
      <w:r>
        <w:rPr>
          <w:rFonts w:hint="eastAsia" w:ascii="仿宋" w:hAnsi="仿宋" w:cs="仿宋"/>
          <w:szCs w:val="32"/>
        </w:rPr>
        <w:t>9、气道分析功能：支持气管径计算，气管壁厚度计算</w:t>
      </w:r>
    </w:p>
    <w:p>
      <w:pPr>
        <w:snapToGrid w:val="0"/>
        <w:rPr>
          <w:rFonts w:ascii="仿宋" w:hAnsi="仿宋" w:cs="仿宋"/>
          <w:szCs w:val="32"/>
        </w:rPr>
      </w:pPr>
      <w:r>
        <w:rPr>
          <w:rFonts w:hint="eastAsia" w:ascii="仿宋" w:hAnsi="仿宋" w:cs="仿宋"/>
          <w:sz w:val="21"/>
          <w:szCs w:val="21"/>
        </w:rPr>
        <w:t>▲</w:t>
      </w:r>
      <w:r>
        <w:rPr>
          <w:rFonts w:hint="eastAsia" w:ascii="仿宋" w:hAnsi="仿宋" w:cs="仿宋"/>
          <w:szCs w:val="32"/>
        </w:rPr>
        <w:t>10、气道手动编辑功能：支持</w:t>
      </w:r>
    </w:p>
    <w:p>
      <w:pPr>
        <w:snapToGrid w:val="0"/>
        <w:rPr>
          <w:rFonts w:ascii="仿宋" w:hAnsi="仿宋" w:cs="仿宋"/>
          <w:szCs w:val="32"/>
        </w:rPr>
      </w:pPr>
      <w:r>
        <w:rPr>
          <w:rFonts w:hint="eastAsia" w:ascii="仿宋" w:hAnsi="仿宋" w:cs="仿宋"/>
          <w:szCs w:val="32"/>
        </w:rPr>
        <w:t>11、CPR分析功能：支持</w:t>
      </w:r>
    </w:p>
    <w:p>
      <w:pPr>
        <w:snapToGrid w:val="0"/>
        <w:rPr>
          <w:rFonts w:ascii="仿宋" w:hAnsi="仿宋" w:cs="仿宋"/>
          <w:szCs w:val="32"/>
        </w:rPr>
      </w:pPr>
      <w:r>
        <w:rPr>
          <w:rFonts w:hint="eastAsia" w:ascii="仿宋" w:hAnsi="仿宋" w:cs="仿宋"/>
          <w:szCs w:val="32"/>
        </w:rPr>
        <w:t>12、肺气肿分析功能：支持，可自定义阈值；支持Goddard评分表生成；按肺叶显示LAA（低吸收区域）占比</w:t>
      </w:r>
    </w:p>
    <w:p>
      <w:pPr>
        <w:snapToGrid w:val="0"/>
        <w:rPr>
          <w:rFonts w:ascii="仿宋" w:hAnsi="仿宋" w:cs="仿宋"/>
          <w:szCs w:val="32"/>
        </w:rPr>
      </w:pPr>
      <w:r>
        <w:rPr>
          <w:rFonts w:hint="eastAsia" w:ascii="仿宋" w:hAnsi="仿宋" w:cs="仿宋"/>
          <w:sz w:val="21"/>
          <w:szCs w:val="21"/>
        </w:rPr>
        <w:t>▲</w:t>
      </w:r>
      <w:r>
        <w:rPr>
          <w:rFonts w:hint="eastAsia" w:ascii="仿宋" w:hAnsi="仿宋" w:cs="仿宋"/>
          <w:szCs w:val="32"/>
        </w:rPr>
        <w:t>13、肺大疱分析功能：支持，可按肺叶显示或按大小分类，并以图表与数据表形式输出</w:t>
      </w:r>
    </w:p>
    <w:p>
      <w:pPr>
        <w:snapToGrid w:val="0"/>
        <w:rPr>
          <w:rFonts w:ascii="仿宋" w:hAnsi="仿宋" w:cs="仿宋"/>
          <w:szCs w:val="32"/>
        </w:rPr>
      </w:pPr>
      <w:r>
        <w:rPr>
          <w:rFonts w:hint="eastAsia" w:ascii="仿宋" w:hAnsi="仿宋" w:cs="仿宋"/>
          <w:szCs w:val="32"/>
        </w:rPr>
        <w:t>14、分析结果比对：支持同病例多次影像学结果比对</w:t>
      </w:r>
    </w:p>
    <w:p>
      <w:pPr>
        <w:snapToGrid w:val="0"/>
        <w:rPr>
          <w:rFonts w:ascii="仿宋" w:hAnsi="仿宋" w:cs="仿宋"/>
          <w:szCs w:val="32"/>
        </w:rPr>
      </w:pPr>
      <w:r>
        <w:rPr>
          <w:rFonts w:hint="eastAsia" w:ascii="仿宋" w:hAnsi="仿宋" w:cs="仿宋"/>
          <w:szCs w:val="32"/>
        </w:rPr>
        <w:t>（四）虚拟支气管镜模块</w:t>
      </w:r>
      <w:r>
        <w:rPr>
          <w:rFonts w:hint="eastAsia" w:ascii="仿宋" w:hAnsi="仿宋" w:cs="仿宋"/>
          <w:szCs w:val="32"/>
        </w:rPr>
        <w:tab/>
      </w:r>
    </w:p>
    <w:p>
      <w:pPr>
        <w:snapToGrid w:val="0"/>
        <w:rPr>
          <w:rFonts w:ascii="仿宋" w:hAnsi="仿宋" w:cs="仿宋"/>
          <w:szCs w:val="32"/>
        </w:rPr>
      </w:pPr>
      <w:r>
        <w:rPr>
          <w:rFonts w:hint="eastAsia" w:ascii="仿宋" w:hAnsi="仿宋" w:cs="仿宋"/>
          <w:szCs w:val="32"/>
        </w:rPr>
        <w:t>1、病灶标记功能：鼠标拖动标记</w:t>
      </w:r>
    </w:p>
    <w:p>
      <w:pPr>
        <w:snapToGrid w:val="0"/>
        <w:rPr>
          <w:rFonts w:ascii="仿宋" w:hAnsi="仿宋" w:cs="仿宋"/>
          <w:szCs w:val="32"/>
        </w:rPr>
      </w:pPr>
      <w:r>
        <w:rPr>
          <w:rFonts w:hint="eastAsia" w:ascii="仿宋" w:hAnsi="仿宋" w:cs="仿宋"/>
          <w:szCs w:val="32"/>
        </w:rPr>
        <w:t>2、优化路径自动生成：支持，自动生成≥3条优化路径</w:t>
      </w:r>
    </w:p>
    <w:p>
      <w:pPr>
        <w:snapToGrid w:val="0"/>
        <w:rPr>
          <w:rFonts w:ascii="仿宋" w:hAnsi="仿宋" w:cs="仿宋"/>
          <w:szCs w:val="32"/>
        </w:rPr>
      </w:pPr>
      <w:r>
        <w:rPr>
          <w:rFonts w:hint="eastAsia" w:ascii="仿宋" w:hAnsi="仿宋" w:cs="仿宋"/>
          <w:szCs w:val="32"/>
        </w:rPr>
        <w:t>3、一键生成新介入路径：支持</w:t>
      </w:r>
    </w:p>
    <w:p>
      <w:pPr>
        <w:snapToGrid w:val="0"/>
        <w:rPr>
          <w:rFonts w:ascii="仿宋" w:hAnsi="仿宋" w:cs="仿宋"/>
          <w:szCs w:val="32"/>
        </w:rPr>
      </w:pPr>
      <w:r>
        <w:rPr>
          <w:rFonts w:hint="eastAsia" w:ascii="仿宋" w:hAnsi="仿宋" w:cs="仿宋"/>
          <w:szCs w:val="32"/>
        </w:rPr>
        <w:t>4、虚拟支气管镜视角：支持，支持镜头缩放、平移、旋转</w:t>
      </w:r>
    </w:p>
    <w:p>
      <w:pPr>
        <w:snapToGrid w:val="0"/>
        <w:rPr>
          <w:rFonts w:ascii="仿宋" w:hAnsi="仿宋" w:cs="仿宋"/>
          <w:szCs w:val="32"/>
        </w:rPr>
      </w:pPr>
      <w:r>
        <w:rPr>
          <w:rFonts w:hint="eastAsia" w:ascii="仿宋" w:hAnsi="仿宋" w:cs="仿宋"/>
          <w:szCs w:val="32"/>
        </w:rPr>
        <w:t>5、虚拟支气管镜镜头速度：快慢可调节</w:t>
      </w:r>
    </w:p>
    <w:p>
      <w:pPr>
        <w:snapToGrid w:val="0"/>
        <w:rPr>
          <w:rFonts w:ascii="仿宋" w:hAnsi="仿宋" w:cs="仿宋"/>
          <w:szCs w:val="32"/>
        </w:rPr>
      </w:pPr>
      <w:r>
        <w:rPr>
          <w:rFonts w:hint="eastAsia" w:ascii="仿宋" w:hAnsi="仿宋" w:cs="仿宋"/>
          <w:szCs w:val="32"/>
        </w:rPr>
        <w:t>6、透视显示模式：支持</w:t>
      </w:r>
    </w:p>
    <w:p>
      <w:pPr>
        <w:snapToGrid w:val="0"/>
        <w:rPr>
          <w:rFonts w:ascii="仿宋" w:hAnsi="仿宋" w:cs="仿宋"/>
          <w:szCs w:val="32"/>
        </w:rPr>
      </w:pPr>
      <w:r>
        <w:rPr>
          <w:rFonts w:hint="eastAsia" w:ascii="仿宋" w:hAnsi="仿宋" w:cs="仿宋"/>
          <w:szCs w:val="32"/>
        </w:rPr>
        <w:t>7、气道手动编辑功能：支持</w:t>
      </w:r>
    </w:p>
    <w:p>
      <w:pPr>
        <w:snapToGrid w:val="0"/>
        <w:rPr>
          <w:rFonts w:ascii="仿宋" w:hAnsi="仿宋" w:cs="仿宋"/>
          <w:szCs w:val="32"/>
        </w:rPr>
      </w:pPr>
      <w:r>
        <w:rPr>
          <w:rFonts w:hint="eastAsia" w:ascii="仿宋" w:hAnsi="仿宋" w:cs="仿宋"/>
          <w:szCs w:val="32"/>
        </w:rPr>
        <w:t>（五）通用功能</w:t>
      </w:r>
      <w:r>
        <w:rPr>
          <w:rFonts w:hint="eastAsia" w:ascii="仿宋" w:hAnsi="仿宋" w:cs="仿宋"/>
          <w:szCs w:val="32"/>
        </w:rPr>
        <w:tab/>
      </w:r>
    </w:p>
    <w:p>
      <w:pPr>
        <w:snapToGrid w:val="0"/>
        <w:rPr>
          <w:rFonts w:ascii="仿宋" w:hAnsi="仿宋" w:cs="仿宋"/>
          <w:szCs w:val="32"/>
        </w:rPr>
      </w:pPr>
      <w:r>
        <w:rPr>
          <w:rFonts w:hint="eastAsia" w:ascii="仿宋" w:hAnsi="仿宋" w:cs="仿宋"/>
          <w:szCs w:val="32"/>
        </w:rPr>
        <w:t>1、视频输出功能：支持MPEG编码与H.264编码</w:t>
      </w:r>
    </w:p>
    <w:p>
      <w:pPr>
        <w:snapToGrid w:val="0"/>
        <w:rPr>
          <w:rFonts w:ascii="仿宋" w:hAnsi="仿宋" w:cs="仿宋"/>
          <w:szCs w:val="32"/>
        </w:rPr>
      </w:pPr>
      <w:r>
        <w:rPr>
          <w:rFonts w:hint="eastAsia" w:ascii="仿宋" w:hAnsi="仿宋" w:cs="仿宋"/>
          <w:szCs w:val="32"/>
        </w:rPr>
        <w:t>2、缩放功能：最小放大倍率≤0.3倍，最大放大倍率≥50倍</w:t>
      </w:r>
    </w:p>
    <w:p>
      <w:pPr>
        <w:snapToGrid w:val="0"/>
        <w:rPr>
          <w:rFonts w:ascii="仿宋" w:hAnsi="仿宋" w:cs="仿宋"/>
          <w:szCs w:val="32"/>
        </w:rPr>
      </w:pPr>
      <w:r>
        <w:rPr>
          <w:rFonts w:hint="eastAsia" w:ascii="仿宋" w:hAnsi="仿宋" w:cs="仿宋"/>
          <w:szCs w:val="32"/>
        </w:rPr>
        <w:t>3、测量功能：支持直线测量，多点测量，区域测量，体积测量等测量功能</w:t>
      </w:r>
    </w:p>
    <w:p>
      <w:pPr>
        <w:snapToGrid w:val="0"/>
        <w:rPr>
          <w:rFonts w:ascii="仿宋" w:hAnsi="仿宋" w:cs="仿宋"/>
          <w:szCs w:val="32"/>
        </w:rPr>
      </w:pPr>
      <w:r>
        <w:rPr>
          <w:rFonts w:hint="eastAsia" w:ascii="仿宋" w:hAnsi="仿宋" w:cs="仿宋"/>
          <w:szCs w:val="32"/>
        </w:rPr>
        <w:t>4、注释：支持自由添加箭头，点状，曲线标记，柱状三维标记，以及文字注释</w:t>
      </w:r>
    </w:p>
    <w:p>
      <w:pPr>
        <w:snapToGrid w:val="0"/>
        <w:rPr>
          <w:rFonts w:ascii="仿宋" w:hAnsi="仿宋" w:cs="仿宋"/>
          <w:szCs w:val="32"/>
        </w:rPr>
      </w:pPr>
      <w:r>
        <w:rPr>
          <w:rFonts w:hint="eastAsia" w:ascii="仿宋" w:hAnsi="仿宋" w:cs="仿宋"/>
          <w:szCs w:val="32"/>
        </w:rPr>
        <w:t>5、三维图像剪切功能：剪切范围支持三轴单独设定</w:t>
      </w:r>
    </w:p>
    <w:p>
      <w:pPr>
        <w:snapToGrid w:val="0"/>
        <w:rPr>
          <w:rFonts w:ascii="仿宋" w:hAnsi="仿宋" w:cs="仿宋"/>
          <w:szCs w:val="32"/>
        </w:rPr>
      </w:pPr>
      <w:r>
        <w:rPr>
          <w:rFonts w:hint="eastAsia" w:ascii="仿宋" w:hAnsi="仿宋" w:cs="仿宋"/>
          <w:szCs w:val="32"/>
        </w:rPr>
        <w:t>6、特殊剪切功能：支持自定义截面剪切，球形剪切</w:t>
      </w:r>
    </w:p>
    <w:p>
      <w:pPr>
        <w:snapToGrid w:val="0"/>
        <w:rPr>
          <w:rFonts w:ascii="仿宋" w:hAnsi="仿宋" w:cs="仿宋"/>
          <w:szCs w:val="32"/>
        </w:rPr>
      </w:pPr>
      <w:r>
        <w:rPr>
          <w:rFonts w:hint="eastAsia" w:ascii="仿宋" w:hAnsi="仿宋" w:cs="仿宋"/>
          <w:szCs w:val="32"/>
        </w:rPr>
        <w:t>（六）肺切除模块</w:t>
      </w:r>
      <w:r>
        <w:rPr>
          <w:rFonts w:hint="eastAsia" w:ascii="仿宋" w:hAnsi="仿宋" w:cs="仿宋"/>
          <w:szCs w:val="32"/>
        </w:rPr>
        <w:tab/>
      </w:r>
    </w:p>
    <w:p>
      <w:pPr>
        <w:snapToGrid w:val="0"/>
        <w:rPr>
          <w:rFonts w:ascii="仿宋" w:hAnsi="仿宋" w:cs="仿宋"/>
          <w:szCs w:val="32"/>
        </w:rPr>
      </w:pPr>
      <w:r>
        <w:rPr>
          <w:rFonts w:hint="eastAsia" w:ascii="仿宋" w:hAnsi="仿宋" w:cs="仿宋"/>
          <w:sz w:val="21"/>
          <w:szCs w:val="21"/>
        </w:rPr>
        <w:t>▲</w:t>
      </w:r>
      <w:r>
        <w:rPr>
          <w:rFonts w:hint="eastAsia" w:ascii="仿宋" w:hAnsi="仿宋" w:cs="仿宋"/>
          <w:szCs w:val="32"/>
        </w:rPr>
        <w:t>1、全肺动静脉提取：支持，需增强薄层CT</w:t>
      </w:r>
    </w:p>
    <w:p>
      <w:pPr>
        <w:snapToGrid w:val="0"/>
        <w:rPr>
          <w:rFonts w:ascii="仿宋" w:hAnsi="仿宋" w:cs="仿宋"/>
          <w:szCs w:val="32"/>
        </w:rPr>
      </w:pPr>
      <w:r>
        <w:rPr>
          <w:rFonts w:hint="eastAsia" w:ascii="仿宋" w:hAnsi="仿宋" w:cs="仿宋"/>
          <w:szCs w:val="32"/>
        </w:rPr>
        <w:t>2、全肺气道提取：支持</w:t>
      </w:r>
    </w:p>
    <w:p>
      <w:pPr>
        <w:snapToGrid w:val="0"/>
        <w:rPr>
          <w:rFonts w:ascii="仿宋" w:hAnsi="仿宋" w:cs="仿宋"/>
          <w:szCs w:val="32"/>
        </w:rPr>
      </w:pPr>
      <w:r>
        <w:rPr>
          <w:rFonts w:hint="eastAsia" w:ascii="仿宋" w:hAnsi="仿宋" w:cs="仿宋"/>
          <w:szCs w:val="32"/>
        </w:rPr>
        <w:t>3、血管手动编辑模式：支持</w:t>
      </w:r>
    </w:p>
    <w:p>
      <w:pPr>
        <w:snapToGrid w:val="0"/>
        <w:rPr>
          <w:rFonts w:ascii="仿宋" w:hAnsi="仿宋" w:cs="仿宋"/>
          <w:szCs w:val="32"/>
        </w:rPr>
      </w:pPr>
      <w:r>
        <w:rPr>
          <w:rFonts w:hint="eastAsia" w:ascii="仿宋" w:hAnsi="仿宋" w:cs="仿宋"/>
          <w:szCs w:val="32"/>
        </w:rPr>
        <w:t>4、分组件显示：可分别显示或隐藏肺部动脉、静脉、支气管、胸廓、肿瘤病灶等组件部分</w:t>
      </w:r>
    </w:p>
    <w:p>
      <w:pPr>
        <w:snapToGrid w:val="0"/>
        <w:rPr>
          <w:rFonts w:ascii="仿宋" w:hAnsi="仿宋" w:cs="仿宋"/>
          <w:szCs w:val="32"/>
        </w:rPr>
      </w:pPr>
      <w:r>
        <w:rPr>
          <w:rFonts w:hint="eastAsia" w:ascii="仿宋" w:hAnsi="仿宋" w:cs="仿宋"/>
          <w:szCs w:val="32"/>
        </w:rPr>
        <w:t>（六）数据传输功能</w:t>
      </w:r>
      <w:r>
        <w:rPr>
          <w:rFonts w:hint="eastAsia" w:ascii="仿宋" w:hAnsi="仿宋" w:cs="仿宋"/>
          <w:szCs w:val="32"/>
        </w:rPr>
        <w:tab/>
      </w:r>
    </w:p>
    <w:p>
      <w:pPr>
        <w:snapToGrid w:val="0"/>
        <w:rPr>
          <w:rFonts w:ascii="仿宋" w:hAnsi="仿宋" w:cs="仿宋"/>
          <w:szCs w:val="32"/>
        </w:rPr>
      </w:pPr>
      <w:r>
        <w:rPr>
          <w:rFonts w:hint="eastAsia" w:ascii="仿宋" w:hAnsi="仿宋" w:cs="仿宋"/>
          <w:sz w:val="21"/>
          <w:szCs w:val="21"/>
        </w:rPr>
        <w:t>▲</w:t>
      </w:r>
      <w:r>
        <w:rPr>
          <w:rFonts w:hint="eastAsia" w:ascii="仿宋" w:hAnsi="仿宋" w:cs="仿宋"/>
          <w:szCs w:val="32"/>
        </w:rPr>
        <w:t>1、远程PACS链接：支持</w:t>
      </w:r>
    </w:p>
    <w:p>
      <w:pPr>
        <w:snapToGrid w:val="0"/>
        <w:rPr>
          <w:rFonts w:ascii="仿宋" w:hAnsi="仿宋" w:cs="仿宋"/>
          <w:szCs w:val="32"/>
        </w:rPr>
      </w:pPr>
      <w:r>
        <w:rPr>
          <w:rFonts w:hint="eastAsia" w:ascii="仿宋" w:hAnsi="仿宋" w:cs="仿宋"/>
          <w:szCs w:val="32"/>
        </w:rPr>
        <w:t>2、DICOM格式读取：支持</w:t>
      </w:r>
    </w:p>
    <w:p>
      <w:pPr>
        <w:snapToGrid w:val="0"/>
        <w:rPr>
          <w:rFonts w:ascii="仿宋" w:hAnsi="仿宋" w:cs="仿宋"/>
          <w:szCs w:val="32"/>
        </w:rPr>
      </w:pPr>
      <w:r>
        <w:rPr>
          <w:rFonts w:hint="eastAsia" w:ascii="仿宋" w:hAnsi="仿宋" w:cs="仿宋"/>
          <w:szCs w:val="32"/>
        </w:rPr>
        <w:t>3、分析结果DICOM格式保存：支持</w:t>
      </w:r>
    </w:p>
    <w:p>
      <w:pPr>
        <w:snapToGrid w:val="0"/>
        <w:rPr>
          <w:rFonts w:ascii="仿宋" w:hAnsi="仿宋" w:cs="仿宋"/>
          <w:szCs w:val="32"/>
        </w:rPr>
      </w:pPr>
      <w:r>
        <w:rPr>
          <w:rFonts w:hint="eastAsia" w:ascii="仿宋" w:hAnsi="仿宋" w:cs="仿宋"/>
          <w:szCs w:val="32"/>
        </w:rPr>
        <w:t>4、远程DICOM打印机链接：支持</w:t>
      </w:r>
    </w:p>
    <w:p>
      <w:pPr>
        <w:snapToGrid w:val="0"/>
        <w:rPr>
          <w:rFonts w:ascii="仿宋" w:hAnsi="仿宋" w:cs="仿宋"/>
          <w:szCs w:val="32"/>
        </w:rPr>
      </w:pPr>
      <w:r>
        <w:rPr>
          <w:rFonts w:hint="eastAsia" w:ascii="仿宋" w:hAnsi="仿宋" w:cs="仿宋"/>
          <w:szCs w:val="32"/>
        </w:rPr>
        <w:t>5、多用户个性化账号与密码设置：支持</w:t>
      </w:r>
    </w:p>
    <w:p>
      <w:pPr>
        <w:snapToGrid w:val="0"/>
        <w:rPr>
          <w:rFonts w:ascii="仿宋" w:hAnsi="仿宋" w:cs="仿宋"/>
          <w:szCs w:val="32"/>
        </w:rPr>
      </w:pPr>
      <w:r>
        <w:rPr>
          <w:rFonts w:hint="eastAsia" w:ascii="仿宋" w:hAnsi="仿宋" w:cs="仿宋"/>
          <w:szCs w:val="32"/>
        </w:rPr>
        <w:t>6、工作流快照功能：支持，将单病例的所有分析结果以快照形式保存</w:t>
      </w:r>
    </w:p>
    <w:p>
      <w:pPr>
        <w:snapToGrid w:val="0"/>
        <w:rPr>
          <w:rFonts w:ascii="仿宋" w:hAnsi="仿宋" w:cs="仿宋"/>
          <w:szCs w:val="32"/>
        </w:rPr>
      </w:pPr>
      <w:bookmarkStart w:id="350" w:name="_Toc13532"/>
      <w:r>
        <w:rPr>
          <w:rFonts w:hint="eastAsia" w:ascii="仿宋" w:hAnsi="仿宋" w:cs="仿宋"/>
          <w:szCs w:val="32"/>
        </w:rPr>
        <w:t>（七）系统可扩展性</w:t>
      </w:r>
      <w:bookmarkEnd w:id="350"/>
      <w:r>
        <w:rPr>
          <w:rFonts w:hint="eastAsia" w:ascii="仿宋" w:hAnsi="仿宋" w:cs="仿宋"/>
          <w:szCs w:val="32"/>
        </w:rPr>
        <w:t>要求</w:t>
      </w:r>
    </w:p>
    <w:p>
      <w:r>
        <w:rPr>
          <w:rFonts w:hint="eastAsia"/>
        </w:rPr>
        <w:t>采购软件平台具备开放性、兼容性，可以兼容不同厂家的PACS设备。软件平台接口标准化，方便对接其他信息管理系统。</w:t>
      </w:r>
    </w:p>
    <w:p>
      <w:pPr>
        <w:rPr>
          <w:rFonts w:ascii="宋体"/>
          <w:sz w:val="36"/>
          <w:szCs w:val="36"/>
        </w:rPr>
      </w:pPr>
      <w:r>
        <w:rPr>
          <w:rFonts w:hint="eastAsia" w:ascii="宋体"/>
          <w:sz w:val="36"/>
          <w:szCs w:val="36"/>
        </w:rPr>
        <w:br w:type="page"/>
      </w:r>
    </w:p>
    <w:p>
      <w:pPr>
        <w:pStyle w:val="5"/>
      </w:pPr>
      <w:r>
        <w:rPr>
          <w:rFonts w:hint="eastAsia"/>
        </w:rPr>
        <w:t>包4</w:t>
      </w:r>
      <w:r>
        <w:rPr>
          <w:rFonts w:hint="eastAsia"/>
          <w:lang w:eastAsia="zh-CN"/>
        </w:rPr>
        <w:t>：</w:t>
      </w:r>
      <w:r>
        <w:rPr>
          <w:rFonts w:hint="eastAsia"/>
        </w:rPr>
        <w:t xml:space="preserve"> 肺功能信息化系统 </w:t>
      </w:r>
    </w:p>
    <w:p>
      <w:pPr>
        <w:pStyle w:val="5"/>
        <w:numPr>
          <w:ilvl w:val="0"/>
          <w:numId w:val="17"/>
        </w:numPr>
        <w:rPr>
          <w:rFonts w:ascii="仿宋" w:hAnsi="仿宋" w:cs="仿宋"/>
          <w:bCs w:val="0"/>
          <w:kern w:val="2"/>
          <w:sz w:val="24"/>
        </w:rPr>
      </w:pPr>
      <w:r>
        <w:rPr>
          <w:rFonts w:hint="eastAsia" w:ascii="仿宋" w:hAnsi="仿宋" w:cs="仿宋"/>
          <w:bCs w:val="0"/>
          <w:kern w:val="2"/>
          <w:sz w:val="24"/>
        </w:rPr>
        <w:t>项目概述</w:t>
      </w:r>
    </w:p>
    <w:p>
      <w:pPr>
        <w:pStyle w:val="2"/>
        <w:ind w:left="0" w:leftChars="0"/>
      </w:pPr>
      <w:r>
        <w:rPr>
          <w:rFonts w:hint="eastAsia"/>
        </w:rPr>
        <w:t>成都市第三人民医院采购肺功能信息化系统1套。</w:t>
      </w:r>
    </w:p>
    <w:p>
      <w:pPr>
        <w:pStyle w:val="5"/>
        <w:rPr>
          <w:rFonts w:ascii="仿宋" w:hAnsi="仿宋" w:cs="仿宋"/>
          <w:bCs w:val="0"/>
          <w:kern w:val="2"/>
          <w:sz w:val="24"/>
        </w:rPr>
      </w:pPr>
      <w:r>
        <w:rPr>
          <w:rFonts w:hint="eastAsia" w:ascii="仿宋" w:hAnsi="仿宋" w:cs="仿宋"/>
          <w:bCs w:val="0"/>
          <w:kern w:val="2"/>
          <w:sz w:val="24"/>
        </w:rPr>
        <w:t>二、商务要求</w:t>
      </w:r>
    </w:p>
    <w:p>
      <w:pPr>
        <w:ind w:firstLine="241" w:firstLineChars="100"/>
        <w:rPr>
          <w:rFonts w:ascii="仿宋" w:hAnsi="仿宋" w:cs="仿宋"/>
        </w:rPr>
      </w:pPr>
      <w:r>
        <w:rPr>
          <w:rFonts w:hint="eastAsia" w:ascii="仿宋" w:hAnsi="仿宋" w:cs="仿宋"/>
          <w:b/>
          <w:szCs w:val="32"/>
        </w:rPr>
        <w:t>★</w:t>
      </w:r>
      <w:r>
        <w:rPr>
          <w:rFonts w:hint="eastAsia" w:ascii="仿宋" w:hAnsi="仿宋" w:cs="仿宋"/>
        </w:rPr>
        <w:t>1、 技术文档：必须提供详细的软件说明书、使用手册、简明操作手册等全套技术文档资料。</w:t>
      </w:r>
    </w:p>
    <w:p>
      <w:pPr>
        <w:ind w:left="240" w:leftChars="100"/>
        <w:rPr>
          <w:rFonts w:ascii="仿宋" w:hAnsi="仿宋" w:cs="仿宋"/>
        </w:rPr>
      </w:pPr>
      <w:r>
        <w:rPr>
          <w:rFonts w:hint="eastAsia" w:ascii="仿宋" w:hAnsi="仿宋" w:cs="仿宋"/>
          <w:b/>
          <w:szCs w:val="32"/>
        </w:rPr>
        <w:t>★</w:t>
      </w:r>
      <w:r>
        <w:rPr>
          <w:rFonts w:hint="eastAsia" w:ascii="仿宋" w:hAnsi="仿宋" w:cs="仿宋"/>
        </w:rPr>
        <w:t>2、 安装和调试：中标人负责将中标产品按签订合同的地点运送到采购人处，同时负责将设备安置到位，能正常使用，其所发生的一切费用由中标人负责。中标人应在要求时间内完成该项工作。如因供应商责任而造成延期，采购人有权拒收，同时追究供应商责任造成损失。</w:t>
      </w:r>
    </w:p>
    <w:p>
      <w:pPr>
        <w:ind w:left="240" w:leftChars="100"/>
        <w:rPr>
          <w:rFonts w:ascii="仿宋" w:hAnsi="仿宋" w:cs="仿宋"/>
        </w:rPr>
      </w:pPr>
      <w:r>
        <w:rPr>
          <w:rFonts w:hint="eastAsia" w:ascii="仿宋" w:hAnsi="仿宋" w:cs="仿宋"/>
          <w:b/>
          <w:szCs w:val="32"/>
        </w:rPr>
        <w:t>★</w:t>
      </w:r>
      <w:r>
        <w:rPr>
          <w:rFonts w:hint="eastAsia" w:ascii="仿宋" w:hAnsi="仿宋" w:cs="仿宋"/>
        </w:rPr>
        <w:t>3、 付款方法和条件：</w:t>
      </w:r>
    </w:p>
    <w:p>
      <w:pPr>
        <w:ind w:left="240" w:leftChars="100"/>
        <w:rPr>
          <w:rFonts w:hint="eastAsia" w:ascii="仿宋" w:hAnsi="仿宋" w:cs="仿宋"/>
        </w:rPr>
      </w:pPr>
      <w:r>
        <w:rPr>
          <w:rFonts w:hint="eastAsia" w:ascii="仿宋" w:hAnsi="仿宋" w:cs="仿宋"/>
        </w:rPr>
        <w:t>合同签订后，5个工作日内向中标人支付合同总金额的40%预付款；项目整体验收完成后，收到发票后15日内支付合同总金额的55%；剩余合同总金额的5%从验收合格之日起一年满后收到发票后15日内支付（不计利息）。</w:t>
      </w:r>
    </w:p>
    <w:p>
      <w:pPr>
        <w:ind w:left="240" w:leftChars="100"/>
        <w:rPr>
          <w:rFonts w:ascii="仿宋" w:hAnsi="仿宋" w:cs="仿宋"/>
        </w:rPr>
      </w:pPr>
      <w:r>
        <w:rPr>
          <w:rFonts w:hint="eastAsia" w:ascii="仿宋" w:hAnsi="仿宋" w:cs="仿宋"/>
          <w:b/>
          <w:szCs w:val="32"/>
        </w:rPr>
        <w:t>★</w:t>
      </w:r>
      <w:r>
        <w:rPr>
          <w:rFonts w:hint="eastAsia" w:ascii="仿宋" w:hAnsi="仿宋" w:cs="仿宋"/>
        </w:rPr>
        <w:t>4、 完成时间及地点</w:t>
      </w:r>
    </w:p>
    <w:p>
      <w:pPr>
        <w:ind w:left="240" w:leftChars="100"/>
        <w:rPr>
          <w:rFonts w:ascii="仿宋" w:hAnsi="仿宋" w:cs="仿宋"/>
        </w:rPr>
      </w:pPr>
      <w:r>
        <w:rPr>
          <w:rFonts w:hint="eastAsia" w:ascii="仿宋" w:hAnsi="仿宋" w:cs="仿宋"/>
        </w:rPr>
        <w:t>4.1 完成时间：合同签订生效后，在接到采购人正式通知的前提下45日历天内完成，并交付采购人验收。</w:t>
      </w:r>
    </w:p>
    <w:p>
      <w:pPr>
        <w:ind w:left="240" w:leftChars="100"/>
        <w:rPr>
          <w:rFonts w:ascii="仿宋" w:hAnsi="仿宋" w:cs="仿宋"/>
        </w:rPr>
      </w:pPr>
      <w:r>
        <w:rPr>
          <w:rFonts w:hint="eastAsia" w:ascii="仿宋" w:hAnsi="仿宋" w:cs="仿宋"/>
        </w:rPr>
        <w:t>4.2 完成地点: 成都市第三人民医院指定地点</w:t>
      </w:r>
    </w:p>
    <w:p>
      <w:pPr>
        <w:ind w:left="240" w:leftChars="100"/>
        <w:rPr>
          <w:rFonts w:ascii="仿宋" w:hAnsi="仿宋" w:cs="仿宋"/>
        </w:rPr>
      </w:pPr>
      <w:r>
        <w:rPr>
          <w:rFonts w:hint="eastAsia" w:ascii="仿宋" w:hAnsi="仿宋" w:cs="仿宋"/>
          <w:b/>
          <w:szCs w:val="32"/>
        </w:rPr>
        <w:t>★</w:t>
      </w:r>
      <w:r>
        <w:rPr>
          <w:rFonts w:hint="eastAsia" w:ascii="仿宋" w:hAnsi="仿宋" w:cs="仿宋"/>
        </w:rPr>
        <w:t>5、 售后服务与质保</w:t>
      </w:r>
    </w:p>
    <w:p>
      <w:pPr>
        <w:ind w:left="240" w:leftChars="100"/>
        <w:rPr>
          <w:rFonts w:ascii="仿宋" w:hAnsi="仿宋" w:cs="仿宋"/>
        </w:rPr>
      </w:pPr>
      <w:r>
        <w:rPr>
          <w:rFonts w:hint="eastAsia" w:ascii="仿宋" w:hAnsi="仿宋" w:cs="仿宋"/>
        </w:rPr>
        <w:t>5.1 从验收合格之日起，提供一年质保。</w:t>
      </w:r>
    </w:p>
    <w:p>
      <w:pPr>
        <w:ind w:left="240" w:leftChars="100"/>
        <w:rPr>
          <w:rFonts w:ascii="仿宋" w:hAnsi="仿宋" w:cs="仿宋"/>
        </w:rPr>
      </w:pPr>
      <w:r>
        <w:rPr>
          <w:rFonts w:hint="eastAsia" w:ascii="仿宋" w:hAnsi="仿宋" w:cs="仿宋"/>
        </w:rPr>
        <w:t>5.2 中标人提供每周7×24服务。接到采购人通知后应确保 2 小时内响应，4 小时内排除故障。如采购人要求提供现场服务，应在 4 小时内到达采购人指定地点。</w:t>
      </w:r>
    </w:p>
    <w:p>
      <w:pPr>
        <w:pStyle w:val="2"/>
        <w:ind w:left="0" w:leftChars="0" w:firstLine="241" w:firstLineChars="100"/>
        <w:rPr>
          <w:rFonts w:ascii="仿宋" w:hAnsi="仿宋" w:cs="仿宋"/>
        </w:rPr>
      </w:pPr>
      <w:r>
        <w:rPr>
          <w:rFonts w:hint="eastAsia" w:ascii="仿宋" w:hAnsi="仿宋" w:cs="仿宋"/>
          <w:b/>
          <w:szCs w:val="32"/>
        </w:rPr>
        <w:t>★</w:t>
      </w:r>
      <w:r>
        <w:rPr>
          <w:rFonts w:hint="eastAsia" w:ascii="仿宋" w:hAnsi="仿宋" w:cs="仿宋"/>
        </w:rPr>
        <w:t>6、系统兼容性：</w:t>
      </w:r>
    </w:p>
    <w:p>
      <w:pPr>
        <w:pStyle w:val="2"/>
        <w:ind w:left="0" w:leftChars="0" w:firstLine="240" w:firstLineChars="100"/>
        <w:rPr>
          <w:rFonts w:ascii="仿宋" w:hAnsi="仿宋" w:cs="仿宋"/>
        </w:rPr>
      </w:pPr>
      <w:r>
        <w:rPr>
          <w:rFonts w:hint="eastAsia" w:ascii="仿宋" w:hAnsi="仿宋" w:cs="仿宋"/>
        </w:rPr>
        <w:t>6.1能够支持windows7、windows10等32位/64位操作系统，支持chrome、firefox、Edge等主流浏览器，且持续支持主流的web标准；</w:t>
      </w:r>
    </w:p>
    <w:p>
      <w:pPr>
        <w:pStyle w:val="2"/>
        <w:ind w:left="0" w:leftChars="0" w:firstLine="240" w:firstLineChars="100"/>
        <w:rPr>
          <w:rFonts w:ascii="仿宋" w:hAnsi="仿宋" w:cs="仿宋"/>
        </w:rPr>
      </w:pPr>
      <w:r>
        <w:rPr>
          <w:rFonts w:hint="eastAsia" w:ascii="仿宋" w:hAnsi="仿宋" w:cs="仿宋"/>
        </w:rPr>
        <w:t>6.2数据库：Oracle 11g，对医院开放数据(数据库、文件等)读取使用权限；</w:t>
      </w:r>
    </w:p>
    <w:p>
      <w:pPr>
        <w:pStyle w:val="2"/>
        <w:ind w:left="0" w:leftChars="0" w:firstLine="240" w:firstLineChars="100"/>
        <w:rPr>
          <w:rFonts w:ascii="仿宋" w:hAnsi="仿宋" w:cs="仿宋"/>
        </w:rPr>
      </w:pPr>
      <w:r>
        <w:rPr>
          <w:rFonts w:hint="eastAsia" w:ascii="仿宋" w:hAnsi="仿宋" w:cs="仿宋"/>
        </w:rPr>
        <w:t>6.3项目系统应采用B/S架构，任意在线管理人员均可通过浏览器登录系统后台，对系统信息管理及维护；系统能够通过多种方式(不限于webservice、消息队列等)对接院内的其他业务系统或者集成平台；</w:t>
      </w:r>
    </w:p>
    <w:p>
      <w:pPr>
        <w:pStyle w:val="2"/>
        <w:ind w:left="0" w:leftChars="0" w:firstLine="240" w:firstLineChars="100"/>
        <w:rPr>
          <w:rFonts w:ascii="仿宋" w:hAnsi="仿宋" w:cs="仿宋"/>
        </w:rPr>
      </w:pPr>
      <w:r>
        <w:rPr>
          <w:rFonts w:hint="eastAsia" w:ascii="仿宋" w:hAnsi="仿宋" w:cs="仿宋"/>
        </w:rPr>
        <w:t>6.4系统需保证所有存储数据的完整性，调用时保证系统的运行速度。需配合医院进行互联互通五级乙等、电子病历五级与六级评级、智慧服务三级与四级、智慧医院三星等信息标准化建设（费用包含在投标报价中）。</w:t>
      </w:r>
    </w:p>
    <w:p>
      <w:pPr>
        <w:pStyle w:val="4"/>
        <w:ind w:left="210"/>
        <w:rPr>
          <w:rFonts w:asciiTheme="minorHAnsi" w:hAnsiTheme="minorHAnsi" w:eastAsiaTheme="minorEastAsia" w:cstheme="minorBidi"/>
          <w:szCs w:val="24"/>
        </w:rPr>
      </w:pPr>
      <w:r>
        <w:rPr>
          <w:rFonts w:hint="eastAsia" w:asciiTheme="minorHAnsi" w:hAnsiTheme="minorHAnsi" w:eastAsiaTheme="minorEastAsia" w:cstheme="minorBidi"/>
          <w:szCs w:val="24"/>
        </w:rPr>
        <w:t>三、技术、服务要求</w:t>
      </w:r>
    </w:p>
    <w:p>
      <w:pPr>
        <w:pStyle w:val="33"/>
        <w:numPr>
          <w:ilvl w:val="0"/>
          <w:numId w:val="18"/>
        </w:numPr>
        <w:ind w:firstLine="240"/>
        <w:rPr>
          <w:rFonts w:ascii="仿宋" w:hAnsi="仿宋" w:cs="仿宋"/>
          <w:color w:val="auto"/>
        </w:rPr>
      </w:pPr>
      <w:r>
        <w:rPr>
          <w:rFonts w:hint="eastAsia" w:ascii="仿宋" w:hAnsi="仿宋" w:cs="仿宋"/>
          <w:color w:val="auto"/>
        </w:rPr>
        <w:t>总体要求</w:t>
      </w:r>
    </w:p>
    <w:p>
      <w:pPr>
        <w:ind w:left="240" w:leftChars="100"/>
        <w:rPr>
          <w:rFonts w:ascii="仿宋" w:hAnsi="仿宋" w:cs="仿宋"/>
        </w:rPr>
      </w:pPr>
      <w:r>
        <w:rPr>
          <w:rFonts w:hint="eastAsia" w:ascii="仿宋" w:hAnsi="仿宋" w:cs="仿宋"/>
        </w:rPr>
        <w:t>▲1.1 可实现与医院的HIS、LIS、PACS、CDR等相关信息系统的信息交互与集成；</w:t>
      </w:r>
    </w:p>
    <w:p>
      <w:pPr>
        <w:ind w:left="240" w:leftChars="100"/>
        <w:rPr>
          <w:rFonts w:ascii="仿宋" w:hAnsi="仿宋" w:cs="仿宋"/>
        </w:rPr>
      </w:pPr>
      <w:r>
        <w:rPr>
          <w:rFonts w:hint="eastAsia" w:ascii="仿宋" w:hAnsi="仿宋" w:cs="仿宋"/>
        </w:rPr>
        <w:t>▲1.2 系统采用标准化接口，支持HL7、Web Service、ICD10等标准；系统能够根据医院的技术路线调整其架构，系统涉及外网的接口必须满足医院信息安全架构及规范要求；内网接口必须符合医院内网系统架构设计，按照医院约定方式(集成平台等)进行消息交互。</w:t>
      </w:r>
    </w:p>
    <w:p>
      <w:pPr>
        <w:ind w:left="240" w:leftChars="100"/>
        <w:rPr>
          <w:rFonts w:ascii="仿宋" w:hAnsi="仿宋" w:cs="仿宋"/>
        </w:rPr>
      </w:pPr>
      <w:r>
        <w:rPr>
          <w:rFonts w:hint="eastAsia" w:ascii="仿宋" w:hAnsi="仿宋" w:cs="仿宋"/>
        </w:rPr>
        <w:t>▲1.3 实现与医院现有肺功能仪、一氧化氮设备的接口信息的采集，并可满足科室发展新设备的接入；</w:t>
      </w:r>
    </w:p>
    <w:p>
      <w:pPr>
        <w:ind w:left="240" w:leftChars="100"/>
        <w:rPr>
          <w:rFonts w:ascii="仿宋" w:hAnsi="仿宋" w:cs="仿宋"/>
        </w:rPr>
      </w:pPr>
      <w:r>
        <w:rPr>
          <w:rFonts w:hint="eastAsia" w:ascii="仿宋" w:hAnsi="仿宋" w:cs="仿宋"/>
        </w:rPr>
        <w:t>1.4 信息安全及数据安全：</w:t>
      </w:r>
    </w:p>
    <w:p>
      <w:pPr>
        <w:ind w:left="240" w:leftChars="100" w:firstLine="240" w:firstLineChars="100"/>
        <w:rPr>
          <w:rFonts w:ascii="仿宋" w:hAnsi="仿宋" w:cs="仿宋"/>
        </w:rPr>
      </w:pPr>
      <w:r>
        <w:rPr>
          <w:rFonts w:hint="eastAsia" w:ascii="仿宋" w:hAnsi="仿宋" w:cs="仿宋"/>
        </w:rPr>
        <w:t>▲1.4.1内网环境，所有安装操作均在内网管控下运行。</w:t>
      </w:r>
    </w:p>
    <w:p>
      <w:pPr>
        <w:ind w:left="240" w:leftChars="100" w:firstLine="240" w:firstLineChars="100"/>
        <w:rPr>
          <w:rFonts w:ascii="仿宋" w:hAnsi="仿宋" w:cs="仿宋"/>
        </w:rPr>
      </w:pPr>
      <w:r>
        <w:rPr>
          <w:rFonts w:hint="eastAsia" w:ascii="仿宋" w:hAnsi="仿宋" w:cs="仿宋"/>
        </w:rPr>
        <w:t>▲1.4.2分级权限管理，为每位操作大夫设置与之对应的权限等级，1、2、3级为操作权限、管理员权限、报告打印权限、数据导出权限。</w:t>
      </w:r>
    </w:p>
    <w:p>
      <w:pPr>
        <w:ind w:left="240" w:leftChars="100" w:firstLine="240" w:firstLineChars="100"/>
        <w:rPr>
          <w:rFonts w:ascii="仿宋" w:hAnsi="仿宋" w:cs="仿宋"/>
        </w:rPr>
      </w:pPr>
      <w:r>
        <w:rPr>
          <w:rFonts w:hint="eastAsia" w:ascii="仿宋" w:hAnsi="仿宋" w:cs="仿宋"/>
        </w:rPr>
        <w:t>1.4.3对口令设置必须在8位以上，限制非法登录次数为6次，当网络登录连接超时自动退出。</w:t>
      </w:r>
    </w:p>
    <w:p>
      <w:pPr>
        <w:ind w:left="480" w:leftChars="200"/>
        <w:rPr>
          <w:rFonts w:ascii="仿宋" w:hAnsi="仿宋" w:cs="仿宋"/>
        </w:rPr>
      </w:pPr>
      <w:r>
        <w:rPr>
          <w:rFonts w:hint="eastAsia" w:ascii="仿宋" w:hAnsi="仿宋" w:cs="仿宋"/>
        </w:rPr>
        <w:t>1.4.4针对每一份传入HIS的报告做日志追踪，责任到人，做到每一份报告都有据可查。</w:t>
      </w:r>
    </w:p>
    <w:p>
      <w:pPr>
        <w:ind w:left="240" w:leftChars="100" w:firstLine="240" w:firstLineChars="100"/>
        <w:rPr>
          <w:rFonts w:ascii="仿宋" w:hAnsi="仿宋" w:cs="仿宋"/>
        </w:rPr>
      </w:pPr>
      <w:r>
        <w:rPr>
          <w:rFonts w:hint="eastAsia" w:ascii="仿宋" w:hAnsi="仿宋" w:cs="仿宋"/>
        </w:rPr>
        <w:t>1.4.5对数据采取4重备份，肺功能操作软件、肺功能本机PDF文件、数据库中PDF备份、数据库中二进制PDF存储</w:t>
      </w:r>
      <w:r>
        <w:rPr>
          <w:rStyle w:val="45"/>
          <w:rFonts w:hint="eastAsia"/>
        </w:rPr>
        <w:t>，</w:t>
      </w:r>
      <w:r>
        <w:rPr>
          <w:rFonts w:hint="eastAsia" w:ascii="仿宋" w:hAnsi="仿宋" w:cs="仿宋"/>
        </w:rPr>
        <w:t>包括异地容灾备份、离线备份等，只要保证数据有一份不丢失，即可恢复。</w:t>
      </w:r>
    </w:p>
    <w:p>
      <w:pPr>
        <w:ind w:left="240" w:leftChars="100"/>
        <w:rPr>
          <w:rFonts w:ascii="仿宋" w:hAnsi="仿宋" w:cs="仿宋"/>
        </w:rPr>
      </w:pPr>
      <w:r>
        <w:rPr>
          <w:rFonts w:hint="eastAsia" w:ascii="仿宋" w:hAnsi="仿宋" w:cs="仿宋"/>
        </w:rPr>
        <w:t>▲1.5 应急预案处理</w:t>
      </w:r>
    </w:p>
    <w:p>
      <w:pPr>
        <w:ind w:left="240" w:leftChars="100"/>
        <w:rPr>
          <w:rFonts w:ascii="仿宋" w:hAnsi="仿宋" w:cs="仿宋"/>
        </w:rPr>
      </w:pPr>
      <w:r>
        <w:rPr>
          <w:rFonts w:hint="eastAsia" w:ascii="仿宋" w:hAnsi="仿宋" w:cs="仿宋"/>
        </w:rPr>
        <w:t>肺功能信息化系统如果出现异常状况，无法上传报告，可一键切换至纸质报告打印，采取手工录入病人信息的方式来操作，后续异常处理完成后，对未传输的报告一键批量处理，即可传输至HIS，一键批量传输的报告和正常测试的报告没有任何区别。</w:t>
      </w:r>
    </w:p>
    <w:p>
      <w:pPr>
        <w:pStyle w:val="13"/>
        <w:rPr>
          <w:rFonts w:ascii="仿宋" w:hAnsi="仿宋" w:cs="仿宋"/>
        </w:rPr>
      </w:pPr>
    </w:p>
    <w:p>
      <w:pPr>
        <w:numPr>
          <w:ilvl w:val="0"/>
          <w:numId w:val="18"/>
        </w:numPr>
        <w:ind w:firstLine="240" w:firstLineChars="100"/>
        <w:rPr>
          <w:rFonts w:ascii="仿宋" w:hAnsi="仿宋" w:cs="仿宋"/>
        </w:rPr>
      </w:pPr>
      <w:r>
        <w:rPr>
          <w:rFonts w:hint="eastAsia" w:ascii="仿宋" w:hAnsi="仿宋" w:cs="仿宋"/>
        </w:rPr>
        <w:t>技术参数指标要求</w:t>
      </w:r>
    </w:p>
    <w:p>
      <w:pPr>
        <w:ind w:firstLine="240" w:firstLineChars="100"/>
        <w:rPr>
          <w:rFonts w:ascii="仿宋" w:hAnsi="仿宋" w:cs="仿宋"/>
        </w:rPr>
      </w:pPr>
      <w:r>
        <w:rPr>
          <w:rFonts w:hint="eastAsia" w:ascii="仿宋" w:hAnsi="仿宋" w:cs="仿宋"/>
        </w:rPr>
        <w:t>2.1临床检查功能：</w:t>
      </w:r>
    </w:p>
    <w:p>
      <w:pPr>
        <w:ind w:firstLine="240" w:firstLineChars="100"/>
        <w:rPr>
          <w:rFonts w:ascii="仿宋" w:hAnsi="仿宋" w:cs="仿宋"/>
        </w:rPr>
      </w:pPr>
      <w:r>
        <w:rPr>
          <w:rFonts w:hint="eastAsia" w:ascii="仿宋" w:hAnsi="仿宋" w:cs="仿宋"/>
        </w:rPr>
        <w:t>2.1.1智能排队叫号</w:t>
      </w:r>
    </w:p>
    <w:p>
      <w:pPr>
        <w:ind w:firstLine="240" w:firstLineChars="100"/>
        <w:rPr>
          <w:rFonts w:ascii="仿宋" w:hAnsi="仿宋" w:cs="仿宋"/>
        </w:rPr>
      </w:pPr>
      <w:r>
        <w:rPr>
          <w:rFonts w:hint="eastAsia" w:ascii="仿宋" w:hAnsi="仿宋" w:cs="仿宋"/>
        </w:rPr>
        <w:t>自动根据检查排队长度进行队列优化，最大限度提高检查效率；</w:t>
      </w:r>
    </w:p>
    <w:p>
      <w:pPr>
        <w:ind w:firstLine="240" w:firstLineChars="100"/>
        <w:rPr>
          <w:rFonts w:ascii="仿宋" w:hAnsi="仿宋" w:cs="仿宋"/>
        </w:rPr>
      </w:pPr>
      <w:r>
        <w:rPr>
          <w:rFonts w:hint="eastAsia" w:ascii="仿宋" w:hAnsi="仿宋" w:cs="仿宋"/>
        </w:rPr>
        <w:t>叫号队列按照就诊时间段、就诊检查项目自动进行分类显示；</w:t>
      </w:r>
    </w:p>
    <w:p>
      <w:pPr>
        <w:ind w:firstLine="240" w:firstLineChars="100"/>
        <w:rPr>
          <w:rFonts w:ascii="仿宋" w:hAnsi="仿宋" w:cs="仿宋"/>
        </w:rPr>
      </w:pPr>
      <w:r>
        <w:rPr>
          <w:rFonts w:hint="eastAsia" w:ascii="仿宋" w:hAnsi="仿宋" w:cs="仿宋"/>
        </w:rPr>
        <w:t>排队后自动推送至相对应检查设备的检查名单内。</w:t>
      </w:r>
    </w:p>
    <w:p>
      <w:pPr>
        <w:ind w:firstLine="240" w:firstLineChars="100"/>
        <w:rPr>
          <w:rFonts w:ascii="仿宋" w:hAnsi="仿宋" w:cs="仿宋"/>
        </w:rPr>
      </w:pPr>
      <w:r>
        <w:rPr>
          <w:rFonts w:hint="eastAsia" w:ascii="仿宋" w:hAnsi="仿宋" w:cs="仿宋"/>
        </w:rPr>
        <w:t>2.1.2智能硬件对接</w:t>
      </w:r>
    </w:p>
    <w:p>
      <w:pPr>
        <w:ind w:left="240" w:leftChars="100"/>
        <w:rPr>
          <w:rFonts w:ascii="仿宋" w:hAnsi="仿宋" w:cs="仿宋"/>
        </w:rPr>
      </w:pPr>
      <w:r>
        <w:rPr>
          <w:rFonts w:hint="eastAsia" w:ascii="仿宋" w:hAnsi="仿宋" w:cs="仿宋"/>
        </w:rPr>
        <w:t>对接全自动身高体重秤，对患者的身高体重进行自动测量，测量结果自动进入系统。</w:t>
      </w:r>
    </w:p>
    <w:p>
      <w:pPr>
        <w:ind w:firstLine="240" w:firstLineChars="100"/>
        <w:rPr>
          <w:rFonts w:ascii="仿宋" w:hAnsi="仿宋" w:cs="仿宋"/>
        </w:rPr>
      </w:pPr>
      <w:r>
        <w:rPr>
          <w:rFonts w:hint="eastAsia" w:ascii="仿宋" w:hAnsi="仿宋" w:cs="仿宋"/>
        </w:rPr>
        <w:t>2.1.3预约补录系统</w:t>
      </w:r>
    </w:p>
    <w:p>
      <w:pPr>
        <w:ind w:left="240" w:leftChars="100"/>
        <w:rPr>
          <w:rFonts w:ascii="仿宋" w:hAnsi="仿宋" w:cs="仿宋"/>
        </w:rPr>
      </w:pPr>
      <w:r>
        <w:rPr>
          <w:rFonts w:hint="eastAsia" w:ascii="仿宋" w:hAnsi="仿宋" w:cs="仿宋"/>
        </w:rPr>
        <w:t>对患者的信息进行检查前的补充，如：吸烟史、戒烟史、吸烟年限、疾病史、现病史、身高体重、血压心率等；</w:t>
      </w:r>
    </w:p>
    <w:p>
      <w:pPr>
        <w:ind w:firstLine="240" w:firstLineChars="100"/>
        <w:rPr>
          <w:rFonts w:ascii="仿宋" w:hAnsi="仿宋" w:cs="仿宋"/>
        </w:rPr>
      </w:pPr>
      <w:r>
        <w:rPr>
          <w:rFonts w:hint="eastAsia" w:ascii="仿宋" w:hAnsi="仿宋" w:cs="仿宋"/>
        </w:rPr>
        <w:t>可对接院内预约平台，实现预约凭条打印，预约管理。</w:t>
      </w:r>
    </w:p>
    <w:p>
      <w:pPr>
        <w:ind w:firstLine="240" w:firstLineChars="100"/>
        <w:rPr>
          <w:rFonts w:ascii="仿宋" w:hAnsi="仿宋" w:cs="仿宋"/>
        </w:rPr>
      </w:pPr>
      <w:r>
        <w:rPr>
          <w:rFonts w:hint="eastAsia" w:ascii="仿宋" w:hAnsi="仿宋" w:cs="仿宋"/>
        </w:rPr>
        <w:t>2.1.4肺功能定标报告存储管理</w:t>
      </w:r>
    </w:p>
    <w:p>
      <w:pPr>
        <w:ind w:firstLine="240" w:firstLineChars="100"/>
        <w:rPr>
          <w:rFonts w:ascii="仿宋" w:hAnsi="仿宋" w:cs="仿宋"/>
        </w:rPr>
      </w:pPr>
      <w:r>
        <w:rPr>
          <w:rFonts w:hint="eastAsia" w:ascii="仿宋" w:hAnsi="仿宋" w:cs="仿宋"/>
        </w:rPr>
        <w:t>将定标报告进行存储，作为质量控制的依据；</w:t>
      </w:r>
    </w:p>
    <w:p>
      <w:pPr>
        <w:ind w:left="240" w:leftChars="100"/>
        <w:rPr>
          <w:rFonts w:ascii="仿宋" w:hAnsi="仿宋" w:cs="仿宋"/>
        </w:rPr>
      </w:pPr>
      <w:r>
        <w:rPr>
          <w:rFonts w:hint="eastAsia" w:ascii="仿宋" w:hAnsi="仿宋" w:cs="仿宋"/>
        </w:rPr>
        <w:t>肺功能科研报告：根据不同的科研，个性化定制肺功能报告，并自动单独存放，避免与临床肺功能报告混淆；</w:t>
      </w:r>
    </w:p>
    <w:p>
      <w:pPr>
        <w:ind w:firstLine="240" w:firstLineChars="100"/>
        <w:rPr>
          <w:rFonts w:ascii="仿宋" w:hAnsi="仿宋" w:cs="仿宋"/>
        </w:rPr>
      </w:pPr>
      <w:r>
        <w:rPr>
          <w:rFonts w:hint="eastAsia" w:ascii="仿宋" w:hAnsi="仿宋" w:cs="仿宋"/>
        </w:rPr>
        <w:t>定标报告可查询导出，责任到人；</w:t>
      </w:r>
    </w:p>
    <w:p>
      <w:pPr>
        <w:ind w:firstLine="240" w:firstLineChars="100"/>
        <w:rPr>
          <w:rFonts w:ascii="仿宋" w:hAnsi="仿宋" w:cs="仿宋"/>
        </w:rPr>
      </w:pPr>
      <w:r>
        <w:rPr>
          <w:rFonts w:hint="eastAsia" w:ascii="仿宋" w:hAnsi="仿宋" w:cs="仿宋"/>
        </w:rPr>
        <w:t>未定标的肺功能报告直接标记。</w:t>
      </w:r>
    </w:p>
    <w:p>
      <w:pPr>
        <w:ind w:firstLine="240" w:firstLineChars="100"/>
        <w:rPr>
          <w:rFonts w:ascii="仿宋" w:hAnsi="仿宋" w:cs="仿宋"/>
        </w:rPr>
      </w:pPr>
      <w:r>
        <w:rPr>
          <w:rFonts w:hint="eastAsia" w:ascii="仿宋" w:hAnsi="仿宋" w:cs="仿宋"/>
        </w:rPr>
        <w:t>2.1.5风险预警评估</w:t>
      </w:r>
    </w:p>
    <w:p>
      <w:pPr>
        <w:ind w:left="240" w:leftChars="100"/>
        <w:rPr>
          <w:rFonts w:ascii="仿宋" w:hAnsi="仿宋" w:cs="仿宋"/>
        </w:rPr>
      </w:pPr>
      <w:r>
        <w:rPr>
          <w:rFonts w:hint="eastAsia" w:ascii="仿宋" w:hAnsi="仿宋" w:cs="仿宋"/>
        </w:rPr>
        <w:t>对接患者的疾病史、诊断、放化疗检查接口，对肺功能检查风险进行提前预警；</w:t>
      </w:r>
    </w:p>
    <w:p>
      <w:pPr>
        <w:ind w:firstLine="240" w:firstLineChars="100"/>
        <w:rPr>
          <w:rFonts w:ascii="仿宋" w:hAnsi="仿宋" w:cs="仿宋"/>
        </w:rPr>
      </w:pPr>
      <w:r>
        <w:rPr>
          <w:rFonts w:hint="eastAsia" w:ascii="仿宋" w:hAnsi="仿宋" w:cs="仿宋"/>
        </w:rPr>
        <w:t>对接LIS，对患者弥散功能检查前的血红蛋白校正进行提醒。</w:t>
      </w:r>
    </w:p>
    <w:p>
      <w:pPr>
        <w:ind w:firstLine="240" w:firstLineChars="100"/>
        <w:rPr>
          <w:rFonts w:ascii="仿宋" w:hAnsi="仿宋" w:cs="仿宋"/>
        </w:rPr>
      </w:pPr>
      <w:r>
        <w:rPr>
          <w:rFonts w:hint="eastAsia" w:ascii="仿宋" w:hAnsi="仿宋" w:cs="仿宋"/>
        </w:rPr>
        <w:t>2.1.6问卷调查系统</w:t>
      </w:r>
    </w:p>
    <w:p>
      <w:pPr>
        <w:ind w:left="240" w:leftChars="100"/>
        <w:rPr>
          <w:rFonts w:ascii="仿宋" w:hAnsi="仿宋" w:cs="仿宋"/>
        </w:rPr>
      </w:pPr>
      <w:r>
        <w:rPr>
          <w:rFonts w:hint="eastAsia" w:ascii="仿宋" w:hAnsi="仿宋" w:cs="仿宋"/>
        </w:rPr>
        <w:t>定制肺功能问卷调查表及知情同意书，肺功能检查之前对患者进行肺功能问卷调查。</w:t>
      </w:r>
    </w:p>
    <w:p>
      <w:pPr>
        <w:ind w:firstLine="240" w:firstLineChars="100"/>
        <w:rPr>
          <w:rFonts w:ascii="仿宋" w:hAnsi="仿宋" w:cs="仿宋"/>
        </w:rPr>
      </w:pPr>
      <w:r>
        <w:rPr>
          <w:rFonts w:hint="eastAsia" w:ascii="仿宋" w:hAnsi="仿宋" w:cs="仿宋"/>
        </w:rPr>
        <w:t>2.1.7病人信息自动获取</w:t>
      </w:r>
    </w:p>
    <w:p>
      <w:pPr>
        <w:ind w:firstLine="240" w:firstLineChars="100"/>
        <w:rPr>
          <w:rFonts w:ascii="仿宋" w:hAnsi="仿宋" w:cs="仿宋"/>
        </w:rPr>
      </w:pPr>
      <w:r>
        <w:rPr>
          <w:rFonts w:hint="eastAsia" w:ascii="仿宋" w:hAnsi="仿宋" w:cs="仿宋"/>
        </w:rPr>
        <w:t>患者到检后，排队序列自动推送到每台对应的设备上，操作大夫</w:t>
      </w:r>
    </w:p>
    <w:p>
      <w:pPr>
        <w:ind w:left="240" w:leftChars="100"/>
        <w:rPr>
          <w:rFonts w:ascii="仿宋" w:hAnsi="仿宋" w:cs="仿宋"/>
        </w:rPr>
      </w:pPr>
      <w:r>
        <w:rPr>
          <w:rFonts w:hint="eastAsia" w:ascii="仿宋" w:hAnsi="仿宋" w:cs="仿宋"/>
        </w:rPr>
        <w:t>只需双击患者姓名，即可将病人的基本信息（身高、体重、年龄、性别、出生日期、住院号、家庭住址、电话等）自动导入到肺功能操作系统内，大大提高门诊检查的效率，实现病人基本信息零输入。</w:t>
      </w:r>
    </w:p>
    <w:p>
      <w:pPr>
        <w:ind w:firstLine="240" w:firstLineChars="100"/>
        <w:rPr>
          <w:rFonts w:ascii="仿宋" w:hAnsi="仿宋" w:cs="仿宋"/>
        </w:rPr>
      </w:pPr>
      <w:r>
        <w:rPr>
          <w:rFonts w:hint="eastAsia" w:ascii="仿宋" w:hAnsi="仿宋" w:cs="仿宋"/>
        </w:rPr>
        <w:t>2.1.8报告上传</w:t>
      </w:r>
    </w:p>
    <w:p>
      <w:pPr>
        <w:ind w:left="240" w:leftChars="100"/>
        <w:rPr>
          <w:rFonts w:ascii="仿宋" w:hAnsi="仿宋" w:cs="仿宋"/>
        </w:rPr>
      </w:pPr>
      <w:r>
        <w:rPr>
          <w:rFonts w:hint="eastAsia" w:ascii="仿宋" w:hAnsi="仿宋" w:cs="仿宋"/>
        </w:rPr>
        <w:t>电子报告打印后，并自动与医嘱绑定，实现自动报告上传，上传过程无需手工干预。</w:t>
      </w:r>
    </w:p>
    <w:p>
      <w:pPr>
        <w:ind w:firstLine="240" w:firstLineChars="100"/>
        <w:rPr>
          <w:rFonts w:ascii="仿宋" w:hAnsi="仿宋" w:cs="仿宋"/>
        </w:rPr>
      </w:pPr>
      <w:r>
        <w:rPr>
          <w:rFonts w:hint="eastAsia" w:ascii="仿宋" w:hAnsi="仿宋" w:cs="仿宋"/>
        </w:rPr>
        <w:t>2.1.9数据解析提取</w:t>
      </w:r>
    </w:p>
    <w:p>
      <w:pPr>
        <w:ind w:left="240" w:leftChars="100"/>
        <w:rPr>
          <w:rFonts w:ascii="仿宋" w:hAnsi="仿宋" w:cs="仿宋"/>
        </w:rPr>
      </w:pPr>
      <w:r>
        <w:rPr>
          <w:rFonts w:hint="eastAsia" w:ascii="仿宋" w:hAnsi="仿宋" w:cs="仿宋"/>
        </w:rPr>
        <w:t>报告打印后，对报告内的病人基本信息、肺功能数据、肺功能结论等信息进行结构化提取，存入肺功能数据库。</w:t>
      </w:r>
    </w:p>
    <w:p>
      <w:pPr>
        <w:ind w:firstLine="240" w:firstLineChars="100"/>
        <w:rPr>
          <w:rFonts w:ascii="仿宋" w:hAnsi="仿宋" w:cs="仿宋"/>
        </w:rPr>
      </w:pPr>
      <w:r>
        <w:rPr>
          <w:rFonts w:hint="eastAsia" w:ascii="仿宋" w:hAnsi="仿宋" w:cs="仿宋"/>
        </w:rPr>
        <w:t>2.1.9.1肺功能参数标准化：</w:t>
      </w:r>
    </w:p>
    <w:p>
      <w:pPr>
        <w:ind w:firstLine="240" w:firstLineChars="100"/>
        <w:rPr>
          <w:rFonts w:ascii="仿宋" w:hAnsi="仿宋" w:cs="仿宋"/>
        </w:rPr>
      </w:pPr>
      <w:r>
        <w:rPr>
          <w:rFonts w:hint="eastAsia" w:ascii="仿宋" w:hAnsi="仿宋" w:cs="仿宋"/>
        </w:rPr>
        <w:t>根据肺功能指南要求，对数据库中肺功能参数字段定义标准化。</w:t>
      </w:r>
    </w:p>
    <w:p>
      <w:pPr>
        <w:ind w:firstLine="240" w:firstLineChars="100"/>
        <w:rPr>
          <w:rFonts w:ascii="仿宋" w:hAnsi="仿宋" w:cs="仿宋"/>
        </w:rPr>
      </w:pPr>
      <w:r>
        <w:rPr>
          <w:rFonts w:hint="eastAsia" w:ascii="仿宋" w:hAnsi="仿宋" w:cs="仿宋"/>
        </w:rPr>
        <w:t>2.1.9.2肺功能结论标准化：</w:t>
      </w:r>
    </w:p>
    <w:p>
      <w:pPr>
        <w:ind w:left="240" w:leftChars="100"/>
        <w:rPr>
          <w:rFonts w:ascii="仿宋" w:hAnsi="仿宋" w:cs="仿宋"/>
        </w:rPr>
      </w:pPr>
      <w:r>
        <w:rPr>
          <w:rFonts w:hint="eastAsia" w:ascii="仿宋" w:hAnsi="仿宋" w:cs="仿宋"/>
        </w:rPr>
        <w:t>对肺功能所出报告结论定义标准结构，明确结论中所涉及的内容，对解决用于规范化，结构化。规范化结论，对于后期做数据结构化有着极其重要的作用。</w:t>
      </w:r>
    </w:p>
    <w:p>
      <w:pPr>
        <w:ind w:firstLine="240" w:firstLineChars="100"/>
        <w:rPr>
          <w:rFonts w:ascii="仿宋" w:hAnsi="仿宋" w:cs="仿宋"/>
        </w:rPr>
      </w:pPr>
      <w:r>
        <w:rPr>
          <w:rFonts w:hint="eastAsia" w:ascii="仿宋" w:hAnsi="仿宋" w:cs="仿宋"/>
        </w:rPr>
        <w:t>2.1.9.3数据监控与过滤：</w:t>
      </w:r>
    </w:p>
    <w:p>
      <w:pPr>
        <w:ind w:left="240" w:leftChars="100"/>
        <w:rPr>
          <w:rFonts w:ascii="仿宋" w:hAnsi="仿宋" w:cs="仿宋"/>
        </w:rPr>
      </w:pPr>
      <w:r>
        <w:rPr>
          <w:rFonts w:hint="eastAsia" w:ascii="仿宋" w:hAnsi="仿宋" w:cs="仿宋"/>
        </w:rPr>
        <w:t>支持对上传的数据进行数据监控功能，具有数据的校验、来源追溯等功能，确保数据的完整性和一致性，如可对数据数量和内容进行分析，检验数据记录是否正常；对数据提供审核机制，防止脏数据和重复数据的产生；具备对噪声数据和重复数据进行有效过滤的算法。</w:t>
      </w:r>
    </w:p>
    <w:p>
      <w:pPr>
        <w:ind w:firstLine="240" w:firstLineChars="100"/>
        <w:rPr>
          <w:rFonts w:ascii="仿宋" w:hAnsi="仿宋" w:cs="仿宋"/>
        </w:rPr>
      </w:pPr>
      <w:r>
        <w:rPr>
          <w:rFonts w:hint="eastAsia" w:ascii="仿宋" w:hAnsi="仿宋" w:cs="仿宋"/>
        </w:rPr>
        <w:t>2.1.10权限分级审核</w:t>
      </w:r>
    </w:p>
    <w:p>
      <w:pPr>
        <w:ind w:left="240" w:leftChars="100"/>
        <w:rPr>
          <w:rFonts w:ascii="仿宋" w:hAnsi="仿宋" w:cs="仿宋"/>
        </w:rPr>
      </w:pPr>
      <w:r>
        <w:rPr>
          <w:rFonts w:hint="eastAsia" w:ascii="仿宋" w:hAnsi="仿宋" w:cs="仿宋"/>
        </w:rPr>
        <w:t>2.1.10.1操作大夫有自己对应权限的登陆ID，分级审核，未经审核的报告不允许传入HIS，最大限度保证报告的准确性。</w:t>
      </w:r>
    </w:p>
    <w:p>
      <w:pPr>
        <w:ind w:firstLine="240" w:firstLineChars="100"/>
        <w:rPr>
          <w:rFonts w:ascii="仿宋" w:hAnsi="仿宋" w:cs="仿宋"/>
        </w:rPr>
      </w:pPr>
      <w:r>
        <w:rPr>
          <w:rFonts w:hint="eastAsia" w:ascii="仿宋" w:hAnsi="仿宋" w:cs="仿宋"/>
        </w:rPr>
        <w:t>2.1.10.2报告点评，对不合格的报告进行审核点评。</w:t>
      </w:r>
    </w:p>
    <w:p>
      <w:pPr>
        <w:ind w:left="240" w:leftChars="100"/>
        <w:rPr>
          <w:rFonts w:ascii="仿宋" w:hAnsi="仿宋" w:cs="仿宋"/>
        </w:rPr>
      </w:pPr>
      <w:r>
        <w:rPr>
          <w:rFonts w:hint="eastAsia" w:ascii="仿宋" w:hAnsi="仿宋" w:cs="仿宋"/>
        </w:rPr>
        <w:t>2.1.10.3院内如有公众号平台，可对接院内公众号平台，报告审核发布后，通过院内公众号平台，以短信形式，告知患者报告已经审核完成，患者在肺功能自助报告打印机上打印即可，提高患者的检查体验度，避免患者等待。</w:t>
      </w:r>
    </w:p>
    <w:p>
      <w:pPr>
        <w:ind w:firstLine="240" w:firstLineChars="100"/>
        <w:rPr>
          <w:rFonts w:ascii="仿宋" w:hAnsi="仿宋" w:cs="仿宋"/>
        </w:rPr>
      </w:pPr>
      <w:r>
        <w:rPr>
          <w:rFonts w:hint="eastAsia" w:ascii="仿宋" w:hAnsi="仿宋" w:cs="仿宋"/>
        </w:rPr>
        <w:t>2.1.11数据查询统计</w:t>
      </w:r>
    </w:p>
    <w:p>
      <w:pPr>
        <w:ind w:left="240" w:leftChars="100"/>
        <w:rPr>
          <w:rFonts w:ascii="仿宋" w:hAnsi="仿宋" w:cs="仿宋"/>
        </w:rPr>
      </w:pPr>
      <w:r>
        <w:rPr>
          <w:rFonts w:hint="eastAsia" w:ascii="仿宋" w:hAnsi="仿宋" w:cs="仿宋"/>
        </w:rPr>
        <w:t>对数据库的数据，可通过不同条件查询，精确筛选，具有数据导出权限后，可导出EXCEL。</w:t>
      </w:r>
    </w:p>
    <w:p>
      <w:pPr>
        <w:ind w:firstLine="240" w:firstLineChars="100"/>
        <w:rPr>
          <w:rFonts w:ascii="仿宋" w:hAnsi="仿宋" w:cs="仿宋"/>
        </w:rPr>
      </w:pPr>
      <w:r>
        <w:rPr>
          <w:rFonts w:hint="eastAsia" w:ascii="仿宋" w:hAnsi="仿宋" w:cs="仿宋"/>
        </w:rPr>
        <w:t>2.1.12趋势分析</w:t>
      </w:r>
    </w:p>
    <w:p>
      <w:pPr>
        <w:ind w:firstLine="240" w:firstLineChars="100"/>
        <w:rPr>
          <w:rFonts w:ascii="仿宋" w:hAnsi="仿宋" w:cs="仿宋"/>
        </w:rPr>
      </w:pPr>
      <w:r>
        <w:rPr>
          <w:rFonts w:hint="eastAsia" w:ascii="仿宋" w:hAnsi="仿宋" w:cs="仿宋"/>
        </w:rPr>
        <w:t>针对单病人既往数据，可进行趋势分析，直观看到病人趋势变化。</w:t>
      </w:r>
    </w:p>
    <w:p>
      <w:pPr>
        <w:ind w:firstLine="240" w:firstLineChars="100"/>
        <w:rPr>
          <w:rFonts w:ascii="仿宋" w:hAnsi="仿宋" w:cs="仿宋"/>
        </w:rPr>
      </w:pPr>
      <w:r>
        <w:rPr>
          <w:rFonts w:hint="eastAsia" w:ascii="仿宋" w:hAnsi="仿宋" w:cs="仿宋"/>
        </w:rPr>
        <w:t>2.1.13报表统计</w:t>
      </w:r>
    </w:p>
    <w:p>
      <w:pPr>
        <w:ind w:firstLine="240" w:firstLineChars="100"/>
        <w:rPr>
          <w:rFonts w:ascii="仿宋" w:hAnsi="仿宋" w:cs="仿宋"/>
        </w:rPr>
      </w:pPr>
      <w:r>
        <w:rPr>
          <w:rFonts w:hint="eastAsia" w:ascii="仿宋" w:hAnsi="仿宋" w:cs="仿宋"/>
        </w:rPr>
        <w:t>可以统计每天、每周、每月的工作量，并导出报表。</w:t>
      </w:r>
    </w:p>
    <w:p>
      <w:pPr>
        <w:ind w:firstLine="240" w:firstLineChars="100"/>
        <w:rPr>
          <w:rFonts w:ascii="仿宋" w:hAnsi="仿宋" w:cs="仿宋"/>
        </w:rPr>
      </w:pPr>
      <w:r>
        <w:rPr>
          <w:rFonts w:hint="eastAsia" w:ascii="仿宋" w:hAnsi="仿宋" w:cs="仿宋"/>
        </w:rPr>
        <w:t>2.1.14电子签名</w:t>
      </w:r>
    </w:p>
    <w:p>
      <w:pPr>
        <w:ind w:left="240" w:leftChars="100"/>
        <w:rPr>
          <w:rFonts w:ascii="仿宋" w:hAnsi="仿宋" w:cs="仿宋"/>
        </w:rPr>
      </w:pPr>
      <w:r>
        <w:rPr>
          <w:rFonts w:hint="eastAsia" w:ascii="仿宋" w:hAnsi="仿宋" w:cs="仿宋"/>
        </w:rPr>
        <w:t>对接CA系统，对电子报告打印或报告通过审核系统审核后，自动将电子签名签入报告。</w:t>
      </w:r>
    </w:p>
    <w:p>
      <w:pPr>
        <w:ind w:firstLine="240" w:firstLineChars="100"/>
        <w:rPr>
          <w:rFonts w:ascii="仿宋" w:hAnsi="仿宋" w:cs="仿宋"/>
        </w:rPr>
      </w:pPr>
      <w:r>
        <w:rPr>
          <w:rFonts w:hint="eastAsia" w:ascii="仿宋" w:hAnsi="仿宋" w:cs="仿宋"/>
        </w:rPr>
        <w:t>2.1.15肺功能知识库</w:t>
      </w:r>
    </w:p>
    <w:p>
      <w:pPr>
        <w:ind w:firstLine="240" w:firstLineChars="100"/>
        <w:rPr>
          <w:rFonts w:ascii="仿宋" w:hAnsi="仿宋" w:cs="仿宋"/>
        </w:rPr>
      </w:pPr>
      <w:r>
        <w:rPr>
          <w:rFonts w:hint="eastAsia" w:ascii="仿宋" w:hAnsi="仿宋" w:cs="仿宋"/>
        </w:rPr>
        <w:t>2.1.15.1搭建肺功能知识库，方便进行医生进行学习交流。</w:t>
      </w:r>
    </w:p>
    <w:p>
      <w:pPr>
        <w:ind w:left="240" w:leftChars="100"/>
        <w:rPr>
          <w:rFonts w:ascii="仿宋" w:hAnsi="仿宋" w:cs="仿宋"/>
        </w:rPr>
      </w:pPr>
      <w:r>
        <w:rPr>
          <w:rFonts w:hint="eastAsia" w:ascii="仿宋" w:hAnsi="仿宋" w:cs="仿宋"/>
        </w:rPr>
        <w:t>2.1.15.2通过建立肺功能知识库，可对典型病历进行点评教学，使各级学员能够充分的认识一些典型病历的特征，从而提高自己对典型病历的判读能力，使之在临床上做到少误诊、少漏诊。</w:t>
      </w:r>
    </w:p>
    <w:p>
      <w:pPr>
        <w:ind w:left="240" w:leftChars="100"/>
        <w:rPr>
          <w:rFonts w:ascii="仿宋" w:hAnsi="仿宋" w:cs="仿宋"/>
        </w:rPr>
      </w:pPr>
      <w:r>
        <w:rPr>
          <w:rFonts w:hint="eastAsia" w:ascii="仿宋" w:hAnsi="仿宋" w:cs="仿宋"/>
        </w:rPr>
        <w:t>肺功能设备消毒及维护知识分享；肺功能设备操作及常见故障排查。</w:t>
      </w:r>
    </w:p>
    <w:p>
      <w:pPr>
        <w:ind w:firstLine="240" w:firstLineChars="100"/>
        <w:rPr>
          <w:rFonts w:ascii="仿宋" w:hAnsi="仿宋" w:cs="仿宋"/>
        </w:rPr>
      </w:pPr>
      <w:r>
        <w:rPr>
          <w:rFonts w:hint="eastAsia" w:ascii="仿宋" w:hAnsi="仿宋" w:cs="仿宋"/>
        </w:rPr>
        <w:t>2.1.16报告自助打印</w:t>
      </w:r>
    </w:p>
    <w:p>
      <w:pPr>
        <w:ind w:left="240" w:leftChars="100"/>
        <w:rPr>
          <w:rFonts w:ascii="仿宋" w:hAnsi="仿宋" w:cs="仿宋"/>
        </w:rPr>
      </w:pPr>
      <w:r>
        <w:rPr>
          <w:rFonts w:hint="eastAsia" w:ascii="仿宋" w:hAnsi="仿宋" w:cs="仿宋"/>
        </w:rPr>
        <w:t>对接肺功能报告自助打印机，肺功能报告审核完成后，患者根据短信提醒，自行打印肺功能报告。</w:t>
      </w:r>
    </w:p>
    <w:p>
      <w:pPr>
        <w:pStyle w:val="13"/>
        <w:rPr>
          <w:rFonts w:ascii="仿宋" w:hAnsi="仿宋" w:cs="仿宋"/>
          <w:szCs w:val="24"/>
        </w:rPr>
      </w:pPr>
      <w:r>
        <w:rPr>
          <w:rFonts w:hint="eastAsia" w:ascii="仿宋" w:hAnsi="仿宋" w:cs="仿宋"/>
        </w:rPr>
        <w:t>▲3、</w:t>
      </w:r>
      <w:r>
        <w:rPr>
          <w:rFonts w:hint="eastAsia" w:ascii="仿宋" w:hAnsi="仿宋" w:cs="仿宋"/>
          <w:szCs w:val="24"/>
        </w:rPr>
        <w:t>对接“国家级肺功能质量控制及应用平台”需提供证明文件复印件以证明有能力提供此项服务。</w:t>
      </w:r>
    </w:p>
    <w:p>
      <w:pPr>
        <w:pStyle w:val="5"/>
      </w:pPr>
      <w:r>
        <w:rPr>
          <w:rFonts w:hint="eastAsia"/>
        </w:rPr>
        <w:t>包5：专科专病数据平台</w:t>
      </w:r>
    </w:p>
    <w:p>
      <w:pPr>
        <w:pStyle w:val="4"/>
        <w:rPr>
          <w:rFonts w:ascii="仿宋" w:hAnsi="仿宋" w:cs="黑体"/>
          <w:sz w:val="24"/>
          <w:szCs w:val="24"/>
        </w:rPr>
      </w:pPr>
      <w:r>
        <w:rPr>
          <w:rFonts w:hint="eastAsia" w:ascii="仿宋" w:hAnsi="仿宋" w:cs="黑体"/>
          <w:sz w:val="24"/>
          <w:szCs w:val="24"/>
        </w:rPr>
        <w:t>一、项目概述：</w:t>
      </w:r>
    </w:p>
    <w:p>
      <w:pPr>
        <w:spacing w:line="500" w:lineRule="exact"/>
        <w:ind w:firstLine="480" w:firstLineChars="200"/>
        <w:rPr>
          <w:rFonts w:ascii="仿宋" w:hAnsi="仿宋"/>
          <w:bCs/>
        </w:rPr>
      </w:pPr>
      <w:r>
        <w:rPr>
          <w:rFonts w:hint="eastAsia" w:ascii="仿宋" w:hAnsi="仿宋"/>
          <w:bCs/>
        </w:rPr>
        <w:t>根据《成都市高水平临床重点专科建设实施方案》文件精神，我院拟开展普通外科、呼吸病、心血管病等学科建设工作。目前，根据我院临床业务发展需求，拟开展专科专病数据平台建设工作，支持</w:t>
      </w:r>
      <w:bookmarkStart w:id="351" w:name="_Hlk85189806"/>
      <w:r>
        <w:rPr>
          <w:rFonts w:hint="eastAsia" w:ascii="仿宋" w:hAnsi="仿宋"/>
          <w:bCs/>
        </w:rPr>
        <w:t>间质性肺疾病、结直肠癌、急性心肌梗死</w:t>
      </w:r>
      <w:bookmarkEnd w:id="351"/>
      <w:r>
        <w:rPr>
          <w:rFonts w:hint="eastAsia" w:ascii="仿宋" w:hAnsi="仿宋"/>
          <w:bCs/>
        </w:rPr>
        <w:t>等病种的临床诊疗服务和科研服务，并以临床科研推动成果转化，支撑医院高水平临床重点学科建设。</w:t>
      </w:r>
    </w:p>
    <w:p>
      <w:pPr>
        <w:pStyle w:val="4"/>
        <w:rPr>
          <w:rFonts w:ascii="仿宋" w:hAnsi="仿宋" w:cs="黑体"/>
          <w:sz w:val="24"/>
          <w:szCs w:val="24"/>
        </w:rPr>
      </w:pPr>
      <w:r>
        <w:rPr>
          <w:rFonts w:hint="eastAsia" w:ascii="仿宋" w:hAnsi="仿宋" w:cs="黑体"/>
          <w:sz w:val="24"/>
          <w:szCs w:val="24"/>
        </w:rPr>
        <w:t>二、商务要求：</w:t>
      </w:r>
    </w:p>
    <w:p>
      <w:pPr>
        <w:spacing w:line="500" w:lineRule="exact"/>
        <w:rPr>
          <w:rFonts w:ascii="仿宋" w:hAnsi="仿宋"/>
          <w:b/>
          <w:bCs/>
        </w:rPr>
      </w:pPr>
      <w:r>
        <w:rPr>
          <w:rFonts w:hint="eastAsia" w:ascii="仿宋" w:hAnsi="仿宋" w:cs="黑体"/>
          <w:b/>
          <w:bCs/>
        </w:rPr>
        <w:t>★</w:t>
      </w:r>
      <w:r>
        <w:rPr>
          <w:rFonts w:hint="eastAsia" w:ascii="仿宋" w:hAnsi="仿宋"/>
          <w:b/>
          <w:bCs/>
        </w:rPr>
        <w:t>1、交货期及地点</w:t>
      </w:r>
    </w:p>
    <w:p>
      <w:pPr>
        <w:pStyle w:val="6"/>
        <w:spacing w:line="500" w:lineRule="exact"/>
        <w:ind w:firstLine="480"/>
        <w:rPr>
          <w:rFonts w:ascii="仿宋" w:hAnsi="仿宋"/>
          <w:bCs/>
        </w:rPr>
      </w:pPr>
      <w:r>
        <w:rPr>
          <w:rFonts w:hint="eastAsia" w:ascii="仿宋" w:hAnsi="仿宋"/>
          <w:bCs/>
        </w:rPr>
        <w:t>1.1交货期：本项目建设周期为签订合同之日起</w:t>
      </w:r>
      <w:r>
        <w:rPr>
          <w:rFonts w:ascii="仿宋" w:hAnsi="仿宋"/>
          <w:bCs/>
        </w:rPr>
        <w:t>6</w:t>
      </w:r>
      <w:r>
        <w:rPr>
          <w:rFonts w:hint="eastAsia" w:ascii="仿宋" w:hAnsi="仿宋"/>
          <w:bCs/>
        </w:rPr>
        <w:t>个月内。</w:t>
      </w:r>
    </w:p>
    <w:p>
      <w:pPr>
        <w:pStyle w:val="6"/>
        <w:spacing w:line="500" w:lineRule="exact"/>
        <w:ind w:firstLine="480"/>
        <w:rPr>
          <w:rFonts w:ascii="仿宋" w:hAnsi="仿宋"/>
          <w:bCs/>
        </w:rPr>
      </w:pPr>
      <w:r>
        <w:rPr>
          <w:rFonts w:hint="eastAsia" w:ascii="仿宋" w:hAnsi="仿宋"/>
          <w:bCs/>
        </w:rPr>
        <w:t>1.2 交货地点：成都市第三人民医院。</w:t>
      </w:r>
    </w:p>
    <w:p>
      <w:pPr>
        <w:spacing w:line="500" w:lineRule="exact"/>
        <w:rPr>
          <w:rFonts w:ascii="仿宋" w:hAnsi="仿宋"/>
          <w:b/>
          <w:bCs/>
        </w:rPr>
      </w:pPr>
      <w:r>
        <w:rPr>
          <w:rFonts w:hint="eastAsia" w:ascii="仿宋" w:hAnsi="仿宋" w:cs="黑体"/>
          <w:b/>
          <w:bCs/>
        </w:rPr>
        <w:t>★</w:t>
      </w:r>
      <w:r>
        <w:rPr>
          <w:rFonts w:hint="eastAsia" w:ascii="仿宋" w:hAnsi="仿宋"/>
          <w:b/>
          <w:bCs/>
        </w:rPr>
        <w:t>2、付款方法和条件</w:t>
      </w:r>
    </w:p>
    <w:p>
      <w:pPr>
        <w:pStyle w:val="6"/>
        <w:spacing w:line="500" w:lineRule="exact"/>
        <w:ind w:firstLine="480"/>
        <w:rPr>
          <w:rFonts w:hint="eastAsia" w:ascii="仿宋" w:hAnsi="仿宋"/>
          <w:bCs/>
        </w:rPr>
      </w:pPr>
      <w:r>
        <w:rPr>
          <w:rFonts w:hint="eastAsia" w:ascii="仿宋" w:hAnsi="仿宋"/>
          <w:bCs/>
        </w:rPr>
        <w:t>合同签订后，5个工作日内向中标人支付合同总金额的40%预付款；项目整体验收完成后，收到发票后15日内支付合同总金额的55%；剩余合同总金额的5%从验收合格之日起一年满后收到发票后15日内支付（不计利息）。</w:t>
      </w:r>
    </w:p>
    <w:p>
      <w:pPr>
        <w:pStyle w:val="6"/>
        <w:spacing w:line="500" w:lineRule="exact"/>
        <w:ind w:firstLine="480"/>
        <w:rPr>
          <w:rFonts w:ascii="仿宋" w:hAnsi="仿宋"/>
          <w:bCs/>
        </w:rPr>
      </w:pPr>
      <w:r>
        <w:rPr>
          <w:rFonts w:hint="eastAsia" w:ascii="仿宋" w:hAnsi="仿宋"/>
          <w:bCs/>
        </w:rPr>
        <w:t>采购人支付每笔费用前，中标人应提前及时提供符合国家有关规定的等额增值税普通发票；</w:t>
      </w:r>
    </w:p>
    <w:p>
      <w:pPr>
        <w:pStyle w:val="6"/>
        <w:spacing w:line="500" w:lineRule="exact"/>
        <w:ind w:firstLine="480"/>
        <w:rPr>
          <w:rFonts w:ascii="仿宋" w:hAnsi="仿宋"/>
          <w:bCs/>
        </w:rPr>
      </w:pPr>
      <w:r>
        <w:rPr>
          <w:rFonts w:hint="eastAsia" w:ascii="仿宋" w:hAnsi="仿宋"/>
          <w:bCs/>
        </w:rPr>
        <w:t>采购人有权从任何一笔应向中标人支付的款项中扣除中标人按照本合同约定需向采购人支付的违约金或赔偿金。</w:t>
      </w:r>
    </w:p>
    <w:p>
      <w:pPr>
        <w:spacing w:line="500" w:lineRule="exact"/>
        <w:rPr>
          <w:rFonts w:ascii="仿宋" w:hAnsi="仿宋"/>
          <w:b/>
          <w:bCs/>
        </w:rPr>
      </w:pPr>
      <w:r>
        <w:rPr>
          <w:rFonts w:hint="eastAsia" w:ascii="仿宋" w:hAnsi="仿宋" w:cs="黑体"/>
          <w:b/>
          <w:bCs/>
        </w:rPr>
        <w:t>★</w:t>
      </w:r>
      <w:r>
        <w:rPr>
          <w:rFonts w:hint="eastAsia" w:ascii="仿宋" w:hAnsi="仿宋"/>
          <w:b/>
          <w:bCs/>
        </w:rPr>
        <w:t>3、售后服务要求</w:t>
      </w:r>
    </w:p>
    <w:p>
      <w:pPr>
        <w:pStyle w:val="6"/>
        <w:spacing w:line="500" w:lineRule="exact"/>
        <w:ind w:firstLine="480"/>
        <w:rPr>
          <w:rFonts w:ascii="仿宋" w:hAnsi="仿宋"/>
          <w:bCs/>
        </w:rPr>
      </w:pPr>
      <w:r>
        <w:rPr>
          <w:rFonts w:hint="eastAsia" w:ascii="仿宋" w:hAnsi="仿宋"/>
          <w:bCs/>
        </w:rPr>
        <w:t>3.1运维期：质保期1年，运维期内供应商需提供售后服务（运维费用包含在本次投标报价中）。质保期自验收合格之日起计算。</w:t>
      </w:r>
    </w:p>
    <w:p>
      <w:pPr>
        <w:pStyle w:val="6"/>
        <w:spacing w:line="500" w:lineRule="exact"/>
        <w:ind w:firstLine="480"/>
        <w:rPr>
          <w:rFonts w:ascii="仿宋" w:hAnsi="仿宋"/>
          <w:bCs/>
        </w:rPr>
      </w:pPr>
      <w:r>
        <w:rPr>
          <w:rFonts w:hint="eastAsia" w:ascii="仿宋" w:hAnsi="仿宋"/>
          <w:bCs/>
        </w:rPr>
        <w:t>3</w:t>
      </w:r>
      <w:r>
        <w:rPr>
          <w:rFonts w:ascii="仿宋" w:hAnsi="仿宋"/>
          <w:bCs/>
        </w:rPr>
        <w:t>.2</w:t>
      </w:r>
      <w:r>
        <w:rPr>
          <w:rFonts w:hint="eastAsia" w:ascii="仿宋" w:hAnsi="仿宋"/>
          <w:bCs/>
        </w:rPr>
        <w:t>中标人需提供7×24小时响应服务，一般故障</w:t>
      </w:r>
      <w:r>
        <w:rPr>
          <w:rFonts w:ascii="仿宋" w:hAnsi="仿宋"/>
          <w:bCs/>
        </w:rPr>
        <w:t>6</w:t>
      </w:r>
      <w:r>
        <w:rPr>
          <w:rFonts w:hint="eastAsia" w:ascii="仿宋" w:hAnsi="仿宋"/>
          <w:bCs/>
        </w:rPr>
        <w:t>小时内解决，重大故障</w:t>
      </w:r>
      <w:r>
        <w:rPr>
          <w:rFonts w:ascii="仿宋" w:hAnsi="仿宋"/>
          <w:bCs/>
        </w:rPr>
        <w:t>10</w:t>
      </w:r>
      <w:r>
        <w:rPr>
          <w:rFonts w:hint="eastAsia" w:ascii="仿宋" w:hAnsi="仿宋"/>
          <w:bCs/>
        </w:rPr>
        <w:t>小时内解决。</w:t>
      </w:r>
    </w:p>
    <w:p>
      <w:pPr>
        <w:pStyle w:val="6"/>
        <w:spacing w:line="500" w:lineRule="exact"/>
        <w:ind w:firstLine="480"/>
        <w:rPr>
          <w:rFonts w:ascii="仿宋" w:hAnsi="仿宋"/>
          <w:bCs/>
        </w:rPr>
      </w:pPr>
      <w:r>
        <w:rPr>
          <w:rFonts w:hint="eastAsia" w:ascii="仿宋" w:hAnsi="仿宋"/>
          <w:bCs/>
        </w:rPr>
        <w:t>3</w:t>
      </w:r>
      <w:r>
        <w:rPr>
          <w:rFonts w:ascii="仿宋" w:hAnsi="仿宋"/>
          <w:bCs/>
        </w:rPr>
        <w:t>.</w:t>
      </w:r>
      <w:r>
        <w:rPr>
          <w:rFonts w:hint="eastAsia" w:ascii="仿宋" w:hAnsi="仿宋"/>
          <w:bCs/>
        </w:rPr>
        <w:t>3运维期内，中标人应对软件系统不少于每年四次的巡检和预防性维修，并且出具相应的巡检和维修报告。</w:t>
      </w:r>
    </w:p>
    <w:p>
      <w:pPr>
        <w:spacing w:line="500" w:lineRule="exact"/>
        <w:rPr>
          <w:rFonts w:ascii="仿宋" w:hAnsi="仿宋"/>
          <w:b/>
          <w:bCs/>
        </w:rPr>
      </w:pPr>
      <w:r>
        <w:rPr>
          <w:rFonts w:hint="eastAsia" w:ascii="仿宋" w:hAnsi="仿宋" w:cs="黑体"/>
          <w:b/>
          <w:bCs/>
        </w:rPr>
        <w:t>★</w:t>
      </w:r>
      <w:r>
        <w:rPr>
          <w:rFonts w:hint="eastAsia" w:ascii="仿宋" w:hAnsi="仿宋"/>
          <w:b/>
          <w:bCs/>
        </w:rPr>
        <w:t>4、培训要求</w:t>
      </w:r>
    </w:p>
    <w:p>
      <w:pPr>
        <w:pStyle w:val="6"/>
        <w:spacing w:line="500" w:lineRule="exact"/>
        <w:ind w:firstLine="480"/>
        <w:rPr>
          <w:rFonts w:ascii="仿宋" w:hAnsi="仿宋"/>
          <w:bCs/>
        </w:rPr>
      </w:pPr>
      <w:r>
        <w:rPr>
          <w:rFonts w:hint="eastAsia" w:ascii="仿宋" w:hAnsi="仿宋"/>
          <w:bCs/>
        </w:rPr>
        <w:t>4.1中标人在投标文件中根据项目实际情况制定《培训计划》，包括培训内容、培训对象、培训方式等。</w:t>
      </w:r>
    </w:p>
    <w:p>
      <w:pPr>
        <w:pStyle w:val="6"/>
        <w:spacing w:line="500" w:lineRule="exact"/>
        <w:ind w:firstLine="480"/>
        <w:rPr>
          <w:rFonts w:ascii="仿宋" w:hAnsi="仿宋"/>
          <w:bCs/>
        </w:rPr>
      </w:pPr>
      <w:r>
        <w:rPr>
          <w:rFonts w:hint="eastAsia" w:ascii="仿宋" w:hAnsi="仿宋"/>
          <w:bCs/>
        </w:rPr>
        <w:t>4</w:t>
      </w:r>
      <w:r>
        <w:rPr>
          <w:rFonts w:ascii="仿宋" w:hAnsi="仿宋"/>
          <w:bCs/>
        </w:rPr>
        <w:t>.2</w:t>
      </w:r>
      <w:r>
        <w:rPr>
          <w:rFonts w:hint="eastAsia" w:ascii="仿宋" w:hAnsi="仿宋"/>
          <w:bCs/>
        </w:rPr>
        <w:t>提供培训次数不少于</w:t>
      </w:r>
      <w:r>
        <w:rPr>
          <w:rFonts w:ascii="仿宋" w:hAnsi="仿宋"/>
          <w:bCs/>
        </w:rPr>
        <w:t>2</w:t>
      </w:r>
      <w:r>
        <w:rPr>
          <w:rFonts w:hint="eastAsia" w:ascii="仿宋" w:hAnsi="仿宋"/>
          <w:bCs/>
        </w:rPr>
        <w:t>次。</w:t>
      </w:r>
    </w:p>
    <w:p>
      <w:pPr>
        <w:pStyle w:val="6"/>
        <w:spacing w:line="500" w:lineRule="exact"/>
        <w:ind w:firstLine="480"/>
        <w:rPr>
          <w:rFonts w:ascii="仿宋" w:hAnsi="仿宋"/>
          <w:bCs/>
        </w:rPr>
      </w:pPr>
      <w:r>
        <w:rPr>
          <w:rFonts w:hint="eastAsia" w:ascii="仿宋" w:hAnsi="仿宋"/>
          <w:bCs/>
        </w:rPr>
        <w:t>4.2培训所产生的一切费用均应包含在投标总价中。</w:t>
      </w:r>
    </w:p>
    <w:p>
      <w:pPr>
        <w:spacing w:line="500" w:lineRule="exact"/>
        <w:rPr>
          <w:rFonts w:ascii="仿宋" w:hAnsi="仿宋"/>
          <w:b/>
          <w:bCs/>
        </w:rPr>
      </w:pPr>
      <w:r>
        <w:rPr>
          <w:rFonts w:hint="eastAsia" w:ascii="仿宋" w:hAnsi="仿宋" w:cs="黑体"/>
          <w:b/>
          <w:bCs/>
        </w:rPr>
        <w:t>★</w:t>
      </w:r>
      <w:r>
        <w:rPr>
          <w:rFonts w:hint="eastAsia" w:ascii="仿宋" w:hAnsi="仿宋"/>
          <w:b/>
          <w:bCs/>
        </w:rPr>
        <w:t>5、验收要求：</w:t>
      </w:r>
    </w:p>
    <w:p>
      <w:pPr>
        <w:pStyle w:val="6"/>
        <w:spacing w:line="500" w:lineRule="exact"/>
        <w:ind w:firstLine="480"/>
        <w:rPr>
          <w:rFonts w:ascii="仿宋" w:hAnsi="仿宋"/>
          <w:bCs/>
        </w:rPr>
      </w:pPr>
      <w:r>
        <w:rPr>
          <w:rFonts w:hint="eastAsia" w:ascii="仿宋" w:hAnsi="仿宋"/>
          <w:bCs/>
        </w:rPr>
        <w:t>5.</w:t>
      </w:r>
      <w:r>
        <w:rPr>
          <w:rFonts w:ascii="仿宋" w:hAnsi="仿宋"/>
          <w:bCs/>
        </w:rPr>
        <w:t>1</w:t>
      </w:r>
      <w:r>
        <w:rPr>
          <w:rFonts w:hint="eastAsia" w:ascii="仿宋" w:hAnsi="仿宋"/>
          <w:bCs/>
        </w:rPr>
        <w:t>中标人在经过安装调试并提供给采购人使用，功能完全符合招标文件要求且试运行正常后方可验收。</w:t>
      </w:r>
    </w:p>
    <w:p>
      <w:pPr>
        <w:pStyle w:val="6"/>
        <w:spacing w:line="500" w:lineRule="exact"/>
        <w:ind w:firstLine="480"/>
        <w:rPr>
          <w:rFonts w:ascii="仿宋" w:hAnsi="仿宋"/>
          <w:bCs/>
        </w:rPr>
      </w:pPr>
      <w:r>
        <w:rPr>
          <w:rFonts w:hint="eastAsia" w:ascii="仿宋" w:hAnsi="仿宋"/>
          <w:bCs/>
        </w:rPr>
        <w:t>5.2中标人应负责在项目验收时将技术文件、资料、验收报告等文档汇集成册交付采购人，并负责搭建验收环境。</w:t>
      </w:r>
    </w:p>
    <w:p>
      <w:pPr>
        <w:pStyle w:val="6"/>
        <w:spacing w:line="500" w:lineRule="exact"/>
        <w:ind w:firstLine="0"/>
        <w:rPr>
          <w:rFonts w:ascii="仿宋" w:hAnsi="仿宋"/>
          <w:b/>
          <w:bCs/>
        </w:rPr>
      </w:pPr>
      <w:r>
        <w:rPr>
          <w:rFonts w:hint="eastAsia" w:ascii="仿宋" w:hAnsi="仿宋" w:cs="黑体"/>
          <w:b/>
          <w:bCs/>
          <w:szCs w:val="24"/>
        </w:rPr>
        <w:t>★</w:t>
      </w:r>
      <w:r>
        <w:rPr>
          <w:rFonts w:ascii="仿宋" w:hAnsi="仿宋"/>
          <w:b/>
          <w:bCs/>
        </w:rPr>
        <w:t>6.</w:t>
      </w:r>
      <w:r>
        <w:rPr>
          <w:rFonts w:hint="eastAsia" w:ascii="仿宋" w:hAnsi="仿宋"/>
          <w:b/>
          <w:bCs/>
        </w:rPr>
        <w:t>兼容性要求</w:t>
      </w:r>
    </w:p>
    <w:p>
      <w:pPr>
        <w:pStyle w:val="6"/>
        <w:spacing w:line="500" w:lineRule="exact"/>
        <w:ind w:firstLine="480"/>
        <w:rPr>
          <w:rFonts w:ascii="仿宋" w:hAnsi="仿宋"/>
          <w:bCs/>
        </w:rPr>
      </w:pPr>
      <w:r>
        <w:rPr>
          <w:rFonts w:ascii="仿宋" w:hAnsi="仿宋"/>
          <w:bCs/>
        </w:rPr>
        <w:t>6.1</w:t>
      </w:r>
      <w:r>
        <w:rPr>
          <w:rFonts w:hint="eastAsia" w:ascii="仿宋" w:hAnsi="仿宋"/>
          <w:bCs/>
        </w:rPr>
        <w:t>PC客户端要求能够支持windows7、windows10等32位/64位操作系统，支持chrome、firefox、Edge等主流浏览器，且持续支持主流的web标准；</w:t>
      </w:r>
    </w:p>
    <w:p>
      <w:pPr>
        <w:pStyle w:val="6"/>
        <w:spacing w:line="500" w:lineRule="exact"/>
        <w:ind w:firstLine="480"/>
        <w:rPr>
          <w:rFonts w:ascii="仿宋" w:hAnsi="仿宋"/>
          <w:bCs/>
        </w:rPr>
      </w:pPr>
      <w:r>
        <w:rPr>
          <w:rFonts w:ascii="仿宋" w:hAnsi="仿宋"/>
          <w:bCs/>
        </w:rPr>
        <w:t>6.2</w:t>
      </w:r>
      <w:r>
        <w:rPr>
          <w:rFonts w:hint="eastAsia" w:ascii="仿宋" w:hAnsi="仿宋"/>
          <w:bCs/>
        </w:rPr>
        <w:t>对医院开放数据(数据库、文件等)读取使用权限；</w:t>
      </w:r>
    </w:p>
    <w:p>
      <w:pPr>
        <w:pStyle w:val="6"/>
        <w:spacing w:line="500" w:lineRule="exact"/>
        <w:ind w:firstLine="480"/>
        <w:rPr>
          <w:rFonts w:ascii="仿宋" w:hAnsi="仿宋"/>
          <w:bCs/>
        </w:rPr>
      </w:pPr>
      <w:r>
        <w:rPr>
          <w:rFonts w:ascii="仿宋" w:hAnsi="仿宋"/>
          <w:bCs/>
        </w:rPr>
        <w:t>6.3</w:t>
      </w:r>
      <w:r>
        <w:rPr>
          <w:rFonts w:hint="eastAsia" w:ascii="仿宋" w:hAnsi="仿宋"/>
          <w:bCs/>
        </w:rPr>
        <w:t>系统能够根据医院的技术路线调整其架构，系统涉及外网的接口必须满足医院信息安全架构及规范要求；内网接口必须符合医院内网系统架构设计，按照医院约定方式(集成平台、数据中心等)进行消息或者数据交互。</w:t>
      </w:r>
    </w:p>
    <w:p>
      <w:pPr>
        <w:pStyle w:val="6"/>
        <w:spacing w:line="500" w:lineRule="exact"/>
        <w:ind w:firstLine="0"/>
        <w:rPr>
          <w:rFonts w:ascii="仿宋" w:hAnsi="仿宋"/>
          <w:b/>
          <w:bCs/>
        </w:rPr>
      </w:pPr>
      <w:r>
        <w:rPr>
          <w:rFonts w:hint="eastAsia" w:ascii="仿宋" w:hAnsi="仿宋" w:cs="黑体"/>
          <w:b/>
          <w:bCs/>
          <w:szCs w:val="24"/>
        </w:rPr>
        <w:t>★</w:t>
      </w:r>
      <w:r>
        <w:rPr>
          <w:rFonts w:hint="eastAsia" w:ascii="仿宋" w:hAnsi="仿宋"/>
          <w:b/>
          <w:bCs/>
        </w:rPr>
        <w:t>7</w:t>
      </w:r>
      <w:r>
        <w:rPr>
          <w:rFonts w:ascii="仿宋" w:hAnsi="仿宋"/>
          <w:b/>
          <w:bCs/>
        </w:rPr>
        <w:t>.</w:t>
      </w:r>
      <w:r>
        <w:rPr>
          <w:rFonts w:hint="eastAsia" w:ascii="仿宋" w:hAnsi="仿宋"/>
          <w:b/>
          <w:bCs/>
        </w:rPr>
        <w:t>其他要求</w:t>
      </w:r>
    </w:p>
    <w:p>
      <w:pPr>
        <w:spacing w:line="500" w:lineRule="exact"/>
        <w:ind w:firstLine="482" w:firstLineChars="200"/>
        <w:rPr>
          <w:rFonts w:ascii="仿宋" w:hAnsi="仿宋"/>
          <w:b/>
          <w:bCs/>
        </w:rPr>
      </w:pPr>
      <w:r>
        <w:rPr>
          <w:rFonts w:hint="eastAsia" w:ascii="仿宋" w:hAnsi="仿宋"/>
          <w:b/>
          <w:bCs/>
        </w:rPr>
        <w:t>本项目涉及的与成都市健康医疗大数据平台对接费用由中标人承担。（投标文件中单独提供承诺函）。</w:t>
      </w:r>
    </w:p>
    <w:p>
      <w:pPr>
        <w:pStyle w:val="4"/>
        <w:rPr>
          <w:rFonts w:ascii="仿宋" w:hAnsi="仿宋" w:cs="黑体"/>
          <w:sz w:val="24"/>
          <w:szCs w:val="24"/>
        </w:rPr>
      </w:pPr>
      <w:r>
        <w:rPr>
          <w:rFonts w:hint="eastAsia" w:ascii="仿宋" w:hAnsi="仿宋" w:cs="黑体"/>
          <w:sz w:val="24"/>
          <w:szCs w:val="24"/>
        </w:rPr>
        <w:t>三、技术、服务要求：</w:t>
      </w:r>
    </w:p>
    <w:p>
      <w:pPr>
        <w:pStyle w:val="5"/>
        <w:rPr>
          <w:sz w:val="24"/>
          <w:szCs w:val="24"/>
        </w:rPr>
      </w:pPr>
      <w:r>
        <w:rPr>
          <w:rFonts w:hint="eastAsia"/>
          <w:sz w:val="24"/>
          <w:szCs w:val="24"/>
        </w:rPr>
        <w:t>（一）基础设施</w:t>
      </w:r>
    </w:p>
    <w:p>
      <w:pPr>
        <w:spacing w:line="500" w:lineRule="exact"/>
        <w:ind w:firstLine="440" w:firstLineChars="200"/>
        <w:rPr>
          <w:rFonts w:ascii="仿宋" w:hAnsi="仿宋"/>
          <w:b/>
          <w:bCs/>
        </w:rPr>
      </w:pPr>
      <w:r>
        <w:rPr>
          <w:rFonts w:hint="eastAsia" w:ascii="仿宋_GB2312" w:hAnsi="方正仿宋简体" w:eastAsia="仿宋_GB2312" w:cs="方正仿宋简体"/>
          <w:bCs/>
          <w:sz w:val="22"/>
        </w:rPr>
        <w:t>▲</w:t>
      </w:r>
      <w:r>
        <w:rPr>
          <w:rFonts w:ascii="仿宋" w:hAnsi="仿宋"/>
          <w:b/>
          <w:sz w:val="21"/>
          <w:szCs w:val="21"/>
        </w:rPr>
        <w:t>1.</w:t>
      </w:r>
      <w:r>
        <w:rPr>
          <w:rFonts w:hint="eastAsia" w:ascii="仿宋" w:hAnsi="仿宋"/>
          <w:b/>
          <w:szCs w:val="21"/>
        </w:rPr>
        <w:t>依托成都市健康医疗大数据平台部署本项目信息系统，用于数据对接集成程序、数据治理程序、专科专病应用等服务。本项目部署所需基础设施资源由中标人向成都市健康医疗大数据平台云资源供应商购买，费用包含在本次投标报价中。（投标文件中单独提供承诺函）</w:t>
      </w:r>
    </w:p>
    <w:p>
      <w:pPr>
        <w:pStyle w:val="5"/>
        <w:rPr>
          <w:sz w:val="24"/>
          <w:szCs w:val="24"/>
        </w:rPr>
      </w:pPr>
      <w:r>
        <w:rPr>
          <w:rFonts w:hint="eastAsia"/>
          <w:sz w:val="24"/>
          <w:szCs w:val="24"/>
        </w:rPr>
        <w:t>（二）基础数据治理</w:t>
      </w:r>
    </w:p>
    <w:p>
      <w:pPr>
        <w:spacing w:line="500" w:lineRule="exact"/>
        <w:ind w:firstLine="480" w:firstLineChars="200"/>
        <w:rPr>
          <w:rFonts w:ascii="仿宋" w:hAnsi="仿宋"/>
          <w:bCs/>
        </w:rPr>
      </w:pPr>
      <w:r>
        <w:rPr>
          <w:rFonts w:hint="eastAsia" w:ascii="仿宋" w:hAnsi="仿宋"/>
          <w:bCs/>
        </w:rPr>
        <w:t>用于系统数据对接集成、数据的抽取、分析、转换治理等。参数要求如下：</w:t>
      </w:r>
    </w:p>
    <w:p>
      <w:pPr>
        <w:spacing w:line="500" w:lineRule="exact"/>
        <w:ind w:firstLine="480" w:firstLineChars="200"/>
        <w:rPr>
          <w:rFonts w:ascii="仿宋" w:hAnsi="仿宋"/>
          <w:bCs/>
        </w:rPr>
      </w:pPr>
      <w:r>
        <w:rPr>
          <w:rFonts w:hint="eastAsia" w:ascii="仿宋" w:hAnsi="仿宋"/>
          <w:bCs/>
        </w:rPr>
        <w:t>2</w:t>
      </w:r>
      <w:r>
        <w:rPr>
          <w:rFonts w:ascii="仿宋" w:hAnsi="仿宋"/>
          <w:bCs/>
        </w:rPr>
        <w:t>.</w:t>
      </w:r>
      <w:r>
        <w:rPr>
          <w:rFonts w:hint="eastAsia" w:ascii="仿宋" w:hAnsi="仿宋"/>
          <w:bCs/>
        </w:rPr>
        <w:t>支持从医院相关信息系统通过数据库、数据中心等直接对接或者无感实时抽取等方式形成专病数据原始数据库，根据专病字段集进行定制ETL开发完成数据映射、数据转换、数据清洗、标准化治理等工作，从而建立面向专病的数据模型和形成专病基础数据库。本项目由成都市健康医疗大数据平台对接医疗机构院内数据中心，医疗机构将负责协调与院内数据中心对接相关事宜。</w:t>
      </w:r>
    </w:p>
    <w:p>
      <w:pPr>
        <w:spacing w:line="500" w:lineRule="exact"/>
        <w:ind w:firstLine="480" w:firstLineChars="200"/>
        <w:rPr>
          <w:rFonts w:ascii="仿宋" w:hAnsi="仿宋"/>
          <w:bCs/>
        </w:rPr>
      </w:pPr>
      <w:r>
        <w:rPr>
          <w:rFonts w:hint="eastAsia" w:ascii="仿宋" w:hAnsi="仿宋"/>
          <w:bCs/>
        </w:rPr>
        <w:t>间质性肺疾病：对接院内数据中心，获取院内HIS、LIS、EMR、PACS、体检、手术麻醉等信息系统相关数据。</w:t>
      </w:r>
    </w:p>
    <w:p>
      <w:pPr>
        <w:spacing w:line="500" w:lineRule="exact"/>
        <w:ind w:firstLine="480" w:firstLineChars="200"/>
        <w:rPr>
          <w:rFonts w:ascii="仿宋" w:hAnsi="仿宋"/>
          <w:bCs/>
        </w:rPr>
      </w:pPr>
      <w:r>
        <w:rPr>
          <w:rFonts w:hint="eastAsia" w:ascii="仿宋" w:hAnsi="仿宋"/>
          <w:bCs/>
        </w:rPr>
        <w:t>结直肠癌：对接院内数据中心，获取院内HIS、LIS、EMR、PACS、体检、手术麻醉、DIS、内窥镜等信息系统相关数据。</w:t>
      </w:r>
    </w:p>
    <w:p>
      <w:pPr>
        <w:spacing w:line="500" w:lineRule="exact"/>
        <w:ind w:firstLine="480" w:firstLineChars="200"/>
        <w:rPr>
          <w:rFonts w:ascii="仿宋" w:hAnsi="仿宋"/>
          <w:bCs/>
        </w:rPr>
      </w:pPr>
      <w:r>
        <w:rPr>
          <w:rFonts w:hint="eastAsia" w:ascii="仿宋" w:hAnsi="仿宋"/>
          <w:bCs/>
        </w:rPr>
        <w:t>急性心肌梗死：对接院内数据中心，获取院内HIS、LIS、EMR、PACS、体检、手术麻醉等信息系统相关数据。</w:t>
      </w:r>
    </w:p>
    <w:p>
      <w:pPr>
        <w:spacing w:line="500" w:lineRule="exact"/>
        <w:ind w:firstLine="440" w:firstLineChars="200"/>
        <w:rPr>
          <w:rFonts w:ascii="仿宋" w:hAnsi="仿宋"/>
          <w:bCs/>
        </w:rPr>
      </w:pPr>
      <w:r>
        <w:rPr>
          <w:rFonts w:hint="eastAsia" w:ascii="仿宋_GB2312" w:hAnsi="方正仿宋简体" w:eastAsia="仿宋_GB2312" w:cs="方正仿宋简体"/>
          <w:bCs/>
          <w:sz w:val="22"/>
        </w:rPr>
        <w:t>▲</w:t>
      </w:r>
      <w:r>
        <w:rPr>
          <w:rFonts w:hint="eastAsia" w:ascii="仿宋" w:hAnsi="仿宋"/>
          <w:b/>
          <w:bCs/>
        </w:rPr>
        <w:t>3</w:t>
      </w:r>
      <w:r>
        <w:rPr>
          <w:rFonts w:ascii="仿宋" w:hAnsi="仿宋"/>
          <w:b/>
          <w:bCs/>
        </w:rPr>
        <w:t>.</w:t>
      </w:r>
      <w:r>
        <w:rPr>
          <w:rFonts w:hint="eastAsia" w:ascii="仿宋" w:hAnsi="仿宋"/>
          <w:b/>
          <w:szCs w:val="21"/>
        </w:rPr>
        <w:t>系统部署在成都市健康医疗大数据平台，需</w:t>
      </w:r>
      <w:r>
        <w:rPr>
          <w:rFonts w:hint="eastAsia" w:ascii="仿宋" w:hAnsi="仿宋"/>
          <w:b/>
          <w:bCs/>
        </w:rPr>
        <w:t>支持对接和治理成都市健康医疗大数据平台数据，扩展本项目专病病种样本量。（</w:t>
      </w:r>
      <w:r>
        <w:rPr>
          <w:rFonts w:hint="eastAsia" w:ascii="仿宋" w:hAnsi="仿宋"/>
          <w:b/>
          <w:szCs w:val="21"/>
        </w:rPr>
        <w:t>投标文件中单独提供承诺函</w:t>
      </w:r>
      <w:r>
        <w:rPr>
          <w:rFonts w:hint="eastAsia" w:ascii="仿宋" w:hAnsi="仿宋"/>
          <w:b/>
          <w:bCs/>
        </w:rPr>
        <w:t>）</w:t>
      </w:r>
    </w:p>
    <w:p>
      <w:pPr>
        <w:spacing w:line="500" w:lineRule="exact"/>
        <w:ind w:firstLine="440" w:firstLineChars="200"/>
        <w:rPr>
          <w:rFonts w:ascii="仿宋" w:hAnsi="仿宋"/>
          <w:b/>
          <w:bCs/>
        </w:rPr>
      </w:pPr>
      <w:r>
        <w:rPr>
          <w:rFonts w:hint="eastAsia" w:ascii="仿宋_GB2312" w:hAnsi="方正仿宋简体" w:eastAsia="仿宋_GB2312" w:cs="方正仿宋简体"/>
          <w:bCs/>
          <w:sz w:val="22"/>
        </w:rPr>
        <w:t>▲</w:t>
      </w:r>
      <w:r>
        <w:rPr>
          <w:rFonts w:hint="eastAsia" w:ascii="仿宋" w:hAnsi="仿宋"/>
          <w:b/>
          <w:bCs/>
        </w:rPr>
        <w:t>4</w:t>
      </w:r>
      <w:r>
        <w:rPr>
          <w:rFonts w:ascii="仿宋" w:hAnsi="仿宋"/>
          <w:b/>
          <w:bCs/>
        </w:rPr>
        <w:t>.</w:t>
      </w:r>
      <w:r>
        <w:rPr>
          <w:rFonts w:hint="eastAsia" w:ascii="仿宋" w:hAnsi="仿宋"/>
          <w:b/>
          <w:bCs/>
        </w:rPr>
        <w:t>结合间质性肺疾病临床研究需要，后结构化及逻辑抽取的字段数不少于1</w:t>
      </w:r>
      <w:r>
        <w:rPr>
          <w:rFonts w:ascii="仿宋" w:hAnsi="仿宋"/>
          <w:b/>
          <w:bCs/>
        </w:rPr>
        <w:t>0</w:t>
      </w:r>
      <w:r>
        <w:rPr>
          <w:rFonts w:hint="eastAsia" w:ascii="仿宋" w:hAnsi="仿宋"/>
          <w:b/>
          <w:bCs/>
        </w:rPr>
        <w:t>0个，包括但不限于基本信息、就诊信息、既往病史、诊断信息、检查信息等。（</w:t>
      </w:r>
      <w:r>
        <w:rPr>
          <w:rFonts w:hint="eastAsia" w:ascii="仿宋" w:hAnsi="仿宋"/>
          <w:b/>
          <w:szCs w:val="21"/>
        </w:rPr>
        <w:t>投标文件中</w:t>
      </w:r>
      <w:r>
        <w:rPr>
          <w:rFonts w:hint="eastAsia" w:ascii="仿宋" w:hAnsi="仿宋"/>
          <w:b/>
          <w:bCs/>
        </w:rPr>
        <w:t>提供拟建设规划的数据集）</w:t>
      </w:r>
    </w:p>
    <w:p>
      <w:pPr>
        <w:spacing w:line="500" w:lineRule="exact"/>
        <w:ind w:firstLine="440" w:firstLineChars="200"/>
        <w:rPr>
          <w:rFonts w:ascii="仿宋" w:hAnsi="仿宋"/>
          <w:b/>
          <w:bCs/>
        </w:rPr>
      </w:pPr>
      <w:r>
        <w:rPr>
          <w:rFonts w:hint="eastAsia" w:ascii="仿宋_GB2312" w:hAnsi="方正仿宋简体" w:eastAsia="仿宋_GB2312" w:cs="方正仿宋简体"/>
          <w:bCs/>
          <w:sz w:val="22"/>
        </w:rPr>
        <w:t>▲</w:t>
      </w:r>
      <w:r>
        <w:rPr>
          <w:rFonts w:hint="eastAsia" w:ascii="仿宋" w:hAnsi="仿宋"/>
          <w:b/>
          <w:bCs/>
        </w:rPr>
        <w:t>5</w:t>
      </w:r>
      <w:r>
        <w:rPr>
          <w:rFonts w:ascii="仿宋" w:hAnsi="仿宋"/>
          <w:b/>
          <w:bCs/>
        </w:rPr>
        <w:t>.</w:t>
      </w:r>
      <w:r>
        <w:rPr>
          <w:rFonts w:hint="eastAsia" w:ascii="仿宋" w:hAnsi="仿宋"/>
          <w:b/>
          <w:bCs/>
        </w:rPr>
        <w:t>结合结直肠癌临床研究需要，后结构化及逻辑抽取的字段数不少于</w:t>
      </w:r>
      <w:r>
        <w:rPr>
          <w:rFonts w:ascii="仿宋" w:hAnsi="仿宋"/>
          <w:b/>
          <w:bCs/>
        </w:rPr>
        <w:t>20</w:t>
      </w:r>
      <w:r>
        <w:rPr>
          <w:rFonts w:hint="eastAsia" w:ascii="仿宋" w:hAnsi="仿宋"/>
          <w:b/>
          <w:bCs/>
        </w:rPr>
        <w:t>0个，包括但不限于基本信息、就诊信息、既往病史、诊断信息、检查信息等。（</w:t>
      </w:r>
      <w:r>
        <w:rPr>
          <w:rFonts w:hint="eastAsia" w:ascii="仿宋" w:hAnsi="仿宋"/>
          <w:b/>
          <w:szCs w:val="21"/>
        </w:rPr>
        <w:t>投标文件中</w:t>
      </w:r>
      <w:r>
        <w:rPr>
          <w:rFonts w:hint="eastAsia" w:ascii="仿宋" w:hAnsi="仿宋"/>
          <w:b/>
          <w:bCs/>
        </w:rPr>
        <w:t>提供拟建设规划的数据集）</w:t>
      </w:r>
    </w:p>
    <w:p>
      <w:pPr>
        <w:spacing w:line="500" w:lineRule="exact"/>
        <w:ind w:firstLine="440" w:firstLineChars="200"/>
        <w:rPr>
          <w:rFonts w:ascii="仿宋" w:hAnsi="仿宋"/>
          <w:b/>
          <w:bCs/>
        </w:rPr>
      </w:pPr>
      <w:r>
        <w:rPr>
          <w:rFonts w:hint="eastAsia" w:ascii="仿宋_GB2312" w:hAnsi="方正仿宋简体" w:eastAsia="仿宋_GB2312" w:cs="方正仿宋简体"/>
          <w:bCs/>
          <w:sz w:val="22"/>
        </w:rPr>
        <w:t>▲</w:t>
      </w:r>
      <w:r>
        <w:rPr>
          <w:rFonts w:hint="eastAsia" w:ascii="仿宋" w:hAnsi="仿宋"/>
          <w:b/>
          <w:bCs/>
        </w:rPr>
        <w:t>6</w:t>
      </w:r>
      <w:r>
        <w:rPr>
          <w:rFonts w:ascii="仿宋" w:hAnsi="仿宋"/>
          <w:b/>
          <w:bCs/>
        </w:rPr>
        <w:t>.</w:t>
      </w:r>
      <w:r>
        <w:rPr>
          <w:rFonts w:hint="eastAsia" w:ascii="仿宋" w:hAnsi="仿宋"/>
          <w:b/>
          <w:bCs/>
        </w:rPr>
        <w:t>结合急性心肌梗死临床研究需要，后结构化及逻辑抽取的字段数不少于</w:t>
      </w:r>
      <w:r>
        <w:rPr>
          <w:rFonts w:ascii="仿宋" w:hAnsi="仿宋"/>
          <w:b/>
          <w:bCs/>
        </w:rPr>
        <w:t>80</w:t>
      </w:r>
      <w:r>
        <w:rPr>
          <w:rFonts w:hint="eastAsia" w:ascii="仿宋" w:hAnsi="仿宋"/>
          <w:b/>
          <w:bCs/>
        </w:rPr>
        <w:t>个，包括但不限于基本信息、就诊信息、既往病史、诊断信息、检查信息等。（</w:t>
      </w:r>
      <w:r>
        <w:rPr>
          <w:rFonts w:hint="eastAsia" w:ascii="仿宋" w:hAnsi="仿宋"/>
          <w:b/>
          <w:szCs w:val="21"/>
        </w:rPr>
        <w:t>投标文件中</w:t>
      </w:r>
      <w:r>
        <w:rPr>
          <w:rFonts w:hint="eastAsia" w:ascii="仿宋" w:hAnsi="仿宋"/>
          <w:b/>
          <w:bCs/>
        </w:rPr>
        <w:t>提供拟建设规划的数据集）</w:t>
      </w:r>
    </w:p>
    <w:p>
      <w:pPr>
        <w:pStyle w:val="5"/>
        <w:rPr>
          <w:sz w:val="24"/>
          <w:szCs w:val="24"/>
        </w:rPr>
      </w:pPr>
      <w:r>
        <w:rPr>
          <w:rFonts w:hint="eastAsia"/>
          <w:sz w:val="24"/>
          <w:szCs w:val="24"/>
        </w:rPr>
        <w:t>（三）专科专病库建设</w:t>
      </w:r>
    </w:p>
    <w:p>
      <w:pPr>
        <w:spacing w:line="500" w:lineRule="exact"/>
        <w:ind w:firstLine="482" w:firstLineChars="200"/>
        <w:rPr>
          <w:rFonts w:ascii="仿宋" w:hAnsi="仿宋"/>
          <w:b/>
          <w:bCs/>
        </w:rPr>
      </w:pPr>
      <w:r>
        <w:rPr>
          <w:rFonts w:hint="eastAsia" w:ascii="仿宋" w:hAnsi="仿宋"/>
          <w:b/>
          <w:bCs/>
        </w:rPr>
        <w:t>根据临床业务需求，本期项目专科专病库包含间质性肺疾病、结直肠癌、急性心肌梗死三个病种。</w:t>
      </w:r>
    </w:p>
    <w:p>
      <w:pPr>
        <w:spacing w:line="500" w:lineRule="exact"/>
        <w:ind w:firstLine="482" w:firstLineChars="200"/>
        <w:rPr>
          <w:rFonts w:ascii="仿宋" w:hAnsi="仿宋"/>
          <w:b/>
          <w:bCs/>
        </w:rPr>
      </w:pPr>
      <w:r>
        <w:rPr>
          <w:rFonts w:ascii="仿宋" w:hAnsi="仿宋"/>
          <w:b/>
          <w:bCs/>
        </w:rPr>
        <w:t>(</w:t>
      </w:r>
      <w:r>
        <w:rPr>
          <w:rFonts w:hint="eastAsia" w:ascii="仿宋" w:hAnsi="仿宋"/>
          <w:b/>
          <w:bCs/>
        </w:rPr>
        <w:t>1)专病模型管理</w:t>
      </w:r>
    </w:p>
    <w:p>
      <w:pPr>
        <w:spacing w:line="500" w:lineRule="exact"/>
        <w:ind w:firstLine="480" w:firstLineChars="200"/>
        <w:rPr>
          <w:rFonts w:ascii="仿宋" w:hAnsi="仿宋"/>
          <w:bCs/>
        </w:rPr>
      </w:pPr>
      <w:r>
        <w:rPr>
          <w:rFonts w:hint="eastAsia" w:ascii="仿宋" w:hAnsi="仿宋"/>
          <w:bCs/>
        </w:rPr>
        <w:t>7</w:t>
      </w:r>
      <w:r>
        <w:rPr>
          <w:rFonts w:ascii="仿宋" w:hAnsi="仿宋"/>
          <w:bCs/>
        </w:rPr>
        <w:t>.</w:t>
      </w:r>
      <w:r>
        <w:rPr>
          <w:rFonts w:hint="eastAsia" w:ascii="仿宋" w:hAnsi="仿宋"/>
          <w:bCs/>
        </w:rPr>
        <w:t>建立专科专病全结构化数据集模型，按照患者主索引，将专病患者全病程结构化临床数据进行统一组织，管理专病数据集病例样本数据。</w:t>
      </w:r>
    </w:p>
    <w:p>
      <w:pPr>
        <w:spacing w:line="500" w:lineRule="exact"/>
        <w:ind w:firstLine="480" w:firstLineChars="200"/>
        <w:rPr>
          <w:rFonts w:ascii="仿宋" w:hAnsi="仿宋"/>
          <w:bCs/>
        </w:rPr>
      </w:pPr>
      <w:r>
        <w:rPr>
          <w:rFonts w:hint="eastAsia" w:ascii="仿宋" w:hAnsi="仿宋"/>
          <w:bCs/>
        </w:rPr>
        <w:t>8</w:t>
      </w:r>
      <w:r>
        <w:rPr>
          <w:rFonts w:ascii="仿宋" w:hAnsi="仿宋"/>
          <w:bCs/>
        </w:rPr>
        <w:t>.</w:t>
      </w:r>
      <w:r>
        <w:rPr>
          <w:rFonts w:hint="eastAsia" w:ascii="仿宋" w:hAnsi="仿宋"/>
          <w:bCs/>
        </w:rPr>
        <w:t>提供专病数据集的数据字典管理维护功能，可查看历史字典版本。提供字典指标定义、值域管理、计算提取逻辑映射等管理功能，可依据字典追溯数据填写提取情况。</w:t>
      </w:r>
    </w:p>
    <w:p>
      <w:pPr>
        <w:spacing w:line="500" w:lineRule="exact"/>
        <w:ind w:firstLine="482" w:firstLineChars="200"/>
        <w:rPr>
          <w:rFonts w:ascii="仿宋" w:hAnsi="仿宋"/>
          <w:b/>
          <w:bCs/>
        </w:rPr>
      </w:pPr>
      <w:r>
        <w:rPr>
          <w:rFonts w:hint="eastAsia" w:ascii="仿宋" w:hAnsi="仿宋"/>
          <w:b/>
          <w:bCs/>
        </w:rPr>
        <w:t>(2)定制化eCRF</w:t>
      </w:r>
    </w:p>
    <w:p>
      <w:pPr>
        <w:spacing w:line="500" w:lineRule="exact"/>
        <w:ind w:firstLine="480" w:firstLineChars="200"/>
        <w:rPr>
          <w:rFonts w:ascii="仿宋" w:hAnsi="仿宋"/>
          <w:bCs/>
        </w:rPr>
      </w:pPr>
      <w:r>
        <w:rPr>
          <w:rFonts w:ascii="仿宋" w:hAnsi="仿宋"/>
          <w:bCs/>
        </w:rPr>
        <w:t>9.</w:t>
      </w:r>
      <w:r>
        <w:rPr>
          <w:rFonts w:hint="eastAsia" w:ascii="仿宋" w:hAnsi="仿宋"/>
          <w:bCs/>
        </w:rPr>
        <w:t>CRF表单配置工具：提供可视化工具，通过无代码的方式实现数据集表单快速配置，支持自由配置各类常用</w:t>
      </w:r>
      <w:r>
        <w:rPr>
          <w:rFonts w:ascii="仿宋" w:hAnsi="仿宋"/>
          <w:bCs/>
        </w:rPr>
        <w:t>CRF</w:t>
      </w:r>
      <w:r>
        <w:rPr>
          <w:rFonts w:hint="eastAsia" w:ascii="仿宋" w:hAnsi="仿宋"/>
          <w:bCs/>
        </w:rPr>
        <w:t>表单题型，可对表单选项数据变量的属性，如变量范围、变量类型、选项跳转规则进行逻辑配置，并提供跳题、关联题目的配置功能。支持表单多版本维护，同一患者不同随访周期可使用不同版本表单，系统自动识别。</w:t>
      </w:r>
    </w:p>
    <w:p>
      <w:pPr>
        <w:spacing w:line="500" w:lineRule="exact"/>
        <w:ind w:firstLine="442" w:firstLineChars="200"/>
        <w:rPr>
          <w:rFonts w:ascii="仿宋" w:hAnsi="仿宋"/>
          <w:b/>
          <w:bCs/>
        </w:rPr>
      </w:pPr>
      <w:r>
        <w:rPr>
          <w:rFonts w:hint="eastAsia" w:ascii="仿宋_GB2312" w:hAnsi="方正仿宋简体" w:eastAsia="仿宋_GB2312" w:cs="方正仿宋简体"/>
          <w:b/>
          <w:bCs/>
          <w:sz w:val="22"/>
        </w:rPr>
        <w:t>▲</w:t>
      </w:r>
      <w:r>
        <w:rPr>
          <w:rFonts w:hint="eastAsia" w:ascii="仿宋" w:hAnsi="仿宋"/>
          <w:b/>
          <w:bCs/>
        </w:rPr>
        <w:t>1</w:t>
      </w:r>
      <w:r>
        <w:rPr>
          <w:rFonts w:ascii="仿宋" w:hAnsi="仿宋"/>
          <w:b/>
          <w:bCs/>
        </w:rPr>
        <w:t>0.</w:t>
      </w:r>
      <w:r>
        <w:rPr>
          <w:rFonts w:hint="eastAsia" w:ascii="仿宋" w:hAnsi="仿宋"/>
          <w:b/>
          <w:bCs/>
        </w:rPr>
        <w:t>CRF表单配置服务：针对复杂题型、复杂内置逻辑及个性化前端样式的</w:t>
      </w:r>
      <w:r>
        <w:rPr>
          <w:rFonts w:ascii="仿宋" w:hAnsi="仿宋"/>
          <w:b/>
          <w:bCs/>
        </w:rPr>
        <w:t>CRF</w:t>
      </w:r>
      <w:r>
        <w:rPr>
          <w:rFonts w:hint="eastAsia" w:ascii="仿宋" w:hAnsi="仿宋"/>
          <w:b/>
          <w:bCs/>
        </w:rPr>
        <w:t>表单，支持提供专业运维服务，可进行定制化开发。（投标文件中单独提供功能实现承诺函）</w:t>
      </w:r>
    </w:p>
    <w:p>
      <w:pPr>
        <w:spacing w:line="500" w:lineRule="exact"/>
        <w:ind w:firstLine="482" w:firstLineChars="200"/>
        <w:rPr>
          <w:rFonts w:ascii="仿宋" w:hAnsi="仿宋"/>
          <w:b/>
          <w:bCs/>
        </w:rPr>
      </w:pPr>
      <w:r>
        <w:rPr>
          <w:rFonts w:hint="eastAsia" w:ascii="仿宋" w:hAnsi="仿宋"/>
          <w:b/>
          <w:bCs/>
        </w:rPr>
        <w:t>(3)数据集成ETL</w:t>
      </w:r>
    </w:p>
    <w:p>
      <w:pPr>
        <w:spacing w:line="500" w:lineRule="exact"/>
        <w:ind w:firstLine="480" w:firstLineChars="200"/>
        <w:rPr>
          <w:rFonts w:ascii="仿宋" w:hAnsi="仿宋"/>
          <w:bCs/>
        </w:rPr>
      </w:pPr>
      <w:r>
        <w:rPr>
          <w:rFonts w:hint="eastAsia" w:ascii="仿宋" w:hAnsi="仿宋"/>
          <w:bCs/>
        </w:rPr>
        <w:t>提供基于成都市健康医疗大数据平台的数据源配置，支持mysql、oracle等数据库，包括即时查询、离线数据治理与统一调度以及实时数据治理功能。</w:t>
      </w:r>
    </w:p>
    <w:p>
      <w:pPr>
        <w:spacing w:line="500" w:lineRule="exact"/>
        <w:ind w:firstLine="480" w:firstLineChars="200"/>
        <w:rPr>
          <w:rFonts w:ascii="仿宋" w:hAnsi="仿宋"/>
          <w:bCs/>
        </w:rPr>
      </w:pPr>
      <w:r>
        <w:rPr>
          <w:rFonts w:ascii="仿宋" w:hAnsi="仿宋"/>
          <w:bCs/>
        </w:rPr>
        <w:t>11.</w:t>
      </w:r>
      <w:r>
        <w:rPr>
          <w:rFonts w:hint="eastAsia" w:ascii="仿宋" w:hAnsi="仿宋"/>
          <w:bCs/>
        </w:rPr>
        <w:t>数据源配置：提供数据源增删改查、测试连接等管理功能，可将现有外部数据源数据导入到平台进行连接、迁移与使用，数据源类型支持但不限于MySQL、oracle等。</w:t>
      </w:r>
    </w:p>
    <w:p>
      <w:pPr>
        <w:spacing w:line="500" w:lineRule="exact"/>
        <w:ind w:firstLine="480" w:firstLineChars="200"/>
        <w:rPr>
          <w:rFonts w:ascii="仿宋" w:hAnsi="仿宋"/>
          <w:bCs/>
        </w:rPr>
      </w:pPr>
      <w:r>
        <w:rPr>
          <w:rFonts w:ascii="仿宋" w:hAnsi="仿宋"/>
          <w:bCs/>
        </w:rPr>
        <w:t>12.</w:t>
      </w:r>
      <w:r>
        <w:rPr>
          <w:rFonts w:hint="eastAsia" w:ascii="仿宋" w:hAnsi="仿宋"/>
          <w:bCs/>
        </w:rPr>
        <w:t>即时查询：提供查看已汇聚至平台的数据源、数据库、表与字段信息功能，可利用标准SQL语言实现信息即时查看。提供新建查询，标准sql编辑框，启动、解释执行、格式化、保存编辑历史功能，sql点击启动执行后，提供即时日志查看和结果查看。</w:t>
      </w:r>
    </w:p>
    <w:p>
      <w:pPr>
        <w:spacing w:line="500" w:lineRule="exact"/>
        <w:ind w:firstLine="480" w:firstLineChars="200"/>
        <w:rPr>
          <w:rFonts w:ascii="仿宋" w:hAnsi="仿宋"/>
          <w:bCs/>
        </w:rPr>
      </w:pPr>
      <w:r>
        <w:rPr>
          <w:rFonts w:ascii="仿宋" w:hAnsi="仿宋"/>
          <w:bCs/>
        </w:rPr>
        <w:t>13.</w:t>
      </w:r>
      <w:r>
        <w:rPr>
          <w:rFonts w:hint="eastAsia" w:ascii="仿宋" w:hAnsi="仿宋"/>
          <w:bCs/>
        </w:rPr>
        <w:t>离线数据治理与统一调度：提供sql、导数、脚本、api接口、工作流等多种数据治理任务类型，提供增删改查、运行、发布功能。</w:t>
      </w:r>
    </w:p>
    <w:p>
      <w:pPr>
        <w:spacing w:line="500" w:lineRule="exact"/>
        <w:ind w:firstLine="440" w:firstLineChars="200"/>
        <w:rPr>
          <w:rFonts w:ascii="仿宋" w:hAnsi="仿宋"/>
          <w:bCs/>
        </w:rPr>
      </w:pPr>
      <w:r>
        <w:rPr>
          <w:rFonts w:hint="eastAsia" w:ascii="仿宋_GB2312" w:hAnsi="方正仿宋简体" w:eastAsia="仿宋_GB2312" w:cs="方正仿宋简体"/>
          <w:bCs/>
          <w:sz w:val="22"/>
        </w:rPr>
        <w:t>▲</w:t>
      </w:r>
      <w:r>
        <w:rPr>
          <w:rFonts w:ascii="仿宋" w:hAnsi="仿宋"/>
          <w:b/>
          <w:bCs/>
        </w:rPr>
        <w:t>14.</w:t>
      </w:r>
      <w:r>
        <w:rPr>
          <w:rFonts w:hint="eastAsia" w:ascii="仿宋" w:hAnsi="仿宋"/>
          <w:b/>
          <w:bCs/>
        </w:rPr>
        <w:t>任务类型：sql任务提供mysql、oracle等多种数据源类型,同时提供标准sql任务表单编辑等功能;导数任务提供mysql与oracle等多种数据源数据相互抽取、交换功能；脚本任务提供shell/python/java等多种脚本语言的执行脚本包进行灵活数据治理；工作流任务提供拖拉拽画布配置sql/导数/脚本等任务，设置任务间执行关系，提供系统参数、工作流参数、以及节点间参数相互传递功能。（投标文件中单独提供功能实现承诺函）</w:t>
      </w:r>
    </w:p>
    <w:p>
      <w:pPr>
        <w:spacing w:line="500" w:lineRule="exact"/>
        <w:ind w:firstLine="480" w:firstLineChars="200"/>
        <w:rPr>
          <w:rFonts w:ascii="仿宋" w:hAnsi="仿宋"/>
          <w:bCs/>
        </w:rPr>
      </w:pPr>
      <w:r>
        <w:rPr>
          <w:rFonts w:hint="eastAsia" w:ascii="仿宋" w:hAnsi="仿宋"/>
          <w:bCs/>
        </w:rPr>
        <w:t>1</w:t>
      </w:r>
      <w:r>
        <w:rPr>
          <w:rFonts w:ascii="仿宋" w:hAnsi="仿宋"/>
          <w:bCs/>
        </w:rPr>
        <w:t>5.</w:t>
      </w:r>
      <w:r>
        <w:rPr>
          <w:rFonts w:hint="eastAsia" w:ascii="仿宋" w:hAnsi="仿宋"/>
          <w:bCs/>
        </w:rPr>
        <w:t>任务统一调度执行器：提供上述sql、脚本语言、导数等任务统一调度执行器，提供工作流调度、整体dag调度以及直接调度引擎等多种类型进行灵活统一的调度,同时提供调度任务的存储、新增、修改、查询与删除，以及对应实例的生成、状态更新以及参数传递。</w:t>
      </w:r>
    </w:p>
    <w:p>
      <w:pPr>
        <w:spacing w:line="500" w:lineRule="exact"/>
        <w:ind w:firstLine="480" w:firstLineChars="200"/>
        <w:rPr>
          <w:rFonts w:ascii="仿宋" w:hAnsi="仿宋"/>
          <w:bCs/>
        </w:rPr>
      </w:pPr>
      <w:r>
        <w:rPr>
          <w:rFonts w:ascii="仿宋" w:hAnsi="仿宋"/>
          <w:bCs/>
        </w:rPr>
        <w:t>16.</w:t>
      </w:r>
      <w:r>
        <w:rPr>
          <w:rFonts w:hint="eastAsia" w:ascii="仿宋" w:hAnsi="仿宋"/>
          <w:bCs/>
        </w:rPr>
        <w:t>任务运维监控：提供任务状态查看，启动、发布和查看详情功能。查看详情页面，可查看该任务历史运行记录以及未来计划，提供任务实例依赖DAG流程图查看，各任务实例状态、计划开始、实际开始时间、任务参数以及日志查看。</w:t>
      </w:r>
    </w:p>
    <w:p>
      <w:pPr>
        <w:spacing w:line="500" w:lineRule="exact"/>
        <w:ind w:firstLine="480" w:firstLineChars="200"/>
        <w:rPr>
          <w:rFonts w:ascii="仿宋" w:hAnsi="仿宋"/>
          <w:bCs/>
        </w:rPr>
      </w:pPr>
      <w:r>
        <w:rPr>
          <w:rFonts w:ascii="仿宋" w:hAnsi="仿宋"/>
          <w:bCs/>
        </w:rPr>
        <w:t>17.</w:t>
      </w:r>
      <w:r>
        <w:rPr>
          <w:rFonts w:hint="eastAsia" w:ascii="仿宋" w:hAnsi="仿宋"/>
          <w:bCs/>
        </w:rPr>
        <w:t>实时数据治理：提供实时任务管理，支持java原生jar类型任务，提供任务的表单增删改查管理，提供运行与中止功能，提供各任务执行状态的监控、历史执行实例查看以及最近执行任务实例的实时日志查看功能。</w:t>
      </w:r>
    </w:p>
    <w:p>
      <w:pPr>
        <w:spacing w:line="500" w:lineRule="exact"/>
        <w:ind w:firstLine="482" w:firstLineChars="200"/>
        <w:rPr>
          <w:rFonts w:ascii="仿宋" w:hAnsi="仿宋"/>
          <w:b/>
          <w:bCs/>
        </w:rPr>
      </w:pPr>
    </w:p>
    <w:p>
      <w:pPr>
        <w:spacing w:line="500" w:lineRule="exact"/>
        <w:ind w:firstLine="482" w:firstLineChars="200"/>
        <w:rPr>
          <w:rFonts w:ascii="仿宋" w:hAnsi="仿宋"/>
          <w:b/>
          <w:bCs/>
        </w:rPr>
      </w:pPr>
      <w:r>
        <w:rPr>
          <w:rFonts w:hint="eastAsia" w:ascii="仿宋" w:hAnsi="仿宋"/>
          <w:b/>
          <w:bCs/>
        </w:rPr>
        <w:t>(4)数据质控稽核</w:t>
      </w:r>
    </w:p>
    <w:p>
      <w:pPr>
        <w:spacing w:line="500" w:lineRule="exact"/>
        <w:ind w:firstLine="480" w:firstLineChars="200"/>
        <w:rPr>
          <w:rFonts w:ascii="仿宋" w:hAnsi="仿宋"/>
          <w:bCs/>
        </w:rPr>
      </w:pPr>
      <w:r>
        <w:rPr>
          <w:rFonts w:hint="eastAsia" w:ascii="仿宋" w:hAnsi="仿宋"/>
          <w:bCs/>
        </w:rPr>
        <w:t>1</w:t>
      </w:r>
      <w:r>
        <w:rPr>
          <w:rFonts w:ascii="仿宋" w:hAnsi="仿宋"/>
          <w:bCs/>
        </w:rPr>
        <w:t>8.</w:t>
      </w:r>
      <w:r>
        <w:rPr>
          <w:rFonts w:hint="eastAsia" w:ascii="仿宋" w:hAnsi="仿宋"/>
          <w:bCs/>
        </w:rPr>
        <w:t>质控SQL规则配置：内置稽核编辑器，可按照需求编写自定义质控校验规则，可囊括各类数据特征的定义，包括空值情况、统计尺度、最大值/最小值、精度等，对表单数据问题自动进行批量分析。同时也允许患者手动标记问题数据</w:t>
      </w:r>
    </w:p>
    <w:p>
      <w:pPr>
        <w:spacing w:line="500" w:lineRule="exact"/>
        <w:ind w:firstLine="480" w:firstLineChars="200"/>
        <w:rPr>
          <w:rFonts w:ascii="仿宋" w:hAnsi="仿宋"/>
          <w:bCs/>
        </w:rPr>
      </w:pPr>
      <w:r>
        <w:rPr>
          <w:rFonts w:hint="eastAsia" w:ascii="仿宋" w:hAnsi="仿宋"/>
          <w:bCs/>
        </w:rPr>
        <w:t>1</w:t>
      </w:r>
      <w:r>
        <w:rPr>
          <w:rFonts w:ascii="仿宋" w:hAnsi="仿宋"/>
          <w:bCs/>
        </w:rPr>
        <w:t>9.</w:t>
      </w:r>
      <w:r>
        <w:rPr>
          <w:rFonts w:hint="eastAsia" w:ascii="仿宋" w:hAnsi="仿宋"/>
          <w:bCs/>
        </w:rPr>
        <w:t>问题表单统计：支持对质控问题CRF表单进行摘要情况统计，可按质控稽核规则进行筛选过滤，支持导出相应名单。</w:t>
      </w:r>
    </w:p>
    <w:p>
      <w:pPr>
        <w:spacing w:line="500" w:lineRule="exact"/>
        <w:ind w:firstLine="482" w:firstLineChars="200"/>
        <w:rPr>
          <w:rFonts w:ascii="仿宋" w:hAnsi="仿宋"/>
          <w:b/>
          <w:bCs/>
        </w:rPr>
      </w:pPr>
      <w:r>
        <w:rPr>
          <w:rFonts w:hint="eastAsia" w:ascii="仿宋" w:hAnsi="仿宋"/>
          <w:b/>
          <w:bCs/>
        </w:rPr>
        <w:t>(5)医学编码工具</w:t>
      </w:r>
    </w:p>
    <w:p>
      <w:pPr>
        <w:spacing w:line="500" w:lineRule="exact"/>
        <w:ind w:firstLine="480" w:firstLineChars="200"/>
        <w:rPr>
          <w:rFonts w:ascii="仿宋" w:hAnsi="仿宋"/>
          <w:bCs/>
        </w:rPr>
      </w:pPr>
      <w:r>
        <w:rPr>
          <w:rFonts w:ascii="仿宋" w:hAnsi="仿宋"/>
          <w:bCs/>
        </w:rPr>
        <w:t>20.</w:t>
      </w:r>
      <w:r>
        <w:rPr>
          <w:rFonts w:hint="eastAsia" w:ascii="仿宋" w:hAnsi="仿宋"/>
          <w:bCs/>
        </w:rPr>
        <w:t>编码分类管理：实现医院科室、性别等码表以及ICD疾病分类增删改查</w:t>
      </w:r>
    </w:p>
    <w:p>
      <w:pPr>
        <w:spacing w:line="500" w:lineRule="exact"/>
        <w:ind w:firstLine="480" w:firstLineChars="200"/>
        <w:rPr>
          <w:rFonts w:ascii="仿宋" w:hAnsi="仿宋"/>
          <w:bCs/>
        </w:rPr>
      </w:pPr>
      <w:r>
        <w:rPr>
          <w:rFonts w:hint="eastAsia" w:ascii="仿宋" w:hAnsi="仿宋"/>
          <w:bCs/>
        </w:rPr>
        <w:t>2</w:t>
      </w:r>
      <w:r>
        <w:rPr>
          <w:rFonts w:ascii="仿宋" w:hAnsi="仿宋"/>
          <w:bCs/>
        </w:rPr>
        <w:t>1.</w:t>
      </w:r>
      <w:r>
        <w:rPr>
          <w:rFonts w:hint="eastAsia" w:ascii="仿宋" w:hAnsi="仿宋"/>
          <w:bCs/>
        </w:rPr>
        <w:t>编码定义管理：提供根据各编码分类，依次建立各分类下的具体编码功能，如ICD9/ICD10等，提供各编码的增删改查、导入导出功能。</w:t>
      </w:r>
    </w:p>
    <w:p>
      <w:pPr>
        <w:spacing w:line="500" w:lineRule="exact"/>
        <w:ind w:firstLine="440" w:firstLineChars="200"/>
        <w:rPr>
          <w:rFonts w:ascii="仿宋" w:hAnsi="仿宋"/>
          <w:b/>
          <w:bCs/>
        </w:rPr>
      </w:pPr>
      <w:r>
        <w:rPr>
          <w:rFonts w:hint="eastAsia" w:ascii="仿宋_GB2312" w:hAnsi="方正仿宋简体" w:eastAsia="仿宋_GB2312" w:cs="方正仿宋简体"/>
          <w:bCs/>
          <w:sz w:val="22"/>
        </w:rPr>
        <w:t>▲</w:t>
      </w:r>
      <w:r>
        <w:rPr>
          <w:rFonts w:ascii="仿宋" w:hAnsi="仿宋"/>
          <w:b/>
          <w:bCs/>
        </w:rPr>
        <w:t>22.</w:t>
      </w:r>
      <w:r>
        <w:rPr>
          <w:rFonts w:hint="eastAsia" w:ascii="仿宋" w:hAnsi="仿宋"/>
          <w:b/>
          <w:bCs/>
        </w:rPr>
        <w:t>医学编码规则管理：提供相同分类下编码相互映射的规则维护和根据实际数据自动生成规则集合功能。（投标文件中单独提供功能实现承诺函）</w:t>
      </w:r>
    </w:p>
    <w:p>
      <w:pPr>
        <w:spacing w:line="500" w:lineRule="exact"/>
        <w:ind w:firstLine="480" w:firstLineChars="200"/>
        <w:rPr>
          <w:rFonts w:ascii="仿宋" w:hAnsi="仿宋"/>
          <w:bCs/>
        </w:rPr>
      </w:pPr>
      <w:r>
        <w:rPr>
          <w:rFonts w:ascii="仿宋" w:hAnsi="仿宋"/>
          <w:bCs/>
        </w:rPr>
        <w:t>23.</w:t>
      </w:r>
      <w:r>
        <w:rPr>
          <w:rFonts w:hint="eastAsia" w:ascii="仿宋" w:hAnsi="仿宋"/>
          <w:bCs/>
        </w:rPr>
        <w:t>规则集mapset管理：提供根据真实医疗信息数据，选择源编码与目标编码自动匹配相应规则，同时提供自动生成规则管理中未存在的规则，提供规则冲突检测、批量修改、确认等功能，提供规则集mapset增删改查、提交、审核、生成标准化报告等功能。</w:t>
      </w:r>
    </w:p>
    <w:p>
      <w:pPr>
        <w:spacing w:line="500" w:lineRule="exact"/>
        <w:ind w:firstLine="480" w:firstLineChars="200"/>
        <w:rPr>
          <w:rFonts w:ascii="仿宋" w:hAnsi="仿宋"/>
          <w:bCs/>
        </w:rPr>
      </w:pPr>
      <w:r>
        <w:rPr>
          <w:rFonts w:hint="eastAsia" w:ascii="仿宋" w:hAnsi="仿宋"/>
          <w:bCs/>
        </w:rPr>
        <w:t>2</w:t>
      </w:r>
      <w:r>
        <w:rPr>
          <w:rFonts w:ascii="仿宋" w:hAnsi="仿宋"/>
          <w:bCs/>
        </w:rPr>
        <w:t>4.</w:t>
      </w:r>
      <w:r>
        <w:rPr>
          <w:rFonts w:hint="eastAsia" w:ascii="仿宋" w:hAnsi="仿宋"/>
          <w:bCs/>
        </w:rPr>
        <w:t>数标准化治理任务：根据生成的规则集mapset，数据治理人员可以在“数据集成ETL工具”sql任务中带入真实数据进行数据标准化治理，形成数据标准化治理任务，提供相关标准化任务与规则集mapset关系等信息列表查看功能。</w:t>
      </w:r>
    </w:p>
    <w:p>
      <w:pPr>
        <w:spacing w:line="500" w:lineRule="exact"/>
        <w:ind w:firstLine="482" w:firstLineChars="200"/>
        <w:rPr>
          <w:rFonts w:ascii="仿宋" w:hAnsi="仿宋"/>
          <w:b/>
          <w:bCs/>
        </w:rPr>
      </w:pPr>
      <w:r>
        <w:rPr>
          <w:rFonts w:hint="eastAsia" w:ascii="仿宋" w:hAnsi="仿宋"/>
          <w:b/>
          <w:bCs/>
        </w:rPr>
        <w:t>(6)科研检索分析</w:t>
      </w:r>
    </w:p>
    <w:p>
      <w:pPr>
        <w:spacing w:line="500" w:lineRule="exact"/>
        <w:ind w:firstLine="480" w:firstLineChars="200"/>
        <w:rPr>
          <w:rFonts w:ascii="仿宋" w:hAnsi="仿宋"/>
          <w:bCs/>
        </w:rPr>
      </w:pPr>
      <w:r>
        <w:rPr>
          <w:rFonts w:ascii="仿宋" w:hAnsi="仿宋"/>
          <w:bCs/>
        </w:rPr>
        <w:t>25.</w:t>
      </w:r>
      <w:r>
        <w:rPr>
          <w:rFonts w:hint="eastAsia" w:ascii="仿宋" w:hAnsi="仿宋"/>
          <w:bCs/>
        </w:rPr>
        <w:t>条件树检索工具：以患者360视图的方式，查看纳入专病管理的患者样本数据。支持按时间轴筛选展示相关的关键诊疗行为，如就诊、诊断、治疗、检查、检验、手术等事件，可点击回溯查看相应事件的临床详情记录，包括就诊记录概要、检验检查、药物治疗、手术治疗信息。</w:t>
      </w:r>
    </w:p>
    <w:p>
      <w:pPr>
        <w:spacing w:line="500" w:lineRule="exact"/>
        <w:ind w:firstLine="480" w:firstLineChars="200"/>
        <w:rPr>
          <w:rFonts w:ascii="仿宋" w:hAnsi="仿宋"/>
          <w:bCs/>
        </w:rPr>
      </w:pPr>
      <w:r>
        <w:rPr>
          <w:rFonts w:hint="eastAsia" w:ascii="仿宋" w:hAnsi="仿宋"/>
          <w:bCs/>
        </w:rPr>
        <w:t>2</w:t>
      </w:r>
      <w:r>
        <w:rPr>
          <w:rFonts w:ascii="仿宋" w:hAnsi="仿宋"/>
          <w:bCs/>
        </w:rPr>
        <w:t>6.</w:t>
      </w:r>
      <w:r>
        <w:rPr>
          <w:rFonts w:hint="eastAsia" w:ascii="仿宋" w:hAnsi="仿宋"/>
          <w:bCs/>
        </w:rPr>
        <w:t>提供人群结构分析功能、基于指标特征进行分布、占比的人群分析，并支持生成多种图表形式的BI报表，针对以患者或指标为维度的对比查看，查看指标趋势变化情况，指标、样本对比功能。</w:t>
      </w:r>
    </w:p>
    <w:p>
      <w:pPr>
        <w:spacing w:line="500" w:lineRule="exact"/>
        <w:ind w:firstLine="480" w:firstLineChars="200"/>
        <w:rPr>
          <w:rFonts w:ascii="仿宋" w:hAnsi="仿宋"/>
          <w:bCs/>
        </w:rPr>
      </w:pPr>
      <w:r>
        <w:rPr>
          <w:rFonts w:hint="eastAsia" w:ascii="仿宋" w:hAnsi="仿宋"/>
          <w:bCs/>
        </w:rPr>
        <w:t>2</w:t>
      </w:r>
      <w:r>
        <w:rPr>
          <w:rFonts w:ascii="仿宋" w:hAnsi="仿宋"/>
          <w:bCs/>
        </w:rPr>
        <w:t>7.</w:t>
      </w:r>
      <w:r>
        <w:rPr>
          <w:rFonts w:hint="eastAsia" w:ascii="仿宋" w:hAnsi="仿宋"/>
          <w:bCs/>
        </w:rPr>
        <w:t>基于专病数据字典和临床指标进行规则筛选，支持纳入搜索和排除搜索两种搜索模式且支持两种模式同时作用；可以树状形式添加多个层级搜索条件，支持复杂条件搜索，匹配符合相应特征的样本案例，秒级返回搜索结果。</w:t>
      </w:r>
    </w:p>
    <w:p>
      <w:pPr>
        <w:spacing w:line="500" w:lineRule="exact"/>
        <w:ind w:firstLine="440" w:firstLineChars="200"/>
        <w:rPr>
          <w:rFonts w:ascii="仿宋" w:hAnsi="仿宋"/>
          <w:b/>
          <w:bCs/>
        </w:rPr>
      </w:pPr>
      <w:r>
        <w:rPr>
          <w:rFonts w:hint="eastAsia" w:ascii="仿宋_GB2312" w:hAnsi="方正仿宋简体" w:eastAsia="仿宋_GB2312" w:cs="方正仿宋简体"/>
          <w:bCs/>
          <w:sz w:val="22"/>
        </w:rPr>
        <w:t>▲</w:t>
      </w:r>
      <w:r>
        <w:rPr>
          <w:rFonts w:ascii="仿宋" w:hAnsi="仿宋"/>
          <w:b/>
          <w:szCs w:val="21"/>
        </w:rPr>
        <w:t>28.</w:t>
      </w:r>
      <w:r>
        <w:rPr>
          <w:rFonts w:hint="eastAsia" w:ascii="仿宋" w:hAnsi="仿宋"/>
          <w:b/>
          <w:bCs/>
        </w:rPr>
        <w:t>支持专病人群特征可视化分析，可无代码化层级条件筛选提取样本数据。（投标文件中单独提供功能实现承诺函）</w:t>
      </w:r>
    </w:p>
    <w:p>
      <w:pPr>
        <w:spacing w:line="500" w:lineRule="exact"/>
        <w:ind w:firstLine="480" w:firstLineChars="200"/>
        <w:rPr>
          <w:rFonts w:ascii="仿宋" w:hAnsi="仿宋"/>
          <w:bCs/>
        </w:rPr>
      </w:pPr>
      <w:r>
        <w:rPr>
          <w:rFonts w:ascii="仿宋" w:hAnsi="仿宋"/>
          <w:bCs/>
        </w:rPr>
        <w:t>29.</w:t>
      </w:r>
      <w:r>
        <w:rPr>
          <w:rFonts w:hint="eastAsia" w:ascii="仿宋" w:hAnsi="仿宋"/>
          <w:bCs/>
        </w:rPr>
        <w:t>数据多格式导出：支持excel、CSV等格式的文件导出，并记录相应的导出行为日志。</w:t>
      </w:r>
    </w:p>
    <w:p>
      <w:pPr>
        <w:spacing w:line="500" w:lineRule="exact"/>
        <w:ind w:firstLine="480" w:firstLineChars="200"/>
        <w:rPr>
          <w:rFonts w:ascii="仿宋" w:hAnsi="仿宋"/>
          <w:bCs/>
        </w:rPr>
      </w:pPr>
      <w:r>
        <w:rPr>
          <w:rFonts w:ascii="仿宋" w:hAnsi="仿宋"/>
          <w:bCs/>
        </w:rPr>
        <w:t>30.</w:t>
      </w:r>
      <w:r>
        <w:rPr>
          <w:rFonts w:hint="eastAsia" w:ascii="仿宋" w:hAnsi="仿宋"/>
          <w:bCs/>
        </w:rPr>
        <w:t>样本收藏夹：提供样本标注功能，放入案例收藏夹，设置子课题管理样本队列群体。</w:t>
      </w:r>
    </w:p>
    <w:p>
      <w:pPr>
        <w:spacing w:line="500" w:lineRule="exact"/>
        <w:ind w:firstLine="482" w:firstLineChars="200"/>
        <w:rPr>
          <w:rFonts w:ascii="仿宋" w:hAnsi="仿宋"/>
          <w:b/>
          <w:bCs/>
        </w:rPr>
      </w:pPr>
      <w:r>
        <w:rPr>
          <w:rFonts w:hint="eastAsia" w:ascii="仿宋" w:hAnsi="仿宋"/>
          <w:b/>
          <w:bCs/>
        </w:rPr>
        <w:t>(7)临床课题项目管理</w:t>
      </w:r>
    </w:p>
    <w:p>
      <w:pPr>
        <w:spacing w:line="500" w:lineRule="exact"/>
        <w:ind w:firstLine="480" w:firstLineChars="200"/>
        <w:rPr>
          <w:rFonts w:ascii="仿宋" w:hAnsi="仿宋"/>
          <w:bCs/>
        </w:rPr>
      </w:pPr>
      <w:r>
        <w:rPr>
          <w:rFonts w:ascii="仿宋" w:hAnsi="仿宋"/>
          <w:bCs/>
        </w:rPr>
        <w:t>31.</w:t>
      </w:r>
      <w:r>
        <w:rPr>
          <w:rFonts w:hint="eastAsia" w:ascii="仿宋" w:hAnsi="仿宋"/>
          <w:bCs/>
        </w:rPr>
        <w:t>病种项目管理：提供病种课题项目的创建维护功能，支持负责人设置、参与机构管理、样本量分布设置、受试者编号规则设置等。</w:t>
      </w:r>
    </w:p>
    <w:p>
      <w:pPr>
        <w:spacing w:line="500" w:lineRule="exact"/>
        <w:ind w:firstLine="480" w:firstLineChars="200"/>
        <w:rPr>
          <w:rFonts w:ascii="仿宋" w:hAnsi="仿宋"/>
          <w:bCs/>
        </w:rPr>
      </w:pPr>
      <w:r>
        <w:rPr>
          <w:rFonts w:hint="eastAsia" w:ascii="仿宋" w:hAnsi="仿宋"/>
          <w:bCs/>
        </w:rPr>
        <w:t>3</w:t>
      </w:r>
      <w:r>
        <w:rPr>
          <w:rFonts w:ascii="仿宋" w:hAnsi="仿宋"/>
          <w:bCs/>
        </w:rPr>
        <w:t>2.</w:t>
      </w:r>
      <w:r>
        <w:rPr>
          <w:rFonts w:hint="eastAsia" w:ascii="仿宋" w:hAnsi="仿宋"/>
          <w:bCs/>
        </w:rPr>
        <w:t>项目成员管理：支持项目组成员名单的管理维护功能，以及项目成员功能/数据权限管理（如项目经理、建库员、数据审核员、访问员、电话随访员）。</w:t>
      </w:r>
    </w:p>
    <w:p>
      <w:pPr>
        <w:spacing w:line="500" w:lineRule="exact"/>
        <w:ind w:firstLine="480" w:firstLineChars="200"/>
        <w:rPr>
          <w:rFonts w:ascii="仿宋" w:hAnsi="仿宋"/>
          <w:bCs/>
        </w:rPr>
      </w:pPr>
      <w:r>
        <w:rPr>
          <w:rFonts w:ascii="仿宋" w:hAnsi="仿宋"/>
          <w:bCs/>
        </w:rPr>
        <w:t>33.</w:t>
      </w:r>
      <w:r>
        <w:rPr>
          <w:rFonts w:hint="eastAsia" w:ascii="仿宋" w:hAnsi="仿宋"/>
          <w:bCs/>
        </w:rPr>
        <w:t>项目进度管理：提供项目进度摘要统计，支持在线统计查询项目各类进展情况，包括入组患者随访情况、项目表单数据录入、稽核情况等。</w:t>
      </w:r>
    </w:p>
    <w:p>
      <w:pPr>
        <w:spacing w:line="500" w:lineRule="exact"/>
        <w:ind w:firstLine="482" w:firstLineChars="200"/>
        <w:rPr>
          <w:rFonts w:ascii="仿宋" w:hAnsi="仿宋"/>
          <w:b/>
          <w:bCs/>
        </w:rPr>
      </w:pPr>
      <w:r>
        <w:rPr>
          <w:rFonts w:hint="eastAsia" w:ascii="仿宋" w:hAnsi="仿宋"/>
          <w:b/>
          <w:bCs/>
        </w:rPr>
        <w:t>(8)项目资料文档库</w:t>
      </w:r>
    </w:p>
    <w:p>
      <w:pPr>
        <w:spacing w:line="500" w:lineRule="exact"/>
        <w:ind w:firstLine="480" w:firstLineChars="200"/>
        <w:rPr>
          <w:rFonts w:ascii="仿宋" w:hAnsi="仿宋"/>
          <w:bCs/>
        </w:rPr>
      </w:pPr>
      <w:r>
        <w:rPr>
          <w:rFonts w:hint="eastAsia" w:ascii="仿宋" w:hAnsi="仿宋"/>
          <w:bCs/>
        </w:rPr>
        <w:t>3</w:t>
      </w:r>
      <w:r>
        <w:rPr>
          <w:rFonts w:ascii="仿宋" w:hAnsi="仿宋"/>
          <w:bCs/>
        </w:rPr>
        <w:t>4.</w:t>
      </w:r>
      <w:r>
        <w:rPr>
          <w:rFonts w:hint="eastAsia" w:ascii="仿宋" w:hAnsi="仿宋"/>
          <w:bCs/>
        </w:rPr>
        <w:t>支持项目维护组内知识库，文件上传下载和笔记记录共享，如研究者手册、试验方案、病例报告表、标准操作规程等。</w:t>
      </w:r>
    </w:p>
    <w:p>
      <w:pPr>
        <w:pStyle w:val="5"/>
        <w:rPr>
          <w:sz w:val="24"/>
          <w:szCs w:val="24"/>
        </w:rPr>
      </w:pPr>
      <w:r>
        <w:rPr>
          <w:rFonts w:hint="eastAsia"/>
          <w:sz w:val="24"/>
          <w:szCs w:val="24"/>
        </w:rPr>
        <w:t>（四）智慧健管</w:t>
      </w:r>
    </w:p>
    <w:p>
      <w:pPr>
        <w:spacing w:line="500" w:lineRule="exact"/>
        <w:ind w:firstLine="482" w:firstLineChars="200"/>
        <w:rPr>
          <w:rFonts w:ascii="仿宋" w:hAnsi="仿宋"/>
          <w:b/>
          <w:bCs/>
        </w:rPr>
      </w:pPr>
      <w:r>
        <w:rPr>
          <w:rFonts w:hint="eastAsia" w:ascii="仿宋" w:hAnsi="仿宋"/>
          <w:b/>
          <w:bCs/>
        </w:rPr>
        <w:t>(1)入组招募</w:t>
      </w:r>
    </w:p>
    <w:p>
      <w:pPr>
        <w:spacing w:line="500" w:lineRule="exact"/>
        <w:ind w:firstLine="480" w:firstLineChars="200"/>
        <w:rPr>
          <w:rFonts w:ascii="仿宋" w:hAnsi="仿宋"/>
          <w:bCs/>
        </w:rPr>
      </w:pPr>
      <w:r>
        <w:rPr>
          <w:rFonts w:ascii="仿宋" w:hAnsi="仿宋"/>
          <w:bCs/>
        </w:rPr>
        <w:t>35.</w:t>
      </w:r>
      <w:r>
        <w:rPr>
          <w:rFonts w:hint="eastAsia" w:ascii="仿宋" w:hAnsi="仿宋"/>
          <w:bCs/>
        </w:rPr>
        <w:t>自动招募：根据项目预设入排标准，根据医疗事件从院内系统自动提取符合相应特征的患者入组项目，并标记来源渠道（门诊/体检/住院）、入组时间。</w:t>
      </w:r>
    </w:p>
    <w:p>
      <w:pPr>
        <w:spacing w:line="500" w:lineRule="exact"/>
        <w:ind w:firstLine="480" w:firstLineChars="200"/>
        <w:rPr>
          <w:rFonts w:ascii="仿宋" w:hAnsi="仿宋"/>
          <w:bCs/>
        </w:rPr>
      </w:pPr>
      <w:r>
        <w:rPr>
          <w:rFonts w:ascii="仿宋" w:hAnsi="仿宋"/>
          <w:bCs/>
        </w:rPr>
        <w:t>36.</w:t>
      </w:r>
      <w:r>
        <w:rPr>
          <w:rFonts w:hint="eastAsia" w:ascii="仿宋" w:hAnsi="仿宋"/>
          <w:bCs/>
        </w:rPr>
        <w:t>手动招募：患者可通过扫码自愿申请入组，并由后台审核通过后生效。也可由临床医生推荐患者入组，需支持对接HIS医嘱功能。</w:t>
      </w:r>
    </w:p>
    <w:p>
      <w:pPr>
        <w:spacing w:line="500" w:lineRule="exact"/>
        <w:ind w:firstLine="440" w:firstLineChars="200"/>
        <w:rPr>
          <w:rFonts w:ascii="仿宋" w:hAnsi="仿宋"/>
          <w:b/>
          <w:bCs/>
        </w:rPr>
      </w:pPr>
      <w:r>
        <w:rPr>
          <w:rFonts w:hint="eastAsia" w:ascii="仿宋_GB2312" w:hAnsi="方正仿宋简体" w:eastAsia="仿宋_GB2312" w:cs="方正仿宋简体"/>
          <w:bCs/>
          <w:sz w:val="22"/>
        </w:rPr>
        <w:t>▲</w:t>
      </w:r>
      <w:r>
        <w:rPr>
          <w:rFonts w:ascii="仿宋" w:hAnsi="仿宋"/>
          <w:b/>
          <w:bCs/>
        </w:rPr>
        <w:t>37.</w:t>
      </w:r>
      <w:r>
        <w:rPr>
          <w:rFonts w:hint="eastAsia" w:ascii="仿宋" w:hAnsi="仿宋"/>
          <w:b/>
          <w:szCs w:val="21"/>
        </w:rPr>
        <w:t>人群分层：</w:t>
      </w:r>
      <w:r>
        <w:rPr>
          <w:rFonts w:hint="eastAsia" w:ascii="仿宋" w:hAnsi="仿宋"/>
          <w:b/>
          <w:bCs/>
        </w:rPr>
        <w:t>支持大数据技术及人群分层标签，筛选目标用户实现智能入组，根据用户个人档案信息个性化推送随访方案。（投标文件中单独提供功能实现承诺函）</w:t>
      </w:r>
    </w:p>
    <w:p>
      <w:pPr>
        <w:spacing w:line="500" w:lineRule="exact"/>
        <w:ind w:firstLine="482" w:firstLineChars="200"/>
        <w:rPr>
          <w:rFonts w:ascii="仿宋" w:hAnsi="仿宋"/>
          <w:b/>
          <w:bCs/>
        </w:rPr>
      </w:pPr>
      <w:r>
        <w:rPr>
          <w:rFonts w:hint="eastAsia" w:ascii="仿宋" w:hAnsi="仿宋"/>
          <w:b/>
          <w:bCs/>
        </w:rPr>
        <w:t>(2)智慧化全程管理</w:t>
      </w:r>
    </w:p>
    <w:p>
      <w:pPr>
        <w:spacing w:line="500" w:lineRule="exact"/>
        <w:ind w:firstLine="480" w:firstLineChars="200"/>
        <w:rPr>
          <w:rFonts w:ascii="仿宋" w:hAnsi="仿宋"/>
          <w:bCs/>
        </w:rPr>
      </w:pPr>
      <w:r>
        <w:rPr>
          <w:rFonts w:ascii="仿宋" w:hAnsi="仿宋"/>
          <w:bCs/>
        </w:rPr>
        <w:t>38.</w:t>
      </w:r>
      <w:r>
        <w:rPr>
          <w:rFonts w:hint="eastAsia" w:ascii="仿宋" w:hAnsi="仿宋"/>
          <w:bCs/>
        </w:rPr>
        <w:t>全程管理：以可视化时间轴的形式支持对入组患者进行个性化随访计划配置，并可依据随访模板快速生成周期随访计划。提供节点维护功能，依据节点进行CRF表单随访，根据预设随访规则实现自动/手动的随访状态更新，实时管理患者进度。</w:t>
      </w:r>
    </w:p>
    <w:p>
      <w:pPr>
        <w:spacing w:line="500" w:lineRule="exact"/>
        <w:ind w:firstLine="480" w:firstLineChars="200"/>
        <w:rPr>
          <w:rFonts w:ascii="仿宋" w:hAnsi="仿宋"/>
          <w:bCs/>
        </w:rPr>
      </w:pPr>
      <w:r>
        <w:rPr>
          <w:rFonts w:ascii="仿宋" w:hAnsi="仿宋"/>
          <w:bCs/>
        </w:rPr>
        <w:t>39.</w:t>
      </w:r>
      <w:r>
        <w:rPr>
          <w:rFonts w:hint="eastAsia" w:ascii="仿宋" w:hAnsi="仿宋"/>
          <w:bCs/>
        </w:rPr>
        <w:t>患者服务：可对接院内系统如HIS医嘱，实现代挂号、代约检查、发起MDT会诊、发起检查/检验申请等患者服务。</w:t>
      </w:r>
    </w:p>
    <w:p>
      <w:pPr>
        <w:spacing w:line="500" w:lineRule="exact"/>
        <w:ind w:firstLine="482" w:firstLineChars="200"/>
        <w:rPr>
          <w:rFonts w:ascii="仿宋" w:hAnsi="仿宋"/>
          <w:b/>
          <w:bCs/>
        </w:rPr>
      </w:pPr>
      <w:r>
        <w:rPr>
          <w:rFonts w:hint="eastAsia" w:ascii="仿宋" w:hAnsi="仿宋"/>
          <w:b/>
          <w:bCs/>
        </w:rPr>
        <w:t>(3)电子采集录入</w:t>
      </w:r>
    </w:p>
    <w:p>
      <w:pPr>
        <w:spacing w:line="500" w:lineRule="exact"/>
        <w:ind w:firstLine="480" w:firstLineChars="200"/>
        <w:rPr>
          <w:rFonts w:ascii="仿宋" w:hAnsi="仿宋"/>
          <w:bCs/>
        </w:rPr>
      </w:pPr>
      <w:r>
        <w:rPr>
          <w:rFonts w:ascii="仿宋" w:hAnsi="仿宋"/>
          <w:bCs/>
        </w:rPr>
        <w:t>40.</w:t>
      </w:r>
      <w:r>
        <w:rPr>
          <w:rFonts w:hint="eastAsia" w:ascii="仿宋" w:hAnsi="仿宋"/>
          <w:bCs/>
        </w:rPr>
        <w:t>支持手工录入、患者上报、ETL采集填充、对照录入四种方式。</w:t>
      </w:r>
    </w:p>
    <w:p>
      <w:pPr>
        <w:spacing w:line="500" w:lineRule="exact"/>
        <w:ind w:firstLine="480" w:firstLineChars="200"/>
        <w:rPr>
          <w:rFonts w:ascii="仿宋" w:hAnsi="仿宋"/>
          <w:bCs/>
        </w:rPr>
      </w:pPr>
      <w:r>
        <w:rPr>
          <w:rFonts w:ascii="仿宋" w:hAnsi="仿宋"/>
          <w:bCs/>
        </w:rPr>
        <w:t>41.</w:t>
      </w:r>
      <w:r>
        <w:rPr>
          <w:rFonts w:hint="eastAsia" w:ascii="仿宋" w:hAnsi="仿宋"/>
          <w:bCs/>
        </w:rPr>
        <w:t>表单支持数据补录，医护人员可对CRF内容进行最终的修改确认和归档入库。</w:t>
      </w:r>
    </w:p>
    <w:p>
      <w:pPr>
        <w:spacing w:line="500" w:lineRule="exact"/>
        <w:ind w:firstLine="480" w:firstLineChars="200"/>
        <w:rPr>
          <w:rFonts w:ascii="仿宋" w:hAnsi="仿宋"/>
          <w:bCs/>
        </w:rPr>
      </w:pPr>
      <w:r>
        <w:rPr>
          <w:rFonts w:ascii="仿宋" w:hAnsi="仿宋"/>
          <w:bCs/>
        </w:rPr>
        <w:t>42.</w:t>
      </w:r>
      <w:r>
        <w:rPr>
          <w:rFonts w:hint="eastAsia" w:ascii="仿宋" w:hAnsi="仿宋"/>
          <w:bCs/>
        </w:rPr>
        <w:t>单份CRF提交后，提供版本修改记录功能，可对比查看原始提交版本和二次修改版本。</w:t>
      </w:r>
    </w:p>
    <w:p>
      <w:pPr>
        <w:spacing w:line="500" w:lineRule="exact"/>
        <w:ind w:firstLine="482" w:firstLineChars="200"/>
        <w:rPr>
          <w:rFonts w:ascii="仿宋" w:hAnsi="仿宋"/>
          <w:b/>
          <w:bCs/>
        </w:rPr>
      </w:pPr>
      <w:r>
        <w:rPr>
          <w:rFonts w:hint="eastAsia" w:ascii="仿宋" w:hAnsi="仿宋"/>
          <w:b/>
          <w:bCs/>
        </w:rPr>
        <w:t>(4)自动随访通知</w:t>
      </w:r>
    </w:p>
    <w:p>
      <w:pPr>
        <w:spacing w:line="500" w:lineRule="exact"/>
        <w:ind w:firstLine="480" w:firstLineChars="200"/>
        <w:rPr>
          <w:rFonts w:ascii="仿宋" w:hAnsi="仿宋"/>
          <w:bCs/>
        </w:rPr>
      </w:pPr>
      <w:r>
        <w:rPr>
          <w:rFonts w:ascii="仿宋" w:hAnsi="仿宋"/>
          <w:bCs/>
        </w:rPr>
        <w:t>43.</w:t>
      </w:r>
      <w:r>
        <w:rPr>
          <w:rFonts w:hint="eastAsia" w:ascii="仿宋" w:hAnsi="仿宋"/>
          <w:bCs/>
        </w:rPr>
        <w:t>短信通知：提供短信自动推送功能，根据自定义推送规则，针对患者入组、近期随访、就诊提醒、术前准备等事件进行患者提醒。提供短信群发功能，根据筛选条件选择患者范围，自定义编辑短信内容进行发送。</w:t>
      </w:r>
    </w:p>
    <w:p>
      <w:pPr>
        <w:spacing w:line="500" w:lineRule="exact"/>
        <w:ind w:firstLine="480" w:firstLineChars="200"/>
        <w:rPr>
          <w:rFonts w:ascii="仿宋" w:hAnsi="仿宋"/>
          <w:bCs/>
        </w:rPr>
      </w:pPr>
      <w:r>
        <w:rPr>
          <w:rFonts w:ascii="仿宋" w:hAnsi="仿宋"/>
          <w:bCs/>
        </w:rPr>
        <w:t>44.</w:t>
      </w:r>
      <w:r>
        <w:rPr>
          <w:rFonts w:hint="eastAsia" w:ascii="仿宋" w:hAnsi="仿宋"/>
          <w:bCs/>
        </w:rPr>
        <w:t>电话通知：提供电话通知记录功能，根据预设规则自动生成待电话沟通任务清单，提醒医护跟进处理，并支持记录电话随访内容。</w:t>
      </w:r>
    </w:p>
    <w:p>
      <w:pPr>
        <w:spacing w:line="500" w:lineRule="exact"/>
        <w:ind w:firstLine="482" w:firstLineChars="200"/>
        <w:rPr>
          <w:rFonts w:ascii="仿宋" w:hAnsi="仿宋"/>
          <w:b/>
          <w:bCs/>
        </w:rPr>
      </w:pPr>
      <w:r>
        <w:rPr>
          <w:rFonts w:hint="eastAsia" w:ascii="仿宋" w:hAnsi="仿宋"/>
          <w:b/>
          <w:bCs/>
        </w:rPr>
        <w:t>(5)专病风险模型</w:t>
      </w:r>
    </w:p>
    <w:p>
      <w:pPr>
        <w:spacing w:line="500" w:lineRule="exact"/>
        <w:ind w:firstLine="480" w:firstLineChars="200"/>
        <w:rPr>
          <w:rFonts w:ascii="仿宋" w:hAnsi="仿宋"/>
          <w:bCs/>
        </w:rPr>
      </w:pPr>
      <w:r>
        <w:rPr>
          <w:rFonts w:hint="eastAsia" w:ascii="仿宋" w:hAnsi="仿宋"/>
          <w:bCs/>
        </w:rPr>
        <w:t>4</w:t>
      </w:r>
      <w:r>
        <w:rPr>
          <w:rFonts w:ascii="仿宋" w:hAnsi="仿宋"/>
          <w:bCs/>
        </w:rPr>
        <w:t>5.</w:t>
      </w:r>
      <w:r>
        <w:rPr>
          <w:rFonts w:hint="eastAsia" w:ascii="仿宋" w:hAnsi="仿宋"/>
          <w:bCs/>
        </w:rPr>
        <w:t>可针对专病配置危急值评估模型，定期或根据预设触发条件，自动进行风险评估。筛选高危患者进行着重提示，并提供名单导出功能。</w:t>
      </w:r>
    </w:p>
    <w:p>
      <w:pPr>
        <w:spacing w:line="500" w:lineRule="exact"/>
        <w:ind w:firstLine="482" w:firstLineChars="200"/>
        <w:rPr>
          <w:rFonts w:ascii="仿宋" w:hAnsi="仿宋"/>
          <w:b/>
          <w:bCs/>
        </w:rPr>
      </w:pPr>
      <w:r>
        <w:rPr>
          <w:rFonts w:hint="eastAsia" w:ascii="仿宋" w:hAnsi="仿宋"/>
          <w:b/>
          <w:bCs/>
        </w:rPr>
        <w:t>(6)样本库对接</w:t>
      </w:r>
    </w:p>
    <w:p>
      <w:pPr>
        <w:spacing w:line="500" w:lineRule="exact"/>
        <w:ind w:firstLine="480" w:firstLineChars="200"/>
        <w:rPr>
          <w:rFonts w:ascii="仿宋" w:hAnsi="仿宋"/>
          <w:bCs/>
        </w:rPr>
      </w:pPr>
      <w:r>
        <w:rPr>
          <w:rFonts w:ascii="仿宋" w:hAnsi="仿宋"/>
          <w:bCs/>
        </w:rPr>
        <w:t>46.</w:t>
      </w:r>
      <w:r>
        <w:rPr>
          <w:rFonts w:hint="eastAsia" w:ascii="仿宋" w:hAnsi="仿宋"/>
          <w:bCs/>
        </w:rPr>
        <w:t>样本采集：提供各类样本采集容器的条码打印功能，一管一码，支持条码扫码入库，记录相应入库操作日志。</w:t>
      </w:r>
    </w:p>
    <w:p>
      <w:pPr>
        <w:spacing w:line="500" w:lineRule="exact"/>
        <w:ind w:firstLine="480" w:firstLineChars="200"/>
        <w:rPr>
          <w:rFonts w:ascii="仿宋" w:hAnsi="仿宋"/>
          <w:bCs/>
        </w:rPr>
      </w:pPr>
      <w:r>
        <w:rPr>
          <w:rFonts w:ascii="仿宋" w:hAnsi="仿宋"/>
          <w:bCs/>
        </w:rPr>
        <w:t>47.</w:t>
      </w:r>
      <w:r>
        <w:rPr>
          <w:rFonts w:hint="eastAsia" w:ascii="仿宋" w:hAnsi="仿宋"/>
          <w:bCs/>
        </w:rPr>
        <w:t>库内查询：提供样本库对接能力，依据条码查询对应标本存储情况，提供标本数据分析统计功能。</w:t>
      </w:r>
    </w:p>
    <w:p>
      <w:pPr>
        <w:spacing w:line="500" w:lineRule="exact"/>
        <w:ind w:firstLine="482" w:firstLineChars="200"/>
        <w:rPr>
          <w:rFonts w:ascii="仿宋" w:hAnsi="仿宋"/>
          <w:b/>
          <w:bCs/>
        </w:rPr>
      </w:pPr>
      <w:r>
        <w:rPr>
          <w:rFonts w:hint="eastAsia" w:ascii="仿宋" w:hAnsi="仿宋"/>
          <w:b/>
          <w:bCs/>
        </w:rPr>
        <w:t>(7)数据分析</w:t>
      </w:r>
    </w:p>
    <w:p>
      <w:pPr>
        <w:spacing w:line="500" w:lineRule="exact"/>
        <w:ind w:firstLine="480" w:firstLineChars="200"/>
        <w:rPr>
          <w:rFonts w:ascii="仿宋" w:hAnsi="仿宋"/>
          <w:bCs/>
        </w:rPr>
      </w:pPr>
      <w:r>
        <w:rPr>
          <w:rFonts w:hint="eastAsia" w:ascii="仿宋" w:hAnsi="仿宋"/>
          <w:bCs/>
        </w:rPr>
        <w:t>4</w:t>
      </w:r>
      <w:r>
        <w:rPr>
          <w:rFonts w:ascii="仿宋" w:hAnsi="仿宋"/>
          <w:bCs/>
        </w:rPr>
        <w:t>8.</w:t>
      </w:r>
      <w:r>
        <w:rPr>
          <w:rFonts w:hint="eastAsia" w:ascii="仿宋" w:hAnsi="仿宋"/>
          <w:bCs/>
        </w:rPr>
        <w:t>支持对入组患者的管理情况进行统计，包括入组情况、入组分布及医护工作量统计。支持对患者基线情况进行构成分析（基础属性、健康属性）。</w:t>
      </w:r>
    </w:p>
    <w:p>
      <w:pPr>
        <w:pStyle w:val="5"/>
        <w:rPr>
          <w:sz w:val="24"/>
          <w:szCs w:val="24"/>
        </w:rPr>
      </w:pPr>
      <w:r>
        <w:rPr>
          <w:rFonts w:hint="eastAsia"/>
          <w:sz w:val="24"/>
          <w:szCs w:val="24"/>
        </w:rPr>
        <w:t>（五）患者随访小程序</w:t>
      </w:r>
    </w:p>
    <w:p>
      <w:pPr>
        <w:spacing w:line="500" w:lineRule="exact"/>
        <w:ind w:firstLine="482" w:firstLineChars="200"/>
        <w:rPr>
          <w:rFonts w:ascii="仿宋" w:hAnsi="仿宋"/>
          <w:b/>
          <w:bCs/>
        </w:rPr>
      </w:pPr>
      <w:r>
        <w:rPr>
          <w:rFonts w:hint="eastAsia" w:ascii="仿宋" w:hAnsi="仿宋"/>
          <w:b/>
          <w:bCs/>
        </w:rPr>
        <w:t>(1)健康随访</w:t>
      </w:r>
    </w:p>
    <w:p>
      <w:pPr>
        <w:spacing w:line="500" w:lineRule="exact"/>
        <w:ind w:firstLine="480" w:firstLineChars="200"/>
        <w:rPr>
          <w:rFonts w:ascii="仿宋" w:hAnsi="仿宋"/>
          <w:bCs/>
        </w:rPr>
      </w:pPr>
      <w:r>
        <w:rPr>
          <w:rFonts w:hint="eastAsia" w:ascii="仿宋" w:hAnsi="仿宋"/>
          <w:bCs/>
        </w:rPr>
        <w:t>4</w:t>
      </w:r>
      <w:r>
        <w:rPr>
          <w:rFonts w:ascii="仿宋" w:hAnsi="仿宋"/>
          <w:bCs/>
        </w:rPr>
        <w:t>9.</w:t>
      </w:r>
      <w:r>
        <w:rPr>
          <w:rFonts w:hint="eastAsia" w:ascii="仿宋" w:hAnsi="仿宋"/>
          <w:bCs/>
        </w:rPr>
        <w:t>按照医院既定的随访计划，患者通过小程序/短信等工具，自助完成随访反馈，并对接上报至专病数据库，可由医护进行二次确认修改。</w:t>
      </w:r>
    </w:p>
    <w:p>
      <w:pPr>
        <w:spacing w:line="500" w:lineRule="exact"/>
        <w:ind w:firstLine="482" w:firstLineChars="200"/>
        <w:rPr>
          <w:rFonts w:ascii="仿宋" w:hAnsi="仿宋"/>
          <w:b/>
          <w:bCs/>
        </w:rPr>
      </w:pPr>
      <w:r>
        <w:rPr>
          <w:rFonts w:hint="eastAsia" w:ascii="仿宋" w:hAnsi="仿宋"/>
          <w:b/>
          <w:bCs/>
        </w:rPr>
        <w:t>(2)健康档案</w:t>
      </w:r>
    </w:p>
    <w:p>
      <w:pPr>
        <w:spacing w:line="500" w:lineRule="exact"/>
        <w:ind w:firstLine="480" w:firstLineChars="200"/>
        <w:rPr>
          <w:rFonts w:ascii="仿宋" w:hAnsi="仿宋"/>
          <w:bCs/>
        </w:rPr>
      </w:pPr>
      <w:r>
        <w:rPr>
          <w:rFonts w:ascii="仿宋" w:hAnsi="仿宋"/>
          <w:bCs/>
        </w:rPr>
        <w:t>50.</w:t>
      </w:r>
      <w:r>
        <w:rPr>
          <w:rFonts w:hint="eastAsia" w:ascii="仿宋" w:hAnsi="仿宋"/>
          <w:bCs/>
        </w:rPr>
        <w:t>健康档案管理：管理患者的个人家族史、既往史以及健康状况信息等身份信息、健康信息，患者可自行添加修改健康档案记录。</w:t>
      </w:r>
    </w:p>
    <w:p>
      <w:pPr>
        <w:spacing w:line="500" w:lineRule="exact"/>
        <w:ind w:firstLine="480" w:firstLineChars="200"/>
        <w:rPr>
          <w:rFonts w:ascii="仿宋" w:hAnsi="仿宋"/>
          <w:bCs/>
        </w:rPr>
      </w:pPr>
      <w:r>
        <w:rPr>
          <w:rFonts w:hint="eastAsia" w:ascii="仿宋" w:hAnsi="仿宋"/>
          <w:bCs/>
        </w:rPr>
        <w:t>5</w:t>
      </w:r>
      <w:r>
        <w:rPr>
          <w:rFonts w:ascii="仿宋" w:hAnsi="仿宋"/>
          <w:bCs/>
        </w:rPr>
        <w:t>1.</w:t>
      </w:r>
      <w:r>
        <w:rPr>
          <w:rFonts w:hint="eastAsia" w:ascii="仿宋" w:hAnsi="仿宋"/>
          <w:bCs/>
        </w:rPr>
        <w:t>健康风险评估：根据健康档案信息有效地评估出患者目前健康状况及在未来相关的危险因素，并确定个人处于“健康”、“亚健康”、“高风险”以及“患病”的标签，对于处于“亚健康”、“高风险”以及“患病”的个人，将分析个人的危险因素。</w:t>
      </w:r>
    </w:p>
    <w:p>
      <w:pPr>
        <w:spacing w:line="500" w:lineRule="exact"/>
        <w:ind w:firstLine="482" w:firstLineChars="200"/>
        <w:rPr>
          <w:rFonts w:ascii="仿宋" w:hAnsi="仿宋"/>
          <w:b/>
          <w:bCs/>
        </w:rPr>
      </w:pPr>
      <w:r>
        <w:rPr>
          <w:rFonts w:hint="eastAsia" w:ascii="仿宋" w:hAnsi="仿宋"/>
          <w:b/>
          <w:bCs/>
        </w:rPr>
        <w:t>(3)健康患教</w:t>
      </w:r>
    </w:p>
    <w:p>
      <w:pPr>
        <w:spacing w:line="500" w:lineRule="exact"/>
        <w:ind w:firstLine="480" w:firstLineChars="200"/>
        <w:rPr>
          <w:rFonts w:ascii="仿宋" w:hAnsi="仿宋"/>
          <w:bCs/>
        </w:rPr>
      </w:pPr>
      <w:r>
        <w:rPr>
          <w:rFonts w:ascii="仿宋" w:hAnsi="仿宋"/>
          <w:bCs/>
        </w:rPr>
        <w:t>52.</w:t>
      </w:r>
      <w:r>
        <w:rPr>
          <w:rFonts w:hint="eastAsia" w:ascii="仿宋" w:hAnsi="仿宋"/>
          <w:bCs/>
        </w:rPr>
        <w:t>根据患者专病诊疗情况，提供针对性的健康指导建议、支持自动/手动推送文章、视频等专病患教内容，支持设置规则模板，以短信、微信等形式定期提醒患者按时复查和遵循健康生活习惯。</w:t>
      </w:r>
    </w:p>
    <w:p>
      <w:pPr>
        <w:pStyle w:val="5"/>
        <w:rPr>
          <w:sz w:val="24"/>
          <w:szCs w:val="24"/>
        </w:rPr>
      </w:pPr>
      <w:r>
        <w:rPr>
          <w:rFonts w:hint="eastAsia"/>
          <w:sz w:val="24"/>
          <w:szCs w:val="24"/>
        </w:rPr>
        <w:t>（六）专科专病服务</w:t>
      </w:r>
    </w:p>
    <w:p>
      <w:pPr>
        <w:spacing w:line="500" w:lineRule="exact"/>
        <w:ind w:firstLine="482" w:firstLineChars="200"/>
        <w:rPr>
          <w:rFonts w:ascii="仿宋" w:hAnsi="仿宋"/>
          <w:b/>
          <w:bCs/>
        </w:rPr>
      </w:pPr>
      <w:r>
        <w:rPr>
          <w:rFonts w:hint="eastAsia" w:ascii="仿宋" w:hAnsi="仿宋"/>
          <w:b/>
          <w:bCs/>
        </w:rPr>
        <w:t>(</w:t>
      </w:r>
      <w:r>
        <w:rPr>
          <w:rFonts w:ascii="仿宋" w:hAnsi="仿宋"/>
          <w:b/>
          <w:bCs/>
        </w:rPr>
        <w:t>1)</w:t>
      </w:r>
      <w:r>
        <w:rPr>
          <w:rFonts w:hint="eastAsia" w:ascii="仿宋" w:hAnsi="仿宋"/>
          <w:b/>
          <w:bCs/>
        </w:rPr>
        <w:t>辅助临床试验方案设计</w:t>
      </w:r>
    </w:p>
    <w:p>
      <w:pPr>
        <w:spacing w:line="500" w:lineRule="exact"/>
        <w:ind w:firstLine="480" w:firstLineChars="200"/>
        <w:rPr>
          <w:rFonts w:ascii="仿宋" w:hAnsi="仿宋"/>
          <w:bCs/>
        </w:rPr>
      </w:pPr>
      <w:r>
        <w:rPr>
          <w:rFonts w:hint="eastAsia" w:ascii="仿宋" w:hAnsi="仿宋"/>
          <w:bCs/>
        </w:rPr>
        <w:t>设计具体专病数据集结构，辅助进行课题灵感探索和方向验证。具体要求包括：</w:t>
      </w:r>
    </w:p>
    <w:p>
      <w:pPr>
        <w:spacing w:line="500" w:lineRule="exact"/>
        <w:ind w:firstLine="480" w:firstLineChars="200"/>
        <w:rPr>
          <w:rFonts w:ascii="仿宋" w:hAnsi="仿宋"/>
          <w:bCs/>
        </w:rPr>
      </w:pPr>
      <w:r>
        <w:rPr>
          <w:rFonts w:ascii="仿宋" w:hAnsi="仿宋"/>
          <w:bCs/>
        </w:rPr>
        <w:t>53.</w:t>
      </w:r>
      <w:r>
        <w:rPr>
          <w:rFonts w:hint="eastAsia" w:ascii="仿宋" w:hAnsi="仿宋"/>
          <w:bCs/>
        </w:rPr>
        <w:t>基于专科专病的科研平台，提供患者全结构化科研数据模型，能够将患者全病程结构化临床数据进行统一组织。</w:t>
      </w:r>
    </w:p>
    <w:p>
      <w:pPr>
        <w:spacing w:line="500" w:lineRule="exact"/>
        <w:ind w:firstLine="480" w:firstLineChars="200"/>
        <w:rPr>
          <w:rFonts w:ascii="仿宋" w:hAnsi="仿宋"/>
          <w:bCs/>
        </w:rPr>
      </w:pPr>
      <w:r>
        <w:rPr>
          <w:rFonts w:ascii="仿宋" w:hAnsi="仿宋"/>
          <w:bCs/>
        </w:rPr>
        <w:t>54.</w:t>
      </w:r>
      <w:r>
        <w:rPr>
          <w:rFonts w:hint="eastAsia" w:ascii="仿宋" w:hAnsi="仿宋"/>
          <w:bCs/>
        </w:rPr>
        <w:t>针对PI关心选题，提供文献检索支持服务，为临床试验方案设计提供灵感和方向验证。</w:t>
      </w:r>
    </w:p>
    <w:p>
      <w:pPr>
        <w:spacing w:line="500" w:lineRule="exact"/>
        <w:ind w:firstLine="480" w:firstLineChars="200"/>
        <w:rPr>
          <w:rFonts w:ascii="仿宋" w:hAnsi="仿宋"/>
          <w:bCs/>
        </w:rPr>
      </w:pPr>
      <w:r>
        <w:rPr>
          <w:rFonts w:ascii="仿宋" w:hAnsi="仿宋"/>
          <w:bCs/>
        </w:rPr>
        <w:t>55.</w:t>
      </w:r>
      <w:r>
        <w:rPr>
          <w:rFonts w:hint="eastAsia" w:ascii="仿宋" w:hAnsi="仿宋"/>
          <w:bCs/>
        </w:rPr>
        <w:t>在拟定科研方向后，结合数据质控结果，对研究对象样本量与关键研究指标数据质量进行验证，明确研究可行性。</w:t>
      </w:r>
    </w:p>
    <w:p>
      <w:pPr>
        <w:spacing w:line="500" w:lineRule="exact"/>
        <w:ind w:firstLine="482" w:firstLineChars="200"/>
        <w:rPr>
          <w:rFonts w:ascii="仿宋" w:hAnsi="仿宋"/>
          <w:b/>
          <w:bCs/>
        </w:rPr>
      </w:pPr>
      <w:r>
        <w:rPr>
          <w:rFonts w:hint="eastAsia" w:ascii="仿宋" w:hAnsi="仿宋"/>
          <w:b/>
          <w:bCs/>
        </w:rPr>
        <w:t>（2）科研数据分析</w:t>
      </w:r>
    </w:p>
    <w:p>
      <w:pPr>
        <w:spacing w:line="500" w:lineRule="exact"/>
        <w:ind w:firstLine="480" w:firstLineChars="200"/>
        <w:rPr>
          <w:rFonts w:ascii="仿宋" w:hAnsi="仿宋"/>
          <w:bCs/>
        </w:rPr>
      </w:pPr>
      <w:r>
        <w:rPr>
          <w:rFonts w:ascii="仿宋" w:hAnsi="仿宋"/>
          <w:bCs/>
        </w:rPr>
        <w:t>56.</w:t>
      </w:r>
      <w:r>
        <w:rPr>
          <w:rFonts w:hint="eastAsia" w:ascii="仿宋" w:hAnsi="仿宋"/>
          <w:bCs/>
        </w:rPr>
        <w:t>提供数据标准化治理、分析挖掘和统计分析等数据服务。</w:t>
      </w:r>
    </w:p>
    <w:p>
      <w:pPr>
        <w:spacing w:line="500" w:lineRule="exact"/>
        <w:ind w:firstLine="480" w:firstLineChars="200"/>
        <w:rPr>
          <w:rFonts w:ascii="仿宋" w:hAnsi="仿宋"/>
          <w:bCs/>
        </w:rPr>
      </w:pPr>
      <w:r>
        <w:rPr>
          <w:rFonts w:ascii="仿宋" w:hAnsi="仿宋"/>
          <w:bCs/>
        </w:rPr>
        <w:t>5</w:t>
      </w:r>
      <w:r>
        <w:rPr>
          <w:rFonts w:hint="eastAsia" w:ascii="仿宋" w:hAnsi="仿宋"/>
          <w:bCs/>
        </w:rPr>
        <w:t>7</w:t>
      </w:r>
      <w:r>
        <w:rPr>
          <w:rFonts w:ascii="仿宋" w:hAnsi="仿宋"/>
          <w:bCs/>
        </w:rPr>
        <w:t>.</w:t>
      </w:r>
      <w:r>
        <w:rPr>
          <w:rFonts w:hint="eastAsia" w:ascii="仿宋" w:hAnsi="仿宋"/>
          <w:bCs/>
        </w:rPr>
        <w:t>结合临床研究需要,围绕科研流程中重复、低效、高频的数据处理操作提供对应功能。</w:t>
      </w:r>
    </w:p>
    <w:p>
      <w:pPr>
        <w:spacing w:line="500" w:lineRule="exact"/>
        <w:ind w:firstLine="480" w:firstLineChars="200"/>
        <w:rPr>
          <w:rFonts w:ascii="仿宋" w:hAnsi="仿宋"/>
          <w:bCs/>
        </w:rPr>
      </w:pPr>
      <w:r>
        <w:rPr>
          <w:rFonts w:ascii="仿宋" w:hAnsi="仿宋"/>
          <w:bCs/>
        </w:rPr>
        <w:t>5</w:t>
      </w:r>
      <w:r>
        <w:rPr>
          <w:rFonts w:hint="eastAsia" w:ascii="仿宋" w:hAnsi="仿宋"/>
          <w:bCs/>
        </w:rPr>
        <w:t>8</w:t>
      </w:r>
      <w:r>
        <w:rPr>
          <w:rFonts w:ascii="仿宋" w:hAnsi="仿宋"/>
          <w:bCs/>
        </w:rPr>
        <w:t>.</w:t>
      </w:r>
      <w:r>
        <w:rPr>
          <w:rFonts w:hint="eastAsia" w:ascii="仿宋" w:hAnsi="仿宋"/>
          <w:bCs/>
        </w:rPr>
        <w:t>可视化分析人群的结构特征、流向和分布，提升科研数据挖掘整体效率。</w:t>
      </w:r>
    </w:p>
    <w:p>
      <w:pPr>
        <w:spacing w:line="500" w:lineRule="exact"/>
        <w:ind w:firstLine="480" w:firstLineChars="200"/>
        <w:rPr>
          <w:rFonts w:ascii="仿宋" w:hAnsi="仿宋"/>
          <w:bCs/>
        </w:rPr>
      </w:pPr>
      <w:r>
        <w:rPr>
          <w:rFonts w:ascii="仿宋" w:hAnsi="仿宋"/>
          <w:bCs/>
        </w:rPr>
        <w:t>5</w:t>
      </w:r>
      <w:r>
        <w:rPr>
          <w:rFonts w:hint="eastAsia" w:ascii="仿宋" w:hAnsi="仿宋"/>
          <w:bCs/>
        </w:rPr>
        <w:t>9</w:t>
      </w:r>
      <w:r>
        <w:rPr>
          <w:rFonts w:ascii="仿宋" w:hAnsi="仿宋"/>
          <w:bCs/>
        </w:rPr>
        <w:t>.</w:t>
      </w:r>
      <w:r>
        <w:rPr>
          <w:rFonts w:hint="eastAsia" w:ascii="仿宋" w:hAnsi="仿宋"/>
          <w:bCs/>
        </w:rPr>
        <w:t>嵌入科研常用的统计模型，用户自定义统计字段，并生成常见的科研探索所需统计图，支持自动计算常规数据描述统计，协助挖掘数据规律。</w:t>
      </w:r>
    </w:p>
    <w:p>
      <w:pPr>
        <w:spacing w:line="500" w:lineRule="exact"/>
        <w:ind w:firstLine="480" w:firstLineChars="200"/>
        <w:rPr>
          <w:rFonts w:ascii="仿宋" w:hAnsi="仿宋"/>
          <w:bCs/>
        </w:rPr>
      </w:pPr>
      <w:r>
        <w:rPr>
          <w:rFonts w:hint="eastAsia" w:ascii="仿宋" w:hAnsi="仿宋"/>
          <w:bCs/>
        </w:rPr>
        <w:t>60</w:t>
      </w:r>
      <w:r>
        <w:rPr>
          <w:rFonts w:ascii="仿宋" w:hAnsi="仿宋"/>
          <w:bCs/>
        </w:rPr>
        <w:t>.</w:t>
      </w:r>
      <w:r>
        <w:rPr>
          <w:rFonts w:hint="eastAsia" w:ascii="仿宋" w:hAnsi="仿宋"/>
          <w:bCs/>
        </w:rPr>
        <w:t>对于更加复杂、定制化的推断数据分析需求，在数据锁定后三个月内，在数据脱敏导出后，按照PI需求支持相关分析工作。</w:t>
      </w:r>
    </w:p>
    <w:p>
      <w:pPr>
        <w:rPr>
          <w:rFonts w:ascii="宋体"/>
          <w:szCs w:val="36"/>
        </w:rPr>
      </w:pPr>
      <w:r>
        <w:rPr>
          <w:rFonts w:hint="eastAsia" w:ascii="宋体"/>
          <w:szCs w:val="36"/>
        </w:rPr>
        <w:br w:type="page"/>
      </w:r>
    </w:p>
    <w:p>
      <w:pPr>
        <w:pStyle w:val="5"/>
        <w:rPr>
          <w:rFonts w:ascii="宋体"/>
          <w:szCs w:val="36"/>
        </w:rPr>
      </w:pPr>
      <w:r>
        <w:rPr>
          <w:rFonts w:hint="eastAsia" w:ascii="宋体"/>
          <w:szCs w:val="36"/>
        </w:rPr>
        <w:t>包6：心脏介入中心数字化管理系统</w:t>
      </w:r>
    </w:p>
    <w:p>
      <w:pPr>
        <w:pStyle w:val="4"/>
        <w:spacing w:line="400" w:lineRule="exact"/>
        <w:rPr>
          <w:rFonts w:ascii="仿宋" w:hAnsi="仿宋"/>
          <w:sz w:val="24"/>
          <w:szCs w:val="24"/>
        </w:rPr>
      </w:pPr>
      <w:r>
        <w:rPr>
          <w:rFonts w:hint="eastAsia" w:ascii="仿宋" w:hAnsi="仿宋"/>
          <w:sz w:val="24"/>
          <w:szCs w:val="24"/>
        </w:rPr>
        <w:t>一、项目概述</w:t>
      </w:r>
    </w:p>
    <w:p>
      <w:pPr>
        <w:ind w:firstLine="480" w:firstLineChars="200"/>
        <w:rPr>
          <w:rFonts w:ascii="仿宋" w:hAnsi="仿宋"/>
          <w:szCs w:val="21"/>
        </w:rPr>
      </w:pPr>
      <w:r>
        <w:rPr>
          <w:rFonts w:hint="eastAsia" w:ascii="仿宋" w:hAnsi="仿宋"/>
          <w:szCs w:val="21"/>
        </w:rPr>
        <w:t>根据医院规划，心脏介入中心将进行系统改造，将心脏介入中心的手术流程、诊断治疗、术中影像和数据、专科病例科研平台等融为一体，覆盖介入诊疗的全流程，将医生办、导管室、中心护士站、病区、示教室等多个地点联结，综合专科图像、波形和文字等多类型数据，实现介入手术流程电子化，优化就医流程，提高医、技、护人员工作效率，提升治疗水平、科研水平，实现临床手术工作的可追溯性，同时确保了医患关系，更好的应对大数据时代的要求，完成介入中心管理系统建设。应当按照中共中央、国务院办公厅印发《“健康中国2030”规划纲要》、《关于城市公立医院综合改革试点的指导意见》（国办发[2015]38号）（以下简称《意见》）、《心血管疾病介入诊疗技术管理规范》、《心血管疾病介入诊疗技术临床应用管理规范（2019年版）》、《医疗技术临床应用管理办法》(卫医 政发〔2009〕18 号)等相关要求，结合医院自身发展的需求进行建设。</w:t>
      </w:r>
    </w:p>
    <w:p>
      <w:pPr>
        <w:rPr>
          <w:rFonts w:ascii="仿宋" w:hAnsi="仿宋"/>
          <w:szCs w:val="21"/>
        </w:rPr>
      </w:pPr>
      <w:r>
        <w:rPr>
          <w:rFonts w:hint="eastAsia" w:ascii="仿宋" w:hAnsi="仿宋" w:cs="仿宋_GB2312"/>
          <w:bCs/>
          <w:sz w:val="32"/>
        </w:rPr>
        <w:tab/>
      </w:r>
      <w:r>
        <w:rPr>
          <w:rFonts w:hint="eastAsia" w:ascii="仿宋" w:hAnsi="仿宋"/>
          <w:szCs w:val="21"/>
        </w:rPr>
        <w:t>本项目采购心脏介入管理系统一套（包含存储、结构病例、视频转播模块等）。采购清单如下：</w:t>
      </w:r>
    </w:p>
    <w:p>
      <w:pPr>
        <w:pStyle w:val="13"/>
        <w:rPr>
          <w:rFonts w:ascii="仿宋" w:hAnsi="仿宋"/>
          <w:b/>
          <w:bCs/>
        </w:rPr>
      </w:pPr>
      <w:r>
        <w:rPr>
          <w:rFonts w:hint="eastAsia" w:ascii="仿宋" w:hAnsi="仿宋"/>
          <w:b/>
          <w:bCs/>
        </w:rPr>
        <w:t>软件部分：</w:t>
      </w:r>
    </w:p>
    <w:tbl>
      <w:tblPr>
        <w:tblStyle w:val="36"/>
        <w:tblW w:w="98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7166"/>
        <w:gridCol w:w="834"/>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2"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rPr>
                <w:rFonts w:ascii="仿宋" w:hAnsi="仿宋" w:cstheme="minorBidi"/>
              </w:rPr>
            </w:pPr>
            <w:r>
              <w:rPr>
                <w:rFonts w:hint="eastAsia" w:ascii="仿宋" w:hAnsi="仿宋" w:cstheme="minorBidi"/>
                <w:b/>
                <w:bCs/>
              </w:rPr>
              <w:t>服务端软件</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rPr>
                <w:rFonts w:ascii="仿宋" w:hAnsi="仿宋" w:cstheme="minorBidi"/>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b/>
                <w:bCs/>
              </w:rPr>
            </w:pPr>
            <w:r>
              <w:rPr>
                <w:rFonts w:hint="eastAsia" w:ascii="仿宋" w:hAnsi="仿宋" w:cstheme="minorBidi"/>
                <w:b/>
                <w:bCs/>
              </w:rPr>
              <w:t>序号</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b/>
                <w:bCs/>
              </w:rPr>
            </w:pPr>
            <w:r>
              <w:rPr>
                <w:rFonts w:hint="eastAsia" w:ascii="仿宋" w:hAnsi="仿宋" w:cstheme="minorBidi"/>
                <w:b/>
                <w:bCs/>
              </w:rPr>
              <w:t>产品</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b/>
                <w:bCs/>
              </w:rPr>
            </w:pPr>
            <w:r>
              <w:rPr>
                <w:rFonts w:hint="eastAsia" w:ascii="仿宋" w:hAnsi="仿宋" w:cstheme="minorBidi"/>
                <w:b/>
                <w:bCs/>
              </w:rPr>
              <w:t>单位</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b/>
                <w:bCs/>
              </w:rPr>
            </w:pPr>
            <w:r>
              <w:rPr>
                <w:rFonts w:hint="eastAsia" w:ascii="仿宋" w:hAnsi="仿宋" w:cstheme="minorBidi"/>
                <w:b/>
                <w:bCs/>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1</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介入影像管理系统服务器端软件</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2</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介入科室流程管理服务器端软件</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3</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数字化冠脉介入病例大数据临床科研管理软件</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ascii="仿宋" w:hAnsi="仿宋" w:cstheme="minorBidi"/>
              </w:rPr>
              <w:t>4</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数字化（电生理）介入病例大数据管理中心</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ascii="仿宋" w:hAnsi="仿宋" w:cstheme="minorBidi"/>
              </w:rPr>
              <w:t>5</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介入手术记录系统</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ascii="仿宋" w:hAnsi="仿宋" w:cstheme="minorBidi"/>
              </w:rPr>
              <w:t>6</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临床浏览服务系统软件</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ascii="仿宋" w:hAnsi="仿宋" w:cstheme="minorBidi"/>
              </w:rPr>
              <w:t>7</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第三方系统接口服务软件包</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8</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信息发布及呼叫系统服务端</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9</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学科分析系统</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2"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rPr>
                <w:rFonts w:ascii="仿宋" w:hAnsi="仿宋" w:cstheme="minorBidi"/>
              </w:rPr>
            </w:pPr>
            <w:r>
              <w:rPr>
                <w:rFonts w:hint="eastAsia" w:ascii="仿宋" w:hAnsi="仿宋" w:cstheme="minorBidi"/>
                <w:b/>
                <w:bCs/>
              </w:rPr>
              <w:t>客户端软件</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rPr>
                <w:rFonts w:ascii="仿宋" w:hAnsi="仿宋" w:cstheme="minorBidi"/>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b/>
                <w:bCs/>
              </w:rPr>
            </w:pPr>
            <w:r>
              <w:rPr>
                <w:rFonts w:hint="eastAsia" w:ascii="仿宋" w:hAnsi="仿宋" w:cstheme="minorBidi"/>
                <w:b/>
                <w:bCs/>
              </w:rPr>
              <w:t>序号</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b/>
                <w:bCs/>
              </w:rPr>
            </w:pPr>
            <w:r>
              <w:rPr>
                <w:rFonts w:hint="eastAsia" w:ascii="仿宋" w:hAnsi="仿宋" w:cstheme="minorBidi"/>
                <w:b/>
                <w:bCs/>
              </w:rPr>
              <w:t>产品</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b/>
                <w:bCs/>
              </w:rPr>
            </w:pPr>
            <w:r>
              <w:rPr>
                <w:rFonts w:hint="eastAsia" w:ascii="仿宋" w:hAnsi="仿宋" w:cstheme="minorBidi"/>
                <w:b/>
                <w:bCs/>
              </w:rPr>
              <w:t>单位</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b/>
                <w:bCs/>
              </w:rPr>
            </w:pPr>
            <w:r>
              <w:rPr>
                <w:rFonts w:hint="eastAsia" w:ascii="仿宋" w:hAnsi="仿宋" w:cstheme="minorBidi"/>
                <w:b/>
                <w:bCs/>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1</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介入中心图像浏览及病例跟踪客户端</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2</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介入中心护士客户端</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3</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医患沟通客户端</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4</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临床浏览客户端</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并发</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5</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ascii="仿宋" w:hAnsi="仿宋"/>
              </w:rPr>
              <w:t>DSA</w:t>
            </w:r>
            <w:r>
              <w:rPr>
                <w:rFonts w:hint="eastAsia" w:ascii="仿宋" w:hAnsi="仿宋"/>
              </w:rPr>
              <w:t>血管</w:t>
            </w:r>
            <w:r>
              <w:rPr>
                <w:rFonts w:ascii="仿宋" w:hAnsi="仿宋"/>
              </w:rPr>
              <w:t>QCA影像分析模块</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6</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rPr>
              <w:t>D</w:t>
            </w:r>
            <w:r>
              <w:rPr>
                <w:rFonts w:ascii="仿宋" w:hAnsi="仿宋"/>
              </w:rPr>
              <w:t>SA左心室</w:t>
            </w:r>
            <w:r>
              <w:rPr>
                <w:rFonts w:hint="eastAsia" w:ascii="仿宋" w:hAnsi="仿宋"/>
              </w:rPr>
              <w:t>影像</w:t>
            </w:r>
            <w:r>
              <w:rPr>
                <w:rFonts w:ascii="仿宋" w:hAnsi="仿宋"/>
              </w:rPr>
              <w:t>分析模块</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2"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rPr>
                <w:rFonts w:ascii="仿宋" w:hAnsi="仿宋" w:cstheme="minorBidi"/>
              </w:rPr>
            </w:pPr>
            <w:r>
              <w:rPr>
                <w:rFonts w:hint="eastAsia" w:ascii="仿宋" w:hAnsi="仿宋" w:cstheme="minorBidi"/>
                <w:b/>
                <w:bCs/>
              </w:rPr>
              <w:t>手术转播系统</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rPr>
                <w:rFonts w:ascii="仿宋" w:hAnsi="仿宋" w:cstheme="minorBidi"/>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b/>
                <w:bCs/>
              </w:rPr>
            </w:pPr>
            <w:r>
              <w:rPr>
                <w:rFonts w:hint="eastAsia" w:ascii="仿宋" w:hAnsi="仿宋" w:cstheme="minorBidi"/>
                <w:b/>
                <w:bCs/>
              </w:rPr>
              <w:t>序号</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b/>
                <w:bCs/>
              </w:rPr>
            </w:pPr>
            <w:r>
              <w:rPr>
                <w:rFonts w:hint="eastAsia" w:ascii="仿宋" w:hAnsi="仿宋"/>
                <w:b/>
                <w:bCs/>
              </w:rPr>
              <w:t>产品</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b/>
                <w:bCs/>
              </w:rPr>
            </w:pPr>
            <w:r>
              <w:rPr>
                <w:rFonts w:hint="eastAsia" w:ascii="仿宋" w:hAnsi="仿宋" w:cstheme="minorBidi"/>
                <w:b/>
                <w:bCs/>
              </w:rPr>
              <w:t>单位</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b/>
                <w:bCs/>
              </w:rPr>
            </w:pPr>
            <w:r>
              <w:rPr>
                <w:rFonts w:hint="eastAsia" w:ascii="仿宋" w:hAnsi="仿宋" w:cstheme="minorBidi"/>
                <w:b/>
                <w:bCs/>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1</w:t>
            </w:r>
          </w:p>
        </w:tc>
        <w:tc>
          <w:tcPr>
            <w:tcW w:w="7166"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rPr>
            </w:pPr>
            <w:r>
              <w:rPr>
                <w:rFonts w:hint="eastAsia" w:ascii="仿宋" w:hAnsi="仿宋"/>
              </w:rPr>
              <w:t>手术室音视频转播系统</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套</w:t>
            </w:r>
          </w:p>
        </w:tc>
        <w:tc>
          <w:tcPr>
            <w:tcW w:w="76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jc w:val="center"/>
              <w:rPr>
                <w:rFonts w:ascii="仿宋" w:hAnsi="仿宋" w:cstheme="minorBidi"/>
              </w:rPr>
            </w:pPr>
            <w:r>
              <w:rPr>
                <w:rFonts w:hint="eastAsia" w:ascii="仿宋" w:hAnsi="仿宋" w:cstheme="minorBidi"/>
              </w:rPr>
              <w:t>1</w:t>
            </w:r>
          </w:p>
        </w:tc>
      </w:tr>
    </w:tbl>
    <w:p>
      <w:pPr>
        <w:pStyle w:val="13"/>
        <w:rPr>
          <w:rFonts w:ascii="仿宋" w:hAnsi="仿宋"/>
          <w:b/>
          <w:bCs/>
          <w:sz w:val="28"/>
          <w:szCs w:val="28"/>
        </w:rPr>
      </w:pPr>
      <w:r>
        <w:rPr>
          <w:rFonts w:hint="eastAsia" w:ascii="仿宋" w:hAnsi="仿宋"/>
          <w:b/>
          <w:bCs/>
          <w:sz w:val="28"/>
          <w:szCs w:val="28"/>
        </w:rPr>
        <w:t>硬件部分：</w:t>
      </w:r>
    </w:p>
    <w:tbl>
      <w:tblPr>
        <w:tblStyle w:val="35"/>
        <w:tblW w:w="959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53"/>
        <w:gridCol w:w="6697"/>
        <w:gridCol w:w="750"/>
        <w:gridCol w:w="119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jc w:val="center"/>
        </w:trPr>
        <w:tc>
          <w:tcPr>
            <w:tcW w:w="9596" w:type="dxa"/>
            <w:gridSpan w:val="4"/>
            <w:tcBorders>
              <w:tl2br w:val="nil"/>
              <w:tr2bl w:val="nil"/>
            </w:tcBorders>
            <w:shd w:val="clear" w:color="auto" w:fill="auto"/>
            <w:vAlign w:val="center"/>
          </w:tcPr>
          <w:p>
            <w:pPr>
              <w:spacing w:line="240" w:lineRule="auto"/>
              <w:rPr>
                <w:rFonts w:ascii="仿宋" w:hAnsi="仿宋" w:cstheme="minorBidi"/>
                <w:b/>
                <w:bCs/>
              </w:rPr>
            </w:pPr>
            <w:r>
              <w:rPr>
                <w:rFonts w:hint="eastAsia" w:ascii="仿宋" w:hAnsi="仿宋" w:cstheme="minorBidi"/>
                <w:b/>
                <w:bCs/>
              </w:rPr>
              <w:t>影像及转播系统硬件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b/>
                <w:bCs/>
              </w:rPr>
            </w:pPr>
            <w:r>
              <w:rPr>
                <w:rFonts w:hint="eastAsia" w:ascii="仿宋" w:hAnsi="仿宋" w:cstheme="minorBidi"/>
                <w:b/>
                <w:bCs/>
              </w:rPr>
              <w:t>序号</w:t>
            </w:r>
          </w:p>
        </w:tc>
        <w:tc>
          <w:tcPr>
            <w:tcW w:w="6697" w:type="dxa"/>
            <w:tcBorders>
              <w:tl2br w:val="nil"/>
              <w:tr2bl w:val="nil"/>
            </w:tcBorders>
            <w:shd w:val="clear" w:color="auto" w:fill="auto"/>
            <w:vAlign w:val="center"/>
          </w:tcPr>
          <w:p>
            <w:pPr>
              <w:spacing w:line="240" w:lineRule="auto"/>
              <w:jc w:val="center"/>
              <w:rPr>
                <w:rFonts w:ascii="仿宋" w:hAnsi="仿宋" w:cstheme="minorBidi"/>
                <w:b/>
                <w:bCs/>
              </w:rPr>
            </w:pPr>
            <w:r>
              <w:rPr>
                <w:rFonts w:hint="eastAsia" w:ascii="仿宋" w:hAnsi="仿宋"/>
                <w:b/>
                <w:bCs/>
              </w:rPr>
              <w:t>产品</w:t>
            </w:r>
          </w:p>
        </w:tc>
        <w:tc>
          <w:tcPr>
            <w:tcW w:w="750" w:type="dxa"/>
            <w:tcBorders>
              <w:tl2br w:val="nil"/>
              <w:tr2bl w:val="nil"/>
            </w:tcBorders>
            <w:shd w:val="clear" w:color="auto" w:fill="auto"/>
            <w:vAlign w:val="center"/>
          </w:tcPr>
          <w:p>
            <w:pPr>
              <w:spacing w:line="240" w:lineRule="auto"/>
              <w:jc w:val="center"/>
              <w:rPr>
                <w:rFonts w:ascii="仿宋" w:hAnsi="仿宋" w:cstheme="minorBidi"/>
                <w:b/>
                <w:bCs/>
              </w:rPr>
            </w:pPr>
            <w:r>
              <w:rPr>
                <w:rFonts w:hint="eastAsia" w:ascii="仿宋" w:hAnsi="仿宋" w:cstheme="minorBidi"/>
                <w:b/>
                <w:bCs/>
              </w:rPr>
              <w:t>单位</w:t>
            </w:r>
          </w:p>
        </w:tc>
        <w:tc>
          <w:tcPr>
            <w:tcW w:w="1196" w:type="dxa"/>
            <w:tcBorders>
              <w:tl2br w:val="nil"/>
              <w:tr2bl w:val="nil"/>
            </w:tcBorders>
            <w:shd w:val="clear" w:color="auto" w:fill="auto"/>
            <w:vAlign w:val="center"/>
          </w:tcPr>
          <w:p>
            <w:pPr>
              <w:spacing w:line="240" w:lineRule="auto"/>
              <w:jc w:val="center"/>
              <w:rPr>
                <w:rFonts w:ascii="仿宋" w:hAnsi="仿宋" w:cstheme="minorBidi"/>
                <w:b/>
                <w:bCs/>
              </w:rPr>
            </w:pPr>
            <w:r>
              <w:rPr>
                <w:rFonts w:hint="eastAsia" w:ascii="仿宋" w:hAnsi="仿宋" w:cstheme="minorBidi"/>
                <w:b/>
                <w:bCs/>
              </w:rPr>
              <w:t>数量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1</w:t>
            </w:r>
          </w:p>
        </w:tc>
        <w:tc>
          <w:tcPr>
            <w:tcW w:w="6697"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高清摄像机</w:t>
            </w:r>
          </w:p>
        </w:tc>
        <w:tc>
          <w:tcPr>
            <w:tcW w:w="750"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台</w:t>
            </w:r>
          </w:p>
        </w:tc>
        <w:tc>
          <w:tcPr>
            <w:tcW w:w="1196"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2</w:t>
            </w:r>
          </w:p>
        </w:tc>
        <w:tc>
          <w:tcPr>
            <w:tcW w:w="6697"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摄像机固定杆</w:t>
            </w:r>
          </w:p>
        </w:tc>
        <w:tc>
          <w:tcPr>
            <w:tcW w:w="750"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台</w:t>
            </w:r>
          </w:p>
        </w:tc>
        <w:tc>
          <w:tcPr>
            <w:tcW w:w="1196" w:type="dxa"/>
            <w:tcBorders>
              <w:tl2br w:val="nil"/>
              <w:tr2bl w:val="nil"/>
            </w:tcBorders>
            <w:shd w:val="clear" w:color="auto" w:fill="auto"/>
            <w:vAlign w:val="center"/>
          </w:tcPr>
          <w:p>
            <w:pPr>
              <w:spacing w:line="240" w:lineRule="auto"/>
              <w:jc w:val="center"/>
              <w:rPr>
                <w:rFonts w:ascii="仿宋" w:hAnsi="仿宋" w:cstheme="minorBidi"/>
              </w:rPr>
            </w:pPr>
            <w:r>
              <w:rPr>
                <w:rFonts w:ascii="仿宋" w:hAnsi="仿宋" w:cstheme="minorBidi"/>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3</w:t>
            </w:r>
          </w:p>
        </w:tc>
        <w:tc>
          <w:tcPr>
            <w:tcW w:w="6697"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遥控键盘</w:t>
            </w:r>
          </w:p>
        </w:tc>
        <w:tc>
          <w:tcPr>
            <w:tcW w:w="750"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台</w:t>
            </w:r>
          </w:p>
        </w:tc>
        <w:tc>
          <w:tcPr>
            <w:tcW w:w="1196" w:type="dxa"/>
            <w:tcBorders>
              <w:tl2br w:val="nil"/>
              <w:tr2bl w:val="nil"/>
            </w:tcBorders>
            <w:shd w:val="clear" w:color="auto" w:fill="auto"/>
            <w:vAlign w:val="center"/>
          </w:tcPr>
          <w:p>
            <w:pPr>
              <w:spacing w:line="240" w:lineRule="auto"/>
              <w:jc w:val="center"/>
              <w:rPr>
                <w:rFonts w:ascii="仿宋" w:hAnsi="仿宋" w:cstheme="minorBidi"/>
              </w:rPr>
            </w:pPr>
            <w:r>
              <w:rPr>
                <w:rFonts w:ascii="仿宋" w:hAnsi="仿宋" w:cstheme="minorBidi"/>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4</w:t>
            </w:r>
          </w:p>
        </w:tc>
        <w:tc>
          <w:tcPr>
            <w:tcW w:w="6697"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信号收集器</w:t>
            </w:r>
          </w:p>
        </w:tc>
        <w:tc>
          <w:tcPr>
            <w:tcW w:w="750"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台</w:t>
            </w:r>
          </w:p>
        </w:tc>
        <w:tc>
          <w:tcPr>
            <w:tcW w:w="1196" w:type="dxa"/>
            <w:tcBorders>
              <w:tl2br w:val="nil"/>
              <w:tr2bl w:val="nil"/>
            </w:tcBorders>
            <w:shd w:val="clear" w:color="auto" w:fill="auto"/>
            <w:vAlign w:val="center"/>
          </w:tcPr>
          <w:p>
            <w:pPr>
              <w:spacing w:line="240" w:lineRule="auto"/>
              <w:jc w:val="center"/>
              <w:rPr>
                <w:rFonts w:ascii="仿宋" w:hAnsi="仿宋" w:cstheme="minorBidi"/>
              </w:rPr>
            </w:pPr>
            <w:r>
              <w:rPr>
                <w:rFonts w:ascii="仿宋" w:hAnsi="仿宋" w:cstheme="minorBidi"/>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5</w:t>
            </w:r>
          </w:p>
        </w:tc>
        <w:tc>
          <w:tcPr>
            <w:tcW w:w="6697"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转播盒</w:t>
            </w:r>
          </w:p>
        </w:tc>
        <w:tc>
          <w:tcPr>
            <w:tcW w:w="750"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台</w:t>
            </w:r>
          </w:p>
        </w:tc>
        <w:tc>
          <w:tcPr>
            <w:tcW w:w="1196"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6</w:t>
            </w:r>
          </w:p>
        </w:tc>
        <w:tc>
          <w:tcPr>
            <w:tcW w:w="6697"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术间信息发布屏</w:t>
            </w:r>
          </w:p>
        </w:tc>
        <w:tc>
          <w:tcPr>
            <w:tcW w:w="750"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台</w:t>
            </w:r>
          </w:p>
        </w:tc>
        <w:tc>
          <w:tcPr>
            <w:tcW w:w="1196" w:type="dxa"/>
            <w:tcBorders>
              <w:tl2br w:val="nil"/>
              <w:tr2bl w:val="nil"/>
            </w:tcBorders>
            <w:shd w:val="clear" w:color="auto" w:fill="auto"/>
            <w:vAlign w:val="center"/>
          </w:tcPr>
          <w:p>
            <w:pPr>
              <w:spacing w:line="240" w:lineRule="auto"/>
              <w:jc w:val="center"/>
              <w:rPr>
                <w:rFonts w:ascii="仿宋" w:hAnsi="仿宋" w:cstheme="minorBidi"/>
              </w:rPr>
            </w:pPr>
            <w:r>
              <w:rPr>
                <w:rFonts w:ascii="仿宋" w:hAnsi="仿宋" w:cstheme="minorBidi"/>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7</w:t>
            </w:r>
          </w:p>
        </w:tc>
        <w:tc>
          <w:tcPr>
            <w:tcW w:w="6697"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家属区信息发布屏</w:t>
            </w:r>
          </w:p>
        </w:tc>
        <w:tc>
          <w:tcPr>
            <w:tcW w:w="750"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台</w:t>
            </w:r>
          </w:p>
        </w:tc>
        <w:tc>
          <w:tcPr>
            <w:tcW w:w="1196" w:type="dxa"/>
            <w:tcBorders>
              <w:tl2br w:val="nil"/>
              <w:tr2bl w:val="nil"/>
            </w:tcBorders>
            <w:shd w:val="clear" w:color="auto" w:fill="auto"/>
            <w:vAlign w:val="center"/>
          </w:tcPr>
          <w:p>
            <w:pPr>
              <w:spacing w:line="240" w:lineRule="auto"/>
              <w:jc w:val="center"/>
              <w:rPr>
                <w:rFonts w:ascii="仿宋" w:hAnsi="仿宋" w:cstheme="minorBidi"/>
              </w:rPr>
            </w:pPr>
            <w:r>
              <w:rPr>
                <w:rFonts w:ascii="仿宋" w:hAnsi="仿宋" w:cstheme="minorBidi"/>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8</w:t>
            </w:r>
          </w:p>
        </w:tc>
        <w:tc>
          <w:tcPr>
            <w:tcW w:w="6697"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手术耳麦</w:t>
            </w:r>
          </w:p>
        </w:tc>
        <w:tc>
          <w:tcPr>
            <w:tcW w:w="750"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台</w:t>
            </w:r>
          </w:p>
        </w:tc>
        <w:tc>
          <w:tcPr>
            <w:tcW w:w="1196" w:type="dxa"/>
            <w:tcBorders>
              <w:tl2br w:val="nil"/>
              <w:tr2bl w:val="nil"/>
            </w:tcBorders>
            <w:shd w:val="clear" w:color="auto" w:fill="auto"/>
            <w:vAlign w:val="center"/>
          </w:tcPr>
          <w:p>
            <w:pPr>
              <w:spacing w:line="240" w:lineRule="auto"/>
              <w:jc w:val="center"/>
              <w:rPr>
                <w:rFonts w:ascii="仿宋" w:hAnsi="仿宋" w:cstheme="minorBidi"/>
              </w:rPr>
            </w:pPr>
            <w:r>
              <w:rPr>
                <w:rFonts w:ascii="仿宋" w:hAnsi="仿宋" w:cstheme="minorBidi"/>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9</w:t>
            </w:r>
          </w:p>
        </w:tc>
        <w:tc>
          <w:tcPr>
            <w:tcW w:w="6697"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手术室调音台</w:t>
            </w:r>
          </w:p>
        </w:tc>
        <w:tc>
          <w:tcPr>
            <w:tcW w:w="750"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台</w:t>
            </w:r>
          </w:p>
        </w:tc>
        <w:tc>
          <w:tcPr>
            <w:tcW w:w="1196" w:type="dxa"/>
            <w:tcBorders>
              <w:tl2br w:val="nil"/>
              <w:tr2bl w:val="nil"/>
            </w:tcBorders>
            <w:shd w:val="clear" w:color="auto" w:fill="auto"/>
            <w:vAlign w:val="center"/>
          </w:tcPr>
          <w:p>
            <w:pPr>
              <w:spacing w:line="240" w:lineRule="auto"/>
              <w:jc w:val="center"/>
              <w:rPr>
                <w:rFonts w:ascii="仿宋" w:hAnsi="仿宋" w:cstheme="minorBidi"/>
              </w:rPr>
            </w:pPr>
            <w:r>
              <w:rPr>
                <w:rFonts w:ascii="仿宋" w:hAnsi="仿宋" w:cstheme="minorBidi"/>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10</w:t>
            </w:r>
          </w:p>
        </w:tc>
        <w:tc>
          <w:tcPr>
            <w:tcW w:w="6697"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影像资料分析终端</w:t>
            </w:r>
          </w:p>
        </w:tc>
        <w:tc>
          <w:tcPr>
            <w:tcW w:w="750"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台</w:t>
            </w:r>
          </w:p>
        </w:tc>
        <w:tc>
          <w:tcPr>
            <w:tcW w:w="1196" w:type="dxa"/>
            <w:tcBorders>
              <w:tl2br w:val="nil"/>
              <w:tr2bl w:val="nil"/>
            </w:tcBorders>
            <w:shd w:val="clear" w:color="auto" w:fill="auto"/>
            <w:vAlign w:val="center"/>
          </w:tcPr>
          <w:p>
            <w:pPr>
              <w:spacing w:line="240" w:lineRule="auto"/>
              <w:jc w:val="center"/>
              <w:rPr>
                <w:rFonts w:ascii="仿宋" w:hAnsi="仿宋" w:cstheme="minorBidi"/>
              </w:rPr>
            </w:pPr>
            <w:r>
              <w:rPr>
                <w:rFonts w:ascii="仿宋" w:hAnsi="仿宋" w:cstheme="minorBidi"/>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1"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11</w:t>
            </w:r>
          </w:p>
        </w:tc>
        <w:tc>
          <w:tcPr>
            <w:tcW w:w="6697"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影像数据业务运行终端</w:t>
            </w:r>
          </w:p>
        </w:tc>
        <w:tc>
          <w:tcPr>
            <w:tcW w:w="750"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台</w:t>
            </w:r>
          </w:p>
        </w:tc>
        <w:tc>
          <w:tcPr>
            <w:tcW w:w="1196" w:type="dxa"/>
            <w:tcBorders>
              <w:tl2br w:val="nil"/>
              <w:tr2bl w:val="nil"/>
            </w:tcBorders>
            <w:shd w:val="clear" w:color="auto" w:fill="auto"/>
            <w:vAlign w:val="center"/>
          </w:tcPr>
          <w:p>
            <w:pPr>
              <w:spacing w:line="240" w:lineRule="auto"/>
              <w:jc w:val="center"/>
              <w:rPr>
                <w:rFonts w:ascii="仿宋" w:hAnsi="仿宋" w:cstheme="minorBidi"/>
              </w:rPr>
            </w:pPr>
            <w:r>
              <w:rPr>
                <w:rFonts w:ascii="仿宋" w:hAnsi="仿宋" w:cstheme="minorBidi"/>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4"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12</w:t>
            </w:r>
          </w:p>
        </w:tc>
        <w:tc>
          <w:tcPr>
            <w:tcW w:w="6697"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存储设备</w:t>
            </w:r>
          </w:p>
        </w:tc>
        <w:tc>
          <w:tcPr>
            <w:tcW w:w="750" w:type="dxa"/>
            <w:tcBorders>
              <w:tl2br w:val="nil"/>
              <w:tr2bl w:val="nil"/>
            </w:tcBorders>
            <w:shd w:val="clear" w:color="auto" w:fill="auto"/>
            <w:vAlign w:val="center"/>
          </w:tcPr>
          <w:p>
            <w:pPr>
              <w:spacing w:line="240" w:lineRule="auto"/>
              <w:jc w:val="center"/>
              <w:rPr>
                <w:rFonts w:ascii="仿宋" w:hAnsi="仿宋" w:cstheme="minorBidi"/>
              </w:rPr>
            </w:pPr>
            <w:r>
              <w:rPr>
                <w:rFonts w:hint="eastAsia" w:ascii="仿宋" w:hAnsi="仿宋" w:cstheme="minorBidi"/>
              </w:rPr>
              <w:t>台</w:t>
            </w:r>
          </w:p>
        </w:tc>
        <w:tc>
          <w:tcPr>
            <w:tcW w:w="1196" w:type="dxa"/>
            <w:tcBorders>
              <w:tl2br w:val="nil"/>
              <w:tr2bl w:val="nil"/>
            </w:tcBorders>
            <w:shd w:val="clear" w:color="auto" w:fill="auto"/>
            <w:vAlign w:val="center"/>
          </w:tcPr>
          <w:p>
            <w:pPr>
              <w:spacing w:line="240" w:lineRule="auto"/>
              <w:jc w:val="center"/>
              <w:rPr>
                <w:rFonts w:ascii="仿宋" w:hAnsi="仿宋" w:cstheme="minorBidi"/>
              </w:rPr>
            </w:pPr>
            <w:r>
              <w:rPr>
                <w:rFonts w:ascii="仿宋" w:hAnsi="仿宋" w:cstheme="minorBidi"/>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9596" w:type="dxa"/>
            <w:gridSpan w:val="4"/>
            <w:tcBorders>
              <w:tl2br w:val="nil"/>
              <w:tr2bl w:val="nil"/>
            </w:tcBorders>
            <w:shd w:val="clear" w:color="auto" w:fill="auto"/>
            <w:vAlign w:val="center"/>
          </w:tcPr>
          <w:p>
            <w:pPr>
              <w:spacing w:line="240" w:lineRule="auto"/>
              <w:rPr>
                <w:rFonts w:ascii="仿宋" w:hAnsi="仿宋" w:cstheme="minorBidi"/>
              </w:rPr>
            </w:pPr>
            <w:r>
              <w:rPr>
                <w:rFonts w:hint="eastAsia" w:ascii="仿宋" w:hAnsi="仿宋" w:cstheme="minorBidi"/>
                <w:b/>
                <w:bCs/>
              </w:rPr>
              <w:t>会议室语音设备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b/>
                <w:bCs/>
              </w:rPr>
            </w:pPr>
            <w:r>
              <w:rPr>
                <w:rFonts w:hint="eastAsia" w:ascii="仿宋" w:hAnsi="仿宋" w:cstheme="minorBidi"/>
                <w:b/>
                <w:bCs/>
              </w:rPr>
              <w:t>序号</w:t>
            </w:r>
          </w:p>
        </w:tc>
        <w:tc>
          <w:tcPr>
            <w:tcW w:w="6697" w:type="dxa"/>
            <w:tcBorders>
              <w:tl2br w:val="nil"/>
              <w:tr2bl w:val="nil"/>
            </w:tcBorders>
            <w:shd w:val="clear" w:color="auto" w:fill="auto"/>
            <w:vAlign w:val="center"/>
          </w:tcPr>
          <w:p>
            <w:pPr>
              <w:spacing w:line="240" w:lineRule="auto"/>
              <w:jc w:val="center"/>
              <w:rPr>
                <w:rFonts w:ascii="仿宋" w:hAnsi="仿宋" w:cstheme="minorBidi"/>
                <w:b/>
                <w:bCs/>
              </w:rPr>
            </w:pPr>
            <w:r>
              <w:rPr>
                <w:rFonts w:hint="eastAsia" w:ascii="仿宋" w:hAnsi="仿宋"/>
                <w:b/>
                <w:bCs/>
              </w:rPr>
              <w:t>产品</w:t>
            </w:r>
          </w:p>
        </w:tc>
        <w:tc>
          <w:tcPr>
            <w:tcW w:w="750" w:type="dxa"/>
            <w:tcBorders>
              <w:tl2br w:val="nil"/>
              <w:tr2bl w:val="nil"/>
            </w:tcBorders>
            <w:shd w:val="clear" w:color="auto" w:fill="auto"/>
            <w:vAlign w:val="center"/>
          </w:tcPr>
          <w:p>
            <w:pPr>
              <w:spacing w:line="240" w:lineRule="auto"/>
              <w:jc w:val="center"/>
              <w:rPr>
                <w:rFonts w:ascii="仿宋" w:hAnsi="仿宋" w:cstheme="minorBidi"/>
                <w:b/>
                <w:bCs/>
              </w:rPr>
            </w:pPr>
            <w:r>
              <w:rPr>
                <w:rFonts w:hint="eastAsia" w:ascii="仿宋" w:hAnsi="仿宋" w:cstheme="minorBidi"/>
                <w:b/>
                <w:bCs/>
              </w:rPr>
              <w:t>单位</w:t>
            </w:r>
          </w:p>
        </w:tc>
        <w:tc>
          <w:tcPr>
            <w:tcW w:w="1196" w:type="dxa"/>
            <w:tcBorders>
              <w:tl2br w:val="nil"/>
              <w:tr2bl w:val="nil"/>
            </w:tcBorders>
            <w:shd w:val="clear" w:color="auto" w:fill="auto"/>
            <w:vAlign w:val="center"/>
          </w:tcPr>
          <w:p>
            <w:pPr>
              <w:spacing w:line="240" w:lineRule="auto"/>
              <w:jc w:val="center"/>
              <w:rPr>
                <w:rFonts w:ascii="仿宋" w:hAnsi="仿宋" w:cstheme="minorBidi"/>
                <w:b/>
                <w:bCs/>
              </w:rPr>
            </w:pPr>
            <w:r>
              <w:rPr>
                <w:rFonts w:hint="eastAsia" w:ascii="仿宋" w:hAnsi="仿宋" w:cstheme="minorBidi"/>
                <w:b/>
                <w:bCs/>
              </w:rPr>
              <w:t>数量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953" w:type="dxa"/>
            <w:tcBorders>
              <w:tl2br w:val="nil"/>
              <w:tr2bl w:val="nil"/>
            </w:tcBorders>
            <w:shd w:val="clear" w:color="auto" w:fill="auto"/>
            <w:vAlign w:val="center"/>
          </w:tcPr>
          <w:p>
            <w:pPr>
              <w:spacing w:line="240" w:lineRule="auto"/>
              <w:jc w:val="center"/>
              <w:rPr>
                <w:rFonts w:ascii="仿宋" w:hAnsi="仿宋" w:cs="宋体"/>
                <w:kern w:val="0"/>
                <w:lang w:bidi="ar"/>
              </w:rPr>
            </w:pPr>
            <w:r>
              <w:rPr>
                <w:rFonts w:hint="eastAsia" w:ascii="仿宋" w:hAnsi="仿宋" w:cs="宋体"/>
                <w:kern w:val="0"/>
                <w:lang w:bidi="ar"/>
              </w:rPr>
              <w:t>1</w:t>
            </w:r>
          </w:p>
        </w:tc>
        <w:tc>
          <w:tcPr>
            <w:tcW w:w="6697" w:type="dxa"/>
            <w:tcBorders>
              <w:tl2br w:val="nil"/>
              <w:tr2bl w:val="nil"/>
            </w:tcBorders>
            <w:shd w:val="clear" w:color="auto" w:fill="auto"/>
            <w:vAlign w:val="center"/>
          </w:tcPr>
          <w:p>
            <w:pPr>
              <w:spacing w:line="240" w:lineRule="auto"/>
              <w:jc w:val="center"/>
              <w:rPr>
                <w:rFonts w:ascii="仿宋" w:hAnsi="仿宋" w:cs="宋体"/>
                <w:kern w:val="0"/>
                <w:lang w:bidi="ar"/>
              </w:rPr>
            </w:pPr>
            <w:r>
              <w:rPr>
                <w:rFonts w:hint="eastAsia" w:ascii="仿宋" w:hAnsi="仿宋" w:cs="宋体"/>
                <w:kern w:val="0"/>
                <w:lang w:bidi="ar"/>
              </w:rPr>
              <w:t>音响</w:t>
            </w:r>
          </w:p>
        </w:tc>
        <w:tc>
          <w:tcPr>
            <w:tcW w:w="750" w:type="dxa"/>
            <w:tcBorders>
              <w:tl2br w:val="nil"/>
              <w:tr2bl w:val="nil"/>
            </w:tcBorders>
            <w:shd w:val="clear" w:color="auto" w:fill="auto"/>
            <w:vAlign w:val="center"/>
          </w:tcPr>
          <w:p>
            <w:pPr>
              <w:spacing w:line="240" w:lineRule="auto"/>
              <w:jc w:val="center"/>
              <w:rPr>
                <w:rFonts w:ascii="仿宋" w:hAnsi="仿宋" w:cs="宋体"/>
                <w:kern w:val="0"/>
                <w:lang w:bidi="ar"/>
              </w:rPr>
            </w:pPr>
            <w:r>
              <w:rPr>
                <w:rFonts w:hint="eastAsia" w:ascii="仿宋" w:hAnsi="仿宋" w:cs="宋体"/>
                <w:kern w:val="0"/>
                <w:lang w:bidi="ar"/>
              </w:rPr>
              <w:t>个</w:t>
            </w:r>
          </w:p>
        </w:tc>
        <w:tc>
          <w:tcPr>
            <w:tcW w:w="1196" w:type="dxa"/>
            <w:tcBorders>
              <w:tl2br w:val="nil"/>
              <w:tr2bl w:val="nil"/>
            </w:tcBorders>
            <w:shd w:val="clear" w:color="auto" w:fill="auto"/>
            <w:vAlign w:val="center"/>
          </w:tcPr>
          <w:p>
            <w:pPr>
              <w:spacing w:line="240" w:lineRule="auto"/>
              <w:jc w:val="center"/>
              <w:rPr>
                <w:rFonts w:ascii="仿宋" w:hAnsi="仿宋" w:cs="宋体"/>
                <w:kern w:val="0"/>
                <w:lang w:bidi="ar"/>
              </w:rPr>
            </w:pPr>
            <w:r>
              <w:rPr>
                <w:rFonts w:hint="eastAsia" w:ascii="仿宋" w:hAnsi="仿宋" w:cs="宋体"/>
                <w:kern w:val="0"/>
                <w:lang w:bidi="ar"/>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953" w:type="dxa"/>
            <w:tcBorders>
              <w:tl2br w:val="nil"/>
              <w:tr2bl w:val="nil"/>
            </w:tcBorders>
            <w:shd w:val="clear" w:color="auto" w:fill="auto"/>
            <w:vAlign w:val="center"/>
          </w:tcPr>
          <w:p>
            <w:pPr>
              <w:spacing w:line="240" w:lineRule="auto"/>
              <w:jc w:val="center"/>
              <w:rPr>
                <w:rFonts w:ascii="仿宋" w:hAnsi="仿宋" w:cs="宋体"/>
                <w:kern w:val="0"/>
                <w:lang w:bidi="ar"/>
              </w:rPr>
            </w:pPr>
            <w:r>
              <w:rPr>
                <w:rFonts w:hint="eastAsia" w:ascii="仿宋" w:hAnsi="仿宋" w:cs="宋体"/>
                <w:kern w:val="0"/>
                <w:lang w:bidi="ar"/>
              </w:rPr>
              <w:t>2</w:t>
            </w:r>
          </w:p>
        </w:tc>
        <w:tc>
          <w:tcPr>
            <w:tcW w:w="6697" w:type="dxa"/>
            <w:tcBorders>
              <w:tl2br w:val="nil"/>
              <w:tr2bl w:val="nil"/>
            </w:tcBorders>
            <w:shd w:val="clear" w:color="auto" w:fill="auto"/>
            <w:vAlign w:val="center"/>
          </w:tcPr>
          <w:p>
            <w:pPr>
              <w:spacing w:line="240" w:lineRule="auto"/>
              <w:jc w:val="center"/>
              <w:rPr>
                <w:rFonts w:ascii="仿宋" w:hAnsi="仿宋" w:cs="宋体"/>
                <w:kern w:val="0"/>
                <w:lang w:bidi="ar"/>
              </w:rPr>
            </w:pPr>
            <w:r>
              <w:rPr>
                <w:rFonts w:hint="eastAsia" w:ascii="仿宋" w:hAnsi="仿宋" w:cs="宋体"/>
                <w:kern w:val="0"/>
                <w:lang w:bidi="ar"/>
              </w:rPr>
              <w:t>功放</w:t>
            </w:r>
          </w:p>
        </w:tc>
        <w:tc>
          <w:tcPr>
            <w:tcW w:w="750" w:type="dxa"/>
            <w:tcBorders>
              <w:tl2br w:val="nil"/>
              <w:tr2bl w:val="nil"/>
            </w:tcBorders>
            <w:shd w:val="clear" w:color="auto" w:fill="auto"/>
            <w:vAlign w:val="center"/>
          </w:tcPr>
          <w:p>
            <w:pPr>
              <w:spacing w:line="240" w:lineRule="auto"/>
              <w:jc w:val="center"/>
              <w:rPr>
                <w:rFonts w:ascii="仿宋" w:hAnsi="仿宋" w:cs="宋体"/>
                <w:kern w:val="0"/>
                <w:lang w:bidi="ar"/>
              </w:rPr>
            </w:pPr>
            <w:r>
              <w:rPr>
                <w:rFonts w:hint="eastAsia" w:ascii="仿宋" w:hAnsi="仿宋" w:cs="宋体"/>
                <w:kern w:val="0"/>
                <w:lang w:bidi="ar"/>
              </w:rPr>
              <w:t>台</w:t>
            </w:r>
          </w:p>
        </w:tc>
        <w:tc>
          <w:tcPr>
            <w:tcW w:w="1196" w:type="dxa"/>
            <w:tcBorders>
              <w:tl2br w:val="nil"/>
              <w:tr2bl w:val="nil"/>
            </w:tcBorders>
            <w:shd w:val="clear" w:color="auto" w:fill="auto"/>
            <w:vAlign w:val="center"/>
          </w:tcPr>
          <w:p>
            <w:pPr>
              <w:spacing w:line="240" w:lineRule="auto"/>
              <w:jc w:val="center"/>
              <w:rPr>
                <w:rFonts w:ascii="仿宋" w:hAnsi="仿宋" w:cs="宋体"/>
                <w:kern w:val="0"/>
                <w:lang w:bidi="ar"/>
              </w:rPr>
            </w:pPr>
            <w:r>
              <w:rPr>
                <w:rFonts w:hint="eastAsia" w:ascii="仿宋" w:hAnsi="仿宋" w:cs="宋体"/>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953" w:type="dxa"/>
            <w:tcBorders>
              <w:tl2br w:val="nil"/>
              <w:tr2bl w:val="nil"/>
            </w:tcBorders>
            <w:shd w:val="clear" w:color="auto" w:fill="auto"/>
            <w:vAlign w:val="center"/>
          </w:tcPr>
          <w:p>
            <w:pPr>
              <w:spacing w:line="240" w:lineRule="auto"/>
              <w:jc w:val="center"/>
              <w:rPr>
                <w:rFonts w:ascii="仿宋" w:hAnsi="仿宋" w:cs="宋体"/>
                <w:kern w:val="0"/>
                <w:lang w:bidi="ar"/>
              </w:rPr>
            </w:pPr>
            <w:r>
              <w:rPr>
                <w:rFonts w:hint="eastAsia" w:ascii="仿宋" w:hAnsi="仿宋" w:cs="宋体"/>
                <w:kern w:val="0"/>
                <w:lang w:bidi="ar"/>
              </w:rPr>
              <w:t>3</w:t>
            </w:r>
          </w:p>
        </w:tc>
        <w:tc>
          <w:tcPr>
            <w:tcW w:w="6697" w:type="dxa"/>
            <w:tcBorders>
              <w:tl2br w:val="nil"/>
              <w:tr2bl w:val="nil"/>
            </w:tcBorders>
            <w:shd w:val="clear" w:color="auto" w:fill="auto"/>
            <w:vAlign w:val="center"/>
          </w:tcPr>
          <w:p>
            <w:pPr>
              <w:spacing w:line="240" w:lineRule="auto"/>
              <w:jc w:val="center"/>
              <w:rPr>
                <w:rFonts w:ascii="仿宋" w:hAnsi="仿宋" w:cs="宋体"/>
                <w:kern w:val="0"/>
                <w:lang w:bidi="ar"/>
              </w:rPr>
            </w:pPr>
            <w:r>
              <w:rPr>
                <w:rFonts w:hint="eastAsia" w:ascii="仿宋" w:hAnsi="仿宋" w:cs="宋体"/>
                <w:kern w:val="0"/>
                <w:lang w:bidi="ar"/>
              </w:rPr>
              <w:t>调音台</w:t>
            </w:r>
          </w:p>
        </w:tc>
        <w:tc>
          <w:tcPr>
            <w:tcW w:w="750" w:type="dxa"/>
            <w:tcBorders>
              <w:tl2br w:val="nil"/>
              <w:tr2bl w:val="nil"/>
            </w:tcBorders>
            <w:shd w:val="clear" w:color="auto" w:fill="auto"/>
            <w:vAlign w:val="center"/>
          </w:tcPr>
          <w:p>
            <w:pPr>
              <w:spacing w:line="240" w:lineRule="auto"/>
              <w:jc w:val="center"/>
              <w:rPr>
                <w:rFonts w:ascii="仿宋" w:hAnsi="仿宋" w:cs="宋体"/>
                <w:kern w:val="0"/>
                <w:lang w:bidi="ar"/>
              </w:rPr>
            </w:pPr>
            <w:r>
              <w:rPr>
                <w:rFonts w:hint="eastAsia" w:ascii="仿宋" w:hAnsi="仿宋" w:cs="宋体"/>
                <w:kern w:val="0"/>
                <w:lang w:bidi="ar"/>
              </w:rPr>
              <w:t>台</w:t>
            </w:r>
          </w:p>
        </w:tc>
        <w:tc>
          <w:tcPr>
            <w:tcW w:w="1196" w:type="dxa"/>
            <w:tcBorders>
              <w:tl2br w:val="nil"/>
              <w:tr2bl w:val="nil"/>
            </w:tcBorders>
            <w:shd w:val="clear" w:color="auto" w:fill="auto"/>
            <w:vAlign w:val="center"/>
          </w:tcPr>
          <w:p>
            <w:pPr>
              <w:spacing w:line="240" w:lineRule="auto"/>
              <w:jc w:val="center"/>
              <w:rPr>
                <w:rFonts w:ascii="仿宋" w:hAnsi="仿宋" w:cs="宋体"/>
                <w:kern w:val="0"/>
                <w:lang w:bidi="ar"/>
              </w:rPr>
            </w:pPr>
            <w:r>
              <w:rPr>
                <w:rFonts w:hint="eastAsia" w:ascii="仿宋" w:hAnsi="仿宋" w:cs="宋体"/>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953" w:type="dxa"/>
            <w:tcBorders>
              <w:tl2br w:val="nil"/>
              <w:tr2bl w:val="nil"/>
            </w:tcBorders>
            <w:shd w:val="clear" w:color="auto" w:fill="auto"/>
            <w:vAlign w:val="center"/>
          </w:tcPr>
          <w:p>
            <w:pPr>
              <w:spacing w:line="240" w:lineRule="auto"/>
              <w:jc w:val="center"/>
              <w:rPr>
                <w:rFonts w:ascii="仿宋" w:hAnsi="仿宋" w:cs="宋体"/>
                <w:kern w:val="0"/>
                <w:lang w:bidi="ar"/>
              </w:rPr>
            </w:pPr>
            <w:r>
              <w:rPr>
                <w:rFonts w:hint="eastAsia" w:ascii="仿宋" w:hAnsi="仿宋" w:cs="宋体"/>
                <w:kern w:val="0"/>
                <w:lang w:bidi="ar"/>
              </w:rPr>
              <w:t>4</w:t>
            </w:r>
          </w:p>
        </w:tc>
        <w:tc>
          <w:tcPr>
            <w:tcW w:w="6697" w:type="dxa"/>
            <w:tcBorders>
              <w:tl2br w:val="nil"/>
              <w:tr2bl w:val="nil"/>
            </w:tcBorders>
            <w:shd w:val="clear" w:color="auto" w:fill="auto"/>
            <w:vAlign w:val="center"/>
          </w:tcPr>
          <w:p>
            <w:pPr>
              <w:spacing w:line="240" w:lineRule="auto"/>
              <w:jc w:val="center"/>
              <w:rPr>
                <w:rFonts w:ascii="仿宋" w:hAnsi="仿宋" w:cs="宋体"/>
                <w:kern w:val="0"/>
                <w:lang w:bidi="ar"/>
              </w:rPr>
            </w:pPr>
            <w:r>
              <w:rPr>
                <w:rFonts w:hint="eastAsia" w:ascii="仿宋" w:hAnsi="仿宋" w:cs="宋体"/>
                <w:kern w:val="0"/>
                <w:lang w:bidi="ar"/>
              </w:rPr>
              <w:t>返回抑制器</w:t>
            </w:r>
          </w:p>
        </w:tc>
        <w:tc>
          <w:tcPr>
            <w:tcW w:w="750" w:type="dxa"/>
            <w:tcBorders>
              <w:tl2br w:val="nil"/>
              <w:tr2bl w:val="nil"/>
            </w:tcBorders>
            <w:shd w:val="clear" w:color="auto" w:fill="auto"/>
            <w:vAlign w:val="center"/>
          </w:tcPr>
          <w:p>
            <w:pPr>
              <w:spacing w:line="240" w:lineRule="auto"/>
              <w:jc w:val="center"/>
              <w:rPr>
                <w:rFonts w:ascii="仿宋" w:hAnsi="仿宋" w:cs="宋体"/>
                <w:kern w:val="0"/>
                <w:lang w:bidi="ar"/>
              </w:rPr>
            </w:pPr>
            <w:r>
              <w:rPr>
                <w:rFonts w:hint="eastAsia" w:ascii="仿宋" w:hAnsi="仿宋" w:cs="宋体"/>
                <w:kern w:val="0"/>
                <w:lang w:bidi="ar"/>
              </w:rPr>
              <w:t>台</w:t>
            </w:r>
          </w:p>
        </w:tc>
        <w:tc>
          <w:tcPr>
            <w:tcW w:w="1196" w:type="dxa"/>
            <w:tcBorders>
              <w:tl2br w:val="nil"/>
              <w:tr2bl w:val="nil"/>
            </w:tcBorders>
            <w:shd w:val="clear" w:color="auto" w:fill="auto"/>
            <w:vAlign w:val="center"/>
          </w:tcPr>
          <w:p>
            <w:pPr>
              <w:spacing w:line="240" w:lineRule="auto"/>
              <w:jc w:val="center"/>
              <w:rPr>
                <w:rFonts w:ascii="仿宋" w:hAnsi="仿宋" w:cs="宋体"/>
                <w:kern w:val="0"/>
                <w:lang w:bidi="ar"/>
              </w:rPr>
            </w:pPr>
            <w:r>
              <w:rPr>
                <w:rFonts w:hint="eastAsia" w:ascii="仿宋" w:hAnsi="仿宋" w:cs="宋体"/>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953" w:type="dxa"/>
            <w:tcBorders>
              <w:tl2br w:val="nil"/>
              <w:tr2bl w:val="nil"/>
            </w:tcBorders>
            <w:shd w:val="clear" w:color="auto" w:fill="auto"/>
            <w:vAlign w:val="center"/>
          </w:tcPr>
          <w:p>
            <w:pPr>
              <w:spacing w:line="240" w:lineRule="auto"/>
              <w:jc w:val="center"/>
              <w:rPr>
                <w:rFonts w:ascii="仿宋" w:hAnsi="仿宋" w:cs="宋体"/>
                <w:kern w:val="0"/>
                <w:lang w:bidi="ar"/>
              </w:rPr>
            </w:pPr>
            <w:r>
              <w:rPr>
                <w:rFonts w:hint="eastAsia" w:ascii="仿宋" w:hAnsi="仿宋" w:cs="宋体"/>
                <w:kern w:val="0"/>
                <w:lang w:bidi="ar"/>
              </w:rPr>
              <w:t>5</w:t>
            </w:r>
          </w:p>
        </w:tc>
        <w:tc>
          <w:tcPr>
            <w:tcW w:w="6697" w:type="dxa"/>
            <w:tcBorders>
              <w:tl2br w:val="nil"/>
              <w:tr2bl w:val="nil"/>
            </w:tcBorders>
            <w:shd w:val="clear" w:color="auto" w:fill="auto"/>
            <w:vAlign w:val="center"/>
          </w:tcPr>
          <w:p>
            <w:pPr>
              <w:spacing w:line="240" w:lineRule="auto"/>
              <w:jc w:val="center"/>
              <w:rPr>
                <w:rFonts w:ascii="仿宋" w:hAnsi="仿宋" w:cs="宋体"/>
                <w:kern w:val="0"/>
                <w:lang w:bidi="ar"/>
              </w:rPr>
            </w:pPr>
            <w:r>
              <w:rPr>
                <w:rFonts w:hint="eastAsia" w:ascii="仿宋" w:hAnsi="仿宋" w:cs="宋体"/>
                <w:kern w:val="0"/>
                <w:lang w:bidi="ar"/>
              </w:rPr>
              <w:t>电影时序器</w:t>
            </w:r>
          </w:p>
        </w:tc>
        <w:tc>
          <w:tcPr>
            <w:tcW w:w="750" w:type="dxa"/>
            <w:tcBorders>
              <w:tl2br w:val="nil"/>
              <w:tr2bl w:val="nil"/>
            </w:tcBorders>
            <w:shd w:val="clear" w:color="auto" w:fill="auto"/>
            <w:vAlign w:val="center"/>
          </w:tcPr>
          <w:p>
            <w:pPr>
              <w:spacing w:line="240" w:lineRule="auto"/>
              <w:jc w:val="center"/>
              <w:rPr>
                <w:rFonts w:ascii="仿宋" w:hAnsi="仿宋" w:cs="宋体"/>
                <w:kern w:val="0"/>
                <w:lang w:bidi="ar"/>
              </w:rPr>
            </w:pPr>
            <w:r>
              <w:rPr>
                <w:rFonts w:hint="eastAsia" w:ascii="仿宋" w:hAnsi="仿宋" w:cs="宋体"/>
                <w:kern w:val="0"/>
                <w:lang w:bidi="ar"/>
              </w:rPr>
              <w:t>台</w:t>
            </w:r>
          </w:p>
        </w:tc>
        <w:tc>
          <w:tcPr>
            <w:tcW w:w="1196" w:type="dxa"/>
            <w:tcBorders>
              <w:tl2br w:val="nil"/>
              <w:tr2bl w:val="nil"/>
            </w:tcBorders>
            <w:shd w:val="clear" w:color="auto" w:fill="auto"/>
            <w:vAlign w:val="center"/>
          </w:tcPr>
          <w:p>
            <w:pPr>
              <w:spacing w:line="240" w:lineRule="auto"/>
              <w:jc w:val="center"/>
              <w:rPr>
                <w:rFonts w:ascii="仿宋" w:hAnsi="仿宋" w:cs="宋体"/>
                <w:kern w:val="0"/>
                <w:lang w:bidi="ar"/>
              </w:rPr>
            </w:pPr>
            <w:r>
              <w:rPr>
                <w:rFonts w:hint="eastAsia" w:ascii="仿宋" w:hAnsi="仿宋" w:cs="宋体"/>
                <w:kern w:val="0"/>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9596" w:type="dxa"/>
            <w:gridSpan w:val="4"/>
            <w:tcBorders>
              <w:tl2br w:val="nil"/>
              <w:tr2bl w:val="nil"/>
            </w:tcBorders>
            <w:shd w:val="clear" w:color="auto" w:fill="auto"/>
            <w:vAlign w:val="center"/>
          </w:tcPr>
          <w:p>
            <w:pPr>
              <w:spacing w:line="240" w:lineRule="auto"/>
              <w:rPr>
                <w:rFonts w:ascii="仿宋" w:hAnsi="仿宋" w:cstheme="minorBidi"/>
              </w:rPr>
            </w:pPr>
            <w:r>
              <w:rPr>
                <w:rFonts w:hint="eastAsia" w:ascii="仿宋" w:hAnsi="仿宋" w:cstheme="minorBidi"/>
                <w:b/>
                <w:bCs/>
              </w:rPr>
              <w:t>高分辨转播设备（核心产品）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953" w:type="dxa"/>
            <w:tcBorders>
              <w:tl2br w:val="nil"/>
              <w:tr2bl w:val="nil"/>
            </w:tcBorders>
            <w:shd w:val="clear" w:color="auto" w:fill="auto"/>
            <w:vAlign w:val="center"/>
          </w:tcPr>
          <w:p>
            <w:pPr>
              <w:spacing w:line="240" w:lineRule="auto"/>
              <w:jc w:val="center"/>
              <w:rPr>
                <w:rFonts w:ascii="仿宋" w:hAnsi="仿宋" w:cstheme="minorBidi"/>
                <w:b/>
                <w:bCs/>
              </w:rPr>
            </w:pPr>
            <w:r>
              <w:rPr>
                <w:rFonts w:hint="eastAsia" w:ascii="仿宋" w:hAnsi="仿宋" w:cstheme="minorBidi"/>
                <w:b/>
                <w:bCs/>
              </w:rPr>
              <w:t>序号</w:t>
            </w:r>
          </w:p>
        </w:tc>
        <w:tc>
          <w:tcPr>
            <w:tcW w:w="6697" w:type="dxa"/>
            <w:tcBorders>
              <w:tl2br w:val="nil"/>
              <w:tr2bl w:val="nil"/>
            </w:tcBorders>
            <w:shd w:val="clear" w:color="auto" w:fill="auto"/>
            <w:vAlign w:val="center"/>
          </w:tcPr>
          <w:p>
            <w:pPr>
              <w:spacing w:line="240" w:lineRule="auto"/>
              <w:jc w:val="center"/>
              <w:rPr>
                <w:rFonts w:ascii="仿宋" w:hAnsi="仿宋" w:cs="宋体"/>
                <w:kern w:val="0"/>
                <w:lang w:bidi="ar"/>
              </w:rPr>
            </w:pPr>
            <w:r>
              <w:rPr>
                <w:rFonts w:hint="eastAsia" w:ascii="仿宋" w:hAnsi="仿宋"/>
                <w:b/>
                <w:bCs/>
              </w:rPr>
              <w:t>产品</w:t>
            </w:r>
          </w:p>
        </w:tc>
        <w:tc>
          <w:tcPr>
            <w:tcW w:w="750" w:type="dxa"/>
            <w:tcBorders>
              <w:tl2br w:val="nil"/>
              <w:tr2bl w:val="nil"/>
            </w:tcBorders>
            <w:shd w:val="clear" w:color="auto" w:fill="auto"/>
            <w:vAlign w:val="center"/>
          </w:tcPr>
          <w:p>
            <w:pPr>
              <w:spacing w:line="240" w:lineRule="auto"/>
              <w:jc w:val="center"/>
              <w:rPr>
                <w:rFonts w:ascii="仿宋" w:hAnsi="仿宋" w:cstheme="minorBidi"/>
                <w:b/>
                <w:bCs/>
              </w:rPr>
            </w:pPr>
            <w:r>
              <w:rPr>
                <w:rFonts w:hint="eastAsia" w:ascii="仿宋" w:hAnsi="仿宋" w:cstheme="minorBidi"/>
                <w:b/>
                <w:bCs/>
              </w:rPr>
              <w:t>单位</w:t>
            </w:r>
          </w:p>
        </w:tc>
        <w:tc>
          <w:tcPr>
            <w:tcW w:w="1196" w:type="dxa"/>
            <w:tcBorders>
              <w:tl2br w:val="nil"/>
              <w:tr2bl w:val="nil"/>
            </w:tcBorders>
            <w:shd w:val="clear" w:color="auto" w:fill="auto"/>
            <w:vAlign w:val="center"/>
          </w:tcPr>
          <w:p>
            <w:pPr>
              <w:spacing w:line="240" w:lineRule="auto"/>
              <w:jc w:val="center"/>
              <w:rPr>
                <w:rFonts w:ascii="仿宋" w:hAnsi="仿宋" w:cstheme="minorBidi"/>
                <w:b/>
                <w:bCs/>
              </w:rPr>
            </w:pPr>
            <w:r>
              <w:rPr>
                <w:rFonts w:hint="eastAsia" w:ascii="仿宋" w:hAnsi="仿宋" w:cstheme="minorBidi"/>
                <w:b/>
                <w:bCs/>
              </w:rPr>
              <w:t>数量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953" w:type="dxa"/>
            <w:tcBorders>
              <w:tl2br w:val="nil"/>
              <w:tr2bl w:val="nil"/>
            </w:tcBorders>
            <w:shd w:val="clear" w:color="auto" w:fill="auto"/>
            <w:vAlign w:val="center"/>
          </w:tcPr>
          <w:p>
            <w:pPr>
              <w:spacing w:line="240" w:lineRule="auto"/>
              <w:jc w:val="center"/>
              <w:rPr>
                <w:rFonts w:ascii="仿宋" w:hAnsi="仿宋" w:cs="Calibri"/>
                <w:kern w:val="0"/>
                <w:lang w:bidi="ar"/>
              </w:rPr>
            </w:pPr>
            <w:r>
              <w:rPr>
                <w:rFonts w:hint="eastAsia" w:ascii="仿宋" w:hAnsi="仿宋" w:cstheme="minorBidi"/>
              </w:rPr>
              <w:t>1</w:t>
            </w:r>
          </w:p>
        </w:tc>
        <w:tc>
          <w:tcPr>
            <w:tcW w:w="6697" w:type="dxa"/>
            <w:tcBorders>
              <w:tl2br w:val="nil"/>
              <w:tr2bl w:val="nil"/>
            </w:tcBorders>
            <w:shd w:val="clear" w:color="auto" w:fill="auto"/>
            <w:vAlign w:val="center"/>
          </w:tcPr>
          <w:p>
            <w:pPr>
              <w:spacing w:line="240" w:lineRule="auto"/>
              <w:jc w:val="center"/>
              <w:rPr>
                <w:rFonts w:ascii="仿宋" w:hAnsi="仿宋" w:cs="宋体"/>
                <w:kern w:val="0"/>
                <w:lang w:bidi="ar"/>
              </w:rPr>
            </w:pPr>
            <w:r>
              <w:rPr>
                <w:rFonts w:hint="eastAsia" w:ascii="仿宋" w:hAnsi="仿宋" w:cstheme="minorBidi"/>
              </w:rPr>
              <w:t>高分辨转播全彩显示屏</w:t>
            </w:r>
          </w:p>
        </w:tc>
        <w:tc>
          <w:tcPr>
            <w:tcW w:w="750" w:type="dxa"/>
            <w:tcBorders>
              <w:tl2br w:val="nil"/>
              <w:tr2bl w:val="nil"/>
            </w:tcBorders>
            <w:shd w:val="clear" w:color="auto" w:fill="auto"/>
            <w:vAlign w:val="center"/>
          </w:tcPr>
          <w:p>
            <w:pPr>
              <w:spacing w:line="240" w:lineRule="auto"/>
              <w:jc w:val="center"/>
              <w:rPr>
                <w:rFonts w:hint="eastAsia" w:ascii="仿宋" w:hAnsi="仿宋" w:eastAsia="仿宋" w:cstheme="minorBidi"/>
                <w:lang w:eastAsia="zh-CN"/>
              </w:rPr>
            </w:pPr>
            <w:r>
              <w:rPr>
                <w:rFonts w:hint="eastAsia" w:ascii="仿宋" w:hAnsi="仿宋" w:cstheme="minorBidi"/>
                <w:lang w:val="en-US" w:eastAsia="zh-CN"/>
              </w:rPr>
              <w:t>台</w:t>
            </w:r>
          </w:p>
        </w:tc>
        <w:tc>
          <w:tcPr>
            <w:tcW w:w="1196" w:type="dxa"/>
            <w:tcBorders>
              <w:tl2br w:val="nil"/>
              <w:tr2bl w:val="nil"/>
            </w:tcBorders>
            <w:shd w:val="clear" w:color="auto" w:fill="auto"/>
            <w:vAlign w:val="center"/>
          </w:tcPr>
          <w:p>
            <w:pPr>
              <w:spacing w:line="240" w:lineRule="auto"/>
              <w:jc w:val="center"/>
              <w:rPr>
                <w:rFonts w:hint="eastAsia" w:ascii="仿宋" w:hAnsi="仿宋" w:eastAsia="仿宋" w:cs="Calibri"/>
                <w:kern w:val="0"/>
                <w:lang w:eastAsia="zh-CN" w:bidi="ar"/>
              </w:rPr>
            </w:pPr>
            <w:r>
              <w:rPr>
                <w:rFonts w:hint="eastAsia" w:ascii="仿宋" w:hAnsi="仿宋" w:cstheme="minorBidi"/>
                <w:lang w:val="en-US" w:eastAsia="zh-CN"/>
              </w:rPr>
              <w:t>1</w:t>
            </w:r>
          </w:p>
        </w:tc>
      </w:tr>
    </w:tbl>
    <w:p>
      <w:pPr>
        <w:rPr>
          <w:rFonts w:ascii="仿宋" w:hAnsi="仿宋"/>
          <w:szCs w:val="21"/>
        </w:rPr>
      </w:pPr>
    </w:p>
    <w:p>
      <w:pPr>
        <w:pStyle w:val="4"/>
        <w:spacing w:line="400" w:lineRule="exact"/>
        <w:rPr>
          <w:rFonts w:ascii="仿宋" w:hAnsi="仿宋"/>
          <w:sz w:val="24"/>
          <w:szCs w:val="24"/>
        </w:rPr>
      </w:pPr>
      <w:bookmarkStart w:id="352" w:name="PO_默认文件内容_21"/>
      <w:r>
        <w:rPr>
          <w:rFonts w:hint="eastAsia" w:ascii="仿宋" w:hAnsi="仿宋"/>
          <w:sz w:val="24"/>
          <w:szCs w:val="24"/>
        </w:rPr>
        <w:t>二、商务要求</w:t>
      </w:r>
    </w:p>
    <w:p>
      <w:pPr>
        <w:rPr>
          <w:rFonts w:ascii="仿宋" w:hAnsi="仿宋" w:cs="仿宋_GB2312"/>
          <w:b/>
          <w:bCs/>
        </w:rPr>
      </w:pPr>
      <w:r>
        <w:rPr>
          <w:rFonts w:hint="eastAsia" w:ascii="仿宋" w:hAnsi="仿宋" w:cs="黑体"/>
          <w:b/>
          <w:bCs/>
        </w:rPr>
        <w:t>★</w:t>
      </w:r>
      <w:r>
        <w:rPr>
          <w:rFonts w:hint="eastAsia" w:ascii="仿宋" w:hAnsi="仿宋" w:cs="仿宋_GB2312"/>
          <w:b/>
          <w:bCs/>
        </w:rPr>
        <w:t>1、工期进度要求</w:t>
      </w:r>
    </w:p>
    <w:p>
      <w:pPr>
        <w:ind w:firstLine="480" w:firstLineChars="200"/>
        <w:rPr>
          <w:rFonts w:ascii="仿宋" w:hAnsi="仿宋"/>
        </w:rPr>
      </w:pPr>
      <w:r>
        <w:rPr>
          <w:rFonts w:hint="eastAsia" w:ascii="仿宋" w:hAnsi="仿宋"/>
        </w:rPr>
        <w:t>遵照心脏血管介入管理系统建设的要求，按照以下2个阶段要求进行建设：</w:t>
      </w:r>
    </w:p>
    <w:p>
      <w:pPr>
        <w:ind w:firstLine="480" w:firstLineChars="200"/>
        <w:rPr>
          <w:rFonts w:ascii="仿宋" w:hAnsi="仿宋"/>
        </w:rPr>
      </w:pPr>
      <w:r>
        <w:rPr>
          <w:rFonts w:hint="eastAsia" w:ascii="仿宋" w:hAnsi="仿宋"/>
        </w:rPr>
        <w:t>第一阶段：自合同签订付首款后1个月内，主要硬件设备到场，实施工程师团队全部进场实施。</w:t>
      </w:r>
    </w:p>
    <w:p>
      <w:pPr>
        <w:ind w:firstLine="480" w:firstLineChars="200"/>
        <w:rPr>
          <w:rFonts w:ascii="仿宋" w:hAnsi="仿宋"/>
        </w:rPr>
      </w:pPr>
      <w:r>
        <w:rPr>
          <w:rFonts w:hint="eastAsia" w:ascii="仿宋" w:hAnsi="仿宋"/>
        </w:rPr>
        <w:t>第二阶段：自合同签订后4个月内，完成招标文件要求的全部建设内容。</w:t>
      </w:r>
    </w:p>
    <w:p>
      <w:pPr>
        <w:rPr>
          <w:rFonts w:ascii="仿宋" w:hAnsi="仿宋" w:cs="仿宋_GB2312"/>
          <w:b/>
          <w:bCs/>
        </w:rPr>
      </w:pPr>
      <w:r>
        <w:rPr>
          <w:rFonts w:hint="eastAsia" w:ascii="仿宋" w:hAnsi="仿宋" w:cs="黑体"/>
          <w:b/>
          <w:bCs/>
        </w:rPr>
        <w:t>★</w:t>
      </w:r>
      <w:r>
        <w:rPr>
          <w:rFonts w:hint="eastAsia" w:ascii="仿宋" w:hAnsi="仿宋" w:cs="仿宋_GB2312"/>
          <w:b/>
          <w:bCs/>
        </w:rPr>
        <w:t>2、交付地点要求</w:t>
      </w:r>
    </w:p>
    <w:p>
      <w:pPr>
        <w:ind w:firstLine="480" w:firstLineChars="200"/>
        <w:rPr>
          <w:rFonts w:ascii="仿宋" w:hAnsi="仿宋"/>
        </w:rPr>
      </w:pPr>
      <w:r>
        <w:rPr>
          <w:rFonts w:hint="eastAsia" w:ascii="仿宋" w:hAnsi="仿宋"/>
        </w:rPr>
        <w:t>交付地点：成都市第三人民医院（</w:t>
      </w:r>
      <w:r>
        <w:rPr>
          <w:rFonts w:ascii="仿宋" w:hAnsi="仿宋" w:cs="Arial"/>
          <w:shd w:val="clear" w:color="auto" w:fill="FFFFFF"/>
        </w:rPr>
        <w:t>成都市青羊区青龙街82号</w:t>
      </w:r>
      <w:r>
        <w:rPr>
          <w:rFonts w:hint="eastAsia" w:ascii="仿宋" w:hAnsi="仿宋"/>
        </w:rPr>
        <w:t>）。</w:t>
      </w:r>
    </w:p>
    <w:p>
      <w:pPr>
        <w:rPr>
          <w:rFonts w:ascii="仿宋" w:hAnsi="仿宋" w:cs="仿宋_GB2312"/>
          <w:b/>
          <w:bCs/>
        </w:rPr>
      </w:pPr>
      <w:r>
        <w:rPr>
          <w:rFonts w:hint="eastAsia" w:ascii="仿宋" w:hAnsi="仿宋" w:cs="仿宋_GB2312"/>
          <w:b/>
          <w:bCs/>
        </w:rPr>
        <w:t>3、售后服务要求</w:t>
      </w:r>
    </w:p>
    <w:p>
      <w:pPr>
        <w:ind w:firstLine="480" w:firstLineChars="200"/>
        <w:rPr>
          <w:rFonts w:ascii="仿宋" w:hAnsi="仿宋" w:cs="宋体"/>
        </w:rPr>
      </w:pPr>
      <w:r>
        <w:rPr>
          <w:rFonts w:hint="eastAsia" w:ascii="仿宋" w:hAnsi="仿宋" w:cs="宋体"/>
        </w:rPr>
        <w:t>3.1保质期软件为</w:t>
      </w:r>
      <w:r>
        <w:rPr>
          <w:rFonts w:hint="eastAsia" w:ascii="仿宋" w:hAnsi="仿宋" w:cs="宋体"/>
          <w:lang w:val="en-US" w:eastAsia="zh-CN"/>
        </w:rPr>
        <w:t>1</w:t>
      </w:r>
      <w:r>
        <w:rPr>
          <w:rFonts w:hint="eastAsia" w:ascii="仿宋" w:hAnsi="仿宋" w:cs="宋体"/>
        </w:rPr>
        <w:t>年，硬件为</w:t>
      </w:r>
      <w:r>
        <w:rPr>
          <w:rFonts w:hint="eastAsia" w:ascii="仿宋" w:hAnsi="仿宋" w:cs="宋体"/>
          <w:lang w:val="en-US" w:eastAsia="zh-CN"/>
        </w:rPr>
        <w:t>3</w:t>
      </w:r>
      <w:r>
        <w:rPr>
          <w:rFonts w:hint="eastAsia" w:ascii="仿宋" w:hAnsi="仿宋" w:cs="宋体"/>
        </w:rPr>
        <w:t>年；软件质保期自软件</w:t>
      </w:r>
      <w:r>
        <w:rPr>
          <w:rFonts w:hint="eastAsia"/>
        </w:rPr>
        <w:t>验收合格之日起</w:t>
      </w:r>
      <w:r>
        <w:rPr>
          <w:rFonts w:hint="eastAsia" w:ascii="仿宋" w:hAnsi="仿宋" w:cs="宋体"/>
        </w:rPr>
        <w:t>起开始计算，硬件质保期自硬件验收合格之日起计算。维护期内，供应商负责软件的升级、维护和技术支持，供应商需对院方提出的问题建立维护记录，并交付院方留存。工作说明书对维护期有特殊约定的，按工作说明书执行。质保期内，供应商负责项目硬件部分的维护和技术支持。</w:t>
      </w:r>
    </w:p>
    <w:p>
      <w:pPr>
        <w:ind w:firstLine="480" w:firstLineChars="200"/>
        <w:rPr>
          <w:rFonts w:ascii="仿宋" w:hAnsi="仿宋" w:cs="宋体"/>
        </w:rPr>
      </w:pPr>
      <w:r>
        <w:rPr>
          <w:rFonts w:hint="eastAsia" w:ascii="仿宋" w:hAnsi="仿宋" w:cs="宋体"/>
        </w:rPr>
        <w:t>3.2质保期内，供应商应提供24小时热线电话服务。对于一般故障，供应商应在接到院方通知后2小时内响应。对于需供应商派技术工程师到现场解决的故障，供应商技术人员必须在24小时内赶到现场，4小时内恢复系统正常运行。项目出现供应商不能及时解决的问题，院方有权委托第三方提供维护服务，相关费用由供应商承担。</w:t>
      </w:r>
    </w:p>
    <w:p>
      <w:pPr>
        <w:ind w:firstLine="480" w:firstLineChars="200"/>
        <w:rPr>
          <w:rFonts w:ascii="仿宋" w:hAnsi="仿宋" w:cs="宋体"/>
        </w:rPr>
      </w:pPr>
      <w:r>
        <w:rPr>
          <w:rFonts w:hint="eastAsia" w:ascii="仿宋" w:hAnsi="仿宋" w:cs="宋体"/>
        </w:rPr>
        <w:t>3.3质保期内，供应商每1个月进行1次项目巡检。</w:t>
      </w:r>
    </w:p>
    <w:p>
      <w:pPr>
        <w:ind w:firstLine="480" w:firstLineChars="200"/>
        <w:rPr>
          <w:rFonts w:hint="eastAsia" w:ascii="仿宋" w:hAnsi="仿宋" w:eastAsia="仿宋" w:cs="宋体"/>
          <w:lang w:eastAsia="zh-CN"/>
        </w:rPr>
      </w:pPr>
      <w:r>
        <w:rPr>
          <w:rFonts w:hint="eastAsia" w:ascii="仿宋" w:hAnsi="仿宋" w:cs="宋体"/>
        </w:rPr>
        <w:t>3.4质保期满后，若双方另外签署收费维护期合同,维保合同金额不超过中标后签订项目合同总额的10%。</w:t>
      </w:r>
      <w:r>
        <w:rPr>
          <w:rFonts w:hint="eastAsia" w:ascii="仿宋" w:hAnsi="仿宋" w:cs="宋体"/>
          <w:lang w:eastAsia="zh-CN"/>
        </w:rPr>
        <w:t>（</w:t>
      </w:r>
      <w:r>
        <w:rPr>
          <w:rFonts w:hint="eastAsia" w:ascii="仿宋" w:hAnsi="仿宋" w:cs="宋体"/>
          <w:lang w:val="en-US" w:eastAsia="zh-CN"/>
        </w:rPr>
        <w:t>不包含在本次报价中</w:t>
      </w:r>
      <w:r>
        <w:rPr>
          <w:rFonts w:hint="eastAsia" w:ascii="仿宋" w:hAnsi="仿宋" w:cs="宋体"/>
          <w:lang w:eastAsia="zh-CN"/>
        </w:rPr>
        <w:t>）</w:t>
      </w:r>
    </w:p>
    <w:p>
      <w:pPr>
        <w:rPr>
          <w:rFonts w:ascii="仿宋" w:hAnsi="仿宋" w:cs="仿宋_GB2312"/>
          <w:b/>
          <w:bCs/>
        </w:rPr>
      </w:pPr>
      <w:r>
        <w:rPr>
          <w:rFonts w:hint="eastAsia" w:ascii="仿宋" w:hAnsi="仿宋" w:cs="黑体"/>
          <w:b/>
          <w:bCs/>
        </w:rPr>
        <w:t>★</w:t>
      </w:r>
      <w:r>
        <w:rPr>
          <w:rFonts w:hint="eastAsia" w:ascii="仿宋" w:hAnsi="仿宋" w:cs="仿宋_GB2312"/>
          <w:b/>
          <w:bCs/>
        </w:rPr>
        <w:t>4、培训要求</w:t>
      </w:r>
    </w:p>
    <w:p>
      <w:pPr>
        <w:ind w:firstLine="480" w:firstLineChars="200"/>
        <w:rPr>
          <w:rFonts w:ascii="仿宋" w:hAnsi="仿宋"/>
        </w:rPr>
      </w:pPr>
      <w:r>
        <w:rPr>
          <w:rFonts w:hint="eastAsia" w:ascii="仿宋" w:hAnsi="仿宋"/>
        </w:rPr>
        <w:t>4.1中标人应负责对医院使用人员的培训及考核，并在项目实施后按照医院要求定期开展培训和考核。系统管理人员培训内容为系统中涉及的相关技术内容；管理人员培训内容为系统流程和相关管理思想；技术人员为系统的操作技术培训，中标人应提供完整的培训方案，其中医院信息科将派技术人员参与开发，所有的培训费用包含在投标总价内。</w:t>
      </w:r>
    </w:p>
    <w:p>
      <w:pPr>
        <w:ind w:firstLine="480" w:firstLineChars="200"/>
        <w:rPr>
          <w:rFonts w:ascii="仿宋" w:hAnsi="仿宋"/>
        </w:rPr>
      </w:pPr>
      <w:r>
        <w:rPr>
          <w:rFonts w:hint="eastAsia" w:ascii="仿宋" w:hAnsi="仿宋"/>
        </w:rPr>
        <w:t>4.2培训内容</w:t>
      </w:r>
    </w:p>
    <w:p>
      <w:pPr>
        <w:ind w:firstLine="480" w:firstLineChars="200"/>
        <w:rPr>
          <w:rFonts w:ascii="仿宋" w:hAnsi="仿宋"/>
        </w:rPr>
      </w:pPr>
      <w:r>
        <w:rPr>
          <w:rFonts w:hint="eastAsia" w:ascii="仿宋" w:hAnsi="仿宋"/>
        </w:rPr>
        <w:t>为了让采购单位相关人员更好地对系统进行管理和维护，中标人需对相关技术人员和管理人员进行全面的培训，使之在各个层次上掌握应用软件系统的操作、系统配置、运营、故障处理及日常测试维护，从而确保全网能正常安全的运行。</w:t>
      </w:r>
    </w:p>
    <w:p>
      <w:pPr>
        <w:ind w:firstLine="480" w:firstLineChars="200"/>
        <w:rPr>
          <w:rFonts w:ascii="仿宋" w:hAnsi="仿宋"/>
        </w:rPr>
      </w:pPr>
      <w:r>
        <w:rPr>
          <w:rFonts w:hint="eastAsia" w:ascii="仿宋" w:hAnsi="仿宋"/>
        </w:rPr>
        <w:t>提供下列几个方面的培训：</w:t>
      </w:r>
    </w:p>
    <w:p>
      <w:pPr>
        <w:ind w:firstLine="480" w:firstLineChars="200"/>
        <w:rPr>
          <w:rFonts w:ascii="仿宋" w:hAnsi="仿宋"/>
        </w:rPr>
      </w:pPr>
      <w:r>
        <w:rPr>
          <w:rFonts w:hint="eastAsia" w:ascii="仿宋" w:hAnsi="仿宋"/>
        </w:rPr>
        <w:t>（1）系统软件的用户使用培训，应用软件操作培训；</w:t>
      </w:r>
    </w:p>
    <w:p>
      <w:pPr>
        <w:ind w:firstLine="480" w:firstLineChars="200"/>
        <w:rPr>
          <w:rFonts w:ascii="仿宋" w:hAnsi="仿宋"/>
        </w:rPr>
      </w:pPr>
      <w:r>
        <w:rPr>
          <w:rFonts w:hint="eastAsia" w:ascii="仿宋" w:hAnsi="仿宋"/>
        </w:rPr>
        <w:t>（2）系统管理培训、采购方技术人员开发维护培训；</w:t>
      </w:r>
    </w:p>
    <w:p>
      <w:pPr>
        <w:ind w:firstLine="480" w:firstLineChars="200"/>
        <w:rPr>
          <w:rFonts w:ascii="仿宋" w:hAnsi="仿宋"/>
        </w:rPr>
      </w:pPr>
      <w:r>
        <w:rPr>
          <w:rFonts w:hint="eastAsia" w:ascii="仿宋" w:hAnsi="仿宋"/>
        </w:rPr>
        <w:t>（3）应用软件操作疑难问题解答；第三方支撑软件（如数据库、操作系统）的使用、维护培训。</w:t>
      </w:r>
    </w:p>
    <w:p>
      <w:pPr>
        <w:ind w:firstLine="480" w:firstLineChars="200"/>
        <w:rPr>
          <w:rFonts w:ascii="仿宋" w:hAnsi="仿宋"/>
        </w:rPr>
      </w:pPr>
      <w:r>
        <w:rPr>
          <w:rFonts w:hint="eastAsia" w:ascii="仿宋" w:hAnsi="仿宋"/>
        </w:rPr>
        <w:t>4.3培训对象</w:t>
      </w:r>
    </w:p>
    <w:p>
      <w:pPr>
        <w:ind w:firstLine="480" w:firstLineChars="200"/>
        <w:rPr>
          <w:rFonts w:ascii="仿宋" w:hAnsi="仿宋"/>
        </w:rPr>
      </w:pPr>
      <w:r>
        <w:rPr>
          <w:rFonts w:hint="eastAsia" w:ascii="仿宋" w:hAnsi="仿宋"/>
        </w:rPr>
        <w:t>培训对象包括系统维护人员、管理人员培训和系统使用人员操作培训。培训可使得系统维护人员能够顺利地完成日常的维护工作，保证系统的正常运行。培训可使得技术开发人员能够高效及时地解决系统突发运行故障。培训可使得管理人员对本业务支撑系统的运行机制有着清晰明确的认识。操作培训可让医护人员熟练使用本系统软件。</w:t>
      </w:r>
    </w:p>
    <w:p>
      <w:pPr>
        <w:rPr>
          <w:rFonts w:ascii="仿宋" w:hAnsi="仿宋" w:cs="仿宋_GB2312"/>
          <w:b/>
          <w:bCs/>
        </w:rPr>
      </w:pPr>
      <w:r>
        <w:rPr>
          <w:rFonts w:hint="eastAsia" w:ascii="仿宋" w:hAnsi="仿宋" w:cs="黑体"/>
          <w:b/>
          <w:bCs/>
        </w:rPr>
        <w:t>★</w:t>
      </w:r>
      <w:r>
        <w:rPr>
          <w:rFonts w:hint="eastAsia" w:ascii="仿宋" w:hAnsi="仿宋" w:cs="仿宋_GB2312"/>
          <w:b/>
          <w:bCs/>
        </w:rPr>
        <w:t>5、付款方法和条件：</w:t>
      </w:r>
    </w:p>
    <w:p>
      <w:pPr>
        <w:ind w:firstLine="480" w:firstLineChars="200"/>
        <w:rPr>
          <w:rFonts w:ascii="仿宋" w:hAnsi="仿宋" w:cs="宋体"/>
          <w:szCs w:val="20"/>
        </w:rPr>
      </w:pPr>
      <w:r>
        <w:rPr>
          <w:rFonts w:hint="eastAsia" w:ascii="仿宋" w:hAnsi="仿宋" w:cs="宋体"/>
        </w:rPr>
        <w:t>5.1</w:t>
      </w:r>
      <w:r>
        <w:rPr>
          <w:rFonts w:hint="eastAsia" w:ascii="仿宋" w:hAnsi="仿宋" w:cs="宋体"/>
          <w:szCs w:val="20"/>
        </w:rPr>
        <w:t>合同签订后</w:t>
      </w:r>
      <w:r>
        <w:rPr>
          <w:rFonts w:hint="eastAsia" w:ascii="仿宋" w:hAnsi="仿宋" w:cs="宋体"/>
          <w:szCs w:val="20"/>
          <w:lang w:val="en-US" w:eastAsia="zh-CN"/>
        </w:rPr>
        <w:t>5个工作日内</w:t>
      </w:r>
      <w:r>
        <w:rPr>
          <w:rFonts w:hint="eastAsia" w:ascii="仿宋" w:hAnsi="仿宋" w:cs="宋体"/>
          <w:szCs w:val="20"/>
        </w:rPr>
        <w:t>，</w:t>
      </w:r>
      <w:r>
        <w:rPr>
          <w:rFonts w:hint="eastAsia" w:ascii="仿宋" w:hAnsi="仿宋"/>
        </w:rPr>
        <w:t>中标人</w:t>
      </w:r>
      <w:r>
        <w:rPr>
          <w:rFonts w:hint="eastAsia" w:ascii="仿宋" w:hAnsi="仿宋" w:cs="宋体"/>
        </w:rPr>
        <w:t>及时提供符合国家有关规定的等额增值税普通发票，</w:t>
      </w:r>
      <w:r>
        <w:rPr>
          <w:rFonts w:hint="eastAsia" w:ascii="仿宋" w:hAnsi="仿宋" w:cs="宋体"/>
          <w:szCs w:val="20"/>
        </w:rPr>
        <w:t>采购人按医院流程向</w:t>
      </w:r>
      <w:r>
        <w:rPr>
          <w:rFonts w:hint="eastAsia" w:ascii="仿宋" w:hAnsi="仿宋"/>
        </w:rPr>
        <w:t>中标人</w:t>
      </w:r>
      <w:r>
        <w:rPr>
          <w:rFonts w:hint="eastAsia" w:ascii="仿宋" w:hAnsi="仿宋" w:cs="宋体"/>
          <w:szCs w:val="20"/>
        </w:rPr>
        <w:t>支付合同总金额的40%；</w:t>
      </w:r>
    </w:p>
    <w:p>
      <w:pPr>
        <w:ind w:left="425"/>
        <w:rPr>
          <w:rFonts w:ascii="仿宋" w:hAnsi="仿宋" w:cs="宋体"/>
          <w:szCs w:val="20"/>
        </w:rPr>
      </w:pPr>
      <w:r>
        <w:rPr>
          <w:rFonts w:hint="eastAsia" w:ascii="仿宋" w:hAnsi="仿宋" w:cs="宋体"/>
          <w:szCs w:val="20"/>
        </w:rPr>
        <w:t>5.2在合同签订后</w:t>
      </w:r>
      <w:r>
        <w:rPr>
          <w:rFonts w:hint="eastAsia" w:ascii="仿宋" w:hAnsi="仿宋" w:cs="宋体"/>
        </w:rPr>
        <w:t>4个</w:t>
      </w:r>
      <w:r>
        <w:rPr>
          <w:rFonts w:hint="eastAsia" w:ascii="仿宋" w:hAnsi="仿宋" w:cs="宋体"/>
          <w:szCs w:val="20"/>
        </w:rPr>
        <w:t>月内完成系统</w:t>
      </w:r>
      <w:r>
        <w:rPr>
          <w:rFonts w:ascii="仿宋" w:hAnsi="仿宋" w:cs="宋体"/>
          <w:szCs w:val="20"/>
        </w:rPr>
        <w:t>上线工作</w:t>
      </w:r>
      <w:r>
        <w:rPr>
          <w:rFonts w:hint="eastAsia" w:ascii="仿宋" w:hAnsi="仿宋" w:cs="宋体"/>
          <w:szCs w:val="20"/>
        </w:rPr>
        <w:t>，系统上线并稳定运行后，</w:t>
      </w:r>
      <w:r>
        <w:rPr>
          <w:rFonts w:hint="eastAsia" w:ascii="仿宋" w:hAnsi="仿宋" w:cs="宋体"/>
        </w:rPr>
        <w:t>采购人</w:t>
      </w:r>
      <w:r>
        <w:rPr>
          <w:rFonts w:ascii="仿宋" w:hAnsi="仿宋" w:cs="宋体"/>
          <w:szCs w:val="20"/>
        </w:rPr>
        <w:t>组织</w:t>
      </w:r>
      <w:r>
        <w:rPr>
          <w:rFonts w:hint="eastAsia" w:ascii="仿宋" w:hAnsi="仿宋" w:cs="宋体"/>
          <w:szCs w:val="20"/>
        </w:rPr>
        <w:t>项目验收，项目</w:t>
      </w:r>
      <w:r>
        <w:rPr>
          <w:rFonts w:ascii="仿宋" w:hAnsi="仿宋" w:cs="宋体"/>
          <w:szCs w:val="20"/>
        </w:rPr>
        <w:t>验收后，</w:t>
      </w:r>
      <w:r>
        <w:rPr>
          <w:rFonts w:hint="eastAsia" w:ascii="仿宋" w:hAnsi="仿宋" w:cs="宋体"/>
        </w:rPr>
        <w:t>采购人应在验收后收到发票后15日内支付合同总金额的55%</w:t>
      </w:r>
      <w:r>
        <w:rPr>
          <w:rFonts w:ascii="仿宋" w:hAnsi="仿宋" w:cs="宋体"/>
          <w:szCs w:val="20"/>
        </w:rPr>
        <w:t>;</w:t>
      </w:r>
    </w:p>
    <w:p>
      <w:pPr>
        <w:ind w:left="425"/>
        <w:rPr>
          <w:rFonts w:ascii="仿宋" w:hAnsi="仿宋" w:cs="宋体"/>
          <w:szCs w:val="20"/>
        </w:rPr>
      </w:pPr>
      <w:r>
        <w:rPr>
          <w:rFonts w:hint="eastAsia" w:ascii="仿宋" w:hAnsi="仿宋" w:cs="宋体"/>
          <w:szCs w:val="20"/>
        </w:rPr>
        <w:t>5.3软件验收完成后即进入质保期，质保期满后2个月内，</w:t>
      </w:r>
      <w:r>
        <w:rPr>
          <w:rFonts w:hint="eastAsia" w:ascii="仿宋" w:hAnsi="仿宋" w:cs="宋体"/>
        </w:rPr>
        <w:t>采购人</w:t>
      </w:r>
      <w:r>
        <w:rPr>
          <w:rFonts w:hint="eastAsia" w:ascii="仿宋" w:hAnsi="仿宋" w:cs="宋体"/>
          <w:szCs w:val="20"/>
        </w:rPr>
        <w:t>收到发票后15日内支付合同金额的 5 %支付给</w:t>
      </w:r>
      <w:r>
        <w:rPr>
          <w:rFonts w:hint="eastAsia" w:ascii="仿宋" w:hAnsi="仿宋"/>
        </w:rPr>
        <w:t>中标人</w:t>
      </w:r>
      <w:r>
        <w:rPr>
          <w:rFonts w:hint="eastAsia" w:ascii="仿宋" w:hAnsi="仿宋" w:cs="宋体"/>
          <w:szCs w:val="20"/>
        </w:rPr>
        <w:t>（不计利息）。</w:t>
      </w:r>
    </w:p>
    <w:p>
      <w:pPr>
        <w:ind w:firstLine="480" w:firstLineChars="200"/>
        <w:rPr>
          <w:rFonts w:ascii="仿宋" w:hAnsi="仿宋" w:cs="宋体"/>
        </w:rPr>
      </w:pPr>
      <w:r>
        <w:rPr>
          <w:rFonts w:hint="eastAsia" w:ascii="仿宋" w:hAnsi="仿宋" w:cs="宋体"/>
        </w:rPr>
        <w:t>5.4采购人支付每笔费用前，</w:t>
      </w:r>
      <w:r>
        <w:rPr>
          <w:rFonts w:hint="eastAsia" w:ascii="仿宋" w:hAnsi="仿宋"/>
        </w:rPr>
        <w:t>中标人</w:t>
      </w:r>
      <w:r>
        <w:rPr>
          <w:rFonts w:hint="eastAsia" w:ascii="仿宋" w:hAnsi="仿宋" w:cs="宋体"/>
        </w:rPr>
        <w:t>应提前及时提供符合国家有关规定的等额增值税普通发票。</w:t>
      </w:r>
    </w:p>
    <w:p>
      <w:pPr>
        <w:ind w:firstLine="480" w:firstLineChars="200"/>
        <w:rPr>
          <w:rFonts w:ascii="仿宋" w:hAnsi="仿宋" w:cs="宋体"/>
        </w:rPr>
      </w:pPr>
      <w:r>
        <w:rPr>
          <w:rFonts w:hint="eastAsia" w:ascii="仿宋" w:hAnsi="仿宋" w:cs="宋体"/>
        </w:rPr>
        <w:t>5.5采购人有权从任何一笔应向</w:t>
      </w:r>
      <w:r>
        <w:rPr>
          <w:rFonts w:hint="eastAsia" w:ascii="仿宋" w:hAnsi="仿宋"/>
        </w:rPr>
        <w:t>中标人</w:t>
      </w:r>
      <w:r>
        <w:rPr>
          <w:rFonts w:hint="eastAsia" w:ascii="仿宋" w:hAnsi="仿宋" w:cs="宋体"/>
        </w:rPr>
        <w:t>支付的款项中扣除供应商按照本合同约定需向采购人支付的违约金或赔偿金。</w:t>
      </w:r>
    </w:p>
    <w:p>
      <w:pPr>
        <w:rPr>
          <w:rFonts w:ascii="仿宋" w:hAnsi="仿宋" w:cs="仿宋_GB2312"/>
          <w:b/>
          <w:bCs/>
        </w:rPr>
      </w:pPr>
      <w:r>
        <w:rPr>
          <w:rFonts w:hint="eastAsia" w:ascii="仿宋" w:hAnsi="仿宋" w:cs="黑体"/>
          <w:b/>
          <w:bCs/>
        </w:rPr>
        <w:t>★</w:t>
      </w:r>
      <w:r>
        <w:rPr>
          <w:rFonts w:hint="eastAsia" w:ascii="仿宋" w:hAnsi="仿宋" w:cs="仿宋_GB2312"/>
          <w:b/>
          <w:bCs/>
        </w:rPr>
        <w:t>6. 系统对接要求</w:t>
      </w:r>
    </w:p>
    <w:p>
      <w:pPr>
        <w:ind w:firstLine="480" w:firstLineChars="200"/>
        <w:rPr>
          <w:rFonts w:ascii="仿宋" w:hAnsi="仿宋" w:cs="宋体"/>
        </w:rPr>
      </w:pPr>
      <w:r>
        <w:rPr>
          <w:rFonts w:hint="eastAsia" w:ascii="仿宋" w:hAnsi="仿宋"/>
        </w:rPr>
        <w:t>中标人</w:t>
      </w:r>
      <w:r>
        <w:rPr>
          <w:rFonts w:hint="eastAsia" w:ascii="仿宋" w:hAnsi="仿宋" w:cs="宋体"/>
        </w:rPr>
        <w:t>到采购人现场完成所招标系统的测试环境搭建，在医院规定的时间内完成与体检系统及第三方系统</w:t>
      </w:r>
      <w:r>
        <w:rPr>
          <w:rFonts w:hint="eastAsia" w:ascii="仿宋" w:hAnsi="仿宋"/>
        </w:rPr>
        <w:t>（HIS、LIS、PACS等）</w:t>
      </w:r>
      <w:r>
        <w:rPr>
          <w:rFonts w:hint="eastAsia" w:ascii="仿宋" w:hAnsi="仿宋" w:cs="宋体"/>
        </w:rPr>
        <w:t>的接口无缝对接。不满足项目实施要求的，采购人有要求</w:t>
      </w:r>
      <w:r>
        <w:rPr>
          <w:rFonts w:hint="eastAsia" w:ascii="仿宋" w:hAnsi="仿宋"/>
        </w:rPr>
        <w:t>中标人</w:t>
      </w:r>
      <w:r>
        <w:rPr>
          <w:rFonts w:hint="eastAsia" w:ascii="仿宋" w:hAnsi="仿宋" w:cs="宋体"/>
        </w:rPr>
        <w:t>整改，直到满足项目顺利实施为止。（须在投标文件中单独提供投标人承诺函）。</w:t>
      </w:r>
    </w:p>
    <w:p>
      <w:pPr>
        <w:rPr>
          <w:rFonts w:ascii="仿宋" w:hAnsi="仿宋" w:cs="仿宋_GB2312"/>
          <w:b/>
          <w:bCs/>
        </w:rPr>
      </w:pPr>
      <w:r>
        <w:rPr>
          <w:rFonts w:hint="eastAsia" w:ascii="仿宋" w:hAnsi="仿宋" w:cs="黑体"/>
          <w:b/>
          <w:bCs/>
        </w:rPr>
        <w:t>★</w:t>
      </w:r>
      <w:r>
        <w:rPr>
          <w:rFonts w:hint="eastAsia" w:ascii="仿宋" w:hAnsi="仿宋" w:cs="仿宋_GB2312"/>
          <w:b/>
          <w:bCs/>
        </w:rPr>
        <w:t>7、其它要求</w:t>
      </w:r>
    </w:p>
    <w:p>
      <w:pPr>
        <w:ind w:firstLine="480" w:firstLineChars="200"/>
        <w:rPr>
          <w:rFonts w:ascii="仿宋" w:hAnsi="仿宋" w:cs="宋体"/>
        </w:rPr>
      </w:pPr>
      <w:r>
        <w:rPr>
          <w:rFonts w:hint="eastAsia" w:ascii="仿宋" w:hAnsi="仿宋" w:cs="宋体"/>
        </w:rPr>
        <w:t>7</w:t>
      </w:r>
      <w:r>
        <w:rPr>
          <w:rFonts w:ascii="仿宋" w:hAnsi="仿宋" w:cs="宋体"/>
        </w:rPr>
        <w:t xml:space="preserve">.1 </w:t>
      </w:r>
      <w:r>
        <w:rPr>
          <w:rFonts w:hint="eastAsia" w:ascii="仿宋" w:hAnsi="仿宋" w:cs="宋体"/>
        </w:rPr>
        <w:t>终端要求能够支持windows7、windows10等32位/64位操作系统，支持chrome、firefox、Edge等主流浏览器，且持续支持主流的web标准；</w:t>
      </w:r>
    </w:p>
    <w:p>
      <w:pPr>
        <w:ind w:firstLine="480" w:firstLineChars="200"/>
        <w:rPr>
          <w:rFonts w:ascii="仿宋" w:hAnsi="仿宋" w:cs="宋体"/>
        </w:rPr>
      </w:pPr>
      <w:r>
        <w:rPr>
          <w:rFonts w:hint="eastAsia" w:ascii="仿宋" w:hAnsi="仿宋" w:cs="宋体"/>
        </w:rPr>
        <w:t>7</w:t>
      </w:r>
      <w:r>
        <w:rPr>
          <w:rFonts w:ascii="仿宋" w:hAnsi="仿宋" w:cs="宋体"/>
        </w:rPr>
        <w:t xml:space="preserve">.2 </w:t>
      </w:r>
      <w:r>
        <w:rPr>
          <w:rFonts w:hint="eastAsia" w:ascii="仿宋" w:hAnsi="仿宋" w:cs="宋体"/>
        </w:rPr>
        <w:t>对医院开放数据(数据库、文件等)读取使用权限；</w:t>
      </w:r>
    </w:p>
    <w:p>
      <w:pPr>
        <w:ind w:firstLine="480" w:firstLineChars="200"/>
        <w:rPr>
          <w:rFonts w:ascii="仿宋" w:hAnsi="仿宋" w:cs="宋体"/>
        </w:rPr>
      </w:pPr>
      <w:r>
        <w:rPr>
          <w:rFonts w:hint="eastAsia" w:ascii="仿宋" w:hAnsi="仿宋" w:cs="宋体"/>
        </w:rPr>
        <w:t>7.3系统能够通过多种方式(不限于webservice、消息队列等)对接院内的其他业务系统或者集成平台。</w:t>
      </w:r>
    </w:p>
    <w:p>
      <w:pPr>
        <w:ind w:firstLine="480" w:firstLineChars="200"/>
        <w:rPr>
          <w:rFonts w:ascii="仿宋" w:hAnsi="仿宋" w:cs="宋体"/>
        </w:rPr>
      </w:pPr>
      <w:r>
        <w:rPr>
          <w:rFonts w:hint="eastAsia" w:ascii="仿宋" w:hAnsi="仿宋" w:cs="宋体"/>
        </w:rPr>
        <w:t>7.4系统能够根据医院的技术路线调整其架构，系统涉及外网的接口必须满足医院信息安全架构及规范要求；内网接口必须符合医院内网系统架构设计，按照医院约定方式(集成平台等)进行消息交互。</w:t>
      </w:r>
    </w:p>
    <w:p>
      <w:pPr>
        <w:ind w:firstLine="480" w:firstLineChars="200"/>
        <w:rPr>
          <w:rFonts w:ascii="仿宋" w:hAnsi="仿宋" w:cs="宋体"/>
        </w:rPr>
      </w:pPr>
      <w:r>
        <w:rPr>
          <w:rFonts w:hint="eastAsia" w:ascii="仿宋" w:hAnsi="仿宋" w:cs="宋体"/>
        </w:rPr>
        <w:t>7.5需配合医院进行互联互通五级乙等、电子病历五级与六级评级、智慧服务三级与四级、智慧医院三星等信息标准化建设（费用包含在本次投标报价中）。</w:t>
      </w:r>
    </w:p>
    <w:p>
      <w:pPr>
        <w:pStyle w:val="4"/>
        <w:spacing w:line="400" w:lineRule="exact"/>
        <w:rPr>
          <w:rFonts w:ascii="仿宋" w:hAnsi="仿宋"/>
          <w:sz w:val="24"/>
          <w:szCs w:val="24"/>
        </w:rPr>
      </w:pPr>
      <w:r>
        <w:rPr>
          <w:rFonts w:hint="eastAsia" w:ascii="仿宋" w:hAnsi="仿宋"/>
          <w:sz w:val="24"/>
          <w:szCs w:val="24"/>
        </w:rPr>
        <w:t>三、技术、服务要求</w:t>
      </w:r>
    </w:p>
    <w:p>
      <w:pPr>
        <w:spacing w:after="120"/>
        <w:ind w:firstLine="482" w:firstLineChars="200"/>
        <w:rPr>
          <w:rFonts w:ascii="仿宋" w:hAnsi="仿宋"/>
          <w:b/>
        </w:rPr>
      </w:pPr>
      <w:r>
        <w:rPr>
          <w:rFonts w:hint="eastAsia" w:ascii="仿宋" w:hAnsi="仿宋"/>
          <w:b/>
        </w:rPr>
        <w:t>1、系统设计要求</w:t>
      </w:r>
      <w:r>
        <w:rPr>
          <w:rFonts w:hint="eastAsia" w:ascii="仿宋" w:hAnsi="仿宋"/>
        </w:rPr>
        <w:t>（一般条款的总数量为3条）</w:t>
      </w:r>
    </w:p>
    <w:p>
      <w:pPr>
        <w:spacing w:after="120"/>
        <w:ind w:firstLine="480" w:firstLineChars="200"/>
        <w:rPr>
          <w:rFonts w:ascii="仿宋" w:hAnsi="仿宋"/>
        </w:rPr>
      </w:pPr>
      <w:r>
        <w:rPr>
          <w:rFonts w:hint="eastAsia" w:ascii="仿宋" w:hAnsi="仿宋"/>
        </w:rPr>
        <w:t>1.1 架构设计要求</w:t>
      </w:r>
    </w:p>
    <w:p>
      <w:pPr>
        <w:spacing w:after="120"/>
        <w:ind w:firstLine="480" w:firstLineChars="200"/>
        <w:rPr>
          <w:rFonts w:ascii="仿宋" w:hAnsi="仿宋"/>
        </w:rPr>
      </w:pPr>
      <w:r>
        <w:rPr>
          <w:rFonts w:hint="eastAsia" w:ascii="仿宋" w:hAnsi="仿宋"/>
        </w:rPr>
        <w:t>通过建设心脏血管介入管理系统，集成医院相关系统多维度数据，实现手术信息、病历信息、医嘱信息、医学影像和报告的交换和共享，具体要求如下：</w:t>
      </w:r>
    </w:p>
    <w:p>
      <w:pPr>
        <w:spacing w:after="120"/>
        <w:ind w:firstLine="480" w:firstLineChars="200"/>
        <w:rPr>
          <w:rFonts w:ascii="仿宋" w:hAnsi="仿宋"/>
        </w:rPr>
      </w:pPr>
      <w:r>
        <w:rPr>
          <w:rFonts w:hint="eastAsia" w:ascii="仿宋" w:hAnsi="仿宋"/>
        </w:rPr>
        <w:t>（1）使医生在同一系统上即可浏览病人所有相关信息，简化工作流程，规范诊疗行为；</w:t>
      </w:r>
    </w:p>
    <w:p>
      <w:pPr>
        <w:spacing w:after="120"/>
        <w:ind w:firstLine="480" w:firstLineChars="200"/>
        <w:rPr>
          <w:rFonts w:ascii="仿宋" w:hAnsi="仿宋"/>
        </w:rPr>
      </w:pPr>
      <w:r>
        <w:rPr>
          <w:rFonts w:hint="eastAsia" w:ascii="仿宋" w:hAnsi="仿宋"/>
        </w:rPr>
        <w:t>（2）有效结合医生、技师、护士三者工作的合作性，提高科室整体工作效率，降低管理成本，提高病床周转率和设备使用效率，规范术中用药和耗材使用，简化手术流程，节约开支，提升科室管理水平；</w:t>
      </w:r>
    </w:p>
    <w:p>
      <w:pPr>
        <w:spacing w:after="120"/>
        <w:ind w:firstLine="480" w:firstLineChars="200"/>
        <w:rPr>
          <w:rFonts w:ascii="仿宋" w:hAnsi="仿宋"/>
        </w:rPr>
      </w:pPr>
      <w:r>
        <w:rPr>
          <w:rFonts w:hint="eastAsia" w:ascii="仿宋" w:hAnsi="仿宋"/>
        </w:rPr>
        <w:t>（3）多类型影像设备数据集中存储，使多类型设备检查和手术影像有效关联，实现术前综合影像诊断评估和术中多数据手术支持，提高手术成功率，减少手术时间，降低并发症产生几率；</w:t>
      </w:r>
    </w:p>
    <w:p>
      <w:pPr>
        <w:spacing w:after="120"/>
        <w:ind w:firstLine="480" w:firstLineChars="200"/>
        <w:rPr>
          <w:rFonts w:ascii="仿宋" w:hAnsi="仿宋"/>
        </w:rPr>
      </w:pPr>
      <w:r>
        <w:rPr>
          <w:rFonts w:hint="eastAsia" w:ascii="仿宋" w:hAnsi="仿宋"/>
        </w:rPr>
        <w:t>（4）构建科研管理平台，可按照学科要求、科研课题要求自主设定统计查询条件，对科研数据及影像资源进行针对性检索，降低科研项目病历筛选难度，提高科研文章发表速率；</w:t>
      </w:r>
    </w:p>
    <w:p>
      <w:pPr>
        <w:spacing w:after="120"/>
        <w:ind w:firstLine="480" w:firstLineChars="200"/>
        <w:rPr>
          <w:rFonts w:ascii="仿宋" w:hAnsi="仿宋"/>
        </w:rPr>
      </w:pPr>
      <w:r>
        <w:rPr>
          <w:rFonts w:hint="eastAsia" w:ascii="仿宋" w:hAnsi="仿宋"/>
        </w:rPr>
        <w:t>（5）建立数字化手术音视频平台，满足日常术中协谈、视频会诊、现场视频教学和手术会议转播等需要，解决现场教学受环境影响的因素，提高教学质量，同时提升医院的影响力。</w:t>
      </w:r>
    </w:p>
    <w:p>
      <w:pPr>
        <w:spacing w:after="120"/>
        <w:ind w:firstLine="480" w:firstLineChars="200"/>
        <w:rPr>
          <w:rFonts w:ascii="仿宋" w:hAnsi="仿宋"/>
        </w:rPr>
      </w:pPr>
      <w:r>
        <w:rPr>
          <w:rFonts w:hint="eastAsia" w:ascii="仿宋" w:hAnsi="仿宋"/>
        </w:rPr>
        <w:t>1.2 技术路线要求</w:t>
      </w:r>
    </w:p>
    <w:p>
      <w:pPr>
        <w:spacing w:after="120"/>
        <w:ind w:firstLine="480" w:firstLineChars="200"/>
        <w:rPr>
          <w:rFonts w:ascii="仿宋" w:hAnsi="仿宋"/>
        </w:rPr>
      </w:pPr>
      <w:r>
        <w:rPr>
          <w:rFonts w:hint="eastAsia" w:ascii="仿宋" w:hAnsi="仿宋"/>
        </w:rPr>
        <w:t>从医院战略出发，从最迫切解决的问题开始，在面对各种决策支持应用场景的情况下，先选取数据完整性、准确性比较高的数据源，进行分阶段分重点的迭代式开发，随着商业智能对医院管理决策支持的效果逐渐展开、医院信息系统的扩充、数据的积累、技术的升级，不断引入新的内容、功能和应用。同时，为避免局部建设、孤岛建设，应坚持总体规划，分步实施的原则。同时，总体规划也要切合医院发展的实际情况，并最大化利用医院现有信息系统的建设成果，保护现有投资。</w:t>
      </w:r>
    </w:p>
    <w:p>
      <w:pPr>
        <w:spacing w:after="120"/>
        <w:ind w:firstLine="480" w:firstLineChars="200"/>
        <w:rPr>
          <w:rFonts w:ascii="仿宋" w:hAnsi="仿宋"/>
        </w:rPr>
      </w:pPr>
      <w:r>
        <w:rPr>
          <w:rFonts w:hint="eastAsia" w:ascii="仿宋" w:hAnsi="仿宋"/>
        </w:rPr>
        <w:t>（1）将医院内部的各个应用系统进行有效数据连接，数据实现跨领域综合分析，管理者与医者从整体上面掌控关键问题和分析原因。</w:t>
      </w:r>
    </w:p>
    <w:p>
      <w:pPr>
        <w:spacing w:after="120"/>
        <w:ind w:firstLine="480" w:firstLineChars="200"/>
        <w:rPr>
          <w:rFonts w:ascii="仿宋" w:hAnsi="仿宋"/>
        </w:rPr>
      </w:pPr>
      <w:r>
        <w:rPr>
          <w:rFonts w:hint="eastAsia" w:ascii="仿宋" w:hAnsi="仿宋"/>
        </w:rPr>
        <w:t>（2）医院查询，统计数据来源于综合信息管理平台，使医院管理者及时掌握运营全貌，缩短决策周期，同时比人人工统计产生的误差和错误。例如计算，合并等。</w:t>
      </w:r>
    </w:p>
    <w:p>
      <w:pPr>
        <w:spacing w:after="120"/>
        <w:ind w:firstLine="480" w:firstLineChars="200"/>
        <w:rPr>
          <w:rFonts w:ascii="仿宋" w:hAnsi="仿宋"/>
        </w:rPr>
      </w:pPr>
      <w:r>
        <w:rPr>
          <w:rFonts w:hint="eastAsia" w:ascii="仿宋" w:hAnsi="仿宋"/>
        </w:rPr>
        <w:t>（3）数据分析灵活，海量的历史数据采用的“自动式”分析和利用。对数据进行多角度展现。</w:t>
      </w:r>
    </w:p>
    <w:p>
      <w:pPr>
        <w:spacing w:after="120"/>
        <w:ind w:firstLine="480" w:firstLineChars="200"/>
        <w:rPr>
          <w:rFonts w:ascii="仿宋" w:hAnsi="仿宋"/>
        </w:rPr>
      </w:pPr>
      <w:r>
        <w:rPr>
          <w:rFonts w:hint="eastAsia" w:ascii="仿宋" w:hAnsi="仿宋"/>
        </w:rPr>
        <w:t>（4）有效对医院运营效率，质量，绩效进行监控和跟踪</w:t>
      </w:r>
    </w:p>
    <w:p>
      <w:pPr>
        <w:spacing w:after="120"/>
        <w:ind w:firstLine="480" w:firstLineChars="200"/>
        <w:rPr>
          <w:rFonts w:ascii="仿宋" w:hAnsi="仿宋"/>
        </w:rPr>
      </w:pPr>
      <w:r>
        <w:rPr>
          <w:rFonts w:hint="eastAsia" w:ascii="仿宋" w:hAnsi="仿宋"/>
        </w:rPr>
        <w:t>1.3 标准规范要求</w:t>
      </w:r>
    </w:p>
    <w:p>
      <w:pPr>
        <w:spacing w:after="120"/>
        <w:ind w:firstLine="480" w:firstLineChars="200"/>
        <w:rPr>
          <w:rFonts w:ascii="仿宋" w:hAnsi="仿宋"/>
        </w:rPr>
      </w:pPr>
      <w:r>
        <w:rPr>
          <w:rFonts w:hint="eastAsia" w:ascii="仿宋" w:hAnsi="仿宋"/>
        </w:rPr>
        <w:t>为了保证系统的开放性，系统应遵从以下标准：</w:t>
      </w:r>
    </w:p>
    <w:p>
      <w:pPr>
        <w:spacing w:after="120"/>
        <w:ind w:firstLine="480" w:firstLineChars="200"/>
        <w:rPr>
          <w:rFonts w:ascii="仿宋" w:hAnsi="仿宋"/>
        </w:rPr>
      </w:pPr>
      <w:r>
        <w:rPr>
          <w:rFonts w:hint="eastAsia" w:ascii="仿宋" w:hAnsi="仿宋"/>
        </w:rPr>
        <w:t>支持TCP/IP协议、HTTP、HTTPS等；</w:t>
      </w:r>
    </w:p>
    <w:p>
      <w:pPr>
        <w:spacing w:after="120"/>
        <w:ind w:firstLine="480" w:firstLineChars="200"/>
        <w:rPr>
          <w:rFonts w:ascii="仿宋" w:hAnsi="仿宋"/>
        </w:rPr>
      </w:pPr>
      <w:r>
        <w:rPr>
          <w:rFonts w:hint="eastAsia" w:ascii="仿宋" w:hAnsi="仿宋"/>
        </w:rPr>
        <w:t>对数据库的访问支持ODBC，COM和JDBC等；</w:t>
      </w:r>
    </w:p>
    <w:p>
      <w:pPr>
        <w:spacing w:after="120"/>
        <w:ind w:firstLine="480" w:firstLineChars="200"/>
        <w:rPr>
          <w:rFonts w:ascii="仿宋" w:hAnsi="仿宋"/>
        </w:rPr>
      </w:pPr>
      <w:r>
        <w:rPr>
          <w:rFonts w:hint="eastAsia" w:ascii="仿宋" w:hAnsi="仿宋"/>
        </w:rPr>
        <w:t>支持XML、Web Service等对接院内的其他业务系统或者集成平台。</w:t>
      </w:r>
    </w:p>
    <w:p>
      <w:pPr>
        <w:spacing w:after="120"/>
        <w:rPr>
          <w:rFonts w:ascii="仿宋" w:hAnsi="仿宋"/>
          <w:b/>
        </w:rPr>
      </w:pPr>
      <w:r>
        <w:rPr>
          <w:rFonts w:hint="eastAsia" w:ascii="仿宋" w:hAnsi="仿宋"/>
          <w:b/>
        </w:rPr>
        <w:t>2、操作系统要求</w:t>
      </w:r>
      <w:r>
        <w:rPr>
          <w:rFonts w:hint="eastAsia" w:ascii="仿宋" w:hAnsi="仿宋"/>
        </w:rPr>
        <w:t>（一般条款的总数量为2条）</w:t>
      </w:r>
    </w:p>
    <w:p>
      <w:pPr>
        <w:spacing w:after="120"/>
        <w:ind w:firstLine="480" w:firstLineChars="200"/>
        <w:rPr>
          <w:rFonts w:ascii="仿宋" w:hAnsi="仿宋"/>
        </w:rPr>
      </w:pPr>
      <w:r>
        <w:rPr>
          <w:rFonts w:hint="eastAsia" w:ascii="仿宋" w:hAnsi="仿宋"/>
        </w:rPr>
        <w:t>2.1 影像数据业务运行终端可以采用符合OSF的POSIX标准的Unix、Linux、Windows等操作系统。影像资料分析终端可以采用与服务器相同的操作系统或基于Windows的操作系统。</w:t>
      </w:r>
    </w:p>
    <w:p>
      <w:pPr>
        <w:spacing w:after="120"/>
        <w:ind w:firstLine="480" w:firstLineChars="200"/>
        <w:rPr>
          <w:rFonts w:ascii="仿宋" w:hAnsi="仿宋"/>
        </w:rPr>
      </w:pPr>
      <w:r>
        <w:rPr>
          <w:rFonts w:hint="eastAsia" w:ascii="仿宋" w:hAnsi="仿宋"/>
        </w:rPr>
        <w:t>2.2 终端要求能够支持windows7、windows10等32位/64位操作系统，支持chrome、firefox、Edge等主流浏览器，且持续支持主流的web标准；</w:t>
      </w:r>
    </w:p>
    <w:p>
      <w:pPr>
        <w:spacing w:after="120"/>
        <w:rPr>
          <w:rFonts w:ascii="仿宋" w:hAnsi="仿宋"/>
          <w:b/>
        </w:rPr>
      </w:pPr>
      <w:r>
        <w:rPr>
          <w:rFonts w:hint="eastAsia" w:ascii="仿宋" w:hAnsi="仿宋"/>
          <w:b/>
        </w:rPr>
        <w:t>3、数据库管理系统要求</w:t>
      </w:r>
      <w:r>
        <w:rPr>
          <w:rFonts w:hint="eastAsia" w:ascii="仿宋" w:hAnsi="仿宋"/>
        </w:rPr>
        <w:t>（一般条款的总数量为4条）</w:t>
      </w:r>
    </w:p>
    <w:p>
      <w:pPr>
        <w:spacing w:after="120"/>
        <w:ind w:firstLine="480" w:firstLineChars="200"/>
        <w:rPr>
          <w:rFonts w:ascii="仿宋" w:hAnsi="仿宋"/>
        </w:rPr>
      </w:pPr>
      <w:r>
        <w:rPr>
          <w:rFonts w:hint="eastAsia" w:ascii="仿宋" w:hAnsi="仿宋"/>
        </w:rPr>
        <w:t>3.1对医院开放数据(数据库、文件等)读取使用权限；</w:t>
      </w:r>
    </w:p>
    <w:p>
      <w:pPr>
        <w:spacing w:after="120"/>
        <w:ind w:firstLine="480" w:firstLineChars="200"/>
        <w:rPr>
          <w:rFonts w:ascii="仿宋" w:hAnsi="仿宋"/>
        </w:rPr>
      </w:pPr>
      <w:r>
        <w:rPr>
          <w:rFonts w:hint="eastAsia" w:ascii="仿宋" w:hAnsi="仿宋"/>
        </w:rPr>
        <w:t>3.2支持主流厂商的硬件及操作系统平台；</w:t>
      </w:r>
      <w:r>
        <w:rPr>
          <w:rFonts w:ascii="仿宋" w:hAnsi="仿宋"/>
        </w:rPr>
        <w:t xml:space="preserve"> </w:t>
      </w:r>
      <w:r>
        <w:rPr>
          <w:rFonts w:hint="eastAsia" w:ascii="仿宋" w:hAnsi="仿宋"/>
        </w:rPr>
        <w:t>支持Unix、Linux 、Windows操作系统，支持B/S的体系结构；</w:t>
      </w:r>
    </w:p>
    <w:p>
      <w:pPr>
        <w:spacing w:after="120"/>
        <w:ind w:firstLine="480" w:firstLineChars="200"/>
        <w:rPr>
          <w:rFonts w:ascii="仿宋" w:hAnsi="仿宋"/>
        </w:rPr>
      </w:pPr>
      <w:r>
        <w:rPr>
          <w:rFonts w:hint="eastAsia" w:ascii="仿宋" w:hAnsi="仿宋"/>
        </w:rPr>
        <w:t>3.3支持关系模型，支持分布式处理；</w:t>
      </w:r>
    </w:p>
    <w:p>
      <w:pPr>
        <w:spacing w:after="120"/>
        <w:ind w:firstLine="480" w:firstLineChars="200"/>
        <w:rPr>
          <w:rFonts w:ascii="仿宋" w:hAnsi="仿宋"/>
        </w:rPr>
      </w:pPr>
      <w:r>
        <w:rPr>
          <w:rFonts w:hint="eastAsia" w:ascii="仿宋" w:hAnsi="仿宋"/>
        </w:rPr>
        <w:t>3.4支持主流的网络协议（TCP/IP、IPX/SPX、NETBIOS及混合协议等）。</w:t>
      </w:r>
    </w:p>
    <w:p>
      <w:pPr>
        <w:spacing w:after="120"/>
        <w:rPr>
          <w:rFonts w:ascii="仿宋" w:hAnsi="仿宋"/>
          <w:b/>
        </w:rPr>
      </w:pPr>
      <w:r>
        <w:rPr>
          <w:rFonts w:hint="eastAsia" w:ascii="仿宋" w:hAnsi="仿宋"/>
          <w:b/>
        </w:rPr>
        <w:t>4、软件功能详细要求</w:t>
      </w:r>
      <w:r>
        <w:rPr>
          <w:rFonts w:hint="eastAsia" w:ascii="仿宋" w:hAnsi="仿宋"/>
        </w:rPr>
        <w:t>（一般条款的总数量为37条）</w:t>
      </w:r>
    </w:p>
    <w:p>
      <w:pPr>
        <w:ind w:firstLine="480" w:firstLineChars="200"/>
        <w:rPr>
          <w:rFonts w:ascii="仿宋" w:hAnsi="仿宋"/>
        </w:rPr>
      </w:pPr>
      <w:r>
        <w:rPr>
          <w:rFonts w:hint="eastAsia" w:ascii="仿宋" w:hAnsi="仿宋"/>
        </w:rPr>
        <w:t>4.1 满足临床治疗与科学研究两个方向的需要</w:t>
      </w:r>
    </w:p>
    <w:p>
      <w:pPr>
        <w:ind w:firstLine="480" w:firstLineChars="200"/>
        <w:rPr>
          <w:rFonts w:ascii="仿宋" w:hAnsi="仿宋"/>
        </w:rPr>
      </w:pPr>
      <w:r>
        <w:rPr>
          <w:rFonts w:hint="eastAsia" w:ascii="仿宋" w:hAnsi="仿宋"/>
        </w:rPr>
        <w:t>4.2 系统要求符合介入科工作流程，能够切实辅助科室工作</w:t>
      </w:r>
    </w:p>
    <w:p>
      <w:pPr>
        <w:ind w:firstLine="480" w:firstLineChars="200"/>
        <w:rPr>
          <w:rFonts w:ascii="仿宋" w:hAnsi="仿宋"/>
        </w:rPr>
      </w:pPr>
      <w:r>
        <w:rPr>
          <w:rFonts w:hint="eastAsia" w:ascii="仿宋" w:hAnsi="仿宋"/>
        </w:rPr>
        <w:t>4.3 系统要有高效、稳定、智能、灵活的管理方式和安全机制</w:t>
      </w:r>
    </w:p>
    <w:p>
      <w:pPr>
        <w:ind w:firstLine="480" w:firstLineChars="200"/>
        <w:rPr>
          <w:rFonts w:ascii="仿宋" w:hAnsi="仿宋"/>
        </w:rPr>
      </w:pPr>
      <w:r>
        <w:rPr>
          <w:rFonts w:hint="eastAsia" w:ascii="仿宋" w:hAnsi="仿宋"/>
        </w:rPr>
        <w:t>4.4 具有全套的中文系统操作界面，各系统风格一致。</w:t>
      </w:r>
    </w:p>
    <w:p>
      <w:pPr>
        <w:ind w:firstLine="480" w:firstLineChars="200"/>
        <w:rPr>
          <w:rFonts w:ascii="仿宋" w:hAnsi="仿宋"/>
        </w:rPr>
      </w:pPr>
      <w:r>
        <w:rPr>
          <w:rFonts w:hint="eastAsia" w:ascii="仿宋" w:hAnsi="仿宋"/>
        </w:rPr>
        <w:t>4.5 按医院要求定制化流程，具有可集成性，扩展性。满足医院现有要求，建立满足心血管病内科数字化诊疗管理平台并集成相关业务系统。包括但不限于：预约登记、手术排班、结构化报告、报表展示、手术转播等功能，具体功能按医院设计流程而定。</w:t>
      </w:r>
    </w:p>
    <w:p>
      <w:pPr>
        <w:ind w:firstLine="480" w:firstLineChars="200"/>
        <w:rPr>
          <w:rFonts w:ascii="仿宋" w:hAnsi="仿宋"/>
        </w:rPr>
      </w:pPr>
      <w:r>
        <w:rPr>
          <w:rFonts w:hint="eastAsia" w:ascii="仿宋" w:hAnsi="仿宋"/>
        </w:rPr>
        <w:t>4.6 各部分系统必须具有二次开发能力，实施阶段要结合医院特殊性和个性化需求对软件功能和流程做出相应修改。</w:t>
      </w:r>
    </w:p>
    <w:p>
      <w:pPr>
        <w:ind w:firstLine="480" w:firstLineChars="200"/>
        <w:rPr>
          <w:rFonts w:ascii="仿宋" w:hAnsi="仿宋"/>
        </w:rPr>
      </w:pPr>
      <w:r>
        <w:rPr>
          <w:rFonts w:hint="eastAsia" w:ascii="仿宋" w:hAnsi="仿宋"/>
        </w:rPr>
        <w:t>▲4.7从医院长远发展方向考虑及系统兼容性考虑，系统需实现科室介入管理，包含手术影像、病例管理、护理记录等功能模块等功能模块必须为同一厂家自主研发的产品（须在投标文件中提供厂家的对应软件著作权作为证明材料）。</w:t>
      </w:r>
    </w:p>
    <w:p>
      <w:pPr>
        <w:ind w:firstLine="480" w:firstLineChars="200"/>
        <w:rPr>
          <w:rFonts w:ascii="仿宋" w:hAnsi="仿宋"/>
        </w:rPr>
      </w:pPr>
      <w:r>
        <w:rPr>
          <w:rFonts w:hint="eastAsia" w:ascii="仿宋" w:hAnsi="仿宋"/>
        </w:rPr>
        <w:t>4.8 提供服务器无人值守管理功能，系统自动监控各服务和服务器的运行，遇到故障自动处理。</w:t>
      </w:r>
    </w:p>
    <w:p>
      <w:pPr>
        <w:ind w:firstLine="480" w:firstLineChars="200"/>
        <w:rPr>
          <w:rFonts w:ascii="仿宋" w:hAnsi="仿宋"/>
        </w:rPr>
      </w:pPr>
      <w:r>
        <w:rPr>
          <w:rFonts w:hint="eastAsia" w:ascii="仿宋" w:hAnsi="仿宋"/>
        </w:rPr>
        <w:t>4.9 自动获取住院基本信息</w:t>
      </w:r>
    </w:p>
    <w:p>
      <w:pPr>
        <w:ind w:firstLine="480" w:firstLineChars="200"/>
        <w:rPr>
          <w:rFonts w:ascii="仿宋" w:hAnsi="仿宋"/>
        </w:rPr>
      </w:pPr>
      <w:r>
        <w:rPr>
          <w:rFonts w:hint="eastAsia" w:ascii="仿宋" w:hAnsi="仿宋"/>
        </w:rPr>
        <w:t>4.10 自动获取化验检查信息</w:t>
      </w:r>
    </w:p>
    <w:p>
      <w:pPr>
        <w:ind w:firstLine="480" w:firstLineChars="200"/>
        <w:rPr>
          <w:rFonts w:ascii="仿宋" w:hAnsi="仿宋"/>
        </w:rPr>
      </w:pPr>
      <w:r>
        <w:rPr>
          <w:rFonts w:hint="eastAsia" w:ascii="仿宋" w:hAnsi="仿宋"/>
        </w:rPr>
        <w:t>4.11 实现病史的结构化、定制化以及智能化</w:t>
      </w:r>
    </w:p>
    <w:p>
      <w:pPr>
        <w:ind w:firstLine="480" w:firstLineChars="200"/>
        <w:rPr>
          <w:rFonts w:ascii="仿宋" w:hAnsi="仿宋"/>
        </w:rPr>
      </w:pPr>
      <w:r>
        <w:rPr>
          <w:rFonts w:hint="eastAsia" w:ascii="仿宋" w:hAnsi="仿宋"/>
        </w:rPr>
        <w:t>4.12 实现诊断信息的结构化及标准化</w:t>
      </w:r>
    </w:p>
    <w:p>
      <w:pPr>
        <w:ind w:firstLine="480" w:firstLineChars="200"/>
        <w:rPr>
          <w:rFonts w:ascii="仿宋" w:hAnsi="仿宋"/>
        </w:rPr>
      </w:pPr>
      <w:r>
        <w:rPr>
          <w:rFonts w:hint="eastAsia" w:ascii="仿宋" w:hAnsi="仿宋"/>
        </w:rPr>
        <w:t>▲4.13住院病例多维度回顾，将术前检查、术中检查、病例录入信息、随访信息在一条时间轴上完整展示。（须在投标文件中提供软件功能的截图予以证明）</w:t>
      </w:r>
    </w:p>
    <w:p>
      <w:pPr>
        <w:ind w:firstLine="480" w:firstLineChars="200"/>
        <w:rPr>
          <w:rFonts w:ascii="仿宋" w:hAnsi="仿宋"/>
        </w:rPr>
      </w:pPr>
      <w:r>
        <w:rPr>
          <w:rFonts w:hint="eastAsia" w:ascii="仿宋" w:hAnsi="仿宋"/>
        </w:rPr>
        <w:t>4.14 住院病例与术后随访信息自动关联</w:t>
      </w:r>
    </w:p>
    <w:p>
      <w:pPr>
        <w:ind w:firstLine="480" w:firstLineChars="200"/>
        <w:rPr>
          <w:rFonts w:ascii="仿宋" w:hAnsi="仿宋"/>
        </w:rPr>
      </w:pPr>
      <w:r>
        <w:rPr>
          <w:rFonts w:hint="eastAsia" w:ascii="仿宋" w:hAnsi="仿宋"/>
        </w:rPr>
        <w:t>▲4.15具备多种GRACE评分、CRUSAD评分、造影剂肾病(CIN)风险评估、J-CTO评分、CHA2DS2-VASC评分模块，并能自动计算评分结果。（须在投标文件中提供软件功能的截图予以证明）</w:t>
      </w:r>
    </w:p>
    <w:p>
      <w:pPr>
        <w:ind w:firstLine="480" w:firstLineChars="200"/>
        <w:rPr>
          <w:rFonts w:ascii="仿宋" w:hAnsi="仿宋"/>
        </w:rPr>
      </w:pPr>
      <w:r>
        <w:rPr>
          <w:rFonts w:hint="eastAsia" w:ascii="仿宋" w:hAnsi="仿宋"/>
        </w:rPr>
        <w:t>4.16 术中支持冠脉事件结构化记录</w:t>
      </w:r>
    </w:p>
    <w:p>
      <w:pPr>
        <w:ind w:firstLine="480" w:firstLineChars="200"/>
        <w:rPr>
          <w:rFonts w:ascii="仿宋" w:hAnsi="仿宋"/>
        </w:rPr>
      </w:pPr>
      <w:r>
        <w:rPr>
          <w:rFonts w:hint="eastAsia" w:ascii="仿宋" w:hAnsi="仿宋"/>
        </w:rPr>
        <w:t>4.17 支持手术检查及治疗影像浏览、播放、报告截图，智能插入到手术报告中，并可自由排版编辑</w:t>
      </w:r>
    </w:p>
    <w:p>
      <w:pPr>
        <w:ind w:firstLine="480" w:firstLineChars="200"/>
        <w:rPr>
          <w:rFonts w:ascii="仿宋" w:hAnsi="仿宋"/>
        </w:rPr>
      </w:pPr>
      <w:r>
        <w:rPr>
          <w:rFonts w:hint="eastAsia" w:ascii="仿宋" w:hAnsi="仿宋"/>
        </w:rPr>
        <w:t>4.18 结构化数据涵盖耗材信息、耗材使用信息（使用位置、使用方式等信息）、病变信息、病变性质、造影结论、靶病变、靶血管、术中并发症、分叉病变、CTO病变、术后诊断等信息</w:t>
      </w:r>
    </w:p>
    <w:p>
      <w:pPr>
        <w:ind w:firstLine="480" w:firstLineChars="200"/>
        <w:rPr>
          <w:rFonts w:ascii="仿宋" w:hAnsi="仿宋"/>
        </w:rPr>
      </w:pPr>
      <w:r>
        <w:rPr>
          <w:rFonts w:hint="eastAsia" w:ascii="仿宋" w:hAnsi="仿宋"/>
        </w:rPr>
        <w:t>4.19 支持手术术后随访</w:t>
      </w:r>
    </w:p>
    <w:p>
      <w:pPr>
        <w:ind w:firstLine="480" w:firstLineChars="200"/>
        <w:rPr>
          <w:rFonts w:ascii="仿宋" w:hAnsi="仿宋"/>
        </w:rPr>
      </w:pPr>
      <w:r>
        <w:rPr>
          <w:rFonts w:hint="eastAsia" w:ascii="仿宋" w:hAnsi="仿宋"/>
        </w:rPr>
        <w:t>4.20 随访计划可定制，并有颜色标识提醒功能</w:t>
      </w:r>
    </w:p>
    <w:p>
      <w:pPr>
        <w:ind w:firstLine="480" w:firstLineChars="200"/>
        <w:rPr>
          <w:rFonts w:ascii="仿宋" w:hAnsi="仿宋"/>
        </w:rPr>
      </w:pPr>
      <w:r>
        <w:rPr>
          <w:rFonts w:hint="eastAsia" w:ascii="仿宋" w:hAnsi="仿宋"/>
        </w:rPr>
        <w:t>4.21 数据内容全部为结构化数据，全部支持查询与导出。</w:t>
      </w:r>
    </w:p>
    <w:p>
      <w:pPr>
        <w:ind w:firstLine="480" w:firstLineChars="200"/>
        <w:rPr>
          <w:rFonts w:ascii="仿宋" w:hAnsi="仿宋"/>
        </w:rPr>
      </w:pPr>
      <w:r>
        <w:rPr>
          <w:rFonts w:hint="eastAsia" w:ascii="仿宋" w:hAnsi="仿宋"/>
        </w:rPr>
        <w:t>4</w:t>
      </w:r>
      <w:r>
        <w:rPr>
          <w:rFonts w:ascii="仿宋" w:hAnsi="仿宋"/>
        </w:rPr>
        <w:t>.</w:t>
      </w:r>
      <w:r>
        <w:rPr>
          <w:rFonts w:hint="eastAsia" w:ascii="仿宋" w:hAnsi="仿宋"/>
        </w:rPr>
        <w:t>22 需满足科室3年以上影像数据在线存储（存储空间≥36TB），做到可实时调阅图像和报告。</w:t>
      </w:r>
    </w:p>
    <w:p>
      <w:pPr>
        <w:ind w:firstLine="480" w:firstLineChars="200"/>
        <w:rPr>
          <w:rFonts w:ascii="仿宋" w:hAnsi="仿宋"/>
        </w:rPr>
      </w:pPr>
      <w:r>
        <w:rPr>
          <w:rFonts w:hint="eastAsia" w:ascii="仿宋" w:hAnsi="仿宋"/>
        </w:rPr>
        <w:t>4.23 系统完整支持DICOM标准、IHE规范、HL7标准。</w:t>
      </w:r>
    </w:p>
    <w:p>
      <w:pPr>
        <w:ind w:firstLine="480" w:firstLineChars="200"/>
        <w:rPr>
          <w:rFonts w:ascii="仿宋" w:hAnsi="仿宋"/>
        </w:rPr>
      </w:pPr>
      <w:r>
        <w:rPr>
          <w:rFonts w:hint="eastAsia" w:ascii="仿宋" w:hAnsi="仿宋"/>
        </w:rPr>
        <w:t>▲4.24具有血管狭窄分析，支持自动识别血管边界，自动识别狭窄位置，支持多段狭窄测量分析。（须在投标文件中提供软件功能的截图予以证明）</w:t>
      </w:r>
    </w:p>
    <w:p>
      <w:pPr>
        <w:ind w:firstLine="480" w:firstLineChars="200"/>
        <w:rPr>
          <w:rFonts w:ascii="仿宋" w:hAnsi="仿宋"/>
        </w:rPr>
      </w:pPr>
      <w:r>
        <w:rPr>
          <w:rFonts w:hint="eastAsia" w:ascii="仿宋" w:hAnsi="仿宋"/>
        </w:rPr>
        <w:t>▲4.25心室运动分析功能，可获取射血分数:(EF)、心室舒张末期容积:(EDV)、心室收缩末期容积:(ESV)、每博输出量:(SV)、体表面积:(BSA)、心室舒张末期容积指数:EDV(I)、心室收缩末期容积指数:ESV(I)、每博输出量指数:SV(I)、心输出量指数:CO(I)等参数（须在投标文件中提供软件功能的截图予以证明）</w:t>
      </w:r>
    </w:p>
    <w:p>
      <w:pPr>
        <w:ind w:firstLine="480" w:firstLineChars="200"/>
        <w:rPr>
          <w:rFonts w:ascii="仿宋" w:hAnsi="仿宋"/>
        </w:rPr>
      </w:pPr>
      <w:r>
        <w:rPr>
          <w:rFonts w:hint="eastAsia" w:ascii="仿宋" w:hAnsi="仿宋"/>
        </w:rPr>
        <w:t>▲4.26系统除对导管机影像保存外，还需兼容如IVUS、OCT、FFR、 CT、MR、US等图像，并实现可长期保存和客户端在线读取(须在投标文件中提供软件功能的截图予以证明)。</w:t>
      </w:r>
    </w:p>
    <w:p>
      <w:pPr>
        <w:ind w:firstLine="480" w:firstLineChars="200"/>
        <w:rPr>
          <w:rFonts w:ascii="仿宋" w:hAnsi="仿宋"/>
        </w:rPr>
      </w:pPr>
      <w:r>
        <w:rPr>
          <w:rFonts w:hint="eastAsia" w:ascii="仿宋" w:hAnsi="仿宋"/>
        </w:rPr>
        <w:t>4.27 在没有与成像设备联网的情况下，可支持DVD和CD，能接收压缩和非压缩的DICOM图像。</w:t>
      </w:r>
    </w:p>
    <w:p>
      <w:pPr>
        <w:ind w:firstLine="480" w:firstLineChars="200"/>
        <w:rPr>
          <w:rFonts w:ascii="仿宋" w:hAnsi="仿宋"/>
        </w:rPr>
      </w:pPr>
      <w:r>
        <w:rPr>
          <w:rFonts w:hint="eastAsia" w:ascii="仿宋" w:hAnsi="仿宋"/>
        </w:rPr>
        <w:t>4.28 可转换DICOM格式静态图像到普通TIF、BMP格式和动态图像到AVI格式，方便科研和教学。</w:t>
      </w:r>
    </w:p>
    <w:p>
      <w:pPr>
        <w:ind w:firstLine="480" w:firstLineChars="200"/>
        <w:rPr>
          <w:rFonts w:ascii="仿宋" w:hAnsi="仿宋"/>
        </w:rPr>
      </w:pPr>
      <w:r>
        <w:rPr>
          <w:rFonts w:hint="eastAsia" w:ascii="仿宋" w:hAnsi="仿宋"/>
        </w:rPr>
        <w:t>4.29 支持DICOM无损和有损压缩，支持小波压缩影像的解压缩。</w:t>
      </w:r>
    </w:p>
    <w:p>
      <w:pPr>
        <w:ind w:firstLine="480" w:firstLineChars="200"/>
        <w:rPr>
          <w:rFonts w:ascii="仿宋" w:hAnsi="仿宋"/>
        </w:rPr>
      </w:pPr>
      <w:r>
        <w:rPr>
          <w:rFonts w:hint="eastAsia" w:ascii="仿宋" w:hAnsi="仿宋"/>
        </w:rPr>
        <w:t>4.30 支持DICOM胶片打印机，支持各种打印机属性的设置</w:t>
      </w:r>
    </w:p>
    <w:p>
      <w:pPr>
        <w:ind w:firstLine="480" w:firstLineChars="200"/>
        <w:rPr>
          <w:rFonts w:ascii="仿宋" w:hAnsi="仿宋"/>
        </w:rPr>
      </w:pPr>
      <w:r>
        <w:rPr>
          <w:rFonts w:hint="eastAsia" w:ascii="仿宋" w:hAnsi="仿宋"/>
        </w:rPr>
        <w:t>4.31 具有DSA数字减影功能，支持3D旋转图像双序列减影</w:t>
      </w:r>
    </w:p>
    <w:p>
      <w:pPr>
        <w:ind w:firstLine="480" w:firstLineChars="200"/>
        <w:rPr>
          <w:rFonts w:ascii="仿宋" w:hAnsi="仿宋"/>
        </w:rPr>
      </w:pPr>
      <w:r>
        <w:rPr>
          <w:rFonts w:hint="eastAsia" w:ascii="仿宋" w:hAnsi="仿宋"/>
        </w:rPr>
        <w:t>▲4.32具有血管狭窄分析，支持自动识别血管边界，自动识别狭窄位置，支持多段狭窄测量分析。（须在投标文件中提供软件功能的截图予以证明）</w:t>
      </w:r>
    </w:p>
    <w:p>
      <w:pPr>
        <w:ind w:firstLine="480" w:firstLineChars="200"/>
        <w:rPr>
          <w:rFonts w:ascii="仿宋" w:hAnsi="仿宋"/>
        </w:rPr>
      </w:pPr>
      <w:r>
        <w:rPr>
          <w:rFonts w:hint="eastAsia" w:ascii="仿宋" w:hAnsi="仿宋"/>
        </w:rPr>
        <w:t>▲4.33心室运动分析功能，可获取射血分数:(EF)、心室舒张末期容积:(EDV)、心室收缩末期容积:(ESV)、每博输出量:(SV)、体表面积:(BSA)、心室舒张末期容积指数:EDV(I)、心室收缩末期容积指数:ESV(I)、每博输出量指数:SV(I)、心输出量指数:CO(I)等参数（须在投标文件中提供软件功能的截图予以证明）</w:t>
      </w:r>
    </w:p>
    <w:p>
      <w:pPr>
        <w:ind w:firstLine="480" w:firstLineChars="200"/>
        <w:rPr>
          <w:rFonts w:ascii="仿宋" w:hAnsi="仿宋"/>
        </w:rPr>
      </w:pPr>
      <w:r>
        <w:rPr>
          <w:rFonts w:hint="eastAsia" w:ascii="仿宋" w:hAnsi="仿宋"/>
        </w:rPr>
        <w:t>4.34 支持病人手术申请的自动获取，能够支持信息修改。</w:t>
      </w:r>
    </w:p>
    <w:p>
      <w:pPr>
        <w:ind w:firstLine="480" w:firstLineChars="200"/>
        <w:rPr>
          <w:rFonts w:ascii="仿宋" w:hAnsi="仿宋"/>
        </w:rPr>
      </w:pPr>
      <w:r>
        <w:rPr>
          <w:rFonts w:hint="eastAsia" w:ascii="仿宋" w:hAnsi="仿宋"/>
        </w:rPr>
        <w:t>4.35 支持手术预约，手术排台功能</w:t>
      </w:r>
    </w:p>
    <w:p>
      <w:pPr>
        <w:ind w:firstLine="480" w:firstLineChars="200"/>
        <w:rPr>
          <w:rFonts w:ascii="仿宋" w:hAnsi="仿宋"/>
        </w:rPr>
      </w:pPr>
      <w:r>
        <w:rPr>
          <w:rFonts w:hint="eastAsia" w:ascii="仿宋" w:hAnsi="仿宋"/>
        </w:rPr>
        <w:t>▲4.36支持病人到检交接，支持智能腕带，液晶屏幕扫码显示功能。（须在投标文件中提供软件功能的截图予以证明）</w:t>
      </w:r>
    </w:p>
    <w:p>
      <w:pPr>
        <w:ind w:firstLine="480" w:firstLineChars="200"/>
        <w:rPr>
          <w:rFonts w:ascii="仿宋" w:hAnsi="仿宋"/>
        </w:rPr>
      </w:pPr>
      <w:r>
        <w:rPr>
          <w:rFonts w:hint="eastAsia" w:ascii="仿宋" w:hAnsi="仿宋"/>
        </w:rPr>
        <w:t>4.37 病人手术分配，结合DICOM WORKLIST自动传送分配信息至相关的检查设备。</w:t>
      </w:r>
    </w:p>
    <w:p>
      <w:pPr>
        <w:ind w:firstLine="480" w:firstLineChars="200"/>
        <w:rPr>
          <w:rFonts w:ascii="仿宋" w:hAnsi="仿宋"/>
        </w:rPr>
      </w:pPr>
      <w:r>
        <w:rPr>
          <w:rFonts w:hint="eastAsia" w:ascii="仿宋" w:hAnsi="仿宋"/>
        </w:rPr>
        <w:t>4.38 可根据手术情况进行手术室内，医生、护士、技师完成手术人员的排程工作</w:t>
      </w:r>
    </w:p>
    <w:p>
      <w:pPr>
        <w:ind w:firstLine="480" w:firstLineChars="200"/>
        <w:rPr>
          <w:rFonts w:ascii="仿宋" w:hAnsi="仿宋"/>
        </w:rPr>
      </w:pPr>
      <w:r>
        <w:rPr>
          <w:rFonts w:hint="eastAsia" w:ascii="仿宋" w:hAnsi="仿宋"/>
        </w:rPr>
        <w:t>4.39 可通过排程信息统计不同手术人员手术工作量等</w:t>
      </w:r>
    </w:p>
    <w:p>
      <w:pPr>
        <w:ind w:firstLine="480" w:firstLineChars="200"/>
        <w:rPr>
          <w:rFonts w:ascii="仿宋" w:hAnsi="仿宋"/>
        </w:rPr>
      </w:pPr>
      <w:r>
        <w:rPr>
          <w:rFonts w:hint="eastAsia" w:ascii="仿宋" w:hAnsi="仿宋"/>
        </w:rPr>
        <w:t>4.40 记录手术开始时间和结束时间、手术医生、护理护士、药品使用情况、耗材使用情况、耗材扫描记录、记录手术护理事件并生成护理报告。</w:t>
      </w:r>
    </w:p>
    <w:p>
      <w:pPr>
        <w:ind w:firstLine="480" w:firstLineChars="200"/>
        <w:rPr>
          <w:rFonts w:ascii="仿宋" w:hAnsi="仿宋"/>
        </w:rPr>
      </w:pPr>
      <w:r>
        <w:rPr>
          <w:rFonts w:hint="eastAsia" w:ascii="仿宋" w:hAnsi="仿宋"/>
        </w:rPr>
        <w:t>4.41 任意配置的查询统计功能，覆盖检查的所有信息，生成图文并茂的图表。如：科室人员工作量、手术量、耗材使用量以及费用、设备使用情况等综合条件统计查询</w:t>
      </w:r>
    </w:p>
    <w:p>
      <w:pPr>
        <w:ind w:firstLine="480" w:firstLineChars="200"/>
        <w:rPr>
          <w:rFonts w:ascii="仿宋" w:hAnsi="仿宋"/>
        </w:rPr>
      </w:pPr>
      <w:r>
        <w:rPr>
          <w:rFonts w:hint="eastAsia" w:ascii="仿宋" w:hAnsi="仿宋"/>
        </w:rPr>
        <w:t>4.42 能满足医生日常与患者家属谈话沟通，包含病人图像的查询，动态图像回放等，需兼容所有检查图像。</w:t>
      </w:r>
    </w:p>
    <w:p>
      <w:pPr>
        <w:ind w:firstLine="480" w:firstLineChars="200"/>
        <w:rPr>
          <w:rFonts w:ascii="仿宋" w:hAnsi="仿宋"/>
        </w:rPr>
      </w:pPr>
      <w:r>
        <w:rPr>
          <w:rFonts w:hint="eastAsia" w:ascii="仿宋" w:hAnsi="仿宋"/>
        </w:rPr>
        <w:t>▲4.43支持手术信息发布及呼叫家属功能，并支持病人信息脱敏功能。（须在投标文件中提供软件功能的截图予以证明）</w:t>
      </w:r>
    </w:p>
    <w:p>
      <w:pPr>
        <w:pStyle w:val="2"/>
        <w:ind w:left="480"/>
        <w:rPr>
          <w:rFonts w:ascii="仿宋" w:hAnsi="仿宋"/>
        </w:rPr>
      </w:pPr>
      <w:r>
        <w:rPr>
          <w:rFonts w:hint="eastAsia" w:ascii="仿宋" w:hAnsi="仿宋"/>
        </w:rPr>
        <w:t>转播系统要求</w:t>
      </w:r>
    </w:p>
    <w:p>
      <w:pPr>
        <w:ind w:firstLine="480" w:firstLineChars="200"/>
        <w:rPr>
          <w:rFonts w:ascii="仿宋" w:hAnsi="仿宋"/>
        </w:rPr>
      </w:pPr>
      <w:r>
        <w:rPr>
          <w:rFonts w:hint="eastAsia" w:ascii="仿宋" w:hAnsi="仿宋"/>
        </w:rPr>
        <w:t>4.44 转播系统可集成XA、IVUS、OCT、心电、场景摄像机等设备影像，实时转播同时实时录制</w:t>
      </w:r>
    </w:p>
    <w:p>
      <w:pPr>
        <w:ind w:firstLine="480" w:firstLineChars="200"/>
        <w:rPr>
          <w:rFonts w:ascii="仿宋" w:hAnsi="仿宋"/>
        </w:rPr>
      </w:pPr>
      <w:r>
        <w:rPr>
          <w:rFonts w:hint="eastAsia" w:ascii="仿宋" w:hAnsi="仿宋"/>
        </w:rPr>
        <w:t>4.45 支持高清视频转播最高清1080p信号流畅转播。</w:t>
      </w:r>
    </w:p>
    <w:p>
      <w:pPr>
        <w:ind w:firstLine="480" w:firstLineChars="200"/>
        <w:rPr>
          <w:rFonts w:ascii="仿宋" w:hAnsi="仿宋"/>
        </w:rPr>
      </w:pPr>
      <w:r>
        <w:rPr>
          <w:rFonts w:hint="eastAsia" w:ascii="仿宋" w:hAnsi="仿宋"/>
        </w:rPr>
        <w:t>4.46 要求系统具备多方语音交互功能。</w:t>
      </w:r>
    </w:p>
    <w:p>
      <w:pPr>
        <w:ind w:firstLine="480" w:firstLineChars="200"/>
        <w:rPr>
          <w:rFonts w:ascii="仿宋" w:hAnsi="仿宋"/>
        </w:rPr>
      </w:pPr>
      <w:r>
        <w:rPr>
          <w:rFonts w:hint="eastAsia" w:ascii="仿宋" w:hAnsi="仿宋"/>
        </w:rPr>
        <w:t>4.47 教学视频可保存本地和数据导出，所导出数据为标准AVI或MP4的视频文件，可在其他电脑流畅回放。</w:t>
      </w:r>
    </w:p>
    <w:p>
      <w:pPr>
        <w:spacing w:after="120"/>
        <w:rPr>
          <w:rFonts w:ascii="仿宋" w:hAnsi="仿宋"/>
          <w:b/>
        </w:rPr>
      </w:pPr>
      <w:r>
        <w:rPr>
          <w:rFonts w:hint="eastAsia" w:ascii="仿宋" w:hAnsi="仿宋"/>
          <w:b/>
        </w:rPr>
        <w:t>5、硬件配置详细要求</w:t>
      </w:r>
    </w:p>
    <w:tbl>
      <w:tblPr>
        <w:tblStyle w:val="35"/>
        <w:tblW w:w="0" w:type="auto"/>
        <w:tblInd w:w="93" w:type="dxa"/>
        <w:tblLayout w:type="autofit"/>
        <w:tblCellMar>
          <w:top w:w="0" w:type="dxa"/>
          <w:left w:w="108" w:type="dxa"/>
          <w:bottom w:w="0" w:type="dxa"/>
          <w:right w:w="108" w:type="dxa"/>
        </w:tblCellMar>
      </w:tblPr>
      <w:tblGrid>
        <w:gridCol w:w="698"/>
        <w:gridCol w:w="1426"/>
        <w:gridCol w:w="7070"/>
      </w:tblGrid>
      <w:tr>
        <w:tblPrEx>
          <w:tblCellMar>
            <w:top w:w="0" w:type="dxa"/>
            <w:left w:w="108" w:type="dxa"/>
            <w:bottom w:w="0" w:type="dxa"/>
            <w:right w:w="108" w:type="dxa"/>
          </w:tblCellMar>
        </w:tblPrEx>
        <w:trPr>
          <w:trHeight w:val="620" w:hRule="atLeast"/>
        </w:trPr>
        <w:tc>
          <w:tcPr>
            <w:tcW w:w="8623" w:type="dxa"/>
            <w:gridSpan w:val="3"/>
            <w:tcBorders>
              <w:top w:val="single" w:color="000000" w:sz="8" w:space="0"/>
              <w:left w:val="single" w:color="000000" w:sz="8" w:space="0"/>
              <w:bottom w:val="nil"/>
              <w:right w:val="single" w:color="auto" w:sz="4" w:space="0"/>
            </w:tcBorders>
            <w:shd w:val="clear" w:color="auto" w:fill="auto"/>
            <w:noWrap/>
            <w:vAlign w:val="center"/>
          </w:tcPr>
          <w:p>
            <w:pPr>
              <w:spacing w:line="240" w:lineRule="auto"/>
              <w:rPr>
                <w:rFonts w:ascii="仿宋" w:hAnsi="仿宋" w:cstheme="minorBidi"/>
              </w:rPr>
            </w:pPr>
            <w:r>
              <w:rPr>
                <w:rFonts w:hint="eastAsia" w:ascii="仿宋" w:hAnsi="仿宋" w:cstheme="minorBidi"/>
                <w:b/>
                <w:bCs/>
              </w:rPr>
              <w:t>影像及转播系统硬件要求</w:t>
            </w:r>
            <w:r>
              <w:rPr>
                <w:rFonts w:hint="eastAsia" w:ascii="仿宋" w:hAnsi="仿宋"/>
              </w:rPr>
              <w:t>（一般条款的总数量为12条）</w:t>
            </w:r>
          </w:p>
        </w:tc>
      </w:tr>
      <w:tr>
        <w:tblPrEx>
          <w:tblCellMar>
            <w:top w:w="0" w:type="dxa"/>
            <w:left w:w="108" w:type="dxa"/>
            <w:bottom w:w="0" w:type="dxa"/>
            <w:right w:w="108" w:type="dxa"/>
          </w:tblCellMar>
        </w:tblPrEx>
        <w:trPr>
          <w:trHeight w:val="39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40" w:lineRule="auto"/>
              <w:rPr>
                <w:rFonts w:ascii="仿宋" w:hAnsi="仿宋" w:cstheme="minorBidi"/>
                <w:b/>
                <w:bCs/>
              </w:rPr>
            </w:pPr>
            <w:r>
              <w:rPr>
                <w:rFonts w:hint="eastAsia" w:ascii="仿宋" w:hAnsi="仿宋" w:cstheme="minorBidi"/>
                <w:b/>
                <w:bCs/>
              </w:rPr>
              <w:t>序号</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40" w:lineRule="auto"/>
              <w:rPr>
                <w:rFonts w:ascii="仿宋" w:hAnsi="仿宋" w:cstheme="minorBidi"/>
                <w:b/>
                <w:bCs/>
              </w:rPr>
            </w:pPr>
            <w:r>
              <w:rPr>
                <w:rFonts w:hint="eastAsia" w:ascii="仿宋" w:hAnsi="仿宋" w:cstheme="minorBidi"/>
                <w:b/>
                <w:bCs/>
              </w:rPr>
              <w:t>名称</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40" w:lineRule="auto"/>
              <w:rPr>
                <w:rFonts w:ascii="仿宋" w:hAnsi="仿宋" w:cstheme="minorBidi"/>
                <w:b/>
                <w:bCs/>
              </w:rPr>
            </w:pPr>
            <w:r>
              <w:rPr>
                <w:rFonts w:hint="eastAsia" w:ascii="仿宋" w:hAnsi="仿宋" w:cstheme="minorBidi"/>
                <w:b/>
                <w:bCs/>
              </w:rPr>
              <w:t>详细信息</w:t>
            </w:r>
          </w:p>
        </w:tc>
      </w:tr>
      <w:tr>
        <w:tblPrEx>
          <w:tblCellMar>
            <w:top w:w="0" w:type="dxa"/>
            <w:left w:w="108" w:type="dxa"/>
            <w:bottom w:w="0" w:type="dxa"/>
            <w:right w:w="108" w:type="dxa"/>
          </w:tblCellMar>
        </w:tblPrEx>
        <w:trPr>
          <w:trHeight w:val="300" w:hRule="atLeast"/>
        </w:trPr>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rPr>
            </w:pPr>
            <w:r>
              <w:rPr>
                <w:rFonts w:hint="eastAsia" w:ascii="仿宋" w:hAnsi="仿宋" w:cstheme="minorBidi"/>
              </w:rPr>
              <w:t>1</w:t>
            </w:r>
          </w:p>
        </w:tc>
        <w:tc>
          <w:tcPr>
            <w:tcW w:w="0" w:type="auto"/>
            <w:vMerge w:val="restart"/>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rPr>
            </w:pPr>
            <w:r>
              <w:rPr>
                <w:rFonts w:hint="eastAsia" w:ascii="仿宋" w:hAnsi="仿宋" w:cstheme="minorBidi"/>
              </w:rPr>
              <w:t>高清摄像机</w:t>
            </w:r>
          </w:p>
        </w:tc>
        <w:tc>
          <w:tcPr>
            <w:tcW w:w="0" w:type="auto"/>
            <w:tcBorders>
              <w:top w:val="single" w:color="000000" w:sz="8" w:space="0"/>
              <w:left w:val="nil"/>
              <w:bottom w:val="nil"/>
              <w:right w:val="single" w:color="000000" w:sz="8" w:space="0"/>
            </w:tcBorders>
            <w:shd w:val="clear" w:color="auto" w:fill="auto"/>
          </w:tcPr>
          <w:p>
            <w:pPr>
              <w:spacing w:line="240" w:lineRule="auto"/>
              <w:rPr>
                <w:rFonts w:ascii="仿宋" w:hAnsi="仿宋" w:cstheme="minorBidi"/>
              </w:rPr>
            </w:pPr>
            <w:r>
              <w:rPr>
                <w:rFonts w:hint="eastAsia" w:ascii="仿宋" w:hAnsi="仿宋" w:cstheme="minorBidi"/>
              </w:rPr>
              <w:t>≥</w:t>
            </w:r>
            <w:r>
              <w:rPr>
                <w:rFonts w:ascii="仿宋" w:hAnsi="仿宋" w:cstheme="minorBidi"/>
              </w:rPr>
              <w:t>800万像素逐行扫描</w:t>
            </w:r>
            <w:r>
              <w:rPr>
                <w:rFonts w:hint="eastAsia" w:ascii="仿宋" w:hAnsi="仿宋" w:cstheme="minorBidi"/>
              </w:rPr>
              <w:t>≥</w:t>
            </w:r>
            <w:r>
              <w:rPr>
                <w:rFonts w:ascii="仿宋" w:hAnsi="仿宋" w:cstheme="minorBidi"/>
              </w:rPr>
              <w:t>1/1.8”CMOS</w:t>
            </w:r>
          </w:p>
        </w:tc>
      </w:tr>
      <w:tr>
        <w:tblPrEx>
          <w:tblCellMar>
            <w:top w:w="0" w:type="dxa"/>
            <w:left w:w="108" w:type="dxa"/>
            <w:bottom w:w="0" w:type="dxa"/>
            <w:right w:w="108" w:type="dxa"/>
          </w:tblCellMar>
        </w:tblPrEx>
        <w:trPr>
          <w:trHeight w:val="30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rPr>
            </w:pPr>
          </w:p>
        </w:tc>
        <w:tc>
          <w:tcPr>
            <w:tcW w:w="0" w:type="auto"/>
            <w:vMerge w:val="continue"/>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rPr>
            </w:pPr>
          </w:p>
        </w:tc>
        <w:tc>
          <w:tcPr>
            <w:tcW w:w="0" w:type="auto"/>
            <w:tcBorders>
              <w:top w:val="nil"/>
              <w:left w:val="nil"/>
              <w:bottom w:val="nil"/>
              <w:right w:val="single" w:color="000000" w:sz="8" w:space="0"/>
            </w:tcBorders>
            <w:shd w:val="clear" w:color="auto" w:fill="auto"/>
          </w:tcPr>
          <w:p>
            <w:pPr>
              <w:spacing w:line="240" w:lineRule="auto"/>
              <w:rPr>
                <w:rFonts w:ascii="仿宋" w:hAnsi="仿宋" w:cstheme="minorBidi"/>
              </w:rPr>
            </w:pPr>
            <w:r>
              <w:rPr>
                <w:rFonts w:hint="eastAsia" w:ascii="仿宋" w:hAnsi="仿宋" w:cstheme="minorBidi"/>
              </w:rPr>
              <w:t>不低于6.7-134.5mm，≥20倍光学，16倍数字变焦</w:t>
            </w:r>
          </w:p>
        </w:tc>
      </w:tr>
      <w:tr>
        <w:tblPrEx>
          <w:tblCellMar>
            <w:top w:w="0" w:type="dxa"/>
            <w:left w:w="108" w:type="dxa"/>
            <w:bottom w:w="0" w:type="dxa"/>
            <w:right w:w="108" w:type="dxa"/>
          </w:tblCellMar>
        </w:tblPrEx>
        <w:trPr>
          <w:trHeight w:val="30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rPr>
            </w:pPr>
          </w:p>
        </w:tc>
        <w:tc>
          <w:tcPr>
            <w:tcW w:w="0" w:type="auto"/>
            <w:vMerge w:val="continue"/>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rPr>
            </w:pPr>
          </w:p>
        </w:tc>
        <w:tc>
          <w:tcPr>
            <w:tcW w:w="0" w:type="auto"/>
            <w:tcBorders>
              <w:top w:val="nil"/>
              <w:left w:val="nil"/>
              <w:bottom w:val="nil"/>
              <w:right w:val="single" w:color="000000" w:sz="8" w:space="0"/>
            </w:tcBorders>
            <w:shd w:val="clear" w:color="auto" w:fill="auto"/>
          </w:tcPr>
          <w:p>
            <w:pPr>
              <w:spacing w:line="240" w:lineRule="auto"/>
              <w:rPr>
                <w:rFonts w:ascii="仿宋" w:hAnsi="仿宋" w:cstheme="minorBidi"/>
              </w:rPr>
            </w:pPr>
            <w:r>
              <w:rPr>
                <w:rFonts w:hint="eastAsia" w:ascii="仿宋" w:hAnsi="仿宋" w:cstheme="minorBidi"/>
              </w:rPr>
              <w:t>HDMI2.0/3G-SDI/LAN多输出</w:t>
            </w:r>
          </w:p>
        </w:tc>
      </w:tr>
      <w:tr>
        <w:tblPrEx>
          <w:tblCellMar>
            <w:top w:w="0" w:type="dxa"/>
            <w:left w:w="108" w:type="dxa"/>
            <w:bottom w:w="0" w:type="dxa"/>
            <w:right w:w="108" w:type="dxa"/>
          </w:tblCellMar>
        </w:tblPrEx>
        <w:trPr>
          <w:trHeight w:val="30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rPr>
            </w:pPr>
          </w:p>
        </w:tc>
        <w:tc>
          <w:tcPr>
            <w:tcW w:w="0" w:type="auto"/>
            <w:vMerge w:val="continue"/>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rPr>
            </w:pPr>
          </w:p>
        </w:tc>
        <w:tc>
          <w:tcPr>
            <w:tcW w:w="0" w:type="auto"/>
            <w:tcBorders>
              <w:top w:val="nil"/>
              <w:left w:val="nil"/>
              <w:bottom w:val="nil"/>
              <w:right w:val="single" w:color="000000" w:sz="8" w:space="0"/>
            </w:tcBorders>
            <w:shd w:val="clear" w:color="auto" w:fill="auto"/>
          </w:tcPr>
          <w:p>
            <w:pPr>
              <w:spacing w:line="240" w:lineRule="auto"/>
              <w:rPr>
                <w:rFonts w:ascii="仿宋" w:hAnsi="仿宋" w:cstheme="minorBidi"/>
              </w:rPr>
            </w:pPr>
            <w:r>
              <w:rPr>
                <w:rFonts w:hint="eastAsia" w:ascii="仿宋" w:hAnsi="仿宋" w:cstheme="minorBidi"/>
              </w:rPr>
              <w:t>≥</w:t>
            </w:r>
            <w:r>
              <w:rPr>
                <w:rFonts w:ascii="仿宋" w:hAnsi="仿宋" w:cstheme="minorBidi"/>
              </w:rPr>
              <w:t>3840*2160@60</w:t>
            </w:r>
          </w:p>
        </w:tc>
      </w:tr>
      <w:tr>
        <w:tblPrEx>
          <w:tblCellMar>
            <w:top w:w="0" w:type="dxa"/>
            <w:left w:w="108" w:type="dxa"/>
            <w:bottom w:w="0" w:type="dxa"/>
            <w:right w:w="108" w:type="dxa"/>
          </w:tblCellMar>
        </w:tblPrEx>
        <w:trPr>
          <w:trHeight w:val="30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rPr>
            </w:pPr>
          </w:p>
        </w:tc>
        <w:tc>
          <w:tcPr>
            <w:tcW w:w="0" w:type="auto"/>
            <w:vMerge w:val="continue"/>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rPr>
            </w:pPr>
          </w:p>
        </w:tc>
        <w:tc>
          <w:tcPr>
            <w:tcW w:w="0" w:type="auto"/>
            <w:tcBorders>
              <w:top w:val="nil"/>
              <w:left w:val="nil"/>
              <w:bottom w:val="nil"/>
              <w:right w:val="single" w:color="000000" w:sz="8" w:space="0"/>
            </w:tcBorders>
            <w:shd w:val="clear" w:color="auto" w:fill="auto"/>
          </w:tcPr>
          <w:p>
            <w:pPr>
              <w:spacing w:line="240" w:lineRule="auto"/>
              <w:rPr>
                <w:rFonts w:ascii="仿宋" w:hAnsi="仿宋" w:cstheme="minorBidi"/>
              </w:rPr>
            </w:pPr>
            <w:r>
              <w:rPr>
                <w:rFonts w:hint="eastAsia" w:ascii="仿宋" w:hAnsi="仿宋" w:cstheme="minorBidi"/>
              </w:rPr>
              <w:t>至少包含水平0°～350°旋转，垂直方向-30°～90°</w:t>
            </w:r>
          </w:p>
        </w:tc>
      </w:tr>
      <w:tr>
        <w:tblPrEx>
          <w:tblCellMar>
            <w:top w:w="0" w:type="dxa"/>
            <w:left w:w="108" w:type="dxa"/>
            <w:bottom w:w="0" w:type="dxa"/>
            <w:right w:w="108" w:type="dxa"/>
          </w:tblCellMar>
        </w:tblPrEx>
        <w:trPr>
          <w:trHeight w:val="285" w:hRule="atLeast"/>
        </w:trPr>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rPr>
            </w:pPr>
            <w:r>
              <w:rPr>
                <w:rFonts w:hint="eastAsia" w:ascii="仿宋" w:hAnsi="仿宋" w:cstheme="minorBidi"/>
              </w:rPr>
              <w:t>2</w:t>
            </w:r>
          </w:p>
        </w:tc>
        <w:tc>
          <w:tcPr>
            <w:tcW w:w="0" w:type="auto"/>
            <w:vMerge w:val="restart"/>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rPr>
            </w:pPr>
            <w:r>
              <w:rPr>
                <w:rFonts w:hint="eastAsia" w:ascii="仿宋" w:hAnsi="仿宋" w:cstheme="minorBidi"/>
              </w:rPr>
              <w:t>摄像机固定杆</w:t>
            </w:r>
          </w:p>
        </w:tc>
        <w:tc>
          <w:tcPr>
            <w:tcW w:w="0" w:type="auto"/>
            <w:tcBorders>
              <w:top w:val="single" w:color="000000" w:sz="8" w:space="0"/>
              <w:left w:val="nil"/>
              <w:bottom w:val="nil"/>
              <w:right w:val="single" w:color="000000" w:sz="8" w:space="0"/>
            </w:tcBorders>
            <w:shd w:val="clear" w:color="auto" w:fill="auto"/>
          </w:tcPr>
          <w:p>
            <w:pPr>
              <w:spacing w:line="240" w:lineRule="auto"/>
              <w:rPr>
                <w:rFonts w:ascii="仿宋" w:hAnsi="仿宋" w:cstheme="minorBidi"/>
              </w:rPr>
            </w:pPr>
            <w:r>
              <w:rPr>
                <w:rFonts w:hint="eastAsia" w:ascii="仿宋" w:hAnsi="仿宋" w:cstheme="minorBidi"/>
              </w:rPr>
              <w:t>单元数量1根</w:t>
            </w:r>
          </w:p>
        </w:tc>
      </w:tr>
      <w:tr>
        <w:tblPrEx>
          <w:tblCellMar>
            <w:top w:w="0" w:type="dxa"/>
            <w:left w:w="108" w:type="dxa"/>
            <w:bottom w:w="0" w:type="dxa"/>
            <w:right w:w="108" w:type="dxa"/>
          </w:tblCellMar>
        </w:tblPrEx>
        <w:trPr>
          <w:trHeight w:val="30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rPr>
            </w:pPr>
          </w:p>
        </w:tc>
        <w:tc>
          <w:tcPr>
            <w:tcW w:w="0" w:type="auto"/>
            <w:vMerge w:val="continue"/>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rPr>
            </w:pPr>
          </w:p>
        </w:tc>
        <w:tc>
          <w:tcPr>
            <w:tcW w:w="0" w:type="auto"/>
            <w:tcBorders>
              <w:top w:val="nil"/>
              <w:left w:val="nil"/>
              <w:bottom w:val="nil"/>
              <w:right w:val="single" w:color="000000" w:sz="8" w:space="0"/>
            </w:tcBorders>
            <w:shd w:val="clear" w:color="auto" w:fill="auto"/>
          </w:tcPr>
          <w:p>
            <w:pPr>
              <w:spacing w:line="240" w:lineRule="auto"/>
              <w:rPr>
                <w:rFonts w:ascii="仿宋" w:hAnsi="仿宋" w:cstheme="minorBidi"/>
              </w:rPr>
            </w:pPr>
            <w:r>
              <w:rPr>
                <w:rFonts w:hint="eastAsia" w:ascii="仿宋" w:hAnsi="仿宋" w:cstheme="minorBidi"/>
              </w:rPr>
              <w:t>最大臂展1.8米±0.05米</w:t>
            </w:r>
          </w:p>
        </w:tc>
      </w:tr>
      <w:tr>
        <w:tblPrEx>
          <w:tblCellMar>
            <w:top w:w="0" w:type="dxa"/>
            <w:left w:w="108" w:type="dxa"/>
            <w:bottom w:w="0" w:type="dxa"/>
            <w:right w:w="108" w:type="dxa"/>
          </w:tblCellMar>
        </w:tblPrEx>
        <w:trPr>
          <w:trHeight w:val="30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rPr>
            </w:pPr>
          </w:p>
        </w:tc>
        <w:tc>
          <w:tcPr>
            <w:tcW w:w="0" w:type="auto"/>
            <w:vMerge w:val="continue"/>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rPr>
            </w:pPr>
          </w:p>
        </w:tc>
        <w:tc>
          <w:tcPr>
            <w:tcW w:w="0" w:type="auto"/>
            <w:tcBorders>
              <w:top w:val="nil"/>
              <w:left w:val="nil"/>
              <w:bottom w:val="nil"/>
              <w:right w:val="single" w:color="000000" w:sz="8" w:space="0"/>
            </w:tcBorders>
            <w:shd w:val="clear" w:color="auto" w:fill="auto"/>
          </w:tcPr>
          <w:p>
            <w:pPr>
              <w:spacing w:line="240" w:lineRule="auto"/>
              <w:rPr>
                <w:rFonts w:ascii="仿宋" w:hAnsi="仿宋" w:cstheme="minorBidi"/>
              </w:rPr>
            </w:pPr>
            <w:r>
              <w:rPr>
                <w:rFonts w:ascii="仿宋" w:hAnsi="仿宋" w:cstheme="minorBidi"/>
              </w:rPr>
              <w:t>水平旋转</w:t>
            </w:r>
            <w:r>
              <w:rPr>
                <w:rFonts w:hint="eastAsia" w:ascii="仿宋" w:hAnsi="仿宋" w:cstheme="minorBidi"/>
              </w:rPr>
              <w:t>≥</w:t>
            </w:r>
            <w:r>
              <w:rPr>
                <w:rFonts w:ascii="仿宋" w:hAnsi="仿宋" w:cstheme="minorBidi"/>
              </w:rPr>
              <w:t>300°</w:t>
            </w:r>
          </w:p>
        </w:tc>
      </w:tr>
      <w:tr>
        <w:tblPrEx>
          <w:tblCellMar>
            <w:top w:w="0" w:type="dxa"/>
            <w:left w:w="108" w:type="dxa"/>
            <w:bottom w:w="0" w:type="dxa"/>
            <w:right w:w="108" w:type="dxa"/>
          </w:tblCellMar>
        </w:tblPrEx>
        <w:trPr>
          <w:trHeight w:val="30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rPr>
            </w:pPr>
          </w:p>
        </w:tc>
        <w:tc>
          <w:tcPr>
            <w:tcW w:w="0" w:type="auto"/>
            <w:vMerge w:val="continue"/>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rPr>
            </w:pPr>
          </w:p>
        </w:tc>
        <w:tc>
          <w:tcPr>
            <w:tcW w:w="0" w:type="auto"/>
            <w:tcBorders>
              <w:top w:val="nil"/>
              <w:left w:val="nil"/>
              <w:bottom w:val="nil"/>
              <w:right w:val="single" w:color="000000" w:sz="8" w:space="0"/>
            </w:tcBorders>
            <w:shd w:val="clear" w:color="auto" w:fill="auto"/>
          </w:tcPr>
          <w:p>
            <w:pPr>
              <w:spacing w:line="240" w:lineRule="auto"/>
              <w:rPr>
                <w:rFonts w:ascii="仿宋" w:hAnsi="仿宋" w:cstheme="minorBidi"/>
              </w:rPr>
            </w:pPr>
            <w:r>
              <w:rPr>
                <w:rFonts w:hint="eastAsia" w:ascii="仿宋" w:hAnsi="仿宋" w:cstheme="minorBidi"/>
              </w:rPr>
              <w:t>垂直调节至少包含 -42°～42°</w:t>
            </w:r>
          </w:p>
        </w:tc>
      </w:tr>
      <w:tr>
        <w:tblPrEx>
          <w:tblCellMar>
            <w:top w:w="0" w:type="dxa"/>
            <w:left w:w="108" w:type="dxa"/>
            <w:bottom w:w="0" w:type="dxa"/>
            <w:right w:w="108" w:type="dxa"/>
          </w:tblCellMar>
        </w:tblPrEx>
        <w:trPr>
          <w:trHeight w:val="30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rPr>
            </w:pPr>
          </w:p>
        </w:tc>
        <w:tc>
          <w:tcPr>
            <w:tcW w:w="0" w:type="auto"/>
            <w:vMerge w:val="continue"/>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rPr>
            </w:pPr>
          </w:p>
        </w:tc>
        <w:tc>
          <w:tcPr>
            <w:tcW w:w="0" w:type="auto"/>
            <w:tcBorders>
              <w:top w:val="nil"/>
              <w:left w:val="nil"/>
              <w:bottom w:val="nil"/>
              <w:right w:val="single" w:color="000000" w:sz="8" w:space="0"/>
            </w:tcBorders>
            <w:shd w:val="clear" w:color="auto" w:fill="auto"/>
          </w:tcPr>
          <w:p>
            <w:pPr>
              <w:spacing w:line="240" w:lineRule="auto"/>
              <w:rPr>
                <w:rFonts w:ascii="仿宋" w:hAnsi="仿宋" w:cstheme="minorBidi"/>
              </w:rPr>
            </w:pPr>
            <w:r>
              <w:rPr>
                <w:rFonts w:hint="eastAsia" w:ascii="仿宋" w:hAnsi="仿宋" w:cstheme="minorBidi"/>
              </w:rPr>
              <w:t>悬停负重至少包含2.5kg ～8kg</w:t>
            </w:r>
          </w:p>
        </w:tc>
      </w:tr>
      <w:tr>
        <w:tblPrEx>
          <w:tblCellMar>
            <w:top w:w="0" w:type="dxa"/>
            <w:left w:w="108" w:type="dxa"/>
            <w:bottom w:w="0" w:type="dxa"/>
            <w:right w:w="108" w:type="dxa"/>
          </w:tblCellMar>
        </w:tblPrEx>
        <w:trPr>
          <w:trHeight w:val="30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rPr>
            </w:pPr>
          </w:p>
        </w:tc>
        <w:tc>
          <w:tcPr>
            <w:tcW w:w="0" w:type="auto"/>
            <w:vMerge w:val="continue"/>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rPr>
            </w:pPr>
          </w:p>
        </w:tc>
        <w:tc>
          <w:tcPr>
            <w:tcW w:w="0" w:type="auto"/>
            <w:tcBorders>
              <w:top w:val="nil"/>
              <w:left w:val="nil"/>
              <w:bottom w:val="single" w:color="000000" w:sz="8" w:space="0"/>
              <w:right w:val="single" w:color="000000" w:sz="8" w:space="0"/>
            </w:tcBorders>
            <w:shd w:val="clear" w:color="auto" w:fill="auto"/>
          </w:tcPr>
          <w:p>
            <w:pPr>
              <w:spacing w:line="240" w:lineRule="auto"/>
              <w:rPr>
                <w:rFonts w:ascii="仿宋" w:hAnsi="仿宋" w:cstheme="minorBidi"/>
              </w:rPr>
            </w:pPr>
            <w:r>
              <w:rPr>
                <w:rFonts w:hint="eastAsia" w:ascii="仿宋" w:hAnsi="仿宋" w:cstheme="minorBidi"/>
              </w:rPr>
              <w:t>适用房间高度≥2.6米</w:t>
            </w:r>
          </w:p>
        </w:tc>
      </w:tr>
      <w:tr>
        <w:tblPrEx>
          <w:tblCellMar>
            <w:top w:w="0" w:type="dxa"/>
            <w:left w:w="108" w:type="dxa"/>
            <w:bottom w:w="0" w:type="dxa"/>
            <w:right w:w="108" w:type="dxa"/>
          </w:tblCellMar>
        </w:tblPrEx>
        <w:trPr>
          <w:trHeight w:val="285" w:hRule="atLeast"/>
        </w:trPr>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rPr>
            </w:pPr>
            <w:r>
              <w:rPr>
                <w:rFonts w:hint="eastAsia" w:ascii="仿宋" w:hAnsi="仿宋" w:cstheme="minorBidi"/>
              </w:rPr>
              <w:t>3</w:t>
            </w:r>
          </w:p>
        </w:tc>
        <w:tc>
          <w:tcPr>
            <w:tcW w:w="0" w:type="auto"/>
            <w:vMerge w:val="restart"/>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rPr>
            </w:pPr>
            <w:r>
              <w:rPr>
                <w:rFonts w:hint="eastAsia" w:ascii="仿宋" w:hAnsi="仿宋" w:cstheme="minorBidi"/>
              </w:rPr>
              <w:t>遥控键盘</w:t>
            </w:r>
          </w:p>
        </w:tc>
        <w:tc>
          <w:tcPr>
            <w:tcW w:w="0" w:type="auto"/>
            <w:tcBorders>
              <w:top w:val="nil"/>
              <w:left w:val="nil"/>
              <w:bottom w:val="nil"/>
              <w:right w:val="single" w:color="000000" w:sz="8" w:space="0"/>
            </w:tcBorders>
            <w:shd w:val="clear" w:color="auto" w:fill="auto"/>
          </w:tcPr>
          <w:p>
            <w:pPr>
              <w:spacing w:line="240" w:lineRule="auto"/>
              <w:rPr>
                <w:rFonts w:ascii="仿宋" w:hAnsi="仿宋" w:cstheme="minorBidi"/>
              </w:rPr>
            </w:pPr>
            <w:r>
              <w:rPr>
                <w:rFonts w:hint="eastAsia" w:ascii="仿宋" w:hAnsi="仿宋" w:cstheme="minorBidi"/>
              </w:rPr>
              <w:t>屏幕区和摇杆区采用分体设计</w:t>
            </w:r>
          </w:p>
        </w:tc>
      </w:tr>
      <w:tr>
        <w:tblPrEx>
          <w:tblCellMar>
            <w:top w:w="0" w:type="dxa"/>
            <w:left w:w="108" w:type="dxa"/>
            <w:bottom w:w="0" w:type="dxa"/>
            <w:right w:w="108" w:type="dxa"/>
          </w:tblCellMar>
        </w:tblPrEx>
        <w:trPr>
          <w:trHeight w:val="30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rPr>
            </w:pPr>
          </w:p>
        </w:tc>
        <w:tc>
          <w:tcPr>
            <w:tcW w:w="0" w:type="auto"/>
            <w:vMerge w:val="continue"/>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rPr>
            </w:pPr>
          </w:p>
        </w:tc>
        <w:tc>
          <w:tcPr>
            <w:tcW w:w="0" w:type="auto"/>
            <w:tcBorders>
              <w:top w:val="nil"/>
              <w:left w:val="nil"/>
              <w:bottom w:val="nil"/>
              <w:right w:val="single" w:color="000000" w:sz="8" w:space="0"/>
            </w:tcBorders>
            <w:shd w:val="clear" w:color="auto" w:fill="auto"/>
          </w:tcPr>
          <w:p>
            <w:pPr>
              <w:spacing w:line="240" w:lineRule="auto"/>
              <w:rPr>
                <w:rFonts w:ascii="仿宋" w:hAnsi="仿宋" w:cstheme="minorBidi"/>
              </w:rPr>
            </w:pPr>
            <w:r>
              <w:rPr>
                <w:rFonts w:hint="eastAsia" w:ascii="仿宋" w:hAnsi="仿宋" w:cstheme="minorBidi"/>
              </w:rPr>
              <w:t>支持网络方式接入本司全系列DVR、DVS、NVR、网络摄像机、球机等设备</w:t>
            </w:r>
          </w:p>
        </w:tc>
      </w:tr>
      <w:tr>
        <w:tblPrEx>
          <w:tblCellMar>
            <w:top w:w="0" w:type="dxa"/>
            <w:left w:w="108" w:type="dxa"/>
            <w:bottom w:w="0" w:type="dxa"/>
            <w:right w:w="108" w:type="dxa"/>
          </w:tblCellMar>
        </w:tblPrEx>
        <w:trPr>
          <w:trHeight w:val="30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rPr>
            </w:pPr>
          </w:p>
        </w:tc>
        <w:tc>
          <w:tcPr>
            <w:tcW w:w="0" w:type="auto"/>
            <w:vMerge w:val="continue"/>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rPr>
            </w:pPr>
          </w:p>
        </w:tc>
        <w:tc>
          <w:tcPr>
            <w:tcW w:w="0" w:type="auto"/>
            <w:tcBorders>
              <w:top w:val="nil"/>
              <w:left w:val="nil"/>
              <w:bottom w:val="single" w:color="auto" w:sz="4" w:space="0"/>
              <w:right w:val="single" w:color="000000" w:sz="8" w:space="0"/>
            </w:tcBorders>
            <w:shd w:val="clear" w:color="auto" w:fill="auto"/>
          </w:tcPr>
          <w:p>
            <w:pPr>
              <w:spacing w:line="240" w:lineRule="auto"/>
              <w:rPr>
                <w:rFonts w:ascii="仿宋" w:hAnsi="仿宋" w:cstheme="minorBidi"/>
              </w:rPr>
            </w:pPr>
            <w:r>
              <w:rPr>
                <w:rFonts w:hint="eastAsia" w:ascii="仿宋" w:hAnsi="仿宋" w:cstheme="minorBidi"/>
              </w:rPr>
              <w:t>支持在触控屏上预览图像或通过HDMI/DVI将图像投到外接显示屏上</w:t>
            </w:r>
          </w:p>
        </w:tc>
      </w:tr>
      <w:tr>
        <w:tblPrEx>
          <w:tblCellMar>
            <w:top w:w="0" w:type="dxa"/>
            <w:left w:w="108" w:type="dxa"/>
            <w:bottom w:w="0" w:type="dxa"/>
            <w:right w:w="108" w:type="dxa"/>
          </w:tblCellMar>
        </w:tblPrEx>
        <w:trPr>
          <w:trHeight w:val="300" w:hRule="atLeast"/>
        </w:trPr>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rPr>
            </w:pPr>
            <w:r>
              <w:rPr>
                <w:rFonts w:hint="eastAsia" w:ascii="仿宋" w:hAnsi="仿宋" w:cstheme="minorBidi"/>
              </w:rPr>
              <w:t>4</w:t>
            </w:r>
          </w:p>
        </w:tc>
        <w:tc>
          <w:tcPr>
            <w:tcW w:w="0" w:type="auto"/>
            <w:vMerge w:val="restart"/>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rPr>
            </w:pPr>
            <w:r>
              <w:rPr>
                <w:rFonts w:hint="eastAsia" w:ascii="仿宋" w:hAnsi="仿宋" w:cstheme="minorBidi"/>
              </w:rPr>
              <w:t>信号收集器</w:t>
            </w:r>
          </w:p>
        </w:tc>
        <w:tc>
          <w:tcPr>
            <w:tcW w:w="0" w:type="auto"/>
            <w:tcBorders>
              <w:top w:val="single" w:color="auto" w:sz="4" w:space="0"/>
              <w:left w:val="nil"/>
              <w:bottom w:val="nil"/>
              <w:right w:val="single" w:color="000000" w:sz="8" w:space="0"/>
            </w:tcBorders>
            <w:shd w:val="clear" w:color="auto" w:fill="auto"/>
          </w:tcPr>
          <w:p>
            <w:pPr>
              <w:spacing w:line="240" w:lineRule="auto"/>
              <w:rPr>
                <w:rFonts w:ascii="仿宋" w:hAnsi="仿宋" w:cstheme="minorBidi"/>
              </w:rPr>
            </w:pPr>
            <w:r>
              <w:rPr>
                <w:rFonts w:hint="eastAsia" w:ascii="仿宋" w:hAnsi="仿宋" w:cstheme="minorBidi"/>
              </w:rPr>
              <w:t>支持HD-SDI高清数字分量串行接口、OPT光传输接口、HDMI高清多媒体接口、YPbPr色差分量接口、VGA接口视频输入</w:t>
            </w:r>
          </w:p>
        </w:tc>
      </w:tr>
      <w:tr>
        <w:tblPrEx>
          <w:tblCellMar>
            <w:top w:w="0" w:type="dxa"/>
            <w:left w:w="108" w:type="dxa"/>
            <w:bottom w:w="0" w:type="dxa"/>
            <w:right w:w="108" w:type="dxa"/>
          </w:tblCellMar>
        </w:tblPrEx>
        <w:trPr>
          <w:trHeight w:val="30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rPr>
            </w:pPr>
          </w:p>
        </w:tc>
        <w:tc>
          <w:tcPr>
            <w:tcW w:w="0" w:type="auto"/>
            <w:vMerge w:val="continue"/>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rPr>
            </w:pPr>
          </w:p>
        </w:tc>
        <w:tc>
          <w:tcPr>
            <w:tcW w:w="0" w:type="auto"/>
            <w:tcBorders>
              <w:top w:val="nil"/>
              <w:left w:val="nil"/>
              <w:bottom w:val="nil"/>
              <w:right w:val="single" w:color="000000" w:sz="8" w:space="0"/>
            </w:tcBorders>
            <w:shd w:val="clear" w:color="auto" w:fill="auto"/>
          </w:tcPr>
          <w:p>
            <w:pPr>
              <w:spacing w:line="240" w:lineRule="auto"/>
              <w:rPr>
                <w:rFonts w:ascii="仿宋" w:hAnsi="仿宋" w:cstheme="minorBidi"/>
              </w:rPr>
            </w:pPr>
            <w:r>
              <w:rPr>
                <w:rFonts w:hint="eastAsia" w:ascii="仿宋" w:hAnsi="仿宋" w:cstheme="minorBidi"/>
              </w:rPr>
              <w:t>支持1920x1080、1280x1024、1024x768等高清分辨率编码；</w:t>
            </w:r>
          </w:p>
        </w:tc>
      </w:tr>
      <w:tr>
        <w:tblPrEx>
          <w:tblCellMar>
            <w:top w:w="0" w:type="dxa"/>
            <w:left w:w="108" w:type="dxa"/>
            <w:bottom w:w="0" w:type="dxa"/>
            <w:right w:w="108" w:type="dxa"/>
          </w:tblCellMar>
        </w:tblPrEx>
        <w:trPr>
          <w:trHeight w:val="37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rPr>
            </w:pPr>
            <w:r>
              <w:rPr>
                <w:rFonts w:hint="eastAsia" w:ascii="仿宋" w:hAnsi="仿宋" w:cstheme="minorBidi"/>
              </w:rPr>
              <w:t>5</w:t>
            </w:r>
          </w:p>
        </w:tc>
        <w:tc>
          <w:tcPr>
            <w:tcW w:w="0" w:type="auto"/>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rPr>
            </w:pPr>
            <w:r>
              <w:rPr>
                <w:rFonts w:hint="eastAsia" w:ascii="仿宋" w:hAnsi="仿宋" w:cstheme="minorBidi"/>
              </w:rPr>
              <w:t>转播盒</w:t>
            </w:r>
          </w:p>
        </w:tc>
        <w:tc>
          <w:tcPr>
            <w:tcW w:w="0" w:type="auto"/>
            <w:tcBorders>
              <w:top w:val="single" w:color="000000" w:sz="8" w:space="0"/>
              <w:left w:val="nil"/>
              <w:bottom w:val="single" w:color="auto" w:sz="4" w:space="0"/>
              <w:right w:val="single" w:color="000000" w:sz="8" w:space="0"/>
            </w:tcBorders>
            <w:shd w:val="clear" w:color="auto" w:fill="auto"/>
          </w:tcPr>
          <w:p>
            <w:pPr>
              <w:spacing w:line="240" w:lineRule="auto"/>
              <w:rPr>
                <w:rFonts w:ascii="仿宋" w:hAnsi="仿宋"/>
              </w:rPr>
            </w:pPr>
            <w:r>
              <w:rPr>
                <w:rFonts w:hint="eastAsia" w:ascii="仿宋" w:hAnsi="仿宋"/>
              </w:rPr>
              <w:t>采集HDMI信号</w:t>
            </w:r>
          </w:p>
          <w:p>
            <w:pPr>
              <w:spacing w:line="240" w:lineRule="auto"/>
              <w:rPr>
                <w:rFonts w:ascii="仿宋" w:hAnsi="仿宋"/>
              </w:rPr>
            </w:pPr>
            <w:r>
              <w:rPr>
                <w:rFonts w:hint="eastAsia" w:ascii="仿宋" w:hAnsi="仿宋"/>
              </w:rPr>
              <w:t>支持分辨率</w:t>
            </w:r>
            <w:r>
              <w:rPr>
                <w:rFonts w:hint="eastAsia" w:ascii="仿宋" w:hAnsi="仿宋" w:cstheme="minorBidi"/>
              </w:rPr>
              <w:t>1080P：1920×1080@60HZ</w:t>
            </w:r>
          </w:p>
        </w:tc>
      </w:tr>
      <w:tr>
        <w:tblPrEx>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rPr>
            </w:pPr>
            <w:r>
              <w:rPr>
                <w:rFonts w:hint="eastAsia" w:ascii="仿宋" w:hAnsi="仿宋" w:cstheme="minorBidi"/>
              </w:rPr>
              <w:t>6</w:t>
            </w:r>
          </w:p>
        </w:tc>
        <w:tc>
          <w:tcPr>
            <w:tcW w:w="0" w:type="auto"/>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rPr>
            </w:pPr>
            <w:r>
              <w:rPr>
                <w:rFonts w:hint="eastAsia" w:ascii="仿宋" w:hAnsi="仿宋" w:cstheme="minorBidi"/>
              </w:rPr>
              <w:t>术间信息发布</w:t>
            </w:r>
            <w:r>
              <w:rPr>
                <w:rStyle w:val="45"/>
                <w:rFonts w:hint="eastAsia" w:ascii="仿宋" w:hAnsi="仿宋"/>
              </w:rPr>
              <w:t>屏</w:t>
            </w:r>
          </w:p>
        </w:tc>
        <w:tc>
          <w:tcPr>
            <w:tcW w:w="0" w:type="auto"/>
            <w:tcBorders>
              <w:top w:val="single" w:color="auto" w:sz="4" w:space="0"/>
              <w:left w:val="nil"/>
              <w:bottom w:val="single" w:color="000000" w:sz="8" w:space="0"/>
              <w:right w:val="single" w:color="000000" w:sz="8" w:space="0"/>
            </w:tcBorders>
            <w:shd w:val="clear" w:color="auto" w:fill="auto"/>
          </w:tcPr>
          <w:p>
            <w:pPr>
              <w:spacing w:line="240" w:lineRule="auto"/>
              <w:rPr>
                <w:rFonts w:ascii="仿宋" w:hAnsi="仿宋" w:cstheme="minorBidi"/>
              </w:rPr>
            </w:pPr>
            <w:r>
              <w:rPr>
                <w:rFonts w:hint="eastAsia" w:ascii="仿宋" w:hAnsi="仿宋" w:cstheme="minorBidi"/>
              </w:rPr>
              <w:t xml:space="preserve">壁挂式竖屏超安卓网络版屏 ≥21.5英寸 </w:t>
            </w:r>
          </w:p>
        </w:tc>
      </w:tr>
      <w:tr>
        <w:tblPrEx>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rPr>
            </w:pPr>
            <w:r>
              <w:rPr>
                <w:rFonts w:hint="eastAsia" w:ascii="仿宋" w:hAnsi="仿宋" w:cstheme="minorBidi"/>
              </w:rPr>
              <w:t>7</w:t>
            </w:r>
          </w:p>
        </w:tc>
        <w:tc>
          <w:tcPr>
            <w:tcW w:w="0" w:type="auto"/>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rPr>
            </w:pPr>
            <w:r>
              <w:rPr>
                <w:rFonts w:hint="eastAsia" w:ascii="仿宋" w:hAnsi="仿宋" w:cstheme="minorBidi"/>
              </w:rPr>
              <w:t>家属区信息发布</w:t>
            </w:r>
          </w:p>
        </w:tc>
        <w:tc>
          <w:tcPr>
            <w:tcW w:w="0" w:type="auto"/>
            <w:tcBorders>
              <w:top w:val="nil"/>
              <w:left w:val="nil"/>
              <w:bottom w:val="single" w:color="000000" w:sz="8" w:space="0"/>
              <w:right w:val="single" w:color="000000" w:sz="8" w:space="0"/>
            </w:tcBorders>
            <w:shd w:val="clear" w:color="auto" w:fill="auto"/>
          </w:tcPr>
          <w:p>
            <w:pPr>
              <w:spacing w:line="240" w:lineRule="auto"/>
              <w:rPr>
                <w:rFonts w:ascii="仿宋" w:hAnsi="仿宋" w:cstheme="minorBidi"/>
              </w:rPr>
            </w:pPr>
            <w:r>
              <w:rPr>
                <w:rFonts w:hint="eastAsia" w:ascii="仿宋" w:hAnsi="仿宋" w:cstheme="minorBidi"/>
              </w:rPr>
              <w:t>≥65英寸 内置智能网络系统显示屏</w:t>
            </w:r>
          </w:p>
        </w:tc>
      </w:tr>
      <w:tr>
        <w:tblPrEx>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rPr>
            </w:pPr>
            <w:r>
              <w:rPr>
                <w:rFonts w:hint="eastAsia" w:ascii="仿宋" w:hAnsi="仿宋" w:cstheme="minorBidi"/>
              </w:rPr>
              <w:t>8</w:t>
            </w:r>
          </w:p>
        </w:tc>
        <w:tc>
          <w:tcPr>
            <w:tcW w:w="0" w:type="auto"/>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rPr>
            </w:pPr>
            <w:r>
              <w:rPr>
                <w:rFonts w:hint="eastAsia" w:ascii="仿宋" w:hAnsi="仿宋" w:cstheme="minorBidi"/>
              </w:rPr>
              <w:t>手术耳麦</w:t>
            </w:r>
          </w:p>
        </w:tc>
        <w:tc>
          <w:tcPr>
            <w:tcW w:w="0" w:type="auto"/>
            <w:tcBorders>
              <w:top w:val="nil"/>
              <w:left w:val="nil"/>
              <w:bottom w:val="single" w:color="000000" w:sz="8" w:space="0"/>
              <w:right w:val="single" w:color="000000" w:sz="8" w:space="0"/>
            </w:tcBorders>
            <w:shd w:val="clear" w:color="auto" w:fill="auto"/>
          </w:tcPr>
          <w:p>
            <w:pPr>
              <w:spacing w:line="240" w:lineRule="auto"/>
              <w:rPr>
                <w:rFonts w:ascii="仿宋" w:hAnsi="仿宋" w:cstheme="minorBidi"/>
              </w:rPr>
            </w:pPr>
            <w:r>
              <w:rPr>
                <w:rFonts w:hint="eastAsia" w:ascii="仿宋" w:hAnsi="仿宋" w:cstheme="minorBidi"/>
              </w:rPr>
              <w:t>无线头戴式而耳麦</w:t>
            </w:r>
          </w:p>
        </w:tc>
      </w:tr>
      <w:tr>
        <w:tblPrEx>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rPr>
            </w:pPr>
            <w:r>
              <w:rPr>
                <w:rFonts w:hint="eastAsia" w:ascii="仿宋" w:hAnsi="仿宋" w:cstheme="minorBidi"/>
              </w:rPr>
              <w:t>9</w:t>
            </w:r>
          </w:p>
        </w:tc>
        <w:tc>
          <w:tcPr>
            <w:tcW w:w="0" w:type="auto"/>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rPr>
            </w:pPr>
            <w:r>
              <w:rPr>
                <w:rFonts w:hint="eastAsia" w:ascii="仿宋" w:hAnsi="仿宋" w:cstheme="minorBidi"/>
              </w:rPr>
              <w:t>手术室调音台</w:t>
            </w:r>
          </w:p>
        </w:tc>
        <w:tc>
          <w:tcPr>
            <w:tcW w:w="0" w:type="auto"/>
            <w:tcBorders>
              <w:top w:val="nil"/>
              <w:left w:val="nil"/>
              <w:bottom w:val="single" w:color="000000" w:sz="8" w:space="0"/>
              <w:right w:val="single" w:color="000000" w:sz="8" w:space="0"/>
            </w:tcBorders>
            <w:shd w:val="clear" w:color="auto" w:fill="auto"/>
          </w:tcPr>
          <w:p>
            <w:pPr>
              <w:spacing w:line="240" w:lineRule="auto"/>
              <w:rPr>
                <w:rFonts w:ascii="仿宋" w:hAnsi="仿宋" w:cstheme="minorBidi"/>
              </w:rPr>
            </w:pPr>
            <w:r>
              <w:rPr>
                <w:rFonts w:hint="eastAsia" w:ascii="仿宋" w:hAnsi="仿宋" w:cstheme="minorBidi"/>
              </w:rPr>
              <w:t>多通道调音台</w:t>
            </w:r>
          </w:p>
        </w:tc>
      </w:tr>
      <w:tr>
        <w:tblPrEx>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rPr>
            </w:pPr>
            <w:r>
              <w:rPr>
                <w:rFonts w:hint="eastAsia" w:ascii="仿宋" w:hAnsi="仿宋" w:cstheme="minorBidi"/>
              </w:rPr>
              <w:t>10</w:t>
            </w:r>
          </w:p>
        </w:tc>
        <w:tc>
          <w:tcPr>
            <w:tcW w:w="0" w:type="auto"/>
            <w:tcBorders>
              <w:top w:val="nil"/>
              <w:left w:val="nil"/>
              <w:bottom w:val="single" w:color="000000" w:sz="8" w:space="0"/>
              <w:right w:val="single" w:color="000000" w:sz="8" w:space="0"/>
            </w:tcBorders>
            <w:shd w:val="clear" w:color="auto" w:fill="auto"/>
            <w:vAlign w:val="center"/>
          </w:tcPr>
          <w:p>
            <w:pPr>
              <w:spacing w:line="240" w:lineRule="auto"/>
              <w:rPr>
                <w:rFonts w:ascii="仿宋" w:hAnsi="仿宋" w:cstheme="minorBidi"/>
              </w:rPr>
            </w:pPr>
            <w:r>
              <w:rPr>
                <w:rFonts w:hint="eastAsia" w:ascii="仿宋" w:hAnsi="仿宋" w:cstheme="minorBidi"/>
              </w:rPr>
              <w:t>影像资料分析终端</w:t>
            </w:r>
          </w:p>
        </w:tc>
        <w:tc>
          <w:tcPr>
            <w:tcW w:w="0" w:type="auto"/>
            <w:tcBorders>
              <w:top w:val="nil"/>
              <w:left w:val="nil"/>
              <w:bottom w:val="single" w:color="000000" w:sz="8" w:space="0"/>
              <w:right w:val="single" w:color="000000" w:sz="8" w:space="0"/>
            </w:tcBorders>
            <w:shd w:val="clear" w:color="auto" w:fill="auto"/>
          </w:tcPr>
          <w:p>
            <w:pPr>
              <w:spacing w:line="240" w:lineRule="auto"/>
              <w:rPr>
                <w:rFonts w:ascii="仿宋" w:hAnsi="仿宋" w:cstheme="minorBidi"/>
              </w:rPr>
            </w:pPr>
            <w:r>
              <w:rPr>
                <w:rFonts w:hint="eastAsia" w:ascii="仿宋" w:hAnsi="仿宋" w:cstheme="minorBidi"/>
              </w:rPr>
              <w:t>≥六核</w:t>
            </w:r>
          </w:p>
          <w:p>
            <w:pPr>
              <w:spacing w:line="240" w:lineRule="auto"/>
              <w:rPr>
                <w:rFonts w:ascii="仿宋" w:hAnsi="仿宋" w:cstheme="minorBidi"/>
              </w:rPr>
            </w:pPr>
            <w:r>
              <w:rPr>
                <w:rFonts w:hint="eastAsia" w:ascii="仿宋" w:hAnsi="仿宋" w:cstheme="minorBidi"/>
              </w:rPr>
              <w:t>≥512G 快速存储</w:t>
            </w:r>
          </w:p>
          <w:p>
            <w:pPr>
              <w:spacing w:line="240" w:lineRule="auto"/>
              <w:rPr>
                <w:rFonts w:ascii="仿宋" w:hAnsi="仿宋" w:cstheme="minorBidi"/>
              </w:rPr>
            </w:pPr>
            <w:r>
              <w:rPr>
                <w:rFonts w:hint="eastAsia" w:ascii="仿宋" w:hAnsi="仿宋" w:cstheme="minorBidi"/>
              </w:rPr>
              <w:t>≥8G 快速内存</w:t>
            </w:r>
          </w:p>
          <w:p>
            <w:pPr>
              <w:spacing w:line="240" w:lineRule="auto"/>
              <w:rPr>
                <w:rFonts w:ascii="仿宋" w:hAnsi="仿宋" w:cstheme="minorBidi"/>
              </w:rPr>
            </w:pPr>
            <w:r>
              <w:rPr>
                <w:rFonts w:hint="eastAsia" w:ascii="仿宋" w:hAnsi="仿宋" w:cstheme="minorBidi"/>
              </w:rPr>
              <w:t>≥21寸影像浏览界面</w:t>
            </w:r>
          </w:p>
        </w:tc>
      </w:tr>
      <w:tr>
        <w:tblPrEx>
          <w:tblCellMar>
            <w:top w:w="0" w:type="dxa"/>
            <w:left w:w="108" w:type="dxa"/>
            <w:bottom w:w="0" w:type="dxa"/>
            <w:right w:w="108" w:type="dxa"/>
          </w:tblCellMar>
        </w:tblPrEx>
        <w:trPr>
          <w:trHeight w:val="9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rPr>
            </w:pPr>
            <w:r>
              <w:rPr>
                <w:rFonts w:hint="eastAsia" w:ascii="仿宋" w:hAnsi="仿宋" w:cstheme="minorBidi"/>
              </w:rPr>
              <w:t>11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40" w:lineRule="auto"/>
              <w:rPr>
                <w:rFonts w:ascii="仿宋" w:hAnsi="仿宋" w:cstheme="minorBidi"/>
              </w:rPr>
            </w:pPr>
            <w:r>
              <w:rPr>
                <w:rFonts w:hint="eastAsia" w:ascii="仿宋" w:hAnsi="仿宋" w:cstheme="minorBidi"/>
              </w:rPr>
              <w:t>影像数据业务运行终端</w:t>
            </w:r>
          </w:p>
        </w:tc>
        <w:tc>
          <w:tcPr>
            <w:tcW w:w="0" w:type="auto"/>
            <w:tcBorders>
              <w:top w:val="single" w:color="000000" w:sz="8" w:space="0"/>
              <w:left w:val="nil"/>
              <w:bottom w:val="single" w:color="000000" w:sz="8" w:space="0"/>
              <w:right w:val="single" w:color="000000" w:sz="8" w:space="0"/>
            </w:tcBorders>
            <w:shd w:val="clear" w:color="auto" w:fill="auto"/>
          </w:tcPr>
          <w:p>
            <w:pPr>
              <w:spacing w:line="240" w:lineRule="auto"/>
              <w:rPr>
                <w:rFonts w:ascii="仿宋" w:hAnsi="仿宋" w:cstheme="minorBidi"/>
              </w:rPr>
            </w:pPr>
            <w:r>
              <w:rPr>
                <w:rFonts w:hint="eastAsia" w:ascii="仿宋" w:hAnsi="仿宋" w:cstheme="minorBidi"/>
              </w:rPr>
              <w:t>中央处理器≥8核*2</w:t>
            </w:r>
          </w:p>
          <w:p>
            <w:pPr>
              <w:spacing w:line="240" w:lineRule="auto"/>
              <w:rPr>
                <w:rFonts w:ascii="仿宋" w:hAnsi="仿宋" w:cstheme="minorBidi"/>
              </w:rPr>
            </w:pPr>
            <w:r>
              <w:rPr>
                <w:rFonts w:hint="eastAsia" w:ascii="仿宋" w:hAnsi="仿宋" w:cstheme="minorBidi"/>
              </w:rPr>
              <w:t>≥600GB 15K SAS*4 SAS热插拔硬盘，RAID5</w:t>
            </w:r>
          </w:p>
          <w:p>
            <w:pPr>
              <w:spacing w:line="240" w:lineRule="auto"/>
              <w:rPr>
                <w:rFonts w:ascii="仿宋" w:hAnsi="仿宋" w:cstheme="minorBidi"/>
              </w:rPr>
            </w:pPr>
            <w:r>
              <w:rPr>
                <w:rFonts w:hint="eastAsia" w:ascii="仿宋" w:hAnsi="仿宋" w:cstheme="minorBidi"/>
              </w:rPr>
              <w:t>内存≥64G（4*16G）</w:t>
            </w:r>
          </w:p>
          <w:p>
            <w:pPr>
              <w:spacing w:line="240" w:lineRule="auto"/>
              <w:rPr>
                <w:rFonts w:ascii="仿宋" w:hAnsi="仿宋" w:cstheme="minorBidi"/>
              </w:rPr>
            </w:pPr>
            <w:r>
              <w:rPr>
                <w:rFonts w:hint="eastAsia" w:ascii="仿宋" w:hAnsi="仿宋" w:cstheme="minorBidi"/>
              </w:rPr>
              <w:t>≥2*8G单口HBA卡</w:t>
            </w:r>
          </w:p>
        </w:tc>
      </w:tr>
      <w:tr>
        <w:tblPrEx>
          <w:tblCellMar>
            <w:top w:w="0" w:type="dxa"/>
            <w:left w:w="108" w:type="dxa"/>
            <w:bottom w:w="0" w:type="dxa"/>
            <w:right w:w="108" w:type="dxa"/>
          </w:tblCellMar>
        </w:tblPrEx>
        <w:trPr>
          <w:trHeight w:val="946"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rPr>
                <w:rFonts w:ascii="仿宋" w:hAnsi="仿宋" w:cstheme="minorBidi"/>
              </w:rPr>
            </w:pPr>
            <w:r>
              <w:rPr>
                <w:rFonts w:hint="eastAsia" w:ascii="仿宋" w:hAnsi="仿宋" w:cstheme="minorBidi"/>
              </w:rPr>
              <w:t>12</w:t>
            </w:r>
          </w:p>
        </w:tc>
        <w:tc>
          <w:tcPr>
            <w:tcW w:w="0" w:type="auto"/>
            <w:tcBorders>
              <w:top w:val="nil"/>
              <w:left w:val="single" w:color="000000" w:sz="8" w:space="0"/>
              <w:bottom w:val="single" w:color="000000" w:sz="8" w:space="0"/>
              <w:right w:val="single" w:color="000000" w:sz="8" w:space="0"/>
            </w:tcBorders>
            <w:shd w:val="clear" w:color="auto" w:fill="auto"/>
            <w:vAlign w:val="center"/>
          </w:tcPr>
          <w:p>
            <w:pPr>
              <w:spacing w:line="240" w:lineRule="auto"/>
              <w:rPr>
                <w:rFonts w:ascii="仿宋" w:hAnsi="仿宋" w:cstheme="minorBidi"/>
              </w:rPr>
            </w:pPr>
            <w:r>
              <w:rPr>
                <w:rFonts w:hint="eastAsia" w:ascii="仿宋" w:hAnsi="仿宋" w:cstheme="minorBidi"/>
              </w:rPr>
              <w:t>存储设备</w:t>
            </w:r>
          </w:p>
        </w:tc>
        <w:tc>
          <w:tcPr>
            <w:tcW w:w="0" w:type="auto"/>
            <w:tcBorders>
              <w:top w:val="nil"/>
              <w:left w:val="nil"/>
              <w:bottom w:val="single" w:color="000000" w:sz="8" w:space="0"/>
              <w:right w:val="single" w:color="000000" w:sz="8" w:space="0"/>
            </w:tcBorders>
            <w:shd w:val="clear" w:color="auto" w:fill="auto"/>
          </w:tcPr>
          <w:p>
            <w:pPr>
              <w:spacing w:line="240" w:lineRule="auto"/>
              <w:rPr>
                <w:rFonts w:ascii="仿宋" w:hAnsi="仿宋" w:cstheme="minorBidi"/>
              </w:rPr>
            </w:pPr>
            <w:r>
              <w:rPr>
                <w:rFonts w:hint="eastAsia" w:ascii="仿宋" w:hAnsi="仿宋" w:cstheme="minorBidi"/>
              </w:rPr>
              <w:t>控制器≥ 8GB缓存*2</w:t>
            </w:r>
          </w:p>
          <w:p>
            <w:pPr>
              <w:spacing w:line="240" w:lineRule="auto"/>
              <w:rPr>
                <w:rFonts w:ascii="仿宋" w:hAnsi="仿宋" w:cstheme="minorBidi"/>
              </w:rPr>
            </w:pPr>
            <w:r>
              <w:rPr>
                <w:rFonts w:hint="eastAsia" w:ascii="仿宋" w:hAnsi="仿宋" w:cstheme="minorBidi"/>
              </w:rPr>
              <w:t>容量≥36TB;</w:t>
            </w:r>
          </w:p>
          <w:p>
            <w:pPr>
              <w:spacing w:line="240" w:lineRule="auto"/>
              <w:rPr>
                <w:rFonts w:ascii="仿宋" w:hAnsi="仿宋" w:cstheme="minorBidi"/>
              </w:rPr>
            </w:pPr>
            <w:r>
              <w:rPr>
                <w:rFonts w:hint="eastAsia" w:ascii="仿宋" w:hAnsi="仿宋" w:cstheme="minorBidi"/>
              </w:rPr>
              <w:t>冗余电源</w:t>
            </w:r>
          </w:p>
        </w:tc>
      </w:tr>
    </w:tbl>
    <w:p>
      <w:pPr>
        <w:pStyle w:val="33"/>
        <w:ind w:firstLine="0" w:firstLineChars="0"/>
        <w:rPr>
          <w:rFonts w:ascii="仿宋" w:hAnsi="仿宋"/>
          <w:color w:val="auto"/>
        </w:rPr>
      </w:pPr>
    </w:p>
    <w:p>
      <w:pPr>
        <w:pStyle w:val="33"/>
        <w:ind w:firstLine="0" w:firstLineChars="0"/>
        <w:rPr>
          <w:rFonts w:ascii="仿宋" w:hAnsi="仿宋"/>
          <w:color w:val="auto"/>
        </w:rPr>
      </w:pPr>
    </w:p>
    <w:tbl>
      <w:tblPr>
        <w:tblStyle w:val="35"/>
        <w:tblW w:w="0" w:type="auto"/>
        <w:tblInd w:w="93" w:type="dxa"/>
        <w:tblLayout w:type="fixed"/>
        <w:tblCellMar>
          <w:top w:w="0" w:type="dxa"/>
          <w:left w:w="108" w:type="dxa"/>
          <w:bottom w:w="0" w:type="dxa"/>
          <w:right w:w="108" w:type="dxa"/>
        </w:tblCellMar>
      </w:tblPr>
      <w:tblGrid>
        <w:gridCol w:w="654"/>
        <w:gridCol w:w="1407"/>
        <w:gridCol w:w="7111"/>
      </w:tblGrid>
      <w:tr>
        <w:tblPrEx>
          <w:tblCellMar>
            <w:top w:w="0" w:type="dxa"/>
            <w:left w:w="108" w:type="dxa"/>
            <w:bottom w:w="0" w:type="dxa"/>
            <w:right w:w="108" w:type="dxa"/>
          </w:tblCellMar>
        </w:tblPrEx>
        <w:trPr>
          <w:trHeight w:val="496" w:hRule="atLeast"/>
        </w:trPr>
        <w:tc>
          <w:tcPr>
            <w:tcW w:w="9172" w:type="dxa"/>
            <w:gridSpan w:val="3"/>
            <w:tcBorders>
              <w:top w:val="single" w:color="000000" w:sz="8" w:space="0"/>
              <w:left w:val="single" w:color="000000" w:sz="8" w:space="0"/>
              <w:bottom w:val="nil"/>
              <w:right w:val="single" w:color="auto" w:sz="4" w:space="0"/>
            </w:tcBorders>
            <w:shd w:val="clear" w:color="auto" w:fill="auto"/>
            <w:noWrap/>
            <w:vAlign w:val="center"/>
          </w:tcPr>
          <w:p>
            <w:pPr>
              <w:widowControl/>
              <w:textAlignment w:val="center"/>
              <w:rPr>
                <w:rFonts w:ascii="仿宋" w:hAnsi="仿宋" w:cs="宋体"/>
                <w:b/>
                <w:bCs/>
                <w:sz w:val="32"/>
                <w:szCs w:val="32"/>
              </w:rPr>
            </w:pPr>
            <w:r>
              <w:rPr>
                <w:rFonts w:hint="eastAsia" w:ascii="仿宋" w:hAnsi="仿宋" w:cs="宋体"/>
                <w:b/>
                <w:bCs/>
                <w:kern w:val="0"/>
                <w:lang w:bidi="ar"/>
              </w:rPr>
              <w:t>会议语音系统硬件要求</w:t>
            </w:r>
            <w:r>
              <w:rPr>
                <w:rFonts w:hint="eastAsia" w:ascii="仿宋" w:hAnsi="仿宋"/>
              </w:rPr>
              <w:t>（一般条款的总数量为5条）</w:t>
            </w:r>
          </w:p>
        </w:tc>
      </w:tr>
      <w:tr>
        <w:tblPrEx>
          <w:tblCellMar>
            <w:top w:w="0" w:type="dxa"/>
            <w:left w:w="108" w:type="dxa"/>
            <w:bottom w:w="0" w:type="dxa"/>
            <w:right w:w="108" w:type="dxa"/>
          </w:tblCellMar>
        </w:tblPrEx>
        <w:trPr>
          <w:trHeight w:val="285" w:hRule="atLeast"/>
        </w:trPr>
        <w:tc>
          <w:tcPr>
            <w:tcW w:w="65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 w:hAnsi="仿宋" w:cs="宋体"/>
                <w:b/>
                <w:bCs/>
                <w:sz w:val="22"/>
                <w:szCs w:val="22"/>
              </w:rPr>
            </w:pPr>
            <w:r>
              <w:rPr>
                <w:rFonts w:hint="eastAsia" w:ascii="仿宋" w:hAnsi="仿宋" w:cs="宋体"/>
                <w:b/>
                <w:bCs/>
                <w:kern w:val="0"/>
                <w:sz w:val="22"/>
                <w:szCs w:val="22"/>
                <w:lang w:bidi="ar"/>
              </w:rPr>
              <w:t>序号</w:t>
            </w:r>
          </w:p>
        </w:tc>
        <w:tc>
          <w:tcPr>
            <w:tcW w:w="140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 w:hAnsi="仿宋" w:cs="宋体"/>
                <w:b/>
                <w:bCs/>
                <w:sz w:val="22"/>
                <w:szCs w:val="22"/>
              </w:rPr>
            </w:pPr>
            <w:r>
              <w:rPr>
                <w:rFonts w:hint="eastAsia" w:ascii="仿宋" w:hAnsi="仿宋" w:cs="宋体"/>
                <w:b/>
                <w:bCs/>
                <w:kern w:val="0"/>
                <w:sz w:val="22"/>
                <w:szCs w:val="22"/>
                <w:lang w:bidi="ar"/>
              </w:rPr>
              <w:t>名称</w:t>
            </w:r>
          </w:p>
        </w:tc>
        <w:tc>
          <w:tcPr>
            <w:tcW w:w="7111" w:type="dxa"/>
            <w:tcBorders>
              <w:top w:val="single" w:color="000000" w:sz="8" w:space="0"/>
              <w:left w:val="single" w:color="000000" w:sz="8" w:space="0"/>
              <w:bottom w:val="single" w:color="000000" w:sz="8" w:space="0"/>
              <w:right w:val="single" w:color="auto" w:sz="4" w:space="0"/>
            </w:tcBorders>
            <w:shd w:val="clear" w:color="auto" w:fill="auto"/>
            <w:noWrap/>
            <w:vAlign w:val="center"/>
          </w:tcPr>
          <w:p>
            <w:pPr>
              <w:widowControl/>
              <w:jc w:val="center"/>
              <w:textAlignment w:val="center"/>
              <w:rPr>
                <w:rFonts w:ascii="仿宋" w:hAnsi="仿宋" w:cs="宋体"/>
                <w:b/>
                <w:bCs/>
                <w:sz w:val="22"/>
                <w:szCs w:val="22"/>
              </w:rPr>
            </w:pPr>
            <w:r>
              <w:rPr>
                <w:rFonts w:hint="eastAsia" w:ascii="仿宋" w:hAnsi="仿宋" w:cs="宋体"/>
                <w:b/>
                <w:bCs/>
                <w:kern w:val="0"/>
                <w:sz w:val="22"/>
                <w:szCs w:val="22"/>
                <w:lang w:bidi="ar"/>
              </w:rPr>
              <w:t>参数</w:t>
            </w:r>
          </w:p>
        </w:tc>
      </w:tr>
      <w:tr>
        <w:tblPrEx>
          <w:tblCellMar>
            <w:top w:w="0" w:type="dxa"/>
            <w:left w:w="108" w:type="dxa"/>
            <w:bottom w:w="0" w:type="dxa"/>
            <w:right w:w="108" w:type="dxa"/>
          </w:tblCellMar>
        </w:tblPrEx>
        <w:trPr>
          <w:trHeight w:val="90" w:hRule="atLeast"/>
        </w:trPr>
        <w:tc>
          <w:tcPr>
            <w:tcW w:w="654"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 w:hAnsi="仿宋" w:cs="Calibri"/>
                <w:szCs w:val="21"/>
              </w:rPr>
            </w:pPr>
            <w:r>
              <w:rPr>
                <w:rFonts w:ascii="仿宋" w:hAnsi="仿宋" w:cs="Calibri"/>
                <w:kern w:val="0"/>
                <w:szCs w:val="21"/>
                <w:lang w:bidi="ar"/>
              </w:rPr>
              <w:t>1</w:t>
            </w:r>
          </w:p>
        </w:tc>
        <w:tc>
          <w:tcPr>
            <w:tcW w:w="140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cs="宋体"/>
                <w:szCs w:val="21"/>
              </w:rPr>
            </w:pPr>
            <w:r>
              <w:rPr>
                <w:rFonts w:hint="eastAsia" w:ascii="仿宋" w:hAnsi="仿宋" w:cs="宋体"/>
                <w:kern w:val="0"/>
                <w:szCs w:val="21"/>
                <w:lang w:bidi="ar"/>
              </w:rPr>
              <w:t>音响</w:t>
            </w:r>
          </w:p>
        </w:tc>
        <w:tc>
          <w:tcPr>
            <w:tcW w:w="7111" w:type="dxa"/>
            <w:tcBorders>
              <w:top w:val="nil"/>
              <w:left w:val="nil"/>
              <w:bottom w:val="single" w:color="000000" w:sz="8" w:space="0"/>
              <w:right w:val="single" w:color="000000" w:sz="8" w:space="0"/>
            </w:tcBorders>
            <w:shd w:val="clear" w:color="auto" w:fill="auto"/>
          </w:tcPr>
          <w:p>
            <w:pPr>
              <w:widowControl/>
              <w:textAlignment w:val="top"/>
              <w:rPr>
                <w:rFonts w:ascii="仿宋" w:hAnsi="仿宋" w:cs="Calibri"/>
                <w:szCs w:val="21"/>
              </w:rPr>
            </w:pPr>
            <w:r>
              <w:rPr>
                <w:rFonts w:ascii="仿宋" w:hAnsi="仿宋" w:cs="Calibri"/>
                <w:kern w:val="0"/>
                <w:szCs w:val="21"/>
                <w:lang w:bidi="ar"/>
              </w:rPr>
              <w:t>传感器：8×2”（50mm）钕磁驱动</w:t>
            </w:r>
            <w:r>
              <w:rPr>
                <w:rFonts w:ascii="仿宋" w:hAnsi="仿宋" w:cs="Calibri"/>
                <w:kern w:val="0"/>
                <w:szCs w:val="21"/>
                <w:lang w:bidi="ar"/>
              </w:rPr>
              <w:br w:type="textWrapping"/>
            </w:r>
            <w:r>
              <w:rPr>
                <w:rFonts w:ascii="仿宋" w:hAnsi="仿宋" w:cs="Calibri"/>
                <w:kern w:val="0"/>
                <w:szCs w:val="21"/>
                <w:lang w:bidi="ar"/>
              </w:rPr>
              <w:t xml:space="preserve">频率响应：至少包含160Hz~18KHz. </w:t>
            </w:r>
            <w:r>
              <w:rPr>
                <w:rFonts w:ascii="仿宋" w:hAnsi="仿宋" w:cs="Calibri"/>
                <w:kern w:val="0"/>
                <w:szCs w:val="21"/>
                <w:lang w:bidi="ar"/>
              </w:rPr>
              <w:br w:type="textWrapping"/>
            </w:r>
            <w:r>
              <w:rPr>
                <w:rFonts w:ascii="仿宋" w:hAnsi="仿宋" w:cs="Calibri"/>
                <w:kern w:val="0"/>
                <w:szCs w:val="21"/>
                <w:lang w:bidi="ar"/>
              </w:rPr>
              <w:t>灵敏度</w:t>
            </w:r>
            <w:r>
              <w:rPr>
                <w:rFonts w:hint="eastAsia" w:ascii="仿宋" w:hAnsi="仿宋" w:cstheme="minorBidi"/>
              </w:rPr>
              <w:t>≥</w:t>
            </w:r>
            <w:r>
              <w:rPr>
                <w:rFonts w:ascii="仿宋" w:hAnsi="仿宋" w:cs="Calibri"/>
                <w:kern w:val="0"/>
                <w:szCs w:val="21"/>
                <w:lang w:bidi="ar"/>
              </w:rPr>
              <w:t>92dB .</w:t>
            </w:r>
          </w:p>
        </w:tc>
      </w:tr>
      <w:tr>
        <w:tblPrEx>
          <w:tblCellMar>
            <w:top w:w="0" w:type="dxa"/>
            <w:left w:w="108" w:type="dxa"/>
            <w:bottom w:w="0" w:type="dxa"/>
            <w:right w:w="108" w:type="dxa"/>
          </w:tblCellMar>
        </w:tblPrEx>
        <w:trPr>
          <w:trHeight w:val="300" w:hRule="atLeast"/>
        </w:trPr>
        <w:tc>
          <w:tcPr>
            <w:tcW w:w="654"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 w:hAnsi="仿宋" w:cs="Calibri"/>
                <w:szCs w:val="21"/>
              </w:rPr>
            </w:pPr>
            <w:r>
              <w:rPr>
                <w:rFonts w:ascii="仿宋" w:hAnsi="仿宋" w:cs="Calibri"/>
                <w:kern w:val="0"/>
                <w:szCs w:val="21"/>
                <w:lang w:bidi="ar"/>
              </w:rPr>
              <w:t>2</w:t>
            </w:r>
          </w:p>
        </w:tc>
        <w:tc>
          <w:tcPr>
            <w:tcW w:w="140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cs="宋体"/>
                <w:szCs w:val="21"/>
              </w:rPr>
            </w:pPr>
            <w:r>
              <w:rPr>
                <w:rFonts w:hint="eastAsia" w:ascii="仿宋" w:hAnsi="仿宋" w:cs="宋体"/>
                <w:kern w:val="0"/>
                <w:szCs w:val="21"/>
                <w:lang w:bidi="ar"/>
              </w:rPr>
              <w:t>功放</w:t>
            </w:r>
          </w:p>
        </w:tc>
        <w:tc>
          <w:tcPr>
            <w:tcW w:w="7111" w:type="dxa"/>
            <w:tcBorders>
              <w:top w:val="nil"/>
              <w:left w:val="nil"/>
              <w:bottom w:val="single" w:color="000000" w:sz="8" w:space="0"/>
              <w:right w:val="single" w:color="000000" w:sz="8" w:space="0"/>
            </w:tcBorders>
            <w:shd w:val="clear" w:color="auto" w:fill="auto"/>
          </w:tcPr>
          <w:p>
            <w:pPr>
              <w:widowControl/>
              <w:textAlignment w:val="top"/>
              <w:rPr>
                <w:rFonts w:ascii="仿宋" w:hAnsi="仿宋" w:cs="Calibri"/>
                <w:szCs w:val="21"/>
              </w:rPr>
            </w:pPr>
            <w:r>
              <w:rPr>
                <w:rFonts w:hint="eastAsia" w:ascii="仿宋" w:hAnsi="仿宋" w:cstheme="minorBidi"/>
              </w:rPr>
              <w:t>≥</w:t>
            </w:r>
            <w:r>
              <w:rPr>
                <w:rFonts w:ascii="仿宋" w:hAnsi="仿宋" w:cs="Calibri"/>
                <w:kern w:val="0"/>
                <w:szCs w:val="21"/>
                <w:lang w:bidi="ar"/>
              </w:rPr>
              <w:t>300W×2 /8Ω桥接；内置：短路、过热、电涌、低电压、高频、开关机静音、失真限制等保护设置。</w:t>
            </w:r>
          </w:p>
        </w:tc>
      </w:tr>
      <w:tr>
        <w:tblPrEx>
          <w:tblCellMar>
            <w:top w:w="0" w:type="dxa"/>
            <w:left w:w="108" w:type="dxa"/>
            <w:bottom w:w="0" w:type="dxa"/>
            <w:right w:w="108" w:type="dxa"/>
          </w:tblCellMar>
        </w:tblPrEx>
        <w:trPr>
          <w:trHeight w:val="1056" w:hRule="atLeast"/>
        </w:trPr>
        <w:tc>
          <w:tcPr>
            <w:tcW w:w="654"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 w:hAnsi="仿宋" w:cs="Calibri"/>
                <w:szCs w:val="21"/>
              </w:rPr>
            </w:pPr>
            <w:r>
              <w:rPr>
                <w:rFonts w:ascii="仿宋" w:hAnsi="仿宋" w:cs="Calibri"/>
                <w:kern w:val="0"/>
                <w:szCs w:val="21"/>
                <w:lang w:bidi="ar"/>
              </w:rPr>
              <w:t>3</w:t>
            </w:r>
          </w:p>
        </w:tc>
        <w:tc>
          <w:tcPr>
            <w:tcW w:w="140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cs="宋体"/>
                <w:szCs w:val="21"/>
              </w:rPr>
            </w:pPr>
            <w:r>
              <w:rPr>
                <w:rFonts w:hint="eastAsia" w:ascii="仿宋" w:hAnsi="仿宋" w:cs="宋体"/>
                <w:kern w:val="0"/>
                <w:szCs w:val="21"/>
                <w:lang w:bidi="ar"/>
              </w:rPr>
              <w:t>调音台</w:t>
            </w:r>
          </w:p>
        </w:tc>
        <w:tc>
          <w:tcPr>
            <w:tcW w:w="7111" w:type="dxa"/>
            <w:tcBorders>
              <w:top w:val="nil"/>
              <w:left w:val="nil"/>
              <w:bottom w:val="single" w:color="000000" w:sz="8" w:space="0"/>
              <w:right w:val="single" w:color="000000" w:sz="8" w:space="0"/>
            </w:tcBorders>
            <w:shd w:val="clear" w:color="auto" w:fill="auto"/>
          </w:tcPr>
          <w:p>
            <w:pPr>
              <w:widowControl/>
              <w:textAlignment w:val="top"/>
              <w:rPr>
                <w:rFonts w:ascii="仿宋" w:hAnsi="仿宋" w:cs="Calibri"/>
                <w:szCs w:val="21"/>
              </w:rPr>
            </w:pPr>
            <w:r>
              <w:rPr>
                <w:rFonts w:ascii="仿宋" w:hAnsi="仿宋" w:cs="Calibri"/>
                <w:kern w:val="0"/>
                <w:szCs w:val="21"/>
                <w:lang w:bidi="ar"/>
              </w:rPr>
              <w:t>模拟调音台，低噪音；</w:t>
            </w:r>
            <w:r>
              <w:rPr>
                <w:rFonts w:ascii="仿宋" w:hAnsi="仿宋" w:cs="Calibri"/>
                <w:kern w:val="0"/>
                <w:szCs w:val="21"/>
                <w:lang w:bidi="ar"/>
              </w:rPr>
              <w:br w:type="textWrapping"/>
            </w:r>
            <w:r>
              <w:rPr>
                <w:rFonts w:hint="eastAsia" w:ascii="仿宋" w:hAnsi="仿宋" w:cstheme="minorBidi"/>
              </w:rPr>
              <w:t>≥</w:t>
            </w:r>
            <w:r>
              <w:rPr>
                <w:rFonts w:ascii="仿宋" w:hAnsi="仿宋" w:cs="Calibri"/>
                <w:kern w:val="0"/>
                <w:szCs w:val="21"/>
                <w:lang w:bidi="ar"/>
              </w:rPr>
              <w:t>2组立体声输入，</w:t>
            </w:r>
            <w:r>
              <w:rPr>
                <w:rFonts w:hint="eastAsia" w:ascii="仿宋" w:hAnsi="仿宋" w:cstheme="minorBidi"/>
              </w:rPr>
              <w:t>≥</w:t>
            </w:r>
            <w:r>
              <w:rPr>
                <w:rFonts w:ascii="仿宋" w:hAnsi="仿宋" w:cs="Calibri"/>
                <w:kern w:val="0"/>
                <w:szCs w:val="21"/>
                <w:lang w:bidi="ar"/>
              </w:rPr>
              <w:t>2声轨录音输入和输出</w:t>
            </w:r>
            <w:r>
              <w:rPr>
                <w:rFonts w:ascii="仿宋" w:hAnsi="仿宋" w:cs="Calibri"/>
                <w:kern w:val="0"/>
                <w:szCs w:val="21"/>
                <w:lang w:bidi="ar"/>
              </w:rPr>
              <w:br w:type="textWrapping"/>
            </w:r>
            <w:r>
              <w:rPr>
                <w:rFonts w:hint="eastAsia" w:ascii="仿宋" w:hAnsi="仿宋" w:cstheme="minorBidi"/>
              </w:rPr>
              <w:t>≥</w:t>
            </w:r>
            <w:r>
              <w:rPr>
                <w:rFonts w:ascii="仿宋" w:hAnsi="仿宋" w:cs="Calibri"/>
                <w:kern w:val="0"/>
                <w:szCs w:val="21"/>
                <w:lang w:bidi="ar"/>
              </w:rPr>
              <w:t>2辅助发送/返回，</w:t>
            </w:r>
            <w:r>
              <w:rPr>
                <w:rFonts w:hint="eastAsia" w:ascii="仿宋" w:hAnsi="仿宋" w:cstheme="minorBidi"/>
              </w:rPr>
              <w:t>≥</w:t>
            </w:r>
            <w:r>
              <w:rPr>
                <w:rFonts w:ascii="仿宋" w:hAnsi="仿宋" w:cs="Calibri"/>
                <w:kern w:val="0"/>
                <w:szCs w:val="21"/>
                <w:lang w:bidi="ar"/>
              </w:rPr>
              <w:t>2主通道/2编组输出；</w:t>
            </w:r>
          </w:p>
        </w:tc>
      </w:tr>
      <w:tr>
        <w:tblPrEx>
          <w:tblCellMar>
            <w:top w:w="0" w:type="dxa"/>
            <w:left w:w="108" w:type="dxa"/>
            <w:bottom w:w="0" w:type="dxa"/>
            <w:right w:w="108" w:type="dxa"/>
          </w:tblCellMar>
        </w:tblPrEx>
        <w:trPr>
          <w:trHeight w:val="1001" w:hRule="atLeast"/>
        </w:trPr>
        <w:tc>
          <w:tcPr>
            <w:tcW w:w="654"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 w:hAnsi="仿宋" w:cs="Calibri"/>
                <w:szCs w:val="21"/>
              </w:rPr>
            </w:pPr>
            <w:r>
              <w:rPr>
                <w:rFonts w:ascii="仿宋" w:hAnsi="仿宋" w:cs="Calibri"/>
                <w:kern w:val="0"/>
                <w:szCs w:val="21"/>
                <w:lang w:bidi="ar"/>
              </w:rPr>
              <w:t>4</w:t>
            </w:r>
          </w:p>
        </w:tc>
        <w:tc>
          <w:tcPr>
            <w:tcW w:w="140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cs="宋体"/>
                <w:szCs w:val="21"/>
              </w:rPr>
            </w:pPr>
            <w:r>
              <w:rPr>
                <w:rFonts w:hint="eastAsia" w:ascii="仿宋" w:hAnsi="仿宋" w:cs="宋体"/>
                <w:kern w:val="0"/>
                <w:szCs w:val="21"/>
                <w:lang w:bidi="ar"/>
              </w:rPr>
              <w:t>返回抑制器</w:t>
            </w:r>
          </w:p>
        </w:tc>
        <w:tc>
          <w:tcPr>
            <w:tcW w:w="7111" w:type="dxa"/>
            <w:tcBorders>
              <w:top w:val="nil"/>
              <w:left w:val="nil"/>
              <w:bottom w:val="single" w:color="000000" w:sz="8" w:space="0"/>
              <w:right w:val="single" w:color="000000" w:sz="8" w:space="0"/>
            </w:tcBorders>
            <w:shd w:val="clear" w:color="auto" w:fill="auto"/>
          </w:tcPr>
          <w:p>
            <w:pPr>
              <w:widowControl/>
              <w:textAlignment w:val="top"/>
              <w:rPr>
                <w:rFonts w:ascii="仿宋" w:hAnsi="仿宋" w:cs="Calibri"/>
                <w:szCs w:val="21"/>
              </w:rPr>
            </w:pPr>
            <w:r>
              <w:rPr>
                <w:rFonts w:hint="eastAsia" w:ascii="仿宋" w:hAnsi="仿宋" w:cstheme="minorBidi"/>
              </w:rPr>
              <w:t>≥</w:t>
            </w:r>
            <w:r>
              <w:rPr>
                <w:rFonts w:ascii="仿宋" w:hAnsi="仿宋" w:cs="Calibri"/>
                <w:kern w:val="0"/>
                <w:szCs w:val="21"/>
                <w:lang w:bidi="ar"/>
              </w:rPr>
              <w:t>24-bit高性能DSP处理</w:t>
            </w:r>
            <w:r>
              <w:rPr>
                <w:rFonts w:ascii="仿宋" w:hAnsi="仿宋" w:cs="Calibri"/>
                <w:kern w:val="0"/>
                <w:szCs w:val="21"/>
                <w:lang w:bidi="ar"/>
              </w:rPr>
              <w:br w:type="textWrapping"/>
            </w:r>
            <w:r>
              <w:rPr>
                <w:rFonts w:ascii="仿宋" w:hAnsi="仿宋" w:cs="Calibri"/>
                <w:kern w:val="0"/>
                <w:szCs w:val="21"/>
                <w:lang w:bidi="ar"/>
              </w:rPr>
              <w:t>每个滤波器均有单点、自动、手动3种工作模式</w:t>
            </w:r>
            <w:r>
              <w:rPr>
                <w:rFonts w:ascii="仿宋" w:hAnsi="仿宋" w:cs="Calibri"/>
                <w:kern w:val="0"/>
                <w:szCs w:val="21"/>
                <w:lang w:bidi="ar"/>
              </w:rPr>
              <w:br w:type="textWrapping"/>
            </w:r>
            <w:r>
              <w:rPr>
                <w:rFonts w:ascii="仿宋" w:hAnsi="仿宋" w:cs="Calibri"/>
                <w:kern w:val="0"/>
                <w:szCs w:val="21"/>
                <w:lang w:bidi="ar"/>
              </w:rPr>
              <w:t>单点模式自动搜寻并处理和锁定滤波，直到手动复位或重新设置</w:t>
            </w:r>
          </w:p>
        </w:tc>
      </w:tr>
      <w:tr>
        <w:tblPrEx>
          <w:tblCellMar>
            <w:top w:w="0" w:type="dxa"/>
            <w:left w:w="108" w:type="dxa"/>
            <w:bottom w:w="0" w:type="dxa"/>
            <w:right w:w="108" w:type="dxa"/>
          </w:tblCellMar>
        </w:tblPrEx>
        <w:trPr>
          <w:trHeight w:val="703" w:hRule="atLeast"/>
        </w:trPr>
        <w:tc>
          <w:tcPr>
            <w:tcW w:w="654"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 w:hAnsi="仿宋" w:cs="Calibri"/>
                <w:szCs w:val="21"/>
              </w:rPr>
            </w:pPr>
            <w:r>
              <w:rPr>
                <w:rFonts w:ascii="仿宋" w:hAnsi="仿宋" w:cs="Calibri"/>
                <w:kern w:val="0"/>
                <w:szCs w:val="21"/>
                <w:lang w:bidi="ar"/>
              </w:rPr>
              <w:t>5</w:t>
            </w:r>
          </w:p>
        </w:tc>
        <w:tc>
          <w:tcPr>
            <w:tcW w:w="140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仿宋" w:hAnsi="仿宋" w:cs="宋体"/>
                <w:szCs w:val="21"/>
              </w:rPr>
            </w:pPr>
            <w:r>
              <w:rPr>
                <w:rFonts w:hint="eastAsia" w:ascii="仿宋" w:hAnsi="仿宋" w:cs="宋体"/>
                <w:kern w:val="0"/>
                <w:szCs w:val="21"/>
                <w:lang w:bidi="ar"/>
              </w:rPr>
              <w:t>电影时序器</w:t>
            </w:r>
          </w:p>
        </w:tc>
        <w:tc>
          <w:tcPr>
            <w:tcW w:w="7111" w:type="dxa"/>
            <w:tcBorders>
              <w:top w:val="nil"/>
              <w:left w:val="nil"/>
              <w:bottom w:val="single" w:color="000000" w:sz="8" w:space="0"/>
              <w:right w:val="single" w:color="000000" w:sz="8" w:space="0"/>
            </w:tcBorders>
            <w:shd w:val="clear" w:color="auto" w:fill="auto"/>
          </w:tcPr>
          <w:p>
            <w:pPr>
              <w:widowControl/>
              <w:textAlignment w:val="top"/>
              <w:rPr>
                <w:rFonts w:ascii="仿宋" w:hAnsi="仿宋" w:cs="Calibri"/>
                <w:szCs w:val="21"/>
              </w:rPr>
            </w:pPr>
            <w:r>
              <w:rPr>
                <w:rFonts w:ascii="仿宋" w:hAnsi="仿宋" w:cs="Calibri"/>
                <w:kern w:val="0"/>
                <w:szCs w:val="21"/>
                <w:lang w:bidi="ar"/>
              </w:rPr>
              <w:t>不低于8路受控+2路直通电源时序器，顺序开关设备电源</w:t>
            </w:r>
            <w:r>
              <w:rPr>
                <w:rFonts w:hint="eastAsia" w:ascii="仿宋" w:hAnsi="仿宋" w:cs="Calibri"/>
                <w:kern w:val="0"/>
                <w:szCs w:val="21"/>
                <w:lang w:bidi="ar"/>
              </w:rPr>
              <w:t>。</w:t>
            </w:r>
          </w:p>
        </w:tc>
      </w:tr>
    </w:tbl>
    <w:p>
      <w:pPr>
        <w:rPr>
          <w:rFonts w:ascii="仿宋" w:hAnsi="仿宋"/>
          <w:szCs w:val="21"/>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1245"/>
        <w:gridCol w:w="7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070" w:type="dxa"/>
            <w:gridSpan w:val="3"/>
            <w:shd w:val="clear" w:color="auto" w:fill="auto"/>
            <w:vAlign w:val="center"/>
          </w:tcPr>
          <w:p>
            <w:pPr>
              <w:spacing w:line="240" w:lineRule="auto"/>
              <w:rPr>
                <w:rFonts w:ascii="仿宋" w:hAnsi="仿宋" w:cstheme="minorBidi"/>
              </w:rPr>
            </w:pPr>
            <w:r>
              <w:rPr>
                <w:rFonts w:hint="eastAsia" w:ascii="仿宋" w:hAnsi="仿宋" w:cstheme="minorBidi"/>
                <w:b/>
                <w:bCs/>
              </w:rPr>
              <w:t>高分辨转播设备（核心产品）</w:t>
            </w:r>
            <w:r>
              <w:rPr>
                <w:rFonts w:hint="eastAsia" w:ascii="仿宋" w:hAnsi="仿宋"/>
              </w:rPr>
              <w:t>（一般条款的总数量为1条，</w:t>
            </w:r>
            <w:r>
              <w:rPr>
                <w:rFonts w:hint="eastAsia" w:ascii="仿宋" w:hAnsi="仿宋"/>
                <w:lang w:val="en-US" w:eastAsia="zh-CN"/>
              </w:rPr>
              <w:t>即</w:t>
            </w:r>
            <w:r>
              <w:rPr>
                <w:rFonts w:hint="eastAsia"/>
              </w:rPr>
              <w:t>该产品</w:t>
            </w:r>
            <w:r>
              <w:rPr>
                <w:rFonts w:hint="eastAsia" w:ascii="仿宋" w:hAnsi="仿宋"/>
              </w:rPr>
              <w:t>技术参数、功能要求中所有非“</w:t>
            </w:r>
            <w:r>
              <w:rPr>
                <w:rFonts w:hint="eastAsia" w:ascii="仿宋" w:hAnsi="仿宋" w:cstheme="minorBidi"/>
              </w:rPr>
              <w:t>▲</w:t>
            </w:r>
            <w:r>
              <w:rPr>
                <w:rFonts w:hint="eastAsia" w:ascii="仿宋" w:hAnsi="仿宋"/>
              </w:rPr>
              <w:t>”的一般条款作为</w:t>
            </w:r>
            <w:r>
              <w:rPr>
                <w:rFonts w:hint="eastAsia" w:ascii="仿宋" w:hAnsi="仿宋"/>
                <w:lang w:val="en-US" w:eastAsia="zh-CN"/>
              </w:rPr>
              <w:t>1</w:t>
            </w:r>
            <w:r>
              <w:rPr>
                <w:rFonts w:hint="eastAsia" w:ascii="仿宋" w:hAnsi="仿宋"/>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7" w:hRule="atLeast"/>
          <w:jc w:val="center"/>
        </w:trPr>
        <w:tc>
          <w:tcPr>
            <w:tcW w:w="0" w:type="auto"/>
            <w:shd w:val="clear" w:color="auto" w:fill="auto"/>
            <w:vAlign w:val="center"/>
          </w:tcPr>
          <w:p>
            <w:pPr>
              <w:spacing w:line="240" w:lineRule="auto"/>
              <w:rPr>
                <w:rFonts w:ascii="仿宋" w:hAnsi="仿宋" w:cstheme="minorBidi"/>
                <w:b/>
                <w:bCs/>
              </w:rPr>
            </w:pPr>
            <w:r>
              <w:rPr>
                <w:rFonts w:hint="eastAsia" w:ascii="仿宋" w:hAnsi="仿宋" w:cstheme="minorBidi"/>
                <w:b/>
                <w:bCs/>
              </w:rPr>
              <w:t>序号</w:t>
            </w:r>
          </w:p>
        </w:tc>
        <w:tc>
          <w:tcPr>
            <w:tcW w:w="0" w:type="auto"/>
            <w:shd w:val="clear" w:color="auto" w:fill="auto"/>
            <w:vAlign w:val="center"/>
          </w:tcPr>
          <w:p>
            <w:pPr>
              <w:spacing w:line="240" w:lineRule="auto"/>
              <w:rPr>
                <w:rFonts w:ascii="仿宋" w:hAnsi="仿宋" w:cstheme="minorBidi"/>
                <w:b/>
                <w:bCs/>
              </w:rPr>
            </w:pPr>
            <w:r>
              <w:rPr>
                <w:rFonts w:hint="eastAsia" w:ascii="仿宋" w:hAnsi="仿宋" w:cstheme="minorBidi"/>
                <w:b/>
                <w:bCs/>
              </w:rPr>
              <w:t>项目</w:t>
            </w:r>
          </w:p>
        </w:tc>
        <w:tc>
          <w:tcPr>
            <w:tcW w:w="0" w:type="auto"/>
            <w:shd w:val="clear" w:color="auto" w:fill="auto"/>
            <w:vAlign w:val="center"/>
          </w:tcPr>
          <w:p>
            <w:pPr>
              <w:spacing w:line="240" w:lineRule="auto"/>
              <w:rPr>
                <w:rFonts w:ascii="仿宋" w:hAnsi="仿宋" w:cstheme="minorBidi"/>
                <w:b/>
                <w:bCs/>
              </w:rPr>
            </w:pPr>
            <w:r>
              <w:rPr>
                <w:rFonts w:hint="eastAsia" w:ascii="仿宋" w:hAnsi="仿宋" w:cstheme="minorBidi"/>
                <w:b/>
                <w:bCs/>
              </w:rPr>
              <w:t>技术参数、功能要求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0" w:type="auto"/>
            <w:vAlign w:val="center"/>
          </w:tcPr>
          <w:p>
            <w:pPr>
              <w:spacing w:line="240" w:lineRule="auto"/>
              <w:jc w:val="center"/>
              <w:rPr>
                <w:rFonts w:ascii="仿宋" w:hAnsi="仿宋" w:cstheme="minorBidi"/>
              </w:rPr>
            </w:pPr>
            <w:r>
              <w:rPr>
                <w:rFonts w:hint="eastAsia" w:ascii="仿宋" w:hAnsi="仿宋" w:cstheme="minorBidi"/>
              </w:rPr>
              <w:t>1</w:t>
            </w:r>
          </w:p>
        </w:tc>
        <w:tc>
          <w:tcPr>
            <w:tcW w:w="0" w:type="auto"/>
            <w:vAlign w:val="center"/>
          </w:tcPr>
          <w:p>
            <w:pPr>
              <w:spacing w:line="240" w:lineRule="auto"/>
              <w:rPr>
                <w:rFonts w:ascii="仿宋" w:hAnsi="仿宋" w:cstheme="minorBidi"/>
              </w:rPr>
            </w:pPr>
            <w:r>
              <w:rPr>
                <w:rFonts w:hint="eastAsia" w:ascii="仿宋" w:hAnsi="仿宋" w:cstheme="minorBidi"/>
              </w:rPr>
              <w:t>高分辨率转播全彩显示屏</w:t>
            </w:r>
          </w:p>
        </w:tc>
        <w:tc>
          <w:tcPr>
            <w:tcW w:w="0" w:type="auto"/>
          </w:tcPr>
          <w:p>
            <w:pPr>
              <w:spacing w:line="240" w:lineRule="auto"/>
              <w:rPr>
                <w:rFonts w:ascii="仿宋" w:hAnsi="仿宋" w:cstheme="minorBidi"/>
              </w:rPr>
            </w:pPr>
            <w:r>
              <w:rPr>
                <w:rFonts w:hint="eastAsia" w:ascii="仿宋" w:hAnsi="仿宋" w:cstheme="minorBidi"/>
              </w:rPr>
              <w:t>▲1.像素间距：≤1.86mm；</w:t>
            </w:r>
          </w:p>
          <w:p>
            <w:pPr>
              <w:spacing w:line="240" w:lineRule="auto"/>
              <w:rPr>
                <w:rFonts w:ascii="仿宋" w:hAnsi="仿宋" w:cstheme="minorBidi"/>
              </w:rPr>
            </w:pPr>
            <w:r>
              <w:rPr>
                <w:rFonts w:hint="eastAsia" w:ascii="仿宋" w:hAnsi="仿宋" w:cstheme="minorBidi"/>
              </w:rPr>
              <w:t>▲2.显示尺寸：≥3.84m×2.08m=</w:t>
            </w:r>
            <w:r>
              <w:rPr>
                <w:rFonts w:ascii="仿宋" w:hAnsi="仿宋" w:cstheme="minorBidi"/>
              </w:rPr>
              <w:t>7.98</w:t>
            </w:r>
            <w:r>
              <w:rPr>
                <w:rFonts w:hint="eastAsia" w:ascii="仿宋" w:hAnsi="仿宋" w:cstheme="minorBidi"/>
              </w:rPr>
              <w:t>㎡；显示分辨率：≥1892×1032=1952544，根据自身产品尺寸进行拼接，显示屏尺寸长高、分辨率均不得小于规定要求；</w:t>
            </w:r>
          </w:p>
          <w:p>
            <w:pPr>
              <w:spacing w:line="240" w:lineRule="auto"/>
              <w:rPr>
                <w:rFonts w:ascii="仿宋" w:hAnsi="仿宋" w:cstheme="minorBidi"/>
              </w:rPr>
            </w:pPr>
            <w:r>
              <w:rPr>
                <w:rFonts w:hint="eastAsia" w:ascii="仿宋" w:hAnsi="仿宋" w:cstheme="minorBidi"/>
              </w:rPr>
              <w:t>3.白屏亮度≥740cd/m</w:t>
            </w:r>
            <w:r>
              <w:rPr>
                <w:rFonts w:hint="eastAsia" w:ascii="宋体" w:hAnsi="宋体" w:cs="宋体"/>
              </w:rPr>
              <w:t>²</w:t>
            </w:r>
            <w:r>
              <w:rPr>
                <w:rFonts w:hint="eastAsia" w:ascii="仿宋" w:hAnsi="仿宋" w:cstheme="minorBidi"/>
              </w:rPr>
              <w:t>；对比度≥6500:1；像素中心距相对偏差≤2%；刷新率：≥3840Hz；灰度等级：≥14bit；亮度均匀性≥98%，色度均匀性≥96%；</w:t>
            </w:r>
          </w:p>
          <w:p>
            <w:pPr>
              <w:spacing w:line="240" w:lineRule="auto"/>
              <w:rPr>
                <w:rFonts w:ascii="仿宋" w:hAnsi="仿宋" w:cstheme="minorBidi"/>
              </w:rPr>
            </w:pPr>
            <w:r>
              <w:rPr>
                <w:rFonts w:hint="eastAsia" w:ascii="仿宋" w:hAnsi="仿宋" w:cstheme="minorBidi"/>
              </w:rPr>
              <w:t xml:space="preserve">4.平整度≤0.1（mm），模组间隙≤0.1（mm)；             </w:t>
            </w:r>
          </w:p>
          <w:p>
            <w:pPr>
              <w:spacing w:line="240" w:lineRule="auto"/>
              <w:rPr>
                <w:rFonts w:ascii="仿宋" w:hAnsi="仿宋" w:cstheme="minorBidi"/>
              </w:rPr>
            </w:pPr>
            <w:r>
              <w:rPr>
                <w:rFonts w:hint="eastAsia" w:ascii="仿宋" w:hAnsi="仿宋" w:cstheme="minorBidi"/>
              </w:rPr>
              <w:t>5.屏采用直接贴合自然散热技术、无风扇设计；</w:t>
            </w:r>
          </w:p>
          <w:p>
            <w:pPr>
              <w:spacing w:line="240" w:lineRule="auto"/>
              <w:rPr>
                <w:rFonts w:ascii="仿宋" w:hAnsi="仿宋" w:cstheme="minorBidi"/>
              </w:rPr>
            </w:pPr>
            <w:r>
              <w:rPr>
                <w:rFonts w:hint="eastAsia" w:ascii="仿宋" w:hAnsi="仿宋" w:cstheme="minorBidi"/>
              </w:rPr>
              <w:t>6.具有逐点校准功能，支持亮度校正和色度校正；</w:t>
            </w:r>
          </w:p>
          <w:p>
            <w:pPr>
              <w:spacing w:line="240" w:lineRule="auto"/>
              <w:rPr>
                <w:rFonts w:ascii="仿宋" w:hAnsi="仿宋" w:cstheme="minorBidi"/>
              </w:rPr>
            </w:pPr>
            <w:r>
              <w:rPr>
                <w:rFonts w:hint="eastAsia" w:ascii="仿宋" w:hAnsi="仿宋" w:cstheme="minorBidi"/>
              </w:rPr>
              <w:t>7.色温调节：支持软件2000K-10000K的色温调节或用户自定义；</w:t>
            </w:r>
          </w:p>
          <w:p>
            <w:pPr>
              <w:spacing w:line="240" w:lineRule="auto"/>
              <w:rPr>
                <w:rFonts w:ascii="仿宋" w:hAnsi="仿宋" w:cstheme="minorBidi"/>
              </w:rPr>
            </w:pPr>
            <w:r>
              <w:rPr>
                <w:rFonts w:hint="eastAsia" w:ascii="仿宋" w:hAnsi="仿宋" w:cstheme="minorBidi"/>
              </w:rPr>
              <w:t>▲8.噪音测试：≤25dB(A)（20cm）；≤5dB(A) （200cm）；（投标文件中提供具有CNAS或CMA检测资质的检测单位出具的第三方专业检测报告，加盖</w:t>
            </w:r>
            <w:r>
              <w:rPr>
                <w:rFonts w:hint="eastAsia"/>
              </w:rPr>
              <w:t>投标人公章</w:t>
            </w:r>
            <w:r>
              <w:rPr>
                <w:rFonts w:hint="eastAsia" w:ascii="仿宋" w:hAnsi="仿宋" w:cstheme="minorBidi"/>
              </w:rPr>
              <w:t>）</w:t>
            </w:r>
          </w:p>
        </w:tc>
      </w:tr>
      <w:bookmarkEnd w:id="352"/>
    </w:tbl>
    <w:p>
      <w:pPr>
        <w:rPr>
          <w:rFonts w:ascii="宋体"/>
          <w:szCs w:val="36"/>
        </w:rPr>
      </w:pPr>
      <w:r>
        <w:rPr>
          <w:rFonts w:hint="eastAsia" w:ascii="宋体"/>
          <w:szCs w:val="36"/>
        </w:rPr>
        <w:br w:type="page"/>
      </w:r>
    </w:p>
    <w:p>
      <w:pPr>
        <w:pStyle w:val="5"/>
        <w:rPr>
          <w:rFonts w:ascii="宋体"/>
          <w:szCs w:val="36"/>
        </w:rPr>
      </w:pPr>
      <w:r>
        <w:rPr>
          <w:rFonts w:hint="eastAsia" w:ascii="宋体"/>
          <w:szCs w:val="36"/>
        </w:rPr>
        <w:t>包7：心脏核磁共振后处理系统</w:t>
      </w:r>
    </w:p>
    <w:p>
      <w:pPr>
        <w:pStyle w:val="4"/>
        <w:rPr>
          <w:rFonts w:ascii="仿宋" w:hAnsi="仿宋" w:cs="黑体"/>
          <w:sz w:val="24"/>
        </w:rPr>
      </w:pPr>
      <w:r>
        <w:rPr>
          <w:rFonts w:hint="eastAsia" w:ascii="仿宋" w:hAnsi="仿宋" w:cs="黑体"/>
          <w:sz w:val="24"/>
        </w:rPr>
        <w:t>一、项目概述：</w:t>
      </w:r>
    </w:p>
    <w:p>
      <w:pPr>
        <w:ind w:firstLine="480" w:firstLineChars="200"/>
        <w:rPr>
          <w:rFonts w:ascii="仿宋_GB2312" w:hAnsi="仿宋_GB2312" w:eastAsia="仿宋_GB2312" w:cs="仿宋_GB2312"/>
        </w:rPr>
      </w:pPr>
      <w:r>
        <w:rPr>
          <w:rFonts w:ascii="仿宋_GB2312" w:hAnsi="仿宋_GB2312" w:eastAsia="仿宋_GB2312" w:cs="仿宋_GB2312"/>
        </w:rPr>
        <w:t>本项目采购</w:t>
      </w:r>
      <w:r>
        <w:rPr>
          <w:rFonts w:hint="eastAsia" w:ascii="仿宋_GB2312" w:hAnsi="仿宋_GB2312" w:eastAsia="仿宋_GB2312" w:cs="仿宋_GB2312"/>
        </w:rPr>
        <w:t>心脏磁共振科研分析软件一套。</w:t>
      </w:r>
    </w:p>
    <w:p>
      <w:pPr>
        <w:pStyle w:val="4"/>
        <w:rPr>
          <w:rFonts w:ascii="仿宋" w:hAnsi="仿宋" w:cs="黑体"/>
          <w:sz w:val="24"/>
        </w:rPr>
      </w:pPr>
      <w:r>
        <w:rPr>
          <w:rFonts w:hint="eastAsia" w:ascii="仿宋" w:hAnsi="仿宋" w:cs="黑体"/>
          <w:sz w:val="24"/>
        </w:rPr>
        <w:t>二、商务要求：</w:t>
      </w:r>
    </w:p>
    <w:p>
      <w:pPr>
        <w:adjustRightInd w:val="0"/>
        <w:snapToGrid w:val="0"/>
        <w:ind w:firstLine="482" w:firstLineChars="200"/>
        <w:rPr>
          <w:rFonts w:ascii="仿宋_GB2312" w:hAnsi="仿宋_GB2312" w:eastAsia="仿宋_GB2312" w:cs="仿宋_GB2312"/>
        </w:rPr>
      </w:pPr>
      <w:r>
        <w:rPr>
          <w:rFonts w:hint="eastAsia" w:ascii="仿宋" w:hAnsi="仿宋" w:cs="黑体"/>
          <w:b/>
          <w:bCs/>
        </w:rPr>
        <w:t>★</w:t>
      </w:r>
      <w:r>
        <w:rPr>
          <w:rFonts w:hint="eastAsia" w:ascii="仿宋_GB2312" w:hAnsi="仿宋_GB2312" w:eastAsia="仿宋_GB2312" w:cs="仿宋_GB2312"/>
        </w:rPr>
        <w:t>1、服务时间：签订合同后30个工作日内交付，并于交货后7个工作日内安装、调试完毕。</w:t>
      </w:r>
    </w:p>
    <w:p>
      <w:pPr>
        <w:adjustRightInd w:val="0"/>
        <w:snapToGrid w:val="0"/>
        <w:ind w:firstLine="482" w:firstLineChars="200"/>
        <w:rPr>
          <w:rFonts w:ascii="仿宋_GB2312" w:hAnsi="仿宋_GB2312" w:eastAsia="仿宋_GB2312" w:cs="仿宋_GB2312"/>
        </w:rPr>
      </w:pPr>
      <w:r>
        <w:rPr>
          <w:rFonts w:hint="eastAsia" w:ascii="仿宋" w:hAnsi="仿宋" w:cs="黑体"/>
          <w:b/>
          <w:bCs/>
        </w:rPr>
        <w:t>★</w:t>
      </w:r>
      <w:r>
        <w:rPr>
          <w:rFonts w:hint="eastAsia" w:ascii="仿宋_GB2312" w:hAnsi="仿宋_GB2312" w:eastAsia="仿宋_GB2312" w:cs="仿宋_GB2312"/>
        </w:rPr>
        <w:t>2、服务地点：成都市第三人民医院</w:t>
      </w:r>
    </w:p>
    <w:p>
      <w:pPr>
        <w:adjustRightInd w:val="0"/>
        <w:snapToGrid w:val="0"/>
        <w:ind w:firstLine="482" w:firstLineChars="200"/>
        <w:rPr>
          <w:rFonts w:hint="eastAsia" w:ascii="仿宋_GB2312" w:hAnsi="仿宋_GB2312" w:eastAsia="仿宋_GB2312" w:cs="仿宋_GB2312"/>
        </w:rPr>
      </w:pPr>
      <w:r>
        <w:rPr>
          <w:rFonts w:hint="eastAsia" w:ascii="仿宋" w:hAnsi="仿宋" w:cs="黑体"/>
          <w:b/>
          <w:bCs/>
        </w:rPr>
        <w:t>★</w:t>
      </w:r>
      <w:r>
        <w:rPr>
          <w:rFonts w:hint="eastAsia" w:ascii="仿宋_GB2312" w:hAnsi="仿宋_GB2312" w:eastAsia="仿宋_GB2312" w:cs="仿宋_GB2312"/>
        </w:rPr>
        <w:t>3、付款方式：合同签订后，5个工作日内向中标人支付合同总金额的40%预付款；项目整体验收完成后，收到发票后15日内支付合同总</w:t>
      </w:r>
      <w:bookmarkStart w:id="389" w:name="_GoBack"/>
      <w:bookmarkEnd w:id="389"/>
      <w:r>
        <w:rPr>
          <w:rFonts w:hint="eastAsia" w:ascii="仿宋_GB2312" w:hAnsi="仿宋_GB2312" w:eastAsia="仿宋_GB2312" w:cs="仿宋_GB2312"/>
        </w:rPr>
        <w:t>金额的55%；剩余合同总金额的5%从验收合格之日起一年满后收到发票后15日内支付（不计利息）。</w:t>
      </w:r>
    </w:p>
    <w:p>
      <w:pPr>
        <w:adjustRightInd w:val="0"/>
        <w:snapToGrid w:val="0"/>
        <w:ind w:firstLine="482" w:firstLineChars="200"/>
        <w:rPr>
          <w:rFonts w:ascii="仿宋_GB2312" w:hAnsi="仿宋_GB2312" w:eastAsia="仿宋_GB2312" w:cs="仿宋_GB2312"/>
        </w:rPr>
      </w:pPr>
      <w:r>
        <w:rPr>
          <w:rFonts w:hint="eastAsia" w:ascii="仿宋" w:hAnsi="仿宋" w:cs="黑体"/>
          <w:b/>
          <w:bCs/>
        </w:rPr>
        <w:t>★</w:t>
      </w:r>
      <w:r>
        <w:rPr>
          <w:rFonts w:hint="eastAsia" w:ascii="仿宋_GB2312" w:hAnsi="仿宋_GB2312" w:eastAsia="仿宋_GB2312" w:cs="仿宋_GB2312"/>
        </w:rPr>
        <w:t>4、售后服务要求：</w:t>
      </w:r>
      <w:r>
        <w:rPr>
          <w:rFonts w:hint="eastAsia" w:ascii="仿宋_GB2312" w:hAnsi="仿宋_GB2312" w:eastAsia="仿宋_GB2312" w:cs="仿宋_GB2312"/>
          <w:lang w:val="en-US" w:eastAsia="zh-CN"/>
        </w:rPr>
        <w:t>从验收合格之日起</w:t>
      </w:r>
      <w:r>
        <w:rPr>
          <w:rFonts w:hint="eastAsia" w:ascii="仿宋_GB2312" w:hAnsi="仿宋_GB2312" w:eastAsia="仿宋_GB2312" w:cs="仿宋_GB2312"/>
        </w:rPr>
        <w:t>提供一年质保，包含一年两次维护检测及升级服务等服务内容（费用包含在本次投标报价中）。</w:t>
      </w:r>
    </w:p>
    <w:p>
      <w:pPr>
        <w:pStyle w:val="34"/>
        <w:ind w:left="0" w:leftChars="0" w:firstLineChars="0"/>
        <w:rPr>
          <w:rFonts w:ascii="仿宋_GB2312" w:hAnsi="仿宋_GB2312" w:eastAsia="仿宋_GB2312" w:cs="仿宋_GB2312"/>
        </w:rPr>
      </w:pPr>
      <w:r>
        <w:rPr>
          <w:rFonts w:hint="eastAsia" w:ascii="仿宋" w:hAnsi="仿宋" w:cs="黑体"/>
          <w:b/>
          <w:bCs/>
        </w:rPr>
        <w:t>★</w:t>
      </w:r>
      <w:r>
        <w:rPr>
          <w:rFonts w:hint="eastAsia" w:ascii="仿宋_GB2312" w:hAnsi="仿宋_GB2312" w:eastAsia="仿宋_GB2312" w:cs="仿宋_GB2312"/>
        </w:rPr>
        <w:t>5、其他要求：</w:t>
      </w:r>
    </w:p>
    <w:p>
      <w:pPr>
        <w:pStyle w:val="34"/>
        <w:ind w:left="0" w:leftChars="0" w:firstLineChars="0"/>
        <w:rPr>
          <w:rFonts w:ascii="仿宋_GB2312" w:hAnsi="仿宋_GB2312" w:eastAsia="仿宋_GB2312" w:cs="仿宋_GB2312"/>
        </w:rPr>
      </w:pPr>
      <w:r>
        <w:rPr>
          <w:rFonts w:hint="eastAsia" w:ascii="仿宋_GB2312" w:hAnsi="仿宋_GB2312" w:eastAsia="仿宋_GB2312" w:cs="仿宋_GB2312"/>
        </w:rPr>
        <w:t>5.1 终端要求能够支持windows7、windows10等32位/64位操作系统，支持chrome、firefox、Edge等主流浏览器，且持续支持主流的web标准；</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5.2 对医院开放数据(数据库、文件等)读取使用权限；</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5.3系统能够通过多种方式(不限于webservice、消息队列等)对接院内的其他业务系统或者集成平台。</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5.4系统能够根据医院的技术路线调整其架构，系统涉及外网的接口必须满足医院信息安全架构及规范要求；内网接口必须符合医院内网系统架构设计，按照医院约定方式(集成平台等)进行消息交互；</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5.5 需无条件配合医院进行互联互通五级乙等、电子病历五级与六级评级、智慧服务三级与四级、智慧医院三星等信息标准化建设（费用包含在本次投标报价中）。</w:t>
      </w:r>
    </w:p>
    <w:p>
      <w:pPr>
        <w:pStyle w:val="4"/>
        <w:rPr>
          <w:rFonts w:ascii="仿宋" w:hAnsi="仿宋" w:cs="黑体"/>
          <w:sz w:val="24"/>
        </w:rPr>
      </w:pPr>
      <w:r>
        <w:rPr>
          <w:rFonts w:hint="eastAsia" w:ascii="仿宋" w:hAnsi="仿宋" w:cs="黑体"/>
          <w:sz w:val="24"/>
        </w:rPr>
        <w:t>三、技术、服务要求：</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1、软件平台（支持浏览功能，连接PACS功能，报告功能）</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1.1 全局功能模块（MR）</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1.2 区域功能模块（MR）</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2、延迟强化信号强度模块（心肌梗塞面积，T2信号分析，延迟强化和T2信号联合分析）</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3、时间信号强度模块（灌注分析）</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4、Mapping分析模块</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4.1 T1弛豫时间分析模块</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4.2 T2/T2*分析模块</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4.3 细胞外容积分析（ ECV）</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5、应变分析模块</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5.1 支持左右心室分析</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5.2 支持左右心房分析</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6、四维血流分析模块（4D Flow）</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6.1 支持VTK格式导出3D数据和3D 分析结果</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6.2 支持自动图像配准，用于校正4DFlow系列相对于MR 电影系列的未对准；支持速度偏移误差校正；支持相位包裹校正</w:t>
      </w:r>
    </w:p>
    <w:p>
      <w:pPr>
        <w:adjustRightInd w:val="0"/>
        <w:snapToGrid w:val="0"/>
        <w:ind w:firstLine="480" w:firstLineChars="200"/>
        <w:rPr>
          <w:rFonts w:ascii="仿宋_GB2312" w:hAnsi="仿宋_GB2312" w:eastAsia="仿宋_GB2312" w:cs="仿宋_GB2312"/>
        </w:rPr>
      </w:pPr>
      <w:r>
        <w:rPr>
          <w:rFonts w:hint="eastAsia" w:ascii="宋体" w:hAnsi="宋体"/>
        </w:rPr>
        <w:t>▲</w:t>
      </w:r>
      <w:r>
        <w:rPr>
          <w:rFonts w:hint="eastAsia" w:ascii="仿宋_GB2312" w:hAnsi="仿宋_GB2312" w:eastAsia="仿宋_GB2312" w:cs="仿宋_GB2312"/>
        </w:rPr>
        <w:t>6.3 轮廓编辑选项，用于追踪心室腔，血管横截面或瓣膜开口区域，同时支持LV和RV动能定量分析</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6.4 深度学习轮廓检测LV，RV的自动短轴和长轴轮廓检测，具有可重复性；基于阈值的边缘检测快速准确描绘小梁结构和/或乳头肌；“排除区域”轮廓工具，从体积计算中消除心房腔或心内肿块，提高准确性</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6.5 MPR选项可用于从任何3D或2D多切片系列定义3D切割平面；MPR选项可用于创建针对平面速度编码的切割平面</w:t>
      </w:r>
    </w:p>
    <w:p>
      <w:pPr>
        <w:adjustRightInd w:val="0"/>
        <w:snapToGrid w:val="0"/>
        <w:ind w:firstLine="480" w:firstLineChars="200"/>
        <w:rPr>
          <w:rFonts w:ascii="仿宋_GB2312" w:hAnsi="仿宋_GB2312" w:eastAsia="仿宋_GB2312" w:cs="仿宋_GB2312"/>
        </w:rPr>
      </w:pPr>
      <w:r>
        <w:rPr>
          <w:rFonts w:hint="eastAsia" w:asciiTheme="minorEastAsia" w:hAnsiTheme="minorEastAsia"/>
        </w:rPr>
        <w:t xml:space="preserve">6.6 </w:t>
      </w:r>
      <w:r>
        <w:rPr>
          <w:rFonts w:hint="eastAsia" w:ascii="仿宋_GB2312" w:hAnsi="仿宋_GB2312" w:eastAsia="仿宋_GB2312" w:cs="仿宋_GB2312"/>
        </w:rPr>
        <w:t>左心室和右心室的4D模型（网状或固体表面）</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6.7 定量分析指标包括：流速随时间的变化（平均值，最小值，最大值，标准差）；容积流量；动能；回顾性瓣膜跟踪流量量化；粒子追踪/功能流量组件量化；2D/3D管壁剪切应力测量（WSS)</w:t>
      </w:r>
    </w:p>
    <w:p>
      <w:pPr>
        <w:adjustRightInd w:val="0"/>
        <w:snapToGrid w:val="0"/>
        <w:ind w:firstLine="480" w:firstLineChars="200"/>
        <w:rPr>
          <w:rFonts w:ascii="仿宋_GB2312" w:hAnsi="仿宋_GB2312" w:eastAsia="仿宋_GB2312" w:cs="仿宋_GB2312"/>
        </w:rPr>
      </w:pPr>
      <w:r>
        <w:rPr>
          <w:rFonts w:hint="eastAsia" w:ascii="宋体" w:hAnsi="宋体"/>
        </w:rPr>
        <w:t>▲</w:t>
      </w:r>
      <w:r>
        <w:rPr>
          <w:rFonts w:hint="eastAsia" w:ascii="仿宋_GB2312" w:hAnsi="仿宋_GB2312" w:eastAsia="仿宋_GB2312" w:cs="仿宋_GB2312"/>
        </w:rPr>
        <w:t>7、图像输出、输入模式，并支持电生理图像融合功能</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7.1 3DLGE可用于创建与CARTO映射系统兼容的VTK文件，</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7.2 3DLGE数据也可以导出为与Abbot的Ensite系统兼容的格式。</w:t>
      </w:r>
    </w:p>
    <w:p>
      <w:pPr>
        <w:adjustRightInd w:val="0"/>
        <w:snapToGrid w:val="0"/>
        <w:ind w:firstLine="480" w:firstLineChars="200"/>
        <w:rPr>
          <w:rFonts w:ascii="仿宋_GB2312" w:hAnsi="仿宋_GB2312" w:eastAsia="仿宋_GB2312" w:cs="仿宋_GB2312"/>
        </w:rPr>
      </w:pPr>
      <w:r>
        <w:rPr>
          <w:rFonts w:hint="eastAsia" w:ascii="宋体" w:hAnsi="宋体"/>
        </w:rPr>
        <w:t>▲</w:t>
      </w:r>
      <w:r>
        <w:rPr>
          <w:rFonts w:hint="eastAsia" w:ascii="仿宋_GB2312" w:hAnsi="仿宋_GB2312" w:eastAsia="仿宋_GB2312" w:cs="仿宋_GB2312"/>
        </w:rPr>
        <w:t>7.3 支持左心房二维及三维分割，左心房分期。能实现同层图像勾划分析两个独立区域</w:t>
      </w:r>
    </w:p>
    <w:p>
      <w:pPr>
        <w:pStyle w:val="2"/>
        <w:ind w:left="480"/>
      </w:pPr>
      <w:r>
        <w:rPr>
          <w:rFonts w:hint="eastAsia" w:ascii="仿宋" w:hAnsi="仿宋" w:cs="仿宋"/>
        </w:rPr>
        <w:t>★</w:t>
      </w:r>
      <w:r>
        <w:rPr>
          <w:rFonts w:ascii="仿宋_GB2312" w:hAnsi="仿宋_GB2312" w:eastAsia="仿宋_GB2312" w:cs="仿宋_GB2312"/>
        </w:rPr>
        <w:t>7.4</w:t>
      </w:r>
      <w:r>
        <w:rPr>
          <w:rFonts w:hint="eastAsia" w:ascii="仿宋_GB2312" w:hAnsi="仿宋_GB2312" w:eastAsia="仿宋_GB2312" w:cs="仿宋_GB2312"/>
        </w:rPr>
        <w:t xml:space="preserve"> 支持电生理数据输入并与心房LGE图像融合功能，融合图像具备调整、配准功能。</w:t>
      </w:r>
    </w:p>
    <w:p>
      <w:pPr>
        <w:adjustRightInd w:val="0"/>
        <w:snapToGrid w:val="0"/>
        <w:ind w:firstLine="480" w:firstLineChars="200"/>
        <w:rPr>
          <w:rFonts w:ascii="仿宋_GB2312" w:hAnsi="仿宋_GB2312" w:eastAsia="仿宋_GB2312" w:cs="仿宋_GB2312"/>
        </w:rPr>
      </w:pPr>
      <w:r>
        <w:rPr>
          <w:rFonts w:hint="eastAsia" w:ascii="宋体" w:hAnsi="宋体"/>
        </w:rPr>
        <w:t>▲</w:t>
      </w:r>
      <w:r>
        <w:rPr>
          <w:rFonts w:hint="eastAsia" w:ascii="仿宋_GB2312" w:hAnsi="仿宋_GB2312" w:eastAsia="仿宋_GB2312" w:cs="仿宋_GB2312"/>
        </w:rPr>
        <w:t>7.</w:t>
      </w:r>
      <w:r>
        <w:rPr>
          <w:rFonts w:ascii="仿宋_GB2312" w:hAnsi="仿宋_GB2312" w:eastAsia="仿宋_GB2312" w:cs="仿宋_GB2312"/>
        </w:rPr>
        <w:t>5</w:t>
      </w:r>
      <w:r>
        <w:rPr>
          <w:rFonts w:hint="eastAsia" w:ascii="仿宋_GB2312" w:hAnsi="仿宋_GB2312" w:eastAsia="仿宋_GB2312" w:cs="仿宋_GB2312"/>
        </w:rPr>
        <w:t>软件支持定制开发</w:t>
      </w:r>
    </w:p>
    <w:p>
      <w:pPr>
        <w:adjustRightInd w:val="0"/>
        <w:snapToGrid w:val="0"/>
        <w:ind w:firstLine="480" w:firstLineChars="200"/>
        <w:rPr>
          <w:rFonts w:ascii="仿宋_GB2312" w:hAnsi="仿宋_GB2312" w:eastAsia="仿宋_GB2312" w:cs="仿宋_GB2312"/>
        </w:rPr>
      </w:pPr>
      <w:r>
        <w:rPr>
          <w:rFonts w:hint="eastAsia" w:ascii="宋体" w:hAnsi="宋体"/>
        </w:rPr>
        <w:t>▲</w:t>
      </w:r>
      <w:r>
        <w:rPr>
          <w:rFonts w:hint="eastAsia" w:ascii="仿宋_GB2312" w:hAnsi="仿宋_GB2312" w:eastAsia="仿宋_GB2312" w:cs="仿宋_GB2312"/>
        </w:rPr>
        <w:t>8、软件数据可以导出VTK格式，可以二次编辑、合成、回传、开发。</w:t>
      </w:r>
    </w:p>
    <w:p>
      <w:pPr>
        <w:adjustRightInd w:val="0"/>
        <w:snapToGrid w:val="0"/>
        <w:ind w:firstLine="480" w:firstLineChars="200"/>
        <w:rPr>
          <w:rFonts w:ascii="仿宋_GB2312" w:hAnsi="仿宋_GB2312" w:eastAsia="仿宋_GB2312" w:cs="仿宋_GB2312"/>
        </w:rPr>
      </w:pPr>
      <w:r>
        <w:rPr>
          <w:rFonts w:hint="eastAsia" w:ascii="仿宋_GB2312" w:hAnsi="仿宋_GB2312" w:eastAsia="仿宋_GB2312" w:cs="仿宋_GB2312"/>
        </w:rPr>
        <w:t>9、配套硬件终端设备1台。</w:t>
      </w:r>
    </w:p>
    <w:p>
      <w:pPr>
        <w:adjustRightInd w:val="0"/>
        <w:snapToGrid w:val="0"/>
        <w:ind w:firstLine="480" w:firstLineChars="200"/>
        <w:rPr>
          <w:rFonts w:ascii="仿宋_GB2312" w:hAnsi="仿宋_GB2312" w:eastAsia="仿宋_GB2312" w:cs="仿宋_GB2312"/>
        </w:rPr>
      </w:pPr>
      <w:r>
        <w:rPr>
          <w:rFonts w:ascii="仿宋_GB2312" w:hAnsi="仿宋_GB2312" w:eastAsia="仿宋_GB2312" w:cs="仿宋_GB2312"/>
        </w:rPr>
        <w:t>9.1</w:t>
      </w:r>
      <w:r>
        <w:rPr>
          <w:rFonts w:hint="eastAsia" w:ascii="仿宋_GB2312" w:hAnsi="仿宋_GB2312" w:eastAsia="仿宋_GB2312" w:cs="仿宋_GB2312"/>
        </w:rPr>
        <w:t xml:space="preserve"> 终端设备要求：不低于i</w:t>
      </w:r>
      <w:r>
        <w:rPr>
          <w:rFonts w:ascii="仿宋_GB2312" w:hAnsi="仿宋_GB2312" w:eastAsia="仿宋_GB2312" w:cs="仿宋_GB2312"/>
        </w:rPr>
        <w:t>7</w:t>
      </w:r>
      <w:r>
        <w:rPr>
          <w:rFonts w:hint="eastAsia" w:ascii="仿宋_GB2312" w:hAnsi="仿宋_GB2312" w:eastAsia="仿宋_GB2312" w:cs="仿宋_GB2312"/>
        </w:rPr>
        <w:t>主机处理器，内存容量不低于1</w:t>
      </w:r>
      <w:r>
        <w:rPr>
          <w:rFonts w:ascii="仿宋_GB2312" w:hAnsi="仿宋_GB2312" w:eastAsia="仿宋_GB2312" w:cs="仿宋_GB2312"/>
        </w:rPr>
        <w:t>6GB</w:t>
      </w:r>
      <w:r>
        <w:rPr>
          <w:rFonts w:hint="eastAsia" w:ascii="仿宋_GB2312" w:hAnsi="仿宋_GB2312" w:eastAsia="仿宋_GB2312" w:cs="仿宋_GB2312"/>
        </w:rPr>
        <w:t>，硬盘容量不低于1T，屏幕分辨力不低于</w:t>
      </w:r>
      <w:r>
        <w:rPr>
          <w:rFonts w:ascii="仿宋_GB2312" w:hAnsi="仿宋_GB2312" w:eastAsia="仿宋_GB2312" w:cs="仿宋_GB2312"/>
        </w:rPr>
        <w:t>1280</w:t>
      </w:r>
      <w:r>
        <w:rPr>
          <w:rFonts w:hint="eastAsia" w:ascii="仿宋_GB2312" w:hAnsi="仿宋_GB2312" w:eastAsia="仿宋_GB2312" w:cs="仿宋_GB2312"/>
        </w:rPr>
        <w:t>×</w:t>
      </w:r>
      <w:r>
        <w:rPr>
          <w:rFonts w:ascii="仿宋_GB2312" w:hAnsi="仿宋_GB2312" w:eastAsia="仿宋_GB2312" w:cs="仿宋_GB2312"/>
        </w:rPr>
        <w:t>1024</w:t>
      </w:r>
      <w:r>
        <w:rPr>
          <w:rFonts w:hint="eastAsia" w:ascii="仿宋_GB2312" w:hAnsi="仿宋_GB2312" w:eastAsia="仿宋_GB2312" w:cs="仿宋_GB2312"/>
        </w:rPr>
        <w:t>。</w:t>
      </w:r>
    </w:p>
    <w:p>
      <w:pPr>
        <w:rPr>
          <w:rFonts w:ascii="仿宋_GB2312" w:hAnsi="仿宋_GB2312" w:eastAsia="仿宋_GB2312" w:cs="仿宋_GB2312"/>
        </w:rPr>
      </w:pPr>
      <w:r>
        <w:rPr>
          <w:rFonts w:hint="eastAsia" w:ascii="仿宋_GB2312" w:hAnsi="仿宋_GB2312" w:eastAsia="仿宋_GB2312" w:cs="仿宋_GB2312"/>
        </w:rPr>
        <w:br w:type="page"/>
      </w:r>
    </w:p>
    <w:p>
      <w:pPr>
        <w:pStyle w:val="5"/>
      </w:pPr>
      <w:r>
        <w:rPr>
          <w:rFonts w:hint="eastAsia"/>
        </w:rPr>
        <w:t>包8：肥胖专病信息化系统</w:t>
      </w:r>
    </w:p>
    <w:p>
      <w:pPr>
        <w:pStyle w:val="4"/>
        <w:rPr>
          <w:rFonts w:ascii="仿宋" w:hAnsi="仿宋" w:cs="黑体"/>
          <w:sz w:val="24"/>
        </w:rPr>
      </w:pPr>
      <w:r>
        <w:rPr>
          <w:rFonts w:hint="eastAsia" w:ascii="仿宋" w:hAnsi="仿宋" w:cs="黑体"/>
          <w:sz w:val="24"/>
        </w:rPr>
        <w:t>一、项目概述</w:t>
      </w:r>
    </w:p>
    <w:p>
      <w:pPr>
        <w:numPr>
          <w:ilvl w:val="255"/>
          <w:numId w:val="0"/>
        </w:numPr>
        <w:rPr>
          <w:rFonts w:ascii="仿宋" w:hAnsi="仿宋" w:cs="仿宋"/>
        </w:rPr>
      </w:pPr>
      <w:r>
        <w:rPr>
          <w:rFonts w:hint="eastAsia" w:ascii="仿宋" w:hAnsi="仿宋" w:cs="仿宋"/>
        </w:rPr>
        <w:t>1、本项目共1个包，采购肥胖专病信息化系统1套。</w:t>
      </w:r>
    </w:p>
    <w:p>
      <w:pPr>
        <w:ind w:firstLine="480" w:firstLineChars="200"/>
        <w:rPr>
          <w:rFonts w:ascii="仿宋" w:hAnsi="仿宋" w:cs="仿宋"/>
        </w:rPr>
      </w:pPr>
      <w:r>
        <w:rPr>
          <w:rFonts w:hint="eastAsia" w:ascii="仿宋" w:hAnsi="仿宋" w:cs="仿宋"/>
        </w:rPr>
        <w:t>本系统主要是用于对在成都市第三人民医院肥胖代谢性疾病中心进行减重手术的患者开展前瞻性科研应用。因此，本系统在开发建设过程中，基于本招标文件的功能点要求，需融入科研思维和理念，为下阶段科研工作提供前瞻性准备。</w:t>
      </w:r>
    </w:p>
    <w:p>
      <w:pPr>
        <w:numPr>
          <w:ilvl w:val="255"/>
          <w:numId w:val="0"/>
        </w:numPr>
        <w:rPr>
          <w:rFonts w:ascii="仿宋" w:hAnsi="仿宋" w:cs="仿宋"/>
        </w:rPr>
      </w:pPr>
      <w:r>
        <w:rPr>
          <w:rFonts w:hint="eastAsia" w:ascii="仿宋" w:hAnsi="仿宋" w:cs="仿宋"/>
        </w:rPr>
        <w:t>2、采购清单</w:t>
      </w:r>
    </w:p>
    <w:tbl>
      <w:tblPr>
        <w:tblStyle w:val="35"/>
        <w:tblpPr w:leftFromText="180" w:rightFromText="180" w:vertAnchor="text" w:tblpXSpec="center" w:tblpY="36"/>
        <w:tblOverlap w:val="never"/>
        <w:tblW w:w="47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176"/>
        <w:gridCol w:w="4131"/>
        <w:gridCol w:w="1275"/>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45" w:type="pct"/>
            <w:vAlign w:val="center"/>
          </w:tcPr>
          <w:p>
            <w:pPr>
              <w:pStyle w:val="6"/>
              <w:ind w:firstLine="0"/>
              <w:jc w:val="center"/>
              <w:rPr>
                <w:rFonts w:ascii="仿宋" w:hAnsi="仿宋" w:cs="仿宋"/>
                <w:szCs w:val="24"/>
              </w:rPr>
            </w:pPr>
            <w:r>
              <w:rPr>
                <w:rFonts w:hint="eastAsia" w:ascii="仿宋" w:hAnsi="仿宋" w:cs="仿宋"/>
                <w:szCs w:val="24"/>
              </w:rPr>
              <w:t>序号</w:t>
            </w:r>
          </w:p>
        </w:tc>
        <w:tc>
          <w:tcPr>
            <w:tcW w:w="2992" w:type="pct"/>
            <w:gridSpan w:val="2"/>
            <w:vAlign w:val="center"/>
          </w:tcPr>
          <w:p>
            <w:pPr>
              <w:pStyle w:val="6"/>
              <w:ind w:firstLine="0"/>
              <w:jc w:val="both"/>
              <w:rPr>
                <w:rFonts w:ascii="仿宋" w:hAnsi="仿宋" w:cs="仿宋"/>
                <w:szCs w:val="24"/>
              </w:rPr>
            </w:pPr>
            <w:r>
              <w:rPr>
                <w:rFonts w:hint="eastAsia" w:ascii="仿宋" w:hAnsi="仿宋" w:cs="仿宋"/>
                <w:szCs w:val="24"/>
              </w:rPr>
              <w:t>系统名称及功能</w:t>
            </w:r>
          </w:p>
        </w:tc>
        <w:tc>
          <w:tcPr>
            <w:tcW w:w="719" w:type="pct"/>
            <w:vAlign w:val="center"/>
          </w:tcPr>
          <w:p>
            <w:pPr>
              <w:pStyle w:val="6"/>
              <w:ind w:firstLine="0"/>
              <w:jc w:val="center"/>
              <w:rPr>
                <w:rFonts w:ascii="仿宋" w:hAnsi="仿宋" w:cs="仿宋"/>
                <w:szCs w:val="24"/>
              </w:rPr>
            </w:pPr>
            <w:r>
              <w:rPr>
                <w:rFonts w:hint="eastAsia" w:ascii="仿宋" w:hAnsi="仿宋" w:cs="仿宋"/>
                <w:szCs w:val="24"/>
              </w:rPr>
              <w:t>数量</w:t>
            </w:r>
          </w:p>
        </w:tc>
        <w:tc>
          <w:tcPr>
            <w:tcW w:w="642" w:type="pct"/>
            <w:vAlign w:val="center"/>
          </w:tcPr>
          <w:p>
            <w:pPr>
              <w:pStyle w:val="6"/>
              <w:ind w:firstLine="0"/>
              <w:jc w:val="center"/>
              <w:rPr>
                <w:rFonts w:ascii="仿宋" w:hAnsi="仿宋" w:cs="仿宋"/>
                <w:szCs w:val="24"/>
              </w:rPr>
            </w:pPr>
            <w:r>
              <w:rPr>
                <w:rFonts w:hint="eastAsia" w:ascii="仿宋" w:hAnsi="仿宋" w:cs="仿宋"/>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45" w:type="pct"/>
            <w:vAlign w:val="center"/>
          </w:tcPr>
          <w:p>
            <w:pPr>
              <w:pStyle w:val="6"/>
              <w:ind w:firstLine="0"/>
              <w:jc w:val="center"/>
              <w:rPr>
                <w:rFonts w:ascii="仿宋" w:hAnsi="仿宋" w:cs="仿宋"/>
                <w:szCs w:val="24"/>
              </w:rPr>
            </w:pPr>
            <w:r>
              <w:rPr>
                <w:rFonts w:hint="eastAsia" w:ascii="仿宋" w:hAnsi="仿宋" w:cs="仿宋"/>
                <w:szCs w:val="24"/>
              </w:rPr>
              <w:t>1</w:t>
            </w:r>
          </w:p>
        </w:tc>
        <w:tc>
          <w:tcPr>
            <w:tcW w:w="663" w:type="pct"/>
            <w:vMerge w:val="restart"/>
            <w:vAlign w:val="center"/>
          </w:tcPr>
          <w:p>
            <w:pPr>
              <w:widowControl/>
              <w:textAlignment w:val="center"/>
              <w:rPr>
                <w:rFonts w:ascii="仿宋" w:hAnsi="仿宋" w:cs="仿宋"/>
                <w:kern w:val="0"/>
                <w:lang w:bidi="ar"/>
              </w:rPr>
            </w:pPr>
            <w:r>
              <w:rPr>
                <w:rFonts w:hint="eastAsia" w:ascii="仿宋" w:hAnsi="仿宋" w:cs="仿宋"/>
                <w:kern w:val="0"/>
                <w:lang w:bidi="ar"/>
              </w:rPr>
              <w:t>肥胖专病信息化系统</w:t>
            </w:r>
          </w:p>
        </w:tc>
        <w:tc>
          <w:tcPr>
            <w:tcW w:w="2329" w:type="pct"/>
            <w:vAlign w:val="center"/>
          </w:tcPr>
          <w:p>
            <w:pPr>
              <w:widowControl/>
              <w:textAlignment w:val="center"/>
              <w:rPr>
                <w:rFonts w:ascii="仿宋" w:hAnsi="仿宋" w:cs="仿宋"/>
              </w:rPr>
            </w:pPr>
            <w:r>
              <w:rPr>
                <w:rFonts w:hint="eastAsia" w:ascii="仿宋" w:hAnsi="仿宋" w:cs="仿宋"/>
                <w:kern w:val="0"/>
                <w:lang w:bidi="ar"/>
              </w:rPr>
              <w:t>数据采集与存储</w:t>
            </w:r>
          </w:p>
        </w:tc>
        <w:tc>
          <w:tcPr>
            <w:tcW w:w="719" w:type="pct"/>
            <w:vAlign w:val="center"/>
          </w:tcPr>
          <w:p>
            <w:pPr>
              <w:jc w:val="center"/>
              <w:rPr>
                <w:rFonts w:ascii="仿宋" w:hAnsi="仿宋" w:cs="仿宋"/>
              </w:rPr>
            </w:pPr>
            <w:r>
              <w:rPr>
                <w:rFonts w:hint="eastAsia" w:ascii="仿宋" w:hAnsi="仿宋" w:cs="仿宋"/>
              </w:rPr>
              <w:t>1套</w:t>
            </w:r>
          </w:p>
        </w:tc>
        <w:tc>
          <w:tcPr>
            <w:tcW w:w="642" w:type="pct"/>
            <w:vAlign w:val="center"/>
          </w:tcPr>
          <w:p>
            <w:pPr>
              <w:pStyle w:val="6"/>
              <w:ind w:firstLine="0"/>
              <w:rPr>
                <w:rFonts w:ascii="仿宋" w:hAnsi="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45" w:type="pct"/>
            <w:vAlign w:val="center"/>
          </w:tcPr>
          <w:p>
            <w:pPr>
              <w:widowControl/>
              <w:jc w:val="center"/>
              <w:rPr>
                <w:rFonts w:ascii="仿宋" w:hAnsi="仿宋" w:cs="仿宋"/>
              </w:rPr>
            </w:pPr>
            <w:r>
              <w:rPr>
                <w:rFonts w:hint="eastAsia" w:ascii="仿宋" w:hAnsi="仿宋" w:cs="仿宋"/>
              </w:rPr>
              <w:t>2</w:t>
            </w:r>
          </w:p>
        </w:tc>
        <w:tc>
          <w:tcPr>
            <w:tcW w:w="663" w:type="pct"/>
            <w:vMerge w:val="continue"/>
            <w:vAlign w:val="center"/>
          </w:tcPr>
          <w:p>
            <w:pPr>
              <w:widowControl/>
              <w:jc w:val="center"/>
              <w:textAlignment w:val="center"/>
              <w:rPr>
                <w:rFonts w:ascii="仿宋" w:hAnsi="仿宋" w:cs="仿宋"/>
              </w:rPr>
            </w:pPr>
          </w:p>
        </w:tc>
        <w:tc>
          <w:tcPr>
            <w:tcW w:w="2329" w:type="pct"/>
            <w:vAlign w:val="center"/>
          </w:tcPr>
          <w:p>
            <w:pPr>
              <w:widowControl/>
              <w:textAlignment w:val="center"/>
              <w:rPr>
                <w:rFonts w:ascii="仿宋" w:hAnsi="仿宋" w:cs="仿宋"/>
              </w:rPr>
            </w:pPr>
            <w:r>
              <w:rPr>
                <w:rFonts w:hint="eastAsia" w:ascii="仿宋" w:hAnsi="仿宋" w:cs="仿宋"/>
                <w:kern w:val="0"/>
                <w:lang w:bidi="ar"/>
              </w:rPr>
              <w:t>科研数据库</w:t>
            </w:r>
          </w:p>
        </w:tc>
        <w:tc>
          <w:tcPr>
            <w:tcW w:w="719" w:type="pct"/>
            <w:vAlign w:val="center"/>
          </w:tcPr>
          <w:p>
            <w:pPr>
              <w:jc w:val="center"/>
              <w:rPr>
                <w:rFonts w:ascii="仿宋" w:hAnsi="仿宋" w:cs="仿宋"/>
              </w:rPr>
            </w:pPr>
            <w:r>
              <w:rPr>
                <w:rFonts w:hint="eastAsia" w:ascii="仿宋" w:hAnsi="仿宋" w:cs="仿宋"/>
              </w:rPr>
              <w:t>1套</w:t>
            </w:r>
          </w:p>
        </w:tc>
        <w:tc>
          <w:tcPr>
            <w:tcW w:w="642" w:type="pct"/>
            <w:vAlign w:val="center"/>
          </w:tcPr>
          <w:p>
            <w:pPr>
              <w:pStyle w:val="6"/>
              <w:ind w:firstLine="0"/>
              <w:rPr>
                <w:rFonts w:ascii="仿宋" w:hAnsi="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45" w:type="pct"/>
            <w:vAlign w:val="center"/>
          </w:tcPr>
          <w:p>
            <w:pPr>
              <w:widowControl/>
              <w:jc w:val="center"/>
              <w:rPr>
                <w:rFonts w:ascii="仿宋" w:hAnsi="仿宋" w:cs="仿宋"/>
              </w:rPr>
            </w:pPr>
            <w:r>
              <w:rPr>
                <w:rFonts w:hint="eastAsia" w:ascii="仿宋" w:hAnsi="仿宋" w:cs="仿宋"/>
              </w:rPr>
              <w:t>3</w:t>
            </w:r>
          </w:p>
        </w:tc>
        <w:tc>
          <w:tcPr>
            <w:tcW w:w="663" w:type="pct"/>
            <w:vMerge w:val="continue"/>
            <w:vAlign w:val="center"/>
          </w:tcPr>
          <w:p>
            <w:pPr>
              <w:widowControl/>
              <w:jc w:val="center"/>
              <w:textAlignment w:val="center"/>
              <w:rPr>
                <w:rFonts w:ascii="仿宋" w:hAnsi="仿宋" w:cs="仿宋"/>
              </w:rPr>
            </w:pPr>
          </w:p>
        </w:tc>
        <w:tc>
          <w:tcPr>
            <w:tcW w:w="2329" w:type="pct"/>
            <w:vAlign w:val="center"/>
          </w:tcPr>
          <w:p>
            <w:pPr>
              <w:widowControl/>
              <w:textAlignment w:val="center"/>
              <w:rPr>
                <w:rFonts w:ascii="仿宋" w:hAnsi="仿宋" w:cs="仿宋"/>
              </w:rPr>
            </w:pPr>
            <w:r>
              <w:rPr>
                <w:rFonts w:hint="eastAsia" w:ascii="仿宋" w:hAnsi="仿宋" w:cs="仿宋"/>
                <w:kern w:val="0"/>
                <w:lang w:bidi="ar"/>
              </w:rPr>
              <w:t>患者管理</w:t>
            </w:r>
          </w:p>
        </w:tc>
        <w:tc>
          <w:tcPr>
            <w:tcW w:w="719" w:type="pct"/>
            <w:vAlign w:val="center"/>
          </w:tcPr>
          <w:p>
            <w:pPr>
              <w:jc w:val="center"/>
              <w:rPr>
                <w:rFonts w:ascii="仿宋" w:hAnsi="仿宋" w:cs="仿宋"/>
              </w:rPr>
            </w:pPr>
            <w:r>
              <w:rPr>
                <w:rFonts w:hint="eastAsia" w:ascii="仿宋" w:hAnsi="仿宋" w:cs="仿宋"/>
              </w:rPr>
              <w:t>1套</w:t>
            </w:r>
          </w:p>
        </w:tc>
        <w:tc>
          <w:tcPr>
            <w:tcW w:w="642" w:type="pct"/>
            <w:vAlign w:val="center"/>
          </w:tcPr>
          <w:p>
            <w:pPr>
              <w:pStyle w:val="6"/>
              <w:ind w:firstLine="0"/>
              <w:rPr>
                <w:rFonts w:ascii="仿宋" w:hAnsi="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45" w:type="pct"/>
            <w:vAlign w:val="center"/>
          </w:tcPr>
          <w:p>
            <w:pPr>
              <w:widowControl/>
              <w:jc w:val="center"/>
              <w:rPr>
                <w:rFonts w:ascii="仿宋" w:hAnsi="仿宋" w:cs="仿宋"/>
              </w:rPr>
            </w:pPr>
            <w:r>
              <w:rPr>
                <w:rFonts w:hint="eastAsia" w:ascii="仿宋" w:hAnsi="仿宋" w:cs="仿宋"/>
              </w:rPr>
              <w:t>4</w:t>
            </w:r>
          </w:p>
        </w:tc>
        <w:tc>
          <w:tcPr>
            <w:tcW w:w="663" w:type="pct"/>
            <w:vMerge w:val="continue"/>
            <w:vAlign w:val="center"/>
          </w:tcPr>
          <w:p>
            <w:pPr>
              <w:widowControl/>
              <w:jc w:val="center"/>
              <w:textAlignment w:val="center"/>
              <w:rPr>
                <w:rFonts w:ascii="仿宋" w:hAnsi="仿宋" w:cs="仿宋"/>
                <w:kern w:val="0"/>
                <w:lang w:bidi="ar"/>
              </w:rPr>
            </w:pPr>
          </w:p>
        </w:tc>
        <w:tc>
          <w:tcPr>
            <w:tcW w:w="2329" w:type="pct"/>
            <w:vAlign w:val="center"/>
          </w:tcPr>
          <w:p>
            <w:pPr>
              <w:widowControl/>
              <w:textAlignment w:val="center"/>
              <w:rPr>
                <w:rFonts w:ascii="仿宋" w:hAnsi="仿宋" w:cs="仿宋"/>
              </w:rPr>
            </w:pPr>
            <w:r>
              <w:rPr>
                <w:rFonts w:hint="eastAsia" w:ascii="仿宋" w:hAnsi="仿宋" w:cs="仿宋"/>
              </w:rPr>
              <w:t>移动端</w:t>
            </w:r>
          </w:p>
        </w:tc>
        <w:tc>
          <w:tcPr>
            <w:tcW w:w="719" w:type="pct"/>
            <w:vAlign w:val="center"/>
          </w:tcPr>
          <w:p>
            <w:pPr>
              <w:jc w:val="center"/>
              <w:rPr>
                <w:rFonts w:ascii="仿宋" w:hAnsi="仿宋" w:cs="仿宋"/>
              </w:rPr>
            </w:pPr>
            <w:r>
              <w:rPr>
                <w:rFonts w:hint="eastAsia" w:ascii="仿宋" w:hAnsi="仿宋" w:cs="仿宋"/>
              </w:rPr>
              <w:t>1套</w:t>
            </w:r>
          </w:p>
        </w:tc>
        <w:tc>
          <w:tcPr>
            <w:tcW w:w="642" w:type="pct"/>
            <w:vAlign w:val="center"/>
          </w:tcPr>
          <w:p>
            <w:pPr>
              <w:pStyle w:val="6"/>
              <w:ind w:firstLine="0"/>
              <w:rPr>
                <w:rFonts w:ascii="仿宋" w:hAnsi="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exact"/>
          <w:jc w:val="center"/>
        </w:trPr>
        <w:tc>
          <w:tcPr>
            <w:tcW w:w="645" w:type="pct"/>
            <w:vAlign w:val="center"/>
          </w:tcPr>
          <w:p>
            <w:pPr>
              <w:widowControl/>
              <w:jc w:val="center"/>
              <w:rPr>
                <w:rFonts w:ascii="仿宋" w:hAnsi="仿宋" w:cs="仿宋"/>
              </w:rPr>
            </w:pPr>
            <w:r>
              <w:rPr>
                <w:rFonts w:hint="eastAsia" w:ascii="仿宋" w:hAnsi="仿宋" w:cs="仿宋"/>
              </w:rPr>
              <w:t>5</w:t>
            </w:r>
          </w:p>
        </w:tc>
        <w:tc>
          <w:tcPr>
            <w:tcW w:w="663" w:type="pct"/>
            <w:vMerge w:val="continue"/>
            <w:vAlign w:val="center"/>
          </w:tcPr>
          <w:p>
            <w:pPr>
              <w:widowControl/>
              <w:jc w:val="center"/>
              <w:textAlignment w:val="center"/>
              <w:rPr>
                <w:rFonts w:ascii="仿宋" w:hAnsi="仿宋" w:cs="仿宋"/>
                <w:kern w:val="0"/>
                <w:lang w:bidi="ar"/>
              </w:rPr>
            </w:pPr>
          </w:p>
        </w:tc>
        <w:tc>
          <w:tcPr>
            <w:tcW w:w="2329" w:type="pct"/>
            <w:vAlign w:val="center"/>
          </w:tcPr>
          <w:p>
            <w:pPr>
              <w:widowControl/>
              <w:textAlignment w:val="center"/>
              <w:rPr>
                <w:rFonts w:ascii="仿宋" w:hAnsi="仿宋" w:cs="仿宋"/>
                <w:kern w:val="0"/>
                <w:lang w:bidi="ar"/>
              </w:rPr>
            </w:pPr>
            <w:r>
              <w:rPr>
                <w:rFonts w:hint="eastAsia" w:ascii="仿宋" w:hAnsi="仿宋" w:cs="仿宋"/>
                <w:kern w:val="0"/>
                <w:lang w:bidi="ar"/>
              </w:rPr>
              <w:t>系统管理</w:t>
            </w:r>
          </w:p>
        </w:tc>
        <w:tc>
          <w:tcPr>
            <w:tcW w:w="719" w:type="pct"/>
            <w:vAlign w:val="center"/>
          </w:tcPr>
          <w:p>
            <w:pPr>
              <w:jc w:val="center"/>
              <w:rPr>
                <w:rFonts w:ascii="仿宋" w:hAnsi="仿宋" w:cs="仿宋"/>
              </w:rPr>
            </w:pPr>
            <w:r>
              <w:rPr>
                <w:rFonts w:hint="eastAsia" w:ascii="仿宋" w:hAnsi="仿宋" w:cs="仿宋"/>
              </w:rPr>
              <w:t>1套</w:t>
            </w:r>
          </w:p>
          <w:p>
            <w:pPr>
              <w:jc w:val="center"/>
              <w:rPr>
                <w:rFonts w:ascii="仿宋" w:hAnsi="仿宋" w:cs="仿宋"/>
              </w:rPr>
            </w:pPr>
          </w:p>
        </w:tc>
        <w:tc>
          <w:tcPr>
            <w:tcW w:w="642" w:type="pct"/>
            <w:vAlign w:val="center"/>
          </w:tcPr>
          <w:p>
            <w:pPr>
              <w:pStyle w:val="6"/>
              <w:ind w:firstLine="0"/>
              <w:rPr>
                <w:rFonts w:ascii="仿宋" w:hAnsi="仿宋" w:cs="仿宋"/>
                <w:szCs w:val="24"/>
              </w:rPr>
            </w:pPr>
          </w:p>
        </w:tc>
      </w:tr>
    </w:tbl>
    <w:p>
      <w:pPr>
        <w:pStyle w:val="4"/>
        <w:rPr>
          <w:rFonts w:ascii="仿宋" w:hAnsi="仿宋" w:cs="黑体"/>
          <w:sz w:val="24"/>
        </w:rPr>
      </w:pPr>
      <w:r>
        <w:rPr>
          <w:rFonts w:hint="eastAsia" w:ascii="仿宋" w:hAnsi="仿宋" w:cs="黑体"/>
          <w:sz w:val="24"/>
        </w:rPr>
        <w:t>二、商务要求</w:t>
      </w:r>
    </w:p>
    <w:p>
      <w:pPr>
        <w:ind w:firstLine="480" w:firstLineChars="200"/>
        <w:rPr>
          <w:rFonts w:ascii="仿宋" w:hAnsi="仿宋" w:cs="仿宋"/>
        </w:rPr>
      </w:pPr>
      <w:r>
        <w:rPr>
          <w:rFonts w:hint="eastAsia" w:ascii="仿宋" w:hAnsi="仿宋" w:cs="黑体"/>
        </w:rPr>
        <w:t>★</w:t>
      </w:r>
      <w:r>
        <w:rPr>
          <w:rFonts w:hint="eastAsia" w:ascii="仿宋" w:hAnsi="仿宋" w:cs="仿宋"/>
        </w:rPr>
        <w:t>1、完成时间及地点</w:t>
      </w:r>
    </w:p>
    <w:p>
      <w:pPr>
        <w:ind w:firstLine="480" w:firstLineChars="200"/>
        <w:rPr>
          <w:rFonts w:ascii="仿宋" w:hAnsi="仿宋" w:cs="仿宋"/>
        </w:rPr>
      </w:pPr>
      <w:r>
        <w:rPr>
          <w:rFonts w:hint="eastAsia" w:ascii="仿宋" w:hAnsi="仿宋" w:cs="仿宋"/>
        </w:rPr>
        <w:t>完成时间：合同签订生效后，在接到采购人正式通知的前提下，系统将在150个日历日内完成并交付采购人验收。</w:t>
      </w:r>
    </w:p>
    <w:p>
      <w:pPr>
        <w:ind w:firstLine="480" w:firstLineChars="200"/>
      </w:pPr>
      <w:r>
        <w:rPr>
          <w:rFonts w:hint="eastAsia" w:ascii="仿宋" w:hAnsi="仿宋" w:cs="仿宋"/>
        </w:rPr>
        <w:t>完成地点: 成都市第三人民医院</w:t>
      </w:r>
    </w:p>
    <w:p>
      <w:pPr>
        <w:ind w:firstLine="480" w:firstLineChars="200"/>
        <w:rPr>
          <w:rFonts w:ascii="仿宋" w:hAnsi="仿宋" w:cs="仿宋"/>
        </w:rPr>
      </w:pPr>
      <w:r>
        <w:rPr>
          <w:rFonts w:hint="eastAsia" w:ascii="仿宋" w:hAnsi="仿宋" w:cs="黑体"/>
        </w:rPr>
        <w:t>★</w:t>
      </w:r>
      <w:r>
        <w:rPr>
          <w:rFonts w:hint="eastAsia" w:ascii="仿宋" w:hAnsi="仿宋" w:cs="仿宋"/>
        </w:rPr>
        <w:t>2、付款方法和条件</w:t>
      </w:r>
    </w:p>
    <w:p>
      <w:pPr>
        <w:ind w:firstLine="480" w:firstLineChars="200"/>
        <w:rPr>
          <w:rFonts w:hint="eastAsia" w:ascii="仿宋" w:hAnsi="仿宋"/>
          <w:color w:val="auto"/>
        </w:rPr>
      </w:pPr>
      <w:r>
        <w:rPr>
          <w:rFonts w:hint="eastAsia" w:ascii="仿宋" w:hAnsi="仿宋"/>
          <w:color w:val="auto"/>
        </w:rPr>
        <w:t>合同签订后，5个工作日内向中标人支付合同总金额的40%预付款；项目整体验收完成后，收到发票后15日内支付合同总金额的55%；剩余合同总金额的5%从验收合格之日起一年满后收到发票后15日内支付（不计利息）。</w:t>
      </w:r>
    </w:p>
    <w:p>
      <w:pPr>
        <w:ind w:firstLine="480" w:firstLineChars="200"/>
        <w:rPr>
          <w:rFonts w:ascii="仿宋" w:hAnsi="仿宋" w:cs="仿宋"/>
        </w:rPr>
      </w:pPr>
      <w:r>
        <w:rPr>
          <w:rFonts w:hint="eastAsia" w:ascii="仿宋" w:hAnsi="仿宋" w:cs="黑体"/>
        </w:rPr>
        <w:t>★</w:t>
      </w:r>
      <w:r>
        <w:rPr>
          <w:rFonts w:hint="eastAsia" w:ascii="仿宋" w:hAnsi="仿宋" w:cs="仿宋"/>
        </w:rPr>
        <w:t>3、验收方式</w:t>
      </w:r>
    </w:p>
    <w:p>
      <w:pPr>
        <w:ind w:firstLine="480" w:firstLineChars="200"/>
        <w:rPr>
          <w:rFonts w:ascii="仿宋" w:hAnsi="仿宋" w:cs="仿宋"/>
        </w:rPr>
      </w:pPr>
      <w:r>
        <w:rPr>
          <w:rFonts w:hint="eastAsia" w:ascii="仿宋" w:hAnsi="仿宋" w:cs="仿宋"/>
        </w:rPr>
        <w:t>中标人在经过系统开发测试后提供给招标人使用，功能完全符合招投标文件技术要求且试运行正常后方可验收。</w:t>
      </w:r>
    </w:p>
    <w:p>
      <w:pPr>
        <w:ind w:firstLine="480" w:firstLineChars="200"/>
        <w:rPr>
          <w:rFonts w:ascii="仿宋" w:hAnsi="仿宋" w:cs="仿宋"/>
        </w:rPr>
      </w:pPr>
      <w:r>
        <w:rPr>
          <w:rFonts w:hint="eastAsia" w:ascii="仿宋" w:hAnsi="仿宋" w:cs="黑体"/>
        </w:rPr>
        <w:t>★</w:t>
      </w:r>
      <w:r>
        <w:rPr>
          <w:rFonts w:hint="eastAsia" w:ascii="仿宋" w:hAnsi="仿宋" w:cs="仿宋"/>
        </w:rPr>
        <w:t>4、售后服务</w:t>
      </w:r>
    </w:p>
    <w:p>
      <w:pPr>
        <w:ind w:firstLine="480" w:firstLineChars="200"/>
        <w:rPr>
          <w:rFonts w:ascii="仿宋" w:hAnsi="仿宋" w:cs="仿宋"/>
        </w:rPr>
      </w:pPr>
      <w:r>
        <w:rPr>
          <w:rFonts w:hint="eastAsia" w:ascii="仿宋" w:hAnsi="仿宋" w:cs="仿宋"/>
        </w:rPr>
        <w:t>4.1 从验收合格之日起，提供一年质保。</w:t>
      </w:r>
    </w:p>
    <w:p>
      <w:pPr>
        <w:ind w:firstLine="480" w:firstLineChars="200"/>
        <w:rPr>
          <w:rFonts w:ascii="仿宋" w:hAnsi="仿宋" w:cs="仿宋"/>
        </w:rPr>
      </w:pPr>
      <w:r>
        <w:rPr>
          <w:rFonts w:hint="eastAsia" w:ascii="仿宋" w:hAnsi="仿宋" w:cs="仿宋"/>
        </w:rPr>
        <w:t>4.2 系统调试完成后，须对采购人相关人员提供课程培训，培训要求如下：</w:t>
      </w:r>
    </w:p>
    <w:p>
      <w:pPr>
        <w:ind w:firstLine="480" w:firstLineChars="200"/>
        <w:rPr>
          <w:rFonts w:ascii="仿宋" w:hAnsi="仿宋" w:cs="仿宋"/>
        </w:rPr>
      </w:pPr>
      <w:r>
        <w:rPr>
          <w:rFonts w:hint="eastAsia" w:ascii="仿宋" w:hAnsi="仿宋" w:cs="仿宋"/>
        </w:rPr>
        <w:t>（1）中标人应针对系统应用及系统维护等提供相应的培训；</w:t>
      </w:r>
    </w:p>
    <w:p>
      <w:pPr>
        <w:ind w:firstLine="480" w:firstLineChars="200"/>
        <w:rPr>
          <w:rFonts w:ascii="仿宋" w:hAnsi="仿宋" w:cs="仿宋"/>
        </w:rPr>
      </w:pPr>
      <w:r>
        <w:rPr>
          <w:rFonts w:hint="eastAsia" w:ascii="仿宋" w:hAnsi="仿宋" w:cs="仿宋"/>
        </w:rPr>
        <w:t>（2）培训活动前，投标人应向系统使用方提供培训文档，经使用方确认后，开展培训活动，并在培训活动结束后形成报告；</w:t>
      </w:r>
    </w:p>
    <w:p>
      <w:pPr>
        <w:ind w:firstLine="480" w:firstLineChars="200"/>
        <w:rPr>
          <w:rFonts w:ascii="仿宋" w:hAnsi="仿宋" w:cs="仿宋"/>
        </w:rPr>
      </w:pPr>
      <w:r>
        <w:rPr>
          <w:rFonts w:hint="eastAsia" w:ascii="仿宋" w:hAnsi="仿宋" w:cs="仿宋"/>
        </w:rPr>
        <w:t>（3）须配置不少于 2 名专职培训人员，培训人员须具备2年以上的软件、硬件等内容的培训经验，按采购人的要求完成日常培训工作。</w:t>
      </w:r>
    </w:p>
    <w:p>
      <w:pPr>
        <w:ind w:firstLine="480" w:firstLineChars="200"/>
        <w:rPr>
          <w:rFonts w:ascii="仿宋" w:hAnsi="仿宋" w:cs="仿宋"/>
        </w:rPr>
      </w:pPr>
      <w:r>
        <w:rPr>
          <w:rFonts w:hint="eastAsia" w:ascii="仿宋" w:hAnsi="仿宋" w:cs="仿宋"/>
        </w:rPr>
        <w:t>4.3 中标人提供每周7×24小时服务。接到采购人通知后应确保 2 小时内响应，4 小时内排除故障（若遇重大故障，3小时内通知采购人并进行协商故障排除时间）。如采购人要求提供现场服务，应在 4 小时内到达采购人指定地点，若因特殊原因无法在指定时间内到达的，需2小时内和采购人进行协商并取得采购人同意。（说明：提供加盖投标人公章的承诺函原件，格式自拟）</w:t>
      </w:r>
    </w:p>
    <w:p>
      <w:pPr>
        <w:ind w:firstLine="480" w:firstLineChars="200"/>
      </w:pPr>
      <w:r>
        <w:rPr>
          <w:rFonts w:hint="eastAsia" w:ascii="仿宋" w:hAnsi="仿宋" w:cs="仿宋"/>
        </w:rPr>
        <w:t>4.4 质保期内，当软件有升级版本时，中标人及时为采购人提供升级服务，所需费用包含在报价中。</w:t>
      </w:r>
    </w:p>
    <w:p>
      <w:pPr>
        <w:pStyle w:val="95"/>
        <w:rPr>
          <w:color w:val="auto"/>
        </w:rPr>
      </w:pPr>
    </w:p>
    <w:p>
      <w:pPr>
        <w:pStyle w:val="4"/>
        <w:rPr>
          <w:rFonts w:ascii="仿宋" w:hAnsi="仿宋" w:cs="黑体"/>
          <w:sz w:val="24"/>
        </w:rPr>
      </w:pPr>
      <w:r>
        <w:rPr>
          <w:rFonts w:hint="eastAsia" w:ascii="仿宋" w:hAnsi="仿宋" w:cs="黑体"/>
          <w:sz w:val="24"/>
        </w:rPr>
        <w:t>三、技术、服务要求</w:t>
      </w:r>
    </w:p>
    <w:p>
      <w:pPr>
        <w:numPr>
          <w:ilvl w:val="255"/>
          <w:numId w:val="0"/>
        </w:numPr>
        <w:rPr>
          <w:rFonts w:ascii="仿宋" w:hAnsi="仿宋" w:cs="仿宋"/>
          <w:b/>
        </w:rPr>
      </w:pPr>
      <w:r>
        <w:rPr>
          <w:rFonts w:hint="eastAsia" w:ascii="仿宋" w:hAnsi="仿宋" w:cs="仿宋"/>
          <w:b/>
        </w:rPr>
        <w:t>1、系统功能及技术要求</w:t>
      </w:r>
    </w:p>
    <w:p>
      <w:pPr>
        <w:widowControl/>
        <w:numPr>
          <w:ilvl w:val="255"/>
          <w:numId w:val="0"/>
        </w:numPr>
        <w:textAlignment w:val="center"/>
        <w:rPr>
          <w:rFonts w:ascii="仿宋" w:hAnsi="仿宋" w:cs="仿宋"/>
          <w:bCs/>
        </w:rPr>
      </w:pPr>
      <w:r>
        <w:rPr>
          <w:rFonts w:hint="eastAsia" w:ascii="仿宋" w:hAnsi="仿宋" w:cs="仿宋"/>
        </w:rPr>
        <w:t>1.1</w:t>
      </w:r>
      <w:r>
        <w:rPr>
          <w:rFonts w:hint="eastAsia" w:ascii="仿宋" w:hAnsi="仿宋" w:cs="仿宋"/>
          <w:b/>
          <w:bCs/>
        </w:rPr>
        <w:t>数据采集</w:t>
      </w:r>
      <w:r>
        <w:rPr>
          <w:rFonts w:hint="eastAsia" w:ascii="仿宋" w:hAnsi="仿宋" w:cs="仿宋"/>
        </w:rPr>
        <w:t>：</w:t>
      </w:r>
      <w:r>
        <w:rPr>
          <w:rFonts w:hint="eastAsia" w:ascii="仿宋" w:hAnsi="仿宋" w:cs="仿宋"/>
          <w:bCs/>
        </w:rPr>
        <w:t>系统需要进行数据采集与存储，包括但不限于以下方面：</w:t>
      </w:r>
    </w:p>
    <w:p>
      <w:pPr>
        <w:widowControl/>
        <w:ind w:firstLine="482" w:firstLineChars="200"/>
        <w:textAlignment w:val="center"/>
        <w:rPr>
          <w:rFonts w:ascii="仿宋" w:hAnsi="仿宋" w:cs="仿宋"/>
          <w:b/>
        </w:rPr>
      </w:pPr>
      <w:r>
        <w:rPr>
          <w:rFonts w:hint="eastAsia" w:ascii="仿宋" w:hAnsi="仿宋" w:cs="仿宋"/>
          <w:b/>
        </w:rPr>
        <w:t>▲1.1.1</w:t>
      </w:r>
      <w:r>
        <w:rPr>
          <w:rFonts w:hint="eastAsia" w:ascii="仿宋" w:hAnsi="仿宋" w:cs="仿宋"/>
          <w:kern w:val="0"/>
          <w:lang w:bidi="ar"/>
        </w:rPr>
        <w:t>采集HIS数据并存储；</w:t>
      </w:r>
    </w:p>
    <w:p>
      <w:pPr>
        <w:widowControl/>
        <w:ind w:firstLine="482" w:firstLineChars="200"/>
        <w:textAlignment w:val="center"/>
        <w:rPr>
          <w:rFonts w:ascii="仿宋" w:hAnsi="仿宋" w:cs="仿宋"/>
        </w:rPr>
      </w:pPr>
      <w:r>
        <w:rPr>
          <w:rFonts w:hint="eastAsia" w:ascii="仿宋" w:hAnsi="仿宋" w:cs="仿宋"/>
          <w:b/>
        </w:rPr>
        <w:t>▲1.1.2</w:t>
      </w:r>
      <w:r>
        <w:rPr>
          <w:rFonts w:hint="eastAsia" w:ascii="仿宋" w:hAnsi="仿宋" w:cs="仿宋"/>
          <w:kern w:val="0"/>
          <w:lang w:bidi="ar"/>
        </w:rPr>
        <w:t>采集LIS数据并存储；</w:t>
      </w:r>
    </w:p>
    <w:p>
      <w:pPr>
        <w:pStyle w:val="95"/>
        <w:spacing w:line="360" w:lineRule="auto"/>
        <w:ind w:firstLine="482" w:firstLineChars="200"/>
        <w:rPr>
          <w:rFonts w:ascii="仿宋" w:hAnsi="仿宋" w:eastAsia="仿宋" w:cs="仿宋"/>
          <w:color w:val="auto"/>
          <w:lang w:bidi="ar"/>
        </w:rPr>
      </w:pPr>
      <w:r>
        <w:rPr>
          <w:rFonts w:hint="eastAsia" w:ascii="仿宋" w:hAnsi="仿宋" w:eastAsia="仿宋" w:cs="仿宋"/>
          <w:b/>
          <w:color w:val="auto"/>
        </w:rPr>
        <w:t>▲1.1.3</w:t>
      </w:r>
      <w:r>
        <w:rPr>
          <w:rFonts w:hint="eastAsia" w:ascii="仿宋" w:hAnsi="仿宋" w:eastAsia="仿宋" w:cs="仿宋"/>
          <w:color w:val="auto"/>
          <w:lang w:bidi="ar"/>
        </w:rPr>
        <w:t>采集PACS数据并存储。</w:t>
      </w:r>
    </w:p>
    <w:p>
      <w:pPr>
        <w:widowControl/>
        <w:textAlignment w:val="center"/>
        <w:rPr>
          <w:rFonts w:ascii="仿宋" w:hAnsi="仿宋" w:cs="仿宋"/>
          <w:bCs/>
        </w:rPr>
      </w:pPr>
      <w:r>
        <w:rPr>
          <w:rFonts w:hint="eastAsia" w:ascii="仿宋" w:hAnsi="仿宋" w:cs="仿宋"/>
          <w:b/>
          <w:bCs/>
          <w:kern w:val="0"/>
          <w:lang w:bidi="ar"/>
        </w:rPr>
        <w:t>1.2科研数据库：</w:t>
      </w:r>
      <w:r>
        <w:rPr>
          <w:rFonts w:hint="eastAsia" w:ascii="仿宋" w:hAnsi="仿宋" w:cs="仿宋"/>
          <w:bCs/>
        </w:rPr>
        <w:t>根据系统功能需要存储数据包括但不限于以下方面：</w:t>
      </w:r>
    </w:p>
    <w:p>
      <w:pPr>
        <w:widowControl/>
        <w:ind w:firstLine="482" w:firstLineChars="200"/>
        <w:textAlignment w:val="center"/>
        <w:rPr>
          <w:rFonts w:ascii="仿宋" w:hAnsi="仿宋" w:cs="仿宋"/>
          <w:b/>
        </w:rPr>
      </w:pPr>
      <w:r>
        <w:rPr>
          <w:rFonts w:hint="eastAsia" w:ascii="仿宋" w:hAnsi="仿宋" w:cs="仿宋"/>
          <w:b/>
        </w:rPr>
        <w:t>▲1.2.1</w:t>
      </w:r>
      <w:r>
        <w:rPr>
          <w:rFonts w:hint="eastAsia" w:ascii="仿宋" w:hAnsi="仿宋" w:cs="仿宋"/>
          <w:kern w:val="0"/>
          <w:lang w:bidi="ar"/>
        </w:rPr>
        <w:t>个人健康档案存储：个人基本信息、家族疾病史、自评健康状况、个人疾病史、用药史、抑郁和焦虑筛查等。</w:t>
      </w:r>
    </w:p>
    <w:p>
      <w:pPr>
        <w:widowControl/>
        <w:ind w:firstLine="482" w:firstLineChars="200"/>
        <w:textAlignment w:val="center"/>
        <w:rPr>
          <w:rFonts w:ascii="仿宋" w:hAnsi="仿宋" w:cs="仿宋"/>
        </w:rPr>
      </w:pPr>
      <w:r>
        <w:rPr>
          <w:rFonts w:hint="eastAsia" w:ascii="仿宋" w:hAnsi="仿宋" w:cs="仿宋"/>
          <w:b/>
        </w:rPr>
        <w:t>▲1.2.2</w:t>
      </w:r>
      <w:r>
        <w:rPr>
          <w:rFonts w:hint="eastAsia" w:ascii="仿宋" w:hAnsi="仿宋" w:cs="仿宋"/>
          <w:kern w:val="0"/>
          <w:lang w:bidi="ar"/>
        </w:rPr>
        <w:t>术前检查数据存储：体格检查等。</w:t>
      </w:r>
    </w:p>
    <w:p>
      <w:pPr>
        <w:widowControl/>
        <w:ind w:firstLine="482" w:firstLineChars="200"/>
        <w:textAlignment w:val="center"/>
        <w:rPr>
          <w:rFonts w:ascii="仿宋" w:hAnsi="仿宋" w:cs="仿宋"/>
        </w:rPr>
      </w:pPr>
      <w:r>
        <w:rPr>
          <w:rFonts w:hint="eastAsia" w:ascii="仿宋" w:hAnsi="仿宋" w:cs="仿宋"/>
          <w:b/>
        </w:rPr>
        <w:t>▲1.2.3</w:t>
      </w:r>
      <w:r>
        <w:rPr>
          <w:rFonts w:hint="eastAsia" w:ascii="仿宋" w:hAnsi="仿宋" w:cs="仿宋"/>
          <w:kern w:val="0"/>
          <w:lang w:bidi="ar"/>
        </w:rPr>
        <w:t>术中检查数据存储：手术术式等。</w:t>
      </w:r>
    </w:p>
    <w:p>
      <w:pPr>
        <w:widowControl/>
        <w:ind w:firstLine="482" w:firstLineChars="200"/>
        <w:textAlignment w:val="center"/>
        <w:rPr>
          <w:rFonts w:ascii="仿宋" w:hAnsi="仿宋" w:cs="仿宋"/>
        </w:rPr>
      </w:pPr>
      <w:r>
        <w:rPr>
          <w:rFonts w:hint="eastAsia" w:ascii="仿宋" w:hAnsi="仿宋" w:cs="仿宋"/>
          <w:b/>
        </w:rPr>
        <w:t>▲1.2.4</w:t>
      </w:r>
      <w:r>
        <w:rPr>
          <w:rFonts w:hint="eastAsia" w:ascii="仿宋" w:hAnsi="仿宋" w:cs="仿宋"/>
          <w:kern w:val="0"/>
          <w:lang w:bidi="ar"/>
        </w:rPr>
        <w:t>术后检查数据存储：问卷、体格检查等。</w:t>
      </w:r>
    </w:p>
    <w:p>
      <w:pPr>
        <w:pStyle w:val="95"/>
        <w:spacing w:line="360" w:lineRule="auto"/>
        <w:ind w:firstLine="482" w:firstLineChars="200"/>
        <w:rPr>
          <w:rFonts w:ascii="仿宋" w:hAnsi="仿宋" w:eastAsia="仿宋" w:cs="仿宋"/>
          <w:color w:val="auto"/>
          <w:lang w:bidi="ar"/>
        </w:rPr>
      </w:pPr>
      <w:r>
        <w:rPr>
          <w:rFonts w:hint="eastAsia" w:ascii="仿宋" w:hAnsi="仿宋" w:eastAsia="仿宋" w:cs="仿宋"/>
          <w:b/>
          <w:color w:val="auto"/>
        </w:rPr>
        <w:t>▲1.2.5</w:t>
      </w:r>
      <w:r>
        <w:rPr>
          <w:rFonts w:hint="eastAsia" w:ascii="仿宋" w:hAnsi="仿宋" w:eastAsia="仿宋" w:cs="仿宋"/>
          <w:color w:val="auto"/>
          <w:lang w:bidi="ar"/>
        </w:rPr>
        <w:t>随访数据存储：问卷等。</w:t>
      </w:r>
    </w:p>
    <w:p>
      <w:pPr>
        <w:widowControl/>
        <w:textAlignment w:val="center"/>
        <w:rPr>
          <w:rFonts w:ascii="仿宋" w:hAnsi="仿宋" w:cs="仿宋"/>
          <w:bCs/>
        </w:rPr>
      </w:pPr>
      <w:r>
        <w:rPr>
          <w:rFonts w:hint="eastAsia" w:ascii="仿宋" w:hAnsi="仿宋" w:cs="仿宋"/>
          <w:b/>
          <w:bCs/>
          <w:kern w:val="0"/>
          <w:lang w:bidi="ar"/>
        </w:rPr>
        <w:t>1.3患者管理</w:t>
      </w:r>
      <w:r>
        <w:rPr>
          <w:rFonts w:hint="eastAsia" w:ascii="仿宋" w:hAnsi="仿宋" w:cs="仿宋"/>
          <w:kern w:val="0"/>
          <w:lang w:bidi="ar"/>
        </w:rPr>
        <w:t>：</w:t>
      </w:r>
      <w:r>
        <w:rPr>
          <w:rFonts w:hint="eastAsia" w:ascii="仿宋" w:hAnsi="仿宋" w:cs="仿宋"/>
          <w:bCs/>
        </w:rPr>
        <w:t>根据系统功能需要存储数据包括但不限于以下方面：</w:t>
      </w:r>
    </w:p>
    <w:p>
      <w:pPr>
        <w:widowControl/>
        <w:ind w:firstLine="482" w:firstLineChars="200"/>
        <w:textAlignment w:val="center"/>
        <w:rPr>
          <w:rFonts w:ascii="仿宋" w:hAnsi="仿宋" w:cs="仿宋"/>
          <w:b/>
        </w:rPr>
      </w:pPr>
      <w:r>
        <w:rPr>
          <w:rFonts w:hint="eastAsia" w:ascii="仿宋" w:hAnsi="仿宋" w:cs="仿宋"/>
          <w:b/>
        </w:rPr>
        <w:t>▲1.3.1</w:t>
      </w:r>
      <w:r>
        <w:rPr>
          <w:rFonts w:hint="eastAsia" w:ascii="仿宋" w:hAnsi="仿宋" w:cs="仿宋"/>
          <w:kern w:val="0"/>
          <w:lang w:bidi="ar"/>
        </w:rPr>
        <w:t>个人健康档案存储：个人基本信息、家族疾病史、自评健康状况、个人疾病史、用药史、抑郁和焦虑筛查等。</w:t>
      </w:r>
    </w:p>
    <w:p>
      <w:pPr>
        <w:widowControl/>
        <w:ind w:firstLine="482" w:firstLineChars="200"/>
        <w:textAlignment w:val="center"/>
        <w:rPr>
          <w:rFonts w:ascii="仿宋" w:hAnsi="仿宋" w:cs="仿宋"/>
        </w:rPr>
      </w:pPr>
      <w:r>
        <w:rPr>
          <w:rFonts w:hint="eastAsia" w:ascii="仿宋" w:hAnsi="仿宋" w:cs="仿宋"/>
          <w:b/>
        </w:rPr>
        <w:t>▲1.3.2</w:t>
      </w:r>
      <w:r>
        <w:rPr>
          <w:rFonts w:hint="eastAsia" w:ascii="仿宋" w:hAnsi="仿宋" w:cs="仿宋"/>
          <w:kern w:val="0"/>
          <w:lang w:bidi="ar"/>
        </w:rPr>
        <w:t>术前检查数据存储：体格检查等。</w:t>
      </w:r>
    </w:p>
    <w:p>
      <w:pPr>
        <w:widowControl/>
        <w:ind w:firstLine="482" w:firstLineChars="200"/>
        <w:textAlignment w:val="center"/>
        <w:rPr>
          <w:rFonts w:ascii="仿宋" w:hAnsi="仿宋" w:cs="仿宋"/>
        </w:rPr>
      </w:pPr>
      <w:r>
        <w:rPr>
          <w:rFonts w:hint="eastAsia" w:ascii="仿宋" w:hAnsi="仿宋" w:cs="仿宋"/>
          <w:b/>
        </w:rPr>
        <w:t>▲1.3.3</w:t>
      </w:r>
      <w:r>
        <w:rPr>
          <w:rFonts w:hint="eastAsia" w:ascii="仿宋" w:hAnsi="仿宋" w:cs="仿宋"/>
          <w:kern w:val="0"/>
          <w:lang w:bidi="ar"/>
        </w:rPr>
        <w:t>术中检查数据存储：手术术式等。</w:t>
      </w:r>
    </w:p>
    <w:p>
      <w:pPr>
        <w:widowControl/>
        <w:ind w:firstLine="482" w:firstLineChars="200"/>
        <w:textAlignment w:val="center"/>
        <w:rPr>
          <w:rFonts w:ascii="仿宋" w:hAnsi="仿宋" w:cs="仿宋"/>
        </w:rPr>
      </w:pPr>
      <w:r>
        <w:rPr>
          <w:rFonts w:hint="eastAsia" w:ascii="仿宋" w:hAnsi="仿宋" w:cs="仿宋"/>
          <w:b/>
        </w:rPr>
        <w:t>▲1.3.4</w:t>
      </w:r>
      <w:r>
        <w:rPr>
          <w:rFonts w:hint="eastAsia" w:ascii="仿宋" w:hAnsi="仿宋" w:cs="仿宋"/>
          <w:kern w:val="0"/>
          <w:lang w:bidi="ar"/>
        </w:rPr>
        <w:t>术后检查数据存储：问卷、体格检查等。</w:t>
      </w:r>
    </w:p>
    <w:p>
      <w:pPr>
        <w:pStyle w:val="95"/>
        <w:spacing w:line="360" w:lineRule="auto"/>
        <w:ind w:firstLine="482" w:firstLineChars="200"/>
        <w:rPr>
          <w:rFonts w:ascii="仿宋" w:hAnsi="仿宋" w:eastAsia="仿宋" w:cs="仿宋"/>
          <w:color w:val="auto"/>
          <w:lang w:bidi="ar"/>
        </w:rPr>
      </w:pPr>
      <w:r>
        <w:rPr>
          <w:rFonts w:hint="eastAsia" w:ascii="仿宋" w:hAnsi="仿宋" w:eastAsia="仿宋" w:cs="仿宋"/>
          <w:b/>
          <w:color w:val="auto"/>
        </w:rPr>
        <w:t>▲1.3.5</w:t>
      </w:r>
      <w:r>
        <w:rPr>
          <w:rFonts w:hint="eastAsia" w:ascii="仿宋" w:hAnsi="仿宋" w:eastAsia="仿宋" w:cs="仿宋"/>
          <w:color w:val="auto"/>
          <w:lang w:bidi="ar"/>
        </w:rPr>
        <w:t>随访数据存储：问卷等。</w:t>
      </w:r>
    </w:p>
    <w:p>
      <w:pPr>
        <w:widowControl/>
        <w:textAlignment w:val="center"/>
        <w:rPr>
          <w:rFonts w:ascii="仿宋" w:hAnsi="仿宋" w:cs="仿宋"/>
          <w:bCs/>
        </w:rPr>
      </w:pPr>
      <w:r>
        <w:rPr>
          <w:rFonts w:hint="eastAsia" w:ascii="仿宋" w:hAnsi="仿宋" w:cs="仿宋"/>
          <w:b/>
          <w:bCs/>
        </w:rPr>
        <w:t>1.4移动端功能</w:t>
      </w:r>
      <w:r>
        <w:rPr>
          <w:rFonts w:hint="eastAsia" w:ascii="仿宋" w:hAnsi="仿宋" w:cs="仿宋"/>
        </w:rPr>
        <w:t>：</w:t>
      </w:r>
      <w:r>
        <w:rPr>
          <w:rFonts w:hint="eastAsia" w:ascii="仿宋" w:hAnsi="仿宋" w:cs="仿宋"/>
          <w:bCs/>
        </w:rPr>
        <w:t>根据系统功能需要移动端实现包括但不限于以下方面：</w:t>
      </w:r>
    </w:p>
    <w:p>
      <w:pPr>
        <w:widowControl/>
        <w:ind w:firstLine="482" w:firstLineChars="200"/>
        <w:textAlignment w:val="center"/>
        <w:rPr>
          <w:rFonts w:ascii="仿宋" w:hAnsi="仿宋" w:cs="仿宋"/>
          <w:kern w:val="0"/>
          <w:lang w:bidi="ar"/>
        </w:rPr>
      </w:pPr>
      <w:r>
        <w:rPr>
          <w:rFonts w:hint="eastAsia" w:ascii="仿宋" w:hAnsi="仿宋" w:cs="仿宋"/>
          <w:b/>
        </w:rPr>
        <w:t>▲1.4.1</w:t>
      </w:r>
      <w:r>
        <w:rPr>
          <w:rFonts w:hint="eastAsia" w:ascii="仿宋" w:hAnsi="仿宋" w:cs="仿宋"/>
          <w:kern w:val="0"/>
          <w:lang w:bidi="ar"/>
        </w:rPr>
        <w:t>术前问卷：支持医生在平板中填写问卷调查。</w:t>
      </w:r>
    </w:p>
    <w:p>
      <w:pPr>
        <w:widowControl/>
        <w:ind w:firstLine="482" w:firstLineChars="200"/>
        <w:textAlignment w:val="center"/>
        <w:rPr>
          <w:rFonts w:ascii="仿宋" w:hAnsi="仿宋" w:cs="仿宋"/>
        </w:rPr>
      </w:pPr>
      <w:r>
        <w:rPr>
          <w:rFonts w:hint="eastAsia" w:ascii="仿宋" w:hAnsi="仿宋" w:cs="仿宋"/>
          <w:b/>
        </w:rPr>
        <w:t>▲1.4.2</w:t>
      </w:r>
      <w:r>
        <w:rPr>
          <w:rFonts w:hint="eastAsia" w:ascii="仿宋" w:hAnsi="仿宋" w:cs="仿宋"/>
          <w:kern w:val="0"/>
          <w:lang w:bidi="ar"/>
        </w:rPr>
        <w:t>术后问卷：支持医生在平板中填写问卷调查。</w:t>
      </w:r>
    </w:p>
    <w:p>
      <w:pPr>
        <w:pStyle w:val="95"/>
        <w:spacing w:line="360" w:lineRule="auto"/>
        <w:ind w:firstLine="482" w:firstLineChars="200"/>
        <w:rPr>
          <w:rFonts w:ascii="仿宋" w:hAnsi="仿宋" w:eastAsia="仿宋" w:cs="仿宋"/>
          <w:color w:val="auto"/>
          <w:lang w:bidi="ar"/>
        </w:rPr>
      </w:pPr>
      <w:r>
        <w:rPr>
          <w:rFonts w:hint="eastAsia" w:ascii="仿宋" w:hAnsi="仿宋" w:eastAsia="仿宋" w:cs="仿宋"/>
          <w:b/>
          <w:color w:val="auto"/>
        </w:rPr>
        <w:t>▲1.4.3</w:t>
      </w:r>
      <w:r>
        <w:rPr>
          <w:rFonts w:hint="eastAsia" w:ascii="仿宋" w:hAnsi="仿宋" w:eastAsia="仿宋" w:cs="仿宋"/>
          <w:color w:val="auto"/>
          <w:lang w:bidi="ar"/>
        </w:rPr>
        <w:t>随访问卷：支持医生在平板中填写问卷调查。</w:t>
      </w:r>
    </w:p>
    <w:p>
      <w:pPr>
        <w:widowControl/>
        <w:textAlignment w:val="center"/>
        <w:rPr>
          <w:rFonts w:ascii="仿宋" w:hAnsi="仿宋" w:cs="仿宋"/>
          <w:bCs/>
        </w:rPr>
      </w:pPr>
      <w:r>
        <w:rPr>
          <w:rFonts w:hint="eastAsia" w:ascii="仿宋" w:hAnsi="仿宋" w:cs="仿宋"/>
          <w:b/>
        </w:rPr>
        <w:t>1.5系统管理</w:t>
      </w:r>
      <w:r>
        <w:rPr>
          <w:rFonts w:hint="eastAsia" w:ascii="仿宋" w:hAnsi="仿宋" w:cs="仿宋"/>
          <w:bCs/>
        </w:rPr>
        <w:t>：根据系统功能需要系统管理功能包括但不限于以下方面：</w:t>
      </w:r>
    </w:p>
    <w:p>
      <w:pPr>
        <w:widowControl/>
        <w:ind w:firstLine="480" w:firstLineChars="200"/>
        <w:textAlignment w:val="center"/>
        <w:rPr>
          <w:rFonts w:ascii="仿宋" w:hAnsi="仿宋" w:cs="仿宋"/>
          <w:bCs/>
          <w:kern w:val="0"/>
          <w:lang w:bidi="ar"/>
        </w:rPr>
      </w:pPr>
      <w:r>
        <w:rPr>
          <w:rFonts w:hint="eastAsia" w:ascii="仿宋" w:hAnsi="仿宋" w:cs="仿宋"/>
          <w:bCs/>
          <w:kern w:val="0"/>
          <w:lang w:bidi="ar"/>
        </w:rPr>
        <w:t>1.5.1账号管理：支持对用户账号进行增删改查。</w:t>
      </w:r>
    </w:p>
    <w:p>
      <w:pPr>
        <w:widowControl/>
        <w:ind w:firstLine="480" w:firstLineChars="200"/>
        <w:textAlignment w:val="center"/>
        <w:rPr>
          <w:rFonts w:ascii="仿宋" w:hAnsi="仿宋" w:cs="仿宋"/>
          <w:bCs/>
        </w:rPr>
      </w:pPr>
      <w:r>
        <w:rPr>
          <w:rFonts w:hint="eastAsia" w:ascii="仿宋" w:hAnsi="仿宋" w:cs="仿宋"/>
          <w:bCs/>
          <w:kern w:val="0"/>
          <w:lang w:bidi="ar"/>
        </w:rPr>
        <w:t>1.5.2角色管理：支持对用户角色进行增删改查。</w:t>
      </w:r>
    </w:p>
    <w:p>
      <w:pPr>
        <w:widowControl/>
        <w:ind w:firstLine="480" w:firstLineChars="200"/>
        <w:textAlignment w:val="center"/>
        <w:rPr>
          <w:rFonts w:ascii="仿宋" w:hAnsi="仿宋" w:cs="仿宋"/>
          <w:bCs/>
        </w:rPr>
      </w:pPr>
      <w:r>
        <w:rPr>
          <w:rFonts w:hint="eastAsia" w:ascii="仿宋" w:hAnsi="仿宋" w:cs="仿宋"/>
          <w:bCs/>
          <w:kern w:val="0"/>
          <w:lang w:bidi="ar"/>
        </w:rPr>
        <w:t>1.5.3权限控制：对用户的登录权限进行识别和控制。</w:t>
      </w:r>
    </w:p>
    <w:p>
      <w:pPr>
        <w:pStyle w:val="95"/>
        <w:spacing w:line="360" w:lineRule="auto"/>
        <w:ind w:firstLine="480" w:firstLineChars="200"/>
        <w:rPr>
          <w:color w:val="auto"/>
        </w:rPr>
      </w:pPr>
      <w:r>
        <w:rPr>
          <w:rFonts w:hint="eastAsia" w:ascii="仿宋" w:hAnsi="仿宋" w:eastAsia="仿宋" w:cs="仿宋"/>
          <w:color w:val="auto"/>
          <w:lang w:bidi="ar"/>
        </w:rPr>
        <w:t>1.5.4日志管理：支持对系统重要事件的日志记录和查询。</w:t>
      </w:r>
    </w:p>
    <w:p>
      <w:r>
        <w:rPr>
          <w:rFonts w:hint="eastAsia" w:ascii="仿宋" w:hAnsi="仿宋" w:cs="仿宋"/>
          <w:b/>
        </w:rPr>
        <w:t>▲1.6</w:t>
      </w:r>
      <w:r>
        <w:rPr>
          <w:rFonts w:hint="eastAsia" w:ascii="仿宋" w:hAnsi="仿宋" w:cs="仿宋"/>
          <w:b/>
          <w:bCs/>
        </w:rPr>
        <w:t>软件功能运维服务</w:t>
      </w:r>
      <w:r>
        <w:rPr>
          <w:rFonts w:hint="eastAsia" w:ascii="仿宋" w:hAnsi="仿宋" w:cs="仿宋"/>
        </w:rPr>
        <w:t>：</w:t>
      </w:r>
      <w:r>
        <w:rPr>
          <w:rFonts w:hint="eastAsia" w:ascii="仿宋" w:hAnsi="仿宋" w:cs="仿宋"/>
          <w:kern w:val="0"/>
          <w:lang w:bidi="ar"/>
        </w:rPr>
        <w:t>基础运维服务包括但不限于操作系统、数据库、中间件、应用系统软件、技术培训等。</w:t>
      </w:r>
    </w:p>
    <w:p>
      <w:pPr>
        <w:numPr>
          <w:ilvl w:val="255"/>
          <w:numId w:val="0"/>
        </w:numPr>
        <w:rPr>
          <w:rFonts w:ascii="仿宋" w:hAnsi="仿宋" w:cs="仿宋"/>
          <w:b/>
        </w:rPr>
      </w:pPr>
      <w:r>
        <w:rPr>
          <w:rFonts w:hint="eastAsia" w:ascii="仿宋" w:hAnsi="仿宋" w:cs="仿宋"/>
          <w:b/>
        </w:rPr>
        <w:t>2、项目相关基础运行环境等方面技术参数要求</w:t>
      </w:r>
    </w:p>
    <w:p>
      <w:pPr>
        <w:rPr>
          <w:rFonts w:ascii="仿宋" w:hAnsi="仿宋" w:cs="仿宋"/>
        </w:rPr>
      </w:pPr>
      <w:r>
        <w:rPr>
          <w:rFonts w:hint="eastAsia" w:ascii="仿宋" w:hAnsi="仿宋" w:cs="仿宋"/>
        </w:rPr>
        <w:t>2.1为满足项目所有功能要求及功能所需基础运行环境支撑的技术要求，本项目系统开发建设基于云平台模式进行建设。其系统所需的计算及存储资源应选择有较高安全保障的云服务平台，系统所处网络环境须具备互联网接入和互联网资源扩展能力，以保障系统的安全及需求。</w:t>
      </w:r>
    </w:p>
    <w:p>
      <w:pPr>
        <w:pStyle w:val="96"/>
        <w:ind w:firstLine="0"/>
        <w:outlineLvl w:val="3"/>
        <w:rPr>
          <w:rFonts w:ascii="仿宋" w:hAnsi="仿宋" w:cs="仿宋"/>
        </w:rPr>
      </w:pPr>
      <w:r>
        <w:rPr>
          <w:rFonts w:hint="eastAsia" w:ascii="仿宋" w:hAnsi="仿宋" w:cs="仿宋"/>
        </w:rPr>
        <w:t>★2.2为保障数据信息安全，中标人需提供数据接口前置机服务，服务内容主要包括由中标人提供1台用于数据交换的工作站放置于医院指定网络环境，用于数据对接使用。（说明：提供加盖投标人公章的承诺函原件，格式自拟）</w:t>
      </w:r>
    </w:p>
    <w:p>
      <w:pPr>
        <w:rPr>
          <w:rFonts w:ascii="仿宋" w:hAnsi="仿宋" w:cs="仿宋"/>
        </w:rPr>
      </w:pPr>
      <w:r>
        <w:rPr>
          <w:rFonts w:hint="eastAsia" w:ascii="仿宋" w:hAnsi="仿宋" w:cs="仿宋"/>
        </w:rPr>
        <w:t>2.3基于以上要求，本项目所提供服务的云平台资源及用于数据交换的工作站的技术要求如下：</w:t>
      </w:r>
    </w:p>
    <w:tbl>
      <w:tblPr>
        <w:tblStyle w:val="35"/>
        <w:tblW w:w="0" w:type="auto"/>
        <w:tblInd w:w="0" w:type="dxa"/>
        <w:tblLayout w:type="autofit"/>
        <w:tblCellMar>
          <w:top w:w="0" w:type="dxa"/>
          <w:left w:w="108" w:type="dxa"/>
          <w:bottom w:w="0" w:type="dxa"/>
          <w:right w:w="108" w:type="dxa"/>
        </w:tblCellMar>
      </w:tblPr>
      <w:tblGrid>
        <w:gridCol w:w="676"/>
        <w:gridCol w:w="803"/>
        <w:gridCol w:w="936"/>
        <w:gridCol w:w="5922"/>
        <w:gridCol w:w="475"/>
        <w:gridCol w:w="475"/>
      </w:tblGrid>
      <w:tr>
        <w:trPr>
          <w:trHeight w:val="581" w:hRule="atLeast"/>
        </w:trPr>
        <w:tc>
          <w:tcPr>
            <w:tcW w:w="0" w:type="auto"/>
            <w:tcBorders>
              <w:top w:val="single" w:color="auto" w:sz="4" w:space="0"/>
              <w:left w:val="single" w:color="auto" w:sz="4" w:space="0"/>
              <w:bottom w:val="single" w:color="auto" w:sz="4" w:space="0"/>
              <w:right w:val="single" w:color="auto" w:sz="4" w:space="0"/>
            </w:tcBorders>
            <w:vAlign w:val="bottom"/>
          </w:tcPr>
          <w:p>
            <w:pPr>
              <w:widowControl/>
              <w:rPr>
                <w:rFonts w:ascii="仿宋" w:hAnsi="仿宋" w:cs="仿宋"/>
                <w:b/>
                <w:bCs/>
              </w:rPr>
            </w:pPr>
          </w:p>
        </w:tc>
        <w:tc>
          <w:tcPr>
            <w:tcW w:w="0" w:type="auto"/>
            <w:tcBorders>
              <w:top w:val="single" w:color="auto" w:sz="4" w:space="0"/>
              <w:left w:val="single" w:color="auto" w:sz="4" w:space="0"/>
              <w:bottom w:val="single" w:color="auto" w:sz="4" w:space="0"/>
              <w:right w:val="single" w:color="auto" w:sz="4" w:space="0"/>
            </w:tcBorders>
            <w:vAlign w:val="bottom"/>
          </w:tcPr>
          <w:p>
            <w:pPr>
              <w:widowControl/>
              <w:rPr>
                <w:rFonts w:ascii="仿宋" w:hAnsi="仿宋" w:cs="仿宋"/>
                <w:b/>
                <w:bCs/>
              </w:rPr>
            </w:pPr>
            <w:r>
              <w:rPr>
                <w:rFonts w:hint="eastAsia" w:ascii="仿宋" w:hAnsi="仿宋" w:cs="仿宋"/>
                <w:b/>
                <w:bCs/>
              </w:rPr>
              <w:t>子项</w:t>
            </w:r>
          </w:p>
        </w:tc>
        <w:tc>
          <w:tcPr>
            <w:tcW w:w="0" w:type="auto"/>
            <w:tcBorders>
              <w:top w:val="single" w:color="auto" w:sz="4" w:space="0"/>
              <w:left w:val="nil"/>
              <w:bottom w:val="single" w:color="auto" w:sz="4" w:space="0"/>
              <w:right w:val="single" w:color="auto" w:sz="4" w:space="0"/>
            </w:tcBorders>
            <w:vAlign w:val="bottom"/>
          </w:tcPr>
          <w:p>
            <w:pPr>
              <w:widowControl/>
              <w:jc w:val="center"/>
              <w:rPr>
                <w:rFonts w:ascii="仿宋" w:hAnsi="仿宋" w:cs="仿宋"/>
                <w:b/>
                <w:bCs/>
              </w:rPr>
            </w:pPr>
            <w:r>
              <w:rPr>
                <w:rFonts w:hint="eastAsia" w:ascii="仿宋" w:hAnsi="仿宋" w:cs="仿宋"/>
                <w:b/>
                <w:bCs/>
              </w:rPr>
              <w:t>序号</w:t>
            </w:r>
          </w:p>
        </w:tc>
        <w:tc>
          <w:tcPr>
            <w:tcW w:w="0" w:type="auto"/>
            <w:tcBorders>
              <w:top w:val="single" w:color="auto" w:sz="4" w:space="0"/>
              <w:left w:val="nil"/>
              <w:bottom w:val="single" w:color="auto" w:sz="4" w:space="0"/>
              <w:right w:val="single" w:color="auto" w:sz="4" w:space="0"/>
            </w:tcBorders>
            <w:vAlign w:val="bottom"/>
          </w:tcPr>
          <w:p>
            <w:pPr>
              <w:widowControl/>
              <w:rPr>
                <w:rFonts w:ascii="仿宋" w:hAnsi="仿宋" w:cs="仿宋"/>
                <w:b/>
                <w:bCs/>
              </w:rPr>
            </w:pPr>
            <w:r>
              <w:rPr>
                <w:rFonts w:hint="eastAsia" w:ascii="仿宋" w:hAnsi="仿宋" w:cs="仿宋"/>
                <w:b/>
                <w:bCs/>
              </w:rPr>
              <w:t>技术参数及要求</w:t>
            </w:r>
          </w:p>
        </w:tc>
        <w:tc>
          <w:tcPr>
            <w:tcW w:w="0" w:type="auto"/>
            <w:tcBorders>
              <w:top w:val="single" w:color="auto" w:sz="4" w:space="0"/>
              <w:left w:val="single" w:color="auto" w:sz="4" w:space="0"/>
              <w:bottom w:val="single" w:color="auto" w:sz="4" w:space="0"/>
              <w:right w:val="single" w:color="auto" w:sz="4" w:space="0"/>
            </w:tcBorders>
          </w:tcPr>
          <w:p>
            <w:pPr>
              <w:widowControl/>
              <w:jc w:val="center"/>
              <w:rPr>
                <w:rFonts w:ascii="仿宋" w:hAnsi="仿宋" w:cs="仿宋"/>
                <w:b/>
                <w:bCs/>
              </w:rPr>
            </w:pPr>
            <w:r>
              <w:rPr>
                <w:rFonts w:hint="eastAsia" w:ascii="仿宋" w:hAnsi="仿宋" w:cs="仿宋"/>
                <w:b/>
                <w:bCs/>
              </w:rPr>
              <w:t>数量</w:t>
            </w:r>
          </w:p>
        </w:tc>
        <w:tc>
          <w:tcPr>
            <w:tcW w:w="0" w:type="auto"/>
            <w:tcBorders>
              <w:top w:val="single" w:color="auto" w:sz="4" w:space="0"/>
              <w:left w:val="single" w:color="auto" w:sz="4" w:space="0"/>
              <w:bottom w:val="single" w:color="auto" w:sz="4" w:space="0"/>
              <w:right w:val="single" w:color="auto" w:sz="4" w:space="0"/>
            </w:tcBorders>
          </w:tcPr>
          <w:p>
            <w:pPr>
              <w:widowControl/>
              <w:jc w:val="center"/>
              <w:rPr>
                <w:rFonts w:ascii="仿宋" w:hAnsi="仿宋" w:cs="仿宋"/>
                <w:b/>
                <w:bCs/>
              </w:rPr>
            </w:pPr>
            <w:r>
              <w:rPr>
                <w:rFonts w:hint="eastAsia" w:ascii="仿宋" w:hAnsi="仿宋" w:cs="仿宋"/>
                <w:b/>
                <w:bCs/>
              </w:rPr>
              <w:t>单位</w:t>
            </w:r>
          </w:p>
        </w:tc>
      </w:tr>
      <w:tr>
        <w:tblPrEx>
          <w:tblCellMar>
            <w:top w:w="0" w:type="dxa"/>
            <w:left w:w="108" w:type="dxa"/>
            <w:bottom w:w="0" w:type="dxa"/>
            <w:right w:w="108" w:type="dxa"/>
          </w:tblCellMar>
        </w:tblPrEx>
        <w:trPr>
          <w:trHeight w:val="285" w:hRule="atLeast"/>
        </w:trPr>
        <w:tc>
          <w:tcPr>
            <w:tcW w:w="0" w:type="auto"/>
            <w:vMerge w:val="restart"/>
            <w:tcBorders>
              <w:top w:val="nil"/>
              <w:left w:val="single" w:color="auto" w:sz="4" w:space="0"/>
              <w:right w:val="single" w:color="auto" w:sz="4" w:space="0"/>
            </w:tcBorders>
            <w:vAlign w:val="center"/>
          </w:tcPr>
          <w:p>
            <w:pPr>
              <w:widowControl/>
              <w:rPr>
                <w:rFonts w:ascii="仿宋" w:hAnsi="仿宋" w:cs="仿宋"/>
                <w:b/>
                <w:bCs/>
              </w:rPr>
            </w:pPr>
            <w:r>
              <w:rPr>
                <w:rFonts w:hint="eastAsia" w:ascii="仿宋" w:hAnsi="仿宋" w:cs="仿宋"/>
                <w:b/>
                <w:bCs/>
              </w:rPr>
              <w:t>云服务资源相关要求</w:t>
            </w:r>
          </w:p>
        </w:tc>
        <w:tc>
          <w:tcPr>
            <w:tcW w:w="0" w:type="auto"/>
            <w:vMerge w:val="restart"/>
            <w:tcBorders>
              <w:top w:val="nil"/>
              <w:left w:val="single" w:color="auto" w:sz="4" w:space="0"/>
              <w:bottom w:val="single" w:color="000000" w:sz="4" w:space="0"/>
              <w:right w:val="single" w:color="auto" w:sz="4" w:space="0"/>
            </w:tcBorders>
            <w:vAlign w:val="center"/>
          </w:tcPr>
          <w:p>
            <w:pPr>
              <w:widowControl/>
              <w:rPr>
                <w:rFonts w:ascii="仿宋" w:hAnsi="仿宋" w:cs="仿宋"/>
              </w:rPr>
            </w:pPr>
            <w:r>
              <w:rPr>
                <w:rFonts w:hint="eastAsia" w:ascii="仿宋" w:hAnsi="仿宋" w:cs="仿宋"/>
                <w:b/>
                <w:bCs/>
              </w:rPr>
              <w:t>系统基础运行环境所需云服务资源要求</w:t>
            </w:r>
          </w:p>
        </w:tc>
        <w:tc>
          <w:tcPr>
            <w:tcW w:w="0" w:type="auto"/>
            <w:tcBorders>
              <w:top w:val="single" w:color="auto" w:sz="4" w:space="0"/>
              <w:left w:val="nil"/>
              <w:bottom w:val="single" w:color="auto" w:sz="4" w:space="0"/>
              <w:right w:val="single" w:color="000000" w:sz="4" w:space="0"/>
            </w:tcBorders>
            <w:vAlign w:val="bottom"/>
          </w:tcPr>
          <w:p>
            <w:pPr>
              <w:widowControl/>
              <w:jc w:val="center"/>
              <w:rPr>
                <w:rFonts w:ascii="仿宋" w:hAnsi="仿宋" w:cs="仿宋"/>
                <w:b/>
                <w:bCs/>
              </w:rPr>
            </w:pPr>
            <w:r>
              <w:rPr>
                <w:rFonts w:hint="eastAsia" w:ascii="仿宋" w:hAnsi="仿宋" w:cs="仿宋"/>
                <w:b/>
                <w:bCs/>
              </w:rPr>
              <w:t>2.3.1</w:t>
            </w:r>
          </w:p>
        </w:tc>
        <w:tc>
          <w:tcPr>
            <w:tcW w:w="0" w:type="auto"/>
            <w:tcBorders>
              <w:top w:val="single" w:color="auto" w:sz="4" w:space="0"/>
              <w:left w:val="nil"/>
              <w:bottom w:val="single" w:color="auto" w:sz="4" w:space="0"/>
              <w:right w:val="single" w:color="000000" w:sz="4" w:space="0"/>
            </w:tcBorders>
            <w:vAlign w:val="bottom"/>
          </w:tcPr>
          <w:p>
            <w:pPr>
              <w:widowControl/>
              <w:rPr>
                <w:rFonts w:ascii="仿宋" w:hAnsi="仿宋" w:cs="仿宋"/>
              </w:rPr>
            </w:pPr>
            <w:r>
              <w:rPr>
                <w:rFonts w:hint="eastAsia" w:ascii="仿宋" w:hAnsi="仿宋" w:cs="仿宋"/>
              </w:rPr>
              <w:t>提供满足基础运行环境的云平台服务，提供服务的应用工作站配置要求：≥4颗CPU，每颗CPU核数≥12核，主频≥2.1GHz、缓存≥30MB；≥1024 GB DDR4内存，2块≥300GB SAS转速 ≥10000rpm SFF硬盘，支持主流操作系统。</w:t>
            </w:r>
          </w:p>
        </w:tc>
        <w:tc>
          <w:tcPr>
            <w:tcW w:w="0" w:type="auto"/>
            <w:tcBorders>
              <w:top w:val="nil"/>
              <w:left w:val="single" w:color="auto" w:sz="4" w:space="0"/>
              <w:bottom w:val="single" w:color="000000" w:sz="4" w:space="0"/>
              <w:right w:val="single" w:color="auto" w:sz="4" w:space="0"/>
            </w:tcBorders>
          </w:tcPr>
          <w:p>
            <w:pPr>
              <w:widowControl/>
              <w:jc w:val="center"/>
              <w:rPr>
                <w:rFonts w:ascii="仿宋" w:hAnsi="仿宋" w:cs="仿宋"/>
              </w:rPr>
            </w:pPr>
            <w:r>
              <w:rPr>
                <w:rFonts w:hint="eastAsia" w:ascii="仿宋" w:hAnsi="仿宋" w:cs="仿宋"/>
              </w:rPr>
              <w:t>2</w:t>
            </w:r>
          </w:p>
        </w:tc>
        <w:tc>
          <w:tcPr>
            <w:tcW w:w="0" w:type="auto"/>
            <w:tcBorders>
              <w:top w:val="nil"/>
              <w:left w:val="single" w:color="auto" w:sz="4" w:space="0"/>
              <w:bottom w:val="single" w:color="000000" w:sz="4" w:space="0"/>
              <w:right w:val="single" w:color="auto" w:sz="4" w:space="0"/>
            </w:tcBorders>
          </w:tcPr>
          <w:p>
            <w:pPr>
              <w:widowControl/>
              <w:jc w:val="center"/>
              <w:rPr>
                <w:rFonts w:ascii="仿宋" w:hAnsi="仿宋" w:cs="仿宋"/>
              </w:rPr>
            </w:pPr>
            <w:r>
              <w:rPr>
                <w:rFonts w:hint="eastAsia" w:ascii="仿宋" w:hAnsi="仿宋" w:cs="仿宋"/>
              </w:rPr>
              <w:t>台</w:t>
            </w:r>
          </w:p>
        </w:tc>
      </w:tr>
      <w:tr>
        <w:tblPrEx>
          <w:tblCellMar>
            <w:top w:w="0" w:type="dxa"/>
            <w:left w:w="108" w:type="dxa"/>
            <w:bottom w:w="0" w:type="dxa"/>
            <w:right w:w="108" w:type="dxa"/>
          </w:tblCellMar>
        </w:tblPrEx>
        <w:trPr>
          <w:trHeight w:val="285" w:hRule="atLeast"/>
        </w:trPr>
        <w:tc>
          <w:tcPr>
            <w:tcW w:w="0" w:type="auto"/>
            <w:vMerge w:val="continue"/>
            <w:tcBorders>
              <w:left w:val="single" w:color="auto" w:sz="4" w:space="0"/>
              <w:right w:val="single" w:color="auto" w:sz="4" w:space="0"/>
            </w:tcBorders>
            <w:vAlign w:val="center"/>
          </w:tcPr>
          <w:p>
            <w:pPr>
              <w:widowControl/>
              <w:rPr>
                <w:rFonts w:ascii="仿宋" w:hAnsi="仿宋" w:cs="仿宋"/>
              </w:rPr>
            </w:pPr>
          </w:p>
        </w:tc>
        <w:tc>
          <w:tcPr>
            <w:tcW w:w="0" w:type="auto"/>
            <w:vMerge w:val="continue"/>
            <w:tcBorders>
              <w:top w:val="nil"/>
              <w:left w:val="single" w:color="auto" w:sz="4" w:space="0"/>
              <w:bottom w:val="single" w:color="000000" w:sz="4" w:space="0"/>
              <w:right w:val="single" w:color="auto" w:sz="4" w:space="0"/>
            </w:tcBorders>
            <w:vAlign w:val="center"/>
          </w:tcPr>
          <w:p>
            <w:pPr>
              <w:widowControl/>
              <w:rPr>
                <w:rFonts w:ascii="仿宋" w:hAnsi="仿宋" w:cs="仿宋"/>
              </w:rPr>
            </w:pPr>
          </w:p>
        </w:tc>
        <w:tc>
          <w:tcPr>
            <w:tcW w:w="0" w:type="auto"/>
            <w:tcBorders>
              <w:top w:val="single" w:color="auto" w:sz="4" w:space="0"/>
              <w:left w:val="nil"/>
              <w:bottom w:val="single" w:color="auto" w:sz="4" w:space="0"/>
              <w:right w:val="single" w:color="000000" w:sz="4" w:space="0"/>
            </w:tcBorders>
            <w:vAlign w:val="center"/>
          </w:tcPr>
          <w:p>
            <w:pPr>
              <w:widowControl/>
              <w:jc w:val="center"/>
              <w:rPr>
                <w:rFonts w:ascii="仿宋" w:hAnsi="仿宋" w:cs="仿宋"/>
              </w:rPr>
            </w:pPr>
            <w:r>
              <w:rPr>
                <w:rFonts w:hint="eastAsia" w:ascii="仿宋" w:hAnsi="仿宋" w:cs="仿宋"/>
              </w:rPr>
              <w:t>2.3.2</w:t>
            </w:r>
          </w:p>
        </w:tc>
        <w:tc>
          <w:tcPr>
            <w:tcW w:w="0" w:type="auto"/>
            <w:tcBorders>
              <w:top w:val="single" w:color="auto" w:sz="4" w:space="0"/>
              <w:left w:val="nil"/>
              <w:bottom w:val="single" w:color="auto" w:sz="4" w:space="0"/>
              <w:right w:val="single" w:color="000000" w:sz="4" w:space="0"/>
            </w:tcBorders>
            <w:vAlign w:val="center"/>
          </w:tcPr>
          <w:p>
            <w:pPr>
              <w:widowControl/>
              <w:rPr>
                <w:rFonts w:ascii="仿宋" w:hAnsi="仿宋" w:cs="仿宋"/>
              </w:rPr>
            </w:pPr>
            <w:r>
              <w:rPr>
                <w:rFonts w:hint="eastAsia" w:ascii="仿宋" w:hAnsi="仿宋" w:cs="仿宋"/>
              </w:rPr>
              <w:t>提供满足基础运行环境的云平台服务，提供服务的数据库工作站配置要求：≥4颗CPU，每颗CPU核数≥12核、主频≥2.1GHz、缓存≥30MB；≥512 GB DDR4内存，2块≥600GB SAS转速 ≥10000rpm SFF硬盘，支持主流操作系统及相应虚拟化管理软件。</w:t>
            </w:r>
          </w:p>
        </w:tc>
        <w:tc>
          <w:tcPr>
            <w:tcW w:w="0" w:type="auto"/>
            <w:tcBorders>
              <w:top w:val="nil"/>
              <w:left w:val="single" w:color="auto" w:sz="4" w:space="0"/>
              <w:bottom w:val="single" w:color="000000" w:sz="4" w:space="0"/>
              <w:right w:val="single" w:color="auto" w:sz="4" w:space="0"/>
            </w:tcBorders>
          </w:tcPr>
          <w:p>
            <w:pPr>
              <w:widowControl/>
              <w:jc w:val="center"/>
              <w:rPr>
                <w:rFonts w:ascii="仿宋" w:hAnsi="仿宋" w:cs="仿宋"/>
              </w:rPr>
            </w:pPr>
            <w:r>
              <w:rPr>
                <w:rFonts w:hint="eastAsia" w:ascii="仿宋" w:hAnsi="仿宋" w:cs="仿宋"/>
              </w:rPr>
              <w:t>1</w:t>
            </w:r>
          </w:p>
        </w:tc>
        <w:tc>
          <w:tcPr>
            <w:tcW w:w="0" w:type="auto"/>
            <w:tcBorders>
              <w:top w:val="nil"/>
              <w:left w:val="single" w:color="auto" w:sz="4" w:space="0"/>
              <w:bottom w:val="single" w:color="000000" w:sz="4" w:space="0"/>
              <w:right w:val="single" w:color="auto" w:sz="4" w:space="0"/>
            </w:tcBorders>
          </w:tcPr>
          <w:p>
            <w:pPr>
              <w:widowControl/>
              <w:jc w:val="center"/>
              <w:rPr>
                <w:rFonts w:ascii="仿宋" w:hAnsi="仿宋" w:cs="仿宋"/>
              </w:rPr>
            </w:pPr>
            <w:r>
              <w:rPr>
                <w:rFonts w:hint="eastAsia" w:ascii="仿宋" w:hAnsi="仿宋" w:cs="仿宋"/>
              </w:rPr>
              <w:t>台</w:t>
            </w:r>
          </w:p>
        </w:tc>
      </w:tr>
      <w:tr>
        <w:tblPrEx>
          <w:tblCellMar>
            <w:top w:w="0" w:type="dxa"/>
            <w:left w:w="108" w:type="dxa"/>
            <w:bottom w:w="0" w:type="dxa"/>
            <w:right w:w="108" w:type="dxa"/>
          </w:tblCellMar>
        </w:tblPrEx>
        <w:trPr>
          <w:trHeight w:val="285" w:hRule="atLeast"/>
        </w:trPr>
        <w:tc>
          <w:tcPr>
            <w:tcW w:w="0" w:type="auto"/>
            <w:vMerge w:val="continue"/>
            <w:tcBorders>
              <w:left w:val="single" w:color="auto" w:sz="4" w:space="0"/>
              <w:right w:val="single" w:color="auto" w:sz="4" w:space="0"/>
            </w:tcBorders>
            <w:vAlign w:val="center"/>
          </w:tcPr>
          <w:p>
            <w:pPr>
              <w:widowControl/>
              <w:rPr>
                <w:rFonts w:ascii="仿宋" w:hAnsi="仿宋" w:cs="仿宋"/>
              </w:rPr>
            </w:pPr>
          </w:p>
        </w:tc>
        <w:tc>
          <w:tcPr>
            <w:tcW w:w="0" w:type="auto"/>
            <w:vMerge w:val="continue"/>
            <w:tcBorders>
              <w:top w:val="nil"/>
              <w:left w:val="single" w:color="auto" w:sz="4" w:space="0"/>
              <w:bottom w:val="single" w:color="000000" w:sz="4" w:space="0"/>
              <w:right w:val="single" w:color="auto" w:sz="4" w:space="0"/>
            </w:tcBorders>
            <w:vAlign w:val="center"/>
          </w:tcPr>
          <w:p>
            <w:pPr>
              <w:widowControl/>
              <w:rPr>
                <w:rFonts w:ascii="仿宋" w:hAnsi="仿宋" w:cs="仿宋"/>
              </w:rPr>
            </w:pPr>
          </w:p>
        </w:tc>
        <w:tc>
          <w:tcPr>
            <w:tcW w:w="0" w:type="auto"/>
            <w:tcBorders>
              <w:top w:val="single" w:color="auto" w:sz="4" w:space="0"/>
              <w:left w:val="nil"/>
              <w:bottom w:val="single" w:color="auto" w:sz="4" w:space="0"/>
              <w:right w:val="single" w:color="000000" w:sz="4" w:space="0"/>
            </w:tcBorders>
            <w:vAlign w:val="center"/>
          </w:tcPr>
          <w:p>
            <w:pPr>
              <w:widowControl/>
              <w:jc w:val="center"/>
              <w:rPr>
                <w:rFonts w:ascii="仿宋" w:hAnsi="仿宋" w:cs="仿宋"/>
              </w:rPr>
            </w:pPr>
            <w:r>
              <w:rPr>
                <w:rFonts w:hint="eastAsia" w:ascii="仿宋" w:hAnsi="仿宋" w:cs="仿宋"/>
              </w:rPr>
              <w:t>2.3.3</w:t>
            </w:r>
          </w:p>
        </w:tc>
        <w:tc>
          <w:tcPr>
            <w:tcW w:w="0" w:type="auto"/>
            <w:tcBorders>
              <w:top w:val="single" w:color="auto" w:sz="4" w:space="0"/>
              <w:left w:val="nil"/>
              <w:bottom w:val="single" w:color="auto" w:sz="4" w:space="0"/>
              <w:right w:val="single" w:color="000000" w:sz="4" w:space="0"/>
            </w:tcBorders>
            <w:vAlign w:val="center"/>
          </w:tcPr>
          <w:p>
            <w:pPr>
              <w:widowControl/>
              <w:rPr>
                <w:rFonts w:ascii="仿宋" w:hAnsi="仿宋" w:cs="仿宋"/>
              </w:rPr>
            </w:pPr>
            <w:r>
              <w:rPr>
                <w:rFonts w:hint="eastAsia" w:ascii="仿宋" w:hAnsi="仿宋" w:cs="仿宋"/>
              </w:rPr>
              <w:t xml:space="preserve">提供满足基础运行环境的云平台服务，提供服务的存储资源池，≥60T硬盘的存储阵列，存储设备最大支持≥240块硬盘；支持≥8Gb/s FC主机接口，可扩展≥12个，实配≥8个8Gb/s FC前端口；支持LUN的数量≥8192个，每个LUN支持≥2048个快照。 </w:t>
            </w:r>
          </w:p>
        </w:tc>
        <w:tc>
          <w:tcPr>
            <w:tcW w:w="0" w:type="auto"/>
            <w:tcBorders>
              <w:top w:val="nil"/>
              <w:left w:val="single" w:color="auto" w:sz="4" w:space="0"/>
              <w:bottom w:val="single" w:color="000000" w:sz="4" w:space="0"/>
              <w:right w:val="single" w:color="auto" w:sz="4" w:space="0"/>
            </w:tcBorders>
          </w:tcPr>
          <w:p>
            <w:pPr>
              <w:widowControl/>
              <w:jc w:val="center"/>
              <w:rPr>
                <w:rFonts w:ascii="仿宋" w:hAnsi="仿宋" w:cs="仿宋"/>
              </w:rPr>
            </w:pPr>
            <w:r>
              <w:rPr>
                <w:rFonts w:hint="eastAsia" w:ascii="仿宋" w:hAnsi="仿宋" w:cs="仿宋"/>
              </w:rPr>
              <w:t>1</w:t>
            </w:r>
          </w:p>
        </w:tc>
        <w:tc>
          <w:tcPr>
            <w:tcW w:w="0" w:type="auto"/>
            <w:tcBorders>
              <w:top w:val="nil"/>
              <w:left w:val="single" w:color="auto" w:sz="4" w:space="0"/>
              <w:bottom w:val="single" w:color="000000" w:sz="4" w:space="0"/>
              <w:right w:val="single" w:color="auto" w:sz="4" w:space="0"/>
            </w:tcBorders>
          </w:tcPr>
          <w:p>
            <w:pPr>
              <w:widowControl/>
              <w:jc w:val="center"/>
              <w:rPr>
                <w:rFonts w:ascii="仿宋" w:hAnsi="仿宋" w:cs="仿宋"/>
              </w:rPr>
            </w:pPr>
            <w:r>
              <w:rPr>
                <w:rFonts w:hint="eastAsia" w:ascii="仿宋" w:hAnsi="仿宋" w:cs="仿宋"/>
              </w:rPr>
              <w:t>套</w:t>
            </w:r>
          </w:p>
        </w:tc>
      </w:tr>
      <w:tr>
        <w:tblPrEx>
          <w:tblCellMar>
            <w:top w:w="0" w:type="dxa"/>
            <w:left w:w="108" w:type="dxa"/>
            <w:bottom w:w="0" w:type="dxa"/>
            <w:right w:w="108" w:type="dxa"/>
          </w:tblCellMar>
        </w:tblPrEx>
        <w:trPr>
          <w:trHeight w:val="285" w:hRule="atLeast"/>
        </w:trPr>
        <w:tc>
          <w:tcPr>
            <w:tcW w:w="0" w:type="auto"/>
            <w:vMerge w:val="continue"/>
            <w:tcBorders>
              <w:left w:val="single" w:color="auto" w:sz="4" w:space="0"/>
              <w:right w:val="single" w:color="auto" w:sz="4" w:space="0"/>
            </w:tcBorders>
            <w:vAlign w:val="center"/>
          </w:tcPr>
          <w:p>
            <w:pPr>
              <w:widowControl/>
              <w:rPr>
                <w:rFonts w:ascii="仿宋" w:hAnsi="仿宋" w:cs="仿宋"/>
              </w:rPr>
            </w:pPr>
          </w:p>
        </w:tc>
        <w:tc>
          <w:tcPr>
            <w:tcW w:w="0" w:type="auto"/>
            <w:vMerge w:val="continue"/>
            <w:tcBorders>
              <w:top w:val="nil"/>
              <w:left w:val="single" w:color="auto" w:sz="4" w:space="0"/>
              <w:bottom w:val="single" w:color="000000" w:sz="4" w:space="0"/>
              <w:right w:val="single" w:color="auto" w:sz="4" w:space="0"/>
            </w:tcBorders>
            <w:vAlign w:val="center"/>
          </w:tcPr>
          <w:p>
            <w:pPr>
              <w:widowControl/>
              <w:rPr>
                <w:rFonts w:ascii="仿宋" w:hAnsi="仿宋" w:cs="仿宋"/>
              </w:rPr>
            </w:pPr>
          </w:p>
        </w:tc>
        <w:tc>
          <w:tcPr>
            <w:tcW w:w="0" w:type="auto"/>
            <w:tcBorders>
              <w:top w:val="single" w:color="auto" w:sz="4" w:space="0"/>
              <w:left w:val="nil"/>
              <w:bottom w:val="single" w:color="auto" w:sz="4" w:space="0"/>
              <w:right w:val="single" w:color="000000" w:sz="4" w:space="0"/>
            </w:tcBorders>
            <w:vAlign w:val="center"/>
          </w:tcPr>
          <w:p>
            <w:pPr>
              <w:widowControl/>
              <w:jc w:val="center"/>
              <w:rPr>
                <w:rFonts w:ascii="仿宋" w:hAnsi="仿宋" w:cs="仿宋"/>
              </w:rPr>
            </w:pPr>
            <w:r>
              <w:rPr>
                <w:rFonts w:hint="eastAsia" w:ascii="仿宋" w:hAnsi="仿宋" w:cs="仿宋"/>
              </w:rPr>
              <w:t>2.3.4</w:t>
            </w:r>
          </w:p>
        </w:tc>
        <w:tc>
          <w:tcPr>
            <w:tcW w:w="0" w:type="auto"/>
            <w:tcBorders>
              <w:top w:val="single" w:color="auto" w:sz="4" w:space="0"/>
              <w:left w:val="nil"/>
              <w:bottom w:val="single" w:color="auto" w:sz="4" w:space="0"/>
              <w:right w:val="single" w:color="000000" w:sz="4" w:space="0"/>
            </w:tcBorders>
            <w:vAlign w:val="center"/>
          </w:tcPr>
          <w:p>
            <w:pPr>
              <w:widowControl/>
              <w:rPr>
                <w:rFonts w:ascii="仿宋" w:hAnsi="仿宋" w:cs="仿宋"/>
              </w:rPr>
            </w:pPr>
            <w:r>
              <w:rPr>
                <w:rFonts w:hint="eastAsia" w:ascii="仿宋" w:hAnsi="仿宋" w:cs="仿宋"/>
              </w:rPr>
              <w:t>提供满足基础运行环境的云平台服务，提供服务的云平台管理软件：兼容主流虚拟化平台；支持SDN，能通过SDN控制器实现对物理网络设备的自动化编排；≥600个节点授权，提供可视化VDC编排功能，用户能够通过可视化的界面自助化编排云主机、云网络、云负载均衡、云应用等云资源。</w:t>
            </w:r>
          </w:p>
        </w:tc>
        <w:tc>
          <w:tcPr>
            <w:tcW w:w="0" w:type="auto"/>
            <w:tcBorders>
              <w:top w:val="nil"/>
              <w:left w:val="single" w:color="auto" w:sz="4" w:space="0"/>
              <w:bottom w:val="single" w:color="000000" w:sz="4" w:space="0"/>
              <w:right w:val="single" w:color="auto" w:sz="4" w:space="0"/>
            </w:tcBorders>
          </w:tcPr>
          <w:p>
            <w:pPr>
              <w:widowControl/>
              <w:jc w:val="center"/>
              <w:rPr>
                <w:rFonts w:ascii="仿宋" w:hAnsi="仿宋" w:cs="仿宋"/>
              </w:rPr>
            </w:pPr>
            <w:r>
              <w:rPr>
                <w:rFonts w:hint="eastAsia" w:ascii="仿宋" w:hAnsi="仿宋" w:cs="仿宋"/>
              </w:rPr>
              <w:t>1</w:t>
            </w:r>
          </w:p>
        </w:tc>
        <w:tc>
          <w:tcPr>
            <w:tcW w:w="0" w:type="auto"/>
            <w:tcBorders>
              <w:top w:val="nil"/>
              <w:left w:val="single" w:color="auto" w:sz="4" w:space="0"/>
              <w:bottom w:val="single" w:color="000000" w:sz="4" w:space="0"/>
              <w:right w:val="single" w:color="auto" w:sz="4" w:space="0"/>
            </w:tcBorders>
          </w:tcPr>
          <w:p>
            <w:pPr>
              <w:widowControl/>
              <w:jc w:val="center"/>
              <w:rPr>
                <w:rFonts w:ascii="仿宋" w:hAnsi="仿宋" w:cs="仿宋"/>
              </w:rPr>
            </w:pPr>
            <w:r>
              <w:rPr>
                <w:rFonts w:hint="eastAsia" w:ascii="仿宋" w:hAnsi="仿宋" w:cs="仿宋"/>
              </w:rPr>
              <w:t>套</w:t>
            </w:r>
          </w:p>
        </w:tc>
      </w:tr>
      <w:tr>
        <w:tblPrEx>
          <w:tblCellMar>
            <w:top w:w="0" w:type="dxa"/>
            <w:left w:w="108" w:type="dxa"/>
            <w:bottom w:w="0" w:type="dxa"/>
            <w:right w:w="108" w:type="dxa"/>
          </w:tblCellMar>
        </w:tblPrEx>
        <w:trPr>
          <w:trHeight w:val="285" w:hRule="atLeast"/>
        </w:trPr>
        <w:tc>
          <w:tcPr>
            <w:tcW w:w="0" w:type="auto"/>
            <w:vMerge w:val="continue"/>
            <w:tcBorders>
              <w:left w:val="single" w:color="auto" w:sz="4" w:space="0"/>
              <w:right w:val="single" w:color="auto" w:sz="4" w:space="0"/>
            </w:tcBorders>
            <w:vAlign w:val="center"/>
          </w:tcPr>
          <w:p>
            <w:pPr>
              <w:widowControl/>
              <w:rPr>
                <w:rFonts w:ascii="仿宋" w:hAnsi="仿宋" w:cs="仿宋"/>
              </w:rPr>
            </w:pPr>
          </w:p>
        </w:tc>
        <w:tc>
          <w:tcPr>
            <w:tcW w:w="0" w:type="auto"/>
            <w:vMerge w:val="continue"/>
            <w:tcBorders>
              <w:top w:val="nil"/>
              <w:left w:val="single" w:color="auto" w:sz="4" w:space="0"/>
              <w:bottom w:val="single" w:color="000000" w:sz="4" w:space="0"/>
              <w:right w:val="single" w:color="auto" w:sz="4" w:space="0"/>
            </w:tcBorders>
            <w:vAlign w:val="center"/>
          </w:tcPr>
          <w:p>
            <w:pPr>
              <w:widowControl/>
              <w:rPr>
                <w:rFonts w:ascii="仿宋" w:hAnsi="仿宋" w:cs="仿宋"/>
              </w:rPr>
            </w:pPr>
          </w:p>
        </w:tc>
        <w:tc>
          <w:tcPr>
            <w:tcW w:w="0" w:type="auto"/>
            <w:tcBorders>
              <w:top w:val="single" w:color="auto" w:sz="4" w:space="0"/>
              <w:left w:val="nil"/>
              <w:bottom w:val="single" w:color="auto" w:sz="4" w:space="0"/>
              <w:right w:val="single" w:color="000000" w:sz="4" w:space="0"/>
            </w:tcBorders>
            <w:vAlign w:val="center"/>
          </w:tcPr>
          <w:p>
            <w:pPr>
              <w:widowControl/>
              <w:jc w:val="center"/>
              <w:rPr>
                <w:rFonts w:ascii="仿宋" w:hAnsi="仿宋" w:cs="仿宋"/>
              </w:rPr>
            </w:pPr>
            <w:r>
              <w:rPr>
                <w:rFonts w:hint="eastAsia" w:ascii="仿宋" w:hAnsi="仿宋" w:cs="仿宋"/>
              </w:rPr>
              <w:t>2.3.5</w:t>
            </w:r>
          </w:p>
        </w:tc>
        <w:tc>
          <w:tcPr>
            <w:tcW w:w="0" w:type="auto"/>
            <w:tcBorders>
              <w:top w:val="single" w:color="auto" w:sz="4" w:space="0"/>
              <w:left w:val="nil"/>
              <w:bottom w:val="single" w:color="auto" w:sz="4" w:space="0"/>
              <w:right w:val="single" w:color="000000" w:sz="4" w:space="0"/>
            </w:tcBorders>
            <w:vAlign w:val="center"/>
          </w:tcPr>
          <w:p>
            <w:pPr>
              <w:widowControl/>
              <w:rPr>
                <w:rFonts w:ascii="仿宋" w:hAnsi="仿宋" w:cs="仿宋"/>
              </w:rPr>
            </w:pPr>
            <w:r>
              <w:rPr>
                <w:rFonts w:hint="eastAsia" w:ascii="仿宋" w:hAnsi="仿宋" w:cs="仿宋"/>
              </w:rPr>
              <w:t>提供满足基础运行环境的云平台服务，提供服务的虚拟化软件：支持虚拟化许可。</w:t>
            </w:r>
          </w:p>
        </w:tc>
        <w:tc>
          <w:tcPr>
            <w:tcW w:w="0" w:type="auto"/>
            <w:tcBorders>
              <w:top w:val="nil"/>
              <w:left w:val="single" w:color="auto" w:sz="4" w:space="0"/>
              <w:bottom w:val="single" w:color="000000" w:sz="4" w:space="0"/>
              <w:right w:val="single" w:color="auto" w:sz="4" w:space="0"/>
            </w:tcBorders>
          </w:tcPr>
          <w:p>
            <w:pPr>
              <w:widowControl/>
              <w:jc w:val="center"/>
              <w:rPr>
                <w:rFonts w:ascii="仿宋" w:hAnsi="仿宋" w:cs="仿宋"/>
              </w:rPr>
            </w:pPr>
            <w:r>
              <w:rPr>
                <w:rFonts w:hint="eastAsia" w:ascii="仿宋" w:hAnsi="仿宋" w:cs="仿宋"/>
              </w:rPr>
              <w:t>1</w:t>
            </w:r>
          </w:p>
        </w:tc>
        <w:tc>
          <w:tcPr>
            <w:tcW w:w="0" w:type="auto"/>
            <w:tcBorders>
              <w:top w:val="nil"/>
              <w:left w:val="single" w:color="auto" w:sz="4" w:space="0"/>
              <w:bottom w:val="single" w:color="000000" w:sz="4" w:space="0"/>
              <w:right w:val="single" w:color="auto" w:sz="4" w:space="0"/>
            </w:tcBorders>
          </w:tcPr>
          <w:p>
            <w:pPr>
              <w:widowControl/>
              <w:jc w:val="center"/>
              <w:rPr>
                <w:rFonts w:ascii="仿宋" w:hAnsi="仿宋" w:cs="仿宋"/>
              </w:rPr>
            </w:pPr>
            <w:r>
              <w:rPr>
                <w:rFonts w:hint="eastAsia" w:ascii="仿宋" w:hAnsi="仿宋" w:cs="仿宋"/>
              </w:rPr>
              <w:t>套</w:t>
            </w:r>
          </w:p>
        </w:tc>
      </w:tr>
      <w:tr>
        <w:tblPrEx>
          <w:tblCellMar>
            <w:top w:w="0" w:type="dxa"/>
            <w:left w:w="108" w:type="dxa"/>
            <w:bottom w:w="0" w:type="dxa"/>
            <w:right w:w="108" w:type="dxa"/>
          </w:tblCellMar>
        </w:tblPrEx>
        <w:trPr>
          <w:trHeight w:val="285" w:hRule="atLeast"/>
        </w:trPr>
        <w:tc>
          <w:tcPr>
            <w:tcW w:w="0" w:type="auto"/>
            <w:vMerge w:val="continue"/>
            <w:tcBorders>
              <w:left w:val="single" w:color="auto" w:sz="4" w:space="0"/>
              <w:right w:val="single" w:color="auto" w:sz="4" w:space="0"/>
            </w:tcBorders>
            <w:vAlign w:val="center"/>
          </w:tcPr>
          <w:p>
            <w:pPr>
              <w:widowControl/>
              <w:rPr>
                <w:rFonts w:ascii="仿宋" w:hAnsi="仿宋" w:cs="仿宋"/>
              </w:rPr>
            </w:pPr>
          </w:p>
        </w:tc>
        <w:tc>
          <w:tcPr>
            <w:tcW w:w="0" w:type="auto"/>
            <w:vMerge w:val="continue"/>
            <w:tcBorders>
              <w:top w:val="nil"/>
              <w:left w:val="single" w:color="auto" w:sz="4" w:space="0"/>
              <w:bottom w:val="single" w:color="000000" w:sz="4" w:space="0"/>
              <w:right w:val="single" w:color="auto" w:sz="4" w:space="0"/>
            </w:tcBorders>
            <w:vAlign w:val="center"/>
          </w:tcPr>
          <w:p>
            <w:pPr>
              <w:widowControl/>
              <w:rPr>
                <w:rFonts w:ascii="仿宋" w:hAnsi="仿宋" w:cs="仿宋"/>
              </w:rPr>
            </w:pPr>
          </w:p>
        </w:tc>
        <w:tc>
          <w:tcPr>
            <w:tcW w:w="0" w:type="auto"/>
            <w:tcBorders>
              <w:top w:val="single" w:color="auto" w:sz="4" w:space="0"/>
              <w:left w:val="nil"/>
              <w:bottom w:val="single" w:color="auto" w:sz="4" w:space="0"/>
              <w:right w:val="single" w:color="000000" w:sz="4" w:space="0"/>
            </w:tcBorders>
            <w:vAlign w:val="center"/>
          </w:tcPr>
          <w:p>
            <w:pPr>
              <w:widowControl/>
              <w:jc w:val="center"/>
              <w:rPr>
                <w:rFonts w:ascii="仿宋" w:hAnsi="仿宋" w:cs="仿宋"/>
              </w:rPr>
            </w:pPr>
            <w:r>
              <w:rPr>
                <w:rFonts w:hint="eastAsia" w:ascii="仿宋" w:hAnsi="仿宋" w:cs="仿宋"/>
              </w:rPr>
              <w:t>2.3.6</w:t>
            </w:r>
          </w:p>
        </w:tc>
        <w:tc>
          <w:tcPr>
            <w:tcW w:w="0" w:type="auto"/>
            <w:tcBorders>
              <w:top w:val="single" w:color="auto" w:sz="4" w:space="0"/>
              <w:left w:val="nil"/>
              <w:bottom w:val="single" w:color="auto" w:sz="4" w:space="0"/>
              <w:right w:val="single" w:color="000000" w:sz="4" w:space="0"/>
            </w:tcBorders>
            <w:vAlign w:val="center"/>
          </w:tcPr>
          <w:p>
            <w:pPr>
              <w:widowControl/>
              <w:rPr>
                <w:rFonts w:ascii="仿宋" w:hAnsi="仿宋" w:cs="仿宋"/>
              </w:rPr>
            </w:pPr>
            <w:r>
              <w:rPr>
                <w:rFonts w:hint="eastAsia" w:ascii="仿宋" w:hAnsi="仿宋" w:cs="仿宋"/>
              </w:rPr>
              <w:t>备份软件：支持所有主流的操作系统，支持所有主流的磁带机和磁带库设备。提供全中文图形化管理界面，便于数据保护管理；能够对使用软件的用户进行分类(组)管理，对每类(组)用户所拥有的操作和管理权限都可以进行灵活设置。可以指定哪类(组)用户可以在哪些工作站上执行哪些操作；要求备份软件能够对用户执行的备份、恢复、配置修改等操作都自动记录和保存，并按条件提供审计进行事后审计。</w:t>
            </w:r>
          </w:p>
        </w:tc>
        <w:tc>
          <w:tcPr>
            <w:tcW w:w="0" w:type="auto"/>
            <w:tcBorders>
              <w:top w:val="nil"/>
              <w:left w:val="single" w:color="auto" w:sz="4" w:space="0"/>
              <w:bottom w:val="single" w:color="000000" w:sz="4" w:space="0"/>
              <w:right w:val="single" w:color="auto" w:sz="4" w:space="0"/>
            </w:tcBorders>
          </w:tcPr>
          <w:p>
            <w:pPr>
              <w:widowControl/>
              <w:jc w:val="center"/>
              <w:rPr>
                <w:rFonts w:ascii="仿宋" w:hAnsi="仿宋" w:cs="仿宋"/>
              </w:rPr>
            </w:pPr>
            <w:r>
              <w:rPr>
                <w:rFonts w:hint="eastAsia" w:ascii="仿宋" w:hAnsi="仿宋" w:cs="仿宋"/>
              </w:rPr>
              <w:t>1</w:t>
            </w:r>
          </w:p>
        </w:tc>
        <w:tc>
          <w:tcPr>
            <w:tcW w:w="0" w:type="auto"/>
            <w:tcBorders>
              <w:top w:val="nil"/>
              <w:left w:val="single" w:color="auto" w:sz="4" w:space="0"/>
              <w:bottom w:val="single" w:color="000000" w:sz="4" w:space="0"/>
              <w:right w:val="single" w:color="auto" w:sz="4" w:space="0"/>
            </w:tcBorders>
          </w:tcPr>
          <w:p>
            <w:pPr>
              <w:widowControl/>
              <w:jc w:val="center"/>
              <w:rPr>
                <w:rFonts w:ascii="仿宋" w:hAnsi="仿宋" w:cs="仿宋"/>
              </w:rPr>
            </w:pPr>
            <w:r>
              <w:rPr>
                <w:rFonts w:hint="eastAsia" w:ascii="仿宋" w:hAnsi="仿宋" w:cs="仿宋"/>
              </w:rPr>
              <w:t>套</w:t>
            </w:r>
          </w:p>
        </w:tc>
      </w:tr>
      <w:tr>
        <w:tblPrEx>
          <w:tblCellMar>
            <w:top w:w="0" w:type="dxa"/>
            <w:left w:w="108" w:type="dxa"/>
            <w:bottom w:w="0" w:type="dxa"/>
            <w:right w:w="108" w:type="dxa"/>
          </w:tblCellMar>
        </w:tblPrEx>
        <w:trPr>
          <w:trHeight w:val="285" w:hRule="atLeast"/>
        </w:trPr>
        <w:tc>
          <w:tcPr>
            <w:tcW w:w="0" w:type="auto"/>
            <w:vMerge w:val="continue"/>
            <w:tcBorders>
              <w:left w:val="single" w:color="auto" w:sz="4" w:space="0"/>
              <w:right w:val="single" w:color="auto" w:sz="4" w:space="0"/>
            </w:tcBorders>
            <w:vAlign w:val="center"/>
          </w:tcPr>
          <w:p>
            <w:pPr>
              <w:widowControl/>
              <w:rPr>
                <w:rFonts w:ascii="仿宋" w:hAnsi="仿宋" w:cs="仿宋"/>
              </w:rPr>
            </w:pPr>
          </w:p>
        </w:tc>
        <w:tc>
          <w:tcPr>
            <w:tcW w:w="0" w:type="auto"/>
            <w:vMerge w:val="continue"/>
            <w:tcBorders>
              <w:top w:val="nil"/>
              <w:left w:val="single" w:color="auto" w:sz="4" w:space="0"/>
              <w:bottom w:val="single" w:color="auto" w:sz="4" w:space="0"/>
              <w:right w:val="single" w:color="auto" w:sz="4" w:space="0"/>
            </w:tcBorders>
            <w:vAlign w:val="center"/>
          </w:tcPr>
          <w:p>
            <w:pPr>
              <w:widowControl/>
              <w:rPr>
                <w:rFonts w:ascii="仿宋" w:hAnsi="仿宋" w:cs="仿宋"/>
              </w:rPr>
            </w:pPr>
          </w:p>
        </w:tc>
        <w:tc>
          <w:tcPr>
            <w:tcW w:w="0" w:type="auto"/>
            <w:tcBorders>
              <w:top w:val="single" w:color="auto" w:sz="4" w:space="0"/>
              <w:left w:val="nil"/>
              <w:bottom w:val="single" w:color="auto" w:sz="4" w:space="0"/>
              <w:right w:val="single" w:color="000000" w:sz="4" w:space="0"/>
            </w:tcBorders>
            <w:vAlign w:val="center"/>
          </w:tcPr>
          <w:p>
            <w:pPr>
              <w:widowControl/>
              <w:jc w:val="center"/>
              <w:rPr>
                <w:rFonts w:ascii="仿宋" w:hAnsi="仿宋" w:cs="仿宋"/>
              </w:rPr>
            </w:pPr>
            <w:r>
              <w:rPr>
                <w:rFonts w:hint="eastAsia" w:ascii="仿宋" w:hAnsi="仿宋" w:cs="仿宋"/>
              </w:rPr>
              <w:t>2.3.7</w:t>
            </w:r>
          </w:p>
        </w:tc>
        <w:tc>
          <w:tcPr>
            <w:tcW w:w="0" w:type="auto"/>
            <w:tcBorders>
              <w:top w:val="single" w:color="auto" w:sz="4" w:space="0"/>
              <w:left w:val="nil"/>
              <w:bottom w:val="single" w:color="auto" w:sz="4" w:space="0"/>
              <w:right w:val="single" w:color="000000" w:sz="4" w:space="0"/>
            </w:tcBorders>
            <w:vAlign w:val="center"/>
          </w:tcPr>
          <w:p>
            <w:pPr>
              <w:widowControl/>
              <w:rPr>
                <w:rFonts w:ascii="仿宋" w:hAnsi="仿宋" w:cs="仿宋"/>
              </w:rPr>
            </w:pPr>
            <w:r>
              <w:rPr>
                <w:rFonts w:hint="eastAsia" w:ascii="仿宋" w:hAnsi="仿宋" w:cs="仿宋"/>
              </w:rPr>
              <w:t>应用性能监控管理：监控吞吐量≥1.5Gbps，监控设备数≥300，监控系统数≥300；网络监测:内建网络可用性、健康度评分模型，以仪表盘的方式对网络进行打分；网络出现异常时，可及时通知用户；业务监控:支持全局流量可视，有助于获得流量分布并及时发现异常流量；系统出现异常时，可及时提醒用户；数据库监控:提供数据库处理流程及关键性能指标的友好查看界面，可查看实时及历史信息；中间件监控：提供中间件处理流程及关键性能指标的友好查看界面，可查看实时及历史信息；设备监控：可监控路由器、交换机、防火墙、工作站基础硬件设备；支持SNMP（V1/V2C/V3）、WMI、SSH；提供CPU执行队列、内存使用情况、磁盘（含分区）占用空间、网口流量、工作站进程监控信息；支持建立面向路由器、交换机、工作站等硬件设备的监控拓扑；支持短信告警、邮件告警；故障预警:可针对硬件设备异常、网络异常、流量异常、系统异常、数据库异常、中间件异常配置告警规则；异常事件直接显示包括：如TCP半开链接、TCP重传、TCP 零窗口、ICMP端口不可达、ICMP主机不可达、IP包TTL异常、TCP链接异常关闭事件及详情;支持质量报表、性能监控、商业智能、告警报表、设备报表、数据库报表、中间件报表模板库。</w:t>
            </w:r>
          </w:p>
        </w:tc>
        <w:tc>
          <w:tcPr>
            <w:tcW w:w="0" w:type="auto"/>
            <w:tcBorders>
              <w:top w:val="nil"/>
              <w:left w:val="single" w:color="auto" w:sz="4" w:space="0"/>
              <w:bottom w:val="single" w:color="auto" w:sz="4" w:space="0"/>
              <w:right w:val="single" w:color="auto" w:sz="4" w:space="0"/>
            </w:tcBorders>
          </w:tcPr>
          <w:p>
            <w:pPr>
              <w:widowControl/>
              <w:jc w:val="center"/>
              <w:rPr>
                <w:rFonts w:ascii="仿宋" w:hAnsi="仿宋" w:cs="仿宋"/>
              </w:rPr>
            </w:pPr>
            <w:r>
              <w:rPr>
                <w:rFonts w:hint="eastAsia" w:ascii="仿宋" w:hAnsi="仿宋" w:cs="仿宋"/>
              </w:rPr>
              <w:t>1</w:t>
            </w:r>
          </w:p>
        </w:tc>
        <w:tc>
          <w:tcPr>
            <w:tcW w:w="0" w:type="auto"/>
            <w:tcBorders>
              <w:top w:val="nil"/>
              <w:left w:val="single" w:color="auto" w:sz="4" w:space="0"/>
              <w:bottom w:val="single" w:color="auto" w:sz="4" w:space="0"/>
              <w:right w:val="single" w:color="auto" w:sz="4" w:space="0"/>
            </w:tcBorders>
          </w:tcPr>
          <w:p>
            <w:pPr>
              <w:widowControl/>
              <w:jc w:val="center"/>
              <w:rPr>
                <w:rFonts w:ascii="仿宋" w:hAnsi="仿宋" w:cs="仿宋"/>
              </w:rPr>
            </w:pPr>
            <w:r>
              <w:rPr>
                <w:rFonts w:hint="eastAsia" w:ascii="仿宋" w:hAnsi="仿宋" w:cs="仿宋"/>
              </w:rPr>
              <w:t>套</w:t>
            </w:r>
          </w:p>
        </w:tc>
      </w:tr>
      <w:tr>
        <w:tblPrEx>
          <w:tblCellMar>
            <w:top w:w="0" w:type="dxa"/>
            <w:left w:w="108" w:type="dxa"/>
            <w:bottom w:w="0" w:type="dxa"/>
            <w:right w:w="108" w:type="dxa"/>
          </w:tblCellMar>
        </w:tblPrEx>
        <w:trPr>
          <w:trHeight w:val="285" w:hRule="atLeast"/>
        </w:trPr>
        <w:tc>
          <w:tcPr>
            <w:tcW w:w="0" w:type="auto"/>
            <w:vMerge w:val="continue"/>
            <w:tcBorders>
              <w:left w:val="single" w:color="auto" w:sz="4" w:space="0"/>
              <w:right w:val="single" w:color="auto" w:sz="4" w:space="0"/>
            </w:tcBorders>
            <w:vAlign w:val="center"/>
          </w:tcPr>
          <w:p>
            <w:pPr>
              <w:widowControl/>
              <w:rPr>
                <w:rFonts w:ascii="仿宋" w:hAnsi="仿宋" w:cs="仿宋"/>
                <w:b/>
                <w:bCs/>
              </w:rPr>
            </w:pPr>
          </w:p>
        </w:tc>
        <w:tc>
          <w:tcPr>
            <w:tcW w:w="0" w:type="auto"/>
            <w:vMerge w:val="restart"/>
            <w:tcBorders>
              <w:top w:val="single" w:color="auto" w:sz="4" w:space="0"/>
              <w:left w:val="single" w:color="auto" w:sz="4" w:space="0"/>
              <w:bottom w:val="single" w:color="auto" w:sz="4" w:space="0"/>
              <w:right w:val="single" w:color="auto" w:sz="4" w:space="0"/>
            </w:tcBorders>
            <w:vAlign w:val="center"/>
          </w:tcPr>
          <w:p>
            <w:pPr>
              <w:widowControl/>
              <w:rPr>
                <w:rFonts w:ascii="仿宋" w:hAnsi="仿宋" w:cs="仿宋"/>
              </w:rPr>
            </w:pPr>
            <w:r>
              <w:rPr>
                <w:rFonts w:hint="eastAsia" w:ascii="仿宋" w:hAnsi="仿宋" w:cs="仿宋"/>
                <w:b/>
                <w:bCs/>
              </w:rPr>
              <w:t>统基础运行云平台资源所需网络要求</w:t>
            </w:r>
          </w:p>
        </w:tc>
        <w:tc>
          <w:tcPr>
            <w:tcW w:w="0" w:type="auto"/>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cs="仿宋"/>
              </w:rPr>
            </w:pPr>
            <w:r>
              <w:rPr>
                <w:rFonts w:hint="eastAsia" w:ascii="仿宋" w:hAnsi="仿宋" w:cs="仿宋"/>
              </w:rPr>
              <w:t>2.3.8</w:t>
            </w:r>
          </w:p>
        </w:tc>
        <w:tc>
          <w:tcPr>
            <w:tcW w:w="0" w:type="auto"/>
            <w:tcBorders>
              <w:top w:val="single" w:color="auto" w:sz="4" w:space="0"/>
              <w:left w:val="single" w:color="auto" w:sz="4" w:space="0"/>
              <w:bottom w:val="single" w:color="auto" w:sz="4" w:space="0"/>
              <w:right w:val="single" w:color="auto" w:sz="4" w:space="0"/>
            </w:tcBorders>
            <w:vAlign w:val="bottom"/>
          </w:tcPr>
          <w:p>
            <w:pPr>
              <w:widowControl/>
              <w:rPr>
                <w:rFonts w:ascii="仿宋" w:hAnsi="仿宋" w:cs="仿宋"/>
              </w:rPr>
            </w:pPr>
            <w:r>
              <w:rPr>
                <w:rFonts w:hint="eastAsia" w:ascii="仿宋" w:hAnsi="仿宋" w:cs="仿宋"/>
              </w:rPr>
              <w:t>提供满足基础运行环境的云平台服务，提供服务的核心交换机：配置冗余主控，冗余电源，业务槽位≥8，设备整机交换容量≥16Tbps,整机包转发率≥2400Mpp，支持10G端口、40G端口、100G端口；支持VxLAN二层/三层网关能力。≥24个万兆光口和24个万兆模块。</w:t>
            </w:r>
          </w:p>
        </w:tc>
        <w:tc>
          <w:tcPr>
            <w:tcW w:w="0" w:type="auto"/>
            <w:tcBorders>
              <w:top w:val="single" w:color="auto" w:sz="4" w:space="0"/>
              <w:left w:val="single" w:color="auto" w:sz="4" w:space="0"/>
              <w:bottom w:val="single" w:color="auto" w:sz="4" w:space="0"/>
              <w:right w:val="single" w:color="auto" w:sz="4" w:space="0"/>
            </w:tcBorders>
          </w:tcPr>
          <w:p>
            <w:pPr>
              <w:widowControl/>
              <w:jc w:val="center"/>
              <w:rPr>
                <w:rFonts w:ascii="仿宋" w:hAnsi="仿宋" w:cs="仿宋"/>
              </w:rPr>
            </w:pPr>
            <w:r>
              <w:rPr>
                <w:rFonts w:hint="eastAsia" w:ascii="仿宋" w:hAnsi="仿宋" w:cs="仿宋"/>
              </w:rPr>
              <w:t>1</w:t>
            </w:r>
          </w:p>
        </w:tc>
        <w:tc>
          <w:tcPr>
            <w:tcW w:w="0" w:type="auto"/>
            <w:tcBorders>
              <w:top w:val="single" w:color="auto" w:sz="4" w:space="0"/>
              <w:left w:val="single" w:color="auto" w:sz="4" w:space="0"/>
              <w:bottom w:val="single" w:color="auto" w:sz="4" w:space="0"/>
              <w:right w:val="single" w:color="auto" w:sz="4" w:space="0"/>
            </w:tcBorders>
          </w:tcPr>
          <w:p>
            <w:pPr>
              <w:widowControl/>
              <w:jc w:val="center"/>
              <w:rPr>
                <w:rFonts w:ascii="仿宋" w:hAnsi="仿宋" w:cs="仿宋"/>
              </w:rPr>
            </w:pPr>
            <w:r>
              <w:rPr>
                <w:rFonts w:hint="eastAsia" w:ascii="仿宋" w:hAnsi="仿宋" w:cs="仿宋"/>
              </w:rPr>
              <w:t>台</w:t>
            </w:r>
          </w:p>
        </w:tc>
      </w:tr>
      <w:tr>
        <w:tblPrEx>
          <w:tblCellMar>
            <w:top w:w="0" w:type="dxa"/>
            <w:left w:w="108" w:type="dxa"/>
            <w:bottom w:w="0" w:type="dxa"/>
            <w:right w:w="108" w:type="dxa"/>
          </w:tblCellMar>
        </w:tblPrEx>
        <w:trPr>
          <w:trHeight w:val="285" w:hRule="atLeast"/>
        </w:trPr>
        <w:tc>
          <w:tcPr>
            <w:tcW w:w="0" w:type="auto"/>
            <w:vMerge w:val="continue"/>
            <w:tcBorders>
              <w:left w:val="single" w:color="auto" w:sz="4" w:space="0"/>
              <w:right w:val="single" w:color="auto" w:sz="4" w:space="0"/>
            </w:tcBorders>
            <w:vAlign w:val="center"/>
          </w:tcPr>
          <w:p>
            <w:pPr>
              <w:widowControl/>
              <w:rPr>
                <w:rFonts w:ascii="仿宋" w:hAnsi="仿宋" w:cs="仿宋"/>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rPr>
                <w:rFonts w:ascii="仿宋" w:hAnsi="仿宋" w:cs="仿宋"/>
              </w:rPr>
            </w:pPr>
          </w:p>
        </w:tc>
        <w:tc>
          <w:tcPr>
            <w:tcW w:w="0" w:type="auto"/>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cs="仿宋"/>
              </w:rPr>
            </w:pPr>
            <w:r>
              <w:rPr>
                <w:rFonts w:hint="eastAsia" w:ascii="仿宋" w:hAnsi="仿宋" w:cs="仿宋"/>
              </w:rPr>
              <w:t>2.3.9</w:t>
            </w:r>
          </w:p>
        </w:tc>
        <w:tc>
          <w:tcPr>
            <w:tcW w:w="0" w:type="auto"/>
            <w:tcBorders>
              <w:top w:val="single" w:color="auto" w:sz="4" w:space="0"/>
              <w:left w:val="single" w:color="auto" w:sz="4" w:space="0"/>
              <w:bottom w:val="single" w:color="auto" w:sz="4" w:space="0"/>
              <w:right w:val="single" w:color="auto" w:sz="4" w:space="0"/>
            </w:tcBorders>
            <w:vAlign w:val="bottom"/>
          </w:tcPr>
          <w:p>
            <w:pPr>
              <w:widowControl/>
              <w:rPr>
                <w:rFonts w:ascii="仿宋" w:hAnsi="仿宋" w:cs="仿宋"/>
              </w:rPr>
            </w:pPr>
            <w:r>
              <w:rPr>
                <w:rFonts w:hint="eastAsia" w:ascii="仿宋" w:hAnsi="仿宋" w:cs="仿宋"/>
              </w:rPr>
              <w:t>提供满足基础运行环境的云平台服务，提供服务的汇聚交换机：设备整机交换容量≥2.4Tbps,整机包转发率≥1400Mpps,业务槽位≥4，整机万兆端口数≥96，40GE端口数≥30；支持VXLAN 二层和三层网关；配置冗余电源、风扇，配置万兆电接口≥24个；40G光接口≥4个，配置2根虚拟化连接线缆；配置万兆光接口≥24个，配置万兆多模光模块≥24个。</w:t>
            </w:r>
          </w:p>
        </w:tc>
        <w:tc>
          <w:tcPr>
            <w:tcW w:w="0" w:type="auto"/>
            <w:tcBorders>
              <w:top w:val="single" w:color="auto" w:sz="4" w:space="0"/>
              <w:left w:val="single" w:color="auto" w:sz="4" w:space="0"/>
              <w:bottom w:val="single" w:color="auto" w:sz="4" w:space="0"/>
              <w:right w:val="single" w:color="auto" w:sz="4" w:space="0"/>
            </w:tcBorders>
          </w:tcPr>
          <w:p>
            <w:pPr>
              <w:widowControl/>
              <w:jc w:val="center"/>
              <w:rPr>
                <w:rFonts w:ascii="仿宋" w:hAnsi="仿宋" w:cs="仿宋"/>
              </w:rPr>
            </w:pPr>
            <w:r>
              <w:rPr>
                <w:rFonts w:hint="eastAsia" w:ascii="仿宋" w:hAnsi="仿宋" w:cs="仿宋"/>
              </w:rPr>
              <w:t>1</w:t>
            </w:r>
          </w:p>
        </w:tc>
        <w:tc>
          <w:tcPr>
            <w:tcW w:w="0" w:type="auto"/>
            <w:tcBorders>
              <w:top w:val="single" w:color="auto" w:sz="4" w:space="0"/>
              <w:left w:val="single" w:color="auto" w:sz="4" w:space="0"/>
              <w:bottom w:val="single" w:color="auto" w:sz="4" w:space="0"/>
              <w:right w:val="single" w:color="auto" w:sz="4" w:space="0"/>
            </w:tcBorders>
          </w:tcPr>
          <w:p>
            <w:pPr>
              <w:widowControl/>
              <w:jc w:val="center"/>
              <w:rPr>
                <w:rFonts w:ascii="仿宋" w:hAnsi="仿宋" w:cs="仿宋"/>
              </w:rPr>
            </w:pPr>
            <w:r>
              <w:rPr>
                <w:rFonts w:hint="eastAsia" w:ascii="仿宋" w:hAnsi="仿宋" w:cs="仿宋"/>
              </w:rPr>
              <w:t>台</w:t>
            </w:r>
          </w:p>
        </w:tc>
      </w:tr>
      <w:tr>
        <w:tblPrEx>
          <w:tblCellMar>
            <w:top w:w="0" w:type="dxa"/>
            <w:left w:w="108" w:type="dxa"/>
            <w:bottom w:w="0" w:type="dxa"/>
            <w:right w:w="108" w:type="dxa"/>
          </w:tblCellMar>
        </w:tblPrEx>
        <w:trPr>
          <w:trHeight w:val="285" w:hRule="atLeast"/>
        </w:trPr>
        <w:tc>
          <w:tcPr>
            <w:tcW w:w="0" w:type="auto"/>
            <w:vMerge w:val="continue"/>
            <w:tcBorders>
              <w:left w:val="single" w:color="auto" w:sz="4" w:space="0"/>
              <w:right w:val="single" w:color="auto" w:sz="4" w:space="0"/>
            </w:tcBorders>
            <w:vAlign w:val="center"/>
          </w:tcPr>
          <w:p>
            <w:pPr>
              <w:widowControl/>
              <w:rPr>
                <w:rFonts w:ascii="仿宋" w:hAnsi="仿宋" w:cs="仿宋"/>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rPr>
                <w:rFonts w:ascii="仿宋" w:hAnsi="仿宋" w:cs="仿宋"/>
              </w:rPr>
            </w:pPr>
          </w:p>
        </w:tc>
        <w:tc>
          <w:tcPr>
            <w:tcW w:w="0" w:type="auto"/>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cs="仿宋"/>
              </w:rPr>
            </w:pPr>
            <w:r>
              <w:rPr>
                <w:rFonts w:hint="eastAsia" w:ascii="仿宋" w:hAnsi="仿宋" w:cs="仿宋"/>
              </w:rPr>
              <w:t>2.3.10</w:t>
            </w:r>
          </w:p>
        </w:tc>
        <w:tc>
          <w:tcPr>
            <w:tcW w:w="0" w:type="auto"/>
            <w:tcBorders>
              <w:top w:val="single" w:color="auto" w:sz="4" w:space="0"/>
              <w:left w:val="single" w:color="auto" w:sz="4" w:space="0"/>
              <w:bottom w:val="single" w:color="auto" w:sz="4" w:space="0"/>
              <w:right w:val="single" w:color="auto" w:sz="4" w:space="0"/>
            </w:tcBorders>
            <w:vAlign w:val="center"/>
          </w:tcPr>
          <w:p>
            <w:pPr>
              <w:widowControl/>
              <w:rPr>
                <w:rFonts w:ascii="仿宋" w:hAnsi="仿宋" w:cs="仿宋"/>
              </w:rPr>
            </w:pPr>
            <w:r>
              <w:rPr>
                <w:rFonts w:hint="eastAsia" w:ascii="仿宋" w:hAnsi="仿宋" w:cs="仿宋"/>
              </w:rPr>
              <w:t>提供满足基础运行环境的云平台服务，提供服务的路由器：双主控，双交流电源；整机交换容量≥6.4Tbps，转发性能≥620Mpps，≥4个千兆光口，≥4个千兆电口。</w:t>
            </w:r>
          </w:p>
        </w:tc>
        <w:tc>
          <w:tcPr>
            <w:tcW w:w="0" w:type="auto"/>
            <w:tcBorders>
              <w:top w:val="single" w:color="auto" w:sz="4" w:space="0"/>
              <w:left w:val="single" w:color="auto" w:sz="4" w:space="0"/>
              <w:bottom w:val="single" w:color="auto" w:sz="4" w:space="0"/>
              <w:right w:val="single" w:color="auto" w:sz="4" w:space="0"/>
            </w:tcBorders>
          </w:tcPr>
          <w:p>
            <w:pPr>
              <w:widowControl/>
              <w:jc w:val="center"/>
              <w:rPr>
                <w:rFonts w:ascii="仿宋" w:hAnsi="仿宋" w:cs="仿宋"/>
              </w:rPr>
            </w:pPr>
            <w:r>
              <w:rPr>
                <w:rFonts w:hint="eastAsia" w:ascii="仿宋" w:hAnsi="仿宋" w:cs="仿宋"/>
              </w:rPr>
              <w:t>1</w:t>
            </w:r>
          </w:p>
        </w:tc>
        <w:tc>
          <w:tcPr>
            <w:tcW w:w="0" w:type="auto"/>
            <w:tcBorders>
              <w:top w:val="single" w:color="auto" w:sz="4" w:space="0"/>
              <w:left w:val="single" w:color="auto" w:sz="4" w:space="0"/>
              <w:bottom w:val="single" w:color="auto" w:sz="4" w:space="0"/>
              <w:right w:val="single" w:color="auto" w:sz="4" w:space="0"/>
            </w:tcBorders>
          </w:tcPr>
          <w:p>
            <w:pPr>
              <w:widowControl/>
              <w:jc w:val="center"/>
              <w:rPr>
                <w:rFonts w:ascii="仿宋" w:hAnsi="仿宋" w:cs="仿宋"/>
              </w:rPr>
            </w:pPr>
            <w:r>
              <w:rPr>
                <w:rFonts w:hint="eastAsia" w:ascii="仿宋" w:hAnsi="仿宋" w:cs="仿宋"/>
              </w:rPr>
              <w:t>台</w:t>
            </w:r>
          </w:p>
        </w:tc>
      </w:tr>
      <w:tr>
        <w:tblPrEx>
          <w:tblCellMar>
            <w:top w:w="0" w:type="dxa"/>
            <w:left w:w="108" w:type="dxa"/>
            <w:bottom w:w="0" w:type="dxa"/>
            <w:right w:w="108" w:type="dxa"/>
          </w:tblCellMar>
        </w:tblPrEx>
        <w:trPr>
          <w:trHeight w:val="285" w:hRule="atLeast"/>
        </w:trPr>
        <w:tc>
          <w:tcPr>
            <w:tcW w:w="0" w:type="auto"/>
            <w:vMerge w:val="continue"/>
            <w:tcBorders>
              <w:left w:val="single" w:color="auto" w:sz="4" w:space="0"/>
              <w:right w:val="single" w:color="auto" w:sz="4" w:space="0"/>
            </w:tcBorders>
            <w:vAlign w:val="center"/>
          </w:tcPr>
          <w:p>
            <w:pPr>
              <w:widowControl/>
              <w:rPr>
                <w:rFonts w:ascii="仿宋" w:hAnsi="仿宋" w:cs="仿宋"/>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rPr>
                <w:rFonts w:ascii="仿宋" w:hAnsi="仿宋" w:cs="仿宋"/>
              </w:rPr>
            </w:pPr>
          </w:p>
        </w:tc>
        <w:tc>
          <w:tcPr>
            <w:tcW w:w="0" w:type="auto"/>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cs="仿宋"/>
              </w:rPr>
            </w:pPr>
            <w:r>
              <w:rPr>
                <w:rFonts w:hint="eastAsia" w:ascii="仿宋" w:hAnsi="仿宋" w:cs="仿宋"/>
              </w:rPr>
              <w:t>2.3.11</w:t>
            </w:r>
          </w:p>
        </w:tc>
        <w:tc>
          <w:tcPr>
            <w:tcW w:w="0" w:type="auto"/>
            <w:tcBorders>
              <w:top w:val="single" w:color="auto" w:sz="4" w:space="0"/>
              <w:left w:val="single" w:color="auto" w:sz="4" w:space="0"/>
              <w:bottom w:val="single" w:color="auto" w:sz="4" w:space="0"/>
              <w:right w:val="single" w:color="auto" w:sz="4" w:space="0"/>
            </w:tcBorders>
            <w:vAlign w:val="bottom"/>
          </w:tcPr>
          <w:p>
            <w:pPr>
              <w:widowControl/>
              <w:rPr>
                <w:rFonts w:ascii="仿宋" w:hAnsi="仿宋" w:cs="仿宋"/>
              </w:rPr>
            </w:pPr>
            <w:r>
              <w:rPr>
                <w:rFonts w:hint="eastAsia" w:ascii="仿宋" w:hAnsi="仿宋" w:cs="仿宋"/>
              </w:rPr>
              <w:t>提供满足基础运行环境的云平台服务，提供服务的云虚拟化网络SDN控制器：支持x86工作站物理机方式和虚拟机方式安装，支持主流虚拟化软件；支持对网络进行统一的管理，支持NETCONF协议对物理设备进行管理，支持OVS-DB协议对vSwitch进行管理；支持VXLAN协议封装，支持VXLAN二层互通，三层互通，VXLAN和传统网络互通。</w:t>
            </w:r>
          </w:p>
        </w:tc>
        <w:tc>
          <w:tcPr>
            <w:tcW w:w="0" w:type="auto"/>
            <w:tcBorders>
              <w:top w:val="single" w:color="auto" w:sz="4" w:space="0"/>
              <w:left w:val="single" w:color="auto" w:sz="4" w:space="0"/>
              <w:bottom w:val="single" w:color="auto" w:sz="4" w:space="0"/>
              <w:right w:val="single" w:color="auto" w:sz="4" w:space="0"/>
            </w:tcBorders>
          </w:tcPr>
          <w:p>
            <w:pPr>
              <w:widowControl/>
              <w:jc w:val="center"/>
              <w:rPr>
                <w:rFonts w:ascii="仿宋" w:hAnsi="仿宋" w:cs="仿宋"/>
              </w:rPr>
            </w:pPr>
            <w:r>
              <w:rPr>
                <w:rFonts w:hint="eastAsia" w:ascii="仿宋" w:hAnsi="仿宋" w:cs="仿宋"/>
              </w:rPr>
              <w:t>1</w:t>
            </w:r>
          </w:p>
        </w:tc>
        <w:tc>
          <w:tcPr>
            <w:tcW w:w="0" w:type="auto"/>
            <w:tcBorders>
              <w:top w:val="single" w:color="auto" w:sz="4" w:space="0"/>
              <w:left w:val="single" w:color="auto" w:sz="4" w:space="0"/>
              <w:bottom w:val="single" w:color="auto" w:sz="4" w:space="0"/>
              <w:right w:val="single" w:color="auto" w:sz="4" w:space="0"/>
            </w:tcBorders>
          </w:tcPr>
          <w:p>
            <w:pPr>
              <w:widowControl/>
              <w:jc w:val="center"/>
              <w:rPr>
                <w:rFonts w:ascii="仿宋" w:hAnsi="仿宋" w:cs="仿宋"/>
              </w:rPr>
            </w:pPr>
            <w:r>
              <w:rPr>
                <w:rFonts w:hint="eastAsia" w:ascii="仿宋" w:hAnsi="仿宋" w:cs="仿宋"/>
              </w:rPr>
              <w:t>套</w:t>
            </w:r>
          </w:p>
        </w:tc>
      </w:tr>
      <w:tr>
        <w:tblPrEx>
          <w:tblCellMar>
            <w:top w:w="0" w:type="dxa"/>
            <w:left w:w="108" w:type="dxa"/>
            <w:bottom w:w="0" w:type="dxa"/>
            <w:right w:w="108" w:type="dxa"/>
          </w:tblCellMar>
        </w:tblPrEx>
        <w:trPr>
          <w:trHeight w:val="285" w:hRule="atLeast"/>
        </w:trPr>
        <w:tc>
          <w:tcPr>
            <w:tcW w:w="0" w:type="auto"/>
            <w:vMerge w:val="continue"/>
            <w:tcBorders>
              <w:left w:val="single" w:color="auto" w:sz="4" w:space="0"/>
              <w:right w:val="single" w:color="auto" w:sz="4" w:space="0"/>
            </w:tcBorders>
            <w:vAlign w:val="center"/>
          </w:tcPr>
          <w:p>
            <w:pPr>
              <w:widowControl/>
              <w:rPr>
                <w:rFonts w:ascii="仿宋" w:hAnsi="仿宋" w:cs="仿宋"/>
                <w:b/>
                <w:bCs/>
              </w:rPr>
            </w:pPr>
          </w:p>
        </w:tc>
        <w:tc>
          <w:tcPr>
            <w:tcW w:w="0" w:type="auto"/>
            <w:vMerge w:val="restart"/>
            <w:tcBorders>
              <w:top w:val="single" w:color="auto" w:sz="4" w:space="0"/>
              <w:left w:val="single" w:color="auto" w:sz="4" w:space="0"/>
              <w:right w:val="single" w:color="auto" w:sz="4" w:space="0"/>
            </w:tcBorders>
            <w:vAlign w:val="center"/>
          </w:tcPr>
          <w:p>
            <w:pPr>
              <w:widowControl/>
              <w:rPr>
                <w:rFonts w:ascii="仿宋" w:hAnsi="仿宋" w:cs="仿宋"/>
              </w:rPr>
            </w:pPr>
            <w:r>
              <w:rPr>
                <w:rFonts w:hint="eastAsia" w:ascii="仿宋" w:hAnsi="仿宋" w:cs="仿宋"/>
                <w:b/>
                <w:bCs/>
              </w:rPr>
              <w:t>系统基础运行云平台资源所需信息化安全要求</w:t>
            </w:r>
          </w:p>
        </w:tc>
        <w:tc>
          <w:tcPr>
            <w:tcW w:w="0" w:type="auto"/>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cs="仿宋"/>
              </w:rPr>
            </w:pPr>
            <w:r>
              <w:rPr>
                <w:rFonts w:hint="eastAsia" w:ascii="仿宋" w:hAnsi="仿宋" w:cs="仿宋"/>
              </w:rPr>
              <w:t>2.3.12</w:t>
            </w:r>
          </w:p>
        </w:tc>
        <w:tc>
          <w:tcPr>
            <w:tcW w:w="0" w:type="auto"/>
            <w:tcBorders>
              <w:top w:val="single" w:color="auto" w:sz="4" w:space="0"/>
              <w:left w:val="single" w:color="auto" w:sz="4" w:space="0"/>
              <w:bottom w:val="single" w:color="auto" w:sz="4" w:space="0"/>
              <w:right w:val="single" w:color="auto" w:sz="4" w:space="0"/>
            </w:tcBorders>
            <w:vAlign w:val="bottom"/>
          </w:tcPr>
          <w:p>
            <w:pPr>
              <w:widowControl/>
              <w:rPr>
                <w:rFonts w:ascii="仿宋" w:hAnsi="仿宋" w:cs="仿宋"/>
              </w:rPr>
            </w:pPr>
            <w:r>
              <w:rPr>
                <w:rFonts w:hint="eastAsia" w:ascii="仿宋" w:hAnsi="仿宋" w:cs="仿宋"/>
              </w:rPr>
              <w:t xml:space="preserve">提供数据库审计：硬盘大小≥2T*2；主控模块内存≥32G；配置冗余电源；支持网络流量≥4000Mb/s；支持处理纯数据库流量≥400Mb；峰值处理能力≥40000条/秒；根据任意sql条件查询性能≥1000万条/秒；审计日志包括账号、SQL语句、表、字段、存储过程、客户端工具、IP、MAC、实例名、主机名；支持双向审计；支持HTTP请求审计，提取URL、POST/GET值、cookie、操作系统类型、浏览器类型、原始客户端IP、MAC地址、提交参数等，支持绑定变量名及绑定变量值审计。 </w:t>
            </w:r>
          </w:p>
        </w:tc>
        <w:tc>
          <w:tcPr>
            <w:tcW w:w="0" w:type="auto"/>
            <w:tcBorders>
              <w:top w:val="single" w:color="auto" w:sz="4" w:space="0"/>
              <w:left w:val="single" w:color="auto" w:sz="4" w:space="0"/>
              <w:bottom w:val="single" w:color="auto" w:sz="4" w:space="0"/>
              <w:right w:val="single" w:color="auto" w:sz="4" w:space="0"/>
            </w:tcBorders>
          </w:tcPr>
          <w:p>
            <w:pPr>
              <w:widowControl/>
              <w:jc w:val="center"/>
              <w:rPr>
                <w:rFonts w:ascii="仿宋" w:hAnsi="仿宋" w:cs="仿宋"/>
              </w:rPr>
            </w:pPr>
            <w:r>
              <w:rPr>
                <w:rFonts w:hint="eastAsia" w:ascii="仿宋" w:hAnsi="仿宋" w:cs="仿宋"/>
              </w:rPr>
              <w:t>1</w:t>
            </w:r>
          </w:p>
        </w:tc>
        <w:tc>
          <w:tcPr>
            <w:tcW w:w="0" w:type="auto"/>
            <w:tcBorders>
              <w:top w:val="single" w:color="auto" w:sz="4" w:space="0"/>
              <w:left w:val="single" w:color="auto" w:sz="4" w:space="0"/>
              <w:bottom w:val="single" w:color="auto" w:sz="4" w:space="0"/>
              <w:right w:val="single" w:color="auto" w:sz="4" w:space="0"/>
            </w:tcBorders>
          </w:tcPr>
          <w:p>
            <w:pPr>
              <w:widowControl/>
              <w:jc w:val="center"/>
              <w:rPr>
                <w:rFonts w:ascii="仿宋" w:hAnsi="仿宋" w:cs="仿宋"/>
              </w:rPr>
            </w:pPr>
            <w:r>
              <w:rPr>
                <w:rFonts w:hint="eastAsia" w:ascii="仿宋" w:hAnsi="仿宋" w:cs="仿宋"/>
              </w:rPr>
              <w:t>台</w:t>
            </w:r>
          </w:p>
        </w:tc>
      </w:tr>
      <w:tr>
        <w:tblPrEx>
          <w:tblCellMar>
            <w:top w:w="0" w:type="dxa"/>
            <w:left w:w="108" w:type="dxa"/>
            <w:bottom w:w="0" w:type="dxa"/>
            <w:right w:w="108" w:type="dxa"/>
          </w:tblCellMar>
        </w:tblPrEx>
        <w:trPr>
          <w:trHeight w:val="285" w:hRule="atLeast"/>
        </w:trPr>
        <w:tc>
          <w:tcPr>
            <w:tcW w:w="0" w:type="auto"/>
            <w:vMerge w:val="continue"/>
            <w:tcBorders>
              <w:left w:val="single" w:color="auto" w:sz="4" w:space="0"/>
              <w:right w:val="single" w:color="auto" w:sz="4" w:space="0"/>
            </w:tcBorders>
            <w:vAlign w:val="center"/>
          </w:tcPr>
          <w:p>
            <w:pPr>
              <w:widowControl/>
              <w:rPr>
                <w:rFonts w:ascii="仿宋" w:hAnsi="仿宋" w:cs="仿宋"/>
              </w:rPr>
            </w:pPr>
          </w:p>
        </w:tc>
        <w:tc>
          <w:tcPr>
            <w:tcW w:w="0" w:type="auto"/>
            <w:vMerge w:val="continue"/>
            <w:tcBorders>
              <w:left w:val="single" w:color="auto" w:sz="4" w:space="0"/>
              <w:right w:val="single" w:color="auto" w:sz="4" w:space="0"/>
            </w:tcBorders>
            <w:vAlign w:val="center"/>
          </w:tcPr>
          <w:p>
            <w:pPr>
              <w:widowControl/>
              <w:rPr>
                <w:rFonts w:ascii="仿宋" w:hAnsi="仿宋" w:cs="仿宋"/>
              </w:rPr>
            </w:pPr>
          </w:p>
        </w:tc>
        <w:tc>
          <w:tcPr>
            <w:tcW w:w="0" w:type="auto"/>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cs="仿宋"/>
              </w:rPr>
            </w:pPr>
            <w:r>
              <w:rPr>
                <w:rFonts w:hint="eastAsia" w:ascii="仿宋" w:hAnsi="仿宋" w:cs="仿宋"/>
              </w:rPr>
              <w:t>2.3.13</w:t>
            </w:r>
          </w:p>
        </w:tc>
        <w:tc>
          <w:tcPr>
            <w:tcW w:w="0" w:type="auto"/>
            <w:tcBorders>
              <w:top w:val="single" w:color="auto" w:sz="4" w:space="0"/>
              <w:left w:val="single" w:color="auto" w:sz="4" w:space="0"/>
              <w:bottom w:val="single" w:color="auto" w:sz="4" w:space="0"/>
              <w:right w:val="single" w:color="auto" w:sz="4" w:space="0"/>
            </w:tcBorders>
            <w:vAlign w:val="bottom"/>
          </w:tcPr>
          <w:p>
            <w:pPr>
              <w:widowControl/>
              <w:rPr>
                <w:rFonts w:ascii="仿宋" w:hAnsi="仿宋" w:cs="仿宋"/>
              </w:rPr>
            </w:pPr>
            <w:r>
              <w:rPr>
                <w:rFonts w:hint="eastAsia" w:ascii="仿宋" w:hAnsi="仿宋" w:cs="仿宋"/>
              </w:rPr>
              <w:t xml:space="preserve">提供入侵检测：网络吞吐量≥5Gbps；支持≥40种协议分析能力；≥2个万兆光口；配置双电源；支持基于攻击工具、或漏洞利用的特征进行检测，基于协议传输的异常进行检测，基于流量统计的异常进行检测。 </w:t>
            </w:r>
          </w:p>
        </w:tc>
        <w:tc>
          <w:tcPr>
            <w:tcW w:w="0" w:type="auto"/>
            <w:tcBorders>
              <w:top w:val="single" w:color="auto" w:sz="4" w:space="0"/>
              <w:left w:val="single" w:color="auto" w:sz="4" w:space="0"/>
              <w:bottom w:val="single" w:color="auto" w:sz="4" w:space="0"/>
              <w:right w:val="single" w:color="auto" w:sz="4" w:space="0"/>
            </w:tcBorders>
          </w:tcPr>
          <w:p>
            <w:pPr>
              <w:widowControl/>
              <w:jc w:val="center"/>
              <w:rPr>
                <w:rFonts w:ascii="仿宋" w:hAnsi="仿宋" w:cs="仿宋"/>
              </w:rPr>
            </w:pPr>
            <w:r>
              <w:rPr>
                <w:rFonts w:hint="eastAsia" w:ascii="仿宋" w:hAnsi="仿宋" w:cs="仿宋"/>
              </w:rPr>
              <w:t>1</w:t>
            </w:r>
          </w:p>
        </w:tc>
        <w:tc>
          <w:tcPr>
            <w:tcW w:w="0" w:type="auto"/>
            <w:tcBorders>
              <w:top w:val="single" w:color="auto" w:sz="4" w:space="0"/>
              <w:left w:val="single" w:color="auto" w:sz="4" w:space="0"/>
              <w:bottom w:val="single" w:color="auto" w:sz="4" w:space="0"/>
              <w:right w:val="single" w:color="auto" w:sz="4" w:space="0"/>
            </w:tcBorders>
          </w:tcPr>
          <w:p>
            <w:pPr>
              <w:widowControl/>
              <w:jc w:val="center"/>
              <w:rPr>
                <w:rFonts w:ascii="仿宋" w:hAnsi="仿宋" w:cs="仿宋"/>
              </w:rPr>
            </w:pPr>
            <w:r>
              <w:rPr>
                <w:rFonts w:hint="eastAsia" w:ascii="仿宋" w:hAnsi="仿宋" w:cs="仿宋"/>
              </w:rPr>
              <w:t>台</w:t>
            </w:r>
          </w:p>
        </w:tc>
      </w:tr>
      <w:tr>
        <w:tblPrEx>
          <w:tblCellMar>
            <w:top w:w="0" w:type="dxa"/>
            <w:left w:w="108" w:type="dxa"/>
            <w:bottom w:w="0" w:type="dxa"/>
            <w:right w:w="108" w:type="dxa"/>
          </w:tblCellMar>
        </w:tblPrEx>
        <w:trPr>
          <w:trHeight w:val="285" w:hRule="atLeast"/>
        </w:trPr>
        <w:tc>
          <w:tcPr>
            <w:tcW w:w="0" w:type="auto"/>
            <w:vMerge w:val="continue"/>
            <w:tcBorders>
              <w:left w:val="single" w:color="auto" w:sz="4" w:space="0"/>
              <w:bottom w:val="single" w:color="auto" w:sz="4" w:space="0"/>
              <w:right w:val="single" w:color="auto" w:sz="4" w:space="0"/>
            </w:tcBorders>
            <w:vAlign w:val="center"/>
          </w:tcPr>
          <w:p>
            <w:pPr>
              <w:widowControl/>
              <w:rPr>
                <w:rFonts w:ascii="仿宋" w:hAnsi="仿宋" w:cs="仿宋"/>
              </w:rPr>
            </w:pPr>
          </w:p>
        </w:tc>
        <w:tc>
          <w:tcPr>
            <w:tcW w:w="0" w:type="auto"/>
            <w:vMerge w:val="continue"/>
            <w:tcBorders>
              <w:left w:val="single" w:color="auto" w:sz="4" w:space="0"/>
              <w:bottom w:val="single" w:color="auto" w:sz="4" w:space="0"/>
              <w:right w:val="single" w:color="auto" w:sz="4" w:space="0"/>
            </w:tcBorders>
            <w:vAlign w:val="center"/>
          </w:tcPr>
          <w:p>
            <w:pPr>
              <w:widowControl/>
              <w:rPr>
                <w:rFonts w:ascii="仿宋" w:hAnsi="仿宋" w:cs="仿宋"/>
              </w:rPr>
            </w:pPr>
          </w:p>
        </w:tc>
        <w:tc>
          <w:tcPr>
            <w:tcW w:w="0" w:type="auto"/>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cs="仿宋"/>
              </w:rPr>
            </w:pPr>
            <w:r>
              <w:rPr>
                <w:rFonts w:hint="eastAsia" w:ascii="仿宋" w:hAnsi="仿宋" w:cs="仿宋"/>
              </w:rPr>
              <w:t>2.3.14</w:t>
            </w:r>
          </w:p>
        </w:tc>
        <w:tc>
          <w:tcPr>
            <w:tcW w:w="0" w:type="auto"/>
            <w:tcBorders>
              <w:top w:val="single" w:color="auto" w:sz="4" w:space="0"/>
              <w:left w:val="single" w:color="auto" w:sz="4" w:space="0"/>
              <w:bottom w:val="single" w:color="auto" w:sz="4" w:space="0"/>
              <w:right w:val="single" w:color="auto" w:sz="4" w:space="0"/>
            </w:tcBorders>
            <w:vAlign w:val="bottom"/>
          </w:tcPr>
          <w:p>
            <w:pPr>
              <w:widowControl/>
              <w:rPr>
                <w:rFonts w:ascii="仿宋" w:hAnsi="仿宋" w:cs="仿宋"/>
              </w:rPr>
            </w:pPr>
            <w:r>
              <w:rPr>
                <w:rFonts w:hint="eastAsia" w:ascii="仿宋" w:hAnsi="仿宋" w:cs="仿宋"/>
              </w:rPr>
              <w:t>提供防火墙：整机吞吐量≥1920Gbps、应用层防护吞吐量≥240Gbps；虚拟防火墙数≥256；万兆端口≥8个，配置≥8个万兆多模模块；支持基于CPU、内存等硬件划分资源的完全虚拟化技术,可分配吞吐量、新建、并发，虚拟防火墙可独立重启、配置独立导出；支持VXLAN，实现SDN转发，能够与云平台对接实现安全服务编排。</w:t>
            </w:r>
          </w:p>
        </w:tc>
        <w:tc>
          <w:tcPr>
            <w:tcW w:w="0" w:type="auto"/>
            <w:tcBorders>
              <w:top w:val="single" w:color="auto" w:sz="4" w:space="0"/>
              <w:left w:val="single" w:color="auto" w:sz="4" w:space="0"/>
              <w:bottom w:val="single" w:color="auto" w:sz="4" w:space="0"/>
              <w:right w:val="single" w:color="auto" w:sz="4" w:space="0"/>
            </w:tcBorders>
          </w:tcPr>
          <w:p>
            <w:pPr>
              <w:widowControl/>
              <w:jc w:val="center"/>
              <w:rPr>
                <w:rFonts w:ascii="仿宋" w:hAnsi="仿宋" w:cs="仿宋"/>
              </w:rPr>
            </w:pPr>
            <w:r>
              <w:rPr>
                <w:rFonts w:hint="eastAsia" w:ascii="仿宋" w:hAnsi="仿宋" w:cs="仿宋"/>
              </w:rPr>
              <w:t>1</w:t>
            </w:r>
          </w:p>
        </w:tc>
        <w:tc>
          <w:tcPr>
            <w:tcW w:w="0" w:type="auto"/>
            <w:tcBorders>
              <w:top w:val="single" w:color="auto" w:sz="4" w:space="0"/>
              <w:left w:val="single" w:color="auto" w:sz="4" w:space="0"/>
              <w:bottom w:val="single" w:color="auto" w:sz="4" w:space="0"/>
              <w:right w:val="single" w:color="auto" w:sz="4" w:space="0"/>
            </w:tcBorders>
          </w:tcPr>
          <w:p>
            <w:pPr>
              <w:widowControl/>
              <w:jc w:val="center"/>
              <w:rPr>
                <w:rFonts w:ascii="仿宋" w:hAnsi="仿宋" w:cs="仿宋"/>
              </w:rPr>
            </w:pPr>
            <w:r>
              <w:rPr>
                <w:rFonts w:hint="eastAsia" w:ascii="仿宋" w:hAnsi="仿宋" w:cs="仿宋"/>
              </w:rPr>
              <w:t>台</w:t>
            </w:r>
          </w:p>
        </w:tc>
      </w:tr>
      <w:tr>
        <w:tblPrEx>
          <w:tblCellMar>
            <w:top w:w="0" w:type="dxa"/>
            <w:left w:w="108" w:type="dxa"/>
            <w:bottom w:w="0" w:type="dxa"/>
            <w:right w:w="108" w:type="dxa"/>
          </w:tblCellMar>
        </w:tblPrEx>
        <w:trPr>
          <w:trHeight w:val="1529"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rPr>
                <w:rFonts w:ascii="仿宋" w:hAnsi="仿宋" w:cs="仿宋"/>
              </w:rPr>
            </w:pPr>
            <w:r>
              <w:rPr>
                <w:rFonts w:hint="eastAsia" w:ascii="仿宋" w:hAnsi="仿宋" w:cs="仿宋"/>
                <w:b/>
                <w:bCs/>
              </w:rPr>
              <w:t>数据接口前置机服务相关要求</w:t>
            </w:r>
          </w:p>
        </w:tc>
        <w:tc>
          <w:tcPr>
            <w:tcW w:w="0" w:type="auto"/>
            <w:tcBorders>
              <w:top w:val="single" w:color="auto" w:sz="4" w:space="0"/>
              <w:left w:val="single" w:color="auto" w:sz="4" w:space="0"/>
              <w:bottom w:val="single" w:color="auto" w:sz="4" w:space="0"/>
              <w:right w:val="single" w:color="auto" w:sz="4" w:space="0"/>
            </w:tcBorders>
            <w:vAlign w:val="center"/>
          </w:tcPr>
          <w:p>
            <w:pPr>
              <w:widowControl/>
              <w:rPr>
                <w:rFonts w:ascii="仿宋" w:hAnsi="仿宋" w:cs="仿宋"/>
              </w:rPr>
            </w:pPr>
            <w:r>
              <w:rPr>
                <w:rFonts w:hint="eastAsia" w:ascii="仿宋" w:hAnsi="仿宋" w:cs="仿宋"/>
                <w:b/>
                <w:bCs/>
              </w:rPr>
              <w:t>数据交换的工作站要求</w:t>
            </w:r>
          </w:p>
        </w:tc>
        <w:tc>
          <w:tcPr>
            <w:tcW w:w="0" w:type="auto"/>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cs="仿宋"/>
              </w:rPr>
            </w:pPr>
            <w:r>
              <w:rPr>
                <w:rFonts w:hint="eastAsia" w:ascii="仿宋" w:hAnsi="仿宋" w:cs="仿宋"/>
              </w:rPr>
              <w:t>2.3.15</w:t>
            </w:r>
          </w:p>
        </w:tc>
        <w:tc>
          <w:tcPr>
            <w:tcW w:w="0" w:type="auto"/>
            <w:tcBorders>
              <w:top w:val="single" w:color="auto" w:sz="4" w:space="0"/>
              <w:left w:val="single" w:color="auto" w:sz="4" w:space="0"/>
              <w:bottom w:val="single" w:color="auto" w:sz="4" w:space="0"/>
              <w:right w:val="single" w:color="auto" w:sz="4" w:space="0"/>
            </w:tcBorders>
            <w:vAlign w:val="bottom"/>
          </w:tcPr>
          <w:p>
            <w:pPr>
              <w:widowControl/>
              <w:rPr>
                <w:rFonts w:ascii="仿宋" w:hAnsi="仿宋" w:cs="仿宋"/>
                <w:kern w:val="0"/>
              </w:rPr>
            </w:pPr>
            <w:r>
              <w:rPr>
                <w:rFonts w:hint="eastAsia" w:ascii="仿宋" w:hAnsi="仿宋" w:cs="仿宋"/>
                <w:kern w:val="0"/>
              </w:rPr>
              <w:t>（1）工作站外型：机架式；</w:t>
            </w:r>
          </w:p>
          <w:p>
            <w:pPr>
              <w:widowControl/>
              <w:rPr>
                <w:rFonts w:ascii="仿宋" w:hAnsi="仿宋" w:cs="仿宋"/>
                <w:kern w:val="0"/>
              </w:rPr>
            </w:pPr>
            <w:r>
              <w:rPr>
                <w:rFonts w:hint="eastAsia" w:ascii="仿宋" w:hAnsi="仿宋" w:cs="仿宋"/>
                <w:kern w:val="0"/>
              </w:rPr>
              <w:t>▲（2）工作站高度：≥2U，标配原厂导轨；</w:t>
            </w:r>
          </w:p>
          <w:p>
            <w:pPr>
              <w:widowControl/>
              <w:rPr>
                <w:rFonts w:ascii="仿宋" w:hAnsi="仿宋" w:cs="仿宋"/>
                <w:kern w:val="0"/>
              </w:rPr>
            </w:pPr>
            <w:r>
              <w:rPr>
                <w:rFonts w:hint="eastAsia" w:ascii="仿宋" w:hAnsi="仿宋" w:cs="仿宋"/>
                <w:kern w:val="0"/>
              </w:rPr>
              <w:t>▲（3）CPU型号：Intel 至强可扩展系列处理器 、4210R(2.4GHz/10核/13.75MB/100W)CPU模块(CMCTO)；</w:t>
            </w:r>
          </w:p>
          <w:p>
            <w:pPr>
              <w:widowControl/>
              <w:rPr>
                <w:rFonts w:ascii="仿宋" w:hAnsi="仿宋" w:cs="仿宋"/>
                <w:kern w:val="0"/>
              </w:rPr>
            </w:pPr>
            <w:r>
              <w:rPr>
                <w:rFonts w:hint="eastAsia" w:ascii="仿宋" w:hAnsi="仿宋" w:cs="仿宋"/>
                <w:kern w:val="0"/>
              </w:rPr>
              <w:t>（4）CPU实配数量：≥1颗；</w:t>
            </w:r>
          </w:p>
          <w:p>
            <w:pPr>
              <w:widowControl/>
              <w:rPr>
                <w:rFonts w:ascii="仿宋" w:hAnsi="仿宋" w:cs="仿宋"/>
                <w:kern w:val="0"/>
              </w:rPr>
            </w:pPr>
            <w:r>
              <w:rPr>
                <w:rFonts w:hint="eastAsia" w:ascii="仿宋" w:hAnsi="仿宋" w:cs="仿宋"/>
                <w:kern w:val="0"/>
              </w:rPr>
              <w:t>（5）内存功能：Advanced ECC、内存镜像、内存热备；</w:t>
            </w:r>
          </w:p>
          <w:p>
            <w:pPr>
              <w:widowControl/>
              <w:rPr>
                <w:rFonts w:ascii="仿宋" w:hAnsi="仿宋" w:cs="仿宋"/>
                <w:kern w:val="0"/>
              </w:rPr>
            </w:pPr>
            <w:r>
              <w:rPr>
                <w:rFonts w:hint="eastAsia" w:ascii="仿宋" w:hAnsi="仿宋" w:cs="仿宋"/>
                <w:kern w:val="0"/>
              </w:rPr>
              <w:t>▲（6）内存实配规格：≥32GB 2666MHz DDR4；</w:t>
            </w:r>
          </w:p>
          <w:p>
            <w:pPr>
              <w:widowControl/>
              <w:rPr>
                <w:rFonts w:ascii="仿宋" w:hAnsi="仿宋" w:cs="仿宋"/>
                <w:kern w:val="0"/>
              </w:rPr>
            </w:pPr>
            <w:r>
              <w:rPr>
                <w:rFonts w:hint="eastAsia" w:ascii="仿宋" w:hAnsi="仿宋" w:cs="仿宋"/>
                <w:kern w:val="0"/>
              </w:rPr>
              <w:t>▲（7）内存可扩展数量：可扩展≥24个内存插槽，官方支持最大内存容量不小于1.5TB；</w:t>
            </w:r>
          </w:p>
          <w:p>
            <w:pPr>
              <w:widowControl/>
              <w:rPr>
                <w:rFonts w:ascii="仿宋" w:hAnsi="仿宋" w:cs="仿宋"/>
                <w:kern w:val="0"/>
              </w:rPr>
            </w:pPr>
            <w:r>
              <w:rPr>
                <w:rFonts w:hint="eastAsia" w:ascii="仿宋" w:hAnsi="仿宋" w:cs="仿宋"/>
                <w:kern w:val="0"/>
              </w:rPr>
              <w:t>▲（8）实配硬盘及托架：≥2*1.2TB 12G SAS 10K 2.5in EP HDD通用硬盘模块；</w:t>
            </w:r>
          </w:p>
          <w:p>
            <w:pPr>
              <w:widowControl/>
              <w:rPr>
                <w:rFonts w:ascii="仿宋" w:hAnsi="仿宋" w:cs="仿宋"/>
                <w:kern w:val="0"/>
              </w:rPr>
            </w:pPr>
            <w:r>
              <w:rPr>
                <w:rFonts w:hint="eastAsia" w:ascii="仿宋" w:hAnsi="仿宋" w:cs="仿宋"/>
                <w:kern w:val="0"/>
              </w:rPr>
              <w:t>▲（9）硬盘槽位：小</w:t>
            </w:r>
            <w:r>
              <w:rPr>
                <w:rFonts w:hint="eastAsia" w:ascii="仿宋" w:hAnsi="仿宋" w:cs="仿宋"/>
                <w:b/>
                <w:bCs/>
                <w:kern w:val="0"/>
              </w:rPr>
              <w:t>盘机型写法示例：</w:t>
            </w:r>
            <w:r>
              <w:rPr>
                <w:rFonts w:hint="eastAsia" w:ascii="仿宋" w:hAnsi="仿宋" w:cs="仿宋"/>
                <w:kern w:val="0"/>
              </w:rPr>
              <w:t>配置≥8个2.5寸热插拔硬盘槽位，可扩展至≥37个2.5寸热插拔硬盘槽位，同时可扩展3个3.5寸硬盘；</w:t>
            </w:r>
          </w:p>
          <w:p>
            <w:pPr>
              <w:widowControl/>
              <w:rPr>
                <w:rFonts w:ascii="仿宋" w:hAnsi="仿宋" w:cs="仿宋"/>
                <w:kern w:val="0"/>
              </w:rPr>
            </w:pPr>
            <w:r>
              <w:rPr>
                <w:rFonts w:hint="eastAsia" w:ascii="仿宋" w:hAnsi="仿宋" w:cs="仿宋"/>
                <w:kern w:val="0"/>
              </w:rPr>
              <w:t>▲（10）阵列控制器：≥1个标配SAS Raid阵列卡（不占用PCIE扩展槽），支持RAID0/1/10/5/6/50/60/1E/Simple Volume；</w:t>
            </w:r>
            <w:r>
              <w:rPr>
                <w:rFonts w:hint="eastAsia" w:ascii="仿宋" w:hAnsi="仿宋" w:cs="仿宋"/>
                <w:kern w:val="0"/>
              </w:rPr>
              <w:br w:type="textWrapping"/>
            </w:r>
            <w:r>
              <w:rPr>
                <w:rFonts w:hint="eastAsia" w:ascii="仿宋" w:hAnsi="仿宋" w:cs="仿宋"/>
                <w:kern w:val="0"/>
              </w:rPr>
              <w:t>≥2GB缓存，支持缓存数据保护，且后备保护时间不受限制；</w:t>
            </w:r>
          </w:p>
          <w:p>
            <w:pPr>
              <w:widowControl/>
              <w:rPr>
                <w:rFonts w:ascii="仿宋" w:hAnsi="仿宋" w:cs="仿宋"/>
              </w:rPr>
            </w:pPr>
            <w:r>
              <w:rPr>
                <w:rFonts w:hint="eastAsia" w:ascii="仿宋" w:hAnsi="仿宋" w:cs="仿宋"/>
                <w:kern w:val="0"/>
              </w:rPr>
              <w:t>（11）启动盘可选项：支持双MicroSD和双M.2 SSD配置Raid1，作为虚拟化或者操作系统部署盘位；</w:t>
            </w:r>
          </w:p>
          <w:p>
            <w:pPr>
              <w:widowControl/>
              <w:rPr>
                <w:rFonts w:ascii="仿宋" w:hAnsi="仿宋" w:cs="仿宋"/>
              </w:rPr>
            </w:pPr>
            <w:r>
              <w:rPr>
                <w:rFonts w:hint="eastAsia" w:ascii="仿宋" w:hAnsi="仿宋" w:cs="仿宋"/>
                <w:kern w:val="0"/>
              </w:rPr>
              <w:t>▲（12）PCI I/O插槽：提供≥10个标准PCIE3.0插槽；</w:t>
            </w:r>
          </w:p>
          <w:p>
            <w:pPr>
              <w:widowControl/>
              <w:rPr>
                <w:rFonts w:ascii="仿宋" w:hAnsi="仿宋" w:cs="仿宋"/>
              </w:rPr>
            </w:pPr>
            <w:r>
              <w:rPr>
                <w:rFonts w:hint="eastAsia" w:ascii="仿宋" w:hAnsi="仿宋" w:cs="仿宋"/>
                <w:kern w:val="0"/>
              </w:rPr>
              <w:t>▲（13）网卡：提供≥1个4端口千兆网卡专用插槽（不占用PCIE扩展槽），可选配万兆网卡；</w:t>
            </w:r>
          </w:p>
          <w:p>
            <w:pPr>
              <w:widowControl/>
              <w:rPr>
                <w:rFonts w:ascii="仿宋" w:hAnsi="仿宋" w:cs="仿宋"/>
              </w:rPr>
            </w:pPr>
            <w:r>
              <w:rPr>
                <w:rFonts w:hint="eastAsia" w:ascii="仿宋" w:hAnsi="仿宋" w:cs="仿宋"/>
                <w:kern w:val="0"/>
              </w:rPr>
              <w:t>（14）GPU：可配置≥3块双宽企业级GPU；</w:t>
            </w:r>
          </w:p>
          <w:p>
            <w:pPr>
              <w:widowControl/>
              <w:rPr>
                <w:rFonts w:ascii="仿宋" w:hAnsi="仿宋" w:cs="仿宋"/>
              </w:rPr>
            </w:pPr>
            <w:r>
              <w:rPr>
                <w:rFonts w:hint="eastAsia" w:ascii="仿宋" w:hAnsi="仿宋" w:cs="仿宋"/>
                <w:kern w:val="0"/>
              </w:rPr>
              <w:t>（15）接口：≥5个USB3.0接口，最高可扩展至6个USB，标配1个VGA，可选配支持最高2个VGA接口；</w:t>
            </w:r>
          </w:p>
          <w:p>
            <w:pPr>
              <w:widowControl/>
              <w:rPr>
                <w:rFonts w:ascii="仿宋" w:hAnsi="仿宋" w:cs="仿宋"/>
                <w:kern w:val="0"/>
              </w:rPr>
            </w:pPr>
            <w:r>
              <w:rPr>
                <w:rFonts w:hint="eastAsia" w:ascii="仿宋" w:hAnsi="仿宋" w:cs="仿宋"/>
                <w:kern w:val="0"/>
              </w:rPr>
              <w:t>▲（16）冗余电源：2个≥550w铂金版热插拔冗余电源，支持96%能效比的钛金版电源选件；</w:t>
            </w:r>
          </w:p>
          <w:p>
            <w:pPr>
              <w:widowControl/>
              <w:rPr>
                <w:rFonts w:ascii="仿宋" w:hAnsi="仿宋" w:cs="仿宋"/>
                <w:kern w:val="0"/>
              </w:rPr>
            </w:pPr>
            <w:r>
              <w:rPr>
                <w:rFonts w:hint="eastAsia" w:ascii="仿宋" w:hAnsi="仿宋" w:cs="仿宋"/>
                <w:kern w:val="0"/>
              </w:rPr>
              <w:t>▲（17）冗余风扇：热插拔冗余风扇；</w:t>
            </w:r>
          </w:p>
          <w:p>
            <w:pPr>
              <w:widowControl/>
              <w:rPr>
                <w:rFonts w:ascii="仿宋" w:hAnsi="仿宋" w:cs="仿宋"/>
                <w:kern w:val="0"/>
              </w:rPr>
            </w:pPr>
            <w:r>
              <w:rPr>
                <w:rFonts w:hint="eastAsia" w:ascii="仿宋" w:hAnsi="仿宋" w:cs="仿宋"/>
                <w:kern w:val="0"/>
              </w:rPr>
              <w:t>（18）工作温度：支持最高5-50°C标准工作温度；</w:t>
            </w:r>
          </w:p>
          <w:p>
            <w:pPr>
              <w:widowControl/>
              <w:rPr>
                <w:rFonts w:ascii="仿宋" w:hAnsi="仿宋" w:cs="仿宋"/>
                <w:kern w:val="0"/>
              </w:rPr>
            </w:pPr>
            <w:r>
              <w:rPr>
                <w:rFonts w:hint="eastAsia" w:ascii="仿宋" w:hAnsi="仿宋" w:cs="仿宋"/>
                <w:kern w:val="0"/>
              </w:rPr>
              <w:t>（19）嵌入式管理：配置≥1Gb独立的远程管理控制端口，配置虚拟KVM功能, 可实现与操作系统无关的远程对工作站的完全控制，包括远程的开机、关机、重启、更新Firmware、虚拟光驱、虚拟文件夹等操作，提供工作站健康日记、工作站控制台录屏/回放功能，能够提供电源监控，支持3D图形化的机箱内部温度拓扑图显示，可支持动态功率封顶；</w:t>
            </w:r>
          </w:p>
          <w:p>
            <w:pPr>
              <w:widowControl/>
              <w:rPr>
                <w:rFonts w:ascii="仿宋" w:hAnsi="仿宋" w:cs="仿宋"/>
                <w:kern w:val="0"/>
              </w:rPr>
            </w:pPr>
            <w:r>
              <w:rPr>
                <w:rFonts w:hint="eastAsia" w:ascii="仿宋" w:hAnsi="仿宋" w:cs="仿宋"/>
                <w:kern w:val="0"/>
              </w:rPr>
              <w:t>（20）嵌入式管理安全选项：嵌入式管理模块支持防火墙功能，可基于MAC地址，IP，主机名定义访问规则；</w:t>
            </w:r>
          </w:p>
          <w:p>
            <w:pPr>
              <w:widowControl/>
              <w:rPr>
                <w:rFonts w:ascii="仿宋" w:hAnsi="仿宋" w:cs="仿宋"/>
                <w:kern w:val="0"/>
              </w:rPr>
            </w:pPr>
            <w:r>
              <w:rPr>
                <w:rFonts w:hint="eastAsia" w:ascii="仿宋" w:hAnsi="仿宋" w:cs="仿宋"/>
                <w:kern w:val="0"/>
              </w:rPr>
              <w:t>（21）其它安全选项：提供UEFI安全启动；</w:t>
            </w:r>
            <w:r>
              <w:rPr>
                <w:rFonts w:hint="eastAsia" w:ascii="仿宋" w:hAnsi="仿宋" w:cs="仿宋"/>
                <w:kern w:val="0"/>
              </w:rPr>
              <w:br w:type="textWrapping"/>
            </w:r>
            <w:r>
              <w:rPr>
                <w:rFonts w:hint="eastAsia" w:ascii="仿宋" w:hAnsi="仿宋" w:cs="仿宋"/>
                <w:kern w:val="0"/>
              </w:rPr>
              <w:t>（22）支持中国标准TCM 1.0可信计算；</w:t>
            </w:r>
            <w:r>
              <w:rPr>
                <w:rFonts w:hint="eastAsia" w:ascii="仿宋" w:hAnsi="仿宋" w:cs="仿宋"/>
                <w:kern w:val="0"/>
              </w:rPr>
              <w:br w:type="textWrapping"/>
            </w:r>
            <w:r>
              <w:rPr>
                <w:rFonts w:hint="eastAsia" w:ascii="仿宋" w:hAnsi="仿宋" w:cs="仿宋"/>
                <w:kern w:val="0"/>
              </w:rPr>
              <w:t>（23）可配置机箱入侵侦测，在外部打开机箱时提供报警功能。</w:t>
            </w:r>
          </w:p>
        </w:tc>
        <w:tc>
          <w:tcPr>
            <w:tcW w:w="0" w:type="auto"/>
            <w:tcBorders>
              <w:top w:val="single" w:color="auto" w:sz="4" w:space="0"/>
              <w:left w:val="single" w:color="auto" w:sz="4" w:space="0"/>
              <w:bottom w:val="single" w:color="auto" w:sz="4" w:space="0"/>
              <w:right w:val="single" w:color="auto" w:sz="4" w:space="0"/>
            </w:tcBorders>
          </w:tcPr>
          <w:p>
            <w:pPr>
              <w:widowControl/>
              <w:jc w:val="center"/>
              <w:rPr>
                <w:rFonts w:ascii="仿宋" w:hAnsi="仿宋" w:cs="仿宋"/>
              </w:rPr>
            </w:pPr>
            <w:r>
              <w:rPr>
                <w:rFonts w:hint="eastAsia" w:ascii="仿宋" w:hAnsi="仿宋" w:cs="仿宋"/>
              </w:rPr>
              <w:t>1</w:t>
            </w:r>
          </w:p>
        </w:tc>
        <w:tc>
          <w:tcPr>
            <w:tcW w:w="0" w:type="auto"/>
            <w:tcBorders>
              <w:top w:val="single" w:color="auto" w:sz="4" w:space="0"/>
              <w:left w:val="single" w:color="auto" w:sz="4" w:space="0"/>
              <w:bottom w:val="single" w:color="auto" w:sz="4" w:space="0"/>
              <w:right w:val="single" w:color="auto" w:sz="4" w:space="0"/>
            </w:tcBorders>
          </w:tcPr>
          <w:p>
            <w:pPr>
              <w:widowControl/>
              <w:jc w:val="center"/>
              <w:rPr>
                <w:rFonts w:ascii="仿宋" w:hAnsi="仿宋" w:cs="仿宋"/>
              </w:rPr>
            </w:pPr>
            <w:r>
              <w:rPr>
                <w:rFonts w:hint="eastAsia" w:ascii="仿宋" w:hAnsi="仿宋" w:cs="仿宋"/>
              </w:rPr>
              <w:t>台</w:t>
            </w:r>
          </w:p>
        </w:tc>
      </w:tr>
    </w:tbl>
    <w:p>
      <w:pPr>
        <w:pStyle w:val="95"/>
        <w:rPr>
          <w:color w:val="auto"/>
        </w:rPr>
      </w:pPr>
    </w:p>
    <w:p>
      <w:pPr>
        <w:numPr>
          <w:ilvl w:val="255"/>
          <w:numId w:val="0"/>
        </w:numPr>
        <w:rPr>
          <w:rFonts w:ascii="仿宋" w:hAnsi="仿宋" w:cs="仿宋"/>
          <w:b/>
        </w:rPr>
      </w:pPr>
      <w:r>
        <w:rPr>
          <w:rFonts w:hint="eastAsia" w:ascii="仿宋" w:hAnsi="仿宋" w:cs="仿宋"/>
          <w:b/>
        </w:rPr>
        <w:t>3、项目相关基础运行环境等方面的其它要求</w:t>
      </w:r>
    </w:p>
    <w:p>
      <w:pPr>
        <w:ind w:firstLine="480"/>
        <w:rPr>
          <w:rFonts w:ascii="仿宋" w:hAnsi="仿宋" w:cs="仿宋"/>
        </w:rPr>
      </w:pPr>
      <w:r>
        <w:rPr>
          <w:rFonts w:hint="eastAsia" w:ascii="仿宋" w:hAnsi="仿宋" w:cs="仿宋"/>
          <w:kern w:val="0"/>
        </w:rPr>
        <w:t>▲3.1</w:t>
      </w:r>
      <w:r>
        <w:rPr>
          <w:rFonts w:hint="eastAsia" w:ascii="仿宋" w:hAnsi="仿宋" w:cs="仿宋"/>
        </w:rPr>
        <w:t>系统基础网络环境须接入成都市卫生专网（说明：提供加盖投标人公章的承诺函原件及卫生主管部门出具系统基础网络环境以往的连通测试证明材料，格式自拟）</w:t>
      </w:r>
    </w:p>
    <w:p>
      <w:pPr>
        <w:ind w:firstLine="480" w:firstLineChars="200"/>
        <w:rPr>
          <w:rFonts w:ascii="仿宋" w:hAnsi="仿宋" w:cs="仿宋"/>
        </w:rPr>
      </w:pPr>
      <w:r>
        <w:rPr>
          <w:rFonts w:hint="eastAsia" w:ascii="仿宋" w:hAnsi="仿宋" w:cs="仿宋"/>
        </w:rPr>
        <w:t>3.2系统架构要求</w:t>
      </w:r>
    </w:p>
    <w:p>
      <w:pPr>
        <w:ind w:firstLine="480" w:firstLineChars="200"/>
        <w:rPr>
          <w:rFonts w:ascii="仿宋" w:hAnsi="仿宋" w:cs="仿宋"/>
        </w:rPr>
      </w:pPr>
      <w:r>
        <w:rPr>
          <w:rFonts w:hint="eastAsia" w:ascii="仿宋" w:hAnsi="仿宋" w:cs="仿宋"/>
        </w:rPr>
        <w:t>系统采用B/S架构，支持在采购方指定的网络环境中运行，支持PC端和移动端（平板电脑）的数据互通，数据库采用主流数据库。</w:t>
      </w:r>
    </w:p>
    <w:p>
      <w:pPr>
        <w:pStyle w:val="96"/>
        <w:ind w:firstLine="480" w:firstLineChars="200"/>
        <w:outlineLvl w:val="3"/>
        <w:rPr>
          <w:rFonts w:ascii="仿宋" w:hAnsi="仿宋" w:cs="仿宋"/>
        </w:rPr>
      </w:pPr>
      <w:r>
        <w:rPr>
          <w:rFonts w:hint="eastAsia" w:ascii="宋体" w:hAnsi="宋体" w:cs="宋体"/>
        </w:rPr>
        <w:t>★</w:t>
      </w:r>
      <w:r>
        <w:rPr>
          <w:rFonts w:hint="eastAsia" w:ascii="仿宋" w:hAnsi="仿宋" w:cs="仿宋"/>
        </w:rPr>
        <w:t>3.3与现有系统对接服务要求</w:t>
      </w:r>
    </w:p>
    <w:p>
      <w:pPr>
        <w:ind w:firstLine="480"/>
        <w:rPr>
          <w:rFonts w:ascii="仿宋" w:hAnsi="仿宋" w:cs="仿宋"/>
        </w:rPr>
      </w:pPr>
      <w:r>
        <w:rPr>
          <w:rFonts w:hint="eastAsia" w:ascii="仿宋" w:hAnsi="仿宋" w:cs="仿宋"/>
        </w:rPr>
        <w:t>为满足本项目功能正常运行的服务要求，肥胖专病信息化系统须与医院主要的现有信息化系统进行对接，包含：对接医院的HIS、LIS、PACS系统，费用包含在本次投标报价中。（说明：提供加盖投标人公章的承诺函原件，格式自拟）</w:t>
      </w:r>
    </w:p>
    <w:p>
      <w:pPr>
        <w:pStyle w:val="96"/>
        <w:ind w:firstLine="480" w:firstLineChars="200"/>
        <w:outlineLvl w:val="3"/>
        <w:rPr>
          <w:rFonts w:ascii="仿宋" w:hAnsi="仿宋" w:cs="仿宋"/>
        </w:rPr>
      </w:pPr>
      <w:r>
        <w:rPr>
          <w:rFonts w:hint="eastAsia" w:ascii="宋体" w:hAnsi="宋体" w:cs="宋体"/>
        </w:rPr>
        <w:t>★</w:t>
      </w:r>
      <w:r>
        <w:rPr>
          <w:rFonts w:hint="eastAsia" w:ascii="仿宋" w:hAnsi="仿宋" w:cs="仿宋"/>
        </w:rPr>
        <w:t>3.4基础技术环境支撑要求</w:t>
      </w:r>
    </w:p>
    <w:p>
      <w:pPr>
        <w:ind w:firstLine="480"/>
        <w:rPr>
          <w:rFonts w:ascii="仿宋" w:hAnsi="仿宋" w:cs="仿宋"/>
        </w:rPr>
      </w:pPr>
      <w:r>
        <w:rPr>
          <w:rFonts w:hint="eastAsia" w:ascii="仿宋" w:hAnsi="仿宋" w:cs="仿宋"/>
        </w:rPr>
        <w:t>3.4.1为满足本项目所有功能要求，投标人应当满足本项目功能所需的国产化私有云平台作为基础技术支撑环境。（说明：提供加盖投标人公章的承诺函原件，格式自拟）</w:t>
      </w:r>
    </w:p>
    <w:p>
      <w:pPr>
        <w:ind w:firstLine="480"/>
        <w:rPr>
          <w:rFonts w:ascii="仿宋" w:hAnsi="仿宋" w:cs="仿宋"/>
        </w:rPr>
      </w:pPr>
      <w:r>
        <w:rPr>
          <w:rFonts w:hint="eastAsia" w:ascii="仿宋" w:hAnsi="仿宋" w:cs="仿宋"/>
        </w:rPr>
        <w:t>3.4.2投标人应当按本项目功能所需基础技术环境支撑要求，在项目开发建设及质保期限内提供所需的基础技术环境支撑服务，费用包含在本次投标报价中。（说明：提供加盖投标人公章的承诺函原件，格式自拟）</w:t>
      </w:r>
    </w:p>
    <w:p>
      <w:pPr>
        <w:pStyle w:val="96"/>
        <w:ind w:firstLine="480" w:firstLineChars="200"/>
        <w:outlineLvl w:val="3"/>
        <w:rPr>
          <w:rFonts w:ascii="仿宋" w:hAnsi="仿宋" w:cs="仿宋"/>
        </w:rPr>
      </w:pPr>
      <w:r>
        <w:rPr>
          <w:rFonts w:hint="eastAsia" w:ascii="仿宋" w:hAnsi="仿宋" w:cs="仿宋"/>
        </w:rPr>
        <w:t>3.5信息化安全要求</w:t>
      </w:r>
    </w:p>
    <w:p>
      <w:pPr>
        <w:pStyle w:val="96"/>
        <w:ind w:firstLine="480" w:firstLineChars="200"/>
        <w:rPr>
          <w:rFonts w:ascii="仿宋" w:hAnsi="仿宋" w:cs="仿宋"/>
        </w:rPr>
      </w:pPr>
      <w:r>
        <w:rPr>
          <w:rFonts w:hint="eastAsia" w:ascii="仿宋" w:hAnsi="仿宋" w:cs="仿宋"/>
        </w:rPr>
        <w:t>系统所处基础环境应具备较高的网络安全防护能力，为保障系统运行的安全性，满足基础运行环境安全要求，本项目运行环境须是已过三级等保评审的国产化私有云平台。（需提供中华人民共和国公安部监制的备案证明复印件）</w:t>
      </w:r>
    </w:p>
    <w:p>
      <w:pPr>
        <w:pStyle w:val="96"/>
        <w:ind w:firstLine="480" w:firstLineChars="200"/>
        <w:outlineLvl w:val="3"/>
        <w:rPr>
          <w:rFonts w:ascii="仿宋" w:hAnsi="仿宋" w:cs="仿宋"/>
        </w:rPr>
      </w:pPr>
      <w:r>
        <w:rPr>
          <w:rFonts w:hint="eastAsia" w:ascii="仿宋" w:hAnsi="仿宋" w:cs="仿宋"/>
        </w:rPr>
        <w:t>3.6系统的兼容性和可扩展性</w:t>
      </w:r>
    </w:p>
    <w:p>
      <w:pPr>
        <w:ind w:firstLine="480" w:firstLineChars="200"/>
        <w:rPr>
          <w:rFonts w:ascii="仿宋" w:hAnsi="仿宋" w:cs="仿宋"/>
        </w:rPr>
      </w:pPr>
      <w:r>
        <w:rPr>
          <w:rFonts w:hint="eastAsia" w:ascii="仿宋" w:hAnsi="仿宋" w:cs="仿宋"/>
        </w:rPr>
        <w:t>要求是一个开放性、兼容性平台，可兼容不同厂家的终端设备。软件平台接口标准化，方便对接其它信息管理系统。软件系统可以根据用户需求增设其它可行性功能。</w:t>
      </w:r>
    </w:p>
    <w:p>
      <w:pPr>
        <w:ind w:firstLine="480" w:firstLineChars="200"/>
        <w:rPr>
          <w:rFonts w:ascii="仿宋" w:hAnsi="仿宋" w:cs="仿宋"/>
        </w:rPr>
      </w:pPr>
      <w:r>
        <w:rPr>
          <w:rFonts w:hint="eastAsia" w:ascii="仿宋" w:hAnsi="仿宋" w:cs="仿宋"/>
        </w:rPr>
        <w:t>基于开放式的体系框架，结构化设计，灵活可拆分，具有灵活的可扩充接口，易于修改调整、二次开发和扩充，最大限度降低因上游技术升级带来的系统实施风险，保证项目的有效性和延续性。</w:t>
      </w:r>
    </w:p>
    <w:p>
      <w:pPr>
        <w:ind w:firstLine="480" w:firstLineChars="200"/>
        <w:rPr>
          <w:rFonts w:ascii="仿宋" w:hAnsi="仿宋" w:cs="仿宋"/>
        </w:rPr>
      </w:pPr>
      <w:r>
        <w:rPr>
          <w:rFonts w:hint="eastAsia" w:ascii="仿宋" w:hAnsi="仿宋" w:cs="仿宋"/>
        </w:rPr>
        <w:t>采用平台化构建思想，整个系统应可做到与底层多种硬件环境、操作系统、数据库的适配，保证系统在软件、硬件环境方面的灵活配置以及未来的拓展应用。系统提供开放的标准接口，可实现与外围业务系统的无缝集成应用，灵活扩展系统的业务应用范围。</w:t>
      </w:r>
    </w:p>
    <w:p>
      <w:pPr>
        <w:ind w:firstLine="480" w:firstLineChars="200"/>
        <w:rPr>
          <w:rFonts w:ascii="仿宋" w:hAnsi="仿宋" w:cs="仿宋"/>
        </w:rPr>
      </w:pPr>
      <w:r>
        <w:rPr>
          <w:rFonts w:hint="eastAsia" w:ascii="仿宋" w:hAnsi="仿宋" w:cs="仿宋"/>
        </w:rPr>
        <w:t>3.7系统实施要求</w:t>
      </w:r>
    </w:p>
    <w:p>
      <w:pPr>
        <w:ind w:firstLine="480" w:firstLineChars="200"/>
        <w:rPr>
          <w:rFonts w:ascii="仿宋" w:hAnsi="仿宋" w:cs="仿宋"/>
        </w:rPr>
      </w:pPr>
      <w:r>
        <w:rPr>
          <w:rFonts w:hint="eastAsia" w:ascii="仿宋" w:hAnsi="仿宋" w:cs="仿宋"/>
        </w:rPr>
        <w:t>中标人在项目实施阶段应按照项目要求，制定科学合理的计划保障项目实施效果，包括但不限于：</w:t>
      </w:r>
    </w:p>
    <w:p>
      <w:pPr>
        <w:ind w:firstLine="480" w:firstLineChars="200"/>
        <w:rPr>
          <w:rFonts w:ascii="仿宋" w:hAnsi="仿宋" w:cs="仿宋"/>
        </w:rPr>
      </w:pPr>
      <w:r>
        <w:rPr>
          <w:rFonts w:hint="eastAsia" w:ascii="仿宋" w:hAnsi="仿宋" w:cs="仿宋"/>
        </w:rPr>
        <w:t>（1）提供有丰富的行业经验和开发技能的项目小组进行实施工作；</w:t>
      </w:r>
    </w:p>
    <w:p>
      <w:pPr>
        <w:ind w:firstLine="480" w:firstLineChars="200"/>
        <w:rPr>
          <w:rFonts w:ascii="仿宋" w:hAnsi="仿宋" w:cs="仿宋"/>
        </w:rPr>
      </w:pPr>
      <w:r>
        <w:rPr>
          <w:rFonts w:hint="eastAsia" w:ascii="仿宋" w:hAnsi="仿宋" w:cs="仿宋"/>
        </w:rPr>
        <w:t>（2）规范项目实施过程中的文档管理；</w:t>
      </w:r>
    </w:p>
    <w:p>
      <w:pPr>
        <w:ind w:firstLine="480" w:firstLineChars="200"/>
        <w:rPr>
          <w:rFonts w:ascii="仿宋" w:hAnsi="仿宋" w:cs="仿宋"/>
        </w:rPr>
      </w:pPr>
      <w:r>
        <w:rPr>
          <w:rFonts w:hint="eastAsia" w:ascii="仿宋" w:hAnsi="仿宋" w:cs="仿宋"/>
        </w:rPr>
        <w:t>（3）项目实施中要引入风险管理、质量管理、成本管理；</w:t>
      </w:r>
    </w:p>
    <w:p>
      <w:pPr>
        <w:ind w:firstLine="480" w:firstLineChars="200"/>
        <w:rPr>
          <w:rFonts w:ascii="仿宋" w:hAnsi="仿宋" w:cs="仿宋"/>
        </w:rPr>
      </w:pPr>
      <w:r>
        <w:rPr>
          <w:rFonts w:hint="eastAsia" w:ascii="仿宋" w:hAnsi="仿宋" w:cs="仿宋"/>
        </w:rPr>
        <w:t>（4）项目实施过程中，中标人应在遵循国家、行业标准的前提下，根据用户特点来制作应用系统的相关文档；</w:t>
      </w:r>
    </w:p>
    <w:p>
      <w:pPr>
        <w:ind w:firstLine="480" w:firstLineChars="200"/>
        <w:rPr>
          <w:rFonts w:ascii="仿宋" w:hAnsi="仿宋" w:cs="仿宋"/>
        </w:rPr>
      </w:pPr>
      <w:r>
        <w:rPr>
          <w:rFonts w:hint="eastAsia" w:ascii="仿宋" w:hAnsi="仿宋" w:cs="仿宋"/>
        </w:rPr>
        <w:t>（5）中标人在系统部署、调试等全过程必须接受采购人的监督和检查，投标文件须承诺。</w:t>
      </w:r>
    </w:p>
    <w:p>
      <w:pPr>
        <w:pStyle w:val="6"/>
      </w:pPr>
    </w:p>
    <w:p>
      <w:pPr>
        <w:pStyle w:val="5"/>
        <w:rPr>
          <w:rFonts w:ascii="仿宋" w:hAnsi="仿宋"/>
        </w:rPr>
      </w:pPr>
      <w:r>
        <w:rPr>
          <w:rFonts w:hint="eastAsia" w:ascii="宋体"/>
          <w:szCs w:val="36"/>
        </w:rPr>
        <w:br w:type="page"/>
      </w:r>
    </w:p>
    <w:p>
      <w:pPr>
        <w:pStyle w:val="3"/>
        <w:spacing w:line="240" w:lineRule="auto"/>
        <w:rPr>
          <w:rFonts w:ascii="仿宋" w:hAnsi="仿宋"/>
          <w:sz w:val="36"/>
          <w:szCs w:val="36"/>
        </w:rPr>
      </w:pPr>
      <w:bookmarkStart w:id="353" w:name="_Toc86702018"/>
      <w:bookmarkStart w:id="354" w:name="_Toc86702228"/>
      <w:bookmarkStart w:id="355" w:name="_Toc86702057"/>
      <w:r>
        <w:rPr>
          <w:rFonts w:hint="eastAsia" w:ascii="仿宋" w:hAnsi="仿宋"/>
          <w:sz w:val="36"/>
          <w:szCs w:val="36"/>
        </w:rPr>
        <w:t>第七章  评标办法</w:t>
      </w:r>
      <w:bookmarkEnd w:id="274"/>
      <w:bookmarkEnd w:id="275"/>
      <w:bookmarkEnd w:id="353"/>
      <w:bookmarkEnd w:id="354"/>
      <w:bookmarkEnd w:id="355"/>
      <w:bookmarkStart w:id="356" w:name="_Hlt101846155"/>
      <w:bookmarkEnd w:id="356"/>
      <w:bookmarkStart w:id="357" w:name="_Toc183682415"/>
      <w:bookmarkStart w:id="358" w:name="_Toc183582280"/>
      <w:bookmarkStart w:id="359" w:name="_Toc208849007"/>
      <w:bookmarkStart w:id="360" w:name="_Toc217446097"/>
    </w:p>
    <w:p>
      <w:pPr>
        <w:pStyle w:val="4"/>
        <w:spacing w:line="400" w:lineRule="exact"/>
        <w:ind w:firstLine="482" w:firstLineChars="200"/>
        <w:rPr>
          <w:rFonts w:ascii="仿宋" w:hAnsi="仿宋"/>
          <w:bCs w:val="0"/>
          <w:sz w:val="24"/>
          <w:szCs w:val="24"/>
        </w:rPr>
      </w:pPr>
      <w:bookmarkStart w:id="361" w:name="_Toc86702019"/>
      <w:r>
        <w:rPr>
          <w:rFonts w:hint="eastAsia" w:ascii="仿宋" w:hAnsi="仿宋"/>
          <w:bCs w:val="0"/>
          <w:sz w:val="24"/>
          <w:szCs w:val="24"/>
        </w:rPr>
        <w:t>1</w:t>
      </w:r>
      <w:r>
        <w:rPr>
          <w:rFonts w:hint="eastAsia" w:ascii="仿宋" w:hAnsi="仿宋"/>
          <w:sz w:val="24"/>
        </w:rPr>
        <w:t>．</w:t>
      </w:r>
      <w:r>
        <w:rPr>
          <w:rFonts w:hint="eastAsia" w:ascii="仿宋" w:hAnsi="仿宋"/>
          <w:bCs w:val="0"/>
          <w:sz w:val="24"/>
          <w:szCs w:val="24"/>
        </w:rPr>
        <w:t>总则</w:t>
      </w:r>
      <w:bookmarkEnd w:id="357"/>
      <w:bookmarkEnd w:id="358"/>
      <w:bookmarkEnd w:id="359"/>
      <w:bookmarkEnd w:id="360"/>
      <w:bookmarkEnd w:id="361"/>
    </w:p>
    <w:p>
      <w:pPr>
        <w:spacing w:line="400" w:lineRule="exact"/>
        <w:ind w:firstLine="480" w:firstLineChars="200"/>
        <w:rPr>
          <w:rFonts w:ascii="仿宋" w:hAnsi="仿宋"/>
        </w:rPr>
      </w:pPr>
      <w:r>
        <w:rPr>
          <w:rFonts w:hint="eastAsia" w:ascii="仿宋" w:hAnsi="仿宋"/>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rPr>
      </w:pPr>
      <w:r>
        <w:rPr>
          <w:rFonts w:hint="eastAsia" w:ascii="仿宋" w:hAnsi="仿宋"/>
        </w:rPr>
        <w:t>1.2 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pPr>
        <w:spacing w:line="400" w:lineRule="exact"/>
        <w:ind w:firstLine="480" w:firstLineChars="200"/>
        <w:rPr>
          <w:rFonts w:ascii="仿宋" w:hAnsi="仿宋"/>
        </w:rPr>
      </w:pPr>
      <w:r>
        <w:rPr>
          <w:rFonts w:hint="eastAsia" w:ascii="仿宋" w:hAnsi="仿宋"/>
        </w:rPr>
        <w:t>合格投标人不足三家的，不得评标。</w:t>
      </w:r>
    </w:p>
    <w:p>
      <w:pPr>
        <w:spacing w:line="400" w:lineRule="exact"/>
        <w:ind w:firstLine="480" w:firstLineChars="200"/>
        <w:rPr>
          <w:rFonts w:ascii="仿宋" w:hAnsi="仿宋"/>
        </w:rPr>
      </w:pPr>
      <w:r>
        <w:rPr>
          <w:rFonts w:hint="eastAsia" w:ascii="仿宋" w:hAnsi="仿宋"/>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rPr>
      </w:pPr>
      <w:r>
        <w:rPr>
          <w:rFonts w:hint="eastAsia" w:ascii="仿宋" w:hAnsi="仿宋"/>
        </w:rPr>
        <w:t>1.3 评标工作应遵循公平、公正、科学及择优的原则，并以相同的评标程序和标准对待所有的投标人。</w:t>
      </w:r>
    </w:p>
    <w:p>
      <w:pPr>
        <w:spacing w:line="400" w:lineRule="exact"/>
        <w:ind w:firstLine="456" w:firstLineChars="200"/>
        <w:rPr>
          <w:rFonts w:ascii="仿宋" w:hAnsi="仿宋"/>
          <w:spacing w:val="-6"/>
        </w:rPr>
      </w:pPr>
      <w:r>
        <w:rPr>
          <w:rFonts w:hint="eastAsia" w:ascii="仿宋" w:hAnsi="仿宋"/>
          <w:spacing w:val="-6"/>
        </w:rPr>
        <w:t>1.4 评标委员会按照招标文件规定的评标方法和标准进行评标，并独立履行下列职责：</w:t>
      </w:r>
    </w:p>
    <w:p>
      <w:pPr>
        <w:spacing w:line="400" w:lineRule="exact"/>
        <w:ind w:firstLine="480" w:firstLineChars="200"/>
        <w:rPr>
          <w:rFonts w:ascii="仿宋" w:hAnsi="仿宋"/>
        </w:rPr>
      </w:pPr>
      <w:bookmarkStart w:id="362" w:name="_Toc217446098"/>
      <w:r>
        <w:rPr>
          <w:rFonts w:hint="eastAsia" w:ascii="仿宋" w:hAnsi="仿宋"/>
        </w:rPr>
        <w:t>（一）熟悉和理解招标文件；</w:t>
      </w:r>
    </w:p>
    <w:p>
      <w:pPr>
        <w:spacing w:line="400" w:lineRule="exact"/>
        <w:ind w:firstLine="480" w:firstLineChars="200"/>
        <w:rPr>
          <w:rFonts w:ascii="仿宋" w:hAnsi="仿宋"/>
        </w:rPr>
      </w:pPr>
      <w:r>
        <w:rPr>
          <w:rFonts w:hint="eastAsia" w:ascii="仿宋" w:hAnsi="仿宋"/>
        </w:rPr>
        <w:t>（二）审查供应商（已通过资格审查）的投标文件是否满足招标文件要求，并作出评价；</w:t>
      </w:r>
    </w:p>
    <w:p>
      <w:pPr>
        <w:spacing w:line="400" w:lineRule="exact"/>
        <w:ind w:firstLine="480" w:firstLineChars="200"/>
        <w:rPr>
          <w:rFonts w:ascii="仿宋" w:hAnsi="仿宋"/>
        </w:rPr>
      </w:pPr>
      <w:r>
        <w:rPr>
          <w:rFonts w:hint="eastAsia" w:ascii="仿宋" w:hAnsi="仿宋"/>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rPr>
      </w:pPr>
      <w:r>
        <w:rPr>
          <w:rFonts w:hint="eastAsia" w:ascii="仿宋" w:hAnsi="仿宋"/>
        </w:rPr>
        <w:t>（四）推荐中标候选供应商，或者受采购人委托确定中标供应商；</w:t>
      </w:r>
    </w:p>
    <w:p>
      <w:pPr>
        <w:spacing w:line="400" w:lineRule="exact"/>
        <w:ind w:firstLine="480" w:firstLineChars="200"/>
        <w:rPr>
          <w:rFonts w:ascii="仿宋" w:hAnsi="仿宋"/>
        </w:rPr>
      </w:pPr>
      <w:r>
        <w:rPr>
          <w:rFonts w:hint="eastAsia" w:ascii="仿宋" w:hAnsi="仿宋"/>
        </w:rPr>
        <w:t>（五）起草评标报告并进行签署；</w:t>
      </w:r>
    </w:p>
    <w:p>
      <w:pPr>
        <w:spacing w:line="400" w:lineRule="exact"/>
        <w:ind w:firstLine="480" w:firstLineChars="200"/>
        <w:rPr>
          <w:rFonts w:ascii="仿宋" w:hAnsi="仿宋"/>
        </w:rPr>
      </w:pPr>
      <w:r>
        <w:rPr>
          <w:rFonts w:hint="eastAsia" w:ascii="仿宋" w:hAnsi="仿宋"/>
        </w:rPr>
        <w:t>（六）向招标采购单位、财政部门或者其他监督部门报告非法干预评标工作的行为；</w:t>
      </w:r>
    </w:p>
    <w:p>
      <w:pPr>
        <w:spacing w:line="400" w:lineRule="exact"/>
        <w:ind w:firstLine="480" w:firstLineChars="200"/>
        <w:rPr>
          <w:rFonts w:ascii="仿宋" w:hAnsi="仿宋"/>
        </w:rPr>
      </w:pPr>
      <w:r>
        <w:rPr>
          <w:rFonts w:hint="eastAsia" w:ascii="仿宋" w:hAnsi="仿宋"/>
        </w:rPr>
        <w:t>（七）法律、法规和规章规定的其他职责。</w:t>
      </w:r>
    </w:p>
    <w:p>
      <w:pPr>
        <w:spacing w:line="400" w:lineRule="exact"/>
        <w:ind w:firstLine="480" w:firstLineChars="200"/>
        <w:rPr>
          <w:rFonts w:ascii="仿宋" w:hAnsi="仿宋"/>
        </w:rPr>
      </w:pPr>
      <w:r>
        <w:rPr>
          <w:rFonts w:hint="eastAsia" w:ascii="仿宋" w:hAnsi="仿宋"/>
        </w:rPr>
        <w:t>1.5 评标过程独立、保密。投标人非法干预评标过程的行为将导致其投标文件作为无效处理。</w:t>
      </w:r>
    </w:p>
    <w:p>
      <w:pPr>
        <w:spacing w:line="400" w:lineRule="exact"/>
        <w:ind w:firstLine="480" w:firstLineChars="200"/>
        <w:rPr>
          <w:rFonts w:ascii="仿宋" w:hAnsi="仿宋"/>
        </w:rPr>
      </w:pPr>
      <w:r>
        <w:rPr>
          <w:rFonts w:hint="eastAsia" w:ascii="仿宋" w:hAnsi="仿宋"/>
        </w:rPr>
        <w:t>1.6 评标委员会评价投标文件的响应性，对于投标人而言，除评标委员会要求其澄清、说明或者更正而提供的资料外，仅依据投标文件本身的内容，不寻求其他外部证据。</w:t>
      </w:r>
    </w:p>
    <w:p>
      <w:pPr>
        <w:pStyle w:val="4"/>
        <w:spacing w:line="400" w:lineRule="exact"/>
        <w:ind w:firstLine="482" w:firstLineChars="200"/>
        <w:rPr>
          <w:rFonts w:ascii="仿宋" w:hAnsi="仿宋"/>
          <w:bCs w:val="0"/>
          <w:sz w:val="24"/>
          <w:szCs w:val="24"/>
        </w:rPr>
      </w:pPr>
      <w:bookmarkStart w:id="363" w:name="_Toc86702020"/>
      <w:r>
        <w:rPr>
          <w:rFonts w:hint="eastAsia" w:ascii="仿宋" w:hAnsi="仿宋"/>
          <w:bCs w:val="0"/>
          <w:sz w:val="24"/>
          <w:szCs w:val="24"/>
        </w:rPr>
        <w:t>2</w:t>
      </w:r>
      <w:r>
        <w:rPr>
          <w:rFonts w:hint="eastAsia" w:ascii="仿宋" w:hAnsi="仿宋"/>
          <w:sz w:val="24"/>
        </w:rPr>
        <w:t>．</w:t>
      </w:r>
      <w:r>
        <w:rPr>
          <w:rFonts w:hint="eastAsia" w:ascii="仿宋" w:hAnsi="仿宋"/>
          <w:bCs w:val="0"/>
          <w:sz w:val="24"/>
          <w:szCs w:val="24"/>
        </w:rPr>
        <w:t>评标</w:t>
      </w:r>
      <w:bookmarkEnd w:id="362"/>
      <w:r>
        <w:rPr>
          <w:rFonts w:hint="eastAsia" w:ascii="仿宋" w:hAnsi="仿宋"/>
          <w:bCs w:val="0"/>
          <w:sz w:val="24"/>
          <w:szCs w:val="24"/>
        </w:rPr>
        <w:t>方法</w:t>
      </w:r>
      <w:bookmarkEnd w:id="363"/>
    </w:p>
    <w:p>
      <w:pPr>
        <w:ind w:firstLine="480" w:firstLineChars="200"/>
        <w:rPr>
          <w:rFonts w:ascii="仿宋" w:hAnsi="仿宋"/>
        </w:rPr>
      </w:pPr>
      <w:bookmarkStart w:id="364" w:name="_Toc217446103"/>
      <w:bookmarkStart w:id="365" w:name="_Toc217446099"/>
      <w:r>
        <w:rPr>
          <w:rFonts w:hint="eastAsia" w:ascii="仿宋" w:hAnsi="仿宋"/>
        </w:rPr>
        <w:t>2.1本项目评标方法为：</w:t>
      </w:r>
      <w:r>
        <w:rPr>
          <w:rFonts w:hint="eastAsia" w:ascii="仿宋" w:hAnsi="仿宋"/>
          <w:b/>
          <w:bCs/>
        </w:rPr>
        <w:t>综合评分法</w:t>
      </w:r>
      <w:r>
        <w:rPr>
          <w:rFonts w:hint="eastAsia" w:ascii="仿宋" w:hAnsi="仿宋"/>
        </w:rPr>
        <w:t>。</w:t>
      </w:r>
    </w:p>
    <w:p>
      <w:pPr>
        <w:pStyle w:val="4"/>
        <w:keepNext w:val="0"/>
        <w:keepLines w:val="0"/>
        <w:spacing w:line="400" w:lineRule="exact"/>
        <w:ind w:firstLine="482" w:firstLineChars="200"/>
        <w:rPr>
          <w:rFonts w:ascii="仿宋" w:hAnsi="仿宋"/>
          <w:bCs w:val="0"/>
          <w:sz w:val="24"/>
          <w:szCs w:val="24"/>
        </w:rPr>
      </w:pPr>
      <w:bookmarkStart w:id="366" w:name="_Toc86702021"/>
      <w:r>
        <w:rPr>
          <w:rFonts w:hint="eastAsia" w:ascii="仿宋" w:hAnsi="仿宋"/>
          <w:bCs w:val="0"/>
          <w:sz w:val="24"/>
          <w:szCs w:val="24"/>
        </w:rPr>
        <w:t>3</w:t>
      </w:r>
      <w:r>
        <w:rPr>
          <w:rFonts w:hint="eastAsia" w:ascii="仿宋" w:hAnsi="仿宋"/>
          <w:sz w:val="24"/>
        </w:rPr>
        <w:t>．</w:t>
      </w:r>
      <w:r>
        <w:rPr>
          <w:rFonts w:hint="eastAsia" w:ascii="仿宋" w:hAnsi="仿宋"/>
          <w:bCs w:val="0"/>
          <w:sz w:val="24"/>
          <w:szCs w:val="24"/>
        </w:rPr>
        <w:t>评标程序</w:t>
      </w:r>
      <w:bookmarkEnd w:id="366"/>
    </w:p>
    <w:p>
      <w:pPr>
        <w:spacing w:line="400" w:lineRule="exact"/>
        <w:ind w:firstLine="480" w:firstLineChars="200"/>
        <w:rPr>
          <w:rFonts w:ascii="仿宋" w:hAnsi="仿宋"/>
        </w:rPr>
      </w:pPr>
      <w:r>
        <w:rPr>
          <w:rFonts w:hint="eastAsia" w:ascii="仿宋" w:hAnsi="仿宋"/>
        </w:rPr>
        <w:t>3.1熟悉和理解招标文件和停止评标。</w:t>
      </w:r>
    </w:p>
    <w:p>
      <w:pPr>
        <w:spacing w:line="400" w:lineRule="exact"/>
        <w:ind w:firstLine="480" w:firstLineChars="200"/>
        <w:rPr>
          <w:rFonts w:ascii="仿宋" w:hAnsi="仿宋"/>
        </w:rPr>
      </w:pPr>
      <w:r>
        <w:rPr>
          <w:rFonts w:hint="eastAsia" w:ascii="仿宋" w:hAnsi="仿宋"/>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rPr>
      </w:pPr>
      <w:r>
        <w:rPr>
          <w:rFonts w:hint="eastAsia" w:ascii="仿宋" w:hAnsi="仿宋"/>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rPr>
      </w:pPr>
      <w:r>
        <w:rPr>
          <w:rFonts w:hint="eastAsia" w:ascii="仿宋" w:hAnsi="仿宋"/>
        </w:rPr>
        <w:t>（1）招标文件的规定存在歧义、重大缺陷的；</w:t>
      </w:r>
    </w:p>
    <w:p>
      <w:pPr>
        <w:spacing w:line="400" w:lineRule="exact"/>
        <w:ind w:firstLine="480" w:firstLineChars="200"/>
        <w:rPr>
          <w:rFonts w:ascii="仿宋" w:hAnsi="仿宋"/>
        </w:rPr>
      </w:pPr>
      <w:r>
        <w:rPr>
          <w:rFonts w:hint="eastAsia" w:ascii="仿宋" w:hAnsi="仿宋"/>
        </w:rPr>
        <w:t>（2）招标文件明显以不合理条件对供应商实行差别待遇或者歧视待遇的；</w:t>
      </w:r>
    </w:p>
    <w:p>
      <w:pPr>
        <w:spacing w:line="400" w:lineRule="exact"/>
        <w:ind w:firstLine="480" w:firstLineChars="200"/>
        <w:rPr>
          <w:rFonts w:ascii="仿宋" w:hAnsi="仿宋"/>
        </w:rPr>
      </w:pPr>
      <w:r>
        <w:rPr>
          <w:rFonts w:hint="eastAsia" w:ascii="仿宋" w:hAnsi="仿宋"/>
        </w:rPr>
        <w:t>（3）采购项目属于国家规定的优先、强制采购范围，但是招标文件未依法体现优先、强制采购相关规定的；</w:t>
      </w:r>
    </w:p>
    <w:p>
      <w:pPr>
        <w:spacing w:line="400" w:lineRule="exact"/>
        <w:ind w:firstLine="480" w:firstLineChars="200"/>
        <w:rPr>
          <w:rFonts w:ascii="仿宋" w:hAnsi="仿宋"/>
        </w:rPr>
      </w:pPr>
      <w:r>
        <w:rPr>
          <w:rFonts w:hint="eastAsia" w:ascii="仿宋" w:hAnsi="仿宋"/>
        </w:rPr>
        <w:t>（4）采购项目属于政府采购促进中小企业发展的范围，但是招标文件未依法体现促进中小企业发展相关规定的；</w:t>
      </w:r>
    </w:p>
    <w:p>
      <w:pPr>
        <w:spacing w:line="400" w:lineRule="exact"/>
        <w:ind w:firstLine="480" w:firstLineChars="200"/>
        <w:rPr>
          <w:rFonts w:ascii="仿宋" w:hAnsi="仿宋"/>
        </w:rPr>
      </w:pPr>
      <w:r>
        <w:rPr>
          <w:rFonts w:hint="eastAsia" w:ascii="仿宋" w:hAnsi="仿宋"/>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rPr>
      </w:pPr>
      <w:r>
        <w:rPr>
          <w:rFonts w:hint="eastAsia" w:ascii="仿宋" w:hAnsi="仿宋"/>
        </w:rPr>
        <w:t>（6）招标文件将投标人的资格条件列为评分因素的；</w:t>
      </w:r>
    </w:p>
    <w:p>
      <w:pPr>
        <w:spacing w:line="400" w:lineRule="exact"/>
        <w:ind w:firstLine="480" w:firstLineChars="200"/>
        <w:rPr>
          <w:rFonts w:ascii="仿宋" w:hAnsi="仿宋"/>
        </w:rPr>
      </w:pPr>
      <w:r>
        <w:rPr>
          <w:rFonts w:hint="eastAsia" w:ascii="仿宋" w:hAnsi="仿宋"/>
        </w:rPr>
        <w:t>（7）招标文件有违反国家其他有关强制性规定的情形。</w:t>
      </w:r>
    </w:p>
    <w:p>
      <w:pPr>
        <w:spacing w:line="400" w:lineRule="exact"/>
        <w:ind w:firstLine="480" w:firstLineChars="200"/>
        <w:rPr>
          <w:rFonts w:ascii="仿宋" w:hAnsi="仿宋"/>
        </w:rPr>
      </w:pPr>
      <w:r>
        <w:rPr>
          <w:rFonts w:hint="eastAsia" w:ascii="仿宋" w:hAnsi="仿宋"/>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rPr>
      </w:pPr>
      <w:r>
        <w:rPr>
          <w:rFonts w:hint="eastAsia" w:ascii="仿宋" w:hAnsi="仿宋"/>
        </w:rPr>
        <w:t>3.2符合性检查。</w:t>
      </w:r>
    </w:p>
    <w:p>
      <w:pPr>
        <w:spacing w:line="400" w:lineRule="exact"/>
        <w:ind w:firstLine="480" w:firstLineChars="200"/>
        <w:rPr>
          <w:rFonts w:ascii="仿宋" w:hAnsi="仿宋"/>
        </w:rPr>
      </w:pPr>
      <w:r>
        <w:rPr>
          <w:rFonts w:hint="eastAsia" w:ascii="仿宋" w:hAnsi="仿宋"/>
        </w:rPr>
        <w:t>3.2.1评标委员会依据本招标文件的</w:t>
      </w:r>
      <w:r>
        <w:rPr>
          <w:rFonts w:hint="eastAsia" w:ascii="仿宋" w:hAnsi="仿宋"/>
          <w:b/>
          <w:bCs/>
        </w:rPr>
        <w:t>实质性要求及无效投标情形</w:t>
      </w:r>
      <w:r>
        <w:rPr>
          <w:rFonts w:hint="eastAsia" w:ascii="仿宋" w:hAnsi="仿宋"/>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p>
      <w:pPr>
        <w:spacing w:line="400" w:lineRule="exact"/>
        <w:ind w:firstLine="480" w:firstLineChars="200"/>
        <w:rPr>
          <w:rFonts w:ascii="仿宋" w:hAnsi="仿宋"/>
        </w:rPr>
      </w:pPr>
      <w:r>
        <w:rPr>
          <w:rFonts w:hint="eastAsia" w:ascii="仿宋" w:hAnsi="仿宋"/>
        </w:rPr>
        <w:t>3.2.2投标文件出现其他不影响采购项目实质性要求情形的，不作为本项目符合性审查事项，不得作为无效投标处理：</w:t>
      </w:r>
    </w:p>
    <w:p>
      <w:pPr>
        <w:spacing w:line="400" w:lineRule="exact"/>
        <w:ind w:firstLine="480" w:firstLineChars="200"/>
        <w:rPr>
          <w:rFonts w:ascii="仿宋" w:hAnsi="仿宋"/>
        </w:rPr>
      </w:pPr>
      <w:r>
        <w:rPr>
          <w:rFonts w:hint="eastAsia" w:ascii="仿宋" w:hAnsi="仿宋"/>
        </w:rPr>
        <w:t>3.2.3除政府采购法律制度规定的情形外，本项目投标人或者其投标文件有下列情形之一的，作为无效投标处理：</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6636"/>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5000" w:type="pct"/>
            <w:gridSpan w:val="3"/>
            <w:vAlign w:val="center"/>
          </w:tcPr>
          <w:p>
            <w:pPr>
              <w:spacing w:line="240" w:lineRule="auto"/>
              <w:jc w:val="center"/>
              <w:rPr>
                <w:rFonts w:ascii="仿宋" w:hAnsi="仿宋" w:cs="仿宋"/>
                <w:b/>
              </w:rPr>
            </w:pPr>
            <w:r>
              <w:rPr>
                <w:rFonts w:hint="eastAsia" w:ascii="仿宋" w:hAnsi="仿宋" w:cs="仿宋"/>
                <w:b/>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7" w:type="pct"/>
            <w:vAlign w:val="center"/>
          </w:tcPr>
          <w:p>
            <w:pPr>
              <w:tabs>
                <w:tab w:val="left" w:pos="851"/>
              </w:tabs>
              <w:spacing w:line="240" w:lineRule="auto"/>
              <w:jc w:val="center"/>
              <w:rPr>
                <w:rFonts w:ascii="仿宋" w:hAnsi="仿宋" w:cs="仿宋"/>
                <w:b/>
              </w:rPr>
            </w:pPr>
            <w:r>
              <w:rPr>
                <w:rFonts w:hint="eastAsia" w:ascii="仿宋" w:hAnsi="仿宋" w:cs="仿宋"/>
                <w:b/>
              </w:rPr>
              <w:t>序号</w:t>
            </w:r>
          </w:p>
        </w:tc>
        <w:tc>
          <w:tcPr>
            <w:tcW w:w="3573" w:type="pct"/>
            <w:vAlign w:val="center"/>
          </w:tcPr>
          <w:p>
            <w:pPr>
              <w:tabs>
                <w:tab w:val="left" w:pos="851"/>
              </w:tabs>
              <w:spacing w:line="240" w:lineRule="auto"/>
              <w:jc w:val="center"/>
              <w:rPr>
                <w:rFonts w:ascii="仿宋" w:hAnsi="仿宋" w:cs="仿宋"/>
                <w:b/>
              </w:rPr>
            </w:pPr>
            <w:r>
              <w:rPr>
                <w:rFonts w:hint="eastAsia" w:ascii="仿宋" w:hAnsi="仿宋" w:cs="仿宋"/>
                <w:b/>
              </w:rPr>
              <w:t>审查内容</w:t>
            </w:r>
          </w:p>
        </w:tc>
        <w:tc>
          <w:tcPr>
            <w:tcW w:w="1049" w:type="pct"/>
            <w:vAlign w:val="center"/>
          </w:tcPr>
          <w:p>
            <w:pPr>
              <w:spacing w:line="240" w:lineRule="auto"/>
              <w:jc w:val="center"/>
              <w:rPr>
                <w:rFonts w:ascii="仿宋" w:hAnsi="仿宋" w:cs="仿宋"/>
                <w:b/>
              </w:rPr>
            </w:pPr>
            <w:r>
              <w:rPr>
                <w:rFonts w:hint="eastAsia" w:ascii="仿宋" w:hAnsi="仿宋" w:cs="仿宋"/>
                <w:b/>
              </w:rPr>
              <w:t>提示说明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pPr>
              <w:spacing w:line="240" w:lineRule="auto"/>
              <w:jc w:val="center"/>
              <w:rPr>
                <w:rFonts w:ascii="仿宋" w:hAnsi="仿宋" w:cs="仿宋"/>
                <w:bCs/>
              </w:rPr>
            </w:pPr>
            <w:r>
              <w:rPr>
                <w:rFonts w:hint="eastAsia" w:ascii="仿宋" w:hAnsi="仿宋" w:cs="仿宋"/>
                <w:bCs/>
              </w:rPr>
              <w:t>1</w:t>
            </w:r>
          </w:p>
        </w:tc>
        <w:tc>
          <w:tcPr>
            <w:tcW w:w="3573" w:type="pct"/>
            <w:vAlign w:val="center"/>
          </w:tcPr>
          <w:p>
            <w:pPr>
              <w:spacing w:line="240" w:lineRule="auto"/>
              <w:rPr>
                <w:rFonts w:ascii="仿宋" w:hAnsi="仿宋" w:cs="仿宋"/>
                <w:bCs/>
              </w:rPr>
            </w:pPr>
            <w:r>
              <w:rPr>
                <w:rFonts w:hint="eastAsia" w:ascii="仿宋" w:hAnsi="仿宋" w:cs="仿宋"/>
                <w:bCs/>
              </w:rPr>
              <w:t>投标文件组成明显不符合招标文件的规定要求，影响评标委员会评判的；</w:t>
            </w:r>
          </w:p>
        </w:tc>
        <w:tc>
          <w:tcPr>
            <w:tcW w:w="1049" w:type="pct"/>
            <w:vMerge w:val="restart"/>
            <w:vAlign w:val="center"/>
          </w:tcPr>
          <w:p>
            <w:pPr>
              <w:spacing w:line="240" w:lineRule="auto"/>
              <w:jc w:val="both"/>
              <w:rPr>
                <w:rFonts w:ascii="仿宋" w:hAnsi="仿宋" w:cs="仿宋"/>
                <w:bCs/>
              </w:rPr>
            </w:pPr>
            <w:r>
              <w:rPr>
                <w:rFonts w:hint="eastAsia" w:ascii="仿宋" w:hAnsi="仿宋" w:cs="仿宋"/>
                <w:bCs/>
                <w:spacing w:val="-6"/>
              </w:rPr>
              <w:t>评标委员会根据投标文件整体内容进行评审。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pPr>
              <w:spacing w:line="240" w:lineRule="auto"/>
              <w:jc w:val="center"/>
              <w:rPr>
                <w:rFonts w:ascii="仿宋" w:hAnsi="仿宋" w:cs="仿宋"/>
                <w:bCs/>
              </w:rPr>
            </w:pPr>
            <w:r>
              <w:rPr>
                <w:rFonts w:hint="eastAsia" w:ascii="仿宋" w:hAnsi="仿宋" w:cs="仿宋"/>
                <w:bCs/>
              </w:rPr>
              <w:t>2</w:t>
            </w:r>
          </w:p>
        </w:tc>
        <w:tc>
          <w:tcPr>
            <w:tcW w:w="3573" w:type="pct"/>
            <w:vAlign w:val="center"/>
          </w:tcPr>
          <w:p>
            <w:pPr>
              <w:spacing w:line="240" w:lineRule="auto"/>
              <w:rPr>
                <w:rFonts w:ascii="仿宋" w:hAnsi="仿宋" w:cs="仿宋"/>
                <w:bCs/>
              </w:rPr>
            </w:pPr>
            <w:r>
              <w:rPr>
                <w:rFonts w:hint="eastAsia" w:ascii="仿宋" w:hAnsi="仿宋"/>
              </w:rPr>
              <w:t>投标文件的语言、计量单位、报价货币、知识产权、投标有效期等不符合招标文件的规定，影响评标委员会评判的；</w:t>
            </w:r>
          </w:p>
        </w:tc>
        <w:tc>
          <w:tcPr>
            <w:tcW w:w="1049" w:type="pct"/>
            <w:vMerge w:val="continue"/>
            <w:vAlign w:val="center"/>
          </w:tcPr>
          <w:p>
            <w:pPr>
              <w:spacing w:line="240" w:lineRule="auto"/>
              <w:rPr>
                <w:rFonts w:ascii="仿宋" w:hAnsi="仿宋" w:cs="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pPr>
              <w:spacing w:line="240" w:lineRule="auto"/>
              <w:jc w:val="center"/>
              <w:rPr>
                <w:rFonts w:ascii="仿宋" w:hAnsi="仿宋" w:cs="仿宋"/>
                <w:bCs/>
              </w:rPr>
            </w:pPr>
            <w:r>
              <w:rPr>
                <w:rFonts w:hint="eastAsia" w:ascii="仿宋" w:hAnsi="仿宋" w:cs="仿宋"/>
                <w:bCs/>
              </w:rPr>
              <w:t>3</w:t>
            </w:r>
          </w:p>
        </w:tc>
        <w:tc>
          <w:tcPr>
            <w:tcW w:w="3573" w:type="pct"/>
            <w:vAlign w:val="center"/>
          </w:tcPr>
          <w:p>
            <w:pPr>
              <w:spacing w:line="240" w:lineRule="auto"/>
              <w:rPr>
                <w:rFonts w:ascii="仿宋" w:hAnsi="仿宋" w:cs="仿宋"/>
                <w:bCs/>
              </w:rPr>
            </w:pPr>
            <w:r>
              <w:rPr>
                <w:rFonts w:hint="eastAsia" w:ascii="仿宋" w:hAnsi="仿宋"/>
              </w:rPr>
              <w:t>投标报价不符合招标文件规定的采购预算或限价或其他报价规定的；</w:t>
            </w:r>
          </w:p>
        </w:tc>
        <w:tc>
          <w:tcPr>
            <w:tcW w:w="1049" w:type="pct"/>
            <w:vMerge w:val="continue"/>
            <w:vAlign w:val="center"/>
          </w:tcPr>
          <w:p>
            <w:pPr>
              <w:spacing w:line="240" w:lineRule="auto"/>
              <w:rPr>
                <w:rFonts w:ascii="仿宋" w:hAnsi="仿宋" w:cs="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pPr>
              <w:spacing w:line="240" w:lineRule="auto"/>
              <w:jc w:val="center"/>
              <w:rPr>
                <w:rFonts w:ascii="仿宋" w:hAnsi="仿宋" w:cs="仿宋"/>
                <w:bCs/>
              </w:rPr>
            </w:pPr>
            <w:r>
              <w:rPr>
                <w:rFonts w:hint="eastAsia" w:ascii="仿宋" w:hAnsi="仿宋" w:cs="仿宋"/>
                <w:bCs/>
              </w:rPr>
              <w:t>4</w:t>
            </w:r>
          </w:p>
        </w:tc>
        <w:tc>
          <w:tcPr>
            <w:tcW w:w="3573" w:type="pct"/>
            <w:vAlign w:val="center"/>
          </w:tcPr>
          <w:p>
            <w:pPr>
              <w:spacing w:line="240" w:lineRule="auto"/>
              <w:rPr>
                <w:rFonts w:ascii="仿宋" w:hAnsi="仿宋" w:cs="仿宋"/>
                <w:bCs/>
              </w:rPr>
            </w:pPr>
            <w:r>
              <w:rPr>
                <w:rFonts w:hint="eastAsia" w:ascii="仿宋" w:hAnsi="仿宋"/>
              </w:rPr>
              <w:t>商务、技术、服务应答内容没有完全响应招标文件的实质性要求的；</w:t>
            </w:r>
          </w:p>
        </w:tc>
        <w:tc>
          <w:tcPr>
            <w:tcW w:w="1049" w:type="pct"/>
            <w:vMerge w:val="continue"/>
            <w:vAlign w:val="center"/>
          </w:tcPr>
          <w:p>
            <w:pPr>
              <w:spacing w:line="240" w:lineRule="auto"/>
              <w:rPr>
                <w:rFonts w:ascii="仿宋" w:hAnsi="仿宋" w:cs="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pPr>
              <w:spacing w:line="240" w:lineRule="auto"/>
              <w:jc w:val="center"/>
              <w:rPr>
                <w:rFonts w:ascii="仿宋" w:hAnsi="仿宋" w:cs="仿宋"/>
                <w:bCs/>
              </w:rPr>
            </w:pPr>
            <w:r>
              <w:rPr>
                <w:rFonts w:hint="eastAsia" w:ascii="仿宋" w:hAnsi="仿宋" w:cs="仿宋"/>
                <w:bCs/>
              </w:rPr>
              <w:t>5</w:t>
            </w:r>
          </w:p>
        </w:tc>
        <w:tc>
          <w:tcPr>
            <w:tcW w:w="3573" w:type="pct"/>
            <w:vAlign w:val="center"/>
          </w:tcPr>
          <w:p>
            <w:pPr>
              <w:spacing w:line="240" w:lineRule="auto"/>
              <w:rPr>
                <w:rFonts w:ascii="仿宋" w:hAnsi="仿宋" w:cs="仿宋"/>
                <w:bCs/>
              </w:rPr>
            </w:pPr>
            <w:r>
              <w:rPr>
                <w:rFonts w:hint="eastAsia" w:ascii="仿宋" w:hAnsi="仿宋"/>
              </w:rPr>
              <w:t>未载明或者载明的招标项目履约时间、方式、数量及其他政府采购合同实质性内容与招标文件要求不一致，且招标采购单位无法接受的；</w:t>
            </w:r>
          </w:p>
        </w:tc>
        <w:tc>
          <w:tcPr>
            <w:tcW w:w="1049" w:type="pct"/>
            <w:vMerge w:val="continue"/>
            <w:vAlign w:val="center"/>
          </w:tcPr>
          <w:p>
            <w:pPr>
              <w:spacing w:line="240" w:lineRule="auto"/>
              <w:rPr>
                <w:rFonts w:ascii="仿宋" w:hAnsi="仿宋" w:cs="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pPr>
              <w:spacing w:line="240" w:lineRule="auto"/>
              <w:jc w:val="center"/>
              <w:rPr>
                <w:rFonts w:ascii="仿宋" w:hAnsi="仿宋" w:cs="仿宋"/>
                <w:bCs/>
              </w:rPr>
            </w:pPr>
            <w:r>
              <w:rPr>
                <w:rFonts w:hint="eastAsia" w:ascii="仿宋" w:hAnsi="仿宋" w:cs="仿宋"/>
                <w:bCs/>
              </w:rPr>
              <w:t>6</w:t>
            </w:r>
          </w:p>
        </w:tc>
        <w:tc>
          <w:tcPr>
            <w:tcW w:w="3573" w:type="pct"/>
            <w:vAlign w:val="center"/>
          </w:tcPr>
          <w:p>
            <w:pPr>
              <w:spacing w:line="240" w:lineRule="auto"/>
              <w:rPr>
                <w:rFonts w:ascii="仿宋" w:hAnsi="仿宋" w:cs="仿宋"/>
                <w:bCs/>
              </w:rPr>
            </w:pPr>
            <w:r>
              <w:rPr>
                <w:rFonts w:hint="eastAsia" w:ascii="仿宋" w:hAnsi="仿宋"/>
              </w:rPr>
              <w:t>投标文件未按招标文件要求加盖电子印章的（本章</w:t>
            </w:r>
            <w:r>
              <w:rPr>
                <w:rFonts w:ascii="仿宋" w:hAnsi="仿宋"/>
              </w:rPr>
              <w:t>3.2.2</w:t>
            </w:r>
            <w:r>
              <w:rPr>
                <w:rFonts w:hint="eastAsia" w:ascii="仿宋" w:hAnsi="仿宋"/>
              </w:rPr>
              <w:t>规定</w:t>
            </w:r>
            <w:r>
              <w:rPr>
                <w:rFonts w:ascii="仿宋" w:hAnsi="仿宋"/>
              </w:rPr>
              <w:t>的</w:t>
            </w:r>
            <w:r>
              <w:rPr>
                <w:rFonts w:hint="eastAsia" w:ascii="仿宋" w:hAnsi="仿宋"/>
              </w:rPr>
              <w:t>例外</w:t>
            </w:r>
            <w:r>
              <w:rPr>
                <w:rFonts w:ascii="仿宋" w:hAnsi="仿宋"/>
              </w:rPr>
              <w:t>情形除外</w:t>
            </w:r>
            <w:r>
              <w:rPr>
                <w:rFonts w:hint="eastAsia" w:ascii="仿宋" w:hAnsi="仿宋"/>
              </w:rPr>
              <w:t>）；</w:t>
            </w:r>
          </w:p>
        </w:tc>
        <w:tc>
          <w:tcPr>
            <w:tcW w:w="1049" w:type="pct"/>
            <w:vMerge w:val="continue"/>
            <w:vAlign w:val="center"/>
          </w:tcPr>
          <w:p>
            <w:pPr>
              <w:spacing w:line="240" w:lineRule="auto"/>
              <w:rPr>
                <w:rFonts w:ascii="仿宋" w:hAnsi="仿宋" w:cs="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pPr>
              <w:spacing w:line="240" w:lineRule="auto"/>
              <w:jc w:val="center"/>
              <w:rPr>
                <w:rFonts w:ascii="仿宋" w:hAnsi="仿宋" w:cs="仿宋"/>
                <w:bCs/>
              </w:rPr>
            </w:pPr>
            <w:r>
              <w:rPr>
                <w:rFonts w:hint="eastAsia" w:ascii="仿宋" w:hAnsi="仿宋" w:cs="仿宋"/>
                <w:bCs/>
              </w:rPr>
              <w:t>7</w:t>
            </w:r>
          </w:p>
        </w:tc>
        <w:tc>
          <w:tcPr>
            <w:tcW w:w="3573" w:type="pct"/>
            <w:vAlign w:val="center"/>
          </w:tcPr>
          <w:p>
            <w:pPr>
              <w:spacing w:line="240" w:lineRule="auto"/>
              <w:rPr>
                <w:rFonts w:ascii="仿宋" w:hAnsi="仿宋" w:cs="仿宋"/>
                <w:bCs/>
              </w:rPr>
            </w:pPr>
            <w:r>
              <w:rPr>
                <w:rFonts w:hint="eastAsia" w:ascii="仿宋" w:hAnsi="仿宋"/>
                <w:spacing w:val="-6"/>
              </w:rPr>
              <w:t>没有完全响应招标文件的其他实质性要求或属于招标文件中投标无效情形的。</w:t>
            </w:r>
          </w:p>
        </w:tc>
        <w:tc>
          <w:tcPr>
            <w:tcW w:w="1049" w:type="pct"/>
            <w:vMerge w:val="continue"/>
            <w:vAlign w:val="center"/>
          </w:tcPr>
          <w:p>
            <w:pPr>
              <w:spacing w:line="240" w:lineRule="auto"/>
              <w:rPr>
                <w:rFonts w:ascii="仿宋" w:hAnsi="仿宋" w:cs="仿宋"/>
                <w:bCs/>
                <w:spacing w:val="-6"/>
              </w:rPr>
            </w:pPr>
          </w:p>
        </w:tc>
      </w:tr>
    </w:tbl>
    <w:p>
      <w:pPr>
        <w:spacing w:line="400" w:lineRule="exact"/>
        <w:ind w:firstLine="480" w:firstLineChars="200"/>
        <w:rPr>
          <w:rFonts w:ascii="仿宋" w:hAnsi="仿宋"/>
        </w:rPr>
      </w:pPr>
      <w:r>
        <w:rPr>
          <w:rFonts w:hint="eastAsia" w:ascii="仿宋" w:hAnsi="仿宋"/>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rPr>
      </w:pPr>
      <w:r>
        <w:rPr>
          <w:rFonts w:hint="eastAsia" w:ascii="仿宋" w:hAnsi="仿宋"/>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rPr>
      </w:pPr>
      <w:r>
        <w:rPr>
          <w:rFonts w:hint="eastAsia" w:ascii="仿宋" w:hAnsi="仿宋"/>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rPr>
      </w:pPr>
      <w:r>
        <w:rPr>
          <w:rFonts w:hint="eastAsia" w:ascii="仿宋" w:hAnsi="仿宋"/>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rPr>
      </w:pPr>
      <w:r>
        <w:rPr>
          <w:rFonts w:hint="eastAsia" w:ascii="仿宋" w:hAnsi="仿宋"/>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rPr>
      </w:pPr>
      <w:r>
        <w:rPr>
          <w:rFonts w:hint="eastAsia" w:ascii="仿宋" w:hAnsi="仿宋"/>
        </w:rPr>
        <w:t>（一）招标公告刊登的媒体名称、开标日期和地点；</w:t>
      </w:r>
    </w:p>
    <w:p>
      <w:pPr>
        <w:spacing w:line="400" w:lineRule="exact"/>
        <w:ind w:firstLine="480" w:firstLineChars="200"/>
        <w:rPr>
          <w:rFonts w:ascii="仿宋" w:hAnsi="仿宋"/>
        </w:rPr>
      </w:pPr>
      <w:r>
        <w:rPr>
          <w:rFonts w:hint="eastAsia" w:ascii="仿宋" w:hAnsi="仿宋"/>
        </w:rPr>
        <w:t>（二）获取招标文件的投标人名单和评标委员会成员名单；</w:t>
      </w:r>
    </w:p>
    <w:p>
      <w:pPr>
        <w:spacing w:line="400" w:lineRule="exact"/>
        <w:ind w:firstLine="480" w:firstLineChars="200"/>
        <w:rPr>
          <w:rFonts w:ascii="仿宋" w:hAnsi="仿宋"/>
        </w:rPr>
      </w:pPr>
      <w:r>
        <w:rPr>
          <w:rFonts w:hint="eastAsia" w:ascii="仿宋" w:hAnsi="仿宋"/>
        </w:rPr>
        <w:t>（三）评标方法和标准；</w:t>
      </w:r>
    </w:p>
    <w:p>
      <w:pPr>
        <w:spacing w:line="400" w:lineRule="exact"/>
        <w:ind w:firstLine="480" w:firstLineChars="200"/>
        <w:rPr>
          <w:rFonts w:ascii="仿宋" w:hAnsi="仿宋"/>
        </w:rPr>
      </w:pPr>
      <w:r>
        <w:rPr>
          <w:rFonts w:hint="eastAsia" w:ascii="仿宋" w:hAnsi="仿宋"/>
        </w:rPr>
        <w:t>（四）开标记录和评标情况及说明，包括无效投标人名单及原因；</w:t>
      </w:r>
    </w:p>
    <w:p>
      <w:pPr>
        <w:spacing w:line="400" w:lineRule="exact"/>
        <w:ind w:firstLine="480" w:firstLineChars="200"/>
        <w:rPr>
          <w:rFonts w:ascii="仿宋" w:hAnsi="仿宋"/>
        </w:rPr>
      </w:pPr>
      <w:r>
        <w:rPr>
          <w:rFonts w:hint="eastAsia" w:ascii="仿宋" w:hAnsi="仿宋"/>
        </w:rPr>
        <w:t>（五）评标结果和中标候选供应商排序表；</w:t>
      </w:r>
    </w:p>
    <w:p>
      <w:pPr>
        <w:spacing w:line="400" w:lineRule="exact"/>
        <w:ind w:firstLine="480" w:firstLineChars="200"/>
        <w:rPr>
          <w:rFonts w:ascii="仿宋" w:hAnsi="仿宋"/>
        </w:rPr>
      </w:pPr>
      <w:r>
        <w:rPr>
          <w:rFonts w:hint="eastAsia" w:ascii="仿宋" w:hAnsi="仿宋"/>
        </w:rPr>
        <w:t>（六）评标委员会授标建议；</w:t>
      </w:r>
    </w:p>
    <w:p>
      <w:pPr>
        <w:spacing w:line="400" w:lineRule="exact"/>
        <w:ind w:firstLine="480" w:firstLineChars="200"/>
        <w:rPr>
          <w:rFonts w:ascii="仿宋" w:hAnsi="仿宋"/>
        </w:rPr>
      </w:pPr>
      <w:r>
        <w:rPr>
          <w:rFonts w:hint="eastAsia" w:ascii="仿宋" w:hAnsi="仿宋"/>
        </w:rPr>
        <w:t>（七）报价最高的投标人为中标候选人的，评标委员会应当对其报价的合理性予以特别说明。</w:t>
      </w:r>
    </w:p>
    <w:p>
      <w:pPr>
        <w:spacing w:line="400" w:lineRule="exact"/>
        <w:ind w:firstLine="480" w:firstLineChars="200"/>
        <w:rPr>
          <w:rFonts w:ascii="仿宋" w:hAnsi="仿宋"/>
        </w:rPr>
      </w:pPr>
      <w:r>
        <w:rPr>
          <w:rFonts w:hint="eastAsia" w:ascii="仿宋" w:hAnsi="仿宋"/>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rPr>
      </w:pPr>
      <w:r>
        <w:rPr>
          <w:rFonts w:hint="eastAsia" w:ascii="仿宋" w:hAnsi="仿宋"/>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rPr>
      </w:pPr>
      <w:r>
        <w:rPr>
          <w:rFonts w:hint="eastAsia" w:ascii="仿宋" w:hAnsi="仿宋"/>
        </w:rPr>
        <w:t>3.8供应商应当书面澄清、说明或者更正。</w:t>
      </w:r>
    </w:p>
    <w:p>
      <w:pPr>
        <w:spacing w:line="400" w:lineRule="exact"/>
        <w:ind w:firstLine="480" w:firstLineChars="200"/>
        <w:rPr>
          <w:rFonts w:ascii="仿宋" w:hAnsi="仿宋"/>
        </w:rPr>
      </w:pPr>
      <w:r>
        <w:rPr>
          <w:rFonts w:hint="eastAsia" w:ascii="仿宋" w:hAnsi="仿宋"/>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rPr>
      </w:pPr>
      <w:r>
        <w:rPr>
          <w:rFonts w:hint="eastAsia" w:ascii="仿宋" w:hAnsi="仿宋"/>
        </w:rPr>
        <w:t>3.8.2</w:t>
      </w:r>
      <w:r>
        <w:rPr>
          <w:rFonts w:hint="eastAsia" w:ascii="仿宋" w:hAnsi="仿宋"/>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rPr>
        <w:t>澄清、说明或者更正不影响投标文件的效力，有效的澄清、说明或者更正材料，是投标文件的组成部分。</w:t>
      </w:r>
      <w:r>
        <w:rPr>
          <w:rFonts w:hint="eastAsia" w:ascii="仿宋" w:hAnsi="仿宋"/>
          <w:lang w:val="zh-CN"/>
        </w:rPr>
        <w:t>如因系统故障</w:t>
      </w:r>
      <w:r>
        <w:rPr>
          <w:rFonts w:hint="eastAsia" w:ascii="仿宋" w:hAnsi="仿宋" w:cs="仿宋"/>
          <w:bCs/>
          <w:lang w:val="zh-CN"/>
        </w:rPr>
        <w:t>（</w:t>
      </w:r>
      <w:r>
        <w:rPr>
          <w:rFonts w:hint="eastAsia" w:ascii="仿宋" w:hAnsi="仿宋"/>
        </w:rPr>
        <w:t>包括组织场所停电、断网等）</w:t>
      </w:r>
      <w:r>
        <w:rPr>
          <w:rFonts w:hint="eastAsia" w:ascii="仿宋" w:hAnsi="仿宋"/>
          <w:lang w:val="zh-CN"/>
        </w:rPr>
        <w:t>导致系统无法使用的，由投标人按评标委员会的要求进行澄清或者说明。</w:t>
      </w:r>
    </w:p>
    <w:p>
      <w:pPr>
        <w:spacing w:line="400" w:lineRule="exact"/>
        <w:ind w:firstLine="480" w:firstLineChars="200"/>
        <w:rPr>
          <w:rFonts w:ascii="仿宋" w:hAnsi="仿宋"/>
        </w:rPr>
      </w:pPr>
      <w:r>
        <w:rPr>
          <w:rFonts w:hint="eastAsia" w:ascii="仿宋" w:hAnsi="仿宋"/>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rPr>
      </w:pPr>
      <w:r>
        <w:rPr>
          <w:rFonts w:hint="eastAsia" w:ascii="仿宋" w:hAnsi="仿宋"/>
        </w:rPr>
        <w:t>（一）按财政部规定应当在评标时不予承认的投标文件内容事项；</w:t>
      </w:r>
    </w:p>
    <w:p>
      <w:pPr>
        <w:spacing w:line="400" w:lineRule="exact"/>
        <w:ind w:firstLine="480" w:firstLineChars="200"/>
        <w:rPr>
          <w:rFonts w:ascii="仿宋" w:hAnsi="仿宋"/>
        </w:rPr>
      </w:pPr>
      <w:r>
        <w:rPr>
          <w:rFonts w:hint="eastAsia" w:ascii="仿宋" w:hAnsi="仿宋"/>
        </w:rPr>
        <w:t>（二）投标文件中已经明确的内容事项；</w:t>
      </w:r>
    </w:p>
    <w:p>
      <w:pPr>
        <w:spacing w:line="400" w:lineRule="exact"/>
        <w:ind w:firstLine="480" w:firstLineChars="200"/>
        <w:rPr>
          <w:rFonts w:ascii="仿宋" w:hAnsi="仿宋"/>
        </w:rPr>
      </w:pPr>
      <w:r>
        <w:rPr>
          <w:rFonts w:hint="eastAsia" w:ascii="仿宋" w:hAnsi="仿宋"/>
        </w:rPr>
        <w:t>3.8.4 本项目采购过程中，投标文件报价出现前后不一致的，按照下列规定修正：</w:t>
      </w:r>
    </w:p>
    <w:p>
      <w:pPr>
        <w:spacing w:line="400" w:lineRule="exact"/>
        <w:ind w:firstLine="480" w:firstLineChars="200"/>
        <w:rPr>
          <w:rFonts w:ascii="仿宋" w:hAnsi="仿宋"/>
        </w:rPr>
      </w:pPr>
      <w:r>
        <w:rPr>
          <w:rFonts w:hint="eastAsia" w:ascii="仿宋" w:hAnsi="仿宋"/>
        </w:rPr>
        <w:t>（一）投标文件中开标一览表（报价表）内容与投标文件中相应内容不一致的，以开标一览表（报价表）为准；</w:t>
      </w:r>
    </w:p>
    <w:p>
      <w:pPr>
        <w:spacing w:line="400" w:lineRule="exact"/>
        <w:ind w:firstLine="480" w:firstLineChars="200"/>
        <w:rPr>
          <w:rFonts w:ascii="仿宋" w:hAnsi="仿宋"/>
        </w:rPr>
      </w:pPr>
      <w:r>
        <w:rPr>
          <w:rFonts w:hint="eastAsia" w:ascii="仿宋" w:hAnsi="仿宋"/>
        </w:rPr>
        <w:t>（二）大写金额和小写金额不一致的，以大写金额为准；</w:t>
      </w:r>
    </w:p>
    <w:p>
      <w:pPr>
        <w:spacing w:line="400" w:lineRule="exact"/>
        <w:ind w:firstLine="480" w:firstLineChars="200"/>
        <w:rPr>
          <w:rFonts w:ascii="仿宋" w:hAnsi="仿宋"/>
        </w:rPr>
      </w:pPr>
      <w:r>
        <w:rPr>
          <w:rFonts w:hint="eastAsia" w:ascii="仿宋" w:hAnsi="仿宋"/>
        </w:rPr>
        <w:t>（三）单价金额小数点或者百分比有明显错位的，以开标一览表的总价为准，并修改单价；</w:t>
      </w:r>
    </w:p>
    <w:p>
      <w:pPr>
        <w:spacing w:line="400" w:lineRule="exact"/>
        <w:ind w:firstLine="480" w:firstLineChars="200"/>
        <w:rPr>
          <w:rFonts w:ascii="仿宋" w:hAnsi="仿宋"/>
        </w:rPr>
      </w:pPr>
      <w:r>
        <w:rPr>
          <w:rFonts w:hint="eastAsia" w:ascii="仿宋" w:hAnsi="仿宋"/>
        </w:rPr>
        <w:t>（四）总价金额与按单价汇总金额不一致的，以单价金额计算结果为准。</w:t>
      </w:r>
    </w:p>
    <w:p>
      <w:pPr>
        <w:spacing w:line="400" w:lineRule="exact"/>
        <w:ind w:firstLine="480" w:firstLineChars="200"/>
        <w:rPr>
          <w:rFonts w:ascii="仿宋" w:hAnsi="仿宋"/>
        </w:rPr>
      </w:pPr>
      <w:r>
        <w:rPr>
          <w:rFonts w:hint="eastAsia" w:ascii="仿宋" w:hAnsi="仿宋"/>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b/>
        </w:rPr>
      </w:pPr>
      <w:r>
        <w:rPr>
          <w:rFonts w:hint="eastAsia" w:ascii="仿宋" w:hAnsi="仿宋"/>
          <w:b/>
        </w:rPr>
        <w:t>注：评标委员会应当积极履行澄清、说明或者更正的职责，不得滥用权力。供应商的投标文件应当要求澄清、说明或者更正的，不得未经澄清、说明或者更正而直接作无效投标处理。</w:t>
      </w:r>
    </w:p>
    <w:p>
      <w:pPr>
        <w:pStyle w:val="83"/>
        <w:ind w:firstLine="480" w:firstLineChars="200"/>
        <w:jc w:val="both"/>
        <w:rPr>
          <w:rFonts w:ascii="仿宋" w:hAnsi="仿宋" w:eastAsia="仿宋"/>
        </w:rPr>
      </w:pPr>
      <w:r>
        <w:rPr>
          <w:rFonts w:hint="eastAsia" w:ascii="仿宋" w:hAnsi="仿宋" w:eastAsia="仿宋"/>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83"/>
        <w:ind w:firstLine="482" w:firstLineChars="200"/>
        <w:jc w:val="both"/>
        <w:rPr>
          <w:rFonts w:ascii="仿宋" w:hAnsi="仿宋" w:eastAsia="仿宋"/>
        </w:rPr>
      </w:pPr>
      <w:r>
        <w:rPr>
          <w:rFonts w:hint="eastAsia" w:ascii="仿宋" w:hAnsi="仿宋" w:eastAsia="仿宋"/>
          <w:b/>
          <w:bCs/>
        </w:rPr>
        <w:t>注：</w:t>
      </w:r>
      <w:r>
        <w:rPr>
          <w:rFonts w:hint="eastAsia" w:ascii="仿宋" w:hAnsi="仿宋" w:eastAsia="仿宋"/>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rPr>
        <w:t>30分钟，供应商已明确表示澄清、说明完毕的除外</w:t>
      </w:r>
      <w:r>
        <w:rPr>
          <w:rFonts w:hint="eastAsia" w:ascii="仿宋" w:hAnsi="仿宋" w:eastAsia="仿宋"/>
          <w:b/>
          <w:bCs/>
          <w:lang w:val="zh-CN"/>
        </w:rPr>
        <w:t>）。如因系统故障（</w:t>
      </w:r>
      <w:r>
        <w:rPr>
          <w:rFonts w:hint="eastAsia" w:ascii="仿宋" w:hAnsi="仿宋" w:eastAsia="仿宋"/>
          <w:b/>
          <w:bCs/>
        </w:rPr>
        <w:t>包括组织场所停电、断网等）</w:t>
      </w:r>
      <w:r>
        <w:rPr>
          <w:rFonts w:hint="eastAsia" w:ascii="仿宋" w:hAnsi="仿宋" w:eastAsia="仿宋"/>
          <w:b/>
          <w:bCs/>
          <w:lang w:val="zh-CN"/>
        </w:rPr>
        <w:t>导致系统无法使用的，由投标人按评标委员会的要求进行澄清或者说明。</w:t>
      </w:r>
    </w:p>
    <w:p>
      <w:pPr>
        <w:pStyle w:val="83"/>
        <w:ind w:firstLine="480" w:firstLineChars="200"/>
        <w:jc w:val="both"/>
        <w:rPr>
          <w:rFonts w:ascii="仿宋" w:hAnsi="仿宋" w:eastAsia="仿宋"/>
        </w:rPr>
      </w:pPr>
      <w:r>
        <w:rPr>
          <w:rFonts w:hint="eastAsia" w:ascii="仿宋" w:hAnsi="仿宋" w:eastAsia="仿宋"/>
        </w:rPr>
        <w:t>3.10招标采购单位现场复核评标结果。</w:t>
      </w:r>
    </w:p>
    <w:p>
      <w:pPr>
        <w:pStyle w:val="83"/>
        <w:ind w:firstLine="480" w:firstLineChars="200"/>
        <w:jc w:val="both"/>
        <w:rPr>
          <w:rFonts w:ascii="仿宋" w:hAnsi="仿宋" w:eastAsia="仿宋"/>
        </w:rPr>
      </w:pPr>
      <w:r>
        <w:rPr>
          <w:rFonts w:hint="eastAsia" w:ascii="仿宋" w:hAnsi="仿宋" w:eastAsia="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83"/>
        <w:ind w:firstLine="480" w:firstLineChars="200"/>
        <w:jc w:val="both"/>
        <w:rPr>
          <w:rFonts w:ascii="仿宋" w:hAnsi="仿宋" w:eastAsia="仿宋"/>
        </w:rPr>
      </w:pPr>
      <w:r>
        <w:rPr>
          <w:rFonts w:hint="eastAsia" w:ascii="仿宋" w:hAnsi="仿宋" w:eastAsia="仿宋"/>
        </w:rPr>
        <w:t>（一）分值汇总计算错误的；</w:t>
      </w:r>
    </w:p>
    <w:p>
      <w:pPr>
        <w:pStyle w:val="83"/>
        <w:ind w:firstLine="480" w:firstLineChars="200"/>
        <w:jc w:val="both"/>
        <w:rPr>
          <w:rFonts w:ascii="仿宋" w:hAnsi="仿宋" w:eastAsia="仿宋"/>
        </w:rPr>
      </w:pPr>
      <w:r>
        <w:rPr>
          <w:rFonts w:hint="eastAsia" w:ascii="仿宋" w:hAnsi="仿宋" w:eastAsia="仿宋"/>
        </w:rPr>
        <w:t>（二）分项评分超出评分标准范围的；</w:t>
      </w:r>
    </w:p>
    <w:p>
      <w:pPr>
        <w:pStyle w:val="83"/>
        <w:ind w:firstLine="480" w:firstLineChars="200"/>
        <w:jc w:val="both"/>
        <w:rPr>
          <w:rFonts w:ascii="仿宋" w:hAnsi="仿宋" w:eastAsia="仿宋"/>
        </w:rPr>
      </w:pPr>
      <w:r>
        <w:rPr>
          <w:rFonts w:hint="eastAsia" w:ascii="仿宋" w:hAnsi="仿宋" w:eastAsia="仿宋"/>
        </w:rPr>
        <w:t>（三）客观评分不一致的；</w:t>
      </w:r>
    </w:p>
    <w:p>
      <w:pPr>
        <w:pStyle w:val="83"/>
        <w:ind w:firstLine="480" w:firstLineChars="200"/>
        <w:jc w:val="both"/>
        <w:rPr>
          <w:rFonts w:ascii="仿宋" w:hAnsi="仿宋" w:eastAsia="仿宋"/>
        </w:rPr>
      </w:pPr>
      <w:r>
        <w:rPr>
          <w:rFonts w:hint="eastAsia" w:ascii="仿宋" w:hAnsi="仿宋" w:eastAsia="仿宋"/>
        </w:rPr>
        <w:t>（四）经评标委员会认定评分畸高畸低的。</w:t>
      </w:r>
    </w:p>
    <w:p>
      <w:pPr>
        <w:pStyle w:val="83"/>
        <w:ind w:firstLine="480" w:firstLineChars="200"/>
        <w:jc w:val="both"/>
        <w:rPr>
          <w:rFonts w:ascii="仿宋" w:hAnsi="仿宋" w:eastAsia="仿宋"/>
        </w:rPr>
      </w:pPr>
      <w:r>
        <w:rPr>
          <w:rFonts w:hint="eastAsia" w:ascii="仿宋" w:hAnsi="仿宋" w:eastAsia="仿宋"/>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83"/>
        <w:ind w:firstLine="480" w:firstLineChars="200"/>
        <w:jc w:val="both"/>
        <w:rPr>
          <w:rFonts w:ascii="仿宋" w:hAnsi="仿宋" w:eastAsia="仿宋"/>
        </w:rPr>
      </w:pPr>
      <w:r>
        <w:rPr>
          <w:rFonts w:hint="eastAsia" w:ascii="仿宋" w:hAnsi="仿宋" w:eastAsia="仿宋"/>
        </w:rPr>
        <w:t>3.10.2有下列情形之一的，不得修改评标结果或者重新评审：</w:t>
      </w:r>
    </w:p>
    <w:p>
      <w:pPr>
        <w:pStyle w:val="83"/>
        <w:ind w:firstLine="480" w:firstLineChars="200"/>
        <w:jc w:val="both"/>
        <w:rPr>
          <w:rFonts w:ascii="仿宋" w:hAnsi="仿宋" w:eastAsia="仿宋"/>
        </w:rPr>
      </w:pPr>
      <w:r>
        <w:rPr>
          <w:rFonts w:hint="eastAsia" w:ascii="仿宋" w:hAnsi="仿宋" w:eastAsia="仿宋"/>
        </w:rPr>
        <w:t>（一）招标采购单位现场复核时，复核工作人员数量不足的；</w:t>
      </w:r>
    </w:p>
    <w:p>
      <w:pPr>
        <w:pStyle w:val="83"/>
        <w:ind w:firstLine="480" w:firstLineChars="200"/>
        <w:jc w:val="both"/>
        <w:rPr>
          <w:rFonts w:ascii="仿宋" w:hAnsi="仿宋" w:eastAsia="仿宋"/>
        </w:rPr>
      </w:pPr>
      <w:r>
        <w:rPr>
          <w:rFonts w:hint="eastAsia" w:ascii="仿宋" w:hAnsi="仿宋" w:eastAsia="仿宋"/>
        </w:rPr>
        <w:t>（二）招标采购单位现场复核时，没有采购监督人员现场监督的；</w:t>
      </w:r>
    </w:p>
    <w:p>
      <w:pPr>
        <w:pStyle w:val="83"/>
        <w:ind w:firstLine="480" w:firstLineChars="200"/>
        <w:jc w:val="both"/>
        <w:rPr>
          <w:rFonts w:ascii="仿宋" w:hAnsi="仿宋" w:eastAsia="仿宋"/>
        </w:rPr>
      </w:pPr>
      <w:r>
        <w:rPr>
          <w:rFonts w:hint="eastAsia" w:ascii="仿宋" w:hAnsi="仿宋" w:eastAsia="仿宋"/>
        </w:rPr>
        <w:t>（三）招标采购单位现场复核内容超出规定范围的；</w:t>
      </w:r>
    </w:p>
    <w:p>
      <w:pPr>
        <w:pStyle w:val="83"/>
        <w:ind w:firstLine="480" w:firstLineChars="200"/>
        <w:jc w:val="both"/>
        <w:rPr>
          <w:rFonts w:ascii="仿宋" w:hAnsi="仿宋" w:eastAsia="仿宋"/>
        </w:rPr>
      </w:pPr>
      <w:r>
        <w:rPr>
          <w:rFonts w:hint="eastAsia" w:ascii="仿宋" w:hAnsi="仿宋" w:eastAsia="仿宋"/>
        </w:rPr>
        <w:t>（四）招标采购单位未提供书面建议的。</w:t>
      </w:r>
    </w:p>
    <w:p>
      <w:pPr>
        <w:pStyle w:val="83"/>
        <w:ind w:firstLine="480" w:firstLineChars="200"/>
        <w:jc w:val="both"/>
        <w:rPr>
          <w:rFonts w:ascii="仿宋" w:hAnsi="仿宋" w:eastAsia="仿宋"/>
        </w:rPr>
      </w:pPr>
      <w:r>
        <w:rPr>
          <w:rFonts w:hint="eastAsia" w:ascii="仿宋" w:hAnsi="仿宋" w:eastAsia="仿宋"/>
        </w:rPr>
        <w:t xml:space="preserve">3.10.3出现下列情形之一的，应当中止电子化采购活动，并保留相关证明材料备查： </w:t>
      </w:r>
    </w:p>
    <w:p>
      <w:pPr>
        <w:pStyle w:val="83"/>
        <w:ind w:firstLine="480" w:firstLineChars="200"/>
        <w:jc w:val="both"/>
        <w:rPr>
          <w:rFonts w:ascii="仿宋" w:hAnsi="仿宋" w:eastAsia="仿宋"/>
        </w:rPr>
      </w:pPr>
      <w:r>
        <w:rPr>
          <w:rFonts w:hint="eastAsia" w:ascii="仿宋" w:hAnsi="仿宋" w:eastAsia="仿宋"/>
        </w:rPr>
        <w:t>（一）系统发生故障（包括感染病毒、应用或数据库出错）而无法正常使用的；</w:t>
      </w:r>
    </w:p>
    <w:p>
      <w:pPr>
        <w:pStyle w:val="83"/>
        <w:ind w:firstLine="480" w:firstLineChars="200"/>
        <w:jc w:val="both"/>
        <w:rPr>
          <w:rFonts w:ascii="仿宋" w:hAnsi="仿宋" w:eastAsia="仿宋"/>
        </w:rPr>
      </w:pPr>
      <w:r>
        <w:rPr>
          <w:rFonts w:hint="eastAsia" w:ascii="仿宋" w:hAnsi="仿宋" w:eastAsia="仿宋"/>
        </w:rPr>
        <w:t>（二）因组织场所停电、断网等原因，导致采购活动无法继续通过交易系统实施的；</w:t>
      </w:r>
    </w:p>
    <w:p>
      <w:pPr>
        <w:pStyle w:val="83"/>
        <w:ind w:firstLine="480" w:firstLineChars="200"/>
        <w:jc w:val="both"/>
        <w:rPr>
          <w:rFonts w:ascii="仿宋" w:hAnsi="仿宋" w:eastAsia="仿宋"/>
        </w:rPr>
      </w:pPr>
      <w:r>
        <w:rPr>
          <w:rFonts w:hint="eastAsia" w:ascii="仿宋" w:hAnsi="仿宋" w:eastAsia="仿宋"/>
        </w:rPr>
        <w:t>（三）其他无法保证电子化交易的公平、公正和安全的情况。</w:t>
      </w:r>
    </w:p>
    <w:p>
      <w:pPr>
        <w:pStyle w:val="83"/>
        <w:ind w:firstLine="480" w:firstLineChars="200"/>
        <w:jc w:val="both"/>
        <w:rPr>
          <w:rFonts w:ascii="仿宋" w:hAnsi="仿宋" w:eastAsia="仿宋"/>
        </w:rPr>
      </w:pPr>
      <w:r>
        <w:rPr>
          <w:rFonts w:hint="eastAsia" w:ascii="仿宋" w:hAnsi="仿宋" w:eastAsia="仿宋"/>
        </w:rPr>
        <w:t>出现前款规定的情形，不影响采购公平、公正的，待上述情形消除后继续组织采购活动；影响或者可能影响采购公平、公正的，应当依法废标或者终止采购活动。</w:t>
      </w:r>
    </w:p>
    <w:p>
      <w:pPr>
        <w:pStyle w:val="4"/>
        <w:spacing w:line="400" w:lineRule="exact"/>
        <w:ind w:firstLine="482" w:firstLineChars="200"/>
        <w:rPr>
          <w:rFonts w:ascii="仿宋" w:hAnsi="仿宋"/>
          <w:bCs w:val="0"/>
          <w:sz w:val="24"/>
          <w:szCs w:val="24"/>
        </w:rPr>
      </w:pPr>
      <w:bookmarkStart w:id="367" w:name="_Toc86702022"/>
      <w:r>
        <w:rPr>
          <w:rFonts w:hint="eastAsia" w:ascii="仿宋" w:hAnsi="仿宋"/>
          <w:bCs w:val="0"/>
          <w:sz w:val="24"/>
          <w:szCs w:val="24"/>
        </w:rPr>
        <w:t>4</w:t>
      </w:r>
      <w:r>
        <w:rPr>
          <w:rFonts w:hint="eastAsia" w:ascii="仿宋" w:hAnsi="仿宋"/>
          <w:sz w:val="24"/>
        </w:rPr>
        <w:t>．</w:t>
      </w:r>
      <w:r>
        <w:rPr>
          <w:rFonts w:hint="eastAsia" w:ascii="仿宋" w:hAnsi="仿宋"/>
          <w:bCs w:val="0"/>
          <w:sz w:val="24"/>
          <w:szCs w:val="24"/>
        </w:rPr>
        <w:t>评标细则及标准</w:t>
      </w:r>
      <w:bookmarkEnd w:id="364"/>
      <w:bookmarkEnd w:id="367"/>
    </w:p>
    <w:p>
      <w:pPr>
        <w:spacing w:line="400" w:lineRule="exact"/>
        <w:ind w:firstLine="480" w:firstLineChars="200"/>
        <w:rPr>
          <w:rFonts w:ascii="仿宋" w:hAnsi="仿宋"/>
        </w:rPr>
      </w:pPr>
      <w:r>
        <w:rPr>
          <w:rFonts w:hint="eastAsia" w:ascii="仿宋" w:hAnsi="仿宋"/>
        </w:rPr>
        <w:t>4.1本项目采用综合评分法，评分因素详见综合评分明细表。</w:t>
      </w:r>
    </w:p>
    <w:p>
      <w:pPr>
        <w:pStyle w:val="83"/>
        <w:ind w:firstLine="480" w:firstLineChars="200"/>
        <w:jc w:val="both"/>
        <w:rPr>
          <w:rFonts w:ascii="仿宋" w:hAnsi="仿宋" w:eastAsia="仿宋"/>
        </w:rPr>
      </w:pPr>
      <w:r>
        <w:rPr>
          <w:rFonts w:hint="eastAsia" w:ascii="仿宋" w:hAnsi="仿宋" w:eastAsia="仿宋"/>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4"/>
        <w:tabs>
          <w:tab w:val="left" w:pos="600"/>
        </w:tabs>
        <w:spacing w:line="400" w:lineRule="exact"/>
        <w:ind w:left="480"/>
        <w:rPr>
          <w:rFonts w:ascii="仿宋" w:hAnsi="仿宋"/>
        </w:rPr>
      </w:pPr>
      <w:r>
        <w:rPr>
          <w:rFonts w:hint="eastAsia" w:ascii="仿宋" w:hAnsi="仿宋"/>
        </w:rPr>
        <w:t>4.3综合评分明细表</w:t>
      </w:r>
    </w:p>
    <w:p>
      <w:pPr>
        <w:pStyle w:val="14"/>
        <w:tabs>
          <w:tab w:val="left" w:pos="600"/>
        </w:tabs>
        <w:spacing w:line="400" w:lineRule="exact"/>
        <w:ind w:left="480"/>
        <w:rPr>
          <w:rFonts w:ascii="仿宋" w:hAnsi="仿宋"/>
        </w:rPr>
      </w:pPr>
      <w:r>
        <w:rPr>
          <w:rFonts w:hint="eastAsia" w:ascii="仿宋" w:hAnsi="仿宋"/>
        </w:rPr>
        <w:t>4.3.1综合评分明细表的制定以科学合理、降低评委会自由裁量权为原则。</w:t>
      </w:r>
    </w:p>
    <w:p>
      <w:pPr>
        <w:widowControl/>
        <w:ind w:firstLine="480" w:firstLineChars="200"/>
        <w:rPr>
          <w:rFonts w:ascii="仿宋" w:hAnsi="仿宋"/>
        </w:rPr>
      </w:pPr>
      <w:r>
        <w:rPr>
          <w:rFonts w:hint="eastAsia" w:ascii="仿宋" w:hAnsi="仿宋"/>
        </w:rPr>
        <w:t>4.3.2 综合评分明细表按须知表中的相关要求进行价格调整，再参与价格分评审。</w:t>
      </w:r>
    </w:p>
    <w:p>
      <w:pPr>
        <w:pStyle w:val="14"/>
        <w:tabs>
          <w:tab w:val="left" w:pos="600"/>
        </w:tabs>
        <w:spacing w:line="400" w:lineRule="exact"/>
        <w:ind w:left="480"/>
        <w:rPr>
          <w:rFonts w:ascii="仿宋" w:hAnsi="仿宋"/>
        </w:rPr>
      </w:pPr>
      <w:r>
        <w:rPr>
          <w:rFonts w:hint="eastAsia" w:ascii="仿宋" w:hAnsi="仿宋"/>
        </w:rPr>
        <w:t>4.3.3综合评分明细表</w:t>
      </w:r>
    </w:p>
    <w:p>
      <w:pPr>
        <w:pStyle w:val="14"/>
        <w:tabs>
          <w:tab w:val="left" w:pos="600"/>
        </w:tabs>
        <w:spacing w:line="400" w:lineRule="exact"/>
        <w:ind w:left="480"/>
        <w:rPr>
          <w:rFonts w:ascii="仿宋" w:hAnsi="仿宋"/>
          <w:b/>
          <w:bCs/>
          <w:sz w:val="28"/>
          <w:szCs w:val="28"/>
        </w:rPr>
      </w:pPr>
      <w:r>
        <w:rPr>
          <w:rFonts w:hint="eastAsia" w:ascii="仿宋" w:hAnsi="仿宋"/>
          <w:b/>
          <w:bCs/>
          <w:sz w:val="28"/>
          <w:szCs w:val="28"/>
        </w:rPr>
        <w:t>包1：</w:t>
      </w:r>
    </w:p>
    <w:tbl>
      <w:tblPr>
        <w:tblStyle w:val="35"/>
        <w:tblW w:w="86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990"/>
        <w:gridCol w:w="690"/>
        <w:gridCol w:w="3990"/>
        <w:gridCol w:w="1155"/>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cs="仿宋"/>
              </w:rPr>
            </w:pPr>
            <w:r>
              <w:rPr>
                <w:rFonts w:hint="eastAsia" w:ascii="仿宋" w:hAnsi="仿宋" w:cs="仿宋"/>
              </w:rPr>
              <w:t>序号</w:t>
            </w:r>
          </w:p>
        </w:tc>
        <w:tc>
          <w:tcPr>
            <w:tcW w:w="990" w:type="dxa"/>
            <w:vAlign w:val="center"/>
          </w:tcPr>
          <w:p>
            <w:pPr>
              <w:spacing w:line="400" w:lineRule="exact"/>
              <w:ind w:firstLine="28"/>
              <w:jc w:val="center"/>
              <w:rPr>
                <w:rFonts w:ascii="仿宋" w:hAnsi="仿宋" w:cs="仿宋"/>
              </w:rPr>
            </w:pPr>
            <w:r>
              <w:rPr>
                <w:rFonts w:hint="eastAsia" w:ascii="仿宋" w:hAnsi="仿宋" w:cs="仿宋"/>
              </w:rPr>
              <w:t>评分因素及权重</w:t>
            </w:r>
          </w:p>
        </w:tc>
        <w:tc>
          <w:tcPr>
            <w:tcW w:w="690" w:type="dxa"/>
            <w:vAlign w:val="center"/>
          </w:tcPr>
          <w:p>
            <w:pPr>
              <w:spacing w:line="400" w:lineRule="exact"/>
              <w:ind w:firstLine="28"/>
              <w:jc w:val="center"/>
              <w:rPr>
                <w:rFonts w:ascii="仿宋" w:hAnsi="仿宋" w:cs="仿宋"/>
              </w:rPr>
            </w:pPr>
            <w:r>
              <w:rPr>
                <w:rFonts w:hint="eastAsia" w:ascii="仿宋" w:hAnsi="仿宋" w:cs="仿宋"/>
              </w:rPr>
              <w:t>分值</w:t>
            </w:r>
          </w:p>
        </w:tc>
        <w:tc>
          <w:tcPr>
            <w:tcW w:w="3990" w:type="dxa"/>
            <w:vAlign w:val="center"/>
          </w:tcPr>
          <w:p>
            <w:pPr>
              <w:spacing w:line="400" w:lineRule="exact"/>
              <w:ind w:firstLine="28"/>
              <w:jc w:val="center"/>
              <w:rPr>
                <w:rFonts w:ascii="仿宋" w:hAnsi="仿宋" w:cs="仿宋"/>
              </w:rPr>
            </w:pPr>
            <w:r>
              <w:rPr>
                <w:rFonts w:hint="eastAsia" w:ascii="仿宋" w:hAnsi="仿宋" w:cs="仿宋"/>
              </w:rPr>
              <w:t>评分标准</w:t>
            </w:r>
          </w:p>
        </w:tc>
        <w:tc>
          <w:tcPr>
            <w:tcW w:w="1155" w:type="dxa"/>
            <w:vAlign w:val="center"/>
          </w:tcPr>
          <w:p>
            <w:pPr>
              <w:spacing w:line="400" w:lineRule="exact"/>
              <w:jc w:val="center"/>
              <w:rPr>
                <w:rFonts w:ascii="仿宋" w:hAnsi="仿宋" w:cs="仿宋"/>
              </w:rPr>
            </w:pPr>
            <w:r>
              <w:rPr>
                <w:rFonts w:hint="eastAsia" w:ascii="仿宋" w:hAnsi="仿宋" w:cs="仿宋"/>
              </w:rPr>
              <w:t>说明</w:t>
            </w:r>
          </w:p>
        </w:tc>
        <w:tc>
          <w:tcPr>
            <w:tcW w:w="1286" w:type="dxa"/>
            <w:vAlign w:val="center"/>
          </w:tcPr>
          <w:p>
            <w:pPr>
              <w:spacing w:line="400" w:lineRule="exact"/>
              <w:jc w:val="center"/>
              <w:rPr>
                <w:rFonts w:ascii="仿宋" w:hAnsi="仿宋" w:cs="仿宋"/>
              </w:rPr>
            </w:pPr>
            <w:r>
              <w:rPr>
                <w:rFonts w:hint="eastAsia" w:ascii="仿宋" w:hAnsi="仿宋" w:cs="仿宋"/>
              </w:rPr>
              <w:t>评审分类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cs="仿宋"/>
              </w:rPr>
            </w:pPr>
            <w:r>
              <w:rPr>
                <w:rFonts w:hint="eastAsia" w:ascii="仿宋" w:hAnsi="仿宋" w:cs="仿宋"/>
              </w:rPr>
              <w:t>1</w:t>
            </w:r>
          </w:p>
        </w:tc>
        <w:tc>
          <w:tcPr>
            <w:tcW w:w="990" w:type="dxa"/>
            <w:vAlign w:val="center"/>
          </w:tcPr>
          <w:p>
            <w:pPr>
              <w:rPr>
                <w:rFonts w:ascii="仿宋" w:hAnsi="仿宋" w:cs="仿宋"/>
              </w:rPr>
            </w:pPr>
            <w:r>
              <w:rPr>
                <w:rFonts w:hint="eastAsia" w:ascii="仿宋" w:hAnsi="仿宋" w:cs="仿宋"/>
              </w:rPr>
              <w:t>报价30%</w:t>
            </w:r>
          </w:p>
          <w:p>
            <w:pPr>
              <w:rPr>
                <w:rFonts w:ascii="仿宋" w:hAnsi="仿宋" w:cs="仿宋"/>
              </w:rPr>
            </w:pPr>
          </w:p>
        </w:tc>
        <w:tc>
          <w:tcPr>
            <w:tcW w:w="690" w:type="dxa"/>
            <w:vAlign w:val="center"/>
          </w:tcPr>
          <w:p>
            <w:pPr>
              <w:rPr>
                <w:rFonts w:ascii="仿宋" w:hAnsi="仿宋" w:cs="仿宋"/>
              </w:rPr>
            </w:pPr>
            <w:r>
              <w:rPr>
                <w:rFonts w:hint="eastAsia" w:ascii="仿宋" w:hAnsi="仿宋" w:cs="仿宋"/>
              </w:rPr>
              <w:t>30分</w:t>
            </w:r>
          </w:p>
        </w:tc>
        <w:tc>
          <w:tcPr>
            <w:tcW w:w="3990" w:type="dxa"/>
            <w:vAlign w:val="center"/>
          </w:tcPr>
          <w:p>
            <w:pPr>
              <w:rPr>
                <w:rFonts w:ascii="仿宋" w:hAnsi="仿宋" w:cs="仿宋"/>
              </w:rPr>
            </w:pPr>
            <w:r>
              <w:rPr>
                <w:rFonts w:hint="eastAsia" w:ascii="仿宋" w:hAnsi="仿宋" w:cs="仿宋"/>
              </w:rPr>
              <w:t>满足招标文件要求且投标价格最低的报价为基准价，其价格分为满分。其他供应商的价格分统一按照下列公式计算：报价得分=(基准价／报价)×30</w:t>
            </w:r>
          </w:p>
        </w:tc>
        <w:tc>
          <w:tcPr>
            <w:tcW w:w="1155" w:type="dxa"/>
            <w:vAlign w:val="center"/>
          </w:tcPr>
          <w:p>
            <w:pPr>
              <w:jc w:val="center"/>
              <w:rPr>
                <w:rFonts w:ascii="仿宋" w:hAnsi="仿宋" w:cs="仿宋"/>
              </w:rPr>
            </w:pPr>
            <w:r>
              <w:rPr>
                <w:rFonts w:hint="eastAsia" w:ascii="仿宋" w:hAnsi="仿宋" w:cs="仿宋"/>
              </w:rPr>
              <w:t>/</w:t>
            </w:r>
          </w:p>
        </w:tc>
        <w:tc>
          <w:tcPr>
            <w:tcW w:w="1286" w:type="dxa"/>
            <w:vAlign w:val="center"/>
          </w:tcPr>
          <w:p>
            <w:pPr>
              <w:rPr>
                <w:rFonts w:ascii="仿宋" w:hAnsi="仿宋" w:cs="仿宋"/>
              </w:rPr>
            </w:pPr>
            <w:r>
              <w:rPr>
                <w:rFonts w:hint="eastAsia" w:ascii="仿宋" w:hAnsi="仿宋" w:cs="仿宋"/>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7" w:type="dxa"/>
            <w:vAlign w:val="center"/>
          </w:tcPr>
          <w:p>
            <w:pPr>
              <w:spacing w:line="400" w:lineRule="exact"/>
              <w:ind w:firstLine="28"/>
              <w:jc w:val="center"/>
              <w:rPr>
                <w:rFonts w:ascii="仿宋" w:hAnsi="仿宋" w:cs="仿宋"/>
              </w:rPr>
            </w:pPr>
            <w:r>
              <w:rPr>
                <w:rFonts w:hint="eastAsia" w:ascii="仿宋" w:hAnsi="仿宋" w:cs="仿宋"/>
              </w:rPr>
              <w:t>2</w:t>
            </w:r>
          </w:p>
        </w:tc>
        <w:tc>
          <w:tcPr>
            <w:tcW w:w="990" w:type="dxa"/>
            <w:vAlign w:val="center"/>
          </w:tcPr>
          <w:p>
            <w:pPr>
              <w:rPr>
                <w:rFonts w:ascii="仿宋" w:hAnsi="仿宋" w:cs="仿宋"/>
              </w:rPr>
            </w:pPr>
            <w:r>
              <w:rPr>
                <w:rFonts w:hint="eastAsia" w:ascii="仿宋" w:hAnsi="仿宋" w:cs="仿宋"/>
              </w:rPr>
              <w:t>技术、服务要求40%</w:t>
            </w:r>
          </w:p>
          <w:p>
            <w:pPr>
              <w:rPr>
                <w:rFonts w:ascii="仿宋" w:hAnsi="仿宋" w:cs="仿宋"/>
              </w:rPr>
            </w:pPr>
          </w:p>
        </w:tc>
        <w:tc>
          <w:tcPr>
            <w:tcW w:w="690" w:type="dxa"/>
            <w:vAlign w:val="center"/>
          </w:tcPr>
          <w:p>
            <w:pPr>
              <w:rPr>
                <w:rFonts w:ascii="仿宋" w:hAnsi="仿宋" w:cs="仿宋"/>
              </w:rPr>
            </w:pPr>
            <w:r>
              <w:rPr>
                <w:rFonts w:hint="eastAsia" w:ascii="仿宋" w:hAnsi="仿宋" w:cs="仿宋"/>
              </w:rPr>
              <w:t>40分</w:t>
            </w:r>
          </w:p>
        </w:tc>
        <w:tc>
          <w:tcPr>
            <w:tcW w:w="3990" w:type="dxa"/>
            <w:vAlign w:val="center"/>
          </w:tcPr>
          <w:p>
            <w:pPr>
              <w:autoSpaceDN w:val="0"/>
              <w:spacing w:line="240" w:lineRule="auto"/>
              <w:rPr>
                <w:rFonts w:ascii="仿宋" w:hAnsi="仿宋" w:cs="仿宋"/>
              </w:rPr>
            </w:pPr>
            <w:r>
              <w:rPr>
                <w:rFonts w:hint="eastAsia" w:ascii="仿宋" w:hAnsi="仿宋" w:cs="仿宋"/>
              </w:rPr>
              <w:t>投标人针对招标文件第六章“三、</w:t>
            </w:r>
            <w:r>
              <w:rPr>
                <w:rFonts w:hint="eastAsia" w:ascii="仿宋" w:hAnsi="仿宋" w:cs="仿宋"/>
                <w:bCs/>
              </w:rPr>
              <w:t>技术服务要求</w:t>
            </w:r>
            <w:r>
              <w:rPr>
                <w:rFonts w:hint="eastAsia" w:ascii="仿宋" w:hAnsi="仿宋" w:cs="仿宋"/>
              </w:rPr>
              <w:t>”条款的响应得分为A+B：</w:t>
            </w:r>
          </w:p>
          <w:p>
            <w:pPr>
              <w:autoSpaceDN w:val="0"/>
              <w:spacing w:line="240" w:lineRule="auto"/>
              <w:rPr>
                <w:rFonts w:ascii="仿宋" w:hAnsi="仿宋" w:cs="仿宋"/>
              </w:rPr>
            </w:pPr>
            <w:r>
              <w:rPr>
                <w:rFonts w:hint="eastAsia" w:ascii="仿宋" w:hAnsi="仿宋" w:cs="仿宋"/>
              </w:rPr>
              <w:t>A.一般条款响应得分=（投标人满足一般条款的数量÷一般条款的总数量共59条）×20分。</w:t>
            </w:r>
          </w:p>
          <w:p>
            <w:pPr>
              <w:autoSpaceDN w:val="0"/>
              <w:spacing w:line="240" w:lineRule="auto"/>
              <w:rPr>
                <w:rFonts w:ascii="仿宋" w:hAnsi="仿宋" w:cs="仿宋"/>
              </w:rPr>
            </w:pPr>
            <w:r>
              <w:rPr>
                <w:rFonts w:hint="eastAsia" w:ascii="仿宋" w:hAnsi="仿宋" w:cs="仿宋"/>
              </w:rPr>
              <w:t>B.“▲”条款响应得分=（投标人满足“▲”条款的数量÷“▲”条款的总数量共7条）×20分。</w:t>
            </w:r>
          </w:p>
          <w:p>
            <w:pPr>
              <w:autoSpaceDN w:val="0"/>
              <w:spacing w:line="240" w:lineRule="auto"/>
              <w:rPr>
                <w:rFonts w:ascii="仿宋" w:hAnsi="仿宋" w:cs="仿宋"/>
              </w:rPr>
            </w:pPr>
          </w:p>
          <w:p>
            <w:pPr>
              <w:rPr>
                <w:rFonts w:ascii="仿宋" w:hAnsi="仿宋" w:cs="仿宋"/>
              </w:rPr>
            </w:pPr>
            <w:r>
              <w:rPr>
                <w:rFonts w:hint="eastAsia" w:ascii="仿宋" w:hAnsi="仿宋" w:cs="仿宋"/>
              </w:rPr>
              <w:t>注：①一般条款指未标注“★”或“▲”的条款。②“★”条款是本项目的实质性要求，投标人未全部满足的按照无效投标处理，不再用于打分。</w:t>
            </w:r>
          </w:p>
          <w:p>
            <w:pPr>
              <w:rPr>
                <w:rFonts w:ascii="仿宋" w:hAnsi="仿宋" w:cs="仿宋"/>
              </w:rPr>
            </w:pPr>
          </w:p>
        </w:tc>
        <w:tc>
          <w:tcPr>
            <w:tcW w:w="1155" w:type="dxa"/>
            <w:vAlign w:val="center"/>
          </w:tcPr>
          <w:p>
            <w:pPr>
              <w:jc w:val="center"/>
              <w:rPr>
                <w:rFonts w:ascii="仿宋" w:hAnsi="仿宋" w:cs="仿宋"/>
              </w:rPr>
            </w:pPr>
          </w:p>
        </w:tc>
        <w:tc>
          <w:tcPr>
            <w:tcW w:w="1286" w:type="dxa"/>
            <w:vAlign w:val="center"/>
          </w:tcPr>
          <w:p>
            <w:pPr>
              <w:spacing w:line="240" w:lineRule="auto"/>
              <w:rPr>
                <w:rFonts w:ascii="仿宋" w:hAnsi="仿宋" w:cs="仿宋"/>
              </w:rPr>
            </w:pPr>
            <w:r>
              <w:rPr>
                <w:rFonts w:hint="eastAsia" w:ascii="仿宋" w:hAnsi="仿宋" w:cs="仿宋"/>
              </w:rPr>
              <w:t>技术类评分因素</w:t>
            </w:r>
          </w:p>
          <w:p>
            <w:pPr>
              <w:rPr>
                <w:rFonts w:ascii="仿宋" w:hAnsi="仿宋" w:cs="仿宋"/>
              </w:rPr>
            </w:pPr>
            <w:r>
              <w:rPr>
                <w:rFonts w:hint="eastAsia" w:ascii="仿宋" w:hAnsi="仿宋" w:cs="仿宋"/>
              </w:rPr>
              <w:t>(投标人须认真核实所有技术支持资料，并对其在投标文件中提供的技术支持资料的真实性负责，并承担由此带来的一切法律责任和后果。）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cs="仿宋"/>
              </w:rPr>
            </w:pPr>
            <w:r>
              <w:rPr>
                <w:rFonts w:hint="eastAsia" w:ascii="仿宋" w:hAnsi="仿宋" w:cs="仿宋"/>
              </w:rPr>
              <w:t>3</w:t>
            </w:r>
          </w:p>
        </w:tc>
        <w:tc>
          <w:tcPr>
            <w:tcW w:w="990" w:type="dxa"/>
            <w:vAlign w:val="center"/>
          </w:tcPr>
          <w:p>
            <w:pPr>
              <w:rPr>
                <w:rFonts w:ascii="仿宋" w:hAnsi="仿宋" w:cs="仿宋"/>
              </w:rPr>
            </w:pPr>
            <w:r>
              <w:rPr>
                <w:rFonts w:hint="eastAsia" w:ascii="仿宋" w:hAnsi="仿宋" w:cs="仿宋"/>
              </w:rPr>
              <w:t>整体方案设计9%</w:t>
            </w:r>
          </w:p>
        </w:tc>
        <w:tc>
          <w:tcPr>
            <w:tcW w:w="690" w:type="dxa"/>
            <w:vAlign w:val="center"/>
          </w:tcPr>
          <w:p>
            <w:pPr>
              <w:rPr>
                <w:rFonts w:ascii="仿宋" w:hAnsi="仿宋" w:cs="仿宋"/>
              </w:rPr>
            </w:pPr>
            <w:r>
              <w:rPr>
                <w:rFonts w:hint="eastAsia" w:ascii="仿宋" w:hAnsi="仿宋" w:cs="仿宋"/>
              </w:rPr>
              <w:t>9分</w:t>
            </w:r>
          </w:p>
        </w:tc>
        <w:tc>
          <w:tcPr>
            <w:tcW w:w="3990" w:type="dxa"/>
            <w:vAlign w:val="center"/>
          </w:tcPr>
          <w:p>
            <w:pPr>
              <w:rPr>
                <w:rFonts w:ascii="仿宋" w:hAnsi="仿宋" w:cs="仿宋"/>
              </w:rPr>
            </w:pPr>
            <w:r>
              <w:rPr>
                <w:rFonts w:hint="eastAsia" w:ascii="仿宋" w:hAnsi="仿宋" w:cs="仿宋"/>
              </w:rPr>
              <w:t>投标人根据医院重症科室情况及医院信息化建设实际情况，制定本项目整体解决方案。方案内容需包括：①建设目标，②临床应用功能，③院内其他系统集成及等</w:t>
            </w:r>
            <w:r>
              <w:rPr>
                <w:rFonts w:hint="eastAsia" w:ascii="仿宋" w:hAnsi="仿宋" w:cs="仿宋"/>
                <w:lang w:val="en-US" w:eastAsia="zh-CN"/>
              </w:rPr>
              <w:t>方案</w:t>
            </w:r>
            <w:r>
              <w:rPr>
                <w:rFonts w:hint="eastAsia" w:ascii="仿宋" w:hAnsi="仿宋" w:cs="仿宋"/>
              </w:rPr>
              <w:t>。</w:t>
            </w:r>
          </w:p>
          <w:p>
            <w:pPr>
              <w:rPr>
                <w:rFonts w:ascii="仿宋" w:hAnsi="仿宋" w:cs="仿宋"/>
              </w:rPr>
            </w:pPr>
            <w:r>
              <w:rPr>
                <w:rFonts w:hint="eastAsia" w:ascii="仿宋" w:hAnsi="仿宋" w:cs="仿宋"/>
              </w:rPr>
              <w:t>以上3项内容齐全，且同时满足：内容充分、逻辑严谨、符合项目及当地实际情况的得9分。每缺少一个内容的扣3分，9分扣完为止；内容描述存在内容不充分、前后矛盾、不符合项目及当地实际情况中任何一种情形或其他不足之处的，每有一处扣1分，每项最多扣3分，9分扣完为止。</w:t>
            </w:r>
          </w:p>
          <w:p>
            <w:pPr>
              <w:rPr>
                <w:rFonts w:ascii="仿宋" w:hAnsi="仿宋" w:cs="仿宋"/>
              </w:rPr>
            </w:pPr>
            <w:r>
              <w:rPr>
                <w:rFonts w:hint="eastAsia" w:ascii="仿宋" w:hAnsi="仿宋" w:cs="仿宋"/>
              </w:rPr>
              <w:t>（注：其他不足之处是指内容套用或错用、凭空编造、科学原理错误以及不可能实现的夸大情形等。）</w:t>
            </w:r>
          </w:p>
        </w:tc>
        <w:tc>
          <w:tcPr>
            <w:tcW w:w="1155" w:type="dxa"/>
            <w:vAlign w:val="center"/>
          </w:tcPr>
          <w:p>
            <w:pPr>
              <w:rPr>
                <w:rFonts w:ascii="仿宋" w:hAnsi="仿宋" w:cs="仿宋"/>
              </w:rPr>
            </w:pPr>
            <w:r>
              <w:rPr>
                <w:rFonts w:hint="eastAsia" w:ascii="仿宋" w:hAnsi="仿宋" w:cs="仿宋"/>
              </w:rPr>
              <w:t>/</w:t>
            </w:r>
          </w:p>
        </w:tc>
        <w:tc>
          <w:tcPr>
            <w:tcW w:w="1286" w:type="dxa"/>
            <w:vAlign w:val="center"/>
          </w:tcPr>
          <w:p>
            <w:pPr>
              <w:spacing w:line="240" w:lineRule="auto"/>
              <w:rPr>
                <w:rFonts w:ascii="仿宋" w:hAnsi="仿宋" w:cs="仿宋"/>
              </w:rPr>
            </w:pPr>
            <w:r>
              <w:rPr>
                <w:rFonts w:hint="eastAsia" w:ascii="仿宋" w:hAnsi="仿宋" w:cs="仿宋"/>
              </w:rPr>
              <w:t>技术类评分因素</w:t>
            </w:r>
          </w:p>
          <w:p>
            <w:pPr>
              <w:rPr>
                <w:rFonts w:ascii="仿宋" w:hAnsi="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hint="eastAsia" w:ascii="仿宋" w:hAnsi="仿宋" w:eastAsia="仿宋" w:cs="仿宋"/>
                <w:lang w:eastAsia="zh-CN"/>
              </w:rPr>
            </w:pPr>
            <w:r>
              <w:rPr>
                <w:rFonts w:hint="eastAsia" w:ascii="仿宋" w:hAnsi="仿宋" w:cs="仿宋"/>
                <w:lang w:val="en-US" w:eastAsia="zh-CN"/>
              </w:rPr>
              <w:t>4</w:t>
            </w:r>
          </w:p>
        </w:tc>
        <w:tc>
          <w:tcPr>
            <w:tcW w:w="990" w:type="dxa"/>
            <w:vAlign w:val="center"/>
          </w:tcPr>
          <w:p>
            <w:pPr>
              <w:rPr>
                <w:rFonts w:ascii="仿宋" w:hAnsi="仿宋" w:cs="仿宋"/>
              </w:rPr>
            </w:pPr>
            <w:r>
              <w:rPr>
                <w:rFonts w:hint="eastAsia" w:ascii="仿宋" w:hAnsi="仿宋" w:cs="仿宋"/>
              </w:rPr>
              <w:t>重症监护信化息系统数据科研</w:t>
            </w:r>
            <w:r>
              <w:rPr>
                <w:rFonts w:hint="eastAsia" w:ascii="仿宋" w:hAnsi="仿宋" w:cs="仿宋"/>
                <w:sz w:val="21"/>
                <w:szCs w:val="21"/>
              </w:rPr>
              <w:t>实践论文证明10%</w:t>
            </w:r>
          </w:p>
        </w:tc>
        <w:tc>
          <w:tcPr>
            <w:tcW w:w="690" w:type="dxa"/>
            <w:vAlign w:val="center"/>
          </w:tcPr>
          <w:p>
            <w:pPr>
              <w:rPr>
                <w:rFonts w:ascii="仿宋" w:hAnsi="仿宋" w:cs="仿宋"/>
              </w:rPr>
            </w:pPr>
            <w:r>
              <w:rPr>
                <w:rFonts w:hint="eastAsia" w:ascii="仿宋" w:hAnsi="仿宋" w:cs="仿宋"/>
              </w:rPr>
              <w:t>10分</w:t>
            </w:r>
          </w:p>
        </w:tc>
        <w:tc>
          <w:tcPr>
            <w:tcW w:w="3990" w:type="dxa"/>
            <w:vAlign w:val="center"/>
          </w:tcPr>
          <w:p>
            <w:pPr>
              <w:rPr>
                <w:rFonts w:ascii="仿宋" w:hAnsi="仿宋" w:cs="仿宋"/>
              </w:rPr>
            </w:pPr>
            <w:r>
              <w:rPr>
                <w:rFonts w:hint="eastAsia" w:ascii="仿宋" w:hAnsi="仿宋" w:cs="仿宋"/>
              </w:rPr>
              <w:t>重症监护信息化系统所产生的数据发表在影响因子≥20分的SCI医学核心期刊</w:t>
            </w:r>
            <w:r>
              <w:rPr>
                <w:rFonts w:hint="eastAsia" w:ascii="仿宋" w:hAnsi="仿宋" w:cs="仿宋"/>
                <w:lang w:val="en-US" w:eastAsia="zh-CN"/>
              </w:rPr>
              <w:t>的</w:t>
            </w:r>
            <w:r>
              <w:rPr>
                <w:rFonts w:hint="eastAsia" w:ascii="仿宋" w:hAnsi="仿宋" w:cs="仿宋"/>
              </w:rPr>
              <w:t>，</w:t>
            </w:r>
            <w:r>
              <w:rPr>
                <w:rFonts w:hint="eastAsia" w:ascii="仿宋" w:hAnsi="仿宋" w:cs="仿宋"/>
                <w:lang w:val="en-US" w:eastAsia="zh-CN"/>
              </w:rPr>
              <w:t>每发表一篇得5分</w:t>
            </w:r>
            <w:r>
              <w:rPr>
                <w:rFonts w:hint="eastAsia" w:ascii="仿宋" w:hAnsi="仿宋" w:cs="仿宋"/>
              </w:rPr>
              <w:t>，</w:t>
            </w:r>
            <w:r>
              <w:rPr>
                <w:rFonts w:hint="eastAsia" w:ascii="仿宋" w:hAnsi="仿宋" w:cs="仿宋"/>
                <w:lang w:val="en-US" w:eastAsia="zh-CN"/>
              </w:rPr>
              <w:t>本项最多得</w:t>
            </w:r>
            <w:r>
              <w:rPr>
                <w:rFonts w:hint="eastAsia" w:ascii="仿宋" w:hAnsi="仿宋" w:cs="仿宋"/>
              </w:rPr>
              <w:t>10分。（需提供英文文献证明材料复印件及影响因子证明材料</w:t>
            </w:r>
            <w:r>
              <w:rPr>
                <w:rFonts w:hint="eastAsia" w:ascii="仿宋" w:hAnsi="仿宋" w:cs="仿宋"/>
                <w:lang w:eastAsia="zh-CN"/>
              </w:rPr>
              <w:t>，主要部分对应翻译成中文并加盖投标人公章后附在</w:t>
            </w:r>
            <w:r>
              <w:rPr>
                <w:rFonts w:hint="eastAsia" w:ascii="仿宋" w:hAnsi="仿宋" w:cs="仿宋"/>
                <w:lang w:val="en-US" w:eastAsia="zh-CN"/>
              </w:rPr>
              <w:t>英</w:t>
            </w:r>
            <w:r>
              <w:rPr>
                <w:rFonts w:hint="eastAsia" w:ascii="仿宋" w:hAnsi="仿宋" w:cs="仿宋"/>
                <w:lang w:eastAsia="zh-CN"/>
              </w:rPr>
              <w:t>文资料后面</w:t>
            </w:r>
            <w:r>
              <w:rPr>
                <w:rFonts w:hint="eastAsia" w:ascii="仿宋" w:hAnsi="仿宋" w:cs="仿宋"/>
              </w:rPr>
              <w:t>。）</w:t>
            </w:r>
          </w:p>
        </w:tc>
        <w:tc>
          <w:tcPr>
            <w:tcW w:w="1155" w:type="dxa"/>
            <w:vAlign w:val="center"/>
          </w:tcPr>
          <w:p>
            <w:pPr>
              <w:rPr>
                <w:rFonts w:ascii="仿宋" w:hAnsi="仿宋" w:cs="仿宋"/>
              </w:rPr>
            </w:pPr>
            <w:r>
              <w:rPr>
                <w:rFonts w:hint="eastAsia" w:ascii="仿宋" w:hAnsi="仿宋" w:cs="仿宋"/>
              </w:rPr>
              <w:t>/</w:t>
            </w:r>
          </w:p>
        </w:tc>
        <w:tc>
          <w:tcPr>
            <w:tcW w:w="1286" w:type="dxa"/>
            <w:vAlign w:val="center"/>
          </w:tcPr>
          <w:p>
            <w:pPr>
              <w:rPr>
                <w:rFonts w:ascii="仿宋" w:hAnsi="仿宋" w:cs="仿宋"/>
              </w:rPr>
            </w:pPr>
            <w:r>
              <w:rPr>
                <w:rFonts w:hint="eastAsia" w:ascii="仿宋" w:hAnsi="仿宋" w:cs="仿宋"/>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0" w:hRule="atLeast"/>
        </w:trPr>
        <w:tc>
          <w:tcPr>
            <w:tcW w:w="577" w:type="dxa"/>
            <w:vAlign w:val="center"/>
          </w:tcPr>
          <w:p>
            <w:pPr>
              <w:spacing w:line="400" w:lineRule="exact"/>
              <w:ind w:firstLine="28"/>
              <w:jc w:val="center"/>
              <w:rPr>
                <w:rFonts w:hint="eastAsia" w:ascii="仿宋" w:hAnsi="仿宋" w:eastAsia="仿宋" w:cs="仿宋"/>
                <w:lang w:eastAsia="zh-CN"/>
              </w:rPr>
            </w:pPr>
            <w:r>
              <w:rPr>
                <w:rFonts w:hint="eastAsia" w:ascii="仿宋" w:hAnsi="仿宋" w:cs="仿宋"/>
                <w:lang w:val="en-US" w:eastAsia="zh-CN"/>
              </w:rPr>
              <w:t>5</w:t>
            </w:r>
          </w:p>
        </w:tc>
        <w:tc>
          <w:tcPr>
            <w:tcW w:w="990" w:type="dxa"/>
            <w:vAlign w:val="center"/>
          </w:tcPr>
          <w:p>
            <w:pPr>
              <w:rPr>
                <w:rFonts w:ascii="仿宋" w:hAnsi="仿宋" w:cs="仿宋"/>
              </w:rPr>
            </w:pPr>
            <w:r>
              <w:rPr>
                <w:rFonts w:hint="eastAsia" w:ascii="仿宋" w:hAnsi="仿宋" w:cs="仿宋"/>
                <w:kern w:val="0"/>
              </w:rPr>
              <w:t>投标人实力1%</w:t>
            </w:r>
          </w:p>
        </w:tc>
        <w:tc>
          <w:tcPr>
            <w:tcW w:w="690" w:type="dxa"/>
            <w:vAlign w:val="center"/>
          </w:tcPr>
          <w:p>
            <w:pPr>
              <w:rPr>
                <w:rFonts w:ascii="仿宋" w:hAnsi="仿宋" w:cs="仿宋"/>
              </w:rPr>
            </w:pPr>
            <w:r>
              <w:rPr>
                <w:rFonts w:hint="eastAsia" w:ascii="仿宋" w:hAnsi="仿宋" w:cs="仿宋"/>
              </w:rPr>
              <w:t>1分</w:t>
            </w:r>
          </w:p>
        </w:tc>
        <w:tc>
          <w:tcPr>
            <w:tcW w:w="3990" w:type="dxa"/>
            <w:vAlign w:val="center"/>
          </w:tcPr>
          <w:p>
            <w:pPr>
              <w:rPr>
                <w:rFonts w:ascii="仿宋" w:hAnsi="仿宋" w:cs="仿宋"/>
              </w:rPr>
            </w:pPr>
            <w:r>
              <w:rPr>
                <w:rFonts w:hint="eastAsia" w:ascii="仿宋" w:hAnsi="仿宋" w:cs="仿宋"/>
              </w:rPr>
              <w:t>重症临床信息管理系统投标人具备有效的质量管理体系的得1分，否则不得分。</w:t>
            </w:r>
          </w:p>
        </w:tc>
        <w:tc>
          <w:tcPr>
            <w:tcW w:w="1155" w:type="dxa"/>
            <w:vAlign w:val="center"/>
          </w:tcPr>
          <w:p>
            <w:pPr>
              <w:rPr>
                <w:rFonts w:ascii="仿宋" w:hAnsi="仿宋" w:cs="仿宋"/>
              </w:rPr>
            </w:pPr>
            <w:r>
              <w:rPr>
                <w:rFonts w:hint="eastAsia" w:ascii="仿宋" w:hAnsi="仿宋" w:cs="仿宋"/>
              </w:rPr>
              <w:t>提供复印件加盖公章</w:t>
            </w:r>
          </w:p>
        </w:tc>
        <w:tc>
          <w:tcPr>
            <w:tcW w:w="1286" w:type="dxa"/>
            <w:vAlign w:val="center"/>
          </w:tcPr>
          <w:p>
            <w:pPr>
              <w:rPr>
                <w:rFonts w:ascii="仿宋" w:hAnsi="仿宋" w:cs="仿宋"/>
              </w:rPr>
            </w:pPr>
            <w:r>
              <w:rPr>
                <w:rFonts w:hint="eastAsia" w:ascii="仿宋" w:hAnsi="仿宋" w:cs="仿宋"/>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hint="eastAsia" w:ascii="仿宋" w:hAnsi="仿宋" w:eastAsia="仿宋" w:cs="仿宋"/>
                <w:lang w:eastAsia="zh-CN"/>
              </w:rPr>
            </w:pPr>
            <w:r>
              <w:rPr>
                <w:rFonts w:hint="eastAsia" w:ascii="仿宋" w:hAnsi="仿宋" w:cs="仿宋"/>
                <w:lang w:val="en-US" w:eastAsia="zh-CN"/>
              </w:rPr>
              <w:t>6</w:t>
            </w:r>
          </w:p>
        </w:tc>
        <w:tc>
          <w:tcPr>
            <w:tcW w:w="990" w:type="dxa"/>
            <w:vAlign w:val="center"/>
          </w:tcPr>
          <w:p>
            <w:pPr>
              <w:rPr>
                <w:rFonts w:ascii="仿宋" w:hAnsi="仿宋" w:cs="仿宋"/>
              </w:rPr>
            </w:pPr>
            <w:r>
              <w:rPr>
                <w:rFonts w:hint="eastAsia" w:ascii="仿宋" w:hAnsi="仿宋" w:cs="仿宋"/>
                <w:kern w:val="0"/>
              </w:rPr>
              <w:t>实施团队5%</w:t>
            </w:r>
          </w:p>
        </w:tc>
        <w:tc>
          <w:tcPr>
            <w:tcW w:w="690" w:type="dxa"/>
            <w:vAlign w:val="center"/>
          </w:tcPr>
          <w:p>
            <w:pPr>
              <w:rPr>
                <w:rFonts w:ascii="仿宋" w:hAnsi="仿宋" w:cs="仿宋"/>
              </w:rPr>
            </w:pPr>
            <w:r>
              <w:rPr>
                <w:rFonts w:hint="eastAsia" w:ascii="仿宋" w:hAnsi="仿宋" w:cs="仿宋"/>
              </w:rPr>
              <w:t>5分</w:t>
            </w:r>
          </w:p>
        </w:tc>
        <w:tc>
          <w:tcPr>
            <w:tcW w:w="3990" w:type="dxa"/>
            <w:vAlign w:val="center"/>
          </w:tcPr>
          <w:p>
            <w:pPr>
              <w:numPr>
                <w:ilvl w:val="0"/>
                <w:numId w:val="19"/>
              </w:numPr>
              <w:rPr>
                <w:rFonts w:ascii="仿宋" w:hAnsi="仿宋" w:cs="仿宋"/>
              </w:rPr>
            </w:pPr>
            <w:r>
              <w:rPr>
                <w:rFonts w:hint="eastAsia" w:ascii="仿宋" w:hAnsi="仿宋" w:cs="仿宋"/>
                <w:kern w:val="0"/>
              </w:rPr>
              <w:t>拟投入本项目的项目经理有PMP认证与高级信息系统</w:t>
            </w:r>
            <w:r>
              <w:rPr>
                <w:rFonts w:hint="eastAsia" w:ascii="仿宋" w:hAnsi="仿宋" w:cs="仿宋"/>
              </w:rPr>
              <w:t>项目</w:t>
            </w:r>
            <w:r>
              <w:rPr>
                <w:rFonts w:hint="eastAsia" w:ascii="仿宋" w:hAnsi="仿宋" w:cs="仿宋"/>
                <w:kern w:val="0"/>
              </w:rPr>
              <w:t>管理师认证，满足得1分，不提供不得分。</w:t>
            </w:r>
          </w:p>
          <w:p>
            <w:pPr>
              <w:numPr>
                <w:ilvl w:val="255"/>
                <w:numId w:val="0"/>
              </w:numPr>
              <w:rPr>
                <w:rFonts w:ascii="仿宋" w:hAnsi="仿宋" w:cs="仿宋"/>
              </w:rPr>
            </w:pPr>
            <w:r>
              <w:rPr>
                <w:rFonts w:hint="eastAsia" w:ascii="仿宋" w:hAnsi="仿宋" w:cs="仿宋"/>
                <w:kern w:val="0"/>
              </w:rPr>
              <w:t>2.为确保重症监护信息化系统建设中充分了解临床需求，拟投入本项目施团队人员中，曾获得临床医师资格证书得1分，获得PMP认证或项目管理师认证得1分，最多得2分。</w:t>
            </w:r>
          </w:p>
          <w:p>
            <w:pPr>
              <w:pStyle w:val="13"/>
              <w:rPr>
                <w:rFonts w:ascii="仿宋" w:hAnsi="仿宋" w:cs="仿宋"/>
                <w:szCs w:val="24"/>
              </w:rPr>
            </w:pPr>
            <w:r>
              <w:rPr>
                <w:rFonts w:hint="eastAsia" w:ascii="仿宋" w:hAnsi="仿宋" w:cs="仿宋"/>
                <w:szCs w:val="24"/>
              </w:rPr>
              <w:t>3.为确保重症信息系统同院内其他系统之间的集成，拟投入本项目施团队的专业技术人员需具备通过医疗领域的电子数据交换HL7认证资格，每提供1名得1分，最高得2分，不提供不得分</w:t>
            </w:r>
            <w:r>
              <w:rPr>
                <w:rStyle w:val="45"/>
                <w:rFonts w:hint="eastAsia" w:ascii="仿宋" w:hAnsi="仿宋" w:cs="仿宋"/>
                <w:sz w:val="24"/>
                <w:szCs w:val="24"/>
              </w:rPr>
              <w:t>。</w:t>
            </w:r>
          </w:p>
        </w:tc>
        <w:tc>
          <w:tcPr>
            <w:tcW w:w="1155" w:type="dxa"/>
            <w:vAlign w:val="center"/>
          </w:tcPr>
          <w:p>
            <w:pPr>
              <w:rPr>
                <w:rFonts w:ascii="仿宋" w:hAnsi="仿宋" w:cs="仿宋"/>
              </w:rPr>
            </w:pPr>
            <w:r>
              <w:rPr>
                <w:rFonts w:hint="eastAsia" w:ascii="仿宋" w:hAnsi="仿宋" w:cs="仿宋"/>
              </w:rPr>
              <w:t>需提供相关证书复印件及身份证复印件加盖公章。</w:t>
            </w:r>
          </w:p>
        </w:tc>
        <w:tc>
          <w:tcPr>
            <w:tcW w:w="1286" w:type="dxa"/>
            <w:vAlign w:val="center"/>
          </w:tcPr>
          <w:p>
            <w:pPr>
              <w:rPr>
                <w:rFonts w:ascii="仿宋" w:hAnsi="仿宋" w:cs="仿宋"/>
              </w:rPr>
            </w:pPr>
            <w:r>
              <w:rPr>
                <w:rFonts w:hint="eastAsia" w:ascii="仿宋" w:hAnsi="仿宋" w:cs="仿宋"/>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trPr>
        <w:tc>
          <w:tcPr>
            <w:tcW w:w="577" w:type="dxa"/>
            <w:vAlign w:val="center"/>
          </w:tcPr>
          <w:p>
            <w:pPr>
              <w:spacing w:line="400" w:lineRule="exact"/>
              <w:ind w:firstLine="28"/>
              <w:jc w:val="center"/>
              <w:rPr>
                <w:rFonts w:hint="eastAsia" w:ascii="仿宋" w:hAnsi="仿宋" w:eastAsia="仿宋" w:cs="仿宋"/>
                <w:lang w:eastAsia="zh-CN"/>
              </w:rPr>
            </w:pPr>
            <w:r>
              <w:rPr>
                <w:rFonts w:hint="eastAsia" w:ascii="仿宋" w:hAnsi="仿宋" w:cs="仿宋"/>
                <w:lang w:val="en-US" w:eastAsia="zh-CN"/>
              </w:rPr>
              <w:t>7</w:t>
            </w:r>
          </w:p>
        </w:tc>
        <w:tc>
          <w:tcPr>
            <w:tcW w:w="990" w:type="dxa"/>
            <w:vAlign w:val="center"/>
          </w:tcPr>
          <w:p>
            <w:pPr>
              <w:rPr>
                <w:rFonts w:ascii="仿宋" w:hAnsi="仿宋" w:cs="仿宋"/>
              </w:rPr>
            </w:pPr>
            <w:r>
              <w:rPr>
                <w:rFonts w:hint="eastAsia" w:ascii="仿宋" w:hAnsi="仿宋" w:cs="仿宋"/>
                <w:kern w:val="0"/>
              </w:rPr>
              <w:t>履约能力5%</w:t>
            </w:r>
          </w:p>
        </w:tc>
        <w:tc>
          <w:tcPr>
            <w:tcW w:w="690" w:type="dxa"/>
            <w:vAlign w:val="center"/>
          </w:tcPr>
          <w:p>
            <w:pPr>
              <w:rPr>
                <w:rFonts w:ascii="仿宋" w:hAnsi="仿宋" w:cs="仿宋"/>
              </w:rPr>
            </w:pPr>
            <w:r>
              <w:rPr>
                <w:rFonts w:hint="eastAsia" w:ascii="仿宋" w:hAnsi="仿宋" w:cs="仿宋"/>
              </w:rPr>
              <w:t>5分</w:t>
            </w:r>
          </w:p>
        </w:tc>
        <w:tc>
          <w:tcPr>
            <w:tcW w:w="3990" w:type="dxa"/>
            <w:vAlign w:val="center"/>
          </w:tcPr>
          <w:p>
            <w:pPr>
              <w:rPr>
                <w:rFonts w:ascii="仿宋" w:hAnsi="仿宋" w:cs="仿宋"/>
              </w:rPr>
            </w:pPr>
            <w:r>
              <w:rPr>
                <w:rFonts w:hint="eastAsia" w:ascii="仿宋" w:hAnsi="仿宋" w:cs="仿宋"/>
                <w:lang w:val="zh-CN"/>
              </w:rPr>
              <w:t>投标人自</w:t>
            </w:r>
            <w:r>
              <w:rPr>
                <w:rFonts w:ascii="仿宋" w:hAnsi="仿宋" w:cs="仿宋"/>
                <w:lang w:val="zh-CN"/>
              </w:rPr>
              <w:t>2018</w:t>
            </w:r>
            <w:r>
              <w:rPr>
                <w:rFonts w:hint="eastAsia" w:ascii="仿宋" w:hAnsi="仿宋" w:cs="仿宋"/>
                <w:lang w:val="zh-CN"/>
              </w:rPr>
              <w:t>年1月1日（含）至</w:t>
            </w:r>
            <w:r>
              <w:rPr>
                <w:rFonts w:ascii="仿宋" w:hAnsi="仿宋" w:cs="仿宋"/>
                <w:lang w:val="zh-CN"/>
              </w:rPr>
              <w:t>投标截止日</w:t>
            </w:r>
            <w:r>
              <w:rPr>
                <w:rFonts w:hint="eastAsia" w:ascii="仿宋" w:hAnsi="仿宋" w:cs="仿宋"/>
              </w:rPr>
              <w:t>有类似服务业绩，每提供一个类似项目业绩证明得1分，最多得5分。</w:t>
            </w:r>
          </w:p>
          <w:p>
            <w:pPr>
              <w:rPr>
                <w:rFonts w:ascii="仿宋" w:hAnsi="仿宋" w:cs="仿宋"/>
              </w:rPr>
            </w:pPr>
          </w:p>
        </w:tc>
        <w:tc>
          <w:tcPr>
            <w:tcW w:w="1155" w:type="dxa"/>
            <w:vAlign w:val="center"/>
          </w:tcPr>
          <w:p>
            <w:pPr>
              <w:rPr>
                <w:rFonts w:ascii="仿宋" w:hAnsi="仿宋" w:cs="仿宋"/>
              </w:rPr>
            </w:pPr>
            <w:r>
              <w:rPr>
                <w:rFonts w:hint="eastAsia" w:ascii="仿宋" w:hAnsi="仿宋" w:cs="仿宋"/>
              </w:rPr>
              <w:t>提供合同</w:t>
            </w:r>
            <w:r>
              <w:rPr>
                <w:rFonts w:hint="eastAsia" w:ascii="仿宋" w:hAnsi="仿宋" w:cs="仿宋"/>
                <w:kern w:val="0"/>
              </w:rPr>
              <w:t>复印件或中标通知书复印件加盖公章</w:t>
            </w:r>
          </w:p>
        </w:tc>
        <w:tc>
          <w:tcPr>
            <w:tcW w:w="1286" w:type="dxa"/>
            <w:vAlign w:val="center"/>
          </w:tcPr>
          <w:p>
            <w:pPr>
              <w:rPr>
                <w:rFonts w:ascii="仿宋" w:hAnsi="仿宋" w:cs="仿宋"/>
              </w:rPr>
            </w:pPr>
            <w:r>
              <w:rPr>
                <w:rFonts w:hint="eastAsia" w:ascii="仿宋" w:hAnsi="仿宋" w:cs="仿宋"/>
              </w:rPr>
              <w:t>共同评分因素</w:t>
            </w:r>
          </w:p>
        </w:tc>
      </w:tr>
    </w:tbl>
    <w:p>
      <w:pPr>
        <w:rPr>
          <w:rFonts w:ascii="仿宋" w:hAnsi="仿宋"/>
          <w:b/>
          <w:bCs/>
          <w:sz w:val="28"/>
          <w:szCs w:val="28"/>
        </w:rPr>
      </w:pPr>
      <w:r>
        <w:rPr>
          <w:rFonts w:ascii="仿宋" w:hAnsi="仿宋"/>
          <w:b/>
          <w:bCs/>
          <w:sz w:val="28"/>
          <w:szCs w:val="28"/>
        </w:rPr>
        <w:br w:type="page"/>
      </w:r>
    </w:p>
    <w:p>
      <w:pPr>
        <w:pStyle w:val="14"/>
        <w:tabs>
          <w:tab w:val="left" w:pos="600"/>
        </w:tabs>
        <w:spacing w:line="400" w:lineRule="exact"/>
        <w:ind w:left="480"/>
        <w:rPr>
          <w:szCs w:val="21"/>
        </w:rPr>
      </w:pPr>
      <w:r>
        <w:rPr>
          <w:rFonts w:hint="eastAsia" w:ascii="仿宋" w:hAnsi="仿宋"/>
          <w:b/>
          <w:bCs/>
          <w:sz w:val="28"/>
          <w:szCs w:val="28"/>
        </w:rPr>
        <w:t>包2：</w:t>
      </w:r>
      <w:r>
        <w:rPr>
          <w:rFonts w:hint="eastAsia"/>
          <w:szCs w:val="21"/>
        </w:rPr>
        <w:t xml:space="preserve"> </w:t>
      </w:r>
    </w:p>
    <w:tbl>
      <w:tblPr>
        <w:tblStyle w:val="35"/>
        <w:tblW w:w="9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307"/>
        <w:gridCol w:w="673"/>
        <w:gridCol w:w="5617"/>
        <w:gridCol w:w="1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568" w:type="dxa"/>
            <w:shd w:val="clear" w:color="auto" w:fill="auto"/>
            <w:vAlign w:val="center"/>
          </w:tcPr>
          <w:p>
            <w:pPr>
              <w:widowControl/>
              <w:adjustRightInd w:val="0"/>
              <w:snapToGrid w:val="0"/>
              <w:jc w:val="center"/>
              <w:rPr>
                <w:rFonts w:ascii="仿宋" w:hAnsi="仿宋" w:cs="仿宋"/>
                <w:b/>
                <w:bCs/>
              </w:rPr>
            </w:pPr>
            <w:r>
              <w:rPr>
                <w:rFonts w:hint="eastAsia" w:ascii="仿宋" w:hAnsi="仿宋" w:cs="仿宋"/>
                <w:bCs/>
              </w:rPr>
              <w:t>序号</w:t>
            </w:r>
          </w:p>
        </w:tc>
        <w:tc>
          <w:tcPr>
            <w:tcW w:w="1307" w:type="dxa"/>
            <w:shd w:val="clear" w:color="auto" w:fill="auto"/>
            <w:vAlign w:val="center"/>
          </w:tcPr>
          <w:p>
            <w:pPr>
              <w:widowControl/>
              <w:adjustRightInd w:val="0"/>
              <w:snapToGrid w:val="0"/>
              <w:jc w:val="center"/>
              <w:rPr>
                <w:rFonts w:ascii="仿宋" w:hAnsi="仿宋" w:cs="仿宋"/>
                <w:b/>
                <w:bCs/>
              </w:rPr>
            </w:pPr>
            <w:r>
              <w:rPr>
                <w:rFonts w:hint="eastAsia" w:ascii="仿宋" w:hAnsi="仿宋" w:cs="仿宋"/>
                <w:bCs/>
              </w:rPr>
              <w:t>评分因素及权重</w:t>
            </w:r>
          </w:p>
        </w:tc>
        <w:tc>
          <w:tcPr>
            <w:tcW w:w="673" w:type="dxa"/>
            <w:shd w:val="clear" w:color="auto" w:fill="auto"/>
            <w:vAlign w:val="center"/>
          </w:tcPr>
          <w:p>
            <w:pPr>
              <w:widowControl/>
              <w:adjustRightInd w:val="0"/>
              <w:snapToGrid w:val="0"/>
              <w:jc w:val="center"/>
              <w:rPr>
                <w:rFonts w:ascii="仿宋" w:hAnsi="仿宋" w:cs="仿宋"/>
                <w:b/>
                <w:bCs/>
              </w:rPr>
            </w:pPr>
            <w:r>
              <w:rPr>
                <w:rFonts w:hint="eastAsia" w:ascii="仿宋" w:hAnsi="仿宋" w:cs="仿宋"/>
                <w:bCs/>
              </w:rPr>
              <w:t>分值</w:t>
            </w:r>
          </w:p>
        </w:tc>
        <w:tc>
          <w:tcPr>
            <w:tcW w:w="5617" w:type="dxa"/>
            <w:shd w:val="clear" w:color="auto" w:fill="auto"/>
            <w:vAlign w:val="center"/>
          </w:tcPr>
          <w:p>
            <w:pPr>
              <w:widowControl/>
              <w:adjustRightInd w:val="0"/>
              <w:snapToGrid w:val="0"/>
              <w:jc w:val="center"/>
              <w:rPr>
                <w:rFonts w:ascii="仿宋" w:hAnsi="仿宋" w:cs="仿宋"/>
                <w:b/>
                <w:bCs/>
              </w:rPr>
            </w:pPr>
            <w:r>
              <w:rPr>
                <w:rFonts w:hint="eastAsia" w:ascii="仿宋" w:hAnsi="仿宋" w:cs="仿宋"/>
                <w:bCs/>
              </w:rPr>
              <w:t>评分依据</w:t>
            </w:r>
          </w:p>
        </w:tc>
        <w:tc>
          <w:tcPr>
            <w:tcW w:w="1359" w:type="dxa"/>
            <w:shd w:val="clear" w:color="auto" w:fill="auto"/>
            <w:vAlign w:val="center"/>
          </w:tcPr>
          <w:p>
            <w:pPr>
              <w:widowControl/>
              <w:adjustRightInd w:val="0"/>
              <w:snapToGrid w:val="0"/>
              <w:jc w:val="center"/>
              <w:rPr>
                <w:rFonts w:ascii="仿宋" w:hAnsi="仿宋" w:cs="仿宋"/>
                <w:b/>
                <w:bCs/>
              </w:rPr>
            </w:pPr>
            <w:r>
              <w:rPr>
                <w:rFonts w:hint="eastAsia" w:ascii="仿宋" w:hAnsi="仿宋" w:cs="仿宋"/>
                <w:bCs/>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568" w:type="dxa"/>
            <w:shd w:val="clear" w:color="auto" w:fill="auto"/>
            <w:vAlign w:val="center"/>
          </w:tcPr>
          <w:p>
            <w:pPr>
              <w:widowControl/>
              <w:adjustRightInd w:val="0"/>
              <w:snapToGrid w:val="0"/>
              <w:rPr>
                <w:rFonts w:ascii="仿宋" w:hAnsi="仿宋" w:cs="仿宋"/>
                <w:b/>
                <w:bCs/>
              </w:rPr>
            </w:pPr>
            <w:r>
              <w:rPr>
                <w:rFonts w:hint="eastAsia" w:ascii="仿宋" w:hAnsi="仿宋" w:cs="仿宋"/>
                <w:bCs/>
              </w:rPr>
              <w:t>1</w:t>
            </w:r>
          </w:p>
        </w:tc>
        <w:tc>
          <w:tcPr>
            <w:tcW w:w="1307" w:type="dxa"/>
            <w:shd w:val="clear" w:color="auto" w:fill="auto"/>
            <w:vAlign w:val="center"/>
          </w:tcPr>
          <w:p>
            <w:pPr>
              <w:adjustRightInd w:val="0"/>
              <w:snapToGrid w:val="0"/>
              <w:rPr>
                <w:rFonts w:ascii="仿宋" w:hAnsi="仿宋" w:cs="仿宋"/>
                <w:b/>
                <w:bCs/>
              </w:rPr>
            </w:pPr>
            <w:r>
              <w:rPr>
                <w:rFonts w:hint="eastAsia" w:ascii="仿宋" w:hAnsi="仿宋" w:cs="仿宋"/>
              </w:rPr>
              <w:t>报价 10%</w:t>
            </w:r>
          </w:p>
        </w:tc>
        <w:tc>
          <w:tcPr>
            <w:tcW w:w="673" w:type="dxa"/>
            <w:shd w:val="clear" w:color="auto" w:fill="auto"/>
            <w:vAlign w:val="center"/>
          </w:tcPr>
          <w:p>
            <w:pPr>
              <w:widowControl/>
              <w:adjustRightInd w:val="0"/>
              <w:snapToGrid w:val="0"/>
              <w:rPr>
                <w:rFonts w:ascii="仿宋" w:hAnsi="仿宋" w:cs="仿宋"/>
                <w:b/>
                <w:bCs/>
              </w:rPr>
            </w:pPr>
            <w:r>
              <w:rPr>
                <w:rFonts w:hint="eastAsia" w:ascii="仿宋" w:hAnsi="仿宋" w:cs="仿宋"/>
              </w:rPr>
              <w:t>10分</w:t>
            </w:r>
          </w:p>
        </w:tc>
        <w:tc>
          <w:tcPr>
            <w:tcW w:w="5617" w:type="dxa"/>
            <w:shd w:val="clear" w:color="auto" w:fill="auto"/>
            <w:vAlign w:val="center"/>
          </w:tcPr>
          <w:p>
            <w:pPr>
              <w:widowControl/>
              <w:adjustRightInd w:val="0"/>
              <w:snapToGrid w:val="0"/>
              <w:rPr>
                <w:rFonts w:ascii="仿宋" w:hAnsi="仿宋" w:cs="仿宋"/>
              </w:rPr>
            </w:pPr>
            <w:r>
              <w:rPr>
                <w:rFonts w:hint="eastAsia" w:ascii="仿宋" w:hAnsi="仿宋" w:cs="仿宋"/>
              </w:rPr>
              <w:t>满足招标文件要求且投标价格最低的报价为基准价，其价格分为满分。其他供应商的价格分统一按照下列公式计算：报价得分=(基准价／报价)×10</w:t>
            </w:r>
          </w:p>
        </w:tc>
        <w:tc>
          <w:tcPr>
            <w:tcW w:w="1359" w:type="dxa"/>
            <w:shd w:val="clear" w:color="auto" w:fill="auto"/>
            <w:vAlign w:val="center"/>
          </w:tcPr>
          <w:p>
            <w:pPr>
              <w:widowControl/>
              <w:adjustRightInd w:val="0"/>
              <w:snapToGrid w:val="0"/>
              <w:rPr>
                <w:rFonts w:ascii="仿宋" w:hAnsi="仿宋" w:cs="仿宋"/>
                <w:b/>
                <w:bCs/>
              </w:rPr>
            </w:pPr>
            <w:r>
              <w:rPr>
                <w:rFonts w:hint="eastAsia" w:ascii="仿宋" w:hAnsi="仿宋" w:cs="仿宋"/>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68" w:type="dxa"/>
            <w:shd w:val="clear" w:color="auto" w:fill="auto"/>
            <w:vAlign w:val="center"/>
          </w:tcPr>
          <w:p>
            <w:pPr>
              <w:widowControl/>
              <w:adjustRightInd w:val="0"/>
              <w:snapToGrid w:val="0"/>
              <w:rPr>
                <w:rFonts w:ascii="仿宋" w:hAnsi="仿宋" w:cs="仿宋"/>
                <w:bCs/>
              </w:rPr>
            </w:pPr>
            <w:r>
              <w:rPr>
                <w:rFonts w:hint="eastAsia" w:ascii="仿宋" w:hAnsi="仿宋" w:cs="仿宋"/>
                <w:bCs/>
              </w:rPr>
              <w:t>2</w:t>
            </w:r>
          </w:p>
        </w:tc>
        <w:tc>
          <w:tcPr>
            <w:tcW w:w="1307" w:type="dxa"/>
            <w:shd w:val="clear" w:color="auto" w:fill="auto"/>
            <w:vAlign w:val="center"/>
          </w:tcPr>
          <w:p>
            <w:pPr>
              <w:adjustRightInd w:val="0"/>
              <w:snapToGrid w:val="0"/>
              <w:rPr>
                <w:rFonts w:ascii="仿宋" w:hAnsi="仿宋" w:cs="仿宋"/>
              </w:rPr>
            </w:pPr>
            <w:r>
              <w:rPr>
                <w:rFonts w:hint="eastAsia" w:ascii="仿宋" w:hAnsi="仿宋" w:cs="仿宋"/>
              </w:rPr>
              <w:t>技术、服务要求响应 24%</w:t>
            </w:r>
          </w:p>
        </w:tc>
        <w:tc>
          <w:tcPr>
            <w:tcW w:w="673" w:type="dxa"/>
            <w:shd w:val="clear" w:color="auto" w:fill="auto"/>
            <w:vAlign w:val="center"/>
          </w:tcPr>
          <w:p>
            <w:pPr>
              <w:widowControl/>
              <w:adjustRightInd w:val="0"/>
              <w:snapToGrid w:val="0"/>
              <w:rPr>
                <w:rFonts w:ascii="仿宋" w:hAnsi="仿宋" w:cs="仿宋"/>
              </w:rPr>
            </w:pPr>
            <w:r>
              <w:rPr>
                <w:rFonts w:hint="eastAsia" w:ascii="仿宋" w:hAnsi="仿宋" w:cs="仿宋"/>
              </w:rPr>
              <w:t>24分</w:t>
            </w:r>
          </w:p>
        </w:tc>
        <w:tc>
          <w:tcPr>
            <w:tcW w:w="5617" w:type="dxa"/>
            <w:shd w:val="clear" w:color="auto" w:fill="auto"/>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投标人针对招标文件第六章“三、技术、服务要求”条款的响应得分为A+B：</w:t>
            </w:r>
          </w:p>
          <w:p>
            <w:pPr>
              <w:contextualSpacing/>
              <w:rPr>
                <w:rFonts w:ascii="仿宋_GB2312" w:hAnsi="方正仿宋简体" w:eastAsia="仿宋_GB2312" w:cs="方正仿宋简体"/>
                <w:bCs/>
              </w:rPr>
            </w:pPr>
            <w:r>
              <w:rPr>
                <w:rFonts w:hint="eastAsia" w:ascii="仿宋_GB2312" w:hAnsi="方正仿宋简体" w:eastAsia="仿宋_GB2312" w:cs="方正仿宋简体"/>
                <w:bCs/>
              </w:rPr>
              <w:t>A.一般条款响应得分=（投标人满足一般条款的数量÷一般条款的总数量共50条）×8分。</w:t>
            </w:r>
          </w:p>
          <w:p>
            <w:pPr>
              <w:contextualSpacing/>
              <w:rPr>
                <w:rFonts w:ascii="仿宋_GB2312" w:hAnsi="方正仿宋简体" w:eastAsia="仿宋_GB2312" w:cs="方正仿宋简体"/>
                <w:bCs/>
              </w:rPr>
            </w:pPr>
            <w:r>
              <w:rPr>
                <w:rFonts w:hint="eastAsia" w:ascii="仿宋_GB2312" w:hAnsi="方正仿宋简体" w:eastAsia="仿宋_GB2312" w:cs="方正仿宋简体"/>
                <w:bCs/>
              </w:rPr>
              <w:t>B.“▲”条款响应得分=（投标人满足“▲”条款的数量÷“▲”条款的总数量共8条）×16分。</w:t>
            </w:r>
          </w:p>
          <w:p>
            <w:pPr>
              <w:widowControl/>
              <w:adjustRightInd w:val="0"/>
              <w:snapToGrid w:val="0"/>
              <w:rPr>
                <w:rFonts w:ascii="仿宋" w:hAnsi="仿宋" w:cs="仿宋"/>
              </w:rPr>
            </w:pPr>
            <w:r>
              <w:rPr>
                <w:rFonts w:hint="eastAsia" w:ascii="仿宋_GB2312" w:hAnsi="方正仿宋简体" w:eastAsia="仿宋_GB2312" w:cs="方正仿宋简体"/>
                <w:bCs/>
              </w:rPr>
              <w:t>注：①针对技术、服务要求条款的响应，如果招标文件第六章“技术、服务要求”条款对佐证材料有要求的应按要求提供，否则对应条款将视为不满足。②一般条款指未标注“★”或“▲”的条款。③“★”条款是本项目的实质性要求，投标人未全部满足的按照无效投标处理，不再用于打分。</w:t>
            </w:r>
          </w:p>
        </w:tc>
        <w:tc>
          <w:tcPr>
            <w:tcW w:w="1359" w:type="dxa"/>
            <w:shd w:val="clear" w:color="auto" w:fill="auto"/>
            <w:vAlign w:val="center"/>
          </w:tcPr>
          <w:p>
            <w:pPr>
              <w:rPr>
                <w:rFonts w:ascii="仿宋" w:hAnsi="仿宋" w:cs="仿宋"/>
              </w:rPr>
            </w:pPr>
            <w:r>
              <w:rPr>
                <w:rFonts w:hint="eastAsia" w:ascii="仿宋" w:hAnsi="仿宋" w:cs="仿宋"/>
              </w:rPr>
              <w:t>技术类评分因素</w:t>
            </w:r>
          </w:p>
          <w:p>
            <w:pPr>
              <w:widowControl/>
              <w:adjustRightInd w:val="0"/>
              <w:snapToGrid w:val="0"/>
              <w:rPr>
                <w:rFonts w:ascii="仿宋" w:hAnsi="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68" w:type="dxa"/>
            <w:shd w:val="clear" w:color="auto" w:fill="auto"/>
            <w:vAlign w:val="center"/>
          </w:tcPr>
          <w:p>
            <w:pPr>
              <w:widowControl/>
              <w:adjustRightInd w:val="0"/>
              <w:snapToGrid w:val="0"/>
              <w:rPr>
                <w:rFonts w:ascii="仿宋" w:hAnsi="仿宋" w:cs="仿宋"/>
                <w:b/>
                <w:bCs/>
              </w:rPr>
            </w:pPr>
            <w:r>
              <w:rPr>
                <w:rFonts w:hint="eastAsia" w:ascii="仿宋" w:hAnsi="仿宋" w:cs="仿宋"/>
                <w:b/>
                <w:bCs/>
              </w:rPr>
              <w:t>3</w:t>
            </w:r>
          </w:p>
        </w:tc>
        <w:tc>
          <w:tcPr>
            <w:tcW w:w="1307" w:type="dxa"/>
            <w:shd w:val="clear" w:color="auto" w:fill="auto"/>
            <w:vAlign w:val="center"/>
          </w:tcPr>
          <w:p>
            <w:pPr>
              <w:widowControl/>
              <w:adjustRightInd w:val="0"/>
              <w:snapToGrid w:val="0"/>
              <w:rPr>
                <w:rFonts w:ascii="仿宋" w:hAnsi="仿宋" w:cs="仿宋"/>
                <w:b/>
                <w:bCs/>
              </w:rPr>
            </w:pPr>
            <w:r>
              <w:rPr>
                <w:rFonts w:hint="eastAsia" w:ascii="仿宋" w:hAnsi="仿宋" w:cs="仿宋"/>
                <w:bCs/>
              </w:rPr>
              <w:t>服务方案 16%</w:t>
            </w:r>
          </w:p>
        </w:tc>
        <w:tc>
          <w:tcPr>
            <w:tcW w:w="673" w:type="dxa"/>
            <w:shd w:val="clear" w:color="auto" w:fill="auto"/>
            <w:vAlign w:val="center"/>
          </w:tcPr>
          <w:p>
            <w:pPr>
              <w:widowControl/>
              <w:adjustRightInd w:val="0"/>
              <w:snapToGrid w:val="0"/>
              <w:rPr>
                <w:rFonts w:ascii="仿宋" w:hAnsi="仿宋" w:cs="仿宋"/>
                <w:b/>
                <w:bCs/>
              </w:rPr>
            </w:pPr>
            <w:r>
              <w:rPr>
                <w:rFonts w:hint="eastAsia" w:ascii="仿宋" w:hAnsi="仿宋" w:cs="仿宋"/>
                <w:bCs/>
              </w:rPr>
              <w:t>16分</w:t>
            </w:r>
          </w:p>
        </w:tc>
        <w:tc>
          <w:tcPr>
            <w:tcW w:w="5617" w:type="dxa"/>
            <w:shd w:val="clear" w:color="auto" w:fill="auto"/>
            <w:vAlign w:val="center"/>
          </w:tcPr>
          <w:p>
            <w:pPr>
              <w:widowControl/>
              <w:adjustRightInd w:val="0"/>
              <w:snapToGrid w:val="0"/>
              <w:rPr>
                <w:rFonts w:ascii="仿宋" w:hAnsi="仿宋" w:cs="仿宋"/>
                <w:bCs/>
              </w:rPr>
            </w:pPr>
            <w:r>
              <w:rPr>
                <w:rFonts w:hint="eastAsia" w:ascii="仿宋" w:hAnsi="仿宋" w:cs="仿宋"/>
                <w:bCs/>
              </w:rPr>
              <w:t>供应商须提供针对本项目的服务方案，至少包含以下方面：①</w:t>
            </w:r>
            <w:r>
              <w:rPr>
                <w:rFonts w:hint="eastAsia" w:ascii="仿宋" w:hAnsi="仿宋" w:cs="宋体"/>
                <w:kern w:val="0"/>
              </w:rPr>
              <w:t>技术整体方案（包括平台各模块技术方案）</w:t>
            </w:r>
            <w:r>
              <w:rPr>
                <w:rFonts w:hint="eastAsia" w:ascii="仿宋" w:hAnsi="仿宋" w:cs="仿宋"/>
                <w:bCs/>
              </w:rPr>
              <w:t>；②</w:t>
            </w:r>
            <w:r>
              <w:rPr>
                <w:rFonts w:hint="eastAsia" w:ascii="仿宋" w:hAnsi="仿宋" w:cs="宋体"/>
                <w:kern w:val="0"/>
              </w:rPr>
              <w:t>实施方案及进度计划</w:t>
            </w:r>
            <w:r>
              <w:rPr>
                <w:rFonts w:hint="eastAsia" w:ascii="仿宋" w:hAnsi="仿宋" w:cs="仿宋"/>
                <w:bCs/>
              </w:rPr>
              <w:t>；③</w:t>
            </w:r>
            <w:r>
              <w:rPr>
                <w:rFonts w:hint="eastAsia" w:ascii="仿宋" w:hAnsi="仿宋" w:cs="宋体"/>
                <w:kern w:val="0"/>
              </w:rPr>
              <w:t>培训方案</w:t>
            </w:r>
            <w:r>
              <w:rPr>
                <w:rFonts w:hint="eastAsia" w:ascii="仿宋" w:hAnsi="仿宋" w:cs="仿宋"/>
                <w:bCs/>
              </w:rPr>
              <w:t>；④</w:t>
            </w:r>
            <w:r>
              <w:rPr>
                <w:rFonts w:hint="eastAsia" w:ascii="仿宋" w:hAnsi="仿宋" w:cs="宋体"/>
                <w:kern w:val="0"/>
              </w:rPr>
              <w:t>售后服务及运维方案</w:t>
            </w:r>
            <w:r>
              <w:rPr>
                <w:rFonts w:hint="eastAsia" w:ascii="仿宋" w:hAnsi="仿宋" w:cs="仿宋"/>
                <w:bCs/>
              </w:rPr>
              <w:t>。</w:t>
            </w:r>
          </w:p>
          <w:p>
            <w:pPr>
              <w:widowControl/>
              <w:adjustRightInd w:val="0"/>
              <w:snapToGrid w:val="0"/>
              <w:rPr>
                <w:rFonts w:ascii="仿宋" w:hAnsi="仿宋" w:cs="仿宋"/>
                <w:bCs/>
              </w:rPr>
            </w:pPr>
            <w:r>
              <w:rPr>
                <w:rFonts w:hint="eastAsia" w:ascii="仿宋" w:hAnsi="仿宋" w:cs="仿宋"/>
                <w:bCs/>
              </w:rPr>
              <w:t>以上4项内容齐全，且同时满足：内容充分、逻辑严谨、符合项目及当地实际情况的得16分。每缺少一个内容的扣4分，16分扣完为止；内容描述存在内容不充分、前后矛盾、不符合项目及当地实际情况中任何一种情形或其他不足之处的，每有一处扣2分，每项最多扣4分，16分扣完为止。</w:t>
            </w:r>
          </w:p>
          <w:p>
            <w:pPr>
              <w:widowControl/>
              <w:adjustRightInd w:val="0"/>
              <w:snapToGrid w:val="0"/>
              <w:rPr>
                <w:rFonts w:ascii="仿宋" w:hAnsi="仿宋" w:cs="仿宋"/>
                <w:b/>
                <w:bCs/>
              </w:rPr>
            </w:pPr>
            <w:r>
              <w:rPr>
                <w:rFonts w:hint="eastAsia" w:ascii="仿宋" w:hAnsi="仿宋" w:cs="仿宋"/>
                <w:bCs/>
              </w:rPr>
              <w:t>（注：其他不足之处是指内容套用或错用、凭空编造、科学原理错误以及不可能实现的夸大情形等。）</w:t>
            </w:r>
          </w:p>
        </w:tc>
        <w:tc>
          <w:tcPr>
            <w:tcW w:w="1359" w:type="dxa"/>
            <w:shd w:val="clear" w:color="auto" w:fill="auto"/>
            <w:vAlign w:val="center"/>
          </w:tcPr>
          <w:p>
            <w:pPr>
              <w:widowControl/>
              <w:adjustRightInd w:val="0"/>
              <w:snapToGrid w:val="0"/>
              <w:rPr>
                <w:rFonts w:ascii="仿宋" w:hAnsi="仿宋" w:cs="仿宋"/>
                <w:b/>
                <w:bCs/>
              </w:rPr>
            </w:pPr>
            <w:r>
              <w:rPr>
                <w:rFonts w:hint="eastAsia" w:ascii="仿宋" w:hAnsi="仿宋" w:cs="仿宋"/>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68" w:type="dxa"/>
            <w:shd w:val="clear" w:color="auto" w:fill="auto"/>
            <w:vAlign w:val="center"/>
          </w:tcPr>
          <w:p>
            <w:pPr>
              <w:widowControl/>
              <w:adjustRightInd w:val="0"/>
              <w:snapToGrid w:val="0"/>
              <w:rPr>
                <w:rFonts w:ascii="仿宋" w:hAnsi="仿宋" w:cs="仿宋"/>
                <w:bCs/>
              </w:rPr>
            </w:pPr>
            <w:r>
              <w:rPr>
                <w:rFonts w:hint="eastAsia" w:ascii="仿宋" w:hAnsi="仿宋" w:cs="仿宋"/>
                <w:bCs/>
              </w:rPr>
              <w:t>4</w:t>
            </w:r>
          </w:p>
        </w:tc>
        <w:tc>
          <w:tcPr>
            <w:tcW w:w="1307" w:type="dxa"/>
            <w:shd w:val="clear" w:color="auto" w:fill="auto"/>
            <w:vAlign w:val="center"/>
          </w:tcPr>
          <w:p>
            <w:pPr>
              <w:widowControl/>
              <w:rPr>
                <w:rFonts w:ascii="仿宋" w:hAnsi="仿宋" w:cs="宋体"/>
                <w:kern w:val="0"/>
              </w:rPr>
            </w:pPr>
            <w:r>
              <w:rPr>
                <w:rFonts w:hint="eastAsia" w:ascii="仿宋" w:hAnsi="仿宋" w:cs="宋体"/>
                <w:kern w:val="0"/>
              </w:rPr>
              <w:t>本项目负责人资质情况 4%</w:t>
            </w:r>
          </w:p>
        </w:tc>
        <w:tc>
          <w:tcPr>
            <w:tcW w:w="673" w:type="dxa"/>
            <w:shd w:val="clear" w:color="auto" w:fill="auto"/>
            <w:vAlign w:val="center"/>
          </w:tcPr>
          <w:p>
            <w:pPr>
              <w:widowControl/>
              <w:rPr>
                <w:rFonts w:ascii="仿宋" w:hAnsi="仿宋" w:cs="宋体"/>
                <w:kern w:val="0"/>
              </w:rPr>
            </w:pPr>
            <w:r>
              <w:rPr>
                <w:rFonts w:hint="eastAsia" w:ascii="仿宋" w:hAnsi="仿宋" w:cs="宋体"/>
                <w:kern w:val="0"/>
              </w:rPr>
              <w:t>4分</w:t>
            </w:r>
          </w:p>
        </w:tc>
        <w:tc>
          <w:tcPr>
            <w:tcW w:w="5617" w:type="dxa"/>
            <w:shd w:val="clear" w:color="auto" w:fill="auto"/>
            <w:vAlign w:val="center"/>
          </w:tcPr>
          <w:p>
            <w:pPr>
              <w:widowControl/>
              <w:rPr>
                <w:rFonts w:ascii="仿宋" w:hAnsi="仿宋" w:cs="宋体"/>
                <w:kern w:val="0"/>
              </w:rPr>
            </w:pPr>
            <w:r>
              <w:rPr>
                <w:rFonts w:hint="eastAsia" w:ascii="仿宋" w:hAnsi="仿宋" w:cs="宋体"/>
                <w:kern w:val="0"/>
              </w:rPr>
              <w:t>本项目项目经理资质：具有国家人事部门或国家工信部门颁发的高级系统项目管理师证书和PMP证书。</w:t>
            </w:r>
          </w:p>
          <w:p>
            <w:pPr>
              <w:pStyle w:val="11"/>
              <w:rPr>
                <w:rFonts w:ascii="仿宋" w:hAnsi="仿宋" w:cs="宋体"/>
                <w:kern w:val="0"/>
              </w:rPr>
            </w:pPr>
            <w:r>
              <w:rPr>
                <w:rFonts w:hint="eastAsia" w:ascii="仿宋" w:hAnsi="仿宋" w:eastAsia="仿宋" w:cs="宋体"/>
                <w:kern w:val="0"/>
                <w:sz w:val="24"/>
                <w:lang w:val="en-US" w:eastAsia="zh-CN"/>
              </w:rPr>
              <w:t>满足一项2分，最多得4分，</w:t>
            </w:r>
            <w:r>
              <w:rPr>
                <w:rFonts w:hint="eastAsia" w:ascii="仿宋" w:hAnsi="仿宋" w:eastAsia="仿宋" w:cs="宋体"/>
                <w:kern w:val="0"/>
                <w:sz w:val="24"/>
              </w:rPr>
              <w:t>不具</w:t>
            </w:r>
            <w:r>
              <w:rPr>
                <w:rFonts w:hint="eastAsia" w:ascii="仿宋" w:hAnsi="仿宋" w:cs="宋体"/>
                <w:kern w:val="0"/>
              </w:rPr>
              <w:t>备不得分。</w:t>
            </w:r>
          </w:p>
          <w:p>
            <w:pPr>
              <w:rPr>
                <w:rFonts w:ascii="仿宋" w:hAnsi="仿宋" w:cs="宋体"/>
                <w:kern w:val="0"/>
              </w:rPr>
            </w:pPr>
            <w:r>
              <w:rPr>
                <w:rFonts w:hint="eastAsia" w:ascii="仿宋" w:hAnsi="仿宋" w:cs="宋体"/>
                <w:kern w:val="0"/>
              </w:rPr>
              <w:t>投标人需提供：1）相关资质证书复印件；2）投标人需提供其在本公司的在职证明文件，加盖公章。</w:t>
            </w:r>
          </w:p>
        </w:tc>
        <w:tc>
          <w:tcPr>
            <w:tcW w:w="1359" w:type="dxa"/>
            <w:shd w:val="clear" w:color="auto" w:fill="auto"/>
            <w:vAlign w:val="center"/>
          </w:tcPr>
          <w:p>
            <w:pPr>
              <w:widowControl/>
              <w:adjustRightInd w:val="0"/>
              <w:snapToGrid w:val="0"/>
              <w:rPr>
                <w:rFonts w:ascii="仿宋" w:hAnsi="仿宋" w:cs="仿宋"/>
              </w:rPr>
            </w:pPr>
            <w:r>
              <w:rPr>
                <w:rFonts w:hint="eastAsia" w:ascii="仿宋" w:hAnsi="仿宋" w:cs="仿宋"/>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68" w:type="dxa"/>
            <w:shd w:val="clear" w:color="auto" w:fill="auto"/>
            <w:vAlign w:val="center"/>
          </w:tcPr>
          <w:p>
            <w:pPr>
              <w:widowControl/>
              <w:adjustRightInd w:val="0"/>
              <w:snapToGrid w:val="0"/>
              <w:rPr>
                <w:rFonts w:ascii="仿宋" w:hAnsi="仿宋" w:cs="仿宋"/>
                <w:bCs/>
              </w:rPr>
            </w:pPr>
            <w:r>
              <w:rPr>
                <w:rFonts w:hint="eastAsia" w:ascii="仿宋" w:hAnsi="仿宋" w:cs="仿宋"/>
                <w:bCs/>
              </w:rPr>
              <w:t>5</w:t>
            </w:r>
          </w:p>
        </w:tc>
        <w:tc>
          <w:tcPr>
            <w:tcW w:w="1307" w:type="dxa"/>
            <w:shd w:val="clear" w:color="auto" w:fill="auto"/>
            <w:vAlign w:val="center"/>
          </w:tcPr>
          <w:p>
            <w:pPr>
              <w:widowControl/>
              <w:rPr>
                <w:rFonts w:ascii="仿宋" w:hAnsi="仿宋" w:cs="宋体"/>
                <w:kern w:val="0"/>
              </w:rPr>
            </w:pPr>
            <w:r>
              <w:rPr>
                <w:rFonts w:hint="eastAsia" w:ascii="仿宋" w:hAnsi="仿宋" w:cs="宋体"/>
                <w:kern w:val="0"/>
              </w:rPr>
              <w:t>本项目团队人员资质情况 8%</w:t>
            </w:r>
          </w:p>
        </w:tc>
        <w:tc>
          <w:tcPr>
            <w:tcW w:w="673" w:type="dxa"/>
            <w:shd w:val="clear" w:color="auto" w:fill="auto"/>
            <w:vAlign w:val="center"/>
          </w:tcPr>
          <w:p>
            <w:pPr>
              <w:widowControl/>
              <w:rPr>
                <w:rFonts w:ascii="仿宋" w:hAnsi="仿宋" w:cs="宋体"/>
                <w:kern w:val="0"/>
              </w:rPr>
            </w:pPr>
            <w:r>
              <w:rPr>
                <w:rFonts w:hint="eastAsia" w:ascii="仿宋" w:hAnsi="仿宋" w:cs="宋体"/>
                <w:kern w:val="0"/>
              </w:rPr>
              <w:t>8分</w:t>
            </w:r>
          </w:p>
        </w:tc>
        <w:tc>
          <w:tcPr>
            <w:tcW w:w="5617" w:type="dxa"/>
            <w:shd w:val="clear" w:color="auto" w:fill="auto"/>
            <w:vAlign w:val="center"/>
          </w:tcPr>
          <w:p>
            <w:pPr>
              <w:widowControl/>
              <w:rPr>
                <w:rFonts w:ascii="仿宋" w:hAnsi="仿宋" w:cs="宋体"/>
                <w:kern w:val="0"/>
              </w:rPr>
            </w:pPr>
            <w:r>
              <w:rPr>
                <w:rFonts w:hint="eastAsia" w:ascii="仿宋" w:hAnsi="仿宋" w:cs="宋体"/>
                <w:kern w:val="0"/>
              </w:rPr>
              <w:t>本项目提供的技术团队中满足以下人员资质及配备要求：</w:t>
            </w:r>
          </w:p>
          <w:p>
            <w:pPr>
              <w:widowControl/>
              <w:rPr>
                <w:rFonts w:ascii="仿宋" w:hAnsi="仿宋" w:cs="宋体"/>
                <w:kern w:val="0"/>
              </w:rPr>
            </w:pPr>
            <w:r>
              <w:rPr>
                <w:rFonts w:hint="eastAsia" w:ascii="仿宋" w:hAnsi="仿宋" w:cs="宋体"/>
                <w:kern w:val="0"/>
              </w:rPr>
              <w:t>1.</w:t>
            </w:r>
            <w:r>
              <w:rPr>
                <w:rFonts w:hint="eastAsia" w:ascii="仿宋" w:hAnsi="仿宋" w:cs="宋体"/>
              </w:rPr>
              <w:t>系统集成项目管理工程师，</w:t>
            </w:r>
            <w:r>
              <w:rPr>
                <w:rFonts w:hint="eastAsia" w:ascii="仿宋" w:hAnsi="仿宋" w:cs="宋体"/>
                <w:kern w:val="0"/>
              </w:rPr>
              <w:t>2.软件设计工程师,3. 数据库系统工程师，4. 高级系统分析师，5.取得国际疾病分类与手术操作分类（ICD-10·ICD-9-CM-3）编码技能培训合格证人员，6.医学博士学位人员，7.计算机博士学位人员，8. 取得市级高层次人才称谓人员。</w:t>
            </w:r>
            <w:r>
              <w:rPr>
                <w:rFonts w:ascii="Calibri" w:hAnsi="Calibri" w:cs="Calibri"/>
                <w:kern w:val="0"/>
              </w:rPr>
              <w:t> </w:t>
            </w:r>
          </w:p>
          <w:p>
            <w:pPr>
              <w:widowControl/>
              <w:rPr>
                <w:rFonts w:ascii="仿宋" w:hAnsi="仿宋" w:cs="宋体"/>
                <w:kern w:val="0"/>
              </w:rPr>
            </w:pPr>
            <w:r>
              <w:rPr>
                <w:rFonts w:hint="eastAsia" w:ascii="仿宋" w:hAnsi="仿宋" w:cs="宋体"/>
                <w:kern w:val="0"/>
              </w:rPr>
              <w:t>以上每提供一项得1分，最高得8分。</w:t>
            </w:r>
          </w:p>
          <w:p>
            <w:pPr>
              <w:rPr>
                <w:rFonts w:ascii="仿宋" w:hAnsi="仿宋" w:cs="宋体"/>
                <w:kern w:val="0"/>
              </w:rPr>
            </w:pPr>
            <w:r>
              <w:rPr>
                <w:rFonts w:hint="eastAsia" w:ascii="仿宋" w:hAnsi="仿宋" w:cs="宋体"/>
                <w:kern w:val="0"/>
              </w:rPr>
              <w:t>注：以上人员不含项目负责人，以上人员重复不得分。投标人需提供：1）以上人员相关资质证书或证明文件复印件；2）投标人需提供其在本公司的在职证明文件；加盖公章。</w:t>
            </w:r>
          </w:p>
        </w:tc>
        <w:tc>
          <w:tcPr>
            <w:tcW w:w="1359" w:type="dxa"/>
            <w:shd w:val="clear" w:color="auto" w:fill="auto"/>
            <w:vAlign w:val="center"/>
          </w:tcPr>
          <w:p>
            <w:pPr>
              <w:widowControl/>
              <w:adjustRightInd w:val="0"/>
              <w:snapToGrid w:val="0"/>
              <w:rPr>
                <w:rFonts w:ascii="仿宋" w:hAnsi="仿宋" w:cs="仿宋"/>
              </w:rPr>
            </w:pPr>
            <w:r>
              <w:rPr>
                <w:rFonts w:hint="eastAsia" w:ascii="仿宋" w:hAnsi="仿宋" w:cs="仿宋"/>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68" w:type="dxa"/>
            <w:shd w:val="clear" w:color="auto" w:fill="auto"/>
            <w:vAlign w:val="center"/>
          </w:tcPr>
          <w:p>
            <w:pPr>
              <w:widowControl/>
              <w:adjustRightInd w:val="0"/>
              <w:snapToGrid w:val="0"/>
              <w:rPr>
                <w:rFonts w:ascii="仿宋" w:hAnsi="仿宋" w:cs="仿宋"/>
                <w:bCs/>
              </w:rPr>
            </w:pPr>
            <w:r>
              <w:rPr>
                <w:rFonts w:hint="eastAsia" w:ascii="仿宋" w:hAnsi="仿宋" w:cs="仿宋"/>
                <w:bCs/>
              </w:rPr>
              <w:t>6</w:t>
            </w:r>
          </w:p>
        </w:tc>
        <w:tc>
          <w:tcPr>
            <w:tcW w:w="1307" w:type="dxa"/>
            <w:shd w:val="clear" w:color="auto" w:fill="auto"/>
            <w:vAlign w:val="center"/>
          </w:tcPr>
          <w:p>
            <w:pPr>
              <w:widowControl/>
              <w:rPr>
                <w:rFonts w:ascii="仿宋" w:hAnsi="仿宋" w:cs="宋体"/>
                <w:kern w:val="0"/>
              </w:rPr>
            </w:pPr>
            <w:r>
              <w:rPr>
                <w:rFonts w:hint="eastAsia" w:ascii="仿宋" w:hAnsi="仿宋" w:cs="宋体"/>
                <w:kern w:val="0"/>
              </w:rPr>
              <w:t>投标人实力 6%</w:t>
            </w:r>
          </w:p>
        </w:tc>
        <w:tc>
          <w:tcPr>
            <w:tcW w:w="673" w:type="dxa"/>
            <w:shd w:val="clear" w:color="auto" w:fill="auto"/>
            <w:vAlign w:val="center"/>
          </w:tcPr>
          <w:p>
            <w:pPr>
              <w:widowControl/>
              <w:rPr>
                <w:rFonts w:ascii="仿宋" w:hAnsi="仿宋" w:cs="宋体"/>
                <w:kern w:val="0"/>
              </w:rPr>
            </w:pPr>
            <w:r>
              <w:rPr>
                <w:rFonts w:hint="eastAsia" w:ascii="仿宋" w:hAnsi="仿宋" w:cs="宋体"/>
                <w:kern w:val="0"/>
              </w:rPr>
              <w:t>6分</w:t>
            </w:r>
          </w:p>
        </w:tc>
        <w:tc>
          <w:tcPr>
            <w:tcW w:w="5617" w:type="dxa"/>
            <w:shd w:val="clear" w:color="auto" w:fill="auto"/>
            <w:vAlign w:val="center"/>
          </w:tcPr>
          <w:p>
            <w:pPr>
              <w:widowControl/>
              <w:rPr>
                <w:rFonts w:ascii="仿宋" w:hAnsi="仿宋" w:cs="宋体"/>
                <w:kern w:val="0"/>
              </w:rPr>
            </w:pPr>
            <w:r>
              <w:rPr>
                <w:rFonts w:hint="eastAsia" w:ascii="仿宋" w:hAnsi="仿宋" w:cs="宋体"/>
                <w:kern w:val="0"/>
              </w:rPr>
              <w:t>投标人实力：</w:t>
            </w:r>
          </w:p>
          <w:p>
            <w:pPr>
              <w:pStyle w:val="2"/>
              <w:spacing w:after="0" w:line="240" w:lineRule="auto"/>
              <w:ind w:left="0" w:leftChars="0"/>
              <w:rPr>
                <w:rFonts w:ascii="仿宋" w:hAnsi="仿宋"/>
              </w:rPr>
            </w:pPr>
            <w:r>
              <w:rPr>
                <w:rFonts w:hint="eastAsia" w:ascii="仿宋" w:hAnsi="仿宋"/>
              </w:rPr>
              <w:t>（</w:t>
            </w:r>
            <w:r>
              <w:rPr>
                <w:rFonts w:ascii="仿宋" w:hAnsi="仿宋"/>
              </w:rPr>
              <w:t>1）信息系统安全等级保护三级证书；</w:t>
            </w:r>
          </w:p>
          <w:p>
            <w:pPr>
              <w:pStyle w:val="2"/>
              <w:spacing w:after="0" w:line="240" w:lineRule="auto"/>
              <w:ind w:left="0" w:leftChars="0"/>
              <w:rPr>
                <w:rFonts w:ascii="仿宋" w:hAnsi="仿宋"/>
              </w:rPr>
            </w:pPr>
            <w:r>
              <w:rPr>
                <w:rFonts w:hint="eastAsia" w:ascii="仿宋" w:hAnsi="仿宋"/>
              </w:rPr>
              <w:t>（</w:t>
            </w:r>
            <w:r>
              <w:rPr>
                <w:rFonts w:ascii="仿宋" w:hAnsi="仿宋"/>
              </w:rPr>
              <w:t>2）质量管理体系认证证书；</w:t>
            </w:r>
          </w:p>
          <w:p>
            <w:pPr>
              <w:pStyle w:val="2"/>
              <w:spacing w:after="0" w:line="240" w:lineRule="auto"/>
              <w:ind w:left="0" w:leftChars="0"/>
              <w:rPr>
                <w:rFonts w:ascii="仿宋" w:hAnsi="仿宋"/>
              </w:rPr>
            </w:pPr>
            <w:r>
              <w:rPr>
                <w:rFonts w:hint="eastAsia" w:ascii="仿宋" w:hAnsi="仿宋"/>
              </w:rPr>
              <w:t>（</w:t>
            </w:r>
            <w:r>
              <w:rPr>
                <w:rFonts w:ascii="仿宋" w:hAnsi="仿宋"/>
              </w:rPr>
              <w:t>3）信息安全管理体系认证证书；</w:t>
            </w:r>
          </w:p>
          <w:p>
            <w:pPr>
              <w:pStyle w:val="2"/>
              <w:spacing w:after="0" w:line="240" w:lineRule="auto"/>
              <w:ind w:left="0" w:leftChars="0"/>
              <w:rPr>
                <w:rFonts w:ascii="仿宋" w:hAnsi="仿宋"/>
              </w:rPr>
            </w:pPr>
            <w:r>
              <w:rPr>
                <w:rFonts w:hint="eastAsia" w:ascii="仿宋" w:hAnsi="仿宋"/>
              </w:rPr>
              <w:t>（</w:t>
            </w:r>
            <w:r>
              <w:rPr>
                <w:rFonts w:ascii="仿宋" w:hAnsi="仿宋"/>
              </w:rPr>
              <w:t>4）信息技术服务管理体系证书；</w:t>
            </w:r>
          </w:p>
          <w:p>
            <w:pPr>
              <w:pStyle w:val="2"/>
              <w:spacing w:after="0" w:line="240" w:lineRule="auto"/>
              <w:ind w:left="0" w:leftChars="0"/>
              <w:rPr>
                <w:rFonts w:ascii="仿宋" w:hAnsi="仿宋"/>
              </w:rPr>
            </w:pPr>
            <w:r>
              <w:rPr>
                <w:rFonts w:hint="eastAsia" w:ascii="仿宋" w:hAnsi="仿宋"/>
              </w:rPr>
              <w:t>（5）市级或以上人工智能企业登记证书；</w:t>
            </w:r>
          </w:p>
          <w:p>
            <w:pPr>
              <w:pStyle w:val="2"/>
              <w:spacing w:after="0" w:line="240" w:lineRule="auto"/>
              <w:ind w:left="0" w:leftChars="0"/>
              <w:rPr>
                <w:rFonts w:ascii="仿宋" w:hAnsi="仿宋"/>
              </w:rPr>
            </w:pPr>
            <w:r>
              <w:rPr>
                <w:rFonts w:hint="eastAsia" w:ascii="仿宋" w:hAnsi="仿宋"/>
              </w:rPr>
              <w:t>（</w:t>
            </w:r>
            <w:r>
              <w:rPr>
                <w:rFonts w:ascii="仿宋" w:hAnsi="仿宋"/>
              </w:rPr>
              <w:t>6）ITSS信息技术服务标准符合性证书</w:t>
            </w:r>
          </w:p>
          <w:p>
            <w:pPr>
              <w:widowControl/>
              <w:rPr>
                <w:rFonts w:ascii="仿宋" w:hAnsi="仿宋" w:cs="宋体"/>
                <w:kern w:val="0"/>
              </w:rPr>
            </w:pPr>
            <w:r>
              <w:rPr>
                <w:rFonts w:hint="eastAsia" w:ascii="仿宋" w:hAnsi="仿宋"/>
              </w:rPr>
              <w:t>注：</w:t>
            </w:r>
            <w:r>
              <w:rPr>
                <w:rFonts w:ascii="仿宋" w:hAnsi="仿宋"/>
              </w:rPr>
              <w:t>以上证书提供复印件并加盖公章，</w:t>
            </w:r>
            <w:r>
              <w:rPr>
                <w:rFonts w:hint="eastAsia" w:ascii="仿宋" w:hAnsi="仿宋" w:cs="宋体"/>
                <w:kern w:val="0"/>
              </w:rPr>
              <w:t>每提供一项得1分，最高得6分</w:t>
            </w:r>
            <w:r>
              <w:rPr>
                <w:rFonts w:ascii="仿宋" w:hAnsi="仿宋"/>
              </w:rPr>
              <w:t>。</w:t>
            </w:r>
          </w:p>
        </w:tc>
        <w:tc>
          <w:tcPr>
            <w:tcW w:w="1359" w:type="dxa"/>
            <w:shd w:val="clear" w:color="auto" w:fill="auto"/>
            <w:vAlign w:val="center"/>
          </w:tcPr>
          <w:p>
            <w:pPr>
              <w:widowControl/>
              <w:adjustRightInd w:val="0"/>
              <w:snapToGrid w:val="0"/>
              <w:rPr>
                <w:rFonts w:ascii="仿宋" w:hAnsi="仿宋" w:cs="仿宋"/>
              </w:rPr>
            </w:pPr>
            <w:r>
              <w:rPr>
                <w:rFonts w:hint="eastAsia" w:ascii="仿宋" w:hAnsi="仿宋" w:cs="仿宋"/>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68" w:type="dxa"/>
            <w:shd w:val="clear" w:color="auto" w:fill="auto"/>
            <w:vAlign w:val="center"/>
          </w:tcPr>
          <w:p>
            <w:pPr>
              <w:widowControl/>
              <w:adjustRightInd w:val="0"/>
              <w:snapToGrid w:val="0"/>
              <w:rPr>
                <w:rFonts w:ascii="仿宋" w:hAnsi="仿宋" w:cs="仿宋"/>
                <w:bCs/>
              </w:rPr>
            </w:pPr>
            <w:r>
              <w:rPr>
                <w:rFonts w:hint="eastAsia" w:ascii="仿宋" w:hAnsi="仿宋" w:cs="仿宋"/>
                <w:bCs/>
              </w:rPr>
              <w:t>7</w:t>
            </w:r>
          </w:p>
        </w:tc>
        <w:tc>
          <w:tcPr>
            <w:tcW w:w="1307" w:type="dxa"/>
            <w:shd w:val="clear" w:color="auto" w:fill="auto"/>
            <w:vAlign w:val="center"/>
          </w:tcPr>
          <w:p>
            <w:pPr>
              <w:widowControl/>
              <w:rPr>
                <w:rFonts w:ascii="仿宋" w:hAnsi="仿宋" w:cs="宋体"/>
                <w:kern w:val="0"/>
              </w:rPr>
            </w:pPr>
            <w:r>
              <w:rPr>
                <w:rFonts w:hint="eastAsia" w:ascii="仿宋" w:hAnsi="仿宋" w:cs="宋体"/>
                <w:kern w:val="0"/>
              </w:rPr>
              <w:t>投标人具备的知识产权 12%</w:t>
            </w:r>
          </w:p>
        </w:tc>
        <w:tc>
          <w:tcPr>
            <w:tcW w:w="673" w:type="dxa"/>
            <w:shd w:val="clear" w:color="auto" w:fill="auto"/>
            <w:vAlign w:val="center"/>
          </w:tcPr>
          <w:p>
            <w:pPr>
              <w:widowControl/>
              <w:rPr>
                <w:rFonts w:ascii="仿宋" w:hAnsi="仿宋" w:cs="宋体"/>
                <w:kern w:val="0"/>
              </w:rPr>
            </w:pPr>
            <w:r>
              <w:rPr>
                <w:rFonts w:hint="eastAsia" w:ascii="仿宋" w:hAnsi="仿宋" w:cs="宋体"/>
                <w:kern w:val="0"/>
              </w:rPr>
              <w:t>12分</w:t>
            </w:r>
          </w:p>
        </w:tc>
        <w:tc>
          <w:tcPr>
            <w:tcW w:w="5617" w:type="dxa"/>
            <w:shd w:val="clear" w:color="auto" w:fill="auto"/>
            <w:vAlign w:val="center"/>
          </w:tcPr>
          <w:p>
            <w:pPr>
              <w:widowControl/>
              <w:rPr>
                <w:rFonts w:ascii="仿宋" w:hAnsi="仿宋" w:cs="宋体"/>
                <w:kern w:val="0"/>
              </w:rPr>
            </w:pPr>
            <w:r>
              <w:rPr>
                <w:rFonts w:hint="eastAsia" w:ascii="仿宋" w:hAnsi="仿宋" w:cs="宋体"/>
                <w:kern w:val="0"/>
              </w:rPr>
              <w:t>（1）投标人取得呼吸专科领域的技术自主知识产权（计算机软件著作权登记证书、发明专利等），每具有一个得0.5分,最高得7分。</w:t>
            </w:r>
          </w:p>
          <w:p>
            <w:pPr>
              <w:widowControl/>
              <w:rPr>
                <w:rFonts w:ascii="仿宋" w:hAnsi="仿宋" w:cs="宋体"/>
                <w:kern w:val="0"/>
              </w:rPr>
            </w:pPr>
            <w:r>
              <w:rPr>
                <w:rFonts w:hint="eastAsia" w:ascii="仿宋" w:hAnsi="仿宋" w:cs="宋体"/>
                <w:kern w:val="0"/>
              </w:rPr>
              <w:t>注：提供有效期内证书复印件并加盖投标人公章。</w:t>
            </w:r>
          </w:p>
          <w:p>
            <w:pPr>
              <w:rPr>
                <w:rFonts w:ascii="仿宋" w:hAnsi="仿宋" w:cs="宋体"/>
                <w:kern w:val="0"/>
              </w:rPr>
            </w:pPr>
            <w:r>
              <w:rPr>
                <w:rFonts w:hint="eastAsia" w:ascii="仿宋" w:hAnsi="仿宋" w:cs="宋体"/>
                <w:kern w:val="0"/>
              </w:rPr>
              <w:t>（2）投标人具备出版或参与出版呼吸系统疾病专病标准数据集的经验，提供出版物首页及关键页的复印件加盖公章，得5分。</w:t>
            </w:r>
          </w:p>
        </w:tc>
        <w:tc>
          <w:tcPr>
            <w:tcW w:w="1359" w:type="dxa"/>
            <w:shd w:val="clear" w:color="auto" w:fill="auto"/>
            <w:vAlign w:val="center"/>
          </w:tcPr>
          <w:p>
            <w:pPr>
              <w:widowControl/>
              <w:adjustRightInd w:val="0"/>
              <w:snapToGrid w:val="0"/>
              <w:rPr>
                <w:rFonts w:ascii="仿宋" w:hAnsi="仿宋" w:cs="仿宋"/>
              </w:rPr>
            </w:pPr>
            <w:r>
              <w:rPr>
                <w:rFonts w:hint="eastAsia" w:ascii="仿宋" w:hAnsi="仿宋" w:cs="仿宋"/>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68" w:type="dxa"/>
            <w:shd w:val="clear" w:color="auto" w:fill="auto"/>
            <w:vAlign w:val="center"/>
          </w:tcPr>
          <w:p>
            <w:pPr>
              <w:widowControl/>
              <w:adjustRightInd w:val="0"/>
              <w:snapToGrid w:val="0"/>
              <w:rPr>
                <w:rFonts w:ascii="仿宋" w:hAnsi="仿宋" w:cs="仿宋"/>
                <w:bCs/>
              </w:rPr>
            </w:pPr>
            <w:r>
              <w:rPr>
                <w:rFonts w:hint="eastAsia" w:ascii="仿宋" w:hAnsi="仿宋" w:cs="仿宋"/>
                <w:bCs/>
              </w:rPr>
              <w:t>8</w:t>
            </w:r>
          </w:p>
        </w:tc>
        <w:tc>
          <w:tcPr>
            <w:tcW w:w="1307" w:type="dxa"/>
            <w:shd w:val="clear" w:color="auto" w:fill="auto"/>
            <w:vAlign w:val="center"/>
          </w:tcPr>
          <w:p>
            <w:pPr>
              <w:widowControl/>
              <w:rPr>
                <w:rFonts w:ascii="仿宋" w:hAnsi="仿宋" w:cs="宋体"/>
                <w:kern w:val="0"/>
              </w:rPr>
            </w:pPr>
            <w:r>
              <w:rPr>
                <w:rFonts w:hint="eastAsia" w:ascii="仿宋" w:hAnsi="仿宋" w:cs="宋体"/>
                <w:kern w:val="0"/>
              </w:rPr>
              <w:t>类似项目业绩 20%</w:t>
            </w:r>
          </w:p>
        </w:tc>
        <w:tc>
          <w:tcPr>
            <w:tcW w:w="673" w:type="dxa"/>
            <w:shd w:val="clear" w:color="auto" w:fill="auto"/>
            <w:vAlign w:val="center"/>
          </w:tcPr>
          <w:p>
            <w:pPr>
              <w:widowControl/>
              <w:rPr>
                <w:rFonts w:ascii="仿宋" w:hAnsi="仿宋" w:cs="宋体"/>
                <w:kern w:val="0"/>
              </w:rPr>
            </w:pPr>
            <w:r>
              <w:rPr>
                <w:rFonts w:hint="eastAsia" w:ascii="仿宋" w:hAnsi="仿宋" w:cs="宋体"/>
                <w:kern w:val="0"/>
              </w:rPr>
              <w:t>20分</w:t>
            </w:r>
          </w:p>
        </w:tc>
        <w:tc>
          <w:tcPr>
            <w:tcW w:w="5617" w:type="dxa"/>
            <w:shd w:val="clear" w:color="auto" w:fill="auto"/>
            <w:vAlign w:val="center"/>
          </w:tcPr>
          <w:p>
            <w:pPr>
              <w:autoSpaceDN w:val="0"/>
              <w:rPr>
                <w:rFonts w:ascii="仿宋" w:hAnsi="仿宋" w:cs="仿宋"/>
                <w:lang w:val="zh-CN"/>
              </w:rPr>
            </w:pPr>
            <w:r>
              <w:rPr>
                <w:rFonts w:hint="eastAsia" w:ascii="仿宋" w:hAnsi="仿宋" w:cs="仿宋"/>
                <w:lang w:val="zh-CN"/>
              </w:rPr>
              <w:t>投标人自</w:t>
            </w:r>
            <w:r>
              <w:rPr>
                <w:rFonts w:ascii="仿宋" w:hAnsi="仿宋" w:cs="仿宋"/>
                <w:lang w:val="zh-CN"/>
              </w:rPr>
              <w:t>2018</w:t>
            </w:r>
            <w:r>
              <w:rPr>
                <w:rFonts w:hint="eastAsia" w:ascii="仿宋" w:hAnsi="仿宋" w:cs="仿宋"/>
                <w:lang w:val="zh-CN"/>
              </w:rPr>
              <w:t>年1月1日（含）至</w:t>
            </w:r>
            <w:r>
              <w:rPr>
                <w:rFonts w:ascii="仿宋" w:hAnsi="仿宋" w:cs="仿宋"/>
                <w:lang w:val="zh-CN"/>
              </w:rPr>
              <w:t>投标截止日期承担过呼吸系统疾病大数据平台项目</w:t>
            </w:r>
            <w:r>
              <w:rPr>
                <w:rFonts w:hint="eastAsia" w:ascii="仿宋" w:hAnsi="仿宋" w:cs="仿宋"/>
              </w:rPr>
              <w:t>的类似</w:t>
            </w:r>
            <w:r>
              <w:rPr>
                <w:rFonts w:ascii="仿宋" w:hAnsi="仿宋" w:cs="仿宋"/>
                <w:lang w:val="zh-CN"/>
              </w:rPr>
              <w:t>建设经验，</w:t>
            </w:r>
            <w:r>
              <w:rPr>
                <w:rFonts w:hint="eastAsia" w:ascii="仿宋" w:hAnsi="仿宋" w:cs="仿宋"/>
              </w:rPr>
              <w:t>每提供一个案例得2</w:t>
            </w:r>
            <w:r>
              <w:rPr>
                <w:rFonts w:ascii="仿宋" w:hAnsi="仿宋" w:cs="仿宋"/>
              </w:rPr>
              <w:t>分，最多得</w:t>
            </w:r>
            <w:r>
              <w:rPr>
                <w:rFonts w:hint="eastAsia" w:ascii="仿宋" w:hAnsi="仿宋" w:cs="仿宋"/>
              </w:rPr>
              <w:t>20</w:t>
            </w:r>
            <w:r>
              <w:rPr>
                <w:rFonts w:ascii="仿宋" w:hAnsi="仿宋" w:cs="仿宋"/>
              </w:rPr>
              <w:t>分。</w:t>
            </w:r>
          </w:p>
          <w:p>
            <w:pPr>
              <w:rPr>
                <w:rFonts w:ascii="仿宋" w:hAnsi="仿宋" w:cs="宋体"/>
                <w:kern w:val="0"/>
              </w:rPr>
            </w:pPr>
            <w:r>
              <w:rPr>
                <w:rFonts w:hint="eastAsia" w:ascii="仿宋" w:hAnsi="仿宋" w:cs="仿宋"/>
              </w:rPr>
              <w:t>注：以上提供相关项目合同复印件并加盖投标人公章。</w:t>
            </w:r>
          </w:p>
        </w:tc>
        <w:tc>
          <w:tcPr>
            <w:tcW w:w="1359" w:type="dxa"/>
            <w:shd w:val="clear" w:color="auto" w:fill="auto"/>
            <w:vAlign w:val="center"/>
          </w:tcPr>
          <w:p>
            <w:pPr>
              <w:widowControl/>
              <w:adjustRightInd w:val="0"/>
              <w:snapToGrid w:val="0"/>
              <w:rPr>
                <w:rFonts w:ascii="仿宋" w:hAnsi="仿宋" w:cs="仿宋"/>
                <w:bCs/>
              </w:rPr>
            </w:pPr>
            <w:r>
              <w:rPr>
                <w:rFonts w:hint="eastAsia" w:ascii="仿宋" w:hAnsi="仿宋" w:cs="仿宋"/>
              </w:rPr>
              <w:t>共同评分因素</w:t>
            </w:r>
          </w:p>
        </w:tc>
      </w:tr>
    </w:tbl>
    <w:p>
      <w:pPr>
        <w:pStyle w:val="14"/>
        <w:tabs>
          <w:tab w:val="left" w:pos="600"/>
        </w:tabs>
        <w:spacing w:line="400" w:lineRule="exact"/>
        <w:ind w:left="480"/>
        <w:rPr>
          <w:szCs w:val="21"/>
        </w:rPr>
      </w:pPr>
    </w:p>
    <w:p>
      <w:pPr>
        <w:rPr>
          <w:rFonts w:ascii="仿宋" w:hAnsi="仿宋"/>
          <w:b/>
          <w:bCs/>
          <w:sz w:val="28"/>
          <w:szCs w:val="28"/>
        </w:rPr>
      </w:pPr>
      <w:r>
        <w:rPr>
          <w:rFonts w:hint="eastAsia" w:ascii="仿宋" w:hAnsi="仿宋"/>
          <w:b/>
          <w:bCs/>
          <w:sz w:val="28"/>
          <w:szCs w:val="28"/>
        </w:rPr>
        <w:br w:type="page"/>
      </w:r>
    </w:p>
    <w:p>
      <w:pPr>
        <w:pStyle w:val="14"/>
        <w:tabs>
          <w:tab w:val="left" w:pos="600"/>
        </w:tabs>
        <w:spacing w:line="400" w:lineRule="exact"/>
        <w:ind w:left="480"/>
        <w:rPr>
          <w:rFonts w:ascii="仿宋" w:hAnsi="仿宋"/>
          <w:b/>
          <w:bCs/>
          <w:sz w:val="28"/>
          <w:szCs w:val="28"/>
        </w:rPr>
      </w:pPr>
      <w:r>
        <w:rPr>
          <w:rFonts w:hint="eastAsia" w:ascii="仿宋" w:hAnsi="仿宋"/>
          <w:b/>
          <w:bCs/>
          <w:sz w:val="28"/>
          <w:szCs w:val="28"/>
        </w:rPr>
        <w:t>包3：</w:t>
      </w:r>
    </w:p>
    <w:tbl>
      <w:tblPr>
        <w:tblStyle w:val="35"/>
        <w:tblW w:w="95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090"/>
        <w:gridCol w:w="590"/>
        <w:gridCol w:w="5670"/>
        <w:gridCol w:w="579"/>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cs="仿宋"/>
              </w:rPr>
            </w:pPr>
            <w:r>
              <w:rPr>
                <w:rFonts w:hint="eastAsia" w:ascii="仿宋" w:hAnsi="仿宋" w:cs="仿宋"/>
              </w:rPr>
              <w:t>序号</w:t>
            </w:r>
          </w:p>
        </w:tc>
        <w:tc>
          <w:tcPr>
            <w:tcW w:w="1090" w:type="dxa"/>
            <w:vAlign w:val="center"/>
          </w:tcPr>
          <w:p>
            <w:pPr>
              <w:spacing w:line="400" w:lineRule="exact"/>
              <w:ind w:firstLine="28"/>
              <w:jc w:val="center"/>
              <w:rPr>
                <w:rFonts w:ascii="仿宋" w:hAnsi="仿宋" w:cs="仿宋"/>
              </w:rPr>
            </w:pPr>
            <w:r>
              <w:rPr>
                <w:rFonts w:hint="eastAsia" w:ascii="仿宋" w:hAnsi="仿宋" w:cs="仿宋"/>
              </w:rPr>
              <w:t>评分因素及权重</w:t>
            </w:r>
          </w:p>
        </w:tc>
        <w:tc>
          <w:tcPr>
            <w:tcW w:w="590" w:type="dxa"/>
            <w:vAlign w:val="center"/>
          </w:tcPr>
          <w:p>
            <w:pPr>
              <w:spacing w:line="400" w:lineRule="exact"/>
              <w:ind w:firstLine="28"/>
              <w:jc w:val="center"/>
              <w:rPr>
                <w:rFonts w:ascii="仿宋" w:hAnsi="仿宋" w:cs="仿宋"/>
              </w:rPr>
            </w:pPr>
            <w:r>
              <w:rPr>
                <w:rFonts w:hint="eastAsia" w:ascii="仿宋" w:hAnsi="仿宋" w:cs="仿宋"/>
              </w:rPr>
              <w:t>分值</w:t>
            </w:r>
          </w:p>
        </w:tc>
        <w:tc>
          <w:tcPr>
            <w:tcW w:w="5670" w:type="dxa"/>
            <w:vAlign w:val="center"/>
          </w:tcPr>
          <w:p>
            <w:pPr>
              <w:spacing w:line="400" w:lineRule="exact"/>
              <w:ind w:firstLine="28"/>
              <w:jc w:val="center"/>
              <w:rPr>
                <w:rFonts w:ascii="仿宋" w:hAnsi="仿宋" w:cs="仿宋"/>
              </w:rPr>
            </w:pPr>
            <w:r>
              <w:rPr>
                <w:rFonts w:hint="eastAsia" w:ascii="仿宋" w:hAnsi="仿宋" w:cs="仿宋"/>
              </w:rPr>
              <w:t>评分标准</w:t>
            </w:r>
          </w:p>
        </w:tc>
        <w:tc>
          <w:tcPr>
            <w:tcW w:w="579" w:type="dxa"/>
            <w:vAlign w:val="center"/>
          </w:tcPr>
          <w:p>
            <w:pPr>
              <w:spacing w:line="400" w:lineRule="exact"/>
              <w:jc w:val="center"/>
              <w:rPr>
                <w:rFonts w:ascii="仿宋" w:hAnsi="仿宋" w:cs="仿宋"/>
              </w:rPr>
            </w:pPr>
            <w:r>
              <w:rPr>
                <w:rFonts w:hint="eastAsia" w:ascii="仿宋" w:hAnsi="仿宋" w:cs="仿宋"/>
              </w:rPr>
              <w:t>备注</w:t>
            </w:r>
          </w:p>
        </w:tc>
        <w:tc>
          <w:tcPr>
            <w:tcW w:w="1050" w:type="dxa"/>
            <w:vAlign w:val="center"/>
          </w:tcPr>
          <w:p>
            <w:pPr>
              <w:spacing w:line="400" w:lineRule="exact"/>
              <w:jc w:val="center"/>
              <w:rPr>
                <w:rFonts w:ascii="仿宋" w:hAnsi="仿宋" w:cs="仿宋"/>
              </w:rPr>
            </w:pPr>
            <w:r>
              <w:rPr>
                <w:rFonts w:hint="eastAsia" w:ascii="仿宋" w:hAnsi="仿宋" w:cs="仿宋"/>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cs="仿宋"/>
              </w:rPr>
            </w:pPr>
            <w:r>
              <w:rPr>
                <w:rFonts w:hint="eastAsia" w:ascii="仿宋" w:hAnsi="仿宋" w:cs="仿宋"/>
              </w:rPr>
              <w:t>1</w:t>
            </w:r>
          </w:p>
        </w:tc>
        <w:tc>
          <w:tcPr>
            <w:tcW w:w="1090" w:type="dxa"/>
            <w:vAlign w:val="center"/>
          </w:tcPr>
          <w:p>
            <w:pPr>
              <w:rPr>
                <w:rFonts w:ascii="仿宋" w:hAnsi="仿宋" w:cs="仿宋"/>
              </w:rPr>
            </w:pPr>
            <w:r>
              <w:rPr>
                <w:rFonts w:hint="eastAsia" w:ascii="仿宋" w:hAnsi="仿宋" w:cs="仿宋"/>
              </w:rPr>
              <w:t>报价30%</w:t>
            </w:r>
          </w:p>
          <w:p>
            <w:pPr>
              <w:rPr>
                <w:rFonts w:ascii="仿宋" w:hAnsi="仿宋" w:cs="仿宋"/>
              </w:rPr>
            </w:pPr>
          </w:p>
        </w:tc>
        <w:tc>
          <w:tcPr>
            <w:tcW w:w="590" w:type="dxa"/>
            <w:vAlign w:val="center"/>
          </w:tcPr>
          <w:p>
            <w:pPr>
              <w:rPr>
                <w:rFonts w:ascii="仿宋" w:hAnsi="仿宋" w:cs="仿宋"/>
              </w:rPr>
            </w:pPr>
            <w:r>
              <w:rPr>
                <w:rFonts w:hint="eastAsia" w:ascii="仿宋" w:hAnsi="仿宋" w:cs="仿宋"/>
              </w:rPr>
              <w:t>30分</w:t>
            </w:r>
          </w:p>
        </w:tc>
        <w:tc>
          <w:tcPr>
            <w:tcW w:w="5670" w:type="dxa"/>
            <w:vAlign w:val="center"/>
          </w:tcPr>
          <w:p>
            <w:pPr>
              <w:pStyle w:val="11"/>
              <w:rPr>
                <w:rFonts w:ascii="仿宋" w:hAnsi="仿宋" w:eastAsia="仿宋" w:cs="仿宋"/>
                <w:sz w:val="24"/>
              </w:rPr>
            </w:pPr>
            <w:r>
              <w:rPr>
                <w:rFonts w:hint="eastAsia" w:ascii="仿宋" w:hAnsi="仿宋" w:eastAsia="仿宋" w:cs="仿宋"/>
                <w:sz w:val="24"/>
              </w:rPr>
              <w:t>满足招标文件要求且投标价格最低的投标报价为评标基准价，其价格分为满分。其他投标人的价格分统一按照下列公式计算：投标报价得分=(评标基准价／投标报价)×30</w:t>
            </w:r>
          </w:p>
        </w:tc>
        <w:tc>
          <w:tcPr>
            <w:tcW w:w="579" w:type="dxa"/>
            <w:vAlign w:val="center"/>
          </w:tcPr>
          <w:p>
            <w:pPr>
              <w:jc w:val="center"/>
              <w:rPr>
                <w:rFonts w:ascii="仿宋" w:hAnsi="仿宋" w:cs="仿宋"/>
              </w:rPr>
            </w:pPr>
            <w:r>
              <w:rPr>
                <w:rFonts w:hint="eastAsia" w:ascii="仿宋" w:hAnsi="仿宋" w:cs="仿宋"/>
              </w:rPr>
              <w:t>/</w:t>
            </w:r>
          </w:p>
        </w:tc>
        <w:tc>
          <w:tcPr>
            <w:tcW w:w="1050" w:type="dxa"/>
            <w:vAlign w:val="center"/>
          </w:tcPr>
          <w:p>
            <w:pPr>
              <w:rPr>
                <w:rFonts w:ascii="仿宋" w:hAnsi="仿宋" w:cs="仿宋"/>
              </w:rPr>
            </w:pPr>
            <w:r>
              <w:rPr>
                <w:rFonts w:hint="eastAsia" w:ascii="仿宋" w:hAnsi="仿宋" w:cs="仿宋"/>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77" w:type="dxa"/>
            <w:vAlign w:val="center"/>
          </w:tcPr>
          <w:p>
            <w:pPr>
              <w:spacing w:line="400" w:lineRule="exact"/>
              <w:ind w:firstLine="28"/>
              <w:jc w:val="center"/>
              <w:rPr>
                <w:rFonts w:ascii="仿宋" w:hAnsi="仿宋" w:cs="仿宋"/>
              </w:rPr>
            </w:pPr>
            <w:r>
              <w:rPr>
                <w:rFonts w:hint="eastAsia" w:ascii="仿宋" w:hAnsi="仿宋" w:cs="仿宋"/>
              </w:rPr>
              <w:t>2</w:t>
            </w:r>
          </w:p>
        </w:tc>
        <w:tc>
          <w:tcPr>
            <w:tcW w:w="1090" w:type="dxa"/>
            <w:vAlign w:val="center"/>
          </w:tcPr>
          <w:p>
            <w:pPr>
              <w:rPr>
                <w:rFonts w:ascii="仿宋" w:hAnsi="仿宋" w:cs="仿宋"/>
              </w:rPr>
            </w:pPr>
            <w:r>
              <w:rPr>
                <w:rFonts w:hint="eastAsia" w:ascii="仿宋" w:hAnsi="仿宋" w:cs="仿宋"/>
              </w:rPr>
              <w:t>技术、服务要求</w:t>
            </w:r>
            <w:r>
              <w:rPr>
                <w:rFonts w:hint="eastAsia" w:ascii="仿宋" w:hAnsi="仿宋" w:cs="仿宋"/>
                <w:lang w:val="en-US" w:eastAsia="zh-CN"/>
              </w:rPr>
              <w:t>49</w:t>
            </w:r>
            <w:r>
              <w:rPr>
                <w:rFonts w:hint="eastAsia" w:ascii="仿宋" w:hAnsi="仿宋" w:cs="仿宋"/>
              </w:rPr>
              <w:t>%</w:t>
            </w:r>
          </w:p>
        </w:tc>
        <w:tc>
          <w:tcPr>
            <w:tcW w:w="590" w:type="dxa"/>
            <w:vAlign w:val="center"/>
          </w:tcPr>
          <w:p>
            <w:pPr>
              <w:rPr>
                <w:rFonts w:ascii="仿宋" w:hAnsi="仿宋" w:cs="仿宋"/>
              </w:rPr>
            </w:pPr>
            <w:r>
              <w:rPr>
                <w:rFonts w:hint="eastAsia" w:ascii="仿宋" w:hAnsi="仿宋" w:cs="仿宋"/>
                <w:lang w:val="en-US" w:eastAsia="zh-CN"/>
              </w:rPr>
              <w:t>49</w:t>
            </w:r>
            <w:r>
              <w:rPr>
                <w:rFonts w:hint="eastAsia" w:ascii="仿宋" w:hAnsi="仿宋" w:cs="仿宋"/>
              </w:rPr>
              <w:t>分</w:t>
            </w:r>
          </w:p>
        </w:tc>
        <w:tc>
          <w:tcPr>
            <w:tcW w:w="5670" w:type="dxa"/>
            <w:vAlign w:val="center"/>
          </w:tcPr>
          <w:p>
            <w:pPr>
              <w:autoSpaceDN w:val="0"/>
              <w:spacing w:line="240" w:lineRule="auto"/>
              <w:rPr>
                <w:rFonts w:ascii="仿宋" w:hAnsi="仿宋" w:cs="仿宋"/>
              </w:rPr>
            </w:pPr>
            <w:r>
              <w:rPr>
                <w:rFonts w:hint="eastAsia" w:ascii="仿宋" w:hAnsi="仿宋" w:cs="仿宋"/>
              </w:rPr>
              <w:t>投标人针对招标文件第六章“三、技术服务要求”条款的响应得分为A+B：</w:t>
            </w:r>
          </w:p>
          <w:p>
            <w:pPr>
              <w:autoSpaceDN w:val="0"/>
              <w:spacing w:line="240" w:lineRule="auto"/>
              <w:rPr>
                <w:rFonts w:ascii="仿宋" w:hAnsi="仿宋" w:cs="仿宋"/>
              </w:rPr>
            </w:pPr>
            <w:r>
              <w:rPr>
                <w:rFonts w:hint="eastAsia" w:ascii="仿宋" w:hAnsi="仿宋" w:cs="仿宋"/>
              </w:rPr>
              <w:t>A.一般条款响应得分=（投标人满足一般条款的数量÷一般条款的总数量共46条）×</w:t>
            </w:r>
            <w:r>
              <w:rPr>
                <w:rFonts w:hint="eastAsia" w:ascii="仿宋" w:hAnsi="仿宋" w:cs="仿宋"/>
                <w:lang w:val="en-US" w:eastAsia="zh-CN"/>
              </w:rPr>
              <w:t>29</w:t>
            </w:r>
            <w:r>
              <w:rPr>
                <w:rFonts w:hint="eastAsia" w:ascii="仿宋" w:hAnsi="仿宋" w:cs="仿宋"/>
              </w:rPr>
              <w:t>分。</w:t>
            </w:r>
          </w:p>
          <w:p>
            <w:pPr>
              <w:autoSpaceDN w:val="0"/>
              <w:spacing w:line="240" w:lineRule="auto"/>
              <w:rPr>
                <w:rFonts w:ascii="仿宋" w:hAnsi="仿宋" w:cs="仿宋"/>
              </w:rPr>
            </w:pPr>
            <w:r>
              <w:rPr>
                <w:rFonts w:hint="eastAsia" w:ascii="仿宋" w:hAnsi="仿宋" w:cs="仿宋"/>
              </w:rPr>
              <w:t>B.“▲”条款响应得分=（投标人满足“▲”条款的数量÷“▲”条款的总数量共5条）×</w:t>
            </w:r>
            <w:r>
              <w:rPr>
                <w:rFonts w:hint="eastAsia" w:ascii="仿宋" w:hAnsi="仿宋" w:cs="仿宋"/>
                <w:lang w:val="en-US" w:eastAsia="zh-CN"/>
              </w:rPr>
              <w:t>20</w:t>
            </w:r>
            <w:r>
              <w:rPr>
                <w:rFonts w:hint="eastAsia" w:ascii="仿宋" w:hAnsi="仿宋" w:cs="仿宋"/>
              </w:rPr>
              <w:t>分。</w:t>
            </w:r>
          </w:p>
          <w:p>
            <w:pPr>
              <w:rPr>
                <w:rFonts w:ascii="仿宋" w:hAnsi="仿宋" w:cs="仿宋"/>
              </w:rPr>
            </w:pPr>
            <w:r>
              <w:rPr>
                <w:rFonts w:hint="eastAsia" w:ascii="仿宋" w:hAnsi="仿宋" w:cs="仿宋"/>
              </w:rPr>
              <w:t>注：①针对服务要求条款的响应，如果招标文件第六章“技术服务要求”条款对佐证材料有要求的应按要求提供，否则对应条款将视为不满足。②一般条款指未标注“★”或“▲”的条款。③“★”条款是本项目的实质性要求，投标人未全部满足的按照无效投标处理，不再用于打分。</w:t>
            </w:r>
          </w:p>
        </w:tc>
        <w:tc>
          <w:tcPr>
            <w:tcW w:w="579" w:type="dxa"/>
            <w:vAlign w:val="center"/>
          </w:tcPr>
          <w:p>
            <w:pPr>
              <w:jc w:val="center"/>
              <w:rPr>
                <w:rFonts w:ascii="仿宋" w:hAnsi="仿宋" w:cs="仿宋"/>
              </w:rPr>
            </w:pPr>
            <w:r>
              <w:rPr>
                <w:rFonts w:hint="eastAsia" w:ascii="仿宋" w:hAnsi="仿宋" w:cs="仿宋"/>
              </w:rPr>
              <w:t>/</w:t>
            </w:r>
          </w:p>
        </w:tc>
        <w:tc>
          <w:tcPr>
            <w:tcW w:w="1050" w:type="dxa"/>
            <w:vAlign w:val="center"/>
          </w:tcPr>
          <w:p>
            <w:pPr>
              <w:rPr>
                <w:rFonts w:ascii="仿宋" w:hAnsi="仿宋" w:cs="仿宋"/>
              </w:rPr>
            </w:pPr>
            <w:r>
              <w:rPr>
                <w:rFonts w:hint="eastAsia" w:ascii="仿宋" w:hAnsi="仿宋" w:cs="仿宋"/>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hint="eastAsia" w:ascii="仿宋" w:hAnsi="仿宋" w:eastAsia="仿宋" w:cs="仿宋"/>
                <w:lang w:val="en-US" w:eastAsia="zh-CN"/>
              </w:rPr>
            </w:pPr>
            <w:r>
              <w:rPr>
                <w:rFonts w:hint="eastAsia" w:ascii="仿宋" w:hAnsi="仿宋" w:cs="仿宋"/>
                <w:lang w:val="en-US" w:eastAsia="zh-CN"/>
              </w:rPr>
              <w:t>3</w:t>
            </w:r>
          </w:p>
        </w:tc>
        <w:tc>
          <w:tcPr>
            <w:tcW w:w="1090" w:type="dxa"/>
            <w:vAlign w:val="center"/>
          </w:tcPr>
          <w:p>
            <w:pPr>
              <w:rPr>
                <w:rFonts w:hint="default" w:ascii="仿宋" w:hAnsi="仿宋" w:eastAsia="仿宋" w:cs="仿宋"/>
                <w:lang w:val="en-US" w:eastAsia="zh-CN"/>
              </w:rPr>
            </w:pPr>
            <w:r>
              <w:rPr>
                <w:rFonts w:hint="eastAsia" w:ascii="仿宋" w:hAnsi="仿宋" w:cs="仿宋"/>
                <w:lang w:val="en-US" w:eastAsia="zh-CN"/>
              </w:rPr>
              <w:t>服务方案16%</w:t>
            </w:r>
          </w:p>
        </w:tc>
        <w:tc>
          <w:tcPr>
            <w:tcW w:w="590" w:type="dxa"/>
            <w:vAlign w:val="center"/>
          </w:tcPr>
          <w:p>
            <w:pPr>
              <w:rPr>
                <w:rFonts w:hint="default" w:ascii="仿宋" w:hAnsi="仿宋" w:eastAsia="仿宋" w:cs="仿宋"/>
                <w:lang w:val="en-US" w:eastAsia="zh-CN"/>
              </w:rPr>
            </w:pPr>
            <w:r>
              <w:rPr>
                <w:rFonts w:hint="eastAsia" w:ascii="仿宋" w:hAnsi="仿宋" w:cs="仿宋"/>
                <w:lang w:val="en-US" w:eastAsia="zh-CN"/>
              </w:rPr>
              <w:t>16分</w:t>
            </w:r>
          </w:p>
        </w:tc>
        <w:tc>
          <w:tcPr>
            <w:tcW w:w="5670" w:type="dxa"/>
            <w:vAlign w:val="center"/>
          </w:tcPr>
          <w:p>
            <w:pPr>
              <w:rPr>
                <w:rFonts w:hint="eastAsia" w:ascii="仿宋" w:hAnsi="仿宋" w:cs="仿宋"/>
              </w:rPr>
            </w:pPr>
            <w:r>
              <w:rPr>
                <w:rFonts w:hint="eastAsia" w:ascii="仿宋" w:hAnsi="仿宋" w:cs="仿宋"/>
              </w:rPr>
              <w:t>供应商须提供针对本项目的服务方案，至少包含以下方面：①技术整体方案（包括平台各模块技术方案）；②实施方案及进度计划；③培训方案；④售后服务及运维方案。</w:t>
            </w:r>
          </w:p>
          <w:p>
            <w:pPr>
              <w:rPr>
                <w:rFonts w:hint="eastAsia" w:ascii="仿宋" w:hAnsi="仿宋" w:cs="仿宋"/>
              </w:rPr>
            </w:pPr>
            <w:r>
              <w:rPr>
                <w:rFonts w:hint="eastAsia" w:ascii="仿宋" w:hAnsi="仿宋" w:cs="仿宋"/>
              </w:rPr>
              <w:t>以上4项内容齐全，且同时满足：内容充分、逻辑严谨、符合项目及当地实际情况的得16分。每缺少一个内容的扣4分，16分扣完为止；内容描述存在内容不充分、前后矛盾、不符合项目及当地实际情况中任何一种情形或其他不足之处的，每有一处扣2分，每项最多扣4分，16分扣完为止。</w:t>
            </w:r>
          </w:p>
        </w:tc>
        <w:tc>
          <w:tcPr>
            <w:tcW w:w="579" w:type="dxa"/>
            <w:vAlign w:val="center"/>
          </w:tcPr>
          <w:p>
            <w:pPr>
              <w:rPr>
                <w:rFonts w:hint="eastAsia" w:ascii="仿宋" w:hAnsi="仿宋" w:cs="仿宋"/>
              </w:rPr>
            </w:pPr>
            <w:r>
              <w:rPr>
                <w:rFonts w:hint="eastAsia" w:ascii="仿宋" w:hAnsi="仿宋" w:cs="仿宋"/>
              </w:rPr>
              <w:t>/</w:t>
            </w:r>
          </w:p>
        </w:tc>
        <w:tc>
          <w:tcPr>
            <w:tcW w:w="1050" w:type="dxa"/>
            <w:vAlign w:val="center"/>
          </w:tcPr>
          <w:p>
            <w:pPr>
              <w:rPr>
                <w:rFonts w:hint="eastAsia" w:ascii="仿宋" w:hAnsi="仿宋" w:cs="仿宋"/>
              </w:rPr>
            </w:pPr>
            <w:r>
              <w:rPr>
                <w:rFonts w:hint="eastAsia" w:ascii="仿宋" w:hAnsi="仿宋" w:cs="仿宋"/>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cs="仿宋"/>
              </w:rPr>
            </w:pPr>
            <w:r>
              <w:rPr>
                <w:rFonts w:hint="eastAsia" w:ascii="仿宋" w:hAnsi="仿宋" w:cs="仿宋"/>
              </w:rPr>
              <w:t>5</w:t>
            </w:r>
          </w:p>
        </w:tc>
        <w:tc>
          <w:tcPr>
            <w:tcW w:w="1090" w:type="dxa"/>
            <w:vAlign w:val="center"/>
          </w:tcPr>
          <w:p>
            <w:pPr>
              <w:rPr>
                <w:rFonts w:ascii="仿宋" w:hAnsi="仿宋" w:cs="仿宋"/>
              </w:rPr>
            </w:pPr>
            <w:r>
              <w:rPr>
                <w:rFonts w:hint="eastAsia" w:ascii="仿宋" w:hAnsi="仿宋" w:cs="仿宋"/>
              </w:rPr>
              <w:t>业绩4%</w:t>
            </w:r>
          </w:p>
        </w:tc>
        <w:tc>
          <w:tcPr>
            <w:tcW w:w="590" w:type="dxa"/>
            <w:vAlign w:val="center"/>
          </w:tcPr>
          <w:p>
            <w:pPr>
              <w:rPr>
                <w:rFonts w:ascii="仿宋" w:hAnsi="仿宋" w:cs="仿宋"/>
              </w:rPr>
            </w:pPr>
            <w:r>
              <w:rPr>
                <w:rFonts w:hint="eastAsia" w:ascii="仿宋" w:hAnsi="仿宋" w:cs="仿宋"/>
              </w:rPr>
              <w:t>4分</w:t>
            </w:r>
          </w:p>
        </w:tc>
        <w:tc>
          <w:tcPr>
            <w:tcW w:w="5670" w:type="dxa"/>
            <w:vAlign w:val="center"/>
          </w:tcPr>
          <w:p>
            <w:pPr>
              <w:rPr>
                <w:rFonts w:ascii="仿宋" w:hAnsi="仿宋" w:cs="仿宋"/>
              </w:rPr>
            </w:pPr>
            <w:r>
              <w:rPr>
                <w:rFonts w:hint="eastAsia" w:ascii="仿宋" w:hAnsi="仿宋" w:cs="仿宋"/>
              </w:rPr>
              <w:t>投标人具有</w:t>
            </w:r>
            <w:r>
              <w:rPr>
                <w:rFonts w:ascii="仿宋" w:hAnsi="仿宋" w:cs="仿宋"/>
                <w:lang w:val="zh-CN"/>
              </w:rPr>
              <w:t>2018</w:t>
            </w:r>
            <w:r>
              <w:rPr>
                <w:rFonts w:hint="eastAsia" w:ascii="仿宋" w:hAnsi="仿宋" w:cs="仿宋"/>
                <w:lang w:val="zh-CN"/>
              </w:rPr>
              <w:t>年1月1日（含）至</w:t>
            </w:r>
            <w:r>
              <w:rPr>
                <w:rFonts w:ascii="仿宋" w:hAnsi="仿宋" w:cs="仿宋"/>
                <w:lang w:val="zh-CN"/>
              </w:rPr>
              <w:t>投标截止日期</w:t>
            </w:r>
            <w:r>
              <w:rPr>
                <w:rFonts w:hint="eastAsia" w:ascii="仿宋" w:hAnsi="仿宋" w:cs="仿宋"/>
              </w:rPr>
              <w:t>类似业绩，每提供一个得2分，最多得4分。(提供合同或中标/成交通知书复印件，并加盖投标人</w:t>
            </w:r>
            <w:r>
              <w:rPr>
                <w:rFonts w:hint="eastAsia" w:ascii="仿宋" w:hAnsi="仿宋" w:cs="仿宋"/>
                <w:lang w:val="en-US" w:eastAsia="zh-CN"/>
              </w:rPr>
              <w:t>电子印章</w:t>
            </w:r>
            <w:r>
              <w:rPr>
                <w:rFonts w:hint="eastAsia" w:ascii="仿宋" w:hAnsi="仿宋" w:cs="仿宋"/>
              </w:rPr>
              <w:t>)</w:t>
            </w:r>
          </w:p>
        </w:tc>
        <w:tc>
          <w:tcPr>
            <w:tcW w:w="579" w:type="dxa"/>
            <w:vAlign w:val="center"/>
          </w:tcPr>
          <w:p>
            <w:pPr>
              <w:rPr>
                <w:rFonts w:ascii="仿宋" w:hAnsi="仿宋" w:cs="仿宋"/>
              </w:rPr>
            </w:pPr>
            <w:r>
              <w:rPr>
                <w:rFonts w:hint="eastAsia" w:ascii="仿宋" w:hAnsi="仿宋" w:cs="仿宋"/>
              </w:rPr>
              <w:t>/</w:t>
            </w:r>
          </w:p>
        </w:tc>
        <w:tc>
          <w:tcPr>
            <w:tcW w:w="1050" w:type="dxa"/>
            <w:vAlign w:val="center"/>
          </w:tcPr>
          <w:p>
            <w:pPr>
              <w:rPr>
                <w:rFonts w:ascii="仿宋" w:hAnsi="仿宋" w:cs="仿宋"/>
              </w:rPr>
            </w:pPr>
            <w:r>
              <w:rPr>
                <w:rFonts w:hint="eastAsia" w:ascii="仿宋" w:hAnsi="仿宋" w:cs="仿宋"/>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cs="仿宋"/>
              </w:rPr>
            </w:pPr>
            <w:r>
              <w:rPr>
                <w:rFonts w:hint="eastAsia" w:ascii="仿宋" w:hAnsi="仿宋" w:cs="仿宋"/>
              </w:rPr>
              <w:t>5</w:t>
            </w:r>
          </w:p>
        </w:tc>
        <w:tc>
          <w:tcPr>
            <w:tcW w:w="1090" w:type="dxa"/>
            <w:vAlign w:val="center"/>
          </w:tcPr>
          <w:p>
            <w:pPr>
              <w:rPr>
                <w:rFonts w:ascii="仿宋" w:hAnsi="仿宋" w:cs="仿宋"/>
              </w:rPr>
            </w:pPr>
            <w:r>
              <w:rPr>
                <w:rFonts w:hint="eastAsia" w:ascii="仿宋" w:hAnsi="仿宋" w:cs="仿宋"/>
              </w:rPr>
              <w:t>节能、环境标志、无线局域网产品1%</w:t>
            </w:r>
          </w:p>
        </w:tc>
        <w:tc>
          <w:tcPr>
            <w:tcW w:w="590" w:type="dxa"/>
            <w:vAlign w:val="center"/>
          </w:tcPr>
          <w:p>
            <w:pPr>
              <w:rPr>
                <w:rFonts w:ascii="仿宋" w:hAnsi="仿宋" w:cs="仿宋"/>
              </w:rPr>
            </w:pPr>
            <w:r>
              <w:rPr>
                <w:rFonts w:hint="eastAsia" w:ascii="仿宋" w:hAnsi="仿宋" w:cs="仿宋"/>
              </w:rPr>
              <w:t>1分</w:t>
            </w:r>
          </w:p>
        </w:tc>
        <w:tc>
          <w:tcPr>
            <w:tcW w:w="5670" w:type="dxa"/>
            <w:vAlign w:val="center"/>
          </w:tcPr>
          <w:p>
            <w:pPr>
              <w:rPr>
                <w:rFonts w:ascii="仿宋" w:hAnsi="仿宋" w:cs="仿宋"/>
              </w:rPr>
            </w:pPr>
            <w:r>
              <w:rPr>
                <w:rFonts w:hint="eastAsia" w:ascii="仿宋" w:hAnsi="仿宋" w:cs="仿宋"/>
              </w:rPr>
              <w:t>投标产品中属于政府采购优先采购范围的，则每有一项为节能产品或者环境标志产品或者无线局域网产品的得0.5分，非节能、环境标志产品的、无线局域网产品的不得分。本项最多得1分。</w:t>
            </w:r>
          </w:p>
          <w:p>
            <w:pPr>
              <w:rPr>
                <w:rFonts w:ascii="仿宋" w:hAnsi="仿宋" w:cs="仿宋"/>
              </w:rPr>
            </w:pPr>
            <w:r>
              <w:rPr>
                <w:rFonts w:hint="eastAsia" w:ascii="仿宋" w:hAnsi="仿宋" w:cs="仿宋"/>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rPr>
                <w:rFonts w:ascii="仿宋" w:hAnsi="仿宋" w:cs="仿宋"/>
              </w:rPr>
            </w:pPr>
            <w:r>
              <w:rPr>
                <w:rFonts w:hint="eastAsia" w:ascii="仿宋" w:hAnsi="仿宋" w:cs="仿宋"/>
              </w:rPr>
              <w:t>2. 投标产品属于优先采购范围内的节能产品或者环境标志产品的，提供国家确定的认证机构出具的、处于有效期之内的节能产品、环境标志产品认证证书复印件加盖供应商公章（</w:t>
            </w:r>
            <w:r>
              <w:rPr>
                <w:rFonts w:hint="eastAsia"/>
                <w:lang w:val="en-US" w:eastAsia="zh-CN"/>
              </w:rPr>
              <w:t>电子印章</w:t>
            </w:r>
            <w:r>
              <w:rPr>
                <w:rFonts w:hint="eastAsia" w:ascii="仿宋" w:hAnsi="仿宋" w:cs="仿宋"/>
              </w:rPr>
              <w:t>）。</w:t>
            </w:r>
          </w:p>
          <w:p>
            <w:pPr>
              <w:rPr>
                <w:rFonts w:ascii="仿宋" w:hAnsi="仿宋" w:cs="仿宋"/>
              </w:rPr>
            </w:pPr>
            <w:r>
              <w:rPr>
                <w:rFonts w:hint="eastAsia" w:ascii="仿宋" w:hAnsi="仿宋" w:cs="仿宋"/>
              </w:rPr>
              <w:t>3. 投标产品属于优先采购范围内的无线局域网产品的，提供政府采购清单对应页并加盖供应商单位公章（</w:t>
            </w:r>
            <w:r>
              <w:rPr>
                <w:rFonts w:hint="eastAsia"/>
                <w:lang w:val="en-US" w:eastAsia="zh-CN"/>
              </w:rPr>
              <w:t>电子印章</w:t>
            </w:r>
            <w:r>
              <w:rPr>
                <w:rFonts w:hint="eastAsia" w:ascii="仿宋" w:hAnsi="仿宋" w:cs="仿宋"/>
              </w:rPr>
              <w:t>）。</w:t>
            </w:r>
          </w:p>
        </w:tc>
        <w:tc>
          <w:tcPr>
            <w:tcW w:w="579" w:type="dxa"/>
            <w:vAlign w:val="center"/>
          </w:tcPr>
          <w:p>
            <w:pPr>
              <w:rPr>
                <w:rFonts w:ascii="仿宋" w:hAnsi="仿宋" w:cs="仿宋"/>
              </w:rPr>
            </w:pPr>
            <w:r>
              <w:rPr>
                <w:rFonts w:hint="eastAsia" w:ascii="仿宋" w:hAnsi="仿宋" w:cs="仿宋"/>
              </w:rPr>
              <w:t>/</w:t>
            </w:r>
          </w:p>
        </w:tc>
        <w:tc>
          <w:tcPr>
            <w:tcW w:w="1050" w:type="dxa"/>
            <w:vAlign w:val="center"/>
          </w:tcPr>
          <w:p>
            <w:pPr>
              <w:rPr>
                <w:rFonts w:ascii="仿宋" w:hAnsi="仿宋" w:cs="仿宋"/>
              </w:rPr>
            </w:pPr>
            <w:r>
              <w:rPr>
                <w:rFonts w:hint="eastAsia" w:ascii="仿宋" w:hAnsi="仿宋" w:cs="仿宋"/>
              </w:rPr>
              <w:t>政策类评分因素</w:t>
            </w:r>
          </w:p>
        </w:tc>
      </w:tr>
    </w:tbl>
    <w:p>
      <w:pPr>
        <w:rPr>
          <w:rFonts w:ascii="仿宋" w:hAnsi="仿宋"/>
          <w:b/>
          <w:bCs/>
          <w:sz w:val="28"/>
          <w:szCs w:val="28"/>
        </w:rPr>
      </w:pPr>
      <w:r>
        <w:rPr>
          <w:rFonts w:ascii="仿宋" w:hAnsi="仿宋"/>
          <w:b/>
          <w:bCs/>
          <w:sz w:val="28"/>
          <w:szCs w:val="28"/>
        </w:rPr>
        <w:br w:type="page"/>
      </w:r>
    </w:p>
    <w:p>
      <w:pPr>
        <w:pStyle w:val="14"/>
        <w:tabs>
          <w:tab w:val="left" w:pos="600"/>
        </w:tabs>
        <w:spacing w:line="400" w:lineRule="exact"/>
        <w:ind w:left="480"/>
        <w:rPr>
          <w:rFonts w:ascii="仿宋" w:hAnsi="仿宋"/>
          <w:b/>
          <w:bCs/>
          <w:sz w:val="28"/>
          <w:szCs w:val="28"/>
        </w:rPr>
      </w:pPr>
      <w:r>
        <w:rPr>
          <w:rFonts w:hint="eastAsia" w:ascii="仿宋" w:hAnsi="仿宋"/>
          <w:b/>
          <w:bCs/>
          <w:sz w:val="28"/>
          <w:szCs w:val="28"/>
        </w:rPr>
        <w:t>包4：</w:t>
      </w:r>
    </w:p>
    <w:tbl>
      <w:tblPr>
        <w:tblStyle w:val="35"/>
        <w:tblpPr w:leftFromText="180" w:rightFromText="180" w:vertAnchor="text" w:horzAnchor="page" w:tblpX="1826" w:tblpY="1277"/>
        <w:tblOverlap w:val="never"/>
        <w:tblW w:w="90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94"/>
        <w:gridCol w:w="705"/>
        <w:gridCol w:w="610"/>
        <w:gridCol w:w="6600"/>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0" w:type="auto"/>
            <w:vAlign w:val="center"/>
          </w:tcPr>
          <w:p>
            <w:pPr>
              <w:widowControl/>
              <w:spacing w:before="8"/>
              <w:ind w:right="104"/>
              <w:jc w:val="center"/>
              <w:rPr>
                <w:rFonts w:ascii="仿宋" w:hAnsi="仿宋" w:cs="仿宋"/>
                <w:bCs/>
              </w:rPr>
            </w:pPr>
            <w:r>
              <w:rPr>
                <w:rFonts w:hint="eastAsia" w:ascii="仿宋" w:hAnsi="仿宋" w:cs="仿宋"/>
                <w:bCs/>
                <w:spacing w:val="-1"/>
                <w:lang w:bidi="ar"/>
              </w:rPr>
              <w:t>序号</w:t>
            </w:r>
          </w:p>
        </w:tc>
        <w:tc>
          <w:tcPr>
            <w:tcW w:w="705" w:type="dxa"/>
            <w:vAlign w:val="center"/>
          </w:tcPr>
          <w:p>
            <w:pPr>
              <w:widowControl/>
              <w:jc w:val="center"/>
              <w:rPr>
                <w:rFonts w:ascii="仿宋" w:hAnsi="仿宋" w:cs="仿宋"/>
                <w:bCs/>
                <w:spacing w:val="-1"/>
                <w:lang w:bidi="ar"/>
              </w:rPr>
            </w:pPr>
            <w:r>
              <w:rPr>
                <w:rFonts w:hint="eastAsia" w:ascii="仿宋" w:hAnsi="仿宋" w:cs="仿宋"/>
                <w:bCs/>
                <w:spacing w:val="-1"/>
                <w:lang w:bidi="ar"/>
              </w:rPr>
              <w:t>评分因素及权重</w:t>
            </w:r>
          </w:p>
        </w:tc>
        <w:tc>
          <w:tcPr>
            <w:tcW w:w="610" w:type="dxa"/>
            <w:vAlign w:val="center"/>
          </w:tcPr>
          <w:p>
            <w:pPr>
              <w:widowControl/>
              <w:jc w:val="center"/>
              <w:rPr>
                <w:rFonts w:ascii="仿宋" w:hAnsi="仿宋" w:cs="仿宋"/>
                <w:bCs/>
              </w:rPr>
            </w:pPr>
            <w:r>
              <w:rPr>
                <w:rFonts w:hint="eastAsia" w:ascii="仿宋" w:hAnsi="仿宋" w:cs="仿宋"/>
                <w:bCs/>
                <w:spacing w:val="-1"/>
                <w:lang w:bidi="ar"/>
              </w:rPr>
              <w:t>分值</w:t>
            </w:r>
          </w:p>
        </w:tc>
        <w:tc>
          <w:tcPr>
            <w:tcW w:w="6600" w:type="dxa"/>
            <w:vAlign w:val="center"/>
          </w:tcPr>
          <w:p>
            <w:pPr>
              <w:widowControl/>
              <w:jc w:val="center"/>
              <w:rPr>
                <w:rFonts w:ascii="仿宋" w:hAnsi="仿宋" w:cs="仿宋"/>
                <w:bCs/>
              </w:rPr>
            </w:pPr>
            <w:r>
              <w:rPr>
                <w:rFonts w:hint="eastAsia" w:ascii="仿宋" w:hAnsi="仿宋" w:cs="仿宋"/>
                <w:bCs/>
              </w:rPr>
              <w:t>评分标准</w:t>
            </w:r>
          </w:p>
        </w:tc>
        <w:tc>
          <w:tcPr>
            <w:tcW w:w="767" w:type="dxa"/>
            <w:vAlign w:val="center"/>
          </w:tcPr>
          <w:p>
            <w:pPr>
              <w:widowControl/>
              <w:jc w:val="center"/>
              <w:rPr>
                <w:rFonts w:ascii="仿宋" w:hAnsi="仿宋" w:cs="仿宋"/>
                <w:bCs/>
              </w:rPr>
            </w:pPr>
            <w:r>
              <w:rPr>
                <w:rFonts w:hint="eastAsia" w:ascii="仿宋" w:hAnsi="仿宋" w:cs="仿宋"/>
                <w:bCs/>
                <w:lang w:bidi="ar"/>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87" w:hRule="atLeast"/>
        </w:trPr>
        <w:tc>
          <w:tcPr>
            <w:tcW w:w="0" w:type="auto"/>
            <w:vAlign w:val="center"/>
          </w:tcPr>
          <w:p>
            <w:pPr>
              <w:widowControl/>
              <w:jc w:val="center"/>
              <w:rPr>
                <w:rFonts w:ascii="仿宋" w:hAnsi="仿宋" w:cs="仿宋"/>
                <w:bCs/>
              </w:rPr>
            </w:pPr>
            <w:r>
              <w:rPr>
                <w:rFonts w:hint="eastAsia" w:ascii="仿宋" w:hAnsi="仿宋" w:cs="仿宋"/>
                <w:bCs/>
                <w:spacing w:val="-1"/>
                <w:lang w:bidi="ar"/>
              </w:rPr>
              <w:t>1</w:t>
            </w:r>
          </w:p>
        </w:tc>
        <w:tc>
          <w:tcPr>
            <w:tcW w:w="705" w:type="dxa"/>
            <w:vAlign w:val="center"/>
          </w:tcPr>
          <w:p>
            <w:pPr>
              <w:widowControl/>
              <w:jc w:val="center"/>
              <w:rPr>
                <w:rFonts w:ascii="仿宋" w:hAnsi="仿宋" w:cs="仿宋"/>
                <w:bCs/>
                <w:spacing w:val="-1"/>
                <w:lang w:bidi="ar"/>
              </w:rPr>
            </w:pPr>
            <w:r>
              <w:rPr>
                <w:rFonts w:hint="eastAsia" w:ascii="仿宋" w:hAnsi="仿宋" w:cs="仿宋"/>
                <w:bCs/>
                <w:spacing w:val="-1"/>
                <w:lang w:bidi="ar"/>
              </w:rPr>
              <w:t>报价30%</w:t>
            </w:r>
          </w:p>
        </w:tc>
        <w:tc>
          <w:tcPr>
            <w:tcW w:w="610" w:type="dxa"/>
            <w:vAlign w:val="center"/>
          </w:tcPr>
          <w:p>
            <w:pPr>
              <w:widowControl/>
              <w:jc w:val="center"/>
              <w:rPr>
                <w:rFonts w:ascii="仿宋" w:hAnsi="仿宋" w:cs="仿宋"/>
                <w:bCs/>
              </w:rPr>
            </w:pPr>
            <w:r>
              <w:rPr>
                <w:rFonts w:hint="eastAsia" w:ascii="仿宋" w:hAnsi="仿宋" w:cs="仿宋"/>
                <w:bCs/>
                <w:spacing w:val="-1"/>
                <w:lang w:bidi="ar"/>
              </w:rPr>
              <w:t>30分</w:t>
            </w:r>
          </w:p>
        </w:tc>
        <w:tc>
          <w:tcPr>
            <w:tcW w:w="6600" w:type="dxa"/>
            <w:vAlign w:val="center"/>
          </w:tcPr>
          <w:p>
            <w:pPr>
              <w:widowControl/>
              <w:rPr>
                <w:rFonts w:ascii="仿宋" w:hAnsi="仿宋" w:cs="仿宋"/>
                <w:bCs/>
              </w:rPr>
            </w:pPr>
            <w:r>
              <w:rPr>
                <w:rFonts w:hint="eastAsia" w:ascii="仿宋" w:hAnsi="仿宋" w:cs="仿宋"/>
                <w:bCs/>
              </w:rPr>
              <w:t>满足招标文件要求且投标价格最低的投标报价为评标基准价，其价格分为满分。其他投标人的价格分统一按照下列公式计算：投标报价得分=(评标基准价／投标报价)×30</w:t>
            </w:r>
          </w:p>
        </w:tc>
        <w:tc>
          <w:tcPr>
            <w:tcW w:w="767" w:type="dxa"/>
            <w:vAlign w:val="center"/>
          </w:tcPr>
          <w:p>
            <w:pPr>
              <w:tabs>
                <w:tab w:val="left" w:pos="595"/>
              </w:tabs>
              <w:jc w:val="center"/>
              <w:rPr>
                <w:rFonts w:ascii="仿宋" w:hAnsi="仿宋" w:cs="仿宋"/>
                <w:bCs/>
              </w:rPr>
            </w:pPr>
            <w:r>
              <w:rPr>
                <w:rFonts w:hint="eastAsia" w:ascii="仿宋" w:hAnsi="仿宋" w:cs="仿宋"/>
                <w:bCs/>
              </w:rPr>
              <w:t>共同评分</w:t>
            </w:r>
          </w:p>
          <w:p>
            <w:pPr>
              <w:tabs>
                <w:tab w:val="left" w:pos="595"/>
              </w:tabs>
              <w:jc w:val="center"/>
              <w:rPr>
                <w:rFonts w:ascii="仿宋" w:hAnsi="仿宋" w:cs="仿宋"/>
                <w:bCs/>
              </w:rPr>
            </w:pPr>
            <w:r>
              <w:rPr>
                <w:rFonts w:hint="eastAsia" w:ascii="仿宋" w:hAnsi="仿宋" w:cs="仿宋"/>
                <w:bCs/>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1" w:hRule="atLeast"/>
        </w:trPr>
        <w:tc>
          <w:tcPr>
            <w:tcW w:w="0" w:type="auto"/>
            <w:vAlign w:val="center"/>
          </w:tcPr>
          <w:p>
            <w:pPr>
              <w:widowControl/>
              <w:jc w:val="center"/>
              <w:rPr>
                <w:rFonts w:ascii="仿宋" w:hAnsi="仿宋" w:cs="仿宋"/>
                <w:bCs/>
                <w:spacing w:val="-1"/>
                <w:lang w:bidi="ar"/>
              </w:rPr>
            </w:pPr>
            <w:r>
              <w:rPr>
                <w:rFonts w:hint="eastAsia" w:ascii="仿宋" w:hAnsi="仿宋" w:cs="仿宋"/>
                <w:bCs/>
                <w:spacing w:val="-1"/>
                <w:lang w:bidi="ar"/>
              </w:rPr>
              <w:t>2</w:t>
            </w:r>
          </w:p>
        </w:tc>
        <w:tc>
          <w:tcPr>
            <w:tcW w:w="705" w:type="dxa"/>
            <w:vAlign w:val="center"/>
          </w:tcPr>
          <w:p>
            <w:pPr>
              <w:widowControl/>
              <w:jc w:val="center"/>
              <w:rPr>
                <w:rFonts w:ascii="仿宋" w:hAnsi="仿宋" w:cs="仿宋"/>
                <w:bCs/>
                <w:spacing w:val="-1"/>
                <w:lang w:bidi="ar"/>
              </w:rPr>
            </w:pPr>
            <w:r>
              <w:rPr>
                <w:rFonts w:hint="eastAsia" w:ascii="仿宋" w:hAnsi="仿宋" w:cs="仿宋"/>
              </w:rPr>
              <w:t>投标人及所投产品实力20%</w:t>
            </w:r>
          </w:p>
        </w:tc>
        <w:tc>
          <w:tcPr>
            <w:tcW w:w="610" w:type="dxa"/>
            <w:vAlign w:val="center"/>
          </w:tcPr>
          <w:p>
            <w:pPr>
              <w:widowControl/>
              <w:jc w:val="center"/>
              <w:rPr>
                <w:rFonts w:hint="eastAsia" w:ascii="仿宋" w:hAnsi="仿宋" w:eastAsia="仿宋" w:cs="仿宋"/>
                <w:bCs/>
                <w:lang w:val="en-US" w:eastAsia="zh-CN"/>
              </w:rPr>
            </w:pPr>
            <w:r>
              <w:rPr>
                <w:rFonts w:hint="eastAsia" w:ascii="仿宋" w:hAnsi="仿宋" w:cs="仿宋"/>
                <w:bCs/>
              </w:rPr>
              <w:t>20</w:t>
            </w:r>
            <w:r>
              <w:rPr>
                <w:rFonts w:hint="eastAsia" w:ascii="仿宋" w:hAnsi="仿宋" w:cs="仿宋"/>
                <w:bCs/>
                <w:lang w:val="en-US" w:eastAsia="zh-CN"/>
              </w:rPr>
              <w:t>分</w:t>
            </w:r>
          </w:p>
        </w:tc>
        <w:tc>
          <w:tcPr>
            <w:tcW w:w="6600" w:type="dxa"/>
            <w:vAlign w:val="center"/>
          </w:tcPr>
          <w:p>
            <w:pPr>
              <w:rPr>
                <w:rFonts w:ascii="仿宋" w:hAnsi="仿宋" w:cs="仿宋"/>
              </w:rPr>
            </w:pPr>
            <w:r>
              <w:rPr>
                <w:rFonts w:hint="eastAsia" w:ascii="仿宋" w:hAnsi="仿宋" w:cs="仿宋"/>
              </w:rPr>
              <w:t>1、投标产品具有肺功能报告审核系统软件著作权证书得2分。</w:t>
            </w:r>
          </w:p>
          <w:p>
            <w:pPr>
              <w:rPr>
                <w:rFonts w:ascii="仿宋" w:hAnsi="仿宋" w:cs="仿宋"/>
              </w:rPr>
            </w:pPr>
            <w:r>
              <w:rPr>
                <w:rFonts w:hint="eastAsia" w:ascii="仿宋" w:hAnsi="仿宋" w:cs="仿宋"/>
              </w:rPr>
              <w:t>2、投标产品具有肺功能预约补录系统系统软件著作权得2分。</w:t>
            </w:r>
          </w:p>
          <w:p>
            <w:pPr>
              <w:rPr>
                <w:rFonts w:ascii="仿宋" w:hAnsi="仿宋" w:cs="仿宋"/>
              </w:rPr>
            </w:pPr>
            <w:r>
              <w:rPr>
                <w:rFonts w:hint="eastAsia" w:ascii="仿宋" w:hAnsi="仿宋" w:cs="仿宋"/>
              </w:rPr>
              <w:t>3、投标产品具有肺功能问卷调查系统软件著作权证书得2分。</w:t>
            </w:r>
          </w:p>
          <w:p>
            <w:pPr>
              <w:rPr>
                <w:rFonts w:ascii="仿宋" w:hAnsi="仿宋" w:cs="仿宋"/>
              </w:rPr>
            </w:pPr>
            <w:r>
              <w:rPr>
                <w:rFonts w:hint="eastAsia" w:ascii="仿宋" w:hAnsi="仿宋" w:cs="仿宋"/>
              </w:rPr>
              <w:t>4、投标产品具有肺功能自动录入系统软件著作权证书得3分。</w:t>
            </w:r>
          </w:p>
          <w:p>
            <w:pPr>
              <w:rPr>
                <w:rFonts w:ascii="仿宋" w:hAnsi="仿宋" w:cs="仿宋"/>
              </w:rPr>
            </w:pPr>
            <w:r>
              <w:rPr>
                <w:rFonts w:hint="eastAsia" w:ascii="仿宋" w:hAnsi="仿宋" w:cs="仿宋"/>
              </w:rPr>
              <w:t>5、投标产品具有肺功能信息化系统软件著作权证书得3分。</w:t>
            </w:r>
          </w:p>
          <w:p>
            <w:pPr>
              <w:rPr>
                <w:rFonts w:ascii="仿宋" w:hAnsi="仿宋" w:cs="仿宋"/>
              </w:rPr>
            </w:pPr>
            <w:r>
              <w:rPr>
                <w:rFonts w:hint="eastAsia" w:ascii="仿宋" w:hAnsi="仿宋" w:cs="仿宋"/>
              </w:rPr>
              <w:t>6、投标产品具有肺功能排队叫号系统软件著作权证书得3分。</w:t>
            </w:r>
          </w:p>
          <w:p>
            <w:pPr>
              <w:rPr>
                <w:rFonts w:ascii="仿宋" w:hAnsi="仿宋" w:cs="仿宋"/>
              </w:rPr>
            </w:pPr>
            <w:r>
              <w:rPr>
                <w:rFonts w:hint="eastAsia" w:ascii="仿宋" w:hAnsi="仿宋" w:cs="仿宋"/>
              </w:rPr>
              <w:t>7、投标产品具有肺功能数据查询系统软件著作权证书得3分。</w:t>
            </w:r>
          </w:p>
          <w:p>
            <w:pPr>
              <w:widowControl/>
              <w:rPr>
                <w:rFonts w:ascii="仿宋" w:hAnsi="仿宋" w:cs="仿宋"/>
              </w:rPr>
            </w:pPr>
            <w:r>
              <w:rPr>
                <w:rFonts w:hint="eastAsia" w:ascii="仿宋" w:hAnsi="仿宋" w:cs="仿宋"/>
              </w:rPr>
              <w:t>8、投标人具有质量管理体系认证证书得2分。</w:t>
            </w:r>
          </w:p>
        </w:tc>
        <w:tc>
          <w:tcPr>
            <w:tcW w:w="767" w:type="dxa"/>
            <w:vAlign w:val="center"/>
          </w:tcPr>
          <w:p>
            <w:pPr>
              <w:widowControl/>
              <w:ind w:right="182"/>
              <w:jc w:val="center"/>
              <w:rPr>
                <w:rFonts w:ascii="仿宋" w:hAnsi="仿宋" w:cs="仿宋"/>
                <w:bCs/>
              </w:rPr>
            </w:pPr>
            <w:r>
              <w:rPr>
                <w:rFonts w:hint="eastAsia" w:ascii="仿宋" w:hAnsi="仿宋" w:cs="仿宋"/>
              </w:rPr>
              <w:t>技术类评分因素（提供复印件加盖公章）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3" w:hRule="atLeast"/>
        </w:trPr>
        <w:tc>
          <w:tcPr>
            <w:tcW w:w="0" w:type="auto"/>
            <w:vAlign w:val="center"/>
          </w:tcPr>
          <w:p>
            <w:pPr>
              <w:widowControl/>
              <w:jc w:val="center"/>
              <w:rPr>
                <w:rFonts w:ascii="仿宋" w:hAnsi="仿宋" w:cs="仿宋"/>
                <w:bCs/>
                <w:spacing w:val="-1"/>
                <w:lang w:bidi="ar"/>
              </w:rPr>
            </w:pPr>
            <w:r>
              <w:rPr>
                <w:rFonts w:hint="eastAsia" w:ascii="仿宋" w:hAnsi="仿宋" w:cs="仿宋"/>
                <w:bCs/>
                <w:spacing w:val="-1"/>
                <w:lang w:bidi="ar"/>
              </w:rPr>
              <w:t>2</w:t>
            </w:r>
          </w:p>
        </w:tc>
        <w:tc>
          <w:tcPr>
            <w:tcW w:w="705" w:type="dxa"/>
            <w:vAlign w:val="center"/>
          </w:tcPr>
          <w:p>
            <w:pPr>
              <w:widowControl/>
              <w:jc w:val="center"/>
              <w:rPr>
                <w:rFonts w:ascii="仿宋" w:hAnsi="仿宋" w:cs="仿宋"/>
                <w:bCs/>
                <w:spacing w:val="-1"/>
                <w:lang w:bidi="ar"/>
              </w:rPr>
            </w:pPr>
            <w:r>
              <w:rPr>
                <w:rFonts w:hint="eastAsia" w:ascii="仿宋" w:hAnsi="仿宋" w:cs="仿宋"/>
                <w:bCs/>
                <w:spacing w:val="-1"/>
                <w:lang w:bidi="ar"/>
              </w:rPr>
              <w:t>业绩10%</w:t>
            </w:r>
          </w:p>
        </w:tc>
        <w:tc>
          <w:tcPr>
            <w:tcW w:w="610" w:type="dxa"/>
            <w:vAlign w:val="center"/>
          </w:tcPr>
          <w:p>
            <w:pPr>
              <w:widowControl/>
              <w:jc w:val="center"/>
              <w:rPr>
                <w:rFonts w:hint="eastAsia" w:ascii="仿宋" w:hAnsi="仿宋" w:eastAsia="仿宋" w:cs="仿宋"/>
                <w:bCs/>
                <w:lang w:val="en-US" w:eastAsia="zh-CN"/>
              </w:rPr>
            </w:pPr>
            <w:r>
              <w:rPr>
                <w:rFonts w:hint="eastAsia" w:ascii="仿宋" w:hAnsi="仿宋" w:cs="仿宋"/>
                <w:bCs/>
              </w:rPr>
              <w:t>10</w:t>
            </w:r>
            <w:r>
              <w:rPr>
                <w:rFonts w:hint="eastAsia" w:ascii="仿宋" w:hAnsi="仿宋" w:cs="仿宋"/>
                <w:bCs/>
                <w:lang w:val="en-US" w:eastAsia="zh-CN"/>
              </w:rPr>
              <w:t>分</w:t>
            </w:r>
          </w:p>
        </w:tc>
        <w:tc>
          <w:tcPr>
            <w:tcW w:w="6600" w:type="dxa"/>
            <w:vAlign w:val="center"/>
          </w:tcPr>
          <w:p>
            <w:pPr>
              <w:widowControl/>
              <w:rPr>
                <w:rFonts w:ascii="仿宋" w:hAnsi="仿宋" w:cs="仿宋"/>
                <w:bCs/>
              </w:rPr>
            </w:pPr>
            <w:r>
              <w:rPr>
                <w:rFonts w:hint="eastAsia" w:ascii="仿宋" w:hAnsi="仿宋" w:cs="仿宋"/>
              </w:rPr>
              <w:t>投标人</w:t>
            </w:r>
            <w:r>
              <w:rPr>
                <w:rFonts w:ascii="仿宋" w:hAnsi="仿宋" w:cs="仿宋"/>
                <w:lang w:val="zh-CN"/>
              </w:rPr>
              <w:t>2018</w:t>
            </w:r>
            <w:r>
              <w:rPr>
                <w:rFonts w:hint="eastAsia" w:ascii="仿宋" w:hAnsi="仿宋" w:cs="仿宋"/>
                <w:lang w:val="zh-CN"/>
              </w:rPr>
              <w:t>年1月1日（含）至</w:t>
            </w:r>
            <w:r>
              <w:rPr>
                <w:rFonts w:ascii="仿宋" w:hAnsi="仿宋" w:cs="仿宋"/>
                <w:lang w:val="zh-CN"/>
              </w:rPr>
              <w:t>投标截止日期</w:t>
            </w:r>
            <w:r>
              <w:rPr>
                <w:rFonts w:hint="eastAsia" w:ascii="仿宋" w:hAnsi="仿宋" w:cs="仿宋"/>
              </w:rPr>
              <w:t>，具有呼吸数据或肺功能信息化管理系统类似项目案例的，每例0.5分，最高10分。</w:t>
            </w:r>
          </w:p>
        </w:tc>
        <w:tc>
          <w:tcPr>
            <w:tcW w:w="767" w:type="dxa"/>
            <w:vAlign w:val="center"/>
          </w:tcPr>
          <w:p>
            <w:pPr>
              <w:tabs>
                <w:tab w:val="left" w:pos="595"/>
              </w:tabs>
              <w:jc w:val="center"/>
              <w:rPr>
                <w:rFonts w:ascii="仿宋" w:hAnsi="仿宋" w:cs="仿宋"/>
                <w:bCs/>
              </w:rPr>
            </w:pPr>
            <w:r>
              <w:rPr>
                <w:rFonts w:hint="eastAsia" w:ascii="仿宋" w:hAnsi="仿宋" w:cs="仿宋"/>
                <w:bCs/>
              </w:rPr>
              <w:t>共同评分</w:t>
            </w:r>
          </w:p>
          <w:p>
            <w:pPr>
              <w:widowControl/>
              <w:ind w:right="182"/>
              <w:jc w:val="center"/>
              <w:rPr>
                <w:rFonts w:ascii="仿宋" w:hAnsi="仿宋" w:cs="仿宋"/>
                <w:bCs/>
              </w:rPr>
            </w:pPr>
            <w:r>
              <w:rPr>
                <w:rFonts w:hint="eastAsia" w:ascii="仿宋" w:hAnsi="仿宋" w:cs="仿宋"/>
                <w:bCs/>
              </w:rPr>
              <w:t>因素（需提供合同复印件加盖公章）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Align w:val="center"/>
          </w:tcPr>
          <w:p>
            <w:pPr>
              <w:widowControl/>
              <w:jc w:val="center"/>
              <w:rPr>
                <w:rFonts w:ascii="仿宋" w:hAnsi="仿宋" w:cs="仿宋"/>
              </w:rPr>
            </w:pPr>
            <w:r>
              <w:rPr>
                <w:rFonts w:hint="eastAsia" w:ascii="仿宋" w:hAnsi="仿宋" w:cs="仿宋"/>
              </w:rPr>
              <w:t>4</w:t>
            </w:r>
          </w:p>
        </w:tc>
        <w:tc>
          <w:tcPr>
            <w:tcW w:w="705" w:type="dxa"/>
            <w:vAlign w:val="center"/>
          </w:tcPr>
          <w:p>
            <w:pPr>
              <w:widowControl/>
              <w:jc w:val="center"/>
              <w:rPr>
                <w:rFonts w:ascii="仿宋" w:hAnsi="仿宋" w:cs="仿宋"/>
              </w:rPr>
            </w:pPr>
            <w:r>
              <w:rPr>
                <w:rFonts w:hint="eastAsia" w:ascii="仿宋" w:hAnsi="仿宋" w:cs="仿宋"/>
                <w:bCs/>
              </w:rPr>
              <w:t>服务实施方案15%</w:t>
            </w:r>
          </w:p>
        </w:tc>
        <w:tc>
          <w:tcPr>
            <w:tcW w:w="610" w:type="dxa"/>
            <w:vAlign w:val="center"/>
          </w:tcPr>
          <w:p>
            <w:pPr>
              <w:widowControl/>
              <w:jc w:val="center"/>
              <w:rPr>
                <w:rFonts w:hint="eastAsia" w:ascii="仿宋" w:hAnsi="仿宋" w:eastAsia="仿宋" w:cs="仿宋"/>
                <w:lang w:val="en-US" w:eastAsia="zh-CN"/>
              </w:rPr>
            </w:pPr>
            <w:r>
              <w:rPr>
                <w:rFonts w:hint="eastAsia" w:ascii="仿宋" w:hAnsi="仿宋" w:cs="仿宋"/>
              </w:rPr>
              <w:t>15</w:t>
            </w:r>
            <w:r>
              <w:rPr>
                <w:rFonts w:hint="eastAsia" w:ascii="仿宋" w:hAnsi="仿宋" w:cs="仿宋"/>
                <w:lang w:val="en-US" w:eastAsia="zh-CN"/>
              </w:rPr>
              <w:t>分</w:t>
            </w:r>
          </w:p>
        </w:tc>
        <w:tc>
          <w:tcPr>
            <w:tcW w:w="6600" w:type="dxa"/>
            <w:vAlign w:val="center"/>
          </w:tcPr>
          <w:p>
            <w:pPr>
              <w:widowControl/>
              <w:adjustRightInd w:val="0"/>
              <w:snapToGrid w:val="0"/>
              <w:spacing w:line="240" w:lineRule="auto"/>
              <w:rPr>
                <w:rFonts w:ascii="仿宋" w:hAnsi="仿宋" w:cs="仿宋"/>
                <w:bCs/>
              </w:rPr>
            </w:pPr>
            <w:r>
              <w:rPr>
                <w:rFonts w:hint="eastAsia" w:ascii="仿宋" w:hAnsi="仿宋" w:cs="仿宋"/>
                <w:bCs/>
              </w:rPr>
              <w:t>供应商须提供针对本项目的实施方案，至少包含以下方面：</w:t>
            </w:r>
          </w:p>
          <w:p>
            <w:pPr>
              <w:widowControl/>
              <w:adjustRightInd w:val="0"/>
              <w:snapToGrid w:val="0"/>
              <w:spacing w:line="240" w:lineRule="auto"/>
              <w:rPr>
                <w:rFonts w:ascii="仿宋" w:hAnsi="仿宋" w:cs="仿宋"/>
                <w:bCs/>
              </w:rPr>
            </w:pPr>
            <w:r>
              <w:rPr>
                <w:rFonts w:hint="eastAsia" w:ascii="仿宋" w:hAnsi="仿宋" w:cs="仿宋"/>
                <w:bCs/>
              </w:rPr>
              <w:t>1.软件实施方案</w:t>
            </w:r>
          </w:p>
          <w:p>
            <w:pPr>
              <w:widowControl/>
              <w:adjustRightInd w:val="0"/>
              <w:snapToGrid w:val="0"/>
              <w:spacing w:line="240" w:lineRule="auto"/>
              <w:rPr>
                <w:rFonts w:ascii="仿宋" w:hAnsi="仿宋" w:cs="仿宋"/>
                <w:bCs/>
              </w:rPr>
            </w:pPr>
            <w:r>
              <w:rPr>
                <w:rFonts w:hint="eastAsia" w:ascii="仿宋" w:hAnsi="仿宋" w:cs="仿宋"/>
                <w:bCs/>
              </w:rPr>
              <w:t>2.系统体系架构</w:t>
            </w:r>
          </w:p>
          <w:p>
            <w:pPr>
              <w:widowControl/>
              <w:adjustRightInd w:val="0"/>
              <w:snapToGrid w:val="0"/>
              <w:spacing w:line="240" w:lineRule="auto"/>
              <w:rPr>
                <w:rFonts w:ascii="仿宋" w:hAnsi="仿宋" w:cs="仿宋"/>
                <w:bCs/>
              </w:rPr>
            </w:pPr>
            <w:r>
              <w:rPr>
                <w:rFonts w:hint="eastAsia" w:ascii="仿宋" w:hAnsi="仿宋" w:cs="仿宋"/>
                <w:bCs/>
              </w:rPr>
              <w:t>3.实施思路</w:t>
            </w:r>
          </w:p>
          <w:p>
            <w:pPr>
              <w:widowControl/>
              <w:adjustRightInd w:val="0"/>
              <w:snapToGrid w:val="0"/>
              <w:spacing w:line="240" w:lineRule="auto"/>
              <w:rPr>
                <w:rFonts w:ascii="仿宋" w:hAnsi="仿宋" w:cs="仿宋"/>
                <w:bCs/>
              </w:rPr>
            </w:pPr>
            <w:r>
              <w:rPr>
                <w:rFonts w:hint="eastAsia" w:ascii="仿宋" w:hAnsi="仿宋" w:cs="仿宋"/>
                <w:bCs/>
              </w:rPr>
              <w:t>4.项目流程及推进时间节点安排</w:t>
            </w:r>
          </w:p>
          <w:p>
            <w:pPr>
              <w:widowControl/>
              <w:adjustRightInd w:val="0"/>
              <w:snapToGrid w:val="0"/>
              <w:spacing w:line="240" w:lineRule="auto"/>
              <w:rPr>
                <w:rFonts w:ascii="仿宋" w:hAnsi="仿宋" w:cs="仿宋"/>
                <w:bCs/>
              </w:rPr>
            </w:pPr>
            <w:r>
              <w:rPr>
                <w:rFonts w:hint="eastAsia" w:ascii="仿宋" w:hAnsi="仿宋" w:cs="仿宋"/>
                <w:bCs/>
              </w:rPr>
              <w:t>5.保密工作</w:t>
            </w:r>
          </w:p>
          <w:p>
            <w:pPr>
              <w:widowControl/>
              <w:adjustRightInd w:val="0"/>
              <w:snapToGrid w:val="0"/>
              <w:spacing w:line="240" w:lineRule="auto"/>
              <w:rPr>
                <w:rFonts w:ascii="仿宋" w:hAnsi="仿宋" w:cs="仿宋"/>
                <w:bCs/>
              </w:rPr>
            </w:pPr>
            <w:r>
              <w:rPr>
                <w:rFonts w:hint="eastAsia" w:ascii="仿宋" w:hAnsi="仿宋" w:cs="仿宋"/>
                <w:bCs/>
              </w:rPr>
              <w:t>以上5项内容齐全，且同时满足：内容充分、逻辑严谨、符合项目及当地实际情况的得15分。每缺少一个内容的扣3分，15分扣完为止；内容描述存在内容不充分、前后矛盾、不符合项目及当地实际情况中任何一种情形或其他不足之处的，每有一处扣1分，每项最多扣3分，15分扣完为止。</w:t>
            </w:r>
          </w:p>
          <w:p>
            <w:pPr>
              <w:rPr>
                <w:rFonts w:ascii="仿宋" w:hAnsi="仿宋" w:cs="仿宋"/>
              </w:rPr>
            </w:pPr>
            <w:r>
              <w:rPr>
                <w:rFonts w:hint="eastAsia" w:ascii="仿宋" w:hAnsi="仿宋" w:cs="仿宋"/>
                <w:bCs/>
              </w:rPr>
              <w:t>（注：其他不足之处是指内容套用或错用、凭空编造、科学原理错误以及不可能实现的夸大情形等。）</w:t>
            </w:r>
          </w:p>
        </w:tc>
        <w:tc>
          <w:tcPr>
            <w:tcW w:w="767" w:type="dxa"/>
            <w:vAlign w:val="center"/>
          </w:tcPr>
          <w:p>
            <w:pPr>
              <w:widowControl/>
              <w:ind w:right="182"/>
              <w:jc w:val="center"/>
              <w:rPr>
                <w:rFonts w:ascii="仿宋" w:hAnsi="仿宋" w:cs="仿宋"/>
              </w:rPr>
            </w:pPr>
            <w:r>
              <w:rPr>
                <w:rFonts w:hint="eastAsia" w:ascii="仿宋" w:hAnsi="仿宋" w:cs="仿宋"/>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Align w:val="center"/>
          </w:tcPr>
          <w:p>
            <w:pPr>
              <w:widowControl/>
              <w:jc w:val="center"/>
              <w:rPr>
                <w:rFonts w:ascii="仿宋" w:hAnsi="仿宋" w:cs="仿宋"/>
              </w:rPr>
            </w:pPr>
            <w:r>
              <w:rPr>
                <w:rFonts w:hint="eastAsia" w:ascii="仿宋" w:hAnsi="仿宋" w:cs="仿宋"/>
              </w:rPr>
              <w:t>5</w:t>
            </w:r>
          </w:p>
        </w:tc>
        <w:tc>
          <w:tcPr>
            <w:tcW w:w="705" w:type="dxa"/>
            <w:vAlign w:val="center"/>
          </w:tcPr>
          <w:p>
            <w:pPr>
              <w:widowControl/>
              <w:jc w:val="center"/>
              <w:rPr>
                <w:rFonts w:ascii="仿宋" w:hAnsi="仿宋" w:cs="仿宋"/>
              </w:rPr>
            </w:pPr>
            <w:r>
              <w:rPr>
                <w:rFonts w:hint="eastAsia" w:ascii="仿宋" w:hAnsi="仿宋" w:cs="仿宋"/>
              </w:rPr>
              <w:t>技术、服务要求25%</w:t>
            </w:r>
          </w:p>
        </w:tc>
        <w:tc>
          <w:tcPr>
            <w:tcW w:w="610" w:type="dxa"/>
            <w:vAlign w:val="center"/>
          </w:tcPr>
          <w:p>
            <w:pPr>
              <w:widowControl/>
              <w:jc w:val="center"/>
              <w:rPr>
                <w:rFonts w:ascii="仿宋" w:hAnsi="仿宋" w:cs="仿宋"/>
              </w:rPr>
            </w:pPr>
            <w:r>
              <w:rPr>
                <w:rFonts w:hint="eastAsia" w:ascii="仿宋" w:hAnsi="仿宋" w:cs="仿宋"/>
              </w:rPr>
              <w:t>25分</w:t>
            </w:r>
          </w:p>
        </w:tc>
        <w:tc>
          <w:tcPr>
            <w:tcW w:w="6600" w:type="dxa"/>
            <w:vAlign w:val="center"/>
          </w:tcPr>
          <w:p>
            <w:pPr>
              <w:autoSpaceDN w:val="0"/>
              <w:spacing w:line="240" w:lineRule="auto"/>
              <w:rPr>
                <w:rFonts w:ascii="仿宋" w:hAnsi="仿宋" w:cs="仿宋"/>
              </w:rPr>
            </w:pPr>
            <w:r>
              <w:rPr>
                <w:rFonts w:hint="eastAsia" w:ascii="仿宋" w:hAnsi="仿宋" w:cs="仿宋"/>
              </w:rPr>
              <w:t>投标人针对招标文件第六章“三、技术服务要求”条款的响应得分为A+B：</w:t>
            </w:r>
          </w:p>
          <w:p>
            <w:pPr>
              <w:autoSpaceDN w:val="0"/>
              <w:spacing w:line="240" w:lineRule="auto"/>
              <w:rPr>
                <w:rFonts w:ascii="仿宋" w:hAnsi="仿宋" w:cs="仿宋"/>
              </w:rPr>
            </w:pPr>
            <w:r>
              <w:rPr>
                <w:rFonts w:hint="eastAsia" w:ascii="仿宋" w:hAnsi="仿宋" w:cs="仿宋"/>
              </w:rPr>
              <w:t>A.一般条款响应得分=（投标人满足一般条款的数量÷一般条款的总数量共25条）×10分。</w:t>
            </w:r>
          </w:p>
          <w:p>
            <w:pPr>
              <w:autoSpaceDN w:val="0"/>
              <w:spacing w:line="240" w:lineRule="auto"/>
              <w:rPr>
                <w:rFonts w:ascii="仿宋" w:hAnsi="仿宋" w:cs="仿宋"/>
              </w:rPr>
            </w:pPr>
            <w:r>
              <w:rPr>
                <w:rFonts w:hint="eastAsia" w:ascii="仿宋" w:hAnsi="仿宋" w:cs="仿宋"/>
              </w:rPr>
              <w:t>B.“▲”条款响应得分=（投标人满足“▲”条款的数量÷“▲”条款的总数量共7条）×15分。</w:t>
            </w:r>
          </w:p>
          <w:p>
            <w:pPr>
              <w:widowControl/>
              <w:rPr>
                <w:rFonts w:ascii="仿宋" w:hAnsi="仿宋" w:cs="仿宋"/>
              </w:rPr>
            </w:pPr>
            <w:r>
              <w:rPr>
                <w:rFonts w:hint="eastAsia" w:ascii="仿宋" w:hAnsi="仿宋" w:cs="仿宋"/>
              </w:rPr>
              <w:t>注：①针对服务要求条款的响应，如果招标文件第六章“技术服务要求”条款对佐证材料有要求的应按要求提供，否则对应条款将视为不满足。②一般条款指未标注“★”或“▲”的条款。③“★”条款是本项目的实质性要求，投标人未全部满足的按照无效投标处理，不再用于打分。</w:t>
            </w:r>
          </w:p>
        </w:tc>
        <w:tc>
          <w:tcPr>
            <w:tcW w:w="767" w:type="dxa"/>
            <w:vAlign w:val="center"/>
          </w:tcPr>
          <w:p>
            <w:pPr>
              <w:widowControl/>
              <w:ind w:right="182"/>
              <w:jc w:val="center"/>
              <w:rPr>
                <w:rFonts w:ascii="仿宋" w:hAnsi="仿宋" w:cs="仿宋"/>
              </w:rPr>
            </w:pPr>
            <w:r>
              <w:rPr>
                <w:rFonts w:hint="eastAsia" w:ascii="仿宋" w:hAnsi="仿宋" w:cs="仿宋"/>
              </w:rPr>
              <w:t>技术类评分因素</w:t>
            </w:r>
          </w:p>
        </w:tc>
      </w:tr>
    </w:tbl>
    <w:p>
      <w:pPr>
        <w:rPr>
          <w:rFonts w:ascii="仿宋" w:hAnsi="仿宋"/>
          <w:b/>
          <w:bCs/>
          <w:sz w:val="28"/>
          <w:szCs w:val="28"/>
        </w:rPr>
      </w:pPr>
      <w:r>
        <w:rPr>
          <w:rFonts w:ascii="仿宋" w:hAnsi="仿宋"/>
          <w:b/>
          <w:bCs/>
          <w:sz w:val="28"/>
          <w:szCs w:val="28"/>
        </w:rPr>
        <w:br w:type="page"/>
      </w:r>
    </w:p>
    <w:p>
      <w:pPr>
        <w:pStyle w:val="14"/>
        <w:tabs>
          <w:tab w:val="left" w:pos="600"/>
        </w:tabs>
        <w:spacing w:line="400" w:lineRule="exact"/>
        <w:ind w:left="480"/>
        <w:rPr>
          <w:rFonts w:ascii="仿宋" w:hAnsi="仿宋"/>
          <w:b/>
          <w:bCs/>
          <w:sz w:val="28"/>
          <w:szCs w:val="28"/>
        </w:rPr>
      </w:pPr>
      <w:r>
        <w:rPr>
          <w:rFonts w:hint="eastAsia" w:ascii="仿宋" w:hAnsi="仿宋"/>
          <w:b/>
          <w:bCs/>
          <w:sz w:val="28"/>
          <w:szCs w:val="28"/>
        </w:rPr>
        <w:t>包5：</w:t>
      </w:r>
    </w:p>
    <w:tbl>
      <w:tblPr>
        <w:tblStyle w:val="35"/>
        <w:tblW w:w="9435" w:type="dxa"/>
        <w:jc w:val="center"/>
        <w:tblLayout w:type="fixed"/>
        <w:tblCellMar>
          <w:top w:w="0" w:type="dxa"/>
          <w:left w:w="10" w:type="dxa"/>
          <w:bottom w:w="0" w:type="dxa"/>
          <w:right w:w="10" w:type="dxa"/>
        </w:tblCellMar>
      </w:tblPr>
      <w:tblGrid>
        <w:gridCol w:w="695"/>
        <w:gridCol w:w="1362"/>
        <w:gridCol w:w="796"/>
        <w:gridCol w:w="5364"/>
        <w:gridCol w:w="1218"/>
      </w:tblGrid>
      <w:tr>
        <w:tblPrEx>
          <w:tblCellMar>
            <w:top w:w="0" w:type="dxa"/>
            <w:left w:w="10" w:type="dxa"/>
            <w:bottom w:w="0" w:type="dxa"/>
            <w:right w:w="10" w:type="dxa"/>
          </w:tblCellMar>
        </w:tblPrEx>
        <w:trPr>
          <w:trHeight w:val="604" w:hRule="atLeast"/>
          <w:jc w:val="center"/>
        </w:trPr>
        <w:tc>
          <w:tcPr>
            <w:tcW w:w="6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3"/>
              <w:spacing w:after="0"/>
              <w:rPr>
                <w:rFonts w:ascii="仿宋_GB2312" w:hAnsi="方正仿宋简体" w:cs="方正仿宋简体"/>
                <w:b/>
                <w:szCs w:val="24"/>
              </w:rPr>
            </w:pPr>
            <w:r>
              <w:rPr>
                <w:rFonts w:hint="eastAsia" w:ascii="仿宋_GB2312" w:hAnsi="方正仿宋简体" w:cs="方正仿宋简体"/>
                <w:b/>
                <w:szCs w:val="24"/>
              </w:rPr>
              <w:t>序号</w:t>
            </w:r>
          </w:p>
        </w:tc>
        <w:tc>
          <w:tcPr>
            <w:tcW w:w="136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contextualSpacing/>
              <w:jc w:val="center"/>
              <w:rPr>
                <w:rFonts w:ascii="仿宋_GB2312" w:hAnsi="方正仿宋简体" w:eastAsia="仿宋_GB2312" w:cs="方正仿宋简体"/>
                <w:b/>
              </w:rPr>
            </w:pPr>
            <w:r>
              <w:rPr>
                <w:rFonts w:hint="eastAsia" w:ascii="仿宋_GB2312" w:hAnsi="方正仿宋简体" w:eastAsia="仿宋_GB2312" w:cs="方正仿宋简体"/>
                <w:b/>
              </w:rPr>
              <w:t>评分因素及权重</w:t>
            </w:r>
          </w:p>
        </w:tc>
        <w:tc>
          <w:tcPr>
            <w:tcW w:w="7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contextualSpacing/>
              <w:jc w:val="center"/>
              <w:rPr>
                <w:rFonts w:ascii="仿宋_GB2312" w:hAnsi="方正仿宋简体" w:eastAsia="仿宋_GB2312" w:cs="方正仿宋简体"/>
                <w:b/>
              </w:rPr>
            </w:pPr>
            <w:r>
              <w:rPr>
                <w:rFonts w:hint="eastAsia" w:ascii="仿宋_GB2312" w:hAnsi="方正仿宋简体" w:eastAsia="仿宋_GB2312" w:cs="方正仿宋简体"/>
                <w:b/>
              </w:rPr>
              <w:t>分值</w:t>
            </w:r>
          </w:p>
        </w:tc>
        <w:tc>
          <w:tcPr>
            <w:tcW w:w="5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contextualSpacing/>
              <w:jc w:val="center"/>
              <w:rPr>
                <w:rFonts w:ascii="仿宋_GB2312" w:hAnsi="方正仿宋简体" w:eastAsia="仿宋_GB2312" w:cs="方正仿宋简体"/>
                <w:b/>
              </w:rPr>
            </w:pPr>
            <w:r>
              <w:rPr>
                <w:rFonts w:hint="eastAsia" w:ascii="仿宋_GB2312" w:hAnsi="方正仿宋简体" w:eastAsia="仿宋_GB2312" w:cs="方正仿宋简体"/>
                <w:b/>
              </w:rPr>
              <w:t>评分标准</w:t>
            </w:r>
          </w:p>
        </w:tc>
        <w:tc>
          <w:tcPr>
            <w:tcW w:w="12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contextualSpacing/>
              <w:jc w:val="center"/>
              <w:rPr>
                <w:rFonts w:ascii="仿宋_GB2312" w:hAnsi="方正仿宋简体" w:eastAsia="仿宋_GB2312" w:cs="方正仿宋简体"/>
                <w:b/>
              </w:rPr>
            </w:pPr>
            <w:r>
              <w:rPr>
                <w:rFonts w:hint="eastAsia" w:ascii="仿宋_GB2312" w:hAnsi="方正仿宋简体" w:eastAsia="仿宋_GB2312" w:cs="方正仿宋简体"/>
                <w:b/>
              </w:rPr>
              <w:t>备 注</w:t>
            </w:r>
          </w:p>
        </w:tc>
      </w:tr>
      <w:tr>
        <w:tblPrEx>
          <w:tblCellMar>
            <w:top w:w="0" w:type="dxa"/>
            <w:left w:w="10" w:type="dxa"/>
            <w:bottom w:w="0" w:type="dxa"/>
            <w:right w:w="10" w:type="dxa"/>
          </w:tblCellMar>
        </w:tblPrEx>
        <w:trPr>
          <w:trHeight w:val="907" w:hRule="atLeast"/>
          <w:jc w:val="center"/>
        </w:trPr>
        <w:tc>
          <w:tcPr>
            <w:tcW w:w="6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1</w:t>
            </w:r>
          </w:p>
        </w:tc>
        <w:tc>
          <w:tcPr>
            <w:tcW w:w="136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报价10%</w:t>
            </w:r>
          </w:p>
        </w:tc>
        <w:tc>
          <w:tcPr>
            <w:tcW w:w="7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10分</w:t>
            </w:r>
          </w:p>
        </w:tc>
        <w:tc>
          <w:tcPr>
            <w:tcW w:w="5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满足招标文件要求且投标价格最低的报价为基准价，其价格分为满分。其他供应商的价格分统一按照下列公式计算：报价得分=(基准价／报价)* 10</w:t>
            </w:r>
          </w:p>
        </w:tc>
        <w:tc>
          <w:tcPr>
            <w:tcW w:w="12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595"/>
              </w:tabs>
              <w:jc w:val="center"/>
              <w:rPr>
                <w:rFonts w:ascii="仿宋" w:hAnsi="仿宋" w:cs="仿宋"/>
                <w:bCs/>
              </w:rPr>
            </w:pPr>
            <w:r>
              <w:rPr>
                <w:rFonts w:hint="eastAsia" w:ascii="仿宋" w:hAnsi="仿宋" w:cs="仿宋"/>
                <w:bCs/>
              </w:rPr>
              <w:t>共同评分</w:t>
            </w:r>
          </w:p>
          <w:p>
            <w:pPr>
              <w:contextualSpacing/>
              <w:rPr>
                <w:rFonts w:ascii="仿宋_GB2312" w:hAnsi="方正仿宋简体" w:eastAsia="仿宋_GB2312" w:cs="方正仿宋简体"/>
                <w:bCs/>
              </w:rPr>
            </w:pPr>
            <w:r>
              <w:rPr>
                <w:rFonts w:hint="eastAsia" w:ascii="仿宋" w:hAnsi="仿宋" w:cs="仿宋"/>
                <w:bCs/>
              </w:rPr>
              <w:t>因素</w:t>
            </w:r>
          </w:p>
        </w:tc>
      </w:tr>
      <w:tr>
        <w:tblPrEx>
          <w:tblCellMar>
            <w:top w:w="0" w:type="dxa"/>
            <w:left w:w="10" w:type="dxa"/>
            <w:bottom w:w="0" w:type="dxa"/>
            <w:right w:w="10" w:type="dxa"/>
          </w:tblCellMar>
        </w:tblPrEx>
        <w:trPr>
          <w:trHeight w:val="2328" w:hRule="atLeast"/>
          <w:jc w:val="center"/>
        </w:trPr>
        <w:tc>
          <w:tcPr>
            <w:tcW w:w="695"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2</w:t>
            </w:r>
          </w:p>
        </w:tc>
        <w:tc>
          <w:tcPr>
            <w:tcW w:w="1362" w:type="dxa"/>
            <w:tcBorders>
              <w:top w:val="single" w:color="000000" w:sz="4" w:space="0"/>
              <w:left w:val="single" w:color="000000" w:sz="4" w:space="0"/>
              <w:bottom w:val="single" w:color="auto" w:sz="4" w:space="0"/>
              <w:right w:val="single" w:color="auto"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技术、服务要求45%</w:t>
            </w:r>
          </w:p>
        </w:tc>
        <w:tc>
          <w:tcPr>
            <w:tcW w:w="796" w:type="dxa"/>
            <w:tcBorders>
              <w:top w:val="single" w:color="000000" w:sz="4" w:space="0"/>
              <w:left w:val="single" w:color="auto" w:sz="4" w:space="0"/>
              <w:bottom w:val="single" w:color="auto"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45分</w:t>
            </w:r>
          </w:p>
        </w:tc>
        <w:tc>
          <w:tcPr>
            <w:tcW w:w="5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投标人针对招标文件第六章“三、技术、服务要求”条款的响应得分为A+B：</w:t>
            </w:r>
          </w:p>
          <w:p>
            <w:pPr>
              <w:contextualSpacing/>
              <w:rPr>
                <w:rFonts w:ascii="仿宋_GB2312" w:hAnsi="方正仿宋简体" w:eastAsia="仿宋_GB2312" w:cs="方正仿宋简体"/>
                <w:bCs/>
              </w:rPr>
            </w:pPr>
            <w:r>
              <w:rPr>
                <w:rFonts w:hint="eastAsia" w:ascii="仿宋_GB2312" w:hAnsi="方正仿宋简体" w:eastAsia="仿宋_GB2312" w:cs="方正仿宋简体"/>
                <w:bCs/>
              </w:rPr>
              <w:t>A.一般条款响应得分=（投标人满足一般条款的数量÷一般条款的总数量共50条）×25分。</w:t>
            </w:r>
          </w:p>
          <w:p>
            <w:pPr>
              <w:contextualSpacing/>
              <w:rPr>
                <w:rFonts w:ascii="仿宋_GB2312" w:hAnsi="方正仿宋简体" w:eastAsia="仿宋_GB2312" w:cs="方正仿宋简体"/>
                <w:bCs/>
              </w:rPr>
            </w:pPr>
            <w:r>
              <w:rPr>
                <w:rFonts w:hint="eastAsia" w:ascii="仿宋_GB2312" w:hAnsi="方正仿宋简体" w:eastAsia="仿宋_GB2312" w:cs="方正仿宋简体"/>
                <w:bCs/>
              </w:rPr>
              <w:t>B.“▲”条款响应得分=（投标人满足“▲”条款的数量÷“▲”条款的总数量共10条）×20分。</w:t>
            </w:r>
          </w:p>
          <w:p>
            <w:pPr>
              <w:contextualSpacing/>
              <w:rPr>
                <w:rFonts w:ascii="仿宋_GB2312" w:hAnsi="方正仿宋简体" w:eastAsia="仿宋_GB2312" w:cs="方正仿宋简体"/>
                <w:bCs/>
              </w:rPr>
            </w:pPr>
            <w:r>
              <w:rPr>
                <w:rFonts w:hint="eastAsia" w:ascii="仿宋_GB2312" w:hAnsi="方正仿宋简体" w:eastAsia="仿宋_GB2312" w:cs="方正仿宋简体"/>
                <w:bCs/>
              </w:rPr>
              <w:t>注：①针对技术、服务要求条款的响应，如果招标文件第六章“技术、服务要求”条款对佐证材料有要求的应按要求提供，否则对应条款将视为不满足。②一般条款指未标注“★”或“▲”的条款。③“★”条款是本项目的实质性要求，投标人未全部满足的按照无效投标处理，不再用于打分。</w:t>
            </w:r>
          </w:p>
        </w:tc>
        <w:tc>
          <w:tcPr>
            <w:tcW w:w="12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技术类评</w:t>
            </w:r>
            <w:r>
              <w:rPr>
                <w:rFonts w:hint="eastAsia" w:ascii="仿宋_GB2312" w:hAnsi="方正仿宋简体" w:eastAsia="仿宋_GB2312" w:cs="方正仿宋简体"/>
                <w:bCs/>
                <w:lang w:val="en-US" w:eastAsia="zh-CN"/>
              </w:rPr>
              <w:t>分</w:t>
            </w:r>
            <w:r>
              <w:rPr>
                <w:rFonts w:hint="eastAsia" w:ascii="仿宋_GB2312" w:hAnsi="方正仿宋简体" w:eastAsia="仿宋_GB2312" w:cs="方正仿宋简体"/>
                <w:bCs/>
              </w:rPr>
              <w:t>因素</w:t>
            </w:r>
          </w:p>
        </w:tc>
      </w:tr>
      <w:tr>
        <w:tblPrEx>
          <w:tblCellMar>
            <w:top w:w="0" w:type="dxa"/>
            <w:left w:w="10" w:type="dxa"/>
            <w:bottom w:w="0" w:type="dxa"/>
            <w:right w:w="10" w:type="dxa"/>
          </w:tblCellMar>
        </w:tblPrEx>
        <w:trPr>
          <w:trHeight w:val="2328" w:hRule="atLeast"/>
          <w:jc w:val="center"/>
        </w:trPr>
        <w:tc>
          <w:tcPr>
            <w:tcW w:w="695"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3</w:t>
            </w:r>
          </w:p>
        </w:tc>
        <w:tc>
          <w:tcPr>
            <w:tcW w:w="1362" w:type="dxa"/>
            <w:tcBorders>
              <w:top w:val="single" w:color="000000" w:sz="4" w:space="0"/>
              <w:left w:val="single" w:color="000000" w:sz="4" w:space="0"/>
              <w:bottom w:val="single" w:color="auto" w:sz="4" w:space="0"/>
              <w:right w:val="single" w:color="auto"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技术方案 15%</w:t>
            </w:r>
          </w:p>
        </w:tc>
        <w:tc>
          <w:tcPr>
            <w:tcW w:w="796" w:type="dxa"/>
            <w:tcBorders>
              <w:top w:val="single" w:color="000000" w:sz="4" w:space="0"/>
              <w:left w:val="single" w:color="auto" w:sz="4" w:space="0"/>
              <w:bottom w:val="single" w:color="auto"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15分</w:t>
            </w:r>
          </w:p>
        </w:tc>
        <w:tc>
          <w:tcPr>
            <w:tcW w:w="5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_GB2312" w:hAnsi="方正仿宋简体" w:eastAsia="仿宋_GB2312" w:cs="方正仿宋简体"/>
                <w:bCs/>
              </w:rPr>
            </w:pPr>
            <w:r>
              <w:rPr>
                <w:rFonts w:hint="eastAsia" w:ascii="仿宋_GB2312" w:hAnsi="方正仿宋简体" w:eastAsia="仿宋_GB2312" w:cs="方正仿宋简体"/>
                <w:bCs/>
              </w:rPr>
              <w:t>包含：①项目背景分析；②结合项目前期现状对本项目的需求理解；③业务流程设计；④总体架构和技术实现；⑤平台建设内容规划。以上5项内容齐全，且同时满足：内容充分、逻辑严谨、符合项目及当地实际情况的得15分。每缺少一个内容的扣3分，15分扣完为止；内容描述存在内容不充分、前后矛盾、不符合项目及当地实际情况中任何一种情形或其他不足之处的，每有一处扣1.5分，每项最多扣3分，15分扣完为止。</w:t>
            </w:r>
          </w:p>
          <w:p>
            <w:pPr>
              <w:rPr>
                <w:rFonts w:ascii="仿宋_GB2312" w:hAnsi="方正仿宋简体" w:eastAsia="仿宋_GB2312" w:cs="方正仿宋简体"/>
                <w:bCs/>
              </w:rPr>
            </w:pPr>
            <w:r>
              <w:rPr>
                <w:rFonts w:hint="eastAsia" w:ascii="仿宋_GB2312" w:hAnsi="方正仿宋简体" w:eastAsia="仿宋_GB2312" w:cs="方正仿宋简体"/>
                <w:bCs/>
              </w:rPr>
              <w:t>（注：其他不足之处是指内容套用或错用、凭空编造、科学原理错误以及不可能实现的夸大情形等。）</w:t>
            </w:r>
          </w:p>
        </w:tc>
        <w:tc>
          <w:tcPr>
            <w:tcW w:w="12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技术类评</w:t>
            </w:r>
            <w:r>
              <w:rPr>
                <w:rFonts w:hint="eastAsia" w:ascii="仿宋_GB2312" w:hAnsi="方正仿宋简体" w:eastAsia="仿宋_GB2312" w:cs="方正仿宋简体"/>
                <w:bCs/>
                <w:lang w:val="en-US" w:eastAsia="zh-CN"/>
              </w:rPr>
              <w:t>分</w:t>
            </w:r>
            <w:r>
              <w:rPr>
                <w:rFonts w:hint="eastAsia" w:ascii="仿宋_GB2312" w:hAnsi="方正仿宋简体" w:eastAsia="仿宋_GB2312" w:cs="方正仿宋简体"/>
                <w:bCs/>
              </w:rPr>
              <w:t>因素</w:t>
            </w:r>
          </w:p>
        </w:tc>
      </w:tr>
      <w:tr>
        <w:tblPrEx>
          <w:tblCellMar>
            <w:top w:w="0" w:type="dxa"/>
            <w:left w:w="10" w:type="dxa"/>
            <w:bottom w:w="0" w:type="dxa"/>
            <w:right w:w="10" w:type="dxa"/>
          </w:tblCellMar>
        </w:tblPrEx>
        <w:trPr>
          <w:trHeight w:val="841" w:hRule="atLeast"/>
          <w:jc w:val="center"/>
        </w:trPr>
        <w:tc>
          <w:tcPr>
            <w:tcW w:w="695"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4</w:t>
            </w:r>
          </w:p>
        </w:tc>
        <w:tc>
          <w:tcPr>
            <w:tcW w:w="1362" w:type="dxa"/>
            <w:tcBorders>
              <w:top w:val="single" w:color="000000" w:sz="4" w:space="0"/>
              <w:left w:val="single" w:color="000000" w:sz="4" w:space="0"/>
              <w:bottom w:val="single" w:color="auto" w:sz="4" w:space="0"/>
              <w:right w:val="single" w:color="auto"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实施和售后服务方案10%</w:t>
            </w:r>
          </w:p>
        </w:tc>
        <w:tc>
          <w:tcPr>
            <w:tcW w:w="796" w:type="dxa"/>
            <w:tcBorders>
              <w:top w:val="single" w:color="000000" w:sz="4" w:space="0"/>
              <w:left w:val="single" w:color="auto" w:sz="4" w:space="0"/>
              <w:bottom w:val="single" w:color="auto"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10分</w:t>
            </w:r>
          </w:p>
        </w:tc>
        <w:tc>
          <w:tcPr>
            <w:tcW w:w="5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_GB2312" w:hAnsi="方正仿宋简体" w:eastAsia="仿宋_GB2312" w:cs="方正仿宋简体"/>
                <w:bCs/>
              </w:rPr>
            </w:pPr>
            <w:r>
              <w:rPr>
                <w:rFonts w:hint="eastAsia" w:ascii="仿宋_GB2312" w:hAnsi="方正仿宋简体" w:eastAsia="仿宋_GB2312" w:cs="方正仿宋简体"/>
                <w:bCs/>
              </w:rPr>
              <w:t>包含：①项目管理方案；②项目实施方案；③服务质量保证体系及措施；④项目培训方案；⑤售后服务方案。以上5项内容齐全，且同时满足：内容充分、逻辑严谨、符合项目及当地实际情况的得10分。每缺少一个内容的扣2分，10分扣完为止；内容描述存在内容不充分、前后矛盾、不符合项目及当地实际情况中任何一种情形或其他不足之处的，每有一处扣1分，每项最多扣2分，10分扣完为止。</w:t>
            </w:r>
          </w:p>
          <w:p>
            <w:pPr>
              <w:contextualSpacing/>
              <w:rPr>
                <w:rFonts w:ascii="仿宋_GB2312" w:hAnsi="方正仿宋简体" w:eastAsia="仿宋_GB2312" w:cs="方正仿宋简体"/>
                <w:bCs/>
              </w:rPr>
            </w:pPr>
            <w:r>
              <w:rPr>
                <w:rFonts w:hint="eastAsia" w:ascii="仿宋_GB2312" w:hAnsi="方正仿宋简体" w:eastAsia="仿宋_GB2312" w:cs="方正仿宋简体"/>
                <w:bCs/>
              </w:rPr>
              <w:t>（注：其他不足之处是指内容套用或错用、凭空编造、科学原理错误以及不可能实现的夸大情形等。）</w:t>
            </w:r>
          </w:p>
        </w:tc>
        <w:tc>
          <w:tcPr>
            <w:tcW w:w="12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技术类评</w:t>
            </w:r>
            <w:r>
              <w:rPr>
                <w:rFonts w:hint="eastAsia" w:ascii="仿宋_GB2312" w:hAnsi="方正仿宋简体" w:eastAsia="仿宋_GB2312" w:cs="方正仿宋简体"/>
                <w:bCs/>
                <w:lang w:val="en-US" w:eastAsia="zh-CN"/>
              </w:rPr>
              <w:t>分</w:t>
            </w:r>
            <w:r>
              <w:rPr>
                <w:rFonts w:hint="eastAsia" w:ascii="仿宋_GB2312" w:hAnsi="方正仿宋简体" w:eastAsia="仿宋_GB2312" w:cs="方正仿宋简体"/>
                <w:bCs/>
              </w:rPr>
              <w:t>因素</w:t>
            </w:r>
          </w:p>
        </w:tc>
      </w:tr>
      <w:tr>
        <w:tblPrEx>
          <w:tblCellMar>
            <w:top w:w="0" w:type="dxa"/>
            <w:left w:w="10" w:type="dxa"/>
            <w:bottom w:w="0" w:type="dxa"/>
            <w:right w:w="10" w:type="dxa"/>
          </w:tblCellMar>
        </w:tblPrEx>
        <w:trPr>
          <w:trHeight w:val="403" w:hRule="atLeast"/>
          <w:jc w:val="center"/>
        </w:trPr>
        <w:tc>
          <w:tcPr>
            <w:tcW w:w="695" w:type="dxa"/>
            <w:tcBorders>
              <w:top w:val="single" w:color="auto"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5</w:t>
            </w:r>
          </w:p>
        </w:tc>
        <w:tc>
          <w:tcPr>
            <w:tcW w:w="1362" w:type="dxa"/>
            <w:tcBorders>
              <w:top w:val="single" w:color="auto"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服务团队评价8%</w:t>
            </w:r>
          </w:p>
        </w:tc>
        <w:tc>
          <w:tcPr>
            <w:tcW w:w="796" w:type="dxa"/>
            <w:tcBorders>
              <w:top w:val="single" w:color="auto" w:sz="4" w:space="0"/>
              <w:left w:val="single" w:color="auto" w:sz="4" w:space="0"/>
              <w:bottom w:val="single" w:color="000000"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8分</w:t>
            </w:r>
          </w:p>
        </w:tc>
        <w:tc>
          <w:tcPr>
            <w:tcW w:w="5364"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1、投标人拟配置的项目经理具有PMP 项目管理证书的得4分，未提供则不得分；</w:t>
            </w:r>
          </w:p>
          <w:p>
            <w:pPr>
              <w:contextualSpacing/>
              <w:rPr>
                <w:rFonts w:ascii="仿宋_GB2312" w:hAnsi="方正仿宋简体" w:eastAsia="仿宋_GB2312" w:cs="方正仿宋简体"/>
                <w:bCs/>
              </w:rPr>
            </w:pPr>
            <w:r>
              <w:rPr>
                <w:rFonts w:hint="eastAsia" w:ascii="仿宋_GB2312" w:hAnsi="方正仿宋简体" w:eastAsia="仿宋_GB2312" w:cs="方正仿宋简体"/>
                <w:bCs/>
              </w:rPr>
              <w:t xml:space="preserve">2、投标人拟投入本项目人员中具有信息系统安全认证证书（CISSP）或国际信息系统审计师（CISA）认证证书，具有一个得2分，最多得 4 分，未提供则不得分。  </w:t>
            </w:r>
          </w:p>
          <w:p>
            <w:pPr>
              <w:contextualSpacing/>
              <w:rPr>
                <w:rFonts w:ascii="仿宋_GB2312" w:hAnsi="方正仿宋简体" w:eastAsia="仿宋_GB2312" w:cs="方正仿宋简体"/>
                <w:bCs/>
              </w:rPr>
            </w:pPr>
            <w:r>
              <w:rPr>
                <w:rFonts w:hint="eastAsia" w:ascii="仿宋_GB2312" w:hAnsi="方正仿宋简体" w:eastAsia="仿宋_GB2312" w:cs="方正仿宋简体"/>
                <w:bCs/>
              </w:rPr>
              <w:t>注：人员配置不重复计算，需提供有效证书和劳动关系证明材料复印件并加盖投标人公章。</w:t>
            </w:r>
          </w:p>
        </w:tc>
        <w:tc>
          <w:tcPr>
            <w:tcW w:w="1218" w:type="dxa"/>
            <w:tcBorders>
              <w:top w:val="single" w:color="000000" w:sz="4" w:space="0"/>
              <w:left w:val="single" w:color="auto" w:sz="4" w:space="0"/>
              <w:bottom w:val="single" w:color="000000"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共同评分因素</w:t>
            </w:r>
          </w:p>
        </w:tc>
      </w:tr>
      <w:tr>
        <w:tblPrEx>
          <w:tblCellMar>
            <w:top w:w="0" w:type="dxa"/>
            <w:left w:w="10" w:type="dxa"/>
            <w:bottom w:w="0" w:type="dxa"/>
            <w:right w:w="10" w:type="dxa"/>
          </w:tblCellMar>
        </w:tblPrEx>
        <w:trPr>
          <w:trHeight w:val="558" w:hRule="atLeast"/>
          <w:jc w:val="center"/>
        </w:trPr>
        <w:tc>
          <w:tcPr>
            <w:tcW w:w="6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6</w:t>
            </w:r>
          </w:p>
        </w:tc>
        <w:tc>
          <w:tcPr>
            <w:tcW w:w="136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业绩6%</w:t>
            </w:r>
          </w:p>
        </w:tc>
        <w:tc>
          <w:tcPr>
            <w:tcW w:w="7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6分</w:t>
            </w:r>
          </w:p>
        </w:tc>
        <w:tc>
          <w:tcPr>
            <w:tcW w:w="5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投标人每提供1个2019年1月1日（含）至投标截止日期的类似项目业绩得2分，最高得6分。</w:t>
            </w:r>
          </w:p>
          <w:p>
            <w:pPr>
              <w:contextualSpacing/>
              <w:rPr>
                <w:rFonts w:ascii="仿宋_GB2312" w:hAnsi="方正仿宋简体" w:eastAsia="仿宋_GB2312" w:cs="方正仿宋简体"/>
                <w:bCs/>
                <w:i/>
              </w:rPr>
            </w:pPr>
            <w:r>
              <w:rPr>
                <w:rFonts w:hint="eastAsia" w:ascii="仿宋_GB2312" w:hAnsi="方正仿宋简体" w:eastAsia="仿宋_GB2312" w:cs="方正仿宋简体"/>
                <w:bCs/>
              </w:rPr>
              <w:t>注：类似项目指软件和信息技术服务相关项目。提供合同复印件加盖投标人公章。</w:t>
            </w:r>
          </w:p>
        </w:tc>
        <w:tc>
          <w:tcPr>
            <w:tcW w:w="12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共同评</w:t>
            </w:r>
            <w:r>
              <w:rPr>
                <w:rFonts w:hint="eastAsia" w:ascii="仿宋_GB2312" w:hAnsi="方正仿宋简体" w:eastAsia="仿宋_GB2312" w:cs="方正仿宋简体"/>
                <w:bCs/>
                <w:lang w:val="en-US" w:eastAsia="zh-CN"/>
              </w:rPr>
              <w:t>分</w:t>
            </w:r>
            <w:r>
              <w:rPr>
                <w:rFonts w:hint="eastAsia" w:ascii="仿宋_GB2312" w:hAnsi="方正仿宋简体" w:eastAsia="仿宋_GB2312" w:cs="方正仿宋简体"/>
                <w:bCs/>
              </w:rPr>
              <w:t>因素</w:t>
            </w:r>
          </w:p>
        </w:tc>
      </w:tr>
      <w:tr>
        <w:tblPrEx>
          <w:tblCellMar>
            <w:top w:w="0" w:type="dxa"/>
            <w:left w:w="10" w:type="dxa"/>
            <w:bottom w:w="0" w:type="dxa"/>
            <w:right w:w="10" w:type="dxa"/>
          </w:tblCellMar>
        </w:tblPrEx>
        <w:trPr>
          <w:trHeight w:val="912" w:hRule="atLeast"/>
          <w:jc w:val="center"/>
        </w:trPr>
        <w:tc>
          <w:tcPr>
            <w:tcW w:w="6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7</w:t>
            </w:r>
          </w:p>
        </w:tc>
        <w:tc>
          <w:tcPr>
            <w:tcW w:w="136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投标人实力 6%</w:t>
            </w:r>
          </w:p>
        </w:tc>
        <w:tc>
          <w:tcPr>
            <w:tcW w:w="7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6分</w:t>
            </w:r>
          </w:p>
        </w:tc>
        <w:tc>
          <w:tcPr>
            <w:tcW w:w="5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_GB2312" w:hAnsi="方正仿宋简体" w:eastAsia="仿宋_GB2312" w:cs="方正仿宋简体"/>
                <w:bCs/>
              </w:rPr>
            </w:pPr>
            <w:r>
              <w:rPr>
                <w:rFonts w:hint="eastAsia" w:ascii="仿宋_GB2312" w:hAnsi="方正仿宋简体" w:eastAsia="仿宋_GB2312" w:cs="方正仿宋简体"/>
                <w:bCs/>
              </w:rPr>
              <w:t>投标人具备与本项目相关著作权证书，每个得1分，最多得6分。包括下列类型：数据采集类相关著作权证书、数据治理类相关著作权证书、数据脱敏和安全类相关著作权证书。</w:t>
            </w:r>
          </w:p>
          <w:p>
            <w:pPr>
              <w:rPr>
                <w:rFonts w:ascii="仿宋_GB2312" w:eastAsia="仿宋_GB2312"/>
              </w:rPr>
            </w:pPr>
            <w:r>
              <w:rPr>
                <w:rFonts w:hint="eastAsia" w:ascii="仿宋_GB2312" w:hAnsi="方正仿宋简体" w:eastAsia="仿宋_GB2312" w:cs="方正仿宋简体"/>
                <w:bCs/>
              </w:rPr>
              <w:t>注：提供软件著作权证书复印件并加盖投标人公章。</w:t>
            </w:r>
          </w:p>
        </w:tc>
        <w:tc>
          <w:tcPr>
            <w:tcW w:w="12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共同评</w:t>
            </w:r>
            <w:r>
              <w:rPr>
                <w:rFonts w:hint="eastAsia" w:ascii="仿宋_GB2312" w:hAnsi="方正仿宋简体" w:eastAsia="仿宋_GB2312" w:cs="方正仿宋简体"/>
                <w:bCs/>
                <w:lang w:val="en-US" w:eastAsia="zh-CN"/>
              </w:rPr>
              <w:t>分</w:t>
            </w:r>
            <w:r>
              <w:rPr>
                <w:rFonts w:hint="eastAsia" w:ascii="仿宋_GB2312" w:hAnsi="方正仿宋简体" w:eastAsia="仿宋_GB2312" w:cs="方正仿宋简体"/>
                <w:bCs/>
              </w:rPr>
              <w:t>因素</w:t>
            </w:r>
          </w:p>
        </w:tc>
      </w:tr>
    </w:tbl>
    <w:p>
      <w:pPr>
        <w:rPr>
          <w:rFonts w:ascii="仿宋" w:hAnsi="仿宋"/>
          <w:b/>
          <w:bCs/>
          <w:sz w:val="28"/>
          <w:szCs w:val="28"/>
        </w:rPr>
      </w:pPr>
      <w:r>
        <w:rPr>
          <w:rFonts w:ascii="仿宋" w:hAnsi="仿宋"/>
          <w:b/>
          <w:bCs/>
          <w:sz w:val="28"/>
          <w:szCs w:val="28"/>
        </w:rPr>
        <w:br w:type="page"/>
      </w:r>
    </w:p>
    <w:p>
      <w:pPr>
        <w:pStyle w:val="14"/>
        <w:tabs>
          <w:tab w:val="left" w:pos="600"/>
        </w:tabs>
        <w:spacing w:line="400" w:lineRule="exact"/>
        <w:ind w:left="480"/>
        <w:rPr>
          <w:rFonts w:ascii="仿宋" w:hAnsi="仿宋"/>
          <w:b/>
          <w:bCs/>
          <w:sz w:val="28"/>
          <w:szCs w:val="28"/>
        </w:rPr>
      </w:pPr>
      <w:r>
        <w:rPr>
          <w:rFonts w:hint="eastAsia" w:ascii="仿宋" w:hAnsi="仿宋"/>
          <w:b/>
          <w:bCs/>
          <w:sz w:val="28"/>
          <w:szCs w:val="28"/>
        </w:rPr>
        <w:t>包6：</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307"/>
        <w:gridCol w:w="673"/>
        <w:gridCol w:w="4661"/>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568" w:type="dxa"/>
            <w:shd w:val="clear" w:color="auto" w:fill="auto"/>
            <w:vAlign w:val="center"/>
          </w:tcPr>
          <w:p>
            <w:pPr>
              <w:widowControl/>
              <w:adjustRightInd w:val="0"/>
              <w:snapToGrid w:val="0"/>
              <w:jc w:val="center"/>
              <w:rPr>
                <w:rFonts w:ascii="仿宋" w:hAnsi="仿宋" w:cs="仿宋"/>
                <w:b/>
                <w:bCs/>
              </w:rPr>
            </w:pPr>
            <w:r>
              <w:rPr>
                <w:rFonts w:hint="eastAsia" w:ascii="仿宋" w:hAnsi="仿宋" w:cs="仿宋"/>
                <w:bCs/>
              </w:rPr>
              <w:t>序号</w:t>
            </w:r>
          </w:p>
        </w:tc>
        <w:tc>
          <w:tcPr>
            <w:tcW w:w="1307" w:type="dxa"/>
            <w:shd w:val="clear" w:color="auto" w:fill="auto"/>
            <w:vAlign w:val="center"/>
          </w:tcPr>
          <w:p>
            <w:pPr>
              <w:widowControl/>
              <w:adjustRightInd w:val="0"/>
              <w:snapToGrid w:val="0"/>
              <w:jc w:val="center"/>
              <w:rPr>
                <w:rFonts w:ascii="仿宋" w:hAnsi="仿宋" w:cs="仿宋"/>
                <w:b/>
                <w:bCs/>
              </w:rPr>
            </w:pPr>
            <w:r>
              <w:rPr>
                <w:rFonts w:hint="eastAsia" w:ascii="仿宋" w:hAnsi="仿宋" w:cs="仿宋"/>
                <w:bCs/>
              </w:rPr>
              <w:t>评分因素及权重</w:t>
            </w:r>
          </w:p>
        </w:tc>
        <w:tc>
          <w:tcPr>
            <w:tcW w:w="673" w:type="dxa"/>
            <w:shd w:val="clear" w:color="auto" w:fill="auto"/>
            <w:vAlign w:val="center"/>
          </w:tcPr>
          <w:p>
            <w:pPr>
              <w:widowControl/>
              <w:adjustRightInd w:val="0"/>
              <w:snapToGrid w:val="0"/>
              <w:jc w:val="center"/>
              <w:rPr>
                <w:rFonts w:ascii="仿宋" w:hAnsi="仿宋" w:cs="仿宋"/>
                <w:b/>
                <w:bCs/>
              </w:rPr>
            </w:pPr>
            <w:r>
              <w:rPr>
                <w:rFonts w:hint="eastAsia" w:ascii="仿宋" w:hAnsi="仿宋" w:cs="仿宋"/>
                <w:bCs/>
              </w:rPr>
              <w:t>分值</w:t>
            </w:r>
          </w:p>
        </w:tc>
        <w:tc>
          <w:tcPr>
            <w:tcW w:w="4661" w:type="dxa"/>
            <w:shd w:val="clear" w:color="auto" w:fill="auto"/>
            <w:vAlign w:val="center"/>
          </w:tcPr>
          <w:p>
            <w:pPr>
              <w:widowControl/>
              <w:adjustRightInd w:val="0"/>
              <w:snapToGrid w:val="0"/>
              <w:jc w:val="center"/>
              <w:rPr>
                <w:rFonts w:ascii="仿宋" w:hAnsi="仿宋" w:cs="仿宋"/>
                <w:b/>
                <w:bCs/>
              </w:rPr>
            </w:pPr>
            <w:r>
              <w:rPr>
                <w:rFonts w:hint="eastAsia" w:ascii="仿宋" w:hAnsi="仿宋" w:cs="仿宋"/>
                <w:bCs/>
              </w:rPr>
              <w:t>评分依据</w:t>
            </w:r>
          </w:p>
        </w:tc>
        <w:tc>
          <w:tcPr>
            <w:tcW w:w="1631" w:type="dxa"/>
            <w:shd w:val="clear" w:color="auto" w:fill="auto"/>
            <w:vAlign w:val="center"/>
          </w:tcPr>
          <w:p>
            <w:pPr>
              <w:widowControl/>
              <w:adjustRightInd w:val="0"/>
              <w:snapToGrid w:val="0"/>
              <w:jc w:val="center"/>
              <w:rPr>
                <w:rFonts w:ascii="仿宋" w:hAnsi="仿宋" w:cs="仿宋"/>
                <w:b/>
                <w:bCs/>
              </w:rPr>
            </w:pPr>
            <w:r>
              <w:rPr>
                <w:rFonts w:hint="eastAsia" w:ascii="仿宋" w:hAnsi="仿宋" w:cs="仿宋"/>
                <w:bCs/>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568" w:type="dxa"/>
            <w:shd w:val="clear" w:color="auto" w:fill="auto"/>
            <w:vAlign w:val="center"/>
          </w:tcPr>
          <w:p>
            <w:pPr>
              <w:widowControl/>
              <w:adjustRightInd w:val="0"/>
              <w:snapToGrid w:val="0"/>
              <w:rPr>
                <w:rFonts w:ascii="仿宋" w:hAnsi="仿宋" w:cs="仿宋"/>
                <w:b/>
                <w:bCs/>
              </w:rPr>
            </w:pPr>
            <w:r>
              <w:rPr>
                <w:rFonts w:hint="eastAsia" w:ascii="仿宋" w:hAnsi="仿宋" w:cs="仿宋"/>
                <w:bCs/>
              </w:rPr>
              <w:t>1</w:t>
            </w:r>
          </w:p>
        </w:tc>
        <w:tc>
          <w:tcPr>
            <w:tcW w:w="1307" w:type="dxa"/>
            <w:shd w:val="clear" w:color="auto" w:fill="auto"/>
            <w:vAlign w:val="center"/>
          </w:tcPr>
          <w:p>
            <w:pPr>
              <w:adjustRightInd w:val="0"/>
              <w:snapToGrid w:val="0"/>
              <w:rPr>
                <w:rFonts w:ascii="仿宋" w:hAnsi="仿宋" w:cs="仿宋"/>
                <w:b/>
                <w:bCs/>
              </w:rPr>
            </w:pPr>
            <w:r>
              <w:rPr>
                <w:rFonts w:hint="eastAsia" w:ascii="仿宋" w:hAnsi="仿宋" w:cs="仿宋"/>
              </w:rPr>
              <w:t>报价 10%</w:t>
            </w:r>
          </w:p>
        </w:tc>
        <w:tc>
          <w:tcPr>
            <w:tcW w:w="673" w:type="dxa"/>
            <w:shd w:val="clear" w:color="auto" w:fill="auto"/>
            <w:vAlign w:val="center"/>
          </w:tcPr>
          <w:p>
            <w:pPr>
              <w:widowControl/>
              <w:adjustRightInd w:val="0"/>
              <w:snapToGrid w:val="0"/>
              <w:rPr>
                <w:rFonts w:ascii="仿宋" w:hAnsi="仿宋" w:cs="仿宋"/>
                <w:b/>
                <w:bCs/>
              </w:rPr>
            </w:pPr>
            <w:r>
              <w:rPr>
                <w:rFonts w:hint="eastAsia" w:ascii="仿宋" w:hAnsi="仿宋" w:cs="仿宋"/>
              </w:rPr>
              <w:t>10分</w:t>
            </w:r>
          </w:p>
        </w:tc>
        <w:tc>
          <w:tcPr>
            <w:tcW w:w="4661" w:type="dxa"/>
            <w:shd w:val="clear" w:color="auto" w:fill="auto"/>
            <w:vAlign w:val="center"/>
          </w:tcPr>
          <w:p>
            <w:pPr>
              <w:widowControl/>
              <w:adjustRightInd w:val="0"/>
              <w:snapToGrid w:val="0"/>
              <w:rPr>
                <w:rFonts w:ascii="仿宋" w:hAnsi="仿宋" w:cs="仿宋"/>
              </w:rPr>
            </w:pPr>
            <w:r>
              <w:rPr>
                <w:rFonts w:hint="eastAsia" w:ascii="仿宋" w:hAnsi="仿宋" w:cs="仿宋"/>
              </w:rPr>
              <w:t>满足招标文件要求且投标价格最低的报价为基准价，其价格分为满分。其他供应商的价格分统一按照下列公式计算：报价得分=(基准价／报价)×10</w:t>
            </w:r>
          </w:p>
        </w:tc>
        <w:tc>
          <w:tcPr>
            <w:tcW w:w="1631" w:type="dxa"/>
            <w:shd w:val="clear" w:color="auto" w:fill="auto"/>
            <w:vAlign w:val="center"/>
          </w:tcPr>
          <w:p>
            <w:pPr>
              <w:widowControl/>
              <w:adjustRightInd w:val="0"/>
              <w:snapToGrid w:val="0"/>
              <w:rPr>
                <w:rFonts w:ascii="仿宋" w:hAnsi="仿宋" w:cs="仿宋"/>
                <w:b/>
                <w:bCs/>
              </w:rPr>
            </w:pPr>
            <w:r>
              <w:rPr>
                <w:rFonts w:hint="eastAsia" w:ascii="仿宋" w:hAnsi="仿宋" w:cs="仿宋"/>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68" w:type="dxa"/>
            <w:shd w:val="clear" w:color="auto" w:fill="auto"/>
            <w:vAlign w:val="center"/>
          </w:tcPr>
          <w:p>
            <w:pPr>
              <w:widowControl/>
              <w:adjustRightInd w:val="0"/>
              <w:snapToGrid w:val="0"/>
              <w:rPr>
                <w:rFonts w:ascii="仿宋" w:hAnsi="仿宋" w:cs="仿宋"/>
                <w:bCs/>
              </w:rPr>
            </w:pPr>
            <w:r>
              <w:rPr>
                <w:rFonts w:hint="eastAsia" w:ascii="仿宋" w:hAnsi="仿宋" w:cs="仿宋"/>
                <w:bCs/>
              </w:rPr>
              <w:t>2</w:t>
            </w:r>
          </w:p>
        </w:tc>
        <w:tc>
          <w:tcPr>
            <w:tcW w:w="1307" w:type="dxa"/>
            <w:shd w:val="clear" w:color="auto" w:fill="auto"/>
            <w:vAlign w:val="center"/>
          </w:tcPr>
          <w:p>
            <w:pPr>
              <w:adjustRightInd w:val="0"/>
              <w:snapToGrid w:val="0"/>
              <w:rPr>
                <w:rFonts w:ascii="仿宋" w:hAnsi="仿宋" w:cs="仿宋"/>
              </w:rPr>
            </w:pPr>
            <w:r>
              <w:rPr>
                <w:rFonts w:hint="eastAsia" w:ascii="仿宋" w:hAnsi="仿宋" w:cs="仿宋"/>
              </w:rPr>
              <w:t>技术、服务要求响应 45%</w:t>
            </w:r>
          </w:p>
        </w:tc>
        <w:tc>
          <w:tcPr>
            <w:tcW w:w="673" w:type="dxa"/>
            <w:shd w:val="clear" w:color="auto" w:fill="auto"/>
            <w:vAlign w:val="center"/>
          </w:tcPr>
          <w:p>
            <w:pPr>
              <w:widowControl/>
              <w:adjustRightInd w:val="0"/>
              <w:snapToGrid w:val="0"/>
              <w:rPr>
                <w:rFonts w:ascii="仿宋" w:hAnsi="仿宋" w:cs="仿宋"/>
              </w:rPr>
            </w:pPr>
            <w:r>
              <w:rPr>
                <w:rFonts w:hint="eastAsia" w:ascii="仿宋" w:hAnsi="仿宋" w:cs="仿宋"/>
              </w:rPr>
              <w:t>45分</w:t>
            </w:r>
          </w:p>
        </w:tc>
        <w:tc>
          <w:tcPr>
            <w:tcW w:w="4661" w:type="dxa"/>
            <w:shd w:val="clear" w:color="auto" w:fill="auto"/>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投标人针对招标文件第六章“三、技术、服务要求”条款的响应得分为A+B：</w:t>
            </w:r>
          </w:p>
          <w:p>
            <w:pPr>
              <w:contextualSpacing/>
              <w:rPr>
                <w:rFonts w:ascii="仿宋_GB2312" w:hAnsi="方正仿宋简体" w:eastAsia="仿宋_GB2312" w:cs="方正仿宋简体"/>
                <w:bCs/>
              </w:rPr>
            </w:pPr>
            <w:r>
              <w:rPr>
                <w:rFonts w:hint="eastAsia" w:ascii="仿宋_GB2312" w:hAnsi="方正仿宋简体" w:eastAsia="仿宋_GB2312" w:cs="方正仿宋简体"/>
                <w:bCs/>
              </w:rPr>
              <w:t>A.一般条款响应得分=（投标人满足一般条款的数量÷一般条款的总数量共64条）×19分。</w:t>
            </w:r>
          </w:p>
          <w:p>
            <w:pPr>
              <w:contextualSpacing/>
              <w:rPr>
                <w:rFonts w:ascii="仿宋_GB2312" w:hAnsi="方正仿宋简体" w:eastAsia="仿宋_GB2312" w:cs="方正仿宋简体"/>
                <w:bCs/>
              </w:rPr>
            </w:pPr>
            <w:r>
              <w:rPr>
                <w:rFonts w:hint="eastAsia" w:ascii="仿宋_GB2312" w:hAnsi="方正仿宋简体" w:eastAsia="仿宋_GB2312" w:cs="方正仿宋简体"/>
                <w:bCs/>
              </w:rPr>
              <w:t>B.“▲”条款响应得分=（投标人满足“▲”条款的数量÷“▲”条款的总数量共13条）×26分。</w:t>
            </w:r>
          </w:p>
          <w:p>
            <w:pPr>
              <w:widowControl/>
              <w:adjustRightInd w:val="0"/>
              <w:snapToGrid w:val="0"/>
              <w:rPr>
                <w:rFonts w:ascii="仿宋" w:hAnsi="仿宋" w:cs="仿宋"/>
              </w:rPr>
            </w:pPr>
            <w:r>
              <w:rPr>
                <w:rFonts w:hint="eastAsia" w:ascii="仿宋_GB2312" w:hAnsi="方正仿宋简体" w:eastAsia="仿宋_GB2312" w:cs="方正仿宋简体"/>
                <w:bCs/>
              </w:rPr>
              <w:t>注：①针对技术、服务要求条款的响应，如果招标文件第六章“技术、服务要求”条款对佐证材料有要求的应按要求提供，否则对应条款将视为不满足。②一般条款指未标注“★”或“▲”的条款。③“★”条款是本项目的实质性要求，投标人未全部满足的按照无效投标处理，不再用于打分。</w:t>
            </w:r>
          </w:p>
        </w:tc>
        <w:tc>
          <w:tcPr>
            <w:tcW w:w="1631" w:type="dxa"/>
            <w:shd w:val="clear" w:color="auto" w:fill="auto"/>
            <w:vAlign w:val="center"/>
          </w:tcPr>
          <w:p>
            <w:pPr>
              <w:rPr>
                <w:rFonts w:ascii="仿宋" w:hAnsi="仿宋" w:cs="仿宋"/>
              </w:rPr>
            </w:pPr>
            <w:r>
              <w:rPr>
                <w:rFonts w:hint="eastAsia" w:ascii="仿宋" w:hAnsi="仿宋" w:cs="仿宋"/>
              </w:rPr>
              <w:t>技术类评分因素</w:t>
            </w:r>
          </w:p>
          <w:p>
            <w:pPr>
              <w:widowControl/>
              <w:adjustRightInd w:val="0"/>
              <w:snapToGrid w:val="0"/>
              <w:rPr>
                <w:rFonts w:ascii="仿宋" w:hAnsi="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68" w:type="dxa"/>
            <w:shd w:val="clear" w:color="auto" w:fill="auto"/>
            <w:vAlign w:val="center"/>
          </w:tcPr>
          <w:p>
            <w:pPr>
              <w:widowControl/>
              <w:adjustRightInd w:val="0"/>
              <w:snapToGrid w:val="0"/>
              <w:rPr>
                <w:rFonts w:ascii="仿宋" w:hAnsi="仿宋" w:cs="仿宋"/>
                <w:b/>
                <w:bCs/>
              </w:rPr>
            </w:pPr>
            <w:r>
              <w:rPr>
                <w:rFonts w:hint="eastAsia" w:ascii="仿宋" w:hAnsi="仿宋" w:cs="仿宋"/>
                <w:b/>
                <w:bCs/>
              </w:rPr>
              <w:t>3</w:t>
            </w:r>
          </w:p>
        </w:tc>
        <w:tc>
          <w:tcPr>
            <w:tcW w:w="1307" w:type="dxa"/>
            <w:shd w:val="clear" w:color="auto" w:fill="auto"/>
            <w:vAlign w:val="center"/>
          </w:tcPr>
          <w:p>
            <w:pPr>
              <w:widowControl/>
              <w:adjustRightInd w:val="0"/>
              <w:snapToGrid w:val="0"/>
              <w:rPr>
                <w:rFonts w:ascii="仿宋" w:hAnsi="仿宋" w:cs="仿宋"/>
                <w:b/>
                <w:bCs/>
              </w:rPr>
            </w:pPr>
            <w:r>
              <w:rPr>
                <w:rFonts w:hint="eastAsia" w:ascii="仿宋" w:hAnsi="仿宋" w:cs="宋体"/>
                <w:lang w:val="en-US" w:eastAsia="zh-CN"/>
              </w:rPr>
              <w:t>项目实施方案</w:t>
            </w:r>
            <w:r>
              <w:rPr>
                <w:rFonts w:hint="eastAsia" w:ascii="仿宋" w:hAnsi="仿宋" w:cs="仿宋"/>
                <w:bCs/>
              </w:rPr>
              <w:t>10%</w:t>
            </w:r>
          </w:p>
        </w:tc>
        <w:tc>
          <w:tcPr>
            <w:tcW w:w="673" w:type="dxa"/>
            <w:shd w:val="clear" w:color="auto" w:fill="auto"/>
            <w:vAlign w:val="center"/>
          </w:tcPr>
          <w:p>
            <w:pPr>
              <w:widowControl/>
              <w:adjustRightInd w:val="0"/>
              <w:snapToGrid w:val="0"/>
              <w:rPr>
                <w:rFonts w:ascii="仿宋" w:hAnsi="仿宋" w:cs="仿宋"/>
                <w:b/>
                <w:bCs/>
              </w:rPr>
            </w:pPr>
            <w:r>
              <w:rPr>
                <w:rFonts w:hint="eastAsia" w:ascii="仿宋" w:hAnsi="仿宋" w:cs="仿宋"/>
                <w:bCs/>
              </w:rPr>
              <w:t>10分</w:t>
            </w:r>
          </w:p>
        </w:tc>
        <w:tc>
          <w:tcPr>
            <w:tcW w:w="4661" w:type="dxa"/>
            <w:shd w:val="clear" w:color="auto" w:fill="auto"/>
            <w:vAlign w:val="center"/>
          </w:tcPr>
          <w:p>
            <w:pPr>
              <w:widowControl/>
              <w:adjustRightInd w:val="0"/>
              <w:snapToGrid w:val="0"/>
              <w:rPr>
                <w:rFonts w:ascii="仿宋" w:hAnsi="仿宋" w:cs="仿宋"/>
                <w:bCs/>
              </w:rPr>
            </w:pPr>
            <w:r>
              <w:rPr>
                <w:rFonts w:hint="eastAsia" w:ascii="仿宋" w:hAnsi="仿宋" w:cs="仿宋"/>
                <w:bCs/>
              </w:rPr>
              <w:t>投标人提供的</w:t>
            </w:r>
            <w:r>
              <w:rPr>
                <w:rFonts w:hint="eastAsia" w:ascii="仿宋" w:hAnsi="仿宋" w:cs="仿宋"/>
                <w:bCs/>
                <w:lang w:val="en-US" w:eastAsia="zh-CN"/>
              </w:rPr>
              <w:t>项目实施方案</w:t>
            </w:r>
            <w:r>
              <w:rPr>
                <w:rFonts w:hint="eastAsia" w:ascii="仿宋" w:hAnsi="仿宋" w:cs="仿宋"/>
                <w:bCs/>
              </w:rPr>
              <w:t>总体设计、项目建设方案、软件平台总体设计方案及开发方案等，对方案中阐述的①系统体系架构、②稳定成熟和扩展性③医院需求分析、④系统建设功能等是否符合采购人的实际情况等方面进行评审。以上4项内容齐全，且同时满足：内容充分、逻辑严谨、符合项目及当地实际情况的得10分。每缺少一个内容的扣2.5分，10分扣完为止；内容描述存在内容不充分、前后矛盾、不符合项目及当地实际情况中任何一种情形或其他不足之处的，每有一处扣1.25分，每项最多扣2.5分，10分扣完为止。</w:t>
            </w:r>
          </w:p>
          <w:p>
            <w:pPr>
              <w:widowControl/>
              <w:adjustRightInd w:val="0"/>
              <w:snapToGrid w:val="0"/>
              <w:rPr>
                <w:rFonts w:ascii="仿宋" w:hAnsi="仿宋" w:cs="仿宋"/>
                <w:b/>
                <w:bCs/>
              </w:rPr>
            </w:pPr>
            <w:r>
              <w:rPr>
                <w:rFonts w:hint="eastAsia" w:ascii="仿宋" w:hAnsi="仿宋" w:cs="仿宋"/>
                <w:bCs/>
              </w:rPr>
              <w:t>（注：其他不足之处是指内容套用或错用、凭空编造、科学原理错误以及不可能实现的夸大情形等。）</w:t>
            </w:r>
          </w:p>
        </w:tc>
        <w:tc>
          <w:tcPr>
            <w:tcW w:w="1631" w:type="dxa"/>
            <w:shd w:val="clear" w:color="auto" w:fill="auto"/>
            <w:vAlign w:val="center"/>
          </w:tcPr>
          <w:p>
            <w:pPr>
              <w:widowControl/>
              <w:adjustRightInd w:val="0"/>
              <w:snapToGrid w:val="0"/>
              <w:rPr>
                <w:rFonts w:ascii="仿宋" w:hAnsi="仿宋" w:cs="仿宋"/>
                <w:b/>
                <w:bCs/>
              </w:rPr>
            </w:pPr>
            <w:r>
              <w:rPr>
                <w:rFonts w:hint="eastAsia" w:ascii="仿宋" w:hAnsi="仿宋" w:cs="仿宋"/>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68" w:type="dxa"/>
            <w:shd w:val="clear" w:color="auto" w:fill="auto"/>
            <w:vAlign w:val="center"/>
          </w:tcPr>
          <w:p>
            <w:pPr>
              <w:widowControl/>
              <w:adjustRightInd w:val="0"/>
              <w:snapToGrid w:val="0"/>
              <w:rPr>
                <w:rFonts w:ascii="仿宋" w:hAnsi="仿宋" w:cs="仿宋"/>
                <w:b/>
                <w:bCs/>
              </w:rPr>
            </w:pPr>
            <w:r>
              <w:rPr>
                <w:rFonts w:hint="eastAsia" w:ascii="仿宋" w:hAnsi="仿宋" w:cs="仿宋"/>
                <w:b/>
                <w:bCs/>
              </w:rPr>
              <w:t>4</w:t>
            </w:r>
          </w:p>
        </w:tc>
        <w:tc>
          <w:tcPr>
            <w:tcW w:w="1307" w:type="dxa"/>
            <w:shd w:val="clear" w:color="auto" w:fill="auto"/>
            <w:vAlign w:val="center"/>
          </w:tcPr>
          <w:p>
            <w:pPr>
              <w:widowControl/>
              <w:adjustRightInd w:val="0"/>
              <w:snapToGrid w:val="0"/>
              <w:rPr>
                <w:rFonts w:ascii="仿宋" w:hAnsi="仿宋" w:cs="宋体"/>
              </w:rPr>
            </w:pPr>
            <w:r>
              <w:rPr>
                <w:rFonts w:hint="eastAsia" w:ascii="仿宋" w:hAnsi="仿宋" w:cs="宋体"/>
              </w:rPr>
              <w:t>产品知识产权评价 10%</w:t>
            </w:r>
          </w:p>
        </w:tc>
        <w:tc>
          <w:tcPr>
            <w:tcW w:w="673" w:type="dxa"/>
            <w:shd w:val="clear" w:color="auto" w:fill="auto"/>
            <w:vAlign w:val="center"/>
          </w:tcPr>
          <w:p>
            <w:pPr>
              <w:widowControl/>
              <w:adjustRightInd w:val="0"/>
              <w:snapToGrid w:val="0"/>
              <w:rPr>
                <w:rFonts w:ascii="仿宋" w:hAnsi="仿宋" w:cs="仿宋"/>
                <w:bCs/>
              </w:rPr>
            </w:pPr>
            <w:r>
              <w:rPr>
                <w:rFonts w:hint="eastAsia" w:ascii="仿宋" w:hAnsi="仿宋" w:cs="仿宋"/>
                <w:bCs/>
              </w:rPr>
              <w:t>10分</w:t>
            </w:r>
          </w:p>
        </w:tc>
        <w:tc>
          <w:tcPr>
            <w:tcW w:w="4661" w:type="dxa"/>
            <w:shd w:val="clear" w:color="auto" w:fill="auto"/>
            <w:vAlign w:val="center"/>
          </w:tcPr>
          <w:p>
            <w:pPr>
              <w:widowControl/>
              <w:adjustRightInd w:val="0"/>
              <w:snapToGrid w:val="0"/>
              <w:rPr>
                <w:rFonts w:ascii="仿宋" w:hAnsi="仿宋" w:cs="仿宋"/>
                <w:bCs/>
              </w:rPr>
            </w:pPr>
            <w:r>
              <w:rPr>
                <w:rFonts w:hint="eastAsia" w:ascii="仿宋" w:hAnsi="仿宋" w:cs="仿宋"/>
                <w:bCs/>
              </w:rPr>
              <w:t>1.投标产品具备心血管介入管理系统著作权证书。</w:t>
            </w:r>
          </w:p>
          <w:p>
            <w:pPr>
              <w:widowControl/>
              <w:adjustRightInd w:val="0"/>
              <w:snapToGrid w:val="0"/>
              <w:rPr>
                <w:rFonts w:ascii="仿宋" w:hAnsi="仿宋" w:cs="仿宋"/>
                <w:bCs/>
              </w:rPr>
            </w:pPr>
            <w:r>
              <w:rPr>
                <w:rFonts w:hint="eastAsia" w:ascii="仿宋" w:hAnsi="仿宋" w:cs="仿宋"/>
                <w:bCs/>
              </w:rPr>
              <w:t>2.投标产品具备介入管理监控示教系统著作权证书。</w:t>
            </w:r>
          </w:p>
          <w:p>
            <w:pPr>
              <w:widowControl/>
              <w:adjustRightInd w:val="0"/>
              <w:snapToGrid w:val="0"/>
              <w:rPr>
                <w:rFonts w:ascii="仿宋" w:hAnsi="仿宋" w:cs="仿宋"/>
                <w:bCs/>
              </w:rPr>
            </w:pPr>
            <w:r>
              <w:rPr>
                <w:rFonts w:hint="eastAsia" w:ascii="仿宋" w:hAnsi="仿宋" w:cs="仿宋"/>
                <w:bCs/>
              </w:rPr>
              <w:t>3.投标产品具备数字化导航级介入系统著作权证书。</w:t>
            </w:r>
          </w:p>
          <w:p>
            <w:pPr>
              <w:widowControl/>
              <w:adjustRightInd w:val="0"/>
              <w:snapToGrid w:val="0"/>
              <w:rPr>
                <w:rFonts w:ascii="仿宋" w:hAnsi="仿宋" w:cs="仿宋"/>
                <w:bCs/>
              </w:rPr>
            </w:pPr>
            <w:r>
              <w:rPr>
                <w:rFonts w:hint="eastAsia" w:ascii="仿宋" w:hAnsi="仿宋" w:cs="仿宋"/>
                <w:bCs/>
              </w:rPr>
              <w:t>4.投标产品具备区域医疗数字网络系统著作权证书。</w:t>
            </w:r>
          </w:p>
          <w:p>
            <w:pPr>
              <w:widowControl/>
              <w:adjustRightInd w:val="0"/>
              <w:snapToGrid w:val="0"/>
              <w:rPr>
                <w:rFonts w:ascii="仿宋" w:hAnsi="仿宋" w:cs="仿宋"/>
                <w:bCs/>
              </w:rPr>
            </w:pPr>
            <w:r>
              <w:rPr>
                <w:rFonts w:hint="eastAsia" w:ascii="仿宋" w:hAnsi="仿宋" w:cs="仿宋"/>
                <w:bCs/>
              </w:rPr>
              <w:t>5.投标产品具备科研方案及数据管理系统著作权证书。</w:t>
            </w:r>
          </w:p>
          <w:p>
            <w:pPr>
              <w:widowControl/>
              <w:adjustRightInd w:val="0"/>
              <w:snapToGrid w:val="0"/>
              <w:rPr>
                <w:rFonts w:ascii="仿宋" w:hAnsi="仿宋" w:cs="仿宋"/>
                <w:bCs/>
              </w:rPr>
            </w:pPr>
            <w:r>
              <w:rPr>
                <w:rFonts w:hint="eastAsia" w:ascii="仿宋" w:hAnsi="仿宋" w:cs="仿宋"/>
                <w:bCs/>
              </w:rPr>
              <w:t>提供证书复印件并加盖投标人公章，每个证书2分，本项共10分。</w:t>
            </w:r>
          </w:p>
        </w:tc>
        <w:tc>
          <w:tcPr>
            <w:tcW w:w="1631" w:type="dxa"/>
            <w:shd w:val="clear" w:color="auto" w:fill="auto"/>
            <w:vAlign w:val="center"/>
          </w:tcPr>
          <w:p>
            <w:pPr>
              <w:widowControl/>
              <w:adjustRightInd w:val="0"/>
              <w:snapToGrid w:val="0"/>
              <w:rPr>
                <w:rFonts w:ascii="仿宋" w:hAnsi="仿宋" w:cs="仿宋"/>
              </w:rPr>
            </w:pPr>
            <w:r>
              <w:rPr>
                <w:rFonts w:hint="eastAsia" w:ascii="仿宋" w:hAnsi="仿宋" w:cs="仿宋"/>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68" w:type="dxa"/>
            <w:shd w:val="clear" w:color="auto" w:fill="auto"/>
            <w:vAlign w:val="center"/>
          </w:tcPr>
          <w:p>
            <w:pPr>
              <w:widowControl/>
              <w:adjustRightInd w:val="0"/>
              <w:snapToGrid w:val="0"/>
              <w:rPr>
                <w:rFonts w:ascii="仿宋" w:hAnsi="仿宋" w:cs="仿宋"/>
                <w:b/>
                <w:bCs/>
              </w:rPr>
            </w:pPr>
            <w:r>
              <w:rPr>
                <w:rFonts w:hint="eastAsia" w:ascii="仿宋" w:hAnsi="仿宋" w:cs="仿宋"/>
                <w:b/>
                <w:bCs/>
              </w:rPr>
              <w:t>5</w:t>
            </w:r>
          </w:p>
        </w:tc>
        <w:tc>
          <w:tcPr>
            <w:tcW w:w="1307" w:type="dxa"/>
            <w:shd w:val="clear" w:color="auto" w:fill="auto"/>
            <w:vAlign w:val="center"/>
          </w:tcPr>
          <w:p>
            <w:pPr>
              <w:widowControl/>
              <w:jc w:val="center"/>
              <w:rPr>
                <w:rFonts w:ascii="仿宋" w:hAnsi="仿宋" w:cs="宋体"/>
              </w:rPr>
            </w:pPr>
            <w:r>
              <w:rPr>
                <w:rFonts w:hint="eastAsia" w:ascii="仿宋" w:hAnsi="仿宋" w:cs="宋体"/>
              </w:rPr>
              <w:t>项目业绩 15%</w:t>
            </w:r>
          </w:p>
        </w:tc>
        <w:tc>
          <w:tcPr>
            <w:tcW w:w="673" w:type="dxa"/>
            <w:shd w:val="clear" w:color="auto" w:fill="auto"/>
            <w:vAlign w:val="center"/>
          </w:tcPr>
          <w:p>
            <w:pPr>
              <w:widowControl/>
              <w:jc w:val="center"/>
              <w:rPr>
                <w:rFonts w:ascii="仿宋" w:hAnsi="仿宋" w:cs="宋体"/>
              </w:rPr>
            </w:pPr>
            <w:r>
              <w:rPr>
                <w:rFonts w:hint="eastAsia" w:ascii="仿宋" w:hAnsi="仿宋" w:cs="宋体"/>
              </w:rPr>
              <w:t>15分</w:t>
            </w:r>
          </w:p>
        </w:tc>
        <w:tc>
          <w:tcPr>
            <w:tcW w:w="4661" w:type="dxa"/>
            <w:shd w:val="clear" w:color="auto" w:fill="auto"/>
          </w:tcPr>
          <w:p>
            <w:pPr>
              <w:pStyle w:val="94"/>
              <w:widowControl/>
              <w:ind w:firstLine="0" w:firstLineChars="0"/>
              <w:rPr>
                <w:rFonts w:ascii="仿宋" w:hAnsi="仿宋" w:cs="宋体"/>
                <w:szCs w:val="21"/>
              </w:rPr>
            </w:pPr>
            <w:r>
              <w:rPr>
                <w:rFonts w:hint="eastAsia" w:ascii="仿宋" w:hAnsi="仿宋" w:cs="宋体"/>
                <w:szCs w:val="21"/>
              </w:rPr>
              <w:t>投标人自2018年1月1日（含）至投标截止日期具有类似项目业绩，每提供一个业绩合同复印件得3分，本项最多得15分。</w:t>
            </w:r>
          </w:p>
        </w:tc>
        <w:tc>
          <w:tcPr>
            <w:tcW w:w="1631" w:type="dxa"/>
            <w:shd w:val="clear" w:color="auto" w:fill="auto"/>
            <w:vAlign w:val="center"/>
          </w:tcPr>
          <w:p>
            <w:pPr>
              <w:widowControl/>
              <w:rPr>
                <w:rFonts w:ascii="仿宋" w:hAnsi="仿宋" w:cs="宋体"/>
              </w:rPr>
            </w:pPr>
            <w:r>
              <w:rPr>
                <w:rFonts w:hint="eastAsia" w:ascii="仿宋" w:hAnsi="仿宋" w:cs="仿宋"/>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68" w:type="dxa"/>
            <w:shd w:val="clear" w:color="auto" w:fill="auto"/>
            <w:vAlign w:val="center"/>
          </w:tcPr>
          <w:p>
            <w:pPr>
              <w:widowControl/>
              <w:adjustRightInd w:val="0"/>
              <w:snapToGrid w:val="0"/>
              <w:rPr>
                <w:rFonts w:ascii="仿宋" w:hAnsi="仿宋" w:cs="仿宋"/>
                <w:b/>
                <w:bCs/>
              </w:rPr>
            </w:pPr>
            <w:r>
              <w:rPr>
                <w:rFonts w:hint="eastAsia" w:ascii="仿宋" w:hAnsi="仿宋" w:cs="仿宋"/>
                <w:b/>
                <w:bCs/>
              </w:rPr>
              <w:t>6</w:t>
            </w:r>
          </w:p>
        </w:tc>
        <w:tc>
          <w:tcPr>
            <w:tcW w:w="1307" w:type="dxa"/>
            <w:shd w:val="clear" w:color="auto" w:fill="auto"/>
            <w:vAlign w:val="center"/>
          </w:tcPr>
          <w:p>
            <w:pPr>
              <w:widowControl/>
              <w:adjustRightInd w:val="0"/>
              <w:snapToGrid w:val="0"/>
              <w:rPr>
                <w:rFonts w:ascii="仿宋" w:hAnsi="仿宋" w:cs="仿宋"/>
                <w:bCs/>
              </w:rPr>
            </w:pPr>
            <w:r>
              <w:rPr>
                <w:rFonts w:hint="eastAsia" w:ascii="仿宋" w:hAnsi="仿宋" w:cs="仿宋"/>
                <w:bCs/>
              </w:rPr>
              <w:t>节能、环保产品 2</w:t>
            </w:r>
            <w:r>
              <w:rPr>
                <w:rFonts w:ascii="仿宋" w:hAnsi="仿宋" w:cs="仿宋"/>
                <w:bCs/>
              </w:rPr>
              <w:t>%</w:t>
            </w:r>
          </w:p>
        </w:tc>
        <w:tc>
          <w:tcPr>
            <w:tcW w:w="673" w:type="dxa"/>
            <w:shd w:val="clear" w:color="auto" w:fill="auto"/>
            <w:vAlign w:val="center"/>
          </w:tcPr>
          <w:p>
            <w:pPr>
              <w:widowControl/>
              <w:adjustRightInd w:val="0"/>
              <w:snapToGrid w:val="0"/>
              <w:rPr>
                <w:rFonts w:ascii="仿宋" w:hAnsi="仿宋" w:cs="仿宋"/>
                <w:bCs/>
              </w:rPr>
            </w:pPr>
            <w:r>
              <w:rPr>
                <w:rFonts w:hint="eastAsia" w:ascii="仿宋" w:hAnsi="仿宋" w:cs="仿宋"/>
                <w:bCs/>
              </w:rPr>
              <w:t>2分</w:t>
            </w:r>
          </w:p>
        </w:tc>
        <w:tc>
          <w:tcPr>
            <w:tcW w:w="4661" w:type="dxa"/>
            <w:shd w:val="clear" w:color="auto" w:fill="auto"/>
            <w:vAlign w:val="center"/>
          </w:tcPr>
          <w:p>
            <w:pPr>
              <w:widowControl/>
              <w:adjustRightInd w:val="0"/>
              <w:snapToGrid w:val="0"/>
              <w:rPr>
                <w:rFonts w:ascii="仿宋" w:hAnsi="仿宋" w:cs="仿宋"/>
                <w:bCs/>
              </w:rPr>
            </w:pPr>
            <w:r>
              <w:rPr>
                <w:rFonts w:hint="eastAsia" w:ascii="仿宋" w:hAnsi="仿宋" w:cs="仿宋"/>
                <w:bCs/>
              </w:rPr>
              <w:t>投标产品中属于政府采购优先采购范围的，则每有一项节能产品或环境标志产品或无线局域网产品的得0.5分，非节能、环境标志产品的、无线局域网产品的不得分。本项最多得2分。</w:t>
            </w:r>
          </w:p>
          <w:p>
            <w:pPr>
              <w:widowControl/>
              <w:adjustRightInd w:val="0"/>
              <w:snapToGrid w:val="0"/>
              <w:rPr>
                <w:rFonts w:ascii="仿宋" w:hAnsi="仿宋" w:cs="仿宋"/>
                <w:bCs/>
              </w:rPr>
            </w:pPr>
            <w:r>
              <w:rPr>
                <w:rFonts w:hint="eastAsia" w:ascii="仿宋" w:hAnsi="仿宋" w:cs="仿宋"/>
                <w:bCs/>
              </w:rPr>
              <w:t>注：1. 节能产品、环境标志产品优先采购范围以品目清单为准。无线局域网产品优先采购范围以中国政府采购网公布的《无线局域网认证产品政府采购清单》为准。</w:t>
            </w:r>
          </w:p>
          <w:p>
            <w:pPr>
              <w:widowControl/>
              <w:adjustRightInd w:val="0"/>
              <w:snapToGrid w:val="0"/>
              <w:rPr>
                <w:rFonts w:ascii="仿宋" w:hAnsi="仿宋" w:cs="仿宋"/>
                <w:bCs/>
              </w:rPr>
            </w:pPr>
            <w:r>
              <w:rPr>
                <w:rFonts w:hint="eastAsia" w:ascii="仿宋" w:hAnsi="仿宋" w:cs="仿宋"/>
                <w:bCs/>
              </w:rPr>
              <w:t>2. 投标产品属于优先采购范围内的节能产品或者环境标志产品的，提供国家确定的认证机构出具的、处于有效期之内的节能产品、环境标志产品认证证书复印件加盖供应商公章（</w:t>
            </w:r>
            <w:r>
              <w:rPr>
                <w:rFonts w:hint="eastAsia"/>
                <w:lang w:val="en-US" w:eastAsia="zh-CN"/>
              </w:rPr>
              <w:t>电子印章</w:t>
            </w:r>
            <w:r>
              <w:rPr>
                <w:rFonts w:hint="eastAsia" w:ascii="仿宋" w:hAnsi="仿宋" w:cs="仿宋"/>
                <w:bCs/>
              </w:rPr>
              <w:t>）。</w:t>
            </w:r>
          </w:p>
          <w:p>
            <w:pPr>
              <w:widowControl/>
              <w:adjustRightInd w:val="0"/>
              <w:snapToGrid w:val="0"/>
              <w:rPr>
                <w:rFonts w:ascii="仿宋" w:hAnsi="仿宋" w:cs="仿宋"/>
                <w:bCs/>
              </w:rPr>
            </w:pPr>
            <w:r>
              <w:rPr>
                <w:rFonts w:hint="eastAsia" w:ascii="仿宋" w:hAnsi="仿宋" w:cs="仿宋"/>
                <w:bCs/>
              </w:rPr>
              <w:t>3. 投标产品属于优先采购范围内的无线局域网产品的，提供政府采购清单对应页并加盖供应商单位公章（</w:t>
            </w:r>
            <w:r>
              <w:rPr>
                <w:rFonts w:hint="eastAsia"/>
                <w:lang w:val="en-US" w:eastAsia="zh-CN"/>
              </w:rPr>
              <w:t>电子印章</w:t>
            </w:r>
            <w:r>
              <w:rPr>
                <w:rFonts w:hint="eastAsia" w:ascii="仿宋" w:hAnsi="仿宋" w:cs="仿宋"/>
                <w:bCs/>
              </w:rPr>
              <w:t xml:space="preserve">）。                     </w:t>
            </w:r>
          </w:p>
        </w:tc>
        <w:tc>
          <w:tcPr>
            <w:tcW w:w="1631" w:type="dxa"/>
            <w:shd w:val="clear" w:color="auto" w:fill="auto"/>
            <w:vAlign w:val="center"/>
          </w:tcPr>
          <w:p>
            <w:pPr>
              <w:widowControl/>
              <w:adjustRightInd w:val="0"/>
              <w:snapToGrid w:val="0"/>
              <w:rPr>
                <w:rFonts w:ascii="仿宋" w:hAnsi="仿宋" w:cs="仿宋"/>
                <w:bCs/>
              </w:rPr>
            </w:pPr>
            <w:r>
              <w:rPr>
                <w:rFonts w:hint="eastAsia" w:ascii="仿宋" w:hAnsi="仿宋" w:cs="仿宋"/>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568" w:type="dxa"/>
            <w:shd w:val="clear" w:color="auto" w:fill="auto"/>
            <w:vAlign w:val="center"/>
          </w:tcPr>
          <w:p>
            <w:pPr>
              <w:widowControl/>
              <w:adjustRightInd w:val="0"/>
              <w:snapToGrid w:val="0"/>
              <w:jc w:val="center"/>
              <w:rPr>
                <w:rFonts w:ascii="仿宋" w:hAnsi="仿宋" w:cs="仿宋"/>
                <w:b/>
                <w:bCs/>
              </w:rPr>
            </w:pPr>
            <w:r>
              <w:rPr>
                <w:rFonts w:hint="eastAsia" w:ascii="仿宋" w:hAnsi="仿宋" w:cs="仿宋"/>
                <w:b/>
                <w:bCs/>
              </w:rPr>
              <w:t>7</w:t>
            </w:r>
          </w:p>
        </w:tc>
        <w:tc>
          <w:tcPr>
            <w:tcW w:w="1307" w:type="dxa"/>
            <w:shd w:val="clear" w:color="auto" w:fill="auto"/>
            <w:vAlign w:val="center"/>
          </w:tcPr>
          <w:p>
            <w:pPr>
              <w:widowControl/>
              <w:adjustRightInd w:val="0"/>
              <w:snapToGrid w:val="0"/>
              <w:rPr>
                <w:rFonts w:ascii="仿宋" w:hAnsi="仿宋" w:cs="仿宋"/>
                <w:b/>
                <w:bCs/>
              </w:rPr>
            </w:pPr>
            <w:r>
              <w:rPr>
                <w:rFonts w:hint="eastAsia" w:ascii="仿宋" w:hAnsi="仿宋" w:cs="宋体"/>
              </w:rPr>
              <w:t>售后服务 8%</w:t>
            </w:r>
          </w:p>
        </w:tc>
        <w:tc>
          <w:tcPr>
            <w:tcW w:w="673" w:type="dxa"/>
            <w:shd w:val="clear" w:color="auto" w:fill="auto"/>
            <w:vAlign w:val="center"/>
          </w:tcPr>
          <w:p>
            <w:pPr>
              <w:widowControl/>
              <w:adjustRightInd w:val="0"/>
              <w:snapToGrid w:val="0"/>
              <w:rPr>
                <w:rFonts w:ascii="仿宋" w:hAnsi="仿宋" w:cs="仿宋"/>
                <w:bCs/>
              </w:rPr>
            </w:pPr>
            <w:r>
              <w:rPr>
                <w:rFonts w:hint="eastAsia" w:ascii="仿宋" w:hAnsi="仿宋" w:cs="仿宋"/>
                <w:bCs/>
              </w:rPr>
              <w:t>8分</w:t>
            </w:r>
          </w:p>
        </w:tc>
        <w:tc>
          <w:tcPr>
            <w:tcW w:w="4661" w:type="dxa"/>
            <w:shd w:val="clear" w:color="auto" w:fill="auto"/>
            <w:vAlign w:val="center"/>
          </w:tcPr>
          <w:p>
            <w:pPr>
              <w:widowControl/>
              <w:adjustRightInd w:val="0"/>
              <w:snapToGrid w:val="0"/>
              <w:rPr>
                <w:rFonts w:ascii="仿宋" w:hAnsi="仿宋" w:cs="仿宋"/>
                <w:bCs/>
              </w:rPr>
            </w:pPr>
            <w:r>
              <w:rPr>
                <w:rFonts w:ascii="仿宋" w:hAnsi="仿宋" w:cs="仿宋"/>
                <w:bCs/>
              </w:rPr>
              <w:t>投标人完全响应</w:t>
            </w:r>
            <w:r>
              <w:rPr>
                <w:rFonts w:hint="eastAsia" w:ascii="仿宋" w:hAnsi="仿宋" w:cs="仿宋"/>
                <w:bCs/>
              </w:rPr>
              <w:t>招标文件第六章“售后服务要求”所有条款，得8分。有一项负偏离扣2分（共4项），扣完为止。</w:t>
            </w:r>
          </w:p>
        </w:tc>
        <w:tc>
          <w:tcPr>
            <w:tcW w:w="1631" w:type="dxa"/>
            <w:shd w:val="clear" w:color="auto" w:fill="auto"/>
            <w:vAlign w:val="center"/>
          </w:tcPr>
          <w:p>
            <w:pPr>
              <w:widowControl/>
              <w:adjustRightInd w:val="0"/>
              <w:snapToGrid w:val="0"/>
              <w:rPr>
                <w:rFonts w:ascii="仿宋" w:hAnsi="仿宋" w:cs="仿宋"/>
                <w:b/>
                <w:bCs/>
              </w:rPr>
            </w:pPr>
            <w:r>
              <w:rPr>
                <w:rFonts w:hint="eastAsia" w:ascii="仿宋" w:hAnsi="仿宋" w:cs="仿宋"/>
                <w:lang w:val="en-US" w:eastAsia="zh-CN"/>
              </w:rPr>
              <w:t>技术类</w:t>
            </w:r>
            <w:r>
              <w:rPr>
                <w:rFonts w:hint="eastAsia" w:ascii="仿宋" w:hAnsi="仿宋" w:cs="仿宋"/>
              </w:rPr>
              <w:t>评分因素</w:t>
            </w:r>
          </w:p>
        </w:tc>
      </w:tr>
    </w:tbl>
    <w:p>
      <w:pPr>
        <w:rPr>
          <w:rFonts w:ascii="仿宋" w:hAnsi="仿宋"/>
          <w:b/>
          <w:bCs/>
          <w:sz w:val="28"/>
          <w:szCs w:val="28"/>
        </w:rPr>
      </w:pPr>
      <w:r>
        <w:rPr>
          <w:rFonts w:ascii="仿宋" w:hAnsi="仿宋"/>
          <w:b/>
          <w:bCs/>
          <w:sz w:val="28"/>
          <w:szCs w:val="28"/>
        </w:rPr>
        <w:br w:type="page"/>
      </w:r>
    </w:p>
    <w:p>
      <w:pPr>
        <w:pStyle w:val="14"/>
        <w:tabs>
          <w:tab w:val="left" w:pos="600"/>
        </w:tabs>
        <w:spacing w:line="400" w:lineRule="exact"/>
        <w:ind w:left="480"/>
        <w:rPr>
          <w:rFonts w:ascii="仿宋" w:hAnsi="仿宋"/>
          <w:b/>
          <w:bCs/>
          <w:sz w:val="28"/>
          <w:szCs w:val="28"/>
        </w:rPr>
      </w:pPr>
      <w:r>
        <w:rPr>
          <w:rFonts w:hint="eastAsia" w:ascii="仿宋" w:hAnsi="仿宋"/>
          <w:b/>
          <w:bCs/>
          <w:sz w:val="28"/>
          <w:szCs w:val="28"/>
        </w:rPr>
        <w:t>包7：</w:t>
      </w:r>
    </w:p>
    <w:tbl>
      <w:tblPr>
        <w:tblStyle w:val="35"/>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225"/>
        <w:gridCol w:w="755"/>
        <w:gridCol w:w="4932"/>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568" w:type="dxa"/>
            <w:shd w:val="clear" w:color="auto" w:fill="auto"/>
            <w:vAlign w:val="center"/>
          </w:tcPr>
          <w:p>
            <w:pPr>
              <w:widowControl/>
              <w:adjustRightInd w:val="0"/>
              <w:snapToGrid w:val="0"/>
              <w:jc w:val="center"/>
              <w:rPr>
                <w:rFonts w:ascii="仿宋" w:hAnsi="仿宋" w:cs="仿宋"/>
                <w:b/>
                <w:bCs/>
              </w:rPr>
            </w:pPr>
            <w:r>
              <w:rPr>
                <w:rFonts w:hint="eastAsia" w:ascii="仿宋" w:hAnsi="仿宋" w:cs="仿宋"/>
                <w:bCs/>
              </w:rPr>
              <w:t>序号</w:t>
            </w:r>
          </w:p>
        </w:tc>
        <w:tc>
          <w:tcPr>
            <w:tcW w:w="1225" w:type="dxa"/>
            <w:shd w:val="clear" w:color="auto" w:fill="auto"/>
            <w:vAlign w:val="center"/>
          </w:tcPr>
          <w:p>
            <w:pPr>
              <w:widowControl/>
              <w:adjustRightInd w:val="0"/>
              <w:snapToGrid w:val="0"/>
              <w:jc w:val="center"/>
              <w:rPr>
                <w:rFonts w:ascii="仿宋" w:hAnsi="仿宋" w:cs="仿宋"/>
                <w:b/>
                <w:bCs/>
              </w:rPr>
            </w:pPr>
            <w:r>
              <w:rPr>
                <w:rFonts w:hint="eastAsia" w:ascii="仿宋" w:hAnsi="仿宋" w:cs="仿宋"/>
                <w:bCs/>
              </w:rPr>
              <w:t>评分因素及权重</w:t>
            </w:r>
          </w:p>
        </w:tc>
        <w:tc>
          <w:tcPr>
            <w:tcW w:w="755" w:type="dxa"/>
            <w:shd w:val="clear" w:color="auto" w:fill="auto"/>
            <w:vAlign w:val="center"/>
          </w:tcPr>
          <w:p>
            <w:pPr>
              <w:widowControl/>
              <w:adjustRightInd w:val="0"/>
              <w:snapToGrid w:val="0"/>
              <w:jc w:val="center"/>
              <w:rPr>
                <w:rFonts w:ascii="仿宋" w:hAnsi="仿宋" w:cs="仿宋"/>
                <w:b/>
                <w:bCs/>
              </w:rPr>
            </w:pPr>
            <w:r>
              <w:rPr>
                <w:rFonts w:hint="eastAsia" w:ascii="仿宋" w:hAnsi="仿宋" w:cs="仿宋"/>
                <w:bCs/>
              </w:rPr>
              <w:t>分值</w:t>
            </w:r>
          </w:p>
        </w:tc>
        <w:tc>
          <w:tcPr>
            <w:tcW w:w="4932" w:type="dxa"/>
            <w:shd w:val="clear" w:color="auto" w:fill="auto"/>
            <w:vAlign w:val="center"/>
          </w:tcPr>
          <w:p>
            <w:pPr>
              <w:widowControl/>
              <w:adjustRightInd w:val="0"/>
              <w:snapToGrid w:val="0"/>
              <w:jc w:val="center"/>
              <w:rPr>
                <w:rFonts w:ascii="仿宋" w:hAnsi="仿宋" w:cs="仿宋"/>
                <w:b/>
                <w:bCs/>
              </w:rPr>
            </w:pPr>
            <w:r>
              <w:rPr>
                <w:rFonts w:hint="eastAsia" w:ascii="仿宋" w:hAnsi="仿宋" w:cs="仿宋"/>
                <w:bCs/>
              </w:rPr>
              <w:t>评分依据</w:t>
            </w:r>
          </w:p>
        </w:tc>
        <w:tc>
          <w:tcPr>
            <w:tcW w:w="1360" w:type="dxa"/>
            <w:shd w:val="clear" w:color="auto" w:fill="auto"/>
            <w:vAlign w:val="center"/>
          </w:tcPr>
          <w:p>
            <w:pPr>
              <w:widowControl/>
              <w:adjustRightInd w:val="0"/>
              <w:snapToGrid w:val="0"/>
              <w:jc w:val="center"/>
              <w:rPr>
                <w:rFonts w:ascii="仿宋" w:hAnsi="仿宋" w:cs="仿宋"/>
                <w:b/>
                <w:bCs/>
              </w:rPr>
            </w:pPr>
            <w:r>
              <w:rPr>
                <w:rFonts w:hint="eastAsia" w:ascii="仿宋" w:hAnsi="仿宋" w:cs="仿宋"/>
                <w:bCs/>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trPr>
        <w:tc>
          <w:tcPr>
            <w:tcW w:w="568" w:type="dxa"/>
            <w:shd w:val="clear" w:color="auto" w:fill="auto"/>
            <w:vAlign w:val="center"/>
          </w:tcPr>
          <w:p>
            <w:pPr>
              <w:widowControl/>
              <w:adjustRightInd w:val="0"/>
              <w:snapToGrid w:val="0"/>
              <w:rPr>
                <w:rFonts w:ascii="仿宋" w:hAnsi="仿宋" w:cs="仿宋"/>
                <w:b/>
                <w:bCs/>
              </w:rPr>
            </w:pPr>
            <w:r>
              <w:rPr>
                <w:rFonts w:hint="eastAsia" w:ascii="仿宋" w:hAnsi="仿宋" w:cs="仿宋"/>
                <w:bCs/>
              </w:rPr>
              <w:t>1</w:t>
            </w:r>
          </w:p>
        </w:tc>
        <w:tc>
          <w:tcPr>
            <w:tcW w:w="1225" w:type="dxa"/>
            <w:shd w:val="clear" w:color="auto" w:fill="auto"/>
            <w:vAlign w:val="center"/>
          </w:tcPr>
          <w:p>
            <w:pPr>
              <w:adjustRightInd w:val="0"/>
              <w:snapToGrid w:val="0"/>
              <w:rPr>
                <w:rFonts w:ascii="仿宋" w:hAnsi="仿宋" w:cs="仿宋"/>
                <w:b/>
                <w:bCs/>
              </w:rPr>
            </w:pPr>
            <w:r>
              <w:rPr>
                <w:rFonts w:hint="eastAsia" w:ascii="仿宋" w:hAnsi="仿宋" w:cs="仿宋"/>
              </w:rPr>
              <w:t>报价 30%</w:t>
            </w:r>
          </w:p>
        </w:tc>
        <w:tc>
          <w:tcPr>
            <w:tcW w:w="755" w:type="dxa"/>
            <w:shd w:val="clear" w:color="auto" w:fill="auto"/>
            <w:vAlign w:val="center"/>
          </w:tcPr>
          <w:p>
            <w:pPr>
              <w:widowControl/>
              <w:adjustRightInd w:val="0"/>
              <w:snapToGrid w:val="0"/>
              <w:rPr>
                <w:rFonts w:ascii="仿宋" w:hAnsi="仿宋" w:cs="仿宋"/>
                <w:b/>
                <w:bCs/>
              </w:rPr>
            </w:pPr>
            <w:r>
              <w:rPr>
                <w:rFonts w:hint="eastAsia" w:ascii="仿宋" w:hAnsi="仿宋" w:cs="仿宋"/>
              </w:rPr>
              <w:t>30分</w:t>
            </w:r>
          </w:p>
        </w:tc>
        <w:tc>
          <w:tcPr>
            <w:tcW w:w="4932" w:type="dxa"/>
            <w:shd w:val="clear" w:color="auto" w:fill="auto"/>
            <w:vAlign w:val="center"/>
          </w:tcPr>
          <w:p>
            <w:pPr>
              <w:widowControl/>
              <w:adjustRightInd w:val="0"/>
              <w:snapToGrid w:val="0"/>
              <w:rPr>
                <w:rFonts w:ascii="仿宋" w:hAnsi="仿宋" w:cs="仿宋"/>
              </w:rPr>
            </w:pPr>
            <w:r>
              <w:rPr>
                <w:rFonts w:hint="eastAsia" w:ascii="仿宋" w:hAnsi="仿宋" w:cs="仿宋"/>
              </w:rPr>
              <w:t>满足招标文件要求且投标价格最低的报价为基准价，其价格分为满分。其他供应商的价格分统一按照下列公式计算：报价得分=(基准价／报价)×30</w:t>
            </w:r>
          </w:p>
        </w:tc>
        <w:tc>
          <w:tcPr>
            <w:tcW w:w="1360" w:type="dxa"/>
            <w:shd w:val="clear" w:color="auto" w:fill="auto"/>
            <w:vAlign w:val="center"/>
          </w:tcPr>
          <w:p>
            <w:pPr>
              <w:widowControl/>
              <w:adjustRightInd w:val="0"/>
              <w:snapToGrid w:val="0"/>
              <w:rPr>
                <w:rFonts w:ascii="仿宋" w:hAnsi="仿宋" w:cs="仿宋"/>
                <w:b/>
                <w:bCs/>
              </w:rPr>
            </w:pPr>
            <w:r>
              <w:rPr>
                <w:rFonts w:hint="eastAsia" w:ascii="仿宋" w:hAnsi="仿宋" w:cs="仿宋"/>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68" w:type="dxa"/>
            <w:shd w:val="clear" w:color="auto" w:fill="auto"/>
            <w:vAlign w:val="center"/>
          </w:tcPr>
          <w:p>
            <w:pPr>
              <w:widowControl/>
              <w:adjustRightInd w:val="0"/>
              <w:snapToGrid w:val="0"/>
              <w:rPr>
                <w:rFonts w:ascii="仿宋" w:hAnsi="仿宋" w:cs="仿宋"/>
                <w:bCs/>
              </w:rPr>
            </w:pPr>
            <w:r>
              <w:rPr>
                <w:rFonts w:hint="eastAsia" w:ascii="仿宋" w:hAnsi="仿宋" w:cs="仿宋"/>
                <w:bCs/>
              </w:rPr>
              <w:t>2</w:t>
            </w:r>
          </w:p>
        </w:tc>
        <w:tc>
          <w:tcPr>
            <w:tcW w:w="1225" w:type="dxa"/>
            <w:shd w:val="clear" w:color="auto" w:fill="auto"/>
            <w:vAlign w:val="center"/>
          </w:tcPr>
          <w:p>
            <w:pPr>
              <w:adjustRightInd w:val="0"/>
              <w:snapToGrid w:val="0"/>
              <w:rPr>
                <w:rFonts w:ascii="仿宋" w:hAnsi="仿宋" w:cs="仿宋"/>
              </w:rPr>
            </w:pPr>
            <w:r>
              <w:rPr>
                <w:rFonts w:hint="eastAsia" w:ascii="仿宋" w:hAnsi="仿宋" w:cs="仿宋"/>
              </w:rPr>
              <w:t>技术、服务要求响应 30%</w:t>
            </w:r>
          </w:p>
        </w:tc>
        <w:tc>
          <w:tcPr>
            <w:tcW w:w="755" w:type="dxa"/>
            <w:shd w:val="clear" w:color="auto" w:fill="auto"/>
            <w:vAlign w:val="center"/>
          </w:tcPr>
          <w:p>
            <w:pPr>
              <w:widowControl/>
              <w:adjustRightInd w:val="0"/>
              <w:snapToGrid w:val="0"/>
              <w:rPr>
                <w:rFonts w:ascii="仿宋" w:hAnsi="仿宋" w:cs="仿宋"/>
              </w:rPr>
            </w:pPr>
            <w:r>
              <w:rPr>
                <w:rFonts w:ascii="仿宋" w:hAnsi="仿宋" w:cs="仿宋"/>
              </w:rPr>
              <w:t>3</w:t>
            </w:r>
            <w:r>
              <w:rPr>
                <w:rFonts w:hint="eastAsia" w:ascii="仿宋" w:hAnsi="仿宋" w:cs="仿宋"/>
              </w:rPr>
              <w:t>0分</w:t>
            </w:r>
          </w:p>
        </w:tc>
        <w:tc>
          <w:tcPr>
            <w:tcW w:w="4932" w:type="dxa"/>
            <w:shd w:val="clear" w:color="auto" w:fill="auto"/>
            <w:vAlign w:val="center"/>
          </w:tcPr>
          <w:p>
            <w:pPr>
              <w:contextualSpacing/>
              <w:rPr>
                <w:rFonts w:ascii="仿宋_GB2312" w:hAnsi="方正仿宋简体" w:eastAsia="仿宋_GB2312" w:cs="方正仿宋简体"/>
                <w:bCs/>
              </w:rPr>
            </w:pPr>
            <w:r>
              <w:rPr>
                <w:rFonts w:hint="eastAsia" w:ascii="仿宋_GB2312" w:hAnsi="方正仿宋简体" w:eastAsia="仿宋_GB2312" w:cs="方正仿宋简体"/>
                <w:bCs/>
              </w:rPr>
              <w:t>投标人针对招标文件第六章“三、技术、服务要求”条款的响应得分为A+B：</w:t>
            </w:r>
          </w:p>
          <w:p>
            <w:pPr>
              <w:contextualSpacing/>
              <w:rPr>
                <w:rFonts w:ascii="仿宋_GB2312" w:hAnsi="方正仿宋简体" w:eastAsia="仿宋_GB2312" w:cs="方正仿宋简体"/>
                <w:bCs/>
              </w:rPr>
            </w:pPr>
            <w:r>
              <w:rPr>
                <w:rFonts w:hint="eastAsia" w:ascii="仿宋_GB2312" w:hAnsi="方正仿宋简体" w:eastAsia="仿宋_GB2312" w:cs="方正仿宋简体"/>
                <w:bCs/>
              </w:rPr>
              <w:t>A.一般条款响应得分=（投标人满足一般条款的数量÷一般条款的总数量共23条）×15分。</w:t>
            </w:r>
          </w:p>
          <w:p>
            <w:pPr>
              <w:contextualSpacing/>
              <w:rPr>
                <w:rFonts w:ascii="仿宋_GB2312" w:hAnsi="方正仿宋简体" w:eastAsia="仿宋_GB2312" w:cs="方正仿宋简体"/>
                <w:bCs/>
              </w:rPr>
            </w:pPr>
            <w:r>
              <w:rPr>
                <w:rFonts w:hint="eastAsia" w:ascii="仿宋_GB2312" w:hAnsi="方正仿宋简体" w:eastAsia="仿宋_GB2312" w:cs="方正仿宋简体"/>
                <w:bCs/>
              </w:rPr>
              <w:t>B.“▲”条款响应得分=（投标人满足“▲”条款的数量÷“▲”条款的总数量共5条）×15分。</w:t>
            </w:r>
          </w:p>
          <w:p>
            <w:pPr>
              <w:widowControl/>
              <w:adjustRightInd w:val="0"/>
              <w:snapToGrid w:val="0"/>
              <w:rPr>
                <w:rFonts w:ascii="仿宋" w:hAnsi="仿宋" w:cs="仿宋"/>
              </w:rPr>
            </w:pPr>
            <w:r>
              <w:rPr>
                <w:rFonts w:hint="eastAsia" w:ascii="仿宋_GB2312" w:hAnsi="方正仿宋简体" w:eastAsia="仿宋_GB2312" w:cs="方正仿宋简体"/>
                <w:bCs/>
              </w:rPr>
              <w:t>注：①针对技术、服务要求条款的响应，如果招标文件第六章“技术、服务要求”条款对佐证材料有要求的应按要求提供，否则对应条款将视为不满足。②一般条款指未标注“★”或“▲”的条款。③“★”条款是本项目的实质性要求，投标人未全部满足的按照无效投标处理，不再用于打分。</w:t>
            </w:r>
          </w:p>
        </w:tc>
        <w:tc>
          <w:tcPr>
            <w:tcW w:w="1360" w:type="dxa"/>
            <w:shd w:val="clear" w:color="auto" w:fill="auto"/>
            <w:vAlign w:val="center"/>
          </w:tcPr>
          <w:p>
            <w:pPr>
              <w:rPr>
                <w:rFonts w:ascii="仿宋" w:hAnsi="仿宋" w:cs="仿宋"/>
              </w:rPr>
            </w:pPr>
            <w:r>
              <w:rPr>
                <w:rFonts w:hint="eastAsia" w:ascii="仿宋" w:hAnsi="仿宋" w:cs="仿宋"/>
              </w:rPr>
              <w:t>技术类评分因素</w:t>
            </w:r>
          </w:p>
          <w:p>
            <w:pPr>
              <w:widowControl/>
              <w:adjustRightInd w:val="0"/>
              <w:snapToGrid w:val="0"/>
              <w:rPr>
                <w:rFonts w:ascii="仿宋" w:hAnsi="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568" w:type="dxa"/>
            <w:shd w:val="clear" w:color="auto" w:fill="auto"/>
            <w:vAlign w:val="center"/>
          </w:tcPr>
          <w:p>
            <w:pPr>
              <w:widowControl/>
              <w:adjustRightInd w:val="0"/>
              <w:snapToGrid w:val="0"/>
              <w:rPr>
                <w:rFonts w:ascii="仿宋" w:hAnsi="仿宋" w:cs="仿宋"/>
                <w:b/>
                <w:bCs/>
              </w:rPr>
            </w:pPr>
            <w:r>
              <w:rPr>
                <w:rFonts w:hint="eastAsia" w:ascii="仿宋" w:hAnsi="仿宋" w:cs="仿宋"/>
                <w:b/>
                <w:bCs/>
              </w:rPr>
              <w:t>3</w:t>
            </w:r>
          </w:p>
        </w:tc>
        <w:tc>
          <w:tcPr>
            <w:tcW w:w="1225" w:type="dxa"/>
            <w:shd w:val="clear" w:color="auto" w:fill="auto"/>
            <w:vAlign w:val="center"/>
          </w:tcPr>
          <w:p>
            <w:pPr>
              <w:widowControl/>
              <w:adjustRightInd w:val="0"/>
              <w:snapToGrid w:val="0"/>
              <w:rPr>
                <w:rFonts w:ascii="仿宋" w:hAnsi="仿宋" w:cs="仿宋"/>
                <w:b/>
                <w:bCs/>
              </w:rPr>
            </w:pPr>
            <w:r>
              <w:rPr>
                <w:rFonts w:hint="eastAsia" w:ascii="仿宋" w:hAnsi="仿宋" w:cs="仿宋"/>
                <w:bCs/>
              </w:rPr>
              <w:t>服务实施方案 32%</w:t>
            </w:r>
          </w:p>
        </w:tc>
        <w:tc>
          <w:tcPr>
            <w:tcW w:w="755" w:type="dxa"/>
            <w:shd w:val="clear" w:color="auto" w:fill="auto"/>
            <w:vAlign w:val="center"/>
          </w:tcPr>
          <w:p>
            <w:pPr>
              <w:widowControl/>
              <w:adjustRightInd w:val="0"/>
              <w:snapToGrid w:val="0"/>
              <w:rPr>
                <w:rFonts w:ascii="仿宋" w:hAnsi="仿宋" w:cs="仿宋"/>
                <w:b/>
                <w:bCs/>
              </w:rPr>
            </w:pPr>
            <w:r>
              <w:rPr>
                <w:rFonts w:hint="eastAsia" w:ascii="仿宋" w:hAnsi="仿宋" w:cs="仿宋"/>
                <w:bCs/>
              </w:rPr>
              <w:t>32分</w:t>
            </w:r>
          </w:p>
        </w:tc>
        <w:tc>
          <w:tcPr>
            <w:tcW w:w="4932" w:type="dxa"/>
            <w:shd w:val="clear" w:color="auto" w:fill="auto"/>
            <w:vAlign w:val="center"/>
          </w:tcPr>
          <w:p>
            <w:pPr>
              <w:widowControl/>
              <w:adjustRightInd w:val="0"/>
              <w:snapToGrid w:val="0"/>
              <w:rPr>
                <w:rFonts w:ascii="仿宋" w:hAnsi="仿宋" w:cs="仿宋"/>
                <w:bCs/>
              </w:rPr>
            </w:pPr>
            <w:r>
              <w:rPr>
                <w:rFonts w:hint="eastAsia" w:ascii="仿宋" w:hAnsi="仿宋" w:cs="仿宋"/>
                <w:bCs/>
              </w:rPr>
              <w:t>供应商须提供针对本项目的实施方案，至少包含以下方面：①工作目的；②服务内容理解；③工作要求及指标；④培训方案；⑤质量控制方案；⑥项目流程及推进时间节点安排；⑦保密工作制度；⑧应急预案。</w:t>
            </w:r>
          </w:p>
          <w:p>
            <w:pPr>
              <w:widowControl/>
              <w:adjustRightInd w:val="0"/>
              <w:snapToGrid w:val="0"/>
              <w:rPr>
                <w:rFonts w:ascii="仿宋" w:hAnsi="仿宋" w:cs="仿宋"/>
                <w:bCs/>
              </w:rPr>
            </w:pPr>
            <w:r>
              <w:rPr>
                <w:rFonts w:hint="eastAsia" w:ascii="仿宋" w:hAnsi="仿宋" w:cs="仿宋"/>
                <w:bCs/>
              </w:rPr>
              <w:t>以上8项内容齐全，且同时满足：内容充分、逻辑严谨、符合项目及当地实际情况的得32分。每缺少一个内容的扣4分，32分扣完为止；内容描述存在内容不充分、前后矛盾、不符合项目及当地实际情况中任何一种情形或其他不足之处的，每有一处扣2分，每项最多扣4分，32分扣完为止。</w:t>
            </w:r>
          </w:p>
          <w:p>
            <w:pPr>
              <w:widowControl/>
              <w:adjustRightInd w:val="0"/>
              <w:snapToGrid w:val="0"/>
              <w:rPr>
                <w:rFonts w:ascii="仿宋" w:hAnsi="仿宋" w:cs="仿宋"/>
                <w:b/>
                <w:bCs/>
              </w:rPr>
            </w:pPr>
            <w:r>
              <w:rPr>
                <w:rFonts w:hint="eastAsia" w:ascii="仿宋" w:hAnsi="仿宋" w:cs="仿宋"/>
                <w:bCs/>
              </w:rPr>
              <w:t>（注：其他不足之处是指内容套用或错用、凭空编造、科学原理错误以及不可能实现的夸大情形等。）</w:t>
            </w:r>
          </w:p>
        </w:tc>
        <w:tc>
          <w:tcPr>
            <w:tcW w:w="1360" w:type="dxa"/>
            <w:shd w:val="clear" w:color="auto" w:fill="auto"/>
            <w:vAlign w:val="center"/>
          </w:tcPr>
          <w:p>
            <w:pPr>
              <w:widowControl/>
              <w:adjustRightInd w:val="0"/>
              <w:snapToGrid w:val="0"/>
              <w:rPr>
                <w:rFonts w:ascii="仿宋" w:hAnsi="仿宋" w:cs="仿宋"/>
                <w:b/>
                <w:bCs/>
              </w:rPr>
            </w:pPr>
            <w:r>
              <w:rPr>
                <w:rFonts w:hint="eastAsia" w:ascii="仿宋" w:hAnsi="仿宋" w:cs="仿宋"/>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568" w:type="dxa"/>
            <w:shd w:val="clear" w:color="auto" w:fill="auto"/>
            <w:vAlign w:val="center"/>
          </w:tcPr>
          <w:p>
            <w:pPr>
              <w:widowControl/>
              <w:adjustRightInd w:val="0"/>
              <w:snapToGrid w:val="0"/>
              <w:rPr>
                <w:rFonts w:ascii="仿宋" w:hAnsi="仿宋" w:cs="仿宋"/>
                <w:b/>
                <w:bCs/>
              </w:rPr>
            </w:pPr>
            <w:r>
              <w:rPr>
                <w:rFonts w:hint="eastAsia" w:ascii="仿宋" w:hAnsi="仿宋" w:cs="仿宋"/>
                <w:b/>
                <w:bCs/>
              </w:rPr>
              <w:t>4</w:t>
            </w:r>
          </w:p>
        </w:tc>
        <w:tc>
          <w:tcPr>
            <w:tcW w:w="1225" w:type="dxa"/>
            <w:shd w:val="clear" w:color="auto" w:fill="auto"/>
            <w:vAlign w:val="center"/>
          </w:tcPr>
          <w:p>
            <w:pPr>
              <w:widowControl/>
              <w:adjustRightInd w:val="0"/>
              <w:snapToGrid w:val="0"/>
              <w:rPr>
                <w:rFonts w:ascii="仿宋" w:hAnsi="仿宋" w:cs="仿宋"/>
                <w:bCs/>
              </w:rPr>
            </w:pPr>
            <w:r>
              <w:rPr>
                <w:rFonts w:hint="eastAsia" w:ascii="仿宋" w:hAnsi="仿宋" w:cs="仿宋"/>
                <w:bCs/>
              </w:rPr>
              <w:t xml:space="preserve">节能、环保产品 </w:t>
            </w:r>
            <w:r>
              <w:rPr>
                <w:rFonts w:ascii="仿宋" w:hAnsi="仿宋" w:cs="仿宋"/>
                <w:bCs/>
              </w:rPr>
              <w:t>1%</w:t>
            </w:r>
          </w:p>
        </w:tc>
        <w:tc>
          <w:tcPr>
            <w:tcW w:w="755" w:type="dxa"/>
            <w:shd w:val="clear" w:color="auto" w:fill="auto"/>
            <w:vAlign w:val="center"/>
          </w:tcPr>
          <w:p>
            <w:pPr>
              <w:widowControl/>
              <w:adjustRightInd w:val="0"/>
              <w:snapToGrid w:val="0"/>
              <w:rPr>
                <w:rFonts w:ascii="仿宋" w:hAnsi="仿宋" w:cs="仿宋"/>
                <w:bCs/>
              </w:rPr>
            </w:pPr>
            <w:r>
              <w:rPr>
                <w:rFonts w:ascii="仿宋" w:hAnsi="仿宋" w:cs="仿宋"/>
                <w:bCs/>
              </w:rPr>
              <w:t>1</w:t>
            </w:r>
            <w:r>
              <w:rPr>
                <w:rFonts w:hint="eastAsia" w:ascii="仿宋" w:hAnsi="仿宋" w:cs="仿宋"/>
                <w:bCs/>
              </w:rPr>
              <w:t>分</w:t>
            </w:r>
          </w:p>
        </w:tc>
        <w:tc>
          <w:tcPr>
            <w:tcW w:w="4932" w:type="dxa"/>
            <w:shd w:val="clear" w:color="auto" w:fill="auto"/>
            <w:vAlign w:val="center"/>
          </w:tcPr>
          <w:p>
            <w:pPr>
              <w:widowControl/>
              <w:adjustRightInd w:val="0"/>
              <w:snapToGrid w:val="0"/>
              <w:rPr>
                <w:rFonts w:ascii="仿宋" w:hAnsi="仿宋" w:cs="仿宋"/>
                <w:bCs/>
              </w:rPr>
            </w:pPr>
            <w:r>
              <w:rPr>
                <w:rFonts w:hint="eastAsia" w:ascii="仿宋" w:hAnsi="仿宋" w:cs="仿宋"/>
                <w:bCs/>
              </w:rPr>
              <w:t>投标产品中属于政府采购优先采购范围的，则每有一项节能产品或环境标志产品或无线局域网产品的得0.5分，非节能、环境标志产品的、无线局域网产品的不得分。本项最多得1分。</w:t>
            </w:r>
          </w:p>
          <w:p>
            <w:pPr>
              <w:widowControl/>
              <w:adjustRightInd w:val="0"/>
              <w:snapToGrid w:val="0"/>
              <w:rPr>
                <w:rFonts w:ascii="仿宋" w:hAnsi="仿宋" w:cs="仿宋"/>
                <w:bCs/>
              </w:rPr>
            </w:pPr>
            <w:r>
              <w:rPr>
                <w:rFonts w:hint="eastAsia" w:ascii="仿宋" w:hAnsi="仿宋" w:cs="仿宋"/>
                <w:bCs/>
              </w:rPr>
              <w:t>注：1. 节能产品、环境标志产品优先采购范围以品目清单为准。无线局域网产品优先采购范围以中国政府采购网公布的《无线局域网认证产品政府采购清单》为准。</w:t>
            </w:r>
          </w:p>
          <w:p>
            <w:pPr>
              <w:widowControl/>
              <w:adjustRightInd w:val="0"/>
              <w:snapToGrid w:val="0"/>
              <w:rPr>
                <w:rFonts w:ascii="仿宋" w:hAnsi="仿宋" w:cs="仿宋"/>
                <w:bCs/>
              </w:rPr>
            </w:pPr>
            <w:r>
              <w:rPr>
                <w:rFonts w:hint="eastAsia" w:ascii="仿宋" w:hAnsi="仿宋" w:cs="仿宋"/>
                <w:bCs/>
              </w:rPr>
              <w:t>2. 投标产品属于优先采购范围内的节能产品或者环境标志产品的，提供国家确定的认证机构出具的、处于有效期之内的节能产品、环境标志产品认证证书复印件加盖供应商公章（</w:t>
            </w:r>
            <w:r>
              <w:rPr>
                <w:rFonts w:hint="eastAsia"/>
                <w:lang w:val="en-US" w:eastAsia="zh-CN"/>
              </w:rPr>
              <w:t>电子印章</w:t>
            </w:r>
            <w:r>
              <w:rPr>
                <w:rFonts w:hint="eastAsia" w:ascii="仿宋" w:hAnsi="仿宋" w:cs="仿宋"/>
                <w:bCs/>
              </w:rPr>
              <w:t>）。</w:t>
            </w:r>
          </w:p>
          <w:p>
            <w:pPr>
              <w:widowControl/>
              <w:adjustRightInd w:val="0"/>
              <w:snapToGrid w:val="0"/>
              <w:rPr>
                <w:rFonts w:ascii="仿宋" w:hAnsi="仿宋" w:cs="仿宋"/>
                <w:bCs/>
              </w:rPr>
            </w:pPr>
            <w:r>
              <w:rPr>
                <w:rFonts w:hint="eastAsia" w:ascii="仿宋" w:hAnsi="仿宋" w:cs="仿宋"/>
                <w:bCs/>
              </w:rPr>
              <w:t>3. 投标产品属于优先采购范围内的无线局域网产品的，提供政府采购清单对应页并加盖供应商单位公章（</w:t>
            </w:r>
            <w:r>
              <w:rPr>
                <w:rFonts w:hint="eastAsia"/>
                <w:lang w:val="en-US" w:eastAsia="zh-CN"/>
              </w:rPr>
              <w:t>电子印章</w:t>
            </w:r>
            <w:r>
              <w:rPr>
                <w:rFonts w:hint="eastAsia" w:ascii="仿宋" w:hAnsi="仿宋" w:cs="仿宋"/>
                <w:bCs/>
              </w:rPr>
              <w:t xml:space="preserve">）。                     </w:t>
            </w:r>
          </w:p>
        </w:tc>
        <w:tc>
          <w:tcPr>
            <w:tcW w:w="1360" w:type="dxa"/>
            <w:shd w:val="clear" w:color="auto" w:fill="auto"/>
            <w:vAlign w:val="center"/>
          </w:tcPr>
          <w:p>
            <w:pPr>
              <w:widowControl/>
              <w:adjustRightInd w:val="0"/>
              <w:snapToGrid w:val="0"/>
              <w:rPr>
                <w:rFonts w:ascii="仿宋" w:hAnsi="仿宋" w:cs="仿宋"/>
                <w:bCs/>
              </w:rPr>
            </w:pPr>
            <w:r>
              <w:rPr>
                <w:rFonts w:hint="eastAsia" w:ascii="仿宋" w:hAnsi="仿宋" w:cs="仿宋"/>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568" w:type="dxa"/>
            <w:shd w:val="clear" w:color="auto" w:fill="auto"/>
            <w:vAlign w:val="center"/>
          </w:tcPr>
          <w:p>
            <w:pPr>
              <w:widowControl/>
              <w:adjustRightInd w:val="0"/>
              <w:snapToGrid w:val="0"/>
              <w:jc w:val="center"/>
              <w:rPr>
                <w:rFonts w:ascii="仿宋" w:hAnsi="仿宋" w:cs="仿宋"/>
                <w:b/>
                <w:bCs/>
              </w:rPr>
            </w:pPr>
            <w:r>
              <w:rPr>
                <w:rFonts w:hint="eastAsia" w:ascii="仿宋" w:hAnsi="仿宋" w:cs="仿宋"/>
              </w:rPr>
              <w:t>5</w:t>
            </w:r>
          </w:p>
        </w:tc>
        <w:tc>
          <w:tcPr>
            <w:tcW w:w="1225" w:type="dxa"/>
            <w:shd w:val="clear" w:color="auto" w:fill="auto"/>
            <w:vAlign w:val="center"/>
          </w:tcPr>
          <w:p>
            <w:pPr>
              <w:widowControl/>
              <w:adjustRightInd w:val="0"/>
              <w:snapToGrid w:val="0"/>
              <w:rPr>
                <w:rFonts w:ascii="仿宋" w:hAnsi="仿宋" w:cs="仿宋"/>
                <w:b/>
                <w:bCs/>
              </w:rPr>
            </w:pPr>
            <w:r>
              <w:rPr>
                <w:rFonts w:hint="eastAsia" w:ascii="仿宋" w:hAnsi="仿宋" w:cs="仿宋"/>
              </w:rPr>
              <w:t>投标人履约能力 7%</w:t>
            </w:r>
          </w:p>
        </w:tc>
        <w:tc>
          <w:tcPr>
            <w:tcW w:w="755" w:type="dxa"/>
            <w:shd w:val="clear" w:color="auto" w:fill="auto"/>
            <w:vAlign w:val="center"/>
          </w:tcPr>
          <w:p>
            <w:pPr>
              <w:widowControl/>
              <w:adjustRightInd w:val="0"/>
              <w:snapToGrid w:val="0"/>
              <w:rPr>
                <w:rFonts w:ascii="仿宋" w:hAnsi="仿宋" w:cs="仿宋"/>
                <w:b/>
                <w:bCs/>
              </w:rPr>
            </w:pPr>
            <w:r>
              <w:rPr>
                <w:rFonts w:hint="eastAsia" w:ascii="仿宋" w:hAnsi="仿宋" w:cs="仿宋"/>
                <w:bCs/>
              </w:rPr>
              <w:t>7分</w:t>
            </w:r>
          </w:p>
        </w:tc>
        <w:tc>
          <w:tcPr>
            <w:tcW w:w="4932" w:type="dxa"/>
            <w:shd w:val="clear" w:color="auto" w:fill="auto"/>
            <w:vAlign w:val="center"/>
          </w:tcPr>
          <w:p>
            <w:pPr>
              <w:widowControl/>
              <w:adjustRightInd w:val="0"/>
              <w:snapToGrid w:val="0"/>
              <w:rPr>
                <w:rFonts w:ascii="仿宋" w:hAnsi="仿宋" w:cs="仿宋"/>
              </w:rPr>
            </w:pPr>
            <w:r>
              <w:rPr>
                <w:rFonts w:hint="eastAsia" w:ascii="仿宋" w:hAnsi="仿宋" w:cs="仿宋"/>
              </w:rPr>
              <w:t>投标人自2019年1月1日（含）至投标截止日期具有与本项目类似服务业绩，每提供一个得1分,最多得7分。</w:t>
            </w:r>
          </w:p>
          <w:p>
            <w:pPr>
              <w:widowControl/>
              <w:adjustRightInd w:val="0"/>
              <w:snapToGrid w:val="0"/>
              <w:rPr>
                <w:rFonts w:ascii="仿宋" w:hAnsi="仿宋" w:cs="仿宋"/>
                <w:b/>
                <w:bCs/>
              </w:rPr>
            </w:pPr>
            <w:r>
              <w:rPr>
                <w:rFonts w:hint="eastAsia" w:ascii="仿宋" w:hAnsi="仿宋" w:cs="仿宋"/>
              </w:rPr>
              <w:t>(提供中标/成交合同复印件，并加盖投标人</w:t>
            </w:r>
            <w:r>
              <w:rPr>
                <w:rFonts w:hint="eastAsia"/>
                <w:lang w:val="en-US" w:eastAsia="zh-CN"/>
              </w:rPr>
              <w:t>电子印章</w:t>
            </w:r>
            <w:r>
              <w:rPr>
                <w:rFonts w:hint="eastAsia" w:ascii="仿宋" w:hAnsi="仿宋" w:cs="仿宋"/>
              </w:rPr>
              <w:t>)</w:t>
            </w:r>
          </w:p>
        </w:tc>
        <w:tc>
          <w:tcPr>
            <w:tcW w:w="1360" w:type="dxa"/>
            <w:shd w:val="clear" w:color="auto" w:fill="auto"/>
            <w:vAlign w:val="center"/>
          </w:tcPr>
          <w:p>
            <w:pPr>
              <w:widowControl/>
              <w:adjustRightInd w:val="0"/>
              <w:snapToGrid w:val="0"/>
              <w:rPr>
                <w:rFonts w:ascii="仿宋" w:hAnsi="仿宋" w:cs="仿宋"/>
                <w:b/>
                <w:bCs/>
              </w:rPr>
            </w:pPr>
            <w:r>
              <w:rPr>
                <w:rFonts w:hint="eastAsia" w:ascii="仿宋" w:hAnsi="仿宋" w:cs="仿宋"/>
              </w:rPr>
              <w:t>共同评分因素</w:t>
            </w:r>
          </w:p>
        </w:tc>
      </w:tr>
    </w:tbl>
    <w:p>
      <w:pPr>
        <w:rPr>
          <w:rFonts w:ascii="仿宋" w:hAnsi="仿宋"/>
          <w:b/>
          <w:bCs/>
          <w:sz w:val="28"/>
          <w:szCs w:val="28"/>
        </w:rPr>
      </w:pPr>
      <w:r>
        <w:rPr>
          <w:rFonts w:ascii="仿宋" w:hAnsi="仿宋"/>
          <w:b/>
          <w:bCs/>
          <w:sz w:val="28"/>
          <w:szCs w:val="28"/>
        </w:rPr>
        <w:br w:type="page"/>
      </w:r>
      <w:r>
        <w:rPr>
          <w:rFonts w:hint="eastAsia" w:ascii="仿宋" w:hAnsi="仿宋"/>
          <w:b/>
          <w:bCs/>
          <w:sz w:val="28"/>
          <w:szCs w:val="28"/>
        </w:rPr>
        <w:t>包8：</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1001"/>
        <w:gridCol w:w="532"/>
        <w:gridCol w:w="6520"/>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0" w:type="auto"/>
            <w:vAlign w:val="center"/>
          </w:tcPr>
          <w:p>
            <w:pPr>
              <w:spacing w:line="360" w:lineRule="exact"/>
              <w:ind w:firstLine="28"/>
              <w:jc w:val="center"/>
              <w:rPr>
                <w:rFonts w:ascii="仿宋" w:hAnsi="仿宋" w:cs="仿宋"/>
              </w:rPr>
            </w:pPr>
            <w:r>
              <w:rPr>
                <w:rFonts w:hint="eastAsia" w:ascii="仿宋" w:hAnsi="仿宋" w:cs="仿宋"/>
              </w:rPr>
              <w:t>序号</w:t>
            </w:r>
          </w:p>
        </w:tc>
        <w:tc>
          <w:tcPr>
            <w:tcW w:w="0" w:type="auto"/>
            <w:vAlign w:val="center"/>
          </w:tcPr>
          <w:p>
            <w:pPr>
              <w:spacing w:line="360" w:lineRule="exact"/>
              <w:ind w:firstLine="28"/>
              <w:jc w:val="center"/>
              <w:rPr>
                <w:rFonts w:ascii="仿宋" w:hAnsi="仿宋" w:cs="仿宋"/>
              </w:rPr>
            </w:pPr>
            <w:r>
              <w:rPr>
                <w:rFonts w:hint="eastAsia" w:ascii="仿宋" w:hAnsi="仿宋" w:cs="仿宋"/>
              </w:rPr>
              <w:t>评分因素及权重</w:t>
            </w:r>
          </w:p>
        </w:tc>
        <w:tc>
          <w:tcPr>
            <w:tcW w:w="0" w:type="auto"/>
            <w:vAlign w:val="center"/>
          </w:tcPr>
          <w:p>
            <w:pPr>
              <w:spacing w:line="360" w:lineRule="exact"/>
              <w:ind w:firstLine="28"/>
              <w:jc w:val="center"/>
              <w:rPr>
                <w:rFonts w:ascii="仿宋" w:hAnsi="仿宋" w:cs="仿宋"/>
              </w:rPr>
            </w:pPr>
            <w:r>
              <w:rPr>
                <w:rFonts w:hint="eastAsia" w:ascii="仿宋" w:hAnsi="仿宋" w:cs="仿宋"/>
              </w:rPr>
              <w:t>分值</w:t>
            </w:r>
          </w:p>
        </w:tc>
        <w:tc>
          <w:tcPr>
            <w:tcW w:w="0" w:type="auto"/>
            <w:vAlign w:val="center"/>
          </w:tcPr>
          <w:p>
            <w:pPr>
              <w:spacing w:line="360" w:lineRule="exact"/>
              <w:ind w:firstLine="28"/>
              <w:jc w:val="center"/>
              <w:rPr>
                <w:rFonts w:ascii="仿宋" w:hAnsi="仿宋" w:cs="仿宋"/>
              </w:rPr>
            </w:pPr>
            <w:r>
              <w:rPr>
                <w:rFonts w:hint="eastAsia" w:ascii="仿宋" w:hAnsi="仿宋" w:cs="仿宋"/>
              </w:rPr>
              <w:t>评分标准</w:t>
            </w:r>
          </w:p>
        </w:tc>
        <w:tc>
          <w:tcPr>
            <w:tcW w:w="0" w:type="auto"/>
            <w:vAlign w:val="center"/>
          </w:tcPr>
          <w:p>
            <w:pPr>
              <w:spacing w:line="360" w:lineRule="exact"/>
              <w:jc w:val="center"/>
              <w:rPr>
                <w:rFonts w:ascii="仿宋" w:hAnsi="仿宋" w:cs="仿宋"/>
              </w:rPr>
            </w:pPr>
            <w:r>
              <w:rPr>
                <w:rFonts w:hint="eastAsia" w:ascii="仿宋" w:hAnsi="仿宋" w:cs="仿宋"/>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0" w:type="auto"/>
            <w:vAlign w:val="center"/>
          </w:tcPr>
          <w:p>
            <w:pPr>
              <w:spacing w:line="360" w:lineRule="exact"/>
              <w:ind w:firstLine="28"/>
              <w:jc w:val="center"/>
              <w:rPr>
                <w:rFonts w:ascii="仿宋" w:hAnsi="仿宋" w:cs="仿宋"/>
              </w:rPr>
            </w:pPr>
            <w:r>
              <w:rPr>
                <w:rFonts w:hint="eastAsia" w:ascii="仿宋" w:hAnsi="仿宋" w:cs="仿宋"/>
              </w:rPr>
              <w:t>1</w:t>
            </w:r>
          </w:p>
        </w:tc>
        <w:tc>
          <w:tcPr>
            <w:tcW w:w="0" w:type="auto"/>
            <w:vAlign w:val="center"/>
          </w:tcPr>
          <w:p>
            <w:pPr>
              <w:spacing w:line="360" w:lineRule="exact"/>
              <w:jc w:val="center"/>
              <w:rPr>
                <w:rFonts w:ascii="仿宋" w:hAnsi="仿宋" w:cs="仿宋"/>
              </w:rPr>
            </w:pPr>
            <w:r>
              <w:rPr>
                <w:rFonts w:hint="eastAsia" w:ascii="仿宋" w:hAnsi="仿宋" w:cs="仿宋"/>
              </w:rPr>
              <w:t>报价10%</w:t>
            </w:r>
          </w:p>
          <w:p>
            <w:pPr>
              <w:spacing w:line="360" w:lineRule="exact"/>
              <w:jc w:val="center"/>
              <w:rPr>
                <w:rFonts w:ascii="仿宋" w:hAnsi="仿宋" w:cs="仿宋"/>
              </w:rPr>
            </w:pPr>
          </w:p>
        </w:tc>
        <w:tc>
          <w:tcPr>
            <w:tcW w:w="0" w:type="auto"/>
            <w:vAlign w:val="center"/>
          </w:tcPr>
          <w:p>
            <w:pPr>
              <w:spacing w:line="360" w:lineRule="exact"/>
              <w:rPr>
                <w:rFonts w:ascii="仿宋" w:hAnsi="仿宋" w:cs="仿宋"/>
              </w:rPr>
            </w:pPr>
            <w:r>
              <w:rPr>
                <w:rFonts w:hint="eastAsia" w:ascii="仿宋" w:hAnsi="仿宋" w:cs="仿宋"/>
              </w:rPr>
              <w:t>10分</w:t>
            </w:r>
          </w:p>
        </w:tc>
        <w:tc>
          <w:tcPr>
            <w:tcW w:w="0" w:type="auto"/>
            <w:vAlign w:val="center"/>
          </w:tcPr>
          <w:p>
            <w:pPr>
              <w:pStyle w:val="11"/>
              <w:rPr>
                <w:rFonts w:ascii="仿宋" w:hAnsi="仿宋" w:eastAsia="仿宋" w:cs="仿宋"/>
                <w:sz w:val="24"/>
              </w:rPr>
            </w:pPr>
            <w:r>
              <w:rPr>
                <w:rFonts w:hint="eastAsia" w:ascii="仿宋" w:hAnsi="仿宋" w:eastAsia="仿宋" w:cs="仿宋"/>
                <w:bCs/>
                <w:sz w:val="24"/>
              </w:rPr>
              <w:t>满足招标文件要求且投标价格最低的投标报价为评标基准价，其价格分为满分。其他投标人的价格分统一按照下列公式计算：投标报价得分=(评标基准价／投标报价)×10</w:t>
            </w:r>
          </w:p>
        </w:tc>
        <w:tc>
          <w:tcPr>
            <w:tcW w:w="0" w:type="auto"/>
            <w:vAlign w:val="center"/>
          </w:tcPr>
          <w:p>
            <w:pPr>
              <w:spacing w:line="360" w:lineRule="exact"/>
              <w:jc w:val="center"/>
              <w:rPr>
                <w:rFonts w:ascii="仿宋" w:hAnsi="仿宋" w:cs="仿宋"/>
              </w:rPr>
            </w:pPr>
            <w:r>
              <w:rPr>
                <w:rFonts w:hint="eastAsia" w:ascii="仿宋" w:hAnsi="仿宋" w:cs="仿宋"/>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0" w:type="auto"/>
            <w:vAlign w:val="center"/>
          </w:tcPr>
          <w:p>
            <w:pPr>
              <w:spacing w:line="360" w:lineRule="exact"/>
              <w:ind w:firstLine="28"/>
              <w:jc w:val="center"/>
              <w:rPr>
                <w:rFonts w:ascii="仿宋" w:hAnsi="仿宋" w:cs="仿宋"/>
              </w:rPr>
            </w:pPr>
            <w:r>
              <w:rPr>
                <w:rFonts w:hint="eastAsia" w:ascii="仿宋" w:hAnsi="仿宋" w:cs="仿宋"/>
              </w:rPr>
              <w:t>2</w:t>
            </w:r>
          </w:p>
        </w:tc>
        <w:tc>
          <w:tcPr>
            <w:tcW w:w="0" w:type="auto"/>
            <w:vAlign w:val="center"/>
          </w:tcPr>
          <w:p>
            <w:pPr>
              <w:spacing w:line="360" w:lineRule="exact"/>
              <w:jc w:val="center"/>
              <w:rPr>
                <w:rFonts w:ascii="仿宋" w:hAnsi="仿宋" w:cs="仿宋"/>
              </w:rPr>
            </w:pPr>
            <w:r>
              <w:rPr>
                <w:rFonts w:hint="eastAsia" w:ascii="仿宋" w:hAnsi="仿宋" w:cs="仿宋"/>
              </w:rPr>
              <w:t>技术、服务要求54%</w:t>
            </w:r>
          </w:p>
        </w:tc>
        <w:tc>
          <w:tcPr>
            <w:tcW w:w="0" w:type="auto"/>
            <w:vAlign w:val="center"/>
          </w:tcPr>
          <w:p>
            <w:pPr>
              <w:spacing w:line="360" w:lineRule="exact"/>
              <w:rPr>
                <w:rFonts w:ascii="仿宋" w:hAnsi="仿宋" w:cs="仿宋"/>
              </w:rPr>
            </w:pPr>
            <w:r>
              <w:rPr>
                <w:rFonts w:hint="eastAsia" w:ascii="仿宋" w:hAnsi="仿宋" w:cs="仿宋"/>
              </w:rPr>
              <w:t>54分</w:t>
            </w:r>
          </w:p>
        </w:tc>
        <w:tc>
          <w:tcPr>
            <w:tcW w:w="0" w:type="auto"/>
            <w:vAlign w:val="center"/>
          </w:tcPr>
          <w:p>
            <w:pPr>
              <w:autoSpaceDN w:val="0"/>
              <w:rPr>
                <w:rFonts w:ascii="仿宋" w:hAnsi="仿宋" w:cs="仿宋"/>
              </w:rPr>
            </w:pPr>
            <w:r>
              <w:rPr>
                <w:rFonts w:hint="eastAsia" w:ascii="仿宋" w:hAnsi="仿宋" w:cs="仿宋"/>
              </w:rPr>
              <w:t>投标人针对招标文件第六章“三、技术、服务要求”条款的响应得分为A+B：</w:t>
            </w:r>
          </w:p>
          <w:p>
            <w:pPr>
              <w:autoSpaceDN w:val="0"/>
              <w:rPr>
                <w:rFonts w:ascii="仿宋" w:hAnsi="仿宋" w:cs="仿宋"/>
              </w:rPr>
            </w:pPr>
            <w:r>
              <w:rPr>
                <w:rFonts w:hint="eastAsia" w:ascii="仿宋" w:hAnsi="仿宋" w:cs="仿宋"/>
              </w:rPr>
              <w:t>A.一般条款响应得分=（投标人满足一般条款的数量÷一般条款的总数量共35条）×25分。</w:t>
            </w:r>
          </w:p>
          <w:p>
            <w:pPr>
              <w:autoSpaceDN w:val="0"/>
              <w:rPr>
                <w:rFonts w:ascii="仿宋" w:hAnsi="仿宋" w:cs="仿宋"/>
              </w:rPr>
            </w:pPr>
            <w:r>
              <w:rPr>
                <w:rFonts w:hint="eastAsia" w:ascii="仿宋" w:hAnsi="仿宋" w:cs="仿宋"/>
              </w:rPr>
              <w:t>B.“▲”条款响应得分=（投标人满足“▲”条款的数量÷“▲”条款的总数量共29条）×29分。</w:t>
            </w:r>
          </w:p>
          <w:p>
            <w:pPr>
              <w:widowControl/>
              <w:wordWrap w:val="0"/>
              <w:rPr>
                <w:rFonts w:ascii="仿宋" w:hAnsi="仿宋" w:cs="仿宋"/>
              </w:rPr>
            </w:pPr>
            <w:r>
              <w:rPr>
                <w:rFonts w:hint="eastAsia" w:ascii="仿宋" w:hAnsi="仿宋" w:cs="仿宋"/>
              </w:rPr>
              <w:t>注：①针对服务要求条款的响应，如果招标文件第六章“技术服务要求”条款对佐证材料有要求的应按要求提供，否则对应条款将视为不满足。②一般条款指未标注“★”或“▲”的条款。③“★”条款是本项目的实质性要求，投标人未全部满足的按照无效投标处理，不再用于打分。</w:t>
            </w:r>
          </w:p>
        </w:tc>
        <w:tc>
          <w:tcPr>
            <w:tcW w:w="0" w:type="auto"/>
            <w:vAlign w:val="center"/>
          </w:tcPr>
          <w:p>
            <w:pPr>
              <w:widowControl/>
              <w:wordWrap w:val="0"/>
              <w:jc w:val="center"/>
              <w:rPr>
                <w:rFonts w:ascii="仿宋" w:hAnsi="仿宋" w:cs="仿宋"/>
              </w:rPr>
            </w:pPr>
            <w:r>
              <w:rPr>
                <w:rFonts w:hint="eastAsia" w:ascii="仿宋" w:hAnsi="仿宋" w:cs="仿宋"/>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0" w:type="auto"/>
            <w:vMerge w:val="restart"/>
            <w:vAlign w:val="center"/>
          </w:tcPr>
          <w:p>
            <w:pPr>
              <w:spacing w:line="360" w:lineRule="exact"/>
              <w:ind w:firstLine="28"/>
              <w:jc w:val="center"/>
              <w:rPr>
                <w:rFonts w:ascii="仿宋" w:hAnsi="仿宋" w:cs="仿宋"/>
              </w:rPr>
            </w:pPr>
            <w:r>
              <w:rPr>
                <w:rFonts w:hint="eastAsia" w:ascii="仿宋" w:hAnsi="仿宋" w:cs="仿宋"/>
              </w:rPr>
              <w:t>3</w:t>
            </w:r>
          </w:p>
        </w:tc>
        <w:tc>
          <w:tcPr>
            <w:tcW w:w="0" w:type="auto"/>
            <w:vMerge w:val="restart"/>
            <w:vAlign w:val="center"/>
          </w:tcPr>
          <w:p>
            <w:pPr>
              <w:widowControl/>
              <w:spacing w:line="360" w:lineRule="exact"/>
              <w:jc w:val="center"/>
              <w:rPr>
                <w:rFonts w:ascii="仿宋" w:hAnsi="仿宋" w:cs="仿宋"/>
              </w:rPr>
            </w:pPr>
            <w:r>
              <w:rPr>
                <w:rFonts w:hint="eastAsia" w:ascii="仿宋" w:hAnsi="仿宋" w:cs="仿宋"/>
              </w:rPr>
              <w:t>服务方案14%</w:t>
            </w:r>
          </w:p>
        </w:tc>
        <w:tc>
          <w:tcPr>
            <w:tcW w:w="0" w:type="auto"/>
            <w:vMerge w:val="restart"/>
            <w:vAlign w:val="center"/>
          </w:tcPr>
          <w:p>
            <w:pPr>
              <w:widowControl/>
              <w:spacing w:line="360" w:lineRule="exact"/>
              <w:jc w:val="center"/>
              <w:rPr>
                <w:rFonts w:ascii="仿宋" w:hAnsi="仿宋" w:cs="仿宋"/>
              </w:rPr>
            </w:pPr>
            <w:r>
              <w:rPr>
                <w:rFonts w:hint="eastAsia" w:ascii="仿宋" w:hAnsi="仿宋" w:cs="仿宋"/>
              </w:rPr>
              <w:t>14分</w:t>
            </w:r>
          </w:p>
        </w:tc>
        <w:tc>
          <w:tcPr>
            <w:tcW w:w="0" w:type="auto"/>
          </w:tcPr>
          <w:p>
            <w:pPr>
              <w:widowControl/>
              <w:wordWrap w:val="0"/>
              <w:rPr>
                <w:rFonts w:ascii="仿宋" w:hAnsi="仿宋" w:cs="仿宋"/>
                <w:bCs/>
              </w:rPr>
            </w:pPr>
            <w:r>
              <w:rPr>
                <w:rFonts w:hint="eastAsia" w:ascii="仿宋" w:hAnsi="仿宋" w:cs="仿宋"/>
                <w:bCs/>
              </w:rPr>
              <w:t>1、根据投标人提供的系统设计方案，包括但不限于①需求分析②系统流程设计③系统功能设计④数据库设计⑤系统性能设计等进行阐述，以上内容都具备且方案全面完整，阐述清晰、逻辑合理，针对性强，得5分，每缺少一项内容或内容不完整，阐述不清楚或逻辑不合理扣1分，5分扣完为止；</w:t>
            </w:r>
          </w:p>
        </w:tc>
        <w:tc>
          <w:tcPr>
            <w:tcW w:w="0" w:type="auto"/>
            <w:vMerge w:val="restart"/>
            <w:vAlign w:val="center"/>
          </w:tcPr>
          <w:p>
            <w:pPr>
              <w:widowControl/>
              <w:wordWrap w:val="0"/>
              <w:jc w:val="center"/>
            </w:pPr>
          </w:p>
          <w:p>
            <w:pPr>
              <w:widowControl/>
              <w:wordWrap w:val="0"/>
              <w:jc w:val="both"/>
              <w:rPr>
                <w:rFonts w:ascii="仿宋" w:hAnsi="仿宋" w:cs="仿宋"/>
              </w:rPr>
            </w:pPr>
            <w:r>
              <w:rPr>
                <w:rFonts w:hint="eastAsia" w:ascii="仿宋" w:hAnsi="仿宋" w:cs="仿宋"/>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0" w:type="auto"/>
            <w:vMerge w:val="continue"/>
            <w:vAlign w:val="center"/>
          </w:tcPr>
          <w:p>
            <w:pPr>
              <w:spacing w:line="360" w:lineRule="exact"/>
              <w:ind w:firstLine="28"/>
              <w:jc w:val="center"/>
              <w:rPr>
                <w:rFonts w:ascii="仿宋" w:hAnsi="仿宋" w:cs="仿宋"/>
              </w:rPr>
            </w:pPr>
          </w:p>
        </w:tc>
        <w:tc>
          <w:tcPr>
            <w:tcW w:w="0" w:type="auto"/>
            <w:vMerge w:val="continue"/>
            <w:vAlign w:val="center"/>
          </w:tcPr>
          <w:p>
            <w:pPr>
              <w:widowControl/>
              <w:spacing w:line="360" w:lineRule="exact"/>
              <w:jc w:val="center"/>
              <w:rPr>
                <w:rFonts w:ascii="仿宋" w:hAnsi="仿宋" w:cs="仿宋"/>
              </w:rPr>
            </w:pPr>
          </w:p>
        </w:tc>
        <w:tc>
          <w:tcPr>
            <w:tcW w:w="0" w:type="auto"/>
            <w:vMerge w:val="continue"/>
            <w:vAlign w:val="center"/>
          </w:tcPr>
          <w:p>
            <w:pPr>
              <w:widowControl/>
              <w:spacing w:line="360" w:lineRule="exact"/>
              <w:jc w:val="center"/>
              <w:rPr>
                <w:rFonts w:ascii="仿宋" w:hAnsi="仿宋" w:cs="仿宋"/>
              </w:rPr>
            </w:pPr>
          </w:p>
        </w:tc>
        <w:tc>
          <w:tcPr>
            <w:tcW w:w="0" w:type="auto"/>
          </w:tcPr>
          <w:p>
            <w:pPr>
              <w:widowControl/>
              <w:wordWrap w:val="0"/>
              <w:rPr>
                <w:rFonts w:ascii="仿宋" w:hAnsi="仿宋" w:cs="仿宋"/>
                <w:bCs/>
              </w:rPr>
            </w:pPr>
            <w:r>
              <w:rPr>
                <w:rFonts w:hint="eastAsia" w:ascii="仿宋" w:hAnsi="仿宋" w:cs="仿宋"/>
                <w:bCs/>
              </w:rPr>
              <w:t>2、根据投标人提供的系统实施方案，包括但不限于①项目的集成实施方案②进度计划③人员安排④质量保证措施⑤培训方案等进行阐述，以上内容都具备且方案全面完整，阐述清晰、逻辑合理，针对性强，得5分，每缺少一项内容或内容不完整，阐述不清楚或逻辑不合理扣1分，5扣完为止；</w:t>
            </w:r>
          </w:p>
          <w:p>
            <w:pPr>
              <w:widowControl/>
              <w:wordWrap w:val="0"/>
              <w:rPr>
                <w:rFonts w:ascii="仿宋" w:hAnsi="仿宋" w:cs="仿宋"/>
                <w:bCs/>
              </w:rPr>
            </w:pPr>
          </w:p>
        </w:tc>
        <w:tc>
          <w:tcPr>
            <w:tcW w:w="0" w:type="auto"/>
            <w:vMerge w:val="continue"/>
            <w:vAlign w:val="center"/>
          </w:tcPr>
          <w:p>
            <w:pPr>
              <w:widowControl/>
              <w:wordWrap w:val="0"/>
              <w:jc w:val="center"/>
              <w:rPr>
                <w:rFonts w:ascii="仿宋" w:hAnsi="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7" w:hRule="atLeast"/>
        </w:trPr>
        <w:tc>
          <w:tcPr>
            <w:tcW w:w="0" w:type="auto"/>
            <w:vMerge w:val="continue"/>
            <w:vAlign w:val="center"/>
          </w:tcPr>
          <w:p>
            <w:pPr>
              <w:spacing w:line="360" w:lineRule="exact"/>
              <w:ind w:firstLine="28"/>
              <w:jc w:val="center"/>
              <w:rPr>
                <w:rFonts w:ascii="仿宋" w:hAnsi="仿宋" w:cs="仿宋"/>
              </w:rPr>
            </w:pPr>
          </w:p>
        </w:tc>
        <w:tc>
          <w:tcPr>
            <w:tcW w:w="0" w:type="auto"/>
            <w:vMerge w:val="continue"/>
            <w:vAlign w:val="center"/>
          </w:tcPr>
          <w:p>
            <w:pPr>
              <w:widowControl/>
              <w:spacing w:line="360" w:lineRule="exact"/>
              <w:jc w:val="center"/>
              <w:rPr>
                <w:rFonts w:ascii="仿宋" w:hAnsi="仿宋" w:cs="仿宋"/>
              </w:rPr>
            </w:pPr>
          </w:p>
        </w:tc>
        <w:tc>
          <w:tcPr>
            <w:tcW w:w="0" w:type="auto"/>
            <w:vMerge w:val="continue"/>
            <w:vAlign w:val="center"/>
          </w:tcPr>
          <w:p>
            <w:pPr>
              <w:widowControl/>
              <w:spacing w:line="360" w:lineRule="exact"/>
              <w:jc w:val="center"/>
              <w:rPr>
                <w:rFonts w:ascii="仿宋" w:hAnsi="仿宋" w:cs="仿宋"/>
              </w:rPr>
            </w:pPr>
          </w:p>
        </w:tc>
        <w:tc>
          <w:tcPr>
            <w:tcW w:w="0" w:type="auto"/>
          </w:tcPr>
          <w:p>
            <w:pPr>
              <w:spacing w:line="240" w:lineRule="auto"/>
              <w:rPr>
                <w:rFonts w:ascii="仿宋" w:hAnsi="仿宋" w:cs="仿宋"/>
              </w:rPr>
            </w:pPr>
            <w:r>
              <w:rPr>
                <w:rFonts w:hint="eastAsia" w:ascii="仿宋" w:hAnsi="仿宋" w:cs="仿宋"/>
                <w:bCs/>
              </w:rPr>
              <w:t>3、根据投标人提供的售后服务方案，包括但不限于①售后服务人员安排②提供现场服务③有固定的售后服务电话、联系人④售后服务计划等进行阐述，以上内容都具备且方案全面完整，阐述清晰、逻辑合理，针对性强，得4分，每缺少一项内容或内容不完整，阐述不清楚或逻辑不合理扣1分，4分扣完为止。</w:t>
            </w:r>
          </w:p>
        </w:tc>
        <w:tc>
          <w:tcPr>
            <w:tcW w:w="0" w:type="auto"/>
            <w:vMerge w:val="continue"/>
            <w:vAlign w:val="center"/>
          </w:tcPr>
          <w:p>
            <w:pPr>
              <w:widowControl/>
              <w:wordWrap w:val="0"/>
              <w:jc w:val="both"/>
              <w:rPr>
                <w:rFonts w:ascii="仿宋" w:hAnsi="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trPr>
        <w:tc>
          <w:tcPr>
            <w:tcW w:w="0" w:type="auto"/>
            <w:vMerge w:val="restart"/>
            <w:vAlign w:val="center"/>
          </w:tcPr>
          <w:p>
            <w:pPr>
              <w:spacing w:line="360" w:lineRule="exact"/>
              <w:ind w:firstLine="28"/>
              <w:jc w:val="center"/>
              <w:rPr>
                <w:rFonts w:ascii="仿宋" w:hAnsi="仿宋" w:cs="仿宋"/>
              </w:rPr>
            </w:pPr>
            <w:r>
              <w:rPr>
                <w:rFonts w:hint="eastAsia" w:ascii="仿宋" w:hAnsi="仿宋" w:cs="仿宋"/>
              </w:rPr>
              <w:t>4</w:t>
            </w:r>
          </w:p>
        </w:tc>
        <w:tc>
          <w:tcPr>
            <w:tcW w:w="0" w:type="auto"/>
            <w:vMerge w:val="restart"/>
            <w:vAlign w:val="center"/>
          </w:tcPr>
          <w:p>
            <w:pPr>
              <w:spacing w:line="360" w:lineRule="exact"/>
              <w:jc w:val="center"/>
              <w:rPr>
                <w:rFonts w:ascii="仿宋" w:hAnsi="仿宋" w:cs="仿宋"/>
              </w:rPr>
            </w:pPr>
            <w:r>
              <w:rPr>
                <w:rFonts w:hint="eastAsia" w:ascii="仿宋" w:hAnsi="仿宋" w:cs="仿宋"/>
              </w:rPr>
              <w:t>其它能力证明材料6%</w:t>
            </w:r>
          </w:p>
        </w:tc>
        <w:tc>
          <w:tcPr>
            <w:tcW w:w="0" w:type="auto"/>
            <w:vMerge w:val="restart"/>
            <w:vAlign w:val="center"/>
          </w:tcPr>
          <w:p>
            <w:pPr>
              <w:spacing w:line="360" w:lineRule="exact"/>
              <w:rPr>
                <w:rFonts w:ascii="仿宋" w:hAnsi="仿宋" w:cs="仿宋"/>
              </w:rPr>
            </w:pPr>
            <w:r>
              <w:rPr>
                <w:rFonts w:hint="eastAsia" w:ascii="仿宋" w:hAnsi="仿宋" w:cs="仿宋"/>
              </w:rPr>
              <w:t>6分</w:t>
            </w:r>
          </w:p>
        </w:tc>
        <w:tc>
          <w:tcPr>
            <w:tcW w:w="0" w:type="auto"/>
            <w:vAlign w:val="center"/>
          </w:tcPr>
          <w:p>
            <w:pPr>
              <w:widowControl/>
              <w:wordWrap w:val="0"/>
              <w:rPr>
                <w:rFonts w:ascii="仿宋" w:hAnsi="仿宋" w:cs="仿宋"/>
              </w:rPr>
            </w:pPr>
            <w:r>
              <w:rPr>
                <w:rFonts w:hint="eastAsia"/>
              </w:rPr>
              <w:t>1、</w:t>
            </w:r>
            <w:r>
              <w:rPr>
                <w:rFonts w:hint="eastAsia" w:ascii="仿宋" w:hAnsi="仿宋" w:cs="仿宋"/>
              </w:rPr>
              <w:t>投标人具有有效的质量体系认证证书，且认证范围包含卫生信息化相关的得2分，提供证明材料加盖投标人</w:t>
            </w:r>
            <w:r>
              <w:rPr>
                <w:rFonts w:hint="eastAsia"/>
                <w:lang w:val="en-US" w:eastAsia="zh-CN"/>
              </w:rPr>
              <w:t>电子印章</w:t>
            </w:r>
            <w:r>
              <w:rPr>
                <w:rFonts w:hint="eastAsia" w:ascii="仿宋" w:hAnsi="仿宋" w:cs="仿宋"/>
              </w:rPr>
              <w:t>，不提供不得分。</w:t>
            </w:r>
          </w:p>
        </w:tc>
        <w:tc>
          <w:tcPr>
            <w:tcW w:w="0" w:type="auto"/>
            <w:vMerge w:val="restart"/>
            <w:vAlign w:val="center"/>
          </w:tcPr>
          <w:p>
            <w:pPr>
              <w:widowControl/>
              <w:wordWrap w:val="0"/>
              <w:jc w:val="center"/>
              <w:rPr>
                <w:rFonts w:ascii="仿宋" w:hAnsi="仿宋" w:cs="仿宋"/>
              </w:rPr>
            </w:pPr>
            <w:r>
              <w:rPr>
                <w:rFonts w:hint="eastAsia" w:ascii="仿宋" w:hAnsi="仿宋" w:cs="仿宋"/>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8" w:hRule="atLeast"/>
        </w:trPr>
        <w:tc>
          <w:tcPr>
            <w:tcW w:w="0" w:type="auto"/>
            <w:vMerge w:val="continue"/>
            <w:vAlign w:val="center"/>
          </w:tcPr>
          <w:p>
            <w:pPr>
              <w:spacing w:line="360" w:lineRule="exact"/>
              <w:ind w:firstLine="28"/>
              <w:jc w:val="center"/>
              <w:rPr>
                <w:rFonts w:ascii="仿宋" w:hAnsi="仿宋" w:cs="仿宋"/>
              </w:rPr>
            </w:pPr>
          </w:p>
        </w:tc>
        <w:tc>
          <w:tcPr>
            <w:tcW w:w="0" w:type="auto"/>
            <w:vMerge w:val="continue"/>
            <w:vAlign w:val="center"/>
          </w:tcPr>
          <w:p>
            <w:pPr>
              <w:spacing w:line="360" w:lineRule="exact"/>
              <w:jc w:val="center"/>
              <w:rPr>
                <w:rFonts w:ascii="仿宋" w:hAnsi="仿宋" w:cs="仿宋"/>
              </w:rPr>
            </w:pPr>
          </w:p>
        </w:tc>
        <w:tc>
          <w:tcPr>
            <w:tcW w:w="0" w:type="auto"/>
            <w:vMerge w:val="continue"/>
            <w:vAlign w:val="center"/>
          </w:tcPr>
          <w:p>
            <w:pPr>
              <w:spacing w:line="360" w:lineRule="exact"/>
              <w:rPr>
                <w:rFonts w:ascii="仿宋" w:hAnsi="仿宋" w:cs="仿宋"/>
              </w:rPr>
            </w:pPr>
          </w:p>
        </w:tc>
        <w:tc>
          <w:tcPr>
            <w:tcW w:w="0" w:type="auto"/>
            <w:vAlign w:val="center"/>
          </w:tcPr>
          <w:p>
            <w:pPr>
              <w:widowControl/>
              <w:wordWrap w:val="0"/>
              <w:rPr>
                <w:rFonts w:ascii="仿宋" w:hAnsi="仿宋" w:cs="仿宋"/>
              </w:rPr>
            </w:pPr>
            <w:r>
              <w:rPr>
                <w:rFonts w:hint="eastAsia" w:ascii="仿宋" w:hAnsi="仿宋" w:cs="仿宋"/>
              </w:rPr>
              <w:t>2、投标人具有有效的环境管理体系认证证书，且认证范围包含卫生信息化相关的环境管理活动的得2分，提供证明材料加盖投标人</w:t>
            </w:r>
            <w:r>
              <w:rPr>
                <w:rFonts w:hint="eastAsia"/>
                <w:lang w:val="en-US" w:eastAsia="zh-CN"/>
              </w:rPr>
              <w:t>电子印章</w:t>
            </w:r>
            <w:r>
              <w:rPr>
                <w:rFonts w:hint="eastAsia" w:ascii="仿宋" w:hAnsi="仿宋" w:cs="仿宋"/>
              </w:rPr>
              <w:t>，不提供不得分。</w:t>
            </w:r>
          </w:p>
        </w:tc>
        <w:tc>
          <w:tcPr>
            <w:tcW w:w="0" w:type="auto"/>
            <w:vMerge w:val="continue"/>
            <w:vAlign w:val="center"/>
          </w:tcPr>
          <w:p>
            <w:pPr>
              <w:widowControl/>
              <w:wordWrap w:val="0"/>
              <w:rPr>
                <w:rFonts w:ascii="仿宋" w:hAnsi="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8" w:hRule="atLeast"/>
        </w:trPr>
        <w:tc>
          <w:tcPr>
            <w:tcW w:w="0" w:type="auto"/>
            <w:vMerge w:val="continue"/>
            <w:vAlign w:val="center"/>
          </w:tcPr>
          <w:p>
            <w:pPr>
              <w:spacing w:line="360" w:lineRule="exact"/>
              <w:ind w:firstLine="28"/>
              <w:jc w:val="center"/>
              <w:rPr>
                <w:rFonts w:ascii="仿宋" w:hAnsi="仿宋" w:cs="仿宋"/>
              </w:rPr>
            </w:pPr>
          </w:p>
        </w:tc>
        <w:tc>
          <w:tcPr>
            <w:tcW w:w="0" w:type="auto"/>
            <w:vMerge w:val="continue"/>
            <w:vAlign w:val="center"/>
          </w:tcPr>
          <w:p>
            <w:pPr>
              <w:spacing w:line="360" w:lineRule="exact"/>
              <w:jc w:val="center"/>
              <w:rPr>
                <w:rFonts w:ascii="仿宋" w:hAnsi="仿宋" w:cs="仿宋"/>
              </w:rPr>
            </w:pPr>
          </w:p>
        </w:tc>
        <w:tc>
          <w:tcPr>
            <w:tcW w:w="0" w:type="auto"/>
            <w:vMerge w:val="continue"/>
            <w:vAlign w:val="center"/>
          </w:tcPr>
          <w:p>
            <w:pPr>
              <w:spacing w:line="360" w:lineRule="exact"/>
              <w:rPr>
                <w:rFonts w:ascii="仿宋" w:hAnsi="仿宋" w:cs="仿宋"/>
              </w:rPr>
            </w:pPr>
          </w:p>
        </w:tc>
        <w:tc>
          <w:tcPr>
            <w:tcW w:w="0" w:type="auto"/>
            <w:vAlign w:val="center"/>
          </w:tcPr>
          <w:p>
            <w:pPr>
              <w:widowControl/>
              <w:wordWrap w:val="0"/>
              <w:rPr>
                <w:rFonts w:ascii="仿宋" w:hAnsi="仿宋" w:cs="仿宋"/>
              </w:rPr>
            </w:pPr>
            <w:r>
              <w:rPr>
                <w:rFonts w:hint="eastAsia" w:ascii="仿宋" w:hAnsi="仿宋" w:cs="仿宋"/>
              </w:rPr>
              <w:t>3、投标人具有信息技术服务运行维护标准符合性（ITSS）证书的得2分，提供证明材料加盖投标人</w:t>
            </w:r>
            <w:r>
              <w:rPr>
                <w:rFonts w:hint="eastAsia"/>
                <w:lang w:val="en-US" w:eastAsia="zh-CN"/>
              </w:rPr>
              <w:t>电子印章</w:t>
            </w:r>
            <w:r>
              <w:rPr>
                <w:rFonts w:hint="eastAsia" w:ascii="仿宋" w:hAnsi="仿宋" w:cs="仿宋"/>
              </w:rPr>
              <w:t>，不满足不得分。</w:t>
            </w:r>
          </w:p>
        </w:tc>
        <w:tc>
          <w:tcPr>
            <w:tcW w:w="0" w:type="auto"/>
            <w:vMerge w:val="continue"/>
            <w:vAlign w:val="center"/>
          </w:tcPr>
          <w:p>
            <w:pPr>
              <w:widowControl/>
              <w:wordWrap w:val="0"/>
              <w:rPr>
                <w:rFonts w:ascii="仿宋" w:hAnsi="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2" w:hRule="atLeast"/>
        </w:trPr>
        <w:tc>
          <w:tcPr>
            <w:tcW w:w="0" w:type="auto"/>
            <w:vAlign w:val="center"/>
          </w:tcPr>
          <w:p>
            <w:pPr>
              <w:spacing w:line="360" w:lineRule="exact"/>
              <w:ind w:firstLine="28"/>
              <w:jc w:val="center"/>
              <w:rPr>
                <w:rFonts w:ascii="仿宋" w:hAnsi="仿宋" w:cs="仿宋"/>
              </w:rPr>
            </w:pPr>
            <w:r>
              <w:rPr>
                <w:rFonts w:hint="eastAsia" w:ascii="仿宋" w:hAnsi="仿宋" w:cs="仿宋"/>
              </w:rPr>
              <w:t>5</w:t>
            </w:r>
          </w:p>
        </w:tc>
        <w:tc>
          <w:tcPr>
            <w:tcW w:w="0" w:type="auto"/>
            <w:vAlign w:val="center"/>
          </w:tcPr>
          <w:p>
            <w:pPr>
              <w:spacing w:line="360" w:lineRule="exact"/>
              <w:jc w:val="center"/>
              <w:rPr>
                <w:rFonts w:ascii="仿宋" w:hAnsi="仿宋" w:cs="仿宋"/>
              </w:rPr>
            </w:pPr>
            <w:r>
              <w:rPr>
                <w:rFonts w:hint="eastAsia" w:ascii="仿宋" w:hAnsi="仿宋" w:cs="仿宋"/>
              </w:rPr>
              <w:t>人员资质6%</w:t>
            </w:r>
          </w:p>
        </w:tc>
        <w:tc>
          <w:tcPr>
            <w:tcW w:w="0" w:type="auto"/>
            <w:vAlign w:val="center"/>
          </w:tcPr>
          <w:p>
            <w:pPr>
              <w:spacing w:line="360" w:lineRule="exact"/>
              <w:rPr>
                <w:rFonts w:ascii="仿宋" w:hAnsi="仿宋" w:cs="仿宋"/>
              </w:rPr>
            </w:pPr>
            <w:r>
              <w:rPr>
                <w:rFonts w:hint="eastAsia" w:ascii="仿宋" w:hAnsi="仿宋" w:cs="仿宋"/>
              </w:rPr>
              <w:t>6分</w:t>
            </w:r>
          </w:p>
        </w:tc>
        <w:tc>
          <w:tcPr>
            <w:tcW w:w="0" w:type="auto"/>
            <w:vAlign w:val="center"/>
          </w:tcPr>
          <w:p>
            <w:pPr>
              <w:widowControl/>
              <w:wordWrap w:val="0"/>
              <w:rPr>
                <w:rFonts w:ascii="仿宋" w:hAnsi="仿宋" w:cs="仿宋"/>
              </w:rPr>
            </w:pPr>
            <w:r>
              <w:rPr>
                <w:rFonts w:hint="eastAsia" w:ascii="仿宋" w:hAnsi="仿宋" w:cs="仿宋"/>
              </w:rPr>
              <w:t>1、本项目拟派的项目经理具有高级信息系统项目管理师证书的得2分，具有系统集成项目管理工程师证书的得2分，该小项最多得4分，提供证明材料加盖投标人</w:t>
            </w:r>
            <w:r>
              <w:rPr>
                <w:rFonts w:hint="eastAsia"/>
                <w:lang w:val="en-US" w:eastAsia="zh-CN"/>
              </w:rPr>
              <w:t>电子印章</w:t>
            </w:r>
            <w:r>
              <w:rPr>
                <w:rFonts w:hint="eastAsia" w:ascii="仿宋" w:hAnsi="仿宋" w:cs="仿宋"/>
              </w:rPr>
              <w:t>，不提供不得分。（提供相关证书复印件及能证明其为投标人单位在职人员的佐证材料并加盖投标人公章）</w:t>
            </w:r>
          </w:p>
          <w:p>
            <w:pPr>
              <w:widowControl/>
              <w:wordWrap w:val="0"/>
              <w:rPr>
                <w:rFonts w:ascii="仿宋" w:hAnsi="仿宋" w:cs="仿宋"/>
              </w:rPr>
            </w:pPr>
            <w:r>
              <w:rPr>
                <w:rFonts w:hint="eastAsia" w:ascii="仿宋" w:hAnsi="仿宋" w:cs="仿宋"/>
              </w:rPr>
              <w:t>2、本项目拟派网络技术支撑人员具有网络工程师证书的得2分；提供证明材料加盖投标人</w:t>
            </w:r>
            <w:r>
              <w:rPr>
                <w:rFonts w:hint="eastAsia"/>
                <w:lang w:val="en-US" w:eastAsia="zh-CN"/>
              </w:rPr>
              <w:t>电子印章</w:t>
            </w:r>
            <w:r>
              <w:rPr>
                <w:rFonts w:hint="eastAsia" w:ascii="仿宋" w:hAnsi="仿宋" w:cs="仿宋"/>
              </w:rPr>
              <w:t>，不提供不得分。（提供相关证书复印件及能证明其为投标人单位在职人员的佐证材料并加盖投标人公章）</w:t>
            </w:r>
          </w:p>
        </w:tc>
        <w:tc>
          <w:tcPr>
            <w:tcW w:w="0" w:type="auto"/>
            <w:vAlign w:val="center"/>
          </w:tcPr>
          <w:p>
            <w:pPr>
              <w:widowControl/>
              <w:wordWrap w:val="0"/>
              <w:jc w:val="center"/>
              <w:rPr>
                <w:rFonts w:ascii="仿宋" w:hAnsi="仿宋" w:cs="仿宋"/>
              </w:rPr>
            </w:pPr>
            <w:r>
              <w:rPr>
                <w:rFonts w:hint="eastAsia" w:ascii="仿宋" w:hAnsi="仿宋" w:cs="仿宋"/>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8" w:hRule="atLeast"/>
        </w:trPr>
        <w:tc>
          <w:tcPr>
            <w:tcW w:w="0" w:type="auto"/>
            <w:vAlign w:val="center"/>
          </w:tcPr>
          <w:p>
            <w:pPr>
              <w:spacing w:line="360" w:lineRule="exact"/>
              <w:ind w:firstLine="28"/>
              <w:jc w:val="center"/>
              <w:rPr>
                <w:rFonts w:ascii="仿宋" w:hAnsi="仿宋" w:cs="仿宋"/>
              </w:rPr>
            </w:pPr>
            <w:r>
              <w:rPr>
                <w:rFonts w:hint="eastAsia" w:ascii="仿宋" w:hAnsi="仿宋" w:cs="仿宋"/>
              </w:rPr>
              <w:t>6</w:t>
            </w:r>
          </w:p>
        </w:tc>
        <w:tc>
          <w:tcPr>
            <w:tcW w:w="0" w:type="auto"/>
            <w:vAlign w:val="center"/>
          </w:tcPr>
          <w:p>
            <w:pPr>
              <w:spacing w:line="360" w:lineRule="exact"/>
              <w:jc w:val="center"/>
              <w:rPr>
                <w:rFonts w:ascii="仿宋" w:hAnsi="仿宋" w:cs="仿宋"/>
              </w:rPr>
            </w:pPr>
            <w:r>
              <w:rPr>
                <w:rFonts w:hint="eastAsia" w:ascii="仿宋" w:hAnsi="仿宋" w:cs="仿宋"/>
              </w:rPr>
              <w:t>业绩10%</w:t>
            </w:r>
          </w:p>
        </w:tc>
        <w:tc>
          <w:tcPr>
            <w:tcW w:w="0" w:type="auto"/>
            <w:vAlign w:val="center"/>
          </w:tcPr>
          <w:p>
            <w:pPr>
              <w:spacing w:line="360" w:lineRule="exact"/>
              <w:rPr>
                <w:rFonts w:ascii="仿宋" w:hAnsi="仿宋" w:cs="仿宋"/>
              </w:rPr>
            </w:pPr>
            <w:r>
              <w:rPr>
                <w:rFonts w:hint="eastAsia" w:ascii="仿宋" w:hAnsi="仿宋" w:cs="仿宋"/>
              </w:rPr>
              <w:t>10分</w:t>
            </w:r>
          </w:p>
        </w:tc>
        <w:tc>
          <w:tcPr>
            <w:tcW w:w="0" w:type="auto"/>
            <w:vAlign w:val="center"/>
          </w:tcPr>
          <w:p>
            <w:pPr>
              <w:widowControl/>
              <w:wordWrap w:val="0"/>
              <w:rPr>
                <w:rFonts w:ascii="仿宋" w:hAnsi="仿宋" w:cs="仿宋"/>
              </w:rPr>
            </w:pPr>
            <w:r>
              <w:rPr>
                <w:rFonts w:hint="eastAsia" w:ascii="仿宋" w:hAnsi="仿宋" w:cs="仿宋"/>
              </w:rPr>
              <w:t>投标人自</w:t>
            </w:r>
            <w:r>
              <w:rPr>
                <w:rFonts w:ascii="仿宋" w:hAnsi="仿宋" w:cs="仿宋"/>
                <w:lang w:val="zh-CN"/>
              </w:rPr>
              <w:t>2018</w:t>
            </w:r>
            <w:r>
              <w:rPr>
                <w:rFonts w:hint="eastAsia" w:ascii="仿宋" w:hAnsi="仿宋" w:cs="仿宋"/>
                <w:lang w:val="zh-CN"/>
              </w:rPr>
              <w:t>年1月1日（含）至</w:t>
            </w:r>
            <w:r>
              <w:rPr>
                <w:rFonts w:ascii="仿宋" w:hAnsi="仿宋" w:cs="仿宋"/>
                <w:lang w:val="zh-CN"/>
              </w:rPr>
              <w:t>投标截止日期</w:t>
            </w:r>
            <w:r>
              <w:rPr>
                <w:rFonts w:hint="eastAsia" w:ascii="仿宋" w:hAnsi="仿宋" w:cs="仿宋"/>
              </w:rPr>
              <w:t>具有类似应用案例，每提供1个案例得2分，最多得10分。（需提供合同复印件并加盖公章）</w:t>
            </w:r>
          </w:p>
        </w:tc>
        <w:tc>
          <w:tcPr>
            <w:tcW w:w="0" w:type="auto"/>
            <w:vAlign w:val="center"/>
          </w:tcPr>
          <w:p>
            <w:pPr>
              <w:widowControl/>
              <w:wordWrap w:val="0"/>
              <w:jc w:val="center"/>
              <w:rPr>
                <w:rFonts w:ascii="仿宋" w:hAnsi="仿宋" w:cs="仿宋"/>
              </w:rPr>
            </w:pPr>
            <w:r>
              <w:rPr>
                <w:rFonts w:hint="eastAsia" w:ascii="仿宋" w:hAnsi="仿宋" w:cs="仿宋"/>
              </w:rPr>
              <w:t>共同评分因素</w:t>
            </w:r>
          </w:p>
        </w:tc>
      </w:tr>
    </w:tbl>
    <w:p>
      <w:pPr>
        <w:pStyle w:val="14"/>
        <w:tabs>
          <w:tab w:val="left" w:pos="600"/>
        </w:tabs>
        <w:spacing w:line="400" w:lineRule="exact"/>
        <w:ind w:left="480"/>
        <w:rPr>
          <w:rFonts w:ascii="仿宋" w:hAnsi="仿宋"/>
          <w:b/>
          <w:bCs/>
          <w:sz w:val="28"/>
          <w:szCs w:val="28"/>
        </w:rPr>
      </w:pPr>
    </w:p>
    <w:p>
      <w:pPr>
        <w:ind w:firstLine="360" w:firstLineChars="150"/>
        <w:rPr>
          <w:rFonts w:ascii="仿宋" w:hAnsi="仿宋"/>
        </w:rPr>
      </w:pPr>
      <w:r>
        <w:rPr>
          <w:rFonts w:hint="eastAsia" w:ascii="仿宋" w:hAnsi="仿宋"/>
        </w:rPr>
        <w:t>注： 评分的取值按四舍五入法，保留小数点后两位。</w:t>
      </w:r>
    </w:p>
    <w:p>
      <w:pPr>
        <w:pStyle w:val="11"/>
        <w:ind w:firstLine="420" w:firstLineChars="175"/>
        <w:rPr>
          <w:rFonts w:ascii="仿宋" w:hAnsi="仿宋" w:eastAsia="仿宋"/>
          <w:sz w:val="24"/>
        </w:rPr>
      </w:pPr>
      <w:bookmarkStart w:id="368" w:name="_Toc217446059"/>
      <w:r>
        <w:rPr>
          <w:rFonts w:hint="eastAsia" w:ascii="仿宋" w:hAnsi="仿宋" w:eastAsia="仿宋"/>
          <w:sz w:val="24"/>
        </w:rPr>
        <w:t xml:space="preserve">4.3.4 本次综合评分法由评标委员会各成员独立对通过初审（资格检查和符合性检查）的投标人的投标文件进行评审和打分，    </w:t>
      </w:r>
    </w:p>
    <w:p>
      <w:pPr>
        <w:pStyle w:val="11"/>
        <w:ind w:firstLine="480" w:firstLineChars="200"/>
        <w:rPr>
          <w:rFonts w:ascii="仿宋" w:hAnsi="仿宋" w:eastAsia="仿宋"/>
          <w:sz w:val="24"/>
        </w:rPr>
      </w:pPr>
      <w:r>
        <w:rPr>
          <w:rFonts w:hint="eastAsia" w:ascii="仿宋" w:hAnsi="仿宋" w:eastAsia="仿宋"/>
          <w:sz w:val="24"/>
        </w:rPr>
        <w:t>评标得分＝（A1＋A2＋……＋An）/N</w:t>
      </w:r>
      <w:r>
        <w:rPr>
          <w:rFonts w:hint="eastAsia" w:ascii="仿宋" w:hAnsi="仿宋" w:eastAsia="仿宋"/>
          <w:sz w:val="24"/>
          <w:vertAlign w:val="subscript"/>
        </w:rPr>
        <w:t>A</w:t>
      </w:r>
      <w:r>
        <w:rPr>
          <w:rFonts w:hint="eastAsia" w:ascii="仿宋" w:hAnsi="仿宋" w:eastAsia="仿宋"/>
          <w:sz w:val="24"/>
        </w:rPr>
        <w:t>＋（B1＋B2＋……＋Bn）/ N</w:t>
      </w:r>
      <w:r>
        <w:rPr>
          <w:rFonts w:hint="eastAsia" w:ascii="仿宋" w:hAnsi="仿宋" w:eastAsia="仿宋"/>
          <w:sz w:val="24"/>
          <w:vertAlign w:val="subscript"/>
        </w:rPr>
        <w:t>B</w:t>
      </w:r>
      <w:r>
        <w:rPr>
          <w:rFonts w:hint="eastAsia" w:ascii="仿宋" w:hAnsi="仿宋" w:eastAsia="仿宋"/>
          <w:sz w:val="24"/>
        </w:rPr>
        <w:t>＋（C1＋C2＋……＋Cn）/ N</w:t>
      </w:r>
      <w:r>
        <w:rPr>
          <w:rFonts w:hint="eastAsia" w:ascii="仿宋" w:hAnsi="仿宋" w:eastAsia="仿宋"/>
          <w:sz w:val="24"/>
          <w:vertAlign w:val="subscript"/>
        </w:rPr>
        <w:t>C</w:t>
      </w:r>
      <w:r>
        <w:rPr>
          <w:rFonts w:hint="eastAsia" w:ascii="仿宋" w:hAnsi="仿宋" w:eastAsia="仿宋"/>
          <w:sz w:val="24"/>
        </w:rPr>
        <w:t>＋（D1＋D2＋……＋Dn）/ N</w:t>
      </w:r>
      <w:r>
        <w:rPr>
          <w:rFonts w:hint="eastAsia" w:ascii="仿宋" w:hAnsi="仿宋" w:eastAsia="仿宋"/>
          <w:sz w:val="24"/>
          <w:vertAlign w:val="subscript"/>
        </w:rPr>
        <w:t>D</w:t>
      </w:r>
    </w:p>
    <w:p>
      <w:pPr>
        <w:pStyle w:val="11"/>
        <w:ind w:firstLine="480" w:firstLineChars="200"/>
        <w:rPr>
          <w:rFonts w:ascii="仿宋" w:hAnsi="仿宋" w:eastAsia="仿宋"/>
          <w:bCs/>
          <w:sz w:val="24"/>
        </w:rPr>
      </w:pPr>
      <w:r>
        <w:rPr>
          <w:rFonts w:hint="eastAsia" w:ascii="仿宋" w:hAnsi="仿宋" w:eastAsia="仿宋"/>
          <w:sz w:val="24"/>
        </w:rPr>
        <w:t>A1、A2……An分别为每个经济类评委（经济类专家）的打分，N</w:t>
      </w:r>
      <w:r>
        <w:rPr>
          <w:rFonts w:hint="eastAsia" w:ascii="仿宋" w:hAnsi="仿宋" w:eastAsia="仿宋"/>
          <w:sz w:val="24"/>
          <w:vertAlign w:val="subscript"/>
        </w:rPr>
        <w:t>A</w:t>
      </w:r>
      <w:r>
        <w:rPr>
          <w:rFonts w:hint="eastAsia" w:ascii="仿宋" w:hAnsi="仿宋" w:eastAsia="仿宋"/>
          <w:sz w:val="24"/>
        </w:rPr>
        <w:t>为经济类评委（经济类专家）人数；B1、B2＋……Bn 分别为每个技术类评委（技术类专家和采购人代表）的打分，N</w:t>
      </w:r>
      <w:r>
        <w:rPr>
          <w:rFonts w:hint="eastAsia" w:ascii="仿宋" w:hAnsi="仿宋" w:eastAsia="仿宋"/>
          <w:sz w:val="24"/>
          <w:vertAlign w:val="subscript"/>
        </w:rPr>
        <w:t>B</w:t>
      </w:r>
      <w:r>
        <w:rPr>
          <w:rFonts w:hint="eastAsia" w:ascii="仿宋" w:hAnsi="仿宋" w:eastAsia="仿宋"/>
          <w:sz w:val="24"/>
        </w:rPr>
        <w:t>为技术类评委（技术类专家和采购人代表）人数；C1、C2……Cn 分别为每个政策合同类评委（法律类专家）的打分，N</w:t>
      </w:r>
      <w:r>
        <w:rPr>
          <w:rFonts w:hint="eastAsia" w:ascii="仿宋" w:hAnsi="仿宋" w:eastAsia="仿宋"/>
          <w:sz w:val="24"/>
          <w:vertAlign w:val="subscript"/>
        </w:rPr>
        <w:t>C</w:t>
      </w:r>
      <w:r>
        <w:rPr>
          <w:rFonts w:hint="eastAsia" w:ascii="仿宋" w:hAnsi="仿宋" w:eastAsia="仿宋"/>
          <w:sz w:val="24"/>
        </w:rPr>
        <w:t>为政策合同类评委（法律类专家）人数；</w:t>
      </w:r>
      <w:r>
        <w:rPr>
          <w:rFonts w:hint="eastAsia" w:ascii="仿宋" w:hAnsi="仿宋" w:eastAsia="仿宋"/>
          <w:spacing w:val="-6"/>
          <w:sz w:val="24"/>
        </w:rPr>
        <w:t>D1、D2……Dn 分别为评标委员会每个成员的打分（共同评分类），N</w:t>
      </w:r>
      <w:r>
        <w:rPr>
          <w:rFonts w:hint="eastAsia" w:ascii="仿宋" w:hAnsi="仿宋" w:eastAsia="仿宋"/>
          <w:spacing w:val="-6"/>
          <w:sz w:val="24"/>
          <w:vertAlign w:val="subscript"/>
        </w:rPr>
        <w:t>D</w:t>
      </w:r>
      <w:r>
        <w:rPr>
          <w:rFonts w:hint="eastAsia" w:ascii="仿宋" w:hAnsi="仿宋" w:eastAsia="仿宋"/>
          <w:spacing w:val="-6"/>
          <w:sz w:val="24"/>
        </w:rPr>
        <w:t>为评标委员会人</w:t>
      </w:r>
      <w:r>
        <w:rPr>
          <w:rFonts w:hint="eastAsia" w:ascii="仿宋" w:hAnsi="仿宋" w:eastAsia="仿宋"/>
          <w:bCs/>
          <w:spacing w:val="-6"/>
          <w:sz w:val="24"/>
        </w:rPr>
        <w:t>数。</w:t>
      </w:r>
    </w:p>
    <w:bookmarkEnd w:id="368"/>
    <w:p>
      <w:pPr>
        <w:pStyle w:val="4"/>
        <w:spacing w:line="400" w:lineRule="exact"/>
        <w:ind w:firstLine="482" w:firstLineChars="200"/>
        <w:rPr>
          <w:rFonts w:ascii="仿宋" w:hAnsi="仿宋"/>
          <w:bCs w:val="0"/>
          <w:sz w:val="24"/>
          <w:szCs w:val="24"/>
        </w:rPr>
      </w:pPr>
      <w:bookmarkStart w:id="369" w:name="_Toc86702023"/>
      <w:bookmarkStart w:id="370" w:name="_Toc217446060"/>
      <w:r>
        <w:rPr>
          <w:rFonts w:hint="eastAsia" w:ascii="仿宋" w:hAnsi="仿宋"/>
          <w:bCs w:val="0"/>
          <w:sz w:val="24"/>
          <w:szCs w:val="24"/>
        </w:rPr>
        <w:t>5</w:t>
      </w:r>
      <w:r>
        <w:rPr>
          <w:rFonts w:hint="eastAsia" w:ascii="仿宋" w:hAnsi="仿宋"/>
          <w:sz w:val="24"/>
        </w:rPr>
        <w:t>．</w:t>
      </w:r>
      <w:r>
        <w:rPr>
          <w:rFonts w:hint="eastAsia" w:ascii="仿宋" w:hAnsi="仿宋"/>
          <w:bCs w:val="0"/>
          <w:sz w:val="24"/>
          <w:szCs w:val="24"/>
        </w:rPr>
        <w:t>废 标</w:t>
      </w:r>
      <w:bookmarkEnd w:id="369"/>
    </w:p>
    <w:p>
      <w:pPr>
        <w:spacing w:line="400" w:lineRule="exact"/>
        <w:ind w:firstLine="480" w:firstLineChars="200"/>
        <w:rPr>
          <w:rFonts w:ascii="仿宋" w:hAnsi="仿宋"/>
        </w:rPr>
      </w:pPr>
      <w:r>
        <w:rPr>
          <w:rFonts w:hint="eastAsia" w:ascii="仿宋" w:hAnsi="仿宋"/>
        </w:rPr>
        <w:t>5.1本次政府采购活动中，出现下列情形之一的，予以废标：</w:t>
      </w:r>
    </w:p>
    <w:p>
      <w:pPr>
        <w:spacing w:line="400" w:lineRule="exact"/>
        <w:ind w:firstLine="480" w:firstLineChars="200"/>
        <w:rPr>
          <w:rFonts w:ascii="仿宋" w:hAnsi="仿宋"/>
        </w:rPr>
      </w:pPr>
      <w:r>
        <w:rPr>
          <w:rFonts w:hint="eastAsia" w:ascii="仿宋" w:hAnsi="仿宋"/>
        </w:rPr>
        <w:t>（1）符合专业条件的供应商或者对招标文件作实质响应的供应商不足三家的；</w:t>
      </w:r>
    </w:p>
    <w:p>
      <w:pPr>
        <w:spacing w:line="400" w:lineRule="exact"/>
        <w:ind w:firstLine="480" w:firstLineChars="200"/>
        <w:rPr>
          <w:rFonts w:ascii="仿宋" w:hAnsi="仿宋"/>
        </w:rPr>
      </w:pPr>
      <w:r>
        <w:rPr>
          <w:rFonts w:hint="eastAsia" w:ascii="仿宋" w:hAnsi="仿宋"/>
        </w:rPr>
        <w:t>（2）出现影响采购公正的违法、违规行为的；</w:t>
      </w:r>
    </w:p>
    <w:p>
      <w:pPr>
        <w:spacing w:line="400" w:lineRule="exact"/>
        <w:ind w:firstLine="480" w:firstLineChars="200"/>
        <w:rPr>
          <w:rFonts w:ascii="仿宋" w:hAnsi="仿宋"/>
        </w:rPr>
      </w:pPr>
      <w:r>
        <w:rPr>
          <w:rFonts w:hint="eastAsia" w:ascii="仿宋" w:hAnsi="仿宋"/>
        </w:rPr>
        <w:t>（3）投标人的报价均超过了采购预算，采购人不能支付的；</w:t>
      </w:r>
    </w:p>
    <w:p>
      <w:pPr>
        <w:spacing w:line="400" w:lineRule="exact"/>
        <w:ind w:firstLine="480" w:firstLineChars="200"/>
        <w:rPr>
          <w:rFonts w:ascii="仿宋" w:hAnsi="仿宋"/>
        </w:rPr>
      </w:pPr>
      <w:r>
        <w:rPr>
          <w:rFonts w:hint="eastAsia" w:ascii="仿宋" w:hAnsi="仿宋"/>
        </w:rPr>
        <w:t>（4）因重大变故，采购任务取消的。</w:t>
      </w:r>
    </w:p>
    <w:p>
      <w:pPr>
        <w:spacing w:line="400" w:lineRule="exact"/>
        <w:ind w:firstLine="480" w:firstLineChars="200"/>
        <w:rPr>
          <w:rFonts w:ascii="仿宋" w:hAnsi="仿宋"/>
        </w:rPr>
      </w:pPr>
      <w:r>
        <w:rPr>
          <w:rFonts w:hint="eastAsia" w:ascii="仿宋" w:hAnsi="仿宋"/>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rPr>
      </w:pPr>
      <w:r>
        <w:rPr>
          <w:rFonts w:hint="eastAsia" w:ascii="仿宋" w:hAnsi="仿宋"/>
        </w:rPr>
        <w:t>5.2对于评标过程中废标的采购项目，评标委员会应当对招标文件是否存在倾向性和歧视性、是否存在不合理条款进行论证，并出具书面论证意见。</w:t>
      </w:r>
    </w:p>
    <w:p>
      <w:pPr>
        <w:pStyle w:val="4"/>
        <w:spacing w:line="400" w:lineRule="exact"/>
        <w:ind w:firstLine="482" w:firstLineChars="200"/>
        <w:rPr>
          <w:rFonts w:ascii="仿宋" w:hAnsi="仿宋"/>
          <w:bCs w:val="0"/>
          <w:sz w:val="24"/>
          <w:szCs w:val="24"/>
        </w:rPr>
      </w:pPr>
      <w:bookmarkStart w:id="371" w:name="_Toc86702024"/>
      <w:r>
        <w:rPr>
          <w:rFonts w:hint="eastAsia" w:ascii="仿宋" w:hAnsi="仿宋"/>
          <w:bCs w:val="0"/>
          <w:sz w:val="24"/>
          <w:szCs w:val="24"/>
        </w:rPr>
        <w:t>6</w:t>
      </w:r>
      <w:r>
        <w:rPr>
          <w:rFonts w:hint="eastAsia" w:ascii="仿宋" w:hAnsi="仿宋"/>
          <w:sz w:val="24"/>
        </w:rPr>
        <w:t>．</w:t>
      </w:r>
      <w:r>
        <w:rPr>
          <w:rFonts w:hint="eastAsia" w:ascii="仿宋" w:hAnsi="仿宋"/>
          <w:bCs w:val="0"/>
          <w:sz w:val="24"/>
          <w:szCs w:val="24"/>
        </w:rPr>
        <w:t>定标</w:t>
      </w:r>
      <w:bookmarkEnd w:id="370"/>
      <w:bookmarkEnd w:id="371"/>
      <w:bookmarkStart w:id="372" w:name="_Toc217446061"/>
    </w:p>
    <w:p>
      <w:pPr>
        <w:spacing w:line="400" w:lineRule="exact"/>
        <w:ind w:firstLine="480" w:firstLineChars="200"/>
        <w:rPr>
          <w:rFonts w:ascii="仿宋" w:hAnsi="仿宋"/>
        </w:rPr>
      </w:pPr>
      <w:r>
        <w:rPr>
          <w:rFonts w:hint="eastAsia" w:ascii="仿宋" w:hAnsi="仿宋"/>
        </w:rPr>
        <w:t>6.1. 定标原则</w:t>
      </w:r>
      <w:bookmarkEnd w:id="372"/>
      <w:r>
        <w:rPr>
          <w:rFonts w:hint="eastAsia" w:ascii="仿宋" w:hAnsi="仿宋"/>
        </w:rPr>
        <w:t>：本项目根据评标委员会推荐的中标候选供应商名单，按顺序确定中标供应商。</w:t>
      </w:r>
    </w:p>
    <w:p>
      <w:pPr>
        <w:spacing w:line="400" w:lineRule="exact"/>
        <w:ind w:firstLine="480" w:firstLineChars="200"/>
        <w:rPr>
          <w:rFonts w:ascii="仿宋" w:hAnsi="仿宋"/>
        </w:rPr>
      </w:pPr>
      <w:bookmarkStart w:id="373" w:name="_Toc217446062"/>
      <w:r>
        <w:rPr>
          <w:rFonts w:hint="eastAsia" w:ascii="仿宋" w:hAnsi="仿宋"/>
        </w:rPr>
        <w:t>6.2. 定标程序</w:t>
      </w:r>
      <w:bookmarkEnd w:id="373"/>
    </w:p>
    <w:p>
      <w:pPr>
        <w:spacing w:line="400" w:lineRule="exact"/>
        <w:ind w:firstLine="480" w:firstLineChars="200"/>
        <w:rPr>
          <w:rFonts w:ascii="仿宋" w:hAnsi="仿宋"/>
        </w:rPr>
      </w:pPr>
      <w:r>
        <w:rPr>
          <w:rFonts w:hint="eastAsia" w:ascii="仿宋" w:hAnsi="仿宋"/>
        </w:rPr>
        <w:t>6.2.1 评标委员会将评标情况写出书面报告，推荐中标候选供应商。</w:t>
      </w:r>
    </w:p>
    <w:p>
      <w:pPr>
        <w:spacing w:line="400" w:lineRule="exact"/>
        <w:ind w:firstLine="480" w:firstLineChars="200"/>
        <w:rPr>
          <w:rFonts w:ascii="仿宋" w:hAnsi="仿宋"/>
        </w:rPr>
      </w:pPr>
      <w:r>
        <w:rPr>
          <w:rFonts w:hint="eastAsia" w:ascii="仿宋" w:hAnsi="仿宋"/>
        </w:rPr>
        <w:t>6.2.2 采购代理机构在评标结束后2个工作日内将评标报告送采购人。</w:t>
      </w:r>
    </w:p>
    <w:p>
      <w:pPr>
        <w:spacing w:line="400" w:lineRule="exact"/>
        <w:ind w:firstLine="480" w:firstLineChars="200"/>
        <w:rPr>
          <w:rFonts w:ascii="仿宋" w:hAnsi="仿宋"/>
        </w:rPr>
      </w:pPr>
      <w:r>
        <w:rPr>
          <w:rFonts w:hint="eastAsia" w:ascii="仿宋" w:hAnsi="仿宋"/>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rPr>
      </w:pPr>
      <w:r>
        <w:rPr>
          <w:rFonts w:hint="eastAsia" w:ascii="仿宋" w:hAnsi="仿宋"/>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rPr>
      </w:pPr>
      <w:r>
        <w:rPr>
          <w:rFonts w:hint="eastAsia" w:ascii="仿宋" w:hAnsi="仿宋"/>
        </w:rPr>
        <w:t>6.2.5 招标采购单位不退回投标人投标文件和其他投标资料。</w:t>
      </w:r>
    </w:p>
    <w:bookmarkEnd w:id="365"/>
    <w:p>
      <w:pPr>
        <w:pStyle w:val="4"/>
        <w:spacing w:line="400" w:lineRule="exact"/>
        <w:ind w:firstLine="482" w:firstLineChars="200"/>
        <w:rPr>
          <w:rFonts w:ascii="仿宋" w:hAnsi="仿宋"/>
          <w:bCs w:val="0"/>
          <w:sz w:val="24"/>
          <w:szCs w:val="24"/>
        </w:rPr>
      </w:pPr>
      <w:bookmarkStart w:id="374" w:name="_Toc208849022"/>
      <w:bookmarkStart w:id="375" w:name="_Toc183682432"/>
      <w:bookmarkStart w:id="376" w:name="_Toc183582297"/>
      <w:bookmarkStart w:id="377" w:name="_Toc217446105"/>
      <w:bookmarkStart w:id="378" w:name="_Toc86702025"/>
      <w:r>
        <w:rPr>
          <w:rFonts w:hint="eastAsia" w:ascii="仿宋" w:hAnsi="仿宋"/>
          <w:bCs w:val="0"/>
          <w:sz w:val="24"/>
          <w:szCs w:val="24"/>
        </w:rPr>
        <w:t>7</w:t>
      </w:r>
      <w:bookmarkEnd w:id="374"/>
      <w:bookmarkEnd w:id="375"/>
      <w:bookmarkEnd w:id="376"/>
      <w:bookmarkEnd w:id="377"/>
      <w:r>
        <w:rPr>
          <w:rFonts w:hint="eastAsia" w:ascii="仿宋" w:hAnsi="仿宋"/>
          <w:sz w:val="24"/>
        </w:rPr>
        <w:t>．</w:t>
      </w:r>
      <w:r>
        <w:rPr>
          <w:rFonts w:hint="eastAsia" w:ascii="仿宋" w:hAnsi="仿宋"/>
          <w:bCs w:val="0"/>
          <w:sz w:val="24"/>
          <w:szCs w:val="24"/>
        </w:rPr>
        <w:t>评标专家在政府采购活动中承担以下义务：</w:t>
      </w:r>
      <w:bookmarkEnd w:id="378"/>
    </w:p>
    <w:p>
      <w:pPr>
        <w:spacing w:line="400" w:lineRule="exact"/>
        <w:ind w:firstLine="480" w:firstLineChars="200"/>
        <w:rPr>
          <w:rFonts w:ascii="仿宋" w:hAnsi="仿宋"/>
        </w:rPr>
      </w:pPr>
      <w:r>
        <w:rPr>
          <w:rFonts w:hint="eastAsia" w:ascii="仿宋" w:hAnsi="仿宋"/>
        </w:rPr>
        <w:t xml:space="preserve">（一）遵守评审工作纪律； </w:t>
      </w:r>
    </w:p>
    <w:p>
      <w:pPr>
        <w:spacing w:line="400" w:lineRule="exact"/>
        <w:ind w:firstLine="480" w:firstLineChars="200"/>
        <w:rPr>
          <w:rFonts w:ascii="仿宋" w:hAnsi="仿宋"/>
        </w:rPr>
      </w:pPr>
      <w:r>
        <w:rPr>
          <w:rFonts w:hint="eastAsia" w:ascii="仿宋" w:hAnsi="仿宋"/>
        </w:rPr>
        <w:t>（二）按照客观、公正、审慎的原则，根据采购文件规定的评审程序、评审方法和评审标准进行独立评审；</w:t>
      </w:r>
    </w:p>
    <w:p>
      <w:pPr>
        <w:spacing w:line="400" w:lineRule="exact"/>
        <w:ind w:firstLine="480" w:firstLineChars="200"/>
        <w:rPr>
          <w:rFonts w:ascii="仿宋" w:hAnsi="仿宋"/>
        </w:rPr>
      </w:pPr>
      <w:r>
        <w:rPr>
          <w:rFonts w:hint="eastAsia" w:ascii="仿宋" w:hAnsi="仿宋"/>
        </w:rPr>
        <w:t>（三）不得泄露评审文件、评审情况和在评审过程中获悉的商业秘密；</w:t>
      </w:r>
    </w:p>
    <w:p>
      <w:pPr>
        <w:spacing w:line="400" w:lineRule="exact"/>
        <w:ind w:firstLine="480" w:firstLineChars="200"/>
        <w:rPr>
          <w:rFonts w:ascii="仿宋" w:hAnsi="仿宋"/>
        </w:rPr>
      </w:pPr>
      <w:r>
        <w:rPr>
          <w:rFonts w:hint="eastAsia" w:ascii="仿宋" w:hAnsi="仿宋"/>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rPr>
      </w:pPr>
      <w:r>
        <w:rPr>
          <w:rFonts w:hint="eastAsia" w:ascii="仿宋" w:hAnsi="仿宋"/>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rPr>
      </w:pPr>
      <w:r>
        <w:rPr>
          <w:rFonts w:hint="eastAsia" w:ascii="仿宋" w:hAnsi="仿宋"/>
        </w:rPr>
        <w:t>（六）配合答复处理供应商的询问、质疑和投诉等事项；</w:t>
      </w:r>
    </w:p>
    <w:p>
      <w:pPr>
        <w:spacing w:line="400" w:lineRule="exact"/>
        <w:ind w:firstLine="480" w:firstLineChars="200"/>
        <w:rPr>
          <w:rFonts w:ascii="仿宋" w:hAnsi="仿宋"/>
        </w:rPr>
      </w:pPr>
      <w:r>
        <w:rPr>
          <w:rFonts w:hint="eastAsia" w:ascii="仿宋" w:hAnsi="仿宋"/>
        </w:rPr>
        <w:t>（七）法律、法规和规章规定的其他义务。</w:t>
      </w:r>
    </w:p>
    <w:p>
      <w:pPr>
        <w:pStyle w:val="4"/>
        <w:spacing w:line="400" w:lineRule="exact"/>
        <w:ind w:firstLine="482" w:firstLineChars="200"/>
        <w:rPr>
          <w:rFonts w:ascii="仿宋" w:hAnsi="仿宋"/>
          <w:bCs w:val="0"/>
          <w:sz w:val="24"/>
          <w:szCs w:val="24"/>
        </w:rPr>
      </w:pPr>
      <w:bookmarkStart w:id="379" w:name="_Toc86702026"/>
      <w:r>
        <w:rPr>
          <w:rFonts w:hint="eastAsia" w:ascii="仿宋" w:hAnsi="仿宋"/>
          <w:bCs w:val="0"/>
          <w:sz w:val="24"/>
          <w:szCs w:val="24"/>
        </w:rPr>
        <w:t>8</w:t>
      </w:r>
      <w:r>
        <w:rPr>
          <w:rFonts w:hint="eastAsia" w:ascii="仿宋" w:hAnsi="仿宋"/>
          <w:sz w:val="24"/>
        </w:rPr>
        <w:t>．</w:t>
      </w:r>
      <w:r>
        <w:rPr>
          <w:rFonts w:hint="eastAsia" w:ascii="仿宋" w:hAnsi="仿宋"/>
          <w:bCs w:val="0"/>
          <w:sz w:val="24"/>
          <w:szCs w:val="24"/>
        </w:rPr>
        <w:t>评标专家在政府采购活动中应当遵守以下工作纪律：</w:t>
      </w:r>
      <w:bookmarkEnd w:id="379"/>
    </w:p>
    <w:p>
      <w:pPr>
        <w:spacing w:line="400" w:lineRule="exact"/>
        <w:ind w:firstLine="480" w:firstLineChars="200"/>
        <w:rPr>
          <w:rFonts w:ascii="仿宋" w:hAnsi="仿宋"/>
        </w:rPr>
      </w:pPr>
      <w:r>
        <w:rPr>
          <w:rFonts w:hint="eastAsia" w:ascii="仿宋" w:hAnsi="仿宋"/>
        </w:rPr>
        <w:t>（一）遵行《政府采购法》第十二条和《政府采购法实施条例》第九条及财政部关于回避的规定。</w:t>
      </w:r>
    </w:p>
    <w:p>
      <w:pPr>
        <w:spacing w:line="400" w:lineRule="exact"/>
        <w:ind w:firstLine="480" w:firstLineChars="200"/>
        <w:rPr>
          <w:rFonts w:ascii="仿宋" w:hAnsi="仿宋"/>
        </w:rPr>
      </w:pPr>
      <w:r>
        <w:rPr>
          <w:rFonts w:hint="eastAsia" w:ascii="仿宋" w:hAnsi="仿宋"/>
        </w:rPr>
        <w:t>（二）评标前，应当将通讯工具或者相关电子设备交由招标采购单位统一保管。</w:t>
      </w:r>
    </w:p>
    <w:p>
      <w:pPr>
        <w:spacing w:line="400" w:lineRule="exact"/>
        <w:ind w:firstLine="480" w:firstLineChars="200"/>
        <w:rPr>
          <w:rFonts w:ascii="仿宋" w:hAnsi="仿宋"/>
        </w:rPr>
      </w:pPr>
      <w:r>
        <w:rPr>
          <w:rFonts w:hint="eastAsia" w:ascii="仿宋" w:hAnsi="仿宋"/>
        </w:rPr>
        <w:t>（三）评标过程中，不得与外界联系，因发生不可预见情况，确实需要与外界联系的，应当在监督人员监督之下办理。</w:t>
      </w:r>
    </w:p>
    <w:p>
      <w:pPr>
        <w:spacing w:line="400" w:lineRule="exact"/>
        <w:ind w:firstLine="480" w:firstLineChars="200"/>
        <w:rPr>
          <w:rFonts w:ascii="仿宋" w:hAnsi="仿宋"/>
        </w:rPr>
      </w:pPr>
      <w:r>
        <w:rPr>
          <w:rFonts w:hint="eastAsia" w:ascii="仿宋" w:hAnsi="仿宋"/>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rPr>
      </w:pPr>
      <w:r>
        <w:rPr>
          <w:rFonts w:hint="eastAsia" w:ascii="仿宋" w:hAnsi="仿宋"/>
        </w:rPr>
        <w:t>（五）在评标过程中和评标结束后，不得记录、复制或带走任何评标资料，除因规定的义务外，不得向外界透露评标内容。</w:t>
      </w:r>
    </w:p>
    <w:p>
      <w:pPr>
        <w:spacing w:line="400" w:lineRule="exact"/>
        <w:ind w:firstLine="480" w:firstLineChars="200"/>
        <w:rPr>
          <w:rFonts w:ascii="仿宋" w:hAnsi="仿宋"/>
        </w:rPr>
      </w:pPr>
      <w:r>
        <w:rPr>
          <w:rFonts w:hint="eastAsia" w:ascii="仿宋" w:hAnsi="仿宋"/>
        </w:rPr>
        <w:t>（六）服从评标现场招标采购单位的现场秩序管理，接受评标现场监督人员的合法监督。</w:t>
      </w:r>
    </w:p>
    <w:p>
      <w:pPr>
        <w:spacing w:line="400" w:lineRule="exact"/>
        <w:ind w:firstLine="480" w:firstLineChars="200"/>
        <w:rPr>
          <w:rFonts w:ascii="仿宋" w:hAnsi="仿宋"/>
        </w:rPr>
      </w:pPr>
      <w:r>
        <w:rPr>
          <w:rFonts w:hint="eastAsia" w:ascii="仿宋" w:hAnsi="仿宋"/>
        </w:rPr>
        <w:t>（七）遵守有关廉洁自律规定，不得私下接触供应商，不得收受供应商及有关业务单位和个人的财物或好处，不得接受采购组织单位的请托。</w:t>
      </w:r>
    </w:p>
    <w:p>
      <w:pPr>
        <w:pStyle w:val="3"/>
        <w:spacing w:line="400" w:lineRule="exact"/>
        <w:rPr>
          <w:rFonts w:ascii="仿宋" w:hAnsi="仿宋"/>
          <w:sz w:val="36"/>
          <w:szCs w:val="36"/>
        </w:rPr>
      </w:pPr>
      <w:bookmarkStart w:id="380" w:name="_Toc23042"/>
      <w:r>
        <w:rPr>
          <w:rFonts w:hint="eastAsia" w:ascii="仿宋" w:hAnsi="仿宋"/>
          <w:sz w:val="36"/>
          <w:szCs w:val="36"/>
        </w:rPr>
        <w:br w:type="page"/>
      </w:r>
      <w:bookmarkStart w:id="381" w:name="_Toc3520"/>
      <w:bookmarkStart w:id="382" w:name="_Toc86702058"/>
      <w:bookmarkStart w:id="383" w:name="_Toc86702027"/>
      <w:bookmarkStart w:id="384" w:name="_Toc86702229"/>
      <w:r>
        <w:rPr>
          <w:rFonts w:hint="eastAsia" w:ascii="仿宋" w:hAnsi="仿宋"/>
          <w:sz w:val="36"/>
          <w:szCs w:val="36"/>
        </w:rPr>
        <w:t>第八章  政府采购合同</w:t>
      </w:r>
      <w:bookmarkEnd w:id="380"/>
      <w:bookmarkEnd w:id="381"/>
      <w:bookmarkEnd w:id="382"/>
      <w:bookmarkEnd w:id="383"/>
      <w:bookmarkEnd w:id="384"/>
    </w:p>
    <w:p>
      <w:pPr>
        <w:pStyle w:val="3"/>
        <w:spacing w:before="0" w:after="0" w:line="360" w:lineRule="auto"/>
        <w:rPr>
          <w:rFonts w:ascii="仿宋" w:hAnsi="仿宋" w:cs="仿宋"/>
          <w:sz w:val="36"/>
        </w:rPr>
      </w:pPr>
      <w:r>
        <w:rPr>
          <w:rFonts w:hint="eastAsia" w:ascii="仿宋" w:hAnsi="仿宋"/>
        </w:rPr>
        <w:t xml:space="preserve"> </w:t>
      </w:r>
      <w:r>
        <w:rPr>
          <w:rFonts w:hint="eastAsia" w:ascii="仿宋" w:hAnsi="仿宋" w:cs="仿宋"/>
          <w:sz w:val="36"/>
        </w:rPr>
        <w:t>政府采购合同</w:t>
      </w:r>
    </w:p>
    <w:p>
      <w:pPr>
        <w:pStyle w:val="91"/>
        <w:ind w:firstLine="1680" w:firstLineChars="700"/>
        <w:rPr>
          <w:rFonts w:ascii="仿宋" w:hAnsi="仿宋" w:eastAsia="仿宋" w:cs="仿宋"/>
          <w:sz w:val="24"/>
        </w:rPr>
      </w:pPr>
      <w:r>
        <w:rPr>
          <w:rFonts w:hint="eastAsia" w:ascii="仿宋" w:hAnsi="仿宋" w:eastAsia="仿宋" w:cs="仿宋"/>
          <w:sz w:val="24"/>
        </w:rPr>
        <w:t>成都市第三人民医院                采购安装合同</w:t>
      </w:r>
    </w:p>
    <w:p>
      <w:pPr>
        <w:pStyle w:val="91"/>
        <w:rPr>
          <w:rFonts w:ascii="仿宋" w:hAnsi="仿宋" w:eastAsia="仿宋" w:cs="仿宋"/>
          <w:sz w:val="24"/>
        </w:rPr>
      </w:pPr>
    </w:p>
    <w:p>
      <w:pPr>
        <w:pStyle w:val="91"/>
        <w:rPr>
          <w:rFonts w:ascii="仿宋" w:hAnsi="仿宋" w:eastAsia="仿宋" w:cs="仿宋"/>
          <w:sz w:val="24"/>
        </w:rPr>
      </w:pPr>
      <w:r>
        <w:rPr>
          <w:rFonts w:hint="eastAsia" w:ascii="仿宋" w:hAnsi="仿宋" w:eastAsia="仿宋" w:cs="仿宋"/>
          <w:sz w:val="24"/>
        </w:rPr>
        <w:t xml:space="preserve">甲方： </w:t>
      </w:r>
    </w:p>
    <w:p>
      <w:pPr>
        <w:pStyle w:val="91"/>
        <w:rPr>
          <w:rFonts w:ascii="仿宋" w:hAnsi="仿宋" w:eastAsia="仿宋" w:cs="仿宋"/>
          <w:sz w:val="24"/>
        </w:rPr>
      </w:pPr>
      <w:r>
        <w:rPr>
          <w:rFonts w:hint="eastAsia" w:ascii="仿宋" w:hAnsi="仿宋" w:eastAsia="仿宋" w:cs="仿宋"/>
          <w:sz w:val="24"/>
        </w:rPr>
        <w:t xml:space="preserve">乙方： </w:t>
      </w:r>
    </w:p>
    <w:p>
      <w:pPr>
        <w:pStyle w:val="91"/>
        <w:rPr>
          <w:rFonts w:ascii="仿宋" w:hAnsi="仿宋" w:eastAsia="仿宋" w:cs="仿宋"/>
          <w:sz w:val="24"/>
        </w:rPr>
      </w:pPr>
      <w:r>
        <w:rPr>
          <w:rFonts w:hint="eastAsia" w:ascii="仿宋" w:hAnsi="仿宋" w:eastAsia="仿宋" w:cs="仿宋"/>
          <w:sz w:val="24"/>
        </w:rPr>
        <w:t>甲方委托                       于     年   月    日组织的                 公开招标活动，经流程确定乙方为中标人，双方依据《中华人民共和国政府采购法》、《中华人民共和国民法典》与项目行业有关的法律法规，以及本项目的《招标文件》，乙方的《投标文件》及《中标通知书》，甲、乙双方同意签订本合同。详细技术说明及其他有关合同项目的特定信息由合同附件予以说明，合同附件及本项目的《招标文件》、《投标文件》等均为本合同的组成部分。</w:t>
      </w:r>
    </w:p>
    <w:p>
      <w:pPr>
        <w:pStyle w:val="91"/>
        <w:rPr>
          <w:rFonts w:ascii="仿宋" w:hAnsi="仿宋" w:eastAsia="仿宋" w:cs="仿宋"/>
          <w:sz w:val="24"/>
        </w:rPr>
      </w:pPr>
      <w:r>
        <w:rPr>
          <w:rFonts w:hint="eastAsia" w:ascii="仿宋" w:hAnsi="仿宋" w:eastAsia="仿宋" w:cs="仿宋"/>
          <w:sz w:val="24"/>
        </w:rPr>
        <w:t>一、合同货物</w:t>
      </w:r>
    </w:p>
    <w:tbl>
      <w:tblPr>
        <w:tblStyle w:val="35"/>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5"/>
        <w:gridCol w:w="1755"/>
        <w:gridCol w:w="585"/>
        <w:gridCol w:w="900"/>
        <w:gridCol w:w="1080"/>
        <w:gridCol w:w="1110"/>
        <w:gridCol w:w="25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1755" w:type="dxa"/>
            <w:tcBorders>
              <w:top w:val="single" w:color="auto" w:sz="4" w:space="0"/>
              <w:left w:val="single" w:color="auto" w:sz="4" w:space="0"/>
              <w:bottom w:val="single" w:color="auto" w:sz="4" w:space="0"/>
              <w:right w:val="single" w:color="auto" w:sz="4" w:space="0"/>
            </w:tcBorders>
            <w:vAlign w:val="center"/>
          </w:tcPr>
          <w:p>
            <w:pPr>
              <w:jc w:val="both"/>
              <w:rPr>
                <w:rFonts w:cs="宋体"/>
                <w:sz w:val="18"/>
                <w:szCs w:val="18"/>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900" w:type="dxa"/>
            <w:tcBorders>
              <w:top w:val="single" w:color="auto" w:sz="4" w:space="0"/>
              <w:left w:val="single" w:color="auto" w:sz="4" w:space="0"/>
              <w:bottom w:val="single" w:color="auto" w:sz="4" w:space="0"/>
              <w:right w:val="single" w:color="auto" w:sz="4" w:space="0"/>
            </w:tcBorders>
            <w:vAlign w:val="center"/>
          </w:tcPr>
          <w:p>
            <w:pPr>
              <w:ind w:firstLine="90" w:firstLineChars="50"/>
              <w:jc w:val="center"/>
              <w:rPr>
                <w:rFonts w:cs="宋体"/>
                <w:sz w:val="18"/>
                <w:szCs w:val="18"/>
              </w:rPr>
            </w:pPr>
          </w:p>
        </w:tc>
        <w:tc>
          <w:tcPr>
            <w:tcW w:w="1080" w:type="dxa"/>
            <w:tcBorders>
              <w:top w:val="single" w:color="auto" w:sz="4" w:space="0"/>
              <w:left w:val="single" w:color="auto" w:sz="4" w:space="0"/>
              <w:bottom w:val="single" w:color="auto" w:sz="4" w:space="0"/>
              <w:right w:val="single" w:color="auto" w:sz="4" w:space="0"/>
            </w:tcBorders>
            <w:vAlign w:val="center"/>
          </w:tcPr>
          <w:p/>
          <w:p>
            <w:pPr>
              <w:jc w:val="center"/>
              <w:rPr>
                <w:rFonts w:cs="宋体"/>
                <w:sz w:val="18"/>
                <w:szCs w:val="18"/>
              </w:rPr>
            </w:pPr>
          </w:p>
        </w:tc>
        <w:tc>
          <w:tcPr>
            <w:tcW w:w="1110" w:type="dxa"/>
            <w:tcBorders>
              <w:top w:val="single" w:color="auto" w:sz="4" w:space="0"/>
              <w:left w:val="single" w:color="auto" w:sz="4" w:space="0"/>
              <w:bottom w:val="single" w:color="auto" w:sz="4" w:space="0"/>
              <w:right w:val="single" w:color="auto" w:sz="4" w:space="0"/>
            </w:tcBorders>
            <w:vAlign w:val="center"/>
          </w:tcPr>
          <w:p/>
          <w:p>
            <w:pPr>
              <w:jc w:val="center"/>
              <w:rPr>
                <w:rFonts w:cs="宋体"/>
                <w:sz w:val="18"/>
                <w:szCs w:val="18"/>
              </w:rPr>
            </w:pPr>
          </w:p>
        </w:tc>
        <w:tc>
          <w:tcPr>
            <w:tcW w:w="2595" w:type="dxa"/>
            <w:tcBorders>
              <w:top w:val="single" w:color="auto" w:sz="4" w:space="0"/>
              <w:left w:val="single" w:color="auto" w:sz="4" w:space="0"/>
              <w:bottom w:val="single" w:color="auto" w:sz="4" w:space="0"/>
              <w:right w:val="single" w:color="auto" w:sz="4" w:space="0"/>
            </w:tcBorders>
            <w:vAlign w:val="center"/>
          </w:tcPr>
          <w:p>
            <w:pPr>
              <w:ind w:firstLine="90" w:firstLineChars="50"/>
              <w:jc w:val="center"/>
              <w:rPr>
                <w:rFonts w:cs="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eastAsia="宋体" w:cs="宋体"/>
                <w:sz w:val="18"/>
                <w:szCs w:val="18"/>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2595"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eastAsia="宋体" w:cs="宋体"/>
                <w:sz w:val="18"/>
                <w:szCs w:val="18"/>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2595"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r>
              <w:rPr>
                <w:rFonts w:hint="eastAsia" w:cs="宋体"/>
                <w:sz w:val="18"/>
                <w:szCs w:val="18"/>
              </w:rPr>
              <w:t xml:space="preserve"> </w:t>
            </w: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c>
          <w:tcPr>
            <w:tcW w:w="259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r>
              <w:rPr>
                <w:rFonts w:hint="eastAsia" w:cs="宋体"/>
                <w:sz w:val="18"/>
                <w:szCs w:val="18"/>
              </w:rPr>
              <w:t xml:space="preserve"> </w:t>
            </w: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c>
          <w:tcPr>
            <w:tcW w:w="259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r>
              <w:rPr>
                <w:rFonts w:hint="eastAsia" w:cs="宋体"/>
                <w:sz w:val="18"/>
                <w:szCs w:val="18"/>
              </w:rPr>
              <w:t xml:space="preserve"> </w:t>
            </w: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259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r>
              <w:rPr>
                <w:rFonts w:hint="eastAsia" w:cs="宋体"/>
                <w:sz w:val="18"/>
                <w:szCs w:val="18"/>
              </w:rPr>
              <w:t xml:space="preserve"> </w:t>
            </w: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c>
          <w:tcPr>
            <w:tcW w:w="259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005" w:type="dxa"/>
            <w:tcBorders>
              <w:top w:val="single" w:color="auto" w:sz="4" w:space="0"/>
              <w:left w:val="single" w:color="auto" w:sz="4" w:space="0"/>
              <w:bottom w:val="single" w:color="auto" w:sz="4" w:space="0"/>
              <w:right w:val="single" w:color="auto" w:sz="4" w:space="0"/>
            </w:tcBorders>
            <w:vAlign w:val="center"/>
          </w:tcPr>
          <w:p>
            <w:pPr>
              <w:jc w:val="both"/>
              <w:rPr>
                <w:rFonts w:ascii="宋体" w:eastAsia="宋体" w:cs="宋体"/>
                <w:sz w:val="18"/>
                <w:szCs w:val="18"/>
              </w:rPr>
            </w:pP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c>
          <w:tcPr>
            <w:tcW w:w="259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005" w:type="dxa"/>
            <w:tcBorders>
              <w:top w:val="single" w:color="auto" w:sz="4" w:space="0"/>
              <w:left w:val="single" w:color="auto" w:sz="4" w:space="0"/>
              <w:bottom w:val="single" w:color="auto" w:sz="4" w:space="0"/>
              <w:right w:val="single" w:color="auto" w:sz="4" w:space="0"/>
            </w:tcBorders>
            <w:vAlign w:val="center"/>
          </w:tcPr>
          <w:p>
            <w:pPr>
              <w:jc w:val="both"/>
              <w:rPr>
                <w:rFonts w:ascii="宋体" w:eastAsia="宋体" w:cs="宋体"/>
                <w:sz w:val="18"/>
                <w:szCs w:val="18"/>
              </w:rPr>
            </w:pP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c>
          <w:tcPr>
            <w:tcW w:w="259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005" w:type="dxa"/>
            <w:tcBorders>
              <w:top w:val="single" w:color="auto" w:sz="4" w:space="0"/>
              <w:left w:val="single" w:color="auto" w:sz="4" w:space="0"/>
              <w:bottom w:val="single" w:color="auto" w:sz="4" w:space="0"/>
              <w:right w:val="single" w:color="auto" w:sz="4" w:space="0"/>
            </w:tcBorders>
            <w:vAlign w:val="center"/>
          </w:tcPr>
          <w:p>
            <w:pPr>
              <w:jc w:val="both"/>
              <w:rPr>
                <w:rFonts w:ascii="宋体" w:eastAsia="宋体" w:cs="宋体"/>
                <w:sz w:val="18"/>
                <w:szCs w:val="18"/>
              </w:rPr>
            </w:pP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c>
          <w:tcPr>
            <w:tcW w:w="259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005" w:type="dxa"/>
            <w:tcBorders>
              <w:top w:val="single" w:color="auto" w:sz="4" w:space="0"/>
              <w:left w:val="single" w:color="auto" w:sz="4" w:space="0"/>
              <w:bottom w:val="single" w:color="auto" w:sz="4" w:space="0"/>
              <w:right w:val="single" w:color="auto" w:sz="4" w:space="0"/>
            </w:tcBorders>
            <w:vAlign w:val="center"/>
          </w:tcPr>
          <w:p>
            <w:pPr>
              <w:jc w:val="both"/>
              <w:rPr>
                <w:rFonts w:ascii="宋体" w:eastAsia="宋体" w:cs="宋体"/>
                <w:sz w:val="18"/>
                <w:szCs w:val="18"/>
              </w:rPr>
            </w:pP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c>
          <w:tcPr>
            <w:tcW w:w="259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005" w:type="dxa"/>
            <w:tcBorders>
              <w:top w:val="single" w:color="auto" w:sz="4" w:space="0"/>
              <w:left w:val="single" w:color="auto" w:sz="4" w:space="0"/>
              <w:bottom w:val="single" w:color="auto" w:sz="4" w:space="0"/>
              <w:right w:val="single" w:color="auto" w:sz="4" w:space="0"/>
            </w:tcBorders>
            <w:vAlign w:val="center"/>
          </w:tcPr>
          <w:p>
            <w:pPr>
              <w:jc w:val="both"/>
              <w:rPr>
                <w:rFonts w:ascii="宋体" w:eastAsia="宋体" w:cs="宋体"/>
                <w:sz w:val="18"/>
                <w:szCs w:val="18"/>
              </w:rPr>
            </w:pP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cs="宋体"/>
                <w:sz w:val="18"/>
                <w:szCs w:val="18"/>
              </w:rPr>
            </w:pP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c>
          <w:tcPr>
            <w:tcW w:w="2595" w:type="dxa"/>
            <w:tcBorders>
              <w:top w:val="single" w:color="auto" w:sz="4" w:space="0"/>
              <w:left w:val="single" w:color="auto" w:sz="4" w:space="0"/>
              <w:bottom w:val="single" w:color="auto" w:sz="4" w:space="0"/>
              <w:right w:val="single" w:color="auto" w:sz="4" w:space="0"/>
            </w:tcBorders>
            <w:vAlign w:val="center"/>
          </w:tcPr>
          <w:p>
            <w:pPr>
              <w:jc w:val="center"/>
              <w:rPr>
                <w:rFonts w:ascii="宋体" w:eastAsia="宋体" w:cs="宋体"/>
                <w:sz w:val="18"/>
                <w:szCs w:val="18"/>
              </w:rPr>
            </w:pPr>
          </w:p>
        </w:tc>
      </w:tr>
    </w:tbl>
    <w:p>
      <w:pPr>
        <w:pStyle w:val="91"/>
        <w:rPr>
          <w:rFonts w:ascii="仿宋" w:hAnsi="仿宋" w:eastAsia="仿宋" w:cs="仿宋"/>
          <w:sz w:val="24"/>
        </w:rPr>
      </w:pPr>
      <w:r>
        <w:rPr>
          <w:rFonts w:hint="eastAsia" w:ascii="仿宋" w:hAnsi="仿宋" w:eastAsia="仿宋" w:cs="仿宋"/>
          <w:sz w:val="24"/>
        </w:rPr>
        <w:br w:type="page"/>
      </w:r>
    </w:p>
    <w:p>
      <w:pPr>
        <w:pStyle w:val="91"/>
        <w:rPr>
          <w:rFonts w:ascii="仿宋" w:hAnsi="仿宋" w:eastAsia="仿宋" w:cs="仿宋"/>
          <w:sz w:val="24"/>
        </w:rPr>
      </w:pPr>
      <w:r>
        <w:rPr>
          <w:rFonts w:hint="eastAsia" w:ascii="仿宋" w:hAnsi="仿宋" w:eastAsia="仿宋" w:cs="仿宋"/>
          <w:sz w:val="24"/>
        </w:rPr>
        <w:t>二、合同总价</w:t>
      </w:r>
    </w:p>
    <w:p>
      <w:pPr>
        <w:pStyle w:val="91"/>
        <w:rPr>
          <w:rFonts w:ascii="仿宋" w:hAnsi="仿宋" w:eastAsia="仿宋" w:cs="仿宋"/>
          <w:sz w:val="24"/>
        </w:rPr>
      </w:pPr>
      <w:r>
        <w:rPr>
          <w:rFonts w:hint="eastAsia" w:ascii="仿宋" w:hAnsi="仿宋" w:eastAsia="仿宋" w:cs="仿宋"/>
          <w:sz w:val="24"/>
        </w:rPr>
        <w:t>合同总价为人民币大写：                    ，即RMB￥：            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91"/>
        <w:rPr>
          <w:rFonts w:ascii="仿宋" w:hAnsi="仿宋" w:eastAsia="仿宋" w:cs="仿宋"/>
          <w:sz w:val="24"/>
        </w:rPr>
      </w:pPr>
      <w:r>
        <w:rPr>
          <w:rFonts w:hint="eastAsia" w:ascii="仿宋" w:hAnsi="仿宋" w:eastAsia="仿宋" w:cs="仿宋"/>
          <w:sz w:val="24"/>
        </w:rPr>
        <w:t>三、质量要求</w:t>
      </w:r>
    </w:p>
    <w:p>
      <w:pPr>
        <w:pStyle w:val="91"/>
        <w:rPr>
          <w:rFonts w:ascii="仿宋" w:hAnsi="仿宋" w:eastAsia="仿宋" w:cs="仿宋"/>
          <w:sz w:val="24"/>
        </w:rPr>
      </w:pPr>
      <w:r>
        <w:rPr>
          <w:rFonts w:hint="eastAsia" w:ascii="仿宋" w:hAnsi="仿宋" w:eastAsia="仿宋" w:cs="仿宋"/>
          <w:sz w:val="24"/>
        </w:rPr>
        <w:t>1、乙方须提供全新的货物（含零部件、配件等），表面无划伤、无碰撞痕迹，且权属清楚，不得侵害他人的知识产权。</w:t>
      </w:r>
    </w:p>
    <w:p>
      <w:pPr>
        <w:pStyle w:val="91"/>
        <w:rPr>
          <w:rFonts w:ascii="仿宋" w:hAnsi="仿宋" w:eastAsia="仿宋" w:cs="仿宋"/>
          <w:sz w:val="24"/>
        </w:rPr>
      </w:pPr>
      <w:r>
        <w:rPr>
          <w:rFonts w:hint="eastAsia" w:ascii="仿宋" w:hAnsi="仿宋" w:eastAsia="仿宋" w:cs="仿宋"/>
          <w:sz w:val="24"/>
        </w:rPr>
        <w:t>2、货物必须符合或优于国家（行业）标准，以及本项目招标文件的质量要求和技术指标与出厂标准。</w:t>
      </w:r>
    </w:p>
    <w:p>
      <w:pPr>
        <w:pStyle w:val="91"/>
        <w:rPr>
          <w:rFonts w:ascii="仿宋" w:hAnsi="仿宋" w:eastAsia="仿宋" w:cs="仿宋"/>
          <w:sz w:val="24"/>
        </w:rPr>
      </w:pPr>
      <w:r>
        <w:rPr>
          <w:rFonts w:hint="eastAsia" w:ascii="仿宋" w:hAnsi="仿宋" w:eastAsia="仿宋" w:cs="仿宋"/>
          <w:sz w:val="24"/>
        </w:rPr>
        <w:t>3、乙方须保证提供的产品均能达到甲方招标文件的质量要求和技术指标；每台货物上均应有产品质量检验合格标志。</w:t>
      </w:r>
    </w:p>
    <w:p>
      <w:pPr>
        <w:pStyle w:val="91"/>
        <w:rPr>
          <w:rFonts w:ascii="仿宋" w:hAnsi="仿宋" w:eastAsia="仿宋" w:cs="仿宋"/>
          <w:sz w:val="24"/>
        </w:rPr>
      </w:pPr>
      <w:r>
        <w:rPr>
          <w:rFonts w:hint="eastAsia" w:ascii="仿宋" w:hAnsi="仿宋" w:eastAsia="仿宋" w:cs="仿宋"/>
          <w:sz w:val="24"/>
        </w:rPr>
        <w:t>4、货物制造质量出现问题，乙方应负责三包（包修、包换、包退），费用由乙方负担，甲方有权到乙方生产场地检查货物质量和生产进度。</w:t>
      </w:r>
    </w:p>
    <w:p>
      <w:pPr>
        <w:pStyle w:val="91"/>
        <w:rPr>
          <w:rFonts w:ascii="仿宋" w:hAnsi="仿宋" w:eastAsia="仿宋" w:cs="仿宋"/>
          <w:sz w:val="24"/>
        </w:rPr>
      </w:pPr>
      <w:r>
        <w:rPr>
          <w:rFonts w:hint="eastAsia" w:ascii="仿宋" w:hAnsi="仿宋" w:eastAsia="仿宋" w:cs="仿宋"/>
          <w:sz w:val="24"/>
        </w:rPr>
        <w:t>5、货到现场后由于甲方保管不当造成的质量问题，乙方亦应负责修理，但费用由甲方承担。</w:t>
      </w:r>
    </w:p>
    <w:p>
      <w:pPr>
        <w:pStyle w:val="91"/>
        <w:rPr>
          <w:rFonts w:ascii="仿宋" w:hAnsi="仿宋" w:eastAsia="仿宋" w:cs="仿宋"/>
          <w:sz w:val="24"/>
        </w:rPr>
      </w:pPr>
      <w:r>
        <w:rPr>
          <w:rFonts w:hint="eastAsia" w:ascii="仿宋" w:hAnsi="仿宋" w:eastAsia="仿宋" w:cs="仿宋"/>
          <w:sz w:val="24"/>
        </w:rPr>
        <w:t>四、交货及验收</w:t>
      </w:r>
    </w:p>
    <w:p>
      <w:pPr>
        <w:pStyle w:val="91"/>
        <w:rPr>
          <w:rFonts w:ascii="仿宋" w:hAnsi="仿宋" w:eastAsia="仿宋" w:cs="仿宋"/>
          <w:sz w:val="24"/>
        </w:rPr>
      </w:pPr>
      <w:r>
        <w:rPr>
          <w:rFonts w:hint="eastAsia" w:ascii="仿宋" w:hAnsi="仿宋" w:eastAsia="仿宋" w:cs="仿宋"/>
          <w:sz w:val="24"/>
        </w:rPr>
        <w:t>1、乙方交货期限为合同签订生效后的     日内，在合同签订生效之日起     日内交货到甲方指定地点，并全部完成安装调试 ，验收合格交付使用。(如由于甲方原因造成合同延迟签订或验收的，则时间顺延)。交货验收时须提供产品质检部门从同类产品中抽样检查合格的检测报告。</w:t>
      </w:r>
    </w:p>
    <w:p>
      <w:pPr>
        <w:pStyle w:val="91"/>
        <w:rPr>
          <w:rFonts w:ascii="仿宋" w:hAnsi="仿宋" w:eastAsia="仿宋" w:cs="仿宋"/>
          <w:sz w:val="24"/>
        </w:rPr>
      </w:pPr>
      <w:r>
        <w:rPr>
          <w:rFonts w:hint="eastAsia" w:ascii="仿宋" w:hAnsi="仿宋" w:eastAsia="仿宋" w:cs="仿宋"/>
          <w:sz w:val="24"/>
        </w:rPr>
        <w:t>2、验收由甲方组织，乙方配合进行：</w:t>
      </w:r>
    </w:p>
    <w:p>
      <w:pPr>
        <w:pStyle w:val="91"/>
        <w:rPr>
          <w:rFonts w:ascii="仿宋" w:hAnsi="仿宋" w:eastAsia="仿宋" w:cs="仿宋"/>
          <w:sz w:val="24"/>
        </w:rPr>
      </w:pPr>
      <w:r>
        <w:rPr>
          <w:rFonts w:hint="eastAsia" w:ascii="仿宋" w:hAnsi="仿宋" w:eastAsia="仿宋" w:cs="仿宋"/>
          <w:sz w:val="24"/>
        </w:rPr>
        <w:t>(1) 货物在乙方通知安装调试完毕后7日内进行初步验收。初步验收合格后，进入试用期；试用期间发生重大质量问题，修复后试用期相应顺延；试用期结束后15日内完成最终验收；</w:t>
      </w:r>
    </w:p>
    <w:p>
      <w:pPr>
        <w:pStyle w:val="91"/>
        <w:rPr>
          <w:rFonts w:ascii="仿宋" w:hAnsi="仿宋" w:eastAsia="仿宋" w:cs="仿宋"/>
          <w:sz w:val="24"/>
        </w:rPr>
      </w:pPr>
      <w:r>
        <w:rPr>
          <w:rFonts w:hint="eastAsia" w:ascii="仿宋" w:hAnsi="仿宋" w:eastAsia="仿宋" w:cs="仿宋"/>
          <w:sz w:val="24"/>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91"/>
        <w:rPr>
          <w:rFonts w:ascii="仿宋" w:hAnsi="仿宋" w:eastAsia="仿宋" w:cs="仿宋"/>
          <w:sz w:val="24"/>
        </w:rPr>
      </w:pPr>
      <w:r>
        <w:rPr>
          <w:rFonts w:hint="eastAsia" w:ascii="仿宋" w:hAnsi="仿宋" w:eastAsia="仿宋" w:cs="仿宋"/>
          <w:sz w:val="24"/>
        </w:rPr>
        <w:t>(3) 验收时如发现所交付的货物有短缺、次品、损坏或其它不符合标准及本合同规定之情形者，甲方应做出详尽的现场记录，或由甲乙双方签署备忘录，此现场记录或备忘录可用作补充、缺失和更换损坏部件的有效证据，由此产生的时间延误及相关费用由乙方承担，验收期限相应顺延；</w:t>
      </w:r>
    </w:p>
    <w:p>
      <w:pPr>
        <w:pStyle w:val="91"/>
        <w:rPr>
          <w:rFonts w:ascii="仿宋" w:hAnsi="仿宋" w:eastAsia="仿宋" w:cs="仿宋"/>
          <w:sz w:val="24"/>
        </w:rPr>
      </w:pPr>
      <w:r>
        <w:rPr>
          <w:rFonts w:hint="eastAsia" w:ascii="仿宋" w:hAnsi="仿宋" w:eastAsia="仿宋" w:cs="仿宋"/>
          <w:sz w:val="24"/>
        </w:rPr>
        <w:t>(4) 如质量验收合格，双方签署质量验收报告。</w:t>
      </w:r>
    </w:p>
    <w:p>
      <w:pPr>
        <w:pStyle w:val="91"/>
        <w:rPr>
          <w:rFonts w:ascii="仿宋" w:hAnsi="仿宋" w:eastAsia="仿宋" w:cs="仿宋"/>
          <w:sz w:val="24"/>
        </w:rPr>
      </w:pPr>
      <w:r>
        <w:rPr>
          <w:rFonts w:hint="eastAsia" w:ascii="仿宋" w:hAnsi="仿宋" w:eastAsia="仿宋" w:cs="仿宋"/>
          <w:sz w:val="24"/>
        </w:rPr>
        <w:t>3、货物安装完成后15个工作日内，甲方无故不进行验收工作并已使用货物的，视同已安装调试完成并验收合格。</w:t>
      </w:r>
    </w:p>
    <w:p>
      <w:pPr>
        <w:pStyle w:val="91"/>
        <w:rPr>
          <w:rFonts w:ascii="仿宋" w:hAnsi="仿宋" w:eastAsia="仿宋" w:cs="仿宋"/>
          <w:sz w:val="24"/>
        </w:rPr>
      </w:pPr>
      <w:r>
        <w:rPr>
          <w:rFonts w:hint="eastAsia" w:ascii="仿宋" w:hAnsi="仿宋" w:eastAsia="仿宋" w:cs="仿宋"/>
          <w:sz w:val="24"/>
        </w:rPr>
        <w:t>4、乙方应将所提供货物的装箱清单、配件、随机工具、用户使用手册、原厂保修卡等资料交付给甲方；乙方不能完整交付货物及本款规定的单证和工具的，必须负责补齐，否则视为未按合同约定交货。</w:t>
      </w:r>
    </w:p>
    <w:p>
      <w:pPr>
        <w:pStyle w:val="91"/>
        <w:rPr>
          <w:rFonts w:ascii="仿宋" w:hAnsi="仿宋" w:eastAsia="仿宋" w:cs="仿宋"/>
          <w:sz w:val="24"/>
        </w:rPr>
      </w:pPr>
      <w:r>
        <w:rPr>
          <w:rFonts w:hint="eastAsia" w:ascii="仿宋" w:hAnsi="仿宋" w:eastAsia="仿宋" w:cs="仿宋"/>
          <w:sz w:val="24"/>
        </w:rPr>
        <w:t>5、如货物经乙方    次维修仍不能达到合同约定的质量标准，甲方有权退货，并视作乙方不能交付货物而须支付违约赔偿金给甲方，甲方还可依法追究乙方的违约责任。 </w:t>
      </w:r>
    </w:p>
    <w:p>
      <w:pPr>
        <w:pStyle w:val="91"/>
        <w:rPr>
          <w:rFonts w:ascii="仿宋" w:hAnsi="仿宋" w:eastAsia="仿宋" w:cs="仿宋"/>
          <w:sz w:val="24"/>
        </w:rPr>
      </w:pPr>
      <w:r>
        <w:rPr>
          <w:rFonts w:hint="eastAsia" w:ascii="仿宋" w:hAnsi="仿宋" w:eastAsia="仿宋" w:cs="仿宋"/>
          <w:sz w:val="24"/>
        </w:rPr>
        <w:t>6、其他未尽事宜应严格按照《财政部关于进一步加强政府采购需求和履约验收管理的指导意见》（财库〔2016〕205号）等政府采购相关法律法规的要求进行。</w:t>
      </w:r>
    </w:p>
    <w:p>
      <w:pPr>
        <w:pStyle w:val="91"/>
        <w:rPr>
          <w:rFonts w:ascii="仿宋" w:hAnsi="仿宋" w:eastAsia="仿宋" w:cs="仿宋"/>
          <w:sz w:val="24"/>
        </w:rPr>
      </w:pPr>
      <w:r>
        <w:rPr>
          <w:rFonts w:hint="eastAsia" w:ascii="仿宋" w:hAnsi="仿宋" w:eastAsia="仿宋" w:cs="仿宋"/>
          <w:sz w:val="24"/>
        </w:rPr>
        <w:t>7、货物运输及安装过程中，如造成乙方工作人员、甲方及第三方的人身伤害及财产损失的，由乙方承担全部责任。若造成甲方承担责任的，甲方有权向乙方追偿直接及间接损失。</w:t>
      </w:r>
    </w:p>
    <w:p>
      <w:pPr>
        <w:pStyle w:val="91"/>
        <w:rPr>
          <w:rFonts w:ascii="仿宋" w:hAnsi="仿宋" w:eastAsia="仿宋" w:cs="仿宋"/>
          <w:sz w:val="24"/>
        </w:rPr>
      </w:pPr>
    </w:p>
    <w:p>
      <w:pPr>
        <w:pStyle w:val="91"/>
        <w:rPr>
          <w:rFonts w:ascii="仿宋" w:hAnsi="仿宋" w:eastAsia="仿宋" w:cs="仿宋"/>
          <w:sz w:val="24"/>
        </w:rPr>
      </w:pPr>
      <w:r>
        <w:rPr>
          <w:rFonts w:hint="eastAsia" w:ascii="仿宋" w:hAnsi="仿宋" w:eastAsia="仿宋" w:cs="仿宋"/>
          <w:sz w:val="24"/>
        </w:rPr>
        <w:t>五、付款方式</w:t>
      </w:r>
    </w:p>
    <w:p>
      <w:pPr>
        <w:pStyle w:val="91"/>
        <w:rPr>
          <w:rFonts w:ascii="仿宋" w:hAnsi="仿宋" w:eastAsia="仿宋" w:cs="仿宋"/>
          <w:sz w:val="24"/>
        </w:rPr>
      </w:pPr>
      <w:r>
        <w:rPr>
          <w:rFonts w:hint="eastAsia" w:ascii="仿宋" w:hAnsi="仿宋" w:eastAsia="仿宋" w:cs="仿宋"/>
          <w:sz w:val="24"/>
        </w:rPr>
        <w:t>1、中标通知书发放后，政府采购合同签订前，乙方支付合同总金额的    即人民币大写：                  ,作为履约保证金；质保期满无质量问题，甲方无息退还履约保证金。</w:t>
      </w:r>
    </w:p>
    <w:p>
      <w:pPr>
        <w:pStyle w:val="91"/>
        <w:rPr>
          <w:rFonts w:ascii="仿宋" w:hAnsi="仿宋" w:eastAsia="仿宋" w:cs="仿宋"/>
          <w:sz w:val="24"/>
        </w:rPr>
      </w:pPr>
      <w:r>
        <w:rPr>
          <w:rFonts w:hint="eastAsia" w:ascii="仿宋" w:hAnsi="仿宋" w:eastAsia="仿宋" w:cs="仿宋"/>
          <w:sz w:val="24"/>
        </w:rPr>
        <w:t>2、货物安装、调试验收合格后甲方按照医院流程支付合同总金额的     即人民币大写：                       。</w:t>
      </w:r>
    </w:p>
    <w:p>
      <w:pPr>
        <w:pStyle w:val="91"/>
        <w:rPr>
          <w:rFonts w:ascii="仿宋" w:hAnsi="仿宋" w:eastAsia="仿宋" w:cs="仿宋"/>
          <w:sz w:val="24"/>
        </w:rPr>
      </w:pPr>
      <w:r>
        <w:rPr>
          <w:rFonts w:hint="eastAsia" w:ascii="仿宋" w:hAnsi="仿宋" w:eastAsia="仿宋" w:cs="仿宋"/>
          <w:sz w:val="24"/>
        </w:rPr>
        <w:t>六、售后服务</w:t>
      </w:r>
    </w:p>
    <w:p>
      <w:pPr>
        <w:pStyle w:val="91"/>
        <w:rPr>
          <w:rFonts w:ascii="仿宋" w:hAnsi="仿宋" w:eastAsia="仿宋" w:cs="仿宋"/>
          <w:sz w:val="24"/>
        </w:rPr>
      </w:pPr>
      <w:r>
        <w:rPr>
          <w:rFonts w:hint="eastAsia" w:ascii="仿宋" w:hAnsi="仿宋" w:eastAsia="仿宋" w:cs="仿宋"/>
          <w:sz w:val="24"/>
        </w:rPr>
        <w:t>1、质保期为验收合格后    年，质保期内出现质量问题，乙方在接到通知后2小时内响应到场，一般故障到达现场4小时内解决问题，关键设备故障在24小时内更换备品备件，其他设备故障在3日内进行更换或维修，并承担修理调换的费用；如货物经乙方     次维修仍不能达到本合同约定的质量标准，视作乙方未能按时交货，甲方有权退货并追究乙方的违约责任。货到现场后由于甲方保管不当造成的问题，乙方亦应负责修复，但费用由甲方负担。</w:t>
      </w:r>
    </w:p>
    <w:p>
      <w:pPr>
        <w:pStyle w:val="91"/>
        <w:rPr>
          <w:rFonts w:ascii="仿宋" w:hAnsi="仿宋" w:eastAsia="仿宋" w:cs="仿宋"/>
          <w:sz w:val="24"/>
        </w:rPr>
      </w:pPr>
      <w:r>
        <w:rPr>
          <w:rFonts w:hint="eastAsia" w:ascii="仿宋" w:hAnsi="仿宋" w:eastAsia="仿宋" w:cs="仿宋"/>
          <w:sz w:val="24"/>
        </w:rPr>
        <w:t>2、乙方须指派专人负责与甲方联系售后服务事宜。 </w:t>
      </w:r>
    </w:p>
    <w:p>
      <w:pPr>
        <w:pStyle w:val="91"/>
        <w:rPr>
          <w:rFonts w:ascii="仿宋" w:hAnsi="仿宋" w:eastAsia="仿宋" w:cs="仿宋"/>
          <w:sz w:val="24"/>
        </w:rPr>
      </w:pPr>
      <w:r>
        <w:rPr>
          <w:rFonts w:hint="eastAsia" w:ascii="仿宋" w:hAnsi="仿宋" w:eastAsia="仿宋" w:cs="仿宋"/>
          <w:sz w:val="24"/>
        </w:rPr>
        <w:t>七、违约责任</w:t>
      </w:r>
    </w:p>
    <w:p>
      <w:pPr>
        <w:pStyle w:val="91"/>
        <w:rPr>
          <w:rFonts w:ascii="仿宋" w:hAnsi="仿宋" w:eastAsia="仿宋" w:cs="仿宋"/>
          <w:sz w:val="24"/>
        </w:rPr>
      </w:pPr>
      <w:r>
        <w:rPr>
          <w:rFonts w:hint="eastAsia" w:ascii="仿宋" w:hAnsi="仿宋" w:eastAsia="仿宋" w:cs="仿宋"/>
          <w:sz w:val="24"/>
        </w:rPr>
        <w:t>1、乙方应当按照本合同约定安装完毕，每逾期一日，乙方应向甲方支付合同总价的      /天作为违约金。若逾期超过15日的，甲方有权解除合同，并有权要求乙方按照合同总价20%支付违约金。</w:t>
      </w:r>
    </w:p>
    <w:p>
      <w:pPr>
        <w:pStyle w:val="91"/>
        <w:rPr>
          <w:rFonts w:ascii="仿宋" w:hAnsi="仿宋" w:eastAsia="仿宋" w:cs="仿宋"/>
          <w:sz w:val="24"/>
        </w:rPr>
      </w:pPr>
      <w:r>
        <w:rPr>
          <w:rFonts w:hint="eastAsia" w:ascii="仿宋" w:hAnsi="仿宋" w:eastAsia="仿宋" w:cs="仿宋"/>
          <w:sz w:val="24"/>
        </w:rPr>
        <w:t>2、乙方未能及时履行维修义务，每出现一次违约情况，应向甲方按照合同总价的          支付违约金。甲方为保障医疗工作正常进行，有权另行寻找第三方进行维修，产生的相关费用及责任由乙方承担。</w:t>
      </w:r>
    </w:p>
    <w:p>
      <w:pPr>
        <w:pStyle w:val="91"/>
        <w:rPr>
          <w:rFonts w:ascii="仿宋" w:hAnsi="仿宋" w:eastAsia="仿宋" w:cs="仿宋"/>
          <w:sz w:val="24"/>
        </w:rPr>
      </w:pPr>
      <w:r>
        <w:rPr>
          <w:rFonts w:hint="eastAsia" w:ascii="仿宋" w:hAnsi="仿宋" w:eastAsia="仿宋" w:cs="仿宋"/>
          <w:sz w:val="24"/>
        </w:rPr>
        <w:t>3、乙方保证本合同设备的权利无瑕疵，包括设备所有权及知识产权等权利无瑕疵。如任何第三方经法院（或仲裁机构）裁决有权对上述设备主张权利或国家机关依法对设备进行没收查处的，乙方除应向甲方返还已收款项外，还应另按合同总价的5%向甲方支付违约金并赔偿因此给甲方造成的一切损失。</w:t>
      </w:r>
    </w:p>
    <w:p>
      <w:pPr>
        <w:pStyle w:val="91"/>
        <w:rPr>
          <w:rFonts w:ascii="仿宋" w:hAnsi="仿宋" w:eastAsia="仿宋" w:cs="仿宋"/>
          <w:sz w:val="24"/>
        </w:rPr>
      </w:pPr>
      <w:r>
        <w:rPr>
          <w:rFonts w:hint="eastAsia" w:ascii="仿宋" w:hAnsi="仿宋" w:eastAsia="仿宋" w:cs="仿宋"/>
          <w:sz w:val="24"/>
        </w:rPr>
        <w:t>4、乙方应保证所提供的设备完全符合中标文件要求。否则，甲方有权解除合同，并要求乙方按照合同总价的      支付违约金，如违约金不足以弥补甲方因此遭受的损失（包括行政处罚等）的，应当予以全额补足。</w:t>
      </w:r>
    </w:p>
    <w:p>
      <w:pPr>
        <w:pStyle w:val="91"/>
        <w:rPr>
          <w:rFonts w:ascii="仿宋" w:hAnsi="仿宋" w:eastAsia="仿宋" w:cs="仿宋"/>
          <w:sz w:val="24"/>
        </w:rPr>
      </w:pPr>
      <w:r>
        <w:rPr>
          <w:rFonts w:hint="eastAsia" w:ascii="仿宋" w:hAnsi="仿宋" w:eastAsia="仿宋" w:cs="仿宋"/>
          <w:sz w:val="24"/>
        </w:rPr>
        <w:t>5、乙方因上述违约行为偿付的违约金不足以弥补甲方损失的，还应按甲方实际经济损失足额弥补。</w:t>
      </w:r>
    </w:p>
    <w:p>
      <w:pPr>
        <w:pStyle w:val="91"/>
        <w:rPr>
          <w:rFonts w:ascii="仿宋" w:hAnsi="仿宋" w:eastAsia="仿宋" w:cs="仿宋"/>
          <w:sz w:val="24"/>
        </w:rPr>
      </w:pPr>
      <w:r>
        <w:rPr>
          <w:rFonts w:hint="eastAsia" w:ascii="仿宋" w:hAnsi="仿宋" w:eastAsia="仿宋" w:cs="仿宋"/>
          <w:sz w:val="24"/>
        </w:rPr>
        <w:t>6、乙方违反本合同其他约定，应当向甲方按照合同总价的     支付违约金，违约金不足以弥补损失的，还应按甲方实际损失足额弥补。</w:t>
      </w:r>
    </w:p>
    <w:p>
      <w:pPr>
        <w:pStyle w:val="91"/>
        <w:rPr>
          <w:rFonts w:ascii="仿宋" w:hAnsi="仿宋" w:eastAsia="仿宋" w:cs="仿宋"/>
          <w:sz w:val="24"/>
        </w:rPr>
      </w:pPr>
    </w:p>
    <w:p>
      <w:pPr>
        <w:pStyle w:val="91"/>
        <w:rPr>
          <w:rFonts w:ascii="仿宋" w:hAnsi="仿宋" w:eastAsia="仿宋" w:cs="仿宋"/>
          <w:sz w:val="24"/>
        </w:rPr>
      </w:pPr>
      <w:r>
        <w:rPr>
          <w:rFonts w:hint="eastAsia" w:ascii="仿宋" w:hAnsi="仿宋" w:eastAsia="仿宋" w:cs="仿宋"/>
          <w:sz w:val="24"/>
        </w:rPr>
        <w:t>八、争议解决办法</w:t>
      </w:r>
    </w:p>
    <w:p>
      <w:pPr>
        <w:pStyle w:val="91"/>
        <w:rPr>
          <w:rFonts w:ascii="仿宋" w:hAnsi="仿宋" w:eastAsia="仿宋" w:cs="仿宋"/>
          <w:sz w:val="24"/>
        </w:rPr>
      </w:pPr>
      <w:r>
        <w:rPr>
          <w:rFonts w:hint="eastAsia" w:ascii="仿宋" w:hAnsi="仿宋" w:eastAsia="仿宋" w:cs="仿宋"/>
          <w:sz w:val="24"/>
        </w:rPr>
        <w:t>1、因货物的质量问题发生争议，由市场监督管理部门或其指定的质量鉴定机构进行质量鉴定。货物符合标准的，鉴定费由甲方承担；货物不符合质量标准的，鉴定费由乙方承担。</w:t>
      </w:r>
    </w:p>
    <w:p>
      <w:pPr>
        <w:pStyle w:val="91"/>
        <w:rPr>
          <w:rFonts w:ascii="仿宋" w:hAnsi="仿宋" w:eastAsia="仿宋" w:cs="仿宋"/>
          <w:sz w:val="24"/>
        </w:rPr>
      </w:pPr>
      <w:r>
        <w:rPr>
          <w:rFonts w:hint="eastAsia" w:ascii="仿宋" w:hAnsi="仿宋" w:eastAsia="仿宋" w:cs="仿宋"/>
          <w:sz w:val="24"/>
        </w:rPr>
        <w:t>2、合同履行期间,若双方发生争议，可协商或由有关部门调解解决，协商或调解不成的，可向甲方所在地有管辖权的人民法院提起诉讼。</w:t>
      </w:r>
    </w:p>
    <w:p>
      <w:pPr>
        <w:pStyle w:val="91"/>
        <w:rPr>
          <w:rFonts w:ascii="仿宋" w:hAnsi="仿宋" w:eastAsia="仿宋" w:cs="仿宋"/>
          <w:sz w:val="24"/>
        </w:rPr>
      </w:pPr>
      <w:r>
        <w:rPr>
          <w:rFonts w:hint="eastAsia" w:ascii="仿宋" w:hAnsi="仿宋" w:eastAsia="仿宋" w:cs="仿宋"/>
          <w:sz w:val="24"/>
        </w:rPr>
        <w:t>九、其他</w:t>
      </w:r>
    </w:p>
    <w:p>
      <w:pPr>
        <w:pStyle w:val="91"/>
        <w:rPr>
          <w:rFonts w:ascii="仿宋" w:hAnsi="仿宋" w:eastAsia="仿宋" w:cs="仿宋"/>
          <w:sz w:val="24"/>
        </w:rPr>
      </w:pPr>
      <w:r>
        <w:rPr>
          <w:rFonts w:hint="eastAsia" w:ascii="仿宋" w:hAnsi="仿宋" w:eastAsia="仿宋" w:cs="仿宋"/>
          <w:sz w:val="24"/>
        </w:rPr>
        <w:t>1、如有未尽事宜，由双方依法订立补充合同，补充合同与本合同具有同等法律效力。</w:t>
      </w:r>
    </w:p>
    <w:p>
      <w:pPr>
        <w:pStyle w:val="91"/>
        <w:rPr>
          <w:rFonts w:ascii="仿宋" w:hAnsi="仿宋" w:eastAsia="仿宋" w:cs="仿宋"/>
          <w:sz w:val="24"/>
        </w:rPr>
      </w:pPr>
      <w:r>
        <w:rPr>
          <w:rFonts w:hint="eastAsia" w:ascii="仿宋" w:hAnsi="仿宋" w:eastAsia="仿宋" w:cs="仿宋"/>
          <w:sz w:val="24"/>
        </w:rPr>
        <w:t>2、若本项目的《招标文件》、《投标文件》与本合同存在不一致的情况，以有利于甲方的解释为准。</w:t>
      </w:r>
    </w:p>
    <w:p>
      <w:pPr>
        <w:pStyle w:val="91"/>
        <w:rPr>
          <w:rFonts w:ascii="仿宋" w:hAnsi="仿宋" w:eastAsia="仿宋" w:cs="仿宋"/>
          <w:sz w:val="24"/>
        </w:rPr>
      </w:pPr>
      <w:r>
        <w:rPr>
          <w:rFonts w:hint="eastAsia" w:ascii="仿宋" w:hAnsi="仿宋" w:eastAsia="仿宋" w:cs="仿宋"/>
          <w:sz w:val="24"/>
        </w:rPr>
        <w:t>3、本合同一式七份，甲方执五份，乙方执两份，经双方签字并盖章之日起生效。</w:t>
      </w:r>
    </w:p>
    <w:p>
      <w:pPr>
        <w:pStyle w:val="91"/>
        <w:rPr>
          <w:rFonts w:ascii="仿宋" w:hAnsi="仿宋" w:eastAsia="仿宋" w:cs="仿宋"/>
          <w:sz w:val="24"/>
        </w:rPr>
      </w:pPr>
    </w:p>
    <w:p>
      <w:pPr>
        <w:pStyle w:val="91"/>
        <w:rPr>
          <w:rFonts w:ascii="仿宋" w:hAnsi="仿宋" w:eastAsia="仿宋" w:cs="仿宋"/>
          <w:sz w:val="24"/>
        </w:rPr>
      </w:pPr>
    </w:p>
    <w:p>
      <w:pPr>
        <w:pStyle w:val="91"/>
        <w:rPr>
          <w:rFonts w:ascii="仿宋" w:hAnsi="仿宋" w:eastAsia="仿宋" w:cs="仿宋"/>
          <w:sz w:val="24"/>
        </w:rPr>
      </w:pPr>
    </w:p>
    <w:p>
      <w:pPr>
        <w:pStyle w:val="91"/>
        <w:rPr>
          <w:rFonts w:ascii="仿宋" w:hAnsi="仿宋" w:eastAsia="仿宋" w:cs="仿宋"/>
          <w:sz w:val="24"/>
        </w:rPr>
      </w:pPr>
    </w:p>
    <w:p>
      <w:pPr>
        <w:pStyle w:val="91"/>
        <w:rPr>
          <w:rFonts w:ascii="仿宋" w:hAnsi="仿宋" w:eastAsia="仿宋" w:cs="仿宋"/>
          <w:sz w:val="24"/>
        </w:rPr>
      </w:pPr>
      <w:r>
        <w:rPr>
          <w:rFonts w:hint="eastAsia" w:ascii="仿宋" w:hAnsi="仿宋" w:eastAsia="仿宋" w:cs="仿宋"/>
          <w:sz w:val="24"/>
        </w:rPr>
        <w:t xml:space="preserve">甲方：                                  乙方：                        </w:t>
      </w:r>
    </w:p>
    <w:p>
      <w:pPr>
        <w:pStyle w:val="91"/>
        <w:rPr>
          <w:rFonts w:ascii="仿宋" w:hAnsi="仿宋" w:eastAsia="仿宋" w:cs="仿宋"/>
          <w:sz w:val="24"/>
        </w:rPr>
      </w:pPr>
    </w:p>
    <w:p>
      <w:pPr>
        <w:pStyle w:val="91"/>
        <w:rPr>
          <w:rFonts w:ascii="仿宋" w:hAnsi="仿宋" w:eastAsia="仿宋" w:cs="仿宋"/>
          <w:sz w:val="24"/>
        </w:rPr>
      </w:pPr>
      <w:r>
        <w:rPr>
          <w:rFonts w:hint="eastAsia" w:ascii="仿宋" w:hAnsi="仿宋" w:eastAsia="仿宋" w:cs="仿宋"/>
          <w:sz w:val="24"/>
        </w:rPr>
        <w:t>法定代表人（授权代表）：                法定代表人（授权代表）：</w:t>
      </w:r>
    </w:p>
    <w:p>
      <w:pPr>
        <w:pStyle w:val="91"/>
        <w:rPr>
          <w:rFonts w:ascii="仿宋" w:hAnsi="仿宋" w:eastAsia="仿宋" w:cs="仿宋"/>
          <w:sz w:val="24"/>
        </w:rPr>
      </w:pPr>
    </w:p>
    <w:p>
      <w:pPr>
        <w:pStyle w:val="91"/>
        <w:rPr>
          <w:rFonts w:ascii="仿宋" w:hAnsi="仿宋" w:eastAsia="仿宋" w:cs="仿宋"/>
          <w:sz w:val="24"/>
        </w:rPr>
      </w:pPr>
    </w:p>
    <w:p>
      <w:pPr>
        <w:pStyle w:val="91"/>
        <w:rPr>
          <w:rFonts w:ascii="仿宋" w:hAnsi="仿宋" w:eastAsia="仿宋" w:cs="仿宋"/>
          <w:sz w:val="24"/>
        </w:rPr>
      </w:pPr>
      <w:r>
        <w:rPr>
          <w:rFonts w:hint="eastAsia" w:ascii="仿宋" w:hAnsi="仿宋" w:eastAsia="仿宋" w:cs="仿宋"/>
          <w:sz w:val="24"/>
        </w:rPr>
        <w:t>地    址：                         地    址：</w:t>
      </w:r>
    </w:p>
    <w:p>
      <w:pPr>
        <w:pStyle w:val="91"/>
        <w:rPr>
          <w:rFonts w:ascii="仿宋" w:hAnsi="仿宋" w:eastAsia="仿宋" w:cs="仿宋"/>
          <w:sz w:val="24"/>
        </w:rPr>
      </w:pPr>
      <w:r>
        <w:rPr>
          <w:rFonts w:hint="eastAsia" w:ascii="仿宋" w:hAnsi="仿宋" w:eastAsia="仿宋" w:cs="仿宋"/>
          <w:sz w:val="24"/>
        </w:rPr>
        <w:t>开户银行：                         开户银行：</w:t>
      </w:r>
    </w:p>
    <w:p>
      <w:pPr>
        <w:pStyle w:val="91"/>
        <w:rPr>
          <w:rFonts w:ascii="仿宋" w:hAnsi="仿宋" w:eastAsia="仿宋" w:cs="仿宋"/>
          <w:sz w:val="24"/>
        </w:rPr>
      </w:pPr>
      <w:r>
        <w:rPr>
          <w:rFonts w:hint="eastAsia" w:ascii="仿宋" w:hAnsi="仿宋" w:eastAsia="仿宋" w:cs="仿宋"/>
          <w:sz w:val="24"/>
        </w:rPr>
        <w:t>账号：                             账号：</w:t>
      </w:r>
    </w:p>
    <w:p>
      <w:pPr>
        <w:pStyle w:val="91"/>
        <w:rPr>
          <w:rFonts w:ascii="仿宋" w:hAnsi="仿宋" w:eastAsia="仿宋" w:cs="仿宋"/>
          <w:sz w:val="24"/>
        </w:rPr>
      </w:pPr>
      <w:r>
        <w:rPr>
          <w:rFonts w:hint="eastAsia" w:ascii="仿宋" w:hAnsi="仿宋" w:eastAsia="仿宋" w:cs="仿宋"/>
          <w:sz w:val="24"/>
        </w:rPr>
        <w:t>电    话：                         电    话：</w:t>
      </w:r>
    </w:p>
    <w:p>
      <w:pPr>
        <w:pStyle w:val="91"/>
        <w:rPr>
          <w:rFonts w:ascii="仿宋" w:hAnsi="仿宋" w:eastAsia="仿宋" w:cs="仿宋"/>
          <w:sz w:val="24"/>
        </w:rPr>
      </w:pPr>
      <w:r>
        <w:rPr>
          <w:rFonts w:hint="eastAsia" w:ascii="仿宋" w:hAnsi="仿宋" w:eastAsia="仿宋" w:cs="仿宋"/>
          <w:sz w:val="24"/>
        </w:rPr>
        <w:t>传    真：                         传    真：</w:t>
      </w:r>
    </w:p>
    <w:p>
      <w:pPr>
        <w:pStyle w:val="91"/>
        <w:rPr>
          <w:rFonts w:ascii="仿宋" w:hAnsi="仿宋" w:eastAsia="仿宋" w:cs="仿宋"/>
          <w:sz w:val="24"/>
        </w:rPr>
      </w:pPr>
      <w:r>
        <w:rPr>
          <w:rFonts w:hint="eastAsia" w:ascii="仿宋" w:hAnsi="仿宋" w:eastAsia="仿宋" w:cs="仿宋"/>
          <w:sz w:val="24"/>
        </w:rPr>
        <w:t xml:space="preserve">签约日期：  年  月  日 </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 xml:space="preserve">    签约日期：  年  月  日</w:t>
      </w:r>
    </w:p>
    <w:p/>
    <w:p/>
    <w:p/>
    <w:p/>
    <w:bookmarkEnd w:id="273"/>
    <w:p>
      <w:pPr>
        <w:rPr>
          <w:rFonts w:ascii="仿宋" w:hAnsi="仿宋" w:cs="仿宋"/>
          <w:sz w:val="28"/>
          <w:szCs w:val="28"/>
        </w:rPr>
      </w:pPr>
      <w:bookmarkStart w:id="385" w:name="_Toc86702037"/>
      <w:r>
        <w:rPr>
          <w:rFonts w:hint="eastAsia" w:ascii="仿宋" w:hAnsi="仿宋" w:cs="仿宋"/>
          <w:sz w:val="28"/>
          <w:szCs w:val="28"/>
        </w:rPr>
        <w:br w:type="page"/>
      </w:r>
    </w:p>
    <w:p>
      <w:pPr>
        <w:pStyle w:val="4"/>
        <w:spacing w:line="240" w:lineRule="auto"/>
        <w:rPr>
          <w:rFonts w:ascii="仿宋" w:hAnsi="仿宋"/>
        </w:rPr>
      </w:pPr>
      <w:r>
        <w:rPr>
          <w:rFonts w:hint="eastAsia" w:ascii="仿宋" w:hAnsi="仿宋" w:cs="仿宋"/>
          <w:sz w:val="28"/>
          <w:szCs w:val="28"/>
        </w:rPr>
        <w:t>附件一：《四川省财政厅关于推进四川省政府采购供应商信用融资工作的通知》（川财采〔2018〕123号）</w:t>
      </w:r>
      <w:bookmarkEnd w:id="385"/>
    </w:p>
    <w:p>
      <w:pPr>
        <w:rPr>
          <w:rFonts w:ascii="仿宋" w:hAnsi="仿宋"/>
        </w:rPr>
      </w:pPr>
      <w:r>
        <w:rPr>
          <w:rFonts w:ascii="仿宋" w:hAnsi="仿宋"/>
        </w:rPr>
        <w:drawing>
          <wp:inline distT="0" distB="0" distL="0" distR="0">
            <wp:extent cx="5760085" cy="7343775"/>
            <wp:effectExtent l="0" t="0" r="5715" b="9525"/>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4">
                      <a:extLst>
                        <a:ext uri="{28A0092B-C50C-407E-A947-70E740481C1C}">
                          <a14:useLocalDpi xmlns:a14="http://schemas.microsoft.com/office/drawing/2010/main" val="0"/>
                        </a:ext>
                      </a:extLst>
                    </a:blip>
                    <a:srcRect t="10262"/>
                    <a:stretch>
                      <a:fillRect/>
                    </a:stretch>
                  </pic:blipFill>
                  <pic:spPr>
                    <a:xfrm>
                      <a:off x="0" y="0"/>
                      <a:ext cx="5760085" cy="7343775"/>
                    </a:xfrm>
                    <a:prstGeom prst="rect">
                      <a:avLst/>
                    </a:prstGeom>
                    <a:noFill/>
                    <a:ln>
                      <a:noFill/>
                    </a:ln>
                  </pic:spPr>
                </pic:pic>
              </a:graphicData>
            </a:graphic>
          </wp:inline>
        </w:drawing>
      </w:r>
    </w:p>
    <w:p>
      <w:pPr>
        <w:rPr>
          <w:rFonts w:ascii="仿宋" w:hAnsi="仿宋"/>
        </w:rPr>
      </w:pPr>
      <w:r>
        <w:rPr>
          <w:rFonts w:ascii="仿宋" w:hAnsi="仿宋"/>
        </w:rPr>
        <w:drawing>
          <wp:inline distT="0" distB="0" distL="0" distR="0">
            <wp:extent cx="5760085" cy="8083550"/>
            <wp:effectExtent l="0" t="0" r="5715"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60085" cy="8083550"/>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760085" cy="7986395"/>
            <wp:effectExtent l="0" t="0" r="5715" b="1905"/>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60085" cy="7986395"/>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760085" cy="8051165"/>
            <wp:effectExtent l="0" t="0" r="5715" b="63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60085" cy="8051165"/>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760085" cy="7830820"/>
            <wp:effectExtent l="0" t="0" r="5715" b="508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60085" cy="7830820"/>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760085" cy="8027670"/>
            <wp:effectExtent l="0" t="0" r="5715" b="11430"/>
            <wp:docPr id="28" name="图片 28"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DingTalk\18198513_v2\ImageFiles\65\lALPDgQ9qzkb_mnNA3zNAoA_640_89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60085" cy="8027670"/>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760085" cy="8105775"/>
            <wp:effectExtent l="0" t="0" r="5715" b="9525"/>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60085" cy="8105775"/>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760085" cy="8100060"/>
            <wp:effectExtent l="0" t="0" r="5715" b="254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60085" cy="8100060"/>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760085" cy="7842885"/>
            <wp:effectExtent l="0" t="0" r="5715" b="571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760085" cy="7842885"/>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760085" cy="7948295"/>
            <wp:effectExtent l="0" t="0" r="5715" b="1905"/>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760085" cy="7948295"/>
                    </a:xfrm>
                    <a:prstGeom prst="rect">
                      <a:avLst/>
                    </a:prstGeom>
                    <a:noFill/>
                    <a:ln>
                      <a:noFill/>
                    </a:ln>
                  </pic:spPr>
                </pic:pic>
              </a:graphicData>
            </a:graphic>
          </wp:inline>
        </w:drawing>
      </w:r>
      <w:r>
        <w:rPr>
          <w:rFonts w:ascii="仿宋" w:hAnsi="仿宋"/>
        </w:rPr>
        <w:drawing>
          <wp:inline distT="0" distB="0" distL="0" distR="0">
            <wp:extent cx="5760085" cy="8036560"/>
            <wp:effectExtent l="0" t="0" r="5715" b="254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760085" cy="8036560"/>
                    </a:xfrm>
                    <a:prstGeom prst="rect">
                      <a:avLst/>
                    </a:prstGeom>
                    <a:noFill/>
                    <a:ln>
                      <a:noFill/>
                    </a:ln>
                  </pic:spPr>
                </pic:pic>
              </a:graphicData>
            </a:graphic>
          </wp:inline>
        </w:drawing>
      </w:r>
    </w:p>
    <w:p>
      <w:pPr>
        <w:rPr>
          <w:rFonts w:ascii="仿宋" w:hAnsi="仿宋"/>
          <w:b/>
          <w:sz w:val="32"/>
          <w:szCs w:val="32"/>
        </w:rPr>
      </w:pPr>
      <w:r>
        <w:rPr>
          <w:rFonts w:hint="eastAsia" w:ascii="仿宋" w:hAnsi="仿宋"/>
          <w:b/>
          <w:sz w:val="32"/>
          <w:szCs w:val="32"/>
        </w:rPr>
        <w:br w:type="page"/>
      </w:r>
    </w:p>
    <w:p>
      <w:pPr>
        <w:pStyle w:val="4"/>
        <w:rPr>
          <w:rFonts w:ascii="仿宋" w:hAnsi="仿宋" w:cs="仿宋"/>
          <w:sz w:val="28"/>
          <w:szCs w:val="28"/>
        </w:rPr>
      </w:pPr>
      <w:bookmarkStart w:id="386" w:name="_Toc86702038"/>
      <w:r>
        <w:rPr>
          <w:rFonts w:hint="eastAsia" w:ascii="仿宋" w:hAnsi="仿宋" w:cs="仿宋"/>
          <w:sz w:val="28"/>
          <w:szCs w:val="28"/>
        </w:rPr>
        <w:t>附件二：《成都市中小企业政府采购信用融资暂行办法》和《成都市级支持中小企业政府采购信用融资实施方案》（成财采〔2019〕17号）</w:t>
      </w:r>
      <w:bookmarkEnd w:id="386"/>
    </w:p>
    <w:p>
      <w:pPr>
        <w:rPr>
          <w:rFonts w:ascii="仿宋" w:hAnsi="仿宋"/>
        </w:rPr>
      </w:pPr>
      <w:r>
        <w:rPr>
          <w:rFonts w:hint="eastAsia" w:ascii="仿宋" w:hAnsi="仿宋"/>
        </w:rPr>
        <w:drawing>
          <wp:inline distT="0" distB="0" distL="0" distR="0">
            <wp:extent cx="5760085" cy="7353935"/>
            <wp:effectExtent l="0" t="0" r="5715" b="120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cstate="print">
                      <a:extLst>
                        <a:ext uri="{28A0092B-C50C-407E-A947-70E740481C1C}">
                          <a14:useLocalDpi xmlns:a14="http://schemas.microsoft.com/office/drawing/2010/main" val="0"/>
                        </a:ext>
                      </a:extLst>
                    </a:blip>
                    <a:srcRect b="245"/>
                    <a:stretch>
                      <a:fillRect/>
                    </a:stretch>
                  </pic:blipFill>
                  <pic:spPr>
                    <a:xfrm>
                      <a:off x="0" y="0"/>
                      <a:ext cx="5760085" cy="7353935"/>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760085" cy="8151495"/>
            <wp:effectExtent l="0" t="0" r="5715"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085" cy="8151495"/>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760085" cy="7443470"/>
            <wp:effectExtent l="0" t="0" r="5715"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085" cy="7443470"/>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760085" cy="8151495"/>
            <wp:effectExtent l="0" t="0" r="5715"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085" cy="8151495"/>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760085" cy="7473950"/>
            <wp:effectExtent l="0" t="0" r="5715"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085" cy="7473950"/>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760085" cy="8150860"/>
            <wp:effectExtent l="0" t="0" r="5715"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085" cy="8150860"/>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760085" cy="7769225"/>
            <wp:effectExtent l="0" t="0" r="5715"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085" cy="7769225"/>
                    </a:xfrm>
                    <a:prstGeom prst="rect">
                      <a:avLst/>
                    </a:prstGeom>
                  </pic:spPr>
                </pic:pic>
              </a:graphicData>
            </a:graphic>
          </wp:inline>
        </w:drawing>
      </w:r>
    </w:p>
    <w:p>
      <w:pPr>
        <w:rPr>
          <w:rFonts w:ascii="仿宋" w:hAnsi="仿宋"/>
        </w:rPr>
      </w:pPr>
      <w:r>
        <w:rPr>
          <w:rFonts w:hint="eastAsia" w:ascii="仿宋" w:hAnsi="仿宋"/>
        </w:rPr>
        <w:drawing>
          <wp:inline distT="0" distB="0" distL="0" distR="0">
            <wp:extent cx="5760085" cy="8138160"/>
            <wp:effectExtent l="0" t="0" r="5715"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085" cy="8138160"/>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760085" cy="7531735"/>
            <wp:effectExtent l="0" t="0" r="5715" b="1206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085" cy="7531735"/>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760085" cy="8151495"/>
            <wp:effectExtent l="0" t="0" r="5715"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085" cy="8151495"/>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760085" cy="7571740"/>
            <wp:effectExtent l="0" t="0" r="5715" b="1016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085" cy="7571740"/>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760085" cy="8137525"/>
            <wp:effectExtent l="0" t="0" r="5715"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085" cy="8137525"/>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760085" cy="7416800"/>
            <wp:effectExtent l="0" t="0" r="571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085" cy="7416800"/>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760085" cy="8151495"/>
            <wp:effectExtent l="0" t="0" r="5715"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085" cy="8151495"/>
                    </a:xfrm>
                    <a:prstGeom prst="rect">
                      <a:avLst/>
                    </a:prstGeom>
                  </pic:spPr>
                </pic:pic>
              </a:graphicData>
            </a:graphic>
          </wp:inline>
        </w:drawing>
      </w:r>
    </w:p>
    <w:p>
      <w:pPr>
        <w:rPr>
          <w:rFonts w:ascii="仿宋" w:hAnsi="仿宋"/>
        </w:rPr>
      </w:pPr>
    </w:p>
    <w:p>
      <w:pPr>
        <w:rPr>
          <w:rFonts w:ascii="仿宋" w:hAnsi="仿宋"/>
        </w:rPr>
      </w:pPr>
    </w:p>
    <w:p>
      <w:pPr>
        <w:rPr>
          <w:rFonts w:ascii="仿宋" w:hAnsi="仿宋"/>
        </w:rPr>
      </w:pPr>
      <w:r>
        <w:rPr>
          <w:rFonts w:hint="eastAsia" w:ascii="仿宋" w:hAnsi="仿宋"/>
        </w:rPr>
        <w:drawing>
          <wp:inline distT="0" distB="0" distL="0" distR="0">
            <wp:extent cx="5760085" cy="7200265"/>
            <wp:effectExtent l="0" t="0" r="571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085" cy="7200265"/>
                    </a:xfrm>
                    <a:prstGeom prst="rect">
                      <a:avLst/>
                    </a:prstGeom>
                  </pic:spPr>
                </pic:pic>
              </a:graphicData>
            </a:graphic>
          </wp:inline>
        </w:drawing>
      </w:r>
    </w:p>
    <w:p>
      <w:pPr>
        <w:pStyle w:val="6"/>
        <w:ind w:firstLine="0"/>
        <w:rPr>
          <w:rFonts w:ascii="仿宋" w:hAnsi="仿宋"/>
        </w:rPr>
      </w:pPr>
    </w:p>
    <w:p>
      <w:pPr>
        <w:pStyle w:val="6"/>
        <w:ind w:firstLine="0"/>
        <w:rPr>
          <w:rFonts w:ascii="仿宋" w:hAnsi="仿宋"/>
        </w:rPr>
      </w:pPr>
    </w:p>
    <w:p>
      <w:pPr>
        <w:pStyle w:val="6"/>
        <w:ind w:firstLine="0"/>
        <w:rPr>
          <w:rFonts w:ascii="仿宋" w:hAnsi="仿宋"/>
        </w:rPr>
      </w:pPr>
    </w:p>
    <w:p>
      <w:pPr>
        <w:pStyle w:val="4"/>
        <w:rPr>
          <w:rFonts w:ascii="仿宋" w:hAnsi="仿宋" w:cs="仿宋"/>
          <w:sz w:val="28"/>
          <w:szCs w:val="28"/>
        </w:rPr>
      </w:pPr>
      <w:bookmarkStart w:id="387" w:name="_Toc86702039"/>
      <w:r>
        <w:rPr>
          <w:rFonts w:hint="eastAsia" w:ascii="仿宋" w:hAnsi="仿宋" w:cs="仿宋"/>
          <w:sz w:val="28"/>
          <w:szCs w:val="28"/>
        </w:rPr>
        <w:t>附件三：《成都市财政局关于增补“蓉采贷”政策合作银行及做好相关工作的通知》（成财采〔2020〕20号）</w:t>
      </w:r>
      <w:bookmarkEnd w:id="387"/>
    </w:p>
    <w:p>
      <w:pPr>
        <w:pStyle w:val="6"/>
        <w:ind w:firstLine="0"/>
        <w:rPr>
          <w:rFonts w:ascii="仿宋" w:hAnsi="仿宋"/>
        </w:rPr>
      </w:pPr>
    </w:p>
    <w:p>
      <w:pPr>
        <w:rPr>
          <w:rFonts w:ascii="仿宋" w:hAnsi="仿宋"/>
        </w:rPr>
      </w:pPr>
      <w:r>
        <w:rPr>
          <w:rFonts w:ascii="仿宋" w:hAnsi="仿宋"/>
        </w:rPr>
        <w:drawing>
          <wp:inline distT="0" distB="0" distL="0" distR="0">
            <wp:extent cx="5760085" cy="7372985"/>
            <wp:effectExtent l="0" t="0" r="5715" b="571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50"/>
                    <a:stretch>
                      <a:fillRect/>
                    </a:stretch>
                  </pic:blipFill>
                  <pic:spPr>
                    <a:xfrm>
                      <a:off x="0" y="0"/>
                      <a:ext cx="5760085" cy="7372985"/>
                    </a:xfrm>
                    <a:prstGeom prst="rect">
                      <a:avLst/>
                    </a:prstGeom>
                  </pic:spPr>
                </pic:pic>
              </a:graphicData>
            </a:graphic>
          </wp:inline>
        </w:drawing>
      </w:r>
    </w:p>
    <w:p>
      <w:pPr>
        <w:rPr>
          <w:rFonts w:ascii="仿宋" w:hAnsi="仿宋"/>
        </w:rPr>
      </w:pPr>
      <w:r>
        <w:rPr>
          <w:rFonts w:ascii="仿宋" w:hAnsi="仿宋"/>
        </w:rPr>
        <w:drawing>
          <wp:inline distT="0" distB="0" distL="0" distR="0">
            <wp:extent cx="5760085" cy="8389620"/>
            <wp:effectExtent l="0" t="0" r="12065" b="1143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1"/>
                    <a:stretch>
                      <a:fillRect/>
                    </a:stretch>
                  </pic:blipFill>
                  <pic:spPr>
                    <a:xfrm>
                      <a:off x="0" y="0"/>
                      <a:ext cx="5760085" cy="8389620"/>
                    </a:xfrm>
                    <a:prstGeom prst="rect">
                      <a:avLst/>
                    </a:prstGeom>
                  </pic:spPr>
                </pic:pic>
              </a:graphicData>
            </a:graphic>
          </wp:inline>
        </w:drawing>
      </w:r>
    </w:p>
    <w:p>
      <w:pPr>
        <w:rPr>
          <w:rFonts w:ascii="仿宋" w:hAnsi="仿宋"/>
        </w:rPr>
      </w:pPr>
      <w:r>
        <w:rPr>
          <w:rFonts w:ascii="仿宋" w:hAnsi="仿宋"/>
        </w:rPr>
        <w:drawing>
          <wp:inline distT="0" distB="0" distL="0" distR="0">
            <wp:extent cx="5760085" cy="3675380"/>
            <wp:effectExtent l="0" t="0" r="12065" b="127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52"/>
                    <a:stretch>
                      <a:fillRect/>
                    </a:stretch>
                  </pic:blipFill>
                  <pic:spPr>
                    <a:xfrm>
                      <a:off x="0" y="0"/>
                      <a:ext cx="5760085" cy="3675380"/>
                    </a:xfrm>
                    <a:prstGeom prst="rect">
                      <a:avLst/>
                    </a:prstGeom>
                  </pic:spPr>
                </pic:pic>
              </a:graphicData>
            </a:graphic>
          </wp:inline>
        </w:drawing>
      </w:r>
    </w:p>
    <w:p>
      <w:pPr>
        <w:rPr>
          <w:rFonts w:ascii="仿宋" w:hAnsi="仿宋" w:cs="宋体"/>
          <w:b/>
          <w:bCs/>
          <w:szCs w:val="32"/>
        </w:rPr>
      </w:pPr>
      <w:r>
        <w:rPr>
          <w:rFonts w:hint="eastAsia" w:ascii="仿宋" w:hAnsi="仿宋" w:cs="宋体"/>
          <w:b/>
          <w:bCs/>
          <w:szCs w:val="32"/>
        </w:rPr>
        <w:br w:type="page"/>
      </w:r>
    </w:p>
    <w:p>
      <w:pPr>
        <w:pStyle w:val="4"/>
        <w:rPr>
          <w:rFonts w:ascii="仿宋" w:hAnsi="仿宋"/>
          <w:sz w:val="28"/>
          <w:szCs w:val="28"/>
        </w:rPr>
      </w:pPr>
      <w:bookmarkStart w:id="388" w:name="_Toc86702040"/>
      <w:r>
        <w:rPr>
          <w:rFonts w:hint="eastAsia" w:ascii="仿宋" w:hAnsi="仿宋"/>
          <w:sz w:val="28"/>
          <w:szCs w:val="28"/>
        </w:rPr>
        <w:t>附件四：政府采购云平台使用介绍</w:t>
      </w:r>
      <w:bookmarkEnd w:id="388"/>
    </w:p>
    <w:p>
      <w:pPr>
        <w:rPr>
          <w:rFonts w:ascii="仿宋" w:hAnsi="仿宋" w:cs="仿宋"/>
          <w:b/>
          <w:bCs/>
          <w:szCs w:val="32"/>
        </w:rPr>
      </w:pPr>
      <w:r>
        <w:rPr>
          <w:rFonts w:hint="eastAsia" w:ascii="仿宋" w:hAnsi="仿宋" w:cs="仿宋"/>
          <w:b/>
          <w:bCs/>
          <w:szCs w:val="32"/>
        </w:rPr>
        <w:t>1.输入网址：</w:t>
      </w:r>
      <w:r>
        <w:fldChar w:fldCharType="begin"/>
      </w:r>
      <w:r>
        <w:instrText xml:space="preserve"> HYPERLINK "https://www.zcygov.cn" </w:instrText>
      </w:r>
      <w:r>
        <w:fldChar w:fldCharType="separate"/>
      </w:r>
      <w:r>
        <w:rPr>
          <w:rStyle w:val="43"/>
          <w:rFonts w:hint="eastAsia" w:ascii="仿宋" w:hAnsi="仿宋" w:cs="仿宋"/>
          <w:b/>
          <w:bCs/>
          <w:color w:val="auto"/>
          <w:szCs w:val="32"/>
        </w:rPr>
        <w:t>https://www.zcygov.cn</w:t>
      </w:r>
      <w:r>
        <w:rPr>
          <w:rStyle w:val="43"/>
          <w:rFonts w:hint="eastAsia" w:ascii="仿宋" w:hAnsi="仿宋" w:cs="仿宋"/>
          <w:b/>
          <w:bCs/>
          <w:color w:val="auto"/>
          <w:szCs w:val="32"/>
        </w:rPr>
        <w:fldChar w:fldCharType="end"/>
      </w:r>
    </w:p>
    <w:p>
      <w:pPr>
        <w:rPr>
          <w:rFonts w:ascii="仿宋" w:hAnsi="仿宋" w:cs="仿宋"/>
          <w:b/>
          <w:bCs/>
          <w:szCs w:val="32"/>
        </w:rPr>
      </w:pPr>
      <w:r>
        <w:rPr>
          <w:rFonts w:hint="eastAsia" w:ascii="仿宋" w:hAnsi="仿宋" w:cs="仿宋"/>
          <w:b/>
          <w:bCs/>
          <w:szCs w:val="32"/>
        </w:rPr>
        <w:t>2.选择与项目对应的行政区域如：四川省-成都市-成都市本级</w:t>
      </w:r>
    </w:p>
    <w:p>
      <w:pPr>
        <w:rPr>
          <w:rFonts w:ascii="仿宋" w:hAnsi="仿宋"/>
        </w:rPr>
      </w:pPr>
      <w:r>
        <w:rPr>
          <w:rFonts w:ascii="仿宋" w:hAnsi="仿宋"/>
        </w:rPr>
        <w:drawing>
          <wp:inline distT="0" distB="0" distL="114300" distR="114300">
            <wp:extent cx="5760085" cy="3602990"/>
            <wp:effectExtent l="0" t="0" r="12065" b="1651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53"/>
                    <a:stretch>
                      <a:fillRect/>
                    </a:stretch>
                  </pic:blipFill>
                  <pic:spPr>
                    <a:xfrm>
                      <a:off x="0" y="0"/>
                      <a:ext cx="5760085" cy="3602990"/>
                    </a:xfrm>
                    <a:prstGeom prst="rect">
                      <a:avLst/>
                    </a:prstGeom>
                    <a:noFill/>
                    <a:ln>
                      <a:noFill/>
                    </a:ln>
                  </pic:spPr>
                </pic:pic>
              </a:graphicData>
            </a:graphic>
          </wp:inline>
        </w:drawing>
      </w:r>
    </w:p>
    <w:p>
      <w:pPr>
        <w:rPr>
          <w:rFonts w:ascii="仿宋" w:hAnsi="仿宋"/>
        </w:rPr>
      </w:pPr>
    </w:p>
    <w:p>
      <w:pPr>
        <w:numPr>
          <w:ilvl w:val="0"/>
          <w:numId w:val="20"/>
        </w:numPr>
        <w:rPr>
          <w:rFonts w:ascii="仿宋" w:hAnsi="仿宋" w:cs="宋体"/>
          <w:b/>
          <w:bCs/>
          <w:szCs w:val="32"/>
        </w:rPr>
      </w:pPr>
      <w:r>
        <w:rPr>
          <w:rFonts w:hint="eastAsia" w:ascii="仿宋" w:hAnsi="仿宋" w:cs="宋体"/>
          <w:b/>
          <w:bCs/>
          <w:szCs w:val="32"/>
        </w:rPr>
        <w:t>点击操作指南-供应商</w:t>
      </w:r>
    </w:p>
    <w:p>
      <w:pPr>
        <w:rPr>
          <w:rFonts w:ascii="仿宋" w:hAnsi="仿宋" w:cs="宋体"/>
          <w:b/>
          <w:bCs/>
          <w:szCs w:val="32"/>
        </w:rPr>
      </w:pPr>
      <w:r>
        <w:rPr>
          <w:rFonts w:ascii="仿宋" w:hAnsi="仿宋"/>
        </w:rPr>
        <w:drawing>
          <wp:inline distT="0" distB="0" distL="114300" distR="114300">
            <wp:extent cx="5760085" cy="2982595"/>
            <wp:effectExtent l="0" t="0" r="12065" b="8255"/>
            <wp:docPr id="1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
                    <pic:cNvPicPr>
                      <a:picLocks noChangeAspect="1"/>
                    </pic:cNvPicPr>
                  </pic:nvPicPr>
                  <pic:blipFill>
                    <a:blip r:embed="rId54"/>
                    <a:stretch>
                      <a:fillRect/>
                    </a:stretch>
                  </pic:blipFill>
                  <pic:spPr>
                    <a:xfrm>
                      <a:off x="0" y="0"/>
                      <a:ext cx="5760085" cy="2982595"/>
                    </a:xfrm>
                    <a:prstGeom prst="rect">
                      <a:avLst/>
                    </a:prstGeom>
                    <a:noFill/>
                    <a:ln>
                      <a:noFill/>
                    </a:ln>
                  </pic:spPr>
                </pic:pic>
              </a:graphicData>
            </a:graphic>
          </wp:inline>
        </w:drawing>
      </w:r>
      <w:r>
        <w:rPr>
          <w:rFonts w:ascii="仿宋" w:hAnsi="仿宋"/>
        </w:rPr>
        <w:br w:type="page"/>
      </w:r>
      <w:r>
        <w:rPr>
          <w:rFonts w:hint="eastAsia" w:ascii="仿宋" w:hAnsi="仿宋" w:cs="宋体"/>
          <w:b/>
          <w:bCs/>
          <w:szCs w:val="32"/>
        </w:rPr>
        <w:t>4.进入政采云供应商学习专题页面</w:t>
      </w:r>
    </w:p>
    <w:p>
      <w:pPr>
        <w:rPr>
          <w:rFonts w:ascii="仿宋" w:hAnsi="仿宋"/>
          <w:b/>
          <w:bCs/>
        </w:rPr>
      </w:pPr>
      <w:r>
        <w:rPr>
          <w:rFonts w:hint="eastAsia" w:ascii="仿宋" w:hAnsi="仿宋"/>
          <w:b/>
          <w:bCs/>
        </w:rPr>
        <w:t>（https://edu.zcygov.cn/luban/xxzt-chengdu-gys?utm=a0017.b1347.cl50.5.0917bc90b7bb11eb807c353645758db6）</w:t>
      </w:r>
    </w:p>
    <w:p>
      <w:pPr>
        <w:rPr>
          <w:rFonts w:ascii="仿宋" w:hAnsi="仿宋"/>
        </w:rPr>
      </w:pPr>
      <w:r>
        <w:rPr>
          <w:rFonts w:ascii="仿宋" w:hAnsi="仿宋"/>
        </w:rPr>
        <w:drawing>
          <wp:inline distT="0" distB="0" distL="114300" distR="114300">
            <wp:extent cx="5760085" cy="2867025"/>
            <wp:effectExtent l="0" t="0" r="12065" b="9525"/>
            <wp:docPr id="1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
                    <pic:cNvPicPr>
                      <a:picLocks noChangeAspect="1"/>
                    </pic:cNvPicPr>
                  </pic:nvPicPr>
                  <pic:blipFill>
                    <a:blip r:embed="rId55"/>
                    <a:stretch>
                      <a:fillRect/>
                    </a:stretch>
                  </pic:blipFill>
                  <pic:spPr>
                    <a:xfrm>
                      <a:off x="0" y="0"/>
                      <a:ext cx="5760085" cy="2867025"/>
                    </a:xfrm>
                    <a:prstGeom prst="rect">
                      <a:avLst/>
                    </a:prstGeom>
                    <a:noFill/>
                    <a:ln>
                      <a:noFill/>
                    </a:ln>
                  </pic:spPr>
                </pic:pic>
              </a:graphicData>
            </a:graphic>
          </wp:inline>
        </w:drawing>
      </w:r>
    </w:p>
    <w:p>
      <w:pPr>
        <w:rPr>
          <w:rFonts w:ascii="仿宋" w:hAnsi="仿宋" w:cs="宋体"/>
          <w:b/>
          <w:bCs/>
          <w:szCs w:val="32"/>
        </w:rPr>
      </w:pPr>
    </w:p>
    <w:p>
      <w:pPr>
        <w:rPr>
          <w:rFonts w:ascii="仿宋" w:hAnsi="仿宋" w:cs="宋体"/>
          <w:b/>
          <w:bCs/>
          <w:szCs w:val="32"/>
        </w:rPr>
      </w:pPr>
      <w:r>
        <w:rPr>
          <w:rFonts w:hint="eastAsia" w:ascii="仿宋" w:hAnsi="仿宋" w:cs="宋体"/>
          <w:b/>
          <w:bCs/>
          <w:szCs w:val="32"/>
        </w:rPr>
        <w:t>5.供应商资讯服务渠道</w:t>
      </w:r>
    </w:p>
    <w:p>
      <w:pPr>
        <w:rPr>
          <w:rFonts w:ascii="仿宋" w:hAnsi="仿宋"/>
        </w:rPr>
      </w:pPr>
      <w:r>
        <w:rPr>
          <w:rFonts w:ascii="仿宋" w:hAnsi="仿宋"/>
        </w:rPr>
        <w:drawing>
          <wp:inline distT="0" distB="0" distL="114300" distR="114300">
            <wp:extent cx="5760085" cy="2065020"/>
            <wp:effectExtent l="0" t="0" r="12065" b="1143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6"/>
                    <a:stretch>
                      <a:fillRect/>
                    </a:stretch>
                  </pic:blipFill>
                  <pic:spPr>
                    <a:xfrm>
                      <a:off x="0" y="0"/>
                      <a:ext cx="5760085" cy="2065020"/>
                    </a:xfrm>
                    <a:prstGeom prst="rect">
                      <a:avLst/>
                    </a:prstGeom>
                    <a:noFill/>
                    <a:ln>
                      <a:noFill/>
                    </a:ln>
                  </pic:spPr>
                </pic:pic>
              </a:graphicData>
            </a:graphic>
          </wp:inline>
        </w:drawing>
      </w:r>
    </w:p>
    <w:p>
      <w:pPr>
        <w:rPr>
          <w:rFonts w:ascii="仿宋" w:hAnsi="仿宋"/>
        </w:rPr>
      </w:pPr>
      <w:r>
        <w:rPr>
          <w:rFonts w:ascii="仿宋" w:hAnsi="仿宋"/>
        </w:rPr>
        <w:br w:type="page"/>
      </w:r>
      <w:r>
        <w:rPr>
          <w:rFonts w:hint="eastAsia" w:ascii="仿宋" w:hAnsi="仿宋" w:cs="宋体"/>
          <w:b/>
          <w:bCs/>
          <w:szCs w:val="32"/>
        </w:rPr>
        <w:t>6.入驻政府采购云平台（注册）</w:t>
      </w:r>
    </w:p>
    <w:p>
      <w:pPr>
        <w:rPr>
          <w:rFonts w:ascii="仿宋" w:hAnsi="仿宋"/>
        </w:rPr>
      </w:pPr>
      <w:r>
        <w:rPr>
          <w:rFonts w:ascii="仿宋" w:hAnsi="仿宋"/>
        </w:rPr>
        <w:drawing>
          <wp:inline distT="0" distB="0" distL="114300" distR="114300">
            <wp:extent cx="5760085" cy="2345055"/>
            <wp:effectExtent l="0" t="0" r="12065" b="17145"/>
            <wp:docPr id="1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5"/>
                    <pic:cNvPicPr>
                      <a:picLocks noChangeAspect="1"/>
                    </pic:cNvPicPr>
                  </pic:nvPicPr>
                  <pic:blipFill>
                    <a:blip r:embed="rId57"/>
                    <a:stretch>
                      <a:fillRect/>
                    </a:stretch>
                  </pic:blipFill>
                  <pic:spPr>
                    <a:xfrm>
                      <a:off x="0" y="0"/>
                      <a:ext cx="5760085" cy="2345055"/>
                    </a:xfrm>
                    <a:prstGeom prst="rect">
                      <a:avLst/>
                    </a:prstGeom>
                    <a:noFill/>
                    <a:ln>
                      <a:noFill/>
                    </a:ln>
                  </pic:spPr>
                </pic:pic>
              </a:graphicData>
            </a:graphic>
          </wp:inline>
        </w:drawing>
      </w:r>
    </w:p>
    <w:p>
      <w:pPr>
        <w:rPr>
          <w:rFonts w:ascii="仿宋" w:hAnsi="仿宋"/>
        </w:rPr>
      </w:pPr>
      <w:r>
        <w:rPr>
          <w:rFonts w:hint="eastAsia" w:ascii="仿宋" w:hAnsi="仿宋" w:cs="宋体"/>
          <w:b/>
          <w:bCs/>
          <w:szCs w:val="32"/>
        </w:rPr>
        <w:t>7.下载《供应商政府采购项目电子交易操作指南》</w:t>
      </w:r>
    </w:p>
    <w:p>
      <w:pPr>
        <w:rPr>
          <w:rFonts w:ascii="仿宋" w:hAnsi="仿宋"/>
        </w:rPr>
      </w:pPr>
      <w:r>
        <w:rPr>
          <w:rFonts w:ascii="仿宋" w:hAnsi="仿宋"/>
        </w:rPr>
        <w:drawing>
          <wp:inline distT="0" distB="0" distL="114300" distR="114300">
            <wp:extent cx="5760085" cy="3191510"/>
            <wp:effectExtent l="0" t="0" r="12065" b="8890"/>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pic:cNvPicPr>
                      <a:picLocks noChangeAspect="1"/>
                    </pic:cNvPicPr>
                  </pic:nvPicPr>
                  <pic:blipFill>
                    <a:blip r:embed="rId58"/>
                    <a:stretch>
                      <a:fillRect/>
                    </a:stretch>
                  </pic:blipFill>
                  <pic:spPr>
                    <a:xfrm>
                      <a:off x="0" y="0"/>
                      <a:ext cx="5760085" cy="3191510"/>
                    </a:xfrm>
                    <a:prstGeom prst="rect">
                      <a:avLst/>
                    </a:prstGeom>
                    <a:noFill/>
                    <a:ln>
                      <a:noFill/>
                    </a:ln>
                  </pic:spPr>
                </pic:pic>
              </a:graphicData>
            </a:graphic>
          </wp:inline>
        </w:drawing>
      </w:r>
    </w:p>
    <w:sectPr>
      <w:headerReference r:id="rId20" w:type="first"/>
      <w:headerReference r:id="rId18" w:type="default"/>
      <w:footerReference r:id="rId21" w:type="default"/>
      <w:headerReference r:id="rId19" w:type="even"/>
      <w:pgSz w:w="11905" w:h="16838"/>
      <w:pgMar w:top="1417" w:right="1417" w:bottom="1417" w:left="1417" w:header="284" w:footer="992" w:gutter="0"/>
      <w:cols w:space="0" w:num="1"/>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Eʩ">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等线">
    <w:panose1 w:val="02010600030101010101"/>
    <w:charset w:val="86"/>
    <w:family w:val="auto"/>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font>
  <w:font w:name="Segoe UI Emoji">
    <w:panose1 w:val="020B0502040204020203"/>
    <w:charset w:val="00"/>
    <w:family w:val="swiss"/>
    <w:pitch w:val="default"/>
    <w:sig w:usb0="00000001" w:usb1="02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方正仿宋简体">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8"/>
      </w:rPr>
    </w:pPr>
    <w:r>
      <w:fldChar w:fldCharType="begin"/>
    </w:r>
    <w:r>
      <w:rPr>
        <w:rStyle w:val="38"/>
      </w:rPr>
      <w:instrText xml:space="preserve">PAGE  </w:instrText>
    </w:r>
    <w:r>
      <w:fldChar w:fldCharType="separate"/>
    </w:r>
    <w:r>
      <w:rPr>
        <w:rStyle w:val="38"/>
      </w:rPr>
      <w:t>20</w:t>
    </w:r>
    <w:r>
      <w:fldChar w:fldCharType="end"/>
    </w:r>
  </w:p>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jc w:val="center"/>
                            <w:rPr>
                              <w:rStyle w:val="38"/>
                            </w:rPr>
                          </w:pPr>
                          <w:r>
                            <w:fldChar w:fldCharType="begin"/>
                          </w:r>
                          <w:r>
                            <w:rPr>
                              <w:rStyle w:val="38"/>
                            </w:rPr>
                            <w:instrText xml:space="preserve">PAGE  </w:instrText>
                          </w:r>
                          <w:r>
                            <w:fldChar w:fldCharType="separate"/>
                          </w:r>
                          <w:r>
                            <w:rPr>
                              <w:rStyle w:val="38"/>
                            </w:rP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pPr>
                      <w:pStyle w:val="21"/>
                      <w:jc w:val="center"/>
                      <w:rPr>
                        <w:rStyle w:val="38"/>
                      </w:rPr>
                    </w:pPr>
                    <w:r>
                      <w:fldChar w:fldCharType="begin"/>
                    </w:r>
                    <w:r>
                      <w:rPr>
                        <w:rStyle w:val="38"/>
                      </w:rPr>
                      <w:instrText xml:space="preserve">PAGE  </w:instrText>
                    </w:r>
                    <w:r>
                      <w:fldChar w:fldCharType="separate"/>
                    </w:r>
                    <w:r>
                      <w:rPr>
                        <w:rStyle w:val="38"/>
                      </w:rPr>
                      <w:t>55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8"/>
      </w:rPr>
    </w:pPr>
    <w:r>
      <w:fldChar w:fldCharType="begin"/>
    </w:r>
    <w:r>
      <w:rPr>
        <w:rStyle w:val="38"/>
      </w:rPr>
      <w:instrText xml:space="preserve">PAGE  </w:instrText>
    </w:r>
    <w:r>
      <w:fldChar w:fldCharType="separate"/>
    </w:r>
    <w:r>
      <w:rPr>
        <w:rStyle w:val="38"/>
      </w:rPr>
      <w:t>178</w:t>
    </w:r>
    <w: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276" w:lineRule="auto"/>
      <w:jc w:val="right"/>
      <w:rPr>
        <w:rFonts w:ascii="等线" w:hAnsi="等线" w:eastAsia="等线" w:cs="华文行楷"/>
        <w:b/>
        <w:bCs/>
        <w:color w:val="F28221"/>
        <w:sz w:val="20"/>
        <w:szCs w:val="28"/>
      </w:rPr>
    </w:pPr>
    <w:r>
      <w:pict>
        <v:shape id="PowerPlusWaterMarkObject1084905095" o:spid="_x0000_s4098" o:spt="136" type="#_x0000_t136" style="position:absolute;left:0pt;height:44.25pt;width:540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融汇项目管理股份有限公司" style="font-family:楷体;font-size:44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pict>
        <v:shape id="PowerPlusWaterMarkObject1084905107" o:spid="_x0000_s4107" o:spt="136" type="#_x0000_t136" style="position:absolute;left:0pt;height:44.25pt;width:540pt;mso-position-horizontal:center;mso-position-horizontal-relative:margin;mso-position-vertical:center;mso-position-vertical-relative:margin;rotation:20643840f;z-index:-251640832;mso-width-relative:page;mso-height-relative:page;" fillcolor="#C0C0C0" filled="t" stroked="f" coordsize="21600,21600" o:allowincell="f">
          <v:path/>
          <v:fill on="t" opacity="32768f" focussize="0,0"/>
          <v:stroke on="f"/>
          <v:imagedata o:title=""/>
          <o:lock v:ext="edit"/>
          <v:textpath on="t" fitshape="t" fitpath="t" trim="f" xscale="f" string="融汇项目管理股份有限公司" style="font-family:楷体;font-size:44pt;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pict>
        <v:shape id="PowerPlusWaterMarkObject1084905106" o:spid="_x0000_s4108" o:spt="136" type="#_x0000_t136" style="position:absolute;left:0pt;height:44.25pt;width:540pt;mso-position-horizontal:center;mso-position-horizontal-relative:margin;mso-position-vertical:center;mso-position-vertical-relative:margin;rotation:20643840f;z-index:-251641856;mso-width-relative:page;mso-height-relative:page;" fillcolor="#C0C0C0" filled="t" stroked="f" coordsize="21600,21600" o:allowincell="f">
          <v:path/>
          <v:fill on="t" opacity="32768f" focussize="0,0"/>
          <v:stroke on="f"/>
          <v:imagedata o:title=""/>
          <o:lock v:ext="edit"/>
          <v:textpath on="t" fitshape="t" fitpath="t" trim="f" xscale="f" string="融汇项目管理股份有限公司" style="font-family:楷体;font-size:44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pict>
        <v:shape id="PowerPlusWaterMarkObject1084905105" o:spid="_x0000_s4106" o:spt="136" type="#_x0000_t136" style="position:absolute;left:0pt;height:44.25pt;width:540pt;mso-position-horizontal:center;mso-position-horizontal-relative:margin;mso-position-vertical:center;mso-position-vertical-relative:margin;rotation:20643840f;z-index:-251642880;mso-width-relative:page;mso-height-relative:page;" fillcolor="#C0C0C0" filled="t" stroked="f" coordsize="21600,21600" o:allowincell="f">
          <v:path/>
          <v:fill on="t" opacity="32768f" focussize="0,0"/>
          <v:stroke on="f"/>
          <v:imagedata o:title=""/>
          <o:lock v:ext="edit"/>
          <v:textpath on="t" fitshape="t" fitpath="t" trim="f" xscale="f" string="融汇项目管理股份有限公司" style="font-family:楷体;font-size:44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pict>
        <v:shape id="PowerPlusWaterMarkObject1084905094" o:spid="_x0000_s4099" o:spt="136" type="#_x0000_t136" style="position:absolute;left:0pt;height:44.25pt;width:540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融汇项目管理股份有限公司" style="font-family:楷体;font-size:44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pict>
        <v:shape id="PowerPlusWaterMarkObject1084905093" o:spid="_x0000_s4097" o:spt="136" type="#_x0000_t136" style="position:absolute;left:0pt;height:44.25pt;width:540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融汇项目管理股份有限公司" style="font-family:楷体;font-size:44pt;v-text-align:center;"/>
        </v:shape>
      </w:pict>
    </w:r>
    <w:r>
      <w:rPr>
        <w:rFonts w:ascii="Calibri" w:hAnsi="Calibri"/>
        <w:sz w:val="10"/>
        <w:szCs w:val="10"/>
      </w:rPr>
      <w:drawing>
        <wp:anchor distT="0" distB="0" distL="114300" distR="114300" simplePos="0" relativeHeight="251661312" behindDoc="1" locked="0" layoutInCell="1" allowOverlap="1">
          <wp:simplePos x="0" y="0"/>
          <wp:positionH relativeFrom="column">
            <wp:posOffset>-13970</wp:posOffset>
          </wp:positionH>
          <wp:positionV relativeFrom="paragraph">
            <wp:posOffset>-69215</wp:posOffset>
          </wp:positionV>
          <wp:extent cx="2219325" cy="474980"/>
          <wp:effectExtent l="0" t="0" r="3175" b="825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2"/>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jc w:val="right"/>
    </w:pPr>
    <w:r>
      <w:pict>
        <v:shape id="PowerPlusWaterMarkObject1084905098" o:spid="_x0000_s4101" o:spt="136" type="#_x0000_t136" style="position:absolute;left:0pt;height:44.25pt;width:540pt;mso-position-horizontal:center;mso-position-horizontal-relative:margin;mso-position-vertical:center;mso-position-vertical-relative:margin;rotation:20643840f;z-index:-251648000;mso-width-relative:page;mso-height-relative:page;" fillcolor="#C0C0C0" filled="t" stroked="f" coordsize="21600,21600" o:allowincell="f">
          <v:path/>
          <v:fill on="t" opacity="32768f" focussize="0,0"/>
          <v:stroke on="f"/>
          <v:imagedata o:title=""/>
          <o:lock v:ext="edit"/>
          <v:textpath on="t" fitshape="t" fitpath="t" trim="f" xscale="f" string="融汇项目管理股份有限公司" style="font-family:楷体;font-size:44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pict>
        <v:shape id="PowerPlusWaterMarkObject1084905097" o:spid="_x0000_s4102" o:spt="136" type="#_x0000_t136" style="position:absolute;left:0pt;height:44.25pt;width:540pt;mso-position-horizontal:center;mso-position-horizontal-relative:margin;mso-position-vertical:center;mso-position-vertical-relative:margin;rotation:20643840f;z-index:-251646976;mso-width-relative:page;mso-height-relative:page;" fillcolor="#C0C0C0" filled="t" stroked="f" coordsize="21600,21600" o:allowincell="f">
          <v:path/>
          <v:fill on="t" opacity="32768f" focussize="0,0"/>
          <v:stroke on="f"/>
          <v:imagedata o:title=""/>
          <o:lock v:ext="edit"/>
          <v:textpath on="t" fitshape="t" fitpath="t" trim="f" xscale="f" string="融汇项目管理股份有限公司" style="font-family:楷体;font-size:44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pict>
        <v:shape id="PowerPlusWaterMarkObject1084905096" o:spid="_x0000_s4100" o:spt="136" type="#_x0000_t136" style="position:absolute;left:0pt;height:44.25pt;width:540pt;mso-position-horizontal:center;mso-position-horizontal-relative:margin;mso-position-vertical:center;mso-position-vertical-relative:margin;rotation:20643840f;z-index:-251649024;mso-width-relative:page;mso-height-relative:page;" fillcolor="#C0C0C0" filled="t" stroked="f" coordsize="21600,21600" o:allowincell="f">
          <v:path/>
          <v:fill on="t" opacity="32768f" focussize="0,0"/>
          <v:stroke on="f"/>
          <v:imagedata o:title=""/>
          <o:lock v:ext="edit"/>
          <v:textpath on="t" fitshape="t" fitpath="t" trim="f" xscale="f" string="融汇项目管理股份有限公司" style="font-family:楷体;font-size:44pt;v-text-align:center;"/>
        </v:shape>
      </w:pict>
    </w:r>
    <w:r>
      <w:rPr>
        <w:rFonts w:ascii="Calibri" w:hAnsi="Calibri"/>
        <w:sz w:val="10"/>
        <w:szCs w:val="10"/>
      </w:rPr>
      <w:drawing>
        <wp:anchor distT="0" distB="0" distL="114300" distR="114300" simplePos="0" relativeHeight="251662336" behindDoc="1" locked="0" layoutInCell="1" allowOverlap="1">
          <wp:simplePos x="0" y="0"/>
          <wp:positionH relativeFrom="column">
            <wp:posOffset>-13970</wp:posOffset>
          </wp:positionH>
          <wp:positionV relativeFrom="paragraph">
            <wp:posOffset>-69215</wp:posOffset>
          </wp:positionV>
          <wp:extent cx="2219325" cy="474980"/>
          <wp:effectExtent l="0" t="0" r="3175" b="825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2"/>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pict>
        <v:shape id="PowerPlusWaterMarkObject1084905101" o:spid="_x0000_s4104" o:spt="136" type="#_x0000_t136" style="position:absolute;left:0pt;height:44.25pt;width:540pt;mso-position-horizontal:center;mso-position-horizontal-relative:margin;mso-position-vertical:center;mso-position-vertical-relative:margin;rotation:20643840f;z-index:-251643904;mso-width-relative:page;mso-height-relative:page;" fillcolor="#C0C0C0" filled="t" stroked="f" coordsize="21600,21600" o:allowincell="f">
          <v:path/>
          <v:fill on="t" opacity="32768f" focussize="0,0"/>
          <v:stroke on="f"/>
          <v:imagedata o:title=""/>
          <o:lock v:ext="edit"/>
          <v:textpath on="t" fitshape="t" fitpath="t" trim="f" xscale="f" string="融汇项目管理股份有限公司" style="font-family:楷体;font-size:44pt;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pict>
        <v:shape id="PowerPlusWaterMarkObject1084905100" o:spid="_x0000_s4105" o:spt="136" type="#_x0000_t136" style="position:absolute;left:0pt;height:44.25pt;width:540pt;mso-position-horizontal:center;mso-position-horizontal-relative:margin;mso-position-vertical:center;mso-position-vertical-relative:margin;rotation:20643840f;z-index:-251644928;mso-width-relative:page;mso-height-relative:page;" fillcolor="#C0C0C0" filled="t" stroked="f" coordsize="21600,21600" o:allowincell="f">
          <v:path/>
          <v:fill on="t" opacity="32768f" focussize="0,0"/>
          <v:stroke on="f"/>
          <v:imagedata o:title=""/>
          <o:lock v:ext="edit"/>
          <v:textpath on="t" fitshape="t" fitpath="t" trim="f" xscale="f" string="融汇项目管理股份有限公司" style="font-family:楷体;font-size:44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pict>
        <v:shape id="PowerPlusWaterMarkObject1084905099" o:spid="_x0000_s4103" o:spt="136" type="#_x0000_t136" style="position:absolute;left:0pt;height:44.25pt;width:540pt;mso-position-horizontal:center;mso-position-horizontal-relative:margin;mso-position-vertical:center;mso-position-vertical-relative:margin;rotation:20643840f;z-index:-251645952;mso-width-relative:page;mso-height-relative:page;" fillcolor="#C0C0C0" filled="t" stroked="f" coordsize="21600,21600" o:allowincell="f">
          <v:path/>
          <v:fill on="t" opacity="32768f" focussize="0,0"/>
          <v:stroke on="f"/>
          <v:imagedata o:title=""/>
          <o:lock v:ext="edit"/>
          <v:textpath on="t" fitshape="t" fitpath="t" trim="f" xscale="f" string="融汇项目管理股份有限公司" style="font-family:楷体;font-size:44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160157"/>
    <w:multiLevelType w:val="multilevel"/>
    <w:tmpl w:val="8216015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9038EDA6"/>
    <w:multiLevelType w:val="singleLevel"/>
    <w:tmpl w:val="9038EDA6"/>
    <w:lvl w:ilvl="0" w:tentative="0">
      <w:start w:val="1"/>
      <w:numFmt w:val="decimal"/>
      <w:suff w:val="nothing"/>
      <w:lvlText w:val="%1、"/>
      <w:lvlJc w:val="left"/>
    </w:lvl>
  </w:abstractNum>
  <w:abstractNum w:abstractNumId="2">
    <w:nsid w:val="C7A10BDC"/>
    <w:multiLevelType w:val="singleLevel"/>
    <w:tmpl w:val="C7A10BDC"/>
    <w:lvl w:ilvl="0" w:tentative="0">
      <w:start w:val="1"/>
      <w:numFmt w:val="decimal"/>
      <w:suff w:val="nothing"/>
      <w:lvlText w:val="%1、"/>
      <w:lvlJc w:val="left"/>
    </w:lvl>
  </w:abstractNum>
  <w:abstractNum w:abstractNumId="3">
    <w:nsid w:val="062F7B99"/>
    <w:multiLevelType w:val="multilevel"/>
    <w:tmpl w:val="062F7B9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E3273BE"/>
    <w:multiLevelType w:val="singleLevel"/>
    <w:tmpl w:val="0E3273BE"/>
    <w:lvl w:ilvl="0" w:tentative="0">
      <w:start w:val="1"/>
      <w:numFmt w:val="decimal"/>
      <w:suff w:val="nothing"/>
      <w:lvlText w:val="%1、"/>
      <w:lvlJc w:val="left"/>
    </w:lvl>
  </w:abstractNum>
  <w:abstractNum w:abstractNumId="5">
    <w:nsid w:val="0E98163E"/>
    <w:multiLevelType w:val="multilevel"/>
    <w:tmpl w:val="0E98163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0EA106E"/>
    <w:multiLevelType w:val="multilevel"/>
    <w:tmpl w:val="10EA106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405380D"/>
    <w:multiLevelType w:val="multilevel"/>
    <w:tmpl w:val="1405380D"/>
    <w:lvl w:ilvl="0" w:tentative="0">
      <w:start w:val="1"/>
      <w:numFmt w:val="decimal"/>
      <w:lvlText w:val="%1)"/>
      <w:lvlJc w:val="left"/>
      <w:pPr>
        <w:ind w:left="1413"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8">
    <w:nsid w:val="1517B247"/>
    <w:multiLevelType w:val="singleLevel"/>
    <w:tmpl w:val="1517B247"/>
    <w:lvl w:ilvl="0" w:tentative="0">
      <w:start w:val="3"/>
      <w:numFmt w:val="decimal"/>
      <w:lvlText w:val="%1."/>
      <w:lvlJc w:val="left"/>
      <w:pPr>
        <w:tabs>
          <w:tab w:val="left" w:pos="312"/>
        </w:tabs>
      </w:pPr>
    </w:lvl>
  </w:abstractNum>
  <w:abstractNum w:abstractNumId="9">
    <w:nsid w:val="25450AF1"/>
    <w:multiLevelType w:val="multilevel"/>
    <w:tmpl w:val="25450AF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0C2459F"/>
    <w:multiLevelType w:val="multilevel"/>
    <w:tmpl w:val="30C2459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1804360"/>
    <w:multiLevelType w:val="multilevel"/>
    <w:tmpl w:val="31804360"/>
    <w:lvl w:ilvl="0" w:tentative="0">
      <w:start w:val="1"/>
      <w:numFmt w:val="decimal"/>
      <w:lvlText w:val="%1)"/>
      <w:lvlJc w:val="left"/>
      <w:pPr>
        <w:ind w:left="420" w:hanging="420"/>
      </w:p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4655389"/>
    <w:multiLevelType w:val="multilevel"/>
    <w:tmpl w:val="3465538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94D0436"/>
    <w:multiLevelType w:val="multilevel"/>
    <w:tmpl w:val="394D043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04F6624"/>
    <w:multiLevelType w:val="multilevel"/>
    <w:tmpl w:val="404F662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81F27BB"/>
    <w:multiLevelType w:val="singleLevel"/>
    <w:tmpl w:val="581F27BB"/>
    <w:lvl w:ilvl="0" w:tentative="0">
      <w:start w:val="1"/>
      <w:numFmt w:val="chineseCounting"/>
      <w:suff w:val="nothing"/>
      <w:lvlText w:val="%1、"/>
      <w:lvlJc w:val="left"/>
      <w:rPr>
        <w:rFonts w:hint="eastAsia"/>
      </w:rPr>
    </w:lvl>
  </w:abstractNum>
  <w:abstractNum w:abstractNumId="16">
    <w:nsid w:val="5B4E974B"/>
    <w:multiLevelType w:val="singleLevel"/>
    <w:tmpl w:val="5B4E974B"/>
    <w:lvl w:ilvl="0" w:tentative="0">
      <w:start w:val="1"/>
      <w:numFmt w:val="decimalEnclosedCircleChinese"/>
      <w:suff w:val="nothing"/>
      <w:lvlText w:val="%1　"/>
      <w:lvlJc w:val="left"/>
      <w:pPr>
        <w:ind w:left="0" w:firstLine="400"/>
      </w:pPr>
      <w:rPr>
        <w:rFonts w:hint="eastAsia"/>
        <w:b w:val="0"/>
      </w:rPr>
    </w:lvl>
  </w:abstractNum>
  <w:abstractNum w:abstractNumId="17">
    <w:nsid w:val="5B4E9790"/>
    <w:multiLevelType w:val="singleLevel"/>
    <w:tmpl w:val="5B4E9790"/>
    <w:lvl w:ilvl="0" w:tentative="0">
      <w:start w:val="1"/>
      <w:numFmt w:val="decimalEnclosedCircleChinese"/>
      <w:suff w:val="nothing"/>
      <w:lvlText w:val="%1　"/>
      <w:lvlJc w:val="left"/>
      <w:pPr>
        <w:ind w:left="0" w:firstLine="400"/>
      </w:pPr>
      <w:rPr>
        <w:rFonts w:hint="eastAsia"/>
      </w:rPr>
    </w:lvl>
  </w:abstractNum>
  <w:abstractNum w:abstractNumId="18">
    <w:nsid w:val="61889265"/>
    <w:multiLevelType w:val="singleLevel"/>
    <w:tmpl w:val="61889265"/>
    <w:lvl w:ilvl="0" w:tentative="0">
      <w:start w:val="1"/>
      <w:numFmt w:val="decimal"/>
      <w:suff w:val="nothing"/>
      <w:lvlText w:val="%1."/>
      <w:lvlJc w:val="left"/>
    </w:lvl>
  </w:abstractNum>
  <w:abstractNum w:abstractNumId="19">
    <w:nsid w:val="7E9F6F7D"/>
    <w:multiLevelType w:val="multilevel"/>
    <w:tmpl w:val="7E9F6F7D"/>
    <w:lvl w:ilvl="0" w:tentative="0">
      <w:start w:val="1"/>
      <w:numFmt w:val="japaneseCounting"/>
      <w:lvlText w:val="（%1）"/>
      <w:lvlJc w:val="left"/>
      <w:pPr>
        <w:ind w:left="1247" w:hanging="765"/>
      </w:pPr>
      <w:rPr>
        <w:rFonts w:hint="default"/>
        <w:b/>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4"/>
  </w:num>
  <w:num w:numId="2">
    <w:abstractNumId w:val="19"/>
  </w:num>
  <w:num w:numId="3">
    <w:abstractNumId w:val="16"/>
  </w:num>
  <w:num w:numId="4">
    <w:abstractNumId w:val="17"/>
  </w:num>
  <w:num w:numId="5">
    <w:abstractNumId w:val="1"/>
  </w:num>
  <w:num w:numId="6">
    <w:abstractNumId w:val="12"/>
  </w:num>
  <w:num w:numId="7">
    <w:abstractNumId w:val="10"/>
  </w:num>
  <w:num w:numId="8">
    <w:abstractNumId w:val="9"/>
  </w:num>
  <w:num w:numId="9">
    <w:abstractNumId w:val="3"/>
  </w:num>
  <w:num w:numId="10">
    <w:abstractNumId w:val="14"/>
  </w:num>
  <w:num w:numId="11">
    <w:abstractNumId w:val="5"/>
  </w:num>
  <w:num w:numId="12">
    <w:abstractNumId w:val="13"/>
  </w:num>
  <w:num w:numId="13">
    <w:abstractNumId w:val="6"/>
  </w:num>
  <w:num w:numId="14">
    <w:abstractNumId w:val="0"/>
  </w:num>
  <w:num w:numId="15">
    <w:abstractNumId w:val="11"/>
  </w:num>
  <w:num w:numId="16">
    <w:abstractNumId w:val="7"/>
  </w:num>
  <w:num w:numId="17">
    <w:abstractNumId w:val="15"/>
  </w:num>
  <w:num w:numId="18">
    <w:abstractNumId w:val="2"/>
  </w:num>
  <w:num w:numId="19">
    <w:abstractNumId w:val="18"/>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40"/>
  <w:drawingGridVerticalSpacing w:val="166"/>
  <w:noPunctuationKerning w:val="1"/>
  <w:characterSpacingControl w:val="compressPunctuation"/>
  <w:doNotValidateAgainstSchema/>
  <w:doNotDemarcateInvalidXml/>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A4"/>
    <w:rsid w:val="00002BC8"/>
    <w:rsid w:val="00004999"/>
    <w:rsid w:val="00005A08"/>
    <w:rsid w:val="00005CBA"/>
    <w:rsid w:val="00012DFD"/>
    <w:rsid w:val="00012FD5"/>
    <w:rsid w:val="00014226"/>
    <w:rsid w:val="00014D0D"/>
    <w:rsid w:val="00017C33"/>
    <w:rsid w:val="0002273E"/>
    <w:rsid w:val="00026F51"/>
    <w:rsid w:val="00027D45"/>
    <w:rsid w:val="00031280"/>
    <w:rsid w:val="000313D6"/>
    <w:rsid w:val="00034FAC"/>
    <w:rsid w:val="00041BB2"/>
    <w:rsid w:val="000466FA"/>
    <w:rsid w:val="00055426"/>
    <w:rsid w:val="000568CA"/>
    <w:rsid w:val="000600AF"/>
    <w:rsid w:val="00060876"/>
    <w:rsid w:val="00065301"/>
    <w:rsid w:val="0006721B"/>
    <w:rsid w:val="000710B4"/>
    <w:rsid w:val="0007156A"/>
    <w:rsid w:val="00071E7D"/>
    <w:rsid w:val="00074346"/>
    <w:rsid w:val="00077860"/>
    <w:rsid w:val="00077DD1"/>
    <w:rsid w:val="00077DE7"/>
    <w:rsid w:val="0008028F"/>
    <w:rsid w:val="000807B8"/>
    <w:rsid w:val="00081940"/>
    <w:rsid w:val="00081ACF"/>
    <w:rsid w:val="00081E20"/>
    <w:rsid w:val="000927C1"/>
    <w:rsid w:val="000950F5"/>
    <w:rsid w:val="000A2724"/>
    <w:rsid w:val="000B00F6"/>
    <w:rsid w:val="000B0178"/>
    <w:rsid w:val="000B56A8"/>
    <w:rsid w:val="000C0BEC"/>
    <w:rsid w:val="000C4D8B"/>
    <w:rsid w:val="000C5C74"/>
    <w:rsid w:val="000C74F3"/>
    <w:rsid w:val="000C7FC8"/>
    <w:rsid w:val="000D04AE"/>
    <w:rsid w:val="000D177A"/>
    <w:rsid w:val="000E034A"/>
    <w:rsid w:val="000E2C65"/>
    <w:rsid w:val="000F6CA2"/>
    <w:rsid w:val="001006AC"/>
    <w:rsid w:val="0010458F"/>
    <w:rsid w:val="00110C4C"/>
    <w:rsid w:val="00111127"/>
    <w:rsid w:val="00111DF3"/>
    <w:rsid w:val="001124B6"/>
    <w:rsid w:val="00116C4A"/>
    <w:rsid w:val="00120146"/>
    <w:rsid w:val="00120EDB"/>
    <w:rsid w:val="00126B9E"/>
    <w:rsid w:val="00126F6B"/>
    <w:rsid w:val="00127A61"/>
    <w:rsid w:val="00131E63"/>
    <w:rsid w:val="0013576E"/>
    <w:rsid w:val="00136A76"/>
    <w:rsid w:val="001446E8"/>
    <w:rsid w:val="00146025"/>
    <w:rsid w:val="00146049"/>
    <w:rsid w:val="00154227"/>
    <w:rsid w:val="00157B94"/>
    <w:rsid w:val="00160692"/>
    <w:rsid w:val="00160A1F"/>
    <w:rsid w:val="00160F8E"/>
    <w:rsid w:val="0016390B"/>
    <w:rsid w:val="0016410A"/>
    <w:rsid w:val="001655E5"/>
    <w:rsid w:val="001704CE"/>
    <w:rsid w:val="00172A27"/>
    <w:rsid w:val="00174428"/>
    <w:rsid w:val="001764E7"/>
    <w:rsid w:val="00176775"/>
    <w:rsid w:val="00176CF3"/>
    <w:rsid w:val="0018196F"/>
    <w:rsid w:val="00182F59"/>
    <w:rsid w:val="001864BC"/>
    <w:rsid w:val="00194284"/>
    <w:rsid w:val="001945FF"/>
    <w:rsid w:val="00194F42"/>
    <w:rsid w:val="001A6189"/>
    <w:rsid w:val="001A7E0C"/>
    <w:rsid w:val="001B1EA8"/>
    <w:rsid w:val="001B2E50"/>
    <w:rsid w:val="001B3670"/>
    <w:rsid w:val="001B37D0"/>
    <w:rsid w:val="001B543F"/>
    <w:rsid w:val="001B5975"/>
    <w:rsid w:val="001B6F9B"/>
    <w:rsid w:val="001C39DF"/>
    <w:rsid w:val="001C5545"/>
    <w:rsid w:val="001C663D"/>
    <w:rsid w:val="001C79E1"/>
    <w:rsid w:val="001D0ED4"/>
    <w:rsid w:val="001D3A0D"/>
    <w:rsid w:val="001D437B"/>
    <w:rsid w:val="001D51CC"/>
    <w:rsid w:val="001D5BC9"/>
    <w:rsid w:val="001D6D78"/>
    <w:rsid w:val="001E3D53"/>
    <w:rsid w:val="001E62E4"/>
    <w:rsid w:val="001F31C2"/>
    <w:rsid w:val="001F7923"/>
    <w:rsid w:val="0020259B"/>
    <w:rsid w:val="00204A0A"/>
    <w:rsid w:val="002052FA"/>
    <w:rsid w:val="00206BA8"/>
    <w:rsid w:val="00211169"/>
    <w:rsid w:val="002122D2"/>
    <w:rsid w:val="0021385D"/>
    <w:rsid w:val="0022010B"/>
    <w:rsid w:val="00221B29"/>
    <w:rsid w:val="0023133C"/>
    <w:rsid w:val="002313E1"/>
    <w:rsid w:val="0023173D"/>
    <w:rsid w:val="00240F5B"/>
    <w:rsid w:val="00241191"/>
    <w:rsid w:val="00243FFD"/>
    <w:rsid w:val="00244DA7"/>
    <w:rsid w:val="00245F77"/>
    <w:rsid w:val="002511B4"/>
    <w:rsid w:val="00252461"/>
    <w:rsid w:val="002530F1"/>
    <w:rsid w:val="002542DF"/>
    <w:rsid w:val="00263CF7"/>
    <w:rsid w:val="00263DA2"/>
    <w:rsid w:val="00265193"/>
    <w:rsid w:val="002658EC"/>
    <w:rsid w:val="00267D4E"/>
    <w:rsid w:val="00270DEB"/>
    <w:rsid w:val="00271CBA"/>
    <w:rsid w:val="002745D8"/>
    <w:rsid w:val="0028188C"/>
    <w:rsid w:val="00281E5A"/>
    <w:rsid w:val="0029027D"/>
    <w:rsid w:val="00290EBF"/>
    <w:rsid w:val="0029163E"/>
    <w:rsid w:val="00294623"/>
    <w:rsid w:val="002A1413"/>
    <w:rsid w:val="002A612B"/>
    <w:rsid w:val="002A6375"/>
    <w:rsid w:val="002B2427"/>
    <w:rsid w:val="002C106A"/>
    <w:rsid w:val="002C329D"/>
    <w:rsid w:val="002D01F9"/>
    <w:rsid w:val="002D1F74"/>
    <w:rsid w:val="002D2C63"/>
    <w:rsid w:val="002D3810"/>
    <w:rsid w:val="002E045A"/>
    <w:rsid w:val="002E503F"/>
    <w:rsid w:val="002E7506"/>
    <w:rsid w:val="002E7BC0"/>
    <w:rsid w:val="002F18DE"/>
    <w:rsid w:val="002F37EA"/>
    <w:rsid w:val="002F6D0D"/>
    <w:rsid w:val="0031422A"/>
    <w:rsid w:val="003168B8"/>
    <w:rsid w:val="00324B25"/>
    <w:rsid w:val="003342CD"/>
    <w:rsid w:val="00346011"/>
    <w:rsid w:val="0034623A"/>
    <w:rsid w:val="00346345"/>
    <w:rsid w:val="00350DB9"/>
    <w:rsid w:val="0035424A"/>
    <w:rsid w:val="00354967"/>
    <w:rsid w:val="0035534C"/>
    <w:rsid w:val="00356497"/>
    <w:rsid w:val="00363B4C"/>
    <w:rsid w:val="00365899"/>
    <w:rsid w:val="00365940"/>
    <w:rsid w:val="0037202C"/>
    <w:rsid w:val="00375607"/>
    <w:rsid w:val="00376598"/>
    <w:rsid w:val="00377993"/>
    <w:rsid w:val="00380A7A"/>
    <w:rsid w:val="00382E72"/>
    <w:rsid w:val="003915D3"/>
    <w:rsid w:val="003932F1"/>
    <w:rsid w:val="00394160"/>
    <w:rsid w:val="003A4040"/>
    <w:rsid w:val="003B0180"/>
    <w:rsid w:val="003B30A2"/>
    <w:rsid w:val="003B46C3"/>
    <w:rsid w:val="003B5468"/>
    <w:rsid w:val="003B6E5D"/>
    <w:rsid w:val="003C4910"/>
    <w:rsid w:val="003C65EB"/>
    <w:rsid w:val="003D1473"/>
    <w:rsid w:val="003D340D"/>
    <w:rsid w:val="003D5779"/>
    <w:rsid w:val="003D69C6"/>
    <w:rsid w:val="003D6F53"/>
    <w:rsid w:val="003E04BD"/>
    <w:rsid w:val="003F229D"/>
    <w:rsid w:val="003F2C7F"/>
    <w:rsid w:val="003F2D60"/>
    <w:rsid w:val="003F7817"/>
    <w:rsid w:val="004007C5"/>
    <w:rsid w:val="00400C69"/>
    <w:rsid w:val="0040786F"/>
    <w:rsid w:val="00411CCF"/>
    <w:rsid w:val="00425694"/>
    <w:rsid w:val="00425952"/>
    <w:rsid w:val="00436C81"/>
    <w:rsid w:val="00441B45"/>
    <w:rsid w:val="0044254C"/>
    <w:rsid w:val="00443A3E"/>
    <w:rsid w:val="00443C9D"/>
    <w:rsid w:val="00446AF4"/>
    <w:rsid w:val="00447068"/>
    <w:rsid w:val="004472DC"/>
    <w:rsid w:val="00447329"/>
    <w:rsid w:val="00461136"/>
    <w:rsid w:val="00463351"/>
    <w:rsid w:val="004647E9"/>
    <w:rsid w:val="00467303"/>
    <w:rsid w:val="00471CE6"/>
    <w:rsid w:val="00476840"/>
    <w:rsid w:val="00477CC9"/>
    <w:rsid w:val="00477D5B"/>
    <w:rsid w:val="004801A2"/>
    <w:rsid w:val="0048066F"/>
    <w:rsid w:val="0048193F"/>
    <w:rsid w:val="004835DE"/>
    <w:rsid w:val="00483E87"/>
    <w:rsid w:val="00491273"/>
    <w:rsid w:val="00491548"/>
    <w:rsid w:val="0049200E"/>
    <w:rsid w:val="00494FD8"/>
    <w:rsid w:val="004976BF"/>
    <w:rsid w:val="004A43E2"/>
    <w:rsid w:val="004B26EF"/>
    <w:rsid w:val="004B4830"/>
    <w:rsid w:val="004B50EA"/>
    <w:rsid w:val="004B68AA"/>
    <w:rsid w:val="004B6A1B"/>
    <w:rsid w:val="004B6B4A"/>
    <w:rsid w:val="004C0057"/>
    <w:rsid w:val="004C6380"/>
    <w:rsid w:val="004C6691"/>
    <w:rsid w:val="004D5042"/>
    <w:rsid w:val="004D7C15"/>
    <w:rsid w:val="004D7DBD"/>
    <w:rsid w:val="004E0AA2"/>
    <w:rsid w:val="004E2B25"/>
    <w:rsid w:val="004E4E76"/>
    <w:rsid w:val="004F0848"/>
    <w:rsid w:val="004F5F49"/>
    <w:rsid w:val="005163CD"/>
    <w:rsid w:val="005168F4"/>
    <w:rsid w:val="00520B03"/>
    <w:rsid w:val="00521953"/>
    <w:rsid w:val="00522047"/>
    <w:rsid w:val="00523D82"/>
    <w:rsid w:val="005257DB"/>
    <w:rsid w:val="00527AEC"/>
    <w:rsid w:val="00527F2B"/>
    <w:rsid w:val="0053180F"/>
    <w:rsid w:val="00534EEB"/>
    <w:rsid w:val="00540502"/>
    <w:rsid w:val="00541309"/>
    <w:rsid w:val="00542330"/>
    <w:rsid w:val="00543683"/>
    <w:rsid w:val="00544C50"/>
    <w:rsid w:val="0055121B"/>
    <w:rsid w:val="005528A2"/>
    <w:rsid w:val="00552D02"/>
    <w:rsid w:val="005533A3"/>
    <w:rsid w:val="0055397A"/>
    <w:rsid w:val="00553C6B"/>
    <w:rsid w:val="005613B2"/>
    <w:rsid w:val="00564793"/>
    <w:rsid w:val="00565A7C"/>
    <w:rsid w:val="0057246E"/>
    <w:rsid w:val="00582E4E"/>
    <w:rsid w:val="00584C51"/>
    <w:rsid w:val="00595C5C"/>
    <w:rsid w:val="00595C5D"/>
    <w:rsid w:val="0059655E"/>
    <w:rsid w:val="005A0067"/>
    <w:rsid w:val="005A1CF1"/>
    <w:rsid w:val="005B0612"/>
    <w:rsid w:val="005B64DC"/>
    <w:rsid w:val="005B74F7"/>
    <w:rsid w:val="005B7C53"/>
    <w:rsid w:val="005D0188"/>
    <w:rsid w:val="005D0969"/>
    <w:rsid w:val="005D7774"/>
    <w:rsid w:val="005F3806"/>
    <w:rsid w:val="005F3EE4"/>
    <w:rsid w:val="005F4E22"/>
    <w:rsid w:val="005F5201"/>
    <w:rsid w:val="005F60EC"/>
    <w:rsid w:val="005F642B"/>
    <w:rsid w:val="005F6EBB"/>
    <w:rsid w:val="005F7B57"/>
    <w:rsid w:val="00603874"/>
    <w:rsid w:val="00605EAF"/>
    <w:rsid w:val="00614BC1"/>
    <w:rsid w:val="00617048"/>
    <w:rsid w:val="0061749C"/>
    <w:rsid w:val="00622677"/>
    <w:rsid w:val="00630348"/>
    <w:rsid w:val="00632DAF"/>
    <w:rsid w:val="006356F5"/>
    <w:rsid w:val="0063620A"/>
    <w:rsid w:val="006400B9"/>
    <w:rsid w:val="0064485D"/>
    <w:rsid w:val="00644A1D"/>
    <w:rsid w:val="00654DFA"/>
    <w:rsid w:val="00655336"/>
    <w:rsid w:val="00660350"/>
    <w:rsid w:val="00667C09"/>
    <w:rsid w:val="00681078"/>
    <w:rsid w:val="00681805"/>
    <w:rsid w:val="00681950"/>
    <w:rsid w:val="0068409A"/>
    <w:rsid w:val="00692899"/>
    <w:rsid w:val="00692C62"/>
    <w:rsid w:val="00697B03"/>
    <w:rsid w:val="00697F29"/>
    <w:rsid w:val="006B298A"/>
    <w:rsid w:val="006B2BFC"/>
    <w:rsid w:val="006B50A5"/>
    <w:rsid w:val="006B6A6A"/>
    <w:rsid w:val="006B7CAC"/>
    <w:rsid w:val="006C081B"/>
    <w:rsid w:val="006C2F6E"/>
    <w:rsid w:val="006C44D9"/>
    <w:rsid w:val="006C5436"/>
    <w:rsid w:val="006C7032"/>
    <w:rsid w:val="006C7392"/>
    <w:rsid w:val="006D07A4"/>
    <w:rsid w:val="006D25B2"/>
    <w:rsid w:val="006D33DD"/>
    <w:rsid w:val="006D34EB"/>
    <w:rsid w:val="006D5CCD"/>
    <w:rsid w:val="006E1558"/>
    <w:rsid w:val="006E6C03"/>
    <w:rsid w:val="006E79C5"/>
    <w:rsid w:val="006F3105"/>
    <w:rsid w:val="006F48EA"/>
    <w:rsid w:val="006F516D"/>
    <w:rsid w:val="00700F47"/>
    <w:rsid w:val="00702E21"/>
    <w:rsid w:val="00705EAF"/>
    <w:rsid w:val="00707FBE"/>
    <w:rsid w:val="007115FF"/>
    <w:rsid w:val="00713012"/>
    <w:rsid w:val="007153BB"/>
    <w:rsid w:val="0071620E"/>
    <w:rsid w:val="00716981"/>
    <w:rsid w:val="00720EA8"/>
    <w:rsid w:val="00724C92"/>
    <w:rsid w:val="007260CB"/>
    <w:rsid w:val="007324BF"/>
    <w:rsid w:val="00735C0A"/>
    <w:rsid w:val="007373E8"/>
    <w:rsid w:val="007376A9"/>
    <w:rsid w:val="00742256"/>
    <w:rsid w:val="0075036A"/>
    <w:rsid w:val="00751298"/>
    <w:rsid w:val="00754AC9"/>
    <w:rsid w:val="007634BB"/>
    <w:rsid w:val="00766C26"/>
    <w:rsid w:val="0077139E"/>
    <w:rsid w:val="00771618"/>
    <w:rsid w:val="00783296"/>
    <w:rsid w:val="00790D91"/>
    <w:rsid w:val="00792625"/>
    <w:rsid w:val="00792B37"/>
    <w:rsid w:val="0079409D"/>
    <w:rsid w:val="00795ED8"/>
    <w:rsid w:val="00796927"/>
    <w:rsid w:val="007976C7"/>
    <w:rsid w:val="007A5716"/>
    <w:rsid w:val="007B2E58"/>
    <w:rsid w:val="007B43BF"/>
    <w:rsid w:val="007B5DDD"/>
    <w:rsid w:val="007B7057"/>
    <w:rsid w:val="007B7B3F"/>
    <w:rsid w:val="007C0548"/>
    <w:rsid w:val="007C1FCF"/>
    <w:rsid w:val="007D06D4"/>
    <w:rsid w:val="007D1E6D"/>
    <w:rsid w:val="007D309B"/>
    <w:rsid w:val="007E50C6"/>
    <w:rsid w:val="007F118C"/>
    <w:rsid w:val="007F23CC"/>
    <w:rsid w:val="007F4102"/>
    <w:rsid w:val="007F4887"/>
    <w:rsid w:val="007F4C2C"/>
    <w:rsid w:val="007F6688"/>
    <w:rsid w:val="007F6783"/>
    <w:rsid w:val="0080026D"/>
    <w:rsid w:val="008017BC"/>
    <w:rsid w:val="00810BAE"/>
    <w:rsid w:val="00811285"/>
    <w:rsid w:val="00813950"/>
    <w:rsid w:val="0081462D"/>
    <w:rsid w:val="00821367"/>
    <w:rsid w:val="0082620B"/>
    <w:rsid w:val="008264B4"/>
    <w:rsid w:val="00826913"/>
    <w:rsid w:val="00826AC6"/>
    <w:rsid w:val="00831E89"/>
    <w:rsid w:val="00840781"/>
    <w:rsid w:val="00850DFA"/>
    <w:rsid w:val="00851987"/>
    <w:rsid w:val="00852A8B"/>
    <w:rsid w:val="00853D13"/>
    <w:rsid w:val="00855A40"/>
    <w:rsid w:val="00855D1A"/>
    <w:rsid w:val="00857874"/>
    <w:rsid w:val="008618F1"/>
    <w:rsid w:val="008636AA"/>
    <w:rsid w:val="008708A3"/>
    <w:rsid w:val="008729E2"/>
    <w:rsid w:val="008764F2"/>
    <w:rsid w:val="008808E8"/>
    <w:rsid w:val="00887131"/>
    <w:rsid w:val="008901E4"/>
    <w:rsid w:val="008915C0"/>
    <w:rsid w:val="0089475E"/>
    <w:rsid w:val="00895B03"/>
    <w:rsid w:val="00895F44"/>
    <w:rsid w:val="00896E0A"/>
    <w:rsid w:val="008B1B2A"/>
    <w:rsid w:val="008B225D"/>
    <w:rsid w:val="008B298C"/>
    <w:rsid w:val="008B3623"/>
    <w:rsid w:val="008C0538"/>
    <w:rsid w:val="008C44E1"/>
    <w:rsid w:val="008D0E2D"/>
    <w:rsid w:val="008D201C"/>
    <w:rsid w:val="008D27FC"/>
    <w:rsid w:val="008E05EC"/>
    <w:rsid w:val="008F0619"/>
    <w:rsid w:val="008F0827"/>
    <w:rsid w:val="008F2A19"/>
    <w:rsid w:val="008F5A9B"/>
    <w:rsid w:val="008F79EB"/>
    <w:rsid w:val="0090669C"/>
    <w:rsid w:val="009237C2"/>
    <w:rsid w:val="00923828"/>
    <w:rsid w:val="00926C2C"/>
    <w:rsid w:val="00931B5E"/>
    <w:rsid w:val="009322CE"/>
    <w:rsid w:val="00937792"/>
    <w:rsid w:val="00946B90"/>
    <w:rsid w:val="0095084B"/>
    <w:rsid w:val="00952752"/>
    <w:rsid w:val="009541AC"/>
    <w:rsid w:val="00954C80"/>
    <w:rsid w:val="00960527"/>
    <w:rsid w:val="009664AA"/>
    <w:rsid w:val="00970385"/>
    <w:rsid w:val="00976571"/>
    <w:rsid w:val="009817A5"/>
    <w:rsid w:val="009819B0"/>
    <w:rsid w:val="009874BC"/>
    <w:rsid w:val="009935F3"/>
    <w:rsid w:val="009A335D"/>
    <w:rsid w:val="009A59A6"/>
    <w:rsid w:val="009A64D2"/>
    <w:rsid w:val="009B3A22"/>
    <w:rsid w:val="009B6124"/>
    <w:rsid w:val="009C3A7A"/>
    <w:rsid w:val="009C7AAC"/>
    <w:rsid w:val="009D1A57"/>
    <w:rsid w:val="009D3D06"/>
    <w:rsid w:val="009D4170"/>
    <w:rsid w:val="009D4D5E"/>
    <w:rsid w:val="009D65F6"/>
    <w:rsid w:val="009D7909"/>
    <w:rsid w:val="009E1BB2"/>
    <w:rsid w:val="009E5E2C"/>
    <w:rsid w:val="009E6D88"/>
    <w:rsid w:val="009F07D6"/>
    <w:rsid w:val="009F3A1E"/>
    <w:rsid w:val="00A0584D"/>
    <w:rsid w:val="00A05B38"/>
    <w:rsid w:val="00A072F3"/>
    <w:rsid w:val="00A10CF6"/>
    <w:rsid w:val="00A11805"/>
    <w:rsid w:val="00A11A5F"/>
    <w:rsid w:val="00A2023A"/>
    <w:rsid w:val="00A27DF2"/>
    <w:rsid w:val="00A36B3A"/>
    <w:rsid w:val="00A43A3E"/>
    <w:rsid w:val="00A465E7"/>
    <w:rsid w:val="00A50A22"/>
    <w:rsid w:val="00A53C13"/>
    <w:rsid w:val="00A54D7B"/>
    <w:rsid w:val="00A57910"/>
    <w:rsid w:val="00A5793D"/>
    <w:rsid w:val="00A6078C"/>
    <w:rsid w:val="00A638B5"/>
    <w:rsid w:val="00A71E93"/>
    <w:rsid w:val="00A860D0"/>
    <w:rsid w:val="00A9445B"/>
    <w:rsid w:val="00AA0C5D"/>
    <w:rsid w:val="00AA1154"/>
    <w:rsid w:val="00AA567D"/>
    <w:rsid w:val="00AA577B"/>
    <w:rsid w:val="00AA74AB"/>
    <w:rsid w:val="00AB2816"/>
    <w:rsid w:val="00AB3FAC"/>
    <w:rsid w:val="00AB46DD"/>
    <w:rsid w:val="00AB5277"/>
    <w:rsid w:val="00AB6E97"/>
    <w:rsid w:val="00AC1BEA"/>
    <w:rsid w:val="00AC4B70"/>
    <w:rsid w:val="00AC5BDE"/>
    <w:rsid w:val="00AC5FAD"/>
    <w:rsid w:val="00AD1A09"/>
    <w:rsid w:val="00AD66A4"/>
    <w:rsid w:val="00AD7C87"/>
    <w:rsid w:val="00AE2970"/>
    <w:rsid w:val="00AF3A15"/>
    <w:rsid w:val="00B00064"/>
    <w:rsid w:val="00B053D3"/>
    <w:rsid w:val="00B1146B"/>
    <w:rsid w:val="00B13A04"/>
    <w:rsid w:val="00B13EB9"/>
    <w:rsid w:val="00B1519E"/>
    <w:rsid w:val="00B170E2"/>
    <w:rsid w:val="00B17E8C"/>
    <w:rsid w:val="00B2073D"/>
    <w:rsid w:val="00B20885"/>
    <w:rsid w:val="00B22353"/>
    <w:rsid w:val="00B230B9"/>
    <w:rsid w:val="00B2707A"/>
    <w:rsid w:val="00B35B2D"/>
    <w:rsid w:val="00B37C03"/>
    <w:rsid w:val="00B417E6"/>
    <w:rsid w:val="00B47B44"/>
    <w:rsid w:val="00B502D9"/>
    <w:rsid w:val="00B5144D"/>
    <w:rsid w:val="00B51B5B"/>
    <w:rsid w:val="00B55E1F"/>
    <w:rsid w:val="00B57323"/>
    <w:rsid w:val="00B6215C"/>
    <w:rsid w:val="00B6229F"/>
    <w:rsid w:val="00B638CF"/>
    <w:rsid w:val="00B70D54"/>
    <w:rsid w:val="00B83A92"/>
    <w:rsid w:val="00B845C0"/>
    <w:rsid w:val="00B92D46"/>
    <w:rsid w:val="00B97FDB"/>
    <w:rsid w:val="00BA10B0"/>
    <w:rsid w:val="00BB2DE8"/>
    <w:rsid w:val="00BB5349"/>
    <w:rsid w:val="00BB587A"/>
    <w:rsid w:val="00BB60C5"/>
    <w:rsid w:val="00BC0B0B"/>
    <w:rsid w:val="00BC0D47"/>
    <w:rsid w:val="00BD2825"/>
    <w:rsid w:val="00BD4923"/>
    <w:rsid w:val="00BD4C7F"/>
    <w:rsid w:val="00BD7EDE"/>
    <w:rsid w:val="00BE12BA"/>
    <w:rsid w:val="00BE1DC4"/>
    <w:rsid w:val="00BE5F19"/>
    <w:rsid w:val="00BE6D27"/>
    <w:rsid w:val="00BE7162"/>
    <w:rsid w:val="00BF1C1A"/>
    <w:rsid w:val="00BF2F31"/>
    <w:rsid w:val="00BF327B"/>
    <w:rsid w:val="00BF498A"/>
    <w:rsid w:val="00C00617"/>
    <w:rsid w:val="00C11464"/>
    <w:rsid w:val="00C135F1"/>
    <w:rsid w:val="00C16CAE"/>
    <w:rsid w:val="00C20CCC"/>
    <w:rsid w:val="00C2698A"/>
    <w:rsid w:val="00C2741F"/>
    <w:rsid w:val="00C32442"/>
    <w:rsid w:val="00C41054"/>
    <w:rsid w:val="00C42025"/>
    <w:rsid w:val="00C426AE"/>
    <w:rsid w:val="00C44078"/>
    <w:rsid w:val="00C469F5"/>
    <w:rsid w:val="00C51792"/>
    <w:rsid w:val="00C57406"/>
    <w:rsid w:val="00C60CAF"/>
    <w:rsid w:val="00C60E4D"/>
    <w:rsid w:val="00C60EBE"/>
    <w:rsid w:val="00C61317"/>
    <w:rsid w:val="00C63085"/>
    <w:rsid w:val="00C6334E"/>
    <w:rsid w:val="00C63E34"/>
    <w:rsid w:val="00C6447B"/>
    <w:rsid w:val="00C66156"/>
    <w:rsid w:val="00C678E7"/>
    <w:rsid w:val="00C74D26"/>
    <w:rsid w:val="00C802B9"/>
    <w:rsid w:val="00C80625"/>
    <w:rsid w:val="00C93366"/>
    <w:rsid w:val="00C94011"/>
    <w:rsid w:val="00CA0931"/>
    <w:rsid w:val="00CB32D3"/>
    <w:rsid w:val="00CC60D9"/>
    <w:rsid w:val="00CC7A1B"/>
    <w:rsid w:val="00CE1587"/>
    <w:rsid w:val="00CE3358"/>
    <w:rsid w:val="00CE3929"/>
    <w:rsid w:val="00CE601A"/>
    <w:rsid w:val="00CE680D"/>
    <w:rsid w:val="00CF468E"/>
    <w:rsid w:val="00CF4C07"/>
    <w:rsid w:val="00CF71A4"/>
    <w:rsid w:val="00D05D66"/>
    <w:rsid w:val="00D06611"/>
    <w:rsid w:val="00D077E3"/>
    <w:rsid w:val="00D16923"/>
    <w:rsid w:val="00D22A53"/>
    <w:rsid w:val="00D22E9A"/>
    <w:rsid w:val="00D23F79"/>
    <w:rsid w:val="00D248B1"/>
    <w:rsid w:val="00D27B2D"/>
    <w:rsid w:val="00D30DD0"/>
    <w:rsid w:val="00D324EE"/>
    <w:rsid w:val="00D346BD"/>
    <w:rsid w:val="00D41E28"/>
    <w:rsid w:val="00D43CD7"/>
    <w:rsid w:val="00D5483E"/>
    <w:rsid w:val="00D65397"/>
    <w:rsid w:val="00D65B1B"/>
    <w:rsid w:val="00D70002"/>
    <w:rsid w:val="00D73ADA"/>
    <w:rsid w:val="00D74F41"/>
    <w:rsid w:val="00D7647C"/>
    <w:rsid w:val="00D8057B"/>
    <w:rsid w:val="00D91960"/>
    <w:rsid w:val="00D91D1C"/>
    <w:rsid w:val="00D9402C"/>
    <w:rsid w:val="00D958C4"/>
    <w:rsid w:val="00D96214"/>
    <w:rsid w:val="00DA3844"/>
    <w:rsid w:val="00DA4678"/>
    <w:rsid w:val="00DA5951"/>
    <w:rsid w:val="00DC25E9"/>
    <w:rsid w:val="00DC397C"/>
    <w:rsid w:val="00DD4D87"/>
    <w:rsid w:val="00DD7CCE"/>
    <w:rsid w:val="00DE1DA8"/>
    <w:rsid w:val="00DE45E2"/>
    <w:rsid w:val="00DE5B7D"/>
    <w:rsid w:val="00DE5E00"/>
    <w:rsid w:val="00DE7047"/>
    <w:rsid w:val="00DF07BC"/>
    <w:rsid w:val="00DF2FB0"/>
    <w:rsid w:val="00DF4F7E"/>
    <w:rsid w:val="00E07402"/>
    <w:rsid w:val="00E234C3"/>
    <w:rsid w:val="00E24592"/>
    <w:rsid w:val="00E2552D"/>
    <w:rsid w:val="00E2579C"/>
    <w:rsid w:val="00E25DAF"/>
    <w:rsid w:val="00E31232"/>
    <w:rsid w:val="00E31CA1"/>
    <w:rsid w:val="00E32B95"/>
    <w:rsid w:val="00E361B6"/>
    <w:rsid w:val="00E36A28"/>
    <w:rsid w:val="00E37288"/>
    <w:rsid w:val="00E42076"/>
    <w:rsid w:val="00E43B1F"/>
    <w:rsid w:val="00E44C02"/>
    <w:rsid w:val="00E45EC4"/>
    <w:rsid w:val="00E46384"/>
    <w:rsid w:val="00E472B7"/>
    <w:rsid w:val="00E6197B"/>
    <w:rsid w:val="00E654AA"/>
    <w:rsid w:val="00E65606"/>
    <w:rsid w:val="00E65A0F"/>
    <w:rsid w:val="00E71A6E"/>
    <w:rsid w:val="00E71E14"/>
    <w:rsid w:val="00E75590"/>
    <w:rsid w:val="00E8065E"/>
    <w:rsid w:val="00E90AE3"/>
    <w:rsid w:val="00E933E1"/>
    <w:rsid w:val="00E97A4E"/>
    <w:rsid w:val="00EA2267"/>
    <w:rsid w:val="00EA6119"/>
    <w:rsid w:val="00EA67DA"/>
    <w:rsid w:val="00EB5E0C"/>
    <w:rsid w:val="00EB75C9"/>
    <w:rsid w:val="00EB7B26"/>
    <w:rsid w:val="00EC064B"/>
    <w:rsid w:val="00EC4172"/>
    <w:rsid w:val="00EC457B"/>
    <w:rsid w:val="00EC5271"/>
    <w:rsid w:val="00ED03A0"/>
    <w:rsid w:val="00ED0C29"/>
    <w:rsid w:val="00ED2A24"/>
    <w:rsid w:val="00EE5D28"/>
    <w:rsid w:val="00EE7408"/>
    <w:rsid w:val="00EF1778"/>
    <w:rsid w:val="00EF3D82"/>
    <w:rsid w:val="00F0146E"/>
    <w:rsid w:val="00F0179D"/>
    <w:rsid w:val="00F019FD"/>
    <w:rsid w:val="00F07F82"/>
    <w:rsid w:val="00F12008"/>
    <w:rsid w:val="00F20B42"/>
    <w:rsid w:val="00F24EFE"/>
    <w:rsid w:val="00F25C82"/>
    <w:rsid w:val="00F309E7"/>
    <w:rsid w:val="00F3255E"/>
    <w:rsid w:val="00F33EA0"/>
    <w:rsid w:val="00F35F7E"/>
    <w:rsid w:val="00F361E0"/>
    <w:rsid w:val="00F365C5"/>
    <w:rsid w:val="00F502DC"/>
    <w:rsid w:val="00F53C41"/>
    <w:rsid w:val="00F56BA2"/>
    <w:rsid w:val="00F56BA8"/>
    <w:rsid w:val="00F57400"/>
    <w:rsid w:val="00F57CCC"/>
    <w:rsid w:val="00F6320D"/>
    <w:rsid w:val="00F67B1E"/>
    <w:rsid w:val="00F71591"/>
    <w:rsid w:val="00F71D44"/>
    <w:rsid w:val="00F7268A"/>
    <w:rsid w:val="00F77F8E"/>
    <w:rsid w:val="00F80832"/>
    <w:rsid w:val="00F81CBC"/>
    <w:rsid w:val="00F87B73"/>
    <w:rsid w:val="00FA132B"/>
    <w:rsid w:val="00FA23F6"/>
    <w:rsid w:val="00FA2838"/>
    <w:rsid w:val="00FA37DA"/>
    <w:rsid w:val="00FB2C37"/>
    <w:rsid w:val="00FB4D54"/>
    <w:rsid w:val="00FB5080"/>
    <w:rsid w:val="00FB68A9"/>
    <w:rsid w:val="00FD1FFA"/>
    <w:rsid w:val="00FE00FB"/>
    <w:rsid w:val="00FE32F2"/>
    <w:rsid w:val="00FE4EC1"/>
    <w:rsid w:val="00FE66D3"/>
    <w:rsid w:val="00FE6BB7"/>
    <w:rsid w:val="00FE7038"/>
    <w:rsid w:val="00FF0CAF"/>
    <w:rsid w:val="00FF46C6"/>
    <w:rsid w:val="016336B3"/>
    <w:rsid w:val="01F07F2F"/>
    <w:rsid w:val="026F4F92"/>
    <w:rsid w:val="03521339"/>
    <w:rsid w:val="03F51722"/>
    <w:rsid w:val="04461F7D"/>
    <w:rsid w:val="04774FC6"/>
    <w:rsid w:val="04A62DA9"/>
    <w:rsid w:val="053659AF"/>
    <w:rsid w:val="05982E3E"/>
    <w:rsid w:val="05AE1124"/>
    <w:rsid w:val="06354CA8"/>
    <w:rsid w:val="06636D94"/>
    <w:rsid w:val="06C95B3E"/>
    <w:rsid w:val="076106D0"/>
    <w:rsid w:val="07FA0162"/>
    <w:rsid w:val="080D324A"/>
    <w:rsid w:val="08ED6E6B"/>
    <w:rsid w:val="09CB1368"/>
    <w:rsid w:val="09ED4F65"/>
    <w:rsid w:val="0ADC1DDC"/>
    <w:rsid w:val="0B0F40FC"/>
    <w:rsid w:val="0BA431A7"/>
    <w:rsid w:val="0C6230EF"/>
    <w:rsid w:val="0C976B1C"/>
    <w:rsid w:val="0CA077F6"/>
    <w:rsid w:val="0CC55F5A"/>
    <w:rsid w:val="0D262686"/>
    <w:rsid w:val="0D373AE3"/>
    <w:rsid w:val="0D656CD8"/>
    <w:rsid w:val="0D981A23"/>
    <w:rsid w:val="0DB24F9A"/>
    <w:rsid w:val="0ED9558E"/>
    <w:rsid w:val="10154C70"/>
    <w:rsid w:val="108747CC"/>
    <w:rsid w:val="10A134BE"/>
    <w:rsid w:val="114805EA"/>
    <w:rsid w:val="11FE55DA"/>
    <w:rsid w:val="12AF279B"/>
    <w:rsid w:val="12C85E00"/>
    <w:rsid w:val="12E05ECC"/>
    <w:rsid w:val="130D3707"/>
    <w:rsid w:val="139F704C"/>
    <w:rsid w:val="14D058A3"/>
    <w:rsid w:val="15C930C9"/>
    <w:rsid w:val="166A35A7"/>
    <w:rsid w:val="17447766"/>
    <w:rsid w:val="183E3C03"/>
    <w:rsid w:val="19B973D9"/>
    <w:rsid w:val="19F21DC8"/>
    <w:rsid w:val="1A717ABD"/>
    <w:rsid w:val="1B0657CA"/>
    <w:rsid w:val="1B2D759B"/>
    <w:rsid w:val="1C082580"/>
    <w:rsid w:val="1D28626C"/>
    <w:rsid w:val="1DAE739A"/>
    <w:rsid w:val="1DF962FA"/>
    <w:rsid w:val="1E4F6885"/>
    <w:rsid w:val="1EC44804"/>
    <w:rsid w:val="1F572E39"/>
    <w:rsid w:val="1FF359C5"/>
    <w:rsid w:val="20274E6D"/>
    <w:rsid w:val="208106DF"/>
    <w:rsid w:val="223B07F0"/>
    <w:rsid w:val="225D6364"/>
    <w:rsid w:val="241E74DC"/>
    <w:rsid w:val="249C09FA"/>
    <w:rsid w:val="24AE18EE"/>
    <w:rsid w:val="260C2906"/>
    <w:rsid w:val="26B7673D"/>
    <w:rsid w:val="26F74518"/>
    <w:rsid w:val="2719423C"/>
    <w:rsid w:val="27B92604"/>
    <w:rsid w:val="28025B5E"/>
    <w:rsid w:val="281B5A0F"/>
    <w:rsid w:val="28413134"/>
    <w:rsid w:val="2A6C2261"/>
    <w:rsid w:val="2B6739C3"/>
    <w:rsid w:val="2CFA126F"/>
    <w:rsid w:val="2F4C34E4"/>
    <w:rsid w:val="308C6CED"/>
    <w:rsid w:val="30D14FC8"/>
    <w:rsid w:val="31442DC4"/>
    <w:rsid w:val="31574165"/>
    <w:rsid w:val="32294D85"/>
    <w:rsid w:val="333F487B"/>
    <w:rsid w:val="338956B2"/>
    <w:rsid w:val="34E51D09"/>
    <w:rsid w:val="36271B14"/>
    <w:rsid w:val="36FB3E4D"/>
    <w:rsid w:val="372E3495"/>
    <w:rsid w:val="37F824D3"/>
    <w:rsid w:val="38083014"/>
    <w:rsid w:val="38F53945"/>
    <w:rsid w:val="39DE0723"/>
    <w:rsid w:val="3A823585"/>
    <w:rsid w:val="3BFB0147"/>
    <w:rsid w:val="3CFB406E"/>
    <w:rsid w:val="3D902447"/>
    <w:rsid w:val="3E2D5534"/>
    <w:rsid w:val="3E676D80"/>
    <w:rsid w:val="3F9A42E2"/>
    <w:rsid w:val="409B3328"/>
    <w:rsid w:val="40D74270"/>
    <w:rsid w:val="40E517CE"/>
    <w:rsid w:val="40F45BB2"/>
    <w:rsid w:val="4130573D"/>
    <w:rsid w:val="419448AD"/>
    <w:rsid w:val="41EB06BE"/>
    <w:rsid w:val="42902CAD"/>
    <w:rsid w:val="42FB1B1D"/>
    <w:rsid w:val="433E6D4A"/>
    <w:rsid w:val="44C9025C"/>
    <w:rsid w:val="46767799"/>
    <w:rsid w:val="46A376CA"/>
    <w:rsid w:val="470A0A30"/>
    <w:rsid w:val="476F7FEF"/>
    <w:rsid w:val="47B24F42"/>
    <w:rsid w:val="48604AD9"/>
    <w:rsid w:val="48A137E5"/>
    <w:rsid w:val="48AA1A8D"/>
    <w:rsid w:val="48E724CD"/>
    <w:rsid w:val="490A230C"/>
    <w:rsid w:val="4A966A1A"/>
    <w:rsid w:val="4C2E0194"/>
    <w:rsid w:val="4E0D2105"/>
    <w:rsid w:val="4E916683"/>
    <w:rsid w:val="4E9E1EE5"/>
    <w:rsid w:val="50287EB8"/>
    <w:rsid w:val="50E57F1A"/>
    <w:rsid w:val="519F68C3"/>
    <w:rsid w:val="520D7203"/>
    <w:rsid w:val="524D6516"/>
    <w:rsid w:val="527F6965"/>
    <w:rsid w:val="52C67E2F"/>
    <w:rsid w:val="532F70D5"/>
    <w:rsid w:val="54EC7308"/>
    <w:rsid w:val="55A7256E"/>
    <w:rsid w:val="55B575B9"/>
    <w:rsid w:val="55F36F5E"/>
    <w:rsid w:val="55FB054E"/>
    <w:rsid w:val="565D4E8B"/>
    <w:rsid w:val="56E0299F"/>
    <w:rsid w:val="56FB6CA0"/>
    <w:rsid w:val="581D0AD9"/>
    <w:rsid w:val="591E42C6"/>
    <w:rsid w:val="593A3212"/>
    <w:rsid w:val="5A915BE1"/>
    <w:rsid w:val="5AC537AA"/>
    <w:rsid w:val="5B885495"/>
    <w:rsid w:val="5B947D43"/>
    <w:rsid w:val="5BB6643E"/>
    <w:rsid w:val="5C4F2D0D"/>
    <w:rsid w:val="5D241682"/>
    <w:rsid w:val="5F085916"/>
    <w:rsid w:val="5F59670E"/>
    <w:rsid w:val="60370006"/>
    <w:rsid w:val="60795AD7"/>
    <w:rsid w:val="607F361A"/>
    <w:rsid w:val="60BB2175"/>
    <w:rsid w:val="61B22497"/>
    <w:rsid w:val="61CD250B"/>
    <w:rsid w:val="61DB4C28"/>
    <w:rsid w:val="623F1EF0"/>
    <w:rsid w:val="626773A5"/>
    <w:rsid w:val="6279005C"/>
    <w:rsid w:val="63521C09"/>
    <w:rsid w:val="6378277E"/>
    <w:rsid w:val="639F1D1E"/>
    <w:rsid w:val="646B4378"/>
    <w:rsid w:val="64A90E8A"/>
    <w:rsid w:val="653411D6"/>
    <w:rsid w:val="6570314D"/>
    <w:rsid w:val="67C134D9"/>
    <w:rsid w:val="67FC1E70"/>
    <w:rsid w:val="69DC6DBD"/>
    <w:rsid w:val="6B4B5BD8"/>
    <w:rsid w:val="6C520708"/>
    <w:rsid w:val="6D7D4C87"/>
    <w:rsid w:val="6DC259EE"/>
    <w:rsid w:val="6FD553F6"/>
    <w:rsid w:val="6FD6706A"/>
    <w:rsid w:val="700D6E7F"/>
    <w:rsid w:val="70585696"/>
    <w:rsid w:val="70D31F51"/>
    <w:rsid w:val="72055EDB"/>
    <w:rsid w:val="72505B4E"/>
    <w:rsid w:val="73D67B39"/>
    <w:rsid w:val="75273011"/>
    <w:rsid w:val="7562796E"/>
    <w:rsid w:val="75A02F38"/>
    <w:rsid w:val="761B46E6"/>
    <w:rsid w:val="76767F80"/>
    <w:rsid w:val="7696299F"/>
    <w:rsid w:val="76CC1DCB"/>
    <w:rsid w:val="76EA3E9B"/>
    <w:rsid w:val="76F45CA6"/>
    <w:rsid w:val="78C518C0"/>
    <w:rsid w:val="79371943"/>
    <w:rsid w:val="7B7775F6"/>
    <w:rsid w:val="7C3E1AA7"/>
    <w:rsid w:val="7C604B4C"/>
    <w:rsid w:val="7DC720AD"/>
    <w:rsid w:val="7EAC76D9"/>
    <w:rsid w:val="7EF97DF3"/>
    <w:rsid w:val="7F350633"/>
    <w:rsid w:val="7FCD4EBE"/>
    <w:rsid w:val="7FFD68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pPr>
    <w:rPr>
      <w:rFonts w:ascii="Times New Roman" w:hAnsi="Times New Roman" w:eastAsia="仿宋" w:cs="Times New Roman"/>
      <w:kern w:val="2"/>
      <w:sz w:val="24"/>
      <w:szCs w:val="24"/>
      <w:lang w:val="en-US" w:eastAsia="zh-CN" w:bidi="ar-SA"/>
    </w:rPr>
  </w:style>
  <w:style w:type="paragraph" w:styleId="3">
    <w:name w:val="heading 1"/>
    <w:basedOn w:val="1"/>
    <w:next w:val="1"/>
    <w:link w:val="49"/>
    <w:qFormat/>
    <w:uiPriority w:val="0"/>
    <w:pPr>
      <w:keepNext/>
      <w:keepLines/>
      <w:spacing w:before="340" w:after="330" w:line="576" w:lineRule="auto"/>
      <w:jc w:val="center"/>
      <w:outlineLvl w:val="0"/>
    </w:pPr>
    <w:rPr>
      <w:b/>
      <w:kern w:val="44"/>
      <w:sz w:val="44"/>
      <w:szCs w:val="20"/>
    </w:rPr>
  </w:style>
  <w:style w:type="paragraph" w:styleId="4">
    <w:name w:val="heading 2"/>
    <w:basedOn w:val="1"/>
    <w:next w:val="1"/>
    <w:link w:val="50"/>
    <w:qFormat/>
    <w:uiPriority w:val="0"/>
    <w:pPr>
      <w:keepNext/>
      <w:keepLines/>
      <w:spacing w:before="260" w:after="260" w:line="416" w:lineRule="auto"/>
      <w:outlineLvl w:val="1"/>
    </w:pPr>
    <w:rPr>
      <w:rFonts w:ascii="Arial" w:hAnsi="Arial"/>
      <w:b/>
      <w:bCs/>
      <w:sz w:val="32"/>
      <w:szCs w:val="32"/>
    </w:rPr>
  </w:style>
  <w:style w:type="paragraph" w:styleId="5">
    <w:name w:val="heading 3"/>
    <w:basedOn w:val="1"/>
    <w:next w:val="6"/>
    <w:link w:val="51"/>
    <w:qFormat/>
    <w:uiPriority w:val="0"/>
    <w:pPr>
      <w:keepNext/>
      <w:keepLines/>
      <w:spacing w:before="260" w:after="260" w:line="416" w:lineRule="auto"/>
      <w:outlineLvl w:val="2"/>
    </w:pPr>
    <w:rPr>
      <w:b/>
      <w:bCs/>
      <w:kern w:val="0"/>
      <w:sz w:val="32"/>
      <w:szCs w:val="32"/>
    </w:rPr>
  </w:style>
  <w:style w:type="paragraph" w:styleId="7">
    <w:name w:val="heading 4"/>
    <w:basedOn w:val="1"/>
    <w:next w:val="1"/>
    <w:link w:val="5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after="120" w:line="480" w:lineRule="auto"/>
      <w:ind w:left="420" w:leftChars="200"/>
    </w:pPr>
  </w:style>
  <w:style w:type="paragraph" w:styleId="6">
    <w:name w:val="Normal Indent"/>
    <w:basedOn w:val="1"/>
    <w:qFormat/>
    <w:uiPriority w:val="0"/>
    <w:pPr>
      <w:autoSpaceDE w:val="0"/>
      <w:autoSpaceDN w:val="0"/>
      <w:adjustRightInd w:val="0"/>
      <w:ind w:firstLine="420"/>
    </w:pPr>
    <w:rPr>
      <w:rFonts w:ascii="宋体"/>
      <w:kern w:val="0"/>
      <w:szCs w:val="20"/>
    </w:rPr>
  </w:style>
  <w:style w:type="paragraph" w:styleId="8">
    <w:name w:val="toc 7"/>
    <w:basedOn w:val="1"/>
    <w:next w:val="1"/>
    <w:unhideWhenUsed/>
    <w:qFormat/>
    <w:uiPriority w:val="39"/>
    <w:pPr>
      <w:ind w:left="1440"/>
    </w:pPr>
    <w:rPr>
      <w:rFonts w:asciiTheme="minorHAnsi" w:hAnsiTheme="minorHAnsi" w:cstheme="minorHAnsi"/>
      <w:sz w:val="18"/>
      <w:szCs w:val="18"/>
    </w:rPr>
  </w:style>
  <w:style w:type="paragraph" w:styleId="9">
    <w:name w:val="Document Map"/>
    <w:basedOn w:val="1"/>
    <w:link w:val="76"/>
    <w:qFormat/>
    <w:uiPriority w:val="0"/>
    <w:pPr>
      <w:spacing w:after="160" w:line="259" w:lineRule="auto"/>
      <w:jc w:val="both"/>
    </w:pPr>
    <w:rPr>
      <w:rFonts w:ascii="宋体" w:hAnsi="Calibri" w:eastAsia="宋体"/>
      <w:sz w:val="18"/>
      <w:szCs w:val="18"/>
    </w:rPr>
  </w:style>
  <w:style w:type="paragraph" w:styleId="10">
    <w:name w:val="toa heading"/>
    <w:basedOn w:val="1"/>
    <w:next w:val="1"/>
    <w:semiHidden/>
    <w:qFormat/>
    <w:uiPriority w:val="0"/>
    <w:pPr>
      <w:autoSpaceDE w:val="0"/>
      <w:autoSpaceDN w:val="0"/>
      <w:adjustRightInd w:val="0"/>
      <w:spacing w:before="120"/>
    </w:pPr>
    <w:rPr>
      <w:rFonts w:ascii="Arial" w:hAnsi="Arial"/>
      <w:kern w:val="0"/>
      <w:szCs w:val="20"/>
    </w:rPr>
  </w:style>
  <w:style w:type="paragraph" w:styleId="11">
    <w:name w:val="annotation text"/>
    <w:basedOn w:val="1"/>
    <w:link w:val="74"/>
    <w:unhideWhenUsed/>
    <w:qFormat/>
    <w:uiPriority w:val="0"/>
    <w:pPr>
      <w:spacing w:after="160" w:line="259" w:lineRule="auto"/>
    </w:pPr>
    <w:rPr>
      <w:rFonts w:ascii="Calibri" w:hAnsi="Calibri" w:eastAsia="宋体"/>
      <w:sz w:val="21"/>
    </w:rPr>
  </w:style>
  <w:style w:type="paragraph" w:styleId="12">
    <w:name w:val="Body Text 3"/>
    <w:basedOn w:val="1"/>
    <w:qFormat/>
    <w:uiPriority w:val="0"/>
    <w:pPr>
      <w:spacing w:after="120"/>
    </w:pPr>
    <w:rPr>
      <w:sz w:val="16"/>
      <w:szCs w:val="16"/>
    </w:rPr>
  </w:style>
  <w:style w:type="paragraph" w:styleId="13">
    <w:name w:val="Body Text"/>
    <w:basedOn w:val="1"/>
    <w:next w:val="1"/>
    <w:link w:val="63"/>
    <w:qFormat/>
    <w:uiPriority w:val="0"/>
    <w:pPr>
      <w:spacing w:after="120"/>
    </w:pPr>
    <w:rPr>
      <w:szCs w:val="20"/>
    </w:rPr>
  </w:style>
  <w:style w:type="paragraph" w:styleId="14">
    <w:name w:val="Body Text Indent"/>
    <w:basedOn w:val="1"/>
    <w:link w:val="73"/>
    <w:unhideWhenUsed/>
    <w:qFormat/>
    <w:uiPriority w:val="0"/>
    <w:pPr>
      <w:spacing w:after="120"/>
      <w:ind w:left="420" w:leftChars="200"/>
    </w:pPr>
  </w:style>
  <w:style w:type="paragraph" w:styleId="15">
    <w:name w:val="toc 5"/>
    <w:basedOn w:val="1"/>
    <w:next w:val="1"/>
    <w:unhideWhenUsed/>
    <w:qFormat/>
    <w:uiPriority w:val="39"/>
    <w:pPr>
      <w:ind w:left="960"/>
    </w:pPr>
    <w:rPr>
      <w:rFonts w:asciiTheme="minorHAnsi" w:hAnsiTheme="minorHAnsi" w:cstheme="minorHAnsi"/>
      <w:sz w:val="18"/>
      <w:szCs w:val="18"/>
    </w:rPr>
  </w:style>
  <w:style w:type="paragraph" w:styleId="16">
    <w:name w:val="toc 3"/>
    <w:basedOn w:val="1"/>
    <w:next w:val="1"/>
    <w:qFormat/>
    <w:uiPriority w:val="39"/>
    <w:pPr>
      <w:ind w:left="480"/>
    </w:pPr>
    <w:rPr>
      <w:rFonts w:asciiTheme="minorHAnsi" w:hAnsiTheme="minorHAnsi" w:cstheme="minorHAnsi"/>
      <w:i/>
      <w:iCs/>
      <w:sz w:val="20"/>
      <w:szCs w:val="20"/>
    </w:rPr>
  </w:style>
  <w:style w:type="paragraph" w:styleId="17">
    <w:name w:val="Plain Text"/>
    <w:basedOn w:val="1"/>
    <w:qFormat/>
    <w:uiPriority w:val="0"/>
    <w:rPr>
      <w:rFonts w:ascii="宋体" w:hAnsi="Courier New"/>
    </w:rPr>
  </w:style>
  <w:style w:type="paragraph" w:styleId="18">
    <w:name w:val="toc 8"/>
    <w:basedOn w:val="1"/>
    <w:next w:val="1"/>
    <w:unhideWhenUsed/>
    <w:qFormat/>
    <w:uiPriority w:val="39"/>
    <w:pPr>
      <w:ind w:left="1680"/>
    </w:pPr>
    <w:rPr>
      <w:rFonts w:asciiTheme="minorHAnsi" w:hAnsiTheme="minorHAnsi" w:cstheme="minorHAnsi"/>
      <w:sz w:val="18"/>
      <w:szCs w:val="18"/>
    </w:rPr>
  </w:style>
  <w:style w:type="paragraph" w:styleId="19">
    <w:name w:val="Date"/>
    <w:basedOn w:val="1"/>
    <w:next w:val="1"/>
    <w:qFormat/>
    <w:uiPriority w:val="0"/>
    <w:pPr>
      <w:ind w:left="100" w:leftChars="2500"/>
    </w:pPr>
  </w:style>
  <w:style w:type="paragraph" w:styleId="20">
    <w:name w:val="Balloon Text"/>
    <w:basedOn w:val="1"/>
    <w:link w:val="61"/>
    <w:unhideWhenUsed/>
    <w:qFormat/>
    <w:uiPriority w:val="0"/>
    <w:rPr>
      <w:sz w:val="18"/>
      <w:szCs w:val="18"/>
    </w:rPr>
  </w:style>
  <w:style w:type="paragraph" w:styleId="21">
    <w:name w:val="footer"/>
    <w:basedOn w:val="1"/>
    <w:link w:val="70"/>
    <w:qFormat/>
    <w:uiPriority w:val="99"/>
    <w:pPr>
      <w:tabs>
        <w:tab w:val="center" w:pos="4153"/>
        <w:tab w:val="right" w:pos="8306"/>
      </w:tabs>
      <w:snapToGrid w:val="0"/>
    </w:pPr>
    <w:rPr>
      <w:sz w:val="18"/>
      <w:szCs w:val="18"/>
    </w:rPr>
  </w:style>
  <w:style w:type="paragraph" w:styleId="22">
    <w:name w:val="header"/>
    <w:basedOn w:val="1"/>
    <w:link w:val="71"/>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spacing w:before="120" w:after="120"/>
    </w:pPr>
    <w:rPr>
      <w:rFonts w:asciiTheme="minorHAnsi" w:hAnsiTheme="minorHAnsi" w:cstheme="minorHAnsi"/>
      <w:b/>
      <w:bCs/>
      <w:caps/>
      <w:sz w:val="20"/>
      <w:szCs w:val="20"/>
    </w:rPr>
  </w:style>
  <w:style w:type="paragraph" w:styleId="24">
    <w:name w:val="toc 4"/>
    <w:basedOn w:val="1"/>
    <w:next w:val="1"/>
    <w:unhideWhenUsed/>
    <w:qFormat/>
    <w:uiPriority w:val="39"/>
    <w:pPr>
      <w:ind w:left="720"/>
    </w:pPr>
    <w:rPr>
      <w:rFonts w:asciiTheme="minorHAnsi" w:hAnsiTheme="minorHAnsi" w:cstheme="minorHAnsi"/>
      <w:sz w:val="18"/>
      <w:szCs w:val="18"/>
    </w:rPr>
  </w:style>
  <w:style w:type="paragraph" w:styleId="25">
    <w:name w:val="Subtitle"/>
    <w:basedOn w:val="7"/>
    <w:link w:val="60"/>
    <w:qFormat/>
    <w:uiPriority w:val="0"/>
    <w:pPr>
      <w:widowControl/>
      <w:overflowPunct w:val="0"/>
      <w:autoSpaceDE w:val="0"/>
      <w:autoSpaceDN w:val="0"/>
      <w:adjustRightInd w:val="0"/>
      <w:spacing w:before="0" w:after="0" w:line="377" w:lineRule="auto"/>
      <w:textAlignment w:val="baseline"/>
    </w:pPr>
    <w:rPr>
      <w:rFonts w:ascii="Arial" w:hAnsi="Arial"/>
      <w:b w:val="0"/>
      <w:kern w:val="0"/>
      <w:szCs w:val="20"/>
    </w:rPr>
  </w:style>
  <w:style w:type="paragraph" w:styleId="26">
    <w:name w:val="toc 6"/>
    <w:basedOn w:val="1"/>
    <w:next w:val="1"/>
    <w:unhideWhenUsed/>
    <w:qFormat/>
    <w:uiPriority w:val="39"/>
    <w:pPr>
      <w:ind w:left="1200"/>
    </w:pPr>
    <w:rPr>
      <w:rFonts w:asciiTheme="minorHAnsi" w:hAnsiTheme="minorHAnsi" w:cstheme="minorHAnsi"/>
      <w:sz w:val="18"/>
      <w:szCs w:val="18"/>
    </w:rPr>
  </w:style>
  <w:style w:type="paragraph" w:styleId="27">
    <w:name w:val="toc 2"/>
    <w:basedOn w:val="1"/>
    <w:next w:val="1"/>
    <w:qFormat/>
    <w:uiPriority w:val="39"/>
    <w:pPr>
      <w:ind w:left="240"/>
    </w:pPr>
    <w:rPr>
      <w:rFonts w:asciiTheme="minorHAnsi" w:hAnsiTheme="minorHAnsi" w:cstheme="minorHAnsi"/>
      <w:smallCaps/>
      <w:sz w:val="20"/>
      <w:szCs w:val="20"/>
    </w:rPr>
  </w:style>
  <w:style w:type="paragraph" w:styleId="28">
    <w:name w:val="toc 9"/>
    <w:basedOn w:val="1"/>
    <w:next w:val="1"/>
    <w:unhideWhenUsed/>
    <w:qFormat/>
    <w:uiPriority w:val="39"/>
    <w:pPr>
      <w:ind w:left="1920"/>
    </w:pPr>
    <w:rPr>
      <w:rFonts w:asciiTheme="minorHAnsi" w:hAnsiTheme="minorHAnsi" w:cstheme="minorHAnsi"/>
      <w:sz w:val="18"/>
      <w:szCs w:val="18"/>
    </w:rPr>
  </w:style>
  <w:style w:type="paragraph" w:styleId="29">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rPr>
  </w:style>
  <w:style w:type="paragraph" w:styleId="30">
    <w:name w:val="Normal (Web)"/>
    <w:basedOn w:val="1"/>
    <w:unhideWhenUsed/>
    <w:qFormat/>
    <w:uiPriority w:val="0"/>
    <w:rPr>
      <w:kern w:val="0"/>
    </w:rPr>
  </w:style>
  <w:style w:type="paragraph" w:styleId="31">
    <w:name w:val="Title"/>
    <w:basedOn w:val="1"/>
    <w:next w:val="1"/>
    <w:link w:val="72"/>
    <w:qFormat/>
    <w:uiPriority w:val="10"/>
    <w:pPr>
      <w:spacing w:before="240" w:after="60"/>
      <w:jc w:val="center"/>
      <w:outlineLvl w:val="0"/>
    </w:pPr>
    <w:rPr>
      <w:rFonts w:asciiTheme="majorHAnsi" w:hAnsiTheme="majorHAnsi" w:cstheme="majorBidi"/>
      <w:b/>
      <w:bCs/>
      <w:sz w:val="32"/>
      <w:szCs w:val="32"/>
    </w:rPr>
  </w:style>
  <w:style w:type="paragraph" w:styleId="32">
    <w:name w:val="annotation subject"/>
    <w:basedOn w:val="11"/>
    <w:next w:val="11"/>
    <w:link w:val="75"/>
    <w:qFormat/>
    <w:uiPriority w:val="0"/>
    <w:rPr>
      <w:b/>
      <w:bCs/>
    </w:rPr>
  </w:style>
  <w:style w:type="paragraph" w:styleId="33">
    <w:name w:val="Body Text First Indent"/>
    <w:basedOn w:val="13"/>
    <w:qFormat/>
    <w:uiPriority w:val="0"/>
    <w:pPr>
      <w:spacing w:after="0"/>
      <w:ind w:firstLine="420" w:firstLineChars="100"/>
    </w:pPr>
    <w:rPr>
      <w:rFonts w:ascii="Arial" w:hAnsi="Arial"/>
      <w:color w:val="000000"/>
    </w:rPr>
  </w:style>
  <w:style w:type="paragraph" w:styleId="34">
    <w:name w:val="Body Text First Indent 2"/>
    <w:basedOn w:val="14"/>
    <w:qFormat/>
    <w:uiPriority w:val="0"/>
    <w:pPr>
      <w:spacing w:after="0"/>
      <w:ind w:left="824" w:leftChars="400" w:firstLine="420" w:firstLineChars="200"/>
    </w:pPr>
    <w:rPr>
      <w:rFonts w:ascii="宋体" w:hAnsi="宋体"/>
    </w:rPr>
  </w:style>
  <w:style w:type="table" w:styleId="36">
    <w:name w:val="Table Grid"/>
    <w:basedOn w:val="35"/>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basedOn w:val="37"/>
    <w:semiHidden/>
    <w:unhideWhenUsed/>
    <w:qFormat/>
    <w:uiPriority w:val="0"/>
    <w:rPr>
      <w:color w:val="800080" w:themeColor="followedHyperlink"/>
      <w:u w:val="single"/>
      <w14:textFill>
        <w14:solidFill>
          <w14:schemeClr w14:val="folHlink"/>
        </w14:solidFill>
      </w14:textFill>
    </w:rPr>
  </w:style>
  <w:style w:type="character" w:styleId="40">
    <w:name w:val="Emphasis"/>
    <w:qFormat/>
    <w:uiPriority w:val="20"/>
  </w:style>
  <w:style w:type="character" w:styleId="41">
    <w:name w:val="HTML Definition"/>
    <w:unhideWhenUsed/>
    <w:qFormat/>
    <w:uiPriority w:val="99"/>
  </w:style>
  <w:style w:type="character" w:styleId="42">
    <w:name w:val="HTML Variable"/>
    <w:unhideWhenUsed/>
    <w:qFormat/>
    <w:uiPriority w:val="99"/>
  </w:style>
  <w:style w:type="character" w:styleId="43">
    <w:name w:val="Hyperlink"/>
    <w:basedOn w:val="37"/>
    <w:qFormat/>
    <w:uiPriority w:val="99"/>
    <w:rPr>
      <w:color w:val="2D64B3"/>
      <w:u w:val="none"/>
    </w:rPr>
  </w:style>
  <w:style w:type="character" w:styleId="44">
    <w:name w:val="HTML Code"/>
    <w:unhideWhenUsed/>
    <w:qFormat/>
    <w:uiPriority w:val="99"/>
    <w:rPr>
      <w:rFonts w:ascii="Arial" w:hAnsi="Arial" w:cs="Arial"/>
      <w:sz w:val="20"/>
    </w:rPr>
  </w:style>
  <w:style w:type="character" w:styleId="45">
    <w:name w:val="annotation reference"/>
    <w:basedOn w:val="37"/>
    <w:qFormat/>
    <w:uiPriority w:val="99"/>
    <w:rPr>
      <w:sz w:val="21"/>
      <w:szCs w:val="21"/>
    </w:rPr>
  </w:style>
  <w:style w:type="character" w:styleId="46">
    <w:name w:val="HTML Cite"/>
    <w:unhideWhenUsed/>
    <w:qFormat/>
    <w:uiPriority w:val="99"/>
  </w:style>
  <w:style w:type="character" w:styleId="47">
    <w:name w:val="HTML Keyboard"/>
    <w:unhideWhenUsed/>
    <w:qFormat/>
    <w:uiPriority w:val="99"/>
    <w:rPr>
      <w:rFonts w:ascii="Arial" w:hAnsi="Arial" w:cs="Arial"/>
      <w:sz w:val="20"/>
    </w:rPr>
  </w:style>
  <w:style w:type="character" w:styleId="48">
    <w:name w:val="HTML Sample"/>
    <w:unhideWhenUsed/>
    <w:qFormat/>
    <w:uiPriority w:val="99"/>
    <w:rPr>
      <w:rFonts w:hint="eastAsia" w:ascii="Arial" w:hAnsi="Arial" w:cs="Arial"/>
    </w:rPr>
  </w:style>
  <w:style w:type="character" w:customStyle="1" w:styleId="49">
    <w:name w:val="标题 1 Char"/>
    <w:link w:val="3"/>
    <w:qFormat/>
    <w:uiPriority w:val="0"/>
    <w:rPr>
      <w:b/>
      <w:kern w:val="44"/>
      <w:sz w:val="44"/>
    </w:rPr>
  </w:style>
  <w:style w:type="character" w:customStyle="1" w:styleId="50">
    <w:name w:val="标题 2 Char"/>
    <w:link w:val="4"/>
    <w:qFormat/>
    <w:uiPriority w:val="0"/>
    <w:rPr>
      <w:rFonts w:ascii="Arial" w:hAnsi="Arial"/>
      <w:b/>
      <w:bCs/>
      <w:kern w:val="2"/>
      <w:sz w:val="32"/>
      <w:szCs w:val="32"/>
    </w:rPr>
  </w:style>
  <w:style w:type="character" w:customStyle="1" w:styleId="51">
    <w:name w:val="标题 3 Char"/>
    <w:link w:val="5"/>
    <w:qFormat/>
    <w:uiPriority w:val="0"/>
    <w:rPr>
      <w:rFonts w:eastAsia="仿宋"/>
      <w:b/>
      <w:bCs/>
      <w:sz w:val="32"/>
      <w:szCs w:val="32"/>
    </w:rPr>
  </w:style>
  <w:style w:type="character" w:customStyle="1" w:styleId="52">
    <w:name w:val="标题 4 Char"/>
    <w:basedOn w:val="37"/>
    <w:link w:val="7"/>
    <w:semiHidden/>
    <w:qFormat/>
    <w:uiPriority w:val="9"/>
    <w:rPr>
      <w:rFonts w:asciiTheme="majorHAnsi" w:hAnsiTheme="majorHAnsi" w:eastAsiaTheme="majorEastAsia" w:cstheme="majorBidi"/>
      <w:b/>
      <w:bCs/>
      <w:kern w:val="2"/>
      <w:sz w:val="28"/>
      <w:szCs w:val="28"/>
    </w:rPr>
  </w:style>
  <w:style w:type="character" w:customStyle="1" w:styleId="53">
    <w:name w:val="release-day"/>
    <w:qFormat/>
    <w:uiPriority w:val="0"/>
    <w:rPr>
      <w:bdr w:val="single" w:color="BDEBB0" w:sz="6" w:space="0"/>
      <w:shd w:val="clear" w:color="auto" w:fill="F5FFF1"/>
    </w:rPr>
  </w:style>
  <w:style w:type="character" w:customStyle="1" w:styleId="54">
    <w:name w:val="style11"/>
    <w:qFormat/>
    <w:uiPriority w:val="0"/>
    <w:rPr>
      <w:color w:val="FFFFFF"/>
    </w:rPr>
  </w:style>
  <w:style w:type="character" w:customStyle="1" w:styleId="55">
    <w:name w:val="bds_more2"/>
    <w:basedOn w:val="37"/>
    <w:qFormat/>
    <w:uiPriority w:val="0"/>
  </w:style>
  <w:style w:type="character" w:customStyle="1" w:styleId="56">
    <w:name w:val="标题 2 Char1"/>
    <w:qFormat/>
    <w:uiPriority w:val="0"/>
    <w:rPr>
      <w:rFonts w:ascii="Arial" w:hAnsi="Arial" w:eastAsia="黑体"/>
      <w:b/>
      <w:bCs/>
      <w:kern w:val="2"/>
      <w:sz w:val="32"/>
      <w:szCs w:val="32"/>
      <w:lang w:val="en-US" w:eastAsia="zh-CN" w:bidi="ar-SA"/>
    </w:rPr>
  </w:style>
  <w:style w:type="character" w:customStyle="1" w:styleId="57">
    <w:name w:val="bds_nopic"/>
    <w:basedOn w:val="37"/>
    <w:qFormat/>
    <w:uiPriority w:val="0"/>
  </w:style>
  <w:style w:type="character" w:customStyle="1" w:styleId="58">
    <w:name w:val="bds_more1"/>
    <w:qFormat/>
    <w:uiPriority w:val="0"/>
    <w:rPr>
      <w:rFonts w:hint="eastAsia" w:ascii="宋体" w:hAnsi="宋体" w:eastAsia="宋体" w:cs="宋体"/>
    </w:rPr>
  </w:style>
  <w:style w:type="character" w:customStyle="1" w:styleId="59">
    <w:name w:val="bds_more"/>
    <w:basedOn w:val="37"/>
    <w:qFormat/>
    <w:uiPriority w:val="0"/>
  </w:style>
  <w:style w:type="character" w:customStyle="1" w:styleId="60">
    <w:name w:val="副标题 Char"/>
    <w:link w:val="25"/>
    <w:qFormat/>
    <w:uiPriority w:val="0"/>
    <w:rPr>
      <w:rFonts w:ascii="Arial" w:hAnsi="Arial" w:eastAsiaTheme="majorEastAsia" w:cstheme="majorBidi"/>
      <w:bCs/>
      <w:sz w:val="28"/>
    </w:rPr>
  </w:style>
  <w:style w:type="character" w:customStyle="1" w:styleId="61">
    <w:name w:val="批注框文本 Char"/>
    <w:link w:val="20"/>
    <w:qFormat/>
    <w:uiPriority w:val="0"/>
    <w:rPr>
      <w:kern w:val="2"/>
      <w:sz w:val="18"/>
      <w:szCs w:val="18"/>
    </w:rPr>
  </w:style>
  <w:style w:type="character" w:customStyle="1" w:styleId="62">
    <w:name w:val="legend"/>
    <w:qFormat/>
    <w:uiPriority w:val="0"/>
    <w:rPr>
      <w:rFonts w:ascii="Arial" w:hAnsi="Arial" w:cs="Arial"/>
      <w:b/>
      <w:color w:val="73B304"/>
      <w:sz w:val="21"/>
      <w:szCs w:val="21"/>
      <w:shd w:val="clear" w:color="auto" w:fill="FFFFFF"/>
    </w:rPr>
  </w:style>
  <w:style w:type="character" w:customStyle="1" w:styleId="63">
    <w:name w:val="正文文本 Char"/>
    <w:link w:val="13"/>
    <w:qFormat/>
    <w:uiPriority w:val="0"/>
    <w:rPr>
      <w:kern w:val="2"/>
      <w:sz w:val="21"/>
    </w:rPr>
  </w:style>
  <w:style w:type="character" w:customStyle="1" w:styleId="64">
    <w:name w:val="num"/>
    <w:qFormat/>
    <w:uiPriority w:val="0"/>
    <w:rPr>
      <w:b/>
      <w:color w:val="FF7800"/>
    </w:rPr>
  </w:style>
  <w:style w:type="paragraph" w:customStyle="1" w:styleId="65">
    <w:name w:val="p0"/>
    <w:basedOn w:val="1"/>
    <w:qFormat/>
    <w:uiPriority w:val="0"/>
    <w:pPr>
      <w:widowControl/>
    </w:pPr>
    <w:rPr>
      <w:kern w:val="0"/>
      <w:szCs w:val="21"/>
    </w:rPr>
  </w:style>
  <w:style w:type="paragraph" w:customStyle="1" w:styleId="66">
    <w:name w:val="op_mapdots_left"/>
    <w:basedOn w:val="1"/>
    <w:qFormat/>
    <w:uiPriority w:val="0"/>
    <w:pPr>
      <w:widowControl/>
    </w:pPr>
    <w:rPr>
      <w:rFonts w:ascii="宋体" w:hAnsi="宋体" w:cs="宋体"/>
      <w:kern w:val="0"/>
    </w:rPr>
  </w:style>
  <w:style w:type="paragraph" w:customStyle="1" w:styleId="67">
    <w:name w:val="TOC 标题1"/>
    <w:basedOn w:val="3"/>
    <w:next w:val="1"/>
    <w:unhideWhenUsed/>
    <w:qFormat/>
    <w:uiPriority w:val="39"/>
    <w:pPr>
      <w:widowControl/>
      <w:spacing w:before="480" w:after="0" w:line="276" w:lineRule="auto"/>
      <w:jc w:val="left"/>
      <w:outlineLvl w:val="9"/>
    </w:pPr>
    <w:rPr>
      <w:rFonts w:ascii="Cambria" w:hAnsi="Cambria"/>
      <w:bCs/>
      <w:color w:val="365F91"/>
      <w:kern w:val="0"/>
      <w:sz w:val="28"/>
      <w:szCs w:val="28"/>
    </w:rPr>
  </w:style>
  <w:style w:type="character" w:customStyle="1" w:styleId="68">
    <w:name w:val="正文文本 + 间距 0 pt1"/>
    <w:basedOn w:val="63"/>
    <w:qFormat/>
    <w:uiPriority w:val="0"/>
    <w:rPr>
      <w:rFonts w:ascii="Arial Unicode MS" w:hAnsi="Calibri" w:eastAsia="Arial Unicode MS" w:cs="Arial Unicode MS"/>
      <w:spacing w:val="4"/>
      <w:kern w:val="2"/>
      <w:sz w:val="15"/>
      <w:szCs w:val="15"/>
    </w:rPr>
  </w:style>
  <w:style w:type="paragraph" w:styleId="69">
    <w:name w:val="List Paragraph"/>
    <w:basedOn w:val="1"/>
    <w:qFormat/>
    <w:uiPriority w:val="99"/>
    <w:pPr>
      <w:ind w:firstLine="420" w:firstLineChars="200"/>
    </w:pPr>
  </w:style>
  <w:style w:type="character" w:customStyle="1" w:styleId="70">
    <w:name w:val="页脚 Char"/>
    <w:basedOn w:val="37"/>
    <w:link w:val="21"/>
    <w:qFormat/>
    <w:uiPriority w:val="99"/>
    <w:rPr>
      <w:kern w:val="2"/>
      <w:sz w:val="18"/>
      <w:szCs w:val="18"/>
    </w:rPr>
  </w:style>
  <w:style w:type="character" w:customStyle="1" w:styleId="71">
    <w:name w:val="页眉 Char"/>
    <w:basedOn w:val="37"/>
    <w:link w:val="22"/>
    <w:qFormat/>
    <w:uiPriority w:val="0"/>
    <w:rPr>
      <w:kern w:val="2"/>
      <w:sz w:val="18"/>
      <w:szCs w:val="18"/>
    </w:rPr>
  </w:style>
  <w:style w:type="character" w:customStyle="1" w:styleId="72">
    <w:name w:val="标题 Char"/>
    <w:basedOn w:val="37"/>
    <w:link w:val="31"/>
    <w:qFormat/>
    <w:uiPriority w:val="10"/>
    <w:rPr>
      <w:rFonts w:eastAsia="仿宋" w:asciiTheme="majorHAnsi" w:hAnsiTheme="majorHAnsi" w:cstheme="majorBidi"/>
      <w:b/>
      <w:bCs/>
      <w:kern w:val="2"/>
      <w:sz w:val="32"/>
      <w:szCs w:val="32"/>
    </w:rPr>
  </w:style>
  <w:style w:type="character" w:customStyle="1" w:styleId="73">
    <w:name w:val="正文文本缩进 Char"/>
    <w:basedOn w:val="37"/>
    <w:link w:val="14"/>
    <w:qFormat/>
    <w:uiPriority w:val="0"/>
    <w:rPr>
      <w:rFonts w:eastAsia="仿宋"/>
      <w:kern w:val="2"/>
      <w:sz w:val="24"/>
      <w:szCs w:val="24"/>
    </w:rPr>
  </w:style>
  <w:style w:type="character" w:customStyle="1" w:styleId="74">
    <w:name w:val="批注文字 Char"/>
    <w:basedOn w:val="37"/>
    <w:link w:val="11"/>
    <w:qFormat/>
    <w:uiPriority w:val="0"/>
    <w:rPr>
      <w:rFonts w:ascii="Calibri" w:hAnsi="Calibri"/>
      <w:kern w:val="2"/>
      <w:sz w:val="21"/>
      <w:szCs w:val="24"/>
    </w:rPr>
  </w:style>
  <w:style w:type="character" w:customStyle="1" w:styleId="75">
    <w:name w:val="批注主题 Char"/>
    <w:basedOn w:val="74"/>
    <w:link w:val="32"/>
    <w:qFormat/>
    <w:uiPriority w:val="0"/>
    <w:rPr>
      <w:rFonts w:ascii="Calibri" w:hAnsi="Calibri"/>
      <w:b/>
      <w:bCs/>
      <w:kern w:val="2"/>
      <w:sz w:val="21"/>
      <w:szCs w:val="24"/>
    </w:rPr>
  </w:style>
  <w:style w:type="character" w:customStyle="1" w:styleId="76">
    <w:name w:val="文档结构图 Char"/>
    <w:basedOn w:val="37"/>
    <w:link w:val="9"/>
    <w:qFormat/>
    <w:uiPriority w:val="0"/>
    <w:rPr>
      <w:rFonts w:ascii="宋体" w:hAnsi="Calibri"/>
      <w:kern w:val="2"/>
      <w:sz w:val="18"/>
      <w:szCs w:val="18"/>
    </w:rPr>
  </w:style>
  <w:style w:type="character" w:customStyle="1" w:styleId="77">
    <w:name w:val="font91"/>
    <w:qFormat/>
    <w:uiPriority w:val="0"/>
    <w:rPr>
      <w:rFonts w:hint="eastAsia" w:ascii="宋体" w:hAnsi="宋体" w:eastAsia="宋体" w:cs="宋体"/>
      <w:color w:val="FF0000"/>
      <w:sz w:val="21"/>
      <w:szCs w:val="21"/>
      <w:u w:val="single"/>
    </w:rPr>
  </w:style>
  <w:style w:type="character" w:customStyle="1" w:styleId="78">
    <w:name w:val="font101"/>
    <w:qFormat/>
    <w:uiPriority w:val="0"/>
    <w:rPr>
      <w:rFonts w:hint="eastAsia" w:ascii="宋体" w:hAnsi="宋体" w:eastAsia="宋体" w:cs="宋体"/>
      <w:color w:val="000000"/>
      <w:sz w:val="21"/>
      <w:szCs w:val="21"/>
      <w:u w:val="single"/>
    </w:rPr>
  </w:style>
  <w:style w:type="character" w:customStyle="1" w:styleId="79">
    <w:name w:val="font111"/>
    <w:qFormat/>
    <w:uiPriority w:val="0"/>
    <w:rPr>
      <w:rFonts w:hint="default" w:ascii="Eʩ" w:hAnsi="Eʩ" w:eastAsia="Eʩ" w:cs="Eʩ"/>
      <w:color w:val="000000"/>
      <w:sz w:val="21"/>
      <w:szCs w:val="21"/>
      <w:u w:val="single"/>
    </w:rPr>
  </w:style>
  <w:style w:type="character" w:customStyle="1" w:styleId="80">
    <w:name w:val="font31"/>
    <w:qFormat/>
    <w:uiPriority w:val="0"/>
    <w:rPr>
      <w:rFonts w:hint="eastAsia" w:ascii="宋体" w:hAnsi="宋体" w:eastAsia="宋体" w:cs="宋体"/>
      <w:color w:val="000000"/>
      <w:sz w:val="21"/>
      <w:szCs w:val="21"/>
      <w:u w:val="none"/>
    </w:rPr>
  </w:style>
  <w:style w:type="paragraph" w:customStyle="1" w:styleId="81">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82">
    <w:name w:val="样式 首行缩进:  2 字符"/>
    <w:basedOn w:val="1"/>
    <w:qFormat/>
    <w:uiPriority w:val="0"/>
    <w:pPr>
      <w:spacing w:after="160" w:line="400" w:lineRule="exact"/>
      <w:ind w:firstLine="200" w:firstLineChars="200"/>
      <w:jc w:val="both"/>
    </w:pPr>
    <w:rPr>
      <w:rFonts w:ascii="Calibri" w:hAnsi="Calibri" w:eastAsia="宋体" w:cs="宋体"/>
    </w:rPr>
  </w:style>
  <w:style w:type="paragraph" w:customStyle="1" w:styleId="83">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84">
    <w:name w:val="正文首行缩进两字符"/>
    <w:basedOn w:val="1"/>
    <w:qFormat/>
    <w:uiPriority w:val="0"/>
    <w:pPr>
      <w:spacing w:after="160"/>
      <w:ind w:firstLine="200" w:firstLineChars="200"/>
      <w:jc w:val="both"/>
    </w:pPr>
    <w:rPr>
      <w:rFonts w:ascii="Calibri" w:hAnsi="Calibri" w:eastAsia="宋体"/>
      <w:sz w:val="21"/>
    </w:rPr>
  </w:style>
  <w:style w:type="character" w:customStyle="1" w:styleId="85">
    <w:name w:val="批注文字 Char1"/>
    <w:basedOn w:val="37"/>
    <w:qFormat/>
    <w:uiPriority w:val="0"/>
    <w:rPr>
      <w:rFonts w:ascii="Times New Roman" w:hAnsi="Times New Roman" w:eastAsia="宋体" w:cs="Times New Roman"/>
      <w:szCs w:val="24"/>
    </w:rPr>
  </w:style>
  <w:style w:type="paragraph" w:customStyle="1" w:styleId="86">
    <w:name w:val="修订1"/>
    <w:hidden/>
    <w:unhideWhenUsed/>
    <w:qFormat/>
    <w:uiPriority w:val="99"/>
    <w:rPr>
      <w:rFonts w:ascii="Calibri" w:hAnsi="Calibri" w:eastAsia="宋体" w:cs="Times New Roman"/>
      <w:kern w:val="2"/>
      <w:sz w:val="21"/>
      <w:szCs w:val="24"/>
      <w:lang w:val="en-US" w:eastAsia="zh-CN" w:bidi="ar-SA"/>
    </w:rPr>
  </w:style>
  <w:style w:type="paragraph" w:customStyle="1" w:styleId="87">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88">
    <w:name w:val="img"/>
    <w:basedOn w:val="37"/>
    <w:qFormat/>
    <w:uiPriority w:val="0"/>
  </w:style>
  <w:style w:type="character" w:customStyle="1" w:styleId="89">
    <w:name w:val="img1"/>
    <w:basedOn w:val="37"/>
    <w:qFormat/>
    <w:uiPriority w:val="0"/>
  </w:style>
  <w:style w:type="paragraph" w:customStyle="1" w:styleId="90">
    <w:name w:val="Table Paragraph"/>
    <w:basedOn w:val="1"/>
    <w:qFormat/>
    <w:uiPriority w:val="0"/>
    <w:rPr>
      <w:rFonts w:ascii="宋体" w:hAnsi="宋体" w:cs="宋体"/>
      <w:kern w:val="0"/>
      <w:sz w:val="34"/>
      <w:lang w:val="zh-CN" w:bidi="zh-CN"/>
    </w:rPr>
  </w:style>
  <w:style w:type="paragraph" w:customStyle="1" w:styleId="91">
    <w:name w:val="_正文段落"/>
    <w:basedOn w:val="1"/>
    <w:qFormat/>
    <w:uiPriority w:val="0"/>
    <w:pPr>
      <w:jc w:val="both"/>
    </w:pPr>
    <w:rPr>
      <w:rFonts w:ascii="Calibri" w:hAnsi="Calibri" w:eastAsia="仿宋_GB2312"/>
      <w:sz w:val="28"/>
    </w:rPr>
  </w:style>
  <w:style w:type="paragraph" w:customStyle="1" w:styleId="92">
    <w:name w:val="TOC 标题2"/>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character" w:customStyle="1" w:styleId="93">
    <w:name w:val="未处理的提及1"/>
    <w:basedOn w:val="37"/>
    <w:semiHidden/>
    <w:unhideWhenUsed/>
    <w:qFormat/>
    <w:uiPriority w:val="99"/>
    <w:rPr>
      <w:color w:val="605E5C"/>
      <w:shd w:val="clear" w:color="auto" w:fill="E1DFDD"/>
    </w:rPr>
  </w:style>
  <w:style w:type="paragraph" w:customStyle="1" w:styleId="94">
    <w:name w:val="列出段落2"/>
    <w:basedOn w:val="1"/>
    <w:qFormat/>
    <w:uiPriority w:val="0"/>
    <w:pPr>
      <w:spacing w:line="240" w:lineRule="auto"/>
      <w:ind w:firstLine="420" w:firstLineChars="200"/>
    </w:pPr>
    <w:rPr>
      <w:szCs w:val="22"/>
    </w:rPr>
  </w:style>
  <w:style w:type="paragraph" w:customStyle="1" w:styleId="9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6">
    <w:name w:val="CD正文"/>
    <w:basedOn w:val="97"/>
    <w:qFormat/>
    <w:uiPriority w:val="0"/>
  </w:style>
  <w:style w:type="paragraph" w:customStyle="1" w:styleId="97">
    <w:name w:val="文章正文"/>
    <w:basedOn w:val="1"/>
    <w:qFormat/>
    <w:uiPriority w:val="0"/>
    <w:pPr>
      <w:ind w:firstLine="420"/>
    </w:pPr>
  </w:style>
  <w:style w:type="paragraph" w:customStyle="1" w:styleId="98">
    <w:name w:val="列出段落11"/>
    <w:basedOn w:val="1"/>
    <w:qFormat/>
    <w:uiPriority w:val="0"/>
    <w:pPr>
      <w:ind w:left="720"/>
      <w:contextualSpacing/>
    </w:pPr>
    <w:rPr>
      <w:color w:val="000000"/>
      <w:kern w:val="1"/>
      <w:lang w:val="zh-CN"/>
    </w:rPr>
  </w:style>
  <w:style w:type="paragraph" w:customStyle="1" w:styleId="99">
    <w:name w:val="*正文"/>
    <w:basedOn w:val="1"/>
    <w:qFormat/>
    <w:uiPriority w:val="0"/>
    <w:pPr>
      <w:widowControl/>
      <w:ind w:firstLine="480"/>
    </w:pPr>
    <w:rPr>
      <w:color w:val="000000"/>
      <w:kern w:val="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37.png"/><Relationship Id="rId57" Type="http://schemas.openxmlformats.org/officeDocument/2006/relationships/image" Target="media/image36.png"/><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header" Target="header1.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endnotes" Target="endnotes.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theme" Target="theme/theme1.xml"/><Relationship Id="rId21" Type="http://schemas.openxmlformats.org/officeDocument/2006/relationships/footer" Target="footer5.xml"/><Relationship Id="rId20" Type="http://schemas.openxmlformats.org/officeDocument/2006/relationships/header" Target="header12.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footer" Target="footer4.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footer" Target="footer2.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4098"/>
    <customShpInfo spid="_x0000_s4099"/>
    <customShpInfo spid="_x0000_s4097"/>
    <customShpInfo spid="_x0000_s4101"/>
    <customShpInfo spid="_x0000_s4102"/>
    <customShpInfo spid="_x0000_s4100"/>
    <customShpInfo spid="_x0000_s1026" textRotate="1"/>
    <customShpInfo spid="_x0000_s4104"/>
    <customShpInfo spid="_x0000_s4105"/>
    <customShpInfo spid="_x0000_s4103"/>
    <customShpInfo spid="_x0000_s4107"/>
    <customShpInfo spid="_x0000_s4108"/>
    <customShpInfo spid="_x0000_s410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972392-A72B-4B96-B867-2F3B2DF8EFD8}">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180</Pages>
  <Words>14403</Words>
  <Characters>82098</Characters>
  <Lines>684</Lines>
  <Paragraphs>192</Paragraphs>
  <TotalTime>23</TotalTime>
  <ScaleCrop>false</ScaleCrop>
  <LinksUpToDate>false</LinksUpToDate>
  <CharactersWithSpaces>96309</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2015-08-04T00:59:00Z</dcterms:created>
  <dc:creator>微软用户</dc:creator>
  <cp:lastModifiedBy>Grace</cp:lastModifiedBy>
  <cp:lastPrinted>2021-11-18T05:19:00Z</cp:lastPrinted>
  <dcterms:modified xsi:type="dcterms:W3CDTF">2021-11-18T14:45:46Z</dcterms:modified>
  <dc:title>目   录 </dc:title>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DF62E38B9C2E4073A5F1C84FEE679410</vt:lpwstr>
  </property>
</Properties>
</file>