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华文仿宋" w:hAnsi="华文仿宋" w:eastAsia="华文仿宋" w:cs="华文仿宋"/>
          <w:b/>
          <w:color w:val="auto"/>
          <w:sz w:val="52"/>
          <w:szCs w:val="52"/>
          <w:highlight w:val="none"/>
        </w:rPr>
      </w:pPr>
    </w:p>
    <w:p>
      <w:pPr>
        <w:jc w:val="center"/>
        <w:rPr>
          <w:rFonts w:ascii="华文仿宋" w:hAnsi="华文仿宋" w:eastAsia="华文仿宋" w:cs="华文仿宋"/>
          <w:b/>
          <w:color w:val="auto"/>
          <w:sz w:val="52"/>
          <w:szCs w:val="52"/>
          <w:highlight w:val="none"/>
        </w:rPr>
      </w:pPr>
      <w:r>
        <w:rPr>
          <w:rFonts w:hint="eastAsia" w:ascii="华文仿宋" w:hAnsi="华文仿宋" w:eastAsia="华文仿宋" w:cs="华文仿宋"/>
          <w:b/>
          <w:color w:val="auto"/>
          <w:sz w:val="48"/>
          <w:szCs w:val="48"/>
          <w:highlight w:val="none"/>
        </w:rPr>
        <w:t>温江区规划和自然资源局城市展示中心机房、网络和数据安全系统建设项目</w:t>
      </w:r>
    </w:p>
    <w:p>
      <w:pPr>
        <w:tabs>
          <w:tab w:val="left" w:pos="2505"/>
          <w:tab w:val="center" w:pos="4204"/>
        </w:tabs>
        <w:jc w:val="center"/>
        <w:rPr>
          <w:rFonts w:ascii="华文仿宋" w:hAnsi="华文仿宋" w:eastAsia="华文仿宋" w:cs="华文仿宋"/>
          <w:b/>
          <w:color w:val="auto"/>
          <w:sz w:val="52"/>
          <w:szCs w:val="52"/>
          <w:highlight w:val="none"/>
        </w:rPr>
      </w:pPr>
    </w:p>
    <w:p>
      <w:pPr>
        <w:tabs>
          <w:tab w:val="left" w:pos="2505"/>
          <w:tab w:val="center" w:pos="4204"/>
        </w:tabs>
        <w:jc w:val="center"/>
        <w:rPr>
          <w:rFonts w:ascii="华文仿宋" w:hAnsi="华文仿宋" w:eastAsia="华文仿宋" w:cs="华文仿宋"/>
          <w:b/>
          <w:color w:val="auto"/>
          <w:sz w:val="52"/>
          <w:szCs w:val="52"/>
          <w:highlight w:val="none"/>
        </w:rPr>
      </w:pPr>
    </w:p>
    <w:p>
      <w:pPr>
        <w:tabs>
          <w:tab w:val="left" w:pos="2505"/>
          <w:tab w:val="center" w:pos="4204"/>
        </w:tabs>
        <w:jc w:val="center"/>
        <w:rPr>
          <w:rFonts w:ascii="华文仿宋" w:hAnsi="华文仿宋" w:eastAsia="华文仿宋" w:cs="华文仿宋"/>
          <w:b/>
          <w:color w:val="auto"/>
          <w:sz w:val="52"/>
          <w:szCs w:val="52"/>
          <w:highlight w:val="none"/>
        </w:rPr>
      </w:pPr>
      <w:r>
        <w:rPr>
          <w:rFonts w:hint="eastAsia" w:ascii="华文仿宋" w:hAnsi="华文仿宋" w:eastAsia="华文仿宋" w:cs="华文仿宋"/>
          <w:b/>
          <w:color w:val="auto"/>
          <w:sz w:val="52"/>
          <w:szCs w:val="52"/>
          <w:highlight w:val="none"/>
        </w:rPr>
        <w:t>招</w:t>
      </w:r>
    </w:p>
    <w:p>
      <w:pPr>
        <w:pStyle w:val="9"/>
        <w:rPr>
          <w:b/>
          <w:color w:val="auto"/>
          <w:highlight w:val="none"/>
        </w:rPr>
      </w:pPr>
    </w:p>
    <w:p>
      <w:pPr>
        <w:jc w:val="center"/>
        <w:rPr>
          <w:rFonts w:ascii="华文仿宋" w:hAnsi="华文仿宋" w:eastAsia="华文仿宋" w:cs="华文仿宋"/>
          <w:b/>
          <w:color w:val="auto"/>
          <w:sz w:val="52"/>
          <w:szCs w:val="52"/>
          <w:highlight w:val="none"/>
        </w:rPr>
      </w:pPr>
      <w:r>
        <w:rPr>
          <w:rFonts w:hint="eastAsia" w:ascii="华文仿宋" w:hAnsi="华文仿宋" w:eastAsia="华文仿宋" w:cs="华文仿宋"/>
          <w:b/>
          <w:color w:val="auto"/>
          <w:sz w:val="52"/>
          <w:szCs w:val="52"/>
          <w:highlight w:val="none"/>
        </w:rPr>
        <w:t>标</w:t>
      </w:r>
    </w:p>
    <w:p>
      <w:pPr>
        <w:pStyle w:val="9"/>
        <w:rPr>
          <w:b/>
          <w:color w:val="auto"/>
          <w:highlight w:val="none"/>
        </w:rPr>
      </w:pPr>
    </w:p>
    <w:p>
      <w:pPr>
        <w:jc w:val="center"/>
        <w:rPr>
          <w:rFonts w:ascii="华文仿宋" w:hAnsi="华文仿宋" w:eastAsia="华文仿宋" w:cs="华文仿宋"/>
          <w:b/>
          <w:color w:val="auto"/>
          <w:sz w:val="52"/>
          <w:szCs w:val="52"/>
          <w:highlight w:val="none"/>
        </w:rPr>
      </w:pPr>
      <w:r>
        <w:rPr>
          <w:rFonts w:hint="eastAsia" w:ascii="华文仿宋" w:hAnsi="华文仿宋" w:eastAsia="华文仿宋" w:cs="华文仿宋"/>
          <w:b/>
          <w:color w:val="auto"/>
          <w:sz w:val="52"/>
          <w:szCs w:val="52"/>
          <w:highlight w:val="none"/>
        </w:rPr>
        <w:t>文</w:t>
      </w:r>
    </w:p>
    <w:p>
      <w:pPr>
        <w:pStyle w:val="9"/>
        <w:rPr>
          <w:b/>
          <w:color w:val="auto"/>
          <w:highlight w:val="none"/>
        </w:rPr>
      </w:pPr>
    </w:p>
    <w:p>
      <w:pPr>
        <w:jc w:val="center"/>
        <w:rPr>
          <w:rFonts w:ascii="华文仿宋" w:hAnsi="华文仿宋" w:eastAsia="华文仿宋" w:cs="华文仿宋"/>
          <w:b/>
          <w:color w:val="auto"/>
          <w:sz w:val="52"/>
          <w:szCs w:val="52"/>
          <w:highlight w:val="none"/>
        </w:rPr>
      </w:pPr>
      <w:r>
        <w:rPr>
          <w:rFonts w:hint="eastAsia" w:ascii="华文仿宋" w:hAnsi="华文仿宋" w:eastAsia="华文仿宋" w:cs="华文仿宋"/>
          <w:b/>
          <w:color w:val="auto"/>
          <w:sz w:val="52"/>
          <w:szCs w:val="52"/>
          <w:highlight w:val="none"/>
        </w:rPr>
        <w:t>件</w:t>
      </w:r>
    </w:p>
    <w:p>
      <w:pPr>
        <w:spacing w:line="360" w:lineRule="auto"/>
        <w:rPr>
          <w:rFonts w:ascii="华文仿宋" w:hAnsi="华文仿宋" w:eastAsia="华文仿宋" w:cs="华文仿宋"/>
          <w:b/>
          <w:color w:val="auto"/>
          <w:sz w:val="32"/>
          <w:szCs w:val="32"/>
          <w:highlight w:val="none"/>
        </w:rPr>
      </w:pPr>
    </w:p>
    <w:p>
      <w:pPr>
        <w:pStyle w:val="9"/>
        <w:rPr>
          <w:rFonts w:ascii="华文仿宋" w:hAnsi="华文仿宋" w:eastAsia="华文仿宋" w:cs="华文仿宋"/>
          <w:b/>
          <w:color w:val="auto"/>
          <w:sz w:val="32"/>
          <w:szCs w:val="32"/>
          <w:highlight w:val="none"/>
        </w:rPr>
      </w:pPr>
    </w:p>
    <w:p>
      <w:pPr>
        <w:rPr>
          <w:color w:val="auto"/>
          <w:highlight w:val="none"/>
        </w:rPr>
      </w:pPr>
    </w:p>
    <w:p>
      <w:pPr>
        <w:rPr>
          <w:color w:val="auto"/>
          <w:highlight w:val="none"/>
        </w:rPr>
      </w:pPr>
    </w:p>
    <w:p>
      <w:pPr>
        <w:pStyle w:val="9"/>
        <w:rPr>
          <w:color w:val="auto"/>
          <w:highlight w:val="none"/>
        </w:rPr>
      </w:pPr>
    </w:p>
    <w:p>
      <w:pPr>
        <w:spacing w:line="360" w:lineRule="auto"/>
        <w:jc w:val="center"/>
        <w:rPr>
          <w:rFonts w:ascii="华文仿宋" w:hAnsi="华文仿宋" w:eastAsia="华文仿宋" w:cs="华文仿宋"/>
          <w:b/>
          <w:color w:val="auto"/>
          <w:sz w:val="32"/>
          <w:szCs w:val="32"/>
          <w:highlight w:val="none"/>
        </w:rPr>
      </w:pPr>
      <w:r>
        <w:rPr>
          <w:rFonts w:hint="eastAsia" w:ascii="华文仿宋" w:hAnsi="华文仿宋" w:eastAsia="华文仿宋" w:cs="华文仿宋"/>
          <w:b/>
          <w:color w:val="auto"/>
          <w:sz w:val="32"/>
          <w:szCs w:val="32"/>
          <w:highlight w:val="none"/>
        </w:rPr>
        <w:t>中国·四川</w:t>
      </w:r>
    </w:p>
    <w:p>
      <w:pPr>
        <w:spacing w:line="360" w:lineRule="auto"/>
        <w:jc w:val="center"/>
        <w:rPr>
          <w:rFonts w:ascii="华文仿宋" w:hAnsi="华文仿宋" w:eastAsia="华文仿宋" w:cs="华文仿宋"/>
          <w:b/>
          <w:color w:val="auto"/>
          <w:sz w:val="32"/>
          <w:szCs w:val="32"/>
          <w:highlight w:val="none"/>
        </w:rPr>
      </w:pPr>
      <w:r>
        <w:rPr>
          <w:rFonts w:hint="eastAsia" w:ascii="华文仿宋" w:hAnsi="华文仿宋" w:eastAsia="华文仿宋" w:cs="华文仿宋"/>
          <w:b/>
          <w:color w:val="auto"/>
          <w:sz w:val="32"/>
          <w:szCs w:val="32"/>
          <w:highlight w:val="none"/>
        </w:rPr>
        <w:t>采购人：成都市温江区规划信息服务中心</w:t>
      </w:r>
    </w:p>
    <w:p>
      <w:pPr>
        <w:spacing w:line="360" w:lineRule="auto"/>
        <w:jc w:val="center"/>
        <w:rPr>
          <w:rFonts w:ascii="华文仿宋" w:hAnsi="华文仿宋" w:eastAsia="华文仿宋" w:cs="华文仿宋"/>
          <w:b/>
          <w:color w:val="auto"/>
          <w:sz w:val="32"/>
          <w:szCs w:val="32"/>
          <w:highlight w:val="none"/>
        </w:rPr>
      </w:pPr>
      <w:r>
        <w:rPr>
          <w:rFonts w:hint="eastAsia" w:ascii="华文仿宋" w:hAnsi="华文仿宋" w:eastAsia="华文仿宋" w:cs="华文仿宋"/>
          <w:b/>
          <w:color w:val="auto"/>
          <w:sz w:val="32"/>
          <w:szCs w:val="32"/>
          <w:highlight w:val="none"/>
        </w:rPr>
        <w:t>采购代理机构：四川好特建设工程有限公司</w:t>
      </w:r>
    </w:p>
    <w:p>
      <w:pPr>
        <w:pStyle w:val="9"/>
        <w:jc w:val="center"/>
        <w:rPr>
          <w:rFonts w:ascii="华文仿宋" w:hAnsi="华文仿宋" w:eastAsia="华文仿宋" w:cs="华文仿宋"/>
          <w:b/>
          <w:bCs/>
          <w:color w:val="auto"/>
          <w:sz w:val="32"/>
          <w:szCs w:val="32"/>
          <w:highlight w:val="none"/>
          <w:lang w:val="zh-CN"/>
        </w:rPr>
      </w:pPr>
      <w:r>
        <w:rPr>
          <w:rFonts w:hint="eastAsia" w:ascii="华文仿宋" w:hAnsi="华文仿宋" w:eastAsia="华文仿宋" w:cs="华文仿宋"/>
          <w:b/>
          <w:color w:val="auto"/>
          <w:sz w:val="30"/>
          <w:szCs w:val="30"/>
          <w:highlight w:val="none"/>
        </w:rPr>
        <w:t>二〇二一</w:t>
      </w:r>
      <w:r>
        <w:rPr>
          <w:rFonts w:hint="eastAsia" w:ascii="华文仿宋" w:hAnsi="华文仿宋" w:eastAsia="华文仿宋" w:cs="华文仿宋"/>
          <w:b/>
          <w:bCs/>
          <w:color w:val="auto"/>
          <w:sz w:val="32"/>
          <w:szCs w:val="32"/>
          <w:highlight w:val="none"/>
          <w:lang w:val="zh-CN"/>
        </w:rPr>
        <w:t>年</w:t>
      </w:r>
      <w:r>
        <w:rPr>
          <w:rFonts w:hint="eastAsia" w:ascii="华文仿宋" w:hAnsi="华文仿宋" w:eastAsia="华文仿宋" w:cs="华文仿宋"/>
          <w:b/>
          <w:bCs/>
          <w:color w:val="auto"/>
          <w:sz w:val="32"/>
          <w:szCs w:val="32"/>
          <w:highlight w:val="none"/>
        </w:rPr>
        <w:t>十</w:t>
      </w:r>
      <w:r>
        <w:rPr>
          <w:rFonts w:hint="eastAsia" w:ascii="华文仿宋" w:hAnsi="华文仿宋" w:eastAsia="华文仿宋" w:cs="华文仿宋"/>
          <w:b/>
          <w:bCs/>
          <w:color w:val="auto"/>
          <w:sz w:val="32"/>
          <w:szCs w:val="32"/>
          <w:highlight w:val="none"/>
          <w:lang w:val="zh-CN"/>
        </w:rPr>
        <w:t>月</w:t>
      </w:r>
    </w:p>
    <w:p>
      <w:pPr>
        <w:rPr>
          <w:rFonts w:ascii="华文仿宋" w:hAnsi="华文仿宋" w:eastAsia="华文仿宋" w:cs="华文仿宋"/>
          <w:b/>
          <w:bCs/>
          <w:color w:val="auto"/>
          <w:sz w:val="32"/>
          <w:szCs w:val="32"/>
          <w:highlight w:val="none"/>
          <w:lang w:val="zh-CN"/>
        </w:rPr>
      </w:pPr>
      <w:r>
        <w:rPr>
          <w:rFonts w:hint="eastAsia" w:ascii="华文仿宋" w:hAnsi="华文仿宋" w:eastAsia="华文仿宋" w:cs="华文仿宋"/>
          <w:b/>
          <w:bCs/>
          <w:color w:val="auto"/>
          <w:sz w:val="32"/>
          <w:szCs w:val="32"/>
          <w:highlight w:val="none"/>
          <w:lang w:val="zh-CN"/>
        </w:rPr>
        <w:br w:type="page"/>
      </w:r>
    </w:p>
    <w:p>
      <w:pPr>
        <w:pStyle w:val="4"/>
        <w:keepNext w:val="0"/>
        <w:keepLines w:val="0"/>
        <w:spacing w:line="240" w:lineRule="auto"/>
        <w:rPr>
          <w:rFonts w:ascii="仿宋" w:hAnsi="仿宋" w:eastAsia="仿宋" w:cs="仿宋"/>
          <w:bCs w:val="0"/>
          <w:color w:val="auto"/>
          <w:sz w:val="36"/>
          <w:highlight w:val="none"/>
        </w:rPr>
      </w:pPr>
    </w:p>
    <w:p>
      <w:pPr>
        <w:pStyle w:val="4"/>
        <w:keepNext w:val="0"/>
        <w:keepLines w:val="0"/>
        <w:spacing w:line="240" w:lineRule="auto"/>
        <w:jc w:val="center"/>
        <w:rPr>
          <w:rFonts w:ascii="仿宋" w:hAnsi="仿宋" w:eastAsia="仿宋" w:cs="仿宋"/>
          <w:bCs w:val="0"/>
          <w:color w:val="auto"/>
          <w:sz w:val="36"/>
          <w:highlight w:val="none"/>
        </w:rPr>
      </w:pPr>
      <w:r>
        <w:rPr>
          <w:rFonts w:hint="eastAsia" w:ascii="仿宋" w:hAnsi="仿宋" w:eastAsia="仿宋" w:cs="仿宋"/>
          <w:bCs w:val="0"/>
          <w:color w:val="auto"/>
          <w:sz w:val="36"/>
          <w:highlight w:val="none"/>
        </w:rPr>
        <w:t>目    录</w:t>
      </w:r>
    </w:p>
    <w:p>
      <w:pPr>
        <w:pStyle w:val="15"/>
        <w:tabs>
          <w:tab w:val="right" w:leader="dot" w:pos="9747"/>
          <w:tab w:val="clear" w:pos="9737"/>
        </w:tabs>
        <w:rPr>
          <w:rFonts w:ascii="仿宋" w:hAnsi="仿宋" w:eastAsia="仿宋" w:cs="仿宋"/>
          <w:color w:val="auto"/>
          <w:highlight w:val="none"/>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TOC \o "1-1" \h \z \u </w:instrText>
      </w:r>
      <w:r>
        <w:rPr>
          <w:rFonts w:hint="eastAsia" w:ascii="仿宋" w:hAnsi="仿宋" w:eastAsia="仿宋" w:cs="仿宋"/>
          <w:color w:val="auto"/>
          <w:highlight w:val="none"/>
        </w:rPr>
        <w:fldChar w:fldCharType="separate"/>
      </w:r>
      <w:r>
        <w:rPr>
          <w:color w:val="auto"/>
          <w:highlight w:val="none"/>
        </w:rPr>
        <w:fldChar w:fldCharType="begin"/>
      </w:r>
      <w:r>
        <w:rPr>
          <w:color w:val="auto"/>
          <w:highlight w:val="none"/>
        </w:rPr>
        <w:instrText xml:space="preserve"> HYPERLINK \l "_Toc10355" </w:instrText>
      </w:r>
      <w:r>
        <w:rPr>
          <w:color w:val="auto"/>
          <w:highlight w:val="none"/>
        </w:rPr>
        <w:fldChar w:fldCharType="separate"/>
      </w:r>
      <w:r>
        <w:rPr>
          <w:rFonts w:hint="eastAsia" w:ascii="仿宋" w:hAnsi="仿宋" w:eastAsia="仿宋" w:cs="仿宋"/>
          <w:color w:val="auto"/>
          <w:szCs w:val="36"/>
          <w:highlight w:val="none"/>
        </w:rPr>
        <w:t>第一章  招标公告</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_Toc10355 \h </w:instrText>
      </w:r>
      <w:r>
        <w:rPr>
          <w:rFonts w:hint="eastAsia" w:ascii="仿宋" w:hAnsi="仿宋" w:eastAsia="仿宋" w:cs="仿宋"/>
          <w:color w:val="auto"/>
          <w:highlight w:val="none"/>
        </w:rPr>
        <w:fldChar w:fldCharType="separate"/>
      </w:r>
      <w:r>
        <w:rPr>
          <w:rFonts w:ascii="仿宋" w:hAnsi="仿宋" w:eastAsia="仿宋" w:cs="仿宋"/>
          <w:color w:val="auto"/>
          <w:highlight w:val="none"/>
        </w:rPr>
        <w:t>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pPr>
        <w:pStyle w:val="15"/>
        <w:tabs>
          <w:tab w:val="right" w:leader="dot" w:pos="9747"/>
          <w:tab w:val="clear" w:pos="9737"/>
        </w:tabs>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"_Toc19420" </w:instrText>
      </w:r>
      <w:r>
        <w:rPr>
          <w:color w:val="auto"/>
          <w:highlight w:val="none"/>
        </w:rPr>
        <w:fldChar w:fldCharType="separate"/>
      </w:r>
      <w:r>
        <w:rPr>
          <w:rFonts w:hint="eastAsia" w:ascii="仿宋" w:hAnsi="仿宋" w:eastAsia="仿宋" w:cs="仿宋"/>
          <w:color w:val="auto"/>
          <w:szCs w:val="36"/>
          <w:highlight w:val="none"/>
        </w:rPr>
        <w:t>第二章  投标人须知</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_Toc19420 \h </w:instrText>
      </w:r>
      <w:r>
        <w:rPr>
          <w:rFonts w:hint="eastAsia" w:ascii="仿宋" w:hAnsi="仿宋" w:eastAsia="仿宋" w:cs="仿宋"/>
          <w:color w:val="auto"/>
          <w:highlight w:val="none"/>
        </w:rPr>
        <w:fldChar w:fldCharType="separate"/>
      </w:r>
      <w:r>
        <w:rPr>
          <w:rFonts w:ascii="仿宋" w:hAnsi="仿宋" w:eastAsia="仿宋" w:cs="仿宋"/>
          <w:color w:val="auto"/>
          <w:highlight w:val="none"/>
        </w:rPr>
        <w:t>5</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pPr>
        <w:pStyle w:val="15"/>
        <w:tabs>
          <w:tab w:val="right" w:leader="dot" w:pos="9747"/>
          <w:tab w:val="clear" w:pos="9737"/>
        </w:tabs>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"_Toc31957" </w:instrText>
      </w:r>
      <w:r>
        <w:rPr>
          <w:color w:val="auto"/>
          <w:highlight w:val="none"/>
        </w:rPr>
        <w:fldChar w:fldCharType="separate"/>
      </w:r>
      <w:r>
        <w:rPr>
          <w:rFonts w:hint="eastAsia" w:ascii="仿宋" w:hAnsi="仿宋" w:eastAsia="仿宋" w:cs="仿宋"/>
          <w:color w:val="auto"/>
          <w:szCs w:val="36"/>
          <w:highlight w:val="none"/>
        </w:rPr>
        <w:t>第三章  投标文件格式</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_Toc31957 \h </w:instrText>
      </w:r>
      <w:r>
        <w:rPr>
          <w:rFonts w:hint="eastAsia" w:ascii="仿宋" w:hAnsi="仿宋" w:eastAsia="仿宋" w:cs="仿宋"/>
          <w:color w:val="auto"/>
          <w:highlight w:val="none"/>
        </w:rPr>
        <w:fldChar w:fldCharType="separate"/>
      </w:r>
      <w:r>
        <w:rPr>
          <w:rFonts w:ascii="仿宋" w:hAnsi="仿宋" w:eastAsia="仿宋" w:cs="仿宋"/>
          <w:color w:val="auto"/>
          <w:highlight w:val="none"/>
        </w:rPr>
        <w:t>22</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pPr>
        <w:pStyle w:val="15"/>
        <w:tabs>
          <w:tab w:val="right" w:leader="dot" w:pos="9747"/>
          <w:tab w:val="clear" w:pos="9737"/>
        </w:tabs>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"_Toc15997" </w:instrText>
      </w:r>
      <w:r>
        <w:rPr>
          <w:color w:val="auto"/>
          <w:highlight w:val="none"/>
        </w:rPr>
        <w:fldChar w:fldCharType="separate"/>
      </w:r>
      <w:r>
        <w:rPr>
          <w:rFonts w:hint="eastAsia" w:ascii="仿宋" w:hAnsi="仿宋" w:eastAsia="仿宋" w:cs="仿宋"/>
          <w:color w:val="auto"/>
          <w:szCs w:val="36"/>
          <w:highlight w:val="none"/>
        </w:rPr>
        <w:t>第四章  投标人和投标产品的资格、资质性及其他类似效力要求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_Toc15997 \h </w:instrText>
      </w:r>
      <w:r>
        <w:rPr>
          <w:rFonts w:hint="eastAsia" w:ascii="仿宋" w:hAnsi="仿宋" w:eastAsia="仿宋" w:cs="仿宋"/>
          <w:color w:val="auto"/>
          <w:highlight w:val="none"/>
        </w:rPr>
        <w:fldChar w:fldCharType="separate"/>
      </w:r>
      <w:r>
        <w:rPr>
          <w:rFonts w:ascii="仿宋" w:hAnsi="仿宋" w:eastAsia="仿宋" w:cs="仿宋"/>
          <w:color w:val="auto"/>
          <w:highlight w:val="none"/>
        </w:rPr>
        <w:t>51</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pPr>
        <w:pStyle w:val="15"/>
        <w:tabs>
          <w:tab w:val="right" w:leader="dot" w:pos="9747"/>
          <w:tab w:val="clear" w:pos="9737"/>
        </w:tabs>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"_Toc18743" </w:instrText>
      </w:r>
      <w:r>
        <w:rPr>
          <w:color w:val="auto"/>
          <w:highlight w:val="none"/>
        </w:rPr>
        <w:fldChar w:fldCharType="separate"/>
      </w:r>
      <w:r>
        <w:rPr>
          <w:rFonts w:hint="eastAsia" w:ascii="仿宋" w:hAnsi="仿宋" w:eastAsia="仿宋" w:cs="仿宋"/>
          <w:color w:val="auto"/>
          <w:szCs w:val="36"/>
          <w:highlight w:val="none"/>
        </w:rPr>
        <w:t>第五章  投标人应当提供的资格、资质性及其他具有类似效力的要求的相关证明材料</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_Toc18743 \h </w:instrText>
      </w:r>
      <w:r>
        <w:rPr>
          <w:rFonts w:hint="eastAsia" w:ascii="仿宋" w:hAnsi="仿宋" w:eastAsia="仿宋" w:cs="仿宋"/>
          <w:color w:val="auto"/>
          <w:highlight w:val="none"/>
        </w:rPr>
        <w:fldChar w:fldCharType="separate"/>
      </w:r>
      <w:r>
        <w:rPr>
          <w:rFonts w:ascii="仿宋" w:hAnsi="仿宋" w:eastAsia="仿宋" w:cs="仿宋"/>
          <w:color w:val="auto"/>
          <w:highlight w:val="none"/>
        </w:rPr>
        <w:t>53</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pPr>
        <w:pStyle w:val="15"/>
        <w:tabs>
          <w:tab w:val="right" w:leader="dot" w:pos="9747"/>
          <w:tab w:val="clear" w:pos="9737"/>
        </w:tabs>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"_Toc4515" </w:instrText>
      </w:r>
      <w:r>
        <w:rPr>
          <w:color w:val="auto"/>
          <w:highlight w:val="none"/>
        </w:rPr>
        <w:fldChar w:fldCharType="separate"/>
      </w:r>
      <w:r>
        <w:rPr>
          <w:rFonts w:hint="eastAsia" w:ascii="仿宋" w:hAnsi="仿宋" w:eastAsia="仿宋" w:cs="仿宋"/>
          <w:color w:val="auto"/>
          <w:szCs w:val="36"/>
          <w:highlight w:val="none"/>
        </w:rPr>
        <w:t>第六章  项目背景及建设内容</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_Toc4515 \h </w:instrText>
      </w:r>
      <w:r>
        <w:rPr>
          <w:rFonts w:hint="eastAsia" w:ascii="仿宋" w:hAnsi="仿宋" w:eastAsia="仿宋" w:cs="仿宋"/>
          <w:color w:val="auto"/>
          <w:highlight w:val="none"/>
        </w:rPr>
        <w:fldChar w:fldCharType="separate"/>
      </w:r>
      <w:r>
        <w:rPr>
          <w:rFonts w:ascii="仿宋" w:hAnsi="仿宋" w:eastAsia="仿宋" w:cs="仿宋"/>
          <w:color w:val="auto"/>
          <w:highlight w:val="none"/>
        </w:rPr>
        <w:t>56</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pPr>
        <w:pStyle w:val="15"/>
        <w:tabs>
          <w:tab w:val="right" w:leader="dot" w:pos="9747"/>
          <w:tab w:val="clear" w:pos="9737"/>
        </w:tabs>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"_Toc14212" </w:instrText>
      </w:r>
      <w:r>
        <w:rPr>
          <w:color w:val="auto"/>
          <w:highlight w:val="none"/>
        </w:rPr>
        <w:fldChar w:fldCharType="separate"/>
      </w:r>
      <w:r>
        <w:rPr>
          <w:rFonts w:hint="eastAsia" w:ascii="仿宋" w:hAnsi="仿宋" w:eastAsia="仿宋" w:cs="仿宋"/>
          <w:color w:val="auto"/>
          <w:szCs w:val="32"/>
          <w:highlight w:val="none"/>
        </w:rPr>
        <w:t>第七章  项目技术、服务、采购合同内容条款及其他商务要求</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_Toc14212 \h </w:instrText>
      </w:r>
      <w:r>
        <w:rPr>
          <w:rFonts w:hint="eastAsia" w:ascii="仿宋" w:hAnsi="仿宋" w:eastAsia="仿宋" w:cs="仿宋"/>
          <w:color w:val="auto"/>
          <w:highlight w:val="none"/>
        </w:rPr>
        <w:fldChar w:fldCharType="separate"/>
      </w:r>
      <w:r>
        <w:rPr>
          <w:rFonts w:ascii="仿宋" w:hAnsi="仿宋" w:eastAsia="仿宋" w:cs="仿宋"/>
          <w:color w:val="auto"/>
          <w:highlight w:val="none"/>
        </w:rPr>
        <w:t>70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pPr>
        <w:pStyle w:val="15"/>
        <w:tabs>
          <w:tab w:val="right" w:leader="dot" w:pos="9747"/>
          <w:tab w:val="clear" w:pos="9737"/>
        </w:tabs>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"_Toc23974" </w:instrText>
      </w:r>
      <w:r>
        <w:rPr>
          <w:color w:val="auto"/>
          <w:highlight w:val="none"/>
        </w:rPr>
        <w:fldChar w:fldCharType="separate"/>
      </w:r>
      <w:r>
        <w:rPr>
          <w:rFonts w:hint="eastAsia" w:ascii="仿宋" w:hAnsi="仿宋" w:eastAsia="仿宋" w:cs="仿宋"/>
          <w:color w:val="auto"/>
          <w:szCs w:val="36"/>
          <w:highlight w:val="none"/>
        </w:rPr>
        <w:t>第八章  评标办法</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_Toc23974 \h </w:instrText>
      </w:r>
      <w:r>
        <w:rPr>
          <w:rFonts w:hint="eastAsia" w:ascii="仿宋" w:hAnsi="仿宋" w:eastAsia="仿宋" w:cs="仿宋"/>
          <w:color w:val="auto"/>
          <w:highlight w:val="none"/>
        </w:rPr>
        <w:fldChar w:fldCharType="separate"/>
      </w:r>
      <w:r>
        <w:rPr>
          <w:rFonts w:ascii="仿宋" w:hAnsi="仿宋" w:eastAsia="仿宋" w:cs="仿宋"/>
          <w:color w:val="auto"/>
          <w:highlight w:val="none"/>
        </w:rPr>
        <w:t>90</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pPr>
        <w:pStyle w:val="15"/>
        <w:tabs>
          <w:tab w:val="right" w:leader="dot" w:pos="9747"/>
          <w:tab w:val="clear" w:pos="9737"/>
        </w:tabs>
        <w:rPr>
          <w:rFonts w:ascii="仿宋" w:hAnsi="仿宋" w:eastAsia="仿宋" w:cs="仿宋"/>
          <w:color w:val="auto"/>
          <w:highlight w:val="none"/>
        </w:rPr>
      </w:pPr>
      <w:r>
        <w:rPr>
          <w:color w:val="auto"/>
          <w:highlight w:val="none"/>
        </w:rPr>
        <w:fldChar w:fldCharType="begin"/>
      </w:r>
      <w:r>
        <w:rPr>
          <w:color w:val="auto"/>
          <w:highlight w:val="none"/>
        </w:rPr>
        <w:instrText xml:space="preserve"> HYPERLINK \l "_Toc9312" </w:instrText>
      </w:r>
      <w:r>
        <w:rPr>
          <w:color w:val="auto"/>
          <w:highlight w:val="none"/>
        </w:rPr>
        <w:fldChar w:fldCharType="separate"/>
      </w:r>
      <w:r>
        <w:rPr>
          <w:rFonts w:hint="eastAsia" w:ascii="仿宋" w:hAnsi="仿宋" w:eastAsia="仿宋" w:cs="仿宋"/>
          <w:color w:val="auto"/>
          <w:szCs w:val="36"/>
          <w:highlight w:val="none"/>
        </w:rPr>
        <w:t>第九章  采购合同（参考文本）</w:t>
      </w:r>
      <w:r>
        <w:rPr>
          <w:rFonts w:hint="eastAsia" w:ascii="仿宋" w:hAnsi="仿宋" w:eastAsia="仿宋" w:cs="仿宋"/>
          <w:color w:val="auto"/>
          <w:highlight w:val="none"/>
        </w:rPr>
        <w:tab/>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PAGEREF _Toc9312 \h </w:instrText>
      </w:r>
      <w:r>
        <w:rPr>
          <w:rFonts w:hint="eastAsia" w:ascii="仿宋" w:hAnsi="仿宋" w:eastAsia="仿宋" w:cs="仿宋"/>
          <w:color w:val="auto"/>
          <w:highlight w:val="none"/>
        </w:rPr>
        <w:fldChar w:fldCharType="separate"/>
      </w:r>
      <w:r>
        <w:rPr>
          <w:rFonts w:ascii="仿宋" w:hAnsi="仿宋" w:eastAsia="仿宋" w:cs="仿宋"/>
          <w:color w:val="auto"/>
          <w:highlight w:val="none"/>
        </w:rPr>
        <w:t>105</w:t>
      </w:r>
      <w:r>
        <w:rPr>
          <w:rFonts w:hint="eastAsia" w:ascii="仿宋" w:hAnsi="仿宋" w:eastAsia="仿宋" w:cs="仿宋"/>
          <w:color w:val="auto"/>
          <w:highlight w:val="none"/>
        </w:rPr>
        <w:fldChar w:fldCharType="end"/>
      </w:r>
      <w:r>
        <w:rPr>
          <w:rFonts w:hint="eastAsia" w:ascii="仿宋" w:hAnsi="仿宋" w:eastAsia="仿宋" w:cs="仿宋"/>
          <w:color w:val="auto"/>
          <w:highlight w:val="none"/>
        </w:rPr>
        <w:fldChar w:fldCharType="end"/>
      </w:r>
    </w:p>
    <w:p>
      <w:pPr>
        <w:spacing w:line="360" w:lineRule="auto"/>
        <w:rPr>
          <w:rFonts w:ascii="仿宋" w:hAnsi="仿宋" w:eastAsia="仿宋" w:cs="仿宋"/>
          <w:color w:val="auto"/>
          <w:highlight w:val="none"/>
        </w:rPr>
      </w:pPr>
      <w:r>
        <w:rPr>
          <w:rFonts w:hint="eastAsia" w:ascii="仿宋" w:hAnsi="仿宋" w:eastAsia="仿宋" w:cs="仿宋"/>
          <w:bCs/>
          <w:color w:val="auto"/>
          <w:szCs w:val="28"/>
          <w:highlight w:val="none"/>
        </w:rPr>
        <w:fldChar w:fldCharType="end"/>
      </w:r>
    </w:p>
    <w:p>
      <w:pPr>
        <w:rPr>
          <w:rFonts w:ascii="仿宋" w:hAnsi="仿宋" w:eastAsia="仿宋" w:cs="仿宋"/>
          <w:color w:val="auto"/>
          <w:highlight w:val="none"/>
        </w:rPr>
      </w:pPr>
    </w:p>
    <w:p>
      <w:pPr>
        <w:widowControl/>
        <w:jc w:val="left"/>
        <w:rPr>
          <w:rFonts w:ascii="仿宋" w:hAnsi="仿宋" w:eastAsia="仿宋" w:cs="仿宋"/>
          <w:bCs/>
          <w:color w:val="auto"/>
          <w:sz w:val="24"/>
          <w:highlight w:val="none"/>
        </w:rPr>
        <w:sectPr>
          <w:footerReference r:id="rId4" w:type="first"/>
          <w:headerReference r:id="rId3" w:type="default"/>
          <w:pgSz w:w="11907" w:h="16840"/>
          <w:pgMar w:top="1440" w:right="1080" w:bottom="1440" w:left="1080" w:header="851" w:footer="992" w:gutter="0"/>
          <w:pgNumType w:start="1"/>
          <w:cols w:space="720" w:num="1"/>
          <w:docGrid w:linePitch="312" w:charSpace="0"/>
        </w:sectPr>
      </w:pPr>
    </w:p>
    <w:p>
      <w:pPr>
        <w:pStyle w:val="9"/>
        <w:rPr>
          <w:rFonts w:ascii="仿宋" w:hAnsi="仿宋" w:eastAsia="仿宋" w:cs="仿宋"/>
          <w:color w:val="auto"/>
          <w:highlight w:val="none"/>
        </w:rPr>
      </w:pPr>
    </w:p>
    <w:p>
      <w:pPr>
        <w:pStyle w:val="16"/>
        <w:rPr>
          <w:rFonts w:ascii="仿宋" w:hAnsi="仿宋" w:eastAsia="仿宋" w:cs="仿宋"/>
          <w:color w:val="auto"/>
          <w:sz w:val="36"/>
          <w:szCs w:val="36"/>
          <w:highlight w:val="none"/>
        </w:rPr>
        <w:sectPr>
          <w:footerReference r:id="rId6" w:type="first"/>
          <w:footerReference r:id="rId5" w:type="default"/>
          <w:pgSz w:w="11907" w:h="16840"/>
          <w:pgMar w:top="1440" w:right="1080" w:bottom="1440" w:left="1080" w:header="851" w:footer="992" w:gutter="0"/>
          <w:pgNumType w:start="1"/>
          <w:cols w:space="720" w:num="1"/>
          <w:titlePg/>
          <w:docGrid w:linePitch="312" w:charSpace="0"/>
        </w:sectPr>
      </w:pPr>
      <w:bookmarkStart w:id="0" w:name="_Toc511206475"/>
    </w:p>
    <w:p>
      <w:pPr>
        <w:pStyle w:val="16"/>
        <w:rPr>
          <w:rFonts w:ascii="仿宋" w:hAnsi="仿宋" w:eastAsia="仿宋" w:cs="仿宋"/>
          <w:color w:val="auto"/>
          <w:sz w:val="36"/>
          <w:szCs w:val="36"/>
          <w:highlight w:val="none"/>
        </w:rPr>
      </w:pPr>
      <w:bookmarkStart w:id="1" w:name="_Toc10355"/>
      <w:r>
        <w:rPr>
          <w:rFonts w:hint="eastAsia" w:ascii="仿宋" w:hAnsi="仿宋" w:eastAsia="仿宋" w:cs="仿宋"/>
          <w:color w:val="auto"/>
          <w:sz w:val="36"/>
          <w:szCs w:val="36"/>
          <w:highlight w:val="none"/>
        </w:rPr>
        <w:t xml:space="preserve">第一章  </w:t>
      </w:r>
      <w:bookmarkEnd w:id="0"/>
      <w:r>
        <w:rPr>
          <w:rFonts w:hint="eastAsia" w:ascii="仿宋" w:hAnsi="仿宋" w:eastAsia="仿宋" w:cs="仿宋"/>
          <w:color w:val="auto"/>
          <w:sz w:val="36"/>
          <w:szCs w:val="36"/>
          <w:highlight w:val="none"/>
        </w:rPr>
        <w:t>招标公告</w:t>
      </w:r>
      <w:bookmarkEnd w:id="1"/>
    </w:p>
    <w:p>
      <w:pPr>
        <w:pStyle w:val="7"/>
        <w:spacing w:line="440" w:lineRule="exact"/>
        <w:ind w:firstLine="400"/>
        <w:rPr>
          <w:rFonts w:ascii="仿宋" w:hAnsi="仿宋" w:eastAsia="仿宋" w:cs="仿宋"/>
          <w:color w:val="auto"/>
          <w:highlight w:val="none"/>
        </w:rPr>
      </w:pPr>
    </w:p>
    <w:p>
      <w:pPr>
        <w:spacing w:after="160" w:line="360" w:lineRule="auto"/>
        <w:ind w:firstLine="482" w:firstLineChars="200"/>
        <w:jc w:val="left"/>
        <w:rPr>
          <w:rFonts w:ascii="仿宋" w:hAnsi="仿宋" w:eastAsia="仿宋" w:cs="仿宋"/>
          <w:b/>
          <w:bCs/>
          <w:color w:val="auto"/>
          <w:sz w:val="24"/>
          <w:highlight w:val="none"/>
          <w:u w:val="single"/>
        </w:rPr>
      </w:pPr>
      <w:r>
        <w:rPr>
          <w:rFonts w:hint="eastAsia" w:ascii="仿宋" w:hAnsi="仿宋" w:eastAsia="仿宋" w:cs="仿宋"/>
          <w:b/>
          <w:bCs/>
          <w:color w:val="auto"/>
          <w:sz w:val="24"/>
          <w:highlight w:val="none"/>
          <w:u w:val="single"/>
        </w:rPr>
        <w:t>四川好特建设工程有限公司</w:t>
      </w:r>
      <w:r>
        <w:rPr>
          <w:rFonts w:hint="eastAsia" w:ascii="仿宋" w:hAnsi="仿宋" w:eastAsia="仿宋" w:cs="仿宋"/>
          <w:color w:val="auto"/>
          <w:sz w:val="24"/>
          <w:highlight w:val="none"/>
        </w:rPr>
        <w:t>（采购代理机构）受</w:t>
      </w:r>
      <w:r>
        <w:rPr>
          <w:rFonts w:hint="eastAsia" w:ascii="仿宋" w:hAnsi="仿宋" w:eastAsia="仿宋" w:cs="仿宋"/>
          <w:b/>
          <w:bCs/>
          <w:color w:val="auto"/>
          <w:sz w:val="24"/>
          <w:highlight w:val="none"/>
          <w:u w:val="single"/>
        </w:rPr>
        <w:t>成都市温江区规划信息服务中心</w:t>
      </w:r>
      <w:r>
        <w:rPr>
          <w:rFonts w:hint="eastAsia" w:ascii="仿宋" w:hAnsi="仿宋" w:eastAsia="仿宋" w:cs="仿宋"/>
          <w:color w:val="auto"/>
          <w:sz w:val="24"/>
          <w:highlight w:val="none"/>
        </w:rPr>
        <w:t>（采购人）委托，拟对</w:t>
      </w:r>
      <w:r>
        <w:rPr>
          <w:rFonts w:hint="eastAsia" w:ascii="仿宋" w:hAnsi="仿宋" w:eastAsia="仿宋" w:cs="仿宋"/>
          <w:b/>
          <w:bCs/>
          <w:color w:val="auto"/>
          <w:sz w:val="24"/>
          <w:highlight w:val="none"/>
          <w:u w:val="single"/>
        </w:rPr>
        <w:t>温江区规划和自然资源局城市展示中心机房、网络和数据安全系统建设项目</w:t>
      </w:r>
      <w:r>
        <w:rPr>
          <w:rFonts w:hint="eastAsia" w:ascii="仿宋" w:hAnsi="仿宋" w:eastAsia="仿宋" w:cs="仿宋"/>
          <w:color w:val="auto"/>
          <w:sz w:val="24"/>
          <w:highlight w:val="none"/>
        </w:rPr>
        <w:t>进行国内公开招标，兹邀请符合招标要求的投标人参加投标。</w:t>
      </w:r>
    </w:p>
    <w:p>
      <w:pPr>
        <w:numPr>
          <w:ilvl w:val="0"/>
          <w:numId w:val="3"/>
        </w:numPr>
        <w:spacing w:after="160" w:line="360" w:lineRule="auto"/>
        <w:ind w:firstLine="482" w:firstLineChars="20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采购项目编号</w:t>
      </w:r>
      <w:r>
        <w:rPr>
          <w:rFonts w:hint="eastAsia" w:ascii="仿宋" w:hAnsi="仿宋" w:eastAsia="仿宋" w:cs="仿宋"/>
          <w:color w:val="auto"/>
          <w:sz w:val="24"/>
          <w:highlight w:val="none"/>
        </w:rPr>
        <w:t>： 510115202100221</w:t>
      </w:r>
      <w:bookmarkStart w:id="115" w:name="_GoBack"/>
      <w:bookmarkEnd w:id="115"/>
    </w:p>
    <w:p>
      <w:pPr>
        <w:numPr>
          <w:ilvl w:val="0"/>
          <w:numId w:val="3"/>
        </w:numPr>
        <w:spacing w:after="160" w:line="360" w:lineRule="auto"/>
        <w:ind w:firstLine="482" w:firstLineChars="20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采购项目：</w:t>
      </w:r>
      <w:r>
        <w:rPr>
          <w:rFonts w:hint="eastAsia" w:ascii="仿宋" w:hAnsi="仿宋" w:eastAsia="仿宋" w:cs="仿宋"/>
          <w:color w:val="auto"/>
          <w:sz w:val="24"/>
          <w:highlight w:val="none"/>
        </w:rPr>
        <w:t>温江区规划和自然资源局城市展示中心机房、网络和数据安全系统建设项目。</w:t>
      </w:r>
    </w:p>
    <w:p>
      <w:pPr>
        <w:numPr>
          <w:ilvl w:val="0"/>
          <w:numId w:val="3"/>
        </w:numPr>
        <w:spacing w:after="160" w:line="360" w:lineRule="auto"/>
        <w:ind w:firstLine="482" w:firstLineChars="20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资金来源：</w:t>
      </w:r>
      <w:r>
        <w:rPr>
          <w:rFonts w:hint="eastAsia" w:ascii="仿宋" w:hAnsi="仿宋" w:eastAsia="仿宋" w:cs="仿宋"/>
          <w:color w:val="auto"/>
          <w:sz w:val="24"/>
          <w:highlight w:val="none"/>
        </w:rPr>
        <w:t>财政资金，已落实。</w:t>
      </w:r>
    </w:p>
    <w:p>
      <w:pPr>
        <w:numPr>
          <w:ilvl w:val="0"/>
          <w:numId w:val="3"/>
        </w:numPr>
        <w:spacing w:after="160" w:line="360" w:lineRule="auto"/>
        <w:ind w:firstLine="482" w:firstLineChars="20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采购项目简介：</w:t>
      </w:r>
    </w:p>
    <w:p>
      <w:pPr>
        <w:spacing w:after="160" w:line="360" w:lineRule="auto"/>
        <w:ind w:firstLine="480" w:firstLineChars="200"/>
        <w:jc w:val="left"/>
        <w:rPr>
          <w:rFonts w:ascii="仿宋" w:hAnsi="仿宋" w:eastAsia="仿宋" w:cs="仿宋"/>
          <w:color w:val="auto"/>
          <w:sz w:val="24"/>
          <w:highlight w:val="none"/>
        </w:rPr>
      </w:pPr>
      <w:bookmarkStart w:id="2" w:name="PO_默认文件内容_3"/>
      <w:r>
        <w:rPr>
          <w:rFonts w:hint="eastAsia" w:ascii="仿宋" w:hAnsi="仿宋" w:eastAsia="仿宋" w:cs="仿宋"/>
          <w:color w:val="auto"/>
          <w:sz w:val="24"/>
          <w:highlight w:val="none"/>
        </w:rPr>
        <w:t>本项目采购内容为温江区规划和自然资源局城市展示中心机房、网络和数据安全系统建设项目，本项目共分为2个包件：</w:t>
      </w:r>
    </w:p>
    <w:tbl>
      <w:tblPr>
        <w:tblStyle w:val="19"/>
        <w:tblW w:w="97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
        <w:gridCol w:w="2137"/>
        <w:gridCol w:w="1468"/>
        <w:gridCol w:w="51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971" w:type="dxa"/>
            <w:vAlign w:val="center"/>
          </w:tcPr>
          <w:p>
            <w:pPr>
              <w:pStyle w:val="2"/>
              <w:jc w:val="center"/>
              <w:outlineLvl w:val="3"/>
              <w:rPr>
                <w:rFonts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包件号</w:t>
            </w:r>
          </w:p>
        </w:tc>
        <w:tc>
          <w:tcPr>
            <w:tcW w:w="2137" w:type="dxa"/>
            <w:vAlign w:val="center"/>
          </w:tcPr>
          <w:p>
            <w:pPr>
              <w:pStyle w:val="2"/>
              <w:jc w:val="center"/>
              <w:outlineLvl w:val="3"/>
              <w:rPr>
                <w:rFonts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包件名称</w:t>
            </w:r>
          </w:p>
        </w:tc>
        <w:tc>
          <w:tcPr>
            <w:tcW w:w="1468" w:type="dxa"/>
            <w:vAlign w:val="center"/>
          </w:tcPr>
          <w:p>
            <w:pPr>
              <w:pStyle w:val="2"/>
              <w:jc w:val="center"/>
              <w:outlineLvl w:val="3"/>
              <w:rPr>
                <w:rFonts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采购预算（万元）</w:t>
            </w:r>
          </w:p>
        </w:tc>
        <w:tc>
          <w:tcPr>
            <w:tcW w:w="5190" w:type="dxa"/>
            <w:vAlign w:val="center"/>
          </w:tcPr>
          <w:p>
            <w:pPr>
              <w:pStyle w:val="2"/>
              <w:jc w:val="center"/>
              <w:outlineLvl w:val="3"/>
              <w:rPr>
                <w:rFonts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服务内容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jc w:val="center"/>
        </w:trPr>
        <w:tc>
          <w:tcPr>
            <w:tcW w:w="971" w:type="dxa"/>
            <w:vAlign w:val="center"/>
          </w:tcPr>
          <w:p>
            <w:pPr>
              <w:pStyle w:val="2"/>
              <w:jc w:val="center"/>
              <w:outlineLvl w:val="3"/>
              <w:rPr>
                <w:rFonts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1</w:t>
            </w:r>
          </w:p>
        </w:tc>
        <w:tc>
          <w:tcPr>
            <w:tcW w:w="2137" w:type="dxa"/>
            <w:vAlign w:val="center"/>
          </w:tcPr>
          <w:p>
            <w:pPr>
              <w:pStyle w:val="2"/>
              <w:jc w:val="center"/>
              <w:outlineLvl w:val="3"/>
              <w:rPr>
                <w:rFonts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信息系统集成采购</w:t>
            </w:r>
          </w:p>
        </w:tc>
        <w:tc>
          <w:tcPr>
            <w:tcW w:w="1468" w:type="dxa"/>
            <w:vAlign w:val="center"/>
          </w:tcPr>
          <w:p>
            <w:pPr>
              <w:pStyle w:val="2"/>
              <w:jc w:val="center"/>
              <w:outlineLvl w:val="3"/>
              <w:rPr>
                <w:rFonts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4</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1</w:t>
            </w:r>
          </w:p>
        </w:tc>
        <w:tc>
          <w:tcPr>
            <w:tcW w:w="5190" w:type="dxa"/>
            <w:vAlign w:val="center"/>
          </w:tcPr>
          <w:p>
            <w:pPr>
              <w:pStyle w:val="2"/>
              <w:jc w:val="center"/>
              <w:outlineLvl w:val="3"/>
              <w:rPr>
                <w:rFonts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rPr>
              <w:t>数据中心机房建设、网络及网络安全建设、数据安全系统建设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971" w:type="dxa"/>
            <w:vAlign w:val="center"/>
          </w:tcPr>
          <w:p>
            <w:pPr>
              <w:pStyle w:val="2"/>
              <w:jc w:val="center"/>
              <w:outlineLvl w:val="3"/>
              <w:rPr>
                <w:rFonts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2</w:t>
            </w:r>
          </w:p>
        </w:tc>
        <w:tc>
          <w:tcPr>
            <w:tcW w:w="2137" w:type="dxa"/>
            <w:vAlign w:val="center"/>
          </w:tcPr>
          <w:p>
            <w:pPr>
              <w:pStyle w:val="2"/>
              <w:jc w:val="center"/>
              <w:outlineLvl w:val="3"/>
              <w:rPr>
                <w:rFonts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监理服务采购</w:t>
            </w:r>
          </w:p>
        </w:tc>
        <w:tc>
          <w:tcPr>
            <w:tcW w:w="1468" w:type="dxa"/>
            <w:vAlign w:val="center"/>
          </w:tcPr>
          <w:p>
            <w:pPr>
              <w:pStyle w:val="2"/>
              <w:jc w:val="center"/>
              <w:outlineLvl w:val="3"/>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20</w:t>
            </w:r>
          </w:p>
        </w:tc>
        <w:tc>
          <w:tcPr>
            <w:tcW w:w="5190" w:type="dxa"/>
            <w:vAlign w:val="center"/>
          </w:tcPr>
          <w:p>
            <w:pPr>
              <w:pStyle w:val="2"/>
              <w:jc w:val="center"/>
              <w:outlineLvl w:val="3"/>
              <w:rPr>
                <w:rFonts w:ascii="仿宋" w:hAnsi="仿宋" w:eastAsia="仿宋" w:cs="仿宋"/>
                <w:b w:val="0"/>
                <w:bCs w:val="0"/>
                <w:color w:val="auto"/>
                <w:sz w:val="24"/>
                <w:szCs w:val="24"/>
                <w:highlight w:val="none"/>
              </w:rPr>
            </w:pPr>
            <w:r>
              <w:rPr>
                <w:rFonts w:hint="eastAsia" w:ascii="仿宋" w:hAnsi="仿宋" w:eastAsia="仿宋" w:cs="仿宋"/>
                <w:b w:val="0"/>
                <w:bCs w:val="0"/>
                <w:color w:val="auto"/>
                <w:kern w:val="0"/>
                <w:sz w:val="24"/>
                <w:szCs w:val="24"/>
                <w:highlight w:val="none"/>
              </w:rPr>
              <w:t>对项目实施和项目验收阶段进行全过程监理。</w:t>
            </w:r>
          </w:p>
        </w:tc>
      </w:tr>
    </w:tbl>
    <w:p>
      <w:pPr>
        <w:spacing w:after="160" w:line="360" w:lineRule="auto"/>
        <w:ind w:firstLine="720" w:firstLineChars="300"/>
        <w:jc w:val="left"/>
        <w:rPr>
          <w:rFonts w:ascii="仿宋" w:hAnsi="仿宋" w:eastAsia="仿宋" w:cs="仿宋"/>
          <w:color w:val="auto"/>
          <w:highlight w:val="none"/>
        </w:rPr>
      </w:pPr>
      <w:r>
        <w:rPr>
          <w:rFonts w:hint="eastAsia" w:ascii="仿宋" w:hAnsi="仿宋" w:eastAsia="仿宋" w:cs="仿宋"/>
          <w:color w:val="auto"/>
          <w:sz w:val="24"/>
          <w:highlight w:val="none"/>
        </w:rPr>
        <w:t>详细的技术、商务及其他要求见第七章。</w:t>
      </w:r>
      <w:r>
        <w:rPr>
          <w:rFonts w:hint="eastAsia" w:ascii="仿宋" w:hAnsi="仿宋" w:eastAsia="仿宋" w:cs="仿宋"/>
          <w:b/>
          <w:bCs/>
          <w:color w:val="auto"/>
          <w:sz w:val="24"/>
          <w:highlight w:val="none"/>
        </w:rPr>
        <w:t>本项目所属行业为：</w:t>
      </w:r>
      <w:r>
        <w:rPr>
          <w:rFonts w:hint="eastAsia" w:ascii="仿宋" w:hAnsi="仿宋" w:eastAsia="仿宋" w:cs="仿宋"/>
          <w:b/>
          <w:bCs/>
          <w:color w:val="auto"/>
          <w:sz w:val="24"/>
          <w:highlight w:val="none"/>
          <w:u w:val="single"/>
        </w:rPr>
        <w:t>信息与技术服务业</w:t>
      </w:r>
      <w:r>
        <w:rPr>
          <w:rFonts w:hint="eastAsia" w:ascii="仿宋" w:hAnsi="仿宋" w:eastAsia="仿宋" w:cs="仿宋"/>
          <w:b/>
          <w:bCs/>
          <w:color w:val="auto"/>
          <w:sz w:val="24"/>
          <w:highlight w:val="none"/>
        </w:rPr>
        <w:t>。</w:t>
      </w:r>
    </w:p>
    <w:p>
      <w:pPr>
        <w:spacing w:after="160" w:line="360" w:lineRule="auto"/>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五、投标人参加本次政府采购活动应具备下列条件：</w:t>
      </w:r>
    </w:p>
    <w:p>
      <w:pPr>
        <w:pStyle w:val="31"/>
        <w:spacing w:after="160"/>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1、符合</w:t>
      </w:r>
      <w:r>
        <w:rPr>
          <w:rFonts w:hint="eastAsia" w:ascii="仿宋" w:hAnsi="仿宋" w:eastAsia="仿宋" w:cs="仿宋"/>
          <w:bCs/>
          <w:color w:val="auto"/>
          <w:sz w:val="24"/>
          <w:highlight w:val="none"/>
        </w:rPr>
        <w:t>《中华人民共和国政府采购法》第二十二条规定，投标人参加政府采购活动应当具备下列条件：</w:t>
      </w:r>
    </w:p>
    <w:p>
      <w:pPr>
        <w:pStyle w:val="31"/>
        <w:spacing w:after="160"/>
        <w:ind w:firstLine="48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（一）具有独立承担民事责任的能力；</w:t>
      </w:r>
    </w:p>
    <w:p>
      <w:pPr>
        <w:pStyle w:val="31"/>
        <w:spacing w:after="160"/>
        <w:ind w:firstLine="48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（二）具有良好的商业信誉和健全的财务会计制度；</w:t>
      </w:r>
    </w:p>
    <w:p>
      <w:pPr>
        <w:pStyle w:val="31"/>
        <w:spacing w:after="160"/>
        <w:ind w:firstLine="48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（三）具有履行合同所必需的设备和专业技术能力；</w:t>
      </w:r>
    </w:p>
    <w:p>
      <w:pPr>
        <w:pStyle w:val="31"/>
        <w:spacing w:after="160"/>
        <w:ind w:firstLine="48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（四）有依法缴纳税收和社会保障资金的良好记录；</w:t>
      </w:r>
    </w:p>
    <w:p>
      <w:pPr>
        <w:pStyle w:val="31"/>
        <w:spacing w:after="160"/>
        <w:ind w:firstLine="48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（五）参加政府采购活动前三年内，在经营活动中没有重大违法记录；</w:t>
      </w:r>
    </w:p>
    <w:p>
      <w:pPr>
        <w:pStyle w:val="31"/>
        <w:spacing w:after="160"/>
        <w:ind w:firstLine="48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（六）法律、行政法规规定的其他条件。</w:t>
      </w:r>
    </w:p>
    <w:p>
      <w:pPr>
        <w:pStyle w:val="31"/>
        <w:spacing w:after="160"/>
        <w:ind w:firstLine="48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 xml:space="preserve">（七）按照规定获取了招标文件。 </w:t>
      </w:r>
    </w:p>
    <w:p>
      <w:pPr>
        <w:pStyle w:val="31"/>
        <w:spacing w:after="160"/>
        <w:ind w:firstLine="48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（八）本项目不允许联合体参加</w:t>
      </w:r>
      <w:bookmarkEnd w:id="2"/>
      <w:r>
        <w:rPr>
          <w:rFonts w:hint="eastAsia" w:ascii="仿宋" w:hAnsi="仿宋" w:eastAsia="仿宋" w:cs="仿宋"/>
          <w:bCs/>
          <w:color w:val="auto"/>
          <w:sz w:val="24"/>
          <w:highlight w:val="none"/>
        </w:rPr>
        <w:t>。</w:t>
      </w:r>
    </w:p>
    <w:p>
      <w:pPr>
        <w:pStyle w:val="31"/>
        <w:spacing w:after="160"/>
        <w:ind w:firstLine="480"/>
        <w:jc w:val="left"/>
        <w:rPr>
          <w:rFonts w:ascii="仿宋" w:hAnsi="仿宋" w:eastAsia="仿宋" w:cs="仿宋"/>
          <w:bCs/>
          <w:color w:val="auto"/>
          <w:sz w:val="24"/>
          <w:highlight w:val="none"/>
        </w:rPr>
      </w:pPr>
      <w:r>
        <w:rPr>
          <w:rFonts w:hint="eastAsia" w:ascii="仿宋" w:hAnsi="仿宋" w:eastAsia="仿宋" w:cs="仿宋"/>
          <w:bCs/>
          <w:color w:val="auto"/>
          <w:sz w:val="24"/>
          <w:highlight w:val="none"/>
        </w:rPr>
        <w:t>2、落实政府采购政策需满足的资格要求：本项目</w:t>
      </w:r>
      <w:r>
        <w:rPr>
          <w:rFonts w:hint="eastAsia" w:ascii="仿宋" w:hAnsi="仿宋" w:eastAsia="仿宋" w:cs="仿宋"/>
          <w:bCs/>
          <w:color w:val="auto"/>
          <w:sz w:val="24"/>
          <w:highlight w:val="none"/>
          <w:lang w:eastAsia="zh-CN"/>
        </w:rPr>
        <w:t>不</w:t>
      </w:r>
      <w:r>
        <w:rPr>
          <w:rFonts w:hint="eastAsia" w:ascii="仿宋" w:hAnsi="仿宋" w:eastAsia="仿宋" w:cs="仿宋"/>
          <w:bCs/>
          <w:color w:val="auto"/>
          <w:sz w:val="24"/>
          <w:highlight w:val="none"/>
        </w:rPr>
        <w:t>属于专门面向中小企业采购的项目。</w:t>
      </w:r>
    </w:p>
    <w:p>
      <w:pPr>
        <w:pStyle w:val="31"/>
        <w:spacing w:after="160"/>
        <w:ind w:firstLine="480"/>
        <w:jc w:val="left"/>
        <w:rPr>
          <w:rFonts w:ascii="仿宋" w:hAnsi="仿宋" w:eastAsia="仿宋" w:cs="仿宋"/>
          <w:bCs/>
          <w:color w:val="auto"/>
          <w:sz w:val="24"/>
          <w:highlight w:val="none"/>
        </w:rPr>
      </w:pPr>
      <w:r>
        <w:rPr>
          <w:rFonts w:ascii="仿宋" w:hAnsi="仿宋" w:eastAsia="仿宋" w:cs="仿宋"/>
          <w:bCs/>
          <w:color w:val="auto"/>
          <w:sz w:val="24"/>
          <w:highlight w:val="none"/>
        </w:rPr>
        <w:t>3、</w:t>
      </w:r>
      <w:r>
        <w:rPr>
          <w:rFonts w:hint="eastAsia" w:ascii="仿宋" w:hAnsi="仿宋" w:eastAsia="仿宋" w:cs="仿宋"/>
          <w:bCs/>
          <w:color w:val="auto"/>
          <w:sz w:val="24"/>
          <w:highlight w:val="none"/>
        </w:rPr>
        <w:t>针对本项目的特殊要求：参加本次政府采购活动的供应商、法定代表人、主要负责人在近 3 年内无行贿犯罪记录。</w:t>
      </w:r>
    </w:p>
    <w:p>
      <w:pPr>
        <w:spacing w:after="160"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六、禁止参加本次采购活动的投标人</w:t>
      </w:r>
    </w:p>
    <w:p>
      <w:pPr>
        <w:spacing w:line="360" w:lineRule="auto"/>
        <w:ind w:firstLine="480" w:firstLineChars="200"/>
        <w:jc w:val="left"/>
        <w:rPr>
          <w:rFonts w:ascii="仿宋" w:hAnsi="仿宋" w:eastAsia="仿宋" w:cs="仿宋"/>
          <w:color w:val="auto"/>
          <w:sz w:val="24"/>
          <w:highlight w:val="none"/>
        </w:rPr>
      </w:pPr>
      <w:bookmarkStart w:id="3" w:name="PO_默认文件内容_4"/>
      <w:r>
        <w:rPr>
          <w:rFonts w:hint="eastAsia" w:ascii="仿宋" w:hAnsi="仿宋" w:eastAsia="仿宋" w:cs="仿宋"/>
          <w:color w:val="auto"/>
          <w:sz w:val="24"/>
          <w:highlight w:val="none"/>
        </w:rPr>
        <w:t>1、根据《关于在政府采购活动中查询及使用信用记录有关问题的通知》（财库〔2016〕125号）的要求，采购人/采购代理机构将通过“信用中国”网站（www.creditchina.gov.cn）、“中国政府采购网”网站（http://www.ccgp.gov.cn/）等渠道查询投标人在采购公告发布之日前的信用记录并保存信用记录结果网页截图，</w:t>
      </w:r>
      <w:bookmarkEnd w:id="3"/>
      <w:r>
        <w:rPr>
          <w:rFonts w:hint="eastAsia" w:ascii="仿宋" w:hAnsi="仿宋" w:eastAsia="仿宋" w:cs="仿宋"/>
          <w:color w:val="auto"/>
          <w:sz w:val="24"/>
          <w:highlight w:val="none"/>
        </w:rPr>
        <w:t>拒绝列入失信被执行人、重大税收违法案件当事人名单、政府采购严重违法失信行为记录名单及其他不符合《中华人民共和国政府采购法》第二十二条规定条件的投标人参加本项目的采购活动。</w:t>
      </w:r>
    </w:p>
    <w:p>
      <w:pPr>
        <w:spacing w:after="160"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七、招标文件获取方式、时间、地点：</w:t>
      </w:r>
    </w:p>
    <w:p>
      <w:pPr>
        <w:spacing w:after="160"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招标文件发售时间自 2021年</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日至 2021年</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日每天上午 09:00 至 12:00，下 午 14:00 至 17:30（北京时间，法定节假日除外）。</w:t>
      </w:r>
    </w:p>
    <w:p>
      <w:pPr>
        <w:spacing w:after="160" w:line="360" w:lineRule="auto"/>
        <w:ind w:firstLine="482" w:firstLineChars="20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报名方式：</w:t>
      </w:r>
      <w:r>
        <w:rPr>
          <w:rFonts w:hint="eastAsia" w:ascii="仿宋" w:hAnsi="仿宋" w:eastAsia="仿宋" w:cs="仿宋"/>
          <w:color w:val="auto"/>
          <w:sz w:val="24"/>
          <w:highlight w:val="none"/>
        </w:rPr>
        <w:t xml:space="preserve">投标人从“政府采购云平台”获取采购文件（网址：https://www.zcygov.cn）。登录政府采购云平台—项目采购—获取采购文件—申请获取采购文件。 </w:t>
      </w:r>
    </w:p>
    <w:p>
      <w:pPr>
        <w:spacing w:after="160"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提示：</w:t>
      </w:r>
    </w:p>
    <w:p>
      <w:pPr>
        <w:spacing w:after="160"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本项目招标文件免费获取。</w:t>
      </w:r>
    </w:p>
    <w:p>
      <w:pPr>
        <w:spacing w:after="160"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（2）投标人只有在“政府采购云平台”完成获取招标文件申请并下载招标文件后才视作依法参与本项目。如未在“政府采购云平台”内完成相关流程，引起的投标无效责任自负。</w:t>
      </w:r>
    </w:p>
    <w:p>
      <w:pPr>
        <w:spacing w:after="160"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本项目为电子招标投标项目，投标人参与本项目全过程中凡涉及系统操作请详见《供应商政府采购项目电子交易操作指南》。（操作指南以政府采购云平台网站发布为准，获取方式详见：招标文件附件三-政府采购云平台使用介绍）</w:t>
      </w:r>
    </w:p>
    <w:p>
      <w:pPr>
        <w:spacing w:after="160"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（4）政府采购云平台投标人注册地址：</w:t>
      </w:r>
    </w:p>
    <w:p>
      <w:pPr>
        <w:spacing w:after="160" w:line="360" w:lineRule="auto"/>
        <w:ind w:firstLine="420" w:firstLineChars="200"/>
        <w:jc w:val="left"/>
        <w:rPr>
          <w:rFonts w:ascii="仿宋" w:hAnsi="仿宋" w:eastAsia="仿宋" w:cs="仿宋"/>
          <w:color w:val="auto"/>
          <w:sz w:val="24"/>
          <w:highlight w:val="none"/>
        </w:rPr>
      </w:pPr>
      <w:r>
        <w:rPr>
          <w:color w:val="auto"/>
          <w:highlight w:val="none"/>
        </w:rPr>
        <w:fldChar w:fldCharType="begin"/>
      </w:r>
      <w:r>
        <w:rPr>
          <w:color w:val="auto"/>
          <w:highlight w:val="none"/>
        </w:rPr>
        <w:instrText xml:space="preserve"> HYPERLINK "https://middle.zcygov.cn/v-settle-front/registry" </w:instrText>
      </w:r>
      <w:r>
        <w:rPr>
          <w:color w:val="auto"/>
          <w:highlight w:val="none"/>
        </w:rPr>
        <w:fldChar w:fldCharType="separate"/>
      </w:r>
      <w:r>
        <w:rPr>
          <w:rFonts w:hint="eastAsia" w:ascii="仿宋" w:hAnsi="仿宋" w:eastAsia="仿宋" w:cs="仿宋"/>
          <w:color w:val="auto"/>
          <w:sz w:val="24"/>
          <w:highlight w:val="none"/>
        </w:rPr>
        <w:t>https://middle.zcygov.cn/v-settle-front/registry</w:t>
      </w:r>
      <w:r>
        <w:rPr>
          <w:rFonts w:hint="eastAsia" w:ascii="仿宋" w:hAnsi="仿宋" w:eastAsia="仿宋" w:cs="仿宋"/>
          <w:color w:val="auto"/>
          <w:sz w:val="24"/>
          <w:highlight w:val="none"/>
        </w:rPr>
        <w:fldChar w:fldCharType="end"/>
      </w:r>
    </w:p>
    <w:p>
      <w:pPr>
        <w:spacing w:after="160" w:line="360" w:lineRule="auto"/>
        <w:ind w:firstLine="482" w:firstLineChars="200"/>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获取招标文件的地点：</w:t>
      </w:r>
      <w:r>
        <w:rPr>
          <w:rFonts w:hint="eastAsia" w:ascii="仿宋" w:hAnsi="仿宋" w:eastAsia="仿宋" w:cs="仿宋"/>
          <w:color w:val="auto"/>
          <w:sz w:val="24"/>
          <w:highlight w:val="none"/>
        </w:rPr>
        <w:t>政府采购云平台(网址：https://www.zcygov.cn)</w:t>
      </w:r>
    </w:p>
    <w:p>
      <w:pPr>
        <w:numPr>
          <w:ilvl w:val="0"/>
          <w:numId w:val="4"/>
        </w:numPr>
        <w:spacing w:after="160"/>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投标截止时间和开标时间：2021年</w:t>
      </w:r>
      <w:r>
        <w:rPr>
          <w:rFonts w:hint="eastAsia" w:ascii="仿宋" w:hAnsi="仿宋" w:eastAsia="仿宋" w:cs="仿宋"/>
          <w:b/>
          <w:color w:val="auto"/>
          <w:sz w:val="24"/>
          <w:highlight w:val="none"/>
          <w:lang w:val="en-US" w:eastAsia="zh-CN"/>
        </w:rPr>
        <w:t>11</w:t>
      </w:r>
      <w:r>
        <w:rPr>
          <w:rFonts w:hint="eastAsia" w:ascii="仿宋" w:hAnsi="仿宋" w:eastAsia="仿宋" w:cs="仿宋"/>
          <w:b/>
          <w:color w:val="auto"/>
          <w:sz w:val="24"/>
          <w:highlight w:val="none"/>
        </w:rPr>
        <w:t>月</w:t>
      </w:r>
      <w:r>
        <w:rPr>
          <w:rFonts w:hint="eastAsia" w:ascii="仿宋" w:hAnsi="仿宋" w:eastAsia="仿宋" w:cs="仿宋"/>
          <w:b/>
          <w:color w:val="auto"/>
          <w:sz w:val="24"/>
          <w:highlight w:val="none"/>
          <w:lang w:val="en-US" w:eastAsia="zh-CN"/>
        </w:rPr>
        <w:t>24</w:t>
      </w:r>
      <w:r>
        <w:rPr>
          <w:rFonts w:hint="eastAsia" w:ascii="仿宋" w:hAnsi="仿宋" w:eastAsia="仿宋" w:cs="仿宋"/>
          <w:b/>
          <w:color w:val="auto"/>
          <w:sz w:val="24"/>
          <w:highlight w:val="none"/>
        </w:rPr>
        <w:t>日</w:t>
      </w:r>
      <w:r>
        <w:rPr>
          <w:rFonts w:hint="eastAsia" w:ascii="仿宋" w:hAnsi="仿宋" w:eastAsia="仿宋" w:cs="仿宋"/>
          <w:b/>
          <w:color w:val="auto"/>
          <w:sz w:val="24"/>
          <w:highlight w:val="none"/>
          <w:lang w:val="en-US" w:eastAsia="zh-CN"/>
        </w:rPr>
        <w:t>09</w:t>
      </w:r>
      <w:r>
        <w:rPr>
          <w:rFonts w:hint="eastAsia" w:ascii="仿宋" w:hAnsi="仿宋" w:eastAsia="仿宋" w:cs="仿宋"/>
          <w:b/>
          <w:color w:val="auto"/>
          <w:sz w:val="24"/>
          <w:highlight w:val="none"/>
        </w:rPr>
        <w:t>时</w:t>
      </w:r>
      <w:r>
        <w:rPr>
          <w:rFonts w:hint="eastAsia" w:ascii="仿宋" w:hAnsi="仿宋" w:eastAsia="仿宋" w:cs="仿宋"/>
          <w:b/>
          <w:color w:val="auto"/>
          <w:sz w:val="24"/>
          <w:highlight w:val="none"/>
          <w:lang w:val="en-US" w:eastAsia="zh-CN"/>
        </w:rPr>
        <w:t>30</w:t>
      </w:r>
      <w:r>
        <w:rPr>
          <w:rFonts w:hint="eastAsia" w:ascii="仿宋" w:hAnsi="仿宋" w:eastAsia="仿宋" w:cs="仿宋"/>
          <w:b/>
          <w:color w:val="auto"/>
          <w:sz w:val="24"/>
          <w:highlight w:val="none"/>
        </w:rPr>
        <w:t>分（北京时间）。</w:t>
      </w:r>
    </w:p>
    <w:p>
      <w:pPr>
        <w:spacing w:after="160"/>
        <w:jc w:val="left"/>
        <w:rPr>
          <w:rFonts w:ascii="仿宋" w:hAnsi="仿宋" w:eastAsia="仿宋" w:cs="仿宋"/>
          <w:color w:val="auto"/>
          <w:sz w:val="24"/>
          <w:highlight w:val="none"/>
        </w:rPr>
      </w:pPr>
      <w:r>
        <w:rPr>
          <w:rFonts w:hint="eastAsia" w:ascii="仿宋" w:hAnsi="仿宋" w:eastAsia="仿宋" w:cs="仿宋"/>
          <w:b/>
          <w:color w:val="auto"/>
          <w:sz w:val="24"/>
          <w:highlight w:val="none"/>
        </w:rPr>
        <w:t>投标截止时间前，投标人应将加密的电子投标文件递交至“政府采购云平台”对应项目（包件）。</w:t>
      </w:r>
    </w:p>
    <w:p>
      <w:pPr>
        <w:spacing w:after="160"/>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szCs w:val="28"/>
          <w:highlight w:val="none"/>
        </w:rPr>
        <w:t>九</w:t>
      </w:r>
      <w:r>
        <w:rPr>
          <w:rFonts w:hint="eastAsia" w:ascii="仿宋" w:hAnsi="仿宋" w:eastAsia="仿宋" w:cs="仿宋"/>
          <w:b/>
          <w:color w:val="auto"/>
          <w:sz w:val="24"/>
          <w:highlight w:val="none"/>
        </w:rPr>
        <w:t>、开标地点：</w:t>
      </w:r>
      <w:bookmarkStart w:id="4" w:name="PO_默认文件内容_7"/>
    </w:p>
    <w:bookmarkEnd w:id="4"/>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（1）本项目为不见面开标项目。</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（2）开标地点：政府采购云平台(https://www.zcygov.cn)。</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（3）本项目只接受投标人加密并递交至“政府采购云平台”的投标文件。</w:t>
      </w:r>
    </w:p>
    <w:p>
      <w:pPr>
        <w:spacing w:after="160"/>
        <w:ind w:firstLine="482" w:firstLineChars="200"/>
        <w:jc w:val="left"/>
        <w:rPr>
          <w:rFonts w:ascii="仿宋" w:hAnsi="仿宋" w:eastAsia="仿宋" w:cs="仿宋"/>
          <w:color w:val="auto"/>
          <w:sz w:val="24"/>
          <w:szCs w:val="28"/>
          <w:highlight w:val="none"/>
        </w:rPr>
      </w:pPr>
      <w:r>
        <w:rPr>
          <w:rFonts w:hint="eastAsia" w:ascii="仿宋" w:hAnsi="仿宋" w:eastAsia="仿宋" w:cs="仿宋"/>
          <w:b/>
          <w:color w:val="auto"/>
          <w:sz w:val="24"/>
          <w:szCs w:val="28"/>
          <w:highlight w:val="none"/>
        </w:rPr>
        <w:t>十、本招标公告在四川省政府采购网上以公告形式发布。</w:t>
      </w:r>
    </w:p>
    <w:p>
      <w:pPr>
        <w:pStyle w:val="31"/>
        <w:spacing w:line="420" w:lineRule="exact"/>
        <w:ind w:firstLine="482"/>
        <w:rPr>
          <w:rFonts w:ascii="仿宋" w:hAnsi="仿宋" w:eastAsia="仿宋"/>
          <w:b/>
          <w:color w:val="auto"/>
          <w:sz w:val="24"/>
          <w:highlight w:val="none"/>
        </w:rPr>
      </w:pPr>
      <w:r>
        <w:rPr>
          <w:rFonts w:hint="eastAsia" w:ascii="仿宋" w:hAnsi="仿宋" w:eastAsia="仿宋"/>
          <w:b/>
          <w:color w:val="auto"/>
          <w:sz w:val="24"/>
          <w:highlight w:val="none"/>
        </w:rPr>
        <w:t>十一、供应商信用融资：</w:t>
      </w:r>
    </w:p>
    <w:p>
      <w:pPr>
        <w:pStyle w:val="31"/>
        <w:spacing w:line="420" w:lineRule="exact"/>
        <w:ind w:firstLine="480"/>
        <w:rPr>
          <w:rFonts w:ascii="仿宋" w:hAnsi="仿宋" w:eastAsia="仿宋"/>
          <w:color w:val="auto"/>
          <w:sz w:val="24"/>
          <w:highlight w:val="none"/>
        </w:rPr>
      </w:pPr>
      <w:r>
        <w:rPr>
          <w:rFonts w:hint="eastAsia" w:ascii="仿宋" w:hAnsi="仿宋" w:eastAsia="仿宋"/>
          <w:color w:val="auto"/>
          <w:sz w:val="24"/>
          <w:highlight w:val="none"/>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31"/>
        <w:spacing w:line="420" w:lineRule="exact"/>
        <w:ind w:firstLine="480"/>
        <w:rPr>
          <w:rFonts w:ascii="仿宋" w:hAnsi="仿宋" w:eastAsia="仿宋" w:cs="仿宋"/>
          <w:b/>
          <w:color w:val="auto"/>
          <w:sz w:val="24"/>
          <w:highlight w:val="none"/>
        </w:rPr>
      </w:pPr>
      <w:r>
        <w:rPr>
          <w:rFonts w:hint="eastAsia" w:ascii="仿宋" w:hAnsi="仿宋" w:eastAsia="仿宋"/>
          <w:color w:val="auto"/>
          <w:sz w:val="24"/>
          <w:highlight w:val="none"/>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color w:val="auto"/>
          <w:sz w:val="24"/>
          <w:highlight w:val="none"/>
        </w:rPr>
        <w:t>20</w:t>
      </w:r>
      <w:r>
        <w:rPr>
          <w:rFonts w:hint="eastAsia" w:ascii="仿宋" w:hAnsi="仿宋" w:eastAsia="仿宋"/>
          <w:color w:val="auto"/>
          <w:sz w:val="24"/>
          <w:highlight w:val="none"/>
        </w:rPr>
        <w:t>〕</w:t>
      </w:r>
      <w:r>
        <w:rPr>
          <w:rFonts w:ascii="仿宋" w:hAnsi="仿宋" w:eastAsia="仿宋"/>
          <w:color w:val="auto"/>
          <w:sz w:val="24"/>
          <w:highlight w:val="none"/>
        </w:rPr>
        <w:t>20</w:t>
      </w:r>
      <w:r>
        <w:rPr>
          <w:rFonts w:hint="eastAsia" w:ascii="仿宋" w:hAnsi="仿宋" w:eastAsia="仿宋"/>
          <w:color w:val="auto"/>
          <w:sz w:val="24"/>
          <w:highlight w:val="none"/>
        </w:rPr>
        <w:t>号”）。</w:t>
      </w:r>
    </w:p>
    <w:p>
      <w:pPr>
        <w:spacing w:after="160"/>
        <w:ind w:firstLine="482" w:firstLineChars="200"/>
        <w:jc w:val="left"/>
        <w:rPr>
          <w:rFonts w:ascii="仿宋" w:hAnsi="仿宋" w:eastAsia="仿宋" w:cs="仿宋"/>
          <w:b/>
          <w:color w:val="auto"/>
          <w:sz w:val="24"/>
          <w:szCs w:val="28"/>
          <w:highlight w:val="none"/>
        </w:rPr>
      </w:pPr>
      <w:r>
        <w:rPr>
          <w:rFonts w:hint="eastAsia" w:ascii="仿宋" w:hAnsi="仿宋" w:eastAsia="仿宋" w:cs="仿宋"/>
          <w:b/>
          <w:color w:val="auto"/>
          <w:sz w:val="24"/>
          <w:szCs w:val="28"/>
          <w:highlight w:val="none"/>
        </w:rPr>
        <w:t>十二、联系方式</w:t>
      </w:r>
    </w:p>
    <w:p>
      <w:pPr>
        <w:spacing w:after="160"/>
        <w:ind w:firstLine="482" w:firstLineChars="200"/>
        <w:jc w:val="left"/>
        <w:rPr>
          <w:rFonts w:ascii="仿宋" w:hAnsi="仿宋" w:eastAsia="仿宋" w:cs="仿宋"/>
          <w:b/>
          <w:bCs/>
          <w:color w:val="auto"/>
          <w:sz w:val="24"/>
          <w:highlight w:val="none"/>
        </w:rPr>
      </w:pPr>
      <w:r>
        <w:rPr>
          <w:rFonts w:hint="eastAsia" w:ascii="仿宋" w:hAnsi="仿宋" w:eastAsia="仿宋" w:cs="仿宋"/>
          <w:b/>
          <w:color w:val="auto"/>
          <w:sz w:val="24"/>
          <w:szCs w:val="28"/>
          <w:highlight w:val="none"/>
        </w:rPr>
        <w:t>采购人：成都市温</w:t>
      </w:r>
      <w:r>
        <w:rPr>
          <w:rFonts w:hint="eastAsia" w:ascii="仿宋" w:hAnsi="仿宋" w:eastAsia="仿宋" w:cs="仿宋"/>
          <w:b/>
          <w:color w:val="auto"/>
          <w:sz w:val="24"/>
          <w:highlight w:val="none"/>
        </w:rPr>
        <w:t>江区规划信息服务中心</w:t>
      </w:r>
    </w:p>
    <w:p>
      <w:pPr>
        <w:pStyle w:val="31"/>
        <w:spacing w:after="160" w:line="240" w:lineRule="auto"/>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地    址： 成都市温江区人和路733号海科大厦</w:t>
      </w:r>
    </w:p>
    <w:p>
      <w:pPr>
        <w:pStyle w:val="31"/>
        <w:spacing w:after="160" w:line="240" w:lineRule="auto"/>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联 系 人： 萧老师</w:t>
      </w:r>
    </w:p>
    <w:p>
      <w:pPr>
        <w:pStyle w:val="31"/>
        <w:spacing w:after="160" w:line="240" w:lineRule="auto"/>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联系电话：028-82740689 </w:t>
      </w:r>
    </w:p>
    <w:p>
      <w:pPr>
        <w:pStyle w:val="31"/>
        <w:spacing w:after="160" w:line="240" w:lineRule="auto"/>
        <w:ind w:firstLine="482"/>
        <w:jc w:val="left"/>
        <w:rPr>
          <w:rFonts w:ascii="仿宋" w:hAnsi="仿宋" w:eastAsia="仿宋" w:cs="仿宋"/>
          <w:b/>
          <w:color w:val="auto"/>
          <w:sz w:val="24"/>
          <w:highlight w:val="none"/>
        </w:rPr>
      </w:pPr>
      <w:r>
        <w:rPr>
          <w:rFonts w:hint="eastAsia" w:ascii="仿宋" w:hAnsi="仿宋" w:eastAsia="仿宋" w:cs="仿宋"/>
          <w:b/>
          <w:color w:val="auto"/>
          <w:sz w:val="24"/>
          <w:highlight w:val="none"/>
        </w:rPr>
        <w:t>采购代理机构：四川好特建设工程有限公司</w:t>
      </w:r>
    </w:p>
    <w:p>
      <w:pPr>
        <w:pStyle w:val="31"/>
        <w:spacing w:after="160" w:line="240" w:lineRule="auto"/>
        <w:ind w:firstLine="448"/>
        <w:jc w:val="left"/>
        <w:rPr>
          <w:rFonts w:ascii="仿宋" w:hAnsi="仿宋" w:eastAsia="仿宋" w:cs="仿宋"/>
          <w:color w:val="auto"/>
          <w:spacing w:val="-8"/>
          <w:sz w:val="24"/>
          <w:highlight w:val="none"/>
        </w:rPr>
      </w:pPr>
      <w:r>
        <w:rPr>
          <w:rFonts w:hint="eastAsia" w:ascii="仿宋" w:hAnsi="仿宋" w:eastAsia="仿宋" w:cs="仿宋"/>
          <w:color w:val="auto"/>
          <w:spacing w:val="-8"/>
          <w:sz w:val="24"/>
          <w:highlight w:val="none"/>
        </w:rPr>
        <w:t>通讯地址：成都市金牛区金府路889号10幢2层203号</w:t>
      </w:r>
    </w:p>
    <w:p>
      <w:pPr>
        <w:pStyle w:val="31"/>
        <w:spacing w:after="160" w:line="240" w:lineRule="auto"/>
        <w:ind w:firstLine="480"/>
        <w:jc w:val="left"/>
        <w:rPr>
          <w:rFonts w:ascii="仿宋" w:hAnsi="仿宋" w:eastAsia="仿宋" w:cs="仿宋"/>
          <w:color w:val="auto"/>
          <w:sz w:val="24"/>
          <w:highlight w:val="none"/>
        </w:rPr>
      </w:pPr>
      <w:r>
        <w:rPr>
          <w:rFonts w:hint="eastAsia" w:ascii="仿宋" w:hAnsi="仿宋" w:eastAsia="仿宋" w:cs="仿宋"/>
          <w:color w:val="auto"/>
          <w:sz w:val="24"/>
          <w:highlight w:val="none"/>
        </w:rPr>
        <w:t>邮    编：</w:t>
      </w:r>
      <w:r>
        <w:rPr>
          <w:rFonts w:hint="eastAsia" w:ascii="仿宋" w:hAnsi="仿宋" w:eastAsia="仿宋" w:cs="仿宋"/>
          <w:color w:val="auto"/>
          <w:sz w:val="24"/>
          <w:highlight w:val="none"/>
          <w:shd w:val="clear" w:color="auto" w:fill="FFFFFF"/>
        </w:rPr>
        <w:t>610036</w:t>
      </w:r>
    </w:p>
    <w:p>
      <w:pPr>
        <w:pStyle w:val="31"/>
        <w:spacing w:after="160" w:line="240" w:lineRule="auto"/>
        <w:ind w:firstLine="480"/>
        <w:jc w:val="left"/>
        <w:rPr>
          <w:rFonts w:hint="eastAsia" w:ascii="仿宋" w:hAnsi="仿宋" w:eastAsia="仿宋" w:cs="仿宋"/>
          <w:color w:val="auto"/>
          <w:sz w:val="24"/>
          <w:highlight w:val="none"/>
          <w:lang w:eastAsia="zh-CN"/>
        </w:rPr>
      </w:pPr>
      <w:bookmarkStart w:id="5" w:name="_Toc213496267"/>
      <w:bookmarkStart w:id="6" w:name="_Toc213396945"/>
      <w:bookmarkStart w:id="7" w:name="_Toc511206476"/>
      <w:bookmarkStart w:id="8" w:name="_Toc213397009"/>
      <w:bookmarkStart w:id="9" w:name="_Toc217446031"/>
      <w:bookmarkStart w:id="10" w:name="_Toc213396759"/>
      <w:r>
        <w:rPr>
          <w:rFonts w:hint="eastAsia" w:ascii="仿宋" w:hAnsi="仿宋" w:eastAsia="仿宋" w:cs="仿宋"/>
          <w:color w:val="auto"/>
          <w:sz w:val="24"/>
          <w:highlight w:val="none"/>
        </w:rPr>
        <w:t>联 系 人：</w:t>
      </w:r>
      <w:r>
        <w:rPr>
          <w:rFonts w:hint="eastAsia" w:ascii="仿宋" w:hAnsi="仿宋" w:eastAsia="仿宋" w:cs="仿宋"/>
          <w:color w:val="auto"/>
          <w:sz w:val="24"/>
          <w:highlight w:val="none"/>
          <w:lang w:eastAsia="zh-CN"/>
        </w:rPr>
        <w:t>陈女士</w:t>
      </w:r>
    </w:p>
    <w:p>
      <w:pPr>
        <w:pStyle w:val="31"/>
        <w:spacing w:after="160"/>
        <w:ind w:firstLine="480"/>
        <w:jc w:val="left"/>
        <w:rPr>
          <w:rFonts w:ascii="仿宋" w:hAnsi="仿宋" w:eastAsia="仿宋" w:cs="仿宋"/>
          <w:color w:val="auto"/>
          <w:sz w:val="36"/>
          <w:szCs w:val="36"/>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shd w:val="clear" w:color="auto" w:fill="FFFFFF"/>
        </w:rPr>
        <w:t>028-61110133</w:t>
      </w:r>
    </w:p>
    <w:p>
      <w:pPr>
        <w:pStyle w:val="16"/>
        <w:rPr>
          <w:rFonts w:ascii="仿宋" w:hAnsi="仿宋" w:eastAsia="仿宋" w:cs="仿宋"/>
          <w:color w:val="auto"/>
          <w:sz w:val="36"/>
          <w:szCs w:val="36"/>
          <w:highlight w:val="none"/>
        </w:rPr>
      </w:pPr>
      <w:r>
        <w:rPr>
          <w:rFonts w:hint="eastAsia" w:ascii="仿宋" w:hAnsi="仿宋" w:eastAsia="仿宋" w:cs="仿宋"/>
          <w:color w:val="auto"/>
          <w:sz w:val="36"/>
          <w:szCs w:val="36"/>
          <w:highlight w:val="none"/>
        </w:rPr>
        <w:br w:type="page"/>
      </w:r>
      <w:bookmarkStart w:id="11" w:name="_Toc19420"/>
      <w:r>
        <w:rPr>
          <w:rFonts w:hint="eastAsia" w:ascii="仿宋" w:hAnsi="仿宋" w:eastAsia="仿宋" w:cs="仿宋"/>
          <w:color w:val="auto"/>
          <w:sz w:val="36"/>
          <w:szCs w:val="36"/>
          <w:highlight w:val="none"/>
        </w:rPr>
        <w:t>第二章  投标人须知</w:t>
      </w:r>
      <w:bookmarkEnd w:id="5"/>
      <w:bookmarkEnd w:id="6"/>
      <w:bookmarkEnd w:id="7"/>
      <w:bookmarkEnd w:id="8"/>
      <w:bookmarkEnd w:id="9"/>
      <w:bookmarkEnd w:id="10"/>
      <w:bookmarkEnd w:id="11"/>
    </w:p>
    <w:p>
      <w:pPr>
        <w:pStyle w:val="4"/>
        <w:keepNext w:val="0"/>
        <w:keepLines w:val="0"/>
        <w:spacing w:line="240" w:lineRule="atLeas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一、投标人须知附表</w:t>
      </w:r>
    </w:p>
    <w:tbl>
      <w:tblPr>
        <w:tblStyle w:val="18"/>
        <w:tblW w:w="979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548"/>
        <w:gridCol w:w="2048"/>
        <w:gridCol w:w="7197"/>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548" w:type="dxa"/>
            <w:vAlign w:val="center"/>
          </w:tcPr>
          <w:p>
            <w:pPr>
              <w:pStyle w:val="32"/>
              <w:adjustRightInd/>
              <w:spacing w:line="360" w:lineRule="auto"/>
              <w:jc w:val="center"/>
              <w:rPr>
                <w:rFonts w:ascii="仿宋" w:hAnsi="仿宋" w:eastAsia="仿宋" w:cs="仿宋"/>
                <w:b/>
                <w:bCs/>
                <w:color w:val="auto"/>
                <w:sz w:val="21"/>
                <w:szCs w:val="21"/>
                <w:highlight w:val="none"/>
                <w:lang w:val="zh-CN"/>
              </w:rPr>
            </w:pPr>
            <w:r>
              <w:rPr>
                <w:rFonts w:hint="eastAsia" w:ascii="仿宋" w:hAnsi="仿宋" w:eastAsia="仿宋" w:cs="仿宋"/>
                <w:b/>
                <w:bCs/>
                <w:color w:val="auto"/>
                <w:sz w:val="21"/>
                <w:szCs w:val="21"/>
                <w:highlight w:val="none"/>
                <w:lang w:val="zh-CN"/>
              </w:rPr>
              <w:t>序号</w:t>
            </w:r>
          </w:p>
        </w:tc>
        <w:tc>
          <w:tcPr>
            <w:tcW w:w="2048" w:type="dxa"/>
            <w:vAlign w:val="center"/>
          </w:tcPr>
          <w:p>
            <w:pPr>
              <w:pStyle w:val="32"/>
              <w:adjustRightInd/>
              <w:spacing w:line="360" w:lineRule="auto"/>
              <w:jc w:val="center"/>
              <w:rPr>
                <w:rFonts w:ascii="仿宋" w:hAnsi="仿宋" w:eastAsia="仿宋" w:cs="仿宋"/>
                <w:b/>
                <w:bCs/>
                <w:color w:val="auto"/>
                <w:sz w:val="21"/>
                <w:szCs w:val="21"/>
                <w:highlight w:val="none"/>
                <w:lang w:val="zh-CN"/>
              </w:rPr>
            </w:pPr>
            <w:r>
              <w:rPr>
                <w:rFonts w:hint="eastAsia" w:ascii="仿宋" w:hAnsi="仿宋" w:eastAsia="仿宋" w:cs="仿宋"/>
                <w:b/>
                <w:bCs/>
                <w:color w:val="auto"/>
                <w:sz w:val="21"/>
                <w:szCs w:val="21"/>
                <w:highlight w:val="none"/>
                <w:lang w:val="zh-CN"/>
              </w:rPr>
              <w:t>条款名称</w:t>
            </w:r>
          </w:p>
        </w:tc>
        <w:tc>
          <w:tcPr>
            <w:tcW w:w="7197" w:type="dxa"/>
            <w:vAlign w:val="center"/>
          </w:tcPr>
          <w:p>
            <w:pPr>
              <w:pStyle w:val="32"/>
              <w:adjustRightInd/>
              <w:spacing w:line="360" w:lineRule="auto"/>
              <w:jc w:val="center"/>
              <w:rPr>
                <w:rFonts w:ascii="仿宋" w:hAnsi="仿宋" w:eastAsia="仿宋" w:cs="仿宋"/>
                <w:b/>
                <w:bCs/>
                <w:color w:val="auto"/>
                <w:sz w:val="21"/>
                <w:szCs w:val="21"/>
                <w:highlight w:val="none"/>
                <w:lang w:val="zh-CN"/>
              </w:rPr>
            </w:pPr>
            <w:r>
              <w:rPr>
                <w:rFonts w:hint="eastAsia" w:ascii="仿宋" w:hAnsi="仿宋" w:eastAsia="仿宋" w:cs="仿宋"/>
                <w:b/>
                <w:bCs/>
                <w:color w:val="auto"/>
                <w:sz w:val="21"/>
                <w:szCs w:val="21"/>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jc w:val="center"/>
        </w:trPr>
        <w:tc>
          <w:tcPr>
            <w:tcW w:w="548" w:type="dxa"/>
            <w:vAlign w:val="center"/>
          </w:tcPr>
          <w:p>
            <w:pPr>
              <w:pStyle w:val="34"/>
              <w:ind w:left="42"/>
              <w:jc w:val="center"/>
              <w:rPr>
                <w:rFonts w:ascii="仿宋" w:hAnsi="仿宋" w:eastAsia="仿宋" w:cs="仿宋"/>
                <w:color w:val="auto"/>
                <w:highlight w:val="none"/>
              </w:rPr>
            </w:pPr>
            <w:r>
              <w:rPr>
                <w:rFonts w:hint="eastAsia" w:ascii="仿宋" w:hAnsi="仿宋" w:eastAsia="仿宋" w:cs="仿宋"/>
                <w:color w:val="auto"/>
                <w:highlight w:val="none"/>
              </w:rPr>
              <w:t>1</w:t>
            </w:r>
          </w:p>
        </w:tc>
        <w:tc>
          <w:tcPr>
            <w:tcW w:w="2048" w:type="dxa"/>
            <w:vAlign w:val="center"/>
          </w:tcPr>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采购预算</w:t>
            </w:r>
          </w:p>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（实质性要求）</w:t>
            </w:r>
          </w:p>
        </w:tc>
        <w:tc>
          <w:tcPr>
            <w:tcW w:w="7197" w:type="dxa"/>
            <w:vAlign w:val="center"/>
          </w:tcPr>
          <w:p>
            <w:pPr>
              <w:pStyle w:val="34"/>
              <w:ind w:left="42"/>
              <w:rPr>
                <w:rFonts w:ascii="仿宋" w:hAnsi="仿宋" w:eastAsia="仿宋" w:cs="仿宋"/>
                <w:color w:val="auto"/>
                <w:highlight w:val="none"/>
              </w:rPr>
            </w:pPr>
            <w:r>
              <w:rPr>
                <w:rFonts w:hint="eastAsia" w:ascii="仿宋" w:hAnsi="仿宋" w:eastAsia="仿宋" w:cs="仿宋"/>
                <w:color w:val="auto"/>
                <w:highlight w:val="none"/>
                <w:lang w:val="zh-CN"/>
              </w:rPr>
              <w:t>采购预算品目为信息系统集成，包件一预算金额为人民币</w:t>
            </w:r>
            <w:r>
              <w:rPr>
                <w:rFonts w:hint="eastAsia" w:ascii="仿宋" w:hAnsi="仿宋" w:eastAsia="仿宋" w:cs="仿宋"/>
                <w:color w:val="auto"/>
                <w:highlight w:val="none"/>
              </w:rPr>
              <w:t>4</w:t>
            </w:r>
            <w:r>
              <w:rPr>
                <w:rFonts w:hint="eastAsia" w:ascii="仿宋" w:hAnsi="仿宋" w:eastAsia="仿宋" w:cs="仿宋"/>
                <w:color w:val="auto"/>
                <w:highlight w:val="none"/>
                <w:lang w:val="en-US" w:eastAsia="zh-CN"/>
              </w:rPr>
              <w:t>21</w:t>
            </w:r>
            <w:r>
              <w:rPr>
                <w:rFonts w:hint="eastAsia" w:ascii="仿宋" w:hAnsi="仿宋" w:eastAsia="仿宋" w:cs="仿宋"/>
                <w:color w:val="auto"/>
                <w:highlight w:val="none"/>
                <w:lang w:val="zh-CN"/>
              </w:rPr>
              <w:t>万元；包件二预算金额为</w:t>
            </w:r>
            <w:r>
              <w:rPr>
                <w:rFonts w:hint="eastAsia" w:ascii="仿宋" w:hAnsi="仿宋" w:eastAsia="仿宋" w:cs="仿宋"/>
                <w:color w:val="auto"/>
                <w:highlight w:val="none"/>
              </w:rPr>
              <w:t>20万元</w:t>
            </w:r>
            <w:r>
              <w:rPr>
                <w:rFonts w:hint="eastAsia" w:ascii="仿宋" w:hAnsi="仿宋" w:eastAsia="仿宋" w:cs="仿宋"/>
                <w:color w:val="auto"/>
                <w:highlight w:val="none"/>
                <w:lang w:val="zh-CN"/>
              </w:rPr>
              <w:t>。</w:t>
            </w:r>
          </w:p>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6" w:hRule="atLeast"/>
          <w:jc w:val="center"/>
        </w:trPr>
        <w:tc>
          <w:tcPr>
            <w:tcW w:w="548" w:type="dxa"/>
            <w:vAlign w:val="center"/>
          </w:tcPr>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2</w:t>
            </w:r>
          </w:p>
        </w:tc>
        <w:tc>
          <w:tcPr>
            <w:tcW w:w="2048" w:type="dxa"/>
            <w:vAlign w:val="center"/>
          </w:tcPr>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最高限价</w:t>
            </w:r>
          </w:p>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（实质性要求）</w:t>
            </w:r>
          </w:p>
        </w:tc>
        <w:tc>
          <w:tcPr>
            <w:tcW w:w="7197" w:type="dxa"/>
            <w:vAlign w:val="center"/>
          </w:tcPr>
          <w:p>
            <w:pPr>
              <w:pStyle w:val="34"/>
              <w:ind w:left="42"/>
              <w:rPr>
                <w:rFonts w:ascii="仿宋" w:hAnsi="仿宋" w:eastAsia="仿宋" w:cs="仿宋"/>
                <w:color w:val="auto"/>
                <w:highlight w:val="none"/>
              </w:rPr>
            </w:pPr>
            <w:r>
              <w:rPr>
                <w:rFonts w:hint="eastAsia" w:ascii="仿宋" w:hAnsi="仿宋" w:eastAsia="仿宋" w:cs="仿宋"/>
                <w:color w:val="auto"/>
                <w:highlight w:val="none"/>
                <w:lang w:val="zh-CN"/>
              </w:rPr>
              <w:t>包件一最高限价为人民币</w:t>
            </w:r>
            <w:r>
              <w:rPr>
                <w:rFonts w:hint="eastAsia" w:ascii="仿宋" w:hAnsi="仿宋" w:eastAsia="仿宋" w:cs="仿宋"/>
                <w:color w:val="auto"/>
                <w:highlight w:val="none"/>
              </w:rPr>
              <w:t>4</w:t>
            </w:r>
            <w:r>
              <w:rPr>
                <w:rFonts w:hint="eastAsia" w:ascii="仿宋" w:hAnsi="仿宋" w:eastAsia="仿宋" w:cs="仿宋"/>
                <w:color w:val="auto"/>
                <w:highlight w:val="none"/>
                <w:lang w:val="en-US" w:eastAsia="zh-CN"/>
              </w:rPr>
              <w:t>21</w:t>
            </w:r>
            <w:r>
              <w:rPr>
                <w:rFonts w:hint="eastAsia" w:ascii="仿宋" w:hAnsi="仿宋" w:eastAsia="仿宋" w:cs="仿宋"/>
                <w:color w:val="auto"/>
                <w:highlight w:val="none"/>
                <w:lang w:val="zh-CN"/>
              </w:rPr>
              <w:t>万元；包件二最高限价为</w:t>
            </w:r>
            <w:r>
              <w:rPr>
                <w:rFonts w:hint="eastAsia" w:ascii="仿宋" w:hAnsi="仿宋" w:eastAsia="仿宋" w:cs="仿宋"/>
                <w:color w:val="auto"/>
                <w:highlight w:val="none"/>
              </w:rPr>
              <w:t>20万元。</w:t>
            </w:r>
          </w:p>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超过最高限价的投标为无效投标。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7" w:hRule="atLeast"/>
          <w:jc w:val="center"/>
        </w:trPr>
        <w:tc>
          <w:tcPr>
            <w:tcW w:w="548" w:type="dxa"/>
            <w:vAlign w:val="center"/>
          </w:tcPr>
          <w:p>
            <w:pPr>
              <w:pStyle w:val="34"/>
              <w:ind w:left="42"/>
              <w:jc w:val="center"/>
              <w:rPr>
                <w:rFonts w:ascii="仿宋" w:hAnsi="仿宋" w:eastAsia="仿宋" w:cs="仿宋"/>
                <w:color w:val="auto"/>
                <w:highlight w:val="none"/>
              </w:rPr>
            </w:pPr>
            <w:r>
              <w:rPr>
                <w:rFonts w:ascii="仿宋" w:hAnsi="仿宋" w:eastAsia="仿宋" w:cs="仿宋"/>
                <w:color w:val="auto"/>
                <w:highlight w:val="none"/>
              </w:rPr>
              <w:t>3</w:t>
            </w:r>
          </w:p>
        </w:tc>
        <w:tc>
          <w:tcPr>
            <w:tcW w:w="2048" w:type="dxa"/>
            <w:vAlign w:val="center"/>
          </w:tcPr>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采购方式</w:t>
            </w:r>
          </w:p>
        </w:tc>
        <w:tc>
          <w:tcPr>
            <w:tcW w:w="7197" w:type="dxa"/>
          </w:tcPr>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72" w:hRule="atLeast"/>
          <w:jc w:val="center"/>
        </w:trPr>
        <w:tc>
          <w:tcPr>
            <w:tcW w:w="548" w:type="dxa"/>
            <w:vAlign w:val="center"/>
          </w:tcPr>
          <w:p>
            <w:pPr>
              <w:pStyle w:val="34"/>
              <w:ind w:left="42"/>
              <w:jc w:val="center"/>
              <w:rPr>
                <w:rFonts w:ascii="仿宋" w:hAnsi="仿宋" w:eastAsia="仿宋" w:cs="仿宋"/>
                <w:color w:val="auto"/>
                <w:highlight w:val="none"/>
              </w:rPr>
            </w:pPr>
            <w:r>
              <w:rPr>
                <w:rFonts w:ascii="仿宋" w:hAnsi="仿宋" w:eastAsia="仿宋" w:cs="仿宋"/>
                <w:color w:val="auto"/>
                <w:highlight w:val="none"/>
              </w:rPr>
              <w:t>4</w:t>
            </w:r>
          </w:p>
        </w:tc>
        <w:tc>
          <w:tcPr>
            <w:tcW w:w="2048" w:type="dxa"/>
            <w:vAlign w:val="center"/>
          </w:tcPr>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评审方法</w:t>
            </w:r>
          </w:p>
        </w:tc>
        <w:tc>
          <w:tcPr>
            <w:tcW w:w="7197" w:type="dxa"/>
          </w:tcPr>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综合评分法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09" w:hRule="atLeast"/>
          <w:jc w:val="center"/>
        </w:trPr>
        <w:tc>
          <w:tcPr>
            <w:tcW w:w="548" w:type="dxa"/>
            <w:vAlign w:val="center"/>
          </w:tcPr>
          <w:p>
            <w:pPr>
              <w:pStyle w:val="34"/>
              <w:ind w:left="42"/>
              <w:jc w:val="center"/>
              <w:rPr>
                <w:rFonts w:ascii="仿宋" w:hAnsi="仿宋" w:eastAsia="仿宋" w:cs="仿宋"/>
                <w:color w:val="auto"/>
                <w:highlight w:val="none"/>
              </w:rPr>
            </w:pPr>
            <w:r>
              <w:rPr>
                <w:rFonts w:ascii="仿宋" w:hAnsi="仿宋" w:eastAsia="仿宋" w:cs="仿宋"/>
                <w:color w:val="auto"/>
                <w:highlight w:val="none"/>
              </w:rPr>
              <w:t>5</w:t>
            </w:r>
          </w:p>
        </w:tc>
        <w:tc>
          <w:tcPr>
            <w:tcW w:w="2048" w:type="dxa"/>
            <w:vAlign w:val="center"/>
          </w:tcPr>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是否专门面向中小企业</w:t>
            </w:r>
          </w:p>
        </w:tc>
        <w:tc>
          <w:tcPr>
            <w:tcW w:w="7197" w:type="dxa"/>
          </w:tcPr>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本项目不属于专门面向中小企业采购的项目（含中型、小型、微型企业，监狱企业、残疾人福利企业视同为小微企业）。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04" w:hRule="atLeast"/>
          <w:jc w:val="center"/>
        </w:trPr>
        <w:tc>
          <w:tcPr>
            <w:tcW w:w="548" w:type="dxa"/>
            <w:vAlign w:val="center"/>
          </w:tcPr>
          <w:p>
            <w:pPr>
              <w:pStyle w:val="34"/>
              <w:ind w:left="42"/>
              <w:jc w:val="center"/>
              <w:rPr>
                <w:rFonts w:ascii="仿宋" w:hAnsi="仿宋" w:eastAsia="仿宋" w:cs="仿宋"/>
                <w:color w:val="auto"/>
                <w:highlight w:val="none"/>
              </w:rPr>
            </w:pPr>
            <w:r>
              <w:rPr>
                <w:rFonts w:ascii="仿宋" w:hAnsi="仿宋" w:eastAsia="仿宋" w:cs="仿宋"/>
                <w:color w:val="auto"/>
                <w:highlight w:val="none"/>
              </w:rPr>
              <w:t>6</w:t>
            </w:r>
          </w:p>
        </w:tc>
        <w:tc>
          <w:tcPr>
            <w:tcW w:w="2048" w:type="dxa"/>
            <w:vAlign w:val="center"/>
          </w:tcPr>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联合体投标</w:t>
            </w:r>
          </w:p>
        </w:tc>
        <w:tc>
          <w:tcPr>
            <w:tcW w:w="7197" w:type="dxa"/>
            <w:vAlign w:val="center"/>
          </w:tcPr>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本项目不允许联合体参加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4"/>
              <w:ind w:left="42"/>
              <w:jc w:val="cente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7</w:t>
            </w:r>
          </w:p>
        </w:tc>
        <w:tc>
          <w:tcPr>
            <w:tcW w:w="2048" w:type="dxa"/>
            <w:tcBorders>
              <w:top w:val="single" w:color="auto" w:sz="8" w:space="0"/>
              <w:left w:val="single" w:color="auto" w:sz="8" w:space="0"/>
              <w:bottom w:val="single" w:color="auto" w:sz="8" w:space="0"/>
              <w:right w:val="single" w:color="auto" w:sz="8" w:space="0"/>
            </w:tcBorders>
            <w:vAlign w:val="center"/>
          </w:tcPr>
          <w:p>
            <w:pPr>
              <w:pStyle w:val="34"/>
              <w:ind w:left="42"/>
              <w:jc w:val="center"/>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小微企业、监狱企业、残疾人福利性单位价格扣除(实质性要求)</w:t>
            </w:r>
          </w:p>
        </w:tc>
        <w:tc>
          <w:tcPr>
            <w:tcW w:w="7197" w:type="dxa"/>
            <w:tcBorders>
              <w:top w:val="single" w:color="auto" w:sz="8" w:space="0"/>
              <w:left w:val="single" w:color="auto" w:sz="8" w:space="0"/>
              <w:bottom w:val="single" w:color="auto" w:sz="8" w:space="0"/>
              <w:right w:val="single" w:color="auto" w:sz="18" w:space="0"/>
            </w:tcBorders>
            <w:vAlign w:val="center"/>
          </w:tcPr>
          <w:p>
            <w:pPr>
              <w:pStyle w:val="34"/>
              <w:ind w:left="4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一、小微企业价格扣除</w:t>
            </w:r>
          </w:p>
          <w:p>
            <w:pPr>
              <w:pStyle w:val="34"/>
              <w:ind w:left="4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1.根据《政府采购促进中小企业发展管理办法》(财库〔2020〕46号)的规定，对小型和微型企业的价格给予10%的价格扣除，用扣除后的价格参与评审(如涉及)。</w:t>
            </w:r>
          </w:p>
          <w:p>
            <w:pPr>
              <w:pStyle w:val="34"/>
              <w:ind w:left="4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2.参加政府采购活动的中小企业应当提供《中小企业声明函》原件。</w:t>
            </w:r>
          </w:p>
          <w:p>
            <w:pPr>
              <w:pStyle w:val="34"/>
              <w:ind w:left="4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3.供应商参加政府采购活动时，提供虚假《中小企业声明函》的，以提供虚假材料谋取成交处理。</w:t>
            </w:r>
          </w:p>
          <w:p>
            <w:pPr>
              <w:pStyle w:val="34"/>
              <w:ind w:left="4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4.联合体投标时，联合协议中约定，小型、微型企业的协议合同金额占到联合体协议合同总金额30%以上的，可给予联合体3%的价格扣除。</w:t>
            </w:r>
          </w:p>
          <w:p>
            <w:pPr>
              <w:pStyle w:val="34"/>
              <w:ind w:left="4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5.联合体各方均为小型、微型企业的，联合体视同为小型、微型企业享受规定的扶持政策。组成联合体的大中型企业和其他自然人、法人或者其他组织，与小型、微型企业之间不得存在投资关系。</w:t>
            </w:r>
          </w:p>
          <w:p>
            <w:pPr>
              <w:pStyle w:val="34"/>
              <w:ind w:left="42"/>
              <w:rPr>
                <w:rFonts w:hint="eastAsia" w:ascii="仿宋" w:hAnsi="仿宋" w:eastAsia="仿宋" w:cs="仿宋"/>
                <w:b/>
                <w:bCs/>
                <w:color w:val="auto"/>
                <w:highlight w:val="none"/>
                <w:lang w:val="en-US" w:eastAsia="zh-CN"/>
              </w:rPr>
            </w:pPr>
            <w:r>
              <w:rPr>
                <w:rFonts w:hint="eastAsia" w:ascii="仿宋" w:hAnsi="仿宋" w:eastAsia="仿宋" w:cs="仿宋"/>
                <w:b/>
                <w:bCs/>
                <w:color w:val="auto"/>
                <w:highlight w:val="none"/>
                <w:lang w:val="en-US" w:eastAsia="zh-CN"/>
              </w:rPr>
              <w:t>6.根据《关于印发中小企业划型标准规定的通知》工信部联企业〔2011〕300号，本项目所属行业为：</w:t>
            </w:r>
            <w:r>
              <w:rPr>
                <w:rFonts w:hint="eastAsia" w:ascii="仿宋" w:hAnsi="仿宋" w:eastAsia="仿宋" w:cs="仿宋"/>
                <w:b/>
                <w:bCs/>
                <w:color w:val="auto"/>
                <w:highlight w:val="none"/>
                <w:u w:val="single"/>
                <w:lang w:val="en-US" w:eastAsia="zh-CN"/>
              </w:rPr>
              <w:t>信息与技术服务业</w:t>
            </w:r>
            <w:r>
              <w:rPr>
                <w:rFonts w:hint="eastAsia" w:ascii="仿宋" w:hAnsi="仿宋" w:eastAsia="仿宋" w:cs="仿宋"/>
                <w:b/>
                <w:bCs/>
                <w:color w:val="auto"/>
                <w:highlight w:val="none"/>
                <w:lang w:val="en-US" w:eastAsia="zh-CN"/>
              </w:rPr>
              <w:t>。</w:t>
            </w:r>
          </w:p>
          <w:p>
            <w:pPr>
              <w:pStyle w:val="34"/>
              <w:ind w:left="4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二、监狱企业价格扣除</w:t>
            </w:r>
          </w:p>
          <w:p>
            <w:pPr>
              <w:pStyle w:val="34"/>
              <w:ind w:left="4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根据《财政部司法部关于政府采购支持监狱企业发展有关问题的通知》(财库〔2014〕68号)的规定，在政府采购活动中，监狱企业视同小型、微型企业，享受预留份额、评审中价格扣除等政府采购促进中小企业发展的政府采购政策。</w:t>
            </w:r>
          </w:p>
          <w:p>
            <w:pPr>
              <w:pStyle w:val="34"/>
              <w:ind w:left="4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2.本项目对监狱企业参与投标的价格给予10%的扣除，用扣除后的价格参与评审。</w:t>
            </w:r>
          </w:p>
          <w:p>
            <w:pPr>
              <w:pStyle w:val="34"/>
              <w:ind w:left="4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3.监狱企业参加政府采购活动时，应当提供由省级以上监狱管理局、戒毒管理局(含新疆生产建设兵团)出具的属于监狱企业的证明文件。</w:t>
            </w:r>
          </w:p>
          <w:p>
            <w:pPr>
              <w:pStyle w:val="34"/>
              <w:ind w:left="4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4.监狱企业属于小型、微型企业的，不重复享受政策。</w:t>
            </w:r>
          </w:p>
          <w:p>
            <w:pPr>
              <w:pStyle w:val="34"/>
              <w:ind w:left="4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三、残疾人福利性单位价格扣除</w:t>
            </w:r>
          </w:p>
          <w:p>
            <w:pPr>
              <w:pStyle w:val="34"/>
              <w:ind w:left="4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根据《三部门联合发布关于促进残疾人就业政府采购政策的通知》(财库〔2017〕141号)的要求，在政府采购活动中，残疾人福利性单位视同小型、微型企业，享受预留份额、评审中价格扣除等促进中小企业发展的政府采购政策。</w:t>
            </w:r>
          </w:p>
          <w:p>
            <w:pPr>
              <w:pStyle w:val="34"/>
              <w:ind w:left="4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2.本项目对残疾人福利性单位参与投标的价格给予10%的扣除，用扣除后的价格参与评审。</w:t>
            </w:r>
          </w:p>
          <w:p>
            <w:pPr>
              <w:pStyle w:val="34"/>
              <w:ind w:left="4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3.残疾人福利性单位参加政府采购活动时，应当提供本通知规定的《残疾人福利性单位声明函》。</w:t>
            </w:r>
          </w:p>
          <w:p>
            <w:pPr>
              <w:pStyle w:val="34"/>
              <w:ind w:left="42"/>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4.供应商提供的《残疾人福利性单位声明函》与事实不符的，依照《政府采购法》第七十七条第一款的规定追究法律责任。</w:t>
            </w:r>
          </w:p>
          <w:p>
            <w:pPr>
              <w:pStyle w:val="34"/>
              <w:ind w:left="42"/>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5.残疾人福利性单位属于小型、微型企业的，不重复享受政策。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4"/>
              <w:ind w:left="42"/>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8</w:t>
            </w:r>
          </w:p>
        </w:tc>
        <w:tc>
          <w:tcPr>
            <w:tcW w:w="2048" w:type="dxa"/>
            <w:tcBorders>
              <w:top w:val="single" w:color="auto" w:sz="8" w:space="0"/>
              <w:left w:val="single" w:color="auto" w:sz="8" w:space="0"/>
              <w:bottom w:val="single" w:color="auto" w:sz="8" w:space="0"/>
              <w:right w:val="single" w:color="auto" w:sz="8" w:space="0"/>
            </w:tcBorders>
            <w:vAlign w:val="center"/>
          </w:tcPr>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rPr>
              <w:t>节能、环保及无线局域网产品政府采购政策</w:t>
            </w:r>
          </w:p>
        </w:tc>
        <w:tc>
          <w:tcPr>
            <w:tcW w:w="7197" w:type="dxa"/>
            <w:tcBorders>
              <w:top w:val="single" w:color="auto" w:sz="8" w:space="0"/>
              <w:left w:val="single" w:color="auto" w:sz="8" w:space="0"/>
              <w:bottom w:val="single" w:color="auto" w:sz="8" w:space="0"/>
              <w:right w:val="single" w:color="auto" w:sz="18" w:space="0"/>
            </w:tcBorders>
            <w:vAlign w:val="center"/>
          </w:tcPr>
          <w:p>
            <w:pPr>
              <w:pStyle w:val="34"/>
              <w:ind w:left="42"/>
              <w:rPr>
                <w:rFonts w:ascii="仿宋" w:hAnsi="仿宋" w:eastAsia="仿宋" w:cs="仿宋"/>
                <w:color w:val="auto"/>
                <w:highlight w:val="none"/>
                <w:lang w:val="zh-CN"/>
              </w:rPr>
            </w:pPr>
            <w:bookmarkStart w:id="12" w:name="PO_默认文件内容_5"/>
            <w:r>
              <w:rPr>
                <w:rFonts w:hint="eastAsia" w:ascii="仿宋" w:hAnsi="仿宋" w:eastAsia="仿宋" w:cs="仿宋"/>
                <w:color w:val="auto"/>
                <w:highlight w:val="none"/>
                <w:lang w:val="zh-CN"/>
              </w:rPr>
              <w:t>一、节能、环保产品政府采购政策：根据《财政部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pStyle w:val="34"/>
              <w:ind w:left="42"/>
              <w:rPr>
                <w:rFonts w:ascii="仿宋" w:hAnsi="仿宋" w:eastAsia="仿宋" w:cs="仿宋"/>
                <w:color w:val="auto"/>
                <w:highlight w:val="none"/>
              </w:rPr>
            </w:pPr>
            <w:r>
              <w:rPr>
                <w:rFonts w:hint="eastAsia" w:ascii="仿宋" w:hAnsi="仿宋" w:eastAsia="仿宋" w:cs="仿宋"/>
                <w:color w:val="auto"/>
                <w:highlight w:val="none"/>
              </w:rPr>
              <w:t>本项目采购的产品属于品目清单范围内强制采购的，供应商应按上述要求提供产品认证证书复印件并加盖供应商单位公章（鲜章），否则投标无效。（实质性要求）</w:t>
            </w:r>
          </w:p>
          <w:p>
            <w:pPr>
              <w:pStyle w:val="34"/>
              <w:ind w:left="42"/>
              <w:rPr>
                <w:rFonts w:ascii="仿宋" w:hAnsi="仿宋" w:eastAsia="仿宋" w:cs="仿宋"/>
                <w:color w:val="auto"/>
                <w:highlight w:val="none"/>
              </w:rPr>
            </w:pPr>
            <w:r>
              <w:rPr>
                <w:rFonts w:hint="eastAsia" w:ascii="仿宋" w:hAnsi="仿宋" w:eastAsia="仿宋" w:cs="仿宋"/>
                <w:color w:val="auto"/>
                <w:highlight w:val="none"/>
              </w:rPr>
              <w:t>本项目采购的产品属于品目清单范围内优先采购的，按照《综合评分明细表》的规则进行加分。</w:t>
            </w:r>
          </w:p>
          <w:p>
            <w:pPr>
              <w:pStyle w:val="34"/>
              <w:ind w:left="42"/>
              <w:rPr>
                <w:rFonts w:ascii="仿宋" w:hAnsi="仿宋" w:eastAsia="仿宋" w:cs="仿宋"/>
                <w:color w:val="auto"/>
                <w:highlight w:val="none"/>
              </w:rPr>
            </w:pPr>
            <w:r>
              <w:rPr>
                <w:rFonts w:hint="eastAsia" w:ascii="仿宋" w:hAnsi="仿宋" w:eastAsia="仿宋" w:cs="仿宋"/>
                <w:color w:val="auto"/>
                <w:highlight w:val="none"/>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pStyle w:val="34"/>
              <w:ind w:left="42"/>
              <w:rPr>
                <w:rFonts w:ascii="仿宋" w:hAnsi="仿宋" w:eastAsia="仿宋"/>
                <w:b/>
                <w:bCs/>
                <w:color w:val="auto"/>
                <w:szCs w:val="21"/>
                <w:highlight w:val="none"/>
              </w:rPr>
            </w:pPr>
            <w:r>
              <w:rPr>
                <w:rFonts w:hint="eastAsia" w:ascii="仿宋" w:hAnsi="仿宋" w:eastAsia="仿宋" w:cs="仿宋"/>
                <w:color w:val="auto"/>
                <w:highlight w:val="none"/>
              </w:rPr>
              <w:t>二、无线局域网产品政府采购政策：本项目采购的产品属于中国政府采购网公布的《无线局域网认证产品政府采购清单》的，将按照《综合评分明细表》的规则进行加分。</w:t>
            </w:r>
            <w:bookmarkEnd w:id="1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4"/>
              <w:ind w:left="42"/>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val="en-US" w:eastAsia="zh-CN"/>
              </w:rPr>
              <w:t>9</w:t>
            </w:r>
          </w:p>
        </w:tc>
        <w:tc>
          <w:tcPr>
            <w:tcW w:w="2048" w:type="dxa"/>
            <w:tcBorders>
              <w:top w:val="single" w:color="auto" w:sz="8" w:space="0"/>
              <w:left w:val="single" w:color="auto" w:sz="8" w:space="0"/>
              <w:bottom w:val="single" w:color="auto" w:sz="8" w:space="0"/>
              <w:right w:val="single" w:color="auto" w:sz="8" w:space="0"/>
            </w:tcBorders>
            <w:vAlign w:val="center"/>
          </w:tcPr>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rPr>
              <w:t>低于成本价</w:t>
            </w:r>
            <w:r>
              <w:rPr>
                <w:rFonts w:hint="eastAsia" w:ascii="仿宋" w:hAnsi="仿宋" w:eastAsia="仿宋" w:cs="仿宋"/>
                <w:color w:val="auto"/>
                <w:highlight w:val="none"/>
                <w:lang w:val="zh-CN"/>
              </w:rPr>
              <w:t>不正当竞争预防措施</w:t>
            </w:r>
          </w:p>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（实质性要求）</w:t>
            </w:r>
          </w:p>
        </w:tc>
        <w:tc>
          <w:tcPr>
            <w:tcW w:w="7197" w:type="dxa"/>
            <w:tcBorders>
              <w:top w:val="single" w:color="auto" w:sz="8" w:space="0"/>
              <w:left w:val="single" w:color="auto" w:sz="8" w:space="0"/>
              <w:bottom w:val="single" w:color="auto" w:sz="8" w:space="0"/>
              <w:right w:val="single" w:color="auto" w:sz="18" w:space="0"/>
            </w:tcBorders>
            <w:vAlign w:val="center"/>
          </w:tcPr>
          <w:p>
            <w:pPr>
              <w:pStyle w:val="34"/>
              <w:ind w:left="42"/>
              <w:rPr>
                <w:rFonts w:ascii="仿宋" w:hAnsi="仿宋" w:eastAsia="仿宋" w:cs="仿宋"/>
                <w:color w:val="auto"/>
                <w:highlight w:val="none"/>
              </w:rPr>
            </w:pPr>
            <w:r>
              <w:rPr>
                <w:rFonts w:hint="eastAsia" w:ascii="仿宋" w:hAnsi="仿宋" w:eastAsia="仿宋" w:cs="仿宋"/>
                <w:color w:val="auto"/>
                <w:highlight w:val="none"/>
              </w:rPr>
              <w:t>在评标过程中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34"/>
              <w:ind w:left="42"/>
              <w:rPr>
                <w:rFonts w:ascii="仿宋" w:hAnsi="仿宋" w:eastAsia="仿宋" w:cs="仿宋"/>
                <w:color w:val="auto"/>
                <w:highlight w:val="none"/>
                <w:lang w:val="zh-CN"/>
              </w:rPr>
            </w:pPr>
            <w:r>
              <w:rPr>
                <w:rFonts w:hint="eastAsia" w:ascii="仿宋" w:hAnsi="仿宋" w:eastAsia="仿宋"/>
                <w:b/>
                <w:bCs/>
                <w:color w:val="auto"/>
                <w:szCs w:val="21"/>
                <w:highlight w:val="none"/>
              </w:rPr>
              <w:t>注：</w:t>
            </w:r>
            <w:r>
              <w:rPr>
                <w:rFonts w:hint="eastAsia" w:ascii="仿宋" w:hAnsi="仿宋" w:eastAsia="仿宋"/>
                <w:b/>
                <w:bCs/>
                <w:color w:val="auto"/>
                <w:szCs w:val="21"/>
                <w:highlight w:val="none"/>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color w:val="auto"/>
                <w:szCs w:val="21"/>
                <w:highlight w:val="none"/>
              </w:rPr>
              <w:t>30分钟，供应商已明确表示澄清、说明完毕的除外</w:t>
            </w:r>
            <w:r>
              <w:rPr>
                <w:rFonts w:hint="eastAsia" w:ascii="仿宋" w:hAnsi="仿宋" w:eastAsia="仿宋"/>
                <w:b/>
                <w:bCs/>
                <w:color w:val="auto"/>
                <w:szCs w:val="21"/>
                <w:highlight w:val="none"/>
                <w:lang w:val="zh-CN"/>
              </w:rPr>
              <w:t>）。如因系统故障（</w:t>
            </w:r>
            <w:r>
              <w:rPr>
                <w:rFonts w:hint="eastAsia" w:ascii="仿宋" w:hAnsi="仿宋" w:eastAsia="仿宋"/>
                <w:b/>
                <w:bCs/>
                <w:color w:val="auto"/>
                <w:szCs w:val="21"/>
                <w:highlight w:val="none"/>
              </w:rPr>
              <w:t>包括组织场所停电、断网等）</w:t>
            </w:r>
            <w:r>
              <w:rPr>
                <w:rFonts w:hint="eastAsia" w:ascii="仿宋" w:hAnsi="仿宋" w:eastAsia="仿宋"/>
                <w:b/>
                <w:bCs/>
                <w:color w:val="auto"/>
                <w:szCs w:val="21"/>
                <w:highlight w:val="none"/>
                <w:lang w:val="zh-CN"/>
              </w:rPr>
              <w:t>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15"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4"/>
              <w:ind w:left="42"/>
              <w:jc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10</w:t>
            </w:r>
          </w:p>
        </w:tc>
        <w:tc>
          <w:tcPr>
            <w:tcW w:w="2048" w:type="dxa"/>
            <w:tcBorders>
              <w:top w:val="single" w:color="auto" w:sz="8" w:space="0"/>
              <w:left w:val="single" w:color="auto" w:sz="8" w:space="0"/>
              <w:bottom w:val="single" w:color="auto" w:sz="8" w:space="0"/>
              <w:right w:val="single" w:color="auto" w:sz="8" w:space="0"/>
            </w:tcBorders>
            <w:vAlign w:val="center"/>
          </w:tcPr>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考察现场或标前答疑会</w:t>
            </w:r>
          </w:p>
        </w:tc>
        <w:tc>
          <w:tcPr>
            <w:tcW w:w="7197" w:type="dxa"/>
            <w:tcBorders>
              <w:top w:val="single" w:color="auto" w:sz="8" w:space="0"/>
              <w:left w:val="single" w:color="auto" w:sz="8" w:space="0"/>
              <w:bottom w:val="single" w:color="auto" w:sz="8" w:space="0"/>
              <w:right w:val="single" w:color="auto" w:sz="18" w:space="0"/>
            </w:tcBorders>
            <w:vAlign w:val="center"/>
          </w:tcPr>
          <w:p>
            <w:pPr>
              <w:pStyle w:val="32"/>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现场考察或标前答疑会时间：</w:t>
            </w:r>
            <w:r>
              <w:rPr>
                <w:rFonts w:hint="eastAsia" w:ascii="仿宋" w:hAnsi="仿宋" w:eastAsia="仿宋"/>
                <w:color w:val="auto"/>
                <w:sz w:val="21"/>
                <w:szCs w:val="21"/>
                <w:highlight w:val="none"/>
              </w:rPr>
              <w:t>本项目不组织</w:t>
            </w:r>
            <w:r>
              <w:rPr>
                <w:rFonts w:hint="eastAsia" w:ascii="仿宋" w:hAnsi="仿宋" w:eastAsia="仿宋"/>
                <w:color w:val="auto"/>
                <w:sz w:val="21"/>
                <w:szCs w:val="21"/>
                <w:highlight w:val="none"/>
                <w:lang w:val="zh-CN"/>
              </w:rPr>
              <w:t>。</w:t>
            </w:r>
          </w:p>
          <w:p>
            <w:pPr>
              <w:pStyle w:val="34"/>
              <w:ind w:left="42"/>
              <w:rPr>
                <w:rFonts w:ascii="仿宋" w:hAnsi="仿宋" w:eastAsia="仿宋" w:cs="仿宋"/>
                <w:color w:val="auto"/>
                <w:highlight w:val="none"/>
              </w:rPr>
            </w:pPr>
            <w:r>
              <w:rPr>
                <w:rFonts w:hint="eastAsia" w:ascii="仿宋" w:hAnsi="仿宋" w:eastAsia="仿宋"/>
                <w:color w:val="auto"/>
                <w:szCs w:val="21"/>
                <w:highlight w:val="none"/>
                <w:lang w:val="zh-CN"/>
              </w:rPr>
              <w:t>现场考察或标前答疑会地点：</w:t>
            </w:r>
            <w:r>
              <w:rPr>
                <w:rFonts w:hint="eastAsia" w:ascii="仿宋" w:hAnsi="仿宋" w:eastAsia="仿宋"/>
                <w:color w:val="auto"/>
                <w:szCs w:val="21"/>
                <w:highlight w:val="none"/>
              </w:rPr>
              <w:t>本项目不组织</w:t>
            </w:r>
            <w:r>
              <w:rPr>
                <w:rFonts w:hint="eastAsia" w:ascii="仿宋" w:hAnsi="仿宋" w:eastAsia="仿宋"/>
                <w:color w:val="auto"/>
                <w:szCs w:val="21"/>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4"/>
              <w:ind w:left="42"/>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1</w:t>
            </w:r>
          </w:p>
        </w:tc>
        <w:tc>
          <w:tcPr>
            <w:tcW w:w="2048" w:type="dxa"/>
            <w:tcBorders>
              <w:top w:val="single" w:color="auto" w:sz="8" w:space="0"/>
              <w:left w:val="single" w:color="auto" w:sz="8" w:space="0"/>
              <w:bottom w:val="single" w:color="auto" w:sz="8" w:space="0"/>
              <w:right w:val="single" w:color="auto" w:sz="8" w:space="0"/>
            </w:tcBorders>
            <w:vAlign w:val="center"/>
          </w:tcPr>
          <w:p>
            <w:pPr>
              <w:pStyle w:val="34"/>
              <w:ind w:left="42"/>
              <w:jc w:val="center"/>
              <w:rPr>
                <w:rFonts w:ascii="仿宋" w:hAnsi="仿宋" w:eastAsia="仿宋" w:cs="仿宋"/>
                <w:color w:val="auto"/>
                <w:highlight w:val="none"/>
              </w:rPr>
            </w:pPr>
            <w:r>
              <w:rPr>
                <w:rFonts w:hint="eastAsia" w:ascii="仿宋" w:hAnsi="仿宋" w:eastAsia="仿宋" w:cs="仿宋"/>
                <w:color w:val="auto"/>
                <w:highlight w:val="none"/>
                <w:lang w:val="zh-CN"/>
              </w:rPr>
              <w:t>评标情况公告</w:t>
            </w:r>
          </w:p>
        </w:tc>
        <w:tc>
          <w:tcPr>
            <w:tcW w:w="7197" w:type="dxa"/>
            <w:tcBorders>
              <w:top w:val="single" w:color="auto" w:sz="8" w:space="0"/>
              <w:left w:val="single" w:color="auto" w:sz="8" w:space="0"/>
              <w:bottom w:val="single" w:color="auto" w:sz="8" w:space="0"/>
              <w:right w:val="single" w:color="auto" w:sz="18" w:space="0"/>
            </w:tcBorders>
            <w:vAlign w:val="center"/>
          </w:tcPr>
          <w:p>
            <w:pPr>
              <w:pStyle w:val="34"/>
              <w:ind w:left="42"/>
              <w:rPr>
                <w:rFonts w:ascii="仿宋" w:hAnsi="仿宋" w:eastAsia="仿宋" w:cs="仿宋"/>
                <w:color w:val="auto"/>
                <w:highlight w:val="none"/>
              </w:rPr>
            </w:pPr>
            <w:r>
              <w:rPr>
                <w:rFonts w:hint="eastAsia" w:ascii="仿宋" w:hAnsi="仿宋" w:eastAsia="仿宋" w:cs="仿宋"/>
                <w:color w:val="auto"/>
                <w:highlight w:val="none"/>
              </w:rPr>
              <w:t>所有投标人投标文件资格性、符合性检查情况、采用综合评分法时的总得分和分项汇总得分情况、评标结果等将在四川省政府采购网上采购结果公告栏中予以公告。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4"/>
              <w:ind w:left="42"/>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2</w:t>
            </w:r>
          </w:p>
        </w:tc>
        <w:tc>
          <w:tcPr>
            <w:tcW w:w="2048" w:type="dxa"/>
            <w:tcBorders>
              <w:top w:val="single" w:color="auto" w:sz="8" w:space="0"/>
              <w:left w:val="single" w:color="auto" w:sz="8" w:space="0"/>
              <w:bottom w:val="single" w:color="auto" w:sz="8" w:space="0"/>
              <w:right w:val="single" w:color="auto" w:sz="8" w:space="0"/>
            </w:tcBorders>
            <w:vAlign w:val="center"/>
          </w:tcPr>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履约保证金</w:t>
            </w:r>
          </w:p>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（实质性要求）</w:t>
            </w:r>
          </w:p>
        </w:tc>
        <w:tc>
          <w:tcPr>
            <w:tcW w:w="7197" w:type="dxa"/>
            <w:tcBorders>
              <w:top w:val="single" w:color="auto" w:sz="8" w:space="0"/>
              <w:left w:val="single" w:color="auto" w:sz="8" w:space="0"/>
              <w:bottom w:val="single" w:color="auto" w:sz="8" w:space="0"/>
              <w:right w:val="single" w:color="auto" w:sz="18" w:space="0"/>
            </w:tcBorders>
            <w:vAlign w:val="center"/>
          </w:tcPr>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4"/>
              <w:ind w:left="42"/>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3</w:t>
            </w:r>
          </w:p>
        </w:tc>
        <w:tc>
          <w:tcPr>
            <w:tcW w:w="2048" w:type="dxa"/>
            <w:tcBorders>
              <w:top w:val="single" w:color="auto" w:sz="8" w:space="0"/>
              <w:left w:val="single" w:color="auto" w:sz="8" w:space="0"/>
              <w:bottom w:val="single" w:color="auto" w:sz="8" w:space="0"/>
              <w:right w:val="single" w:color="auto" w:sz="8" w:space="0"/>
            </w:tcBorders>
            <w:vAlign w:val="center"/>
          </w:tcPr>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投标有效期</w:t>
            </w:r>
          </w:p>
        </w:tc>
        <w:tc>
          <w:tcPr>
            <w:tcW w:w="7197" w:type="dxa"/>
            <w:tcBorders>
              <w:top w:val="single" w:color="auto" w:sz="8" w:space="0"/>
              <w:left w:val="single" w:color="auto" w:sz="8" w:space="0"/>
              <w:bottom w:val="single" w:color="auto" w:sz="8" w:space="0"/>
              <w:right w:val="single" w:color="auto" w:sz="18" w:space="0"/>
            </w:tcBorders>
            <w:vAlign w:val="center"/>
          </w:tcPr>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提交投标文件的截止之日起 90 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4"/>
              <w:ind w:left="42"/>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4</w:t>
            </w:r>
          </w:p>
        </w:tc>
        <w:tc>
          <w:tcPr>
            <w:tcW w:w="2048" w:type="dxa"/>
            <w:tcBorders>
              <w:top w:val="single" w:color="auto" w:sz="8" w:space="0"/>
              <w:left w:val="single" w:color="auto" w:sz="8" w:space="0"/>
              <w:bottom w:val="single" w:color="auto" w:sz="8" w:space="0"/>
              <w:right w:val="single" w:color="auto" w:sz="8" w:space="0"/>
            </w:tcBorders>
            <w:vAlign w:val="center"/>
          </w:tcPr>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采购文件咨询</w:t>
            </w:r>
          </w:p>
        </w:tc>
        <w:tc>
          <w:tcPr>
            <w:tcW w:w="7197" w:type="dxa"/>
            <w:tcBorders>
              <w:top w:val="single" w:color="auto" w:sz="8" w:space="0"/>
              <w:left w:val="single" w:color="auto" w:sz="8" w:space="0"/>
              <w:bottom w:val="single" w:color="auto" w:sz="8" w:space="0"/>
              <w:right w:val="single" w:color="auto" w:sz="18" w:space="0"/>
            </w:tcBorders>
            <w:vAlign w:val="center"/>
          </w:tcPr>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联 系 人：陈女士</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联系电话：</w:t>
            </w:r>
            <w:r>
              <w:rPr>
                <w:rFonts w:hint="eastAsia" w:ascii="仿宋" w:hAnsi="仿宋" w:eastAsia="仿宋" w:cs="仿宋"/>
                <w:color w:val="auto"/>
                <w:highlight w:val="none"/>
              </w:rPr>
              <w:t>028-61110133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4"/>
              <w:ind w:left="42"/>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5</w:t>
            </w:r>
          </w:p>
        </w:tc>
        <w:tc>
          <w:tcPr>
            <w:tcW w:w="2048" w:type="dxa"/>
            <w:tcBorders>
              <w:top w:val="single" w:color="auto" w:sz="8" w:space="0"/>
              <w:left w:val="single" w:color="auto" w:sz="8" w:space="0"/>
              <w:bottom w:val="single" w:color="auto" w:sz="8" w:space="0"/>
              <w:right w:val="single" w:color="auto" w:sz="8" w:space="0"/>
            </w:tcBorders>
            <w:vAlign w:val="center"/>
          </w:tcPr>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开标、评标工作咨询</w:t>
            </w:r>
          </w:p>
        </w:tc>
        <w:tc>
          <w:tcPr>
            <w:tcW w:w="7197" w:type="dxa"/>
            <w:tcBorders>
              <w:top w:val="single" w:color="auto" w:sz="8" w:space="0"/>
              <w:left w:val="single" w:color="auto" w:sz="8" w:space="0"/>
              <w:bottom w:val="single" w:color="auto" w:sz="8" w:space="0"/>
              <w:right w:val="single" w:color="auto" w:sz="18" w:space="0"/>
            </w:tcBorders>
            <w:vAlign w:val="center"/>
          </w:tcPr>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联 系 人：陈女士</w:t>
            </w:r>
            <w:r>
              <w:rPr>
                <w:rFonts w:hint="eastAsia" w:ascii="仿宋" w:hAnsi="仿宋" w:eastAsia="仿宋" w:cs="仿宋"/>
                <w:color w:val="auto"/>
                <w:highlight w:val="none"/>
              </w:rPr>
              <w:t xml:space="preserve"> </w:t>
            </w:r>
            <w:r>
              <w:rPr>
                <w:rFonts w:hint="eastAsia" w:ascii="仿宋" w:hAnsi="仿宋" w:eastAsia="仿宋" w:cs="仿宋"/>
                <w:color w:val="auto"/>
                <w:highlight w:val="none"/>
                <w:lang w:val="zh-CN"/>
              </w:rPr>
              <w:t>联系电话：</w:t>
            </w:r>
            <w:r>
              <w:rPr>
                <w:rFonts w:hint="eastAsia" w:ascii="仿宋" w:hAnsi="仿宋" w:eastAsia="仿宋" w:cs="仿宋"/>
                <w:color w:val="auto"/>
                <w:highlight w:val="none"/>
              </w:rPr>
              <w:t>028-61110133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4"/>
              <w:ind w:left="42"/>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1</w:t>
            </w:r>
            <w:r>
              <w:rPr>
                <w:rFonts w:hint="eastAsia" w:ascii="仿宋" w:hAnsi="仿宋" w:eastAsia="仿宋" w:cs="仿宋"/>
                <w:color w:val="auto"/>
                <w:highlight w:val="none"/>
                <w:lang w:val="en-US" w:eastAsia="zh-CN"/>
              </w:rPr>
              <w:t>6</w:t>
            </w:r>
          </w:p>
        </w:tc>
        <w:tc>
          <w:tcPr>
            <w:tcW w:w="2048" w:type="dxa"/>
            <w:tcBorders>
              <w:top w:val="single" w:color="auto" w:sz="8" w:space="0"/>
              <w:left w:val="single" w:color="auto" w:sz="8" w:space="0"/>
              <w:bottom w:val="single" w:color="auto" w:sz="8" w:space="0"/>
              <w:right w:val="single" w:color="auto" w:sz="8" w:space="0"/>
            </w:tcBorders>
            <w:vAlign w:val="center"/>
          </w:tcPr>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投标人询问</w:t>
            </w:r>
          </w:p>
        </w:tc>
        <w:tc>
          <w:tcPr>
            <w:tcW w:w="7197" w:type="dxa"/>
            <w:tcBorders>
              <w:top w:val="single" w:color="auto" w:sz="8" w:space="0"/>
              <w:left w:val="single" w:color="auto" w:sz="8" w:space="0"/>
              <w:bottom w:val="single" w:color="auto" w:sz="8" w:space="0"/>
              <w:right w:val="single" w:color="auto" w:sz="18" w:space="0"/>
            </w:tcBorders>
            <w:vAlign w:val="center"/>
          </w:tcPr>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根据委托代理协议约定，投标人询问由四川好特建设工程有限公司和采购人共同负责答复。</w:t>
            </w:r>
          </w:p>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联 系 人：陈女士</w:t>
            </w:r>
          </w:p>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联系电话：</w:t>
            </w:r>
            <w:r>
              <w:rPr>
                <w:rFonts w:hint="eastAsia" w:ascii="仿宋" w:hAnsi="仿宋" w:eastAsia="仿宋" w:cs="仿宋"/>
                <w:color w:val="auto"/>
                <w:highlight w:val="none"/>
              </w:rPr>
              <w:t>028-61110133</w:t>
            </w:r>
          </w:p>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联系地址：成都市金牛区金府路889号10幢2层203号</w:t>
            </w:r>
          </w:p>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邮    编：610036</w:t>
            </w:r>
          </w:p>
          <w:p>
            <w:pPr>
              <w:pStyle w:val="34"/>
              <w:ind w:left="42"/>
              <w:rPr>
                <w:rFonts w:ascii="仿宋" w:hAnsi="仿宋" w:eastAsia="仿宋" w:cs="仿宋"/>
                <w:color w:val="auto"/>
                <w:highlight w:val="none"/>
                <w:lang w:val="zh-CN"/>
              </w:rPr>
            </w:pPr>
            <w:r>
              <w:rPr>
                <w:rFonts w:hint="eastAsia" w:ascii="仿宋" w:hAnsi="仿宋" w:eastAsia="仿宋"/>
                <w:color w:val="auto"/>
                <w:szCs w:val="21"/>
                <w:highlight w:val="none"/>
                <w:lang w:val="zh-CN"/>
              </w:rPr>
              <w:t>递交地址：</w:t>
            </w:r>
            <w:r>
              <w:rPr>
                <w:rFonts w:hint="eastAsia" w:ascii="仿宋" w:hAnsi="仿宋" w:eastAsia="仿宋"/>
                <w:color w:val="auto"/>
                <w:sz w:val="24"/>
                <w:szCs w:val="28"/>
                <w:highlight w:val="none"/>
              </w:rPr>
              <w:t>https://www.zcygov.cn</w:t>
            </w:r>
            <w:r>
              <w:rPr>
                <w:rFonts w:hint="eastAsia" w:ascii="仿宋" w:hAnsi="仿宋" w:eastAsia="仿宋"/>
                <w:color w:val="auto"/>
                <w:szCs w:val="21"/>
                <w:highlight w:val="none"/>
                <w:lang w:val="zh-CN"/>
              </w:rPr>
              <w:t>。（须通过政采云平台递交，请勿线下提交。）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4"/>
              <w:ind w:left="42"/>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lang w:val="zh-CN"/>
              </w:rPr>
              <w:t>1</w:t>
            </w:r>
            <w:r>
              <w:rPr>
                <w:rFonts w:hint="eastAsia" w:ascii="仿宋" w:hAnsi="仿宋" w:eastAsia="仿宋" w:cs="仿宋"/>
                <w:color w:val="auto"/>
                <w:highlight w:val="none"/>
                <w:lang w:val="en-US" w:eastAsia="zh-CN"/>
              </w:rPr>
              <w:t>7</w:t>
            </w:r>
          </w:p>
        </w:tc>
        <w:tc>
          <w:tcPr>
            <w:tcW w:w="2048" w:type="dxa"/>
            <w:tcBorders>
              <w:top w:val="single" w:color="auto" w:sz="8" w:space="0"/>
              <w:left w:val="single" w:color="auto" w:sz="8" w:space="0"/>
              <w:bottom w:val="single" w:color="auto" w:sz="8" w:space="0"/>
              <w:right w:val="single" w:color="auto" w:sz="8" w:space="0"/>
            </w:tcBorders>
            <w:vAlign w:val="center"/>
          </w:tcPr>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投标人质疑</w:t>
            </w:r>
          </w:p>
        </w:tc>
        <w:tc>
          <w:tcPr>
            <w:tcW w:w="7197" w:type="dxa"/>
            <w:tcBorders>
              <w:top w:val="single" w:color="auto" w:sz="8" w:space="0"/>
              <w:left w:val="single" w:color="auto" w:sz="8" w:space="0"/>
              <w:bottom w:val="single" w:color="auto" w:sz="8" w:space="0"/>
              <w:right w:val="single" w:color="auto" w:sz="18" w:space="0"/>
            </w:tcBorders>
            <w:vAlign w:val="center"/>
          </w:tcPr>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根据委托代理协议约定，对于采购文件的质疑由四川好特建设工程有限公司和采购人共同负责答复；对于采购过程由四川好特建设工程有限公司负责答复；对于采购结果由四川好特建设工程有限公司负责答复。</w:t>
            </w:r>
          </w:p>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质疑必须以书面形式(原件)提出，以其他形式提出的质疑均不接受和回复。</w:t>
            </w:r>
          </w:p>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联 系 人：陈女士</w:t>
            </w:r>
          </w:p>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联系电话：</w:t>
            </w:r>
            <w:r>
              <w:rPr>
                <w:rFonts w:hint="eastAsia" w:ascii="仿宋" w:hAnsi="仿宋" w:eastAsia="仿宋" w:cs="仿宋"/>
                <w:color w:val="auto"/>
                <w:highlight w:val="none"/>
              </w:rPr>
              <w:t>028-61110133</w:t>
            </w:r>
          </w:p>
          <w:p>
            <w:pPr>
              <w:pStyle w:val="34"/>
              <w:ind w:left="42"/>
              <w:rPr>
                <w:rFonts w:ascii="仿宋" w:hAnsi="仿宋" w:eastAsia="仿宋" w:cs="仿宋"/>
                <w:color w:val="auto"/>
                <w:highlight w:val="none"/>
              </w:rPr>
            </w:pPr>
            <w:r>
              <w:rPr>
                <w:rFonts w:hint="eastAsia" w:ascii="仿宋" w:hAnsi="仿宋" w:eastAsia="仿宋"/>
                <w:color w:val="auto"/>
                <w:szCs w:val="21"/>
                <w:highlight w:val="none"/>
                <w:lang w:val="zh-CN"/>
              </w:rPr>
              <w:t>递交地址：</w:t>
            </w:r>
            <w:r>
              <w:rPr>
                <w:rFonts w:hint="eastAsia" w:ascii="仿宋" w:hAnsi="仿宋" w:eastAsia="仿宋"/>
                <w:color w:val="auto"/>
                <w:sz w:val="24"/>
                <w:szCs w:val="28"/>
                <w:highlight w:val="none"/>
              </w:rPr>
              <w:t>https://www.zcygov.cn</w:t>
            </w:r>
            <w:r>
              <w:rPr>
                <w:rFonts w:hint="eastAsia" w:ascii="仿宋" w:hAnsi="仿宋" w:eastAsia="仿宋"/>
                <w:color w:val="auto"/>
                <w:szCs w:val="21"/>
                <w:highlight w:val="none"/>
                <w:lang w:val="zh-CN"/>
              </w:rPr>
              <w:t>。（须通过政采云平台递交，请勿线下提交。）</w:t>
            </w:r>
          </w:p>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投标人按要求领取招标文件的，为依法获取招标文件的投标人，可以对该文件提出质疑。根据《中华人民共和国政府采购法》等规定，投标人质疑不得超出招标文件、招标过程、招标结果的范围，申请人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4"/>
              <w:ind w:left="42"/>
              <w:jc w:val="center"/>
              <w:rPr>
                <w:rFonts w:hint="eastAsia" w:ascii="仿宋" w:hAnsi="仿宋" w:eastAsia="仿宋" w:cs="仿宋"/>
                <w:color w:val="auto"/>
                <w:highlight w:val="none"/>
                <w:lang w:eastAsia="zh-CN"/>
              </w:rPr>
            </w:pPr>
            <w:r>
              <w:rPr>
                <w:rFonts w:ascii="仿宋" w:hAnsi="仿宋" w:eastAsia="仿宋" w:cs="仿宋"/>
                <w:color w:val="auto"/>
                <w:highlight w:val="none"/>
              </w:rPr>
              <w:t>1</w:t>
            </w:r>
            <w:r>
              <w:rPr>
                <w:rFonts w:hint="eastAsia" w:ascii="仿宋" w:hAnsi="仿宋" w:eastAsia="仿宋" w:cs="仿宋"/>
                <w:color w:val="auto"/>
                <w:highlight w:val="none"/>
                <w:lang w:val="en-US" w:eastAsia="zh-CN"/>
              </w:rPr>
              <w:t>8</w:t>
            </w:r>
          </w:p>
        </w:tc>
        <w:tc>
          <w:tcPr>
            <w:tcW w:w="2048" w:type="dxa"/>
            <w:tcBorders>
              <w:top w:val="single" w:color="auto" w:sz="8" w:space="0"/>
              <w:left w:val="single" w:color="auto" w:sz="8" w:space="0"/>
              <w:bottom w:val="single" w:color="auto" w:sz="8" w:space="0"/>
              <w:right w:val="single" w:color="auto" w:sz="8" w:space="0"/>
            </w:tcBorders>
            <w:vAlign w:val="center"/>
          </w:tcPr>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投标人投诉</w:t>
            </w:r>
          </w:p>
        </w:tc>
        <w:tc>
          <w:tcPr>
            <w:tcW w:w="7197" w:type="dxa"/>
            <w:tcBorders>
              <w:top w:val="single" w:color="auto" w:sz="8" w:space="0"/>
              <w:left w:val="single" w:color="auto" w:sz="8" w:space="0"/>
              <w:bottom w:val="single" w:color="auto" w:sz="8" w:space="0"/>
              <w:right w:val="single" w:color="auto" w:sz="18" w:space="0"/>
            </w:tcBorders>
            <w:vAlign w:val="center"/>
          </w:tcPr>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 xml:space="preserve">投诉受理单位：本采购项目同级财政部门，即省级为四川省财政厅，市州级为各市州财政局，区县为各区县财政局。 </w:t>
            </w:r>
          </w:p>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注：根据《中华人民共和国政府采购法》及其他有关等规定，投标人投诉事项不得超出已质疑事项的范围。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4"/>
              <w:ind w:left="42"/>
              <w:jc w:val="center"/>
              <w:rPr>
                <w:rFonts w:hint="eastAsia" w:ascii="仿宋" w:hAnsi="仿宋" w:eastAsia="仿宋" w:cs="仿宋"/>
                <w:color w:val="auto"/>
                <w:highlight w:val="none"/>
                <w:lang w:eastAsia="zh-CN"/>
              </w:rPr>
            </w:pPr>
            <w:r>
              <w:rPr>
                <w:rFonts w:ascii="仿宋" w:hAnsi="仿宋" w:eastAsia="仿宋" w:cs="仿宋"/>
                <w:color w:val="auto"/>
                <w:highlight w:val="none"/>
              </w:rPr>
              <w:t>1</w:t>
            </w:r>
            <w:r>
              <w:rPr>
                <w:rFonts w:hint="eastAsia" w:ascii="仿宋" w:hAnsi="仿宋" w:eastAsia="仿宋" w:cs="仿宋"/>
                <w:color w:val="auto"/>
                <w:highlight w:val="none"/>
                <w:lang w:val="en-US" w:eastAsia="zh-CN"/>
              </w:rPr>
              <w:t>9</w:t>
            </w:r>
          </w:p>
        </w:tc>
        <w:tc>
          <w:tcPr>
            <w:tcW w:w="2048" w:type="dxa"/>
            <w:tcBorders>
              <w:top w:val="single" w:color="auto" w:sz="8" w:space="0"/>
              <w:left w:val="single" w:color="auto" w:sz="8" w:space="0"/>
              <w:bottom w:val="single" w:color="auto" w:sz="8" w:space="0"/>
              <w:right w:val="single" w:color="auto" w:sz="8" w:space="0"/>
            </w:tcBorders>
            <w:vAlign w:val="center"/>
          </w:tcPr>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中标通知书领取</w:t>
            </w:r>
          </w:p>
        </w:tc>
        <w:tc>
          <w:tcPr>
            <w:tcW w:w="7197" w:type="dxa"/>
            <w:tcBorders>
              <w:top w:val="single" w:color="auto" w:sz="8" w:space="0"/>
              <w:left w:val="single" w:color="auto" w:sz="8" w:space="0"/>
              <w:bottom w:val="single" w:color="auto" w:sz="8" w:space="0"/>
              <w:right w:val="single" w:color="auto" w:sz="18" w:space="0"/>
            </w:tcBorders>
            <w:vAlign w:val="center"/>
          </w:tcPr>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中标公告在四川省政府采购网上公告后，</w:t>
            </w:r>
            <w:r>
              <w:rPr>
                <w:rFonts w:hint="eastAsia" w:ascii="仿宋" w:hAnsi="仿宋" w:eastAsia="仿宋"/>
                <w:color w:val="auto"/>
                <w:szCs w:val="21"/>
                <w:highlight w:val="none"/>
                <w:lang w:val="zh-CN"/>
              </w:rPr>
              <w:t>中标供应商自行登录政府采购云平台下载中标通知书。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4"/>
              <w:ind w:left="42"/>
              <w:jc w:val="center"/>
              <w:rPr>
                <w:rFonts w:hint="default"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t>20</w:t>
            </w:r>
          </w:p>
        </w:tc>
        <w:tc>
          <w:tcPr>
            <w:tcW w:w="2048" w:type="dxa"/>
            <w:tcBorders>
              <w:top w:val="single" w:color="auto" w:sz="8" w:space="0"/>
              <w:left w:val="single" w:color="auto" w:sz="8" w:space="0"/>
              <w:bottom w:val="single" w:color="auto" w:sz="8" w:space="0"/>
              <w:right w:val="single" w:color="auto" w:sz="8" w:space="0"/>
            </w:tcBorders>
            <w:vAlign w:val="center"/>
          </w:tcPr>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招标代理服务费</w:t>
            </w:r>
          </w:p>
        </w:tc>
        <w:tc>
          <w:tcPr>
            <w:tcW w:w="7197" w:type="dxa"/>
            <w:tcBorders>
              <w:top w:val="single" w:color="auto" w:sz="8" w:space="0"/>
              <w:left w:val="single" w:color="auto" w:sz="8" w:space="0"/>
              <w:bottom w:val="single" w:color="auto" w:sz="8" w:space="0"/>
              <w:right w:val="single" w:color="auto" w:sz="18" w:space="0"/>
            </w:tcBorders>
            <w:vAlign w:val="center"/>
          </w:tcPr>
          <w:p>
            <w:pPr>
              <w:pStyle w:val="31"/>
              <w:spacing w:after="160"/>
              <w:ind w:firstLine="0" w:firstLineChars="0"/>
              <w:jc w:val="left"/>
              <w:rPr>
                <w:rFonts w:ascii="仿宋" w:hAnsi="仿宋" w:eastAsia="仿宋" w:cs="仿宋"/>
                <w:color w:val="auto"/>
                <w:highlight w:val="none"/>
                <w:lang w:val="zh-CN"/>
              </w:rPr>
            </w:pPr>
            <w:r>
              <w:rPr>
                <w:rFonts w:hint="eastAsia" w:ascii="仿宋" w:hAnsi="仿宋" w:eastAsia="仿宋" w:cs="仿宋"/>
                <w:color w:val="auto"/>
                <w:highlight w:val="none"/>
                <w:lang w:val="zh-CN"/>
              </w:rPr>
              <w:t>以成交金额作为计算基数，按下列收费标准差额定率累进法下浮20%计算，不足5000元的按照5000元进行收取：</w:t>
            </w:r>
          </w:p>
          <w:p>
            <w:pPr>
              <w:pStyle w:val="31"/>
              <w:spacing w:after="160"/>
              <w:ind w:firstLine="0" w:firstLineChars="0"/>
              <w:jc w:val="left"/>
              <w:rPr>
                <w:rFonts w:ascii="仿宋" w:hAnsi="仿宋" w:eastAsia="仿宋" w:cs="仿宋"/>
                <w:color w:val="auto"/>
                <w:highlight w:val="none"/>
                <w:lang w:val="zh-CN"/>
              </w:rPr>
            </w:pPr>
            <w:r>
              <w:rPr>
                <w:rFonts w:hint="eastAsia" w:ascii="仿宋" w:hAnsi="仿宋" w:eastAsia="仿宋" w:cs="仿宋"/>
                <w:color w:val="auto"/>
                <w:highlight w:val="none"/>
              </w:rPr>
              <w:drawing>
                <wp:inline distT="0" distB="0" distL="114300" distR="114300">
                  <wp:extent cx="4547870" cy="2279650"/>
                  <wp:effectExtent l="0" t="0" r="5080" b="6350"/>
                  <wp:docPr id="9" name="图片 9" descr="微信图片_2021081212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10812120246"/>
                          <pic:cNvPicPr>
                            <a:picLocks noChangeAspect="1"/>
                          </pic:cNvPicPr>
                        </pic:nvPicPr>
                        <pic:blipFill>
                          <a:blip r:embed="rId12"/>
                          <a:stretch>
                            <a:fillRect/>
                          </a:stretch>
                        </pic:blipFill>
                        <pic:spPr>
                          <a:xfrm>
                            <a:off x="0" y="0"/>
                            <a:ext cx="4547870" cy="2279650"/>
                          </a:xfrm>
                          <a:prstGeom prst="rect">
                            <a:avLst/>
                          </a:prstGeom>
                        </pic:spPr>
                      </pic:pic>
                    </a:graphicData>
                  </a:graphic>
                </wp:inline>
              </w:drawing>
            </w:r>
          </w:p>
          <w:p>
            <w:pPr>
              <w:pStyle w:val="34"/>
              <w:ind w:left="42"/>
              <w:rPr>
                <w:rFonts w:ascii="仿宋" w:hAnsi="仿宋" w:eastAsia="仿宋" w:cs="仿宋"/>
                <w:color w:val="auto"/>
                <w:highlight w:val="none"/>
              </w:rPr>
            </w:pPr>
            <w:r>
              <w:rPr>
                <w:rFonts w:hint="eastAsia" w:ascii="仿宋" w:hAnsi="仿宋" w:eastAsia="仿宋" w:cs="仿宋"/>
                <w:color w:val="auto"/>
                <w:highlight w:val="none"/>
                <w:lang w:val="zh-CN"/>
              </w:rPr>
              <w:t>由中标人在领取中标通知书前向招标代理机构交纳招标服务费。交款账号如下：</w:t>
            </w:r>
          </w:p>
          <w:p>
            <w:pPr>
              <w:pStyle w:val="34"/>
              <w:ind w:left="42"/>
              <w:rPr>
                <w:rFonts w:ascii="仿宋" w:hAnsi="仿宋" w:eastAsia="仿宋" w:cs="仿宋"/>
                <w:color w:val="auto"/>
                <w:highlight w:val="none"/>
              </w:rPr>
            </w:pPr>
            <w:r>
              <w:rPr>
                <w:rFonts w:hint="eastAsia" w:ascii="仿宋" w:hAnsi="仿宋" w:eastAsia="仿宋" w:cs="仿宋"/>
                <w:color w:val="auto"/>
                <w:highlight w:val="none"/>
                <w:lang w:val="zh-CN"/>
              </w:rPr>
              <w:t>付款方式：转账方式</w:t>
            </w:r>
          </w:p>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收款单位：</w:t>
            </w:r>
            <w:r>
              <w:rPr>
                <w:rFonts w:hint="eastAsia" w:ascii="仿宋" w:hAnsi="仿宋" w:eastAsia="仿宋" w:cs="仿宋"/>
                <w:color w:val="auto"/>
                <w:highlight w:val="none"/>
              </w:rPr>
              <w:t>四川好特建设工程有限公司</w:t>
            </w:r>
          </w:p>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开 户 行：建行成都金牛区支行</w:t>
            </w:r>
          </w:p>
          <w:p>
            <w:pPr>
              <w:pStyle w:val="34"/>
              <w:ind w:left="42"/>
              <w:rPr>
                <w:rFonts w:ascii="仿宋" w:hAnsi="仿宋" w:eastAsia="仿宋" w:cs="仿宋"/>
                <w:color w:val="auto"/>
                <w:highlight w:val="none"/>
              </w:rPr>
            </w:pPr>
            <w:r>
              <w:rPr>
                <w:rFonts w:hint="eastAsia" w:ascii="仿宋" w:hAnsi="仿宋" w:eastAsia="仿宋" w:cs="仿宋"/>
                <w:color w:val="auto"/>
                <w:highlight w:val="none"/>
                <w:lang w:val="zh-CN"/>
              </w:rPr>
              <w:t>银行账号：51050144643700000504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4"/>
              <w:ind w:left="42"/>
              <w:jc w:val="center"/>
              <w:rPr>
                <w:rFonts w:hint="eastAsia" w:ascii="仿宋" w:hAnsi="仿宋" w:eastAsia="仿宋" w:cs="仿宋"/>
                <w:color w:val="auto"/>
                <w:highlight w:val="none"/>
                <w:lang w:eastAsia="zh-CN"/>
              </w:rPr>
            </w:pPr>
            <w:r>
              <w:rPr>
                <w:rFonts w:ascii="仿宋" w:hAnsi="仿宋" w:eastAsia="仿宋" w:cs="仿宋"/>
                <w:color w:val="auto"/>
                <w:highlight w:val="none"/>
              </w:rPr>
              <w:t>2</w:t>
            </w:r>
            <w:r>
              <w:rPr>
                <w:rFonts w:hint="eastAsia" w:ascii="仿宋" w:hAnsi="仿宋" w:eastAsia="仿宋" w:cs="仿宋"/>
                <w:color w:val="auto"/>
                <w:highlight w:val="none"/>
                <w:lang w:val="en-US" w:eastAsia="zh-CN"/>
              </w:rPr>
              <w:t>1</w:t>
            </w:r>
          </w:p>
        </w:tc>
        <w:tc>
          <w:tcPr>
            <w:tcW w:w="2048" w:type="dxa"/>
            <w:tcBorders>
              <w:top w:val="single" w:color="auto" w:sz="8" w:space="0"/>
              <w:left w:val="single" w:color="auto" w:sz="8" w:space="0"/>
              <w:bottom w:val="single" w:color="auto" w:sz="8" w:space="0"/>
              <w:right w:val="single" w:color="auto" w:sz="8" w:space="0"/>
            </w:tcBorders>
            <w:vAlign w:val="center"/>
          </w:tcPr>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政府采购合同公告备案</w:t>
            </w:r>
          </w:p>
        </w:tc>
        <w:tc>
          <w:tcPr>
            <w:tcW w:w="7197" w:type="dxa"/>
            <w:tcBorders>
              <w:top w:val="single" w:color="auto" w:sz="8" w:space="0"/>
              <w:left w:val="single" w:color="auto" w:sz="8" w:space="0"/>
              <w:bottom w:val="single" w:color="auto" w:sz="8" w:space="0"/>
              <w:right w:val="single" w:color="auto" w:sz="18" w:space="0"/>
            </w:tcBorders>
            <w:vAlign w:val="center"/>
          </w:tcPr>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政府采购合同签订之日起2个工作日内，政府采购合同将在四川政府采购网公告；政府采购合同签订之日起七个工作日内，政府采购合同将向采购项目同级财政部门备案。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4"/>
              <w:ind w:left="42"/>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2</w:t>
            </w:r>
          </w:p>
        </w:tc>
        <w:tc>
          <w:tcPr>
            <w:tcW w:w="2048" w:type="dxa"/>
            <w:tcBorders>
              <w:top w:val="single" w:color="auto" w:sz="8" w:space="0"/>
              <w:left w:val="single" w:color="auto" w:sz="8" w:space="0"/>
              <w:bottom w:val="single" w:color="auto" w:sz="8" w:space="0"/>
              <w:right w:val="single" w:color="auto" w:sz="8" w:space="0"/>
            </w:tcBorders>
            <w:vAlign w:val="center"/>
          </w:tcPr>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承诺提醒</w:t>
            </w:r>
          </w:p>
        </w:tc>
        <w:tc>
          <w:tcPr>
            <w:tcW w:w="7197" w:type="dxa"/>
            <w:tcBorders>
              <w:top w:val="single" w:color="auto" w:sz="8" w:space="0"/>
              <w:left w:val="single" w:color="auto" w:sz="8" w:space="0"/>
              <w:bottom w:val="single" w:color="auto" w:sz="8" w:space="0"/>
              <w:right w:val="single" w:color="auto" w:sz="18" w:space="0"/>
            </w:tcBorders>
            <w:vAlign w:val="center"/>
          </w:tcPr>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关于投标人依法缴纳税收和社会保障资金的相关承诺，项目采购活动结束后，采购人或采购代理机构如有必要将核实投标人所作承诺真实性，如提供虚假承诺将报告监管部门严肃追究法律责任。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4"/>
              <w:ind w:left="42"/>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3</w:t>
            </w:r>
          </w:p>
        </w:tc>
        <w:tc>
          <w:tcPr>
            <w:tcW w:w="2048" w:type="dxa"/>
            <w:tcBorders>
              <w:top w:val="single" w:color="auto" w:sz="8" w:space="0"/>
              <w:left w:val="single" w:color="auto" w:sz="8" w:space="0"/>
              <w:bottom w:val="single" w:color="auto" w:sz="8" w:space="0"/>
              <w:right w:val="single" w:color="auto" w:sz="8" w:space="0"/>
            </w:tcBorders>
            <w:vAlign w:val="center"/>
          </w:tcPr>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备注</w:t>
            </w:r>
          </w:p>
        </w:tc>
        <w:tc>
          <w:tcPr>
            <w:tcW w:w="7197" w:type="dxa"/>
            <w:tcBorders>
              <w:top w:val="single" w:color="auto" w:sz="8" w:space="0"/>
              <w:left w:val="single" w:color="auto" w:sz="8" w:space="0"/>
              <w:bottom w:val="single" w:color="auto" w:sz="8" w:space="0"/>
              <w:right w:val="single" w:color="auto" w:sz="18" w:space="0"/>
            </w:tcBorders>
            <w:vAlign w:val="center"/>
          </w:tcPr>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若招标文件中其他内容与投标人须知附表内容不一致的，以投标人须知附表为准。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90"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4"/>
              <w:ind w:left="42"/>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4</w:t>
            </w:r>
          </w:p>
        </w:tc>
        <w:tc>
          <w:tcPr>
            <w:tcW w:w="2048" w:type="dxa"/>
            <w:tcBorders>
              <w:top w:val="single" w:color="auto" w:sz="8" w:space="0"/>
              <w:left w:val="single" w:color="auto" w:sz="8" w:space="0"/>
              <w:bottom w:val="single" w:color="auto" w:sz="8" w:space="0"/>
              <w:right w:val="single" w:color="auto" w:sz="8" w:space="0"/>
            </w:tcBorders>
            <w:vAlign w:val="center"/>
          </w:tcPr>
          <w:p>
            <w:pPr>
              <w:pStyle w:val="34"/>
              <w:ind w:left="42"/>
              <w:jc w:val="center"/>
              <w:rPr>
                <w:rFonts w:ascii="仿宋" w:hAnsi="仿宋" w:eastAsia="仿宋" w:cs="仿宋"/>
                <w:color w:val="auto"/>
                <w:highlight w:val="none"/>
                <w:lang w:val="zh-CN"/>
              </w:rPr>
            </w:pPr>
            <w:r>
              <w:rPr>
                <w:rFonts w:hint="eastAsia" w:ascii="仿宋" w:hAnsi="仿宋" w:eastAsia="仿宋" w:cs="仿宋"/>
                <w:color w:val="auto"/>
                <w:highlight w:val="none"/>
                <w:lang w:val="zh-CN"/>
              </w:rPr>
              <w:t>政府采购供应商信用融资</w:t>
            </w:r>
          </w:p>
        </w:tc>
        <w:tc>
          <w:tcPr>
            <w:tcW w:w="7197" w:type="dxa"/>
            <w:tcBorders>
              <w:top w:val="single" w:color="auto" w:sz="8" w:space="0"/>
              <w:left w:val="single" w:color="auto" w:sz="8" w:space="0"/>
              <w:bottom w:val="single" w:color="auto" w:sz="8" w:space="0"/>
              <w:right w:val="single" w:color="auto" w:sz="18" w:space="0"/>
            </w:tcBorders>
            <w:vAlign w:val="center"/>
          </w:tcPr>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34"/>
              <w:ind w:left="42"/>
              <w:rPr>
                <w:rFonts w:ascii="仿宋" w:hAnsi="仿宋" w:eastAsia="仿宋" w:cs="仿宋"/>
                <w:color w:val="auto"/>
                <w:highlight w:val="none"/>
                <w:lang w:val="zh-CN"/>
              </w:rPr>
            </w:pPr>
            <w:r>
              <w:rPr>
                <w:rFonts w:hint="eastAsia" w:ascii="仿宋" w:hAnsi="仿宋" w:eastAsia="仿宋" w:cs="仿宋"/>
                <w:color w:val="auto"/>
                <w:highlight w:val="none"/>
                <w:lang w:val="zh-CN"/>
              </w:rPr>
              <w:t>2.根据《四川省财政厅关于推进四川省政府采购供应商信用融资工作的通知》(川财采[2018]123号文)文件要求办理。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13" w:hRule="atLeast"/>
          <w:jc w:val="center"/>
        </w:trPr>
        <w:tc>
          <w:tcPr>
            <w:tcW w:w="548" w:type="dxa"/>
            <w:tcBorders>
              <w:top w:val="single" w:color="auto" w:sz="8" w:space="0"/>
              <w:left w:val="single" w:color="auto" w:sz="18" w:space="0"/>
              <w:bottom w:val="single" w:color="auto" w:sz="8" w:space="0"/>
              <w:right w:val="single" w:color="auto" w:sz="8" w:space="0"/>
            </w:tcBorders>
            <w:vAlign w:val="center"/>
          </w:tcPr>
          <w:p>
            <w:pPr>
              <w:pStyle w:val="34"/>
              <w:ind w:left="42"/>
              <w:jc w:val="center"/>
              <w:rPr>
                <w:rFonts w:hint="eastAsia" w:ascii="仿宋" w:hAnsi="仿宋" w:eastAsia="仿宋" w:cs="仿宋"/>
                <w:color w:val="auto"/>
                <w:highlight w:val="none"/>
                <w:lang w:eastAsia="zh-CN"/>
              </w:rPr>
            </w:pPr>
            <w:r>
              <w:rPr>
                <w:rFonts w:hint="eastAsia" w:ascii="仿宋" w:hAnsi="仿宋" w:eastAsia="仿宋" w:cs="仿宋"/>
                <w:color w:val="auto"/>
                <w:highlight w:val="none"/>
              </w:rPr>
              <w:t>2</w:t>
            </w:r>
            <w:r>
              <w:rPr>
                <w:rFonts w:hint="eastAsia" w:ascii="仿宋" w:hAnsi="仿宋" w:eastAsia="仿宋" w:cs="仿宋"/>
                <w:color w:val="auto"/>
                <w:highlight w:val="none"/>
                <w:lang w:val="en-US" w:eastAsia="zh-CN"/>
              </w:rPr>
              <w:t>5</w:t>
            </w:r>
          </w:p>
        </w:tc>
        <w:tc>
          <w:tcPr>
            <w:tcW w:w="2048" w:type="dxa"/>
            <w:tcBorders>
              <w:top w:val="single" w:color="auto" w:sz="8" w:space="0"/>
              <w:left w:val="single" w:color="auto" w:sz="8" w:space="0"/>
              <w:bottom w:val="single" w:color="auto" w:sz="8" w:space="0"/>
              <w:right w:val="single" w:color="auto" w:sz="8" w:space="0"/>
            </w:tcBorders>
            <w:vAlign w:val="center"/>
          </w:tcPr>
          <w:p>
            <w:pPr>
              <w:pStyle w:val="32"/>
              <w:ind w:left="96"/>
              <w:jc w:val="center"/>
              <w:rPr>
                <w:rFonts w:ascii="仿宋" w:hAnsi="仿宋" w:eastAsia="仿宋" w:cs="仿宋"/>
                <w:color w:val="auto"/>
                <w:highlight w:val="none"/>
                <w:lang w:val="zh-CN"/>
              </w:rPr>
            </w:pPr>
            <w:r>
              <w:rPr>
                <w:rFonts w:hint="eastAsia" w:ascii="仿宋" w:hAnsi="仿宋" w:eastAsia="仿宋"/>
                <w:color w:val="auto"/>
                <w:sz w:val="21"/>
                <w:szCs w:val="21"/>
                <w:highlight w:val="none"/>
                <w:lang w:val="zh-CN"/>
              </w:rPr>
              <w:t>温馨提示</w:t>
            </w:r>
          </w:p>
        </w:tc>
        <w:tc>
          <w:tcPr>
            <w:tcW w:w="7197" w:type="dxa"/>
            <w:tcBorders>
              <w:top w:val="single" w:color="auto" w:sz="8" w:space="0"/>
              <w:left w:val="single" w:color="auto" w:sz="8" w:space="0"/>
              <w:bottom w:val="single" w:color="auto" w:sz="8" w:space="0"/>
              <w:right w:val="single" w:color="auto" w:sz="18" w:space="0"/>
            </w:tcBorders>
            <w:vAlign w:val="center"/>
          </w:tcPr>
          <w:p>
            <w:pPr>
              <w:pStyle w:val="32"/>
              <w:rPr>
                <w:rFonts w:ascii="仿宋" w:hAnsi="仿宋" w:eastAsia="仿宋" w:cs="仿宋"/>
                <w:color w:val="auto"/>
                <w:highlight w:val="none"/>
                <w:lang w:val="zh-CN"/>
              </w:rPr>
            </w:pPr>
            <w:r>
              <w:rPr>
                <w:rFonts w:hint="eastAsia" w:ascii="仿宋" w:hAnsi="仿宋" w:eastAsia="仿宋" w:cs="仿宋"/>
                <w:snapToGrid w:val="0"/>
                <w:color w:val="auto"/>
                <w:kern w:val="2"/>
                <w:sz w:val="21"/>
                <w:highlight w:val="none"/>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pPr>
        <w:pStyle w:val="34"/>
        <w:ind w:left="42"/>
        <w:rPr>
          <w:color w:val="auto"/>
          <w:highlight w:val="none"/>
        </w:rPr>
      </w:pPr>
    </w:p>
    <w:p>
      <w:pP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p>
    <w:p>
      <w:pPr>
        <w:pStyle w:val="4"/>
        <w:keepNext w:val="0"/>
        <w:keepLines w:val="0"/>
        <w:spacing w:line="240" w:lineRule="atLeas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二、总  则</w:t>
      </w:r>
      <w:bookmarkStart w:id="13" w:name="_Toc217446034"/>
      <w:bookmarkEnd w:id="13"/>
      <w:bookmarkStart w:id="14" w:name="_Toc183582205"/>
      <w:bookmarkEnd w:id="14"/>
      <w:bookmarkStart w:id="15" w:name="_Toc183682342"/>
      <w:bookmarkEnd w:id="15"/>
    </w:p>
    <w:p>
      <w:pPr>
        <w:pStyle w:val="5"/>
        <w:keepNext w:val="0"/>
        <w:keepLines w:val="0"/>
        <w:spacing w:before="0" w:after="160" w:line="360" w:lineRule="auto"/>
        <w:ind w:firstLine="482" w:firstLineChars="200"/>
        <w:rPr>
          <w:rFonts w:ascii="仿宋" w:hAnsi="仿宋" w:eastAsia="仿宋" w:cs="仿宋"/>
          <w:color w:val="auto"/>
          <w:sz w:val="24"/>
          <w:highlight w:val="none"/>
        </w:rPr>
      </w:pPr>
      <w:bookmarkStart w:id="16" w:name="_Toc183582231"/>
      <w:bookmarkStart w:id="17" w:name="_Toc89075878"/>
      <w:bookmarkStart w:id="18" w:name="_Toc183682368"/>
      <w:bookmarkStart w:id="19" w:name="_Toc217446056"/>
      <w:bookmarkStart w:id="20" w:name="_Toc77400782"/>
      <w:r>
        <w:rPr>
          <w:rFonts w:hint="eastAsia" w:ascii="仿宋" w:hAnsi="仿宋" w:eastAsia="仿宋" w:cs="仿宋"/>
          <w:color w:val="auto"/>
          <w:sz w:val="24"/>
          <w:highlight w:val="none"/>
        </w:rPr>
        <w:t>1. 适用范围</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1.1 本招标文件仅适用于本次招标采购项目。</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 有关定义</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2.1 “采购人”系指依法进行政府采购的国家机关、事业单位、团体组织。本次招标的采购人是</w:t>
      </w:r>
      <w:r>
        <w:rPr>
          <w:rFonts w:hint="eastAsia" w:ascii="仿宋" w:hAnsi="仿宋" w:eastAsia="仿宋" w:cs="仿宋"/>
          <w:b w:val="0"/>
          <w:bCs w:val="0"/>
          <w:color w:val="auto"/>
          <w:sz w:val="24"/>
          <w:highlight w:val="none"/>
          <w:u w:val="single"/>
        </w:rPr>
        <w:t>成都市温江区规划信息服务中心</w:t>
      </w:r>
      <w:r>
        <w:rPr>
          <w:rFonts w:hint="eastAsia" w:ascii="仿宋" w:hAnsi="仿宋" w:eastAsia="仿宋" w:cs="仿宋"/>
          <w:b w:val="0"/>
          <w:bCs w:val="0"/>
          <w:color w:val="auto"/>
          <w:sz w:val="24"/>
          <w:highlight w:val="none"/>
        </w:rPr>
        <w:t>。</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2.2 “采购代理机构”系指根据采购人的委托依法办理招标事宜的采购机构。本次招标的采购代理机构是</w:t>
      </w:r>
      <w:r>
        <w:rPr>
          <w:rFonts w:hint="eastAsia" w:ascii="仿宋" w:hAnsi="仿宋" w:eastAsia="仿宋" w:cs="仿宋"/>
          <w:b w:val="0"/>
          <w:bCs w:val="0"/>
          <w:color w:val="auto"/>
          <w:sz w:val="24"/>
          <w:highlight w:val="none"/>
          <w:u w:val="single"/>
        </w:rPr>
        <w:t>四川好特建设工程有限公司</w:t>
      </w:r>
      <w:r>
        <w:rPr>
          <w:rFonts w:hint="eastAsia" w:ascii="仿宋" w:hAnsi="仿宋" w:eastAsia="仿宋" w:cs="仿宋"/>
          <w:b w:val="0"/>
          <w:bCs w:val="0"/>
          <w:color w:val="auto"/>
          <w:sz w:val="24"/>
          <w:highlight w:val="none"/>
        </w:rPr>
        <w:t>。</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2.3 “招标采购单位”系指“采购人”和“采购代理机构”的统称。</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2.4 “投标人”系指购买了招标文件拟参加投标和向采购人提供货物及相应服务的投标人。</w:t>
      </w:r>
    </w:p>
    <w:p>
      <w:pPr>
        <w:pStyle w:val="5"/>
        <w:keepNext w:val="0"/>
        <w:keepLines w:val="0"/>
        <w:spacing w:before="0" w:after="160" w:line="360" w:lineRule="auto"/>
        <w:ind w:firstLine="482" w:firstLineChars="200"/>
        <w:rPr>
          <w:rFonts w:ascii="仿宋" w:hAnsi="仿宋" w:eastAsia="仿宋" w:cs="仿宋"/>
          <w:color w:val="auto"/>
          <w:sz w:val="24"/>
          <w:highlight w:val="none"/>
        </w:rPr>
      </w:pPr>
      <w:r>
        <w:rPr>
          <w:rFonts w:hint="eastAsia" w:ascii="仿宋" w:hAnsi="仿宋" w:eastAsia="仿宋" w:cs="仿宋"/>
          <w:color w:val="auto"/>
          <w:sz w:val="24"/>
          <w:highlight w:val="none"/>
        </w:rPr>
        <w:t>3. 合格的投标人（实质性要求）</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    合格的投标人应具备以下条件：</w:t>
      </w:r>
    </w:p>
    <w:p>
      <w:pPr>
        <w:pStyle w:val="5"/>
        <w:keepNext w:val="0"/>
        <w:keepLines w:val="0"/>
        <w:spacing w:before="0" w:after="160" w:line="360" w:lineRule="auto"/>
        <w:ind w:firstLine="960" w:firstLineChars="4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（1）本招标文件规定的投标人资格条件；</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    （2）遵守国家有关的法律、法规、规章和其他政策制度；</w:t>
      </w:r>
    </w:p>
    <w:p>
      <w:pPr>
        <w:pStyle w:val="5"/>
        <w:keepNext w:val="0"/>
        <w:keepLines w:val="0"/>
        <w:spacing w:before="0" w:after="160" w:line="360" w:lineRule="auto"/>
        <w:ind w:firstLine="960" w:firstLineChars="4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（3）按照规定获取了招标文件。</w:t>
      </w:r>
    </w:p>
    <w:p>
      <w:pPr>
        <w:pStyle w:val="5"/>
        <w:keepNext w:val="0"/>
        <w:keepLines w:val="0"/>
        <w:spacing w:before="0" w:after="160" w:line="360" w:lineRule="auto"/>
        <w:ind w:firstLine="482" w:firstLineChars="200"/>
        <w:rPr>
          <w:rFonts w:ascii="仿宋" w:hAnsi="仿宋" w:eastAsia="仿宋" w:cs="仿宋"/>
          <w:color w:val="auto"/>
          <w:sz w:val="24"/>
          <w:highlight w:val="none"/>
        </w:rPr>
      </w:pPr>
      <w:r>
        <w:rPr>
          <w:rFonts w:hint="eastAsia" w:ascii="仿宋" w:hAnsi="仿宋" w:eastAsia="仿宋" w:cs="仿宋"/>
          <w:color w:val="auto"/>
          <w:sz w:val="24"/>
          <w:highlight w:val="none"/>
        </w:rPr>
        <w:t>4. 投标费用（实质性要求）</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投标人参加投标的有关费用由投标人自行承担。</w:t>
      </w:r>
    </w:p>
    <w:p>
      <w:pPr>
        <w:pStyle w:val="5"/>
        <w:keepNext w:val="0"/>
        <w:keepLines w:val="0"/>
        <w:spacing w:before="0" w:after="160" w:line="360" w:lineRule="auto"/>
        <w:ind w:firstLine="482"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5、充分、公平竞争保障措施（实质性要求）</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5.1利害关系投标人处理。单位负责人为同一人或者存在直接控股、管理关系的不同投标人不得参加同一合同项下的政府采购活动。采购项目实行资格预审的，单位负责人为同一人或者存在直接控股、管理关系的不同投标人可以参加资格预审，但只能由投标人确定其中一家符合条件的投标人参加后续的政府采购活动，否则，其投标文件作为无效处理。</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5.2前期参与投标人处理。为采购项目提供整体设计、规范编制或者项目管理、监理、检测等服务的投标人，不得再参加该采购项目的其他采购活动。投标人为采购人、采购代理机构在确定采购需求、编制采购文件过程中提供咨询论证，其提供的咨询论证意见成为采购文件中规定的投标人资格条件、技术服务商务要求、评标因素和标准、政府采购合同等实质性内容条款的，视同为采购项目提供规范编制。</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5.3 利害关系代理人处理。2家以上的投标人不得在同一合同项下的采购项目中，同时委托同一个自然人、同一家庭的人员、同一单位的人员作为其代理人，否则，其投标文件作为无效处理。</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5.4 投标人实际控制人或者中高级管理人员，同时是采购代理机构工作人员，不得参与本 项目政府采购活动。 </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5.5 投标人与采购代理机构存在关联关系，或者是采购代理机构的母公司或子公司，不得 参加本项目政府采购活动。</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5.6 回避。政府采购活动中，采购人员及相关人员与投标人有下列利害关系之一的，应当回避： </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（1）参加采购活动前3年内与投标人存在劳动关系； </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（2）参加采购活动前3年内担任投标人的董事、监事； </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（3）参加采购活动前3年内是投标人的控股股东或者实际控制人； </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（4）与投标人的法定代表人或者负责人有夫妻、直系血亲、三代以内旁系血亲或者近姻亲关系； </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5）与投标人有其他可能影响政府采购活动公平、公正进行的关系。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评标委员会成员。投标人认为采购人员及相关人员与其他投标人有利害关系的，可以向采购代理机构书面提出回避申请，并说明理由。采购代理机构将及时询问被申请回避人员，有利害关系的被申请回避人员应当回避。</w:t>
      </w:r>
    </w:p>
    <w:p>
      <w:pPr>
        <w:pStyle w:val="5"/>
        <w:keepNext w:val="0"/>
        <w:keepLines w:val="0"/>
        <w:spacing w:before="0" w:after="160" w:line="360" w:lineRule="auto"/>
        <w:ind w:firstLine="482"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三、招标文件</w:t>
      </w:r>
    </w:p>
    <w:p>
      <w:pPr>
        <w:pStyle w:val="5"/>
        <w:keepNext w:val="0"/>
        <w:keepLines w:val="0"/>
        <w:spacing w:before="0" w:after="160" w:line="360" w:lineRule="auto"/>
        <w:ind w:firstLine="482" w:firstLineChars="200"/>
        <w:rPr>
          <w:rFonts w:ascii="仿宋" w:hAnsi="仿宋" w:eastAsia="仿宋" w:cs="仿宋"/>
          <w:color w:val="auto"/>
          <w:sz w:val="24"/>
          <w:highlight w:val="none"/>
        </w:rPr>
      </w:pPr>
      <w:r>
        <w:rPr>
          <w:rFonts w:hint="eastAsia" w:ascii="仿宋" w:hAnsi="仿宋" w:eastAsia="仿宋" w:cs="仿宋"/>
          <w:color w:val="auto"/>
          <w:sz w:val="24"/>
          <w:highlight w:val="none"/>
        </w:rPr>
        <w:t>6．招标文件的构成</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   招标文件是投标人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pStyle w:val="5"/>
        <w:keepNext w:val="0"/>
        <w:keepLines w:val="0"/>
        <w:numPr>
          <w:ilvl w:val="0"/>
          <w:numId w:val="5"/>
        </w:numPr>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招标公告；</w:t>
      </w:r>
      <w:r>
        <w:rPr>
          <w:rFonts w:hint="eastAsia" w:ascii="仿宋" w:hAnsi="仿宋" w:eastAsia="仿宋" w:cs="仿宋"/>
          <w:b w:val="0"/>
          <w:bCs w:val="0"/>
          <w:color w:val="auto"/>
          <w:sz w:val="24"/>
          <w:highlight w:val="none"/>
          <w:lang w:val="en-US" w:eastAsia="zh-CN"/>
        </w:rPr>
        <w:t xml:space="preserve">                                                                                                                                                                                                                                                                                                                                                                                                                                                                                                                                                                                                                                                                                                                                                                                                                                                                                                                                                                                                                                                                                                                                                                                                                                                                                                                                                                                                                                                                                                                                                                                                                                                                                                                                                                                                                                                                                                                                                                                                                                                                                                                                                                                                                                                                                                                                                                                                                                                                                                                                                                                                                                                                                                                                                                                                                                                                                                                                                                                                                                                                                                                                                                                                                                                                                                                                                                                                                                                                                                                                                                                                                                                                                                                                                                                                                                                                                                                                                                                    </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（二）投标人须知；</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（三）投标文件格式；</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（四）投标人和投标产品的资格、资质性及其他类似效力要求；</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（五）投标人应当提供的资格、资质性及其他类似效力要求的相关证明材料；</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（六）技术、商务及其他要求；</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（七）评标办法；</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（八）采购合同（参考文本）。</w:t>
      </w:r>
    </w:p>
    <w:p>
      <w:pPr>
        <w:pStyle w:val="5"/>
        <w:keepNext w:val="0"/>
        <w:keepLines w:val="0"/>
        <w:spacing w:before="0" w:after="160" w:line="360" w:lineRule="auto"/>
        <w:ind w:firstLine="482" w:firstLineChars="200"/>
        <w:rPr>
          <w:rFonts w:ascii="仿宋" w:hAnsi="仿宋" w:eastAsia="仿宋" w:cs="仿宋"/>
          <w:color w:val="auto"/>
          <w:sz w:val="24"/>
          <w:highlight w:val="none"/>
        </w:rPr>
      </w:pPr>
      <w:r>
        <w:rPr>
          <w:rFonts w:hint="eastAsia" w:ascii="仿宋" w:hAnsi="仿宋" w:eastAsia="仿宋" w:cs="仿宋"/>
          <w:color w:val="auto"/>
          <w:sz w:val="24"/>
          <w:highlight w:val="none"/>
        </w:rPr>
        <w:t>7. 招标文件的澄清和修改</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7.1采购人或者采购代理机构可以依法对招标文件进行澄清或者修改。</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7.2 采购人或者采购代理机构可以对已发出的招标文件进行必要的澄清或者修改，但不得改变采购标的和资格条件。澄清或者修改的内容可能影响投标文件编制的，采购人或者采购代理机构应当在投标截止时间至少 15 日前，以书面形式将澄清或者修改的内容通知所有购买了招标文件的投标人，同时在四川省政府采购网上发布更正公告。该澄清或者修改的内容为招标文件的组成部分。提供招标文件期限届满后，获取招标文件的潜在投标人不足 3 家的，可以顺延提供期限，并予公告。</w:t>
      </w:r>
    </w:p>
    <w:p>
      <w:pPr>
        <w:pStyle w:val="5"/>
        <w:keepNext w:val="0"/>
        <w:keepLines w:val="0"/>
        <w:spacing w:before="0" w:after="160" w:line="360" w:lineRule="auto"/>
        <w:ind w:firstLine="480" w:firstLineChars="200"/>
        <w:rPr>
          <w:color w:val="auto"/>
          <w:highlight w:val="none"/>
        </w:rPr>
      </w:pPr>
      <w:r>
        <w:rPr>
          <w:rFonts w:hint="eastAsia" w:ascii="仿宋" w:hAnsi="仿宋" w:eastAsia="仿宋" w:cs="仿宋"/>
          <w:b w:val="0"/>
          <w:bCs w:val="0"/>
          <w:color w:val="auto"/>
          <w:sz w:val="24"/>
          <w:highlight w:val="none"/>
        </w:rPr>
        <w:t>更正通知通过政府采购云平台通知所有获取招标文件的潜在投标人。</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7.3 投标人认为需要对招标文件进行澄清或者修改的，均应按招标文件中的联系方式，可以以书面形式向采购人或者采购代理机构提出申请，但采购人或者采购代理机构可以决定是否采纳投标人的申请事项。</w:t>
      </w:r>
    </w:p>
    <w:p>
      <w:pPr>
        <w:pStyle w:val="5"/>
        <w:keepNext w:val="0"/>
        <w:keepLines w:val="0"/>
        <w:spacing w:before="0" w:after="160" w:line="360" w:lineRule="auto"/>
        <w:ind w:firstLine="482" w:firstLineChars="200"/>
        <w:rPr>
          <w:rFonts w:ascii="仿宋" w:hAnsi="仿宋" w:eastAsia="仿宋" w:cs="仿宋"/>
          <w:color w:val="auto"/>
          <w:sz w:val="24"/>
          <w:highlight w:val="none"/>
        </w:rPr>
      </w:pPr>
      <w:r>
        <w:rPr>
          <w:rFonts w:hint="eastAsia" w:ascii="仿宋" w:hAnsi="仿宋" w:eastAsia="仿宋" w:cs="仿宋"/>
          <w:color w:val="auto"/>
          <w:sz w:val="24"/>
          <w:highlight w:val="none"/>
        </w:rPr>
        <w:t>8. 答疑会和现场考察</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 8.1 根据采购项目和具体情况，招标采购单位认为有必要，可以在招标文件提供期限截止后，组织已获取招标文件的潜在投标人现场考察或者召开开标前答疑会。</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现场考察或标前答疑会时间：详见投标人须知表。</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现场考察或标前答疑会地点：详见投标人须知表。</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8.2 投标人考察现场所发生的一切费用由投标人自己承担。</w:t>
      </w:r>
    </w:p>
    <w:p>
      <w:pPr>
        <w:pStyle w:val="5"/>
        <w:keepNext w:val="0"/>
        <w:keepLines w:val="0"/>
        <w:spacing w:before="0" w:after="160" w:line="360" w:lineRule="auto"/>
        <w:ind w:firstLine="482"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四、投标文件</w:t>
      </w:r>
    </w:p>
    <w:p>
      <w:pPr>
        <w:pStyle w:val="5"/>
        <w:keepNext w:val="0"/>
        <w:keepLines w:val="0"/>
        <w:spacing w:before="0" w:after="160" w:line="360" w:lineRule="auto"/>
        <w:ind w:firstLine="482" w:firstLineChars="200"/>
        <w:rPr>
          <w:rFonts w:ascii="仿宋" w:hAnsi="仿宋" w:eastAsia="仿宋" w:cs="仿宋"/>
          <w:color w:val="auto"/>
          <w:sz w:val="24"/>
          <w:highlight w:val="none"/>
        </w:rPr>
      </w:pPr>
      <w:r>
        <w:rPr>
          <w:rFonts w:hint="eastAsia" w:ascii="仿宋" w:hAnsi="仿宋" w:eastAsia="仿宋" w:cs="仿宋"/>
          <w:color w:val="auto"/>
          <w:sz w:val="24"/>
          <w:highlight w:val="none"/>
        </w:rPr>
        <w:t>9．投标文件的语言（实质性要求）</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9.1 投标人提交的投标文件以及投标人与采购人或者采购代理机构就有关投标的所有来往书面文件均须使用中文。投标文件中如附有外文资料，必须逐一对应翻译成中文并加盖投标人公章后附在相关外文资料后面，否则，所提供的外文资料将可能被视为无效材料。（说明：投标人的法定代表人为外籍人士的，法定代表人的签字和护照除外。）</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9.2 翻译的中文资料与外文资料如果出现差异和矛盾时，以中文为准。涉嫌虚假响应的按照相关法律法规处理。</w:t>
      </w:r>
    </w:p>
    <w:p>
      <w:pPr>
        <w:pStyle w:val="5"/>
        <w:keepNext w:val="0"/>
        <w:keepLines w:val="0"/>
        <w:spacing w:before="0" w:after="160" w:line="360" w:lineRule="auto"/>
        <w:ind w:firstLine="482" w:firstLineChars="200"/>
        <w:rPr>
          <w:rFonts w:ascii="仿宋" w:hAnsi="仿宋" w:eastAsia="仿宋" w:cs="仿宋"/>
          <w:color w:val="auto"/>
          <w:sz w:val="24"/>
          <w:highlight w:val="none"/>
        </w:rPr>
      </w:pPr>
      <w:r>
        <w:rPr>
          <w:rFonts w:hint="eastAsia" w:ascii="仿宋" w:hAnsi="仿宋" w:eastAsia="仿宋" w:cs="仿宋"/>
          <w:color w:val="auto"/>
          <w:sz w:val="24"/>
          <w:highlight w:val="none"/>
        </w:rPr>
        <w:t>10．计量单位（实质性要求）</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除招标文件中另有规定外，本次采购项目所有合同项下的投标均采用国家法定的计量单位。</w:t>
      </w:r>
    </w:p>
    <w:p>
      <w:pPr>
        <w:pStyle w:val="5"/>
        <w:keepNext w:val="0"/>
        <w:keepLines w:val="0"/>
        <w:spacing w:before="0" w:after="160" w:line="360" w:lineRule="auto"/>
        <w:ind w:firstLine="482" w:firstLineChars="200"/>
        <w:rPr>
          <w:rFonts w:ascii="仿宋" w:hAnsi="仿宋" w:eastAsia="仿宋" w:cs="仿宋"/>
          <w:b w:val="0"/>
          <w:bCs w:val="0"/>
          <w:color w:val="auto"/>
          <w:sz w:val="24"/>
          <w:highlight w:val="none"/>
        </w:rPr>
      </w:pPr>
      <w:r>
        <w:rPr>
          <w:rFonts w:hint="eastAsia" w:ascii="仿宋" w:hAnsi="仿宋" w:eastAsia="仿宋" w:cs="仿宋"/>
          <w:color w:val="auto"/>
          <w:sz w:val="24"/>
          <w:highlight w:val="none"/>
        </w:rPr>
        <w:t>11. 投标货币（实质性要求）</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本次招标项目的投标均以人民币报价。</w:t>
      </w:r>
    </w:p>
    <w:p>
      <w:pPr>
        <w:pStyle w:val="5"/>
        <w:keepNext w:val="0"/>
        <w:keepLines w:val="0"/>
        <w:spacing w:before="0" w:after="160" w:line="360" w:lineRule="auto"/>
        <w:ind w:firstLine="482"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联合体投标（实质性要求）</w:t>
      </w:r>
    </w:p>
    <w:p>
      <w:pPr>
        <w:pStyle w:val="5"/>
        <w:keepNext w:val="0"/>
        <w:keepLines w:val="0"/>
        <w:spacing w:before="0" w:after="160" w:line="360" w:lineRule="auto"/>
        <w:ind w:firstLine="482" w:firstLineChars="200"/>
        <w:rPr>
          <w:rFonts w:ascii="仿宋" w:hAnsi="仿宋" w:eastAsia="仿宋" w:cs="仿宋"/>
          <w:b w:val="0"/>
          <w:bCs w:val="0"/>
          <w:color w:val="auto"/>
          <w:sz w:val="24"/>
          <w:highlight w:val="none"/>
        </w:rPr>
      </w:pPr>
      <w:r>
        <w:rPr>
          <w:rFonts w:hint="eastAsia" w:ascii="仿宋" w:hAnsi="仿宋" w:eastAsia="仿宋" w:cs="仿宋"/>
          <w:color w:val="auto"/>
          <w:sz w:val="24"/>
          <w:highlight w:val="none"/>
        </w:rPr>
        <w:t>本项目不允许联合体参加</w:t>
      </w:r>
    </w:p>
    <w:p>
      <w:pPr>
        <w:pStyle w:val="5"/>
        <w:keepNext w:val="0"/>
        <w:keepLines w:val="0"/>
        <w:spacing w:before="0" w:after="160" w:line="360" w:lineRule="auto"/>
        <w:ind w:firstLine="482"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知识产权（实质性要求）</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13.2 采购人享有本项目实施过程中产生的知识成果及知识产权。</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13.3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r>
        <w:rPr>
          <w:rFonts w:hint="eastAsia" w:ascii="仿宋" w:hAnsi="仿宋" w:eastAsia="仿宋" w:cs="仿宋"/>
          <w:color w:val="auto"/>
          <w:sz w:val="24"/>
          <w:highlight w:val="none"/>
        </w:rPr>
        <w:t>同时需在投标文件中提供声明，并提供相关知识产权证明文件，否则视为投标人未在本项目实施过程中采用自有知识成果，不影响有效性。</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13.4 如采用投标人所不拥有的知识产权，则在投标报价中必须包括合法获取该知识产权的相关费用。</w:t>
      </w:r>
      <w:r>
        <w:rPr>
          <w:rFonts w:hint="eastAsia" w:ascii="仿宋" w:hAnsi="仿宋" w:eastAsia="仿宋" w:cs="仿宋"/>
          <w:color w:val="auto"/>
          <w:sz w:val="24"/>
          <w:highlight w:val="none"/>
        </w:rPr>
        <w:t>采购人不再因投标人采用所不拥有的知识产权而另行支付任何费用。</w:t>
      </w:r>
    </w:p>
    <w:p>
      <w:pPr>
        <w:pStyle w:val="5"/>
        <w:keepNext w:val="0"/>
        <w:keepLines w:val="0"/>
        <w:spacing w:before="0" w:after="160" w:line="360" w:lineRule="auto"/>
        <w:ind w:firstLine="480" w:firstLineChars="200"/>
        <w:rPr>
          <w:rFonts w:ascii="仿宋" w:hAnsi="仿宋" w:eastAsia="仿宋" w:cs="仿宋"/>
          <w:color w:val="auto"/>
          <w:highlight w:val="none"/>
        </w:rPr>
      </w:pPr>
      <w:r>
        <w:rPr>
          <w:rFonts w:hint="eastAsia" w:ascii="仿宋" w:hAnsi="仿宋" w:eastAsia="仿宋" w:cs="仿宋"/>
          <w:b w:val="0"/>
          <w:bCs w:val="0"/>
          <w:color w:val="auto"/>
          <w:sz w:val="24"/>
          <w:highlight w:val="none"/>
        </w:rPr>
        <w:t>13.5 根据《中华人民共和国政府采购法实施条例》第四十三条的规定，公告内容应当包括主要中标标的的名称、规格型号、数量、单价、服务要求以及评审专家名单。投标人需将投标文件中涉及商业秘密和知识产权的内容进行标注和说明。若未进行标注和说明的，视为全部内容均可公布，采购人或者采购代理机构对此不承担任何责任。</w:t>
      </w:r>
    </w:p>
    <w:p>
      <w:pPr>
        <w:pStyle w:val="5"/>
        <w:keepNext w:val="0"/>
        <w:keepLines w:val="0"/>
        <w:spacing w:before="0" w:after="160" w:line="360" w:lineRule="auto"/>
        <w:ind w:firstLine="482" w:firstLineChars="200"/>
        <w:rPr>
          <w:rFonts w:ascii="仿宋" w:hAnsi="仿宋" w:eastAsia="仿宋" w:cs="仿宋"/>
          <w:b w:val="0"/>
          <w:bCs w:val="0"/>
          <w:color w:val="auto"/>
          <w:sz w:val="24"/>
          <w:highlight w:val="none"/>
        </w:rPr>
      </w:pPr>
      <w:r>
        <w:rPr>
          <w:rFonts w:hint="eastAsia" w:ascii="仿宋" w:hAnsi="仿宋" w:eastAsia="仿宋" w:cs="仿宋"/>
          <w:color w:val="auto"/>
          <w:sz w:val="24"/>
          <w:highlight w:val="none"/>
        </w:rPr>
        <w:t>14．投标文件的组成</w:t>
      </w:r>
    </w:p>
    <w:p>
      <w:pPr>
        <w:pStyle w:val="5"/>
        <w:keepNext w:val="0"/>
        <w:keepLines w:val="0"/>
        <w:spacing w:before="0" w:after="160" w:line="360" w:lineRule="auto"/>
        <w:ind w:firstLine="480" w:firstLineChars="200"/>
        <w:rPr>
          <w:rFonts w:ascii="仿宋" w:hAnsi="仿宋" w:eastAsia="仿宋" w:cs="仿宋"/>
          <w:color w:val="auto"/>
          <w:sz w:val="24"/>
          <w:highlight w:val="none"/>
        </w:rPr>
      </w:pPr>
      <w:r>
        <w:rPr>
          <w:rFonts w:hint="eastAsia" w:ascii="仿宋" w:hAnsi="仿宋" w:eastAsia="仿宋" w:cs="仿宋"/>
          <w:b w:val="0"/>
          <w:bCs w:val="0"/>
          <w:color w:val="auto"/>
          <w:sz w:val="24"/>
          <w:highlight w:val="none"/>
        </w:rPr>
        <w:t>14.1资格性投标文件用于资格审查，应包括投标人响应招标文件要求的资格条件的所有证明材料。</w:t>
      </w:r>
      <w:r>
        <w:rPr>
          <w:rFonts w:hint="eastAsia" w:ascii="仿宋" w:hAnsi="仿宋" w:eastAsia="仿宋" w:cs="仿宋"/>
          <w:color w:val="auto"/>
          <w:sz w:val="24"/>
          <w:highlight w:val="none"/>
        </w:rPr>
        <w:t>（详见招标文件第4章、第5章）</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14.2其他投标文件用于符合性审查和综合评审，应包括投标人响应招标文件要求的资格条件以外的所有材料</w:t>
      </w:r>
      <w:r>
        <w:rPr>
          <w:rFonts w:hint="eastAsia" w:ascii="仿宋" w:hAnsi="仿宋" w:eastAsia="仿宋" w:cs="仿宋"/>
          <w:color w:val="auto"/>
          <w:sz w:val="24"/>
          <w:highlight w:val="none"/>
        </w:rPr>
        <w:t>（详见招标文件第3章）</w:t>
      </w:r>
      <w:r>
        <w:rPr>
          <w:rFonts w:hint="eastAsia" w:ascii="仿宋" w:hAnsi="仿宋" w:eastAsia="仿宋" w:cs="仿宋"/>
          <w:b w:val="0"/>
          <w:bCs w:val="0"/>
          <w:color w:val="auto"/>
          <w:sz w:val="24"/>
          <w:highlight w:val="none"/>
        </w:rPr>
        <w:t>，包括但不限于下列部分：</w:t>
      </w:r>
    </w:p>
    <w:p>
      <w:pPr>
        <w:pStyle w:val="5"/>
        <w:keepNext w:val="0"/>
        <w:keepLines w:val="0"/>
        <w:spacing w:before="0" w:after="160" w:line="360" w:lineRule="auto"/>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（1）投标函 </w:t>
      </w:r>
    </w:p>
    <w:p>
      <w:pPr>
        <w:pStyle w:val="5"/>
        <w:keepNext w:val="0"/>
        <w:keepLines w:val="0"/>
        <w:spacing w:before="0" w:after="160" w:line="360" w:lineRule="auto"/>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（2）服务应答表 </w:t>
      </w:r>
    </w:p>
    <w:p>
      <w:pPr>
        <w:pStyle w:val="5"/>
        <w:keepNext w:val="0"/>
        <w:keepLines w:val="0"/>
        <w:spacing w:before="0" w:after="160" w:line="360" w:lineRule="auto"/>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（3）商务应答表 </w:t>
      </w:r>
    </w:p>
    <w:p>
      <w:pPr>
        <w:pStyle w:val="5"/>
        <w:keepNext w:val="0"/>
        <w:keepLines w:val="0"/>
        <w:spacing w:before="0" w:after="160" w:line="360" w:lineRule="auto"/>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（4）投标人基本情况表 </w:t>
      </w:r>
    </w:p>
    <w:p>
      <w:pPr>
        <w:pStyle w:val="5"/>
        <w:keepNext w:val="0"/>
        <w:keepLines w:val="0"/>
        <w:spacing w:before="0" w:after="160" w:line="360" w:lineRule="auto"/>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（5）实施本项目的主要人员情况表 </w:t>
      </w:r>
    </w:p>
    <w:p>
      <w:pPr>
        <w:pStyle w:val="5"/>
        <w:keepNext w:val="0"/>
        <w:keepLines w:val="0"/>
        <w:spacing w:before="0" w:after="160" w:line="360" w:lineRule="auto"/>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（6）项目实施方案 </w:t>
      </w:r>
    </w:p>
    <w:p>
      <w:pPr>
        <w:pStyle w:val="5"/>
        <w:keepNext w:val="0"/>
        <w:keepLines w:val="0"/>
        <w:spacing w:before="0" w:after="160" w:line="360" w:lineRule="auto"/>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（7）中小企业声明函 </w:t>
      </w:r>
    </w:p>
    <w:p>
      <w:pPr>
        <w:pStyle w:val="5"/>
        <w:keepNext w:val="0"/>
        <w:keepLines w:val="0"/>
        <w:spacing w:before="0" w:after="160" w:line="360" w:lineRule="auto"/>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（8）监狱企业证明材料    </w:t>
      </w:r>
    </w:p>
    <w:p>
      <w:pPr>
        <w:pStyle w:val="5"/>
        <w:keepNext w:val="0"/>
        <w:keepLines w:val="0"/>
        <w:spacing w:before="0" w:after="160" w:line="360" w:lineRule="auto"/>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（9）残疾人福利性单位声明函 </w:t>
      </w:r>
    </w:p>
    <w:p>
      <w:pPr>
        <w:pStyle w:val="5"/>
        <w:keepNext w:val="0"/>
        <w:keepLines w:val="0"/>
        <w:spacing w:before="0" w:after="160" w:line="360" w:lineRule="auto"/>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（10）知识产权承诺函 </w:t>
      </w:r>
    </w:p>
    <w:p>
      <w:pPr>
        <w:pStyle w:val="5"/>
        <w:keepNext w:val="0"/>
        <w:keepLines w:val="0"/>
        <w:spacing w:before="0" w:after="160" w:line="360" w:lineRule="auto"/>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（11）投标人认为需要提供的其他文件和资料</w:t>
      </w:r>
    </w:p>
    <w:p>
      <w:pPr>
        <w:pStyle w:val="5"/>
        <w:keepNext w:val="0"/>
        <w:keepLines w:val="0"/>
        <w:spacing w:before="0" w:after="160" w:line="360" w:lineRule="auto"/>
        <w:ind w:firstLine="482"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14.3开标一览表 </w:t>
      </w:r>
    </w:p>
    <w:p>
      <w:pPr>
        <w:pStyle w:val="5"/>
        <w:keepNext w:val="0"/>
        <w:keepLines w:val="0"/>
        <w:spacing w:before="0" w:after="160" w:line="360" w:lineRule="auto"/>
        <w:ind w:firstLine="482"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15．投标文件格式</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15.1 投标人应执行招标文件第三章的规定要求。</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15.2 对于没有格式要求的投标文件由投标人自行编写。</w:t>
      </w:r>
    </w:p>
    <w:p>
      <w:pPr>
        <w:pStyle w:val="5"/>
        <w:keepNext w:val="0"/>
        <w:keepLines w:val="0"/>
        <w:spacing w:before="0" w:after="160" w:line="360" w:lineRule="auto"/>
        <w:ind w:firstLine="482" w:firstLineChars="200"/>
        <w:rPr>
          <w:rFonts w:ascii="仿宋" w:hAnsi="仿宋" w:eastAsia="仿宋" w:cs="仿宋"/>
          <w:bCs w:val="0"/>
          <w:color w:val="auto"/>
          <w:sz w:val="24"/>
          <w:highlight w:val="none"/>
        </w:rPr>
      </w:pPr>
      <w:r>
        <w:rPr>
          <w:rFonts w:hint="eastAsia" w:ascii="仿宋" w:hAnsi="仿宋" w:eastAsia="仿宋" w:cs="仿宋"/>
          <w:bCs w:val="0"/>
          <w:color w:val="auto"/>
          <w:sz w:val="24"/>
          <w:highlight w:val="none"/>
        </w:rPr>
        <w:t>16．投标保证金（实质性要求）</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本项目不收取投标保证金。</w:t>
      </w:r>
    </w:p>
    <w:p>
      <w:pPr>
        <w:pStyle w:val="5"/>
        <w:keepNext w:val="0"/>
        <w:keepLines w:val="0"/>
        <w:spacing w:before="0" w:after="160" w:line="360" w:lineRule="auto"/>
        <w:ind w:firstLine="482" w:firstLineChars="200"/>
        <w:rPr>
          <w:rFonts w:ascii="仿宋" w:hAnsi="仿宋" w:eastAsia="仿宋" w:cs="仿宋"/>
          <w:bCs w:val="0"/>
          <w:color w:val="auto"/>
          <w:sz w:val="24"/>
          <w:highlight w:val="none"/>
        </w:rPr>
      </w:pPr>
      <w:r>
        <w:rPr>
          <w:rFonts w:hint="eastAsia" w:ascii="仿宋" w:hAnsi="仿宋" w:eastAsia="仿宋" w:cs="仿宋"/>
          <w:bCs w:val="0"/>
          <w:color w:val="auto"/>
          <w:sz w:val="24"/>
          <w:highlight w:val="none"/>
        </w:rPr>
        <w:t>17．投标有效期（实质性要求）</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17.1投标有效期从提交投标文件的截止之日起计算。</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17.2 本项目投标有效期为提交投标文件的截止之日起90 天。投标人投标文件中必须载明投标有效期，投标文件中载明的投标有效期可以长于招标文件规定的期限，但不得短于招标文件规定的期限。否则，其投标文件将作为无效投标处理。</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 17.3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17.4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keepNext w:val="0"/>
        <w:keepLines w:val="0"/>
        <w:spacing w:before="0" w:after="160" w:line="360" w:lineRule="auto"/>
        <w:ind w:firstLine="482" w:firstLineChars="200"/>
        <w:rPr>
          <w:rFonts w:ascii="仿宋" w:hAnsi="仿宋" w:eastAsia="仿宋" w:cs="仿宋"/>
          <w:bCs w:val="0"/>
          <w:color w:val="auto"/>
          <w:sz w:val="24"/>
          <w:highlight w:val="none"/>
        </w:rPr>
      </w:pPr>
      <w:r>
        <w:rPr>
          <w:rFonts w:hint="eastAsia" w:ascii="仿宋" w:hAnsi="仿宋" w:eastAsia="仿宋" w:cs="仿宋"/>
          <w:bCs w:val="0"/>
          <w:color w:val="auto"/>
          <w:sz w:val="24"/>
          <w:highlight w:val="none"/>
        </w:rPr>
        <w:t>18．投标文件的制作和签章、加密</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18.1本项目实行电子投标。投标人应先安装“政采云投标客户端”。（政府采购云平台—CA管理—绑定CA—下载驱动—“政采云投标客户端”立即下载）。投标人应按招标文件要求，通过“政采云投标客户端”制作、确认、加密并提交投标文件</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18.2 资格性投标文件、其他响应性投标文件封面均应加盖投标人（法定名称）电子印章确认，不得使用投标人专用章（如经济合同章、投标专用章等）或下属单位印章代替。（实质性要求）</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18.3 投标人应使用CA数字证书对投标文件进行加密。</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18.4 招标文件若有修改，投标人根据修改后的招标文件制作或修改并递交投标文件。</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18.5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18.6本次招标要求的复印件是指对图文进行复制后的文件，包括扫描、复印、影印等方式复制的材料。</w:t>
      </w:r>
    </w:p>
    <w:p>
      <w:pPr>
        <w:pStyle w:val="5"/>
        <w:keepNext w:val="0"/>
        <w:keepLines w:val="0"/>
        <w:spacing w:before="0" w:after="160" w:line="360" w:lineRule="auto"/>
        <w:ind w:firstLine="482" w:firstLineChars="200"/>
        <w:rPr>
          <w:rFonts w:ascii="仿宋" w:hAnsi="仿宋" w:eastAsia="仿宋" w:cs="仿宋"/>
          <w:bCs w:val="0"/>
          <w:color w:val="auto"/>
          <w:sz w:val="24"/>
          <w:highlight w:val="none"/>
        </w:rPr>
      </w:pPr>
      <w:r>
        <w:rPr>
          <w:rFonts w:hint="eastAsia" w:ascii="仿宋" w:hAnsi="仿宋" w:eastAsia="仿宋" w:cs="仿宋"/>
          <w:bCs w:val="0"/>
          <w:color w:val="auto"/>
          <w:sz w:val="24"/>
          <w:highlight w:val="none"/>
        </w:rPr>
        <w:t>19.投标文件的递交</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19.1投标人应当在投标文件递交截止时间前，将编制完成并且已加密的电子投标文件成功递交至“政府采购云平台”。</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19.2投标人应充分考虑递交文件的不可预见因素，在投标截止时间后将无法递交。</w:t>
      </w:r>
    </w:p>
    <w:p>
      <w:pPr>
        <w:pStyle w:val="5"/>
        <w:keepNext w:val="0"/>
        <w:keepLines w:val="0"/>
        <w:spacing w:before="0" w:after="160" w:line="360" w:lineRule="auto"/>
        <w:ind w:firstLine="482" w:firstLineChars="200"/>
        <w:rPr>
          <w:rFonts w:ascii="仿宋" w:hAnsi="仿宋" w:eastAsia="仿宋" w:cs="仿宋"/>
          <w:bCs w:val="0"/>
          <w:color w:val="auto"/>
          <w:sz w:val="24"/>
          <w:highlight w:val="none"/>
        </w:rPr>
      </w:pPr>
      <w:r>
        <w:rPr>
          <w:rFonts w:hint="eastAsia" w:ascii="仿宋" w:hAnsi="仿宋" w:eastAsia="仿宋" w:cs="仿宋"/>
          <w:bCs w:val="0"/>
          <w:color w:val="auto"/>
          <w:sz w:val="24"/>
          <w:highlight w:val="none"/>
        </w:rPr>
        <w:t>20．投标文件的修改和撤回</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20.1 投标截止时间前，投标人可对已递交的投标文件进行补充、修改或撤回。补充或者修改投标文件的，应当先行撤回已递交的投标文件，在“政采云投标客户端”补充、修改投标文件并加密后重新递交。撤回投标文件进行补充、修改，在投标截止时间前未重新递交的，视为撤回投标文件。</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20.2投标截止时间后，投标人不得对其递交的投标文件做任何补充、修改。</w:t>
      </w:r>
    </w:p>
    <w:p>
      <w:pPr>
        <w:pStyle w:val="5"/>
        <w:keepNext w:val="0"/>
        <w:keepLines w:val="0"/>
        <w:spacing w:before="0" w:after="160" w:line="360" w:lineRule="auto"/>
        <w:ind w:firstLine="482" w:firstLineChars="200"/>
        <w:rPr>
          <w:rFonts w:ascii="仿宋" w:hAnsi="仿宋" w:eastAsia="仿宋" w:cs="仿宋"/>
          <w:bCs w:val="0"/>
          <w:color w:val="auto"/>
          <w:sz w:val="24"/>
          <w:highlight w:val="none"/>
        </w:rPr>
      </w:pPr>
      <w:r>
        <w:rPr>
          <w:rFonts w:hint="eastAsia" w:ascii="仿宋" w:hAnsi="仿宋" w:eastAsia="仿宋" w:cs="仿宋"/>
          <w:bCs w:val="0"/>
          <w:color w:val="auto"/>
          <w:sz w:val="24"/>
          <w:highlight w:val="none"/>
        </w:rPr>
        <w:t>21.投标文件的解密</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投标人登录政府采购云平台，点击“项目采购—开标评标”模块，进入本项目“开标大厅”，等待代理机构开启解密后，进行线上解密。除因系统发生故障（包括组织场所停电、断网等）导致投标文件无法按时解密外，投标文件未按时解密的作为无效投标处理。</w:t>
      </w:r>
    </w:p>
    <w:p>
      <w:pPr>
        <w:pStyle w:val="5"/>
        <w:keepNext w:val="0"/>
        <w:keepLines w:val="0"/>
        <w:spacing w:before="0" w:after="160" w:line="360" w:lineRule="auto"/>
        <w:ind w:firstLine="482" w:firstLineChars="200"/>
        <w:jc w:val="center"/>
        <w:rPr>
          <w:rFonts w:ascii="仿宋" w:hAnsi="仿宋" w:eastAsia="仿宋" w:cs="仿宋"/>
          <w:bCs w:val="0"/>
          <w:color w:val="auto"/>
          <w:sz w:val="24"/>
          <w:highlight w:val="none"/>
        </w:rPr>
      </w:pPr>
      <w:r>
        <w:rPr>
          <w:rFonts w:hint="eastAsia" w:ascii="仿宋" w:hAnsi="仿宋" w:eastAsia="仿宋" w:cs="仿宋"/>
          <w:bCs w:val="0"/>
          <w:color w:val="auto"/>
          <w:sz w:val="24"/>
          <w:highlight w:val="none"/>
        </w:rPr>
        <w:t>五、开标和中标</w:t>
      </w:r>
    </w:p>
    <w:p>
      <w:pPr>
        <w:pStyle w:val="5"/>
        <w:keepNext w:val="0"/>
        <w:keepLines w:val="0"/>
        <w:spacing w:before="0" w:after="160" w:line="360" w:lineRule="auto"/>
        <w:ind w:firstLine="482" w:firstLineChars="200"/>
        <w:rPr>
          <w:rFonts w:ascii="仿宋" w:hAnsi="仿宋" w:eastAsia="仿宋" w:cs="仿宋"/>
          <w:bCs w:val="0"/>
          <w:color w:val="auto"/>
          <w:sz w:val="24"/>
          <w:highlight w:val="none"/>
        </w:rPr>
      </w:pPr>
      <w:r>
        <w:rPr>
          <w:rFonts w:hint="eastAsia" w:ascii="仿宋" w:hAnsi="仿宋" w:eastAsia="仿宋" w:cs="仿宋"/>
          <w:bCs w:val="0"/>
          <w:color w:val="auto"/>
          <w:sz w:val="24"/>
          <w:highlight w:val="none"/>
        </w:rPr>
        <w:t>22．开标</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本项目为不见面开标项目。（递交电子投标文件的投标人不足3家的，不予开标。）</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22.2开标准备工作。投标人需在开标当日、投标截止时间前登录“政府采购云平台”，通过本项目“开标大厅”参与不见面开标。登录政府采购云平台—项目采购—开标评标—开标大厅（确保进入本项目开标大厅）。</w:t>
      </w:r>
    </w:p>
    <w:p>
      <w:pPr>
        <w:pStyle w:val="5"/>
        <w:keepNext w:val="0"/>
        <w:keepLines w:val="0"/>
        <w:spacing w:before="0" w:after="160" w:line="360" w:lineRule="auto"/>
        <w:ind w:firstLine="482" w:firstLineChars="200"/>
        <w:rPr>
          <w:rFonts w:ascii="仿宋" w:hAnsi="仿宋" w:eastAsia="仿宋" w:cs="仿宋"/>
          <w:color w:val="auto"/>
          <w:sz w:val="24"/>
          <w:highlight w:val="none"/>
        </w:rPr>
      </w:pPr>
      <w:r>
        <w:rPr>
          <w:rFonts w:hint="eastAsia" w:ascii="仿宋" w:hAnsi="仿宋" w:eastAsia="仿宋" w:cs="仿宋"/>
          <w:color w:val="auto"/>
          <w:sz w:val="24"/>
          <w:highlight w:val="none"/>
        </w:rPr>
        <w:t>提示：投标人未按时登录不见面开标系统，错过开标解密时间的，由投标人自行承担不利后果。</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22.3解密投标文件。等待代理机构开启解密后，投标人进行线上解密。开启解密后，投标人应在</w:t>
      </w:r>
      <w:r>
        <w:rPr>
          <w:rFonts w:hint="eastAsia" w:ascii="仿宋" w:hAnsi="仿宋" w:eastAsia="仿宋" w:cs="仿宋"/>
          <w:color w:val="auto"/>
          <w:sz w:val="24"/>
          <w:highlight w:val="none"/>
        </w:rPr>
        <w:t>60分钟内</w:t>
      </w:r>
      <w:r>
        <w:rPr>
          <w:rFonts w:hint="eastAsia" w:ascii="仿宋" w:hAnsi="仿宋" w:eastAsia="仿宋" w:cs="仿宋"/>
          <w:b w:val="0"/>
          <w:bCs w:val="0"/>
          <w:color w:val="auto"/>
          <w:sz w:val="24"/>
          <w:highlight w:val="none"/>
        </w:rPr>
        <w:t>，使用加密该投标文件的CA数字证书在线完成投标文件的解密。除因系统故障</w:t>
      </w:r>
      <w:r>
        <w:rPr>
          <w:rFonts w:hint="eastAsia" w:ascii="仿宋" w:hAnsi="仿宋" w:eastAsia="仿宋" w:cs="仿宋"/>
          <w:b w:val="0"/>
          <w:bCs w:val="0"/>
          <w:color w:val="auto"/>
          <w:sz w:val="24"/>
          <w:highlight w:val="none"/>
          <w:lang w:val="zh-CN"/>
        </w:rPr>
        <w:t>（</w:t>
      </w:r>
      <w:r>
        <w:rPr>
          <w:rFonts w:hint="eastAsia" w:ascii="仿宋" w:hAnsi="仿宋" w:eastAsia="仿宋" w:cs="仿宋"/>
          <w:b w:val="0"/>
          <w:bCs w:val="0"/>
          <w:color w:val="auto"/>
          <w:sz w:val="24"/>
          <w:highlight w:val="none"/>
        </w:rPr>
        <w:t>包括组织场所停电、断网等）导致系统无法使用外，投标人在规定的解密时间内，未成功解密的投标文件将视为无效投标文件。</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22.4确认开标记录。解密时间截止或者所有投标人投标文件均完成解密后（以发生在先的时间为准），由“政府采购云平台”系统展示投标人名称、投标文件解密情况、投标报价等唱标内容。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cs="仿宋"/>
          <w:color w:val="auto"/>
          <w:sz w:val="24"/>
          <w:highlight w:val="none"/>
        </w:rPr>
        <w:t>如成功解密投标文件的投标人不足三家的，则只展示投标人名称、投标文件解密情况。投标人对开标记录（包含解密情况、投标报价、其他情况等）在规定时间内确认，如未确认，视为认可开标记录。</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22.5投标人电脑终端等硬件设备和软件系统配置：投标人电脑终端等硬件设备和软件系统配置应符合电子投标（含不见面开标大厅）投标人电脑终端配置要求并运行正常，投标人承担因未尽职责产生的不利后果。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22.6因组织场所断电、断网、系统故障或其他不可抗力等因素导致不见面开标系统无法正常运行的，开标活动中止或延迟，待系统恢复正常后继续进行开标活动。</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22.7不见面开标过程中，各方主体均应遵守互联网有关规定，不得发表与交易活动无关的言论。</w:t>
      </w:r>
    </w:p>
    <w:p>
      <w:pPr>
        <w:pStyle w:val="5"/>
        <w:keepNext w:val="0"/>
        <w:keepLines w:val="0"/>
        <w:spacing w:before="0" w:after="160" w:line="360" w:lineRule="auto"/>
        <w:ind w:firstLine="482" w:firstLineChars="200"/>
        <w:rPr>
          <w:rFonts w:ascii="仿宋" w:hAnsi="仿宋" w:eastAsia="仿宋" w:cs="仿宋"/>
          <w:bCs w:val="0"/>
          <w:color w:val="auto"/>
          <w:sz w:val="24"/>
          <w:highlight w:val="none"/>
        </w:rPr>
      </w:pPr>
      <w:r>
        <w:rPr>
          <w:rFonts w:hint="eastAsia" w:ascii="仿宋" w:hAnsi="仿宋" w:eastAsia="仿宋" w:cs="仿宋"/>
          <w:bCs w:val="0"/>
          <w:color w:val="auto"/>
          <w:sz w:val="24"/>
          <w:highlight w:val="none"/>
        </w:rPr>
        <w:t>23. 开评标过程存档</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开标和评标过程进行全过程电子监控，并将电子监控资料存储介质留存归档。</w:t>
      </w:r>
    </w:p>
    <w:p>
      <w:pPr>
        <w:pStyle w:val="5"/>
        <w:keepNext w:val="0"/>
        <w:keepLines w:val="0"/>
        <w:spacing w:before="0" w:after="160" w:line="360" w:lineRule="auto"/>
        <w:ind w:firstLine="482" w:firstLineChars="200"/>
        <w:rPr>
          <w:rFonts w:ascii="仿宋" w:hAnsi="仿宋" w:eastAsia="仿宋" w:cs="仿宋"/>
          <w:bCs w:val="0"/>
          <w:color w:val="auto"/>
          <w:sz w:val="24"/>
          <w:highlight w:val="none"/>
        </w:rPr>
      </w:pPr>
      <w:r>
        <w:rPr>
          <w:rFonts w:hint="eastAsia" w:ascii="仿宋" w:hAnsi="仿宋" w:eastAsia="仿宋" w:cs="仿宋"/>
          <w:bCs w:val="0"/>
          <w:color w:val="auto"/>
          <w:sz w:val="24"/>
          <w:highlight w:val="none"/>
        </w:rPr>
        <w:t>24.评标情况公告</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所有供应商投标文件资格性、符合性检查情况、采用综合评分法时的总得分和分项汇总得分情况、评标结果等将在四川政府采购网上采购结果公告栏中予以公告。</w:t>
      </w:r>
    </w:p>
    <w:p>
      <w:pPr>
        <w:pStyle w:val="5"/>
        <w:keepNext w:val="0"/>
        <w:keepLines w:val="0"/>
        <w:spacing w:before="0" w:after="160" w:line="360" w:lineRule="auto"/>
        <w:ind w:firstLine="482"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25.采购人确定中标人过程中，发现中标候选人有下列情形之一的，应当不予确定其为中标人：</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（1）发现中标候选人存在禁止参加本项目采购活动的违法行为的；</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（2）中标候选人因不可抗力，不能继续参加政府采购活动；</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（3）中标候选人无偿赠与或者低于成本价竞争；</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（4）中标候选人提供虚假材料；</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（5）中标候选人恶意串通。</w:t>
      </w:r>
    </w:p>
    <w:p>
      <w:pPr>
        <w:pStyle w:val="5"/>
        <w:keepNext w:val="0"/>
        <w:keepLines w:val="0"/>
        <w:spacing w:before="0" w:after="160" w:line="360" w:lineRule="auto"/>
        <w:ind w:firstLine="482"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26.中标通知书</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26.1 中标通知书为签订政府采购合同的依据之一，是合同的有效组成部分。</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26.2 中标通知书对采购人和中标人均具有法律效力。中标通知书发出后，采购人改变中标结果，或者中标人无正当理由放弃中标的，应当承担相应的法律责任。</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26．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26.4</w:t>
      </w:r>
      <w:r>
        <w:rPr>
          <w:rFonts w:hint="eastAsia" w:ascii="仿宋" w:hAnsi="仿宋" w:eastAsia="仿宋" w:cs="仿宋"/>
          <w:b w:val="0"/>
          <w:bCs w:val="0"/>
          <w:color w:val="auto"/>
          <w:sz w:val="24"/>
          <w:highlight w:val="none"/>
          <w:lang w:val="zh-CN"/>
        </w:rPr>
        <w:t>在四川政府采购网公告中标结果同时发出中标通知书，中标供应商自行登录政府采购云平台下载中标通知书。</w:t>
      </w:r>
    </w:p>
    <w:p>
      <w:pPr>
        <w:pStyle w:val="5"/>
        <w:keepNext w:val="0"/>
        <w:keepLines w:val="0"/>
        <w:spacing w:before="0" w:after="160" w:line="360" w:lineRule="auto"/>
        <w:ind w:firstLine="482" w:firstLineChars="200"/>
        <w:jc w:val="center"/>
        <w:rPr>
          <w:rFonts w:ascii="仿宋" w:hAnsi="仿宋" w:eastAsia="仿宋" w:cs="仿宋"/>
          <w:bCs w:val="0"/>
          <w:color w:val="auto"/>
          <w:sz w:val="24"/>
          <w:highlight w:val="none"/>
        </w:rPr>
      </w:pPr>
      <w:r>
        <w:rPr>
          <w:rFonts w:hint="eastAsia" w:ascii="仿宋" w:hAnsi="仿宋" w:eastAsia="仿宋" w:cs="仿宋"/>
          <w:bCs w:val="0"/>
          <w:color w:val="auto"/>
          <w:sz w:val="24"/>
          <w:highlight w:val="none"/>
        </w:rPr>
        <w:t>六、签订及履行合同和验收</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27. 签订合同</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27.1 中标人应在中标通知书发出之日起三十日内与采购人签订采购合同。由于中标人的原因逾期未与采购人签订采购合同的，将视为放弃中标，取消其中标资格并将按相关规定进行处理。</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27.2 采购人不得向中标人提出任何不合理的要求，作为签订合同的条件，不得与中标人私下订立背离合同实质性内容的任何协议，所签订的合同不得对招标文件和中标人投标文件确定的事项进行修改。</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27.3 中标人因不可抗力原因不能履行采购合同或放弃中标的，采购人可以与排在中标人之后第一位的中标候选人签订采购合同，以此类推。</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27.4 中标人在合同签订之后两个工作日内，将签订的合同（一份）送四川好特建设工程有限公司进行合同编号。(联系人，联系电话等详见投标人须知前附表)</w:t>
      </w:r>
    </w:p>
    <w:p>
      <w:pPr>
        <w:pStyle w:val="5"/>
        <w:keepNext w:val="0"/>
        <w:keepLines w:val="0"/>
        <w:spacing w:before="0" w:after="160" w:line="360" w:lineRule="auto"/>
        <w:ind w:firstLine="482" w:firstLineChars="200"/>
        <w:rPr>
          <w:rFonts w:ascii="仿宋" w:hAnsi="仿宋" w:eastAsia="仿宋" w:cs="仿宋"/>
          <w:b w:val="0"/>
          <w:bCs w:val="0"/>
          <w:color w:val="auto"/>
          <w:sz w:val="24"/>
          <w:highlight w:val="none"/>
        </w:rPr>
      </w:pPr>
      <w:r>
        <w:rPr>
          <w:rFonts w:hint="eastAsia" w:ascii="仿宋" w:hAnsi="仿宋" w:eastAsia="仿宋" w:cs="仿宋"/>
          <w:bCs w:val="0"/>
          <w:color w:val="auto"/>
          <w:sz w:val="24"/>
          <w:highlight w:val="none"/>
        </w:rPr>
        <w:t>28. 合同分包（实质性要求）</w:t>
      </w:r>
    </w:p>
    <w:p>
      <w:pPr>
        <w:pStyle w:val="5"/>
        <w:keepNext w:val="0"/>
        <w:keepLines w:val="0"/>
        <w:spacing w:before="0" w:after="160" w:line="360" w:lineRule="auto"/>
        <w:ind w:firstLine="482" w:firstLineChars="200"/>
        <w:rPr>
          <w:rFonts w:ascii="仿宋" w:hAnsi="仿宋" w:eastAsia="仿宋" w:cs="仿宋"/>
          <w:color w:val="auto"/>
          <w:highlight w:val="none"/>
        </w:rPr>
      </w:pPr>
      <w:r>
        <w:rPr>
          <w:rFonts w:hint="eastAsia" w:ascii="仿宋" w:hAnsi="仿宋" w:eastAsia="仿宋" w:cs="仿宋"/>
          <w:color w:val="auto"/>
          <w:sz w:val="24"/>
          <w:highlight w:val="none"/>
        </w:rPr>
        <w:t>本项目不允许分包。</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28.1 经采购人同意，中标人可以依法采取分包方式履行合同。这种要求应当在合同签订之前征得采购人同意，并且分包投标人履行的分包项目的品牌、规格型号及技术要求等，必须与中标的一致。</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分包履行合同的部分应当为采购项目的非主体、非关键性工作，不属于中标人的主要合同义务。</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28.2 采购合同实行分包履行的，中标人就采购项目和分包项目向采购人负责，分包投标人就分包项目承担责任。</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28.3 中小企业、监狱企业和残疾人企业依据相关规定的政策获取政府采购合同后，小型、微型企业不得分包或转包给大型、中型企业，中型企业不得分包或转包给大型企业。监狱企业或残疾人企业不得分包或转包非监狱企业或残疾人企业。</w:t>
      </w:r>
    </w:p>
    <w:p>
      <w:pPr>
        <w:pStyle w:val="5"/>
        <w:keepNext w:val="0"/>
        <w:keepLines w:val="0"/>
        <w:spacing w:before="0" w:after="160" w:line="360" w:lineRule="auto"/>
        <w:ind w:firstLine="482" w:firstLineChars="200"/>
        <w:rPr>
          <w:rFonts w:ascii="仿宋" w:hAnsi="仿宋" w:eastAsia="仿宋" w:cs="仿宋"/>
          <w:bCs w:val="0"/>
          <w:color w:val="auto"/>
          <w:sz w:val="24"/>
          <w:highlight w:val="none"/>
        </w:rPr>
      </w:pPr>
      <w:r>
        <w:rPr>
          <w:rFonts w:hint="eastAsia" w:ascii="仿宋" w:hAnsi="仿宋" w:eastAsia="仿宋" w:cs="仿宋"/>
          <w:bCs w:val="0"/>
          <w:color w:val="auto"/>
          <w:sz w:val="24"/>
          <w:highlight w:val="none"/>
        </w:rPr>
        <w:t>29.合同转包（实质性要求）</w:t>
      </w:r>
    </w:p>
    <w:p>
      <w:pPr>
        <w:pStyle w:val="5"/>
        <w:keepNext w:val="0"/>
        <w:keepLines w:val="0"/>
        <w:spacing w:before="0" w:after="160" w:line="360" w:lineRule="auto"/>
        <w:ind w:firstLine="482"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本项目不允许转包。</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中标人转包的，视同拒绝履行政府采购合同义务，将依法追究法律责任。</w:t>
      </w:r>
    </w:p>
    <w:p>
      <w:pPr>
        <w:pStyle w:val="5"/>
        <w:keepNext w:val="0"/>
        <w:keepLines w:val="0"/>
        <w:spacing w:before="0" w:after="160" w:line="360" w:lineRule="auto"/>
        <w:ind w:firstLine="482" w:firstLineChars="200"/>
        <w:rPr>
          <w:rFonts w:ascii="仿宋" w:hAnsi="仿宋" w:eastAsia="仿宋" w:cs="仿宋"/>
          <w:bCs w:val="0"/>
          <w:color w:val="auto"/>
          <w:sz w:val="24"/>
          <w:highlight w:val="none"/>
        </w:rPr>
      </w:pPr>
      <w:r>
        <w:rPr>
          <w:rFonts w:hint="eastAsia" w:ascii="仿宋" w:hAnsi="仿宋" w:eastAsia="仿宋" w:cs="仿宋"/>
          <w:bCs w:val="0"/>
          <w:color w:val="auto"/>
          <w:sz w:val="24"/>
          <w:highlight w:val="none"/>
        </w:rPr>
        <w:t>30. 补充合同</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采购合同履行过程中，采购人需要追加与合同标的相同的货物或者服务的，在不改变合同其他条款的前提下，可以与中标投标人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keepNext w:val="0"/>
        <w:keepLines w:val="0"/>
        <w:spacing w:before="0" w:after="160" w:line="360" w:lineRule="auto"/>
        <w:ind w:firstLine="482" w:firstLineChars="200"/>
        <w:rPr>
          <w:rFonts w:ascii="仿宋" w:hAnsi="仿宋" w:eastAsia="仿宋" w:cs="仿宋"/>
          <w:bCs w:val="0"/>
          <w:color w:val="auto"/>
          <w:sz w:val="24"/>
          <w:highlight w:val="none"/>
        </w:rPr>
      </w:pPr>
      <w:r>
        <w:rPr>
          <w:rFonts w:hint="eastAsia" w:ascii="仿宋" w:hAnsi="仿宋" w:eastAsia="仿宋" w:cs="仿宋"/>
          <w:bCs w:val="0"/>
          <w:color w:val="auto"/>
          <w:sz w:val="24"/>
          <w:highlight w:val="none"/>
        </w:rPr>
        <w:t>31. 履约保证金（实质性要求）</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本项目不收取履约保证金。</w:t>
      </w:r>
    </w:p>
    <w:p>
      <w:pPr>
        <w:pStyle w:val="5"/>
        <w:keepNext w:val="0"/>
        <w:keepLines w:val="0"/>
        <w:spacing w:before="0" w:after="160" w:line="360" w:lineRule="auto"/>
        <w:ind w:firstLine="482" w:firstLineChars="200"/>
        <w:rPr>
          <w:rFonts w:ascii="仿宋" w:hAnsi="仿宋" w:eastAsia="仿宋" w:cs="仿宋"/>
          <w:bCs w:val="0"/>
          <w:color w:val="auto"/>
          <w:sz w:val="24"/>
          <w:highlight w:val="none"/>
        </w:rPr>
      </w:pPr>
      <w:r>
        <w:rPr>
          <w:rFonts w:hint="eastAsia" w:ascii="仿宋" w:hAnsi="仿宋" w:eastAsia="仿宋" w:cs="仿宋"/>
          <w:bCs w:val="0"/>
          <w:color w:val="auto"/>
          <w:sz w:val="24"/>
          <w:highlight w:val="none"/>
        </w:rPr>
        <w:t>32.合同公告</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采购人应当自政府采购合同签订（双方当事人均已签字盖章）之日起2个工作日内，将政府采购合同在四川省政府采购网上公告，但政府采购合同中涉及国家秘密、商业秘密的内容除外。</w:t>
      </w:r>
    </w:p>
    <w:p>
      <w:pPr>
        <w:pStyle w:val="5"/>
        <w:keepNext w:val="0"/>
        <w:keepLines w:val="0"/>
        <w:spacing w:before="0" w:after="160" w:line="360" w:lineRule="auto"/>
        <w:ind w:firstLine="482"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33.合同备案</w:t>
      </w:r>
    </w:p>
    <w:p>
      <w:pPr>
        <w:pStyle w:val="5"/>
        <w:keepNext w:val="0"/>
        <w:keepLines w:val="0"/>
        <w:spacing w:before="0" w:after="160" w:line="360" w:lineRule="auto"/>
        <w:ind w:firstLine="480" w:firstLineChars="200"/>
        <w:rPr>
          <w:color w:val="auto"/>
          <w:highlight w:val="none"/>
        </w:rPr>
      </w:pPr>
      <w:r>
        <w:rPr>
          <w:rFonts w:hint="eastAsia" w:ascii="仿宋" w:hAnsi="仿宋" w:eastAsia="仿宋" w:cs="仿宋"/>
          <w:b w:val="0"/>
          <w:bCs w:val="0"/>
          <w:color w:val="auto"/>
          <w:sz w:val="24"/>
          <w:highlight w:val="none"/>
        </w:rPr>
        <w:t>采购人应当将政府采购合同副本自签订之日起七个工作日内通过四川政府采购网报同级财政部门备案。</w:t>
      </w:r>
    </w:p>
    <w:p>
      <w:pPr>
        <w:pStyle w:val="5"/>
        <w:keepNext w:val="0"/>
        <w:keepLines w:val="0"/>
        <w:spacing w:before="0" w:after="160" w:line="360" w:lineRule="auto"/>
        <w:ind w:firstLine="482" w:firstLineChars="200"/>
        <w:rPr>
          <w:rFonts w:ascii="仿宋" w:hAnsi="仿宋" w:eastAsia="仿宋" w:cs="仿宋"/>
          <w:bCs w:val="0"/>
          <w:color w:val="auto"/>
          <w:sz w:val="24"/>
          <w:highlight w:val="none"/>
        </w:rPr>
      </w:pPr>
      <w:r>
        <w:rPr>
          <w:rFonts w:hint="eastAsia" w:ascii="仿宋" w:hAnsi="仿宋" w:eastAsia="仿宋" w:cs="仿宋"/>
          <w:bCs w:val="0"/>
          <w:color w:val="auto"/>
          <w:sz w:val="24"/>
          <w:highlight w:val="none"/>
        </w:rPr>
        <w:t>34. 履行合同</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34.1 中标人与采购人签订合同后，合同双方应严格执行合同条款，履行合同规定的义务，保证合同的顺利完成。</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34.2采购人与中标人应当根据合同的约定依法履行合同义务。政府采购合同的履行、违约责任和解决争议的方法等适用《中华人民共和国民法典》。</w:t>
      </w:r>
    </w:p>
    <w:p>
      <w:pPr>
        <w:pStyle w:val="5"/>
        <w:keepNext w:val="0"/>
        <w:keepLines w:val="0"/>
        <w:spacing w:before="0" w:after="160" w:line="360" w:lineRule="auto"/>
        <w:ind w:firstLine="482" w:firstLineChars="200"/>
        <w:rPr>
          <w:rFonts w:ascii="仿宋" w:hAnsi="仿宋" w:eastAsia="仿宋" w:cs="仿宋"/>
          <w:bCs w:val="0"/>
          <w:color w:val="auto"/>
          <w:sz w:val="24"/>
          <w:highlight w:val="none"/>
        </w:rPr>
      </w:pPr>
      <w:r>
        <w:rPr>
          <w:rFonts w:hint="eastAsia" w:ascii="仿宋" w:hAnsi="仿宋" w:eastAsia="仿宋" w:cs="仿宋"/>
          <w:bCs w:val="0"/>
          <w:color w:val="auto"/>
          <w:sz w:val="24"/>
          <w:highlight w:val="none"/>
        </w:rPr>
        <w:t>35. 验收</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35.1中标人与采购人将参照《财政部关于进一步加强政府采购需求和履约验收管理的指导意见》(财库〔2016〕205 号)的要求进行验收。</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35.2 其他详见招标文件第七章</w:t>
      </w:r>
    </w:p>
    <w:p>
      <w:pPr>
        <w:pStyle w:val="5"/>
        <w:keepNext w:val="0"/>
        <w:keepLines w:val="0"/>
        <w:spacing w:before="0" w:after="160" w:line="360" w:lineRule="auto"/>
        <w:ind w:firstLine="482" w:firstLineChars="200"/>
        <w:rPr>
          <w:rFonts w:ascii="仿宋" w:hAnsi="仿宋" w:eastAsia="仿宋" w:cs="仿宋"/>
          <w:bCs w:val="0"/>
          <w:color w:val="auto"/>
          <w:sz w:val="24"/>
          <w:highlight w:val="none"/>
        </w:rPr>
      </w:pPr>
      <w:r>
        <w:rPr>
          <w:rFonts w:hint="eastAsia" w:ascii="仿宋" w:hAnsi="仿宋" w:eastAsia="仿宋" w:cs="仿宋"/>
          <w:bCs w:val="0"/>
          <w:color w:val="auto"/>
          <w:sz w:val="24"/>
          <w:highlight w:val="none"/>
        </w:rPr>
        <w:t>36.资金支付</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 xml:space="preserve">本项目资金支付方式详见招标文件第七章。 </w:t>
      </w:r>
    </w:p>
    <w:p>
      <w:pPr>
        <w:pStyle w:val="5"/>
        <w:keepNext w:val="0"/>
        <w:keepLines w:val="0"/>
        <w:spacing w:before="0" w:after="160" w:line="360" w:lineRule="auto"/>
        <w:ind w:firstLine="482" w:firstLineChars="200"/>
        <w:jc w:val="center"/>
        <w:rPr>
          <w:rFonts w:ascii="仿宋" w:hAnsi="仿宋" w:eastAsia="仿宋" w:cs="仿宋"/>
          <w:bCs w:val="0"/>
          <w:color w:val="auto"/>
          <w:sz w:val="24"/>
          <w:highlight w:val="none"/>
        </w:rPr>
      </w:pPr>
      <w:r>
        <w:rPr>
          <w:rFonts w:hint="eastAsia" w:ascii="仿宋" w:hAnsi="仿宋" w:eastAsia="仿宋" w:cs="仿宋"/>
          <w:bCs w:val="0"/>
          <w:color w:val="auto"/>
          <w:sz w:val="24"/>
          <w:highlight w:val="none"/>
        </w:rPr>
        <w:t>七、投标纪律要求</w:t>
      </w:r>
    </w:p>
    <w:p>
      <w:pPr>
        <w:pStyle w:val="5"/>
        <w:keepNext w:val="0"/>
        <w:keepLines w:val="0"/>
        <w:spacing w:before="0" w:after="160" w:line="360" w:lineRule="auto"/>
        <w:ind w:firstLine="482" w:firstLineChars="200"/>
        <w:rPr>
          <w:rFonts w:ascii="仿宋" w:hAnsi="仿宋" w:eastAsia="仿宋" w:cs="仿宋"/>
          <w:bCs w:val="0"/>
          <w:color w:val="auto"/>
          <w:sz w:val="24"/>
          <w:highlight w:val="none"/>
        </w:rPr>
      </w:pPr>
      <w:r>
        <w:rPr>
          <w:rFonts w:hint="eastAsia" w:ascii="仿宋" w:hAnsi="仿宋" w:eastAsia="仿宋" w:cs="仿宋"/>
          <w:bCs w:val="0"/>
          <w:color w:val="auto"/>
          <w:sz w:val="24"/>
          <w:highlight w:val="none"/>
        </w:rPr>
        <w:t>37. 投标人不得具有的情形</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投标人参加本项目投标不得有下列情形：</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（1）提供虚假材料谋取中标；</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（2）采取不正当手段诋毁、排挤其他投标人；</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（3）与采购人或采购代理机构、其他投标人恶意串通；</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（4）向采购人或采购代理机构、评标委员会成员行贿或者提供其他不正当利益；</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（5）在招标过程中与采购人或采购代理机构进行协商谈判；</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（6）中标或者成交后无正当理由拒不与采购人签订政府采购合同；</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（7）未按照采购文件确定的事项签订政府采购合同；</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（8）将政府采购合同转包或者违规分包；</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（9）提供假冒伪劣产品；</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（10）擅自变更、中止或者终止政府采购合同；</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（11）拒绝有关部门的监督检查或者向监督检查部门提供虚假情况；</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（12）法律法规规定的其他情形。</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投标人有上述情形的，按照规定追究法律责任，具备（1）-（10）条情形之一的，同时将取消中标资格或者认定中标无效。</w:t>
      </w:r>
    </w:p>
    <w:p>
      <w:pPr>
        <w:pStyle w:val="5"/>
        <w:keepNext w:val="0"/>
        <w:keepLines w:val="0"/>
        <w:spacing w:before="0" w:after="160" w:line="360" w:lineRule="auto"/>
        <w:ind w:firstLine="482" w:firstLineChars="200"/>
        <w:rPr>
          <w:rFonts w:ascii="仿宋" w:hAnsi="仿宋" w:eastAsia="仿宋" w:cs="仿宋"/>
          <w:bCs w:val="0"/>
          <w:color w:val="auto"/>
          <w:sz w:val="24"/>
          <w:highlight w:val="none"/>
        </w:rPr>
      </w:pPr>
      <w:r>
        <w:rPr>
          <w:rFonts w:hint="eastAsia" w:ascii="仿宋" w:hAnsi="仿宋" w:eastAsia="仿宋" w:cs="仿宋"/>
          <w:bCs w:val="0"/>
          <w:color w:val="auto"/>
          <w:sz w:val="24"/>
          <w:highlight w:val="none"/>
        </w:rPr>
        <w:t>38.有下列情形之一的，视为投标人串通投标，其投标无效：</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（1）不同投标人的投标文件由同一单位或者个人编制。</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（2）不同投标人委托同一单位或者个人办理投标事宜。</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（3）不同投标人的投标文件载明的项目管理成员或者联系人员为同一人。</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（4）不同投标人的投标文件异常一致或者投标报价呈规律性差异。</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（5）不同投标人的投标文件相互混装。</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（6）不同投标人的投标保证金从同一单位或者个人的账户转出。</w:t>
      </w:r>
    </w:p>
    <w:p>
      <w:pPr>
        <w:pStyle w:val="5"/>
        <w:keepNext w:val="0"/>
        <w:keepLines w:val="0"/>
        <w:spacing w:before="0" w:after="160" w:line="360" w:lineRule="auto"/>
        <w:ind w:firstLine="482" w:firstLineChars="200"/>
        <w:jc w:val="center"/>
        <w:rPr>
          <w:rFonts w:ascii="仿宋" w:hAnsi="仿宋" w:eastAsia="仿宋" w:cs="仿宋"/>
          <w:bCs w:val="0"/>
          <w:color w:val="auto"/>
          <w:sz w:val="24"/>
          <w:highlight w:val="none"/>
        </w:rPr>
      </w:pPr>
      <w:r>
        <w:rPr>
          <w:rFonts w:hint="eastAsia" w:ascii="仿宋" w:hAnsi="仿宋" w:eastAsia="仿宋" w:cs="仿宋"/>
          <w:bCs w:val="0"/>
          <w:color w:val="auto"/>
          <w:sz w:val="24"/>
          <w:highlight w:val="none"/>
        </w:rPr>
        <w:t>八、询问、质疑和投诉</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39．询问、质疑、投诉的接收和处理严格按照《中华人民共和国政府采购法》、《中华人民共和国政府采购法实施条例》、《政府采购货物和服务招标投标管理办法》、《政府采购质疑和投诉办法》、《财政部关于加强政府采购供应商投诉受理审查工作的通知》和《四川省政府采购供应商投诉处理工作规程》的规定办理（详细规定请在四川政府采购网政策法规模块查询）。</w:t>
      </w:r>
    </w:p>
    <w:p>
      <w:pPr>
        <w:pStyle w:val="5"/>
        <w:keepNext w:val="0"/>
        <w:keepLines w:val="0"/>
        <w:spacing w:before="0" w:after="160" w:line="360" w:lineRule="auto"/>
        <w:ind w:firstLine="482" w:firstLineChars="200"/>
        <w:jc w:val="center"/>
        <w:rPr>
          <w:rFonts w:ascii="仿宋" w:hAnsi="仿宋" w:eastAsia="仿宋" w:cs="仿宋"/>
          <w:bCs w:val="0"/>
          <w:color w:val="auto"/>
          <w:sz w:val="24"/>
          <w:highlight w:val="none"/>
        </w:rPr>
      </w:pPr>
      <w:r>
        <w:rPr>
          <w:rFonts w:hint="eastAsia" w:ascii="仿宋" w:hAnsi="仿宋" w:eastAsia="仿宋" w:cs="仿宋"/>
          <w:bCs w:val="0"/>
          <w:color w:val="auto"/>
          <w:sz w:val="24"/>
          <w:highlight w:val="none"/>
        </w:rPr>
        <w:t>九、其他</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40.本招标文件中所引相关法律制度规定，在政府采购中有变化的，按照变化后的相关法律制度规定执行。本章和第八章中“1.总则、2.评标方法、3.评标程序”规定的内容条款，在本项目投标截止时间届满后，因相关法律制度规定的变化导致不符合相关法律制度规定的，直接按照变化后的相关法律制度规定执行，本招标文件不再做调整。</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41.（实质性要求）国家或行业主管部门对投标人和采购产品的技术标准、质量标准和资格资质条件等有强制性规定的，必须符合其要求。</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42.本次采购文件中加注（实质性要求）的条款，若未明确要求提供证明材料或承诺函，视为仅约束中标人，由中标人和采购人签订合同前进行核实。</w:t>
      </w:r>
    </w:p>
    <w:p>
      <w:pPr>
        <w:pStyle w:val="16"/>
        <w:rPr>
          <w:rFonts w:ascii="仿宋" w:hAnsi="仿宋" w:eastAsia="仿宋" w:cs="仿宋"/>
          <w:color w:val="auto"/>
          <w:sz w:val="36"/>
          <w:szCs w:val="36"/>
          <w:highlight w:val="none"/>
        </w:rPr>
      </w:pPr>
      <w:bookmarkStart w:id="21" w:name="_Toc511206478"/>
      <w:bookmarkStart w:id="22" w:name="PO_默认文件内容_26"/>
      <w:r>
        <w:rPr>
          <w:rFonts w:hint="eastAsia" w:ascii="仿宋" w:hAnsi="仿宋" w:eastAsia="仿宋" w:cs="仿宋"/>
          <w:color w:val="auto"/>
          <w:sz w:val="36"/>
          <w:szCs w:val="36"/>
          <w:highlight w:val="none"/>
        </w:rPr>
        <w:br w:type="page"/>
      </w:r>
      <w:bookmarkStart w:id="23" w:name="_Toc31957"/>
      <w:r>
        <w:rPr>
          <w:rFonts w:hint="eastAsia" w:ascii="仿宋" w:hAnsi="仿宋" w:eastAsia="仿宋" w:cs="仿宋"/>
          <w:color w:val="auto"/>
          <w:sz w:val="36"/>
          <w:szCs w:val="36"/>
          <w:highlight w:val="none"/>
        </w:rPr>
        <w:t>第三章  投标文件格式</w:t>
      </w:r>
      <w:bookmarkEnd w:id="23"/>
    </w:p>
    <w:p>
      <w:pPr>
        <w:jc w:val="left"/>
        <w:rPr>
          <w:rFonts w:ascii="仿宋" w:hAnsi="仿宋" w:eastAsia="仿宋" w:cs="仿宋"/>
          <w:b/>
          <w:color w:val="auto"/>
          <w:sz w:val="32"/>
          <w:szCs w:val="32"/>
          <w:highlight w:val="none"/>
        </w:rPr>
      </w:pP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一、本章所制投标文件格式，除格式中明确将该格式作为实质性要求的，一律不具有强制性。</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二、本章所制投标文件格式有关表格中的备注栏，由投标人根据自身投标情况作解释性说明，不作为必填项。（如果投标人投标文件中已经去掉备注而无其他解释性说明，则视为完全理解并同意备注中的要求）</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三、本章所制投标文件格式中需要填写的相关内容事项，可能会与本采购项目无关，在不改变投标文件原义、不影响本项目采购需求的情况下，投标人可以不予填写，但应当注明。</w:t>
      </w:r>
    </w:p>
    <w:p>
      <w:pPr>
        <w:pStyle w:val="5"/>
        <w:keepNext w:val="0"/>
        <w:keepLines w:val="0"/>
        <w:spacing w:before="0" w:after="160" w:line="360" w:lineRule="auto"/>
        <w:ind w:firstLine="480" w:firstLineChars="200"/>
        <w:rPr>
          <w:rFonts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rPr>
        <w:t>四、</w:t>
      </w:r>
      <w:r>
        <w:rPr>
          <w:rFonts w:hint="eastAsia" w:ascii="仿宋" w:hAnsi="仿宋" w:eastAsia="仿宋"/>
          <w:color w:val="auto"/>
          <w:sz w:val="24"/>
          <w:highlight w:val="none"/>
        </w:rPr>
        <w:t>提示本章中格式封面，盖章为实质性要求，格式内容不作实质性要求。按照招标文件第二章第18条要求，加盖投标人（法定名称）电子印章。</w:t>
      </w:r>
    </w:p>
    <w:p>
      <w:pPr>
        <w:pBdr>
          <w:top w:val="single" w:color="000000" w:sz="4" w:space="0"/>
          <w:left w:val="single" w:color="000000" w:sz="4" w:space="0"/>
          <w:bottom w:val="single" w:color="000000" w:sz="4" w:space="0"/>
          <w:right w:val="single" w:color="000000" w:sz="4" w:space="0"/>
        </w:pBdr>
        <w:spacing w:line="480" w:lineRule="auto"/>
        <w:ind w:firstLine="4498" w:firstLineChars="1400"/>
        <w:rPr>
          <w:rFonts w:ascii="仿宋" w:hAnsi="仿宋" w:eastAsia="仿宋" w:cs="仿宋"/>
          <w:bCs/>
          <w:color w:val="auto"/>
          <w:sz w:val="24"/>
          <w:highlight w:val="none"/>
        </w:rPr>
      </w:pPr>
      <w:r>
        <w:rPr>
          <w:rFonts w:hint="eastAsia" w:ascii="仿宋" w:hAnsi="仿宋" w:eastAsia="仿宋" w:cs="仿宋"/>
          <w:b/>
          <w:color w:val="auto"/>
          <w:sz w:val="32"/>
          <w:szCs w:val="32"/>
          <w:highlight w:val="none"/>
        </w:rPr>
        <w:br w:type="page"/>
      </w:r>
    </w:p>
    <w:p>
      <w:pPr>
        <w:rPr>
          <w:rFonts w:ascii="仿宋" w:hAnsi="仿宋" w:eastAsia="仿宋" w:cs="仿宋"/>
          <w:b/>
          <w:color w:val="auto"/>
          <w:sz w:val="32"/>
          <w:szCs w:val="32"/>
          <w:highlight w:val="none"/>
        </w:rPr>
      </w:pPr>
      <w:r>
        <w:rPr>
          <w:rFonts w:hint="eastAsia" w:ascii="仿宋" w:hAnsi="仿宋" w:eastAsia="仿宋" w:cs="仿宋"/>
          <w:bCs/>
          <w:color w:val="auto"/>
          <w:sz w:val="24"/>
          <w:highlight w:val="none"/>
        </w:rPr>
        <w:t>投标文件封面格式</w:t>
      </w:r>
    </w:p>
    <w:p>
      <w:pPr>
        <w:rPr>
          <w:rFonts w:ascii="仿宋" w:hAnsi="仿宋" w:eastAsia="仿宋" w:cs="仿宋"/>
          <w:b/>
          <w:color w:val="auto"/>
          <w:sz w:val="52"/>
          <w:szCs w:val="52"/>
          <w:highlight w:val="none"/>
        </w:rPr>
      </w:pPr>
    </w:p>
    <w:p>
      <w:pPr>
        <w:pStyle w:val="9"/>
        <w:rPr>
          <w:rFonts w:ascii="仿宋" w:hAnsi="仿宋" w:eastAsia="仿宋" w:cs="仿宋"/>
          <w:color w:val="auto"/>
          <w:highlight w:val="none"/>
        </w:rPr>
      </w:pPr>
    </w:p>
    <w:p>
      <w:pPr>
        <w:pStyle w:val="9"/>
        <w:rPr>
          <w:rFonts w:ascii="仿宋" w:hAnsi="仿宋" w:eastAsia="仿宋" w:cs="仿宋"/>
          <w:b/>
          <w:color w:val="auto"/>
          <w:sz w:val="52"/>
          <w:szCs w:val="52"/>
          <w:highlight w:val="none"/>
        </w:rPr>
      </w:pPr>
    </w:p>
    <w:p>
      <w:pPr>
        <w:rPr>
          <w:rFonts w:ascii="仿宋" w:hAnsi="仿宋" w:eastAsia="仿宋" w:cs="仿宋"/>
          <w:b/>
          <w:color w:val="auto"/>
          <w:sz w:val="52"/>
          <w:szCs w:val="52"/>
          <w:highlight w:val="none"/>
        </w:rPr>
      </w:pPr>
    </w:p>
    <w:p>
      <w:pPr>
        <w:pStyle w:val="9"/>
        <w:rPr>
          <w:rFonts w:ascii="仿宋" w:hAnsi="仿宋" w:eastAsia="仿宋" w:cs="仿宋"/>
          <w:color w:val="auto"/>
          <w:highlight w:val="none"/>
        </w:rPr>
      </w:pPr>
    </w:p>
    <w:p>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52"/>
          <w:szCs w:val="52"/>
          <w:highlight w:val="none"/>
        </w:rPr>
        <w:t>资格性投标文件/其他投标文件</w:t>
      </w:r>
    </w:p>
    <w:p>
      <w:pPr>
        <w:pStyle w:val="9"/>
        <w:rPr>
          <w:rFonts w:ascii="仿宋" w:hAnsi="仿宋" w:eastAsia="仿宋" w:cs="仿宋"/>
          <w:b/>
          <w:color w:val="auto"/>
          <w:sz w:val="32"/>
          <w:highlight w:val="none"/>
        </w:rPr>
      </w:pPr>
    </w:p>
    <w:p>
      <w:pPr>
        <w:rPr>
          <w:rFonts w:ascii="仿宋" w:hAnsi="仿宋" w:eastAsia="仿宋" w:cs="仿宋"/>
          <w:b/>
          <w:color w:val="auto"/>
          <w:sz w:val="32"/>
          <w:highlight w:val="none"/>
        </w:rPr>
      </w:pPr>
    </w:p>
    <w:p>
      <w:pPr>
        <w:pStyle w:val="9"/>
        <w:rPr>
          <w:rFonts w:ascii="仿宋" w:hAnsi="仿宋" w:eastAsia="仿宋" w:cs="仿宋"/>
          <w:color w:val="auto"/>
          <w:highlight w:val="none"/>
        </w:rPr>
      </w:pPr>
    </w:p>
    <w:p>
      <w:pPr>
        <w:rPr>
          <w:color w:val="auto"/>
          <w:highlight w:val="none"/>
        </w:rPr>
      </w:pPr>
    </w:p>
    <w:p>
      <w:pPr>
        <w:pStyle w:val="9"/>
        <w:rPr>
          <w:rFonts w:ascii="仿宋" w:hAnsi="仿宋" w:eastAsia="仿宋" w:cs="仿宋"/>
          <w:b/>
          <w:color w:val="auto"/>
          <w:sz w:val="32"/>
          <w:highlight w:val="none"/>
        </w:rPr>
      </w:pPr>
    </w:p>
    <w:p>
      <w:pPr>
        <w:rPr>
          <w:rFonts w:ascii="仿宋" w:hAnsi="仿宋" w:eastAsia="仿宋" w:cs="仿宋"/>
          <w:color w:val="auto"/>
          <w:highlight w:val="none"/>
        </w:rPr>
      </w:pPr>
    </w:p>
    <w:p>
      <w:pPr>
        <w:spacing w:line="480" w:lineRule="auto"/>
        <w:ind w:firstLine="2570" w:firstLineChars="800"/>
        <w:rPr>
          <w:rFonts w:ascii="仿宋" w:hAnsi="仿宋" w:eastAsia="仿宋" w:cs="仿宋"/>
          <w:b/>
          <w:color w:val="auto"/>
          <w:sz w:val="36"/>
          <w:highlight w:val="none"/>
          <w:u w:val="single"/>
        </w:rPr>
      </w:pPr>
      <w:r>
        <w:rPr>
          <w:rFonts w:hint="eastAsia" w:ascii="仿宋" w:hAnsi="仿宋" w:eastAsia="仿宋" w:cs="仿宋"/>
          <w:b/>
          <w:color w:val="auto"/>
          <w:sz w:val="32"/>
          <w:highlight w:val="none"/>
        </w:rPr>
        <w:t>采购项目名称：</w:t>
      </w:r>
      <w:r>
        <w:rPr>
          <w:rFonts w:hint="eastAsia" w:ascii="华文仿宋" w:hAnsi="华文仿宋" w:eastAsia="华文仿宋" w:cs="华文仿宋"/>
          <w:bCs/>
          <w:color w:val="auto"/>
          <w:sz w:val="24"/>
          <w:highlight w:val="none"/>
          <w:u w:val="single"/>
        </w:rPr>
        <w:t xml:space="preserve">                     </w:t>
      </w:r>
    </w:p>
    <w:p>
      <w:pPr>
        <w:spacing w:line="480" w:lineRule="auto"/>
        <w:ind w:firstLine="2570" w:firstLineChars="800"/>
        <w:rPr>
          <w:rFonts w:ascii="仿宋" w:hAnsi="仿宋" w:eastAsia="仿宋" w:cs="仿宋"/>
          <w:b/>
          <w:color w:val="auto"/>
          <w:sz w:val="32"/>
          <w:highlight w:val="none"/>
          <w:u w:val="single"/>
        </w:rPr>
      </w:pPr>
      <w:r>
        <w:rPr>
          <w:rFonts w:hint="eastAsia" w:ascii="仿宋" w:hAnsi="仿宋" w:eastAsia="仿宋" w:cs="仿宋"/>
          <w:b/>
          <w:color w:val="auto"/>
          <w:sz w:val="32"/>
          <w:highlight w:val="none"/>
        </w:rPr>
        <w:t>采购项目编号：</w:t>
      </w:r>
      <w:r>
        <w:rPr>
          <w:rFonts w:hint="eastAsia" w:ascii="华文仿宋" w:hAnsi="华文仿宋" w:eastAsia="华文仿宋" w:cs="华文仿宋"/>
          <w:bCs/>
          <w:color w:val="auto"/>
          <w:sz w:val="24"/>
          <w:highlight w:val="none"/>
          <w:u w:val="single"/>
        </w:rPr>
        <w:t xml:space="preserve">                     </w:t>
      </w:r>
    </w:p>
    <w:p>
      <w:pPr>
        <w:spacing w:line="480" w:lineRule="auto"/>
        <w:ind w:firstLine="2570" w:firstLineChars="800"/>
        <w:rPr>
          <w:rFonts w:ascii="仿宋" w:hAnsi="仿宋" w:eastAsia="仿宋" w:cs="仿宋"/>
          <w:b/>
          <w:color w:val="auto"/>
          <w:sz w:val="36"/>
          <w:highlight w:val="none"/>
        </w:rPr>
      </w:pPr>
      <w:r>
        <w:rPr>
          <w:rFonts w:hint="eastAsia" w:ascii="仿宋" w:hAnsi="仿宋" w:eastAsia="仿宋" w:cs="仿宋"/>
          <w:b/>
          <w:color w:val="auto"/>
          <w:sz w:val="32"/>
          <w:highlight w:val="none"/>
        </w:rPr>
        <w:t>投标人名称：</w:t>
      </w:r>
      <w:r>
        <w:rPr>
          <w:rFonts w:hint="eastAsia" w:ascii="仿宋" w:hAnsi="仿宋" w:eastAsia="仿宋" w:cs="仿宋"/>
          <w:b/>
          <w:color w:val="auto"/>
          <w:sz w:val="32"/>
          <w:highlight w:val="none"/>
          <w:u w:val="single"/>
        </w:rPr>
        <w:t xml:space="preserve">               （电子印章） </w:t>
      </w:r>
    </w:p>
    <w:p>
      <w:pPr>
        <w:spacing w:line="480" w:lineRule="auto"/>
        <w:ind w:firstLine="2570" w:firstLineChars="800"/>
        <w:rPr>
          <w:rFonts w:ascii="仿宋" w:hAnsi="仿宋" w:eastAsia="仿宋" w:cs="仿宋"/>
          <w:b/>
          <w:color w:val="auto"/>
          <w:sz w:val="32"/>
          <w:szCs w:val="32"/>
          <w:highlight w:val="none"/>
          <w:u w:val="single"/>
        </w:rPr>
      </w:pPr>
      <w:r>
        <w:rPr>
          <w:rFonts w:hint="eastAsia" w:ascii="仿宋" w:hAnsi="仿宋" w:eastAsia="仿宋" w:cs="仿宋"/>
          <w:b/>
          <w:color w:val="auto"/>
          <w:sz w:val="32"/>
          <w:highlight w:val="none"/>
        </w:rPr>
        <w:t>日      期：</w:t>
      </w:r>
      <w:r>
        <w:rPr>
          <w:rFonts w:hint="eastAsia" w:ascii="华文仿宋" w:hAnsi="华文仿宋" w:eastAsia="华文仿宋" w:cs="华文仿宋"/>
          <w:bCs/>
          <w:color w:val="auto"/>
          <w:sz w:val="24"/>
          <w:highlight w:val="none"/>
          <w:u w:val="single"/>
        </w:rPr>
        <w:t xml:space="preserve">                     </w:t>
      </w:r>
    </w:p>
    <w:p>
      <w:pPr>
        <w:jc w:val="center"/>
        <w:rPr>
          <w:rFonts w:ascii="仿宋" w:hAnsi="仿宋" w:eastAsia="仿宋" w:cs="仿宋"/>
          <w:bCs/>
          <w:color w:val="auto"/>
          <w:sz w:val="24"/>
          <w:highlight w:val="none"/>
        </w:rPr>
      </w:pPr>
      <w:r>
        <w:rPr>
          <w:rFonts w:hint="eastAsia" w:ascii="仿宋" w:hAnsi="仿宋" w:eastAsia="仿宋" w:cs="仿宋"/>
          <w:bCs/>
          <w:color w:val="auto"/>
          <w:sz w:val="24"/>
          <w:highlight w:val="none"/>
        </w:rPr>
        <w:br w:type="page"/>
      </w:r>
      <w:r>
        <w:rPr>
          <w:rFonts w:hint="eastAsia" w:ascii="仿宋" w:hAnsi="仿宋" w:eastAsia="仿宋" w:cs="仿宋"/>
          <w:b/>
          <w:color w:val="auto"/>
          <w:sz w:val="32"/>
          <w:szCs w:val="32"/>
          <w:highlight w:val="none"/>
        </w:rPr>
        <w:t>开标一览表（包件一）</w:t>
      </w:r>
    </w:p>
    <w:p>
      <w:pPr>
        <w:pStyle w:val="9"/>
        <w:rPr>
          <w:rFonts w:ascii="仿宋" w:hAnsi="仿宋" w:eastAsia="仿宋" w:cs="仿宋"/>
          <w:color w:val="auto"/>
          <w:highlight w:val="none"/>
        </w:rPr>
      </w:pPr>
    </w:p>
    <w:p>
      <w:pPr>
        <w:pStyle w:val="9"/>
        <w:rPr>
          <w:rFonts w:ascii="仿宋" w:hAnsi="仿宋" w:eastAsia="仿宋" w:cs="仿宋"/>
          <w:color w:val="auto"/>
          <w:highlight w:val="none"/>
        </w:rPr>
      </w:pPr>
    </w:p>
    <w:p>
      <w:pPr>
        <w:spacing w:line="480" w:lineRule="auto"/>
        <w:rPr>
          <w:rFonts w:ascii="仿宋" w:hAnsi="仿宋" w:eastAsia="仿宋" w:cs="仿宋"/>
          <w:bCs/>
          <w:color w:val="auto"/>
          <w:sz w:val="24"/>
          <w:highlight w:val="none"/>
          <w:u w:val="single"/>
        </w:rPr>
      </w:pPr>
      <w:r>
        <w:rPr>
          <w:rFonts w:hint="eastAsia" w:ascii="仿宋" w:hAnsi="仿宋" w:eastAsia="仿宋" w:cs="仿宋"/>
          <w:bCs/>
          <w:color w:val="auto"/>
          <w:sz w:val="24"/>
          <w:highlight w:val="none"/>
        </w:rPr>
        <w:t>采购项目名称：</w:t>
      </w:r>
      <w:r>
        <w:rPr>
          <w:rFonts w:hint="eastAsia" w:ascii="华文仿宋" w:hAnsi="华文仿宋" w:eastAsia="华文仿宋" w:cs="华文仿宋"/>
          <w:bCs/>
          <w:color w:val="auto"/>
          <w:sz w:val="24"/>
          <w:highlight w:val="none"/>
          <w:u w:val="single"/>
        </w:rPr>
        <w:t xml:space="preserve">                     </w:t>
      </w:r>
    </w:p>
    <w:p>
      <w:pPr>
        <w:spacing w:line="480" w:lineRule="auto"/>
        <w:rPr>
          <w:rFonts w:ascii="仿宋" w:hAnsi="仿宋" w:eastAsia="仿宋" w:cs="仿宋"/>
          <w:bCs/>
          <w:color w:val="auto"/>
          <w:sz w:val="24"/>
          <w:highlight w:val="none"/>
          <w:u w:val="single"/>
        </w:rPr>
      </w:pPr>
      <w:r>
        <w:rPr>
          <w:rFonts w:hint="eastAsia" w:ascii="仿宋" w:hAnsi="仿宋" w:eastAsia="仿宋" w:cs="仿宋"/>
          <w:bCs/>
          <w:color w:val="auto"/>
          <w:sz w:val="24"/>
          <w:highlight w:val="none"/>
        </w:rPr>
        <w:t>采购项目编号：</w:t>
      </w:r>
      <w:r>
        <w:rPr>
          <w:rFonts w:hint="eastAsia" w:ascii="华文仿宋" w:hAnsi="华文仿宋" w:eastAsia="华文仿宋" w:cs="华文仿宋"/>
          <w:bCs/>
          <w:color w:val="auto"/>
          <w:sz w:val="24"/>
          <w:highlight w:val="none"/>
          <w:u w:val="single"/>
        </w:rPr>
        <w:t xml:space="preserve">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2109"/>
        <w:gridCol w:w="1459"/>
        <w:gridCol w:w="1691"/>
        <w:gridCol w:w="1773"/>
        <w:gridCol w:w="1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624" w:type="dxa"/>
            <w:vAlign w:val="center"/>
          </w:tcPr>
          <w:p>
            <w:pPr>
              <w:widowControl/>
              <w:spacing w:line="360" w:lineRule="atLeast"/>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109" w:type="dxa"/>
            <w:vAlign w:val="center"/>
          </w:tcPr>
          <w:p>
            <w:pPr>
              <w:widowControl/>
              <w:spacing w:line="360" w:lineRule="atLeast"/>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项目</w:t>
            </w:r>
          </w:p>
          <w:p>
            <w:pPr>
              <w:widowControl/>
              <w:spacing w:line="360" w:lineRule="atLeast"/>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名称</w:t>
            </w:r>
          </w:p>
        </w:tc>
        <w:tc>
          <w:tcPr>
            <w:tcW w:w="1459" w:type="dxa"/>
            <w:vAlign w:val="center"/>
          </w:tcPr>
          <w:p>
            <w:pPr>
              <w:widowControl/>
              <w:spacing w:line="360" w:lineRule="atLeast"/>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1691" w:type="dxa"/>
            <w:vAlign w:val="center"/>
          </w:tcPr>
          <w:p>
            <w:pPr>
              <w:widowControl/>
              <w:spacing w:line="360" w:lineRule="atLeast"/>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投标单价</w:t>
            </w:r>
          </w:p>
          <w:p>
            <w:pPr>
              <w:widowControl/>
              <w:spacing w:line="360" w:lineRule="atLeast"/>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773" w:type="dxa"/>
            <w:vAlign w:val="center"/>
          </w:tcPr>
          <w:p>
            <w:pPr>
              <w:widowControl/>
              <w:spacing w:line="360" w:lineRule="atLeast"/>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投标总价</w:t>
            </w:r>
          </w:p>
          <w:p>
            <w:pPr>
              <w:widowControl/>
              <w:spacing w:line="360" w:lineRule="atLeast"/>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476" w:type="dxa"/>
            <w:vAlign w:val="center"/>
          </w:tcPr>
          <w:p>
            <w:pPr>
              <w:widowControl/>
              <w:spacing w:line="360" w:lineRule="atLeast"/>
              <w:ind w:left="-8" w:leftChars="-4" w:firstLine="84" w:firstLineChars="35"/>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624" w:type="dxa"/>
          </w:tcPr>
          <w:p>
            <w:pPr>
              <w:widowControl/>
              <w:spacing w:line="360" w:lineRule="atLeast"/>
              <w:ind w:firstLine="470" w:firstLineChars="196"/>
              <w:jc w:val="left"/>
              <w:outlineLvl w:val="1"/>
              <w:rPr>
                <w:rFonts w:ascii="仿宋" w:hAnsi="仿宋" w:eastAsia="仿宋" w:cs="仿宋"/>
                <w:color w:val="auto"/>
                <w:sz w:val="24"/>
                <w:highlight w:val="none"/>
              </w:rPr>
            </w:pPr>
          </w:p>
        </w:tc>
        <w:tc>
          <w:tcPr>
            <w:tcW w:w="2109"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459"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691"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773"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476"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624" w:type="dxa"/>
          </w:tcPr>
          <w:p>
            <w:pPr>
              <w:widowControl/>
              <w:spacing w:line="360" w:lineRule="atLeast"/>
              <w:ind w:firstLine="470" w:firstLineChars="196"/>
              <w:jc w:val="left"/>
              <w:outlineLvl w:val="1"/>
              <w:rPr>
                <w:rFonts w:ascii="仿宋" w:hAnsi="仿宋" w:eastAsia="仿宋" w:cs="仿宋"/>
                <w:color w:val="auto"/>
                <w:sz w:val="24"/>
                <w:highlight w:val="none"/>
              </w:rPr>
            </w:pPr>
          </w:p>
        </w:tc>
        <w:tc>
          <w:tcPr>
            <w:tcW w:w="2109"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459"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691"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773"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476"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624" w:type="dxa"/>
            <w:tcBorders>
              <w:right w:val="single" w:color="auto" w:sz="4" w:space="0"/>
            </w:tcBorders>
          </w:tcPr>
          <w:p>
            <w:pPr>
              <w:widowControl/>
              <w:spacing w:line="360" w:lineRule="atLeast"/>
              <w:ind w:firstLine="470" w:firstLineChars="196"/>
              <w:jc w:val="left"/>
              <w:outlineLvl w:val="1"/>
              <w:rPr>
                <w:rFonts w:ascii="仿宋" w:hAnsi="仿宋" w:eastAsia="仿宋" w:cs="仿宋"/>
                <w:color w:val="auto"/>
                <w:sz w:val="24"/>
                <w:highlight w:val="none"/>
              </w:rPr>
            </w:pPr>
          </w:p>
        </w:tc>
        <w:tc>
          <w:tcPr>
            <w:tcW w:w="2109"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459"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691"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773"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476"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624" w:type="dxa"/>
            <w:tcBorders>
              <w:bottom w:val="single" w:color="auto" w:sz="4" w:space="0"/>
              <w:right w:val="single" w:color="auto" w:sz="4" w:space="0"/>
            </w:tcBorders>
          </w:tcPr>
          <w:p>
            <w:pPr>
              <w:widowControl/>
              <w:spacing w:line="360" w:lineRule="atLeast"/>
              <w:jc w:val="left"/>
              <w:outlineLvl w:val="1"/>
              <w:rPr>
                <w:rFonts w:ascii="仿宋" w:hAnsi="仿宋" w:eastAsia="仿宋" w:cs="仿宋"/>
                <w:color w:val="auto"/>
                <w:sz w:val="24"/>
                <w:highlight w:val="none"/>
              </w:rPr>
            </w:pPr>
          </w:p>
        </w:tc>
        <w:tc>
          <w:tcPr>
            <w:tcW w:w="8508" w:type="dxa"/>
            <w:gridSpan w:val="5"/>
            <w:tcBorders>
              <w:left w:val="single" w:color="auto" w:sz="4" w:space="0"/>
              <w:bottom w:val="single" w:color="auto" w:sz="4" w:space="0"/>
            </w:tcBorders>
          </w:tcPr>
          <w:p>
            <w:pPr>
              <w:widowControl/>
              <w:spacing w:line="360" w:lineRule="atLeast"/>
              <w:jc w:val="left"/>
              <w:outlineLvl w:val="1"/>
              <w:rPr>
                <w:rFonts w:ascii="仿宋" w:hAnsi="仿宋" w:eastAsia="仿宋" w:cs="仿宋"/>
                <w:color w:val="auto"/>
                <w:sz w:val="24"/>
                <w:highlight w:val="none"/>
              </w:rPr>
            </w:pPr>
            <w:r>
              <w:rPr>
                <w:rFonts w:hint="eastAsia" w:ascii="仿宋" w:hAnsi="仿宋" w:eastAsia="仿宋" w:cs="仿宋"/>
                <w:color w:val="auto"/>
                <w:sz w:val="24"/>
                <w:highlight w:val="none"/>
              </w:rPr>
              <w:t>报价合计（万元）：          大写：</w:t>
            </w:r>
          </w:p>
        </w:tc>
      </w:tr>
    </w:tbl>
    <w:p>
      <w:pPr>
        <w:rPr>
          <w:rFonts w:ascii="仿宋" w:hAnsi="仿宋" w:eastAsia="仿宋" w:cs="仿宋"/>
          <w:color w:val="auto"/>
          <w:highlight w:val="none"/>
        </w:rPr>
      </w:pPr>
    </w:p>
    <w:p>
      <w:pPr>
        <w:spacing w:line="360" w:lineRule="auto"/>
        <w:rPr>
          <w:rFonts w:ascii="仿宋" w:hAnsi="仿宋" w:eastAsia="仿宋" w:cs="仿宋"/>
          <w:color w:val="auto"/>
          <w:highlight w:val="none"/>
        </w:rPr>
      </w:pPr>
      <w:r>
        <w:rPr>
          <w:rFonts w:hint="eastAsia" w:ascii="仿宋" w:hAnsi="仿宋" w:eastAsia="仿宋" w:cs="仿宋"/>
          <w:color w:val="auto"/>
          <w:highlight w:val="none"/>
        </w:rPr>
        <w:t xml:space="preserve">注：1. 报价应是最终用户验收合格后的总价，包括设备运输、保险、代理、安装调试、培训、税费、系统集成费用和招标文件规定的其它费用。 </w:t>
      </w:r>
    </w:p>
    <w:p>
      <w:pPr>
        <w:spacing w:line="360" w:lineRule="auto"/>
        <w:rPr>
          <w:rFonts w:ascii="仿宋" w:hAnsi="仿宋" w:eastAsia="仿宋" w:cs="仿宋"/>
          <w:color w:val="auto"/>
          <w:highlight w:val="none"/>
        </w:rPr>
      </w:pPr>
      <w:r>
        <w:rPr>
          <w:rFonts w:hint="eastAsia" w:ascii="仿宋" w:hAnsi="仿宋" w:eastAsia="仿宋" w:cs="仿宋"/>
          <w:color w:val="auto"/>
          <w:highlight w:val="none"/>
        </w:rPr>
        <w:t>2.“开标一览表”为多页的，每页均需由法定代表人或授权代表签字并盖投标人印章。</w:t>
      </w:r>
    </w:p>
    <w:p>
      <w:pPr>
        <w:spacing w:line="360" w:lineRule="auto"/>
        <w:rPr>
          <w:rFonts w:ascii="仿宋" w:hAnsi="仿宋" w:eastAsia="仿宋" w:cs="仿宋"/>
          <w:color w:val="auto"/>
          <w:highlight w:val="none"/>
        </w:rPr>
      </w:pPr>
      <w:r>
        <w:rPr>
          <w:rFonts w:hint="eastAsia" w:ascii="仿宋" w:hAnsi="仿宋" w:eastAsia="仿宋" w:cs="仿宋"/>
          <w:color w:val="auto"/>
          <w:highlight w:val="none"/>
        </w:rPr>
        <w:t>3、“开标一览表”以包为单位填写。</w:t>
      </w:r>
    </w:p>
    <w:p>
      <w:pPr>
        <w:spacing w:line="360" w:lineRule="auto"/>
        <w:rPr>
          <w:rFonts w:ascii="仿宋" w:hAnsi="仿宋" w:eastAsia="仿宋" w:cs="仿宋"/>
          <w:color w:val="auto"/>
          <w:highlight w:val="none"/>
        </w:rPr>
      </w:pPr>
    </w:p>
    <w:p>
      <w:pPr>
        <w:spacing w:line="360" w:lineRule="auto"/>
        <w:rPr>
          <w:rFonts w:ascii="仿宋" w:hAnsi="仿宋" w:eastAsia="仿宋" w:cs="仿宋"/>
          <w:color w:val="auto"/>
          <w:highlight w:val="none"/>
          <w:u w:val="single"/>
        </w:rPr>
      </w:pPr>
      <w:r>
        <w:rPr>
          <w:rFonts w:hint="eastAsia" w:ascii="仿宋" w:hAnsi="仿宋" w:eastAsia="仿宋" w:cs="仿宋"/>
          <w:color w:val="auto"/>
          <w:highlight w:val="none"/>
        </w:rPr>
        <w:t>投标人名称（公章）：</w:t>
      </w:r>
      <w:r>
        <w:rPr>
          <w:rFonts w:hint="eastAsia" w:ascii="华文仿宋" w:hAnsi="华文仿宋" w:eastAsia="华文仿宋" w:cs="华文仿宋"/>
          <w:bCs/>
          <w:color w:val="auto"/>
          <w:sz w:val="24"/>
          <w:highlight w:val="none"/>
          <w:u w:val="single"/>
        </w:rPr>
        <w:t xml:space="preserve">                     </w:t>
      </w:r>
    </w:p>
    <w:p>
      <w:pPr>
        <w:spacing w:line="360" w:lineRule="auto"/>
        <w:rPr>
          <w:rFonts w:ascii="仿宋" w:hAnsi="仿宋" w:eastAsia="仿宋" w:cs="仿宋"/>
          <w:color w:val="auto"/>
          <w:highlight w:val="none"/>
          <w:u w:val="single"/>
        </w:rPr>
      </w:pPr>
      <w:r>
        <w:rPr>
          <w:rFonts w:hint="eastAsia" w:ascii="仿宋" w:hAnsi="仿宋" w:eastAsia="仿宋" w:cs="仿宋"/>
          <w:color w:val="auto"/>
          <w:highlight w:val="none"/>
        </w:rPr>
        <w:t>法定代表人或代理人（签字或加盖印章）：</w:t>
      </w:r>
      <w:r>
        <w:rPr>
          <w:rFonts w:hint="eastAsia" w:ascii="华文仿宋" w:hAnsi="华文仿宋" w:eastAsia="华文仿宋" w:cs="华文仿宋"/>
          <w:bCs/>
          <w:color w:val="auto"/>
          <w:sz w:val="24"/>
          <w:highlight w:val="none"/>
          <w:u w:val="single"/>
        </w:rPr>
        <w:t xml:space="preserve">                     </w:t>
      </w:r>
    </w:p>
    <w:p>
      <w:pPr>
        <w:spacing w:line="360" w:lineRule="auto"/>
        <w:jc w:val="left"/>
        <w:rPr>
          <w:rFonts w:ascii="仿宋" w:hAnsi="仿宋" w:eastAsia="仿宋" w:cs="仿宋"/>
          <w:color w:val="auto"/>
          <w:highlight w:val="none"/>
        </w:rPr>
      </w:pPr>
      <w:r>
        <w:rPr>
          <w:rFonts w:hint="eastAsia" w:ascii="仿宋" w:hAnsi="仿宋" w:eastAsia="仿宋" w:cs="仿宋"/>
          <w:color w:val="auto"/>
          <w:highlight w:val="none"/>
        </w:rPr>
        <w:t>日期:</w:t>
      </w:r>
      <w:r>
        <w:rPr>
          <w:rFonts w:hint="eastAsia" w:ascii="华文仿宋" w:hAnsi="华文仿宋" w:eastAsia="华文仿宋" w:cs="华文仿宋"/>
          <w:bCs/>
          <w:color w:val="auto"/>
          <w:sz w:val="24"/>
          <w:highlight w:val="none"/>
          <w:u w:val="single"/>
        </w:rPr>
        <w:t xml:space="preserve">                     </w:t>
      </w:r>
      <w:r>
        <w:rPr>
          <w:rFonts w:hint="eastAsia" w:ascii="仿宋" w:hAnsi="仿宋" w:eastAsia="仿宋" w:cs="仿宋"/>
          <w:color w:val="auto"/>
          <w:highlight w:val="none"/>
        </w:rPr>
        <w:t xml:space="preserve"> </w:t>
      </w:r>
    </w:p>
    <w:p>
      <w:pPr>
        <w:rPr>
          <w:rFonts w:ascii="仿宋" w:hAnsi="仿宋" w:eastAsia="仿宋" w:cs="仿宋"/>
          <w:color w:val="auto"/>
          <w:highlight w:val="none"/>
        </w:rPr>
      </w:pPr>
      <w:r>
        <w:rPr>
          <w:rFonts w:hint="eastAsia" w:ascii="仿宋" w:hAnsi="仿宋" w:eastAsia="仿宋" w:cs="仿宋"/>
          <w:color w:val="auto"/>
          <w:highlight w:val="none"/>
        </w:rPr>
        <w:br w:type="page"/>
      </w:r>
    </w:p>
    <w:p>
      <w:pPr>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分项报价明细表</w:t>
      </w:r>
    </w:p>
    <w:p>
      <w:pPr>
        <w:rPr>
          <w:color w:val="auto"/>
          <w:highlight w:val="none"/>
        </w:rPr>
      </w:pPr>
    </w:p>
    <w:p>
      <w:pPr>
        <w:spacing w:line="480" w:lineRule="auto"/>
        <w:rPr>
          <w:rFonts w:ascii="仿宋" w:hAnsi="仿宋" w:eastAsia="仿宋" w:cs="仿宋"/>
          <w:bCs/>
          <w:color w:val="auto"/>
          <w:sz w:val="24"/>
          <w:highlight w:val="none"/>
          <w:u w:val="single"/>
        </w:rPr>
      </w:pPr>
      <w:r>
        <w:rPr>
          <w:rFonts w:hint="eastAsia" w:ascii="仿宋" w:hAnsi="仿宋" w:eastAsia="仿宋" w:cs="仿宋"/>
          <w:bCs/>
          <w:color w:val="auto"/>
          <w:sz w:val="24"/>
          <w:highlight w:val="none"/>
        </w:rPr>
        <w:t>采购项目名称：</w:t>
      </w:r>
      <w:r>
        <w:rPr>
          <w:rFonts w:hint="eastAsia" w:ascii="华文仿宋" w:hAnsi="华文仿宋" w:eastAsia="华文仿宋" w:cs="华文仿宋"/>
          <w:bCs/>
          <w:color w:val="auto"/>
          <w:sz w:val="24"/>
          <w:highlight w:val="none"/>
          <w:u w:val="single"/>
        </w:rPr>
        <w:t xml:space="preserve">                     </w:t>
      </w:r>
    </w:p>
    <w:p>
      <w:pPr>
        <w:spacing w:line="480" w:lineRule="auto"/>
        <w:rPr>
          <w:rFonts w:ascii="仿宋" w:hAnsi="仿宋" w:eastAsia="仿宋" w:cs="仿宋"/>
          <w:color w:val="auto"/>
          <w:sz w:val="24"/>
          <w:highlight w:val="none"/>
        </w:rPr>
      </w:pPr>
      <w:r>
        <w:rPr>
          <w:rFonts w:hint="eastAsia" w:ascii="仿宋" w:hAnsi="仿宋" w:eastAsia="仿宋" w:cs="仿宋"/>
          <w:bCs/>
          <w:color w:val="auto"/>
          <w:sz w:val="24"/>
          <w:highlight w:val="none"/>
        </w:rPr>
        <w:t>采购项目编号：</w:t>
      </w:r>
      <w:r>
        <w:rPr>
          <w:rFonts w:hint="eastAsia" w:ascii="华文仿宋" w:hAnsi="华文仿宋" w:eastAsia="华文仿宋" w:cs="华文仿宋"/>
          <w:bCs/>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5"/>
        <w:gridCol w:w="1633"/>
        <w:gridCol w:w="937"/>
        <w:gridCol w:w="890"/>
        <w:gridCol w:w="840"/>
        <w:gridCol w:w="841"/>
        <w:gridCol w:w="87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exact"/>
          <w:jc w:val="center"/>
        </w:trPr>
        <w:tc>
          <w:tcPr>
            <w:tcW w:w="877" w:type="dxa"/>
            <w:vAlign w:val="center"/>
          </w:tcPr>
          <w:p>
            <w:pPr>
              <w:widowControl/>
              <w:spacing w:line="360" w:lineRule="atLeast"/>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1275" w:type="dxa"/>
            <w:vAlign w:val="center"/>
          </w:tcPr>
          <w:p>
            <w:pPr>
              <w:widowControl/>
              <w:spacing w:line="360" w:lineRule="atLeast"/>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产品名称</w:t>
            </w:r>
          </w:p>
        </w:tc>
        <w:tc>
          <w:tcPr>
            <w:tcW w:w="1633" w:type="dxa"/>
            <w:vAlign w:val="center"/>
          </w:tcPr>
          <w:p>
            <w:pPr>
              <w:widowControl/>
              <w:spacing w:line="360" w:lineRule="atLeast"/>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制造商家及规格型号</w:t>
            </w:r>
          </w:p>
        </w:tc>
        <w:tc>
          <w:tcPr>
            <w:tcW w:w="937" w:type="dxa"/>
            <w:vAlign w:val="center"/>
          </w:tcPr>
          <w:p>
            <w:pPr>
              <w:widowControl/>
              <w:spacing w:line="360" w:lineRule="atLeast"/>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品牌</w:t>
            </w:r>
          </w:p>
        </w:tc>
        <w:tc>
          <w:tcPr>
            <w:tcW w:w="890" w:type="dxa"/>
            <w:vAlign w:val="center"/>
          </w:tcPr>
          <w:p>
            <w:pPr>
              <w:widowControl/>
              <w:spacing w:line="360" w:lineRule="atLeast"/>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单位</w:t>
            </w:r>
          </w:p>
        </w:tc>
        <w:tc>
          <w:tcPr>
            <w:tcW w:w="840" w:type="dxa"/>
            <w:vAlign w:val="center"/>
          </w:tcPr>
          <w:p>
            <w:pPr>
              <w:widowControl/>
              <w:spacing w:line="360" w:lineRule="atLeast"/>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841" w:type="dxa"/>
            <w:vAlign w:val="center"/>
          </w:tcPr>
          <w:p>
            <w:pPr>
              <w:widowControl/>
              <w:spacing w:line="360" w:lineRule="atLeast"/>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单价</w:t>
            </w:r>
          </w:p>
        </w:tc>
        <w:tc>
          <w:tcPr>
            <w:tcW w:w="876" w:type="dxa"/>
            <w:vAlign w:val="center"/>
          </w:tcPr>
          <w:p>
            <w:pPr>
              <w:widowControl/>
              <w:spacing w:line="360" w:lineRule="atLeast"/>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金额</w:t>
            </w:r>
          </w:p>
        </w:tc>
        <w:tc>
          <w:tcPr>
            <w:tcW w:w="843" w:type="dxa"/>
            <w:vAlign w:val="center"/>
          </w:tcPr>
          <w:p>
            <w:pPr>
              <w:widowControl/>
              <w:spacing w:line="360" w:lineRule="atLeast"/>
              <w:outlineLvl w:val="1"/>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275"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633"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937"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90"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40"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41"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76"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43"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275"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633"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937"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90"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40"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41"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76"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43"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275"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633"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937"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90"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40"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41"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76"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43"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275"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633"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937"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90"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40"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41"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76"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43"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275"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633"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937"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90"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40"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41"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76"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43"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275"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633"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937"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90"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40"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41"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76"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43"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877"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6416" w:type="dxa"/>
            <w:gridSpan w:val="6"/>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color w:val="auto"/>
                <w:sz w:val="24"/>
                <w:highlight w:val="none"/>
              </w:rPr>
            </w:pPr>
            <w:r>
              <w:rPr>
                <w:rFonts w:hint="eastAsia" w:ascii="仿宋" w:hAnsi="仿宋" w:eastAsia="仿宋" w:cs="仿宋"/>
                <w:color w:val="auto"/>
                <w:sz w:val="24"/>
                <w:highlight w:val="none"/>
              </w:rPr>
              <w:t>分项报价合计（万元）：   大写：</w:t>
            </w:r>
          </w:p>
        </w:tc>
        <w:tc>
          <w:tcPr>
            <w:tcW w:w="876"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843"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r>
    </w:tbl>
    <w:p>
      <w:pPr>
        <w:rPr>
          <w:color w:val="auto"/>
          <w:highlight w:val="none"/>
        </w:rPr>
      </w:pPr>
    </w:p>
    <w:p>
      <w:pPr>
        <w:rPr>
          <w:rFonts w:ascii="仿宋" w:hAnsi="仿宋" w:eastAsia="仿宋" w:cs="仿宋"/>
          <w:color w:val="auto"/>
          <w:highlight w:val="none"/>
        </w:rPr>
      </w:pPr>
      <w:r>
        <w:rPr>
          <w:rFonts w:hint="eastAsia" w:ascii="仿宋" w:hAnsi="仿宋" w:eastAsia="仿宋" w:cs="仿宋"/>
          <w:color w:val="auto"/>
          <w:highlight w:val="none"/>
        </w:rPr>
        <w:t>注：“分项报价明细表”各分项报价合计应当与“开标一览表”报价合计相等。</w:t>
      </w:r>
    </w:p>
    <w:p>
      <w:pPr>
        <w:rPr>
          <w:color w:val="auto"/>
          <w:highlight w:val="none"/>
        </w:rPr>
      </w:pPr>
    </w:p>
    <w:p>
      <w:pPr>
        <w:spacing w:line="360" w:lineRule="auto"/>
        <w:rPr>
          <w:rFonts w:ascii="仿宋" w:hAnsi="仿宋" w:eastAsia="仿宋" w:cs="仿宋"/>
          <w:color w:val="auto"/>
          <w:highlight w:val="none"/>
          <w:u w:val="single"/>
        </w:rPr>
      </w:pPr>
      <w:r>
        <w:rPr>
          <w:rFonts w:hint="eastAsia" w:ascii="仿宋" w:hAnsi="仿宋" w:eastAsia="仿宋" w:cs="仿宋"/>
          <w:color w:val="auto"/>
          <w:highlight w:val="none"/>
        </w:rPr>
        <w:t>投标人名称（公章）：</w:t>
      </w:r>
      <w:r>
        <w:rPr>
          <w:rFonts w:hint="eastAsia" w:ascii="华文仿宋" w:hAnsi="华文仿宋" w:eastAsia="华文仿宋" w:cs="华文仿宋"/>
          <w:bCs/>
          <w:color w:val="auto"/>
          <w:sz w:val="24"/>
          <w:highlight w:val="none"/>
          <w:u w:val="single"/>
        </w:rPr>
        <w:t xml:space="preserve">                     </w:t>
      </w:r>
    </w:p>
    <w:p>
      <w:pPr>
        <w:spacing w:line="360" w:lineRule="auto"/>
        <w:rPr>
          <w:rFonts w:ascii="仿宋" w:hAnsi="仿宋" w:eastAsia="仿宋" w:cs="仿宋"/>
          <w:color w:val="auto"/>
          <w:highlight w:val="none"/>
          <w:u w:val="single"/>
        </w:rPr>
      </w:pPr>
      <w:r>
        <w:rPr>
          <w:rFonts w:hint="eastAsia" w:ascii="仿宋" w:hAnsi="仿宋" w:eastAsia="仿宋" w:cs="仿宋"/>
          <w:color w:val="auto"/>
          <w:highlight w:val="none"/>
        </w:rPr>
        <w:t>法定代表人或代理人（签字或加盖印章）：</w:t>
      </w:r>
      <w:r>
        <w:rPr>
          <w:rFonts w:hint="eastAsia" w:ascii="华文仿宋" w:hAnsi="华文仿宋" w:eastAsia="华文仿宋" w:cs="华文仿宋"/>
          <w:bCs/>
          <w:color w:val="auto"/>
          <w:sz w:val="24"/>
          <w:highlight w:val="none"/>
          <w:u w:val="single"/>
        </w:rPr>
        <w:t xml:space="preserve">                     </w:t>
      </w:r>
    </w:p>
    <w:p>
      <w:pPr>
        <w:spacing w:line="360" w:lineRule="auto"/>
        <w:jc w:val="left"/>
        <w:rPr>
          <w:rFonts w:ascii="仿宋" w:hAnsi="仿宋" w:eastAsia="仿宋" w:cs="仿宋"/>
          <w:color w:val="auto"/>
          <w:highlight w:val="none"/>
        </w:rPr>
      </w:pPr>
      <w:r>
        <w:rPr>
          <w:rFonts w:hint="eastAsia" w:ascii="仿宋" w:hAnsi="仿宋" w:eastAsia="仿宋" w:cs="仿宋"/>
          <w:color w:val="auto"/>
          <w:highlight w:val="none"/>
        </w:rPr>
        <w:t>日期:</w:t>
      </w:r>
      <w:r>
        <w:rPr>
          <w:rFonts w:hint="eastAsia" w:ascii="华文仿宋" w:hAnsi="华文仿宋" w:eastAsia="华文仿宋" w:cs="华文仿宋"/>
          <w:bCs/>
          <w:color w:val="auto"/>
          <w:sz w:val="24"/>
          <w:highlight w:val="none"/>
          <w:u w:val="single"/>
        </w:rPr>
        <w:t xml:space="preserve">                     </w:t>
      </w:r>
      <w:r>
        <w:rPr>
          <w:rFonts w:hint="eastAsia" w:ascii="仿宋" w:hAnsi="仿宋" w:eastAsia="仿宋" w:cs="仿宋"/>
          <w:color w:val="auto"/>
          <w:highlight w:val="none"/>
        </w:rPr>
        <w:t xml:space="preserve"> </w:t>
      </w:r>
    </w:p>
    <w:p>
      <w:pPr>
        <w:rPr>
          <w:rFonts w:ascii="仿宋" w:hAnsi="仿宋" w:eastAsia="仿宋" w:cs="仿宋"/>
          <w:color w:val="auto"/>
          <w:highlight w:val="none"/>
        </w:rPr>
      </w:pPr>
    </w:p>
    <w:p>
      <w:pPr>
        <w:pStyle w:val="9"/>
        <w:rPr>
          <w:color w:val="auto"/>
          <w:highlight w:val="none"/>
        </w:rPr>
      </w:pPr>
    </w:p>
    <w:p>
      <w:pPr>
        <w:rPr>
          <w:rFonts w:ascii="仿宋" w:hAnsi="仿宋" w:eastAsia="仿宋" w:cs="仿宋"/>
          <w:color w:val="auto"/>
          <w:highlight w:val="none"/>
        </w:rPr>
      </w:pPr>
      <w:r>
        <w:rPr>
          <w:rFonts w:hint="eastAsia" w:ascii="仿宋" w:hAnsi="仿宋" w:eastAsia="仿宋" w:cs="仿宋"/>
          <w:color w:val="auto"/>
          <w:highlight w:val="none"/>
        </w:rPr>
        <w:br w:type="page"/>
      </w:r>
    </w:p>
    <w:p>
      <w:pPr>
        <w:jc w:val="center"/>
        <w:rPr>
          <w:rFonts w:ascii="仿宋" w:hAnsi="仿宋" w:eastAsia="仿宋" w:cs="仿宋"/>
          <w:bCs/>
          <w:color w:val="auto"/>
          <w:sz w:val="24"/>
          <w:highlight w:val="none"/>
        </w:rPr>
      </w:pPr>
      <w:r>
        <w:rPr>
          <w:rFonts w:hint="eastAsia" w:ascii="仿宋" w:hAnsi="仿宋" w:eastAsia="仿宋" w:cs="仿宋"/>
          <w:b/>
          <w:color w:val="auto"/>
          <w:sz w:val="32"/>
          <w:szCs w:val="32"/>
          <w:highlight w:val="none"/>
        </w:rPr>
        <w:t>开标一览表（包件二）</w:t>
      </w:r>
    </w:p>
    <w:p>
      <w:pPr>
        <w:pStyle w:val="9"/>
        <w:rPr>
          <w:rFonts w:ascii="仿宋" w:hAnsi="仿宋" w:eastAsia="仿宋" w:cs="仿宋"/>
          <w:color w:val="auto"/>
          <w:highlight w:val="none"/>
        </w:rPr>
      </w:pPr>
    </w:p>
    <w:p>
      <w:pPr>
        <w:pStyle w:val="9"/>
        <w:rPr>
          <w:rFonts w:ascii="仿宋" w:hAnsi="仿宋" w:eastAsia="仿宋" w:cs="仿宋"/>
          <w:color w:val="auto"/>
          <w:highlight w:val="none"/>
        </w:rPr>
      </w:pPr>
    </w:p>
    <w:p>
      <w:pPr>
        <w:spacing w:line="480" w:lineRule="auto"/>
        <w:rPr>
          <w:rFonts w:ascii="仿宋" w:hAnsi="仿宋" w:eastAsia="仿宋" w:cs="仿宋"/>
          <w:bCs/>
          <w:color w:val="auto"/>
          <w:sz w:val="24"/>
          <w:highlight w:val="none"/>
          <w:u w:val="single"/>
        </w:rPr>
      </w:pPr>
      <w:r>
        <w:rPr>
          <w:rFonts w:hint="eastAsia" w:ascii="仿宋" w:hAnsi="仿宋" w:eastAsia="仿宋" w:cs="仿宋"/>
          <w:bCs/>
          <w:color w:val="auto"/>
          <w:sz w:val="24"/>
          <w:highlight w:val="none"/>
        </w:rPr>
        <w:t>采购项目名称：</w:t>
      </w:r>
      <w:r>
        <w:rPr>
          <w:rFonts w:hint="eastAsia" w:ascii="华文仿宋" w:hAnsi="华文仿宋" w:eastAsia="华文仿宋" w:cs="华文仿宋"/>
          <w:bCs/>
          <w:color w:val="auto"/>
          <w:sz w:val="24"/>
          <w:highlight w:val="none"/>
          <w:u w:val="single"/>
        </w:rPr>
        <w:t xml:space="preserve">                     </w:t>
      </w:r>
    </w:p>
    <w:p>
      <w:pPr>
        <w:spacing w:line="480" w:lineRule="auto"/>
        <w:rPr>
          <w:rFonts w:ascii="仿宋" w:hAnsi="仿宋" w:eastAsia="仿宋" w:cs="仿宋"/>
          <w:bCs/>
          <w:color w:val="auto"/>
          <w:sz w:val="24"/>
          <w:highlight w:val="none"/>
          <w:u w:val="single"/>
        </w:rPr>
      </w:pPr>
      <w:r>
        <w:rPr>
          <w:rFonts w:hint="eastAsia" w:ascii="仿宋" w:hAnsi="仿宋" w:eastAsia="仿宋" w:cs="仿宋"/>
          <w:bCs/>
          <w:color w:val="auto"/>
          <w:sz w:val="24"/>
          <w:highlight w:val="none"/>
        </w:rPr>
        <w:t>采购项目编号：</w:t>
      </w:r>
      <w:r>
        <w:rPr>
          <w:rFonts w:hint="eastAsia" w:ascii="华文仿宋" w:hAnsi="华文仿宋" w:eastAsia="华文仿宋" w:cs="华文仿宋"/>
          <w:bCs/>
          <w:color w:val="auto"/>
          <w:sz w:val="24"/>
          <w:highlight w:val="none"/>
          <w:u w:val="single"/>
        </w:rPr>
        <w:t xml:space="preserve">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2285"/>
        <w:gridCol w:w="2101"/>
        <w:gridCol w:w="1377"/>
        <w:gridCol w:w="1843"/>
        <w:gridCol w:w="9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jc w:val="center"/>
        </w:trPr>
        <w:tc>
          <w:tcPr>
            <w:tcW w:w="624" w:type="dxa"/>
            <w:vAlign w:val="center"/>
          </w:tcPr>
          <w:p>
            <w:pPr>
              <w:widowControl/>
              <w:spacing w:line="360" w:lineRule="atLeast"/>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285" w:type="dxa"/>
            <w:vAlign w:val="center"/>
          </w:tcPr>
          <w:p>
            <w:pPr>
              <w:widowControl/>
              <w:spacing w:line="360" w:lineRule="atLeast"/>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项目</w:t>
            </w:r>
          </w:p>
          <w:p>
            <w:pPr>
              <w:widowControl/>
              <w:spacing w:line="360" w:lineRule="atLeast"/>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名称</w:t>
            </w:r>
          </w:p>
        </w:tc>
        <w:tc>
          <w:tcPr>
            <w:tcW w:w="2101" w:type="dxa"/>
            <w:vAlign w:val="center"/>
          </w:tcPr>
          <w:p>
            <w:pPr>
              <w:widowControl/>
              <w:spacing w:line="360" w:lineRule="atLeast"/>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服务内容</w:t>
            </w:r>
          </w:p>
        </w:tc>
        <w:tc>
          <w:tcPr>
            <w:tcW w:w="1377" w:type="dxa"/>
            <w:vAlign w:val="center"/>
          </w:tcPr>
          <w:p>
            <w:pPr>
              <w:widowControl/>
              <w:spacing w:line="360" w:lineRule="atLeast"/>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服务时间</w:t>
            </w:r>
          </w:p>
        </w:tc>
        <w:tc>
          <w:tcPr>
            <w:tcW w:w="1843" w:type="dxa"/>
            <w:vAlign w:val="center"/>
          </w:tcPr>
          <w:p>
            <w:pPr>
              <w:widowControl/>
              <w:spacing w:line="360" w:lineRule="atLeast"/>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报价（万元）</w:t>
            </w:r>
          </w:p>
        </w:tc>
        <w:tc>
          <w:tcPr>
            <w:tcW w:w="902" w:type="dxa"/>
            <w:vAlign w:val="center"/>
          </w:tcPr>
          <w:p>
            <w:pPr>
              <w:widowControl/>
              <w:spacing w:line="360" w:lineRule="atLeast"/>
              <w:ind w:left="-8" w:leftChars="-4" w:firstLine="84" w:firstLineChars="35"/>
              <w:jc w:val="center"/>
              <w:outlineLvl w:val="1"/>
              <w:rPr>
                <w:rFonts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2" w:hRule="atLeast"/>
          <w:jc w:val="center"/>
        </w:trPr>
        <w:tc>
          <w:tcPr>
            <w:tcW w:w="624" w:type="dxa"/>
          </w:tcPr>
          <w:p>
            <w:pPr>
              <w:widowControl/>
              <w:spacing w:line="360" w:lineRule="atLeast"/>
              <w:ind w:firstLine="470" w:firstLineChars="196"/>
              <w:jc w:val="left"/>
              <w:outlineLvl w:val="1"/>
              <w:rPr>
                <w:rFonts w:ascii="仿宋" w:hAnsi="仿宋" w:eastAsia="仿宋" w:cs="仿宋"/>
                <w:color w:val="auto"/>
                <w:sz w:val="24"/>
                <w:highlight w:val="none"/>
              </w:rPr>
            </w:pPr>
          </w:p>
        </w:tc>
        <w:tc>
          <w:tcPr>
            <w:tcW w:w="2285"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2101"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377"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843"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c>
          <w:tcPr>
            <w:tcW w:w="902" w:type="dxa"/>
            <w:vAlign w:val="center"/>
          </w:tcPr>
          <w:p>
            <w:pPr>
              <w:widowControl/>
              <w:spacing w:line="360" w:lineRule="atLeast"/>
              <w:ind w:firstLine="470" w:firstLineChars="196"/>
              <w:jc w:val="left"/>
              <w:outlineLvl w:val="1"/>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624" w:type="dxa"/>
            <w:tcBorders>
              <w:bottom w:val="single" w:color="auto" w:sz="4" w:space="0"/>
              <w:right w:val="single" w:color="auto" w:sz="4" w:space="0"/>
            </w:tcBorders>
            <w:vAlign w:val="center"/>
          </w:tcPr>
          <w:p>
            <w:pPr>
              <w:widowControl/>
              <w:spacing w:line="360" w:lineRule="atLeast"/>
              <w:outlineLvl w:val="1"/>
              <w:rPr>
                <w:rFonts w:ascii="仿宋" w:hAnsi="仿宋" w:eastAsia="仿宋" w:cs="仿宋"/>
                <w:color w:val="auto"/>
                <w:sz w:val="24"/>
                <w:highlight w:val="none"/>
              </w:rPr>
            </w:pPr>
          </w:p>
        </w:tc>
        <w:tc>
          <w:tcPr>
            <w:tcW w:w="8508" w:type="dxa"/>
            <w:gridSpan w:val="5"/>
            <w:tcBorders>
              <w:left w:val="single" w:color="auto" w:sz="4" w:space="0"/>
              <w:bottom w:val="single" w:color="auto" w:sz="4" w:space="0"/>
            </w:tcBorders>
            <w:vAlign w:val="center"/>
          </w:tcPr>
          <w:p>
            <w:pPr>
              <w:widowControl/>
              <w:spacing w:line="360" w:lineRule="atLeast"/>
              <w:outlineLvl w:val="1"/>
              <w:rPr>
                <w:rFonts w:ascii="仿宋" w:hAnsi="仿宋" w:eastAsia="仿宋" w:cs="仿宋"/>
                <w:color w:val="auto"/>
                <w:sz w:val="24"/>
                <w:highlight w:val="none"/>
              </w:rPr>
            </w:pPr>
            <w:r>
              <w:rPr>
                <w:rFonts w:hint="eastAsia" w:ascii="仿宋" w:hAnsi="仿宋" w:eastAsia="仿宋" w:cs="仿宋"/>
                <w:color w:val="auto"/>
                <w:sz w:val="24"/>
                <w:highlight w:val="none"/>
              </w:rPr>
              <w:t>报价合计（万元）：          大写：</w:t>
            </w:r>
          </w:p>
        </w:tc>
      </w:tr>
    </w:tbl>
    <w:p>
      <w:pPr>
        <w:rPr>
          <w:rFonts w:ascii="仿宋" w:hAnsi="仿宋" w:eastAsia="仿宋" w:cs="仿宋"/>
          <w:color w:val="auto"/>
          <w:highlight w:val="none"/>
        </w:rPr>
      </w:pPr>
    </w:p>
    <w:p>
      <w:pPr>
        <w:spacing w:line="360" w:lineRule="auto"/>
        <w:rPr>
          <w:rFonts w:ascii="仿宋" w:hAnsi="仿宋" w:eastAsia="仿宋" w:cs="仿宋"/>
          <w:color w:val="auto"/>
          <w:highlight w:val="none"/>
        </w:rPr>
      </w:pPr>
      <w:r>
        <w:rPr>
          <w:rFonts w:hint="eastAsia" w:ascii="仿宋" w:hAnsi="仿宋" w:eastAsia="仿宋" w:cs="仿宋"/>
          <w:color w:val="auto"/>
          <w:highlight w:val="none"/>
        </w:rPr>
        <w:t xml:space="preserve">注：1. 报价应是最终用户验收合格后的总价，包括设备运输、保险、代理、安装调试、培训、税费、系统集成费用和招标文件规定的其它费用。 </w:t>
      </w:r>
    </w:p>
    <w:p>
      <w:pPr>
        <w:spacing w:line="360" w:lineRule="auto"/>
        <w:rPr>
          <w:rFonts w:ascii="仿宋" w:hAnsi="仿宋" w:eastAsia="仿宋" w:cs="仿宋"/>
          <w:color w:val="auto"/>
          <w:highlight w:val="none"/>
        </w:rPr>
      </w:pPr>
      <w:r>
        <w:rPr>
          <w:rFonts w:hint="eastAsia" w:ascii="仿宋" w:hAnsi="仿宋" w:eastAsia="仿宋" w:cs="仿宋"/>
          <w:color w:val="auto"/>
          <w:highlight w:val="none"/>
        </w:rPr>
        <w:t>2.“开标一览表”为多页的，每页均需由法定代表人或授权代表签字并盖投标人印章。</w:t>
      </w:r>
    </w:p>
    <w:p>
      <w:pPr>
        <w:spacing w:line="360" w:lineRule="auto"/>
        <w:rPr>
          <w:rFonts w:ascii="仿宋" w:hAnsi="仿宋" w:eastAsia="仿宋" w:cs="仿宋"/>
          <w:color w:val="auto"/>
          <w:highlight w:val="none"/>
        </w:rPr>
      </w:pPr>
      <w:r>
        <w:rPr>
          <w:rFonts w:hint="eastAsia" w:ascii="仿宋" w:hAnsi="仿宋" w:eastAsia="仿宋" w:cs="仿宋"/>
          <w:color w:val="auto"/>
          <w:highlight w:val="none"/>
        </w:rPr>
        <w:t>3、“开标一览表”以包为单位填写。</w:t>
      </w:r>
    </w:p>
    <w:p>
      <w:pPr>
        <w:spacing w:line="360" w:lineRule="auto"/>
        <w:rPr>
          <w:rFonts w:ascii="仿宋" w:hAnsi="仿宋" w:eastAsia="仿宋" w:cs="仿宋"/>
          <w:color w:val="auto"/>
          <w:highlight w:val="none"/>
        </w:rPr>
      </w:pPr>
    </w:p>
    <w:p>
      <w:pPr>
        <w:spacing w:line="360" w:lineRule="auto"/>
        <w:rPr>
          <w:rFonts w:ascii="仿宋" w:hAnsi="仿宋" w:eastAsia="仿宋" w:cs="仿宋"/>
          <w:color w:val="auto"/>
          <w:highlight w:val="none"/>
          <w:u w:val="single"/>
        </w:rPr>
      </w:pPr>
      <w:r>
        <w:rPr>
          <w:rFonts w:hint="eastAsia" w:ascii="仿宋" w:hAnsi="仿宋" w:eastAsia="仿宋" w:cs="仿宋"/>
          <w:color w:val="auto"/>
          <w:highlight w:val="none"/>
        </w:rPr>
        <w:t>投标人名称（公章）：</w:t>
      </w:r>
      <w:r>
        <w:rPr>
          <w:rFonts w:hint="eastAsia" w:ascii="华文仿宋" w:hAnsi="华文仿宋" w:eastAsia="华文仿宋" w:cs="华文仿宋"/>
          <w:bCs/>
          <w:color w:val="auto"/>
          <w:sz w:val="24"/>
          <w:highlight w:val="none"/>
          <w:u w:val="single"/>
        </w:rPr>
        <w:t xml:space="preserve">                     </w:t>
      </w:r>
    </w:p>
    <w:p>
      <w:pPr>
        <w:spacing w:line="360" w:lineRule="auto"/>
        <w:rPr>
          <w:rFonts w:ascii="仿宋" w:hAnsi="仿宋" w:eastAsia="仿宋" w:cs="仿宋"/>
          <w:color w:val="auto"/>
          <w:highlight w:val="none"/>
          <w:u w:val="single"/>
        </w:rPr>
      </w:pPr>
      <w:r>
        <w:rPr>
          <w:rFonts w:hint="eastAsia" w:ascii="仿宋" w:hAnsi="仿宋" w:eastAsia="仿宋" w:cs="仿宋"/>
          <w:color w:val="auto"/>
          <w:highlight w:val="none"/>
        </w:rPr>
        <w:t>法定代表人或代理人（签字或加盖印章）：</w:t>
      </w:r>
      <w:r>
        <w:rPr>
          <w:rFonts w:hint="eastAsia" w:ascii="华文仿宋" w:hAnsi="华文仿宋" w:eastAsia="华文仿宋" w:cs="华文仿宋"/>
          <w:bCs/>
          <w:color w:val="auto"/>
          <w:sz w:val="24"/>
          <w:highlight w:val="none"/>
          <w:u w:val="single"/>
        </w:rPr>
        <w:t xml:space="preserve">                     </w:t>
      </w:r>
    </w:p>
    <w:p>
      <w:pPr>
        <w:spacing w:line="360" w:lineRule="auto"/>
        <w:jc w:val="left"/>
        <w:rPr>
          <w:rFonts w:ascii="仿宋" w:hAnsi="仿宋" w:eastAsia="仿宋" w:cs="仿宋"/>
          <w:color w:val="auto"/>
          <w:highlight w:val="none"/>
          <w:u w:val="single"/>
        </w:rPr>
      </w:pPr>
      <w:r>
        <w:rPr>
          <w:rFonts w:hint="eastAsia" w:ascii="仿宋" w:hAnsi="仿宋" w:eastAsia="仿宋" w:cs="仿宋"/>
          <w:color w:val="auto"/>
          <w:highlight w:val="none"/>
        </w:rPr>
        <w:t>日期:</w:t>
      </w:r>
      <w:r>
        <w:rPr>
          <w:rFonts w:hint="eastAsia" w:ascii="华文仿宋" w:hAnsi="华文仿宋" w:eastAsia="华文仿宋" w:cs="华文仿宋"/>
          <w:bCs/>
          <w:color w:val="auto"/>
          <w:sz w:val="24"/>
          <w:highlight w:val="none"/>
          <w:u w:val="single"/>
        </w:rPr>
        <w:t xml:space="preserve">                     </w:t>
      </w:r>
      <w:r>
        <w:rPr>
          <w:rFonts w:hint="eastAsia" w:ascii="仿宋" w:hAnsi="仿宋" w:eastAsia="仿宋" w:cs="仿宋"/>
          <w:color w:val="auto"/>
          <w:highlight w:val="none"/>
        </w:rPr>
        <w:t xml:space="preserve"> </w:t>
      </w:r>
    </w:p>
    <w:p>
      <w:pPr>
        <w:pStyle w:val="9"/>
        <w:rPr>
          <w:color w:val="auto"/>
          <w:highlight w:val="none"/>
        </w:rPr>
      </w:pPr>
    </w:p>
    <w:p>
      <w:pPr>
        <w:spacing w:line="360" w:lineRule="auto"/>
        <w:jc w:val="center"/>
        <w:rPr>
          <w:rFonts w:ascii="仿宋" w:hAnsi="仿宋" w:eastAsia="仿宋" w:cs="仿宋"/>
          <w:color w:val="auto"/>
          <w:highlight w:val="none"/>
        </w:rPr>
      </w:pPr>
    </w:p>
    <w:p>
      <w:pP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br w:type="page"/>
      </w:r>
    </w:p>
    <w:p>
      <w:pPr>
        <w:spacing w:line="360" w:lineRule="auto"/>
        <w:jc w:val="center"/>
        <w:rPr>
          <w:color w:val="auto"/>
          <w:highlight w:val="none"/>
        </w:rPr>
      </w:pPr>
      <w:r>
        <w:rPr>
          <w:rFonts w:hint="eastAsia" w:ascii="仿宋" w:hAnsi="仿宋" w:eastAsia="仿宋" w:cs="仿宋"/>
          <w:b/>
          <w:color w:val="auto"/>
          <w:sz w:val="30"/>
          <w:szCs w:val="30"/>
          <w:highlight w:val="none"/>
        </w:rPr>
        <w:t>“资格性投标文件”格式</w:t>
      </w:r>
      <w:r>
        <w:rPr>
          <w:rFonts w:hint="eastAsia" w:ascii="仿宋" w:hAnsi="仿宋" w:eastAsia="仿宋" w:cs="仿宋"/>
          <w:bCs/>
          <w:color w:val="auto"/>
          <w:highlight w:val="none"/>
        </w:rPr>
        <w:br w:type="page"/>
      </w:r>
      <w:r>
        <w:rPr>
          <w:rFonts w:hint="eastAsia" w:ascii="仿宋" w:hAnsi="仿宋" w:eastAsia="仿宋"/>
          <w:b/>
          <w:color w:val="auto"/>
          <w:sz w:val="24"/>
          <w:highlight w:val="none"/>
        </w:rPr>
        <w:t>一、法定代表人/单位负责人授权书</w:t>
      </w:r>
    </w:p>
    <w:p>
      <w:pPr>
        <w:widowControl/>
        <w:spacing w:line="360" w:lineRule="atLeast"/>
        <w:jc w:val="left"/>
        <w:rPr>
          <w:rFonts w:ascii="华文仿宋" w:hAnsi="华文仿宋" w:eastAsia="华文仿宋" w:cs="华文仿宋"/>
          <w:b/>
          <w:color w:val="auto"/>
          <w:sz w:val="24"/>
          <w:highlight w:val="none"/>
        </w:rPr>
      </w:pPr>
    </w:p>
    <w:p>
      <w:pPr>
        <w:widowControl/>
        <w:spacing w:line="360" w:lineRule="auto"/>
        <w:jc w:val="left"/>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（采购代理机构名称）：</w:t>
      </w:r>
    </w:p>
    <w:p>
      <w:pPr>
        <w:widowControl/>
        <w:spacing w:line="360" w:lineRule="auto"/>
        <w:ind w:firstLine="470" w:firstLineChars="196"/>
        <w:jc w:val="left"/>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本授权声明：</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（投标人名称）</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（法定代表人/单位负责人姓名、职务）授权</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（被授权人姓名、职务、身份证号码）为我方参加“</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 项目（采购项目编号：</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）投标活动的合法代表，以我方名义全权处理该项目有关投标、签订合同以及执行合同等一切事宜，我单位均予承认，所产生的法律后果均由我单位承担。</w:t>
      </w:r>
    </w:p>
    <w:p>
      <w:pPr>
        <w:widowControl/>
        <w:spacing w:line="360" w:lineRule="auto"/>
        <w:ind w:firstLine="470" w:firstLineChars="196"/>
        <w:jc w:val="left"/>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特此声明。</w:t>
      </w:r>
    </w:p>
    <w:p>
      <w:pPr>
        <w:widowControl/>
        <w:spacing w:line="360" w:lineRule="auto"/>
        <w:ind w:firstLine="470" w:firstLineChars="196"/>
        <w:jc w:val="left"/>
        <w:rPr>
          <w:rFonts w:ascii="华文仿宋" w:hAnsi="华文仿宋" w:eastAsia="华文仿宋" w:cs="华文仿宋"/>
          <w:color w:val="auto"/>
          <w:sz w:val="24"/>
          <w:highlight w:val="none"/>
        </w:rPr>
      </w:pPr>
    </w:p>
    <w:p>
      <w:pPr>
        <w:pStyle w:val="9"/>
        <w:rPr>
          <w:rFonts w:ascii="华文仿宋" w:hAnsi="华文仿宋" w:eastAsia="华文仿宋" w:cs="华文仿宋"/>
          <w:color w:val="auto"/>
          <w:sz w:val="24"/>
          <w:highlight w:val="none"/>
        </w:rPr>
      </w:pPr>
    </w:p>
    <w:p>
      <w:pPr>
        <w:rPr>
          <w:rFonts w:ascii="华文仿宋" w:hAnsi="华文仿宋" w:eastAsia="华文仿宋" w:cs="华文仿宋"/>
          <w:color w:val="auto"/>
          <w:sz w:val="24"/>
          <w:highlight w:val="none"/>
        </w:rPr>
      </w:pPr>
    </w:p>
    <w:p>
      <w:pPr>
        <w:pStyle w:val="9"/>
        <w:rPr>
          <w:rFonts w:ascii="华文仿宋" w:hAnsi="华文仿宋" w:eastAsia="华文仿宋" w:cs="华文仿宋"/>
          <w:color w:val="auto"/>
          <w:highlight w:val="none"/>
        </w:rPr>
      </w:pPr>
    </w:p>
    <w:p>
      <w:pPr>
        <w:widowControl/>
        <w:spacing w:line="360" w:lineRule="auto"/>
        <w:ind w:firstLine="470" w:firstLineChars="196"/>
        <w:jc w:val="left"/>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法定代表人/单位负责人：</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（签字或盖章）</w:t>
      </w:r>
    </w:p>
    <w:p>
      <w:pPr>
        <w:widowControl/>
        <w:spacing w:line="360" w:lineRule="auto"/>
        <w:ind w:firstLine="470" w:firstLineChars="196"/>
        <w:jc w:val="left"/>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授权代表：</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（签字或盖章）</w:t>
      </w:r>
    </w:p>
    <w:p>
      <w:pPr>
        <w:widowControl/>
        <w:spacing w:line="360" w:lineRule="auto"/>
        <w:ind w:firstLine="470" w:firstLineChars="196"/>
        <w:jc w:val="left"/>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投标人名称：</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（盖单位章）</w:t>
      </w:r>
    </w:p>
    <w:p>
      <w:pPr>
        <w:widowControl/>
        <w:spacing w:line="360" w:lineRule="auto"/>
        <w:ind w:firstLine="470" w:firstLineChars="196"/>
        <w:jc w:val="left"/>
        <w:rPr>
          <w:rFonts w:ascii="华文仿宋" w:hAnsi="华文仿宋" w:eastAsia="华文仿宋" w:cs="华文仿宋"/>
          <w:color w:val="auto"/>
          <w:sz w:val="24"/>
          <w:highlight w:val="none"/>
          <w:u w:val="single"/>
        </w:rPr>
      </w:pPr>
      <w:r>
        <w:rPr>
          <w:rFonts w:hint="eastAsia" w:ascii="华文仿宋" w:hAnsi="华文仿宋" w:eastAsia="华文仿宋" w:cs="华文仿宋"/>
          <w:color w:val="auto"/>
          <w:sz w:val="24"/>
          <w:highlight w:val="none"/>
        </w:rPr>
        <w:t>日期：</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年</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月</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日</w:t>
      </w:r>
    </w:p>
    <w:p>
      <w:pPr>
        <w:widowControl/>
        <w:spacing w:line="360" w:lineRule="auto"/>
        <w:ind w:firstLine="470" w:firstLineChars="196"/>
        <w:jc w:val="left"/>
        <w:rPr>
          <w:rFonts w:ascii="仿宋" w:hAnsi="仿宋" w:eastAsia="仿宋" w:cs="仿宋"/>
          <w:color w:val="auto"/>
          <w:sz w:val="24"/>
          <w:highlight w:val="none"/>
          <w:u w:val="single"/>
        </w:rPr>
      </w:pPr>
    </w:p>
    <w:p>
      <w:pPr>
        <w:widowControl/>
        <w:spacing w:line="360" w:lineRule="auto"/>
        <w:jc w:val="left"/>
        <w:rPr>
          <w:rFonts w:ascii="仿宋" w:hAnsi="仿宋" w:eastAsia="仿宋" w:cs="仿宋"/>
          <w:b/>
          <w:color w:val="auto"/>
          <w:sz w:val="24"/>
          <w:highlight w:val="none"/>
        </w:rPr>
      </w:pPr>
      <w:bookmarkStart w:id="24" w:name="_Toc217446084"/>
    </w:p>
    <w:p>
      <w:pPr>
        <w:widowControl/>
        <w:spacing w:line="360" w:lineRule="auto"/>
        <w:jc w:val="left"/>
        <w:rPr>
          <w:rFonts w:ascii="仿宋" w:hAnsi="仿宋" w:eastAsia="仿宋" w:cs="仿宋"/>
          <w:b/>
          <w:color w:val="auto"/>
          <w:sz w:val="24"/>
          <w:highlight w:val="none"/>
        </w:rPr>
      </w:pPr>
    </w:p>
    <w:p>
      <w:pPr>
        <w:widowControl/>
        <w:spacing w:line="360" w:lineRule="auto"/>
        <w:jc w:val="left"/>
        <w:rPr>
          <w:rFonts w:ascii="仿宋" w:hAnsi="仿宋" w:eastAsia="仿宋" w:cs="仿宋"/>
          <w:b/>
          <w:color w:val="auto"/>
          <w:sz w:val="24"/>
          <w:highlight w:val="none"/>
        </w:rPr>
      </w:pPr>
    </w:p>
    <w:p>
      <w:pPr>
        <w:spacing w:line="360" w:lineRule="auto"/>
        <w:ind w:left="840" w:hanging="840" w:hangingChars="350"/>
        <w:jc w:val="left"/>
        <w:rPr>
          <w:rFonts w:ascii="仿宋" w:hAnsi="仿宋" w:eastAsia="仿宋" w:cs="仿宋"/>
          <w:color w:val="auto"/>
          <w:sz w:val="24"/>
          <w:highlight w:val="none"/>
        </w:rPr>
      </w:pPr>
      <w:r>
        <w:rPr>
          <w:rFonts w:hint="eastAsia" w:ascii="仿宋" w:hAnsi="仿宋" w:eastAsia="仿宋" w:cs="仿宋"/>
          <w:color w:val="auto"/>
          <w:sz w:val="24"/>
          <w:highlight w:val="none"/>
        </w:rPr>
        <w:t>注：</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1、法定代表人/单位负责人不亲自参加投标，而授权代表参加投标的适用。</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2、投标人为法人单位时提供“法定代表人授权书”，投标人为其他组织时提供“单位负责人授权书”，投标人为自然人时提供“自然人身份证明材料”。</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3、应附法定代表人/单位负责人身份证明材料复印件和授权代表身份证明材料复印件。</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4、身份证明材料包括居民身份证或户口本或军官证或护照等。</w:t>
      </w:r>
    </w:p>
    <w:p>
      <w:pPr>
        <w:spacing w:line="360" w:lineRule="auto"/>
        <w:ind w:firstLine="480" w:firstLineChars="200"/>
        <w:rPr>
          <w:rFonts w:ascii="仿宋" w:hAnsi="仿宋" w:eastAsia="仿宋" w:cs="仿宋"/>
          <w:b/>
          <w:color w:val="auto"/>
          <w:sz w:val="28"/>
          <w:szCs w:val="28"/>
          <w:highlight w:val="none"/>
        </w:rPr>
      </w:pPr>
      <w:r>
        <w:rPr>
          <w:rFonts w:hint="eastAsia" w:ascii="仿宋" w:hAnsi="仿宋" w:eastAsia="仿宋" w:cs="仿宋"/>
          <w:color w:val="auto"/>
          <w:sz w:val="24"/>
          <w:highlight w:val="none"/>
        </w:rPr>
        <w:t>5、身份证明材料应同时提供其在有效期的材料，如居民身份证正、反面复印件。</w:t>
      </w:r>
      <w:bookmarkEnd w:id="24"/>
    </w:p>
    <w:p>
      <w:pPr>
        <w:pStyle w:val="9"/>
        <w:rPr>
          <w:rFonts w:ascii="仿宋" w:hAnsi="仿宋" w:eastAsia="仿宋" w:cs="仿宋"/>
          <w:color w:val="auto"/>
          <w:highlight w:val="none"/>
        </w:rPr>
      </w:pPr>
      <w:r>
        <w:rPr>
          <w:rFonts w:hint="eastAsia" w:ascii="仿宋" w:hAnsi="仿宋" w:eastAsia="仿宋" w:cs="仿宋"/>
          <w:color w:val="auto"/>
          <w:highlight w:val="none"/>
        </w:rPr>
        <w:br w:type="page"/>
      </w:r>
    </w:p>
    <w:p>
      <w:pPr>
        <w:widowControl/>
        <w:spacing w:line="360" w:lineRule="auto"/>
        <w:ind w:firstLine="470" w:firstLineChars="196"/>
        <w:jc w:val="left"/>
        <w:rPr>
          <w:rFonts w:ascii="华文仿宋" w:hAnsi="华文仿宋" w:eastAsia="华文仿宋" w:cs="华文仿宋"/>
          <w:color w:val="auto"/>
          <w:sz w:val="24"/>
          <w:highlight w:val="none"/>
        </w:rPr>
      </w:pPr>
    </w:p>
    <w:p>
      <w:pPr>
        <w:spacing w:line="360" w:lineRule="auto"/>
        <w:ind w:firstLine="482" w:firstLineChars="200"/>
        <w:jc w:val="center"/>
        <w:rPr>
          <w:rFonts w:ascii="仿宋" w:hAnsi="仿宋" w:eastAsia="仿宋" w:cs="华文仿宋"/>
          <w:color w:val="auto"/>
          <w:sz w:val="24"/>
          <w:highlight w:val="none"/>
        </w:rPr>
      </w:pPr>
      <w:r>
        <w:rPr>
          <w:rFonts w:hint="eastAsia" w:ascii="仿宋" w:hAnsi="仿宋" w:eastAsia="仿宋" w:cs="华文仿宋"/>
          <w:b/>
          <w:bCs/>
          <w:color w:val="auto"/>
          <w:sz w:val="24"/>
          <w:highlight w:val="none"/>
        </w:rPr>
        <w:t>一、法定代表人/单位负责人证明书</w:t>
      </w:r>
    </w:p>
    <w:p>
      <w:pPr>
        <w:widowControl/>
        <w:spacing w:line="360" w:lineRule="auto"/>
        <w:ind w:firstLine="470" w:firstLineChars="196"/>
        <w:jc w:val="left"/>
        <w:rPr>
          <w:rFonts w:ascii="华文仿宋" w:hAnsi="华文仿宋" w:eastAsia="华文仿宋" w:cs="华文仿宋"/>
          <w:color w:val="auto"/>
          <w:sz w:val="24"/>
          <w:highlight w:val="none"/>
        </w:rPr>
      </w:pPr>
    </w:p>
    <w:p>
      <w:pPr>
        <w:widowControl/>
        <w:spacing w:line="360" w:lineRule="auto"/>
        <w:ind w:firstLine="470" w:firstLineChars="196"/>
        <w:jc w:val="left"/>
        <w:rPr>
          <w:rFonts w:ascii="华文仿宋" w:hAnsi="华文仿宋" w:eastAsia="华文仿宋" w:cs="华文仿宋"/>
          <w:color w:val="auto"/>
          <w:sz w:val="24"/>
          <w:highlight w:val="none"/>
        </w:rPr>
      </w:pPr>
    </w:p>
    <w:p>
      <w:pPr>
        <w:widowControl/>
        <w:spacing w:line="360" w:lineRule="auto"/>
        <w:ind w:firstLine="470" w:firstLineChars="196"/>
        <w:jc w:val="left"/>
        <w:rPr>
          <w:rFonts w:ascii="华文仿宋" w:hAnsi="华文仿宋" w:eastAsia="华文仿宋" w:cs="华文仿宋"/>
          <w:color w:val="auto"/>
          <w:sz w:val="24"/>
          <w:highlight w:val="none"/>
          <w:u w:val="single"/>
        </w:rPr>
      </w:pPr>
      <w:r>
        <w:rPr>
          <w:rFonts w:hint="eastAsia" w:ascii="华文仿宋" w:hAnsi="华文仿宋" w:eastAsia="华文仿宋" w:cs="华文仿宋"/>
          <w:color w:val="auto"/>
          <w:sz w:val="24"/>
          <w:highlight w:val="none"/>
        </w:rPr>
        <w:t>单位名称：</w:t>
      </w:r>
      <w:r>
        <w:rPr>
          <w:rFonts w:hint="eastAsia" w:ascii="华文仿宋" w:hAnsi="华文仿宋" w:eastAsia="华文仿宋" w:cs="华文仿宋"/>
          <w:color w:val="auto"/>
          <w:sz w:val="24"/>
          <w:highlight w:val="none"/>
          <w:u w:val="single"/>
        </w:rPr>
        <w:t xml:space="preserve">                 </w:t>
      </w:r>
    </w:p>
    <w:p>
      <w:pPr>
        <w:widowControl/>
        <w:spacing w:line="360" w:lineRule="auto"/>
        <w:ind w:firstLine="470" w:firstLineChars="196"/>
        <w:jc w:val="left"/>
        <w:rPr>
          <w:rFonts w:ascii="华文仿宋" w:hAnsi="华文仿宋" w:eastAsia="华文仿宋" w:cs="华文仿宋"/>
          <w:color w:val="auto"/>
          <w:sz w:val="24"/>
          <w:highlight w:val="none"/>
          <w:u w:val="single"/>
        </w:rPr>
      </w:pPr>
      <w:r>
        <w:rPr>
          <w:rFonts w:hint="eastAsia" w:ascii="华文仿宋" w:hAnsi="华文仿宋" w:eastAsia="华文仿宋" w:cs="华文仿宋"/>
          <w:color w:val="auto"/>
          <w:sz w:val="24"/>
          <w:highlight w:val="none"/>
        </w:rPr>
        <w:t>地址：</w:t>
      </w:r>
      <w:r>
        <w:rPr>
          <w:rFonts w:hint="eastAsia" w:ascii="华文仿宋" w:hAnsi="华文仿宋" w:eastAsia="华文仿宋" w:cs="华文仿宋"/>
          <w:color w:val="auto"/>
          <w:sz w:val="24"/>
          <w:highlight w:val="none"/>
          <w:u w:val="single"/>
        </w:rPr>
        <w:t xml:space="preserve">                    </w:t>
      </w:r>
    </w:p>
    <w:p>
      <w:pPr>
        <w:widowControl/>
        <w:spacing w:line="360" w:lineRule="auto"/>
        <w:ind w:firstLine="470" w:firstLineChars="196"/>
        <w:jc w:val="left"/>
        <w:rPr>
          <w:rFonts w:ascii="华文仿宋" w:hAnsi="华文仿宋" w:eastAsia="华文仿宋" w:cs="华文仿宋"/>
          <w:color w:val="auto"/>
          <w:sz w:val="24"/>
          <w:highlight w:val="none"/>
          <w:u w:val="single"/>
        </w:rPr>
      </w:pPr>
      <w:r>
        <w:rPr>
          <w:rFonts w:hint="eastAsia" w:ascii="华文仿宋" w:hAnsi="华文仿宋" w:eastAsia="华文仿宋" w:cs="华文仿宋"/>
          <w:color w:val="auto"/>
          <w:sz w:val="24"/>
          <w:highlight w:val="none"/>
        </w:rPr>
        <w:t>姓名：</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 xml:space="preserve"> 性别：</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 xml:space="preserve"> 年龄：</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 xml:space="preserve"> 职务：</w:t>
      </w:r>
      <w:r>
        <w:rPr>
          <w:rFonts w:hint="eastAsia" w:ascii="华文仿宋" w:hAnsi="华文仿宋" w:eastAsia="华文仿宋" w:cs="华文仿宋"/>
          <w:color w:val="auto"/>
          <w:sz w:val="24"/>
          <w:highlight w:val="none"/>
          <w:u w:val="single"/>
        </w:rPr>
        <w:t xml:space="preserve">          </w:t>
      </w:r>
    </w:p>
    <w:p>
      <w:pPr>
        <w:widowControl/>
        <w:spacing w:line="360" w:lineRule="auto"/>
        <w:ind w:firstLine="470" w:firstLineChars="196"/>
        <w:jc w:val="left"/>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本人系</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(投标人名称)的法定代表人/单位负责人。就参加你</w:t>
      </w:r>
    </w:p>
    <w:p>
      <w:pPr>
        <w:widowControl/>
        <w:spacing w:line="360" w:lineRule="auto"/>
        <w:jc w:val="left"/>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单位组织的“</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 xml:space="preserve"> (项目名称)(采购项目编号：</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 xml:space="preserve"> )”的政府采购活动、合同签订以及合同履约等一切事宜，我单位均予承认，所产生的法律后果均由我单位承担。</w:t>
      </w:r>
    </w:p>
    <w:p>
      <w:pPr>
        <w:widowControl/>
        <w:spacing w:line="360" w:lineRule="auto"/>
        <w:ind w:firstLine="470" w:firstLineChars="196"/>
        <w:jc w:val="left"/>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特此证明。</w:t>
      </w:r>
    </w:p>
    <w:p>
      <w:pPr>
        <w:pStyle w:val="9"/>
        <w:rPr>
          <w:rFonts w:ascii="华文仿宋" w:hAnsi="华文仿宋" w:eastAsia="华文仿宋" w:cs="华文仿宋"/>
          <w:color w:val="auto"/>
          <w:highlight w:val="none"/>
        </w:rPr>
      </w:pPr>
    </w:p>
    <w:p>
      <w:pPr>
        <w:rPr>
          <w:rFonts w:ascii="华文仿宋" w:hAnsi="华文仿宋" w:eastAsia="华文仿宋" w:cs="华文仿宋"/>
          <w:color w:val="auto"/>
          <w:highlight w:val="none"/>
        </w:rPr>
      </w:pPr>
    </w:p>
    <w:p>
      <w:pPr>
        <w:pStyle w:val="9"/>
        <w:rPr>
          <w:rFonts w:ascii="华文仿宋" w:hAnsi="华文仿宋" w:eastAsia="华文仿宋" w:cs="华文仿宋"/>
          <w:color w:val="auto"/>
          <w:highlight w:val="none"/>
        </w:rPr>
      </w:pPr>
    </w:p>
    <w:p>
      <w:pPr>
        <w:rPr>
          <w:rFonts w:ascii="华文仿宋" w:hAnsi="华文仿宋" w:eastAsia="华文仿宋" w:cs="华文仿宋"/>
          <w:color w:val="auto"/>
          <w:highlight w:val="none"/>
        </w:rPr>
      </w:pPr>
    </w:p>
    <w:p>
      <w:pPr>
        <w:pStyle w:val="9"/>
        <w:rPr>
          <w:rFonts w:ascii="华文仿宋" w:hAnsi="华文仿宋" w:eastAsia="华文仿宋" w:cs="华文仿宋"/>
          <w:color w:val="auto"/>
          <w:highlight w:val="none"/>
        </w:rPr>
      </w:pPr>
    </w:p>
    <w:p>
      <w:pPr>
        <w:rPr>
          <w:rFonts w:ascii="华文仿宋" w:hAnsi="华文仿宋" w:eastAsia="华文仿宋" w:cs="华文仿宋"/>
          <w:color w:val="auto"/>
          <w:highlight w:val="none"/>
        </w:rPr>
      </w:pPr>
    </w:p>
    <w:p>
      <w:pPr>
        <w:widowControl/>
        <w:spacing w:line="360" w:lineRule="auto"/>
        <w:ind w:firstLine="470" w:firstLineChars="196"/>
        <w:jc w:val="left"/>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投标人名称：</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 xml:space="preserve"> (盖单位章)</w:t>
      </w:r>
    </w:p>
    <w:p>
      <w:pPr>
        <w:widowControl/>
        <w:spacing w:line="360" w:lineRule="auto"/>
        <w:ind w:firstLine="470" w:firstLineChars="196"/>
        <w:jc w:val="left"/>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法定代表人/单位负责人：</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 xml:space="preserve"> (签字或盖章)</w:t>
      </w:r>
    </w:p>
    <w:p>
      <w:pPr>
        <w:widowControl/>
        <w:spacing w:line="360" w:lineRule="auto"/>
        <w:ind w:firstLine="470" w:firstLineChars="196"/>
        <w:jc w:val="left"/>
        <w:rPr>
          <w:rFonts w:ascii="华文仿宋" w:hAnsi="华文仿宋" w:eastAsia="华文仿宋" w:cs="华文仿宋"/>
          <w:color w:val="auto"/>
          <w:sz w:val="24"/>
          <w:highlight w:val="none"/>
          <w:u w:val="single"/>
        </w:rPr>
      </w:pPr>
      <w:r>
        <w:rPr>
          <w:rFonts w:hint="eastAsia" w:ascii="华文仿宋" w:hAnsi="华文仿宋" w:eastAsia="华文仿宋" w:cs="华文仿宋"/>
          <w:color w:val="auto"/>
          <w:sz w:val="24"/>
          <w:highlight w:val="none"/>
        </w:rPr>
        <w:t>日期：</w:t>
      </w:r>
      <w:r>
        <w:rPr>
          <w:rFonts w:hint="eastAsia" w:ascii="华文仿宋" w:hAnsi="华文仿宋" w:eastAsia="华文仿宋" w:cs="华文仿宋"/>
          <w:color w:val="auto"/>
          <w:sz w:val="24"/>
          <w:highlight w:val="none"/>
          <w:u w:val="single"/>
        </w:rPr>
        <w:t xml:space="preserve">               </w:t>
      </w:r>
    </w:p>
    <w:p>
      <w:pPr>
        <w:pStyle w:val="9"/>
        <w:rPr>
          <w:rFonts w:ascii="仿宋" w:hAnsi="仿宋" w:eastAsia="仿宋" w:cs="仿宋"/>
          <w:color w:val="auto"/>
          <w:highlight w:val="none"/>
        </w:rPr>
      </w:pPr>
    </w:p>
    <w:p>
      <w:pPr>
        <w:pStyle w:val="9"/>
        <w:rPr>
          <w:rFonts w:ascii="仿宋" w:hAnsi="仿宋" w:eastAsia="仿宋" w:cs="仿宋"/>
          <w:color w:val="auto"/>
          <w:highlight w:val="none"/>
        </w:rPr>
      </w:pPr>
    </w:p>
    <w:p>
      <w:pPr>
        <w:rPr>
          <w:rFonts w:ascii="仿宋" w:hAnsi="仿宋" w:eastAsia="仿宋" w:cs="仿宋"/>
          <w:color w:val="auto"/>
          <w:highlight w:val="none"/>
        </w:rPr>
      </w:pPr>
    </w:p>
    <w:p>
      <w:pPr>
        <w:widowControl/>
        <w:spacing w:line="360" w:lineRule="auto"/>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注：1.法定代表人/单位负责人亲自参加投标时适用本证明书。</w:t>
      </w:r>
    </w:p>
    <w:p>
      <w:pPr>
        <w:widowControl/>
        <w:spacing w:line="360" w:lineRule="auto"/>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2.应附法定代表人/单位负责人身份证明材料复印件。</w:t>
      </w:r>
    </w:p>
    <w:p>
      <w:pPr>
        <w:widowControl/>
        <w:spacing w:line="360" w:lineRule="auto"/>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3.身份证明材料包括居民身份证或户口本或军官证或护照等。</w:t>
      </w:r>
    </w:p>
    <w:p>
      <w:pPr>
        <w:widowControl/>
        <w:spacing w:line="360" w:lineRule="auto"/>
        <w:ind w:firstLine="470" w:firstLineChars="196"/>
        <w:jc w:val="left"/>
        <w:rPr>
          <w:rFonts w:ascii="仿宋" w:hAnsi="仿宋" w:eastAsia="仿宋" w:cs="仿宋"/>
          <w:color w:val="auto"/>
          <w:sz w:val="24"/>
          <w:highlight w:val="none"/>
        </w:rPr>
      </w:pPr>
      <w:r>
        <w:rPr>
          <w:rFonts w:hint="eastAsia" w:ascii="仿宋" w:hAnsi="仿宋" w:eastAsia="仿宋" w:cs="仿宋"/>
          <w:color w:val="auto"/>
          <w:sz w:val="24"/>
          <w:highlight w:val="none"/>
        </w:rPr>
        <w:t>4.身份证明材料应同时提供其在有效期的材料，如居民身份证正、反面复印件。</w:t>
      </w:r>
    </w:p>
    <w:p>
      <w:pPr>
        <w:rPr>
          <w:color w:val="auto"/>
          <w:highlight w:val="none"/>
        </w:rPr>
      </w:pPr>
    </w:p>
    <w:p>
      <w:pPr>
        <w:autoSpaceDE w:val="0"/>
        <w:autoSpaceDN w:val="0"/>
        <w:adjustRightInd w:val="0"/>
        <w:jc w:val="left"/>
        <w:rPr>
          <w:rFonts w:ascii="仿宋" w:hAnsi="仿宋" w:eastAsia="仿宋" w:cs="仿宋"/>
          <w:color w:val="auto"/>
          <w:kern w:val="0"/>
          <w:sz w:val="28"/>
          <w:szCs w:val="28"/>
          <w:highlight w:val="none"/>
        </w:rPr>
      </w:pPr>
    </w:p>
    <w:p>
      <w:pPr>
        <w:spacing w:line="360" w:lineRule="auto"/>
        <w:ind w:firstLine="482" w:firstLineChars="200"/>
        <w:jc w:val="center"/>
        <w:rPr>
          <w:rFonts w:ascii="仿宋" w:hAnsi="仿宋" w:eastAsia="仿宋" w:cs="仿宋"/>
          <w:b/>
          <w:bCs/>
          <w:color w:val="auto"/>
          <w:sz w:val="24"/>
          <w:highlight w:val="none"/>
        </w:rPr>
      </w:pPr>
    </w:p>
    <w:p>
      <w:pPr>
        <w:rPr>
          <w:rFonts w:ascii="仿宋" w:hAnsi="仿宋" w:eastAsia="仿宋" w:cs="仿宋"/>
          <w:b/>
          <w:bCs/>
          <w:color w:val="auto"/>
          <w:sz w:val="24"/>
          <w:highlight w:val="none"/>
        </w:rPr>
      </w:pPr>
      <w:r>
        <w:rPr>
          <w:rFonts w:hint="eastAsia" w:ascii="仿宋" w:hAnsi="仿宋" w:eastAsia="仿宋" w:cs="仿宋"/>
          <w:b/>
          <w:bCs/>
          <w:color w:val="auto"/>
          <w:sz w:val="24"/>
          <w:highlight w:val="none"/>
        </w:rPr>
        <w:br w:type="page"/>
      </w:r>
    </w:p>
    <w:p>
      <w:pPr>
        <w:spacing w:line="360" w:lineRule="auto"/>
        <w:ind w:firstLine="482" w:firstLineChars="200"/>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二、投标人具有独立承担民事责任的能力的证明材料</w:t>
      </w:r>
    </w:p>
    <w:p>
      <w:pPr>
        <w:widowControl/>
        <w:spacing w:line="360" w:lineRule="auto"/>
        <w:jc w:val="left"/>
        <w:rPr>
          <w:rFonts w:ascii="仿宋" w:hAnsi="仿宋" w:eastAsia="仿宋" w:cs="仿宋"/>
          <w:color w:val="auto"/>
          <w:sz w:val="24"/>
          <w:highlight w:val="none"/>
        </w:rPr>
      </w:pPr>
    </w:p>
    <w:p>
      <w:pPr>
        <w:spacing w:after="160" w:line="360" w:lineRule="auto"/>
        <w:ind w:firstLine="480" w:firstLineChars="200"/>
        <w:jc w:val="left"/>
        <w:rPr>
          <w:rFonts w:ascii="仿宋" w:hAnsi="仿宋" w:eastAsia="仿宋" w:cs="仿宋"/>
          <w:b/>
          <w:color w:val="auto"/>
          <w:sz w:val="24"/>
          <w:highlight w:val="none"/>
        </w:rPr>
      </w:pPr>
      <w:r>
        <w:rPr>
          <w:rFonts w:hint="eastAsia" w:ascii="仿宋" w:hAnsi="仿宋" w:eastAsia="仿宋"/>
          <w:color w:val="auto"/>
          <w:sz w:val="24"/>
          <w:highlight w:val="none"/>
        </w:rPr>
        <w:t>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注：1.以上证明材料应满足此条要求①发证机关有年检要求的，应按规定通过年检；②在有效期内；③复印件加盖投标人公章；</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2.根据国务院办公厅关于加快推进“多证合一”改革的指导意见(国办发〔2017〕41 号)等政策要求，若资格要求涉及的登记、备案等有关事项和各类证照已实行多证合一的，提供多证合一证照副本复印件。</w:t>
      </w:r>
    </w:p>
    <w:p>
      <w:pPr>
        <w:spacing w:line="360" w:lineRule="auto"/>
        <w:ind w:firstLine="480" w:firstLineChars="200"/>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br w:type="page"/>
      </w:r>
      <w:r>
        <w:rPr>
          <w:rFonts w:hint="eastAsia" w:ascii="仿宋" w:hAnsi="仿宋" w:eastAsia="仿宋" w:cs="仿宋"/>
          <w:b/>
          <w:bCs/>
          <w:color w:val="auto"/>
          <w:sz w:val="24"/>
          <w:highlight w:val="none"/>
        </w:rPr>
        <w:t>三、投标人具有良好的商业信誉和健全的财务会计制度的证明材料</w:t>
      </w:r>
    </w:p>
    <w:p>
      <w:pPr>
        <w:widowControl/>
        <w:spacing w:line="360" w:lineRule="auto"/>
        <w:ind w:firstLine="480" w:firstLineChars="200"/>
        <w:jc w:val="left"/>
        <w:rPr>
          <w:rFonts w:ascii="仿宋" w:hAnsi="仿宋" w:eastAsia="仿宋" w:cs="仿宋"/>
          <w:color w:val="auto"/>
          <w:sz w:val="24"/>
          <w:highlight w:val="none"/>
        </w:rPr>
      </w:pP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1.投标人具有良好商业信誉的证明材料；</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提供具有良好的商业信誉的承诺函。</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注:投标人在参加政府采购活动前，被纳入法院、市场监督管理部门、税务部门、银行认定的失信名单且在有效期内，或者在前三年政府采购合同履约过程中及其他经营活动履约过程中未依法履约被有关行政部门处罚(处理)的，本项目不认定其具有良好的商业信誉。</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2.投标人具有健全的财务会计制度的证明材料；</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(1)投标人提供2019 年度或2020 年度经过会计师事务所审计的财务报告复印件(经审计的有效财务报告应包括报告及报告中所附的完整内容，并由注册会计师签名、盖章以及会计师事务所盖章)；</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(2)投标人提供2019 年度或2020 年度投标人内部的财务报表复印件(至少包含资产负债表)；</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(3)投标人提供响应文件递交截止日前一年内银行为其出具的资信证明复印件；</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(4)投标人注册时间截至响应文件递交截止日不足一年的，可提供公司章程复印件；</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(5)投标人为事业单位、大型国有企业或其他组织(不具备法人条件的组织，如合伙组织、个体工商户、农村承包经营户等)或自然人时，可提供承诺函。</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注：具有健全的财务会计制度的证明材料中第(1)-(5)项具有同等的效力，投标人可根据自身实际情况选择提供其中任意一项。</w:t>
      </w:r>
    </w:p>
    <w:p>
      <w:pPr>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highlight w:val="none"/>
        </w:rPr>
        <w:br w:type="page"/>
      </w:r>
      <w:r>
        <w:rPr>
          <w:rFonts w:hint="eastAsia" w:ascii="仿宋" w:hAnsi="仿宋" w:eastAsia="仿宋" w:cs="仿宋"/>
          <w:b/>
          <w:bCs/>
          <w:color w:val="auto"/>
          <w:sz w:val="24"/>
          <w:highlight w:val="none"/>
        </w:rPr>
        <w:t>四、投标人具有依法缴纳税收和社会保障资金的良好记录的证明材料</w:t>
      </w:r>
    </w:p>
    <w:p>
      <w:pPr>
        <w:autoSpaceDE w:val="0"/>
        <w:autoSpaceDN w:val="0"/>
        <w:adjustRightInd w:val="0"/>
        <w:jc w:val="left"/>
        <w:rPr>
          <w:rFonts w:ascii="仿宋" w:hAnsi="仿宋" w:eastAsia="仿宋" w:cs="仿宋"/>
          <w:color w:val="auto"/>
          <w:kern w:val="0"/>
          <w:sz w:val="24"/>
          <w:highlight w:val="none"/>
        </w:rPr>
      </w:pP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提供依法缴纳税收和社会保障资金的良好记录的承诺函。</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注：格式自拟，或参照《符合&lt;中华人民共和国政府采购法&gt;第二十二条规定的条件的承诺及声明函》提供承诺函。</w:t>
      </w:r>
    </w:p>
    <w:p>
      <w:pPr>
        <w:spacing w:line="360" w:lineRule="auto"/>
        <w:jc w:val="center"/>
        <w:rPr>
          <w:rFonts w:ascii="仿宋" w:hAnsi="仿宋" w:eastAsia="仿宋" w:cs="仿宋"/>
          <w:color w:val="auto"/>
          <w:kern w:val="0"/>
          <w:sz w:val="24"/>
          <w:highlight w:val="none"/>
        </w:rPr>
      </w:pPr>
      <w:r>
        <w:rPr>
          <w:rFonts w:hint="eastAsia" w:ascii="仿宋" w:hAnsi="仿宋" w:eastAsia="仿宋" w:cs="仿宋"/>
          <w:color w:val="auto"/>
          <w:highlight w:val="none"/>
        </w:rPr>
        <w:br w:type="page"/>
      </w:r>
      <w:r>
        <w:rPr>
          <w:rFonts w:hint="eastAsia" w:ascii="仿宋" w:hAnsi="仿宋" w:eastAsia="仿宋" w:cs="仿宋"/>
          <w:b/>
          <w:bCs/>
          <w:color w:val="auto"/>
          <w:sz w:val="24"/>
          <w:highlight w:val="none"/>
        </w:rPr>
        <w:t>五、投标人具有履行合同所必需的设备和专业技术能力证明材料</w:t>
      </w:r>
    </w:p>
    <w:p>
      <w:pPr>
        <w:autoSpaceDE w:val="0"/>
        <w:autoSpaceDN w:val="0"/>
        <w:adjustRightInd w:val="0"/>
        <w:jc w:val="left"/>
        <w:rPr>
          <w:rFonts w:ascii="仿宋" w:hAnsi="仿宋" w:eastAsia="仿宋" w:cs="仿宋"/>
          <w:color w:val="auto"/>
          <w:kern w:val="0"/>
          <w:sz w:val="24"/>
          <w:highlight w:val="none"/>
        </w:rPr>
      </w:pP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提供具有履行合同所必需的设备和专业技术能力的承诺函。</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注：格式自拟，或参照《符合&lt;中华人民共和国政府采购法&gt;第二十二条规定的条件的承诺及声明函》提供承诺函。</w:t>
      </w:r>
    </w:p>
    <w:p>
      <w:pPr>
        <w:spacing w:line="360" w:lineRule="auto"/>
        <w:jc w:val="center"/>
        <w:rPr>
          <w:rFonts w:ascii="仿宋" w:hAnsi="仿宋" w:eastAsia="仿宋" w:cs="仿宋"/>
          <w:b/>
          <w:bCs/>
          <w:color w:val="auto"/>
          <w:sz w:val="24"/>
          <w:highlight w:val="none"/>
        </w:rPr>
      </w:pPr>
      <w:r>
        <w:rPr>
          <w:rFonts w:hint="eastAsia" w:ascii="仿宋" w:hAnsi="仿宋" w:eastAsia="仿宋" w:cs="仿宋"/>
          <w:color w:val="auto"/>
          <w:highlight w:val="none"/>
        </w:rPr>
        <w:br w:type="page"/>
      </w:r>
      <w:r>
        <w:rPr>
          <w:rFonts w:hint="eastAsia" w:ascii="仿宋" w:hAnsi="仿宋" w:eastAsia="仿宋" w:cs="仿宋"/>
          <w:b/>
          <w:bCs/>
          <w:color w:val="auto"/>
          <w:sz w:val="24"/>
          <w:highlight w:val="none"/>
        </w:rPr>
        <w:t>六、投标人参加政府采购活动前三年内，在经营活动中没有重大违法记录的证明材料</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提供参加本次政府采购活动前三年内，在经营活动中没有重大违法记录的书面声明(成立不足三年的，从成立之日起计算)。</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注：格式自拟，或参照《符合&lt;中华人民共和国政府采购法&gt;第二十二条规定的条件的承诺及声明函》提供声明函。</w:t>
      </w:r>
    </w:p>
    <w:p>
      <w:pPr>
        <w:spacing w:line="360" w:lineRule="auto"/>
        <w:rPr>
          <w:rFonts w:ascii="仿宋" w:hAnsi="仿宋" w:eastAsia="仿宋" w:cs="仿宋"/>
          <w:b/>
          <w:color w:val="auto"/>
          <w:sz w:val="24"/>
          <w:highlight w:val="none"/>
        </w:rPr>
      </w:pPr>
    </w:p>
    <w:p>
      <w:pPr>
        <w:spacing w:line="360" w:lineRule="auto"/>
        <w:jc w:val="center"/>
        <w:rPr>
          <w:rFonts w:ascii="仿宋" w:hAnsi="仿宋" w:eastAsia="仿宋" w:cs="仿宋"/>
          <w:b/>
          <w:color w:val="auto"/>
          <w:sz w:val="24"/>
          <w:highlight w:val="none"/>
        </w:rPr>
      </w:pPr>
      <w:r>
        <w:rPr>
          <w:rFonts w:hint="eastAsia" w:ascii="仿宋" w:hAnsi="仿宋" w:eastAsia="仿宋" w:cs="仿宋"/>
          <w:color w:val="auto"/>
          <w:highlight w:val="none"/>
        </w:rPr>
        <w:br w:type="page"/>
      </w:r>
      <w:r>
        <w:rPr>
          <w:rFonts w:hint="eastAsia" w:ascii="仿宋" w:hAnsi="仿宋" w:eastAsia="仿宋" w:cs="仿宋"/>
          <w:b/>
          <w:bCs/>
          <w:color w:val="auto"/>
          <w:sz w:val="24"/>
          <w:highlight w:val="none"/>
        </w:rPr>
        <w:t>七、符合《中华人民共和国政府采购法》第二十二条规定的条件的承诺及声明函</w:t>
      </w:r>
    </w:p>
    <w:p>
      <w:pPr>
        <w:widowControl/>
        <w:spacing w:line="360" w:lineRule="auto"/>
        <w:jc w:val="left"/>
        <w:rPr>
          <w:rFonts w:ascii="仿宋" w:hAnsi="仿宋" w:eastAsia="仿宋" w:cs="仿宋"/>
          <w:color w:val="auto"/>
          <w:sz w:val="24"/>
          <w:highlight w:val="none"/>
          <w:u w:val="single"/>
        </w:rPr>
      </w:pPr>
    </w:p>
    <w:p>
      <w:pPr>
        <w:widowControl/>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采购代理机构名称)：</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我公司作为本次采购项目的投标人，根据招标文件要求，现郑重承诺及声明如下：</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1.具有良好的商业信誉和健全的财务会计制度；</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2.具有履行合同所必需的设备和专业技术能力；</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3.具有依法缴纳税收和社会保障资金的良好记录；</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4.参加本次政府采购活动前三年内，在经营活动中没有重大违法记录(投标人成立不足三</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年的，从成立之日起计算)；</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5.符合法律、行政法规规定的其他条件；</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本公司对上述承诺的内容事项真实性、合法性负责。如经查实上述承诺的内容事项存在虚假，我公司自愿接受以提供虚假材料谋取成交所带来的所有法律责任。</w:t>
      </w:r>
    </w:p>
    <w:p>
      <w:pPr>
        <w:widowControl/>
        <w:spacing w:line="360" w:lineRule="auto"/>
        <w:ind w:firstLine="480" w:firstLineChars="200"/>
        <w:jc w:val="left"/>
        <w:rPr>
          <w:rFonts w:ascii="仿宋" w:hAnsi="仿宋" w:eastAsia="仿宋" w:cs="仿宋"/>
          <w:color w:val="auto"/>
          <w:sz w:val="24"/>
          <w:highlight w:val="none"/>
        </w:rPr>
      </w:pPr>
    </w:p>
    <w:p>
      <w:pPr>
        <w:widowControl/>
        <w:spacing w:line="360" w:lineRule="auto"/>
        <w:ind w:firstLine="480" w:firstLineChars="200"/>
        <w:jc w:val="left"/>
        <w:rPr>
          <w:rFonts w:ascii="仿宋" w:hAnsi="仿宋" w:eastAsia="仿宋" w:cs="仿宋"/>
          <w:color w:val="auto"/>
          <w:sz w:val="24"/>
          <w:highlight w:val="none"/>
        </w:rPr>
      </w:pPr>
    </w:p>
    <w:p>
      <w:pPr>
        <w:widowControl/>
        <w:spacing w:line="360" w:lineRule="auto"/>
        <w:ind w:firstLine="480" w:firstLineChars="200"/>
        <w:jc w:val="left"/>
        <w:rPr>
          <w:rFonts w:ascii="仿宋" w:hAnsi="仿宋" w:eastAsia="仿宋" w:cs="仿宋"/>
          <w:color w:val="auto"/>
          <w:sz w:val="24"/>
          <w:highlight w:val="none"/>
        </w:rPr>
      </w:pPr>
    </w:p>
    <w:p>
      <w:pPr>
        <w:widowControl/>
        <w:spacing w:line="360" w:lineRule="auto"/>
        <w:ind w:firstLine="480" w:firstLineChars="200"/>
        <w:jc w:val="left"/>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投标人名称：</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 xml:space="preserve"> (盖单位章)</w:t>
      </w:r>
    </w:p>
    <w:p>
      <w:pPr>
        <w:widowControl/>
        <w:spacing w:line="360" w:lineRule="auto"/>
        <w:ind w:firstLine="480" w:firstLineChars="200"/>
        <w:jc w:val="left"/>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法定代表人/单位负责人或授权代表：</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 xml:space="preserve"> (签字或盖章)</w:t>
      </w:r>
    </w:p>
    <w:p>
      <w:pPr>
        <w:widowControl/>
        <w:spacing w:line="360" w:lineRule="auto"/>
        <w:ind w:firstLine="480" w:firstLineChars="200"/>
        <w:jc w:val="left"/>
        <w:rPr>
          <w:rFonts w:ascii="华文仿宋" w:hAnsi="华文仿宋" w:eastAsia="华文仿宋" w:cs="华文仿宋"/>
          <w:color w:val="auto"/>
          <w:sz w:val="24"/>
          <w:highlight w:val="none"/>
          <w:u w:val="single"/>
        </w:rPr>
      </w:pPr>
      <w:r>
        <w:rPr>
          <w:rFonts w:hint="eastAsia" w:ascii="华文仿宋" w:hAnsi="华文仿宋" w:eastAsia="华文仿宋" w:cs="华文仿宋"/>
          <w:color w:val="auto"/>
          <w:sz w:val="24"/>
          <w:highlight w:val="none"/>
        </w:rPr>
        <w:t>日期：</w:t>
      </w:r>
      <w:r>
        <w:rPr>
          <w:rFonts w:hint="eastAsia" w:ascii="华文仿宋" w:hAnsi="华文仿宋" w:eastAsia="华文仿宋" w:cs="华文仿宋"/>
          <w:color w:val="auto"/>
          <w:sz w:val="24"/>
          <w:highlight w:val="none"/>
          <w:u w:val="single"/>
        </w:rPr>
        <w:t xml:space="preserve">                  </w:t>
      </w:r>
    </w:p>
    <w:p>
      <w:pPr>
        <w:widowControl/>
        <w:spacing w:line="360" w:lineRule="auto"/>
        <w:ind w:firstLine="480" w:firstLineChars="200"/>
        <w:jc w:val="left"/>
        <w:rPr>
          <w:rFonts w:ascii="仿宋" w:hAnsi="仿宋" w:eastAsia="仿宋" w:cs="仿宋"/>
          <w:color w:val="auto"/>
          <w:sz w:val="24"/>
          <w:highlight w:val="none"/>
        </w:rPr>
      </w:pPr>
    </w:p>
    <w:p>
      <w:pPr>
        <w:widowControl/>
        <w:spacing w:line="360" w:lineRule="auto"/>
        <w:ind w:firstLine="480" w:firstLineChars="200"/>
        <w:jc w:val="left"/>
        <w:rPr>
          <w:rFonts w:ascii="仿宋" w:hAnsi="仿宋" w:eastAsia="仿宋" w:cs="仿宋"/>
          <w:color w:val="auto"/>
          <w:sz w:val="24"/>
          <w:highlight w:val="none"/>
        </w:rPr>
      </w:pP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注：本部分所要求的承诺函可参照本格式或自拟格式填写均有效。</w:t>
      </w:r>
    </w:p>
    <w:p>
      <w:pPr>
        <w:rPr>
          <w:rFonts w:ascii="仿宋" w:hAnsi="仿宋" w:eastAsia="仿宋" w:cs="仿宋"/>
          <w:color w:val="auto"/>
          <w:highlight w:val="none"/>
        </w:rPr>
      </w:pPr>
      <w:r>
        <w:rPr>
          <w:rFonts w:hint="eastAsia" w:ascii="仿宋" w:hAnsi="仿宋" w:eastAsia="仿宋" w:cs="仿宋"/>
          <w:color w:val="auto"/>
          <w:highlight w:val="none"/>
        </w:rPr>
        <w:br w:type="page"/>
      </w:r>
    </w:p>
    <w:p>
      <w:pPr>
        <w:widowControl/>
        <w:spacing w:line="360" w:lineRule="auto"/>
        <w:jc w:val="center"/>
        <w:rPr>
          <w:rFonts w:ascii="仿宋" w:hAnsi="仿宋" w:eastAsia="仿宋" w:cs="仿宋"/>
          <w:color w:val="auto"/>
          <w:sz w:val="24"/>
          <w:highlight w:val="none"/>
        </w:rPr>
      </w:pPr>
      <w:r>
        <w:rPr>
          <w:rFonts w:hint="eastAsia" w:ascii="仿宋" w:hAnsi="仿宋" w:eastAsia="仿宋" w:cs="仿宋"/>
          <w:b/>
          <w:color w:val="auto"/>
          <w:sz w:val="30"/>
          <w:szCs w:val="30"/>
          <w:highlight w:val="none"/>
        </w:rPr>
        <w:t>“其他投标文件”格式</w:t>
      </w:r>
    </w:p>
    <w:p>
      <w:pPr>
        <w:autoSpaceDE w:val="0"/>
        <w:autoSpaceDN w:val="0"/>
        <w:adjustRightInd w:val="0"/>
        <w:jc w:val="left"/>
        <w:rPr>
          <w:rFonts w:ascii="仿宋" w:hAnsi="仿宋" w:eastAsia="仿宋" w:cs="仿宋"/>
          <w:b/>
          <w:color w:val="auto"/>
          <w:sz w:val="32"/>
          <w:szCs w:val="32"/>
          <w:highlight w:val="none"/>
        </w:rPr>
      </w:pPr>
    </w:p>
    <w:p>
      <w:pPr>
        <w:pStyle w:val="5"/>
        <w:jc w:val="center"/>
        <w:rPr>
          <w:rFonts w:ascii="仿宋" w:hAnsi="仿宋" w:eastAsia="仿宋" w:cs="仿宋"/>
          <w:bCs w:val="0"/>
          <w:color w:val="auto"/>
          <w:highlight w:val="none"/>
        </w:rPr>
      </w:pPr>
      <w:bookmarkStart w:id="25" w:name="_Toc308164824"/>
      <w:r>
        <w:rPr>
          <w:rFonts w:hint="eastAsia" w:ascii="仿宋" w:hAnsi="仿宋" w:eastAsia="仿宋" w:cs="仿宋"/>
          <w:color w:val="auto"/>
          <w:highlight w:val="none"/>
        </w:rPr>
        <w:br w:type="page"/>
      </w:r>
      <w:r>
        <w:rPr>
          <w:rFonts w:hint="eastAsia" w:ascii="仿宋" w:hAnsi="仿宋" w:eastAsia="仿宋" w:cs="仿宋"/>
          <w:bCs w:val="0"/>
          <w:color w:val="auto"/>
          <w:highlight w:val="none"/>
        </w:rPr>
        <w:t>一、投标函</w:t>
      </w:r>
    </w:p>
    <w:p>
      <w:pPr>
        <w:spacing w:line="360" w:lineRule="auto"/>
        <w:rPr>
          <w:rFonts w:ascii="仿宋" w:hAnsi="仿宋" w:eastAsia="仿宋" w:cs="仿宋"/>
          <w:color w:val="auto"/>
          <w:sz w:val="24"/>
          <w:highlight w:val="none"/>
          <w:u w:val="single"/>
        </w:rPr>
      </w:pPr>
    </w:p>
    <w:p>
      <w:pPr>
        <w:spacing w:line="360" w:lineRule="auto"/>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采购代理机构名称）：</w:t>
      </w: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我方全面研究了“</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”项目招标文件（采购项目编号：</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），决定参加贵单位组织的本项目投标。我方授权</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（姓名、职务）代表我方</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（投标单位的名称）全权处理本项目投标的有关事宜。</w:t>
      </w: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一、我方自愿按照招标文件规定的各项要求（包括文件中“注”和“实质性要求”的内容）向采购人提供所需货物/服务，投标报价为人民币</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w:t>
      </w: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二、一旦我方中标，我方将严格履行政府采购合同规定的责任和义务。</w:t>
      </w: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三、我方同意本次招标的投标有效期为提交投标文件的截止之日起90 天。</w:t>
      </w: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四、我方已详细阅读和审查了全部招标文件，包括修改文件（如有）以及全部相关资料和有关附件，并对上述文件均无异议。如对招标文件有异议，已经在投标截止时间届满前依法进行了维权救济，不存在对招标文件有异议的同时又参加投标以求侥幸中标或者为实现其他非法目的的行为。</w:t>
      </w: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五、与我方存在直接控股关系的单位为：</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或</w:t>
      </w:r>
      <w:r>
        <w:rPr>
          <w:rFonts w:hint="eastAsia" w:ascii="华文仿宋" w:hAnsi="华文仿宋" w:eastAsia="华文仿宋" w:cs="华文仿宋"/>
          <w:color w:val="auto"/>
          <w:sz w:val="24"/>
          <w:highlight w:val="none"/>
          <w:u w:val="single"/>
        </w:rPr>
        <w:t>无</w:t>
      </w:r>
      <w:r>
        <w:rPr>
          <w:rFonts w:hint="eastAsia" w:ascii="华文仿宋" w:hAnsi="华文仿宋" w:eastAsia="华文仿宋" w:cs="华文仿宋"/>
          <w:color w:val="auto"/>
          <w:sz w:val="24"/>
          <w:highlight w:val="none"/>
        </w:rPr>
        <w:t>；存在管理关系单位为：</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或</w:t>
      </w:r>
      <w:r>
        <w:rPr>
          <w:rFonts w:hint="eastAsia" w:ascii="华文仿宋" w:hAnsi="华文仿宋" w:eastAsia="华文仿宋" w:cs="华文仿宋"/>
          <w:color w:val="auto"/>
          <w:sz w:val="24"/>
          <w:highlight w:val="none"/>
          <w:u w:val="single"/>
        </w:rPr>
        <w:t>无</w:t>
      </w:r>
      <w:r>
        <w:rPr>
          <w:rFonts w:hint="eastAsia" w:ascii="华文仿宋" w:hAnsi="华文仿宋" w:eastAsia="华文仿宋" w:cs="华文仿宋"/>
          <w:color w:val="auto"/>
          <w:sz w:val="24"/>
          <w:highlight w:val="none"/>
        </w:rPr>
        <w:t>。</w:t>
      </w: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六、为采购项目提供整体设计、规范编制或者项目管理、监理、检测等服务的投标人，不得再参加该采购项目的其他采购活动，我方承诺不属于此类禁止参加本项目的投标人。</w:t>
      </w: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七、在参加本次采购活动中，不存在和其他投标人在同一合同项下的采购项目中，同时委托同一个自然人、同一家庭的人员、同一单位的人员作为代理人的行为。</w:t>
      </w: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八、我方实际控制人或者中高级管理人员或者其他工作人员，不存在同时是采购代理机构工作人员的情形。</w:t>
      </w: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九、不存在同一母公司的两家以上的子公司，以不同投标人身份同时参加本项目同一合同项下的采购活动的情形。</w:t>
      </w: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十、我方与采购代理机构不存在关联关系，也不是采购代理机构的母公司或子公司。</w:t>
      </w: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十一、国家或行业主管部门对投标人和采购产品的技术标准、质量标准和资格资质条件等有强制性规定的，我方符合其要求。</w:t>
      </w: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十二、我方愿意提供贵单位可能另外要求的，与投标有关的文件资料，并保证我方已提供和将要提供的文件资料是真实、准确的。如本项目需要提供样品，则我方提供的样品即为中标后将要提供的中标产品，我方对样品的性能和质量负责，因样品存在缺陷或者不符合招标文件要求导致未能中标的，我方愿意承担相应不利后果。</w:t>
      </w: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十三、我方完全理解采购人不一定将合同授予最低报价的投标人的行为。</w:t>
      </w: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十四、我单位及其现任法定代表人、主要负责人不存在行贿犯罪记录。</w:t>
      </w: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十五、若我方中标，我方承诺按照本招标文件约定支付招标代理服务费，否则视为虚假应标并承担由此带来的一切后果。</w:t>
      </w:r>
    </w:p>
    <w:p>
      <w:pPr>
        <w:spacing w:line="360" w:lineRule="auto"/>
        <w:ind w:firstLine="480" w:firstLineChars="200"/>
        <w:rPr>
          <w:rFonts w:ascii="华文仿宋" w:hAnsi="华文仿宋" w:eastAsia="华文仿宋" w:cs="华文仿宋"/>
          <w:color w:val="auto"/>
          <w:sz w:val="24"/>
          <w:highlight w:val="none"/>
        </w:rPr>
      </w:pP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投标人名称：</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（盖单位公章）</w:t>
      </w:r>
    </w:p>
    <w:p>
      <w:pPr>
        <w:spacing w:line="360" w:lineRule="auto"/>
        <w:ind w:firstLine="470" w:firstLineChars="196"/>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法定代表人/单位负责人或授权代表：</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（签字或盖章）</w:t>
      </w:r>
    </w:p>
    <w:p>
      <w:pPr>
        <w:spacing w:line="360" w:lineRule="auto"/>
        <w:ind w:firstLine="470" w:firstLineChars="196"/>
        <w:rPr>
          <w:rFonts w:ascii="华文仿宋" w:hAnsi="华文仿宋" w:eastAsia="华文仿宋" w:cs="华文仿宋"/>
          <w:color w:val="auto"/>
          <w:sz w:val="24"/>
          <w:highlight w:val="none"/>
          <w:u w:val="single"/>
        </w:rPr>
      </w:pPr>
      <w:r>
        <w:rPr>
          <w:rFonts w:hint="eastAsia" w:ascii="华文仿宋" w:hAnsi="华文仿宋" w:eastAsia="华文仿宋" w:cs="华文仿宋"/>
          <w:color w:val="auto"/>
          <w:sz w:val="24"/>
          <w:highlight w:val="none"/>
        </w:rPr>
        <w:t>通讯地址：</w:t>
      </w:r>
      <w:r>
        <w:rPr>
          <w:rFonts w:hint="eastAsia" w:ascii="华文仿宋" w:hAnsi="华文仿宋" w:eastAsia="华文仿宋" w:cs="华文仿宋"/>
          <w:color w:val="auto"/>
          <w:sz w:val="24"/>
          <w:highlight w:val="none"/>
          <w:u w:val="single"/>
        </w:rPr>
        <w:t xml:space="preserve">                      </w:t>
      </w:r>
    </w:p>
    <w:p>
      <w:pPr>
        <w:spacing w:line="360" w:lineRule="auto"/>
        <w:ind w:firstLine="470" w:firstLineChars="196"/>
        <w:rPr>
          <w:rFonts w:ascii="华文仿宋" w:hAnsi="华文仿宋" w:eastAsia="华文仿宋" w:cs="华文仿宋"/>
          <w:color w:val="auto"/>
          <w:sz w:val="24"/>
          <w:highlight w:val="none"/>
          <w:u w:val="single"/>
        </w:rPr>
      </w:pPr>
      <w:r>
        <w:rPr>
          <w:rFonts w:hint="eastAsia" w:ascii="华文仿宋" w:hAnsi="华文仿宋" w:eastAsia="华文仿宋" w:cs="华文仿宋"/>
          <w:color w:val="auto"/>
          <w:sz w:val="24"/>
          <w:highlight w:val="none"/>
        </w:rPr>
        <w:t>邮政编码：</w:t>
      </w:r>
      <w:r>
        <w:rPr>
          <w:rFonts w:hint="eastAsia" w:ascii="华文仿宋" w:hAnsi="华文仿宋" w:eastAsia="华文仿宋" w:cs="华文仿宋"/>
          <w:color w:val="auto"/>
          <w:sz w:val="24"/>
          <w:highlight w:val="none"/>
          <w:u w:val="single"/>
        </w:rPr>
        <w:t xml:space="preserve">                      </w:t>
      </w:r>
    </w:p>
    <w:p>
      <w:pPr>
        <w:spacing w:line="360" w:lineRule="auto"/>
        <w:ind w:firstLine="470" w:firstLineChars="196"/>
        <w:rPr>
          <w:rFonts w:ascii="华文仿宋" w:hAnsi="华文仿宋" w:eastAsia="华文仿宋" w:cs="华文仿宋"/>
          <w:color w:val="auto"/>
          <w:sz w:val="24"/>
          <w:highlight w:val="none"/>
          <w:u w:val="single"/>
        </w:rPr>
      </w:pPr>
      <w:r>
        <w:rPr>
          <w:rFonts w:hint="eastAsia" w:ascii="华文仿宋" w:hAnsi="华文仿宋" w:eastAsia="华文仿宋" w:cs="华文仿宋"/>
          <w:color w:val="auto"/>
          <w:sz w:val="24"/>
          <w:highlight w:val="none"/>
        </w:rPr>
        <w:t>联系电话：</w:t>
      </w:r>
      <w:r>
        <w:rPr>
          <w:rFonts w:hint="eastAsia" w:ascii="华文仿宋" w:hAnsi="华文仿宋" w:eastAsia="华文仿宋" w:cs="华文仿宋"/>
          <w:color w:val="auto"/>
          <w:sz w:val="24"/>
          <w:highlight w:val="none"/>
          <w:u w:val="single"/>
        </w:rPr>
        <w:t xml:space="preserve">                      </w:t>
      </w:r>
    </w:p>
    <w:p>
      <w:pPr>
        <w:spacing w:line="360" w:lineRule="auto"/>
        <w:ind w:firstLine="470" w:firstLineChars="196"/>
        <w:rPr>
          <w:rFonts w:ascii="华文仿宋" w:hAnsi="华文仿宋" w:eastAsia="华文仿宋" w:cs="华文仿宋"/>
          <w:color w:val="auto"/>
          <w:sz w:val="24"/>
          <w:highlight w:val="none"/>
          <w:u w:val="single"/>
        </w:rPr>
      </w:pPr>
      <w:r>
        <w:rPr>
          <w:rFonts w:hint="eastAsia" w:ascii="华文仿宋" w:hAnsi="华文仿宋" w:eastAsia="华文仿宋" w:cs="华文仿宋"/>
          <w:color w:val="auto"/>
          <w:sz w:val="24"/>
          <w:highlight w:val="none"/>
        </w:rPr>
        <w:t>传    真：</w:t>
      </w:r>
      <w:r>
        <w:rPr>
          <w:rFonts w:hint="eastAsia" w:ascii="华文仿宋" w:hAnsi="华文仿宋" w:eastAsia="华文仿宋" w:cs="华文仿宋"/>
          <w:color w:val="auto"/>
          <w:sz w:val="24"/>
          <w:highlight w:val="none"/>
          <w:u w:val="single"/>
        </w:rPr>
        <w:t xml:space="preserve">                      </w:t>
      </w:r>
    </w:p>
    <w:p>
      <w:pPr>
        <w:spacing w:line="360" w:lineRule="auto"/>
        <w:ind w:firstLine="480" w:firstLineChars="200"/>
        <w:rPr>
          <w:rFonts w:ascii="华文仿宋" w:hAnsi="华文仿宋" w:eastAsia="华文仿宋" w:cs="华文仿宋"/>
          <w:b/>
          <w:color w:val="auto"/>
          <w:sz w:val="28"/>
          <w:szCs w:val="28"/>
          <w:highlight w:val="none"/>
        </w:rPr>
      </w:pPr>
      <w:r>
        <w:rPr>
          <w:rFonts w:hint="eastAsia" w:ascii="华文仿宋" w:hAnsi="华文仿宋" w:eastAsia="华文仿宋" w:cs="华文仿宋"/>
          <w:color w:val="auto"/>
          <w:sz w:val="24"/>
          <w:highlight w:val="none"/>
        </w:rPr>
        <w:t>日    期：</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年</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月</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日</w:t>
      </w:r>
    </w:p>
    <w:bookmarkEnd w:id="25"/>
    <w:p>
      <w:pPr>
        <w:widowControl/>
        <w:jc w:val="center"/>
        <w:rPr>
          <w:rFonts w:ascii="仿宋" w:hAnsi="仿宋" w:eastAsia="仿宋" w:cs="仿宋"/>
          <w:b/>
          <w:color w:val="auto"/>
          <w:sz w:val="32"/>
          <w:szCs w:val="32"/>
          <w:highlight w:val="none"/>
        </w:rPr>
      </w:pPr>
    </w:p>
    <w:p>
      <w:pPr>
        <w:spacing w:line="360" w:lineRule="auto"/>
        <w:rPr>
          <w:rFonts w:ascii="仿宋" w:hAnsi="仿宋" w:eastAsia="仿宋" w:cs="仿宋"/>
          <w:b/>
          <w:color w:val="auto"/>
          <w:sz w:val="28"/>
          <w:szCs w:val="28"/>
          <w:highlight w:val="none"/>
        </w:rPr>
      </w:pPr>
      <w:bookmarkStart w:id="26" w:name="_Toc217446087"/>
    </w:p>
    <w:p>
      <w:pPr>
        <w:widowControl/>
        <w:jc w:val="left"/>
        <w:rPr>
          <w:rFonts w:ascii="仿宋" w:hAnsi="仿宋" w:eastAsia="仿宋" w:cs="仿宋"/>
          <w:b/>
          <w:color w:val="auto"/>
          <w:sz w:val="28"/>
          <w:szCs w:val="28"/>
          <w:highlight w:val="none"/>
        </w:rPr>
      </w:pPr>
    </w:p>
    <w:p>
      <w:pPr>
        <w:spacing w:line="360" w:lineRule="auto"/>
        <w:jc w:val="left"/>
        <w:rPr>
          <w:rFonts w:ascii="仿宋" w:hAnsi="仿宋" w:eastAsia="仿宋" w:cs="仿宋"/>
          <w:color w:val="auto"/>
          <w:highlight w:val="none"/>
          <w:u w:val="single"/>
        </w:rPr>
      </w:pPr>
      <w:r>
        <w:rPr>
          <w:rFonts w:hint="eastAsia" w:ascii="仿宋" w:hAnsi="仿宋" w:eastAsia="仿宋" w:cs="仿宋"/>
          <w:color w:val="auto"/>
          <w:highlight w:val="none"/>
        </w:rPr>
        <w:br w:type="page"/>
      </w:r>
    </w:p>
    <w:p>
      <w:pPr>
        <w:pStyle w:val="5"/>
        <w:jc w:val="center"/>
        <w:rPr>
          <w:rFonts w:ascii="仿宋" w:hAnsi="仿宋" w:eastAsia="仿宋" w:cs="仿宋"/>
          <w:bCs w:val="0"/>
          <w:color w:val="auto"/>
          <w:highlight w:val="none"/>
        </w:rPr>
      </w:pPr>
      <w:r>
        <w:rPr>
          <w:rFonts w:hint="eastAsia" w:ascii="仿宋" w:hAnsi="仿宋" w:eastAsia="仿宋" w:cs="仿宋"/>
          <w:bCs w:val="0"/>
          <w:color w:val="auto"/>
          <w:highlight w:val="none"/>
        </w:rPr>
        <w:t>二、技术参数表</w:t>
      </w:r>
    </w:p>
    <w:p>
      <w:pPr>
        <w:spacing w:line="48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采购项目名称：</w:t>
      </w:r>
      <w:r>
        <w:rPr>
          <w:rFonts w:hint="eastAsia" w:ascii="华文仿宋" w:hAnsi="华文仿宋" w:eastAsia="华文仿宋" w:cs="华文仿宋"/>
          <w:color w:val="auto"/>
          <w:sz w:val="24"/>
          <w:highlight w:val="none"/>
          <w:u w:val="single"/>
        </w:rPr>
        <w:t xml:space="preserve">               </w:t>
      </w:r>
    </w:p>
    <w:p>
      <w:pPr>
        <w:pStyle w:val="9"/>
        <w:spacing w:line="48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华文仿宋" w:hAnsi="华文仿宋" w:eastAsia="华文仿宋" w:cs="华文仿宋"/>
          <w:color w:val="auto"/>
          <w:sz w:val="24"/>
          <w:highlight w:val="none"/>
          <w:u w:val="single"/>
        </w:rPr>
        <w:t xml:space="preserve">               </w:t>
      </w:r>
    </w:p>
    <w:tbl>
      <w:tblPr>
        <w:tblStyle w:val="18"/>
        <w:tblW w:w="9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2050"/>
        <w:gridCol w:w="1851"/>
        <w:gridCol w:w="234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726" w:type="dxa"/>
            <w:vAlign w:val="center"/>
          </w:tcPr>
          <w:p>
            <w:pPr>
              <w:widowControl/>
              <w:spacing w:line="360" w:lineRule="atLeast"/>
              <w:jc w:val="left"/>
              <w:outlineLvl w:val="1"/>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50" w:type="dxa"/>
            <w:vAlign w:val="center"/>
          </w:tcPr>
          <w:p>
            <w:pPr>
              <w:widowControl/>
              <w:spacing w:line="360" w:lineRule="atLeast"/>
              <w:jc w:val="left"/>
              <w:outlineLvl w:val="1"/>
              <w:rPr>
                <w:rFonts w:ascii="仿宋" w:hAnsi="仿宋" w:eastAsia="仿宋" w:cs="仿宋"/>
                <w:color w:val="auto"/>
                <w:sz w:val="24"/>
                <w:highlight w:val="none"/>
              </w:rPr>
            </w:pPr>
            <w:r>
              <w:rPr>
                <w:rFonts w:hint="eastAsia" w:ascii="仿宋" w:hAnsi="仿宋" w:eastAsia="仿宋" w:cs="仿宋"/>
                <w:color w:val="auto"/>
                <w:sz w:val="24"/>
                <w:highlight w:val="none"/>
              </w:rPr>
              <w:t>货物（设备）名称</w:t>
            </w:r>
          </w:p>
        </w:tc>
        <w:tc>
          <w:tcPr>
            <w:tcW w:w="1851" w:type="dxa"/>
            <w:vAlign w:val="center"/>
          </w:tcPr>
          <w:p>
            <w:pPr>
              <w:widowControl/>
              <w:spacing w:line="360" w:lineRule="atLeast"/>
              <w:jc w:val="left"/>
              <w:outlineLvl w:val="1"/>
              <w:rPr>
                <w:rFonts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2340" w:type="dxa"/>
            <w:vAlign w:val="center"/>
          </w:tcPr>
          <w:p>
            <w:pPr>
              <w:widowControl/>
              <w:spacing w:line="360" w:lineRule="atLeast"/>
              <w:jc w:val="left"/>
              <w:outlineLvl w:val="1"/>
              <w:rPr>
                <w:rFonts w:ascii="仿宋" w:hAnsi="仿宋" w:eastAsia="仿宋" w:cs="仿宋"/>
                <w:color w:val="auto"/>
                <w:sz w:val="24"/>
                <w:highlight w:val="none"/>
              </w:rPr>
            </w:pPr>
            <w:r>
              <w:rPr>
                <w:rFonts w:hint="eastAsia" w:ascii="仿宋" w:hAnsi="仿宋" w:eastAsia="仿宋" w:cs="仿宋"/>
                <w:color w:val="auto"/>
                <w:sz w:val="24"/>
                <w:highlight w:val="none"/>
              </w:rPr>
              <w:t>投标产品技术参数</w:t>
            </w:r>
          </w:p>
        </w:tc>
        <w:tc>
          <w:tcPr>
            <w:tcW w:w="2340" w:type="dxa"/>
            <w:vAlign w:val="center"/>
          </w:tcPr>
          <w:p>
            <w:pPr>
              <w:widowControl/>
              <w:spacing w:line="360" w:lineRule="atLeast"/>
              <w:jc w:val="left"/>
              <w:outlineLvl w:val="1"/>
              <w:rPr>
                <w:rFonts w:ascii="仿宋" w:hAnsi="仿宋" w:eastAsia="仿宋" w:cs="仿宋"/>
                <w:color w:val="auto"/>
                <w:sz w:val="24"/>
                <w:highlight w:val="none"/>
              </w:rPr>
            </w:pPr>
            <w:r>
              <w:rPr>
                <w:rFonts w:hint="eastAsia" w:ascii="仿宋" w:hAnsi="仿宋" w:eastAsia="仿宋" w:cs="仿宋"/>
                <w:color w:val="auto"/>
                <w:sz w:val="24"/>
                <w:highlight w:val="none"/>
              </w:rPr>
              <w:t>是否满足要求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726" w:type="dxa"/>
          </w:tcPr>
          <w:p>
            <w:pPr>
              <w:widowControl/>
              <w:spacing w:line="360" w:lineRule="atLeast"/>
              <w:ind w:firstLine="470" w:firstLineChars="196"/>
              <w:jc w:val="left"/>
              <w:outlineLvl w:val="1"/>
              <w:rPr>
                <w:rFonts w:ascii="仿宋" w:hAnsi="仿宋" w:eastAsia="仿宋" w:cs="仿宋"/>
                <w:color w:val="auto"/>
                <w:sz w:val="24"/>
                <w:highlight w:val="none"/>
              </w:rPr>
            </w:pPr>
          </w:p>
        </w:tc>
        <w:tc>
          <w:tcPr>
            <w:tcW w:w="2050" w:type="dxa"/>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851" w:type="dxa"/>
          </w:tcPr>
          <w:p>
            <w:pPr>
              <w:widowControl/>
              <w:spacing w:line="360" w:lineRule="atLeast"/>
              <w:ind w:firstLine="470" w:firstLineChars="196"/>
              <w:jc w:val="left"/>
              <w:outlineLvl w:val="1"/>
              <w:rPr>
                <w:rFonts w:ascii="仿宋" w:hAnsi="仿宋" w:eastAsia="仿宋" w:cs="仿宋"/>
                <w:color w:val="auto"/>
                <w:sz w:val="24"/>
                <w:highlight w:val="none"/>
              </w:rPr>
            </w:pPr>
          </w:p>
        </w:tc>
        <w:tc>
          <w:tcPr>
            <w:tcW w:w="2340" w:type="dxa"/>
          </w:tcPr>
          <w:p>
            <w:pPr>
              <w:widowControl/>
              <w:spacing w:line="360" w:lineRule="atLeast"/>
              <w:ind w:firstLine="470" w:firstLineChars="196"/>
              <w:jc w:val="left"/>
              <w:outlineLvl w:val="1"/>
              <w:rPr>
                <w:rFonts w:ascii="仿宋" w:hAnsi="仿宋" w:eastAsia="仿宋" w:cs="仿宋"/>
                <w:color w:val="auto"/>
                <w:sz w:val="24"/>
                <w:highlight w:val="none"/>
              </w:rPr>
            </w:pPr>
          </w:p>
        </w:tc>
        <w:tc>
          <w:tcPr>
            <w:tcW w:w="2340" w:type="dxa"/>
          </w:tcPr>
          <w:p>
            <w:pPr>
              <w:widowControl/>
              <w:spacing w:line="360" w:lineRule="atLeast"/>
              <w:ind w:firstLine="470" w:firstLineChars="196"/>
              <w:jc w:val="left"/>
              <w:outlineLvl w:val="1"/>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26" w:type="dxa"/>
          </w:tcPr>
          <w:p>
            <w:pPr>
              <w:widowControl/>
              <w:spacing w:line="360" w:lineRule="atLeast"/>
              <w:ind w:firstLine="470" w:firstLineChars="196"/>
              <w:jc w:val="left"/>
              <w:outlineLvl w:val="1"/>
              <w:rPr>
                <w:rFonts w:ascii="仿宋" w:hAnsi="仿宋" w:eastAsia="仿宋" w:cs="仿宋"/>
                <w:color w:val="auto"/>
                <w:sz w:val="24"/>
                <w:highlight w:val="none"/>
              </w:rPr>
            </w:pPr>
          </w:p>
        </w:tc>
        <w:tc>
          <w:tcPr>
            <w:tcW w:w="2050" w:type="dxa"/>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851" w:type="dxa"/>
          </w:tcPr>
          <w:p>
            <w:pPr>
              <w:widowControl/>
              <w:spacing w:line="360" w:lineRule="atLeast"/>
              <w:ind w:firstLine="470" w:firstLineChars="196"/>
              <w:jc w:val="left"/>
              <w:outlineLvl w:val="1"/>
              <w:rPr>
                <w:rFonts w:ascii="仿宋" w:hAnsi="仿宋" w:eastAsia="仿宋" w:cs="仿宋"/>
                <w:color w:val="auto"/>
                <w:sz w:val="24"/>
                <w:highlight w:val="none"/>
              </w:rPr>
            </w:pPr>
          </w:p>
        </w:tc>
        <w:tc>
          <w:tcPr>
            <w:tcW w:w="2340" w:type="dxa"/>
          </w:tcPr>
          <w:p>
            <w:pPr>
              <w:widowControl/>
              <w:spacing w:line="360" w:lineRule="atLeast"/>
              <w:ind w:firstLine="470" w:firstLineChars="196"/>
              <w:jc w:val="left"/>
              <w:outlineLvl w:val="1"/>
              <w:rPr>
                <w:rFonts w:ascii="仿宋" w:hAnsi="仿宋" w:eastAsia="仿宋" w:cs="仿宋"/>
                <w:color w:val="auto"/>
                <w:sz w:val="24"/>
                <w:highlight w:val="none"/>
              </w:rPr>
            </w:pPr>
          </w:p>
        </w:tc>
        <w:tc>
          <w:tcPr>
            <w:tcW w:w="2340" w:type="dxa"/>
          </w:tcPr>
          <w:p>
            <w:pPr>
              <w:widowControl/>
              <w:spacing w:line="360" w:lineRule="atLeast"/>
              <w:ind w:firstLine="470" w:firstLineChars="196"/>
              <w:jc w:val="left"/>
              <w:outlineLvl w:val="1"/>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726" w:type="dxa"/>
          </w:tcPr>
          <w:p>
            <w:pPr>
              <w:widowControl/>
              <w:spacing w:line="360" w:lineRule="atLeast"/>
              <w:ind w:firstLine="470" w:firstLineChars="196"/>
              <w:jc w:val="left"/>
              <w:outlineLvl w:val="1"/>
              <w:rPr>
                <w:rFonts w:ascii="仿宋" w:hAnsi="仿宋" w:eastAsia="仿宋" w:cs="仿宋"/>
                <w:color w:val="auto"/>
                <w:sz w:val="24"/>
                <w:highlight w:val="none"/>
              </w:rPr>
            </w:pPr>
          </w:p>
        </w:tc>
        <w:tc>
          <w:tcPr>
            <w:tcW w:w="2050" w:type="dxa"/>
          </w:tcPr>
          <w:p>
            <w:pPr>
              <w:widowControl/>
              <w:spacing w:line="360" w:lineRule="atLeast"/>
              <w:ind w:firstLine="470" w:firstLineChars="196"/>
              <w:jc w:val="left"/>
              <w:outlineLvl w:val="1"/>
              <w:rPr>
                <w:rFonts w:ascii="仿宋" w:hAnsi="仿宋" w:eastAsia="仿宋" w:cs="仿宋"/>
                <w:color w:val="auto"/>
                <w:sz w:val="24"/>
                <w:highlight w:val="none"/>
              </w:rPr>
            </w:pPr>
          </w:p>
        </w:tc>
        <w:tc>
          <w:tcPr>
            <w:tcW w:w="1851" w:type="dxa"/>
          </w:tcPr>
          <w:p>
            <w:pPr>
              <w:widowControl/>
              <w:spacing w:line="360" w:lineRule="atLeast"/>
              <w:ind w:firstLine="470" w:firstLineChars="196"/>
              <w:jc w:val="left"/>
              <w:outlineLvl w:val="1"/>
              <w:rPr>
                <w:rFonts w:ascii="仿宋" w:hAnsi="仿宋" w:eastAsia="仿宋" w:cs="仿宋"/>
                <w:color w:val="auto"/>
                <w:sz w:val="24"/>
                <w:highlight w:val="none"/>
              </w:rPr>
            </w:pPr>
          </w:p>
        </w:tc>
        <w:tc>
          <w:tcPr>
            <w:tcW w:w="2340" w:type="dxa"/>
          </w:tcPr>
          <w:p>
            <w:pPr>
              <w:widowControl/>
              <w:spacing w:line="360" w:lineRule="atLeast"/>
              <w:ind w:firstLine="470" w:firstLineChars="196"/>
              <w:jc w:val="left"/>
              <w:outlineLvl w:val="1"/>
              <w:rPr>
                <w:rFonts w:ascii="仿宋" w:hAnsi="仿宋" w:eastAsia="仿宋" w:cs="仿宋"/>
                <w:color w:val="auto"/>
                <w:sz w:val="24"/>
                <w:highlight w:val="none"/>
              </w:rPr>
            </w:pPr>
          </w:p>
        </w:tc>
        <w:tc>
          <w:tcPr>
            <w:tcW w:w="2340" w:type="dxa"/>
          </w:tcPr>
          <w:p>
            <w:pPr>
              <w:widowControl/>
              <w:spacing w:line="360" w:lineRule="atLeast"/>
              <w:ind w:firstLine="470" w:firstLineChars="196"/>
              <w:jc w:val="left"/>
              <w:outlineLvl w:val="1"/>
              <w:rPr>
                <w:rFonts w:ascii="仿宋" w:hAnsi="仿宋" w:eastAsia="仿宋" w:cs="仿宋"/>
                <w:color w:val="auto"/>
                <w:sz w:val="24"/>
                <w:highlight w:val="none"/>
              </w:rPr>
            </w:pPr>
          </w:p>
        </w:tc>
      </w:tr>
    </w:tbl>
    <w:p>
      <w:pPr>
        <w:ind w:firstLine="482" w:firstLineChars="200"/>
        <w:rPr>
          <w:rFonts w:ascii="仿宋" w:hAnsi="仿宋" w:eastAsia="仿宋" w:cs="仿宋"/>
          <w:b/>
          <w:color w:val="auto"/>
          <w:sz w:val="24"/>
          <w:highlight w:val="none"/>
        </w:rPr>
      </w:pPr>
    </w:p>
    <w:p>
      <w:pPr>
        <w:adjustRightIn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注：1. 供应商必须把招标项目的全部技术参数列入此表。</w:t>
      </w:r>
    </w:p>
    <w:p>
      <w:pPr>
        <w:adjustRightIn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2．按照招标项目技术要求的顺序对应填写。</w:t>
      </w:r>
    </w:p>
    <w:p>
      <w:pPr>
        <w:adjustRightInd w:val="0"/>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3．供应商必须据实填写，不得虚假填写，否则将取消其投标或中标资格。</w:t>
      </w:r>
    </w:p>
    <w:p>
      <w:pPr>
        <w:adjustRightInd w:val="0"/>
        <w:spacing w:line="360" w:lineRule="auto"/>
        <w:ind w:firstLine="480" w:firstLineChars="200"/>
        <w:jc w:val="left"/>
        <w:rPr>
          <w:rFonts w:ascii="仿宋" w:hAnsi="仿宋" w:eastAsia="仿宋" w:cs="仿宋"/>
          <w:color w:val="auto"/>
          <w:sz w:val="24"/>
          <w:highlight w:val="none"/>
        </w:rPr>
      </w:pP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投标人名称：</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（盖单位公章）</w:t>
      </w:r>
    </w:p>
    <w:p>
      <w:pPr>
        <w:spacing w:line="360" w:lineRule="auto"/>
        <w:ind w:firstLine="470" w:firstLineChars="196"/>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法定代表人/单位负责人或授权代表：</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（签字或盖章）</w:t>
      </w:r>
    </w:p>
    <w:p>
      <w:pPr>
        <w:spacing w:line="360" w:lineRule="auto"/>
        <w:ind w:firstLine="480" w:firstLineChars="200"/>
        <w:rPr>
          <w:rFonts w:ascii="华文仿宋" w:hAnsi="华文仿宋" w:eastAsia="华文仿宋" w:cs="华文仿宋"/>
          <w:b/>
          <w:color w:val="auto"/>
          <w:sz w:val="24"/>
          <w:highlight w:val="none"/>
        </w:rPr>
      </w:pPr>
      <w:r>
        <w:rPr>
          <w:rFonts w:hint="eastAsia" w:ascii="华文仿宋" w:hAnsi="华文仿宋" w:eastAsia="华文仿宋" w:cs="华文仿宋"/>
          <w:color w:val="auto"/>
          <w:sz w:val="24"/>
          <w:highlight w:val="none"/>
        </w:rPr>
        <w:t>日    期：</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年</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月</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日</w:t>
      </w:r>
    </w:p>
    <w:p>
      <w:pPr>
        <w:pStyle w:val="5"/>
        <w:jc w:val="center"/>
        <w:rPr>
          <w:rFonts w:ascii="仿宋" w:hAnsi="仿宋" w:eastAsia="仿宋" w:cs="仿宋"/>
          <w:color w:val="auto"/>
          <w:sz w:val="24"/>
          <w:highlight w:val="none"/>
        </w:rPr>
      </w:pPr>
      <w:r>
        <w:rPr>
          <w:rFonts w:hint="eastAsia" w:ascii="仿宋" w:hAnsi="仿宋" w:eastAsia="仿宋" w:cs="仿宋"/>
          <w:color w:val="auto"/>
          <w:sz w:val="24"/>
          <w:highlight w:val="none"/>
        </w:rPr>
        <w:br w:type="page"/>
      </w:r>
    </w:p>
    <w:p>
      <w:pPr>
        <w:pStyle w:val="5"/>
        <w:jc w:val="center"/>
        <w:rPr>
          <w:rFonts w:ascii="仿宋" w:hAnsi="仿宋" w:eastAsia="仿宋" w:cs="仿宋"/>
          <w:bCs w:val="0"/>
          <w:color w:val="auto"/>
          <w:highlight w:val="none"/>
        </w:rPr>
      </w:pPr>
      <w:r>
        <w:rPr>
          <w:rFonts w:hint="eastAsia" w:ascii="仿宋" w:hAnsi="仿宋" w:eastAsia="仿宋" w:cs="仿宋"/>
          <w:bCs w:val="0"/>
          <w:color w:val="auto"/>
          <w:highlight w:val="none"/>
        </w:rPr>
        <w:t>三、商务应答表</w:t>
      </w:r>
    </w:p>
    <w:p>
      <w:pPr>
        <w:spacing w:line="48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采购项目名称：</w:t>
      </w:r>
      <w:r>
        <w:rPr>
          <w:rFonts w:hint="eastAsia" w:ascii="华文仿宋" w:hAnsi="华文仿宋" w:eastAsia="华文仿宋" w:cs="华文仿宋"/>
          <w:color w:val="auto"/>
          <w:sz w:val="24"/>
          <w:highlight w:val="none"/>
          <w:u w:val="single"/>
        </w:rPr>
        <w:t xml:space="preserve">               </w:t>
      </w:r>
    </w:p>
    <w:p>
      <w:pPr>
        <w:pStyle w:val="9"/>
        <w:spacing w:line="48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华文仿宋" w:hAnsi="华文仿宋" w:eastAsia="华文仿宋" w:cs="华文仿宋"/>
          <w:color w:val="auto"/>
          <w:sz w:val="24"/>
          <w:highlight w:val="none"/>
          <w:u w:val="single"/>
        </w:rPr>
        <w:t xml:space="preserve">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3"/>
        <w:gridCol w:w="3716"/>
        <w:gridCol w:w="2795"/>
        <w:gridCol w:w="27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103"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716"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服务要求</w:t>
            </w:r>
          </w:p>
        </w:tc>
        <w:tc>
          <w:tcPr>
            <w:tcW w:w="2795"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投标文件应答情况</w:t>
            </w:r>
          </w:p>
        </w:tc>
        <w:tc>
          <w:tcPr>
            <w:tcW w:w="2795" w:type="dxa"/>
            <w:vAlign w:val="center"/>
          </w:tcPr>
          <w:p>
            <w:pPr>
              <w:jc w:val="center"/>
              <w:rPr>
                <w:rFonts w:ascii="仿宋" w:hAnsi="仿宋" w:eastAsia="仿宋" w:cs="仿宋"/>
                <w:color w:val="auto"/>
                <w:sz w:val="24"/>
                <w:highlight w:val="none"/>
              </w:rPr>
            </w:pPr>
            <w:r>
              <w:rPr>
                <w:rFonts w:hint="eastAsia" w:ascii="仿宋" w:hAnsi="仿宋" w:eastAsia="仿宋" w:cs="仿宋"/>
                <w:color w:val="auto"/>
                <w:sz w:val="24"/>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03" w:type="dxa"/>
          </w:tcPr>
          <w:p>
            <w:pPr>
              <w:jc w:val="center"/>
              <w:rPr>
                <w:rFonts w:ascii="仿宋" w:hAnsi="仿宋" w:eastAsia="仿宋" w:cs="仿宋"/>
                <w:color w:val="auto"/>
                <w:sz w:val="24"/>
                <w:highlight w:val="none"/>
              </w:rPr>
            </w:pPr>
          </w:p>
        </w:tc>
        <w:tc>
          <w:tcPr>
            <w:tcW w:w="3716" w:type="dxa"/>
          </w:tcPr>
          <w:p>
            <w:pPr>
              <w:jc w:val="center"/>
              <w:rPr>
                <w:rFonts w:ascii="仿宋" w:hAnsi="仿宋" w:eastAsia="仿宋" w:cs="仿宋"/>
                <w:color w:val="auto"/>
                <w:sz w:val="24"/>
                <w:highlight w:val="none"/>
              </w:rPr>
            </w:pPr>
          </w:p>
        </w:tc>
        <w:tc>
          <w:tcPr>
            <w:tcW w:w="2795" w:type="dxa"/>
          </w:tcPr>
          <w:p>
            <w:pPr>
              <w:jc w:val="center"/>
              <w:rPr>
                <w:rFonts w:ascii="仿宋" w:hAnsi="仿宋" w:eastAsia="仿宋" w:cs="仿宋"/>
                <w:color w:val="auto"/>
                <w:sz w:val="24"/>
                <w:highlight w:val="none"/>
              </w:rPr>
            </w:pPr>
          </w:p>
        </w:tc>
        <w:tc>
          <w:tcPr>
            <w:tcW w:w="2795" w:type="dxa"/>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03" w:type="dxa"/>
          </w:tcPr>
          <w:p>
            <w:pPr>
              <w:jc w:val="center"/>
              <w:rPr>
                <w:rFonts w:ascii="仿宋" w:hAnsi="仿宋" w:eastAsia="仿宋" w:cs="仿宋"/>
                <w:color w:val="auto"/>
                <w:sz w:val="24"/>
                <w:highlight w:val="none"/>
              </w:rPr>
            </w:pPr>
          </w:p>
        </w:tc>
        <w:tc>
          <w:tcPr>
            <w:tcW w:w="3716" w:type="dxa"/>
          </w:tcPr>
          <w:p>
            <w:pPr>
              <w:jc w:val="center"/>
              <w:rPr>
                <w:rFonts w:ascii="仿宋" w:hAnsi="仿宋" w:eastAsia="仿宋" w:cs="仿宋"/>
                <w:color w:val="auto"/>
                <w:sz w:val="24"/>
                <w:highlight w:val="none"/>
              </w:rPr>
            </w:pPr>
          </w:p>
        </w:tc>
        <w:tc>
          <w:tcPr>
            <w:tcW w:w="2795" w:type="dxa"/>
          </w:tcPr>
          <w:p>
            <w:pPr>
              <w:jc w:val="center"/>
              <w:rPr>
                <w:rFonts w:ascii="仿宋" w:hAnsi="仿宋" w:eastAsia="仿宋" w:cs="仿宋"/>
                <w:color w:val="auto"/>
                <w:sz w:val="24"/>
                <w:highlight w:val="none"/>
              </w:rPr>
            </w:pPr>
          </w:p>
        </w:tc>
        <w:tc>
          <w:tcPr>
            <w:tcW w:w="2795" w:type="dxa"/>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03" w:type="dxa"/>
          </w:tcPr>
          <w:p>
            <w:pPr>
              <w:jc w:val="center"/>
              <w:rPr>
                <w:rFonts w:ascii="仿宋" w:hAnsi="仿宋" w:eastAsia="仿宋" w:cs="仿宋"/>
                <w:color w:val="auto"/>
                <w:sz w:val="24"/>
                <w:highlight w:val="none"/>
              </w:rPr>
            </w:pPr>
          </w:p>
        </w:tc>
        <w:tc>
          <w:tcPr>
            <w:tcW w:w="3716" w:type="dxa"/>
          </w:tcPr>
          <w:p>
            <w:pPr>
              <w:jc w:val="center"/>
              <w:rPr>
                <w:rFonts w:ascii="仿宋" w:hAnsi="仿宋" w:eastAsia="仿宋" w:cs="仿宋"/>
                <w:color w:val="auto"/>
                <w:sz w:val="24"/>
                <w:highlight w:val="none"/>
              </w:rPr>
            </w:pPr>
          </w:p>
        </w:tc>
        <w:tc>
          <w:tcPr>
            <w:tcW w:w="2795" w:type="dxa"/>
          </w:tcPr>
          <w:p>
            <w:pPr>
              <w:jc w:val="center"/>
              <w:rPr>
                <w:rFonts w:ascii="仿宋" w:hAnsi="仿宋" w:eastAsia="仿宋" w:cs="仿宋"/>
                <w:color w:val="auto"/>
                <w:sz w:val="24"/>
                <w:highlight w:val="none"/>
              </w:rPr>
            </w:pPr>
          </w:p>
        </w:tc>
        <w:tc>
          <w:tcPr>
            <w:tcW w:w="2795" w:type="dxa"/>
          </w:tcPr>
          <w:p>
            <w:pPr>
              <w:jc w:val="center"/>
              <w:rPr>
                <w:rFonts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jc w:val="center"/>
        </w:trPr>
        <w:tc>
          <w:tcPr>
            <w:tcW w:w="1103" w:type="dxa"/>
          </w:tcPr>
          <w:p>
            <w:pPr>
              <w:jc w:val="center"/>
              <w:rPr>
                <w:rFonts w:ascii="仿宋" w:hAnsi="仿宋" w:eastAsia="仿宋" w:cs="仿宋"/>
                <w:color w:val="auto"/>
                <w:sz w:val="24"/>
                <w:highlight w:val="none"/>
              </w:rPr>
            </w:pPr>
          </w:p>
        </w:tc>
        <w:tc>
          <w:tcPr>
            <w:tcW w:w="3716" w:type="dxa"/>
          </w:tcPr>
          <w:p>
            <w:pPr>
              <w:jc w:val="center"/>
              <w:rPr>
                <w:rFonts w:ascii="仿宋" w:hAnsi="仿宋" w:eastAsia="仿宋" w:cs="仿宋"/>
                <w:color w:val="auto"/>
                <w:sz w:val="24"/>
                <w:highlight w:val="none"/>
              </w:rPr>
            </w:pPr>
          </w:p>
        </w:tc>
        <w:tc>
          <w:tcPr>
            <w:tcW w:w="2795" w:type="dxa"/>
          </w:tcPr>
          <w:p>
            <w:pPr>
              <w:jc w:val="center"/>
              <w:rPr>
                <w:rFonts w:ascii="仿宋" w:hAnsi="仿宋" w:eastAsia="仿宋" w:cs="仿宋"/>
                <w:color w:val="auto"/>
                <w:sz w:val="24"/>
                <w:highlight w:val="none"/>
              </w:rPr>
            </w:pPr>
          </w:p>
        </w:tc>
        <w:tc>
          <w:tcPr>
            <w:tcW w:w="2795" w:type="dxa"/>
          </w:tcPr>
          <w:p>
            <w:pPr>
              <w:jc w:val="center"/>
              <w:rPr>
                <w:rFonts w:ascii="仿宋" w:hAnsi="仿宋" w:eastAsia="仿宋" w:cs="仿宋"/>
                <w:color w:val="auto"/>
                <w:sz w:val="24"/>
                <w:highlight w:val="none"/>
              </w:rPr>
            </w:pPr>
          </w:p>
        </w:tc>
      </w:tr>
    </w:tbl>
    <w:p>
      <w:pPr>
        <w:ind w:firstLine="482" w:firstLineChars="200"/>
        <w:rPr>
          <w:rFonts w:ascii="仿宋" w:hAnsi="仿宋" w:eastAsia="仿宋" w:cs="仿宋"/>
          <w:b/>
          <w:color w:val="auto"/>
          <w:sz w:val="24"/>
          <w:highlight w:val="none"/>
        </w:rPr>
      </w:pPr>
    </w:p>
    <w:p>
      <w:pPr>
        <w:pStyle w:val="35"/>
        <w:rPr>
          <w:rFonts w:ascii="仿宋" w:hAnsi="仿宋" w:eastAsia="仿宋" w:cs="仿宋"/>
          <w:b w:val="0"/>
          <w:color w:val="auto"/>
          <w:highlight w:val="none"/>
        </w:rPr>
      </w:pPr>
      <w:r>
        <w:rPr>
          <w:rFonts w:hint="eastAsia" w:ascii="仿宋" w:hAnsi="仿宋" w:eastAsia="仿宋" w:cs="仿宋"/>
          <w:b w:val="0"/>
          <w:color w:val="auto"/>
          <w:highlight w:val="none"/>
        </w:rPr>
        <w:t>注：投标人根据招标文件第七章中的内容逐一应答，须据实填写，不得虚假应答，否则将取消其成交资格。如未在此表中应答，视为完全响应不存在任何偏离。投标人不得以未作应答而拒不接受。</w:t>
      </w:r>
    </w:p>
    <w:p>
      <w:pPr>
        <w:adjustRightInd w:val="0"/>
        <w:spacing w:line="360" w:lineRule="auto"/>
        <w:ind w:firstLine="480" w:firstLineChars="200"/>
        <w:jc w:val="left"/>
        <w:rPr>
          <w:rFonts w:ascii="仿宋" w:hAnsi="仿宋" w:eastAsia="仿宋" w:cs="仿宋"/>
          <w:color w:val="auto"/>
          <w:sz w:val="24"/>
          <w:highlight w:val="none"/>
        </w:rPr>
      </w:pP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投标人名称：</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（盖单位公章）</w:t>
      </w:r>
    </w:p>
    <w:p>
      <w:pPr>
        <w:spacing w:line="360" w:lineRule="auto"/>
        <w:ind w:firstLine="470" w:firstLineChars="196"/>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法定代表人/单位负责人或授权代表：</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（签字或盖章）</w:t>
      </w:r>
    </w:p>
    <w:p>
      <w:pPr>
        <w:spacing w:line="360" w:lineRule="auto"/>
        <w:ind w:firstLine="480" w:firstLineChars="200"/>
        <w:rPr>
          <w:rFonts w:ascii="华文仿宋" w:hAnsi="华文仿宋" w:eastAsia="华文仿宋" w:cs="华文仿宋"/>
          <w:b/>
          <w:color w:val="auto"/>
          <w:sz w:val="24"/>
          <w:highlight w:val="none"/>
        </w:rPr>
      </w:pPr>
      <w:r>
        <w:rPr>
          <w:rFonts w:hint="eastAsia" w:ascii="华文仿宋" w:hAnsi="华文仿宋" w:eastAsia="华文仿宋" w:cs="华文仿宋"/>
          <w:color w:val="auto"/>
          <w:sz w:val="24"/>
          <w:highlight w:val="none"/>
        </w:rPr>
        <w:t>日    期：</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年</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月</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日</w:t>
      </w:r>
    </w:p>
    <w:p>
      <w:pPr>
        <w:pStyle w:val="5"/>
        <w:jc w:val="center"/>
        <w:rPr>
          <w:rFonts w:ascii="仿宋" w:hAnsi="仿宋" w:eastAsia="仿宋" w:cs="仿宋"/>
          <w:bCs w:val="0"/>
          <w:color w:val="auto"/>
          <w:highlight w:val="none"/>
        </w:rPr>
      </w:pPr>
      <w:r>
        <w:rPr>
          <w:rFonts w:hint="eastAsia" w:ascii="仿宋" w:hAnsi="仿宋" w:eastAsia="仿宋" w:cs="仿宋"/>
          <w:color w:val="auto"/>
          <w:sz w:val="24"/>
          <w:highlight w:val="none"/>
        </w:rPr>
        <w:br w:type="page"/>
      </w:r>
      <w:r>
        <w:rPr>
          <w:rFonts w:hint="eastAsia" w:ascii="仿宋" w:hAnsi="仿宋" w:eastAsia="仿宋" w:cs="仿宋"/>
          <w:bCs w:val="0"/>
          <w:color w:val="auto"/>
          <w:highlight w:val="none"/>
        </w:rPr>
        <w:t>四、投标人基本情况表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1080"/>
        <w:gridCol w:w="180"/>
        <w:gridCol w:w="1260"/>
        <w:gridCol w:w="1260"/>
        <w:gridCol w:w="420"/>
        <w:gridCol w:w="480"/>
        <w:gridCol w:w="360"/>
        <w:gridCol w:w="840"/>
        <w:gridCol w:w="60"/>
        <w:gridCol w:w="36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620" w:type="dxa"/>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投标人名称</w:t>
            </w:r>
          </w:p>
        </w:tc>
        <w:tc>
          <w:tcPr>
            <w:tcW w:w="7560" w:type="dxa"/>
            <w:gridSpan w:val="11"/>
            <w:vAlign w:val="center"/>
          </w:tcPr>
          <w:p>
            <w:pPr>
              <w:jc w:val="center"/>
              <w:rPr>
                <w:rFonts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620" w:type="dxa"/>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注册地址</w:t>
            </w:r>
          </w:p>
        </w:tc>
        <w:tc>
          <w:tcPr>
            <w:tcW w:w="4680" w:type="dxa"/>
            <w:gridSpan w:val="6"/>
            <w:vAlign w:val="center"/>
          </w:tcPr>
          <w:p>
            <w:pPr>
              <w:jc w:val="center"/>
              <w:rPr>
                <w:rFonts w:ascii="仿宋" w:hAnsi="仿宋" w:eastAsia="仿宋" w:cs="仿宋"/>
                <w:bCs/>
                <w:color w:val="auto"/>
                <w:szCs w:val="21"/>
                <w:highlight w:val="none"/>
              </w:rPr>
            </w:pPr>
          </w:p>
        </w:tc>
        <w:tc>
          <w:tcPr>
            <w:tcW w:w="1260" w:type="dxa"/>
            <w:gridSpan w:val="3"/>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邮政编码</w:t>
            </w:r>
          </w:p>
        </w:tc>
        <w:tc>
          <w:tcPr>
            <w:tcW w:w="1620" w:type="dxa"/>
            <w:gridSpan w:val="2"/>
            <w:vAlign w:val="center"/>
          </w:tcPr>
          <w:p>
            <w:pPr>
              <w:jc w:val="center"/>
              <w:rPr>
                <w:rFonts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620" w:type="dxa"/>
            <w:vMerge w:val="restart"/>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联系方式</w:t>
            </w:r>
          </w:p>
        </w:tc>
        <w:tc>
          <w:tcPr>
            <w:tcW w:w="1080" w:type="dxa"/>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联系人</w:t>
            </w:r>
          </w:p>
        </w:tc>
        <w:tc>
          <w:tcPr>
            <w:tcW w:w="3600" w:type="dxa"/>
            <w:gridSpan w:val="5"/>
            <w:vAlign w:val="center"/>
          </w:tcPr>
          <w:p>
            <w:pPr>
              <w:jc w:val="center"/>
              <w:rPr>
                <w:rFonts w:ascii="仿宋" w:hAnsi="仿宋" w:eastAsia="仿宋" w:cs="仿宋"/>
                <w:bCs/>
                <w:color w:val="auto"/>
                <w:szCs w:val="21"/>
                <w:highlight w:val="none"/>
              </w:rPr>
            </w:pPr>
          </w:p>
        </w:tc>
        <w:tc>
          <w:tcPr>
            <w:tcW w:w="1260" w:type="dxa"/>
            <w:gridSpan w:val="3"/>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联系电话</w:t>
            </w:r>
          </w:p>
        </w:tc>
        <w:tc>
          <w:tcPr>
            <w:tcW w:w="1620" w:type="dxa"/>
            <w:gridSpan w:val="2"/>
            <w:vAlign w:val="center"/>
          </w:tcPr>
          <w:p>
            <w:pPr>
              <w:jc w:val="center"/>
              <w:rPr>
                <w:rFonts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620" w:type="dxa"/>
            <w:vMerge w:val="continue"/>
            <w:vAlign w:val="center"/>
          </w:tcPr>
          <w:p>
            <w:pPr>
              <w:jc w:val="center"/>
              <w:rPr>
                <w:rFonts w:ascii="仿宋" w:hAnsi="仿宋" w:eastAsia="仿宋" w:cs="仿宋"/>
                <w:bCs/>
                <w:color w:val="auto"/>
                <w:szCs w:val="21"/>
                <w:highlight w:val="none"/>
              </w:rPr>
            </w:pPr>
          </w:p>
        </w:tc>
        <w:tc>
          <w:tcPr>
            <w:tcW w:w="1080" w:type="dxa"/>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传真</w:t>
            </w:r>
          </w:p>
        </w:tc>
        <w:tc>
          <w:tcPr>
            <w:tcW w:w="3600" w:type="dxa"/>
            <w:gridSpan w:val="5"/>
            <w:vAlign w:val="center"/>
          </w:tcPr>
          <w:p>
            <w:pPr>
              <w:jc w:val="center"/>
              <w:rPr>
                <w:rFonts w:ascii="仿宋" w:hAnsi="仿宋" w:eastAsia="仿宋" w:cs="仿宋"/>
                <w:bCs/>
                <w:color w:val="auto"/>
                <w:szCs w:val="21"/>
                <w:highlight w:val="none"/>
              </w:rPr>
            </w:pPr>
          </w:p>
        </w:tc>
        <w:tc>
          <w:tcPr>
            <w:tcW w:w="1260" w:type="dxa"/>
            <w:gridSpan w:val="3"/>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网址</w:t>
            </w:r>
          </w:p>
        </w:tc>
        <w:tc>
          <w:tcPr>
            <w:tcW w:w="1620" w:type="dxa"/>
            <w:gridSpan w:val="2"/>
            <w:vAlign w:val="center"/>
          </w:tcPr>
          <w:p>
            <w:pPr>
              <w:jc w:val="center"/>
              <w:rPr>
                <w:rFonts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620" w:type="dxa"/>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组织结构</w:t>
            </w:r>
          </w:p>
        </w:tc>
        <w:tc>
          <w:tcPr>
            <w:tcW w:w="7560" w:type="dxa"/>
            <w:gridSpan w:val="11"/>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（若无涉及可不填写此项或“/”）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620" w:type="dxa"/>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法定代表人/单位负责人</w:t>
            </w:r>
          </w:p>
        </w:tc>
        <w:tc>
          <w:tcPr>
            <w:tcW w:w="1260" w:type="dxa"/>
            <w:gridSpan w:val="2"/>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姓名</w:t>
            </w:r>
          </w:p>
        </w:tc>
        <w:tc>
          <w:tcPr>
            <w:tcW w:w="1260" w:type="dxa"/>
            <w:vAlign w:val="center"/>
          </w:tcPr>
          <w:p>
            <w:pPr>
              <w:jc w:val="center"/>
              <w:rPr>
                <w:rFonts w:ascii="仿宋" w:hAnsi="仿宋" w:eastAsia="仿宋" w:cs="仿宋"/>
                <w:bCs/>
                <w:color w:val="auto"/>
                <w:szCs w:val="21"/>
                <w:highlight w:val="none"/>
              </w:rPr>
            </w:pPr>
          </w:p>
        </w:tc>
        <w:tc>
          <w:tcPr>
            <w:tcW w:w="1260" w:type="dxa"/>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技术职称</w:t>
            </w:r>
          </w:p>
        </w:tc>
        <w:tc>
          <w:tcPr>
            <w:tcW w:w="1260" w:type="dxa"/>
            <w:gridSpan w:val="3"/>
            <w:vAlign w:val="center"/>
          </w:tcPr>
          <w:p>
            <w:pPr>
              <w:jc w:val="center"/>
              <w:rPr>
                <w:rFonts w:ascii="仿宋" w:hAnsi="仿宋" w:eastAsia="仿宋" w:cs="仿宋"/>
                <w:bCs/>
                <w:color w:val="auto"/>
                <w:szCs w:val="21"/>
                <w:highlight w:val="none"/>
              </w:rPr>
            </w:pPr>
          </w:p>
        </w:tc>
        <w:tc>
          <w:tcPr>
            <w:tcW w:w="1260" w:type="dxa"/>
            <w:gridSpan w:val="3"/>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联系电话</w:t>
            </w:r>
          </w:p>
        </w:tc>
        <w:tc>
          <w:tcPr>
            <w:tcW w:w="1260" w:type="dxa"/>
            <w:vAlign w:val="center"/>
          </w:tcPr>
          <w:p>
            <w:pPr>
              <w:jc w:val="center"/>
              <w:rPr>
                <w:rFonts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0" w:type="dxa"/>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技术负责人</w:t>
            </w:r>
          </w:p>
        </w:tc>
        <w:tc>
          <w:tcPr>
            <w:tcW w:w="1260" w:type="dxa"/>
            <w:gridSpan w:val="2"/>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姓名</w:t>
            </w:r>
          </w:p>
        </w:tc>
        <w:tc>
          <w:tcPr>
            <w:tcW w:w="1260" w:type="dxa"/>
            <w:vAlign w:val="center"/>
          </w:tcPr>
          <w:p>
            <w:pPr>
              <w:jc w:val="center"/>
              <w:rPr>
                <w:rFonts w:ascii="仿宋" w:hAnsi="仿宋" w:eastAsia="仿宋" w:cs="仿宋"/>
                <w:bCs/>
                <w:color w:val="auto"/>
                <w:szCs w:val="21"/>
                <w:highlight w:val="none"/>
              </w:rPr>
            </w:pPr>
          </w:p>
        </w:tc>
        <w:tc>
          <w:tcPr>
            <w:tcW w:w="1260" w:type="dxa"/>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技术职称</w:t>
            </w:r>
          </w:p>
        </w:tc>
        <w:tc>
          <w:tcPr>
            <w:tcW w:w="1260" w:type="dxa"/>
            <w:gridSpan w:val="3"/>
            <w:vAlign w:val="center"/>
          </w:tcPr>
          <w:p>
            <w:pPr>
              <w:jc w:val="center"/>
              <w:rPr>
                <w:rFonts w:ascii="仿宋" w:hAnsi="仿宋" w:eastAsia="仿宋" w:cs="仿宋"/>
                <w:bCs/>
                <w:color w:val="auto"/>
                <w:szCs w:val="21"/>
                <w:highlight w:val="none"/>
              </w:rPr>
            </w:pPr>
          </w:p>
        </w:tc>
        <w:tc>
          <w:tcPr>
            <w:tcW w:w="1260" w:type="dxa"/>
            <w:gridSpan w:val="3"/>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联系电话</w:t>
            </w:r>
          </w:p>
        </w:tc>
        <w:tc>
          <w:tcPr>
            <w:tcW w:w="1260" w:type="dxa"/>
            <w:vAlign w:val="center"/>
          </w:tcPr>
          <w:p>
            <w:pPr>
              <w:jc w:val="center"/>
              <w:rPr>
                <w:rFonts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620" w:type="dxa"/>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成立时间</w:t>
            </w:r>
          </w:p>
        </w:tc>
        <w:tc>
          <w:tcPr>
            <w:tcW w:w="2520" w:type="dxa"/>
            <w:gridSpan w:val="3"/>
            <w:vAlign w:val="center"/>
          </w:tcPr>
          <w:p>
            <w:pPr>
              <w:jc w:val="center"/>
              <w:rPr>
                <w:rFonts w:ascii="仿宋" w:hAnsi="仿宋" w:eastAsia="仿宋" w:cs="仿宋"/>
                <w:bCs/>
                <w:color w:val="auto"/>
                <w:szCs w:val="21"/>
                <w:highlight w:val="none"/>
              </w:rPr>
            </w:pPr>
          </w:p>
        </w:tc>
        <w:tc>
          <w:tcPr>
            <w:tcW w:w="5040" w:type="dxa"/>
            <w:gridSpan w:val="8"/>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620" w:type="dxa"/>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企业资质等级</w:t>
            </w:r>
          </w:p>
        </w:tc>
        <w:tc>
          <w:tcPr>
            <w:tcW w:w="2520" w:type="dxa"/>
            <w:gridSpan w:val="3"/>
            <w:vAlign w:val="center"/>
          </w:tcPr>
          <w:p>
            <w:pPr>
              <w:jc w:val="center"/>
              <w:rPr>
                <w:rFonts w:ascii="仿宋" w:hAnsi="仿宋" w:eastAsia="仿宋" w:cs="仿宋"/>
                <w:bCs/>
                <w:color w:val="auto"/>
                <w:szCs w:val="21"/>
                <w:highlight w:val="none"/>
              </w:rPr>
            </w:pPr>
          </w:p>
        </w:tc>
        <w:tc>
          <w:tcPr>
            <w:tcW w:w="1680" w:type="dxa"/>
            <w:gridSpan w:val="2"/>
            <w:vMerge w:val="restart"/>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其中</w:t>
            </w:r>
          </w:p>
        </w:tc>
        <w:tc>
          <w:tcPr>
            <w:tcW w:w="1680" w:type="dxa"/>
            <w:gridSpan w:val="3"/>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项目经理</w:t>
            </w:r>
          </w:p>
        </w:tc>
        <w:tc>
          <w:tcPr>
            <w:tcW w:w="1680" w:type="dxa"/>
            <w:gridSpan w:val="3"/>
            <w:vAlign w:val="center"/>
          </w:tcPr>
          <w:p>
            <w:pPr>
              <w:jc w:val="center"/>
              <w:rPr>
                <w:rFonts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620" w:type="dxa"/>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营业执照</w:t>
            </w:r>
            <w:r>
              <w:rPr>
                <w:rFonts w:hint="eastAsia" w:ascii="仿宋" w:hAnsi="仿宋" w:eastAsia="仿宋" w:cs="仿宋"/>
                <w:color w:val="auto"/>
                <w:highlight w:val="none"/>
              </w:rPr>
              <w:t>号</w:t>
            </w:r>
          </w:p>
        </w:tc>
        <w:tc>
          <w:tcPr>
            <w:tcW w:w="2520" w:type="dxa"/>
            <w:gridSpan w:val="3"/>
            <w:vAlign w:val="center"/>
          </w:tcPr>
          <w:p>
            <w:pPr>
              <w:jc w:val="center"/>
              <w:rPr>
                <w:rFonts w:ascii="仿宋" w:hAnsi="仿宋" w:eastAsia="仿宋" w:cs="仿宋"/>
                <w:bCs/>
                <w:color w:val="auto"/>
                <w:szCs w:val="21"/>
                <w:highlight w:val="none"/>
              </w:rPr>
            </w:pPr>
          </w:p>
        </w:tc>
        <w:tc>
          <w:tcPr>
            <w:tcW w:w="1680" w:type="dxa"/>
            <w:gridSpan w:val="2"/>
            <w:vMerge w:val="continue"/>
            <w:vAlign w:val="center"/>
          </w:tcPr>
          <w:p>
            <w:pPr>
              <w:jc w:val="center"/>
              <w:rPr>
                <w:rFonts w:ascii="仿宋" w:hAnsi="仿宋" w:eastAsia="仿宋" w:cs="仿宋"/>
                <w:bCs/>
                <w:color w:val="auto"/>
                <w:szCs w:val="21"/>
                <w:highlight w:val="none"/>
              </w:rPr>
            </w:pPr>
          </w:p>
        </w:tc>
        <w:tc>
          <w:tcPr>
            <w:tcW w:w="1680" w:type="dxa"/>
            <w:gridSpan w:val="3"/>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高级职称人员</w:t>
            </w:r>
          </w:p>
        </w:tc>
        <w:tc>
          <w:tcPr>
            <w:tcW w:w="1680" w:type="dxa"/>
            <w:gridSpan w:val="3"/>
            <w:vAlign w:val="center"/>
          </w:tcPr>
          <w:p>
            <w:pPr>
              <w:jc w:val="center"/>
              <w:rPr>
                <w:rFonts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620" w:type="dxa"/>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注册资金</w:t>
            </w:r>
          </w:p>
        </w:tc>
        <w:tc>
          <w:tcPr>
            <w:tcW w:w="2520" w:type="dxa"/>
            <w:gridSpan w:val="3"/>
            <w:vAlign w:val="center"/>
          </w:tcPr>
          <w:p>
            <w:pPr>
              <w:jc w:val="center"/>
              <w:rPr>
                <w:rFonts w:ascii="仿宋" w:hAnsi="仿宋" w:eastAsia="仿宋" w:cs="仿宋"/>
                <w:bCs/>
                <w:color w:val="auto"/>
                <w:szCs w:val="21"/>
                <w:highlight w:val="none"/>
              </w:rPr>
            </w:pPr>
          </w:p>
        </w:tc>
        <w:tc>
          <w:tcPr>
            <w:tcW w:w="1680" w:type="dxa"/>
            <w:gridSpan w:val="2"/>
            <w:vMerge w:val="continue"/>
            <w:vAlign w:val="center"/>
          </w:tcPr>
          <w:p>
            <w:pPr>
              <w:jc w:val="center"/>
              <w:rPr>
                <w:rFonts w:ascii="仿宋" w:hAnsi="仿宋" w:eastAsia="仿宋" w:cs="仿宋"/>
                <w:bCs/>
                <w:color w:val="auto"/>
                <w:szCs w:val="21"/>
                <w:highlight w:val="none"/>
              </w:rPr>
            </w:pPr>
          </w:p>
        </w:tc>
        <w:tc>
          <w:tcPr>
            <w:tcW w:w="1680" w:type="dxa"/>
            <w:gridSpan w:val="3"/>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中级职称人员</w:t>
            </w:r>
          </w:p>
        </w:tc>
        <w:tc>
          <w:tcPr>
            <w:tcW w:w="1680" w:type="dxa"/>
            <w:gridSpan w:val="3"/>
            <w:vAlign w:val="center"/>
          </w:tcPr>
          <w:p>
            <w:pPr>
              <w:jc w:val="center"/>
              <w:rPr>
                <w:rFonts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620" w:type="dxa"/>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开户银行</w:t>
            </w:r>
          </w:p>
        </w:tc>
        <w:tc>
          <w:tcPr>
            <w:tcW w:w="2520" w:type="dxa"/>
            <w:gridSpan w:val="3"/>
            <w:vAlign w:val="center"/>
          </w:tcPr>
          <w:p>
            <w:pPr>
              <w:jc w:val="center"/>
              <w:rPr>
                <w:rFonts w:ascii="仿宋" w:hAnsi="仿宋" w:eastAsia="仿宋" w:cs="仿宋"/>
                <w:bCs/>
                <w:color w:val="auto"/>
                <w:szCs w:val="21"/>
                <w:highlight w:val="none"/>
              </w:rPr>
            </w:pPr>
          </w:p>
        </w:tc>
        <w:tc>
          <w:tcPr>
            <w:tcW w:w="1680" w:type="dxa"/>
            <w:gridSpan w:val="2"/>
            <w:vMerge w:val="continue"/>
            <w:vAlign w:val="center"/>
          </w:tcPr>
          <w:p>
            <w:pPr>
              <w:jc w:val="center"/>
              <w:rPr>
                <w:rFonts w:ascii="仿宋" w:hAnsi="仿宋" w:eastAsia="仿宋" w:cs="仿宋"/>
                <w:bCs/>
                <w:color w:val="auto"/>
                <w:szCs w:val="21"/>
                <w:highlight w:val="none"/>
              </w:rPr>
            </w:pPr>
          </w:p>
        </w:tc>
        <w:tc>
          <w:tcPr>
            <w:tcW w:w="1680" w:type="dxa"/>
            <w:gridSpan w:val="3"/>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初级职称人员</w:t>
            </w:r>
          </w:p>
        </w:tc>
        <w:tc>
          <w:tcPr>
            <w:tcW w:w="1680" w:type="dxa"/>
            <w:gridSpan w:val="3"/>
            <w:vAlign w:val="center"/>
          </w:tcPr>
          <w:p>
            <w:pPr>
              <w:jc w:val="center"/>
              <w:rPr>
                <w:rFonts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620" w:type="dxa"/>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账号</w:t>
            </w:r>
          </w:p>
        </w:tc>
        <w:tc>
          <w:tcPr>
            <w:tcW w:w="2520" w:type="dxa"/>
            <w:gridSpan w:val="3"/>
            <w:vAlign w:val="center"/>
          </w:tcPr>
          <w:p>
            <w:pPr>
              <w:jc w:val="center"/>
              <w:rPr>
                <w:rFonts w:ascii="仿宋" w:hAnsi="仿宋" w:eastAsia="仿宋" w:cs="仿宋"/>
                <w:bCs/>
                <w:color w:val="auto"/>
                <w:szCs w:val="21"/>
                <w:highlight w:val="none"/>
              </w:rPr>
            </w:pPr>
          </w:p>
        </w:tc>
        <w:tc>
          <w:tcPr>
            <w:tcW w:w="1680" w:type="dxa"/>
            <w:gridSpan w:val="2"/>
            <w:vMerge w:val="continue"/>
            <w:vAlign w:val="center"/>
          </w:tcPr>
          <w:p>
            <w:pPr>
              <w:jc w:val="center"/>
              <w:rPr>
                <w:rFonts w:ascii="仿宋" w:hAnsi="仿宋" w:eastAsia="仿宋" w:cs="仿宋"/>
                <w:bCs/>
                <w:color w:val="auto"/>
                <w:szCs w:val="21"/>
                <w:highlight w:val="none"/>
              </w:rPr>
            </w:pPr>
          </w:p>
        </w:tc>
        <w:tc>
          <w:tcPr>
            <w:tcW w:w="1680" w:type="dxa"/>
            <w:gridSpan w:val="3"/>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技工</w:t>
            </w:r>
          </w:p>
        </w:tc>
        <w:tc>
          <w:tcPr>
            <w:tcW w:w="1680" w:type="dxa"/>
            <w:gridSpan w:val="3"/>
            <w:vAlign w:val="center"/>
          </w:tcPr>
          <w:p>
            <w:pPr>
              <w:jc w:val="center"/>
              <w:rPr>
                <w:rFonts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4" w:hRule="atLeast"/>
          <w:jc w:val="center"/>
        </w:trPr>
        <w:tc>
          <w:tcPr>
            <w:tcW w:w="1620" w:type="dxa"/>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经营范围</w:t>
            </w:r>
          </w:p>
        </w:tc>
        <w:tc>
          <w:tcPr>
            <w:tcW w:w="7560" w:type="dxa"/>
            <w:gridSpan w:val="11"/>
            <w:vAlign w:val="center"/>
          </w:tcPr>
          <w:p>
            <w:pPr>
              <w:jc w:val="center"/>
              <w:rPr>
                <w:rFonts w:ascii="仿宋" w:hAnsi="仿宋" w:eastAsia="仿宋" w:cs="仿宋"/>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620" w:type="dxa"/>
            <w:vAlign w:val="center"/>
          </w:tcPr>
          <w:p>
            <w:pPr>
              <w:jc w:val="center"/>
              <w:rPr>
                <w:rFonts w:ascii="仿宋" w:hAnsi="仿宋" w:eastAsia="仿宋" w:cs="仿宋"/>
                <w:bCs/>
                <w:color w:val="auto"/>
                <w:szCs w:val="21"/>
                <w:highlight w:val="none"/>
              </w:rPr>
            </w:pPr>
            <w:r>
              <w:rPr>
                <w:rFonts w:hint="eastAsia" w:ascii="仿宋" w:hAnsi="仿宋" w:eastAsia="仿宋" w:cs="仿宋"/>
                <w:bCs/>
                <w:color w:val="auto"/>
                <w:szCs w:val="21"/>
                <w:highlight w:val="none"/>
              </w:rPr>
              <w:t>备注</w:t>
            </w:r>
          </w:p>
        </w:tc>
        <w:tc>
          <w:tcPr>
            <w:tcW w:w="7560" w:type="dxa"/>
            <w:gridSpan w:val="11"/>
            <w:vAlign w:val="center"/>
          </w:tcPr>
          <w:p>
            <w:pPr>
              <w:jc w:val="center"/>
              <w:rPr>
                <w:rFonts w:ascii="仿宋" w:hAnsi="仿宋" w:eastAsia="仿宋" w:cs="仿宋"/>
                <w:bCs/>
                <w:color w:val="auto"/>
                <w:szCs w:val="21"/>
                <w:highlight w:val="none"/>
              </w:rPr>
            </w:pPr>
          </w:p>
        </w:tc>
      </w:tr>
    </w:tbl>
    <w:p>
      <w:pPr>
        <w:spacing w:line="360" w:lineRule="auto"/>
        <w:ind w:firstLine="420" w:firstLineChars="200"/>
        <w:rPr>
          <w:rFonts w:ascii="仿宋" w:hAnsi="仿宋" w:eastAsia="仿宋" w:cs="仿宋"/>
          <w:color w:val="auto"/>
          <w:szCs w:val="21"/>
          <w:highlight w:val="none"/>
        </w:rPr>
      </w:pPr>
    </w:p>
    <w:p>
      <w:pPr>
        <w:spacing w:line="360" w:lineRule="auto"/>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注：①投标人根据自身情况填写，对不涉及的内容可填写“/”，不影响投标资质及效力；</w:t>
      </w:r>
    </w:p>
    <w:p>
      <w:pPr>
        <w:spacing w:line="360" w:lineRule="auto"/>
        <w:ind w:firstLine="420" w:firstLineChars="200"/>
        <w:rPr>
          <w:rFonts w:ascii="仿宋" w:hAnsi="仿宋" w:eastAsia="仿宋" w:cs="仿宋"/>
          <w:color w:val="auto"/>
          <w:szCs w:val="21"/>
          <w:highlight w:val="none"/>
        </w:rPr>
      </w:pPr>
    </w:p>
    <w:p>
      <w:pPr>
        <w:spacing w:line="360" w:lineRule="auto"/>
        <w:ind w:firstLine="420" w:firstLineChars="200"/>
        <w:rPr>
          <w:rFonts w:ascii="华文仿宋" w:hAnsi="华文仿宋" w:eastAsia="华文仿宋" w:cs="华文仿宋"/>
          <w:color w:val="auto"/>
          <w:szCs w:val="21"/>
          <w:highlight w:val="none"/>
        </w:rPr>
      </w:pPr>
      <w:r>
        <w:rPr>
          <w:rFonts w:hint="eastAsia" w:ascii="华文仿宋" w:hAnsi="华文仿宋" w:eastAsia="华文仿宋" w:cs="华文仿宋"/>
          <w:color w:val="auto"/>
          <w:szCs w:val="21"/>
          <w:highlight w:val="none"/>
        </w:rPr>
        <w:t>投标人名称：</w:t>
      </w:r>
      <w:r>
        <w:rPr>
          <w:rFonts w:hint="eastAsia" w:ascii="华文仿宋" w:hAnsi="华文仿宋" w:eastAsia="华文仿宋" w:cs="华文仿宋"/>
          <w:color w:val="auto"/>
          <w:szCs w:val="21"/>
          <w:highlight w:val="none"/>
          <w:u w:val="single"/>
        </w:rPr>
        <w:t xml:space="preserve">               </w:t>
      </w:r>
      <w:r>
        <w:rPr>
          <w:rFonts w:hint="eastAsia" w:ascii="华文仿宋" w:hAnsi="华文仿宋" w:eastAsia="华文仿宋" w:cs="华文仿宋"/>
          <w:color w:val="auto"/>
          <w:szCs w:val="21"/>
          <w:highlight w:val="none"/>
        </w:rPr>
        <w:t>（盖单位公章）</w:t>
      </w:r>
    </w:p>
    <w:p>
      <w:pPr>
        <w:spacing w:line="360" w:lineRule="auto"/>
        <w:ind w:firstLine="411" w:firstLineChars="196"/>
        <w:rPr>
          <w:rFonts w:ascii="华文仿宋" w:hAnsi="华文仿宋" w:eastAsia="华文仿宋" w:cs="华文仿宋"/>
          <w:color w:val="auto"/>
          <w:szCs w:val="21"/>
          <w:highlight w:val="none"/>
        </w:rPr>
      </w:pPr>
      <w:r>
        <w:rPr>
          <w:rFonts w:hint="eastAsia" w:ascii="华文仿宋" w:hAnsi="华文仿宋" w:eastAsia="华文仿宋" w:cs="华文仿宋"/>
          <w:color w:val="auto"/>
          <w:szCs w:val="21"/>
          <w:highlight w:val="none"/>
        </w:rPr>
        <w:t>法定代表人/单位负责人或授权代表：</w:t>
      </w:r>
      <w:r>
        <w:rPr>
          <w:rFonts w:hint="eastAsia" w:ascii="华文仿宋" w:hAnsi="华文仿宋" w:eastAsia="华文仿宋" w:cs="华文仿宋"/>
          <w:color w:val="auto"/>
          <w:szCs w:val="21"/>
          <w:highlight w:val="none"/>
          <w:u w:val="single"/>
        </w:rPr>
        <w:t xml:space="preserve">           </w:t>
      </w:r>
      <w:r>
        <w:rPr>
          <w:rFonts w:hint="eastAsia" w:ascii="华文仿宋" w:hAnsi="华文仿宋" w:eastAsia="华文仿宋" w:cs="华文仿宋"/>
          <w:color w:val="auto"/>
          <w:szCs w:val="21"/>
          <w:highlight w:val="none"/>
        </w:rPr>
        <w:t>（签字或盖章）</w:t>
      </w:r>
    </w:p>
    <w:p>
      <w:pPr>
        <w:spacing w:line="360" w:lineRule="auto"/>
        <w:ind w:firstLine="420" w:firstLineChars="200"/>
        <w:rPr>
          <w:rFonts w:ascii="华文仿宋" w:hAnsi="华文仿宋" w:eastAsia="华文仿宋" w:cs="华文仿宋"/>
          <w:b/>
          <w:color w:val="auto"/>
          <w:szCs w:val="21"/>
          <w:highlight w:val="none"/>
        </w:rPr>
      </w:pPr>
      <w:r>
        <w:rPr>
          <w:rFonts w:hint="eastAsia" w:ascii="华文仿宋" w:hAnsi="华文仿宋" w:eastAsia="华文仿宋" w:cs="华文仿宋"/>
          <w:color w:val="auto"/>
          <w:szCs w:val="21"/>
          <w:highlight w:val="none"/>
        </w:rPr>
        <w:t>日    期：</w:t>
      </w:r>
      <w:r>
        <w:rPr>
          <w:rFonts w:hint="eastAsia" w:ascii="华文仿宋" w:hAnsi="华文仿宋" w:eastAsia="华文仿宋" w:cs="华文仿宋"/>
          <w:color w:val="auto"/>
          <w:szCs w:val="21"/>
          <w:highlight w:val="none"/>
          <w:u w:val="single"/>
        </w:rPr>
        <w:t xml:space="preserve">       </w:t>
      </w:r>
      <w:r>
        <w:rPr>
          <w:rFonts w:hint="eastAsia" w:ascii="华文仿宋" w:hAnsi="华文仿宋" w:eastAsia="华文仿宋" w:cs="华文仿宋"/>
          <w:color w:val="auto"/>
          <w:szCs w:val="21"/>
          <w:highlight w:val="none"/>
        </w:rPr>
        <w:t>年</w:t>
      </w:r>
      <w:r>
        <w:rPr>
          <w:rFonts w:hint="eastAsia" w:ascii="华文仿宋" w:hAnsi="华文仿宋" w:eastAsia="华文仿宋" w:cs="华文仿宋"/>
          <w:color w:val="auto"/>
          <w:szCs w:val="21"/>
          <w:highlight w:val="none"/>
          <w:u w:val="single"/>
        </w:rPr>
        <w:t xml:space="preserve">       </w:t>
      </w:r>
      <w:r>
        <w:rPr>
          <w:rFonts w:hint="eastAsia" w:ascii="华文仿宋" w:hAnsi="华文仿宋" w:eastAsia="华文仿宋" w:cs="华文仿宋"/>
          <w:color w:val="auto"/>
          <w:szCs w:val="21"/>
          <w:highlight w:val="none"/>
        </w:rPr>
        <w:t>月</w:t>
      </w:r>
      <w:r>
        <w:rPr>
          <w:rFonts w:hint="eastAsia" w:ascii="华文仿宋" w:hAnsi="华文仿宋" w:eastAsia="华文仿宋" w:cs="华文仿宋"/>
          <w:color w:val="auto"/>
          <w:szCs w:val="21"/>
          <w:highlight w:val="none"/>
          <w:u w:val="single"/>
        </w:rPr>
        <w:t xml:space="preserve">      </w:t>
      </w:r>
      <w:r>
        <w:rPr>
          <w:rFonts w:hint="eastAsia" w:ascii="华文仿宋" w:hAnsi="华文仿宋" w:eastAsia="华文仿宋" w:cs="华文仿宋"/>
          <w:color w:val="auto"/>
          <w:szCs w:val="21"/>
          <w:highlight w:val="none"/>
        </w:rPr>
        <w:t>日</w:t>
      </w:r>
    </w:p>
    <w:p>
      <w:pPr>
        <w:widowControl/>
        <w:jc w:val="left"/>
        <w:rPr>
          <w:rFonts w:ascii="仿宋" w:hAnsi="仿宋" w:eastAsia="仿宋" w:cs="仿宋"/>
          <w:b/>
          <w:color w:val="auto"/>
          <w:sz w:val="32"/>
          <w:szCs w:val="32"/>
          <w:highlight w:val="none"/>
        </w:rPr>
        <w:sectPr>
          <w:footerReference r:id="rId7" w:type="default"/>
          <w:type w:val="continuous"/>
          <w:pgSz w:w="11907" w:h="16840"/>
          <w:pgMar w:top="1440" w:right="1080" w:bottom="1440" w:left="1080" w:header="851" w:footer="992" w:gutter="0"/>
          <w:cols w:space="720" w:num="1"/>
          <w:docGrid w:linePitch="312" w:charSpace="0"/>
        </w:sectPr>
      </w:pPr>
    </w:p>
    <w:p>
      <w:pPr>
        <w:pStyle w:val="5"/>
        <w:jc w:val="center"/>
        <w:rPr>
          <w:rFonts w:ascii="仿宋" w:hAnsi="仿宋" w:eastAsia="仿宋" w:cs="仿宋"/>
          <w:bCs w:val="0"/>
          <w:color w:val="auto"/>
          <w:highlight w:val="none"/>
        </w:rPr>
      </w:pPr>
      <w:r>
        <w:rPr>
          <w:rFonts w:hint="eastAsia" w:ascii="仿宋" w:hAnsi="仿宋" w:eastAsia="仿宋" w:cs="仿宋"/>
          <w:bCs w:val="0"/>
          <w:color w:val="auto"/>
          <w:highlight w:val="none"/>
        </w:rPr>
        <w:t>五、类似项目业绩一览表</w:t>
      </w:r>
    </w:p>
    <w:p>
      <w:pPr>
        <w:rPr>
          <w:color w:val="auto"/>
          <w:highlight w:val="none"/>
        </w:rPr>
      </w:pPr>
    </w:p>
    <w:tbl>
      <w:tblPr>
        <w:tblStyle w:val="18"/>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年份</w:t>
            </w:r>
          </w:p>
        </w:tc>
        <w:tc>
          <w:tcPr>
            <w:tcW w:w="1440" w:type="dxa"/>
            <w:vAlign w:val="center"/>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用户名称</w:t>
            </w:r>
          </w:p>
        </w:tc>
        <w:tc>
          <w:tcPr>
            <w:tcW w:w="1320" w:type="dxa"/>
            <w:vAlign w:val="center"/>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项目名称</w:t>
            </w:r>
          </w:p>
        </w:tc>
        <w:tc>
          <w:tcPr>
            <w:tcW w:w="1161" w:type="dxa"/>
            <w:vAlign w:val="center"/>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完成时间</w:t>
            </w:r>
          </w:p>
        </w:tc>
        <w:tc>
          <w:tcPr>
            <w:tcW w:w="1260" w:type="dxa"/>
            <w:vAlign w:val="center"/>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合同金额</w:t>
            </w:r>
          </w:p>
        </w:tc>
        <w:tc>
          <w:tcPr>
            <w:tcW w:w="1630" w:type="dxa"/>
            <w:gridSpan w:val="2"/>
            <w:tcBorders>
              <w:right w:val="single" w:color="auto" w:sz="4" w:space="0"/>
            </w:tcBorders>
            <w:vAlign w:val="center"/>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是否通过验收</w:t>
            </w:r>
          </w:p>
        </w:tc>
        <w:tc>
          <w:tcPr>
            <w:tcW w:w="992" w:type="dxa"/>
            <w:tcBorders>
              <w:left w:val="single" w:color="auto" w:sz="4" w:space="0"/>
            </w:tcBorders>
            <w:vAlign w:val="center"/>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44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32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161"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6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44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32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161"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6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44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32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161"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6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44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320"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161"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6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44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32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161"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44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32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161"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44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320"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161" w:type="dxa"/>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44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3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161"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44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3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161" w:type="dxa"/>
            <w:tcBorders>
              <w:top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outlineLvl w:val="1"/>
              <w:rPr>
                <w:rFonts w:ascii="仿宋" w:hAnsi="仿宋" w:eastAsia="仿宋"/>
                <w:color w:val="auto"/>
                <w:sz w:val="24"/>
                <w:highlight w:val="none"/>
              </w:rPr>
            </w:pPr>
          </w:p>
        </w:tc>
      </w:tr>
    </w:tbl>
    <w:p>
      <w:pPr>
        <w:rPr>
          <w:rFonts w:ascii="仿宋" w:hAnsi="仿宋" w:eastAsia="仿宋" w:cs="仿宋"/>
          <w:color w:val="auto"/>
          <w:kern w:val="0"/>
          <w:sz w:val="24"/>
          <w:highlight w:val="none"/>
        </w:rPr>
      </w:pPr>
    </w:p>
    <w:p>
      <w:pPr>
        <w:rPr>
          <w:rFonts w:ascii="仿宋" w:hAnsi="仿宋" w:eastAsia="仿宋" w:cs="仿宋"/>
          <w:color w:val="auto"/>
          <w:sz w:val="24"/>
          <w:highlight w:val="none"/>
        </w:rPr>
      </w:pPr>
      <w:r>
        <w:rPr>
          <w:rFonts w:hint="eastAsia" w:ascii="仿宋" w:hAnsi="仿宋" w:eastAsia="仿宋" w:cs="仿宋"/>
          <w:color w:val="auto"/>
          <w:kern w:val="0"/>
          <w:sz w:val="24"/>
          <w:highlight w:val="none"/>
        </w:rPr>
        <w:t>注：</w:t>
      </w:r>
      <w:r>
        <w:rPr>
          <w:rFonts w:hint="eastAsia" w:ascii="仿宋" w:hAnsi="仿宋" w:eastAsia="仿宋"/>
          <w:color w:val="auto"/>
          <w:sz w:val="24"/>
          <w:highlight w:val="none"/>
        </w:rPr>
        <w:t>以上业绩需提供招标文件要求的有关书面证明材料。</w:t>
      </w:r>
    </w:p>
    <w:bookmarkEnd w:id="26"/>
    <w:p>
      <w:pPr>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投标人名称：</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（盖单位公章）</w:t>
      </w:r>
    </w:p>
    <w:p>
      <w:pPr>
        <w:spacing w:line="360" w:lineRule="auto"/>
        <w:ind w:firstLine="470" w:firstLineChars="196"/>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法定代表人/单位负责人或授权代表：</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（签字或盖章）</w:t>
      </w: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日    期：</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年</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月</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日</w:t>
      </w:r>
    </w:p>
    <w:p>
      <w:pPr>
        <w:pStyle w:val="5"/>
        <w:jc w:val="center"/>
        <w:rPr>
          <w:rFonts w:ascii="仿宋" w:hAnsi="仿宋" w:eastAsia="仿宋" w:cs="仿宋"/>
          <w:bCs w:val="0"/>
          <w:color w:val="auto"/>
          <w:highlight w:val="none"/>
        </w:rPr>
      </w:pPr>
      <w:r>
        <w:rPr>
          <w:rFonts w:hint="eastAsia" w:ascii="仿宋" w:hAnsi="仿宋" w:eastAsia="仿宋" w:cs="仿宋"/>
          <w:color w:val="auto"/>
          <w:highlight w:val="none"/>
        </w:rPr>
        <w:br w:type="page"/>
      </w:r>
      <w:r>
        <w:rPr>
          <w:rFonts w:hint="eastAsia" w:ascii="仿宋" w:hAnsi="仿宋" w:eastAsia="仿宋" w:cs="仿宋"/>
          <w:bCs w:val="0"/>
          <w:color w:val="auto"/>
          <w:highlight w:val="none"/>
        </w:rPr>
        <w:t>六、投标人本项目管理、技术、服务人员情况表</w:t>
      </w:r>
    </w:p>
    <w:p>
      <w:pPr>
        <w:spacing w:line="48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采购项目名称：</w:t>
      </w:r>
      <w:r>
        <w:rPr>
          <w:rFonts w:hint="eastAsia" w:ascii="华文仿宋" w:hAnsi="华文仿宋" w:eastAsia="华文仿宋" w:cs="华文仿宋"/>
          <w:color w:val="auto"/>
          <w:sz w:val="24"/>
          <w:highlight w:val="none"/>
          <w:u w:val="single"/>
        </w:rPr>
        <w:t xml:space="preserve">                  </w:t>
      </w:r>
    </w:p>
    <w:p>
      <w:pPr>
        <w:pStyle w:val="9"/>
        <w:spacing w:line="48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华文仿宋" w:hAnsi="华文仿宋" w:eastAsia="华文仿宋" w:cs="华文仿宋"/>
          <w:color w:val="auto"/>
          <w:sz w:val="24"/>
          <w:highlight w:val="none"/>
          <w:u w:val="single"/>
        </w:rPr>
        <w:t xml:space="preserve">                  </w:t>
      </w:r>
    </w:p>
    <w:tbl>
      <w:tblPr>
        <w:tblStyle w:val="18"/>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类别</w:t>
            </w:r>
          </w:p>
        </w:tc>
        <w:tc>
          <w:tcPr>
            <w:tcW w:w="807" w:type="dxa"/>
            <w:vMerge w:val="restart"/>
            <w:vAlign w:val="center"/>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职务</w:t>
            </w:r>
          </w:p>
        </w:tc>
        <w:tc>
          <w:tcPr>
            <w:tcW w:w="807" w:type="dxa"/>
            <w:vMerge w:val="restart"/>
            <w:vAlign w:val="center"/>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姓名</w:t>
            </w:r>
          </w:p>
        </w:tc>
        <w:tc>
          <w:tcPr>
            <w:tcW w:w="807" w:type="dxa"/>
            <w:vMerge w:val="restart"/>
            <w:vAlign w:val="center"/>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职称</w:t>
            </w:r>
          </w:p>
        </w:tc>
        <w:tc>
          <w:tcPr>
            <w:tcW w:w="807" w:type="dxa"/>
            <w:vMerge w:val="restart"/>
            <w:vAlign w:val="center"/>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常住地</w:t>
            </w:r>
          </w:p>
        </w:tc>
        <w:tc>
          <w:tcPr>
            <w:tcW w:w="3390" w:type="dxa"/>
            <w:gridSpan w:val="4"/>
            <w:vAlign w:val="center"/>
          </w:tcPr>
          <w:p>
            <w:pPr>
              <w:widowControl/>
              <w:spacing w:line="360" w:lineRule="atLeast"/>
              <w:ind w:firstLine="470" w:firstLineChars="196"/>
              <w:jc w:val="left"/>
              <w:outlineLvl w:val="1"/>
              <w:rPr>
                <w:rFonts w:ascii="仿宋" w:hAnsi="仿宋" w:eastAsia="仿宋"/>
                <w:color w:val="auto"/>
                <w:sz w:val="24"/>
                <w:highlight w:val="none"/>
              </w:rPr>
            </w:pPr>
            <w:r>
              <w:rPr>
                <w:rFonts w:hint="eastAsia" w:ascii="仿宋" w:hAnsi="仿宋" w:eastAsia="仿宋"/>
                <w:color w:val="auto"/>
                <w:sz w:val="24"/>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color w:val="auto"/>
                <w:highlight w:val="none"/>
              </w:rPr>
            </w:pPr>
          </w:p>
        </w:tc>
        <w:tc>
          <w:tcPr>
            <w:tcW w:w="807" w:type="dxa"/>
            <w:vMerge w:val="continue"/>
            <w:vAlign w:val="center"/>
          </w:tcPr>
          <w:p>
            <w:pPr>
              <w:rPr>
                <w:rFonts w:ascii="仿宋" w:hAnsi="仿宋" w:eastAsia="仿宋"/>
                <w:color w:val="auto"/>
                <w:highlight w:val="none"/>
              </w:rPr>
            </w:pPr>
          </w:p>
        </w:tc>
        <w:tc>
          <w:tcPr>
            <w:tcW w:w="807" w:type="dxa"/>
            <w:vMerge w:val="continue"/>
            <w:vAlign w:val="center"/>
          </w:tcPr>
          <w:p>
            <w:pPr>
              <w:rPr>
                <w:rFonts w:ascii="仿宋" w:hAnsi="仿宋" w:eastAsia="仿宋"/>
                <w:color w:val="auto"/>
                <w:highlight w:val="none"/>
              </w:rPr>
            </w:pPr>
          </w:p>
        </w:tc>
        <w:tc>
          <w:tcPr>
            <w:tcW w:w="807" w:type="dxa"/>
            <w:vMerge w:val="continue"/>
            <w:vAlign w:val="center"/>
          </w:tcPr>
          <w:p>
            <w:pPr>
              <w:rPr>
                <w:rFonts w:ascii="仿宋" w:hAnsi="仿宋" w:eastAsia="仿宋"/>
                <w:color w:val="auto"/>
                <w:highlight w:val="none"/>
              </w:rPr>
            </w:pPr>
          </w:p>
        </w:tc>
        <w:tc>
          <w:tcPr>
            <w:tcW w:w="807" w:type="dxa"/>
            <w:vMerge w:val="continue"/>
            <w:vAlign w:val="center"/>
          </w:tcPr>
          <w:p>
            <w:pPr>
              <w:rPr>
                <w:rFonts w:ascii="仿宋" w:hAnsi="仿宋" w:eastAsia="仿宋"/>
                <w:color w:val="auto"/>
                <w:highlight w:val="none"/>
              </w:rPr>
            </w:pPr>
          </w:p>
        </w:tc>
        <w:tc>
          <w:tcPr>
            <w:tcW w:w="851" w:type="dxa"/>
            <w:vAlign w:val="center"/>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证书</w:t>
            </w:r>
          </w:p>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名称</w:t>
            </w:r>
          </w:p>
        </w:tc>
        <w:tc>
          <w:tcPr>
            <w:tcW w:w="960" w:type="dxa"/>
            <w:vAlign w:val="center"/>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级别</w:t>
            </w:r>
          </w:p>
        </w:tc>
        <w:tc>
          <w:tcPr>
            <w:tcW w:w="847" w:type="dxa"/>
            <w:vAlign w:val="center"/>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证号</w:t>
            </w:r>
          </w:p>
        </w:tc>
        <w:tc>
          <w:tcPr>
            <w:tcW w:w="732" w:type="dxa"/>
            <w:vAlign w:val="center"/>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管理</w:t>
            </w:r>
          </w:p>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人员</w:t>
            </w: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51" w:type="dxa"/>
          </w:tcPr>
          <w:p>
            <w:pPr>
              <w:widowControl/>
              <w:spacing w:line="360" w:lineRule="atLeast"/>
              <w:ind w:firstLine="470" w:firstLineChars="196"/>
              <w:jc w:val="left"/>
              <w:outlineLvl w:val="1"/>
              <w:rPr>
                <w:rFonts w:ascii="仿宋" w:hAnsi="仿宋" w:eastAsia="仿宋"/>
                <w:color w:val="auto"/>
                <w:sz w:val="24"/>
                <w:highlight w:val="none"/>
              </w:rPr>
            </w:pPr>
          </w:p>
        </w:tc>
        <w:tc>
          <w:tcPr>
            <w:tcW w:w="960" w:type="dxa"/>
          </w:tcPr>
          <w:p>
            <w:pPr>
              <w:widowControl/>
              <w:spacing w:line="360" w:lineRule="atLeast"/>
              <w:ind w:firstLine="470" w:firstLineChars="196"/>
              <w:jc w:val="left"/>
              <w:outlineLvl w:val="1"/>
              <w:rPr>
                <w:rFonts w:ascii="仿宋" w:hAnsi="仿宋" w:eastAsia="仿宋"/>
                <w:color w:val="auto"/>
                <w:sz w:val="24"/>
                <w:highlight w:val="none"/>
              </w:rPr>
            </w:pPr>
          </w:p>
        </w:tc>
        <w:tc>
          <w:tcPr>
            <w:tcW w:w="847" w:type="dxa"/>
          </w:tcPr>
          <w:p>
            <w:pPr>
              <w:widowControl/>
              <w:spacing w:line="360" w:lineRule="atLeast"/>
              <w:ind w:firstLine="470" w:firstLineChars="196"/>
              <w:jc w:val="left"/>
              <w:outlineLvl w:val="1"/>
              <w:rPr>
                <w:rFonts w:ascii="仿宋" w:hAnsi="仿宋" w:eastAsia="仿宋"/>
                <w:color w:val="auto"/>
                <w:sz w:val="24"/>
                <w:highlight w:val="none"/>
              </w:rPr>
            </w:pPr>
          </w:p>
        </w:tc>
        <w:tc>
          <w:tcPr>
            <w:tcW w:w="732" w:type="dxa"/>
          </w:tcPr>
          <w:p>
            <w:pPr>
              <w:widowControl/>
              <w:spacing w:line="360" w:lineRule="atLeast"/>
              <w:ind w:firstLine="470" w:firstLineChars="196"/>
              <w:jc w:val="left"/>
              <w:outlineLvl w:val="1"/>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olor w:val="auto"/>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51" w:type="dxa"/>
          </w:tcPr>
          <w:p>
            <w:pPr>
              <w:widowControl/>
              <w:spacing w:line="360" w:lineRule="atLeast"/>
              <w:ind w:firstLine="470" w:firstLineChars="196"/>
              <w:jc w:val="left"/>
              <w:outlineLvl w:val="1"/>
              <w:rPr>
                <w:rFonts w:ascii="仿宋" w:hAnsi="仿宋" w:eastAsia="仿宋"/>
                <w:color w:val="auto"/>
                <w:sz w:val="24"/>
                <w:highlight w:val="none"/>
              </w:rPr>
            </w:pPr>
          </w:p>
        </w:tc>
        <w:tc>
          <w:tcPr>
            <w:tcW w:w="960" w:type="dxa"/>
          </w:tcPr>
          <w:p>
            <w:pPr>
              <w:widowControl/>
              <w:spacing w:line="360" w:lineRule="atLeast"/>
              <w:ind w:firstLine="470" w:firstLineChars="196"/>
              <w:jc w:val="left"/>
              <w:outlineLvl w:val="1"/>
              <w:rPr>
                <w:rFonts w:ascii="仿宋" w:hAnsi="仿宋" w:eastAsia="仿宋"/>
                <w:color w:val="auto"/>
                <w:sz w:val="24"/>
                <w:highlight w:val="none"/>
              </w:rPr>
            </w:pPr>
          </w:p>
        </w:tc>
        <w:tc>
          <w:tcPr>
            <w:tcW w:w="847" w:type="dxa"/>
          </w:tcPr>
          <w:p>
            <w:pPr>
              <w:widowControl/>
              <w:spacing w:line="360" w:lineRule="atLeast"/>
              <w:ind w:firstLine="470" w:firstLineChars="196"/>
              <w:jc w:val="left"/>
              <w:outlineLvl w:val="1"/>
              <w:rPr>
                <w:rFonts w:ascii="仿宋" w:hAnsi="仿宋" w:eastAsia="仿宋"/>
                <w:color w:val="auto"/>
                <w:sz w:val="24"/>
                <w:highlight w:val="none"/>
              </w:rPr>
            </w:pPr>
          </w:p>
        </w:tc>
        <w:tc>
          <w:tcPr>
            <w:tcW w:w="732" w:type="dxa"/>
          </w:tcPr>
          <w:p>
            <w:pPr>
              <w:widowControl/>
              <w:spacing w:line="360" w:lineRule="atLeast"/>
              <w:ind w:firstLine="470" w:firstLineChars="196"/>
              <w:jc w:val="left"/>
              <w:outlineLvl w:val="1"/>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olor w:val="auto"/>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51" w:type="dxa"/>
          </w:tcPr>
          <w:p>
            <w:pPr>
              <w:widowControl/>
              <w:spacing w:line="360" w:lineRule="atLeast"/>
              <w:ind w:firstLine="470" w:firstLineChars="196"/>
              <w:jc w:val="left"/>
              <w:outlineLvl w:val="1"/>
              <w:rPr>
                <w:rFonts w:ascii="仿宋" w:hAnsi="仿宋" w:eastAsia="仿宋"/>
                <w:color w:val="auto"/>
                <w:sz w:val="24"/>
                <w:highlight w:val="none"/>
              </w:rPr>
            </w:pPr>
          </w:p>
        </w:tc>
        <w:tc>
          <w:tcPr>
            <w:tcW w:w="960" w:type="dxa"/>
          </w:tcPr>
          <w:p>
            <w:pPr>
              <w:widowControl/>
              <w:spacing w:line="360" w:lineRule="atLeast"/>
              <w:ind w:firstLine="470" w:firstLineChars="196"/>
              <w:jc w:val="left"/>
              <w:outlineLvl w:val="1"/>
              <w:rPr>
                <w:rFonts w:ascii="仿宋" w:hAnsi="仿宋" w:eastAsia="仿宋"/>
                <w:color w:val="auto"/>
                <w:sz w:val="24"/>
                <w:highlight w:val="none"/>
              </w:rPr>
            </w:pPr>
          </w:p>
        </w:tc>
        <w:tc>
          <w:tcPr>
            <w:tcW w:w="847" w:type="dxa"/>
          </w:tcPr>
          <w:p>
            <w:pPr>
              <w:widowControl/>
              <w:spacing w:line="360" w:lineRule="atLeast"/>
              <w:ind w:firstLine="470" w:firstLineChars="196"/>
              <w:jc w:val="left"/>
              <w:outlineLvl w:val="1"/>
              <w:rPr>
                <w:rFonts w:ascii="仿宋" w:hAnsi="仿宋" w:eastAsia="仿宋"/>
                <w:color w:val="auto"/>
                <w:sz w:val="24"/>
                <w:highlight w:val="none"/>
              </w:rPr>
            </w:pPr>
          </w:p>
        </w:tc>
        <w:tc>
          <w:tcPr>
            <w:tcW w:w="732" w:type="dxa"/>
          </w:tcPr>
          <w:p>
            <w:pPr>
              <w:widowControl/>
              <w:spacing w:line="360" w:lineRule="atLeast"/>
              <w:ind w:firstLine="470" w:firstLineChars="196"/>
              <w:jc w:val="left"/>
              <w:outlineLvl w:val="1"/>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技术</w:t>
            </w:r>
          </w:p>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人员</w:t>
            </w: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51" w:type="dxa"/>
          </w:tcPr>
          <w:p>
            <w:pPr>
              <w:widowControl/>
              <w:spacing w:line="360" w:lineRule="atLeast"/>
              <w:ind w:firstLine="470" w:firstLineChars="196"/>
              <w:jc w:val="left"/>
              <w:outlineLvl w:val="1"/>
              <w:rPr>
                <w:rFonts w:ascii="仿宋" w:hAnsi="仿宋" w:eastAsia="仿宋"/>
                <w:color w:val="auto"/>
                <w:sz w:val="24"/>
                <w:highlight w:val="none"/>
              </w:rPr>
            </w:pPr>
          </w:p>
        </w:tc>
        <w:tc>
          <w:tcPr>
            <w:tcW w:w="960" w:type="dxa"/>
          </w:tcPr>
          <w:p>
            <w:pPr>
              <w:widowControl/>
              <w:spacing w:line="360" w:lineRule="atLeast"/>
              <w:ind w:firstLine="470" w:firstLineChars="196"/>
              <w:jc w:val="left"/>
              <w:outlineLvl w:val="1"/>
              <w:rPr>
                <w:rFonts w:ascii="仿宋" w:hAnsi="仿宋" w:eastAsia="仿宋"/>
                <w:color w:val="auto"/>
                <w:sz w:val="24"/>
                <w:highlight w:val="none"/>
              </w:rPr>
            </w:pPr>
          </w:p>
        </w:tc>
        <w:tc>
          <w:tcPr>
            <w:tcW w:w="847" w:type="dxa"/>
          </w:tcPr>
          <w:p>
            <w:pPr>
              <w:widowControl/>
              <w:spacing w:line="360" w:lineRule="atLeast"/>
              <w:ind w:firstLine="470" w:firstLineChars="196"/>
              <w:jc w:val="left"/>
              <w:outlineLvl w:val="1"/>
              <w:rPr>
                <w:rFonts w:ascii="仿宋" w:hAnsi="仿宋" w:eastAsia="仿宋"/>
                <w:color w:val="auto"/>
                <w:sz w:val="24"/>
                <w:highlight w:val="none"/>
              </w:rPr>
            </w:pPr>
          </w:p>
        </w:tc>
        <w:tc>
          <w:tcPr>
            <w:tcW w:w="732" w:type="dxa"/>
          </w:tcPr>
          <w:p>
            <w:pPr>
              <w:widowControl/>
              <w:spacing w:line="360" w:lineRule="atLeast"/>
              <w:ind w:firstLine="470" w:firstLineChars="196"/>
              <w:jc w:val="left"/>
              <w:outlineLvl w:val="1"/>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olor w:val="auto"/>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51" w:type="dxa"/>
          </w:tcPr>
          <w:p>
            <w:pPr>
              <w:widowControl/>
              <w:spacing w:line="360" w:lineRule="atLeast"/>
              <w:ind w:firstLine="470" w:firstLineChars="196"/>
              <w:jc w:val="left"/>
              <w:outlineLvl w:val="1"/>
              <w:rPr>
                <w:rFonts w:ascii="仿宋" w:hAnsi="仿宋" w:eastAsia="仿宋"/>
                <w:color w:val="auto"/>
                <w:sz w:val="24"/>
                <w:highlight w:val="none"/>
              </w:rPr>
            </w:pPr>
          </w:p>
        </w:tc>
        <w:tc>
          <w:tcPr>
            <w:tcW w:w="960" w:type="dxa"/>
          </w:tcPr>
          <w:p>
            <w:pPr>
              <w:widowControl/>
              <w:spacing w:line="360" w:lineRule="atLeast"/>
              <w:ind w:firstLine="470" w:firstLineChars="196"/>
              <w:jc w:val="left"/>
              <w:outlineLvl w:val="1"/>
              <w:rPr>
                <w:rFonts w:ascii="仿宋" w:hAnsi="仿宋" w:eastAsia="仿宋"/>
                <w:color w:val="auto"/>
                <w:sz w:val="24"/>
                <w:highlight w:val="none"/>
              </w:rPr>
            </w:pPr>
          </w:p>
        </w:tc>
        <w:tc>
          <w:tcPr>
            <w:tcW w:w="847" w:type="dxa"/>
          </w:tcPr>
          <w:p>
            <w:pPr>
              <w:widowControl/>
              <w:spacing w:line="360" w:lineRule="atLeast"/>
              <w:ind w:firstLine="470" w:firstLineChars="196"/>
              <w:jc w:val="left"/>
              <w:outlineLvl w:val="1"/>
              <w:rPr>
                <w:rFonts w:ascii="仿宋" w:hAnsi="仿宋" w:eastAsia="仿宋"/>
                <w:color w:val="auto"/>
                <w:sz w:val="24"/>
                <w:highlight w:val="none"/>
              </w:rPr>
            </w:pPr>
          </w:p>
        </w:tc>
        <w:tc>
          <w:tcPr>
            <w:tcW w:w="732" w:type="dxa"/>
          </w:tcPr>
          <w:p>
            <w:pPr>
              <w:widowControl/>
              <w:spacing w:line="360" w:lineRule="atLeast"/>
              <w:ind w:firstLine="470" w:firstLineChars="196"/>
              <w:jc w:val="left"/>
              <w:outlineLvl w:val="1"/>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olor w:val="auto"/>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51" w:type="dxa"/>
          </w:tcPr>
          <w:p>
            <w:pPr>
              <w:widowControl/>
              <w:spacing w:line="360" w:lineRule="atLeast"/>
              <w:ind w:firstLine="470" w:firstLineChars="196"/>
              <w:jc w:val="left"/>
              <w:outlineLvl w:val="1"/>
              <w:rPr>
                <w:rFonts w:ascii="仿宋" w:hAnsi="仿宋" w:eastAsia="仿宋"/>
                <w:color w:val="auto"/>
                <w:sz w:val="24"/>
                <w:highlight w:val="none"/>
              </w:rPr>
            </w:pPr>
          </w:p>
        </w:tc>
        <w:tc>
          <w:tcPr>
            <w:tcW w:w="960" w:type="dxa"/>
          </w:tcPr>
          <w:p>
            <w:pPr>
              <w:widowControl/>
              <w:spacing w:line="360" w:lineRule="atLeast"/>
              <w:ind w:firstLine="470" w:firstLineChars="196"/>
              <w:jc w:val="left"/>
              <w:outlineLvl w:val="1"/>
              <w:rPr>
                <w:rFonts w:ascii="仿宋" w:hAnsi="仿宋" w:eastAsia="仿宋"/>
                <w:color w:val="auto"/>
                <w:sz w:val="24"/>
                <w:highlight w:val="none"/>
              </w:rPr>
            </w:pPr>
          </w:p>
        </w:tc>
        <w:tc>
          <w:tcPr>
            <w:tcW w:w="847" w:type="dxa"/>
          </w:tcPr>
          <w:p>
            <w:pPr>
              <w:widowControl/>
              <w:spacing w:line="360" w:lineRule="atLeast"/>
              <w:ind w:firstLine="470" w:firstLineChars="196"/>
              <w:jc w:val="left"/>
              <w:outlineLvl w:val="1"/>
              <w:rPr>
                <w:rFonts w:ascii="仿宋" w:hAnsi="仿宋" w:eastAsia="仿宋"/>
                <w:color w:val="auto"/>
                <w:sz w:val="24"/>
                <w:highlight w:val="none"/>
              </w:rPr>
            </w:pPr>
          </w:p>
        </w:tc>
        <w:tc>
          <w:tcPr>
            <w:tcW w:w="732" w:type="dxa"/>
          </w:tcPr>
          <w:p>
            <w:pPr>
              <w:widowControl/>
              <w:spacing w:line="360" w:lineRule="atLeast"/>
              <w:ind w:firstLine="470" w:firstLineChars="196"/>
              <w:jc w:val="left"/>
              <w:outlineLvl w:val="1"/>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color w:val="auto"/>
                <w:sz w:val="24"/>
                <w:highlight w:val="none"/>
              </w:rPr>
            </w:pPr>
            <w:r>
              <w:rPr>
                <w:rFonts w:hint="eastAsia" w:ascii="仿宋" w:hAnsi="仿宋" w:eastAsia="仿宋"/>
                <w:color w:val="auto"/>
                <w:sz w:val="24"/>
                <w:highlight w:val="none"/>
              </w:rPr>
              <w:t>售后服务人员</w:t>
            </w: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51" w:type="dxa"/>
          </w:tcPr>
          <w:p>
            <w:pPr>
              <w:widowControl/>
              <w:spacing w:line="360" w:lineRule="atLeast"/>
              <w:ind w:firstLine="470" w:firstLineChars="196"/>
              <w:jc w:val="left"/>
              <w:outlineLvl w:val="1"/>
              <w:rPr>
                <w:rFonts w:ascii="仿宋" w:hAnsi="仿宋" w:eastAsia="仿宋"/>
                <w:color w:val="auto"/>
                <w:sz w:val="24"/>
                <w:highlight w:val="none"/>
              </w:rPr>
            </w:pPr>
          </w:p>
        </w:tc>
        <w:tc>
          <w:tcPr>
            <w:tcW w:w="960" w:type="dxa"/>
          </w:tcPr>
          <w:p>
            <w:pPr>
              <w:widowControl/>
              <w:spacing w:line="360" w:lineRule="atLeast"/>
              <w:ind w:firstLine="470" w:firstLineChars="196"/>
              <w:jc w:val="left"/>
              <w:outlineLvl w:val="1"/>
              <w:rPr>
                <w:rFonts w:ascii="仿宋" w:hAnsi="仿宋" w:eastAsia="仿宋"/>
                <w:color w:val="auto"/>
                <w:sz w:val="24"/>
                <w:highlight w:val="none"/>
              </w:rPr>
            </w:pPr>
          </w:p>
        </w:tc>
        <w:tc>
          <w:tcPr>
            <w:tcW w:w="847" w:type="dxa"/>
          </w:tcPr>
          <w:p>
            <w:pPr>
              <w:widowControl/>
              <w:spacing w:line="360" w:lineRule="atLeast"/>
              <w:ind w:firstLine="470" w:firstLineChars="196"/>
              <w:jc w:val="left"/>
              <w:outlineLvl w:val="1"/>
              <w:rPr>
                <w:rFonts w:ascii="仿宋" w:hAnsi="仿宋" w:eastAsia="仿宋"/>
                <w:color w:val="auto"/>
                <w:sz w:val="24"/>
                <w:highlight w:val="none"/>
              </w:rPr>
            </w:pPr>
          </w:p>
        </w:tc>
        <w:tc>
          <w:tcPr>
            <w:tcW w:w="732" w:type="dxa"/>
          </w:tcPr>
          <w:p>
            <w:pPr>
              <w:widowControl/>
              <w:spacing w:line="360" w:lineRule="atLeast"/>
              <w:ind w:firstLine="470" w:firstLineChars="196"/>
              <w:jc w:val="left"/>
              <w:outlineLvl w:val="1"/>
              <w:rPr>
                <w:rFonts w:ascii="仿宋" w:hAnsi="仿宋" w:eastAsia="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color w:val="auto"/>
                <w:highlight w:val="none"/>
              </w:rPr>
            </w:pPr>
          </w:p>
        </w:tc>
        <w:tc>
          <w:tcPr>
            <w:tcW w:w="807" w:type="dxa"/>
            <w:tcBorders>
              <w:bottom w:val="single" w:color="auto" w:sz="4" w:space="0"/>
            </w:tcBorders>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07" w:type="dxa"/>
          </w:tcPr>
          <w:p>
            <w:pPr>
              <w:widowControl/>
              <w:spacing w:line="360" w:lineRule="atLeast"/>
              <w:ind w:firstLine="470" w:firstLineChars="196"/>
              <w:jc w:val="left"/>
              <w:outlineLvl w:val="1"/>
              <w:rPr>
                <w:rFonts w:ascii="仿宋" w:hAnsi="仿宋" w:eastAsia="仿宋"/>
                <w:color w:val="auto"/>
                <w:sz w:val="24"/>
                <w:highlight w:val="none"/>
              </w:rPr>
            </w:pPr>
          </w:p>
        </w:tc>
        <w:tc>
          <w:tcPr>
            <w:tcW w:w="851" w:type="dxa"/>
          </w:tcPr>
          <w:p>
            <w:pPr>
              <w:widowControl/>
              <w:spacing w:line="360" w:lineRule="atLeast"/>
              <w:ind w:firstLine="470" w:firstLineChars="196"/>
              <w:jc w:val="left"/>
              <w:outlineLvl w:val="1"/>
              <w:rPr>
                <w:rFonts w:ascii="仿宋" w:hAnsi="仿宋" w:eastAsia="仿宋"/>
                <w:color w:val="auto"/>
                <w:sz w:val="24"/>
                <w:highlight w:val="none"/>
              </w:rPr>
            </w:pPr>
          </w:p>
        </w:tc>
        <w:tc>
          <w:tcPr>
            <w:tcW w:w="960" w:type="dxa"/>
          </w:tcPr>
          <w:p>
            <w:pPr>
              <w:widowControl/>
              <w:spacing w:line="360" w:lineRule="atLeast"/>
              <w:ind w:firstLine="470" w:firstLineChars="196"/>
              <w:jc w:val="left"/>
              <w:outlineLvl w:val="1"/>
              <w:rPr>
                <w:rFonts w:ascii="仿宋" w:hAnsi="仿宋" w:eastAsia="仿宋"/>
                <w:color w:val="auto"/>
                <w:sz w:val="24"/>
                <w:highlight w:val="none"/>
              </w:rPr>
            </w:pPr>
          </w:p>
        </w:tc>
        <w:tc>
          <w:tcPr>
            <w:tcW w:w="847" w:type="dxa"/>
          </w:tcPr>
          <w:p>
            <w:pPr>
              <w:widowControl/>
              <w:spacing w:line="360" w:lineRule="atLeast"/>
              <w:ind w:firstLine="470" w:firstLineChars="196"/>
              <w:jc w:val="left"/>
              <w:outlineLvl w:val="1"/>
              <w:rPr>
                <w:rFonts w:ascii="仿宋" w:hAnsi="仿宋" w:eastAsia="仿宋"/>
                <w:color w:val="auto"/>
                <w:sz w:val="24"/>
                <w:highlight w:val="none"/>
              </w:rPr>
            </w:pPr>
          </w:p>
        </w:tc>
        <w:tc>
          <w:tcPr>
            <w:tcW w:w="732" w:type="dxa"/>
          </w:tcPr>
          <w:p>
            <w:pPr>
              <w:widowControl/>
              <w:spacing w:line="360" w:lineRule="atLeast"/>
              <w:ind w:firstLine="470" w:firstLineChars="196"/>
              <w:jc w:val="left"/>
              <w:outlineLvl w:val="1"/>
              <w:rPr>
                <w:rFonts w:ascii="仿宋" w:hAnsi="仿宋" w:eastAsia="仿宋"/>
                <w:color w:val="auto"/>
                <w:sz w:val="24"/>
                <w:highlight w:val="none"/>
              </w:rPr>
            </w:pPr>
          </w:p>
        </w:tc>
      </w:tr>
    </w:tbl>
    <w:p>
      <w:pPr>
        <w:spacing w:line="360" w:lineRule="auto"/>
        <w:ind w:firstLine="480" w:firstLineChars="200"/>
        <w:rPr>
          <w:rFonts w:ascii="华文仿宋" w:hAnsi="华文仿宋" w:eastAsia="华文仿宋" w:cs="华文仿宋"/>
          <w:color w:val="auto"/>
          <w:sz w:val="24"/>
          <w:highlight w:val="none"/>
        </w:rPr>
      </w:pP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投标人名称：</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（盖单位公章）</w:t>
      </w:r>
    </w:p>
    <w:p>
      <w:pPr>
        <w:spacing w:line="360" w:lineRule="auto"/>
        <w:ind w:firstLine="470" w:firstLineChars="196"/>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法定代表人/单位负责人或授权代表：</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（签字或盖章）</w:t>
      </w: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日    期：</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年</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月</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日</w:t>
      </w:r>
    </w:p>
    <w:p>
      <w:pPr>
        <w:pStyle w:val="5"/>
        <w:jc w:val="center"/>
        <w:rPr>
          <w:rFonts w:ascii="仿宋" w:hAnsi="仿宋" w:eastAsia="仿宋" w:cs="仿宋"/>
          <w:bCs w:val="0"/>
          <w:color w:val="auto"/>
          <w:sz w:val="22"/>
          <w:szCs w:val="22"/>
          <w:highlight w:val="none"/>
        </w:rPr>
      </w:pPr>
      <w:r>
        <w:rPr>
          <w:rFonts w:hint="eastAsia" w:ascii="仿宋" w:hAnsi="仿宋" w:eastAsia="仿宋" w:cs="仿宋"/>
          <w:color w:val="auto"/>
          <w:highlight w:val="none"/>
        </w:rPr>
        <w:br w:type="page"/>
      </w:r>
      <w:r>
        <w:rPr>
          <w:rFonts w:hint="eastAsia" w:ascii="仿宋" w:hAnsi="仿宋" w:eastAsia="仿宋" w:cs="仿宋"/>
          <w:color w:val="auto"/>
          <w:highlight w:val="none"/>
        </w:rPr>
        <w:t>七-1、</w:t>
      </w:r>
      <w:r>
        <w:rPr>
          <w:rFonts w:hint="eastAsia" w:ascii="仿宋" w:hAnsi="仿宋" w:eastAsia="仿宋" w:cs="仿宋"/>
          <w:bCs w:val="0"/>
          <w:color w:val="auto"/>
          <w:highlight w:val="none"/>
        </w:rPr>
        <w:t>中小企业声明函(货物)</w:t>
      </w:r>
      <w:r>
        <w:rPr>
          <w:rFonts w:hint="eastAsia" w:ascii="仿宋" w:hAnsi="仿宋" w:eastAsia="仿宋" w:cs="仿宋"/>
          <w:bCs w:val="0"/>
          <w:color w:val="auto"/>
          <w:sz w:val="22"/>
          <w:szCs w:val="22"/>
          <w:highlight w:val="none"/>
        </w:rPr>
        <w:t>包件一</w:t>
      </w:r>
    </w:p>
    <w:p>
      <w:pPr>
        <w:spacing w:before="100" w:beforeAutospacing="1" w:afterAutospacing="1" w:line="450" w:lineRule="atLeas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本公司郑重声明，根据《政府采购促进中小企业发展管理办法》（财库﹝2020﹞46 号）的规定，本公司参加</w:t>
      </w:r>
      <w:r>
        <w:rPr>
          <w:rFonts w:hint="eastAsia" w:ascii="仿宋" w:hAnsi="仿宋" w:eastAsia="仿宋" w:cs="仿宋"/>
          <w:b/>
          <w:bCs/>
          <w:color w:val="auto"/>
          <w:kern w:val="0"/>
          <w:sz w:val="24"/>
          <w:highlight w:val="none"/>
          <w:u w:val="single"/>
        </w:rPr>
        <w:t xml:space="preserve">       （单位名称）</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的</w:t>
      </w:r>
      <w:r>
        <w:rPr>
          <w:rFonts w:hint="eastAsia" w:ascii="仿宋" w:hAnsi="仿宋" w:eastAsia="仿宋" w:cs="仿宋"/>
          <w:b/>
          <w:bCs/>
          <w:color w:val="auto"/>
          <w:kern w:val="0"/>
          <w:sz w:val="24"/>
          <w:highlight w:val="none"/>
          <w:u w:val="single"/>
        </w:rPr>
        <w:t xml:space="preserve">          （项目名称）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采购活动，提供的货物全部由符合政策要求的中小企业制造。相关企业的具体情况如下：</w:t>
      </w:r>
    </w:p>
    <w:p>
      <w:pPr>
        <w:numPr>
          <w:ilvl w:val="0"/>
          <w:numId w:val="6"/>
        </w:numPr>
        <w:spacing w:line="400" w:lineRule="atLeast"/>
        <w:ind w:right="361" w:rightChars="172" w:firstLine="360" w:firstLineChars="15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u w:val="single"/>
        </w:rPr>
        <w:t>（标的名称）</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（采购文件中明确的所属行业）</w:t>
      </w:r>
      <w:r>
        <w:rPr>
          <w:rFonts w:hint="eastAsia" w:ascii="仿宋" w:hAnsi="仿宋" w:eastAsia="仿宋" w:cs="仿宋"/>
          <w:color w:val="auto"/>
          <w:kern w:val="0"/>
          <w:sz w:val="24"/>
          <w:highlight w:val="none"/>
        </w:rPr>
        <w:t>行业；制造商为</w:t>
      </w:r>
      <w:r>
        <w:rPr>
          <w:rFonts w:hint="eastAsia" w:ascii="仿宋" w:hAnsi="仿宋" w:eastAsia="仿宋" w:cs="仿宋"/>
          <w:color w:val="auto"/>
          <w:kern w:val="0"/>
          <w:sz w:val="24"/>
          <w:highlight w:val="none"/>
          <w:u w:val="single"/>
        </w:rPr>
        <w:t>（企业名称）</w:t>
      </w:r>
      <w:r>
        <w:rPr>
          <w:rFonts w:hint="eastAsia" w:ascii="仿宋" w:hAnsi="仿宋" w:eastAsia="仿宋" w:cs="仿宋"/>
          <w:color w:val="auto"/>
          <w:kern w:val="0"/>
          <w:sz w:val="24"/>
          <w:highlight w:val="none"/>
        </w:rPr>
        <w:t>，从业人员</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人，营业收入为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万元，资产总额为</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万元，属于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（中型企业、小型企业、微型企业）；</w:t>
      </w:r>
    </w:p>
    <w:p>
      <w:pPr>
        <w:spacing w:line="360" w:lineRule="auto"/>
        <w:ind w:firstLine="480" w:firstLineChars="200"/>
        <w:rPr>
          <w:color w:val="auto"/>
          <w:highlight w:val="none"/>
        </w:rPr>
      </w:pPr>
      <w:r>
        <w:rPr>
          <w:rFonts w:hint="eastAsia" w:ascii="仿宋" w:hAnsi="仿宋" w:eastAsia="仿宋" w:cs="仿宋"/>
          <w:color w:val="auto"/>
          <w:sz w:val="24"/>
          <w:highlight w:val="none"/>
        </w:rPr>
        <w:t>……</w:t>
      </w:r>
    </w:p>
    <w:p>
      <w:pPr>
        <w:spacing w:before="100" w:beforeAutospacing="1" w:afterAutospacing="1" w:line="450" w:lineRule="atLeast"/>
        <w:ind w:firstLine="600" w:firstLineChars="25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以上企业，不属于大企业的分支机构，不存在控股股东为大企业的情形，也不存在与大企业的负责人为同一人的情形。</w:t>
      </w:r>
    </w:p>
    <w:p>
      <w:pPr>
        <w:rPr>
          <w:rFonts w:ascii="仿宋" w:hAnsi="仿宋" w:eastAsia="仿宋" w:cs="仿宋"/>
          <w:b/>
          <w:bCs/>
          <w:color w:val="auto"/>
          <w:kern w:val="0"/>
          <w:sz w:val="24"/>
          <w:highlight w:val="none"/>
        </w:rPr>
      </w:pPr>
      <w:r>
        <w:rPr>
          <w:rFonts w:hint="eastAsia" w:ascii="仿宋" w:hAnsi="仿宋" w:eastAsia="仿宋" w:cs="仿宋"/>
          <w:color w:val="auto"/>
          <w:kern w:val="0"/>
          <w:sz w:val="24"/>
          <w:highlight w:val="none"/>
        </w:rPr>
        <w:t>本企业对上述声明内容的真实性负责。如有虚假，将依法承担相应责任。</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企业名称</w:t>
      </w:r>
      <w:r>
        <w:rPr>
          <w:rFonts w:ascii="仿宋" w:hAnsi="仿宋" w:eastAsia="仿宋" w:cs="仿宋"/>
          <w:color w:val="auto"/>
          <w:sz w:val="24"/>
          <w:highlight w:val="none"/>
        </w:rPr>
        <w:t>(</w:t>
      </w:r>
      <w:r>
        <w:rPr>
          <w:rFonts w:hint="eastAsia" w:ascii="仿宋" w:hAnsi="仿宋" w:eastAsia="仿宋" w:cs="仿宋"/>
          <w:color w:val="auto"/>
          <w:sz w:val="24"/>
          <w:highlight w:val="none"/>
        </w:rPr>
        <w:t>盖章</w:t>
      </w:r>
      <w:r>
        <w:rPr>
          <w:rFonts w:ascii="仿宋" w:hAnsi="仿宋" w:eastAsia="仿宋" w:cs="仿宋"/>
          <w:color w:val="auto"/>
          <w:sz w:val="24"/>
          <w:highlight w:val="none"/>
        </w:rPr>
        <w:t>)</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说明：①从业人员、营业收入、资产总额填报上一年度数据，无上一年度数据的新成立企业可不填报。</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②如未提供中小企业声明函的，则其评审中的小型、微型企业不能享受招标文件规定的价格扣除，但不影响供应商响应文件的有效性。</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③供应商参加政府采购活动时，提供虚假中小企业声明函的，以提供虚假材料谋取成交处理。</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④供应商为非企业单位的，如民办非企业、基金会、协会、服务中心、农村承包经营户、学会等非工商</w:t>
      </w:r>
      <w:r>
        <w:rPr>
          <w:rFonts w:ascii="仿宋" w:hAnsi="仿宋" w:eastAsia="仿宋" w:cs="仿宋"/>
          <w:color w:val="auto"/>
          <w:sz w:val="24"/>
          <w:highlight w:val="none"/>
        </w:rPr>
        <w:t>(</w:t>
      </w:r>
      <w:r>
        <w:rPr>
          <w:rFonts w:hint="eastAsia" w:ascii="仿宋" w:hAnsi="仿宋" w:eastAsia="仿宋" w:cs="仿宋"/>
          <w:color w:val="auto"/>
          <w:sz w:val="24"/>
          <w:highlight w:val="none"/>
        </w:rPr>
        <w:t>市场监管</w:t>
      </w:r>
      <w:r>
        <w:rPr>
          <w:rFonts w:ascii="仿宋" w:hAnsi="仿宋" w:eastAsia="仿宋" w:cs="仿宋"/>
          <w:color w:val="auto"/>
          <w:sz w:val="24"/>
          <w:highlight w:val="none"/>
        </w:rPr>
        <w:t>)</w:t>
      </w:r>
      <w:r>
        <w:rPr>
          <w:rFonts w:hint="eastAsia" w:ascii="仿宋" w:hAnsi="仿宋" w:eastAsia="仿宋" w:cs="仿宋"/>
          <w:color w:val="auto"/>
          <w:sz w:val="24"/>
          <w:highlight w:val="none"/>
        </w:rPr>
        <w:t>登记注册的组织均不适用此声明函，不得提供中小企业声明函，提供此声明的在评审过程中按声明无效处理。</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⑤符合中小企业划分标准的个体工商户，在政府采购活动中视同中小企业。</w:t>
      </w:r>
    </w:p>
    <w:p>
      <w:pPr>
        <w:pStyle w:val="9"/>
        <w:rPr>
          <w:color w:val="auto"/>
          <w:highlight w:val="none"/>
        </w:rPr>
      </w:pPr>
    </w:p>
    <w:p>
      <w:pPr>
        <w:rPr>
          <w:rFonts w:ascii="仿宋" w:hAnsi="仿宋" w:eastAsia="仿宋" w:cs="仿宋"/>
          <w:color w:val="auto"/>
          <w:sz w:val="24"/>
          <w:highlight w:val="none"/>
        </w:rPr>
      </w:pPr>
      <w:r>
        <w:rPr>
          <w:rFonts w:hint="eastAsia" w:ascii="仿宋" w:hAnsi="仿宋" w:eastAsia="仿宋" w:cs="仿宋"/>
          <w:color w:val="auto"/>
          <w:sz w:val="24"/>
          <w:highlight w:val="none"/>
        </w:rPr>
        <w:br w:type="page"/>
      </w:r>
    </w:p>
    <w:p>
      <w:pPr>
        <w:spacing w:line="360" w:lineRule="auto"/>
        <w:ind w:firstLine="640" w:firstLineChars="200"/>
        <w:jc w:val="center"/>
        <w:rPr>
          <w:rFonts w:ascii="仿宋" w:hAnsi="仿宋" w:eastAsia="仿宋" w:cs="仿宋"/>
          <w:color w:val="auto"/>
          <w:sz w:val="24"/>
          <w:highlight w:val="none"/>
        </w:rPr>
      </w:pPr>
      <w:r>
        <w:rPr>
          <w:rFonts w:hint="eastAsia" w:ascii="华文仿宋" w:hAnsi="华文仿宋" w:eastAsia="华文仿宋" w:cs="华文仿宋"/>
          <w:b/>
          <w:bCs/>
          <w:color w:val="auto"/>
          <w:kern w:val="0"/>
          <w:sz w:val="32"/>
          <w:szCs w:val="32"/>
          <w:highlight w:val="none"/>
        </w:rPr>
        <w:t>七-2、中小企业声明函(服务)</w:t>
      </w:r>
      <w:r>
        <w:rPr>
          <w:rFonts w:hint="eastAsia" w:ascii="仿宋" w:hAnsi="仿宋" w:eastAsia="仿宋" w:cs="仿宋"/>
          <w:b/>
          <w:color w:val="auto"/>
          <w:kern w:val="0"/>
          <w:sz w:val="22"/>
          <w:szCs w:val="22"/>
          <w:highlight w:val="none"/>
        </w:rPr>
        <w:t>包件二</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本公司郑重声明，根据《政府采购促进中小企业发展管理办法》</w:t>
      </w:r>
      <w:r>
        <w:rPr>
          <w:rFonts w:ascii="仿宋" w:hAnsi="仿宋" w:eastAsia="仿宋" w:cs="仿宋"/>
          <w:color w:val="auto"/>
          <w:sz w:val="24"/>
          <w:highlight w:val="none"/>
        </w:rPr>
        <w:t>(</w:t>
      </w:r>
      <w:r>
        <w:rPr>
          <w:rFonts w:hint="eastAsia" w:ascii="仿宋" w:hAnsi="仿宋" w:eastAsia="仿宋" w:cs="仿宋"/>
          <w:color w:val="auto"/>
          <w:sz w:val="24"/>
          <w:highlight w:val="none"/>
        </w:rPr>
        <w:t>财库﹝</w:t>
      </w:r>
      <w:r>
        <w:rPr>
          <w:rFonts w:ascii="仿宋" w:hAnsi="仿宋" w:eastAsia="仿宋" w:cs="仿宋"/>
          <w:color w:val="auto"/>
          <w:sz w:val="24"/>
          <w:highlight w:val="none"/>
        </w:rPr>
        <w:t>2020</w:t>
      </w:r>
      <w:r>
        <w:rPr>
          <w:rFonts w:hint="eastAsia" w:ascii="仿宋" w:hAnsi="仿宋" w:eastAsia="仿宋" w:cs="仿宋"/>
          <w:color w:val="auto"/>
          <w:sz w:val="24"/>
          <w:highlight w:val="none"/>
        </w:rPr>
        <w:t>﹞</w:t>
      </w:r>
      <w:r>
        <w:rPr>
          <w:rFonts w:ascii="仿宋" w:hAnsi="仿宋" w:eastAsia="仿宋" w:cs="仿宋"/>
          <w:color w:val="auto"/>
          <w:sz w:val="24"/>
          <w:highlight w:val="none"/>
        </w:rPr>
        <w:t xml:space="preserve">46 </w:t>
      </w:r>
      <w:r>
        <w:rPr>
          <w:rFonts w:hint="eastAsia" w:ascii="仿宋" w:hAnsi="仿宋" w:eastAsia="仿宋" w:cs="仿宋"/>
          <w:color w:val="auto"/>
          <w:sz w:val="24"/>
          <w:highlight w:val="none"/>
        </w:rPr>
        <w:t>号</w:t>
      </w:r>
      <w:r>
        <w:rPr>
          <w:rFonts w:ascii="仿宋" w:hAnsi="仿宋" w:eastAsia="仿宋" w:cs="仿宋"/>
          <w:color w:val="auto"/>
          <w:sz w:val="24"/>
          <w:highlight w:val="none"/>
        </w:rPr>
        <w:t>)</w:t>
      </w:r>
      <w:r>
        <w:rPr>
          <w:rFonts w:hint="eastAsia" w:ascii="仿宋" w:hAnsi="仿宋" w:eastAsia="仿宋" w:cs="仿宋"/>
          <w:color w:val="auto"/>
          <w:sz w:val="24"/>
          <w:highlight w:val="none"/>
        </w:rPr>
        <w:t>的规定，本公司参加</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w:t>
      </w:r>
      <w:r>
        <w:rPr>
          <w:rFonts w:hint="eastAsia" w:ascii="仿宋" w:hAnsi="仿宋" w:eastAsia="仿宋" w:cs="仿宋"/>
          <w:color w:val="auto"/>
          <w:sz w:val="24"/>
          <w:highlight w:val="none"/>
          <w:u w:val="single"/>
        </w:rPr>
        <w:t>单位名称</w:t>
      </w:r>
      <w:r>
        <w:rPr>
          <w:rFonts w:ascii="仿宋" w:hAnsi="仿宋" w:eastAsia="仿宋" w:cs="仿宋"/>
          <w:color w:val="auto"/>
          <w:sz w:val="24"/>
          <w:highlight w:val="none"/>
          <w:u w:val="single"/>
        </w:rPr>
        <w:t>)</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ascii="仿宋" w:hAnsi="仿宋" w:eastAsia="仿宋" w:cs="仿宋"/>
          <w:color w:val="auto"/>
          <w:sz w:val="24"/>
          <w:highlight w:val="none"/>
          <w:u w:val="single"/>
        </w:rPr>
        <w:t>(</w:t>
      </w:r>
      <w:r>
        <w:rPr>
          <w:rFonts w:hint="eastAsia" w:ascii="仿宋" w:hAnsi="仿宋" w:eastAsia="仿宋" w:cs="仿宋"/>
          <w:color w:val="auto"/>
          <w:sz w:val="24"/>
          <w:highlight w:val="none"/>
          <w:u w:val="single"/>
        </w:rPr>
        <w:t>项目名称</w:t>
      </w:r>
      <w:r>
        <w:rPr>
          <w:rFonts w:ascii="仿宋" w:hAnsi="仿宋" w:eastAsia="仿宋" w:cs="仿宋"/>
          <w:color w:val="auto"/>
          <w:sz w:val="24"/>
          <w:highlight w:val="none"/>
          <w:u w:val="single"/>
        </w:rPr>
        <w:t>)</w:t>
      </w:r>
      <w:r>
        <w:rPr>
          <w:rFonts w:hint="eastAsia" w:ascii="仿宋" w:hAnsi="仿宋" w:eastAsia="仿宋" w:cs="仿宋"/>
          <w:color w:val="auto"/>
          <w:sz w:val="24"/>
          <w:highlight w:val="none"/>
        </w:rPr>
        <w:t>采购活动，服务全部由符合政策要求的中小企业承接。相关企业</w:t>
      </w:r>
      <w:r>
        <w:rPr>
          <w:rFonts w:ascii="仿宋" w:hAnsi="仿宋" w:eastAsia="仿宋" w:cs="仿宋"/>
          <w:color w:val="auto"/>
          <w:sz w:val="24"/>
          <w:highlight w:val="none"/>
        </w:rPr>
        <w:t>(</w:t>
      </w:r>
      <w:r>
        <w:rPr>
          <w:rFonts w:hint="eastAsia" w:ascii="仿宋" w:hAnsi="仿宋" w:eastAsia="仿宋" w:cs="仿宋"/>
          <w:color w:val="auto"/>
          <w:sz w:val="24"/>
          <w:highlight w:val="none"/>
        </w:rPr>
        <w:t>含联合体中的中小企业、签订分包意向协议的中小企业</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的具体情况如下：</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rPr>
        <w:t xml:space="preserve">     （标的名称</w:t>
      </w:r>
      <w:r>
        <w:rPr>
          <w:rFonts w:ascii="仿宋" w:hAnsi="仿宋" w:eastAsia="仿宋" w:cs="仿宋"/>
          <w:color w:val="auto"/>
          <w:sz w:val="24"/>
          <w:highlight w:val="none"/>
          <w:u w:val="single"/>
        </w:rPr>
        <w:t>)</w:t>
      </w:r>
      <w:r>
        <w:rPr>
          <w:rFonts w:hint="eastAsia" w:ascii="仿宋" w:hAnsi="仿宋" w:eastAsia="仿宋" w:cs="仿宋"/>
          <w:color w:val="auto"/>
          <w:sz w:val="24"/>
          <w:highlight w:val="none"/>
        </w:rPr>
        <w:t>，属于</w:t>
      </w:r>
      <w:r>
        <w:rPr>
          <w:rFonts w:ascii="仿宋" w:hAnsi="仿宋" w:eastAsia="仿宋" w:cs="仿宋"/>
          <w:color w:val="auto"/>
          <w:sz w:val="24"/>
          <w:highlight w:val="none"/>
          <w:u w:val="single"/>
        </w:rPr>
        <w:t>(</w:t>
      </w:r>
      <w:r>
        <w:rPr>
          <w:rFonts w:hint="eastAsia" w:ascii="仿宋" w:hAnsi="仿宋" w:eastAsia="仿宋" w:cs="仿宋"/>
          <w:color w:val="auto"/>
          <w:sz w:val="24"/>
          <w:highlight w:val="none"/>
          <w:u w:val="single"/>
        </w:rPr>
        <w:t>采购文件中明确的所属行业</w:t>
      </w:r>
      <w:r>
        <w:rPr>
          <w:rFonts w:ascii="仿宋" w:hAnsi="仿宋" w:eastAsia="仿宋" w:cs="仿宋"/>
          <w:color w:val="auto"/>
          <w:sz w:val="24"/>
          <w:highlight w:val="none"/>
          <w:u w:val="single"/>
        </w:rPr>
        <w:t>)</w:t>
      </w:r>
      <w:r>
        <w:rPr>
          <w:rFonts w:hint="eastAsia" w:ascii="仿宋" w:hAnsi="仿宋" w:eastAsia="仿宋" w:cs="仿宋"/>
          <w:color w:val="auto"/>
          <w:sz w:val="24"/>
          <w:highlight w:val="none"/>
        </w:rPr>
        <w:t>行业；承接企业为</w:t>
      </w:r>
      <w:r>
        <w:rPr>
          <w:rFonts w:ascii="仿宋" w:hAnsi="仿宋" w:eastAsia="仿宋" w:cs="仿宋"/>
          <w:color w:val="auto"/>
          <w:sz w:val="24"/>
          <w:highlight w:val="none"/>
          <w:u w:val="single"/>
        </w:rPr>
        <w:t>(</w:t>
      </w:r>
      <w:r>
        <w:rPr>
          <w:rFonts w:hint="eastAsia" w:ascii="仿宋" w:hAnsi="仿宋" w:eastAsia="仿宋" w:cs="仿宋"/>
          <w:color w:val="auto"/>
          <w:sz w:val="24"/>
          <w:highlight w:val="none"/>
          <w:u w:val="single"/>
        </w:rPr>
        <w:t>企业名称</w:t>
      </w:r>
      <w:r>
        <w:rPr>
          <w:rFonts w:ascii="仿宋" w:hAnsi="仿宋" w:eastAsia="仿宋" w:cs="仿宋"/>
          <w:color w:val="auto"/>
          <w:sz w:val="24"/>
          <w:highlight w:val="none"/>
          <w:u w:val="single"/>
        </w:rPr>
        <w:t>)</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ascii="仿宋" w:hAnsi="仿宋" w:eastAsia="仿宋" w:cs="仿宋"/>
          <w:color w:val="auto"/>
          <w:sz w:val="24"/>
          <w:highlight w:val="none"/>
          <w:u w:val="single"/>
        </w:rPr>
        <w:t>(</w:t>
      </w:r>
      <w:r>
        <w:rPr>
          <w:rFonts w:hint="eastAsia" w:ascii="仿宋" w:hAnsi="仿宋" w:eastAsia="仿宋" w:cs="仿宋"/>
          <w:color w:val="auto"/>
          <w:sz w:val="24"/>
          <w:highlight w:val="none"/>
          <w:u w:val="single"/>
        </w:rPr>
        <w:t>中型企业、小型企业、微型企业</w:t>
      </w:r>
      <w:r>
        <w:rPr>
          <w:rFonts w:ascii="仿宋" w:hAnsi="仿宋" w:eastAsia="仿宋" w:cs="仿宋"/>
          <w:color w:val="auto"/>
          <w:sz w:val="24"/>
          <w:highlight w:val="none"/>
          <w:u w:val="single"/>
        </w:rPr>
        <w:t>)</w:t>
      </w: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single"/>
        </w:rPr>
        <w:t xml:space="preserve">     （标的名称</w:t>
      </w:r>
      <w:r>
        <w:rPr>
          <w:rFonts w:ascii="仿宋" w:hAnsi="仿宋" w:eastAsia="仿宋" w:cs="仿宋"/>
          <w:color w:val="auto"/>
          <w:sz w:val="24"/>
          <w:highlight w:val="none"/>
          <w:u w:val="single"/>
        </w:rPr>
        <w:t>)</w:t>
      </w:r>
      <w:r>
        <w:rPr>
          <w:rFonts w:hint="eastAsia" w:ascii="仿宋" w:hAnsi="仿宋" w:eastAsia="仿宋" w:cs="仿宋"/>
          <w:color w:val="auto"/>
          <w:sz w:val="24"/>
          <w:highlight w:val="none"/>
        </w:rPr>
        <w:t>，属于</w:t>
      </w:r>
      <w:r>
        <w:rPr>
          <w:rFonts w:ascii="仿宋" w:hAnsi="仿宋" w:eastAsia="仿宋" w:cs="仿宋"/>
          <w:color w:val="auto"/>
          <w:sz w:val="24"/>
          <w:highlight w:val="none"/>
          <w:u w:val="single"/>
        </w:rPr>
        <w:t>(</w:t>
      </w:r>
      <w:r>
        <w:rPr>
          <w:rFonts w:hint="eastAsia" w:ascii="仿宋" w:hAnsi="仿宋" w:eastAsia="仿宋" w:cs="仿宋"/>
          <w:color w:val="auto"/>
          <w:sz w:val="24"/>
          <w:highlight w:val="none"/>
          <w:u w:val="single"/>
        </w:rPr>
        <w:t>采购文件中明确的所属行业</w:t>
      </w:r>
      <w:r>
        <w:rPr>
          <w:rFonts w:ascii="仿宋" w:hAnsi="仿宋" w:eastAsia="仿宋" w:cs="仿宋"/>
          <w:color w:val="auto"/>
          <w:sz w:val="24"/>
          <w:highlight w:val="none"/>
          <w:u w:val="single"/>
        </w:rPr>
        <w:t>)</w:t>
      </w:r>
      <w:r>
        <w:rPr>
          <w:rFonts w:hint="eastAsia" w:ascii="仿宋" w:hAnsi="仿宋" w:eastAsia="仿宋" w:cs="仿宋"/>
          <w:color w:val="auto"/>
          <w:sz w:val="24"/>
          <w:highlight w:val="none"/>
        </w:rPr>
        <w:t>行业；承接企业为</w:t>
      </w:r>
      <w:r>
        <w:rPr>
          <w:rFonts w:ascii="仿宋" w:hAnsi="仿宋" w:eastAsia="仿宋" w:cs="仿宋"/>
          <w:color w:val="auto"/>
          <w:sz w:val="24"/>
          <w:highlight w:val="none"/>
          <w:u w:val="single"/>
        </w:rPr>
        <w:t>(</w:t>
      </w:r>
      <w:r>
        <w:rPr>
          <w:rFonts w:hint="eastAsia" w:ascii="仿宋" w:hAnsi="仿宋" w:eastAsia="仿宋" w:cs="仿宋"/>
          <w:color w:val="auto"/>
          <w:sz w:val="24"/>
          <w:highlight w:val="none"/>
          <w:u w:val="single"/>
        </w:rPr>
        <w:t>企业名称</w:t>
      </w:r>
      <w:r>
        <w:rPr>
          <w:rFonts w:ascii="仿宋" w:hAnsi="仿宋" w:eastAsia="仿宋" w:cs="仿宋"/>
          <w:color w:val="auto"/>
          <w:sz w:val="24"/>
          <w:highlight w:val="none"/>
          <w:u w:val="single"/>
        </w:rPr>
        <w:t>)</w:t>
      </w:r>
      <w:r>
        <w:rPr>
          <w:rFonts w:hint="eastAsia" w:ascii="仿宋" w:hAnsi="仿宋" w:eastAsia="仿宋" w:cs="仿宋"/>
          <w:color w:val="auto"/>
          <w:sz w:val="24"/>
          <w:highlight w:val="none"/>
        </w:rPr>
        <w:t>，从业人员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ascii="仿宋" w:hAnsi="仿宋" w:eastAsia="仿宋" w:cs="仿宋"/>
          <w:color w:val="auto"/>
          <w:sz w:val="24"/>
          <w:highlight w:val="none"/>
          <w:u w:val="single"/>
        </w:rPr>
        <w:t>(</w:t>
      </w:r>
      <w:r>
        <w:rPr>
          <w:rFonts w:hint="eastAsia" w:ascii="仿宋" w:hAnsi="仿宋" w:eastAsia="仿宋" w:cs="仿宋"/>
          <w:color w:val="auto"/>
          <w:sz w:val="24"/>
          <w:highlight w:val="none"/>
          <w:u w:val="single"/>
        </w:rPr>
        <w:t>中型企业、小型企业、微型企业</w:t>
      </w:r>
      <w:r>
        <w:rPr>
          <w:rFonts w:ascii="仿宋" w:hAnsi="仿宋" w:eastAsia="仿宋" w:cs="仿宋"/>
          <w:color w:val="auto"/>
          <w:sz w:val="24"/>
          <w:highlight w:val="none"/>
          <w:u w:val="single"/>
        </w:rPr>
        <w:t>)</w:t>
      </w: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企业名称</w:t>
      </w:r>
      <w:r>
        <w:rPr>
          <w:rFonts w:ascii="仿宋" w:hAnsi="仿宋" w:eastAsia="仿宋" w:cs="仿宋"/>
          <w:color w:val="auto"/>
          <w:sz w:val="24"/>
          <w:highlight w:val="none"/>
        </w:rPr>
        <w:t>(</w:t>
      </w:r>
      <w:r>
        <w:rPr>
          <w:rFonts w:hint="eastAsia" w:ascii="仿宋" w:hAnsi="仿宋" w:eastAsia="仿宋" w:cs="仿宋"/>
          <w:color w:val="auto"/>
          <w:sz w:val="24"/>
          <w:highlight w:val="none"/>
        </w:rPr>
        <w:t>盖章</w:t>
      </w:r>
      <w:r>
        <w:rPr>
          <w:rFonts w:ascii="仿宋" w:hAnsi="仿宋" w:eastAsia="仿宋" w:cs="仿宋"/>
          <w:color w:val="auto"/>
          <w:sz w:val="24"/>
          <w:highlight w:val="none"/>
        </w:rPr>
        <w:t>)</w:t>
      </w:r>
      <w:r>
        <w:rPr>
          <w:rFonts w:hint="eastAsia" w:ascii="仿宋" w:hAnsi="仿宋" w:eastAsia="仿宋" w:cs="仿宋"/>
          <w:color w:val="auto"/>
          <w:sz w:val="24"/>
          <w:highlight w:val="none"/>
        </w:rPr>
        <w:t xml:space="preserve">：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说明：①从业人员、营业收入、资产总额填报上一年度数据，无上一年度数据的新成立企业可不填报。</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②如未提供中小企业声明函的，则其评审中的小型、微型企业不能享受招标文件规定的价格扣除，但不影响供应商响应文件的有效性。</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③供应商参加政府采购活动时，提供虚假中小企业声明函的，以提供虚假材料谋取成交处理。</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④供应商为非企业单位的，如民办非企业、基金会、协会、服务中心、农村承包经营户、学会等非工商</w:t>
      </w:r>
      <w:r>
        <w:rPr>
          <w:rFonts w:ascii="仿宋" w:hAnsi="仿宋" w:eastAsia="仿宋" w:cs="仿宋"/>
          <w:color w:val="auto"/>
          <w:sz w:val="24"/>
          <w:highlight w:val="none"/>
        </w:rPr>
        <w:t>(</w:t>
      </w:r>
      <w:r>
        <w:rPr>
          <w:rFonts w:hint="eastAsia" w:ascii="仿宋" w:hAnsi="仿宋" w:eastAsia="仿宋" w:cs="仿宋"/>
          <w:color w:val="auto"/>
          <w:sz w:val="24"/>
          <w:highlight w:val="none"/>
        </w:rPr>
        <w:t>市场监管</w:t>
      </w:r>
      <w:r>
        <w:rPr>
          <w:rFonts w:ascii="仿宋" w:hAnsi="仿宋" w:eastAsia="仿宋" w:cs="仿宋"/>
          <w:color w:val="auto"/>
          <w:sz w:val="24"/>
          <w:highlight w:val="none"/>
        </w:rPr>
        <w:t>)</w:t>
      </w:r>
      <w:r>
        <w:rPr>
          <w:rFonts w:hint="eastAsia" w:ascii="仿宋" w:hAnsi="仿宋" w:eastAsia="仿宋" w:cs="仿宋"/>
          <w:color w:val="auto"/>
          <w:sz w:val="24"/>
          <w:highlight w:val="none"/>
        </w:rPr>
        <w:t>登记注册的组织均不适用此声明函，不得提供中小企业声明函，提供此声明的在评审过程中按声明无效处理。</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⑤符合中小企业划分标准的个体工商户，在政府采购活动中视同中小企业。</w:t>
      </w:r>
    </w:p>
    <w:p>
      <w:pPr>
        <w:pStyle w:val="5"/>
        <w:jc w:val="center"/>
        <w:rPr>
          <w:rFonts w:ascii="仿宋" w:hAnsi="仿宋" w:eastAsia="仿宋" w:cs="仿宋"/>
          <w:color w:val="auto"/>
          <w:sz w:val="28"/>
          <w:szCs w:val="28"/>
          <w:highlight w:val="none"/>
        </w:rPr>
      </w:pPr>
      <w:r>
        <w:rPr>
          <w:rFonts w:hint="eastAsia" w:ascii="仿宋" w:hAnsi="仿宋" w:eastAsia="仿宋" w:cs="仿宋"/>
          <w:bCs w:val="0"/>
          <w:color w:val="auto"/>
          <w:highlight w:val="none"/>
        </w:rPr>
        <w:t>八</w:t>
      </w:r>
      <w:r>
        <w:rPr>
          <w:rFonts w:hint="eastAsia" w:ascii="仿宋" w:hAnsi="仿宋" w:eastAsia="仿宋" w:cs="仿宋"/>
          <w:bCs w:val="0"/>
          <w:color w:val="auto"/>
          <w:kern w:val="2"/>
          <w:highlight w:val="none"/>
        </w:rPr>
        <w:t>、监狱企业相关证明材料(如涉及)</w:t>
      </w:r>
    </w:p>
    <w:p>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说明：</w:t>
      </w:r>
    </w:p>
    <w:p>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①监狱企业参加政府采购活动时，应当提供由省级以上监狱管理局、戒毒管理局(含新疆</w:t>
      </w:r>
    </w:p>
    <w:p>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生产建设兵团)出具的属于监狱企业的证明文件。</w:t>
      </w:r>
    </w:p>
    <w:p>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②监狱企业参加本次采购活动未提供监狱企业相关证明材料的，则不能享受招标文件规</w:t>
      </w:r>
    </w:p>
    <w:p>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定的价格扣除，但不影响投标人响应文件的有效性。</w:t>
      </w:r>
    </w:p>
    <w:p>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③非监狱企业无需提供证明材料。</w:t>
      </w:r>
    </w:p>
    <w:p>
      <w:pPr>
        <w:keepNext/>
        <w:keepLines/>
        <w:spacing w:before="260" w:after="260" w:line="416" w:lineRule="auto"/>
        <w:jc w:val="center"/>
        <w:outlineLvl w:val="2"/>
        <w:rPr>
          <w:rFonts w:ascii="仿宋" w:hAnsi="仿宋" w:eastAsia="仿宋" w:cs="仿宋"/>
          <w:bCs/>
          <w:color w:val="auto"/>
          <w:sz w:val="32"/>
          <w:szCs w:val="32"/>
          <w:highlight w:val="none"/>
        </w:rPr>
      </w:pPr>
      <w:r>
        <w:rPr>
          <w:rFonts w:hint="eastAsia" w:ascii="仿宋" w:hAnsi="仿宋" w:eastAsia="仿宋" w:cs="仿宋"/>
          <w:color w:val="auto"/>
          <w:sz w:val="24"/>
          <w:highlight w:val="none"/>
        </w:rPr>
        <w:br w:type="page"/>
      </w:r>
      <w:r>
        <w:rPr>
          <w:rFonts w:hint="eastAsia" w:ascii="仿宋" w:hAnsi="仿宋" w:eastAsia="仿宋" w:cs="仿宋"/>
          <w:b/>
          <w:color w:val="auto"/>
          <w:sz w:val="32"/>
          <w:szCs w:val="32"/>
          <w:highlight w:val="none"/>
        </w:rPr>
        <w:t>九、残疾人福利性单位声明函（如涉及）</w:t>
      </w:r>
    </w:p>
    <w:p>
      <w:pPr>
        <w:spacing w:line="588" w:lineRule="exact"/>
        <w:rPr>
          <w:rFonts w:ascii="仿宋" w:hAnsi="仿宋" w:eastAsia="仿宋" w:cs="仿宋"/>
          <w:b/>
          <w:color w:val="auto"/>
          <w:spacing w:val="6"/>
          <w:sz w:val="24"/>
          <w:highlight w:val="none"/>
        </w:rPr>
      </w:pPr>
    </w:p>
    <w:p>
      <w:pPr>
        <w:spacing w:line="360" w:lineRule="auto"/>
        <w:ind w:firstLine="504" w:firstLineChars="200"/>
        <w:rPr>
          <w:rFonts w:ascii="仿宋" w:hAnsi="仿宋" w:eastAsia="仿宋" w:cs="仿宋"/>
          <w:color w:val="auto"/>
          <w:spacing w:val="6"/>
          <w:sz w:val="24"/>
          <w:highlight w:val="none"/>
        </w:rPr>
      </w:pPr>
      <w:r>
        <w:rPr>
          <w:rFonts w:hint="eastAsia" w:ascii="仿宋" w:hAnsi="仿宋" w:eastAsia="仿宋" w:cs="仿宋"/>
          <w:color w:val="auto"/>
          <w:spacing w:val="6"/>
          <w:sz w:val="24"/>
          <w:highlight w:val="none"/>
        </w:rPr>
        <w:t>本单位郑重声明，根据《财政部 民政部 中国残疾人联合会关于促进残疾人就业政府采购政策的通知》（财库</w:t>
      </w:r>
      <w:r>
        <w:rPr>
          <w:rFonts w:hint="eastAsia" w:ascii="仿宋" w:hAnsi="仿宋" w:eastAsia="仿宋" w:cs="仿宋"/>
          <w:color w:val="auto"/>
          <w:sz w:val="24"/>
          <w:highlight w:val="none"/>
        </w:rPr>
        <w:t>〔2017〕 141</w:t>
      </w:r>
      <w:r>
        <w:rPr>
          <w:rFonts w:hint="eastAsia" w:ascii="仿宋" w:hAnsi="仿宋" w:eastAsia="仿宋" w:cs="仿宋"/>
          <w:color w:val="auto"/>
          <w:spacing w:val="6"/>
          <w:sz w:val="24"/>
          <w:highlight w:val="none"/>
        </w:rPr>
        <w:t>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pPr>
        <w:spacing w:line="360" w:lineRule="auto"/>
        <w:ind w:firstLine="504" w:firstLineChars="200"/>
        <w:rPr>
          <w:rFonts w:ascii="仿宋" w:hAnsi="仿宋" w:eastAsia="仿宋" w:cs="仿宋"/>
          <w:color w:val="auto"/>
          <w:spacing w:val="6"/>
          <w:sz w:val="24"/>
          <w:highlight w:val="none"/>
        </w:rPr>
      </w:pPr>
      <w:r>
        <w:rPr>
          <w:rFonts w:hint="eastAsia" w:ascii="仿宋" w:hAnsi="仿宋" w:eastAsia="仿宋" w:cs="仿宋"/>
          <w:color w:val="auto"/>
          <w:spacing w:val="6"/>
          <w:sz w:val="24"/>
          <w:highlight w:val="none"/>
        </w:rPr>
        <w:t>本单位对上述声明的真实性负责。如有虚假，将依法承担相应责任。</w:t>
      </w:r>
    </w:p>
    <w:p>
      <w:pPr>
        <w:spacing w:line="360" w:lineRule="auto"/>
        <w:rPr>
          <w:rFonts w:ascii="仿宋" w:hAnsi="仿宋" w:eastAsia="仿宋" w:cs="仿宋"/>
          <w:color w:val="auto"/>
          <w:spacing w:val="6"/>
          <w:sz w:val="24"/>
          <w:highlight w:val="none"/>
        </w:rPr>
      </w:pPr>
    </w:p>
    <w:p>
      <w:pPr>
        <w:spacing w:line="360" w:lineRule="auto"/>
        <w:rPr>
          <w:rFonts w:ascii="仿宋" w:hAnsi="仿宋" w:eastAsia="仿宋" w:cs="仿宋"/>
          <w:color w:val="auto"/>
          <w:spacing w:val="6"/>
          <w:sz w:val="24"/>
          <w:highlight w:val="none"/>
        </w:rPr>
      </w:pPr>
    </w:p>
    <w:p>
      <w:pPr>
        <w:widowControl/>
        <w:spacing w:line="360" w:lineRule="auto"/>
        <w:ind w:firstLine="470" w:firstLineChars="196"/>
        <w:jc w:val="left"/>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投标人名称：</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（单位盖章）</w:t>
      </w:r>
    </w:p>
    <w:p>
      <w:pPr>
        <w:widowControl/>
        <w:spacing w:line="360" w:lineRule="auto"/>
        <w:ind w:firstLine="470" w:firstLineChars="196"/>
        <w:jc w:val="left"/>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法定代表人/单位负责人或授权代表：</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（签字或盖章）</w:t>
      </w:r>
    </w:p>
    <w:p>
      <w:pPr>
        <w:widowControl/>
        <w:spacing w:line="360" w:lineRule="auto"/>
        <w:ind w:firstLine="470" w:firstLineChars="196"/>
        <w:jc w:val="left"/>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日  期:</w:t>
      </w:r>
      <w:r>
        <w:rPr>
          <w:rFonts w:hint="eastAsia" w:ascii="华文仿宋" w:hAnsi="华文仿宋" w:eastAsia="华文仿宋" w:cs="华文仿宋"/>
          <w:color w:val="auto"/>
          <w:sz w:val="24"/>
          <w:highlight w:val="none"/>
          <w:u w:val="single"/>
        </w:rPr>
        <w:t xml:space="preserve">                 </w:t>
      </w:r>
    </w:p>
    <w:p>
      <w:pPr>
        <w:spacing w:line="360" w:lineRule="auto"/>
        <w:rPr>
          <w:rFonts w:ascii="仿宋" w:hAnsi="仿宋" w:eastAsia="仿宋" w:cs="仿宋"/>
          <w:color w:val="auto"/>
          <w:sz w:val="24"/>
          <w:highlight w:val="none"/>
        </w:rPr>
      </w:pPr>
    </w:p>
    <w:p>
      <w:pPr>
        <w:spacing w:line="360" w:lineRule="auto"/>
        <w:rPr>
          <w:rFonts w:ascii="仿宋" w:hAnsi="仿宋" w:eastAsia="仿宋" w:cs="仿宋"/>
          <w:color w:val="auto"/>
          <w:sz w:val="24"/>
          <w:highlight w:val="none"/>
        </w:rPr>
      </w:pPr>
    </w:p>
    <w:p>
      <w:pPr>
        <w:spacing w:line="360" w:lineRule="auto"/>
        <w:ind w:firstLine="384" w:firstLineChars="200"/>
        <w:rPr>
          <w:rFonts w:ascii="仿宋" w:hAnsi="仿宋" w:eastAsia="仿宋" w:cs="仿宋"/>
          <w:color w:val="auto"/>
          <w:spacing w:val="6"/>
          <w:sz w:val="18"/>
          <w:szCs w:val="18"/>
          <w:highlight w:val="none"/>
        </w:rPr>
      </w:pPr>
      <w:r>
        <w:rPr>
          <w:rFonts w:hint="eastAsia" w:ascii="仿宋" w:hAnsi="仿宋" w:eastAsia="仿宋" w:cs="仿宋"/>
          <w:color w:val="auto"/>
          <w:spacing w:val="6"/>
          <w:sz w:val="18"/>
          <w:szCs w:val="18"/>
          <w:highlight w:val="none"/>
        </w:rPr>
        <w:t>说明：1、如未提供残疾人福利性单位声明函的，则其评审中的残疾人福利性单位不能享受招标文件规定的价格扣除。非残疾人福利性单位，不需提供此声明函，不影响响应文件的有效性。</w:t>
      </w:r>
    </w:p>
    <w:p>
      <w:pPr>
        <w:spacing w:line="360" w:lineRule="auto"/>
        <w:ind w:firstLine="384" w:firstLineChars="200"/>
        <w:rPr>
          <w:rFonts w:ascii="仿宋" w:hAnsi="仿宋" w:eastAsia="仿宋" w:cs="仿宋"/>
          <w:color w:val="auto"/>
          <w:spacing w:val="6"/>
          <w:sz w:val="18"/>
          <w:szCs w:val="18"/>
          <w:highlight w:val="none"/>
        </w:rPr>
      </w:pPr>
      <w:r>
        <w:rPr>
          <w:rFonts w:hint="eastAsia" w:ascii="仿宋" w:hAnsi="仿宋" w:eastAsia="仿宋" w:cs="仿宋"/>
          <w:color w:val="auto"/>
          <w:spacing w:val="6"/>
          <w:sz w:val="18"/>
          <w:szCs w:val="18"/>
          <w:highlight w:val="none"/>
        </w:rPr>
        <w:t>2、享受政府采购支持政策的残疾人福利性单位应当同时满足以下条件：</w:t>
      </w:r>
    </w:p>
    <w:p>
      <w:pPr>
        <w:spacing w:line="360" w:lineRule="auto"/>
        <w:ind w:firstLine="384" w:firstLineChars="200"/>
        <w:rPr>
          <w:rFonts w:ascii="仿宋" w:hAnsi="仿宋" w:eastAsia="仿宋" w:cs="仿宋"/>
          <w:color w:val="auto"/>
          <w:spacing w:val="6"/>
          <w:sz w:val="18"/>
          <w:szCs w:val="18"/>
          <w:highlight w:val="none"/>
        </w:rPr>
      </w:pPr>
      <w:r>
        <w:rPr>
          <w:rFonts w:hint="eastAsia" w:ascii="仿宋" w:hAnsi="仿宋" w:eastAsia="仿宋" w:cs="仿宋"/>
          <w:color w:val="auto"/>
          <w:spacing w:val="6"/>
          <w:sz w:val="18"/>
          <w:szCs w:val="18"/>
          <w:highlight w:val="none"/>
        </w:rPr>
        <w:t>（一）安置的残疾人占本单位在职职工人数的比例不低于25%（含25%），并且安置的残疾人人数不少于10 人（含10 人）；</w:t>
      </w:r>
    </w:p>
    <w:p>
      <w:pPr>
        <w:spacing w:line="360" w:lineRule="auto"/>
        <w:ind w:firstLine="384" w:firstLineChars="200"/>
        <w:rPr>
          <w:rFonts w:ascii="仿宋" w:hAnsi="仿宋" w:eastAsia="仿宋" w:cs="仿宋"/>
          <w:color w:val="auto"/>
          <w:spacing w:val="6"/>
          <w:sz w:val="18"/>
          <w:szCs w:val="18"/>
          <w:highlight w:val="none"/>
        </w:rPr>
      </w:pPr>
      <w:r>
        <w:rPr>
          <w:rFonts w:hint="eastAsia" w:ascii="仿宋" w:hAnsi="仿宋" w:eastAsia="仿宋" w:cs="仿宋"/>
          <w:color w:val="auto"/>
          <w:spacing w:val="6"/>
          <w:sz w:val="18"/>
          <w:szCs w:val="18"/>
          <w:highlight w:val="none"/>
        </w:rPr>
        <w:t>（二）依法与安置的每位残疾人签订了一年以上（含一年）的劳动合同或服务协议；</w:t>
      </w:r>
    </w:p>
    <w:p>
      <w:pPr>
        <w:spacing w:line="360" w:lineRule="auto"/>
        <w:ind w:firstLine="384" w:firstLineChars="200"/>
        <w:rPr>
          <w:rFonts w:ascii="仿宋" w:hAnsi="仿宋" w:eastAsia="仿宋" w:cs="仿宋"/>
          <w:color w:val="auto"/>
          <w:spacing w:val="6"/>
          <w:sz w:val="18"/>
          <w:szCs w:val="18"/>
          <w:highlight w:val="none"/>
        </w:rPr>
      </w:pPr>
      <w:r>
        <w:rPr>
          <w:rFonts w:hint="eastAsia" w:ascii="仿宋" w:hAnsi="仿宋" w:eastAsia="仿宋" w:cs="仿宋"/>
          <w:color w:val="auto"/>
          <w:spacing w:val="6"/>
          <w:sz w:val="18"/>
          <w:szCs w:val="18"/>
          <w:highlight w:val="none"/>
        </w:rPr>
        <w:t>（三）为安置的每位残疾人按月足额缴纳了基本养老保险、基本医疗保险、失业保险、工伤保险和生育保险等社会保险费；</w:t>
      </w:r>
    </w:p>
    <w:p>
      <w:pPr>
        <w:spacing w:line="360" w:lineRule="auto"/>
        <w:ind w:firstLine="384" w:firstLineChars="200"/>
        <w:rPr>
          <w:rFonts w:ascii="仿宋" w:hAnsi="仿宋" w:eastAsia="仿宋" w:cs="仿宋"/>
          <w:color w:val="auto"/>
          <w:spacing w:val="6"/>
          <w:sz w:val="18"/>
          <w:szCs w:val="18"/>
          <w:highlight w:val="none"/>
        </w:rPr>
      </w:pPr>
      <w:r>
        <w:rPr>
          <w:rFonts w:hint="eastAsia" w:ascii="仿宋" w:hAnsi="仿宋" w:eastAsia="仿宋" w:cs="仿宋"/>
          <w:color w:val="auto"/>
          <w:spacing w:val="6"/>
          <w:sz w:val="18"/>
          <w:szCs w:val="18"/>
          <w:highlight w:val="none"/>
        </w:rPr>
        <w:t>（四）通过银行等金融机构向安置的每位残疾人，按月支付了不低于单位所在区县适用的</w:t>
      </w:r>
    </w:p>
    <w:p>
      <w:pPr>
        <w:spacing w:line="360" w:lineRule="auto"/>
        <w:ind w:firstLine="384" w:firstLineChars="200"/>
        <w:rPr>
          <w:rFonts w:ascii="仿宋" w:hAnsi="仿宋" w:eastAsia="仿宋" w:cs="仿宋"/>
          <w:color w:val="auto"/>
          <w:spacing w:val="6"/>
          <w:sz w:val="18"/>
          <w:szCs w:val="18"/>
          <w:highlight w:val="none"/>
        </w:rPr>
      </w:pPr>
      <w:r>
        <w:rPr>
          <w:rFonts w:hint="eastAsia" w:ascii="仿宋" w:hAnsi="仿宋" w:eastAsia="仿宋" w:cs="仿宋"/>
          <w:color w:val="auto"/>
          <w:spacing w:val="6"/>
          <w:sz w:val="18"/>
          <w:szCs w:val="18"/>
          <w:highlight w:val="none"/>
        </w:rPr>
        <w:t>经省级人民政府批准的月最低工资标准的工资；</w:t>
      </w:r>
    </w:p>
    <w:p>
      <w:pPr>
        <w:spacing w:line="360" w:lineRule="auto"/>
        <w:ind w:firstLine="384" w:firstLineChars="200"/>
        <w:jc w:val="center"/>
        <w:rPr>
          <w:rFonts w:ascii="仿宋" w:hAnsi="仿宋" w:eastAsia="仿宋" w:cs="仿宋"/>
          <w:color w:val="auto"/>
          <w:spacing w:val="6"/>
          <w:sz w:val="24"/>
          <w:highlight w:val="none"/>
        </w:rPr>
      </w:pPr>
      <w:r>
        <w:rPr>
          <w:rFonts w:hint="eastAsia" w:ascii="仿宋" w:hAnsi="仿宋" w:eastAsia="仿宋" w:cs="仿宋"/>
          <w:color w:val="auto"/>
          <w:spacing w:val="6"/>
          <w:sz w:val="18"/>
          <w:szCs w:val="18"/>
          <w:highlight w:val="none"/>
        </w:rPr>
        <w:t>（五）提供本单位制造的货物、承担的工程或者服务（以下简称产品），或者提供其他残疾人福利性单位制造的货物（不包括使用非残疾人福利性单位注册商标的货物）。</w:t>
      </w:r>
      <w:r>
        <w:rPr>
          <w:rFonts w:hint="eastAsia" w:ascii="仿宋" w:hAnsi="仿宋" w:eastAsia="仿宋" w:cs="仿宋"/>
          <w:color w:val="auto"/>
          <w:spacing w:val="6"/>
          <w:sz w:val="24"/>
          <w:highlight w:val="none"/>
        </w:rPr>
        <w:br w:type="page"/>
      </w:r>
      <w:r>
        <w:rPr>
          <w:rFonts w:hint="eastAsia" w:ascii="仿宋" w:hAnsi="仿宋" w:eastAsia="仿宋" w:cs="仿宋"/>
          <w:b/>
          <w:color w:val="auto"/>
          <w:sz w:val="32"/>
          <w:szCs w:val="32"/>
          <w:highlight w:val="none"/>
        </w:rPr>
        <w:t>十、履约能力及相关证明</w:t>
      </w:r>
    </w:p>
    <w:p>
      <w:pPr>
        <w:widowControl/>
        <w:spacing w:line="360" w:lineRule="auto"/>
        <w:ind w:firstLine="470" w:firstLineChars="196"/>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注：格式自拟。</w:t>
      </w:r>
    </w:p>
    <w:p>
      <w:pPr>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br w:type="page"/>
      </w:r>
    </w:p>
    <w:p>
      <w:pPr>
        <w:spacing w:line="360" w:lineRule="auto"/>
        <w:ind w:firstLine="640" w:firstLineChars="20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十一、实施方案</w:t>
      </w:r>
    </w:p>
    <w:p>
      <w:pPr>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注：格式自拟。</w:t>
      </w:r>
    </w:p>
    <w:p>
      <w:pPr>
        <w:rPr>
          <w:color w:val="auto"/>
          <w:highlight w:val="none"/>
        </w:rPr>
      </w:pPr>
    </w:p>
    <w:p>
      <w:pPr>
        <w:widowControl/>
        <w:spacing w:line="360" w:lineRule="auto"/>
        <w:ind w:firstLine="470" w:firstLineChars="196"/>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br w:type="page"/>
      </w:r>
    </w:p>
    <w:p>
      <w:pPr>
        <w:widowControl/>
        <w:spacing w:line="360" w:lineRule="auto"/>
        <w:ind w:firstLine="627" w:firstLineChars="196"/>
        <w:jc w:val="center"/>
        <w:rPr>
          <w:rFonts w:ascii="仿宋" w:hAnsi="仿宋" w:eastAsia="仿宋" w:cs="仿宋"/>
          <w:b/>
          <w:color w:val="auto"/>
          <w:kern w:val="0"/>
          <w:sz w:val="24"/>
          <w:highlight w:val="none"/>
        </w:rPr>
      </w:pPr>
      <w:r>
        <w:rPr>
          <w:rFonts w:hint="eastAsia" w:ascii="仿宋" w:hAnsi="仿宋" w:eastAsia="仿宋" w:cs="仿宋"/>
          <w:b/>
          <w:color w:val="auto"/>
          <w:sz w:val="32"/>
          <w:szCs w:val="32"/>
          <w:highlight w:val="none"/>
        </w:rPr>
        <w:t>十二、招标代理服务费承诺函</w:t>
      </w:r>
    </w:p>
    <w:p>
      <w:pPr>
        <w:spacing w:line="360" w:lineRule="auto"/>
        <w:rPr>
          <w:rFonts w:ascii="仿宋" w:hAnsi="仿宋" w:eastAsia="仿宋" w:cs="仿宋"/>
          <w:color w:val="auto"/>
          <w:spacing w:val="6"/>
          <w:sz w:val="24"/>
          <w:highlight w:val="none"/>
        </w:rPr>
      </w:pPr>
      <w:r>
        <w:rPr>
          <w:rFonts w:hint="eastAsia" w:ascii="仿宋" w:hAnsi="仿宋" w:eastAsia="仿宋" w:cs="仿宋"/>
          <w:color w:val="auto"/>
          <w:spacing w:val="6"/>
          <w:sz w:val="24"/>
          <w:highlight w:val="none"/>
          <w:u w:val="single"/>
        </w:rPr>
        <w:t>四川好特建设工程有限公司</w:t>
      </w:r>
      <w:r>
        <w:rPr>
          <w:rFonts w:hint="eastAsia" w:ascii="仿宋" w:hAnsi="仿宋" w:eastAsia="仿宋" w:cs="仿宋"/>
          <w:color w:val="auto"/>
          <w:spacing w:val="6"/>
          <w:sz w:val="24"/>
          <w:highlight w:val="none"/>
        </w:rPr>
        <w:t>：</w:t>
      </w:r>
    </w:p>
    <w:p>
      <w:pPr>
        <w:spacing w:line="360" w:lineRule="auto"/>
        <w:ind w:firstLine="504" w:firstLineChars="200"/>
        <w:rPr>
          <w:rFonts w:ascii="仿宋" w:hAnsi="仿宋" w:eastAsia="仿宋" w:cs="仿宋"/>
          <w:b/>
          <w:color w:val="auto"/>
          <w:spacing w:val="6"/>
          <w:sz w:val="24"/>
          <w:highlight w:val="none"/>
        </w:rPr>
      </w:pPr>
      <w:r>
        <w:rPr>
          <w:rFonts w:hint="eastAsia" w:ascii="仿宋" w:hAnsi="仿宋" w:eastAsia="仿宋" w:cs="仿宋"/>
          <w:color w:val="auto"/>
          <w:spacing w:val="6"/>
          <w:sz w:val="24"/>
          <w:highlight w:val="none"/>
        </w:rPr>
        <w:t>我公司在贵公司代理的项目(采购项目编号：</w:t>
      </w:r>
      <w:r>
        <w:rPr>
          <w:rFonts w:hint="eastAsia" w:ascii="华文仿宋" w:hAnsi="华文仿宋" w:eastAsia="华文仿宋" w:cs="华文仿宋"/>
          <w:color w:val="auto"/>
          <w:spacing w:val="6"/>
          <w:sz w:val="24"/>
          <w:highlight w:val="none"/>
          <w:u w:val="single"/>
        </w:rPr>
        <w:t xml:space="preserve">           </w:t>
      </w:r>
      <w:r>
        <w:rPr>
          <w:rFonts w:hint="eastAsia" w:ascii="仿宋" w:hAnsi="仿宋" w:eastAsia="仿宋" w:cs="仿宋"/>
          <w:color w:val="auto"/>
          <w:spacing w:val="6"/>
          <w:sz w:val="24"/>
          <w:highlight w:val="none"/>
        </w:rPr>
        <w:t>) 公开招标中若获中标，我们保证在收到中标通知后2 个工作日内按招标文件的规定及招标代理服务费收取标准，以支票、银行汇票、电汇、现金或经贵公司认可的一种方式，向贵公司即四川好特建设工程有限公司指定的银行帐号，按照招标文件中招标代理服务费收取标准一次性支付合同全额的招标代理服务费。</w:t>
      </w:r>
      <w:r>
        <w:rPr>
          <w:rFonts w:hint="eastAsia" w:ascii="仿宋" w:hAnsi="仿宋" w:eastAsia="仿宋" w:cs="仿宋"/>
          <w:b/>
          <w:color w:val="auto"/>
          <w:spacing w:val="6"/>
          <w:sz w:val="24"/>
          <w:highlight w:val="none"/>
        </w:rPr>
        <w:t>如因我公司自身原因造成取消成交资格或自愿放弃成交资格的，我司支付的招标代理服务费不予退还，由此造成的损失由我方自行承担。</w:t>
      </w:r>
    </w:p>
    <w:p>
      <w:pPr>
        <w:spacing w:line="360" w:lineRule="auto"/>
        <w:ind w:firstLine="504" w:firstLineChars="200"/>
        <w:rPr>
          <w:rFonts w:ascii="仿宋" w:hAnsi="仿宋" w:eastAsia="仿宋" w:cs="仿宋"/>
          <w:color w:val="auto"/>
          <w:spacing w:val="6"/>
          <w:sz w:val="24"/>
          <w:highlight w:val="none"/>
        </w:rPr>
      </w:pPr>
    </w:p>
    <w:p>
      <w:pPr>
        <w:spacing w:line="360" w:lineRule="auto"/>
        <w:ind w:firstLine="504" w:firstLineChars="200"/>
        <w:rPr>
          <w:rFonts w:ascii="仿宋" w:hAnsi="仿宋" w:eastAsia="仿宋" w:cs="仿宋"/>
          <w:color w:val="auto"/>
          <w:spacing w:val="6"/>
          <w:sz w:val="24"/>
          <w:highlight w:val="none"/>
        </w:rPr>
      </w:pPr>
      <w:r>
        <w:rPr>
          <w:rFonts w:hint="eastAsia" w:ascii="仿宋" w:hAnsi="仿宋" w:eastAsia="仿宋" w:cs="仿宋"/>
          <w:color w:val="auto"/>
          <w:spacing w:val="6"/>
          <w:sz w:val="24"/>
          <w:highlight w:val="none"/>
        </w:rPr>
        <w:t>特此承诺！</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承诺方名称：</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（盖单位公章）</w:t>
      </w:r>
    </w:p>
    <w:p>
      <w:pPr>
        <w:spacing w:line="360" w:lineRule="auto"/>
        <w:ind w:firstLine="470" w:firstLineChars="196"/>
        <w:rPr>
          <w:rFonts w:ascii="华文仿宋" w:hAnsi="华文仿宋" w:eastAsia="华文仿宋" w:cs="华文仿宋"/>
          <w:color w:val="auto"/>
          <w:sz w:val="24"/>
          <w:highlight w:val="none"/>
        </w:rPr>
      </w:pPr>
      <w:r>
        <w:rPr>
          <w:rFonts w:hint="eastAsia" w:ascii="华文仿宋" w:hAnsi="华文仿宋" w:eastAsia="华文仿宋" w:cs="华文仿宋"/>
          <w:color w:val="auto"/>
          <w:sz w:val="24"/>
          <w:highlight w:val="none"/>
        </w:rPr>
        <w:t>法定代表人/单位负责人或授权代表：</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（签字或盖章）</w:t>
      </w:r>
    </w:p>
    <w:p>
      <w:pPr>
        <w:spacing w:line="360" w:lineRule="auto"/>
        <w:ind w:firstLine="470" w:firstLineChars="196"/>
        <w:rPr>
          <w:rFonts w:ascii="华文仿宋" w:hAnsi="华文仿宋" w:eastAsia="华文仿宋" w:cs="华文仿宋"/>
          <w:color w:val="auto"/>
          <w:sz w:val="24"/>
          <w:highlight w:val="none"/>
          <w:u w:val="single"/>
        </w:rPr>
      </w:pPr>
      <w:r>
        <w:rPr>
          <w:rFonts w:hint="eastAsia" w:ascii="华文仿宋" w:hAnsi="华文仿宋" w:eastAsia="华文仿宋" w:cs="华文仿宋"/>
          <w:color w:val="auto"/>
          <w:sz w:val="24"/>
          <w:highlight w:val="none"/>
        </w:rPr>
        <w:t>通讯地址：</w:t>
      </w:r>
      <w:r>
        <w:rPr>
          <w:rFonts w:hint="eastAsia" w:ascii="华文仿宋" w:hAnsi="华文仿宋" w:eastAsia="华文仿宋" w:cs="华文仿宋"/>
          <w:color w:val="auto"/>
          <w:sz w:val="24"/>
          <w:highlight w:val="none"/>
          <w:u w:val="single"/>
        </w:rPr>
        <w:t xml:space="preserve">             </w:t>
      </w:r>
    </w:p>
    <w:p>
      <w:pPr>
        <w:spacing w:line="360" w:lineRule="auto"/>
        <w:ind w:firstLine="470" w:firstLineChars="196"/>
        <w:rPr>
          <w:rFonts w:ascii="华文仿宋" w:hAnsi="华文仿宋" w:eastAsia="华文仿宋" w:cs="华文仿宋"/>
          <w:color w:val="auto"/>
          <w:sz w:val="24"/>
          <w:highlight w:val="none"/>
          <w:u w:val="single"/>
        </w:rPr>
      </w:pPr>
      <w:r>
        <w:rPr>
          <w:rFonts w:hint="eastAsia" w:ascii="华文仿宋" w:hAnsi="华文仿宋" w:eastAsia="华文仿宋" w:cs="华文仿宋"/>
          <w:color w:val="auto"/>
          <w:sz w:val="24"/>
          <w:highlight w:val="none"/>
        </w:rPr>
        <w:t>联系电话：</w:t>
      </w:r>
      <w:r>
        <w:rPr>
          <w:rFonts w:hint="eastAsia" w:ascii="华文仿宋" w:hAnsi="华文仿宋" w:eastAsia="华文仿宋" w:cs="华文仿宋"/>
          <w:color w:val="auto"/>
          <w:sz w:val="24"/>
          <w:highlight w:val="none"/>
          <w:u w:val="single"/>
        </w:rPr>
        <w:t xml:space="preserve">             </w:t>
      </w:r>
    </w:p>
    <w:p>
      <w:pPr>
        <w:spacing w:line="360" w:lineRule="auto"/>
        <w:ind w:firstLine="480" w:firstLineChars="200"/>
        <w:rPr>
          <w:rFonts w:ascii="华文仿宋" w:hAnsi="华文仿宋" w:eastAsia="华文仿宋" w:cs="华文仿宋"/>
          <w:b/>
          <w:color w:val="auto"/>
          <w:sz w:val="28"/>
          <w:szCs w:val="28"/>
          <w:highlight w:val="none"/>
        </w:rPr>
      </w:pPr>
      <w:r>
        <w:rPr>
          <w:rFonts w:hint="eastAsia" w:ascii="华文仿宋" w:hAnsi="华文仿宋" w:eastAsia="华文仿宋" w:cs="华文仿宋"/>
          <w:color w:val="auto"/>
          <w:sz w:val="24"/>
          <w:highlight w:val="none"/>
        </w:rPr>
        <w:t>承诺日期：</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年</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月</w:t>
      </w:r>
      <w:r>
        <w:rPr>
          <w:rFonts w:hint="eastAsia" w:ascii="华文仿宋" w:hAnsi="华文仿宋" w:eastAsia="华文仿宋" w:cs="华文仿宋"/>
          <w:color w:val="auto"/>
          <w:sz w:val="24"/>
          <w:highlight w:val="none"/>
          <w:u w:val="single"/>
        </w:rPr>
        <w:t xml:space="preserve">    </w:t>
      </w:r>
      <w:r>
        <w:rPr>
          <w:rFonts w:hint="eastAsia" w:ascii="华文仿宋" w:hAnsi="华文仿宋" w:eastAsia="华文仿宋" w:cs="华文仿宋"/>
          <w:color w:val="auto"/>
          <w:sz w:val="24"/>
          <w:highlight w:val="none"/>
        </w:rPr>
        <w:t>日</w:t>
      </w:r>
    </w:p>
    <w:p>
      <w:pPr>
        <w:rPr>
          <w:color w:val="auto"/>
          <w:highlight w:val="none"/>
        </w:rPr>
      </w:pPr>
      <w:r>
        <w:rPr>
          <w:rFonts w:hint="eastAsia" w:ascii="仿宋" w:hAnsi="仿宋" w:eastAsia="仿宋" w:cs="仿宋"/>
          <w:color w:val="auto"/>
          <w:sz w:val="24"/>
          <w:highlight w:val="none"/>
        </w:rPr>
        <w:br w:type="page"/>
      </w:r>
    </w:p>
    <w:p>
      <w:pPr>
        <w:pStyle w:val="16"/>
        <w:rPr>
          <w:rFonts w:ascii="仿宋" w:hAnsi="仿宋" w:eastAsia="仿宋" w:cs="仿宋"/>
          <w:color w:val="auto"/>
          <w:sz w:val="24"/>
          <w:highlight w:val="none"/>
        </w:rPr>
      </w:pPr>
      <w:bookmarkStart w:id="27" w:name="_Toc15997"/>
      <w:r>
        <w:rPr>
          <w:rFonts w:hint="eastAsia" w:ascii="仿宋" w:hAnsi="仿宋" w:eastAsia="仿宋" w:cs="仿宋"/>
          <w:color w:val="auto"/>
          <w:sz w:val="36"/>
          <w:szCs w:val="36"/>
          <w:highlight w:val="none"/>
        </w:rPr>
        <w:t xml:space="preserve">第四章  </w:t>
      </w:r>
      <w:bookmarkEnd w:id="21"/>
      <w:r>
        <w:rPr>
          <w:rFonts w:hint="eastAsia" w:ascii="仿宋" w:hAnsi="仿宋" w:eastAsia="仿宋" w:cs="仿宋"/>
          <w:color w:val="auto"/>
          <w:sz w:val="36"/>
          <w:szCs w:val="36"/>
          <w:highlight w:val="none"/>
        </w:rPr>
        <w:t>投标人和投标产品的资格、资质性及其他类似效力要</w:t>
      </w:r>
      <w:bookmarkStart w:id="28" w:name="_Toc69395493"/>
      <w:bookmarkStart w:id="29" w:name="_Toc69395657"/>
      <w:r>
        <w:rPr>
          <w:rFonts w:hint="eastAsia" w:ascii="仿宋" w:hAnsi="仿宋" w:eastAsia="仿宋" w:cs="仿宋"/>
          <w:color w:val="auto"/>
          <w:sz w:val="36"/>
          <w:szCs w:val="36"/>
          <w:highlight w:val="none"/>
        </w:rPr>
        <w:t>求</w:t>
      </w:r>
      <w:bookmarkEnd w:id="27"/>
      <w:bookmarkEnd w:id="28"/>
      <w:bookmarkEnd w:id="29"/>
    </w:p>
    <w:p>
      <w:pPr>
        <w:pStyle w:val="4"/>
        <w:spacing w:line="24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一、投标人资格、资质性及其他类似效力要求</w:t>
      </w:r>
    </w:p>
    <w:p>
      <w:pPr>
        <w:spacing w:after="160"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（一）《中华人民共和国政府采购法》第二十二条规定的条件：</w:t>
      </w:r>
    </w:p>
    <w:p>
      <w:pPr>
        <w:spacing w:after="160"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1．具有独立承担民事责任能力；</w:t>
      </w:r>
    </w:p>
    <w:p>
      <w:pPr>
        <w:spacing w:after="160"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2．具有良好的商业信誉和健全的财务会计制度；</w:t>
      </w:r>
    </w:p>
    <w:p>
      <w:pPr>
        <w:spacing w:after="160"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pacing w:after="160"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pacing w:after="160"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pacing w:after="160"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6．具备法律、行政法规规定的其他条件；</w:t>
      </w:r>
    </w:p>
    <w:p>
      <w:pPr>
        <w:spacing w:after="160"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7.按照规定获取了招标文件。</w:t>
      </w:r>
    </w:p>
    <w:p>
      <w:pPr>
        <w:spacing w:after="160"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8.本项目不允许联合体参加。</w:t>
      </w:r>
    </w:p>
    <w:p>
      <w:pPr>
        <w:spacing w:after="160"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（二）落实政府采购政策需满足的资格要求：本项目</w:t>
      </w:r>
      <w:r>
        <w:rPr>
          <w:rFonts w:hint="eastAsia" w:ascii="仿宋" w:hAnsi="仿宋" w:eastAsia="仿宋" w:cs="仿宋"/>
          <w:color w:val="auto"/>
          <w:sz w:val="24"/>
          <w:highlight w:val="none"/>
          <w:lang w:eastAsia="zh-CN"/>
        </w:rPr>
        <w:t>不</w:t>
      </w:r>
      <w:r>
        <w:rPr>
          <w:rFonts w:hint="eastAsia" w:ascii="仿宋" w:hAnsi="仿宋" w:eastAsia="仿宋" w:cs="仿宋"/>
          <w:color w:val="auto"/>
          <w:sz w:val="24"/>
          <w:highlight w:val="none"/>
        </w:rPr>
        <w:t>属于专门面向中小企业采购的项目。</w:t>
      </w:r>
    </w:p>
    <w:p>
      <w:pPr>
        <w:spacing w:after="160"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（三）针对本项目的特殊要求：参加本次政府采购活动的供应商、法定代表人、主要负责人在近 3 年内无行贿犯罪记录。</w:t>
      </w:r>
    </w:p>
    <w:p>
      <w:pPr>
        <w:spacing w:after="160" w:line="36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二、不属于禁止参加本次采购活动的申请人</w:t>
      </w:r>
    </w:p>
    <w:p>
      <w:pPr>
        <w:spacing w:after="160"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截止至投标截止时间当日，未在“信用中国”、“中国政府采购网”网站等渠道被列入失信被执行人、重大税收违法案件当事人名单、政府采购严重违法失信行为记录名单。（若因投标人为事业单位、团体组织、自然人等原因，在“信用中国”、“中国政府采购网”网站等渠道未查询到信息的，视为未被列入失信记录。）</w:t>
      </w:r>
    </w:p>
    <w:p>
      <w:pPr>
        <w:spacing w:after="160" w:line="360" w:lineRule="auto"/>
        <w:jc w:val="left"/>
        <w:rPr>
          <w:rFonts w:ascii="仿宋" w:hAnsi="仿宋" w:eastAsia="仿宋" w:cs="仿宋"/>
          <w:color w:val="auto"/>
          <w:szCs w:val="21"/>
          <w:highlight w:val="none"/>
        </w:rPr>
      </w:pPr>
    </w:p>
    <w:p>
      <w:pPr>
        <w:spacing w:after="160" w:line="360" w:lineRule="auto"/>
        <w:jc w:val="left"/>
        <w:rPr>
          <w:rFonts w:ascii="仿宋" w:hAnsi="仿宋" w:eastAsia="仿宋" w:cs="仿宋"/>
          <w:color w:val="auto"/>
          <w:szCs w:val="21"/>
          <w:highlight w:val="none"/>
        </w:rPr>
      </w:pPr>
      <w:r>
        <w:rPr>
          <w:rFonts w:hint="eastAsia" w:ascii="仿宋" w:hAnsi="仿宋" w:eastAsia="仿宋" w:cs="仿宋"/>
          <w:color w:val="auto"/>
          <w:szCs w:val="21"/>
          <w:highlight w:val="none"/>
        </w:rPr>
        <w:t>注：</w:t>
      </w:r>
    </w:p>
    <w:p>
      <w:pPr>
        <w:spacing w:after="160" w:line="360" w:lineRule="auto"/>
        <w:ind w:firstLine="411" w:firstLineChars="196"/>
        <w:jc w:val="left"/>
        <w:rPr>
          <w:rFonts w:ascii="仿宋" w:hAnsi="仿宋" w:eastAsia="仿宋" w:cs="仿宋"/>
          <w:color w:val="auto"/>
          <w:szCs w:val="21"/>
          <w:highlight w:val="none"/>
        </w:rPr>
      </w:pPr>
      <w:r>
        <w:rPr>
          <w:rFonts w:hint="eastAsia" w:ascii="仿宋" w:hAnsi="仿宋" w:eastAsia="仿宋" w:cs="仿宋"/>
          <w:color w:val="auto"/>
          <w:szCs w:val="21"/>
          <w:highlight w:val="none"/>
        </w:rPr>
        <w:t>1、本项目确定投标人重大违法记录中经营活动中较大数额罚款的金额标准为：是指对非经营活动中公民的违法行为处以罚款或者没收财产2000 元以上、法人或者其他组织的违法行为处以罚款或者没收财产2 万元以上;对在经营活动中的违法行为处以罚款或者没收财产5万元以上。国务院有关部门规定的较大数额标准低于前款规定的，从其规定。采购项目所属行业行政主管部门对较大数额罚款金额标准有明文规定的，可以根据采购项目所属行业行政主管部分规定的较大数额罚款金额标准为准；采购项目所属行业行政主管部门对较大数额罚款金额标准未明文规定的，应当以四川省人民政府规定的行政处罚罚款听证标准金额为准。（四川省人民政府令（第317 号）《四川省行政处罚听证程序规定》）</w:t>
      </w:r>
    </w:p>
    <w:p>
      <w:pPr>
        <w:spacing w:after="160" w:line="360" w:lineRule="auto"/>
        <w:ind w:firstLine="411" w:firstLineChars="196"/>
        <w:jc w:val="left"/>
        <w:rPr>
          <w:rFonts w:ascii="仿宋" w:hAnsi="仿宋" w:eastAsia="仿宋" w:cs="仿宋"/>
          <w:color w:val="auto"/>
          <w:szCs w:val="21"/>
          <w:highlight w:val="none"/>
        </w:rPr>
      </w:pPr>
      <w:r>
        <w:rPr>
          <w:rFonts w:hint="eastAsia" w:ascii="仿宋" w:hAnsi="仿宋" w:eastAsia="仿宋" w:cs="仿宋"/>
          <w:color w:val="auto"/>
          <w:szCs w:val="21"/>
          <w:highlight w:val="none"/>
        </w:rPr>
        <w:t>2、投标人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bookmarkEnd w:id="22"/>
    </w:p>
    <w:p>
      <w:pPr>
        <w:spacing w:after="50" w:line="420" w:lineRule="exact"/>
        <w:rPr>
          <w:rFonts w:ascii="仿宋" w:hAnsi="仿宋" w:eastAsia="仿宋" w:cs="仿宋"/>
          <w:color w:val="auto"/>
          <w:sz w:val="24"/>
          <w:highlight w:val="none"/>
        </w:rPr>
      </w:pPr>
    </w:p>
    <w:p>
      <w:pPr>
        <w:pStyle w:val="16"/>
        <w:rPr>
          <w:rFonts w:ascii="仿宋" w:hAnsi="仿宋" w:eastAsia="仿宋" w:cs="仿宋"/>
          <w:color w:val="auto"/>
          <w:sz w:val="36"/>
          <w:szCs w:val="36"/>
          <w:highlight w:val="none"/>
        </w:rPr>
      </w:pPr>
      <w:bookmarkStart w:id="30" w:name="_Toc511206479"/>
      <w:r>
        <w:rPr>
          <w:rFonts w:hint="eastAsia" w:ascii="仿宋" w:hAnsi="仿宋" w:eastAsia="仿宋" w:cs="仿宋"/>
          <w:color w:val="auto"/>
          <w:sz w:val="36"/>
          <w:szCs w:val="36"/>
          <w:highlight w:val="none"/>
        </w:rPr>
        <w:br w:type="page"/>
      </w:r>
      <w:bookmarkStart w:id="31" w:name="_Toc18743"/>
      <w:r>
        <w:rPr>
          <w:rFonts w:hint="eastAsia" w:ascii="仿宋" w:hAnsi="仿宋" w:eastAsia="仿宋" w:cs="仿宋"/>
          <w:color w:val="auto"/>
          <w:sz w:val="36"/>
          <w:szCs w:val="36"/>
          <w:highlight w:val="none"/>
        </w:rPr>
        <w:t>第五章  投标人应当提供的资格、资质性及其他具有类似效力的要求的相关证明材料</w:t>
      </w:r>
      <w:bookmarkEnd w:id="31"/>
    </w:p>
    <w:p>
      <w:pPr>
        <w:spacing w:after="160" w:line="360" w:lineRule="auto"/>
        <w:jc w:val="left"/>
        <w:rPr>
          <w:rFonts w:ascii="仿宋" w:hAnsi="仿宋" w:eastAsia="仿宋" w:cs="仿宋"/>
          <w:b/>
          <w:bCs/>
          <w:color w:val="auto"/>
          <w:sz w:val="24"/>
          <w:highlight w:val="none"/>
        </w:rPr>
      </w:pPr>
    </w:p>
    <w:p>
      <w:pPr>
        <w:spacing w:after="160" w:line="360"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（一）投标人具有独立承担民事责任的能力的证明材料：</w:t>
      </w:r>
    </w:p>
    <w:p>
      <w:pPr>
        <w:spacing w:after="16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widowControl/>
        <w:spacing w:line="360" w:lineRule="auto"/>
        <w:ind w:firstLine="480"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1.以上证明材料应满足此条要求①发证机关有年检要求的，应按规定通过年检；②在有效期内；③复印件加盖投标人公章；</w:t>
      </w:r>
    </w:p>
    <w:p>
      <w:pPr>
        <w:widowControl/>
        <w:spacing w:line="360" w:lineRule="auto"/>
        <w:ind w:firstLine="480"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2.根据国务院办公厅关于加快推进“多证合一”改革的指导意见(国办发〔2017〕41 号)等政策要求，若资格要求涉及的登记、备案等有关事项和各类证照已实行多证合一的，提供多证合一证照副本复印件。</w:t>
      </w:r>
    </w:p>
    <w:p>
      <w:pPr>
        <w:widowControl/>
        <w:spacing w:line="360" w:lineRule="auto"/>
        <w:ind w:firstLine="480" w:firstLineChars="200"/>
        <w:jc w:val="left"/>
        <w:rPr>
          <w:color w:val="auto"/>
          <w:highlight w:val="none"/>
        </w:rPr>
      </w:pPr>
      <w:r>
        <w:rPr>
          <w:rFonts w:hint="eastAsia" w:ascii="仿宋" w:hAnsi="仿宋" w:eastAsia="仿宋" w:cs="仿宋"/>
          <w:b/>
          <w:color w:val="auto"/>
          <w:sz w:val="24"/>
          <w:highlight w:val="none"/>
        </w:rPr>
        <w:t>3.投标人按照要求上传证明材料，采购人或者采购代理机构根据上传内容对投标人的资格进行审查。</w:t>
      </w:r>
    </w:p>
    <w:p>
      <w:pPr>
        <w:spacing w:after="16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(二)具有良好的商业信誉和健全的财务会计制度的证明材料；</w:t>
      </w:r>
    </w:p>
    <w:p>
      <w:pPr>
        <w:spacing w:after="160" w:line="360" w:lineRule="auto"/>
        <w:ind w:firstLine="600" w:firstLineChars="250"/>
        <w:jc w:val="left"/>
        <w:rPr>
          <w:rFonts w:ascii="仿宋" w:hAnsi="仿宋" w:eastAsia="仿宋" w:cs="仿宋"/>
          <w:color w:val="auto"/>
          <w:sz w:val="24"/>
          <w:highlight w:val="none"/>
        </w:rPr>
      </w:pPr>
      <w:r>
        <w:rPr>
          <w:rFonts w:hint="eastAsia" w:ascii="仿宋" w:hAnsi="仿宋" w:eastAsia="仿宋" w:cs="仿宋"/>
          <w:color w:val="auto"/>
          <w:sz w:val="24"/>
          <w:highlight w:val="none"/>
        </w:rPr>
        <w:t>1. 具有良好商业信誉的证明材料；</w:t>
      </w:r>
    </w:p>
    <w:p>
      <w:pPr>
        <w:spacing w:after="160" w:line="360" w:lineRule="auto"/>
        <w:ind w:firstLine="840" w:firstLineChars="350"/>
        <w:jc w:val="left"/>
        <w:rPr>
          <w:rFonts w:ascii="仿宋" w:hAnsi="仿宋" w:eastAsia="仿宋" w:cs="仿宋"/>
          <w:color w:val="auto"/>
          <w:sz w:val="24"/>
          <w:highlight w:val="none"/>
        </w:rPr>
      </w:pPr>
      <w:r>
        <w:rPr>
          <w:rFonts w:hint="eastAsia" w:ascii="仿宋" w:hAnsi="仿宋" w:eastAsia="仿宋" w:cs="仿宋"/>
          <w:color w:val="auto"/>
          <w:sz w:val="24"/>
          <w:highlight w:val="none"/>
        </w:rPr>
        <w:t>提供具有良好的商业信誉的承诺函。</w:t>
      </w:r>
    </w:p>
    <w:p>
      <w:pPr>
        <w:spacing w:after="160"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注:投标人在参加政府采购活动前，被纳入法院、市场监督管理部门、税务部门、银行认定的失信名单且在有效期内，或者在前三年政府采购合同履约过程中及其他经营活动履约过程中未依法履约被有关行政部门处罚(处理)的，本项目不认定其具有良好的商业信誉。</w:t>
      </w:r>
    </w:p>
    <w:p>
      <w:pPr>
        <w:spacing w:after="160"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2.具有健全的财务会计制度的证明材料；</w:t>
      </w:r>
    </w:p>
    <w:p>
      <w:pPr>
        <w:spacing w:after="160"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(1)投标人提供2019 年度或2020 年度经过会计师事务所审计的财务报告复印件(经审计的有效财务报告应包括报告及报告中所附的完整内容，并由注册会计师签名、盖章以及会计师事务所盖章)；</w:t>
      </w:r>
    </w:p>
    <w:p>
      <w:pPr>
        <w:spacing w:after="160" w:line="360" w:lineRule="auto"/>
        <w:ind w:firstLine="436" w:firstLineChars="182"/>
        <w:jc w:val="left"/>
        <w:rPr>
          <w:rFonts w:ascii="仿宋" w:hAnsi="仿宋" w:eastAsia="仿宋" w:cs="仿宋"/>
          <w:color w:val="auto"/>
          <w:sz w:val="24"/>
          <w:highlight w:val="none"/>
        </w:rPr>
      </w:pPr>
      <w:r>
        <w:rPr>
          <w:rFonts w:hint="eastAsia" w:ascii="仿宋" w:hAnsi="仿宋" w:eastAsia="仿宋" w:cs="仿宋"/>
          <w:color w:val="auto"/>
          <w:sz w:val="24"/>
          <w:highlight w:val="none"/>
        </w:rPr>
        <w:t>(2)投标人提供2019 年度或2020 年投标人内部的财务报表复印件(至少包含资产负债表)；</w:t>
      </w:r>
    </w:p>
    <w:p>
      <w:pPr>
        <w:spacing w:after="160" w:line="360" w:lineRule="auto"/>
        <w:ind w:firstLine="436" w:firstLineChars="182"/>
        <w:jc w:val="left"/>
        <w:rPr>
          <w:rFonts w:ascii="仿宋" w:hAnsi="仿宋" w:eastAsia="仿宋" w:cs="仿宋"/>
          <w:color w:val="auto"/>
          <w:sz w:val="24"/>
          <w:highlight w:val="none"/>
        </w:rPr>
      </w:pPr>
      <w:r>
        <w:rPr>
          <w:rFonts w:hint="eastAsia" w:ascii="仿宋" w:hAnsi="仿宋" w:eastAsia="仿宋" w:cs="仿宋"/>
          <w:color w:val="auto"/>
          <w:sz w:val="24"/>
          <w:highlight w:val="none"/>
        </w:rPr>
        <w:t>(3)投标人提供响应文件递交截止日前一年内银行为其出具的资信证明复印件；</w:t>
      </w:r>
    </w:p>
    <w:p>
      <w:pPr>
        <w:spacing w:after="160" w:line="360" w:lineRule="auto"/>
        <w:ind w:firstLine="436" w:firstLineChars="182"/>
        <w:jc w:val="left"/>
        <w:rPr>
          <w:rFonts w:ascii="仿宋" w:hAnsi="仿宋" w:eastAsia="仿宋" w:cs="仿宋"/>
          <w:color w:val="auto"/>
          <w:sz w:val="24"/>
          <w:highlight w:val="none"/>
        </w:rPr>
      </w:pPr>
      <w:r>
        <w:rPr>
          <w:rFonts w:hint="eastAsia" w:ascii="仿宋" w:hAnsi="仿宋" w:eastAsia="仿宋" w:cs="仿宋"/>
          <w:color w:val="auto"/>
          <w:sz w:val="24"/>
          <w:highlight w:val="none"/>
        </w:rPr>
        <w:t>(4)投标人注册时间截至响应文件递交截止日不足一年的，可提供公司章程复印件；</w:t>
      </w:r>
    </w:p>
    <w:p>
      <w:pPr>
        <w:spacing w:after="160" w:line="360" w:lineRule="auto"/>
        <w:ind w:firstLine="436" w:firstLineChars="182"/>
        <w:jc w:val="left"/>
        <w:rPr>
          <w:rFonts w:ascii="仿宋" w:hAnsi="仿宋" w:eastAsia="仿宋" w:cs="仿宋"/>
          <w:color w:val="auto"/>
          <w:sz w:val="24"/>
          <w:highlight w:val="none"/>
        </w:rPr>
      </w:pPr>
      <w:r>
        <w:rPr>
          <w:rFonts w:hint="eastAsia" w:ascii="仿宋" w:hAnsi="仿宋" w:eastAsia="仿宋" w:cs="仿宋"/>
          <w:color w:val="auto"/>
          <w:sz w:val="24"/>
          <w:highlight w:val="none"/>
        </w:rPr>
        <w:t>(5)投标人为事业单位、大型国有企业或其他组织(不具备法人条件的组织，如合伙组织、个体工商户、农村承包经营户等)或自然人时，可提供承诺函。</w:t>
      </w:r>
    </w:p>
    <w:p>
      <w:pPr>
        <w:spacing w:after="160" w:line="36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注：具有健全的财务会计制度的证明材料中第(1)-(5)项具有同等的效力，投标人可根据自身实际情况选择提供其中任意一项。</w:t>
      </w:r>
    </w:p>
    <w:p>
      <w:pPr>
        <w:spacing w:after="160" w:line="360" w:lineRule="auto"/>
        <w:jc w:val="left"/>
        <w:rPr>
          <w:color w:val="auto"/>
          <w:highlight w:val="none"/>
        </w:rPr>
      </w:pPr>
      <w:r>
        <w:rPr>
          <w:rFonts w:hint="eastAsia" w:ascii="仿宋" w:hAnsi="仿宋" w:eastAsia="仿宋" w:cs="仿宋"/>
          <w:b/>
          <w:color w:val="auto"/>
          <w:sz w:val="24"/>
          <w:highlight w:val="none"/>
        </w:rPr>
        <w:t>投标人按照要求上传证明材料，采购人或者采购代理机构根据上传内容对投标人的资格进行审查。</w:t>
      </w:r>
    </w:p>
    <w:p>
      <w:pPr>
        <w:spacing w:after="160"/>
        <w:ind w:firstLine="480"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(三)投标人具有履行合同所必需的设备和专业技术能力证明材料；</w:t>
      </w:r>
    </w:p>
    <w:p>
      <w:pPr>
        <w:spacing w:after="160"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提供具有履行合同所必需的设备和专业技术能力的承诺函。</w:t>
      </w:r>
    </w:p>
    <w:p>
      <w:pPr>
        <w:spacing w:after="160" w:line="36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注：格式自拟，或参照《符合&lt;中华人民共和国政府采购法&gt;第二十二条规定的条件的承诺及声明函》提供承诺函。投标人按照要求上传证明材料，采购人或者采购代理机构根据上传内容对投标人的资格进行审查。</w:t>
      </w:r>
    </w:p>
    <w:p>
      <w:pPr>
        <w:spacing w:after="160"/>
        <w:ind w:firstLine="480"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(四)投标人具有依法缴纳税收和社会保障资金的良好记录的证明材料；</w:t>
      </w:r>
    </w:p>
    <w:p>
      <w:pPr>
        <w:spacing w:after="160"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提供依法缴纳税收和社会保障资金的良好记录的承诺函。</w:t>
      </w:r>
    </w:p>
    <w:p>
      <w:pPr>
        <w:spacing w:after="160" w:line="360"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注：格式自拟，或参照《符合&lt;中华人民共和国政府采购法&gt;第二十二条规定的条件的承诺及声明函》提供承诺函。投标人按照要求上传证明材料，采购人或者采购代理机构根据上传内容对投标人的资格进行审查。</w:t>
      </w:r>
    </w:p>
    <w:p>
      <w:pPr>
        <w:spacing w:after="160"/>
        <w:ind w:firstLine="480"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(五)投标人参加政府采购活动前三年内，在经营活动中没有重大违法记录的证明材料；</w:t>
      </w:r>
    </w:p>
    <w:p>
      <w:pPr>
        <w:spacing w:after="160"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提供参加本次政府采购活动前三年内，在经营活动中没有重大违法记录的书面声明(成立不足三年的，从成立之日起计算)。</w:t>
      </w:r>
      <w:r>
        <w:rPr>
          <w:rFonts w:hint="eastAsia" w:ascii="仿宋" w:hAnsi="仿宋" w:eastAsia="仿宋" w:cs="仿宋"/>
          <w:b/>
          <w:color w:val="auto"/>
          <w:sz w:val="24"/>
          <w:highlight w:val="none"/>
        </w:rPr>
        <w:t>投标人按照要求上传证明材料，采购人或者采购代理机构根据上传内容对投标人的资格进行审查。</w:t>
      </w:r>
    </w:p>
    <w:p>
      <w:pPr>
        <w:spacing w:after="160"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（六）具备法律、行政法规规定的其他条件的证明材料复印件或承诺函原件</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投标人按照要求上传证明材料，采购人或者采购代理机构根据上传内容对投标人的资格进行审查。</w:t>
      </w:r>
    </w:p>
    <w:p>
      <w:pPr>
        <w:spacing w:after="160" w:line="360" w:lineRule="auto"/>
        <w:ind w:firstLine="480"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（七）其他类似效力要求相关证明材料：</w:t>
      </w:r>
    </w:p>
    <w:p>
      <w:pPr>
        <w:spacing w:after="160" w:line="360" w:lineRule="auto"/>
        <w:jc w:val="left"/>
        <w:rPr>
          <w:rFonts w:ascii="仿宋" w:hAnsi="仿宋" w:eastAsia="仿宋" w:cs="仿宋"/>
          <w:b/>
          <w:color w:val="auto"/>
          <w:sz w:val="24"/>
          <w:highlight w:val="none"/>
        </w:rPr>
      </w:pPr>
      <w:r>
        <w:rPr>
          <w:rFonts w:hint="eastAsia" w:ascii="仿宋" w:hAnsi="仿宋" w:eastAsia="仿宋" w:cs="仿宋"/>
          <w:color w:val="auto"/>
          <w:sz w:val="24"/>
          <w:highlight w:val="none"/>
        </w:rPr>
        <w:t>法定代表人授权委托书原件及法定代表人身份证、代理人身份证复印件（注：①授权书按本招标文件第3 章“法定代表人授权委托书及代理人身份证复印件”格式提供，并按格式要求签字或加盖印章；②如投标文件均由投标人法定代表人签字或加盖印章的，则可不提供法定代表人授权委托书及代理人身份证复印件但必须提供法定代表人身份证复印件；③联合体投标的，仅提供联合体牵头人的法定代表人授权委托书及法定代表人身份证、代理人身份证复印件即可。）。</w:t>
      </w:r>
      <w:r>
        <w:rPr>
          <w:rFonts w:hint="eastAsia" w:ascii="仿宋" w:hAnsi="仿宋" w:eastAsia="仿宋" w:cs="仿宋"/>
          <w:b/>
          <w:color w:val="auto"/>
          <w:sz w:val="24"/>
          <w:highlight w:val="none"/>
        </w:rPr>
        <w:t>投标人按照要求上传证明材料，采购人或者采购代理机构根据上传内容对投标人的资格进行审查。</w:t>
      </w:r>
    </w:p>
    <w:p>
      <w:pPr>
        <w:pStyle w:val="2"/>
        <w:numPr>
          <w:ilvl w:val="0"/>
          <w:numId w:val="7"/>
        </w:numPr>
        <w:rPr>
          <w:rFonts w:ascii="仿宋" w:hAnsi="仿宋" w:eastAsia="仿宋" w:cs="仿宋"/>
          <w:color w:val="auto"/>
          <w:sz w:val="24"/>
          <w:highlight w:val="none"/>
        </w:rPr>
      </w:pPr>
      <w:r>
        <w:rPr>
          <w:rFonts w:hint="eastAsia" w:ascii="仿宋" w:hAnsi="仿宋" w:eastAsia="仿宋" w:cs="仿宋"/>
          <w:b w:val="0"/>
          <w:bCs w:val="0"/>
          <w:color w:val="auto"/>
          <w:sz w:val="24"/>
          <w:szCs w:val="24"/>
          <w:highlight w:val="none"/>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r>
        <w:rPr>
          <w:rFonts w:hint="eastAsia" w:ascii="仿宋" w:hAnsi="仿宋" w:eastAsia="仿宋" w:cs="宋体"/>
          <w:color w:val="auto"/>
          <w:sz w:val="24"/>
          <w:highlight w:val="none"/>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此项由采购人或采购代理机构查询，投标人不提供证明材料）</w:t>
      </w:r>
      <w:r>
        <w:rPr>
          <w:rFonts w:hint="eastAsia" w:ascii="仿宋" w:hAnsi="仿宋" w:eastAsia="仿宋" w:cs="仿宋"/>
          <w:color w:val="auto"/>
          <w:sz w:val="24"/>
          <w:highlight w:val="none"/>
        </w:rPr>
        <w:t>投标人可上传空白页，上传内容不作资格审查。</w:t>
      </w:r>
    </w:p>
    <w:p>
      <w:pPr>
        <w:pStyle w:val="2"/>
        <w:numPr>
          <w:ilvl w:val="0"/>
          <w:numId w:val="7"/>
        </w:numPr>
        <w:rPr>
          <w:color w:val="auto"/>
          <w:highlight w:val="none"/>
        </w:rPr>
      </w:pPr>
      <w:r>
        <w:rPr>
          <w:rFonts w:hint="eastAsia" w:ascii="仿宋" w:hAnsi="仿宋" w:eastAsia="仿宋" w:cs="宋体"/>
          <w:color w:val="auto"/>
          <w:sz w:val="24"/>
          <w:highlight w:val="none"/>
        </w:rPr>
        <w:t>针对本项目的特殊要求：参加本次政府采购活动的供应商、法定代表人、主要负责人在近 3 年内无行贿犯罪记录。投标人上传承诺函或其他相关证明材料。</w:t>
      </w:r>
    </w:p>
    <w:p>
      <w:pPr>
        <w:spacing w:after="160" w:line="360" w:lineRule="auto"/>
        <w:ind w:firstLine="720" w:firstLineChars="300"/>
        <w:jc w:val="left"/>
        <w:rPr>
          <w:rFonts w:ascii="仿宋" w:hAnsi="仿宋" w:eastAsia="仿宋" w:cs="仿宋"/>
          <w:color w:val="auto"/>
          <w:sz w:val="24"/>
          <w:highlight w:val="none"/>
        </w:rPr>
      </w:pPr>
    </w:p>
    <w:p>
      <w:pPr>
        <w:rPr>
          <w:rFonts w:ascii="仿宋" w:hAnsi="仿宋" w:eastAsia="仿宋" w:cs="仿宋"/>
          <w:color w:val="auto"/>
          <w:highlight w:val="none"/>
        </w:rPr>
      </w:pPr>
    </w:p>
    <w:bookmarkEnd w:id="30"/>
    <w:p>
      <w:pPr>
        <w:rPr>
          <w:rFonts w:ascii="仿宋" w:hAnsi="仿宋" w:eastAsia="仿宋" w:cs="仿宋"/>
          <w:color w:val="auto"/>
          <w:sz w:val="36"/>
          <w:szCs w:val="36"/>
          <w:highlight w:val="none"/>
        </w:rPr>
      </w:pPr>
      <w:r>
        <w:rPr>
          <w:rFonts w:hint="eastAsia" w:ascii="仿宋" w:hAnsi="仿宋" w:eastAsia="仿宋" w:cs="仿宋"/>
          <w:color w:val="auto"/>
          <w:sz w:val="36"/>
          <w:szCs w:val="36"/>
          <w:highlight w:val="none"/>
        </w:rPr>
        <w:br w:type="page"/>
      </w:r>
    </w:p>
    <w:p>
      <w:pPr>
        <w:pStyle w:val="16"/>
        <w:rPr>
          <w:rFonts w:ascii="仿宋" w:hAnsi="仿宋" w:eastAsia="仿宋" w:cs="仿宋"/>
          <w:color w:val="auto"/>
          <w:highlight w:val="none"/>
        </w:rPr>
      </w:pPr>
      <w:bookmarkStart w:id="32" w:name="_Toc4515"/>
      <w:r>
        <w:rPr>
          <w:rFonts w:hint="eastAsia" w:ascii="仿宋" w:hAnsi="仿宋" w:eastAsia="仿宋" w:cs="仿宋"/>
          <w:color w:val="auto"/>
          <w:sz w:val="36"/>
          <w:szCs w:val="36"/>
          <w:highlight w:val="none"/>
        </w:rPr>
        <w:t>第六章  项目背景及建设内容</w:t>
      </w:r>
      <w:bookmarkEnd w:id="32"/>
    </w:p>
    <w:p>
      <w:pPr>
        <w:pStyle w:val="9"/>
        <w:spacing w:after="0" w:line="580" w:lineRule="exact"/>
        <w:ind w:firstLine="480"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一、项目背景</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按照《成都市温江区机构改革方案》要求，成都市温江区国土资源局与成都市温江区规划管理局于2019年2月合并挂牌组建成都市温江区规划和自然资源局（以下简称区规自局）。为加快部门有机融合，更好服务温江区土地、规划要素保障，发挥机构改革效益，温江区在雅居乐西北侧地块建设文化活动中心，作为展示温江区城市规划、人文风貌以及来访接待的重要场所，同时承载部分区规划和自然资源局办公功能。目前该建筑处于毛坯房状态，暂不具备对外宣传、会议会晤、日常办公条件，为保障城市展示中心正常运转，需要提前做好信息化基础支撑建设，包括数据中心机房建设、网络和数据安全建设。</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通过本项目建设符合B类标准的数据中心机房，作为温江区电子政务机房的分支机房，为城市展示中心、温江区电子政务外网、规自局业务专网进行服务，同时进行网络、网络安全和数据安全系统建设，满足城市宣传展示、会议会晤、日常办公对信息化的需求，并为信息化建设及整合提供良好IT基础条件，保障数据的安全性和系统可靠性。本项目参照等保三级要求，并结合资金实际情况分批分次对数据中心机房进行建设。</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建设63㎡模块化数据中心，为温江区电子政务外网以及温江区规自区专网提供安全、可靠的机房环境。并进行网络架构改造、网络安全改造以及数据安全改造。</w:t>
      </w:r>
    </w:p>
    <w:p>
      <w:pPr>
        <w:pStyle w:val="9"/>
        <w:spacing w:after="0" w:line="580" w:lineRule="exact"/>
        <w:ind w:firstLine="480"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二、建设内容</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1.数据中心机房建设</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参照B类标准建设城市展示中心数据中心机房，并作为温江区电子政务机房的分支机房，满足城市宣传展示、会议会晤、日常办公对信息化的需求，并为信息化建设及整合提供良好IT基础条件。</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2.网络及网络安全建设</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参照等保三级要求，改造专网网络架构，构建统一的网络接入、安全防护体系。按照电子政务外网分支机房的要求，建设城市展示中心机房至温江区电子政务外网中心机房的网络链路、网络安全监控及边界防护等内容。</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3.数据安全系统建设。</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利用现有虚拟化软件及存储复制技术，构建统一云计算云存储资源池，完善业务数据备份机制，保障数据的安全性和系统可靠性。</w:t>
      </w:r>
    </w:p>
    <w:p>
      <w:pPr>
        <w:pStyle w:val="9"/>
        <w:spacing w:after="0" w:line="580" w:lineRule="exact"/>
        <w:ind w:firstLine="480"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三、采购建设清单</w:t>
      </w:r>
    </w:p>
    <w:tbl>
      <w:tblPr>
        <w:tblStyle w:val="18"/>
        <w:tblW w:w="5031" w:type="pct"/>
        <w:tblInd w:w="0" w:type="dxa"/>
        <w:tblLayout w:type="autofit"/>
        <w:tblCellMar>
          <w:top w:w="0" w:type="dxa"/>
          <w:left w:w="108" w:type="dxa"/>
          <w:bottom w:w="0" w:type="dxa"/>
          <w:right w:w="108" w:type="dxa"/>
        </w:tblCellMar>
      </w:tblPr>
      <w:tblGrid>
        <w:gridCol w:w="658"/>
        <w:gridCol w:w="658"/>
        <w:gridCol w:w="1601"/>
        <w:gridCol w:w="5398"/>
        <w:gridCol w:w="658"/>
        <w:gridCol w:w="658"/>
      </w:tblGrid>
      <w:tr>
        <w:tblPrEx>
          <w:tblCellMar>
            <w:top w:w="0" w:type="dxa"/>
            <w:left w:w="108" w:type="dxa"/>
            <w:bottom w:w="0" w:type="dxa"/>
            <w:right w:w="108" w:type="dxa"/>
          </w:tblCellMar>
        </w:tblPrEx>
        <w:trPr>
          <w:trHeight w:val="285" w:hRule="atLeast"/>
        </w:trPr>
        <w:tc>
          <w:tcPr>
            <w:tcW w:w="0" w:type="auto"/>
            <w:tcBorders>
              <w:top w:val="single" w:color="auto" w:sz="4" w:space="0"/>
              <w:left w:val="single" w:color="auto" w:sz="4" w:space="0"/>
              <w:bottom w:val="single" w:color="auto" w:sz="4" w:space="0"/>
              <w:right w:val="single" w:color="auto" w:sz="4" w:space="0"/>
            </w:tcBorders>
            <w:shd w:val="clear" w:color="000000" w:fill="8EA9DB"/>
            <w:noWrap/>
            <w:vAlign w:val="center"/>
          </w:tcPr>
          <w:p>
            <w:pPr>
              <w:widowControl/>
              <w:jc w:val="center"/>
              <w:rPr>
                <w:rFonts w:ascii="仿宋" w:hAnsi="仿宋" w:eastAsia="仿宋" w:cs="仿宋"/>
                <w:b/>
                <w:bCs/>
                <w:color w:val="auto"/>
                <w:kern w:val="0"/>
                <w:sz w:val="22"/>
                <w:highlight w:val="none"/>
              </w:rPr>
            </w:pPr>
            <w:bookmarkStart w:id="33" w:name="_Hlk82252483"/>
            <w:r>
              <w:rPr>
                <w:rFonts w:hint="eastAsia" w:ascii="仿宋" w:hAnsi="仿宋" w:eastAsia="仿宋" w:cs="仿宋"/>
                <w:b/>
                <w:bCs/>
                <w:color w:val="auto"/>
                <w:kern w:val="0"/>
                <w:sz w:val="22"/>
                <w:highlight w:val="none"/>
              </w:rPr>
              <w:t>序号</w:t>
            </w:r>
          </w:p>
        </w:tc>
        <w:tc>
          <w:tcPr>
            <w:tcW w:w="0" w:type="auto"/>
            <w:tcBorders>
              <w:top w:val="single" w:color="auto" w:sz="4" w:space="0"/>
              <w:left w:val="nil"/>
              <w:bottom w:val="single" w:color="auto" w:sz="4" w:space="0"/>
              <w:right w:val="single" w:color="auto" w:sz="4" w:space="0"/>
            </w:tcBorders>
            <w:shd w:val="clear" w:color="000000" w:fill="8EA9DB"/>
            <w:noWrap/>
            <w:vAlign w:val="center"/>
          </w:tcPr>
          <w:p>
            <w:pPr>
              <w:widowControl/>
              <w:jc w:val="center"/>
              <w:rPr>
                <w:rFonts w:ascii="仿宋" w:hAnsi="仿宋" w:eastAsia="仿宋" w:cs="仿宋"/>
                <w:b/>
                <w:bCs/>
                <w:color w:val="auto"/>
                <w:kern w:val="0"/>
                <w:sz w:val="22"/>
                <w:highlight w:val="none"/>
              </w:rPr>
            </w:pPr>
            <w:r>
              <w:rPr>
                <w:rFonts w:hint="eastAsia" w:ascii="仿宋" w:hAnsi="仿宋" w:eastAsia="仿宋" w:cs="仿宋"/>
                <w:b/>
                <w:bCs/>
                <w:color w:val="auto"/>
                <w:kern w:val="0"/>
                <w:sz w:val="22"/>
                <w:highlight w:val="none"/>
              </w:rPr>
              <w:t>分类</w:t>
            </w:r>
          </w:p>
        </w:tc>
        <w:tc>
          <w:tcPr>
            <w:tcW w:w="0" w:type="auto"/>
            <w:tcBorders>
              <w:top w:val="single" w:color="auto" w:sz="4" w:space="0"/>
              <w:left w:val="nil"/>
              <w:bottom w:val="single" w:color="auto" w:sz="4" w:space="0"/>
              <w:right w:val="single" w:color="auto" w:sz="4" w:space="0"/>
            </w:tcBorders>
            <w:shd w:val="clear" w:color="000000" w:fill="8EA9DB"/>
            <w:vAlign w:val="center"/>
          </w:tcPr>
          <w:p>
            <w:pPr>
              <w:widowControl/>
              <w:jc w:val="center"/>
              <w:rPr>
                <w:rFonts w:ascii="仿宋" w:hAnsi="仿宋" w:eastAsia="仿宋" w:cs="仿宋"/>
                <w:b/>
                <w:bCs/>
                <w:color w:val="auto"/>
                <w:kern w:val="0"/>
                <w:sz w:val="22"/>
                <w:highlight w:val="none"/>
              </w:rPr>
            </w:pPr>
            <w:r>
              <w:rPr>
                <w:rFonts w:hint="eastAsia" w:ascii="仿宋" w:hAnsi="仿宋" w:eastAsia="仿宋" w:cs="仿宋"/>
                <w:b/>
                <w:bCs/>
                <w:color w:val="auto"/>
                <w:kern w:val="0"/>
                <w:sz w:val="22"/>
                <w:highlight w:val="none"/>
              </w:rPr>
              <w:t>名称</w:t>
            </w:r>
          </w:p>
        </w:tc>
        <w:tc>
          <w:tcPr>
            <w:tcW w:w="0" w:type="auto"/>
            <w:tcBorders>
              <w:top w:val="single" w:color="auto" w:sz="4" w:space="0"/>
              <w:left w:val="nil"/>
              <w:bottom w:val="single" w:color="auto" w:sz="4" w:space="0"/>
              <w:right w:val="single" w:color="auto" w:sz="4" w:space="0"/>
            </w:tcBorders>
            <w:shd w:val="clear" w:color="000000" w:fill="8EA9DB"/>
            <w:noWrap/>
            <w:vAlign w:val="center"/>
          </w:tcPr>
          <w:p>
            <w:pPr>
              <w:widowControl/>
              <w:jc w:val="left"/>
              <w:rPr>
                <w:rFonts w:ascii="仿宋" w:hAnsi="仿宋" w:eastAsia="仿宋" w:cs="仿宋"/>
                <w:b/>
                <w:bCs/>
                <w:color w:val="auto"/>
                <w:kern w:val="0"/>
                <w:sz w:val="22"/>
                <w:highlight w:val="none"/>
              </w:rPr>
            </w:pPr>
            <w:r>
              <w:rPr>
                <w:rFonts w:hint="eastAsia" w:ascii="仿宋" w:hAnsi="仿宋" w:eastAsia="仿宋" w:cs="仿宋"/>
                <w:b/>
                <w:bCs/>
                <w:color w:val="auto"/>
                <w:kern w:val="0"/>
                <w:sz w:val="22"/>
                <w:highlight w:val="none"/>
              </w:rPr>
              <w:t>参数配置</w:t>
            </w:r>
          </w:p>
        </w:tc>
        <w:tc>
          <w:tcPr>
            <w:tcW w:w="0" w:type="auto"/>
            <w:tcBorders>
              <w:top w:val="single" w:color="auto" w:sz="4" w:space="0"/>
              <w:left w:val="nil"/>
              <w:bottom w:val="single" w:color="auto" w:sz="4" w:space="0"/>
              <w:right w:val="single" w:color="auto" w:sz="4" w:space="0"/>
            </w:tcBorders>
            <w:shd w:val="clear" w:color="000000" w:fill="8EA9DB"/>
            <w:noWrap/>
            <w:vAlign w:val="center"/>
          </w:tcPr>
          <w:p>
            <w:pPr>
              <w:widowControl/>
              <w:jc w:val="center"/>
              <w:rPr>
                <w:rFonts w:ascii="仿宋" w:hAnsi="仿宋" w:eastAsia="仿宋" w:cs="仿宋"/>
                <w:b/>
                <w:bCs/>
                <w:color w:val="auto"/>
                <w:kern w:val="0"/>
                <w:sz w:val="22"/>
                <w:highlight w:val="none"/>
              </w:rPr>
            </w:pPr>
            <w:r>
              <w:rPr>
                <w:rFonts w:hint="eastAsia" w:ascii="仿宋" w:hAnsi="仿宋" w:eastAsia="仿宋" w:cs="仿宋"/>
                <w:b/>
                <w:bCs/>
                <w:color w:val="auto"/>
                <w:kern w:val="0"/>
                <w:sz w:val="22"/>
                <w:highlight w:val="none"/>
              </w:rPr>
              <w:t>单位</w:t>
            </w:r>
          </w:p>
        </w:tc>
        <w:tc>
          <w:tcPr>
            <w:tcW w:w="0" w:type="auto"/>
            <w:tcBorders>
              <w:top w:val="single" w:color="auto" w:sz="4" w:space="0"/>
              <w:left w:val="nil"/>
              <w:bottom w:val="single" w:color="auto" w:sz="4" w:space="0"/>
              <w:right w:val="single" w:color="auto" w:sz="4" w:space="0"/>
            </w:tcBorders>
            <w:shd w:val="clear" w:color="000000" w:fill="8EA9DB"/>
            <w:noWrap/>
            <w:vAlign w:val="center"/>
          </w:tcPr>
          <w:p>
            <w:pPr>
              <w:widowControl/>
              <w:jc w:val="center"/>
              <w:rPr>
                <w:rFonts w:ascii="仿宋" w:hAnsi="仿宋" w:eastAsia="仿宋" w:cs="仿宋"/>
                <w:b/>
                <w:bCs/>
                <w:color w:val="auto"/>
                <w:kern w:val="0"/>
                <w:sz w:val="22"/>
                <w:highlight w:val="none"/>
              </w:rPr>
            </w:pPr>
            <w:r>
              <w:rPr>
                <w:rFonts w:hint="eastAsia" w:ascii="仿宋" w:hAnsi="仿宋" w:eastAsia="仿宋" w:cs="仿宋"/>
                <w:b/>
                <w:bCs/>
                <w:color w:val="auto"/>
                <w:kern w:val="0"/>
                <w:sz w:val="22"/>
                <w:highlight w:val="none"/>
              </w:rPr>
              <w:t>数量</w:t>
            </w:r>
          </w:p>
        </w:tc>
      </w:tr>
      <w:tr>
        <w:tblPrEx>
          <w:tblCellMar>
            <w:top w:w="0" w:type="dxa"/>
            <w:left w:w="108" w:type="dxa"/>
            <w:bottom w:w="0" w:type="dxa"/>
            <w:right w:w="108" w:type="dxa"/>
          </w:tblCellMar>
        </w:tblPrEx>
        <w:trPr>
          <w:trHeight w:val="120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1</w:t>
            </w:r>
          </w:p>
        </w:tc>
        <w:tc>
          <w:tcPr>
            <w:tcW w:w="0" w:type="auto"/>
            <w:vMerge w:val="restart"/>
            <w:tcBorders>
              <w:top w:val="nil"/>
              <w:left w:val="single" w:color="auto" w:sz="4" w:space="0"/>
              <w:bottom w:val="single" w:color="000000" w:sz="4" w:space="0"/>
              <w:right w:val="single" w:color="auto" w:sz="4" w:space="0"/>
            </w:tcBorders>
            <w:shd w:val="clear" w:color="auto" w:fill="auto"/>
            <w:noWrap/>
            <w:textDirection w:val="tbRlV"/>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专网安全设备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防火墙</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1.网络层吞吐量≥6G，应用层吞吐量≥2G，并发连接数≥180万，HTTP新建连接数≥6万，千兆电口≥6个，千兆光口SFP≥4个，USB接口≥2；</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2.支持主动诱捕功能，通过伪装业务诱捕内外网的攻击行为，并联合云蜜罐获取黑客指纹信息，并自动封锁高危IP；</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3.具备信息泄露攻击防护防护功能；</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4.具备对未知威胁进行防护的技术手段。</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5.配置IPS功能。</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w:t>
            </w:r>
          </w:p>
        </w:tc>
      </w:tr>
      <w:tr>
        <w:tblPrEx>
          <w:tblCellMar>
            <w:top w:w="0" w:type="dxa"/>
            <w:left w:w="108" w:type="dxa"/>
            <w:bottom w:w="0" w:type="dxa"/>
            <w:right w:w="108" w:type="dxa"/>
          </w:tblCellMar>
        </w:tblPrEx>
        <w:trPr>
          <w:trHeight w:val="120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2</w:t>
            </w:r>
          </w:p>
        </w:tc>
        <w:tc>
          <w:tcPr>
            <w:tcW w:w="0" w:type="auto"/>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网络流量监测</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1.带宽性能≥1Gbps,配置千兆电口≥6个，千兆光口≥2个，万兆光口≥2个；</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 xml:space="preserve">2.支持包括但不限于对B/S架构应用抵御SQL注入、XSS、系统命令等注入型攻击，跨站请求伪造CSRF攻击检测； </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3.具备将威胁行为同云端安全分析引擎进行联动的分析，在云端进行沙盒检测并将分析报告下发；</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4.支持5种类型日志传输模式,包含标准模式、精简模式、高级模式、局域网模式、自定义模式，适应不同应用场景需求；</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120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3</w:t>
            </w:r>
          </w:p>
        </w:tc>
        <w:tc>
          <w:tcPr>
            <w:tcW w:w="0" w:type="auto"/>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日志审计</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1.运维授权数≥100，图形运维并发数≥100，字符运维最大并发数≥200；硬盘容量≥1T SATA，配置千兆电口≥6个；</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2.系统支持从不同设备或系统中所获得的各类日志、事件中抽取相关片段准确和完整地映射至安全事件的标准字段；</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3.支持显示审计事件分类统计列表，根据审计策略名称、审计事件类型、被审计人员、目标设备地址四个维度展现；</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4.支持通过正则、分隔符、json、xml等可视方式进行自定义规则解析，支持对解析结果字段的新增、合并、映射等；</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16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4</w:t>
            </w:r>
          </w:p>
        </w:tc>
        <w:tc>
          <w:tcPr>
            <w:tcW w:w="0" w:type="auto"/>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堡垒机</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xml:space="preserve">1、机架式软硬一体设备，专用硬件平台和安全操作系统，≥6个千兆电口，≥1个Console管理口，存储容量≥1TB，单电源，带液晶面板，≥2个扩展槽。最大支持≥800路字符会话或≥200路图形会话并发，授权≥50； </w:t>
            </w:r>
          </w:p>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2.支持字符协议：SSHv1、SSHv2、TELNET、RLOGIN；图形协议：RDP、VNC；文件传输协议：FTP、SFTP和数据库协议： Oracle（支持ORACLE RAC）、MS SQL Server、IBM DB2、Sybase、IBM Informix Dynamic Server、MySQL、PostgreSQL等数据库类型；</w:t>
            </w:r>
          </w:p>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3.系统管理员支持三权分立功能，支持基于角色管理的安全审计方法；</w:t>
            </w:r>
          </w:p>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4.支持针对SSH、Telnet、Rlogin、FTP/SFTP、数据库操作进行记录及审计；记录会话时间、命令执行时间、会话协议、服务端IP、服务器端口、客户端IP、客户端端口、操作命令、返回信息、运维用户帐号、审批用户帐号、资源账号等信息；</w:t>
            </w:r>
          </w:p>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5.支持Telnet用户操作过程静态数据的保存回放功能；</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144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5</w:t>
            </w:r>
          </w:p>
        </w:tc>
        <w:tc>
          <w:tcPr>
            <w:tcW w:w="0" w:type="auto"/>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终端安全准入</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1.须实现与成都市规划和自然资源局一级管控中心平台进行兼容、对接、互通。实现成都市规划和自然资源局对温江规划和自然资源局终端进行统一的策略管理、终端安全态势分析；</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2.设备默认≥1个串口，≥6个千兆以太网电口，≥2TB SATA硬盘，1U设备；</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3.针对PC终端、哑终端等设备的准入控制管理，包含：应用准入、802.1x准入、Portal准入、终端入网合规检查、隔离修复、访问控制等功能；</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4.支持入网合规检查功能，包括：远程桌面、U盘自动运行、防火墙、IP获取方式、文件共享、屏幕保护、空密码、IE代理。</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套</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19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6</w:t>
            </w:r>
          </w:p>
        </w:tc>
        <w:tc>
          <w:tcPr>
            <w:tcW w:w="0" w:type="auto"/>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安管平台</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1.吞吐性能≥600Mbps，存储容量≥4T，接口：千兆电口≥6个，万兆光口≥2个，为防止设备关键信息泄露，设备禁止配置显示器等显示设备；</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2. 可快速生成月度、季度、年度PPT报表，包含网络安全整体解读、网络安全风险详情、告警及事件响应盘点等，帮助用户高效汇报，体现安全工作价值；</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3. 支持挖矿专项检测页面，具备挖矿攻击事前、事中和事后全链路的检测分析能力，综合运用威胁情报、IPS特征规则和行为关联分析技术，如检测发现文件传输（上传下载）阶段的异常，对挖矿早期的准备动作即告警；</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4. 支持利用EBA技术进行资产的行为分析，对这些对象进行持续的学习和行为画像构建，以基线画像的形式检测异于基线的异常行为作为入口点，结合以降维、聚类、决策树为主的计算处理模型发现异常用户/资产行为。不低于25种异常行为学习模型；并支持用户对EBA基线进行自定义调整，优化模型；</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5. 支持接入第三方安全设备能力。</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120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7</w:t>
            </w:r>
          </w:p>
        </w:tc>
        <w:tc>
          <w:tcPr>
            <w:tcW w:w="0" w:type="auto"/>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web应用防火墙</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 网络层吞吐量≥4Gbps，HTTP应用层吞吐量≥220Mbps，HTTP新建连接数≥2万，HTTP并发连接数≥100万，配置千兆电口≥6个，千兆光口≥2个；</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2. 支持通过主动扫描漏洞功能检测网站是否存在SQL注入、XSS、跨站脚本、目录遍历、文件包含、命令执行等脚本漏洞；</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3. 支持通过被动扫描功能，业务系统进行黑链检测、Webshell检测、漏洞风险检测、配置风险检测、弱口令账户检测等；</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4. 具备服务器文件级防篡改功能；</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r>
      <w:tr>
        <w:tblPrEx>
          <w:tblCellMar>
            <w:top w:w="0" w:type="dxa"/>
            <w:left w:w="108" w:type="dxa"/>
            <w:bottom w:w="0" w:type="dxa"/>
            <w:right w:w="108" w:type="dxa"/>
          </w:tblCellMar>
        </w:tblPrEx>
        <w:trPr>
          <w:trHeight w:val="144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8</w:t>
            </w:r>
          </w:p>
        </w:tc>
        <w:tc>
          <w:tcPr>
            <w:tcW w:w="0" w:type="auto"/>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数据库审计</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1.吞吐量≥2Gbps，SQL处理性能≥10000条SQL/s，千兆电口≥6个，千兆光口≥2个，为防止设备关键信息泄露，设备禁止配置显示器等显示设备；</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2. 以曲线连接多点的形式展示用户的访问来源、目标、操作的轨迹，支持轨迹定位到具体日志信息；</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3. 日志内容能够详尽的显示访问行为发生的具体特征，具体信息包括：访问的时间、访问客户端IP、客户端MAC、客户端操作系统主机名、客户端操作系统用户名、客户端端口号、客户端连接工具名、数据库用户名、数据库IP、数据库MAC、数据库实例、表、列、操作类型、SQL内容、SQL结果内容、执行时间（毫秒）、响应状态、影响行数、查询返回行、匹配的策略、风险等级等；</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4. 支持通过监控网络流量自动发现未审计数据库；</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120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8</w:t>
            </w:r>
          </w:p>
        </w:tc>
        <w:tc>
          <w:tcPr>
            <w:tcW w:w="0" w:type="auto"/>
            <w:vMerge w:val="restart"/>
            <w:tcBorders>
              <w:top w:val="nil"/>
              <w:left w:val="single" w:color="auto" w:sz="4" w:space="0"/>
              <w:bottom w:val="single" w:color="000000" w:sz="4" w:space="0"/>
              <w:right w:val="single" w:color="auto" w:sz="4" w:space="0"/>
            </w:tcBorders>
            <w:shd w:val="clear" w:color="auto" w:fill="auto"/>
            <w:noWrap/>
            <w:textDirection w:val="tbRlV"/>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电子政务外网安全设备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政务外网防火墙</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1.网络层吞吐量≥6G，应用层吞吐量≥2G，并发连接数≥180万，HTTP新建连接数≥6万，千兆电口≥6个，千兆光口SFP≥4个，USB接口≥2；</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2.支持主动诱捕功能，通过伪装业务诱捕内外网的攻击行为，并联合云蜜罐获取黑客指纹信息，并自动封锁高危IP；</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3.具备信息泄露攻击防护防护功能；</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4.具备对未知威胁进行防护的技术手段；</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5.配置IPS功能。</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120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9</w:t>
            </w:r>
          </w:p>
        </w:tc>
        <w:tc>
          <w:tcPr>
            <w:tcW w:w="0" w:type="auto"/>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政务外网潜伏威胁探针</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1.带宽性能≥500Mbps,配置千兆电口≥6个；</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 xml:space="preserve">2.支持包括但不限于对B/S架构应用抵御SQL注入、XSS、系统命令等注入型攻击，跨站请求伪造CSRF攻击检测； </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3.可以将威胁行为同云端安全分析引擎进行联动的分析，在云端进行沙盒检测并将分析报告下发；</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4.支持不低于5种类型日志传输模式,包含标准模式、精简模式、高级模式、局域网模式、自定义模式，适应不同应用场景需求；</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nil"/>
              <w:left w:val="nil"/>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40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10</w:t>
            </w:r>
          </w:p>
        </w:tc>
        <w:tc>
          <w:tcPr>
            <w:tcW w:w="0" w:type="auto"/>
            <w:vMerge w:val="restart"/>
            <w:tcBorders>
              <w:top w:val="nil"/>
              <w:left w:val="single" w:color="auto" w:sz="4" w:space="0"/>
              <w:bottom w:val="single" w:color="000000" w:sz="4" w:space="0"/>
              <w:right w:val="single" w:color="auto" w:sz="4" w:space="0"/>
            </w:tcBorders>
            <w:shd w:val="clear" w:color="auto" w:fill="auto"/>
            <w:noWrap/>
            <w:textDirection w:val="tbRlV"/>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数据安全</w:t>
            </w:r>
          </w:p>
        </w:tc>
        <w:tc>
          <w:tcPr>
            <w:tcW w:w="0" w:type="auto"/>
            <w:tcBorders>
              <w:top w:val="nil"/>
              <w:left w:val="nil"/>
              <w:bottom w:val="nil"/>
              <w:right w:val="single" w:color="auto" w:sz="4" w:space="0"/>
            </w:tcBorders>
            <w:shd w:val="clear" w:color="000000" w:fill="FFFFFF"/>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专网存储</w:t>
            </w:r>
          </w:p>
        </w:tc>
        <w:tc>
          <w:tcPr>
            <w:tcW w:w="0" w:type="auto"/>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1.存储阵列为多控制器架构，系统支持使用固态硬盘作为存储载体的企业级全闪存存储系统；</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2.实配SAN与NAS统一存储，配置NAS协议（包括NFS和CIFS）、IP SAN和FC SAN协议，不需额外配置NAS网关，存储操作界面支持块存储和文件存储功能；</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3.配置存储控制器数量≥2个，具备Active-Active双控制器架构；支持不低于扩展到16个控制器。采用多核处理器，本次配置控制器处理器总物理核心数≥16核；</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4.系统内总一级缓存容量配置≥256GB，且任意控制器一级缓存容量≥128GB（此容量不含任何性能加速模块、FlashCache、PAM卡，SSD Cache、SCM等）；</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5. 前端主机接口支持8/16/32 Gb FC、1/10/25/40/100 Gb 以太网，实配≥8个16Gb FC主机接口；</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6.配置12*10TB NL SAS磁盘（非SATA接口）；</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7.支持快照、镜像、复制、LUN拷贝等软件功能；</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8.支持VMware、Ctirx、Hyper-v等计算虚拟化，支持VMware VAAI，支持VSphere、VCenter虚拟化环境集成；</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9.实配复制功能，能够实现远距离数据复制；</w:t>
            </w:r>
          </w:p>
        </w:tc>
        <w:tc>
          <w:tcPr>
            <w:tcW w:w="0" w:type="auto"/>
            <w:tcBorders>
              <w:top w:val="nil"/>
              <w:left w:val="nil"/>
              <w:bottom w:val="nil"/>
              <w:right w:val="single" w:color="auto" w:sz="4" w:space="0"/>
            </w:tcBorders>
            <w:shd w:val="clear" w:color="000000" w:fill="FFFFFF"/>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nil"/>
              <w:left w:val="nil"/>
              <w:bottom w:val="nil"/>
              <w:right w:val="single" w:color="auto" w:sz="4" w:space="0"/>
            </w:tcBorders>
            <w:shd w:val="clear" w:color="000000" w:fill="FFFFFF"/>
            <w:noWrap/>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11</w:t>
            </w:r>
          </w:p>
        </w:tc>
        <w:tc>
          <w:tcPr>
            <w:tcW w:w="0" w:type="auto"/>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存储交换机</w:t>
            </w:r>
          </w:p>
        </w:tc>
        <w:tc>
          <w:tcPr>
            <w:tcW w:w="0" w:type="auto"/>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24口16Gb FC SAN交换机，24口激活含模块。</w:t>
            </w:r>
          </w:p>
        </w:tc>
        <w:tc>
          <w:tcPr>
            <w:tcW w:w="0" w:type="auto"/>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12</w:t>
            </w:r>
          </w:p>
        </w:tc>
        <w:tc>
          <w:tcPr>
            <w:tcW w:w="0" w:type="auto"/>
            <w:vMerge w:val="continue"/>
            <w:tcBorders>
              <w:top w:val="nil"/>
              <w:left w:val="single" w:color="auto" w:sz="4" w:space="0"/>
              <w:bottom w:val="single" w:color="000000"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政务外网存储扩容</w:t>
            </w:r>
          </w:p>
        </w:tc>
        <w:tc>
          <w:tcPr>
            <w:tcW w:w="0" w:type="auto"/>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机械磁盘：2.5寸；单块容量≥10K 2.4TB(高速磁盘) SAS接口，配置24块硬盘，不低于24盘位。</w:t>
            </w:r>
          </w:p>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兼容现有存储。（现有存储oceanstor 5310V5）</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套</w:t>
            </w:r>
          </w:p>
        </w:tc>
        <w:tc>
          <w:tcPr>
            <w:tcW w:w="0" w:type="auto"/>
            <w:tcBorders>
              <w:top w:val="nil"/>
              <w:left w:val="nil"/>
              <w:bottom w:val="single" w:color="auto" w:sz="4" w:space="0"/>
              <w:right w:val="single" w:color="auto" w:sz="4" w:space="0"/>
            </w:tcBorders>
            <w:shd w:val="clear" w:color="000000" w:fill="FFFFFF"/>
            <w:noWrap/>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000000" w:fill="8EA9DB"/>
            <w:noWrap/>
            <w:vAlign w:val="center"/>
          </w:tcPr>
          <w:p>
            <w:pPr>
              <w:widowControl/>
              <w:jc w:val="center"/>
              <w:rPr>
                <w:rFonts w:ascii="仿宋" w:hAnsi="仿宋" w:eastAsia="仿宋" w:cs="仿宋"/>
                <w:b/>
                <w:bCs/>
                <w:color w:val="auto"/>
                <w:kern w:val="0"/>
                <w:sz w:val="22"/>
                <w:highlight w:val="none"/>
              </w:rPr>
            </w:pPr>
            <w:r>
              <w:rPr>
                <w:rFonts w:hint="eastAsia" w:ascii="仿宋" w:hAnsi="仿宋" w:eastAsia="仿宋" w:cs="仿宋"/>
                <w:b/>
                <w:bCs/>
                <w:color w:val="auto"/>
                <w:kern w:val="0"/>
                <w:sz w:val="22"/>
                <w:highlight w:val="none"/>
              </w:rPr>
              <w:t>序号</w:t>
            </w:r>
          </w:p>
        </w:tc>
        <w:tc>
          <w:tcPr>
            <w:tcW w:w="0" w:type="auto"/>
            <w:tcBorders>
              <w:top w:val="nil"/>
              <w:left w:val="nil"/>
              <w:bottom w:val="single" w:color="auto" w:sz="4" w:space="0"/>
              <w:right w:val="single" w:color="auto" w:sz="4" w:space="0"/>
            </w:tcBorders>
            <w:shd w:val="clear" w:color="000000" w:fill="8EA9DB"/>
            <w:noWrap/>
            <w:vAlign w:val="center"/>
          </w:tcPr>
          <w:p>
            <w:pPr>
              <w:widowControl/>
              <w:jc w:val="center"/>
              <w:rPr>
                <w:rFonts w:ascii="仿宋" w:hAnsi="仿宋" w:eastAsia="仿宋" w:cs="仿宋"/>
                <w:b/>
                <w:bCs/>
                <w:color w:val="auto"/>
                <w:kern w:val="0"/>
                <w:sz w:val="22"/>
                <w:highlight w:val="none"/>
              </w:rPr>
            </w:pPr>
            <w:r>
              <w:rPr>
                <w:rFonts w:hint="eastAsia" w:ascii="仿宋" w:hAnsi="仿宋" w:eastAsia="仿宋" w:cs="仿宋"/>
                <w:b/>
                <w:bCs/>
                <w:color w:val="auto"/>
                <w:kern w:val="0"/>
                <w:sz w:val="22"/>
                <w:highlight w:val="none"/>
              </w:rPr>
              <w:t>分类</w:t>
            </w:r>
          </w:p>
        </w:tc>
        <w:tc>
          <w:tcPr>
            <w:tcW w:w="0" w:type="auto"/>
            <w:tcBorders>
              <w:top w:val="nil"/>
              <w:left w:val="nil"/>
              <w:bottom w:val="single" w:color="auto" w:sz="4" w:space="0"/>
              <w:right w:val="single" w:color="auto" w:sz="4" w:space="0"/>
            </w:tcBorders>
            <w:shd w:val="clear" w:color="000000" w:fill="8EA9DB"/>
            <w:vAlign w:val="center"/>
          </w:tcPr>
          <w:p>
            <w:pPr>
              <w:widowControl/>
              <w:jc w:val="center"/>
              <w:rPr>
                <w:rFonts w:ascii="仿宋" w:hAnsi="仿宋" w:eastAsia="仿宋" w:cs="仿宋"/>
                <w:b/>
                <w:bCs/>
                <w:color w:val="auto"/>
                <w:kern w:val="0"/>
                <w:sz w:val="22"/>
                <w:highlight w:val="none"/>
              </w:rPr>
            </w:pPr>
            <w:r>
              <w:rPr>
                <w:rFonts w:hint="eastAsia" w:ascii="仿宋" w:hAnsi="仿宋" w:eastAsia="仿宋" w:cs="仿宋"/>
                <w:b/>
                <w:bCs/>
                <w:color w:val="auto"/>
                <w:kern w:val="0"/>
                <w:sz w:val="22"/>
                <w:highlight w:val="none"/>
              </w:rPr>
              <w:t>名称</w:t>
            </w:r>
          </w:p>
        </w:tc>
        <w:tc>
          <w:tcPr>
            <w:tcW w:w="0" w:type="auto"/>
            <w:tcBorders>
              <w:top w:val="nil"/>
              <w:left w:val="nil"/>
              <w:bottom w:val="single" w:color="auto" w:sz="4" w:space="0"/>
              <w:right w:val="single" w:color="auto" w:sz="4" w:space="0"/>
            </w:tcBorders>
            <w:shd w:val="clear" w:color="000000" w:fill="8EA9DB"/>
            <w:noWrap/>
            <w:vAlign w:val="center"/>
          </w:tcPr>
          <w:p>
            <w:pPr>
              <w:widowControl/>
              <w:jc w:val="left"/>
              <w:rPr>
                <w:rFonts w:ascii="仿宋" w:hAnsi="仿宋" w:eastAsia="仿宋" w:cs="仿宋"/>
                <w:b/>
                <w:bCs/>
                <w:color w:val="auto"/>
                <w:kern w:val="0"/>
                <w:sz w:val="22"/>
                <w:highlight w:val="none"/>
              </w:rPr>
            </w:pPr>
            <w:r>
              <w:rPr>
                <w:rFonts w:hint="eastAsia" w:ascii="仿宋" w:hAnsi="仿宋" w:eastAsia="仿宋" w:cs="仿宋"/>
                <w:b/>
                <w:bCs/>
                <w:color w:val="auto"/>
                <w:kern w:val="0"/>
                <w:sz w:val="22"/>
                <w:highlight w:val="none"/>
              </w:rPr>
              <w:t>参数配置</w:t>
            </w:r>
          </w:p>
        </w:tc>
        <w:tc>
          <w:tcPr>
            <w:tcW w:w="0" w:type="auto"/>
            <w:tcBorders>
              <w:top w:val="nil"/>
              <w:left w:val="nil"/>
              <w:bottom w:val="single" w:color="auto" w:sz="4" w:space="0"/>
              <w:right w:val="single" w:color="auto" w:sz="4" w:space="0"/>
            </w:tcBorders>
            <w:shd w:val="clear" w:color="000000" w:fill="8EA9DB"/>
            <w:noWrap/>
            <w:vAlign w:val="center"/>
          </w:tcPr>
          <w:p>
            <w:pPr>
              <w:widowControl/>
              <w:jc w:val="center"/>
              <w:rPr>
                <w:rFonts w:ascii="仿宋" w:hAnsi="仿宋" w:eastAsia="仿宋" w:cs="仿宋"/>
                <w:b/>
                <w:bCs/>
                <w:color w:val="auto"/>
                <w:kern w:val="0"/>
                <w:sz w:val="22"/>
                <w:highlight w:val="none"/>
              </w:rPr>
            </w:pPr>
            <w:r>
              <w:rPr>
                <w:rFonts w:hint="eastAsia" w:ascii="仿宋" w:hAnsi="仿宋" w:eastAsia="仿宋" w:cs="仿宋"/>
                <w:b/>
                <w:bCs/>
                <w:color w:val="auto"/>
                <w:kern w:val="0"/>
                <w:sz w:val="22"/>
                <w:highlight w:val="none"/>
              </w:rPr>
              <w:t>单位</w:t>
            </w:r>
          </w:p>
        </w:tc>
        <w:tc>
          <w:tcPr>
            <w:tcW w:w="0" w:type="auto"/>
            <w:tcBorders>
              <w:top w:val="nil"/>
              <w:left w:val="nil"/>
              <w:bottom w:val="single" w:color="auto" w:sz="4" w:space="0"/>
              <w:right w:val="single" w:color="auto" w:sz="4" w:space="0"/>
            </w:tcBorders>
            <w:shd w:val="clear" w:color="000000" w:fill="8EA9DB"/>
            <w:noWrap/>
            <w:vAlign w:val="center"/>
          </w:tcPr>
          <w:p>
            <w:pPr>
              <w:widowControl/>
              <w:jc w:val="center"/>
              <w:rPr>
                <w:rFonts w:ascii="仿宋" w:hAnsi="仿宋" w:eastAsia="仿宋" w:cs="仿宋"/>
                <w:b/>
                <w:bCs/>
                <w:color w:val="auto"/>
                <w:kern w:val="0"/>
                <w:sz w:val="22"/>
                <w:highlight w:val="none"/>
              </w:rPr>
            </w:pPr>
            <w:r>
              <w:rPr>
                <w:rFonts w:hint="eastAsia" w:ascii="仿宋" w:hAnsi="仿宋" w:eastAsia="仿宋" w:cs="仿宋"/>
                <w:b/>
                <w:bCs/>
                <w:color w:val="auto"/>
                <w:kern w:val="0"/>
                <w:sz w:val="22"/>
                <w:highlight w:val="none"/>
              </w:rPr>
              <w:t>数量</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p>
        </w:tc>
        <w:tc>
          <w:tcPr>
            <w:tcW w:w="0" w:type="auto"/>
            <w:vMerge w:val="restart"/>
            <w:tcBorders>
              <w:top w:val="nil"/>
              <w:left w:val="single" w:color="auto" w:sz="4" w:space="0"/>
              <w:bottom w:val="single" w:color="auto" w:sz="4" w:space="0"/>
              <w:right w:val="single" w:color="auto" w:sz="4" w:space="0"/>
            </w:tcBorders>
            <w:shd w:val="clear" w:color="auto" w:fill="auto"/>
            <w:noWrap/>
            <w:textDirection w:val="tbRlV"/>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机房基础装修</w:t>
            </w:r>
          </w:p>
        </w:tc>
        <w:tc>
          <w:tcPr>
            <w:tcW w:w="0" w:type="auto"/>
            <w:gridSpan w:val="4"/>
            <w:tcBorders>
              <w:top w:val="single" w:color="auto" w:sz="4" w:space="0"/>
              <w:left w:val="nil"/>
              <w:bottom w:val="single" w:color="auto" w:sz="4" w:space="0"/>
              <w:right w:val="single" w:color="auto" w:sz="4" w:space="0"/>
            </w:tcBorders>
            <w:shd w:val="clear" w:color="000000" w:fill="FFFFFF"/>
            <w:vAlign w:val="center"/>
          </w:tcPr>
          <w:p>
            <w:pPr>
              <w:widowControl/>
              <w:jc w:val="center"/>
              <w:rPr>
                <w:rFonts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地面工程</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13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防静电陶瓷地板</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陶瓷防静规格为600×600×40mm，地板铺设高度300mm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60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14</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地面防层漆</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刷不易脱落的防尘漆三遍</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60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15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地面橡塑保温板</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地面铺设20mm厚橡塑保温板（阻燃等级不低于B1级），橡塑保温板面贴≥0.5mm厚镀锌铁皮</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60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16</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镀锌铁皮</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厚度≥0.5mm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60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17</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边角地板支架</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角钢30*3非标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45</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18</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不锈钢踢脚</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厚度：1.0mm不锈钢板；材质：304材质</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45</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19</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地板踏步</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二级踏步台阶、静电地板安装、水泥+河沙+砖</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墙、柱面工程</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20</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墙面彩钢板</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尺寸：1200mm*3000mm*12mm墙板为0.6mm防锈热熔镀锌烤漆钢板，内衬板为防火12mm石膏板</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120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21</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彩钢板轻钢龙骨</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75型龙骨，国标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120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22</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防火隔音玻璃纤维棉</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黄色、方形、防火厚度5CM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120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23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彩钢板阳角条</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L角阳角条+龙骨卡</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24</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彩钢板阴角条</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U型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25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过道轻质隔音隔墙</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轻钢龙骨+隔音棉+双层石膏板</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平米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40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26</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墙体防水处理</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防水处理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顶面工程</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27</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微孔铝扣板吊顶</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装600mm×600mm方形微孔铝板，铝板厚≥0.8mm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60</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28</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吊顶轻钢龙骨、吊杆</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龙骨 吊顶阴角线</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60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29</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L边角条</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L边角条</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48</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30</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LED灯</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LED 600*600LED 32W</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16</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31</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顶面防尘漆二遍</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吊顶以上结构顶板空间和四壁需抹灰,刷不易脱落的防尘漆二遍</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55</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32</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顶各系统KBG管铺设线管</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监控、消防、照明、环控、应急等系统布管</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gridSpan w:val="3"/>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门窗工程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33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防火门</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根据实际情况定制，含五金、门套等 甲级</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34</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封窗</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彩钢板内封</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gridSpan w:val="4"/>
            <w:tcBorders>
              <w:top w:val="single" w:color="auto" w:sz="4" w:space="0"/>
              <w:left w:val="nil"/>
              <w:bottom w:val="single" w:color="auto" w:sz="4" w:space="0"/>
              <w:right w:val="single" w:color="auto" w:sz="4" w:space="0"/>
            </w:tcBorders>
            <w:shd w:val="clear" w:color="auto" w:fill="auto"/>
            <w:vAlign w:val="center"/>
          </w:tcPr>
          <w:p>
            <w:pPr>
              <w:widowControl/>
              <w:jc w:val="center"/>
              <w:rPr>
                <w:rFonts w:ascii="仿宋" w:hAnsi="仿宋" w:eastAsia="仿宋" w:cs="仿宋"/>
                <w:b/>
                <w:bCs/>
                <w:color w:val="auto"/>
                <w:kern w:val="0"/>
                <w:sz w:val="20"/>
                <w:szCs w:val="20"/>
                <w:highlight w:val="none"/>
              </w:rPr>
            </w:pPr>
            <w:r>
              <w:rPr>
                <w:rFonts w:hint="eastAsia" w:ascii="仿宋" w:hAnsi="仿宋" w:eastAsia="仿宋" w:cs="仿宋"/>
                <w:b/>
                <w:bCs/>
                <w:color w:val="auto"/>
                <w:kern w:val="0"/>
                <w:sz w:val="20"/>
                <w:szCs w:val="20"/>
                <w:highlight w:val="none"/>
              </w:rPr>
              <w:t>其它工程</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35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机柜承重散力架制作</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50*5角钢   国标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12</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36</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空调及UPS承重散力架</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50*5角钢   国标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37</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气瓶承重散力架制作</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50*5角钢   国标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38</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空调挡水池</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砖、水泥、河沙、防水材料</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39</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电池承重散列架制作</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50*5角钢   国标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40</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辅材</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装修辅材</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7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41</w:t>
            </w:r>
          </w:p>
        </w:tc>
        <w:tc>
          <w:tcPr>
            <w:tcW w:w="0" w:type="auto"/>
            <w:vMerge w:val="restart"/>
            <w:tcBorders>
              <w:top w:val="nil"/>
              <w:left w:val="single" w:color="auto" w:sz="4" w:space="0"/>
              <w:bottom w:val="single" w:color="auto" w:sz="4" w:space="0"/>
              <w:right w:val="single" w:color="auto" w:sz="4" w:space="0"/>
            </w:tcBorders>
            <w:shd w:val="clear" w:color="auto" w:fill="auto"/>
            <w:noWrap/>
            <w:textDirection w:val="tbRlV"/>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防辐射建设</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防辐射钢板体墙面：2mm屏蔽钢板</w:t>
            </w:r>
          </w:p>
        </w:tc>
        <w:tc>
          <w:tcPr>
            <w:tcW w:w="0" w:type="auto"/>
            <w:vMerge w:val="restart"/>
            <w:tcBorders>
              <w:top w:val="nil"/>
              <w:left w:val="single" w:color="auto" w:sz="4" w:space="0"/>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冷扎钢板制作单元模块型后现场组装焊接，表面进行防锈处理，机房地面绝缘处理,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r>
              <w:rPr>
                <w:rFonts w:hint="eastAsia" w:ascii="仿宋" w:hAnsi="仿宋" w:eastAsia="仿宋" w:cs="仿宋"/>
                <w:color w:val="auto"/>
                <w:kern w:val="0"/>
                <w:sz w:val="20"/>
                <w:szCs w:val="20"/>
                <w:highlight w:val="none"/>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40</w:t>
            </w:r>
          </w:p>
        </w:tc>
      </w:tr>
      <w:tr>
        <w:tblPrEx>
          <w:tblCellMar>
            <w:top w:w="0" w:type="dxa"/>
            <w:left w:w="108" w:type="dxa"/>
            <w:bottom w:w="0" w:type="dxa"/>
            <w:right w:w="108" w:type="dxa"/>
          </w:tblCellMar>
        </w:tblPrEx>
        <w:trPr>
          <w:trHeight w:val="7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42</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防辐射钢板体地面：3mm屏蔽钢板</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0"/>
                <w:szCs w:val="20"/>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r>
              <w:rPr>
                <w:rFonts w:hint="eastAsia" w:ascii="仿宋" w:hAnsi="仿宋" w:eastAsia="仿宋" w:cs="仿宋"/>
                <w:color w:val="auto"/>
                <w:kern w:val="0"/>
                <w:sz w:val="20"/>
                <w:szCs w:val="20"/>
                <w:highlight w:val="none"/>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53</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43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防辐射钢龙骨架-地面</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40*60方管副龙骨，40*80主龙骨</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r>
              <w:rPr>
                <w:rFonts w:hint="eastAsia" w:ascii="仿宋" w:hAnsi="仿宋" w:eastAsia="仿宋" w:cs="仿宋"/>
                <w:color w:val="auto"/>
                <w:kern w:val="0"/>
                <w:sz w:val="20"/>
                <w:szCs w:val="20"/>
                <w:highlight w:val="none"/>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53</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44</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防辐射钢龙骨架-墙面</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40*60方管副龙骨，40*80主龙骨</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r>
              <w:rPr>
                <w:rFonts w:hint="eastAsia" w:ascii="仿宋" w:hAnsi="仿宋" w:eastAsia="仿宋" w:cs="仿宋"/>
                <w:color w:val="auto"/>
                <w:kern w:val="0"/>
                <w:sz w:val="20"/>
                <w:szCs w:val="20"/>
                <w:highlight w:val="none"/>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40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45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地面绝缘层</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地面涂绝缘层</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r>
              <w:rPr>
                <w:rFonts w:hint="eastAsia" w:ascii="仿宋" w:hAnsi="仿宋" w:eastAsia="仿宋" w:cs="仿宋"/>
                <w:color w:val="auto"/>
                <w:kern w:val="0"/>
                <w:sz w:val="20"/>
                <w:szCs w:val="20"/>
                <w:highlight w:val="none"/>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53</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46</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六面墙体油漆处理（双面）</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六面墙涂油漆两遍</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r>
              <w:rPr>
                <w:rFonts w:hint="eastAsia" w:ascii="仿宋" w:hAnsi="仿宋" w:eastAsia="仿宋" w:cs="仿宋"/>
                <w:color w:val="auto"/>
                <w:kern w:val="0"/>
                <w:sz w:val="20"/>
                <w:szCs w:val="20"/>
                <w:highlight w:val="none"/>
                <w:vertAlign w:val="superscript"/>
              </w:rPr>
              <w:t>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186</w:t>
            </w:r>
          </w:p>
        </w:tc>
      </w:tr>
      <w:tr>
        <w:tblPrEx>
          <w:tblCellMar>
            <w:top w:w="0" w:type="dxa"/>
            <w:left w:w="108" w:type="dxa"/>
            <w:bottom w:w="0" w:type="dxa"/>
            <w:right w:w="108" w:type="dxa"/>
          </w:tblCellMar>
        </w:tblPrEx>
        <w:trPr>
          <w:trHeight w:val="7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47</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防辐射壳体拐角、包角、顶部等处理</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焊接连接件（顶部龙骨吊钩及侧面天地龙骨连接件）</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48</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防辐射壳体与装饰脚件连接</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1.0×2.0(M)C级、HL-PBM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49</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防辐射降噪门</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四点锁紧电动旋转单开门</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扇</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50</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IC卡及密码门禁系统</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支持IC卡及密码开门</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51</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实施</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含屏蔽室运输、搬运以及现场安装费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96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52</w:t>
            </w:r>
          </w:p>
        </w:tc>
        <w:tc>
          <w:tcPr>
            <w:tcW w:w="0" w:type="auto"/>
            <w:vMerge w:val="restart"/>
            <w:tcBorders>
              <w:top w:val="nil"/>
              <w:left w:val="single" w:color="auto" w:sz="4" w:space="0"/>
              <w:bottom w:val="single" w:color="auto" w:sz="4" w:space="0"/>
              <w:right w:val="single" w:color="auto" w:sz="4" w:space="0"/>
            </w:tcBorders>
            <w:shd w:val="clear" w:color="auto" w:fill="auto"/>
            <w:noWrap/>
            <w:textDirection w:val="tbRlV"/>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供配电工程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综合配电动力配电柜</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 xml:space="preserve">1、柜体尺寸600mm宽*300mm深*2000mm高 </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2、总输入开关160A/4P*2pcs，PC级ATS 160A/4P*1pcs ；输出开关：125A/3P*2pcs，63A/3P*4pcs，32A/1P*3pcs,16A/1P*3pcs，10A/1P*3pcs；</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 xml:space="preserve">3、主路总开关配置智能电量仪，全电量监控和开关状态告警，支持485接口接入上层监控；                                                         </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4、浪涌保护器：In≥40kA，带控制开关。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53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浪涌保护器</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二级防雷40KVA</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54</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浪涌保护器</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三级防雷20KVA</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55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主进线缆</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ZR-YJV-4*95mm2+1*50mm2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56</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铜芯电线</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ZR-BV-2.5mm2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900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57</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铜芯电线</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ZR-BV-4mm2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600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58</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铜芯电缆</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ZR-VV-3×6mm2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260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59</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新排风机电缆</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ZR-VV-5×2.5mm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40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60</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空调电缆</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ZR-VV-5×16mm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61</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消防线</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ZR-RVS-2*1.0mm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w:t>
            </w:r>
          </w:p>
        </w:tc>
      </w:tr>
      <w:tr>
        <w:tblPrEx>
          <w:tblCellMar>
            <w:top w:w="0" w:type="dxa"/>
            <w:left w:w="108" w:type="dxa"/>
            <w:bottom w:w="0" w:type="dxa"/>
            <w:right w:w="108" w:type="dxa"/>
          </w:tblCellMar>
        </w:tblPrEx>
        <w:trPr>
          <w:trHeight w:val="7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62</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监控、消防RVV2*1.0电源线</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RVV2*1.0mm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63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工业连接器</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工业连接器</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26</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64</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市电五孔插座</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250V 10A</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6</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65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照明开关</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86型双开</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4</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67</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应急灯</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双头LED应急灯，后备电源不低于4小时</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68</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安全出口指示灯</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LED疏散通道标志灯牌，应急时间不低于180分钟</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69</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铝合金桥架</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300mm×3000mm铝合金桥架，含固线器所有配套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70</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光纤线缆槽架</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长度：2000mm 宽度：120mm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40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71</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金属封闭桥架</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200×100×1.2mm金属封闭桥架</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72</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金属软管</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Φ20，包塑，满足设计及业主要求</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200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7</w:t>
            </w:r>
            <w:r>
              <w:rPr>
                <w:rFonts w:hint="eastAsia" w:ascii="仿宋" w:hAnsi="仿宋" w:eastAsia="仿宋" w:cs="仿宋"/>
                <w:color w:val="auto"/>
                <w:kern w:val="0"/>
                <w:sz w:val="22"/>
                <w:highlight w:val="none"/>
                <w:lang w:val="en-US" w:eastAsia="zh-CN"/>
              </w:rPr>
              <w:t>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辅材</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配电辅材</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7</w:t>
            </w:r>
            <w:r>
              <w:rPr>
                <w:rFonts w:hint="eastAsia" w:ascii="仿宋" w:hAnsi="仿宋" w:eastAsia="仿宋" w:cs="仿宋"/>
                <w:color w:val="auto"/>
                <w:kern w:val="0"/>
                <w:sz w:val="22"/>
                <w:highlight w:val="none"/>
                <w:lang w:val="en-US" w:eastAsia="zh-CN"/>
              </w:rPr>
              <w:t>4</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主电缆铺设+机房配电施工</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从大楼低压配电房至4楼机房</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40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7</w:t>
            </w:r>
            <w:r>
              <w:rPr>
                <w:rFonts w:hint="eastAsia" w:ascii="仿宋" w:hAnsi="仿宋" w:eastAsia="仿宋" w:cs="仿宋"/>
                <w:color w:val="auto"/>
                <w:kern w:val="0"/>
                <w:sz w:val="22"/>
                <w:highlight w:val="none"/>
                <w:lang w:val="en-US" w:eastAsia="zh-CN"/>
              </w:rPr>
              <w:t>5</w:t>
            </w:r>
          </w:p>
        </w:tc>
        <w:tc>
          <w:tcPr>
            <w:tcW w:w="0" w:type="auto"/>
            <w:vMerge w:val="restart"/>
            <w:tcBorders>
              <w:top w:val="nil"/>
              <w:left w:val="single" w:color="auto" w:sz="4" w:space="0"/>
              <w:bottom w:val="single" w:color="auto" w:sz="4" w:space="0"/>
              <w:right w:val="single" w:color="auto" w:sz="4" w:space="0"/>
            </w:tcBorders>
            <w:shd w:val="clear" w:color="auto" w:fill="auto"/>
            <w:noWrap/>
            <w:textDirection w:val="tbRlV"/>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消防工程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火灾报警控制器</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1、液晶屏规格：128×64 点，可同屏显示 32 个汉字信息</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2、 控制器容量：</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 xml:space="preserve">  a. 最大容量为 242 个地址编码点</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 xml:space="preserve">  b. 可外接 64 台火灾显示盘（ VDR 设备）</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3、 线制：</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 xml:space="preserve">  a. 控制器与探测器间采用无极性信号二总线连接</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 xml:space="preserve">  b. 控制器与火灾显示盘（VDR 设备）采用四总线连接（有极性通讯二总线、无极性 DC24V电源线）</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4、电源：主电交流 220V 电压变化范围 ＋10%～－15%，内装 DC12V 10Ah 密封铅酸电</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池作备电</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16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7</w:t>
            </w:r>
            <w:r>
              <w:rPr>
                <w:rFonts w:hint="eastAsia" w:ascii="仿宋" w:hAnsi="仿宋" w:eastAsia="仿宋" w:cs="仿宋"/>
                <w:color w:val="auto"/>
                <w:kern w:val="0"/>
                <w:sz w:val="22"/>
                <w:highlight w:val="none"/>
                <w:lang w:val="en-US" w:eastAsia="zh-CN"/>
              </w:rPr>
              <w:t>6</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气体灭火控制盘</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1、工作电压：交流 AC220V 50/60Hz ，允许电压变化范围 AC176V～AC264V；</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2、备用电源：2 个 DC12V/7Ah 密封铅酸电池；</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3、气体喷洒输出：各区 DC24V/3A，脉冲方式/持续方式,可调；</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4、电池充电电流： 1.0A ～ 1.7A ；</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5、液晶屏规格﹕128×64 点，可同屏显示 32 个汉字信息；</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6、可带 2 个区的气体灭火设备，实现对 2 个防护区的保护。</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7</w:t>
            </w:r>
            <w:r>
              <w:rPr>
                <w:rFonts w:hint="eastAsia" w:ascii="仿宋" w:hAnsi="仿宋" w:eastAsia="仿宋" w:cs="仿宋"/>
                <w:color w:val="auto"/>
                <w:kern w:val="0"/>
                <w:sz w:val="22"/>
                <w:highlight w:val="none"/>
                <w:lang w:val="en-US" w:eastAsia="zh-CN"/>
              </w:rPr>
              <w:t>7</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智能型光电感烟探测器</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（1）工作电压：总线 24V，监视电流≤0.8mA，报警电流≤1.8mA</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4</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7</w:t>
            </w:r>
            <w:r>
              <w:rPr>
                <w:rFonts w:hint="eastAsia" w:ascii="仿宋" w:hAnsi="仿宋" w:eastAsia="仿宋" w:cs="仿宋"/>
                <w:color w:val="auto"/>
                <w:kern w:val="0"/>
                <w:sz w:val="22"/>
                <w:highlight w:val="none"/>
                <w:lang w:val="en-US" w:eastAsia="zh-CN"/>
              </w:rPr>
              <w:t>8</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智能型感温探测器</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（1）探测器类别：P（A1R 和 BS 可设</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4</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 w:hAnsi="仿宋" w:eastAsia="仿宋" w:cs="仿宋"/>
                <w:color w:val="auto"/>
                <w:kern w:val="0"/>
                <w:sz w:val="22"/>
                <w:highlight w:val="none"/>
                <w:lang w:val="en-US" w:eastAsia="zh-CN"/>
              </w:rPr>
            </w:pPr>
            <w:r>
              <w:rPr>
                <w:rFonts w:hint="eastAsia" w:ascii="仿宋" w:hAnsi="仿宋" w:eastAsia="仿宋" w:cs="仿宋"/>
                <w:color w:val="auto"/>
                <w:kern w:val="0"/>
                <w:sz w:val="22"/>
                <w:highlight w:val="none"/>
                <w:lang w:val="en-US" w:eastAsia="zh-CN"/>
              </w:rPr>
              <w:t>79</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探测器底座</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可与探测器匹配</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8</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8</w:t>
            </w:r>
            <w:r>
              <w:rPr>
                <w:rFonts w:hint="eastAsia" w:ascii="仿宋" w:hAnsi="仿宋" w:eastAsia="仿宋" w:cs="仿宋"/>
                <w:color w:val="auto"/>
                <w:kern w:val="0"/>
                <w:sz w:val="22"/>
                <w:highlight w:val="none"/>
                <w:lang w:val="en-US" w:eastAsia="zh-CN"/>
              </w:rPr>
              <w:t>0</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气体喷洒指示灯</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可与气体灭火控制器联动</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8</w:t>
            </w:r>
            <w:r>
              <w:rPr>
                <w:rFonts w:hint="eastAsia" w:ascii="仿宋" w:hAnsi="仿宋" w:eastAsia="仿宋" w:cs="仿宋"/>
                <w:color w:val="auto"/>
                <w:kern w:val="0"/>
                <w:sz w:val="22"/>
                <w:highlight w:val="none"/>
                <w:lang w:val="en-US" w:eastAsia="zh-CN"/>
              </w:rPr>
              <w:t>1</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紧急启动/停止按钮</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两线制可与气体灭火控制器连接</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8</w:t>
            </w:r>
            <w:r>
              <w:rPr>
                <w:rFonts w:hint="eastAsia" w:ascii="仿宋" w:hAnsi="仿宋" w:eastAsia="仿宋" w:cs="仿宋"/>
                <w:color w:val="auto"/>
                <w:kern w:val="0"/>
                <w:sz w:val="22"/>
                <w:highlight w:val="none"/>
                <w:lang w:val="en-US" w:eastAsia="zh-CN"/>
              </w:rPr>
              <w:t>2</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手动报警按钮</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红色</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8</w:t>
            </w:r>
            <w:r>
              <w:rPr>
                <w:rFonts w:hint="eastAsia" w:ascii="仿宋" w:hAnsi="仿宋" w:eastAsia="仿宋" w:cs="仿宋"/>
                <w:color w:val="auto"/>
                <w:kern w:val="0"/>
                <w:sz w:val="22"/>
                <w:highlight w:val="none"/>
                <w:lang w:val="en-US" w:eastAsia="zh-CN"/>
              </w:rPr>
              <w:t>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声光报警器</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红色</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8</w:t>
            </w:r>
            <w:r>
              <w:rPr>
                <w:rFonts w:hint="eastAsia" w:ascii="仿宋" w:hAnsi="仿宋" w:eastAsia="仿宋" w:cs="仿宋"/>
                <w:color w:val="auto"/>
                <w:kern w:val="0"/>
                <w:sz w:val="22"/>
                <w:highlight w:val="none"/>
                <w:lang w:val="en-US" w:eastAsia="zh-CN"/>
              </w:rPr>
              <w:t>4</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联网卡</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具备一路光电隔离的标准CAN 接口</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8</w:t>
            </w:r>
            <w:r>
              <w:rPr>
                <w:rFonts w:hint="eastAsia" w:ascii="仿宋" w:hAnsi="仿宋" w:eastAsia="仿宋" w:cs="仿宋"/>
                <w:color w:val="auto"/>
                <w:kern w:val="0"/>
                <w:sz w:val="22"/>
                <w:highlight w:val="none"/>
                <w:lang w:val="en-US" w:eastAsia="zh-CN"/>
              </w:rPr>
              <w:t>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泄压阀</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定制</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8</w:t>
            </w:r>
            <w:r>
              <w:rPr>
                <w:rFonts w:hint="eastAsia" w:ascii="仿宋" w:hAnsi="仿宋" w:eastAsia="仿宋" w:cs="仿宋"/>
                <w:color w:val="auto"/>
                <w:kern w:val="0"/>
                <w:sz w:val="22"/>
                <w:highlight w:val="none"/>
                <w:lang w:val="en-US" w:eastAsia="zh-CN"/>
              </w:rPr>
              <w:t>6</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消防检测</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第三方消防检测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8</w:t>
            </w:r>
            <w:r>
              <w:rPr>
                <w:rFonts w:hint="eastAsia" w:ascii="仿宋" w:hAnsi="仿宋" w:eastAsia="仿宋" w:cs="仿宋"/>
                <w:color w:val="auto"/>
                <w:kern w:val="0"/>
                <w:sz w:val="22"/>
                <w:highlight w:val="none"/>
                <w:lang w:val="en-US" w:eastAsia="zh-CN"/>
              </w:rPr>
              <w:t>7</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无管网灭火瓶组</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70L</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8</w:t>
            </w:r>
            <w:r>
              <w:rPr>
                <w:rFonts w:hint="eastAsia" w:ascii="仿宋" w:hAnsi="仿宋" w:eastAsia="仿宋" w:cs="仿宋"/>
                <w:color w:val="auto"/>
                <w:kern w:val="0"/>
                <w:sz w:val="22"/>
                <w:highlight w:val="none"/>
                <w:lang w:val="en-US" w:eastAsia="zh-CN"/>
              </w:rPr>
              <w:t>8</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七氟丙烷洁净药剂</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七氟丙烷</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公斤</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140</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 w:hAnsi="仿宋" w:eastAsia="仿宋" w:cs="仿宋"/>
                <w:color w:val="auto"/>
                <w:kern w:val="0"/>
                <w:sz w:val="22"/>
                <w:highlight w:val="none"/>
                <w:lang w:val="en-US" w:eastAsia="zh-CN"/>
              </w:rPr>
            </w:pPr>
            <w:r>
              <w:rPr>
                <w:rFonts w:hint="eastAsia" w:ascii="仿宋" w:hAnsi="仿宋" w:eastAsia="仿宋" w:cs="仿宋"/>
                <w:color w:val="auto"/>
                <w:kern w:val="0"/>
                <w:sz w:val="22"/>
                <w:highlight w:val="none"/>
                <w:lang w:val="en-US" w:eastAsia="zh-CN"/>
              </w:rPr>
              <w:t>89</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施工费+辅材+货运费用</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综合</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9</w:t>
            </w:r>
            <w:r>
              <w:rPr>
                <w:rFonts w:hint="eastAsia" w:ascii="仿宋" w:hAnsi="仿宋" w:eastAsia="仿宋" w:cs="仿宋"/>
                <w:color w:val="auto"/>
                <w:kern w:val="0"/>
                <w:sz w:val="22"/>
                <w:highlight w:val="none"/>
                <w:lang w:val="en-US" w:eastAsia="zh-CN"/>
              </w:rPr>
              <w:t>0</w:t>
            </w:r>
          </w:p>
        </w:tc>
        <w:tc>
          <w:tcPr>
            <w:tcW w:w="0" w:type="auto"/>
            <w:vMerge w:val="restart"/>
            <w:tcBorders>
              <w:top w:val="nil"/>
              <w:left w:val="single" w:color="auto" w:sz="4" w:space="0"/>
              <w:bottom w:val="single" w:color="auto" w:sz="4" w:space="0"/>
              <w:right w:val="single" w:color="auto" w:sz="4" w:space="0"/>
            </w:tcBorders>
            <w:shd w:val="clear" w:color="auto" w:fill="auto"/>
            <w:noWrap/>
            <w:textDirection w:val="tbRlV"/>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新排风工程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新风机</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风量1500m</w:t>
            </w:r>
            <w:r>
              <w:rPr>
                <w:rFonts w:hint="eastAsia" w:ascii="仿宋" w:hAnsi="仿宋" w:eastAsia="仿宋" w:cs="仿宋"/>
                <w:color w:val="auto"/>
                <w:kern w:val="0"/>
                <w:sz w:val="20"/>
                <w:szCs w:val="20"/>
                <w:highlight w:val="none"/>
                <w:vertAlign w:val="superscript"/>
              </w:rPr>
              <w:t>3</w:t>
            </w:r>
            <w:r>
              <w:rPr>
                <w:rFonts w:hint="eastAsia" w:ascii="仿宋" w:hAnsi="仿宋" w:eastAsia="仿宋" w:cs="仿宋"/>
                <w:color w:val="auto"/>
                <w:kern w:val="0"/>
                <w:sz w:val="20"/>
                <w:szCs w:val="20"/>
                <w:highlight w:val="none"/>
              </w:rPr>
              <w:t>/h ，标配墙面开关；风量三速可调</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9</w:t>
            </w:r>
            <w:r>
              <w:rPr>
                <w:rFonts w:hint="eastAsia" w:ascii="仿宋" w:hAnsi="仿宋" w:eastAsia="仿宋" w:cs="仿宋"/>
                <w:color w:val="auto"/>
                <w:kern w:val="0"/>
                <w:sz w:val="22"/>
                <w:highlight w:val="none"/>
                <w:lang w:val="en-US" w:eastAsia="zh-CN"/>
              </w:rPr>
              <w:t>1</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0"/>
                <w:szCs w:val="20"/>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排风机</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风量2000m</w:t>
            </w:r>
            <w:r>
              <w:rPr>
                <w:rFonts w:hint="eastAsia" w:ascii="仿宋" w:hAnsi="仿宋" w:eastAsia="仿宋" w:cs="仿宋"/>
                <w:color w:val="auto"/>
                <w:kern w:val="0"/>
                <w:sz w:val="20"/>
                <w:szCs w:val="20"/>
                <w:highlight w:val="none"/>
                <w:vertAlign w:val="superscript"/>
              </w:rPr>
              <w:t>3</w:t>
            </w:r>
            <w:r>
              <w:rPr>
                <w:rFonts w:hint="eastAsia" w:ascii="仿宋" w:hAnsi="仿宋" w:eastAsia="仿宋" w:cs="仿宋"/>
                <w:color w:val="auto"/>
                <w:kern w:val="0"/>
                <w:sz w:val="20"/>
                <w:szCs w:val="20"/>
                <w:highlight w:val="none"/>
              </w:rPr>
              <w:t>/h ，标配墙面开关；风量三速可调</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9</w:t>
            </w:r>
            <w:r>
              <w:rPr>
                <w:rFonts w:hint="eastAsia" w:ascii="仿宋" w:hAnsi="仿宋" w:eastAsia="仿宋" w:cs="仿宋"/>
                <w:color w:val="auto"/>
                <w:kern w:val="0"/>
                <w:sz w:val="22"/>
                <w:highlight w:val="none"/>
                <w:lang w:val="en-US" w:eastAsia="zh-CN"/>
              </w:rPr>
              <w:t>2</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0"/>
                <w:szCs w:val="20"/>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百叶进出风口</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250mm*250mm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6</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9</w:t>
            </w:r>
            <w:r>
              <w:rPr>
                <w:rFonts w:hint="eastAsia" w:ascii="仿宋" w:hAnsi="仿宋" w:eastAsia="仿宋" w:cs="仿宋"/>
                <w:color w:val="auto"/>
                <w:kern w:val="0"/>
                <w:sz w:val="22"/>
                <w:highlight w:val="none"/>
                <w:lang w:val="en-US" w:eastAsia="zh-CN"/>
              </w:rPr>
              <w:t>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0"/>
                <w:szCs w:val="20"/>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外墙防雨风口</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250mm*400mm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9</w:t>
            </w:r>
            <w:r>
              <w:rPr>
                <w:rFonts w:hint="eastAsia" w:ascii="仿宋" w:hAnsi="仿宋" w:eastAsia="仿宋" w:cs="仿宋"/>
                <w:color w:val="auto"/>
                <w:kern w:val="0"/>
                <w:sz w:val="22"/>
                <w:highlight w:val="none"/>
                <w:lang w:val="en-US" w:eastAsia="zh-CN"/>
              </w:rPr>
              <w:t>4</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0"/>
                <w:szCs w:val="20"/>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风管</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铁皮风管200mm*300mm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9</w:t>
            </w:r>
            <w:r>
              <w:rPr>
                <w:rFonts w:hint="eastAsia" w:ascii="仿宋" w:hAnsi="仿宋" w:eastAsia="仿宋" w:cs="仿宋"/>
                <w:color w:val="auto"/>
                <w:kern w:val="0"/>
                <w:sz w:val="22"/>
                <w:highlight w:val="none"/>
                <w:lang w:val="en-US" w:eastAsia="zh-CN"/>
              </w:rPr>
              <w:t>5</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0"/>
                <w:szCs w:val="20"/>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辅材</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新风辅材</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9</w:t>
            </w:r>
            <w:r>
              <w:rPr>
                <w:rFonts w:hint="eastAsia" w:ascii="仿宋" w:hAnsi="仿宋" w:eastAsia="仿宋" w:cs="仿宋"/>
                <w:color w:val="auto"/>
                <w:kern w:val="0"/>
                <w:sz w:val="22"/>
                <w:highlight w:val="none"/>
                <w:lang w:val="en-US" w:eastAsia="zh-CN"/>
              </w:rPr>
              <w:t>6</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0"/>
                <w:szCs w:val="20"/>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施工费用</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9</w:t>
            </w:r>
            <w:r>
              <w:rPr>
                <w:rFonts w:hint="eastAsia" w:ascii="仿宋" w:hAnsi="仿宋" w:eastAsia="仿宋" w:cs="仿宋"/>
                <w:color w:val="auto"/>
                <w:kern w:val="0"/>
                <w:sz w:val="22"/>
                <w:highlight w:val="none"/>
                <w:lang w:val="en-US" w:eastAsia="zh-CN"/>
              </w:rPr>
              <w:t>7</w:t>
            </w:r>
          </w:p>
        </w:tc>
        <w:tc>
          <w:tcPr>
            <w:tcW w:w="0" w:type="auto"/>
            <w:vMerge w:val="restart"/>
            <w:tcBorders>
              <w:top w:val="nil"/>
              <w:left w:val="single" w:color="auto" w:sz="4" w:space="0"/>
              <w:bottom w:val="single" w:color="auto" w:sz="4" w:space="0"/>
              <w:right w:val="single" w:color="auto" w:sz="4" w:space="0"/>
            </w:tcBorders>
            <w:shd w:val="clear" w:color="auto" w:fill="auto"/>
            <w:noWrap/>
            <w:textDirection w:val="tbRlV"/>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防雷接地工程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接地铜排</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机房专用30×3mm接地铜排</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90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9</w:t>
            </w:r>
            <w:r>
              <w:rPr>
                <w:rFonts w:hint="eastAsia" w:ascii="仿宋" w:hAnsi="仿宋" w:eastAsia="仿宋" w:cs="仿宋"/>
                <w:color w:val="auto"/>
                <w:kern w:val="0"/>
                <w:sz w:val="22"/>
                <w:highlight w:val="none"/>
                <w:lang w:val="en-US" w:eastAsia="zh-CN"/>
              </w:rPr>
              <w:t>8</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0"/>
                <w:szCs w:val="20"/>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绝缘支柱</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铜排安装支柱</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90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 w:hAnsi="仿宋" w:eastAsia="仿宋" w:cs="仿宋"/>
                <w:color w:val="auto"/>
                <w:kern w:val="0"/>
                <w:sz w:val="22"/>
                <w:highlight w:val="none"/>
                <w:lang w:val="en-US" w:eastAsia="zh-CN"/>
              </w:rPr>
            </w:pPr>
            <w:r>
              <w:rPr>
                <w:rFonts w:hint="eastAsia" w:ascii="仿宋" w:hAnsi="仿宋" w:eastAsia="仿宋" w:cs="仿宋"/>
                <w:color w:val="auto"/>
                <w:kern w:val="0"/>
                <w:sz w:val="22"/>
                <w:highlight w:val="none"/>
                <w:lang w:val="en-US" w:eastAsia="zh-CN"/>
              </w:rPr>
              <w:t>99</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0"/>
                <w:szCs w:val="20"/>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局部等电位箱</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300×200mm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10</w:t>
            </w:r>
            <w:r>
              <w:rPr>
                <w:rFonts w:hint="eastAsia" w:ascii="仿宋" w:hAnsi="仿宋" w:eastAsia="仿宋" w:cs="仿宋"/>
                <w:color w:val="auto"/>
                <w:kern w:val="0"/>
                <w:sz w:val="22"/>
                <w:highlight w:val="none"/>
                <w:lang w:val="en-US" w:eastAsia="zh-CN"/>
              </w:rPr>
              <w:t>0</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0"/>
                <w:szCs w:val="20"/>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接地引线</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WDZ-BVR-50mm2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val="en-US" w:eastAsia="zh-CN"/>
              </w:rPr>
            </w:pPr>
            <w:r>
              <w:rPr>
                <w:rFonts w:hint="eastAsia" w:ascii="仿宋" w:hAnsi="仿宋" w:eastAsia="仿宋" w:cs="仿宋"/>
                <w:color w:val="auto"/>
                <w:kern w:val="0"/>
                <w:sz w:val="22"/>
                <w:highlight w:val="none"/>
              </w:rPr>
              <w:t>10</w:t>
            </w:r>
            <w:r>
              <w:rPr>
                <w:rFonts w:hint="eastAsia" w:ascii="仿宋" w:hAnsi="仿宋" w:eastAsia="仿宋" w:cs="仿宋"/>
                <w:color w:val="auto"/>
                <w:kern w:val="0"/>
                <w:sz w:val="22"/>
                <w:highlight w:val="none"/>
                <w:lang w:val="en-US" w:eastAsia="zh-CN"/>
              </w:rPr>
              <w:t>1</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0"/>
                <w:szCs w:val="20"/>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接地连接线</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BVR-16mm2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50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10</w:t>
            </w:r>
            <w:r>
              <w:rPr>
                <w:rFonts w:hint="eastAsia" w:ascii="仿宋" w:hAnsi="仿宋" w:eastAsia="仿宋" w:cs="仿宋"/>
                <w:color w:val="auto"/>
                <w:kern w:val="0"/>
                <w:sz w:val="22"/>
                <w:highlight w:val="none"/>
                <w:lang w:val="en-US" w:eastAsia="zh-CN"/>
              </w:rPr>
              <w:t>2</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0"/>
                <w:szCs w:val="20"/>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接地连接线</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BVR-6mm2</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m</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100</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10</w:t>
            </w:r>
            <w:r>
              <w:rPr>
                <w:rFonts w:hint="eastAsia" w:ascii="仿宋" w:hAnsi="仿宋" w:eastAsia="仿宋" w:cs="仿宋"/>
                <w:color w:val="auto"/>
                <w:kern w:val="0"/>
                <w:sz w:val="22"/>
                <w:highlight w:val="none"/>
                <w:lang w:val="en-US" w:eastAsia="zh-CN"/>
              </w:rPr>
              <w:t>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0"/>
                <w:szCs w:val="20"/>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施工费用</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防雷接地施工</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10</w:t>
            </w:r>
            <w:r>
              <w:rPr>
                <w:rFonts w:hint="eastAsia" w:ascii="仿宋" w:hAnsi="仿宋" w:eastAsia="仿宋" w:cs="仿宋"/>
                <w:color w:val="auto"/>
                <w:kern w:val="0"/>
                <w:sz w:val="22"/>
                <w:highlight w:val="none"/>
                <w:lang w:val="en-US" w:eastAsia="zh-CN"/>
              </w:rPr>
              <w:t>4</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0"/>
                <w:szCs w:val="20"/>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防雷检测</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第三方防雷检测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469"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10</w:t>
            </w:r>
            <w:r>
              <w:rPr>
                <w:rFonts w:hint="eastAsia" w:ascii="仿宋" w:hAnsi="仿宋" w:eastAsia="仿宋" w:cs="仿宋"/>
                <w:color w:val="auto"/>
                <w:kern w:val="0"/>
                <w:sz w:val="22"/>
                <w:highlight w:val="none"/>
                <w:lang w:val="en-US" w:eastAsia="zh-CN"/>
              </w:rPr>
              <w:t>5</w:t>
            </w:r>
          </w:p>
        </w:tc>
        <w:tc>
          <w:tcPr>
            <w:tcW w:w="0" w:type="auto"/>
            <w:vMerge w:val="restart"/>
            <w:tcBorders>
              <w:top w:val="nil"/>
              <w:left w:val="single" w:color="auto" w:sz="4" w:space="0"/>
              <w:bottom w:val="single" w:color="auto" w:sz="4" w:space="0"/>
              <w:right w:val="single" w:color="auto" w:sz="4" w:space="0"/>
            </w:tcBorders>
            <w:shd w:val="clear" w:color="auto" w:fill="auto"/>
            <w:noWrap/>
            <w:textDirection w:val="tbRlV"/>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门禁工程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人脸门禁一体机</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1.采用≥7英寸LCD触摸显示屏，屏幕流明度≥350cd/㎡，分辨率≥1024×600，屏幕防暴等级不低于IK04。采用嵌入式Linux系统，支持指纹蓝牙一体模块（具有指纹和蓝牙功能）或身份证模块拼接扩展。</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2.具有IC卡、身份证卡号读取功能，支持CPU卡内容读取及开启/关闭NFC刷卡功能。</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3.支持认证方式：人脸识别、刷卡、二维码、密码；支持人脸识别、刷卡、二维码、密码之中任意一种、任意两种组合、任意三种组合的认证开门； 当设备与门锁联动时，可对识别媒介（人脸、指纹、卡、密码）的使用权限进行设置，根据使用场景和组合认证方式实现以下开门功能：多重卡认证开门、多重卡+中心远程认证开门、多重卡+超级密码开门、多重卡+超级卡开门、首卡开门、超级权限开门、管理中心远程开门、APP远程开门、室内机及管理机远程开门等；支持按时间分时段管控门禁权限，支持≥255组时段计划模板，支持≥1024个假日计划管理；支持常开、常闭时段管理；支持首卡开门管理。</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4.具有人脸识别功能，现场抓拍人脸照片与本地人脸库照片进行比对，进行人员身份核验；具有人脸在画面内持续动态跟踪功能；具有本地离线人脸比对功能；支持联网与后端平台对接实现人脸比对；支持侧脸、部分遮挡、表情、戴眼镜及帽子情景下的人脸识别；支持用户人脸数据下载及人脸识别双线程同步；人脸识别水平、垂直区域范围可设置；人脸在上下、左右角度偏转±45度范围内能识别，且识别角度可设置；支持人脸识别多阈值设置。本地人脸库存储容量≥5000张，本地卡存储容量≥6000张。人脸识别误识率≤0.01%的条件下，准确率应≥99.85%；人脸比对平均时间≤0.2s。</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5.支持多种人脸注册方式：本地人脸注册、本地U盘导入人员信息、远程中心下发人脸、通过APP采集人脸并注册下发等。</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6.具有视频对讲功能，可跟平台或客户端、室内机、管理机、手机APP进行视频对讲。</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7.具有管理中心远程视频预览功能；支持NVR设备接入；支持双码流，主码流1280×720@25fps、子码流1280×720@25fps。</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8.支持中心下发黑名单信息；支持本地黑名单信息比对；具有本地黑名单报警功能，报警信息可上传平台。</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9.具有以下报警功能：当连续若干次在目标信息识读设备或管理/控制部分上实施错误操作时；当未使用授权的钥匙而强行通过出入口；未经正常操作而使出入口开启时；出入口开启时间超过设定值；设备被拆除； 胁迫码；黑名单事件；具有不低于2路入侵探测接口，能联动报警输出；具有防拆功能，强力拆除时，可上传报警事件到中心。</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10.支持授权人员刷人脸时可抓拍图片并实时上传平台；支持接入消防应急信号联动开门。</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11.支持通过WEB进行设备信息查询;支持通过WEB进行用户信息管理;支持通过WEB进行时间管理;支持通过WEB进行系统维护;支持通过WEB进行安全操作管理;支持通过WEB进行人脸、指纹技术参数配置;支持通过WEB进行图像参数配置。</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10</w:t>
            </w:r>
            <w:r>
              <w:rPr>
                <w:rFonts w:hint="eastAsia" w:ascii="仿宋" w:hAnsi="仿宋" w:eastAsia="仿宋" w:cs="仿宋"/>
                <w:color w:val="auto"/>
                <w:kern w:val="0"/>
                <w:sz w:val="22"/>
                <w:highlight w:val="none"/>
                <w:lang w:val="en-US" w:eastAsia="zh-CN"/>
              </w:rPr>
              <w:t>6</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出门按钮（感应）</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体感非接触感应输出信号。具有LED指示灯，具有待机状态、动作状态的状态显示。</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10</w:t>
            </w:r>
            <w:r>
              <w:rPr>
                <w:rFonts w:hint="eastAsia" w:ascii="仿宋" w:hAnsi="仿宋" w:eastAsia="仿宋" w:cs="仿宋"/>
                <w:color w:val="auto"/>
                <w:kern w:val="0"/>
                <w:sz w:val="22"/>
                <w:highlight w:val="none"/>
                <w:lang w:val="en-US" w:eastAsia="zh-CN"/>
              </w:rPr>
              <w:t>7</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磁力电锁/下插锁</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≥280kg静态直线拉力的单门磁力锁</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把</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10</w:t>
            </w:r>
            <w:r>
              <w:rPr>
                <w:rFonts w:hint="eastAsia" w:ascii="仿宋" w:hAnsi="仿宋" w:eastAsia="仿宋" w:cs="仿宋"/>
                <w:color w:val="auto"/>
                <w:kern w:val="0"/>
                <w:sz w:val="22"/>
                <w:highlight w:val="none"/>
                <w:lang w:val="en-US" w:eastAsia="zh-CN"/>
              </w:rPr>
              <w:t>8</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门禁电源盒</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12V2A</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 w:hAnsi="仿宋" w:eastAsia="仿宋" w:cs="仿宋"/>
                <w:color w:val="auto"/>
                <w:kern w:val="0"/>
                <w:sz w:val="22"/>
                <w:highlight w:val="none"/>
                <w:lang w:val="en-US" w:eastAsia="zh-CN"/>
              </w:rPr>
            </w:pPr>
            <w:r>
              <w:rPr>
                <w:rFonts w:hint="eastAsia" w:ascii="仿宋" w:hAnsi="仿宋" w:eastAsia="仿宋" w:cs="仿宋"/>
                <w:color w:val="auto"/>
                <w:kern w:val="0"/>
                <w:sz w:val="22"/>
                <w:highlight w:val="none"/>
              </w:rPr>
              <w:t>1</w:t>
            </w:r>
            <w:r>
              <w:rPr>
                <w:rFonts w:hint="eastAsia" w:ascii="仿宋" w:hAnsi="仿宋" w:eastAsia="仿宋" w:cs="仿宋"/>
                <w:color w:val="auto"/>
                <w:kern w:val="0"/>
                <w:sz w:val="22"/>
                <w:highlight w:val="none"/>
                <w:lang w:val="en-US" w:eastAsia="zh-CN"/>
              </w:rPr>
              <w:t>09</w:t>
            </w:r>
          </w:p>
        </w:tc>
        <w:tc>
          <w:tcPr>
            <w:tcW w:w="0" w:type="auto"/>
            <w:vMerge w:val="restart"/>
            <w:tcBorders>
              <w:top w:val="nil"/>
              <w:left w:val="single" w:color="auto" w:sz="4" w:space="0"/>
              <w:bottom w:val="single" w:color="auto" w:sz="4" w:space="0"/>
              <w:right w:val="single" w:color="auto" w:sz="4" w:space="0"/>
            </w:tcBorders>
            <w:shd w:val="clear" w:color="auto" w:fill="auto"/>
            <w:noWrap/>
            <w:textDirection w:val="tbRlV"/>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视频监控</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16路硬盘录像机</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1、16路NVR数字高清</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2、需能够接入温江区政务数据中心视频监控系统。</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 w:hAnsi="仿宋" w:eastAsia="仿宋" w:cs="仿宋"/>
                <w:color w:val="auto"/>
                <w:kern w:val="0"/>
                <w:sz w:val="22"/>
                <w:highlight w:val="none"/>
                <w:lang w:val="en-US" w:eastAsia="zh-CN"/>
              </w:rPr>
            </w:pPr>
            <w:r>
              <w:rPr>
                <w:rFonts w:hint="eastAsia" w:ascii="仿宋" w:hAnsi="仿宋" w:eastAsia="仿宋" w:cs="仿宋"/>
                <w:color w:val="auto"/>
                <w:kern w:val="0"/>
                <w:sz w:val="22"/>
                <w:highlight w:val="none"/>
              </w:rPr>
              <w:t>1</w:t>
            </w:r>
            <w:r>
              <w:rPr>
                <w:rFonts w:hint="eastAsia" w:ascii="仿宋" w:hAnsi="仿宋" w:eastAsia="仿宋" w:cs="仿宋"/>
                <w:color w:val="auto"/>
                <w:kern w:val="0"/>
                <w:sz w:val="22"/>
                <w:highlight w:val="none"/>
                <w:lang w:val="en-US" w:eastAsia="zh-CN"/>
              </w:rPr>
              <w:t>10</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半球摄像头</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不低于200万像素，POE供电</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6</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11</w:t>
            </w:r>
            <w:r>
              <w:rPr>
                <w:rFonts w:hint="eastAsia" w:ascii="仿宋" w:hAnsi="仿宋" w:eastAsia="仿宋" w:cs="仿宋"/>
                <w:color w:val="auto"/>
                <w:kern w:val="0"/>
                <w:sz w:val="22"/>
                <w:highlight w:val="none"/>
                <w:lang w:val="en-US" w:eastAsia="zh-CN"/>
              </w:rPr>
              <w:t>1</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监控专用硬盘</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不低于6T</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11</w:t>
            </w:r>
            <w:r>
              <w:rPr>
                <w:rFonts w:hint="eastAsia" w:ascii="仿宋" w:hAnsi="仿宋" w:eastAsia="仿宋" w:cs="仿宋"/>
                <w:color w:val="auto"/>
                <w:kern w:val="0"/>
                <w:sz w:val="22"/>
                <w:highlight w:val="none"/>
                <w:lang w:val="en-US" w:eastAsia="zh-CN"/>
              </w:rPr>
              <w:t>2</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POE交换机</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24口POE交换机</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11</w:t>
            </w:r>
            <w:r>
              <w:rPr>
                <w:rFonts w:hint="eastAsia" w:ascii="仿宋" w:hAnsi="仿宋" w:eastAsia="仿宋" w:cs="仿宋"/>
                <w:color w:val="auto"/>
                <w:kern w:val="0"/>
                <w:sz w:val="22"/>
                <w:highlight w:val="none"/>
                <w:lang w:val="en-US" w:eastAsia="zh-CN"/>
              </w:rPr>
              <w:t>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施工费用</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19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11</w:t>
            </w:r>
            <w:r>
              <w:rPr>
                <w:rFonts w:hint="eastAsia" w:ascii="仿宋" w:hAnsi="仿宋" w:eastAsia="仿宋" w:cs="仿宋"/>
                <w:color w:val="auto"/>
                <w:kern w:val="0"/>
                <w:sz w:val="22"/>
                <w:highlight w:val="none"/>
                <w:lang w:val="en-US" w:eastAsia="zh-CN"/>
              </w:rPr>
              <w:t>4</w:t>
            </w:r>
          </w:p>
        </w:tc>
        <w:tc>
          <w:tcPr>
            <w:tcW w:w="0" w:type="auto"/>
            <w:tcBorders>
              <w:top w:val="nil"/>
              <w:left w:val="nil"/>
              <w:bottom w:val="nil"/>
              <w:right w:val="single" w:color="auto" w:sz="4" w:space="0"/>
            </w:tcBorders>
            <w:shd w:val="clear" w:color="auto" w:fill="auto"/>
            <w:noWrap/>
            <w:textDirection w:val="tbRlV"/>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制冷系统</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精密空调</w:t>
            </w:r>
          </w:p>
        </w:tc>
        <w:tc>
          <w:tcPr>
            <w:tcW w:w="0" w:type="auto"/>
            <w:tcBorders>
              <w:top w:val="nil"/>
              <w:left w:val="nil"/>
              <w:bottom w:val="single" w:color="auto" w:sz="4" w:space="0"/>
              <w:right w:val="single" w:color="auto" w:sz="4" w:space="0"/>
            </w:tcBorders>
            <w:shd w:val="clear" w:color="auto" w:fill="auto"/>
            <w:vAlign w:val="center"/>
          </w:tcPr>
          <w:p>
            <w:pPr>
              <w:widowControl/>
              <w:spacing w:after="240"/>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1、30KW房级空调，含室内机和室外机；</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2、采用R410A环保冷媒，可适应最低-10℃室外温度；</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3、含加热加湿，标配485卡；</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4、采用最先进的直流变频涡旋压缩机配搭电子膨胀阀、直流变频EC 风机，EC风机室内风机至少2台，显冷量33KW以上，风量满足8000m3/h以上；</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5、可插拔式电路控制板设计，配有风扇接触器和过载保护；</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6、标配电子膨胀阀、可调速室外风机、温度传感器；</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r>
      <w:tr>
        <w:tblPrEx>
          <w:tblCellMar>
            <w:top w:w="0" w:type="dxa"/>
            <w:left w:w="108" w:type="dxa"/>
            <w:bottom w:w="0" w:type="dxa"/>
            <w:right w:w="108" w:type="dxa"/>
          </w:tblCellMar>
        </w:tblPrEx>
        <w:trPr>
          <w:trHeight w:val="144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11</w:t>
            </w:r>
            <w:r>
              <w:rPr>
                <w:rFonts w:hint="eastAsia" w:ascii="仿宋" w:hAnsi="仿宋" w:eastAsia="仿宋" w:cs="仿宋"/>
                <w:color w:val="auto"/>
                <w:kern w:val="0"/>
                <w:sz w:val="22"/>
                <w:highlight w:val="none"/>
                <w:lang w:val="en-US" w:eastAsia="zh-CN"/>
              </w:rPr>
              <w:t>5</w:t>
            </w:r>
          </w:p>
        </w:tc>
        <w:tc>
          <w:tcPr>
            <w:tcW w:w="0" w:type="auto"/>
            <w:vMerge w:val="restart"/>
            <w:tcBorders>
              <w:top w:val="single" w:color="auto" w:sz="4" w:space="0"/>
              <w:left w:val="single" w:color="auto" w:sz="4" w:space="0"/>
              <w:bottom w:val="single" w:color="000000" w:sz="4" w:space="0"/>
              <w:right w:val="single" w:color="auto" w:sz="4" w:space="0"/>
            </w:tcBorders>
            <w:shd w:val="clear" w:color="auto" w:fill="auto"/>
            <w:noWrap/>
            <w:textDirection w:val="tbRlV"/>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机柜</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机柜</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1、机柜要求为19 英寸42U工业标准服务器机柜，尺寸600mm*1200mm*2000mm；</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2、立柱、方孔条和框架材料等不低于1.5mm，门板、侧板、顶板厚度不低于1.2mm，坚固可靠，静态承载能力≧1000kg；</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3、机柜采用网孔门，通孔率不低于75%；</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4、配置满足实际需求的承重板；</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5、标配4只脚轮和4只调平支脚，每台机柜自带≥40套螺钉螺母。</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13</w:t>
            </w:r>
          </w:p>
        </w:tc>
      </w:tr>
      <w:tr>
        <w:tblPrEx>
          <w:tblCellMar>
            <w:top w:w="0" w:type="dxa"/>
            <w:left w:w="108" w:type="dxa"/>
            <w:bottom w:w="0" w:type="dxa"/>
            <w:right w:w="108" w:type="dxa"/>
          </w:tblCellMar>
        </w:tblPrEx>
        <w:trPr>
          <w:trHeight w:val="144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11</w:t>
            </w:r>
            <w:r>
              <w:rPr>
                <w:rFonts w:hint="eastAsia" w:ascii="仿宋" w:hAnsi="仿宋" w:eastAsia="仿宋" w:cs="仿宋"/>
                <w:color w:val="auto"/>
                <w:kern w:val="0"/>
                <w:sz w:val="22"/>
                <w:highlight w:val="none"/>
                <w:lang w:val="en-US" w:eastAsia="zh-CN"/>
              </w:rPr>
              <w:t>6</w:t>
            </w:r>
          </w:p>
        </w:tc>
        <w:tc>
          <w:tcPr>
            <w:tcW w:w="0" w:type="auto"/>
            <w:vMerge w:val="continue"/>
            <w:tcBorders>
              <w:top w:val="single" w:color="auto" w:sz="4" w:space="0"/>
              <w:left w:val="single" w:color="auto" w:sz="4" w:space="0"/>
              <w:bottom w:val="single" w:color="000000"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PDU C13*20+C19*4位(5m)</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 交流PDU采用黑色。</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2. PDU安装需兼容法兰支架安装和无工具安装两种方式。</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3. 采用铝制机壳，塑料面盖板。需坚固耐用，抗压性能、耐蚀性能良好，工艺先进，美观大方。</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4. 最高运行温度为≥45℃，提供彩页证明；</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5. PDU须垂直安装在机柜后部，PDU与机柜的固定方式应方便灵活，利于安装、拆卸；</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6. 规格：输入32A带工业连接器、输出20位C13和4位C19。</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26</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11</w:t>
            </w:r>
            <w:r>
              <w:rPr>
                <w:rFonts w:hint="eastAsia" w:ascii="仿宋" w:hAnsi="仿宋" w:eastAsia="仿宋" w:cs="仿宋"/>
                <w:color w:val="auto"/>
                <w:kern w:val="0"/>
                <w:sz w:val="22"/>
                <w:highlight w:val="none"/>
                <w:lang w:val="en-US" w:eastAsia="zh-CN"/>
              </w:rPr>
              <w:t>7</w:t>
            </w:r>
          </w:p>
        </w:tc>
        <w:tc>
          <w:tcPr>
            <w:tcW w:w="0" w:type="auto"/>
            <w:vMerge w:val="restart"/>
            <w:tcBorders>
              <w:top w:val="nil"/>
              <w:left w:val="single" w:color="auto" w:sz="4" w:space="0"/>
              <w:bottom w:val="nil"/>
              <w:right w:val="single" w:color="auto" w:sz="4" w:space="0"/>
            </w:tcBorders>
            <w:shd w:val="clear" w:color="auto" w:fill="auto"/>
            <w:noWrap/>
            <w:textDirection w:val="tbRlV"/>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环控系统</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环控显示装置</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1、21.5寸电容触摸一体机，分辨率 不低于1920x1080，网卡 集成 10/100/1000M 自适应网卡，无线网卡 802.11a/b/g/n ；含环控软件一套；</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2、环控系统需能够接入温江区政务数据中心环控中心统一管理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16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11</w:t>
            </w:r>
            <w:r>
              <w:rPr>
                <w:rFonts w:hint="eastAsia" w:ascii="仿宋" w:hAnsi="仿宋" w:eastAsia="仿宋" w:cs="仿宋"/>
                <w:color w:val="auto"/>
                <w:kern w:val="0"/>
                <w:sz w:val="22"/>
                <w:highlight w:val="none"/>
                <w:lang w:val="en-US" w:eastAsia="zh-CN"/>
              </w:rPr>
              <w:t>8</w:t>
            </w:r>
          </w:p>
        </w:tc>
        <w:tc>
          <w:tcPr>
            <w:tcW w:w="0" w:type="auto"/>
            <w:vMerge w:val="continue"/>
            <w:tcBorders>
              <w:top w:val="nil"/>
              <w:left w:val="single" w:color="auto" w:sz="4" w:space="0"/>
              <w:bottom w:val="nil"/>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环控数据采集器</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1、1U机架式采集器：</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2、工业级设计内嵌Linux操作系统</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3、支持5路以上RS485数据采集接口</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4、支持路RS232数据采集接口</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5、支持不低于12路DI信号输入及4路DO信号输出</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6、支持TCP/IP数据上传、支持RS485/232数据采集、支持DI/DO数据采集、支持SNMP协议采集交换机及服务器工作状态数据、支持UPS数据采、提供北向接口供数据上传，支持烟感报警信号可控制天窗打开，具备短信告警功能，邮件告警功能,APP功能</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 w:hAnsi="仿宋" w:eastAsia="仿宋" w:cs="仿宋"/>
                <w:color w:val="auto"/>
                <w:kern w:val="0"/>
                <w:sz w:val="22"/>
                <w:highlight w:val="none"/>
                <w:lang w:val="en-US" w:eastAsia="zh-CN"/>
              </w:rPr>
            </w:pPr>
            <w:r>
              <w:rPr>
                <w:rFonts w:hint="eastAsia" w:ascii="仿宋" w:hAnsi="仿宋" w:eastAsia="仿宋" w:cs="仿宋"/>
                <w:color w:val="auto"/>
                <w:kern w:val="0"/>
                <w:sz w:val="22"/>
                <w:highlight w:val="none"/>
              </w:rPr>
              <w:t>1</w:t>
            </w:r>
            <w:r>
              <w:rPr>
                <w:rFonts w:hint="eastAsia" w:ascii="仿宋" w:hAnsi="仿宋" w:eastAsia="仿宋" w:cs="仿宋"/>
                <w:color w:val="auto"/>
                <w:kern w:val="0"/>
                <w:sz w:val="22"/>
                <w:highlight w:val="none"/>
                <w:lang w:val="en-US" w:eastAsia="zh-CN"/>
              </w:rPr>
              <w:t>19</w:t>
            </w:r>
          </w:p>
        </w:tc>
        <w:tc>
          <w:tcPr>
            <w:tcW w:w="0" w:type="auto"/>
            <w:vMerge w:val="continue"/>
            <w:tcBorders>
              <w:top w:val="nil"/>
              <w:left w:val="single" w:color="auto" w:sz="4" w:space="0"/>
              <w:bottom w:val="nil"/>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交换机</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8口百兆自适应交换机</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12</w:t>
            </w:r>
            <w:r>
              <w:rPr>
                <w:rFonts w:hint="eastAsia" w:ascii="仿宋" w:hAnsi="仿宋" w:eastAsia="仿宋" w:cs="仿宋"/>
                <w:color w:val="auto"/>
                <w:kern w:val="0"/>
                <w:sz w:val="22"/>
                <w:highlight w:val="none"/>
                <w:lang w:val="en-US" w:eastAsia="zh-CN"/>
              </w:rPr>
              <w:t>0</w:t>
            </w:r>
          </w:p>
        </w:tc>
        <w:tc>
          <w:tcPr>
            <w:tcW w:w="0" w:type="auto"/>
            <w:vMerge w:val="continue"/>
            <w:tcBorders>
              <w:top w:val="nil"/>
              <w:left w:val="single" w:color="auto" w:sz="4" w:space="0"/>
              <w:bottom w:val="nil"/>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温湿度传感器</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温湿度传感器，感测范围温度在在-40度至80度之间，精度不小于0.5；湿度范围0-80%RH;</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4</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12</w:t>
            </w:r>
            <w:r>
              <w:rPr>
                <w:rFonts w:hint="eastAsia" w:ascii="仿宋" w:hAnsi="仿宋" w:eastAsia="仿宋" w:cs="仿宋"/>
                <w:color w:val="auto"/>
                <w:kern w:val="0"/>
                <w:sz w:val="22"/>
                <w:highlight w:val="none"/>
                <w:lang w:val="en-US" w:eastAsia="zh-CN"/>
              </w:rPr>
              <w:t>1</w:t>
            </w:r>
          </w:p>
        </w:tc>
        <w:tc>
          <w:tcPr>
            <w:tcW w:w="0" w:type="auto"/>
            <w:vMerge w:val="continue"/>
            <w:tcBorders>
              <w:top w:val="nil"/>
              <w:left w:val="single" w:color="auto" w:sz="4" w:space="0"/>
              <w:bottom w:val="nil"/>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烟雾传感器</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防火报警烟雾监测，DC12V供电，光电无声型</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个</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12</w:t>
            </w:r>
            <w:r>
              <w:rPr>
                <w:rFonts w:hint="eastAsia" w:ascii="仿宋" w:hAnsi="仿宋" w:eastAsia="仿宋" w:cs="仿宋"/>
                <w:color w:val="auto"/>
                <w:kern w:val="0"/>
                <w:sz w:val="22"/>
                <w:highlight w:val="none"/>
                <w:lang w:val="en-US" w:eastAsia="zh-CN"/>
              </w:rPr>
              <w:t>2</w:t>
            </w:r>
          </w:p>
        </w:tc>
        <w:tc>
          <w:tcPr>
            <w:tcW w:w="0" w:type="auto"/>
            <w:vMerge w:val="continue"/>
            <w:tcBorders>
              <w:top w:val="nil"/>
              <w:left w:val="single" w:color="auto" w:sz="4" w:space="0"/>
              <w:bottom w:val="nil"/>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漏水监测设备</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非定位漏水绳，长度不少于7.5米</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12</w:t>
            </w:r>
            <w:r>
              <w:rPr>
                <w:rFonts w:hint="eastAsia" w:ascii="仿宋" w:hAnsi="仿宋" w:eastAsia="仿宋" w:cs="仿宋"/>
                <w:color w:val="auto"/>
                <w:kern w:val="0"/>
                <w:sz w:val="22"/>
                <w:highlight w:val="none"/>
                <w:lang w:val="en-US" w:eastAsia="zh-CN"/>
              </w:rPr>
              <w:t>3</w:t>
            </w:r>
          </w:p>
        </w:tc>
        <w:tc>
          <w:tcPr>
            <w:tcW w:w="0" w:type="auto"/>
            <w:vMerge w:val="continue"/>
            <w:tcBorders>
              <w:top w:val="nil"/>
              <w:left w:val="single" w:color="auto" w:sz="4" w:space="0"/>
              <w:bottom w:val="nil"/>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UPS监控</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监控1台UPS</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12</w:t>
            </w:r>
            <w:r>
              <w:rPr>
                <w:rFonts w:hint="eastAsia" w:ascii="仿宋" w:hAnsi="仿宋" w:eastAsia="仿宋" w:cs="仿宋"/>
                <w:color w:val="auto"/>
                <w:kern w:val="0"/>
                <w:sz w:val="22"/>
                <w:highlight w:val="none"/>
                <w:lang w:val="en-US" w:eastAsia="zh-CN"/>
              </w:rPr>
              <w:t>4</w:t>
            </w:r>
          </w:p>
        </w:tc>
        <w:tc>
          <w:tcPr>
            <w:tcW w:w="0" w:type="auto"/>
            <w:vMerge w:val="continue"/>
            <w:tcBorders>
              <w:top w:val="nil"/>
              <w:left w:val="single" w:color="auto" w:sz="4" w:space="0"/>
              <w:bottom w:val="nil"/>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精密空调监控</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监控2台房间级精密空调</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12</w:t>
            </w:r>
            <w:r>
              <w:rPr>
                <w:rFonts w:hint="eastAsia" w:ascii="仿宋" w:hAnsi="仿宋" w:eastAsia="仿宋" w:cs="仿宋"/>
                <w:color w:val="auto"/>
                <w:kern w:val="0"/>
                <w:sz w:val="22"/>
                <w:highlight w:val="none"/>
                <w:lang w:val="en-US" w:eastAsia="zh-CN"/>
              </w:rPr>
              <w:t>5</w:t>
            </w:r>
          </w:p>
        </w:tc>
        <w:tc>
          <w:tcPr>
            <w:tcW w:w="0" w:type="auto"/>
            <w:vMerge w:val="continue"/>
            <w:tcBorders>
              <w:top w:val="nil"/>
              <w:left w:val="single" w:color="auto" w:sz="4" w:space="0"/>
              <w:bottom w:val="nil"/>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配电柜监控</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监控1台智能型双电源配电柜</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套</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19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12</w:t>
            </w:r>
            <w:r>
              <w:rPr>
                <w:rFonts w:hint="eastAsia" w:ascii="仿宋" w:hAnsi="仿宋" w:eastAsia="仿宋" w:cs="仿宋"/>
                <w:color w:val="auto"/>
                <w:kern w:val="0"/>
                <w:sz w:val="22"/>
                <w:highlight w:val="none"/>
                <w:lang w:val="en-US" w:eastAsia="zh-CN"/>
              </w:rPr>
              <w:t>6</w:t>
            </w:r>
          </w:p>
        </w:tc>
        <w:tc>
          <w:tcPr>
            <w:tcW w:w="0" w:type="auto"/>
            <w:tcBorders>
              <w:top w:val="single" w:color="auto" w:sz="4" w:space="0"/>
              <w:left w:val="nil"/>
              <w:bottom w:val="single" w:color="auto" w:sz="4" w:space="0"/>
              <w:right w:val="single" w:color="auto" w:sz="4" w:space="0"/>
            </w:tcBorders>
            <w:shd w:val="clear" w:color="auto" w:fill="auto"/>
            <w:noWrap/>
            <w:textDirection w:val="tbRlV"/>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机房内综合布线</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机房内综合布线</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网线及光纤铺设、配线架、模块、光纤配线架等</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111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12</w:t>
            </w:r>
            <w:r>
              <w:rPr>
                <w:rFonts w:hint="eastAsia" w:ascii="仿宋" w:hAnsi="仿宋" w:eastAsia="仿宋" w:cs="仿宋"/>
                <w:color w:val="auto"/>
                <w:kern w:val="0"/>
                <w:sz w:val="22"/>
                <w:highlight w:val="none"/>
                <w:lang w:val="en-US" w:eastAsia="zh-CN"/>
              </w:rPr>
              <w:t>7</w:t>
            </w:r>
          </w:p>
        </w:tc>
        <w:tc>
          <w:tcPr>
            <w:tcW w:w="0" w:type="auto"/>
            <w:tcBorders>
              <w:top w:val="nil"/>
              <w:left w:val="nil"/>
              <w:bottom w:val="single" w:color="auto" w:sz="4" w:space="0"/>
              <w:right w:val="single" w:color="auto" w:sz="4" w:space="0"/>
            </w:tcBorders>
            <w:shd w:val="clear" w:color="auto" w:fill="auto"/>
            <w:noWrap/>
            <w:textDirection w:val="tbRlV"/>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机房隔断</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隔断金属网</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利用铝制金属网对机房进行隔断，分成两个独立空间，要求隔断不影响两个独立空间内空气流通，含门一副及门禁系统</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19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12</w:t>
            </w:r>
            <w:r>
              <w:rPr>
                <w:rFonts w:hint="eastAsia" w:ascii="仿宋" w:hAnsi="仿宋" w:eastAsia="仿宋" w:cs="仿宋"/>
                <w:color w:val="auto"/>
                <w:kern w:val="0"/>
                <w:sz w:val="22"/>
                <w:highlight w:val="none"/>
                <w:lang w:val="en-US" w:eastAsia="zh-CN"/>
              </w:rPr>
              <w:t>8</w:t>
            </w:r>
          </w:p>
        </w:tc>
        <w:tc>
          <w:tcPr>
            <w:tcW w:w="0" w:type="auto"/>
            <w:tcBorders>
              <w:top w:val="nil"/>
              <w:left w:val="nil"/>
              <w:bottom w:val="single" w:color="auto" w:sz="4" w:space="0"/>
              <w:right w:val="single" w:color="auto" w:sz="4" w:space="0"/>
            </w:tcBorders>
            <w:shd w:val="clear" w:color="auto" w:fill="auto"/>
            <w:noWrap/>
            <w:textDirection w:val="tbRlV"/>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元区间裸光纤敷设</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政务外网裸光纤</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从新建机房至温江区电子政务数据中心间12芯裸光纤敷设，含电子政务外网以及规自局专网，承建人需承担材料以及施工费用。</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仿宋" w:hAnsi="仿宋" w:eastAsia="仿宋" w:cs="仿宋"/>
                <w:color w:val="auto"/>
                <w:kern w:val="0"/>
                <w:sz w:val="22"/>
                <w:highlight w:val="none"/>
                <w:lang w:val="en-US" w:eastAsia="zh-CN"/>
              </w:rPr>
            </w:pPr>
            <w:r>
              <w:rPr>
                <w:rFonts w:hint="eastAsia" w:ascii="仿宋" w:hAnsi="仿宋" w:eastAsia="仿宋" w:cs="仿宋"/>
                <w:color w:val="auto"/>
                <w:kern w:val="0"/>
                <w:sz w:val="22"/>
                <w:highlight w:val="none"/>
              </w:rPr>
              <w:t>1</w:t>
            </w:r>
            <w:r>
              <w:rPr>
                <w:rFonts w:hint="eastAsia" w:ascii="仿宋" w:hAnsi="仿宋" w:eastAsia="仿宋" w:cs="仿宋"/>
                <w:color w:val="auto"/>
                <w:kern w:val="0"/>
                <w:sz w:val="22"/>
                <w:highlight w:val="none"/>
                <w:lang w:val="en-US" w:eastAsia="zh-CN"/>
              </w:rPr>
              <w:t>29</w:t>
            </w:r>
          </w:p>
        </w:tc>
        <w:tc>
          <w:tcPr>
            <w:tcW w:w="0" w:type="auto"/>
            <w:vMerge w:val="restart"/>
            <w:tcBorders>
              <w:top w:val="nil"/>
              <w:left w:val="single" w:color="auto" w:sz="4" w:space="0"/>
              <w:bottom w:val="single" w:color="auto" w:sz="4" w:space="0"/>
              <w:right w:val="single" w:color="auto" w:sz="4" w:space="0"/>
            </w:tcBorders>
            <w:shd w:val="clear" w:color="auto" w:fill="auto"/>
            <w:noWrap/>
            <w:textDirection w:val="tbRlV"/>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辅材及施工</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建渣清运</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对本项目的建渣清运处理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48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13</w:t>
            </w:r>
            <w:r>
              <w:rPr>
                <w:rFonts w:hint="eastAsia" w:ascii="仿宋" w:hAnsi="仿宋" w:eastAsia="仿宋" w:cs="仿宋"/>
                <w:color w:val="auto"/>
                <w:kern w:val="0"/>
                <w:sz w:val="22"/>
                <w:highlight w:val="none"/>
                <w:lang w:val="en-US" w:eastAsia="zh-CN"/>
              </w:rPr>
              <w:t>0</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材料运输、搬运等</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包括本项所有材料及辅材运输</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13</w:t>
            </w:r>
            <w:r>
              <w:rPr>
                <w:rFonts w:hint="eastAsia" w:ascii="仿宋" w:hAnsi="仿宋" w:eastAsia="仿宋" w:cs="仿宋"/>
                <w:color w:val="auto"/>
                <w:kern w:val="0"/>
                <w:sz w:val="22"/>
                <w:highlight w:val="none"/>
                <w:lang w:val="en-US" w:eastAsia="zh-CN"/>
              </w:rPr>
              <w:t>1</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耗材</w:t>
            </w:r>
          </w:p>
        </w:tc>
        <w:tc>
          <w:tcPr>
            <w:tcW w:w="0" w:type="auto"/>
            <w:tcBorders>
              <w:top w:val="nil"/>
              <w:left w:val="nil"/>
              <w:bottom w:val="single" w:color="auto" w:sz="4" w:space="0"/>
              <w:right w:val="single" w:color="auto" w:sz="4" w:space="0"/>
            </w:tcBorders>
            <w:shd w:val="clear" w:color="auto" w:fill="auto"/>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含机房装修所需的槽板、线管、卡子等辅助耗材</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285" w:hRule="atLeast"/>
        </w:trPr>
        <w:tc>
          <w:tcPr>
            <w:tcW w:w="0" w:type="auto"/>
            <w:tcBorders>
              <w:top w:val="nil"/>
              <w:left w:val="single" w:color="auto" w:sz="4" w:space="0"/>
              <w:bottom w:val="single" w:color="auto" w:sz="4" w:space="0"/>
              <w:right w:val="single" w:color="auto" w:sz="4" w:space="0"/>
            </w:tcBorders>
            <w:shd w:val="clear" w:color="000000" w:fill="8EA9DB"/>
            <w:noWrap/>
            <w:vAlign w:val="center"/>
          </w:tcPr>
          <w:p>
            <w:pPr>
              <w:widowControl/>
              <w:jc w:val="center"/>
              <w:rPr>
                <w:rFonts w:ascii="仿宋" w:hAnsi="仿宋" w:eastAsia="仿宋" w:cs="仿宋"/>
                <w:b/>
                <w:bCs/>
                <w:color w:val="auto"/>
                <w:kern w:val="0"/>
                <w:sz w:val="22"/>
                <w:highlight w:val="none"/>
              </w:rPr>
            </w:pPr>
            <w:r>
              <w:rPr>
                <w:rFonts w:hint="eastAsia" w:ascii="仿宋" w:hAnsi="仿宋" w:eastAsia="仿宋" w:cs="仿宋"/>
                <w:b/>
                <w:bCs/>
                <w:color w:val="auto"/>
                <w:kern w:val="0"/>
                <w:sz w:val="22"/>
                <w:highlight w:val="none"/>
              </w:rPr>
              <w:t>序号</w:t>
            </w:r>
          </w:p>
        </w:tc>
        <w:tc>
          <w:tcPr>
            <w:tcW w:w="0" w:type="auto"/>
            <w:tcBorders>
              <w:top w:val="nil"/>
              <w:left w:val="nil"/>
              <w:bottom w:val="single" w:color="auto" w:sz="4" w:space="0"/>
              <w:right w:val="single" w:color="auto" w:sz="4" w:space="0"/>
            </w:tcBorders>
            <w:shd w:val="clear" w:color="000000" w:fill="8EA9DB"/>
            <w:noWrap/>
            <w:vAlign w:val="center"/>
          </w:tcPr>
          <w:p>
            <w:pPr>
              <w:widowControl/>
              <w:jc w:val="center"/>
              <w:rPr>
                <w:rFonts w:ascii="仿宋" w:hAnsi="仿宋" w:eastAsia="仿宋" w:cs="仿宋"/>
                <w:b/>
                <w:bCs/>
                <w:color w:val="auto"/>
                <w:kern w:val="0"/>
                <w:sz w:val="22"/>
                <w:highlight w:val="none"/>
              </w:rPr>
            </w:pPr>
            <w:r>
              <w:rPr>
                <w:rFonts w:hint="eastAsia" w:ascii="仿宋" w:hAnsi="仿宋" w:eastAsia="仿宋" w:cs="仿宋"/>
                <w:b/>
                <w:bCs/>
                <w:color w:val="auto"/>
                <w:kern w:val="0"/>
                <w:sz w:val="22"/>
                <w:highlight w:val="none"/>
              </w:rPr>
              <w:t>分类</w:t>
            </w:r>
          </w:p>
        </w:tc>
        <w:tc>
          <w:tcPr>
            <w:tcW w:w="0" w:type="auto"/>
            <w:tcBorders>
              <w:top w:val="nil"/>
              <w:left w:val="nil"/>
              <w:bottom w:val="single" w:color="auto" w:sz="4" w:space="0"/>
              <w:right w:val="single" w:color="auto" w:sz="4" w:space="0"/>
            </w:tcBorders>
            <w:shd w:val="clear" w:color="000000" w:fill="8EA9DB"/>
            <w:vAlign w:val="center"/>
          </w:tcPr>
          <w:p>
            <w:pPr>
              <w:widowControl/>
              <w:jc w:val="center"/>
              <w:rPr>
                <w:rFonts w:ascii="仿宋" w:hAnsi="仿宋" w:eastAsia="仿宋" w:cs="仿宋"/>
                <w:b/>
                <w:bCs/>
                <w:color w:val="auto"/>
                <w:kern w:val="0"/>
                <w:sz w:val="22"/>
                <w:highlight w:val="none"/>
              </w:rPr>
            </w:pPr>
            <w:r>
              <w:rPr>
                <w:rFonts w:hint="eastAsia" w:ascii="仿宋" w:hAnsi="仿宋" w:eastAsia="仿宋" w:cs="仿宋"/>
                <w:b/>
                <w:bCs/>
                <w:color w:val="auto"/>
                <w:kern w:val="0"/>
                <w:sz w:val="22"/>
                <w:highlight w:val="none"/>
              </w:rPr>
              <w:t>名称</w:t>
            </w:r>
          </w:p>
        </w:tc>
        <w:tc>
          <w:tcPr>
            <w:tcW w:w="0" w:type="auto"/>
            <w:tcBorders>
              <w:top w:val="nil"/>
              <w:left w:val="nil"/>
              <w:bottom w:val="single" w:color="auto" w:sz="4" w:space="0"/>
              <w:right w:val="single" w:color="auto" w:sz="4" w:space="0"/>
            </w:tcBorders>
            <w:shd w:val="clear" w:color="000000" w:fill="8EA9DB"/>
            <w:noWrap/>
            <w:vAlign w:val="center"/>
          </w:tcPr>
          <w:p>
            <w:pPr>
              <w:widowControl/>
              <w:jc w:val="left"/>
              <w:rPr>
                <w:rFonts w:ascii="仿宋" w:hAnsi="仿宋" w:eastAsia="仿宋" w:cs="仿宋"/>
                <w:b/>
                <w:bCs/>
                <w:color w:val="auto"/>
                <w:kern w:val="0"/>
                <w:sz w:val="22"/>
                <w:highlight w:val="none"/>
              </w:rPr>
            </w:pPr>
            <w:r>
              <w:rPr>
                <w:rFonts w:hint="eastAsia" w:ascii="仿宋" w:hAnsi="仿宋" w:eastAsia="仿宋" w:cs="仿宋"/>
                <w:b/>
                <w:bCs/>
                <w:color w:val="auto"/>
                <w:kern w:val="0"/>
                <w:sz w:val="22"/>
                <w:highlight w:val="none"/>
              </w:rPr>
              <w:t>参数配置</w:t>
            </w:r>
          </w:p>
        </w:tc>
        <w:tc>
          <w:tcPr>
            <w:tcW w:w="0" w:type="auto"/>
            <w:tcBorders>
              <w:top w:val="nil"/>
              <w:left w:val="nil"/>
              <w:bottom w:val="single" w:color="auto" w:sz="4" w:space="0"/>
              <w:right w:val="single" w:color="auto" w:sz="4" w:space="0"/>
            </w:tcBorders>
            <w:shd w:val="clear" w:color="000000" w:fill="8EA9DB"/>
            <w:noWrap/>
            <w:vAlign w:val="center"/>
          </w:tcPr>
          <w:p>
            <w:pPr>
              <w:widowControl/>
              <w:jc w:val="center"/>
              <w:rPr>
                <w:rFonts w:ascii="仿宋" w:hAnsi="仿宋" w:eastAsia="仿宋" w:cs="仿宋"/>
                <w:b/>
                <w:bCs/>
                <w:color w:val="auto"/>
                <w:kern w:val="0"/>
                <w:sz w:val="22"/>
                <w:highlight w:val="none"/>
              </w:rPr>
            </w:pPr>
            <w:r>
              <w:rPr>
                <w:rFonts w:hint="eastAsia" w:ascii="仿宋" w:hAnsi="仿宋" w:eastAsia="仿宋" w:cs="仿宋"/>
                <w:b/>
                <w:bCs/>
                <w:color w:val="auto"/>
                <w:kern w:val="0"/>
                <w:sz w:val="22"/>
                <w:highlight w:val="none"/>
              </w:rPr>
              <w:t>单位</w:t>
            </w:r>
          </w:p>
        </w:tc>
        <w:tc>
          <w:tcPr>
            <w:tcW w:w="0" w:type="auto"/>
            <w:tcBorders>
              <w:top w:val="nil"/>
              <w:left w:val="nil"/>
              <w:bottom w:val="single" w:color="auto" w:sz="4" w:space="0"/>
              <w:right w:val="single" w:color="auto" w:sz="4" w:space="0"/>
            </w:tcBorders>
            <w:shd w:val="clear" w:color="000000" w:fill="8EA9DB"/>
            <w:noWrap/>
            <w:vAlign w:val="center"/>
          </w:tcPr>
          <w:p>
            <w:pPr>
              <w:widowControl/>
              <w:jc w:val="center"/>
              <w:rPr>
                <w:rFonts w:ascii="仿宋" w:hAnsi="仿宋" w:eastAsia="仿宋" w:cs="仿宋"/>
                <w:b/>
                <w:bCs/>
                <w:color w:val="auto"/>
                <w:kern w:val="0"/>
                <w:sz w:val="22"/>
                <w:highlight w:val="none"/>
              </w:rPr>
            </w:pPr>
            <w:r>
              <w:rPr>
                <w:rFonts w:hint="eastAsia" w:ascii="仿宋" w:hAnsi="仿宋" w:eastAsia="仿宋" w:cs="仿宋"/>
                <w:b/>
                <w:bCs/>
                <w:color w:val="auto"/>
                <w:kern w:val="0"/>
                <w:sz w:val="22"/>
                <w:highlight w:val="none"/>
              </w:rPr>
              <w:t>数量</w:t>
            </w:r>
          </w:p>
        </w:tc>
      </w:tr>
      <w:tr>
        <w:tblPrEx>
          <w:tblCellMar>
            <w:top w:w="0" w:type="dxa"/>
            <w:left w:w="108" w:type="dxa"/>
            <w:bottom w:w="0" w:type="dxa"/>
            <w:right w:w="108" w:type="dxa"/>
          </w:tblCellMar>
        </w:tblPrEx>
        <w:trPr>
          <w:trHeight w:val="264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13</w:t>
            </w:r>
            <w:r>
              <w:rPr>
                <w:rFonts w:hint="eastAsia" w:ascii="仿宋" w:hAnsi="仿宋" w:eastAsia="仿宋" w:cs="仿宋"/>
                <w:color w:val="auto"/>
                <w:kern w:val="0"/>
                <w:sz w:val="22"/>
                <w:highlight w:val="none"/>
                <w:lang w:val="en-US" w:eastAsia="zh-CN"/>
              </w:rPr>
              <w:t>2</w:t>
            </w:r>
          </w:p>
        </w:tc>
        <w:tc>
          <w:tcPr>
            <w:tcW w:w="0" w:type="auto"/>
            <w:vMerge w:val="restart"/>
            <w:tcBorders>
              <w:top w:val="nil"/>
              <w:left w:val="single" w:color="auto" w:sz="4" w:space="0"/>
              <w:bottom w:val="single" w:color="auto" w:sz="4" w:space="0"/>
              <w:right w:val="single" w:color="auto" w:sz="4" w:space="0"/>
            </w:tcBorders>
            <w:shd w:val="clear" w:color="auto" w:fill="auto"/>
            <w:noWrap/>
            <w:textDirection w:val="tbRlV"/>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专网网络设备</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核心交换机</w:t>
            </w:r>
          </w:p>
        </w:tc>
        <w:tc>
          <w:tcPr>
            <w:tcW w:w="0" w:type="auto"/>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1、背板带宽≥15.36Tbps，包转发率≥28000Mpps；总槽位数量≥5，业务槽位≥3；本次单台实配: 双主控引擎，冗余交流电源，万兆光口≥24个，千兆电口≥24个；实配10G多模光模块24个；</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2、支持独立的硬件监控板卡, 控制平面和监控平面物理槽位分离，支持1+1备份，能集中监控板卡、风扇、电源、环境，能调节能耗；</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3、支持横向虚拟化技术，将多台设备虚拟为一台；支持纵向虚拟化技术，支持把交换机和AP虚拟为一台设备；</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4、支持VxLAN功能，支持VxLAN二层网关、三层网关，支持BGP EVPN，实现自动建立隧道；</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5、支持PPPoE、802.1X、MAC、Portal等认证方式，支持基于流量和时长计费方式；</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6、支持整机MAC地址≥512K，ARP表项≥256K，IPv4路由转发表FIB规格≥512K ，Ipv6路由转发表FIB规格≥256K；</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7、支持静态路由、RIP、RIPng、OSPF、OSPFv3、BGP、BGP4+、ISIS、ISISv6；</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8、 支持真实业务流的实时检测技术，实现对IP网络的精确丢包监控和快速故障定界能力；</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9、支持硬件BFD/OAM，3.3ms稳定均匀发包检测，提高设备的可靠性；</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2</w:t>
            </w:r>
          </w:p>
        </w:tc>
      </w:tr>
      <w:tr>
        <w:tblPrEx>
          <w:tblCellMar>
            <w:top w:w="0" w:type="dxa"/>
            <w:left w:w="108" w:type="dxa"/>
            <w:bottom w:w="0" w:type="dxa"/>
            <w:right w:w="108" w:type="dxa"/>
          </w:tblCellMar>
        </w:tblPrEx>
        <w:trPr>
          <w:trHeight w:val="192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13</w:t>
            </w:r>
            <w:r>
              <w:rPr>
                <w:rFonts w:hint="eastAsia" w:ascii="仿宋" w:hAnsi="仿宋" w:eastAsia="仿宋" w:cs="仿宋"/>
                <w:color w:val="auto"/>
                <w:kern w:val="0"/>
                <w:sz w:val="22"/>
                <w:highlight w:val="none"/>
                <w:lang w:val="en-US" w:eastAsia="zh-CN"/>
              </w:rPr>
              <w:t>3</w:t>
            </w:r>
          </w:p>
        </w:tc>
        <w:tc>
          <w:tcPr>
            <w:tcW w:w="0" w:type="auto"/>
            <w:vMerge w:val="continue"/>
            <w:tcBorders>
              <w:top w:val="nil"/>
              <w:left w:val="single" w:color="auto" w:sz="4" w:space="0"/>
              <w:bottom w:val="single" w:color="auto" w:sz="4" w:space="0"/>
              <w:right w:val="single" w:color="auto" w:sz="4" w:space="0"/>
            </w:tcBorders>
            <w:vAlign w:val="center"/>
          </w:tcPr>
          <w:p>
            <w:pPr>
              <w:widowControl/>
              <w:jc w:val="left"/>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万兆交换机</w:t>
            </w:r>
          </w:p>
        </w:tc>
        <w:tc>
          <w:tcPr>
            <w:tcW w:w="0" w:type="auto"/>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1.背板容量≥2.4Tbps，包转发率≥720Mpps；</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2.24×10GE SFP+端口，6*40G QSFP端口。配置24个万兆模块；</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3.支持4K个VLAN，支持Voice VLAN，基于端口的VLAN，基于MAC的VLAN，基于协议的VLAN；</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4.静态路由、RIP、RIPng、OSPF、OSPFv3协议，支持IPv6 Ping.IPv6 Tracert.IPv6 Telnet；</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5.支持堆叠；</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6.支持VLAN内组搞转发和组播多VLAN复制；</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7.支持以太网OAM 802 3ah和802.1ag；</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8.支持MAC地址≥60k</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3</w:t>
            </w:r>
          </w:p>
        </w:tc>
      </w:tr>
      <w:tr>
        <w:tblPrEx>
          <w:tblCellMar>
            <w:top w:w="0" w:type="dxa"/>
            <w:left w:w="108" w:type="dxa"/>
            <w:bottom w:w="0" w:type="dxa"/>
            <w:right w:w="108" w:type="dxa"/>
          </w:tblCellMar>
        </w:tblPrEx>
        <w:trPr>
          <w:trHeight w:val="273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13</w:t>
            </w:r>
            <w:r>
              <w:rPr>
                <w:rFonts w:hint="eastAsia" w:ascii="仿宋" w:hAnsi="仿宋" w:eastAsia="仿宋" w:cs="仿宋"/>
                <w:color w:val="auto"/>
                <w:kern w:val="0"/>
                <w:sz w:val="22"/>
                <w:highlight w:val="none"/>
                <w:lang w:val="en-US" w:eastAsia="zh-CN"/>
              </w:rPr>
              <w:t>4</w:t>
            </w:r>
          </w:p>
        </w:tc>
        <w:tc>
          <w:tcPr>
            <w:tcW w:w="0" w:type="auto"/>
            <w:tcBorders>
              <w:top w:val="nil"/>
              <w:left w:val="nil"/>
              <w:bottom w:val="single" w:color="auto" w:sz="4" w:space="0"/>
              <w:right w:val="single" w:color="auto" w:sz="4" w:space="0"/>
            </w:tcBorders>
            <w:shd w:val="clear" w:color="auto" w:fill="auto"/>
            <w:noWrap/>
            <w:textDirection w:val="tbRlV"/>
            <w:vAlign w:val="center"/>
          </w:tcPr>
          <w:p>
            <w:pPr>
              <w:widowControl/>
              <w:jc w:val="center"/>
              <w:rPr>
                <w:rFonts w:ascii="仿宋" w:hAnsi="仿宋" w:eastAsia="仿宋" w:cs="仿宋"/>
                <w:color w:val="auto"/>
                <w:kern w:val="0"/>
                <w:sz w:val="22"/>
                <w:highlight w:val="none"/>
              </w:rPr>
            </w:pPr>
            <w:r>
              <w:rPr>
                <w:rFonts w:hint="eastAsia" w:ascii="仿宋" w:hAnsi="仿宋" w:eastAsia="仿宋" w:cs="仿宋"/>
                <w:color w:val="auto"/>
                <w:kern w:val="0"/>
                <w:sz w:val="22"/>
                <w:highlight w:val="none"/>
              </w:rPr>
              <w:t>电子政务外网网络设备</w:t>
            </w: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万兆交换机</w:t>
            </w:r>
          </w:p>
        </w:tc>
        <w:tc>
          <w:tcPr>
            <w:tcW w:w="0" w:type="auto"/>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1.背板容量≥2.4Tbps，包转发率≥720Mpps；</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2.24×10GE SFP+端口，6*40G QSFP端口。配置24个万兆模块；</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3.支持4K个VLAN，支持Voice VLAN，基于端口的VLAN，基于MAC的VLAN，基于协议的VLAN；</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4.静态路由、RIP、RIPng、OSPF、OSPFv3协议，支持IPv6 Ping.IPv6 Tracert.IPv6 Telnet；</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5.支持堆叠；</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6.支持VLAN内组搞转发和组播多VLAN复制；</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7.支持以太网OAM 802 3ah和802.1ag；</w:t>
            </w:r>
            <w:r>
              <w:rPr>
                <w:rFonts w:hint="eastAsia" w:ascii="仿宋" w:hAnsi="仿宋" w:eastAsia="仿宋" w:cs="仿宋"/>
                <w:color w:val="auto"/>
                <w:kern w:val="0"/>
                <w:sz w:val="20"/>
                <w:szCs w:val="20"/>
                <w:highlight w:val="none"/>
              </w:rPr>
              <w:br w:type="textWrapping"/>
            </w:r>
            <w:r>
              <w:rPr>
                <w:rFonts w:hint="eastAsia" w:ascii="仿宋" w:hAnsi="仿宋" w:eastAsia="仿宋" w:cs="仿宋"/>
                <w:color w:val="auto"/>
                <w:kern w:val="0"/>
                <w:sz w:val="20"/>
                <w:szCs w:val="20"/>
                <w:highlight w:val="none"/>
              </w:rPr>
              <w:t>8.支持MAC地址≥60k</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台</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tr>
        <w:tblPrEx>
          <w:tblCellMar>
            <w:top w:w="0" w:type="dxa"/>
            <w:left w:w="108" w:type="dxa"/>
            <w:bottom w:w="0" w:type="dxa"/>
            <w:right w:w="108" w:type="dxa"/>
          </w:tblCellMar>
        </w:tblPrEx>
        <w:trPr>
          <w:trHeight w:val="70" w:hRule="atLeast"/>
        </w:trPr>
        <w:tc>
          <w:tcPr>
            <w:tcW w:w="0" w:type="auto"/>
            <w:tcBorders>
              <w:top w:val="nil"/>
              <w:left w:val="single" w:color="auto" w:sz="4" w:space="0"/>
              <w:bottom w:val="single" w:color="auto" w:sz="4" w:space="0"/>
              <w:right w:val="single" w:color="auto" w:sz="4" w:space="0"/>
            </w:tcBorders>
            <w:shd w:val="clear" w:color="auto" w:fill="8EAADB" w:themeFill="accent5" w:themeFillTint="99"/>
            <w:noWrap/>
            <w:vAlign w:val="center"/>
          </w:tcPr>
          <w:p>
            <w:pPr>
              <w:widowControl/>
              <w:jc w:val="center"/>
              <w:rPr>
                <w:rFonts w:ascii="仿宋" w:hAnsi="仿宋" w:eastAsia="仿宋" w:cs="仿宋"/>
                <w:b/>
                <w:bCs/>
                <w:color w:val="auto"/>
                <w:kern w:val="0"/>
                <w:sz w:val="22"/>
                <w:highlight w:val="none"/>
              </w:rPr>
            </w:pPr>
            <w:r>
              <w:rPr>
                <w:rFonts w:hint="eastAsia" w:ascii="仿宋" w:hAnsi="仿宋" w:eastAsia="仿宋" w:cs="仿宋"/>
                <w:b/>
                <w:bCs/>
                <w:color w:val="auto"/>
                <w:kern w:val="0"/>
                <w:sz w:val="22"/>
                <w:highlight w:val="none"/>
              </w:rPr>
              <w:t>序号</w:t>
            </w:r>
          </w:p>
        </w:tc>
        <w:tc>
          <w:tcPr>
            <w:tcW w:w="0" w:type="auto"/>
            <w:tcBorders>
              <w:top w:val="nil"/>
              <w:left w:val="nil"/>
              <w:bottom w:val="single" w:color="auto" w:sz="4" w:space="0"/>
              <w:right w:val="single" w:color="auto" w:sz="4" w:space="0"/>
            </w:tcBorders>
            <w:shd w:val="clear" w:color="auto" w:fill="8EAADB" w:themeFill="accent5" w:themeFillTint="99"/>
            <w:noWrap/>
            <w:vAlign w:val="center"/>
          </w:tcPr>
          <w:p>
            <w:pPr>
              <w:widowControl/>
              <w:jc w:val="center"/>
              <w:rPr>
                <w:rFonts w:ascii="仿宋" w:hAnsi="仿宋" w:eastAsia="仿宋" w:cs="仿宋"/>
                <w:b/>
                <w:bCs/>
                <w:color w:val="auto"/>
                <w:kern w:val="0"/>
                <w:sz w:val="22"/>
                <w:highlight w:val="none"/>
              </w:rPr>
            </w:pPr>
            <w:r>
              <w:rPr>
                <w:rFonts w:hint="eastAsia" w:ascii="仿宋" w:hAnsi="仿宋" w:eastAsia="仿宋" w:cs="仿宋"/>
                <w:b/>
                <w:bCs/>
                <w:color w:val="auto"/>
                <w:kern w:val="0"/>
                <w:sz w:val="22"/>
                <w:highlight w:val="none"/>
              </w:rPr>
              <w:t>分类</w:t>
            </w:r>
          </w:p>
        </w:tc>
        <w:tc>
          <w:tcPr>
            <w:tcW w:w="0" w:type="auto"/>
            <w:tcBorders>
              <w:top w:val="nil"/>
              <w:left w:val="nil"/>
              <w:bottom w:val="single" w:color="auto" w:sz="4" w:space="0"/>
              <w:right w:val="single" w:color="auto" w:sz="4" w:space="0"/>
            </w:tcBorders>
            <w:shd w:val="clear" w:color="auto" w:fill="8EAADB" w:themeFill="accent5" w:themeFillTint="99"/>
            <w:vAlign w:val="center"/>
          </w:tcPr>
          <w:p>
            <w:pPr>
              <w:widowControl/>
              <w:jc w:val="center"/>
              <w:rPr>
                <w:rFonts w:ascii="仿宋" w:hAnsi="仿宋" w:eastAsia="仿宋" w:cs="仿宋"/>
                <w:b/>
                <w:bCs/>
                <w:color w:val="auto"/>
                <w:kern w:val="0"/>
                <w:sz w:val="22"/>
                <w:highlight w:val="none"/>
              </w:rPr>
            </w:pPr>
            <w:r>
              <w:rPr>
                <w:rFonts w:hint="eastAsia" w:ascii="仿宋" w:hAnsi="仿宋" w:eastAsia="仿宋" w:cs="仿宋"/>
                <w:b/>
                <w:bCs/>
                <w:color w:val="auto"/>
                <w:kern w:val="0"/>
                <w:sz w:val="22"/>
                <w:highlight w:val="none"/>
              </w:rPr>
              <w:t>名称</w:t>
            </w:r>
          </w:p>
        </w:tc>
        <w:tc>
          <w:tcPr>
            <w:tcW w:w="0" w:type="auto"/>
            <w:tcBorders>
              <w:top w:val="nil"/>
              <w:left w:val="nil"/>
              <w:bottom w:val="single" w:color="auto" w:sz="4" w:space="0"/>
              <w:right w:val="single" w:color="auto" w:sz="4" w:space="0"/>
            </w:tcBorders>
            <w:shd w:val="clear" w:color="auto" w:fill="8EAADB" w:themeFill="accent5" w:themeFillTint="99"/>
            <w:vAlign w:val="center"/>
          </w:tcPr>
          <w:p>
            <w:pPr>
              <w:widowControl/>
              <w:jc w:val="center"/>
              <w:rPr>
                <w:rFonts w:ascii="仿宋" w:hAnsi="仿宋" w:eastAsia="仿宋" w:cs="仿宋"/>
                <w:b/>
                <w:bCs/>
                <w:color w:val="auto"/>
                <w:kern w:val="0"/>
                <w:sz w:val="22"/>
                <w:highlight w:val="none"/>
              </w:rPr>
            </w:pPr>
            <w:r>
              <w:rPr>
                <w:rFonts w:hint="eastAsia" w:ascii="仿宋" w:hAnsi="仿宋" w:eastAsia="仿宋" w:cs="仿宋"/>
                <w:b/>
                <w:bCs/>
                <w:color w:val="auto"/>
                <w:kern w:val="0"/>
                <w:sz w:val="22"/>
                <w:highlight w:val="none"/>
              </w:rPr>
              <w:t>参数配置</w:t>
            </w:r>
          </w:p>
        </w:tc>
        <w:tc>
          <w:tcPr>
            <w:tcW w:w="0" w:type="auto"/>
            <w:tcBorders>
              <w:top w:val="nil"/>
              <w:left w:val="nil"/>
              <w:bottom w:val="single" w:color="auto" w:sz="4" w:space="0"/>
              <w:right w:val="single" w:color="auto" w:sz="4" w:space="0"/>
            </w:tcBorders>
            <w:shd w:val="clear" w:color="auto" w:fill="8EAADB" w:themeFill="accent5" w:themeFillTint="99"/>
            <w:vAlign w:val="center"/>
          </w:tcPr>
          <w:p>
            <w:pPr>
              <w:widowControl/>
              <w:jc w:val="center"/>
              <w:rPr>
                <w:rFonts w:ascii="仿宋" w:hAnsi="仿宋" w:eastAsia="仿宋" w:cs="仿宋"/>
                <w:b/>
                <w:bCs/>
                <w:color w:val="auto"/>
                <w:kern w:val="0"/>
                <w:sz w:val="22"/>
                <w:highlight w:val="none"/>
              </w:rPr>
            </w:pPr>
            <w:r>
              <w:rPr>
                <w:rFonts w:hint="eastAsia" w:ascii="仿宋" w:hAnsi="仿宋" w:eastAsia="仿宋" w:cs="仿宋"/>
                <w:b/>
                <w:bCs/>
                <w:color w:val="auto"/>
                <w:kern w:val="0"/>
                <w:sz w:val="22"/>
                <w:highlight w:val="none"/>
              </w:rPr>
              <w:t>单位</w:t>
            </w:r>
          </w:p>
        </w:tc>
        <w:tc>
          <w:tcPr>
            <w:tcW w:w="0" w:type="auto"/>
            <w:tcBorders>
              <w:top w:val="nil"/>
              <w:left w:val="nil"/>
              <w:bottom w:val="single" w:color="auto" w:sz="4" w:space="0"/>
              <w:right w:val="single" w:color="auto" w:sz="4" w:space="0"/>
            </w:tcBorders>
            <w:shd w:val="clear" w:color="auto" w:fill="8EAADB" w:themeFill="accent5" w:themeFillTint="99"/>
            <w:vAlign w:val="center"/>
          </w:tcPr>
          <w:p>
            <w:pPr>
              <w:widowControl/>
              <w:jc w:val="center"/>
              <w:rPr>
                <w:rFonts w:ascii="仿宋" w:hAnsi="仿宋" w:eastAsia="仿宋" w:cs="仿宋"/>
                <w:b/>
                <w:bCs/>
                <w:color w:val="auto"/>
                <w:kern w:val="0"/>
                <w:sz w:val="22"/>
                <w:highlight w:val="none"/>
              </w:rPr>
            </w:pPr>
            <w:r>
              <w:rPr>
                <w:rFonts w:hint="eastAsia" w:ascii="仿宋" w:hAnsi="仿宋" w:eastAsia="仿宋" w:cs="仿宋"/>
                <w:b/>
                <w:bCs/>
                <w:color w:val="auto"/>
                <w:kern w:val="0"/>
                <w:sz w:val="22"/>
                <w:highlight w:val="none"/>
              </w:rPr>
              <w:t>数量</w:t>
            </w:r>
          </w:p>
        </w:tc>
      </w:tr>
      <w:tr>
        <w:tblPrEx>
          <w:tblCellMar>
            <w:top w:w="0" w:type="dxa"/>
            <w:left w:w="108" w:type="dxa"/>
            <w:bottom w:w="0" w:type="dxa"/>
            <w:right w:w="108" w:type="dxa"/>
          </w:tblCellMar>
        </w:tblPrEx>
        <w:trPr>
          <w:trHeight w:val="7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eastAsia" w:ascii="仿宋" w:hAnsi="仿宋" w:eastAsia="仿宋" w:cs="仿宋"/>
                <w:color w:val="auto"/>
                <w:kern w:val="0"/>
                <w:sz w:val="22"/>
                <w:highlight w:val="none"/>
                <w:lang w:eastAsia="zh-CN"/>
              </w:rPr>
            </w:pPr>
            <w:r>
              <w:rPr>
                <w:rFonts w:hint="eastAsia" w:ascii="仿宋" w:hAnsi="仿宋" w:eastAsia="仿宋" w:cs="仿宋"/>
                <w:color w:val="auto"/>
                <w:kern w:val="0"/>
                <w:sz w:val="22"/>
                <w:highlight w:val="none"/>
              </w:rPr>
              <w:t>1</w:t>
            </w:r>
            <w:r>
              <w:rPr>
                <w:rFonts w:ascii="仿宋" w:hAnsi="仿宋" w:eastAsia="仿宋" w:cs="仿宋"/>
                <w:color w:val="auto"/>
                <w:kern w:val="0"/>
                <w:sz w:val="22"/>
                <w:highlight w:val="none"/>
              </w:rPr>
              <w:t>3</w:t>
            </w:r>
            <w:r>
              <w:rPr>
                <w:rFonts w:hint="eastAsia" w:ascii="仿宋" w:hAnsi="仿宋" w:eastAsia="仿宋" w:cs="仿宋"/>
                <w:color w:val="auto"/>
                <w:kern w:val="0"/>
                <w:sz w:val="22"/>
                <w:highlight w:val="none"/>
                <w:lang w:val="en-US" w:eastAsia="zh-CN"/>
              </w:rPr>
              <w:t>5</w:t>
            </w:r>
          </w:p>
        </w:tc>
        <w:tc>
          <w:tcPr>
            <w:tcW w:w="0" w:type="auto"/>
            <w:tcBorders>
              <w:top w:val="nil"/>
              <w:left w:val="nil"/>
              <w:bottom w:val="single" w:color="auto" w:sz="4" w:space="0"/>
              <w:right w:val="single" w:color="auto" w:sz="4" w:space="0"/>
            </w:tcBorders>
            <w:shd w:val="clear" w:color="auto" w:fill="auto"/>
            <w:noWrap/>
            <w:textDirection w:val="tbRlV"/>
            <w:vAlign w:val="center"/>
          </w:tcPr>
          <w:p>
            <w:pPr>
              <w:widowControl/>
              <w:jc w:val="center"/>
              <w:rPr>
                <w:rFonts w:ascii="仿宋" w:hAnsi="仿宋" w:eastAsia="仿宋" w:cs="仿宋"/>
                <w:color w:val="auto"/>
                <w:kern w:val="0"/>
                <w:sz w:val="22"/>
                <w:highlight w:val="none"/>
              </w:rPr>
            </w:pPr>
          </w:p>
        </w:tc>
        <w:tc>
          <w:tcPr>
            <w:tcW w:w="0" w:type="auto"/>
            <w:tcBorders>
              <w:top w:val="nil"/>
              <w:left w:val="nil"/>
              <w:bottom w:val="single" w:color="auto" w:sz="4" w:space="0"/>
              <w:right w:val="single" w:color="auto" w:sz="4" w:space="0"/>
            </w:tcBorders>
            <w:shd w:val="clear" w:color="000000" w:fill="FFFFFF"/>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监理</w:t>
            </w:r>
          </w:p>
        </w:tc>
        <w:tc>
          <w:tcPr>
            <w:tcW w:w="0" w:type="auto"/>
            <w:tcBorders>
              <w:top w:val="nil"/>
              <w:left w:val="nil"/>
              <w:bottom w:val="single" w:color="auto" w:sz="4" w:space="0"/>
              <w:right w:val="single" w:color="auto" w:sz="4" w:space="0"/>
            </w:tcBorders>
            <w:shd w:val="clear" w:color="000000" w:fill="FFFFFF"/>
            <w:vAlign w:val="center"/>
          </w:tcPr>
          <w:p>
            <w:pPr>
              <w:widowControl/>
              <w:jc w:val="left"/>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项目监理</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项</w:t>
            </w:r>
          </w:p>
        </w:tc>
        <w:tc>
          <w:tcPr>
            <w:tcW w:w="0" w:type="auto"/>
            <w:tcBorders>
              <w:top w:val="nil"/>
              <w:left w:val="nil"/>
              <w:bottom w:val="single" w:color="auto" w:sz="4" w:space="0"/>
              <w:right w:val="single" w:color="auto" w:sz="4" w:space="0"/>
            </w:tcBorders>
            <w:shd w:val="clear" w:color="auto" w:fill="auto"/>
            <w:vAlign w:val="center"/>
          </w:tcPr>
          <w:p>
            <w:pPr>
              <w:widowControl/>
              <w:jc w:val="center"/>
              <w:rPr>
                <w:rFonts w:ascii="仿宋" w:hAnsi="仿宋" w:eastAsia="仿宋" w:cs="仿宋"/>
                <w:color w:val="auto"/>
                <w:kern w:val="0"/>
                <w:sz w:val="20"/>
                <w:szCs w:val="20"/>
                <w:highlight w:val="none"/>
              </w:rPr>
            </w:pPr>
            <w:r>
              <w:rPr>
                <w:rFonts w:hint="eastAsia" w:ascii="仿宋" w:hAnsi="仿宋" w:eastAsia="仿宋" w:cs="仿宋"/>
                <w:color w:val="auto"/>
                <w:kern w:val="0"/>
                <w:sz w:val="20"/>
                <w:szCs w:val="20"/>
                <w:highlight w:val="none"/>
              </w:rPr>
              <w:t>1</w:t>
            </w:r>
          </w:p>
        </w:tc>
      </w:tr>
      <w:bookmarkEnd w:id="33"/>
    </w:tbl>
    <w:p>
      <w:pPr>
        <w:rPr>
          <w:rFonts w:ascii="仿宋" w:hAnsi="仿宋" w:eastAsia="仿宋" w:cs="仿宋"/>
          <w:color w:val="auto"/>
          <w:highlight w:val="none"/>
        </w:rPr>
      </w:pPr>
    </w:p>
    <w:p>
      <w:pPr>
        <w:pStyle w:val="9"/>
        <w:spacing w:after="0" w:line="580" w:lineRule="exact"/>
        <w:ind w:firstLine="480"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四、人员培训</w:t>
      </w:r>
    </w:p>
    <w:p>
      <w:pPr>
        <w:widowControl/>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我局参加培训人员的角色和职责提供相应的培训内容，需要充分考虑到业务人员、技术人员、维护人员等各层次人员所需了解和掌握的知识或技术。使我局系统管理人员更深入了解系统功能、性能及使用方法，便于系统日后稳定运行，能够独立地对系统进行管理、维护；使我局技术人员、运行管理人员，可以在项目实施过程中以及后期运维中发挥信息部门的作用，解决一些基础问题。</w:t>
      </w:r>
    </w:p>
    <w:p>
      <w:pPr>
        <w:widowControl/>
        <w:snapToGrid w:val="0"/>
        <w:spacing w:line="360" w:lineRule="auto"/>
        <w:jc w:val="left"/>
        <w:rPr>
          <w:rFonts w:ascii="仿宋" w:hAnsi="仿宋" w:eastAsia="仿宋" w:cs="仿宋"/>
          <w:color w:val="auto"/>
          <w:kern w:val="0"/>
          <w:sz w:val="24"/>
          <w:highlight w:val="none"/>
        </w:rPr>
      </w:pPr>
      <w:bookmarkStart w:id="34" w:name="_Toc503520964"/>
      <w:r>
        <w:rPr>
          <w:rFonts w:hint="eastAsia" w:ascii="仿宋" w:hAnsi="仿宋" w:eastAsia="仿宋" w:cs="仿宋"/>
          <w:color w:val="auto"/>
          <w:kern w:val="0"/>
          <w:sz w:val="24"/>
          <w:highlight w:val="none"/>
        </w:rPr>
        <w:t>培训内容如下：</w:t>
      </w:r>
    </w:p>
    <w:p>
      <w:pPr>
        <w:widowControl/>
        <w:snapToGrid w:val="0"/>
        <w:spacing w:line="360" w:lineRule="auto"/>
        <w:jc w:val="left"/>
        <w:rPr>
          <w:rFonts w:ascii="仿宋" w:hAnsi="仿宋" w:eastAsia="仿宋" w:cs="仿宋"/>
          <w:color w:val="auto"/>
          <w:kern w:val="0"/>
          <w:sz w:val="24"/>
          <w:highlight w:val="none"/>
        </w:rPr>
      </w:pPr>
      <w:bookmarkStart w:id="35" w:name="_Hlk61889127"/>
      <w:r>
        <w:rPr>
          <w:rFonts w:hint="eastAsia" w:ascii="仿宋" w:hAnsi="仿宋" w:eastAsia="仿宋" w:cs="仿宋"/>
          <w:color w:val="auto"/>
          <w:kern w:val="0"/>
          <w:sz w:val="24"/>
          <w:highlight w:val="none"/>
        </w:rPr>
        <w:t>1.机房基础设施的使用及日常监控，包括空调系统，UPS系统，环控系统，消防系统，模块化机柜系统等机房的基础设施的使用方法、监控方法以及常见故障的排查等。</w:t>
      </w:r>
    </w:p>
    <w:bookmarkEnd w:id="35"/>
    <w:p>
      <w:pPr>
        <w:widowControl/>
        <w:snapToGrid w:val="0"/>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2.信息安全管理</w:t>
      </w:r>
    </w:p>
    <w:p>
      <w:pPr>
        <w:widowControl/>
        <w:snapToGrid w:val="0"/>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培训内容：安全基础知识，本项目所涉及安全设备的配置、监控等。</w:t>
      </w:r>
    </w:p>
    <w:p>
      <w:pPr>
        <w:widowControl/>
        <w:snapToGrid w:val="0"/>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3.主机系统管理</w:t>
      </w:r>
    </w:p>
    <w:p>
      <w:pPr>
        <w:widowControl/>
        <w:snapToGrid w:val="0"/>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培训内容：本项目所涉及到的服务器、存储的日常配置、监控以及简单的故障排查等。</w:t>
      </w:r>
      <w:bookmarkEnd w:id="34"/>
      <w:bookmarkStart w:id="36" w:name="_Toc82679211"/>
    </w:p>
    <w:p>
      <w:pPr>
        <w:widowControl/>
        <w:snapToGrid w:val="0"/>
        <w:spacing w:line="360"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五、运行维护</w:t>
      </w:r>
      <w:bookmarkEnd w:id="36"/>
    </w:p>
    <w:p>
      <w:pPr>
        <w:widowControl/>
        <w:snapToGrid w:val="0"/>
        <w:spacing w:line="360" w:lineRule="auto"/>
        <w:jc w:val="left"/>
        <w:rPr>
          <w:rFonts w:ascii="仿宋" w:hAnsi="仿宋" w:eastAsia="仿宋" w:cs="仿宋"/>
          <w:color w:val="auto"/>
          <w:kern w:val="0"/>
          <w:sz w:val="24"/>
          <w:highlight w:val="none"/>
        </w:rPr>
      </w:pPr>
      <w:bookmarkStart w:id="37" w:name="_Toc63516900"/>
      <w:bookmarkEnd w:id="37"/>
      <w:bookmarkStart w:id="38" w:name="_Toc63516205"/>
      <w:bookmarkEnd w:id="38"/>
      <w:bookmarkStart w:id="39" w:name="_Toc63516212"/>
      <w:bookmarkEnd w:id="39"/>
      <w:bookmarkStart w:id="40" w:name="_Toc63516893"/>
      <w:bookmarkEnd w:id="40"/>
      <w:bookmarkStart w:id="41" w:name="_Toc63516206"/>
      <w:bookmarkEnd w:id="41"/>
      <w:bookmarkStart w:id="42" w:name="_Toc63516904"/>
      <w:bookmarkEnd w:id="42"/>
      <w:bookmarkStart w:id="43" w:name="_Toc63516902"/>
      <w:bookmarkEnd w:id="43"/>
      <w:bookmarkStart w:id="44" w:name="_Toc63516214"/>
      <w:bookmarkEnd w:id="44"/>
      <w:bookmarkStart w:id="45" w:name="_Toc63516213"/>
      <w:bookmarkEnd w:id="45"/>
      <w:bookmarkStart w:id="46" w:name="_Toc63516208"/>
      <w:bookmarkEnd w:id="46"/>
      <w:bookmarkStart w:id="47" w:name="_Toc63516203"/>
      <w:bookmarkEnd w:id="47"/>
      <w:bookmarkStart w:id="48" w:name="_Toc63516216"/>
      <w:bookmarkEnd w:id="48"/>
      <w:bookmarkStart w:id="49" w:name="_Toc63516210"/>
      <w:bookmarkEnd w:id="49"/>
      <w:bookmarkStart w:id="50" w:name="_Toc63516202"/>
      <w:bookmarkEnd w:id="50"/>
      <w:bookmarkStart w:id="51" w:name="_Toc63516204"/>
      <w:bookmarkEnd w:id="51"/>
      <w:bookmarkStart w:id="52" w:name="_Toc63516199"/>
      <w:bookmarkEnd w:id="52"/>
      <w:bookmarkStart w:id="53" w:name="_Toc63516894"/>
      <w:bookmarkEnd w:id="53"/>
      <w:bookmarkStart w:id="54" w:name="_Toc63516903"/>
      <w:bookmarkEnd w:id="54"/>
      <w:bookmarkStart w:id="55" w:name="_Toc63516887"/>
      <w:bookmarkEnd w:id="55"/>
      <w:bookmarkStart w:id="56" w:name="_Toc63516892"/>
      <w:bookmarkEnd w:id="56"/>
      <w:bookmarkStart w:id="57" w:name="_Toc63516217"/>
      <w:bookmarkEnd w:id="57"/>
      <w:bookmarkStart w:id="58" w:name="_Toc63516896"/>
      <w:bookmarkEnd w:id="58"/>
      <w:bookmarkStart w:id="59" w:name="_Toc63516889"/>
      <w:bookmarkEnd w:id="59"/>
      <w:bookmarkStart w:id="60" w:name="_Toc63516207"/>
      <w:bookmarkEnd w:id="60"/>
      <w:bookmarkStart w:id="61" w:name="_Toc63516895"/>
      <w:bookmarkEnd w:id="61"/>
      <w:bookmarkStart w:id="62" w:name="_Toc63516215"/>
      <w:bookmarkEnd w:id="62"/>
      <w:bookmarkStart w:id="63" w:name="_Toc63516885"/>
      <w:bookmarkEnd w:id="63"/>
      <w:bookmarkStart w:id="64" w:name="_Toc63516198"/>
      <w:bookmarkEnd w:id="64"/>
      <w:bookmarkStart w:id="65" w:name="_Toc63516899"/>
      <w:bookmarkEnd w:id="65"/>
      <w:bookmarkStart w:id="66" w:name="_Toc63516897"/>
      <w:bookmarkEnd w:id="66"/>
      <w:bookmarkStart w:id="67" w:name="_Toc63516898"/>
      <w:bookmarkEnd w:id="67"/>
      <w:bookmarkStart w:id="68" w:name="_Toc63516888"/>
      <w:bookmarkEnd w:id="68"/>
      <w:bookmarkStart w:id="69" w:name="_Toc63516891"/>
      <w:bookmarkEnd w:id="69"/>
      <w:bookmarkStart w:id="70" w:name="_Toc63516901"/>
      <w:bookmarkEnd w:id="70"/>
      <w:bookmarkStart w:id="71" w:name="_Toc63516211"/>
      <w:bookmarkEnd w:id="71"/>
      <w:bookmarkStart w:id="72" w:name="_Toc63516209"/>
      <w:bookmarkEnd w:id="72"/>
      <w:bookmarkStart w:id="73" w:name="_Toc63516200"/>
      <w:bookmarkEnd w:id="73"/>
      <w:bookmarkStart w:id="74" w:name="_Toc63516201"/>
      <w:bookmarkEnd w:id="74"/>
      <w:bookmarkStart w:id="75" w:name="_Toc63516890"/>
      <w:bookmarkEnd w:id="75"/>
      <w:bookmarkStart w:id="76" w:name="_Toc63516886"/>
      <w:bookmarkEnd w:id="76"/>
      <w:bookmarkStart w:id="77" w:name="_Toc82679212"/>
      <w:r>
        <w:rPr>
          <w:rFonts w:hint="eastAsia" w:ascii="仿宋" w:hAnsi="仿宋" w:eastAsia="仿宋" w:cs="仿宋"/>
          <w:color w:val="auto"/>
          <w:kern w:val="0"/>
          <w:sz w:val="24"/>
          <w:highlight w:val="none"/>
        </w:rPr>
        <w:t>1.运维内容</w:t>
      </w:r>
      <w:bookmarkEnd w:id="77"/>
    </w:p>
    <w:p>
      <w:pPr>
        <w:widowControl/>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针对本项目中所涉及到的软硬件设备以及工程实施，由承建方提供三年免费升级维护服务，服务期自系统正式验收确认之日开始。在三年免费升级维护服务和质量保证期内须保证专业的技术人员（需是项目实施团队骨干成员，且掌握项目的整个实施情况）进行技术支持，并指派一名项目维护经理为本项目售后服务固定联系人，并参与项目实施全过程。运维人员及时响应巡检及故障处理请求，做好项目的免费升级和维护工作。</w:t>
      </w:r>
    </w:p>
    <w:p>
      <w:pPr>
        <w:widowControl/>
        <w:snapToGrid w:val="0"/>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承建方需要提出包括维护计划、维护内容、维护措施及响应流程等内容的维护方案。</w:t>
      </w:r>
    </w:p>
    <w:p>
      <w:pPr>
        <w:widowControl/>
        <w:snapToGrid w:val="0"/>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项目三年免费运维期限到后，本项目运维费用列入年度常规预算。</w:t>
      </w:r>
    </w:p>
    <w:p>
      <w:pPr>
        <w:widowControl/>
        <w:snapToGrid w:val="0"/>
        <w:spacing w:line="360" w:lineRule="auto"/>
        <w:jc w:val="left"/>
        <w:rPr>
          <w:rFonts w:ascii="仿宋" w:hAnsi="仿宋" w:eastAsia="仿宋" w:cs="仿宋"/>
          <w:color w:val="auto"/>
          <w:kern w:val="0"/>
          <w:sz w:val="24"/>
          <w:highlight w:val="none"/>
        </w:rPr>
      </w:pPr>
      <w:bookmarkStart w:id="78" w:name="_Toc82679214"/>
      <w:r>
        <w:rPr>
          <w:rFonts w:hint="eastAsia" w:ascii="仿宋" w:hAnsi="仿宋" w:eastAsia="仿宋" w:cs="仿宋"/>
          <w:color w:val="auto"/>
          <w:kern w:val="0"/>
          <w:sz w:val="24"/>
          <w:highlight w:val="none"/>
        </w:rPr>
        <w:t>2.故障排除</w:t>
      </w:r>
      <w:bookmarkEnd w:id="78"/>
    </w:p>
    <w:p>
      <w:pPr>
        <w:widowControl/>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在规定时限内排除故障恢复系统运行，包括故障定位、部件更换、数据恢复的全部工作，不再另外收取任何费用。</w:t>
      </w:r>
    </w:p>
    <w:p>
      <w:pPr>
        <w:widowControl/>
        <w:snapToGrid w:val="0"/>
        <w:spacing w:line="360" w:lineRule="auto"/>
        <w:jc w:val="left"/>
        <w:rPr>
          <w:rFonts w:ascii="仿宋" w:hAnsi="仿宋" w:eastAsia="仿宋" w:cs="仿宋"/>
          <w:color w:val="auto"/>
          <w:kern w:val="0"/>
          <w:sz w:val="24"/>
          <w:highlight w:val="none"/>
        </w:rPr>
      </w:pPr>
      <w:bookmarkStart w:id="79" w:name="_Toc82679215"/>
      <w:r>
        <w:rPr>
          <w:rFonts w:hint="eastAsia" w:ascii="仿宋" w:hAnsi="仿宋" w:eastAsia="仿宋" w:cs="仿宋"/>
          <w:color w:val="auto"/>
          <w:kern w:val="0"/>
          <w:sz w:val="24"/>
          <w:highlight w:val="none"/>
        </w:rPr>
        <w:t>3.定期巡检</w:t>
      </w:r>
      <w:bookmarkEnd w:id="79"/>
    </w:p>
    <w:p>
      <w:pPr>
        <w:widowControl/>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每周定期对机房设备、环境、网络、安全系统进行预防性维护，包括检查系统状态、设备清洁、系统备份以及与客户工程师的技术交流。</w:t>
      </w:r>
    </w:p>
    <w:p>
      <w:pPr>
        <w:widowControl/>
        <w:snapToGrid w:val="0"/>
        <w:spacing w:line="360" w:lineRule="auto"/>
        <w:jc w:val="left"/>
        <w:rPr>
          <w:rFonts w:ascii="仿宋" w:hAnsi="仿宋" w:eastAsia="仿宋" w:cs="仿宋"/>
          <w:color w:val="auto"/>
          <w:kern w:val="0"/>
          <w:sz w:val="24"/>
          <w:highlight w:val="none"/>
        </w:rPr>
      </w:pPr>
      <w:bookmarkStart w:id="80" w:name="_Toc82679216"/>
      <w:r>
        <w:rPr>
          <w:rFonts w:hint="eastAsia" w:ascii="仿宋" w:hAnsi="仿宋" w:eastAsia="仿宋" w:cs="仿宋"/>
          <w:color w:val="auto"/>
          <w:kern w:val="0"/>
          <w:sz w:val="24"/>
          <w:highlight w:val="none"/>
        </w:rPr>
        <w:t>4.其他服务</w:t>
      </w:r>
      <w:bookmarkEnd w:id="80"/>
    </w:p>
    <w:p>
      <w:pPr>
        <w:widowControl/>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解答我方在系统使用中的问题。可通过电话解答非保修设备使用中的技术问题。一般情况下，指导我方解决问题，特殊情况下，到现场指导并解决问题，以有效地提高我方的系统管理水平，降低系统的人为故障率。</w:t>
      </w:r>
    </w:p>
    <w:p>
      <w:pPr>
        <w:widowControl/>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协助我方建立健全规范的管理制度和系统使用维护的技术流程及规范。建立系统的配置档案和升级维护档案，定期提交系统维护及管理报告。</w:t>
      </w:r>
    </w:p>
    <w:p>
      <w:pPr>
        <w:widowControl/>
        <w:snapToGrid w:val="0"/>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5.协调工作</w:t>
      </w:r>
    </w:p>
    <w:p>
      <w:pPr>
        <w:widowControl/>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协调原厂商（包括软硬件）的维护和维修工作。定期召开例会，双方交流，向我方领导汇报工作并听取领导及技术人员的意见和建议。</w:t>
      </w:r>
    </w:p>
    <w:p>
      <w:pPr>
        <w:widowControl/>
        <w:snapToGrid w:val="0"/>
        <w:spacing w:line="360" w:lineRule="auto"/>
        <w:jc w:val="left"/>
        <w:rPr>
          <w:rFonts w:ascii="仿宋" w:hAnsi="仿宋" w:eastAsia="仿宋" w:cs="仿宋"/>
          <w:color w:val="auto"/>
          <w:kern w:val="0"/>
          <w:sz w:val="24"/>
          <w:highlight w:val="none"/>
        </w:rPr>
      </w:pPr>
      <w:bookmarkStart w:id="81" w:name="_Toc82679217"/>
      <w:r>
        <w:rPr>
          <w:rFonts w:hint="eastAsia" w:ascii="仿宋" w:hAnsi="仿宋" w:eastAsia="仿宋" w:cs="仿宋"/>
          <w:color w:val="auto"/>
          <w:kern w:val="0"/>
          <w:sz w:val="24"/>
          <w:highlight w:val="none"/>
        </w:rPr>
        <w:t>6.服务标准</w:t>
      </w:r>
      <w:bookmarkEnd w:id="81"/>
    </w:p>
    <w:p>
      <w:pPr>
        <w:widowControl/>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服务工作时间：7 X 24 X 365电话受理服务。</w:t>
      </w:r>
    </w:p>
    <w:p>
      <w:pPr>
        <w:widowControl/>
        <w:snapToGrid w:val="0"/>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7.响应时间：</w:t>
      </w:r>
    </w:p>
    <w:p>
      <w:pPr>
        <w:widowControl/>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接到报修后30分钟内予以实质性响应，工程师4小时内到达服务现场。</w:t>
      </w:r>
    </w:p>
    <w:p>
      <w:pPr>
        <w:widowControl/>
        <w:snapToGrid w:val="0"/>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8.故障恢复时间：</w:t>
      </w:r>
    </w:p>
    <w:p>
      <w:pPr>
        <w:widowControl/>
        <w:snapToGrid w:val="0"/>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接到报修后48个小时内恢复系统正常运行。</w:t>
      </w:r>
    </w:p>
    <w:p>
      <w:pPr>
        <w:widowControl/>
        <w:snapToGrid w:val="0"/>
        <w:spacing w:line="360"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9.保密条款</w:t>
      </w:r>
    </w:p>
    <w:p>
      <w:pPr>
        <w:widowControl/>
        <w:snapToGrid w:val="0"/>
        <w:spacing w:line="360" w:lineRule="auto"/>
        <w:ind w:firstLine="480" w:firstLineChars="200"/>
        <w:jc w:val="left"/>
        <w:rPr>
          <w:rFonts w:ascii="仿宋" w:hAnsi="仿宋" w:eastAsia="仿宋" w:cs="仿宋"/>
          <w:color w:val="auto"/>
          <w:highlight w:val="none"/>
        </w:rPr>
      </w:pPr>
      <w:r>
        <w:rPr>
          <w:rFonts w:hint="eastAsia" w:ascii="仿宋" w:hAnsi="仿宋" w:eastAsia="仿宋" w:cs="仿宋"/>
          <w:color w:val="auto"/>
          <w:kern w:val="0"/>
          <w:sz w:val="24"/>
          <w:highlight w:val="none"/>
        </w:rPr>
        <w:t>运维人员需严格遵循保密协议，凡涉及用户敏感信息等信息不得向第三方泄露，维护过程中如需涉及用户系统的数据信息，必须先通过用户方认可，维护工作的数据信息（无论是打印或介质上的数据信息）不得带离用户工作现场。</w:t>
      </w:r>
      <w:r>
        <w:rPr>
          <w:rFonts w:hint="eastAsia" w:ascii="仿宋" w:hAnsi="仿宋" w:eastAsia="仿宋" w:cs="仿宋"/>
          <w:color w:val="auto"/>
          <w:highlight w:val="none"/>
        </w:rPr>
        <w:br w:type="page"/>
      </w:r>
    </w:p>
    <w:p>
      <w:pPr>
        <w:pStyle w:val="16"/>
        <w:rPr>
          <w:rFonts w:ascii="仿宋" w:hAnsi="仿宋" w:eastAsia="仿宋" w:cs="仿宋"/>
          <w:color w:val="auto"/>
          <w:highlight w:val="none"/>
        </w:rPr>
      </w:pPr>
      <w:bookmarkStart w:id="82" w:name="_Toc14212"/>
      <w:r>
        <w:rPr>
          <w:rFonts w:hint="eastAsia" w:ascii="仿宋" w:hAnsi="仿宋" w:eastAsia="仿宋" w:cs="仿宋"/>
          <w:color w:val="auto"/>
          <w:highlight w:val="none"/>
        </w:rPr>
        <w:t>第七章  项目技术、服务、采购合同内容条款及其他商务要求</w:t>
      </w:r>
      <w:bookmarkEnd w:id="82"/>
    </w:p>
    <w:bookmarkEnd w:id="16"/>
    <w:bookmarkEnd w:id="17"/>
    <w:bookmarkEnd w:id="18"/>
    <w:bookmarkEnd w:id="19"/>
    <w:bookmarkEnd w:id="20"/>
    <w:p>
      <w:pPr>
        <w:pStyle w:val="9"/>
        <w:spacing w:after="0" w:line="580" w:lineRule="exact"/>
        <w:ind w:left="420" w:leftChars="200"/>
        <w:jc w:val="left"/>
        <w:rPr>
          <w:rFonts w:ascii="仿宋" w:hAnsi="仿宋" w:eastAsia="仿宋" w:cs="仿宋"/>
          <w:b/>
          <w:bCs/>
          <w:color w:val="auto"/>
          <w:sz w:val="24"/>
          <w:highlight w:val="none"/>
        </w:rPr>
      </w:pPr>
      <w:bookmarkStart w:id="83" w:name="_Toc511206480"/>
      <w:bookmarkStart w:id="84" w:name="_Toc183682369"/>
      <w:bookmarkStart w:id="85" w:name="_Toc183582232"/>
      <w:bookmarkStart w:id="86" w:name="_Toc217446057"/>
      <w:r>
        <w:rPr>
          <w:rFonts w:hint="eastAsia" w:ascii="仿宋" w:hAnsi="仿宋" w:eastAsia="仿宋" w:cs="仿宋"/>
          <w:b/>
          <w:bCs/>
          <w:color w:val="auto"/>
          <w:sz w:val="24"/>
          <w:highlight w:val="none"/>
        </w:rPr>
        <w:t>一、技术参数要求</w:t>
      </w:r>
    </w:p>
    <w:p>
      <w:pPr>
        <w:pStyle w:val="9"/>
        <w:spacing w:after="0" w:line="580" w:lineRule="exact"/>
        <w:ind w:left="420" w:left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（包件一）</w:t>
      </w:r>
    </w:p>
    <w:tbl>
      <w:tblPr>
        <w:tblStyle w:val="18"/>
        <w:tblW w:w="498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3"/>
        <w:gridCol w:w="938"/>
        <w:gridCol w:w="1157"/>
        <w:gridCol w:w="4849"/>
        <w:gridCol w:w="778"/>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8EA9DB"/>
            <w:noWrap/>
            <w:vAlign w:val="center"/>
          </w:tcPr>
          <w:p>
            <w:pPr>
              <w:widowControl/>
              <w:snapToGrid w:val="0"/>
              <w:spacing w:line="276" w:lineRule="auto"/>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491" w:type="pct"/>
            <w:shd w:val="clear" w:color="000000" w:fill="8EA9DB"/>
            <w:noWrap/>
            <w:vAlign w:val="center"/>
          </w:tcPr>
          <w:p>
            <w:pPr>
              <w:widowControl/>
              <w:snapToGrid w:val="0"/>
              <w:spacing w:line="276" w:lineRule="auto"/>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分类</w:t>
            </w:r>
          </w:p>
        </w:tc>
        <w:tc>
          <w:tcPr>
            <w:tcW w:w="607" w:type="pct"/>
            <w:shd w:val="clear" w:color="000000" w:fill="8EA9DB"/>
            <w:vAlign w:val="center"/>
          </w:tcPr>
          <w:p>
            <w:pPr>
              <w:widowControl/>
              <w:snapToGrid w:val="0"/>
              <w:spacing w:line="276" w:lineRule="auto"/>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名称</w:t>
            </w:r>
          </w:p>
        </w:tc>
        <w:tc>
          <w:tcPr>
            <w:tcW w:w="2543" w:type="pct"/>
            <w:shd w:val="clear" w:color="000000" w:fill="8EA9DB"/>
            <w:vAlign w:val="center"/>
          </w:tcPr>
          <w:p>
            <w:pPr>
              <w:widowControl/>
              <w:snapToGrid w:val="0"/>
              <w:spacing w:line="276" w:lineRule="auto"/>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技术规格、参数、服务及要求</w:t>
            </w:r>
          </w:p>
        </w:tc>
        <w:tc>
          <w:tcPr>
            <w:tcW w:w="408" w:type="pct"/>
            <w:shd w:val="clear" w:color="000000" w:fill="8EA9DB"/>
            <w:noWrap/>
            <w:vAlign w:val="center"/>
          </w:tcPr>
          <w:p>
            <w:pPr>
              <w:widowControl/>
              <w:snapToGrid w:val="0"/>
              <w:spacing w:line="276" w:lineRule="auto"/>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单位</w:t>
            </w:r>
          </w:p>
        </w:tc>
        <w:tc>
          <w:tcPr>
            <w:tcW w:w="478" w:type="pct"/>
            <w:shd w:val="clear" w:color="000000" w:fill="8EA9DB"/>
            <w:noWrap/>
            <w:vAlign w:val="center"/>
          </w:tcPr>
          <w:p>
            <w:pPr>
              <w:widowControl/>
              <w:snapToGrid w:val="0"/>
              <w:spacing w:line="276" w:lineRule="auto"/>
              <w:jc w:val="center"/>
              <w:rPr>
                <w:rFonts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1</w:t>
            </w:r>
          </w:p>
        </w:tc>
        <w:tc>
          <w:tcPr>
            <w:tcW w:w="491" w:type="pct"/>
            <w:vMerge w:val="restart"/>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机房基础装修</w:t>
            </w: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防静电陶瓷地板</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1、陶瓷防静规格为600×600×40mm，地板铺设高度300mm。</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2</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地面防层漆</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1、刷不易脱落的防尘漆三遍。</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3</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地面橡塑保温板</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1、地面铺设20mm厚橡塑保温板（阻燃等级不低于B1级），橡塑保温板面贴≥0.5mm厚镀锌铁皮。</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4</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镀锌铁皮</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1、厚度≥0.5mm。</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5</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边角地板支架</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1、角钢30*3非标。</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6</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不锈钢踢脚</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1、厚度：1.0mm不锈钢板；材质：304材质。</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7</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地板踏步</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1、二级踏步台阶、静电地板安装、水泥+河沙+砖。</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套</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8</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墙面彩钢板</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1、尺寸：1200mm*3000mm*12mm墙板为0.6mm防锈热熔镀锌烤漆钢板，内衬板为防火12mm石膏板。</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9</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彩钢板轻钢龙骨</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1、75型龙骨，国标。</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10</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防火隔音玻璃纤维棉</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1、黄色、方形、防火厚度5CM。</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11</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彩钢板阳角条</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1、L角阳角条+龙骨卡。</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12</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彩钢板阴角条</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1、U型。</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13</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过道轻质隔音隔墙</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1、轻钢龙骨+隔音棉+双层石膏板。</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平米</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14</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墙体防水处理</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1、防水处理。</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15</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微孔铝扣板吊顶</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1、装600mm×600mm方形微孔铝板，铝板厚≥0.8mm。</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16</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吊顶轻钢龙骨、吊杆</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1、龙骨 吊顶阴角线。</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17</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L边角条</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1、L边角条。</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18</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LED灯</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1、LED 600*600LED 32W。</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套</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19</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顶面防尘漆二遍</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1、吊顶以上结构顶板空间和四壁需抹灰,刷不易脱落的防尘漆二遍。</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20</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顶各系统KBG管铺设线管</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1、监控、消防、照明、环控、应急等系统布管。</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21</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防火门</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1、根据实际情况定制，含五金、门套等 甲级。</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套</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22</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封窗</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1、彩钢板内封。</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23</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机柜承重散力架制作</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1、50*5角钢 国标。</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24</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空调及UPS承重散力架</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1、50*5角钢 国标。</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25</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气瓶承重散力架制作</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1、50*5角钢 国标。</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26</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空调挡水池</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1、砖、水泥、河沙、防水材料。</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27</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电池承重散列架制作</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1、50*5角钢 国标。</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28</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辅材</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1、装修辅材。</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29</w:t>
            </w:r>
          </w:p>
        </w:tc>
        <w:tc>
          <w:tcPr>
            <w:tcW w:w="491"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防辐射建设</w:t>
            </w: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防辐射钢板体墙面：2mm屏蔽钢板</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1、冷扎钢板制作单元模块型后现场组装焊接，表面进行防锈处理，机房地面绝缘处理。</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r>
              <w:rPr>
                <w:rFonts w:hint="eastAsia" w:ascii="仿宋" w:hAnsi="仿宋" w:eastAsia="仿宋" w:cs="仿宋"/>
                <w:color w:val="auto"/>
                <w:kern w:val="0"/>
                <w:sz w:val="24"/>
                <w:highlight w:val="none"/>
                <w:vertAlign w:val="superscript"/>
              </w:rPr>
              <w:t>2</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30</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防辐射钢板体地面：3mm屏蔽钢板</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1、冷扎钢板制作单元模块型后现场组装焊接，表面进行防锈处理，机房地面绝缘处理。</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r>
              <w:rPr>
                <w:rFonts w:hint="eastAsia" w:ascii="仿宋" w:hAnsi="仿宋" w:eastAsia="仿宋" w:cs="仿宋"/>
                <w:color w:val="auto"/>
                <w:kern w:val="0"/>
                <w:sz w:val="24"/>
                <w:highlight w:val="none"/>
                <w:vertAlign w:val="superscript"/>
              </w:rPr>
              <w:t>2</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31</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防辐射钢龙骨架-地面</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1、40*60方管副龙骨，40*80主龙骨。</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r>
              <w:rPr>
                <w:rFonts w:hint="eastAsia" w:ascii="仿宋" w:hAnsi="仿宋" w:eastAsia="仿宋" w:cs="仿宋"/>
                <w:color w:val="auto"/>
                <w:kern w:val="0"/>
                <w:sz w:val="24"/>
                <w:highlight w:val="none"/>
                <w:vertAlign w:val="superscript"/>
              </w:rPr>
              <w:t>2</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32</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防辐射钢龙骨架-墙面</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1、40*60方管副龙骨，40*80主龙骨。</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r>
              <w:rPr>
                <w:rFonts w:hint="eastAsia" w:ascii="仿宋" w:hAnsi="仿宋" w:eastAsia="仿宋" w:cs="仿宋"/>
                <w:color w:val="auto"/>
                <w:kern w:val="0"/>
                <w:sz w:val="24"/>
                <w:highlight w:val="none"/>
                <w:vertAlign w:val="superscript"/>
              </w:rPr>
              <w:t>2</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33</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地面绝缘层</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1、地面涂绝缘层。</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r>
              <w:rPr>
                <w:rFonts w:hint="eastAsia" w:ascii="仿宋" w:hAnsi="仿宋" w:eastAsia="仿宋" w:cs="仿宋"/>
                <w:color w:val="auto"/>
                <w:kern w:val="0"/>
                <w:sz w:val="24"/>
                <w:highlight w:val="none"/>
                <w:vertAlign w:val="superscript"/>
              </w:rPr>
              <w:t>2</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34</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六面墙体油漆处理（双面）</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1、六面墙涂油漆两遍。</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r>
              <w:rPr>
                <w:rFonts w:hint="eastAsia" w:ascii="仿宋" w:hAnsi="仿宋" w:eastAsia="仿宋" w:cs="仿宋"/>
                <w:color w:val="auto"/>
                <w:kern w:val="0"/>
                <w:sz w:val="24"/>
                <w:highlight w:val="none"/>
                <w:vertAlign w:val="superscript"/>
              </w:rPr>
              <w:t>2</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35</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防辐射壳体拐角、包角、顶部等处理</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1、焊接连接件（顶部龙骨吊钩及侧面天地龙骨连接件）。</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套</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36</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防辐射壳体与装饰脚件连接</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1、1.0×2.0(M)C级、HL-PBM。</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套</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37</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防辐射降噪门</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1、四点锁紧电动旋转单开门。</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扇</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38</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IC卡及密码门禁系统</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1、支持IC卡及密码开门。</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套</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39</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实施</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1、含屏蔽室运输、搬运以及现场安装费。</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w:t>
            </w:r>
          </w:p>
        </w:tc>
        <w:tc>
          <w:tcPr>
            <w:tcW w:w="491"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供配电工程</w:t>
            </w:r>
          </w:p>
        </w:tc>
        <w:tc>
          <w:tcPr>
            <w:tcW w:w="607"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综合配电动力配电柜</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1、柜体尺寸600mm宽*300mm深*2000mm高；</w:t>
            </w:r>
          </w:p>
        </w:tc>
        <w:tc>
          <w:tcPr>
            <w:tcW w:w="40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套</w:t>
            </w:r>
          </w:p>
        </w:tc>
        <w:tc>
          <w:tcPr>
            <w:tcW w:w="47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2、总输入开关160A/4P*2pcs，PC级ATS 160A/4P*1pcs ；输出开关：125A/3P*2pcs，63A/3P*4pcs，32A/1P*3pcs,16A/1P*3pcs，10A/1P*3pcs；</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3、主路总开关配置智能电量仪，全电量监控和开关状态告警，支持485接口接入上层监控；                                                         </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4、浪涌保护器：In≥40kA，带控制开关。</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41</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浪涌保护器</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1、二级防雷40KVA。</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42</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浪涌保护器</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1、三级防雷20KVA。</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43</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主进线缆</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1、ZR-YJV-4*95mm2+1*50mm2。</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44</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铜芯电线</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1、ZR-BV-2.5mm2。</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45</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铜芯电线</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1、ZR-BV-4mm2。</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46</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铜芯电缆</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1、ZR-VV-3×6mm2。</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47</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新排风机电缆</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1、ZR-VV-5×2.5mm。</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48</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空调电缆</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1、ZR-VV-5×16mm。</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49</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消防线</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1、ZR-RVS-2*1.0mm。</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50</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监控、消防RVV2*1.0电源线</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1、RVV2*1.0mm。</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51</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工业连接器</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1、工业连接器。</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套</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52</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市电五孔插座</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1、250V 10A。</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53</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照明开关</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1、86型双开。</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54</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应急灯</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1、双头LED应急灯，后备电源不低于4小时。</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套</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55</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安全出口指示灯</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1、LED疏散通道标志灯牌，应急时间不低于180分钟。</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套</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56</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铝合金桥架</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1、300mm×3000mm铝合金桥架，含固线器所有配套。</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57</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光纤线缆槽架</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1、长度：2000mm 宽度：120mm。</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58</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金属封闭桥架</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1、200×100×1.2mm金属封闭桥架。</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59</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金属软管</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1、Φ20，包塑，满足设计及业主要求。</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60</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辅材</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1、配电辅材。</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61</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主电缆铺设+机房配电施工</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1、从大楼低压配电房至4楼机房。</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62</w:t>
            </w:r>
          </w:p>
        </w:tc>
        <w:tc>
          <w:tcPr>
            <w:tcW w:w="491"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消防工程</w:t>
            </w:r>
          </w:p>
        </w:tc>
        <w:tc>
          <w:tcPr>
            <w:tcW w:w="607"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火灾报警控制器</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1、液晶屏规格：128×64 点，可同屏显示 32 个汉字信息；</w:t>
            </w:r>
          </w:p>
        </w:tc>
        <w:tc>
          <w:tcPr>
            <w:tcW w:w="40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 控制器容量： a. 最大容量为 242 个地址编码点 b. 可外接 64 台火灾显示盘（ VDR 设备）；</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 线制： a. 控制器与探测器间采用无极性信号二总线连接  b. 控制器与火灾显示盘（VDR 设备）采用四总线连接（有极性通讯二总线、无极性 DC24V电源线）；</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4、电源：主电交流 220V 电压变化范围 ＋10%～－15%，内装 DC12V 10Ah 密封铅酸电池作备电。</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63</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气体灭火控制盘</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1、工作电压：交流 AC220V 50/60Hz ，允许电压变化范围 AC176V～AC264V；</w:t>
            </w:r>
          </w:p>
        </w:tc>
        <w:tc>
          <w:tcPr>
            <w:tcW w:w="40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2、备用电源：2 个 DC12V/7Ah 密封铅酸电池；</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3、气体喷洒输出：各区 DC24V/3A，脉冲方式/持续方式,可调；</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4、电池充电电流： 1.0A ～ 1.7A ；</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5、液晶屏规格﹕128×64 点，可同屏显示 32 个汉字信息；</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6、可带 2 个区的气体灭火设备，实现对 2 个防护区的保护。</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64</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智能型光电感烟探测器</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1、工作电压：总线 24V，监视电流≤0.8mA，报警电流≤1.8mA。</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65</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智能型感温探测器</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1、探测器类别：P（A1R 和 BS 可设）。</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66</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探测器底座</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1、可与探测器匹配。</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67</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气体喷洒指示灯</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1、可与气体灭火控制器联动。</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68</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紧急启动/停止按钮</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1、两线制可与气体灭火控制器连接。</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69</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手动报警按钮</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1、红色。</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70</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声光报警器</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1、红色。</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71</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联网卡</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1、具备一路光电隔离的标准CAN 接口。</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72</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泄压阀</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1、定制。</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73</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消防检测</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1、第三方消防检测。</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74</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无管网灭火瓶组</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1、70L。</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75</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七氟丙烷洁净药剂</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1、七氟丙烷。</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公斤</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76</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施工费+辅材+货运费用</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1、综合。</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77</w:t>
            </w:r>
          </w:p>
        </w:tc>
        <w:tc>
          <w:tcPr>
            <w:tcW w:w="491"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新排风工程</w:t>
            </w: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新风机</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1、风量1500m</w:t>
            </w:r>
            <w:r>
              <w:rPr>
                <w:rFonts w:hint="eastAsia" w:ascii="仿宋" w:hAnsi="仿宋" w:eastAsia="仿宋" w:cs="仿宋"/>
                <w:color w:val="auto"/>
                <w:kern w:val="0"/>
                <w:sz w:val="24"/>
                <w:highlight w:val="none"/>
                <w:vertAlign w:val="superscript"/>
              </w:rPr>
              <w:t>3</w:t>
            </w:r>
            <w:r>
              <w:rPr>
                <w:rFonts w:hint="eastAsia" w:ascii="仿宋" w:hAnsi="仿宋" w:eastAsia="仿宋" w:cs="仿宋"/>
                <w:color w:val="auto"/>
                <w:kern w:val="0"/>
                <w:sz w:val="24"/>
                <w:highlight w:val="none"/>
              </w:rPr>
              <w:t>/h ，标配墙面开关；风量三速可调。</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78</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排风机</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1、风量2000m</w:t>
            </w:r>
            <w:r>
              <w:rPr>
                <w:rFonts w:hint="eastAsia" w:ascii="仿宋" w:hAnsi="仿宋" w:eastAsia="仿宋" w:cs="仿宋"/>
                <w:color w:val="auto"/>
                <w:kern w:val="0"/>
                <w:sz w:val="24"/>
                <w:highlight w:val="none"/>
                <w:vertAlign w:val="superscript"/>
              </w:rPr>
              <w:t>3</w:t>
            </w:r>
            <w:r>
              <w:rPr>
                <w:rFonts w:hint="eastAsia" w:ascii="仿宋" w:hAnsi="仿宋" w:eastAsia="仿宋" w:cs="仿宋"/>
                <w:color w:val="auto"/>
                <w:kern w:val="0"/>
                <w:sz w:val="24"/>
                <w:highlight w:val="none"/>
              </w:rPr>
              <w:t>/h ，标配墙面开关；风量三速可调。</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79</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百叶进出风口</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1、250mm*250mm。</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80</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外墙防雨风口</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1、250mm*400mm。</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81</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风管</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1、铁皮风管200mm*300mm。</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82</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辅材</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1、新风辅材。</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83</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施工费用</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1、施工费用。</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84</w:t>
            </w:r>
          </w:p>
        </w:tc>
        <w:tc>
          <w:tcPr>
            <w:tcW w:w="491"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防雷接地工程</w:t>
            </w: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接地铜排</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1、机房专用30×3mm接地铜排。</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米</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85</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绝缘支柱</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1、铜排安装支柱。</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86</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局部等电位箱</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1、300×200mm。</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87</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接地引线</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1、WDZ-BVR-50mm²。</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88</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接地连接线</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1、BVR-16mm²。</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89</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接地连接线</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1、BVR-6mm²。</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m</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90</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施工费用</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1、防雷接地施工。</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91</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防雷检测</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1、第三方防雷检测。</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w:t>
            </w:r>
          </w:p>
        </w:tc>
        <w:tc>
          <w:tcPr>
            <w:tcW w:w="491"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门禁工程</w:t>
            </w:r>
          </w:p>
        </w:tc>
        <w:tc>
          <w:tcPr>
            <w:tcW w:w="607"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人脸门禁一体机</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1、采用≥7英寸LCD触摸显示屏，屏幕流明度≥350cd/㎡，分辨率≥1024×600，屏幕防暴等级不低于IK04。采用嵌入式Linux系统，支持指纹蓝牙一体模块（具有指纹和蓝牙功能）或身份证模块拼接扩展；</w:t>
            </w:r>
          </w:p>
        </w:tc>
        <w:tc>
          <w:tcPr>
            <w:tcW w:w="40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2、▲具有IC卡、身份证卡号读取功能，支持CPU卡内容读取及开启/关闭NFC刷卡功能；（提供第三方权威机构检测或检验报告证明）</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3、▲支持认证方式：人脸识别、刷卡、二维码、密码；支持人脸识别、刷卡、二维码、密码之中任意一种、任意两种组合、任意三种组合的认证开门； 当设备与门锁联动时，可对识别媒介（人脸、指纹、卡、密码）的使用权限进行设置，根据使用场景和组合认证方式实现以下开门功能：多重卡认证开门、多重卡+中心远程认证开门、多重卡+超级密码开门、多重卡+超级卡开门、首卡开门、超级权限开门、管理中心远程开门、APP远程开门、室内机及管理机远程开门等；支持按时间分时段管控门禁权限，支持≥255组时段计划模板，支持≥1024个假日计划管理；支持常开、常闭时段管理；支持首卡开门管理；（提供第三方权威机构检测或检验报告证明）</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具有人脸识别功能，现场抓拍人脸照片与本地人脸库照片进行比对，进行人员身份核验；具有人脸在画面内持续动态跟踪功能；具有本地离线人脸比对功能；支持联网与后端平台对接实现人脸比对；支持侧脸、部分遮挡、表情、戴眼镜及帽子情景下的人脸识别；支持用户人脸数据下载及人脸识别双线程同步；人脸识别水平、垂直区域范围可设置；人脸在上下、左右角度偏转±45度范围内能识别，且识别角度可设置；支持人脸识别多阈值设置。本地人脸库存储容量≥5000张，本地卡存储容量≥6000张。人脸识别误识率≤0.01%的条件下，准确率应≥99.85%；人脸比对平均时间≤0.2s；（提供第三方权威机构检测或检验报告证明）</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5、支持多种人脸注册方式：本地人脸注册、本地U盘导入人员信息、远程中心下发人脸、通过APP采集人脸并注册下发等；</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6、▲具有视频对讲功能，可跟平台或客户端、室内机、管理机、手机APP进行视频对讲；（提供第三方权威机构检测或检验报告证明）</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7、具有管理中心远程视频预览功能；</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8、支持NVR设备接入；支持双码流，主码流1280×720@25fps、子码流1280×720@25fps；</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9、支持中心下发黑名单信息；支持本地黑名单信息比对；具有本地黑名单报警功能，报警信息可上传平台；</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具有以下报警功能：当连续若干次在目标信息识读设备或管理/控制部分上实施错误操作时；当未使用授权的钥匙而强行通过出入口；未经正常操作而使出入口开启时；出入口开启时间超过设定值；设备被拆除； 胁迫码；黑名单事件；具有不低于2路入侵探测接口，能联动报警输出；具有防拆功能，强力拆除时，可上传报警事件到中心；</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11、支持授权人员刷人脸时可抓拍图片并实时上传平台；支持接入消防应急信号联动开门；</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支持通过WEB进行设备信息查询;支持通过WEB进行用户信息管理;支持通过WEB进行时间管理;支持通过WEB进行系统维护;支持通过WEB进行安全操作管理;支持通过WEB进行人脸、指纹技术参数配置;支持通过WEB进行图像参数配置。</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93</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出门按钮（感应）</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1、体感非接触感应输出信号。具有LED指示灯，具有待机状态、动作状态的状态显示。</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94</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磁力电锁/下插锁</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1、≥280kg静态直线拉力的单门磁力锁。</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把</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95</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门禁电源盒</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1、12V2A。</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96</w:t>
            </w:r>
          </w:p>
        </w:tc>
        <w:tc>
          <w:tcPr>
            <w:tcW w:w="491"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视频监控</w:t>
            </w:r>
          </w:p>
        </w:tc>
        <w:tc>
          <w:tcPr>
            <w:tcW w:w="607"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16路硬盘录像机</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1、16路NVR数字高清；</w:t>
            </w:r>
          </w:p>
        </w:tc>
        <w:tc>
          <w:tcPr>
            <w:tcW w:w="40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★2、需能够接入温江区政务数据中心视频监控系统。</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97</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半球摄像头</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1、不低于200万像素，POE供电。</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98</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监控专用硬盘</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1、不低于6T。</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99</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POE交换机</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1、24口POE交换机。</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sz w:val="24"/>
                <w:highlight w:val="none"/>
              </w:rPr>
              <w:t>100</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施工费用</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1、施工费用。</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101</w:t>
            </w:r>
          </w:p>
        </w:tc>
        <w:tc>
          <w:tcPr>
            <w:tcW w:w="491"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制冷系统</w:t>
            </w:r>
          </w:p>
        </w:tc>
        <w:tc>
          <w:tcPr>
            <w:tcW w:w="607" w:type="pct"/>
            <w:vMerge w:val="restar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精密空调</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1、★30KW房级空调，含室内机和室外机；</w:t>
            </w:r>
          </w:p>
        </w:tc>
        <w:tc>
          <w:tcPr>
            <w:tcW w:w="40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套</w:t>
            </w:r>
          </w:p>
        </w:tc>
        <w:tc>
          <w:tcPr>
            <w:tcW w:w="47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2、采用R410A环保冷媒，可适应最低-10℃室外温度；</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3、含加热加湿，标配485卡；</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4、采用最先进的直流变频涡旋压缩机配搭电子膨胀阀、直流变频EC 风机，EC风机室内风机至少2台，显冷量33KW以上，风量满足8000m3/h以上；</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5、可插拔式电路控制板设计，配有风扇接触器和过载保护；</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6、标配电子膨胀阀、可调速室外风机、温度传感器。</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102</w:t>
            </w:r>
          </w:p>
        </w:tc>
        <w:tc>
          <w:tcPr>
            <w:tcW w:w="491"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机柜</w:t>
            </w:r>
          </w:p>
        </w:tc>
        <w:tc>
          <w:tcPr>
            <w:tcW w:w="607"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机柜</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1、机柜要求为19 英寸42U工业标准服务器机柜，尺寸600mm*1200mm*2000mm；</w:t>
            </w:r>
          </w:p>
        </w:tc>
        <w:tc>
          <w:tcPr>
            <w:tcW w:w="40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套</w:t>
            </w:r>
          </w:p>
        </w:tc>
        <w:tc>
          <w:tcPr>
            <w:tcW w:w="47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2、立柱、方孔条和框架材料等不低于1.5mm，门板、侧板、顶板厚度不低于1.2mm，坚固可靠，静态承载能力≧1000kg；</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3、机柜采用网孔门，通孔率不低于75%；</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4、配置满足实际需求的承重板；</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5、标配4只脚轮和4只调平支脚，每台机柜自带≥40套螺钉螺母。</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103</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PDU C13*20+C19*4位(5m)</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1、交流PDU采用黑色；</w:t>
            </w:r>
          </w:p>
        </w:tc>
        <w:tc>
          <w:tcPr>
            <w:tcW w:w="40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套</w:t>
            </w:r>
          </w:p>
        </w:tc>
        <w:tc>
          <w:tcPr>
            <w:tcW w:w="47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2、PDU安装兼容法兰支架安装和无工具安装两种方式；</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3、采用铝制机壳，塑料面盖板。坚固耐用，抗压性能、耐蚀性能良好，工艺先进，美观大方；</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4、最高运行温度为≥45℃，提供彩页证明；</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5、PDU垂直安装在机柜后部，PDU与机柜的固定方式应方便灵活，利于安装、拆卸；</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6、规格：输入32A带工业连接器、输出20位C13和4位C19。</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104</w:t>
            </w:r>
          </w:p>
        </w:tc>
        <w:tc>
          <w:tcPr>
            <w:tcW w:w="491"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环控系统</w:t>
            </w:r>
          </w:p>
        </w:tc>
        <w:tc>
          <w:tcPr>
            <w:tcW w:w="607"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环控显示装置</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1、21.5寸电容触摸一体机，分辨率 不低于1920x1080，网卡 集成 10/100/1000M 自适应网卡，无线网卡 802.11a/b/g/n ；含环控软件一套；</w:t>
            </w:r>
          </w:p>
        </w:tc>
        <w:tc>
          <w:tcPr>
            <w:tcW w:w="40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★2、环控系统需能够接入温江区政务数据中心环控中心统一管理。</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105</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环控数据采集器</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1、1U机架式采集器；</w:t>
            </w:r>
          </w:p>
        </w:tc>
        <w:tc>
          <w:tcPr>
            <w:tcW w:w="40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2、工业级设计内嵌Linux操作系统；</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3、支持5路以上RS485数据采集接口；</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4、支持路RS232数据采集接口；</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5、支持不低于12路DI信号输入及4路DO信号输出；</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支持TCP/IP数据上传、支持RS485/232数据采集、支持DI/DO数据采集、支持SNMP协议采集交换机及服务器工作状态数据、支持UPS数据采、提供北向接口供数据上传，支持烟感报警信号可控制天窗打开，具备短信告警功能，邮件告警功能,APP功能。</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106</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交换机</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1、8口百兆自适应交换机。</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107</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温湿度传感器</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1、温湿度传感器，感测范围温度在在-40度至80度之间，精度不小于0.5；湿度范围0-80%RH。</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108</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烟雾传感器</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1、防火报警烟雾监测，DC12V供电，光电无声型。</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个</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109</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漏水监测设备</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1、非定位漏水绳，长度不少于7.5米。</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套</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110</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UPS监控</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1、监控1台UPS。</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套</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111</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精密空调监控</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1、监控2台房间级精密空调。</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套</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112</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配电柜监控</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1、监控1台智能型双电源配电柜。</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套</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113</w:t>
            </w:r>
          </w:p>
        </w:tc>
        <w:tc>
          <w:tcPr>
            <w:tcW w:w="491" w:type="pc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机房内综合布线</w:t>
            </w: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机房内综合布线</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1、网线及光纤铺设、配线架、模块、光纤配线架等。</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114</w:t>
            </w:r>
          </w:p>
        </w:tc>
        <w:tc>
          <w:tcPr>
            <w:tcW w:w="491" w:type="pc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机房隔断</w:t>
            </w: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隔断金属网</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1、利用铝制金属网对机房进行隔断，分成两个独立空间，要求隔断不影响两个独立空间内空气流通，含门一副及门禁系统。</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115</w:t>
            </w:r>
          </w:p>
        </w:tc>
        <w:tc>
          <w:tcPr>
            <w:tcW w:w="491" w:type="pc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元区间裸光纤敷设</w:t>
            </w: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政务外网裸光纤</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1、从新建机房至温江区电子政务数据中心间12芯裸光纤敷设，含电子政务外网以及规自局专网，承建人承担材料以及施工费用。</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116</w:t>
            </w:r>
          </w:p>
        </w:tc>
        <w:tc>
          <w:tcPr>
            <w:tcW w:w="491"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辅材及施工</w:t>
            </w: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建渣清运</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1、对本项目的建渣清运处理。</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117</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材料运输、搬运等</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1、包括本项所有材料及辅材运输。</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118</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耗材</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1、含机房装修所需的槽板、线管、卡子等辅助耗材。</w:t>
            </w:r>
          </w:p>
        </w:tc>
        <w:tc>
          <w:tcPr>
            <w:tcW w:w="40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项</w:t>
            </w:r>
          </w:p>
        </w:tc>
        <w:tc>
          <w:tcPr>
            <w:tcW w:w="478" w:type="pc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119</w:t>
            </w:r>
          </w:p>
        </w:tc>
        <w:tc>
          <w:tcPr>
            <w:tcW w:w="491"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专网网络设备</w:t>
            </w:r>
          </w:p>
        </w:tc>
        <w:tc>
          <w:tcPr>
            <w:tcW w:w="607" w:type="pct"/>
            <w:vMerge w:val="restart"/>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核心交换机</w:t>
            </w: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1、★背板带宽≥15.36Tbps，包转发率≥28000Mpps；总槽位数量≥5，业务槽位≥3；本次单台实配: 双主控引擎，冗余交流电源，万兆光口≥24个，千兆电口≥24个；实配10G多模光模块24个；</w:t>
            </w:r>
          </w:p>
        </w:tc>
        <w:tc>
          <w:tcPr>
            <w:tcW w:w="40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2、支持独立的硬件监控板卡, 控制平面和监控平面物理槽位分离，支持1+1备份，能集中监控板卡、风扇、电源、环境，能调节能耗；</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3、支持横向虚拟化技术，将多台设备虚拟为一台；支持纵向虚拟化技术，支持把交换机和AP虚拟为一台设备；</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4、支持VxLAN功能，支持VxLAN二层网关、三层网关，支持BGP EVPN，实现自动建立隧道；</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5、支持PPPoE、802.1X、MAC、Portal等认证方式，支持基于流量和时长计费方式；</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6、支持整机MAC地址≥512K，ARP表项≥256K，IPv4路由转发表FIB规格≥512K ，Ipv6路由转发表FIB规格≥256K；</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7、支持静态路由、RIP、RIPng、OSPF、OSPFv3、BGP、BGP4+、ISIS、ISISv6；</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 支持真实业务流的实时检测技术，实现对IP网络的精确丢包监控和快速故障定界能力；</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9、支持硬件BFD/OAM，3.3ms稳定均匀发包检测，提高设备的可靠性。</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120</w:t>
            </w: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restart"/>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万兆交换机</w:t>
            </w: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★1、背板容量≥2.4Tbps，包转发率≥720Mpps；</w:t>
            </w:r>
          </w:p>
        </w:tc>
        <w:tc>
          <w:tcPr>
            <w:tcW w:w="40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2、24×10GE SFP+端口，6*40G QSFP端口。配置24个万兆模块；</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3、支持4K个VLAN，支持Voice VLAN，基于端口的VLAN，基于MAC的VLAN，基于协议的VLAN；</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4、静态路由、RIP、RIPng、OSPF、OSPFv3协议，支持IPv6 Ping.IPv6 Tracert.IPv6 Telnet；</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5、支持堆叠；</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6、支持VLAN内组搞转发和组播多VLAN复制；</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7、支持以太网OAM 802 3ah和802.1ag；</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8、支持MAC地址≥60k。</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121</w:t>
            </w:r>
          </w:p>
        </w:tc>
        <w:tc>
          <w:tcPr>
            <w:tcW w:w="491"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电子政务外网网络设备</w:t>
            </w:r>
          </w:p>
        </w:tc>
        <w:tc>
          <w:tcPr>
            <w:tcW w:w="607" w:type="pct"/>
            <w:vMerge w:val="restart"/>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万兆交换机</w:t>
            </w: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★1、背板容量≥2.4Tbps，包转发率≥720Mpps；</w:t>
            </w:r>
          </w:p>
        </w:tc>
        <w:tc>
          <w:tcPr>
            <w:tcW w:w="40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2、24×10GE SFP+端口，6*40G QSFP端口。配置24个万兆模块；</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3、支持4K个VLAN，支持Voice VLAN，基于端口的VLAN，基于MAC的VLAN，基于协议的VLAN；</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4、静态路由、RIP、RIPng、OSPF、OSPFv3协议，支持IPv6 Ping.IPv6 Tracert.IPv6 Telnet；</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5、支持堆叠；</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6、支持VLAN内组搞转发和组播多VLAN复制；</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7、支持以太网OAM 802 3ah和802.1ag；</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3"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1"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8、支持MAC地址≥60k。</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122</w:t>
            </w:r>
          </w:p>
        </w:tc>
        <w:tc>
          <w:tcPr>
            <w:tcW w:w="499" w:type="pct"/>
            <w:gridSpan w:val="2"/>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专网安全设备</w:t>
            </w:r>
          </w:p>
        </w:tc>
        <w:tc>
          <w:tcPr>
            <w:tcW w:w="607"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防火墙</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★1、网络层吞吐量≥6G，应用层吞吐量≥2G，并发连接数≥180万，HTTP新建连接数≥6万，千兆电口≥6个，千兆光口SFP≥4个，USB接口≥2；</w:t>
            </w:r>
          </w:p>
        </w:tc>
        <w:tc>
          <w:tcPr>
            <w:tcW w:w="40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2、支持主动诱捕功能，通过伪装业务诱捕内外网的攻击行为，并联合云蜜罐获取黑客指纹信息，并自动封锁高危IP；</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3、▲具备信息泄露攻击防护防护功能</w:t>
            </w:r>
          </w:p>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（提供具备CNAS（中国合格评定国家认可委员会）资质的第三方权威机构关于“信息泄露攻击防护”产品功能检测报告并加盖投标人公章）</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具备对未知威胁进行防护的技术手段，（所投防火墙产品具有中国信息安全测评中心、公安部信息安全产品检测中心、国家版权局、中国软件评测中心之中任意一家机构出具关于“未知威胁防护”的证书或测试报告，提供证书复印件或测试报告复印件并加盖投标人公章）</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5、配置IPS功能。</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123</w:t>
            </w: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网络流量监测</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★1、带宽性能≥1Gbps,配置千兆电口≥6个，千兆光口≥2个，万兆光口≥2个；</w:t>
            </w:r>
          </w:p>
        </w:tc>
        <w:tc>
          <w:tcPr>
            <w:tcW w:w="40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2、支持包括但不限于对B/S架构应用抵御SQL注入、XSS、系统命令等注入型攻击，跨站请求伪造CSRF攻击检测；</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3、具备将威胁行为同云端安全分析引擎进行联动的分析，在云端进行沙盒检测并将分析报告下发；</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4、▲支持5种类型日志传输模式,包含标准模式、精简模式、高级模式、局域网模式、自定义模式，适应不同应用场景需求。（提供产品功能截图证明并加盖投标人公章）</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124</w:t>
            </w: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日志审计</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1、运维授权数≥100，图形运维并发数≥100，字符运维最大并发数≥200；硬盘容量≥1T SATA，配置千兆电口≥6个；</w:t>
            </w:r>
          </w:p>
        </w:tc>
        <w:tc>
          <w:tcPr>
            <w:tcW w:w="40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2、系统支持从不同设备或系统中所获得的各类日志、事件中抽取相关片段准确和完整地映射至安全事件的标准字段；</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3、支持显示审计事件分类统计列表，根据审计策略名称、审计事件类型、被审计人员、目标设备地址四个维度展现；</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4、▲支持通过正则、分隔符、json、xml等可视方式进行自定义规则解析，支持对解析结果字段的新增、合并、映射等。（提供产品功能截图证明并加盖投标人公章）</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125</w:t>
            </w: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堡垒机</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1、机架式软硬一体设备，专用硬件平台和安全操作系统，≥6个千兆电口，≥1个Console管理口，存储容量≥1TB，单电源，带液晶面板，≥2个扩展槽。最大支持≥800路字符会话或≥200路图形会话并发，授权≥50； </w:t>
            </w:r>
          </w:p>
        </w:tc>
        <w:tc>
          <w:tcPr>
            <w:tcW w:w="408" w:type="pct"/>
            <w:vMerge w:val="restart"/>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2、支持字符协议：SSHv1、SSHv2、TELNET、RLOGIN；图形协议：RDP、VNC；文件传输协议：FTP、SFTP和数据库协议： Oracle（支持ORACLE RAC）、MS SQL Server、IBM DB2、Sybase、IBM Informix Dynamic Server、MySQL、PostgreSQL等数据库类型；</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3、系统管理员支持三权分立功能，支持基于角色管理的安全审计方法；</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支持针对SSH、Telnet、Rlogin、FTP/SFTP、数据库操作进行记录及审计；记录会话时间、命令执行时间、会话协议、服务端IP、服务器端口、客户端IP、客户端端口、操作命令、返回信息、运维用户帐号、审批用户帐号、资源账号等信息；</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5、支持Telnet用户操作过程静态数据的保存回放功能。</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126</w:t>
            </w: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终端安全准入</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1、★须实现与成都市规划和自然资源局一级管控中心平台进行兼容、对接、互通。实现成都市规划和自然资源局对温江规划和自然资源局终端进行统一的策略管理、终端安全态势分析；</w:t>
            </w:r>
          </w:p>
        </w:tc>
        <w:tc>
          <w:tcPr>
            <w:tcW w:w="408"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套</w:t>
            </w:r>
          </w:p>
        </w:tc>
        <w:tc>
          <w:tcPr>
            <w:tcW w:w="478"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2、设备默认≥1个串口，≥6个千兆以太网电口，≥2TB SATA硬盘，1U设备；</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3、针对PC终端、哑终端等设备的准入控制管理，包含：应用准入、802.1x准入、Portal准入、终端入网合规检查、隔离修复、访问控制等功能；</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4、支持入网合规检查功能，包括：远程桌面、U盘自动运行、防火墙、IP获取方式、文件共享、屏幕保护、空密码、IE代理。</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127</w:t>
            </w: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安管平台</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★1、吞吐性能≥600Mbps，存储容量≥4T，接口：千兆电口≥6个，万兆光口≥2个，为防止设备关键信息泄露，设备禁止配置显示器等显示设备；</w:t>
            </w:r>
          </w:p>
        </w:tc>
        <w:tc>
          <w:tcPr>
            <w:tcW w:w="408" w:type="pct"/>
            <w:vMerge w:val="restart"/>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2、▲可快速生成月度、季度、年度PPT报表，包含网络安全整体解读、网络安全风险详情、告警及事件响应盘点等，帮助用户高效汇报，体现安全工作价值；（提供产品功能截图证明并加盖投标人公章）</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支持挖矿专项检测页面，具备挖矿攻击事前、事中和事后全链路的检测分析能力，综合运用威胁情报、IPS特征规则和行为关联分析技术，如检测发现文件传输（上传下载）阶段的异常，对挖矿早期的准备动作即告警；（提供产品功能截图证明并加盖投标人公章）</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支持利用EBA技术进行资产的行为分析，对这些对象进行持续的学习和行为画像构建，以基线画像的形式检测异于基线的异常行为作为入口点，结合以降维、聚类、决策树为主的计算处理模型发现异常用户/资产行为。不低于25种异常行为学习模型；并支持用户对EBA基线进行自定义调整，优化模型；</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5、▲支持接入第三方安全设备能力</w:t>
            </w:r>
          </w:p>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（具有由中国信息安全测评中心、公安部信息安全产品检测中心、国家版权局等任一家国家权威机构颁发的第三方设备接入授权软件著作权或检测报告，提供证明材料并加盖投标人公章）</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128</w:t>
            </w: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web应用防火墙</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★1、网络层吞吐量≥4Gbps，HTTP应用层吞吐量≥220Mbps，HTTP新建连接数≥2万，HTTP并发连接数≥100万，配置千兆电口≥6个，千兆光口≥2个；</w:t>
            </w:r>
          </w:p>
        </w:tc>
        <w:tc>
          <w:tcPr>
            <w:tcW w:w="408" w:type="pct"/>
            <w:vMerge w:val="restart"/>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2、▲支持通过主动扫描漏洞功能检测网站是否存在SQL注入、XSS、跨站脚本、目录遍历、文件包含、命令执行等脚本漏洞；（提供产品功能截图证明并加盖投标人公章）</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3、▲支持通过被动扫描功能，业务系统进行黑链检测、Webshell检测、漏洞风险检测、配置风险检测、弱口令账户检测等；（提供产品功能截图证明并加盖投标人公章）</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4、具备服务器文件级防篡改功能。</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129</w:t>
            </w: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数据库审计</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★1、吞吐量≥2Gbps，SQL处理性能≥10000条SQL/s，千兆电口≥6个，千兆光口≥2个，为防止设备关键信息泄露，设备禁止配置显示器等显示设备；</w:t>
            </w:r>
          </w:p>
        </w:tc>
        <w:tc>
          <w:tcPr>
            <w:tcW w:w="408"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2、▲以曲线连接多点的形式展示用户的访问来源、目标、操作的轨迹，支持轨迹定位到具体日志信息；（提供产品功能截图证明并加盖投标人公章）</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日志内容能够详尽的显示访问行为发生的具体特征，具体信息包括：访问的时间、访问客户端IP、客户端MAC、客户端操作系统主机名、客户端操作系统用户名、客户端端口号、客户端连接工具名、数据库用户名、数据库IP、数据库MAC、数据库实例、表、列、操作类型、SQL内容、SQL结果内容、执行时间（毫秒）、响应状态、影响行数、查询返回行、匹配的策略、风险等级等；</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4、▲支持通过监控网络流量自动发现未审计数据库。（提供产品功能截图证明并加盖投标人公章）</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130</w:t>
            </w:r>
          </w:p>
        </w:tc>
        <w:tc>
          <w:tcPr>
            <w:tcW w:w="499" w:type="pct"/>
            <w:gridSpan w:val="2"/>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电子政务外网安全设备</w:t>
            </w:r>
          </w:p>
        </w:tc>
        <w:tc>
          <w:tcPr>
            <w:tcW w:w="607"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政务外网防火墙</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★1、网络层吞吐量≥6G，应用层吞吐量≥2G，并发连接数≥180万，HTTP新建连接数≥6万，千兆电口≥6个，千兆光口SFP≥4个，USB接口≥2；</w:t>
            </w:r>
          </w:p>
        </w:tc>
        <w:tc>
          <w:tcPr>
            <w:tcW w:w="408" w:type="pct"/>
            <w:vMerge w:val="restart"/>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2、支持主动诱捕功能，通过伪装业务诱捕内外网的攻击行为，并联合云蜜罐获取黑客指纹信息，并自动封锁高危IP；</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3、▲具备信息泄露攻击防护防护功能（提供具备CNAS（中国合格评定国家认可委员会）资质的第三方权威机构关于“信息泄露攻击防护”产品功能检测报告并加盖投标人公章）</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具备对未知威胁进行防护的技术手段（所投防火墙产品具有中国信息安全测评中心、公安部信息安全产品检测中心、国家版权局、中国软件评测中心之中任意一家机构出具关于“未知威胁防护”的证书或测试报告，提供证书复印件或测试报告复印件并加盖投标人公章）</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5、配置IPS功能。</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131</w:t>
            </w: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restart"/>
            <w:shd w:val="clear" w:color="auto" w:fill="auto"/>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政务外网潜伏威胁探针</w:t>
            </w: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★1、带宽性能≥500Mbps,配置千兆电口≥6个；</w:t>
            </w:r>
          </w:p>
        </w:tc>
        <w:tc>
          <w:tcPr>
            <w:tcW w:w="408" w:type="pct"/>
            <w:vMerge w:val="restart"/>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2、支持包括但不限于对B/S架构应用抵御SQL注入、XSS、系统命令等注入型攻击，跨站请求伪造CSRF攻击检测；</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3、可以将威胁行为同云端安全分析引擎进行联动的分析，在云端进行沙盒检测并将分析报告下发；</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auto" w:fill="auto"/>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4、▲支持不低于5种类型日志传输模式,包含标准模式、精简模式、高级模式、局域网模式、自定义模式，适应不同应用场景需求。（提供产品功能截图证明并加盖投标人公章）</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132</w:t>
            </w:r>
          </w:p>
        </w:tc>
        <w:tc>
          <w:tcPr>
            <w:tcW w:w="499" w:type="pct"/>
            <w:gridSpan w:val="2"/>
            <w:vMerge w:val="restart"/>
            <w:shd w:val="clear" w:color="auto" w:fill="auto"/>
            <w:noWrap/>
            <w:vAlign w:val="center"/>
          </w:tcPr>
          <w:p>
            <w:pPr>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数据安全</w:t>
            </w:r>
          </w:p>
        </w:tc>
        <w:tc>
          <w:tcPr>
            <w:tcW w:w="607" w:type="pct"/>
            <w:vMerge w:val="restart"/>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专网存储</w:t>
            </w: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1、存储阵列为多控制器架构，系统支持使用固态硬盘作为存储载体的企业级全闪存存储系统；</w:t>
            </w:r>
          </w:p>
        </w:tc>
        <w:tc>
          <w:tcPr>
            <w:tcW w:w="408" w:type="pct"/>
            <w:vMerge w:val="restart"/>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vMerge w:val="restart"/>
            <w:shd w:val="clear" w:color="000000" w:fill="FFFFFF"/>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2、实配SAN与NAS统一存储，配置NAS协议（包括NFS和CIFS）、IP SAN和FC SAN协议，不需额外配置NAS网关，存储操作界面支持块存储和文件存储功能；</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★3、配置存储控制器数量≥2个，具备Active-Active双控制器架构；支持不低于扩展到16个控制器。采用多核处理器，本次配置控制器处理器总物理核心数≥16核；</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★4、系统内总一级缓存容量配置≥256GB，且任意控制器一级缓存容量≥128GB（此容量不含任何性能加速模块、FlashCache、PAM卡，SSD Cache、SCM等）；</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5、前端主机接口支持8/16/32 Gb FC、1/10/25/40/100 Gb 以太网，实配≥8个16Gb FC主机接口；</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6、配置12*10TB NL SAS磁盘（非SATA接口）；</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7、支持快照、镜像、复制、LUN拷贝等软件功能；</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8、支持VMware、Ctirx、Hyper-v等计算虚拟化，支持VMware VAAI，支持VSphere、VCenter虚拟化环境集成；</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9、实配复制功能，能够实现远距离数据复制。</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133</w:t>
            </w: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存储交换机</w:t>
            </w: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★1、24口16Gb FC SAN交换机，24口激活含模块；</w:t>
            </w:r>
          </w:p>
        </w:tc>
        <w:tc>
          <w:tcPr>
            <w:tcW w:w="408" w:type="pct"/>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台</w:t>
            </w:r>
          </w:p>
        </w:tc>
        <w:tc>
          <w:tcPr>
            <w:tcW w:w="478" w:type="pct"/>
            <w:shd w:val="clear" w:color="000000" w:fill="FFFFFF"/>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restart"/>
            <w:shd w:val="clear" w:color="auto" w:fill="auto"/>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134</w:t>
            </w: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restart"/>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政务外网存储扩容</w:t>
            </w: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★1、机械磁盘：2.5寸；单块容量≥10K 2.4TB(高速磁盘) SAS接口，配置24块硬盘，不低于24盘位；</w:t>
            </w:r>
          </w:p>
        </w:tc>
        <w:tc>
          <w:tcPr>
            <w:tcW w:w="408" w:type="pct"/>
            <w:vMerge w:val="restart"/>
            <w:shd w:val="clear" w:color="000000" w:fill="FFFFFF"/>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套</w:t>
            </w:r>
          </w:p>
        </w:tc>
        <w:tc>
          <w:tcPr>
            <w:tcW w:w="478" w:type="pct"/>
            <w:vMerge w:val="restart"/>
            <w:shd w:val="clear" w:color="000000" w:fill="FFFFFF"/>
            <w:noWrap/>
            <w:vAlign w:val="center"/>
          </w:tcPr>
          <w:p>
            <w:pPr>
              <w:widowControl/>
              <w:snapToGrid w:val="0"/>
              <w:spacing w:line="276" w:lineRule="auto"/>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6"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99" w:type="pct"/>
            <w:gridSpan w:val="2"/>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607"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2543" w:type="pct"/>
            <w:shd w:val="clear" w:color="000000" w:fill="FFFFFF"/>
            <w:vAlign w:val="center"/>
          </w:tcPr>
          <w:p>
            <w:pPr>
              <w:widowControl/>
              <w:snapToGrid w:val="0"/>
              <w:spacing w:line="276" w:lineRule="auto"/>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1、兼容现有存储。（现有存储oceanstor 5310V5）。</w:t>
            </w:r>
          </w:p>
        </w:tc>
        <w:tc>
          <w:tcPr>
            <w:tcW w:w="40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c>
          <w:tcPr>
            <w:tcW w:w="478" w:type="pct"/>
            <w:vMerge w:val="continue"/>
            <w:vAlign w:val="center"/>
          </w:tcPr>
          <w:p>
            <w:pPr>
              <w:widowControl/>
              <w:snapToGrid w:val="0"/>
              <w:spacing w:line="276" w:lineRule="auto"/>
              <w:jc w:val="left"/>
              <w:rPr>
                <w:rFonts w:ascii="仿宋" w:hAnsi="仿宋" w:eastAsia="仿宋" w:cs="仿宋"/>
                <w:color w:val="auto"/>
                <w:kern w:val="0"/>
                <w:sz w:val="24"/>
                <w:highlight w:val="none"/>
              </w:rPr>
            </w:pPr>
          </w:p>
        </w:tc>
      </w:tr>
    </w:tbl>
    <w:p>
      <w:pPr>
        <w:rPr>
          <w:rFonts w:ascii="仿宋" w:hAnsi="仿宋" w:eastAsia="仿宋" w:cs="仿宋"/>
          <w:color w:val="auto"/>
          <w:highlight w:val="none"/>
        </w:rPr>
      </w:pPr>
    </w:p>
    <w:p>
      <w:pPr>
        <w:rPr>
          <w:color w:val="auto"/>
          <w:highlight w:val="none"/>
        </w:rPr>
      </w:pPr>
    </w:p>
    <w:p>
      <w:pPr>
        <w:rPr>
          <w:color w:val="auto"/>
          <w:highlight w:val="none"/>
        </w:rPr>
      </w:pPr>
    </w:p>
    <w:p>
      <w:pPr>
        <w:pStyle w:val="9"/>
        <w:spacing w:after="0" w:line="580" w:lineRule="exact"/>
        <w:ind w:firstLine="480"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★二、商务要求（包</w:t>
      </w:r>
      <w:r>
        <w:rPr>
          <w:rFonts w:hint="eastAsia" w:ascii="仿宋" w:hAnsi="仿宋" w:eastAsia="仿宋" w:cs="仿宋"/>
          <w:b/>
          <w:bCs/>
          <w:color w:val="auto"/>
          <w:sz w:val="24"/>
          <w:highlight w:val="none"/>
          <w:lang w:eastAsia="zh-CN"/>
        </w:rPr>
        <w:t>件</w:t>
      </w:r>
      <w:r>
        <w:rPr>
          <w:rFonts w:hint="eastAsia" w:ascii="仿宋" w:hAnsi="仿宋" w:eastAsia="仿宋" w:cs="仿宋"/>
          <w:b/>
          <w:bCs/>
          <w:color w:val="auto"/>
          <w:sz w:val="24"/>
          <w:highlight w:val="none"/>
        </w:rPr>
        <w:t>一）</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1、履行合同的时间、地点及方式：</w:t>
      </w:r>
    </w:p>
    <w:p>
      <w:pPr>
        <w:pStyle w:val="9"/>
        <w:spacing w:after="0" w:line="58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履行地点及方式：采购人指定地点。</w:t>
      </w:r>
    </w:p>
    <w:p>
      <w:pPr>
        <w:pStyle w:val="9"/>
        <w:spacing w:after="0" w:line="58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履行合同的时间：签订合同后10个月内完成。</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2、质量保证期：</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本项目质量保证期为3年，自项目最终验收合格之日起算。</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3、响应时间：</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接到报修后30分钟内予以实质性响应，工程师4小时内到达服务现场。接到报修后48个小时内恢复系统正常运行。</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4、合同价款支付方式和条件：</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合同约定</w:t>
      </w:r>
    </w:p>
    <w:p>
      <w:pPr>
        <w:pStyle w:val="9"/>
        <w:spacing w:after="0" w:line="580" w:lineRule="exact"/>
        <w:ind w:firstLine="480" w:firstLineChars="200"/>
        <w:jc w:val="left"/>
        <w:rPr>
          <w:rFonts w:hint="eastAsia" w:ascii="仿宋" w:hAnsi="仿宋" w:eastAsia="仿宋" w:cs="仿宋"/>
          <w:b/>
          <w:bCs/>
          <w:color w:val="auto"/>
          <w:sz w:val="24"/>
          <w:highlight w:val="none"/>
          <w:lang w:eastAsia="zh-CN"/>
        </w:rPr>
      </w:pPr>
      <w:r>
        <w:rPr>
          <w:rFonts w:hint="eastAsia" w:ascii="仿宋" w:hAnsi="仿宋" w:eastAsia="仿宋" w:cs="仿宋"/>
          <w:b/>
          <w:bCs/>
          <w:color w:val="auto"/>
          <w:sz w:val="24"/>
          <w:highlight w:val="none"/>
        </w:rPr>
        <w:t>★三、其他要求</w:t>
      </w:r>
      <w:r>
        <w:rPr>
          <w:rFonts w:hint="eastAsia" w:ascii="仿宋" w:hAnsi="仿宋" w:eastAsia="仿宋" w:cs="仿宋"/>
          <w:b/>
          <w:bCs/>
          <w:color w:val="auto"/>
          <w:sz w:val="24"/>
          <w:highlight w:val="none"/>
          <w:lang w:eastAsia="zh-CN"/>
        </w:rPr>
        <w:t>（包件一）</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1、供应商中标后，签订合同前提供CCC、入网许可等前置证书。供应商针对本项要求应在投标文件提供承诺函。</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2、凡涉及强制节能、信息安全产品认证的，供应商应在投标文件中提供有效期内的相关证书。</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签订合同前，采购人有权要求中标方将采购项目所涉及的设备送达至采购人安装现场，接受采购人的查验，采购人认为设备产品的功能参数与中标方投标文件中响应的各参数要求可能不一致的，采购人有权要求中标方将所提供的设备产品送至国家权威检测机构进行检测。以上任一查验过程中如发现产品实际技术参数指标与投标文件响应的不一致，或技术参数、截图证明及证明材料弄虚作假的，采购人保留追究中标人相关法律责任的权利。合同签订后，此次涉及采购的设备须送达采购人的现场报验，然后接受采购人的查验，不满足投标文件各参数要求的，采购人有权要求立即更换符合要求的产品。供应商针对本项要求应在投标文件提供承诺函。</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4、本项目实施环境及我单位现有设备情况允许供应商现场调研，供应商在投标文件中应承诺已充分了解项目实施情况，自行承担应项目环境调研不清楚所产生的其他费用。</w:t>
      </w:r>
    </w:p>
    <w:p>
      <w:pPr>
        <w:pStyle w:val="9"/>
        <w:spacing w:after="0" w:line="580" w:lineRule="exact"/>
        <w:ind w:firstLine="480" w:firstLineChars="200"/>
        <w:jc w:val="left"/>
        <w:rPr>
          <w:rFonts w:ascii="仿宋" w:hAnsi="仿宋" w:eastAsia="仿宋" w:cs="仿宋"/>
          <w:color w:val="auto"/>
          <w:sz w:val="24"/>
          <w:highlight w:val="none"/>
        </w:rPr>
      </w:pPr>
      <w:bookmarkStart w:id="87" w:name="_Toc72937213"/>
      <w:r>
        <w:rPr>
          <w:rFonts w:hint="eastAsia" w:ascii="仿宋" w:hAnsi="仿宋" w:eastAsia="仿宋" w:cs="仿宋"/>
          <w:color w:val="auto"/>
          <w:sz w:val="24"/>
          <w:highlight w:val="none"/>
        </w:rPr>
        <w:t>5、</w:t>
      </w:r>
      <w:bookmarkEnd w:id="87"/>
      <w:r>
        <w:rPr>
          <w:rFonts w:hint="eastAsia" w:ascii="仿宋" w:hAnsi="仿宋" w:eastAsia="仿宋" w:cs="仿宋"/>
          <w:color w:val="auto"/>
          <w:sz w:val="24"/>
          <w:highlight w:val="none"/>
        </w:rPr>
        <w:t>针对本项目中所涉及到的软硬件设备以及工程实施，由供应商提供三年免费升级维护服务，服务期自系统正式验收确认之日开始。在三年免费升级维护服务和质量保证期内须保证专业的技术人员（需是项目实施团队骨干成员，且掌握项目的整个实施情况）进行技术支持，并指派一名项目维护经理为本项目售后服务固定联系人，并参与项目实施全过程。运维人员及时响应巡检及故障处理请求，做好项目的免费升级和维护工作。</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6、供应商需要提出包括维护计划、维护内容、维护措施及响应流程等内容的维护方案。</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7、供应商在规定时限内排除故障恢复系统运行，包括故障定位、部件更换、数据恢复的全部工作，不再另外收取任何费用。</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8、每周定期对机房设备、环境、网络、安全系统进行预防性维护，包括检查系统状态、设备清洁、系统备份以及与客户工程师的技术交流。</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9、解答甲方在系统使用中的问题。可通过电话解答非保修设备使用中的技术问题。一般情况下，指导甲方解决问题，特殊情况下，可到甲方现场指导并解决问题，以有效地提高甲方的系统管理水平，降低系统的人为故障率。</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10、协助用户建立健全规范的管理制度和系统使用维护的技术流程及规范。建立系统的配置档案和升级维护档案，定期提交系统维护及管理报告。</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11、协调原厂商（包括软硬件）的维护和维修工作。定期召开例会，双方交流，向甲方领导汇报工作并听取领导及技术人员的意见和建议。</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12、服务工作时间：7 X 24 X 365电话受理服务。接到报修后30分钟内予以实质性响应，工程师4小时内到达服务现场。软件故障30分钟恢复正常，硬件故障4小时恢复正常。</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运维人员需严格遵循保密协议，凡涉及用户敏感信息等信息不得向第三方泄露，维护过程中如需涉及用户系统的数据信息，必须先通过用户方认可，维护工作的数据信息（无论是打印或介质上的数据信息）不得带离用户工作现场。</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供应商需针对甲方的人员提供相应的培训内容，通过系统的培训，可以确保系统功能的知识转移，使最终用户能从上线的第一天开始正确、高效的使用系统，能够独立地对系统进行管理、维护，解决一些基础问题。供应商需提供培训计划方案。</w:t>
      </w:r>
    </w:p>
    <w:p>
      <w:pPr>
        <w:rPr>
          <w:color w:val="auto"/>
          <w:highlight w:val="none"/>
        </w:rPr>
      </w:pPr>
    </w:p>
    <w:p>
      <w:pPr>
        <w:pStyle w:val="9"/>
        <w:spacing w:after="0" w:line="58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（包件二）</w:t>
      </w:r>
    </w:p>
    <w:tbl>
      <w:tblPr>
        <w:tblStyle w:val="18"/>
        <w:tblW w:w="51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9"/>
        <w:gridCol w:w="900"/>
        <w:gridCol w:w="1197"/>
        <w:gridCol w:w="5393"/>
        <w:gridCol w:w="743"/>
        <w:gridCol w:w="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shd w:val="clear" w:color="000000" w:fill="8EA9DB"/>
            <w:noWrap/>
            <w:vAlign w:val="center"/>
          </w:tcPr>
          <w:p>
            <w:pPr>
              <w:widowControl/>
              <w:snapToGrid w:val="0"/>
              <w:spacing w:line="27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序号</w:t>
            </w:r>
          </w:p>
        </w:tc>
        <w:tc>
          <w:tcPr>
            <w:tcW w:w="454" w:type="pct"/>
            <w:shd w:val="clear" w:color="000000" w:fill="8EA9DB"/>
            <w:noWrap/>
            <w:vAlign w:val="center"/>
          </w:tcPr>
          <w:p>
            <w:pPr>
              <w:widowControl/>
              <w:snapToGrid w:val="0"/>
              <w:spacing w:line="27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分类</w:t>
            </w:r>
          </w:p>
        </w:tc>
        <w:tc>
          <w:tcPr>
            <w:tcW w:w="604" w:type="pct"/>
            <w:shd w:val="clear" w:color="000000" w:fill="8EA9DB"/>
            <w:vAlign w:val="center"/>
          </w:tcPr>
          <w:p>
            <w:pPr>
              <w:widowControl/>
              <w:snapToGrid w:val="0"/>
              <w:spacing w:line="27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名称</w:t>
            </w:r>
          </w:p>
        </w:tc>
        <w:tc>
          <w:tcPr>
            <w:tcW w:w="2722" w:type="pct"/>
            <w:shd w:val="clear" w:color="000000" w:fill="8EA9DB"/>
            <w:vAlign w:val="center"/>
          </w:tcPr>
          <w:p>
            <w:pPr>
              <w:widowControl/>
              <w:snapToGrid w:val="0"/>
              <w:spacing w:line="27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技术规格、参数、服务及要求</w:t>
            </w:r>
          </w:p>
        </w:tc>
        <w:tc>
          <w:tcPr>
            <w:tcW w:w="375" w:type="pct"/>
            <w:shd w:val="clear" w:color="000000" w:fill="8EA9DB"/>
            <w:noWrap/>
            <w:vAlign w:val="center"/>
          </w:tcPr>
          <w:p>
            <w:pPr>
              <w:widowControl/>
              <w:snapToGrid w:val="0"/>
              <w:spacing w:line="27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单位</w:t>
            </w:r>
          </w:p>
        </w:tc>
        <w:tc>
          <w:tcPr>
            <w:tcW w:w="391" w:type="pct"/>
            <w:shd w:val="clear" w:color="000000" w:fill="8EA9DB"/>
            <w:noWrap/>
            <w:vAlign w:val="center"/>
          </w:tcPr>
          <w:p>
            <w:pPr>
              <w:widowControl/>
              <w:snapToGrid w:val="0"/>
              <w:spacing w:line="27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4" w:type="pct"/>
            <w:shd w:val="clear" w:color="auto" w:fill="auto"/>
            <w:noWrap/>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szCs w:val="21"/>
                <w:highlight w:val="none"/>
              </w:rPr>
              <w:t>1</w:t>
            </w:r>
          </w:p>
        </w:tc>
        <w:tc>
          <w:tcPr>
            <w:tcW w:w="454" w:type="pct"/>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监理</w:t>
            </w:r>
          </w:p>
        </w:tc>
        <w:tc>
          <w:tcPr>
            <w:tcW w:w="604"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项目监理</w:t>
            </w:r>
          </w:p>
        </w:tc>
        <w:tc>
          <w:tcPr>
            <w:tcW w:w="2722" w:type="pct"/>
            <w:shd w:val="clear" w:color="auto" w:fill="auto"/>
            <w:vAlign w:val="center"/>
          </w:tcPr>
          <w:p>
            <w:pPr>
              <w:widowControl/>
              <w:snapToGrid w:val="0"/>
              <w:spacing w:line="276" w:lineRule="auto"/>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监理服务中监理人受业主单位委托，代表业主单位的利益，了解用户业务目标和业务需求，依法对本项目的全过程进行监督管理。监理工作的目标是按照业主单位和供应商签订的合同，以及相关的国际、国家和行业的监理标准开展监理工作。监理服务内容为对项目实施和项目验收阶段进行全过程监理，包括质量控制、进度控制、投资控制、变更控制、保密控制、合同管理、信息管理、安全管理、项目协调等，确保项目按期、高质、高效地完成，并顺利通过验收。</w:t>
            </w:r>
          </w:p>
        </w:tc>
        <w:tc>
          <w:tcPr>
            <w:tcW w:w="375"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项</w:t>
            </w:r>
          </w:p>
        </w:tc>
        <w:tc>
          <w:tcPr>
            <w:tcW w:w="391"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w:t>
            </w:r>
          </w:p>
        </w:tc>
      </w:tr>
    </w:tbl>
    <w:p>
      <w:pPr>
        <w:pStyle w:val="9"/>
        <w:spacing w:after="0" w:line="580" w:lineRule="exact"/>
        <w:ind w:firstLine="480"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eastAsia="zh-CN"/>
        </w:rPr>
        <w:t>四</w:t>
      </w:r>
      <w:r>
        <w:rPr>
          <w:rFonts w:hint="eastAsia" w:ascii="仿宋" w:hAnsi="仿宋" w:eastAsia="仿宋" w:cs="仿宋"/>
          <w:b/>
          <w:bCs/>
          <w:color w:val="auto"/>
          <w:sz w:val="24"/>
          <w:highlight w:val="none"/>
        </w:rPr>
        <w:t>、商务要求（包</w:t>
      </w:r>
      <w:r>
        <w:rPr>
          <w:rFonts w:hint="eastAsia" w:ascii="仿宋" w:hAnsi="仿宋" w:eastAsia="仿宋" w:cs="仿宋"/>
          <w:b/>
          <w:bCs/>
          <w:color w:val="auto"/>
          <w:sz w:val="24"/>
          <w:highlight w:val="none"/>
          <w:lang w:eastAsia="zh-CN"/>
        </w:rPr>
        <w:t>件二</w:t>
      </w:r>
      <w:r>
        <w:rPr>
          <w:rFonts w:hint="eastAsia" w:ascii="仿宋" w:hAnsi="仿宋" w:eastAsia="仿宋" w:cs="仿宋"/>
          <w:b/>
          <w:bCs/>
          <w:color w:val="auto"/>
          <w:sz w:val="24"/>
          <w:highlight w:val="none"/>
        </w:rPr>
        <w:t>）</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1、履行合同的时间、地点及方式：</w:t>
      </w:r>
    </w:p>
    <w:p>
      <w:pPr>
        <w:pStyle w:val="9"/>
        <w:spacing w:after="0" w:line="580" w:lineRule="exact"/>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履行地点及方式：采购人指定地点。</w:t>
      </w:r>
    </w:p>
    <w:p>
      <w:pPr>
        <w:pStyle w:val="9"/>
        <w:spacing w:after="0" w:line="580" w:lineRule="exact"/>
        <w:ind w:firstLine="720" w:firstLineChars="3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履行合同的时间：</w:t>
      </w:r>
      <w:r>
        <w:rPr>
          <w:rFonts w:hint="eastAsia" w:ascii="仿宋" w:hAnsi="仿宋" w:eastAsia="仿宋" w:cs="仿宋"/>
          <w:color w:val="auto"/>
          <w:sz w:val="24"/>
          <w:highlight w:val="none"/>
          <w:lang w:eastAsia="zh-CN"/>
        </w:rPr>
        <w:t>按合同约定执行，缺陷责任期一年。</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、合同价款支付方式和条件：</w:t>
      </w:r>
    </w:p>
    <w:p>
      <w:pPr>
        <w:pStyle w:val="9"/>
        <w:spacing w:after="0" w:line="58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合同约定</w:t>
      </w:r>
    </w:p>
    <w:p>
      <w:pPr>
        <w:pStyle w:val="9"/>
        <w:spacing w:after="0" w:line="5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本章带★号条款为本次招标项目的实质性要求，投标人若未满足的，将被视为无效投标。</w:t>
      </w:r>
    </w:p>
    <w:p>
      <w:pPr>
        <w:pStyle w:val="9"/>
        <w:spacing w:after="0" w:line="580" w:lineRule="exact"/>
        <w:jc w:val="left"/>
        <w:rPr>
          <w:rFonts w:ascii="仿宋" w:hAnsi="仿宋" w:eastAsia="仿宋" w:cs="仿宋"/>
          <w:color w:val="auto"/>
          <w:sz w:val="24"/>
          <w:highlight w:val="none"/>
        </w:rPr>
      </w:pPr>
      <w:r>
        <w:rPr>
          <w:rFonts w:hint="eastAsia" w:ascii="仿宋" w:hAnsi="仿宋" w:eastAsia="仿宋" w:cs="仿宋"/>
          <w:color w:val="auto"/>
          <w:highlight w:val="none"/>
        </w:rPr>
        <w:br w:type="page"/>
      </w:r>
      <w:bookmarkEnd w:id="83"/>
      <w:bookmarkStart w:id="88" w:name="_Toc511206481"/>
      <w:bookmarkEnd w:id="88"/>
    </w:p>
    <w:p>
      <w:pPr>
        <w:pStyle w:val="16"/>
        <w:rPr>
          <w:rFonts w:ascii="仿宋" w:hAnsi="仿宋" w:eastAsia="仿宋" w:cs="仿宋"/>
          <w:color w:val="auto"/>
          <w:sz w:val="24"/>
          <w:highlight w:val="none"/>
        </w:rPr>
      </w:pPr>
      <w:bookmarkStart w:id="89" w:name="_Toc511206482"/>
      <w:bookmarkStart w:id="90" w:name="_Toc23974"/>
      <w:bookmarkStart w:id="91" w:name="PO_默认文件内容_22"/>
      <w:r>
        <w:rPr>
          <w:rFonts w:hint="eastAsia" w:ascii="仿宋" w:hAnsi="仿宋" w:eastAsia="仿宋" w:cs="仿宋"/>
          <w:color w:val="auto"/>
          <w:sz w:val="36"/>
          <w:szCs w:val="36"/>
          <w:highlight w:val="none"/>
        </w:rPr>
        <w:t xml:space="preserve">第八章  </w:t>
      </w:r>
      <w:bookmarkEnd w:id="89"/>
      <w:r>
        <w:rPr>
          <w:rFonts w:hint="eastAsia" w:ascii="仿宋" w:hAnsi="仿宋" w:eastAsia="仿宋" w:cs="仿宋"/>
          <w:color w:val="auto"/>
          <w:sz w:val="36"/>
          <w:szCs w:val="36"/>
          <w:highlight w:val="none"/>
        </w:rPr>
        <w:t>评标办法</w:t>
      </w:r>
      <w:bookmarkEnd w:id="90"/>
      <w:bookmarkStart w:id="92" w:name="_Toc101250640"/>
      <w:bookmarkStart w:id="93" w:name="_Toc101338358"/>
      <w:bookmarkStart w:id="94" w:name="_Toc209847065"/>
      <w:bookmarkStart w:id="95" w:name="_Toc430773924"/>
      <w:bookmarkStart w:id="96" w:name="_Toc101174146"/>
    </w:p>
    <w:p>
      <w:pPr>
        <w:tabs>
          <w:tab w:val="left" w:pos="7665"/>
        </w:tabs>
        <w:spacing w:after="160" w:line="360" w:lineRule="auto"/>
        <w:ind w:firstLine="360" w:firstLineChars="150"/>
        <w:jc w:val="center"/>
        <w:rPr>
          <w:rFonts w:ascii="仿宋" w:hAnsi="仿宋" w:eastAsia="仿宋" w:cs="仿宋"/>
          <w:b/>
          <w:bCs/>
          <w:color w:val="auto"/>
          <w:kern w:val="0"/>
          <w:sz w:val="24"/>
          <w:szCs w:val="32"/>
          <w:highlight w:val="none"/>
        </w:rPr>
      </w:pPr>
      <w:r>
        <w:rPr>
          <w:rFonts w:hint="eastAsia" w:ascii="仿宋" w:hAnsi="仿宋" w:eastAsia="仿宋" w:cs="仿宋"/>
          <w:b/>
          <w:bCs/>
          <w:color w:val="auto"/>
          <w:kern w:val="0"/>
          <w:sz w:val="24"/>
          <w:szCs w:val="32"/>
          <w:highlight w:val="none"/>
        </w:rPr>
        <w:t>1. 总则</w:t>
      </w:r>
    </w:p>
    <w:p>
      <w:pPr>
        <w:tabs>
          <w:tab w:val="left" w:pos="7665"/>
        </w:tabs>
        <w:spacing w:after="160" w:line="360" w:lineRule="auto"/>
        <w:ind w:firstLine="360" w:firstLineChars="150"/>
        <w:rPr>
          <w:rFonts w:ascii="仿宋" w:hAnsi="仿宋" w:eastAsia="仿宋" w:cs="仿宋"/>
          <w:bCs/>
          <w:color w:val="auto"/>
          <w:kern w:val="0"/>
          <w:sz w:val="24"/>
          <w:szCs w:val="32"/>
          <w:highlight w:val="none"/>
        </w:rPr>
      </w:pPr>
      <w:r>
        <w:rPr>
          <w:rFonts w:hint="eastAsia" w:ascii="仿宋" w:hAnsi="仿宋" w:eastAsia="仿宋" w:cs="仿宋"/>
          <w:bCs/>
          <w:color w:val="auto"/>
          <w:kern w:val="0"/>
          <w:sz w:val="24"/>
          <w:szCs w:val="32"/>
          <w:highlight w:val="none"/>
        </w:rPr>
        <w:t>1.1 根据《中华人民共和国政府采购法》、《中华人民共和国政府采购法实施条例》、《政府采购货物和服务招标投标管理办法》等法律制度，结合采购项目特点制定本评标办法。</w:t>
      </w:r>
    </w:p>
    <w:p>
      <w:pPr>
        <w:tabs>
          <w:tab w:val="left" w:pos="7665"/>
        </w:tabs>
        <w:spacing w:after="160" w:line="360" w:lineRule="auto"/>
        <w:ind w:firstLine="360" w:firstLineChars="150"/>
        <w:rPr>
          <w:rFonts w:ascii="仿宋" w:hAnsi="仿宋" w:eastAsia="仿宋" w:cs="仿宋"/>
          <w:bCs/>
          <w:color w:val="auto"/>
          <w:kern w:val="0"/>
          <w:sz w:val="24"/>
          <w:szCs w:val="32"/>
          <w:highlight w:val="none"/>
        </w:rPr>
      </w:pPr>
      <w:r>
        <w:rPr>
          <w:rFonts w:hint="eastAsia" w:ascii="仿宋" w:hAnsi="仿宋" w:eastAsia="仿宋" w:cs="仿宋"/>
          <w:bCs/>
          <w:color w:val="auto"/>
          <w:kern w:val="0"/>
          <w:sz w:val="24"/>
          <w:szCs w:val="32"/>
          <w:highlight w:val="none"/>
        </w:rPr>
        <w:t>1.2 评标工作由采购代理机构负责组织，具体评标事务由采购代理机构依法组建的评标委员会负责。评标委员会由采购人代表和有关技术、经济、法律等方面的专家组成。</w:t>
      </w:r>
    </w:p>
    <w:p>
      <w:pPr>
        <w:tabs>
          <w:tab w:val="left" w:pos="7665"/>
        </w:tabs>
        <w:spacing w:after="160" w:line="360" w:lineRule="auto"/>
        <w:ind w:firstLine="360" w:firstLineChars="150"/>
        <w:rPr>
          <w:rFonts w:ascii="仿宋" w:hAnsi="仿宋" w:eastAsia="仿宋" w:cs="仿宋"/>
          <w:bCs/>
          <w:color w:val="auto"/>
          <w:kern w:val="0"/>
          <w:sz w:val="24"/>
          <w:szCs w:val="32"/>
          <w:highlight w:val="none"/>
        </w:rPr>
      </w:pPr>
      <w:r>
        <w:rPr>
          <w:rFonts w:hint="eastAsia" w:ascii="仿宋" w:hAnsi="仿宋" w:eastAsia="仿宋" w:cs="仿宋"/>
          <w:bCs/>
          <w:color w:val="auto"/>
          <w:kern w:val="0"/>
          <w:sz w:val="24"/>
          <w:szCs w:val="32"/>
          <w:highlight w:val="none"/>
        </w:rPr>
        <w:t>1.3 评标工作应遵循公平、公正、科学及择优的原则，并以相同的评标程序和标准对待所有的投标人。</w:t>
      </w:r>
    </w:p>
    <w:p>
      <w:pPr>
        <w:tabs>
          <w:tab w:val="left" w:pos="7665"/>
        </w:tabs>
        <w:spacing w:after="160" w:line="360" w:lineRule="auto"/>
        <w:ind w:firstLine="360" w:firstLineChars="150"/>
        <w:rPr>
          <w:rFonts w:ascii="仿宋" w:hAnsi="仿宋" w:eastAsia="仿宋" w:cs="仿宋"/>
          <w:bCs/>
          <w:color w:val="auto"/>
          <w:kern w:val="0"/>
          <w:sz w:val="24"/>
          <w:szCs w:val="32"/>
          <w:highlight w:val="none"/>
        </w:rPr>
      </w:pPr>
      <w:r>
        <w:rPr>
          <w:rFonts w:hint="eastAsia" w:ascii="仿宋" w:hAnsi="仿宋" w:eastAsia="仿宋" w:cs="仿宋"/>
          <w:bCs/>
          <w:color w:val="auto"/>
          <w:kern w:val="0"/>
          <w:sz w:val="24"/>
          <w:szCs w:val="32"/>
          <w:highlight w:val="none"/>
        </w:rPr>
        <w:t>1.4 评标委员会按照招标文件规定的评标方法和标准进行评标，并独立履行下列职责：</w:t>
      </w:r>
    </w:p>
    <w:p>
      <w:pPr>
        <w:tabs>
          <w:tab w:val="left" w:pos="7665"/>
        </w:tabs>
        <w:spacing w:after="160" w:line="360" w:lineRule="auto"/>
        <w:ind w:firstLine="360" w:firstLineChars="150"/>
        <w:rPr>
          <w:rFonts w:ascii="仿宋" w:hAnsi="仿宋" w:eastAsia="仿宋" w:cs="仿宋"/>
          <w:bCs/>
          <w:color w:val="auto"/>
          <w:kern w:val="0"/>
          <w:sz w:val="24"/>
          <w:szCs w:val="32"/>
          <w:highlight w:val="none"/>
        </w:rPr>
      </w:pPr>
      <w:r>
        <w:rPr>
          <w:rFonts w:hint="eastAsia" w:ascii="仿宋" w:hAnsi="仿宋" w:eastAsia="仿宋" w:cs="仿宋"/>
          <w:bCs/>
          <w:color w:val="auto"/>
          <w:kern w:val="0"/>
          <w:sz w:val="24"/>
          <w:szCs w:val="32"/>
          <w:highlight w:val="none"/>
        </w:rPr>
        <w:t>（一）熟悉和理解招标文件；</w:t>
      </w:r>
    </w:p>
    <w:p>
      <w:pPr>
        <w:tabs>
          <w:tab w:val="left" w:pos="7665"/>
        </w:tabs>
        <w:spacing w:after="160" w:line="360" w:lineRule="auto"/>
        <w:ind w:firstLine="360" w:firstLineChars="150"/>
        <w:rPr>
          <w:rFonts w:ascii="仿宋" w:hAnsi="仿宋" w:eastAsia="仿宋" w:cs="仿宋"/>
          <w:bCs/>
          <w:color w:val="auto"/>
          <w:kern w:val="0"/>
          <w:sz w:val="24"/>
          <w:szCs w:val="32"/>
          <w:highlight w:val="none"/>
        </w:rPr>
      </w:pPr>
      <w:r>
        <w:rPr>
          <w:rFonts w:hint="eastAsia" w:ascii="仿宋" w:hAnsi="仿宋" w:eastAsia="仿宋" w:cs="仿宋"/>
          <w:bCs/>
          <w:color w:val="auto"/>
          <w:kern w:val="0"/>
          <w:sz w:val="24"/>
          <w:szCs w:val="32"/>
          <w:highlight w:val="none"/>
        </w:rPr>
        <w:t>（二）审查投标人投标文件等是否满足招标文件要求，并作出评价；</w:t>
      </w:r>
    </w:p>
    <w:p>
      <w:pPr>
        <w:tabs>
          <w:tab w:val="left" w:pos="7665"/>
        </w:tabs>
        <w:spacing w:after="160" w:line="360" w:lineRule="auto"/>
        <w:ind w:firstLine="360" w:firstLineChars="150"/>
        <w:rPr>
          <w:rFonts w:ascii="仿宋" w:hAnsi="仿宋" w:eastAsia="仿宋" w:cs="仿宋"/>
          <w:bCs/>
          <w:color w:val="auto"/>
          <w:kern w:val="0"/>
          <w:sz w:val="24"/>
          <w:szCs w:val="32"/>
          <w:highlight w:val="none"/>
        </w:rPr>
      </w:pPr>
      <w:r>
        <w:rPr>
          <w:rFonts w:hint="eastAsia" w:ascii="仿宋" w:hAnsi="仿宋" w:eastAsia="仿宋" w:cs="仿宋"/>
          <w:bCs/>
          <w:color w:val="auto"/>
          <w:kern w:val="0"/>
          <w:sz w:val="24"/>
          <w:szCs w:val="32"/>
          <w:highlight w:val="none"/>
        </w:rPr>
        <w:t>（三）根据需要要求采购人或者采购代理机构对招标文件作出解释；根据需要要求投标人对投标文件有关事项作出澄清、说明或者更正；</w:t>
      </w:r>
    </w:p>
    <w:p>
      <w:pPr>
        <w:tabs>
          <w:tab w:val="left" w:pos="7665"/>
        </w:tabs>
        <w:spacing w:after="160" w:line="360" w:lineRule="auto"/>
        <w:ind w:firstLine="360" w:firstLineChars="150"/>
        <w:rPr>
          <w:rFonts w:ascii="仿宋" w:hAnsi="仿宋" w:eastAsia="仿宋" w:cs="仿宋"/>
          <w:bCs/>
          <w:color w:val="auto"/>
          <w:kern w:val="0"/>
          <w:sz w:val="24"/>
          <w:szCs w:val="32"/>
          <w:highlight w:val="none"/>
        </w:rPr>
      </w:pPr>
      <w:r>
        <w:rPr>
          <w:rFonts w:hint="eastAsia" w:ascii="仿宋" w:hAnsi="仿宋" w:eastAsia="仿宋" w:cs="仿宋"/>
          <w:bCs/>
          <w:color w:val="auto"/>
          <w:kern w:val="0"/>
          <w:sz w:val="24"/>
          <w:szCs w:val="32"/>
          <w:highlight w:val="none"/>
        </w:rPr>
        <w:t>（四）推荐中标候选投标人，或者受采购人委托确定中标投标人；</w:t>
      </w:r>
    </w:p>
    <w:p>
      <w:pPr>
        <w:tabs>
          <w:tab w:val="left" w:pos="7665"/>
        </w:tabs>
        <w:spacing w:after="160" w:line="360" w:lineRule="auto"/>
        <w:ind w:firstLine="360" w:firstLineChars="150"/>
        <w:rPr>
          <w:rFonts w:ascii="仿宋" w:hAnsi="仿宋" w:eastAsia="仿宋" w:cs="仿宋"/>
          <w:bCs/>
          <w:color w:val="auto"/>
          <w:kern w:val="0"/>
          <w:sz w:val="24"/>
          <w:szCs w:val="32"/>
          <w:highlight w:val="none"/>
        </w:rPr>
      </w:pPr>
      <w:r>
        <w:rPr>
          <w:rFonts w:hint="eastAsia" w:ascii="仿宋" w:hAnsi="仿宋" w:eastAsia="仿宋" w:cs="仿宋"/>
          <w:bCs/>
          <w:color w:val="auto"/>
          <w:kern w:val="0"/>
          <w:sz w:val="24"/>
          <w:szCs w:val="32"/>
          <w:highlight w:val="none"/>
        </w:rPr>
        <w:t>（五）起草评标报告并进行签署；</w:t>
      </w:r>
    </w:p>
    <w:p>
      <w:pPr>
        <w:tabs>
          <w:tab w:val="left" w:pos="7665"/>
        </w:tabs>
        <w:spacing w:after="160" w:line="360" w:lineRule="auto"/>
        <w:ind w:firstLine="360" w:firstLineChars="150"/>
        <w:rPr>
          <w:rFonts w:ascii="仿宋" w:hAnsi="仿宋" w:eastAsia="仿宋" w:cs="仿宋"/>
          <w:bCs/>
          <w:color w:val="auto"/>
          <w:kern w:val="0"/>
          <w:sz w:val="24"/>
          <w:szCs w:val="32"/>
          <w:highlight w:val="none"/>
        </w:rPr>
      </w:pPr>
      <w:r>
        <w:rPr>
          <w:rFonts w:hint="eastAsia" w:ascii="仿宋" w:hAnsi="仿宋" w:eastAsia="仿宋" w:cs="仿宋"/>
          <w:bCs/>
          <w:color w:val="auto"/>
          <w:kern w:val="0"/>
          <w:sz w:val="24"/>
          <w:szCs w:val="32"/>
          <w:highlight w:val="none"/>
        </w:rPr>
        <w:t>（六）向招标采购单位、财政部门或者其他监督部门报告非法干预评标工作的行为；</w:t>
      </w:r>
    </w:p>
    <w:p>
      <w:pPr>
        <w:tabs>
          <w:tab w:val="left" w:pos="7665"/>
        </w:tabs>
        <w:spacing w:after="160" w:line="360" w:lineRule="auto"/>
        <w:ind w:firstLine="360" w:firstLineChars="150"/>
        <w:rPr>
          <w:rFonts w:ascii="仿宋" w:hAnsi="仿宋" w:eastAsia="仿宋" w:cs="仿宋"/>
          <w:bCs/>
          <w:color w:val="auto"/>
          <w:kern w:val="0"/>
          <w:sz w:val="24"/>
          <w:szCs w:val="32"/>
          <w:highlight w:val="none"/>
        </w:rPr>
      </w:pPr>
      <w:r>
        <w:rPr>
          <w:rFonts w:hint="eastAsia" w:ascii="仿宋" w:hAnsi="仿宋" w:eastAsia="仿宋" w:cs="仿宋"/>
          <w:bCs/>
          <w:color w:val="auto"/>
          <w:kern w:val="0"/>
          <w:sz w:val="24"/>
          <w:szCs w:val="32"/>
          <w:highlight w:val="none"/>
        </w:rPr>
        <w:t>（七）法律、法规和规章规定的其他职责。</w:t>
      </w:r>
    </w:p>
    <w:p>
      <w:pPr>
        <w:tabs>
          <w:tab w:val="left" w:pos="7665"/>
        </w:tabs>
        <w:spacing w:after="160" w:line="360" w:lineRule="auto"/>
        <w:ind w:firstLine="360" w:firstLineChars="150"/>
        <w:rPr>
          <w:rFonts w:ascii="仿宋" w:hAnsi="仿宋" w:eastAsia="仿宋" w:cs="仿宋"/>
          <w:bCs/>
          <w:color w:val="auto"/>
          <w:kern w:val="0"/>
          <w:sz w:val="24"/>
          <w:szCs w:val="32"/>
          <w:highlight w:val="none"/>
        </w:rPr>
      </w:pPr>
      <w:r>
        <w:rPr>
          <w:rFonts w:hint="eastAsia" w:ascii="仿宋" w:hAnsi="仿宋" w:eastAsia="仿宋" w:cs="仿宋"/>
          <w:bCs/>
          <w:color w:val="auto"/>
          <w:kern w:val="0"/>
          <w:sz w:val="24"/>
          <w:szCs w:val="32"/>
          <w:highlight w:val="none"/>
        </w:rPr>
        <w:t>1.5 评标过程独立、保密。投标人非法干预评标过程的行为将导致其投标文件作为无效处理。</w:t>
      </w:r>
    </w:p>
    <w:p>
      <w:pPr>
        <w:tabs>
          <w:tab w:val="left" w:pos="7665"/>
        </w:tabs>
        <w:spacing w:after="160" w:line="360" w:lineRule="auto"/>
        <w:ind w:firstLine="360" w:firstLineChars="150"/>
        <w:rPr>
          <w:rFonts w:ascii="仿宋" w:hAnsi="仿宋" w:eastAsia="仿宋" w:cs="仿宋"/>
          <w:bCs/>
          <w:color w:val="auto"/>
          <w:kern w:val="0"/>
          <w:sz w:val="24"/>
          <w:szCs w:val="32"/>
          <w:highlight w:val="none"/>
        </w:rPr>
      </w:pPr>
      <w:r>
        <w:rPr>
          <w:rFonts w:hint="eastAsia" w:ascii="仿宋" w:hAnsi="仿宋" w:eastAsia="仿宋" w:cs="仿宋"/>
          <w:bCs/>
          <w:color w:val="auto"/>
          <w:kern w:val="0"/>
          <w:sz w:val="24"/>
          <w:szCs w:val="32"/>
          <w:highlight w:val="none"/>
        </w:rPr>
        <w:t>1.6评标委员会评价投标文件的响应性，对于投标人而言，除评标委员会要求其澄清、说明或者更正而提供的资料外，仅依据投标文件本身的内容，不寻求其他外部证据。</w:t>
      </w:r>
    </w:p>
    <w:p>
      <w:pPr>
        <w:tabs>
          <w:tab w:val="left" w:pos="7665"/>
        </w:tabs>
        <w:spacing w:after="160" w:line="360" w:lineRule="auto"/>
        <w:ind w:firstLine="360" w:firstLineChars="150"/>
        <w:jc w:val="center"/>
        <w:rPr>
          <w:rFonts w:ascii="仿宋" w:hAnsi="仿宋" w:eastAsia="仿宋" w:cs="仿宋"/>
          <w:b/>
          <w:bCs/>
          <w:color w:val="auto"/>
          <w:kern w:val="0"/>
          <w:sz w:val="24"/>
          <w:szCs w:val="32"/>
          <w:highlight w:val="none"/>
        </w:rPr>
      </w:pPr>
      <w:r>
        <w:rPr>
          <w:rFonts w:hint="eastAsia" w:ascii="仿宋" w:hAnsi="仿宋" w:eastAsia="仿宋" w:cs="仿宋"/>
          <w:b/>
          <w:bCs/>
          <w:color w:val="auto"/>
          <w:kern w:val="0"/>
          <w:sz w:val="24"/>
          <w:szCs w:val="32"/>
          <w:highlight w:val="none"/>
        </w:rPr>
        <w:t>2、评标方法</w:t>
      </w:r>
    </w:p>
    <w:p>
      <w:pPr>
        <w:tabs>
          <w:tab w:val="left" w:pos="7665"/>
        </w:tabs>
        <w:spacing w:after="160" w:line="360" w:lineRule="auto"/>
        <w:ind w:firstLine="360" w:firstLineChars="150"/>
        <w:rPr>
          <w:rFonts w:ascii="仿宋" w:hAnsi="仿宋" w:eastAsia="仿宋" w:cs="仿宋"/>
          <w:bCs/>
          <w:color w:val="auto"/>
          <w:kern w:val="0"/>
          <w:sz w:val="24"/>
          <w:szCs w:val="32"/>
          <w:highlight w:val="none"/>
        </w:rPr>
      </w:pPr>
      <w:r>
        <w:rPr>
          <w:rFonts w:hint="eastAsia" w:ascii="仿宋" w:hAnsi="仿宋" w:eastAsia="仿宋" w:cs="仿宋"/>
          <w:bCs/>
          <w:color w:val="auto"/>
          <w:kern w:val="0"/>
          <w:sz w:val="24"/>
          <w:szCs w:val="32"/>
          <w:highlight w:val="none"/>
        </w:rPr>
        <w:t>本项目评标方法为：综合评分法。</w:t>
      </w:r>
    </w:p>
    <w:p>
      <w:pPr>
        <w:tabs>
          <w:tab w:val="left" w:pos="7665"/>
        </w:tabs>
        <w:spacing w:after="160" w:line="360" w:lineRule="auto"/>
        <w:ind w:firstLine="360" w:firstLineChars="150"/>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3、评标程序</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3.1 熟悉和理解招标文件和停止评标。</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3.1.1 采购人或者采购代理机构应当依法对投标人的资格进行审查，合格投标人不少于3人时，进入评标委员会正式评标环节。</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评标委员会正式评标前，应当对招标文件进行熟悉和理解，内容主要包括：</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（1）评标委员会应当对符合资格的投标人的投标文件进行符合性审查，以确定其是否满足招标文件的实质性要求。</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（2）对于投标文件中含义不明确、同类问题表述不一致或者有明显文字和计算错误的内容，评标委员会应当以书面形式要求投标人作出必要的澄清、说明或者补正。</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（3）评标委员会应当按照招标文件中规定的评标方法和标准，对符合性审查合格的投标文件进行商务和技术评估，综合比较与评价。</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3.1.2 评标委员会熟悉和理解招标文件以及评标过程中，发现本招标文件有下列情形之一的，评标委员会应当停止评标：</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（1）招标文件的规定存在歧义、重大缺陷的；</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（2）招标文件明显以不合理条件对投标人实行差别待遇或者歧视待遇的；（3）采购项目属于国家规定的优先、强制采购范围，但是招标文件未依法体现优先、强制采购相关规定的；</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（4）采购项目属于政府采购促进中小企业发展的范围，但是招标文件未依法体现促进中小企业发展相关规定的；</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（5）招标文件规定的评标方法是综合评分法、最低评标价法之外的评标方法，或者虽然名称为综合评分法、最低评标价法，但实际上不符合国家规定；</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（6）招标文件将投标人的资格条件列为评分因素的；</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（7）招标文件有违反国家其他有关强制性规定的情形。</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出现本条规定应当停止评标情形的，评标委员会成员应当向采购人或采购代理机构书面说明情况。</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除本条规定和评标委员会无法依法组建的情形外，评标委员会成员不得以任何方式和理由停止评标。</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3.2 资格性审查（不属于评标委员会审查内容）。</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公开招标采购项目开标结束后，采购人或者采购代理机构应当依法对投标人的资格进行审查。</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合格投标人不足3 家的，不得评标。</w:t>
      </w:r>
    </w:p>
    <w:p>
      <w:pPr>
        <w:tabs>
          <w:tab w:val="left" w:pos="7665"/>
        </w:tabs>
        <w:spacing w:after="160" w:line="360" w:lineRule="auto"/>
        <w:ind w:firstLine="360" w:firstLineChars="150"/>
        <w:rPr>
          <w:rFonts w:ascii="仿宋" w:hAnsi="仿宋" w:eastAsia="仿宋" w:cs="仿宋"/>
          <w:b/>
          <w:color w:val="auto"/>
          <w:sz w:val="24"/>
          <w:highlight w:val="none"/>
        </w:rPr>
      </w:pPr>
      <w:r>
        <w:rPr>
          <w:rFonts w:hint="eastAsia" w:ascii="仿宋" w:hAnsi="仿宋" w:eastAsia="仿宋" w:cs="仿宋"/>
          <w:b/>
          <w:color w:val="auto"/>
          <w:sz w:val="24"/>
          <w:highlight w:val="none"/>
        </w:rPr>
        <w:t>资格审查表（仅限资格性投标文件）</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7"/>
        <w:gridCol w:w="2259"/>
        <w:gridCol w:w="1762"/>
        <w:gridCol w:w="1492"/>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4486" w:type="dxa"/>
            <w:gridSpan w:val="2"/>
            <w:vMerge w:val="restart"/>
            <w:vAlign w:val="center"/>
          </w:tcPr>
          <w:p>
            <w:pPr>
              <w:jc w:val="center"/>
              <w:rPr>
                <w:rFonts w:ascii="仿宋" w:hAnsi="仿宋" w:eastAsia="仿宋" w:cs="仿宋"/>
                <w:b/>
                <w:color w:val="auto"/>
                <w:highlight w:val="none"/>
              </w:rPr>
            </w:pPr>
            <w:r>
              <w:rPr>
                <w:rFonts w:hint="eastAsia" w:ascii="仿宋" w:hAnsi="仿宋" w:eastAsia="仿宋" w:cs="仿宋"/>
                <w:b/>
                <w:color w:val="auto"/>
                <w:kern w:val="0"/>
                <w:sz w:val="24"/>
                <w:highlight w:val="none"/>
              </w:rPr>
              <w:t>评审因素</w:t>
            </w:r>
          </w:p>
        </w:tc>
        <w:tc>
          <w:tcPr>
            <w:tcW w:w="5086" w:type="dxa"/>
            <w:gridSpan w:val="3"/>
            <w:vAlign w:val="center"/>
          </w:tcPr>
          <w:p>
            <w:pPr>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486" w:type="dxa"/>
            <w:gridSpan w:val="2"/>
            <w:vMerge w:val="continue"/>
            <w:vAlign w:val="center"/>
          </w:tcPr>
          <w:p>
            <w:pPr>
              <w:jc w:val="center"/>
              <w:rPr>
                <w:rFonts w:ascii="仿宋" w:hAnsi="仿宋" w:eastAsia="仿宋" w:cs="仿宋"/>
                <w:b/>
                <w:color w:val="auto"/>
                <w:kern w:val="0"/>
                <w:sz w:val="24"/>
                <w:highlight w:val="none"/>
              </w:rPr>
            </w:pPr>
          </w:p>
        </w:tc>
        <w:tc>
          <w:tcPr>
            <w:tcW w:w="1762" w:type="dxa"/>
            <w:vAlign w:val="center"/>
          </w:tcPr>
          <w:p>
            <w:pPr>
              <w:jc w:val="center"/>
              <w:rPr>
                <w:rFonts w:ascii="仿宋" w:hAnsi="仿宋" w:eastAsia="仿宋" w:cs="仿宋"/>
                <w:color w:val="auto"/>
                <w:highlight w:val="none"/>
              </w:rPr>
            </w:pPr>
          </w:p>
        </w:tc>
        <w:tc>
          <w:tcPr>
            <w:tcW w:w="1492" w:type="dxa"/>
            <w:vAlign w:val="center"/>
          </w:tcPr>
          <w:p>
            <w:pPr>
              <w:jc w:val="center"/>
              <w:rPr>
                <w:rFonts w:ascii="仿宋" w:hAnsi="仿宋" w:eastAsia="仿宋" w:cs="仿宋"/>
                <w:color w:val="auto"/>
                <w:highlight w:val="none"/>
              </w:rPr>
            </w:pPr>
          </w:p>
        </w:tc>
        <w:tc>
          <w:tcPr>
            <w:tcW w:w="1832" w:type="dxa"/>
            <w:vAlign w:val="center"/>
          </w:tcPr>
          <w:p>
            <w:pPr>
              <w:jc w:val="cente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4486" w:type="dxa"/>
            <w:gridSpan w:val="2"/>
            <w:vAlign w:val="center"/>
          </w:tcPr>
          <w:p>
            <w:pPr>
              <w:jc w:val="left"/>
              <w:rPr>
                <w:rFonts w:ascii="仿宋" w:hAnsi="仿宋" w:eastAsia="仿宋" w:cs="仿宋"/>
                <w:color w:val="auto"/>
                <w:szCs w:val="21"/>
                <w:highlight w:val="none"/>
              </w:rPr>
            </w:pPr>
            <w:r>
              <w:rPr>
                <w:rFonts w:hint="eastAsia" w:ascii="仿宋" w:hAnsi="仿宋" w:eastAsia="仿宋" w:cs="仿宋"/>
                <w:color w:val="auto"/>
                <w:kern w:val="0"/>
                <w:szCs w:val="21"/>
                <w:highlight w:val="none"/>
              </w:rPr>
              <w:t>具有独立承担民事责任能力的证明材料</w:t>
            </w:r>
          </w:p>
        </w:tc>
        <w:tc>
          <w:tcPr>
            <w:tcW w:w="1762" w:type="dxa"/>
          </w:tcPr>
          <w:p>
            <w:pPr>
              <w:rPr>
                <w:rFonts w:ascii="仿宋" w:hAnsi="仿宋" w:eastAsia="仿宋" w:cs="仿宋"/>
                <w:color w:val="auto"/>
                <w:highlight w:val="none"/>
              </w:rPr>
            </w:pPr>
          </w:p>
        </w:tc>
        <w:tc>
          <w:tcPr>
            <w:tcW w:w="1492" w:type="dxa"/>
          </w:tcPr>
          <w:p>
            <w:pPr>
              <w:rPr>
                <w:rFonts w:ascii="仿宋" w:hAnsi="仿宋" w:eastAsia="仿宋" w:cs="仿宋"/>
                <w:color w:val="auto"/>
                <w:highlight w:val="none"/>
              </w:rPr>
            </w:pPr>
          </w:p>
        </w:tc>
        <w:tc>
          <w:tcPr>
            <w:tcW w:w="1832" w:type="dxa"/>
          </w:tcPr>
          <w:p>
            <w:pP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4486" w:type="dxa"/>
            <w:gridSpan w:val="2"/>
            <w:vAlign w:val="center"/>
          </w:tcPr>
          <w:p>
            <w:pPr>
              <w:jc w:val="left"/>
              <w:rPr>
                <w:rFonts w:ascii="仿宋" w:hAnsi="仿宋" w:eastAsia="仿宋" w:cs="仿宋"/>
                <w:color w:val="auto"/>
                <w:szCs w:val="21"/>
                <w:highlight w:val="none"/>
              </w:rPr>
            </w:pPr>
            <w:r>
              <w:rPr>
                <w:rFonts w:hint="eastAsia" w:ascii="仿宋" w:hAnsi="仿宋" w:eastAsia="仿宋" w:cs="仿宋"/>
                <w:color w:val="auto"/>
                <w:kern w:val="0"/>
                <w:szCs w:val="21"/>
                <w:highlight w:val="none"/>
              </w:rPr>
              <w:t>良好的商业信誉承诺函和财务状况报告</w:t>
            </w:r>
          </w:p>
        </w:tc>
        <w:tc>
          <w:tcPr>
            <w:tcW w:w="1762" w:type="dxa"/>
          </w:tcPr>
          <w:p>
            <w:pPr>
              <w:rPr>
                <w:rFonts w:ascii="仿宋" w:hAnsi="仿宋" w:eastAsia="仿宋" w:cs="仿宋"/>
                <w:color w:val="auto"/>
                <w:highlight w:val="none"/>
              </w:rPr>
            </w:pPr>
          </w:p>
        </w:tc>
        <w:tc>
          <w:tcPr>
            <w:tcW w:w="1492" w:type="dxa"/>
          </w:tcPr>
          <w:p>
            <w:pPr>
              <w:rPr>
                <w:rFonts w:ascii="仿宋" w:hAnsi="仿宋" w:eastAsia="仿宋" w:cs="仿宋"/>
                <w:color w:val="auto"/>
                <w:highlight w:val="none"/>
              </w:rPr>
            </w:pPr>
          </w:p>
        </w:tc>
        <w:tc>
          <w:tcPr>
            <w:tcW w:w="1832" w:type="dxa"/>
          </w:tcPr>
          <w:p>
            <w:pP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6" w:type="dxa"/>
            <w:gridSpan w:val="2"/>
            <w:vAlign w:val="center"/>
          </w:tcPr>
          <w:p>
            <w:pPr>
              <w:autoSpaceDE w:val="0"/>
              <w:autoSpaceDN w:val="0"/>
              <w:adjustRightInd w:val="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具备履行合同所必需的设备和专业技术能力的证明材料</w:t>
            </w:r>
          </w:p>
        </w:tc>
        <w:tc>
          <w:tcPr>
            <w:tcW w:w="1762" w:type="dxa"/>
          </w:tcPr>
          <w:p>
            <w:pPr>
              <w:rPr>
                <w:rFonts w:ascii="仿宋" w:hAnsi="仿宋" w:eastAsia="仿宋" w:cs="仿宋"/>
                <w:color w:val="auto"/>
                <w:highlight w:val="none"/>
              </w:rPr>
            </w:pPr>
          </w:p>
        </w:tc>
        <w:tc>
          <w:tcPr>
            <w:tcW w:w="1492" w:type="dxa"/>
          </w:tcPr>
          <w:p>
            <w:pPr>
              <w:rPr>
                <w:rFonts w:ascii="仿宋" w:hAnsi="仿宋" w:eastAsia="仿宋" w:cs="仿宋"/>
                <w:color w:val="auto"/>
                <w:highlight w:val="none"/>
              </w:rPr>
            </w:pPr>
          </w:p>
        </w:tc>
        <w:tc>
          <w:tcPr>
            <w:tcW w:w="1832" w:type="dxa"/>
          </w:tcPr>
          <w:p>
            <w:pP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4486" w:type="dxa"/>
            <w:gridSpan w:val="2"/>
            <w:vAlign w:val="center"/>
          </w:tcPr>
          <w:p>
            <w:pPr>
              <w:rPr>
                <w:rFonts w:ascii="仿宋" w:hAnsi="仿宋" w:eastAsia="仿宋" w:cs="仿宋"/>
                <w:color w:val="auto"/>
                <w:szCs w:val="21"/>
                <w:highlight w:val="none"/>
              </w:rPr>
            </w:pPr>
            <w:r>
              <w:rPr>
                <w:rFonts w:hint="eastAsia" w:ascii="仿宋" w:hAnsi="仿宋" w:eastAsia="仿宋" w:cs="仿宋"/>
                <w:color w:val="auto"/>
                <w:kern w:val="0"/>
                <w:szCs w:val="21"/>
                <w:highlight w:val="none"/>
              </w:rPr>
              <w:t>依法缴纳税收和社会保障资金的相关材料</w:t>
            </w:r>
          </w:p>
        </w:tc>
        <w:tc>
          <w:tcPr>
            <w:tcW w:w="1762" w:type="dxa"/>
          </w:tcPr>
          <w:p>
            <w:pPr>
              <w:rPr>
                <w:rFonts w:ascii="仿宋" w:hAnsi="仿宋" w:eastAsia="仿宋" w:cs="仿宋"/>
                <w:color w:val="auto"/>
                <w:highlight w:val="none"/>
              </w:rPr>
            </w:pPr>
          </w:p>
        </w:tc>
        <w:tc>
          <w:tcPr>
            <w:tcW w:w="1492" w:type="dxa"/>
          </w:tcPr>
          <w:p>
            <w:pPr>
              <w:rPr>
                <w:rFonts w:ascii="仿宋" w:hAnsi="仿宋" w:eastAsia="仿宋" w:cs="仿宋"/>
                <w:color w:val="auto"/>
                <w:highlight w:val="none"/>
              </w:rPr>
            </w:pPr>
          </w:p>
        </w:tc>
        <w:tc>
          <w:tcPr>
            <w:tcW w:w="1832" w:type="dxa"/>
          </w:tcPr>
          <w:p>
            <w:pP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4486" w:type="dxa"/>
            <w:gridSpan w:val="2"/>
            <w:vAlign w:val="center"/>
          </w:tcPr>
          <w:p>
            <w:pPr>
              <w:autoSpaceDE w:val="0"/>
              <w:autoSpaceDN w:val="0"/>
              <w:adjustRightInd w:val="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参加本次政府采购活动前三年内，在经营活动中没有重大违法记录的证明材料</w:t>
            </w:r>
          </w:p>
        </w:tc>
        <w:tc>
          <w:tcPr>
            <w:tcW w:w="1762" w:type="dxa"/>
          </w:tcPr>
          <w:p>
            <w:pPr>
              <w:rPr>
                <w:rFonts w:ascii="仿宋" w:hAnsi="仿宋" w:eastAsia="仿宋" w:cs="仿宋"/>
                <w:color w:val="auto"/>
                <w:highlight w:val="none"/>
              </w:rPr>
            </w:pPr>
          </w:p>
        </w:tc>
        <w:tc>
          <w:tcPr>
            <w:tcW w:w="1492" w:type="dxa"/>
          </w:tcPr>
          <w:p>
            <w:pPr>
              <w:rPr>
                <w:rFonts w:ascii="仿宋" w:hAnsi="仿宋" w:eastAsia="仿宋" w:cs="仿宋"/>
                <w:color w:val="auto"/>
                <w:highlight w:val="none"/>
              </w:rPr>
            </w:pPr>
          </w:p>
        </w:tc>
        <w:tc>
          <w:tcPr>
            <w:tcW w:w="1832" w:type="dxa"/>
          </w:tcPr>
          <w:p>
            <w:pP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4486" w:type="dxa"/>
            <w:gridSpan w:val="2"/>
            <w:vAlign w:val="center"/>
          </w:tcPr>
          <w:p>
            <w:pPr>
              <w:autoSpaceDE w:val="0"/>
              <w:autoSpaceDN w:val="0"/>
              <w:adjustRightInd w:val="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具备法律、行政法规规定的其他条件的证明</w:t>
            </w:r>
          </w:p>
          <w:p>
            <w:pPr>
              <w:rPr>
                <w:rFonts w:ascii="仿宋" w:hAnsi="仿宋" w:eastAsia="仿宋" w:cs="仿宋"/>
                <w:color w:val="auto"/>
                <w:szCs w:val="21"/>
                <w:highlight w:val="none"/>
              </w:rPr>
            </w:pPr>
            <w:r>
              <w:rPr>
                <w:rFonts w:hint="eastAsia" w:ascii="仿宋" w:hAnsi="仿宋" w:eastAsia="仿宋" w:cs="仿宋"/>
                <w:color w:val="auto"/>
                <w:kern w:val="0"/>
                <w:szCs w:val="21"/>
                <w:highlight w:val="none"/>
              </w:rPr>
              <w:t>材料复印件或承诺函原件</w:t>
            </w:r>
          </w:p>
        </w:tc>
        <w:tc>
          <w:tcPr>
            <w:tcW w:w="1762" w:type="dxa"/>
          </w:tcPr>
          <w:p>
            <w:pPr>
              <w:rPr>
                <w:rFonts w:ascii="仿宋" w:hAnsi="仿宋" w:eastAsia="仿宋" w:cs="仿宋"/>
                <w:color w:val="auto"/>
                <w:highlight w:val="none"/>
              </w:rPr>
            </w:pPr>
          </w:p>
        </w:tc>
        <w:tc>
          <w:tcPr>
            <w:tcW w:w="1492" w:type="dxa"/>
          </w:tcPr>
          <w:p>
            <w:pPr>
              <w:rPr>
                <w:rFonts w:ascii="仿宋" w:hAnsi="仿宋" w:eastAsia="仿宋" w:cs="仿宋"/>
                <w:color w:val="auto"/>
                <w:highlight w:val="none"/>
              </w:rPr>
            </w:pPr>
          </w:p>
        </w:tc>
        <w:tc>
          <w:tcPr>
            <w:tcW w:w="1832" w:type="dxa"/>
          </w:tcPr>
          <w:p>
            <w:pP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4486" w:type="dxa"/>
            <w:gridSpan w:val="2"/>
            <w:vAlign w:val="center"/>
          </w:tcPr>
          <w:p>
            <w:pPr>
              <w:autoSpaceDE w:val="0"/>
              <w:autoSpaceDN w:val="0"/>
              <w:adjustRightInd w:val="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非联合体投标</w:t>
            </w:r>
          </w:p>
        </w:tc>
        <w:tc>
          <w:tcPr>
            <w:tcW w:w="1762" w:type="dxa"/>
          </w:tcPr>
          <w:p>
            <w:pPr>
              <w:rPr>
                <w:rFonts w:ascii="仿宋" w:hAnsi="仿宋" w:eastAsia="仿宋" w:cs="仿宋"/>
                <w:color w:val="auto"/>
                <w:highlight w:val="none"/>
              </w:rPr>
            </w:pPr>
          </w:p>
        </w:tc>
        <w:tc>
          <w:tcPr>
            <w:tcW w:w="1492" w:type="dxa"/>
          </w:tcPr>
          <w:p>
            <w:pPr>
              <w:rPr>
                <w:rFonts w:ascii="仿宋" w:hAnsi="仿宋" w:eastAsia="仿宋" w:cs="仿宋"/>
                <w:color w:val="auto"/>
                <w:highlight w:val="none"/>
              </w:rPr>
            </w:pPr>
          </w:p>
        </w:tc>
        <w:tc>
          <w:tcPr>
            <w:tcW w:w="1832" w:type="dxa"/>
          </w:tcPr>
          <w:p>
            <w:pP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486" w:type="dxa"/>
            <w:gridSpan w:val="2"/>
            <w:vAlign w:val="center"/>
          </w:tcPr>
          <w:p>
            <w:pPr>
              <w:autoSpaceDE w:val="0"/>
              <w:autoSpaceDN w:val="0"/>
              <w:adjustRightInd w:val="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法定代表人授权委托书原件及法定代表人身份证、代理人身份证复印件</w:t>
            </w:r>
          </w:p>
        </w:tc>
        <w:tc>
          <w:tcPr>
            <w:tcW w:w="1762" w:type="dxa"/>
          </w:tcPr>
          <w:p>
            <w:pPr>
              <w:rPr>
                <w:rFonts w:ascii="仿宋" w:hAnsi="仿宋" w:eastAsia="仿宋" w:cs="仿宋"/>
                <w:color w:val="auto"/>
                <w:highlight w:val="none"/>
              </w:rPr>
            </w:pPr>
          </w:p>
        </w:tc>
        <w:tc>
          <w:tcPr>
            <w:tcW w:w="1492" w:type="dxa"/>
          </w:tcPr>
          <w:p>
            <w:pPr>
              <w:rPr>
                <w:rFonts w:ascii="仿宋" w:hAnsi="仿宋" w:eastAsia="仿宋" w:cs="仿宋"/>
                <w:color w:val="auto"/>
                <w:highlight w:val="none"/>
              </w:rPr>
            </w:pPr>
          </w:p>
        </w:tc>
        <w:tc>
          <w:tcPr>
            <w:tcW w:w="1832" w:type="dxa"/>
          </w:tcPr>
          <w:p>
            <w:pP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227" w:type="dxa"/>
            <w:vAlign w:val="center"/>
          </w:tcPr>
          <w:p>
            <w:pP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不属于禁止参加投标的申请人</w:t>
            </w:r>
          </w:p>
        </w:tc>
        <w:tc>
          <w:tcPr>
            <w:tcW w:w="2259" w:type="dxa"/>
            <w:vAlign w:val="center"/>
          </w:tcPr>
          <w:p>
            <w:pP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符合本资格审查文件中《关于在政府采购活动中查询及使用信用记录有关问题的通知》（财库〔2016〕125 号）的要求</w:t>
            </w:r>
          </w:p>
        </w:tc>
        <w:tc>
          <w:tcPr>
            <w:tcW w:w="1762" w:type="dxa"/>
          </w:tcPr>
          <w:p>
            <w:pPr>
              <w:rPr>
                <w:rFonts w:ascii="仿宋" w:hAnsi="仿宋" w:eastAsia="仿宋" w:cs="仿宋"/>
                <w:color w:val="auto"/>
                <w:highlight w:val="none"/>
              </w:rPr>
            </w:pPr>
          </w:p>
        </w:tc>
        <w:tc>
          <w:tcPr>
            <w:tcW w:w="1492" w:type="dxa"/>
          </w:tcPr>
          <w:p>
            <w:pPr>
              <w:rPr>
                <w:rFonts w:ascii="仿宋" w:hAnsi="仿宋" w:eastAsia="仿宋" w:cs="仿宋"/>
                <w:color w:val="auto"/>
                <w:highlight w:val="none"/>
              </w:rPr>
            </w:pPr>
          </w:p>
        </w:tc>
        <w:tc>
          <w:tcPr>
            <w:tcW w:w="1832" w:type="dxa"/>
          </w:tcPr>
          <w:p>
            <w:pP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486" w:type="dxa"/>
            <w:gridSpan w:val="2"/>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结论</w:t>
            </w:r>
          </w:p>
        </w:tc>
        <w:tc>
          <w:tcPr>
            <w:tcW w:w="1762" w:type="dxa"/>
          </w:tcPr>
          <w:p>
            <w:pPr>
              <w:rPr>
                <w:rFonts w:ascii="仿宋" w:hAnsi="仿宋" w:eastAsia="仿宋" w:cs="仿宋"/>
                <w:color w:val="auto"/>
                <w:highlight w:val="none"/>
              </w:rPr>
            </w:pPr>
          </w:p>
        </w:tc>
        <w:tc>
          <w:tcPr>
            <w:tcW w:w="1492" w:type="dxa"/>
          </w:tcPr>
          <w:p>
            <w:pPr>
              <w:rPr>
                <w:rFonts w:ascii="仿宋" w:hAnsi="仿宋" w:eastAsia="仿宋" w:cs="仿宋"/>
                <w:color w:val="auto"/>
                <w:highlight w:val="none"/>
              </w:rPr>
            </w:pPr>
          </w:p>
        </w:tc>
        <w:tc>
          <w:tcPr>
            <w:tcW w:w="1832" w:type="dxa"/>
          </w:tcPr>
          <w:p>
            <w:pPr>
              <w:rPr>
                <w:rFonts w:ascii="仿宋" w:hAnsi="仿宋" w:eastAsia="仿宋" w:cs="仿宋"/>
                <w:color w:val="auto"/>
                <w:highlight w:val="none"/>
              </w:rPr>
            </w:pPr>
          </w:p>
        </w:tc>
      </w:tr>
    </w:tbl>
    <w:p>
      <w:pPr>
        <w:pStyle w:val="9"/>
        <w:rPr>
          <w:rFonts w:ascii="仿宋" w:hAnsi="仿宋" w:eastAsia="仿宋" w:cs="仿宋"/>
          <w:color w:val="auto"/>
          <w:highlight w:val="none"/>
        </w:rPr>
      </w:pPr>
    </w:p>
    <w:p>
      <w:pPr>
        <w:tabs>
          <w:tab w:val="left" w:pos="7665"/>
        </w:tabs>
        <w:spacing w:after="160" w:line="360" w:lineRule="auto"/>
        <w:ind w:firstLine="315" w:firstLineChars="150"/>
        <w:rPr>
          <w:rFonts w:ascii="仿宋" w:hAnsi="仿宋" w:eastAsia="仿宋" w:cs="仿宋"/>
          <w:color w:val="auto"/>
          <w:szCs w:val="21"/>
          <w:highlight w:val="none"/>
        </w:rPr>
      </w:pPr>
      <w:r>
        <w:rPr>
          <w:rFonts w:hint="eastAsia" w:ascii="仿宋" w:hAnsi="仿宋" w:eastAsia="仿宋" w:cs="仿宋"/>
          <w:color w:val="auto"/>
          <w:szCs w:val="21"/>
          <w:highlight w:val="none"/>
        </w:rPr>
        <w:t>注：</w:t>
      </w:r>
    </w:p>
    <w:p>
      <w:pPr>
        <w:tabs>
          <w:tab w:val="left" w:pos="7665"/>
        </w:tabs>
        <w:spacing w:after="160" w:line="360" w:lineRule="auto"/>
        <w:ind w:firstLine="315" w:firstLineChars="150"/>
        <w:rPr>
          <w:rFonts w:ascii="仿宋" w:hAnsi="仿宋" w:eastAsia="仿宋" w:cs="仿宋"/>
          <w:color w:val="auto"/>
          <w:szCs w:val="21"/>
          <w:highlight w:val="none"/>
        </w:rPr>
      </w:pPr>
      <w:r>
        <w:rPr>
          <w:rFonts w:hint="eastAsia" w:ascii="仿宋" w:hAnsi="仿宋" w:eastAsia="仿宋" w:cs="仿宋"/>
          <w:color w:val="auto"/>
          <w:szCs w:val="21"/>
          <w:highlight w:val="none"/>
        </w:rPr>
        <w:t>以上每一项结论均为“合格”的，则投标人通过资格审查，如有任意一项结论为“不合格”的，则投标人不通过资格审查，其投标文件按无效投标文件处理。如果认为投标人有任意一项不合格的，应载明不合格的具体原因。</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3.3符合性审查</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3.2.1评标委员会依据本招标文件的实质性要求及无效投标情形，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p>
      <w:pPr>
        <w:tabs>
          <w:tab w:val="left" w:pos="7665"/>
        </w:tabs>
        <w:spacing w:after="160" w:line="360" w:lineRule="auto"/>
        <w:ind w:firstLine="360" w:firstLineChars="150"/>
        <w:rPr>
          <w:rFonts w:ascii="仿宋" w:hAnsi="仿宋" w:eastAsia="仿宋" w:cs="仿宋"/>
          <w:b/>
          <w:color w:val="auto"/>
          <w:sz w:val="24"/>
          <w:highlight w:val="none"/>
        </w:rPr>
      </w:pPr>
      <w:r>
        <w:rPr>
          <w:rFonts w:hint="eastAsia" w:ascii="仿宋" w:hAnsi="仿宋" w:eastAsia="仿宋" w:cs="仿宋"/>
          <w:b/>
          <w:color w:val="auto"/>
          <w:sz w:val="24"/>
          <w:highlight w:val="none"/>
        </w:rPr>
        <w:t>符合性审查表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3"/>
        <w:gridCol w:w="1770"/>
        <w:gridCol w:w="1499"/>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4644" w:type="dxa"/>
            <w:vMerge w:val="restart"/>
            <w:vAlign w:val="center"/>
          </w:tcPr>
          <w:p>
            <w:pPr>
              <w:jc w:val="center"/>
              <w:rPr>
                <w:rFonts w:ascii="仿宋" w:hAnsi="仿宋" w:eastAsia="仿宋" w:cs="仿宋"/>
                <w:b/>
                <w:color w:val="auto"/>
                <w:highlight w:val="none"/>
              </w:rPr>
            </w:pPr>
            <w:r>
              <w:rPr>
                <w:rFonts w:hint="eastAsia" w:ascii="仿宋" w:hAnsi="仿宋" w:eastAsia="仿宋" w:cs="仿宋"/>
                <w:b/>
                <w:color w:val="auto"/>
                <w:kern w:val="0"/>
                <w:sz w:val="24"/>
                <w:highlight w:val="none"/>
              </w:rPr>
              <w:t>评审因素</w:t>
            </w:r>
          </w:p>
        </w:tc>
        <w:tc>
          <w:tcPr>
            <w:tcW w:w="5319" w:type="dxa"/>
            <w:gridSpan w:val="3"/>
            <w:vAlign w:val="center"/>
          </w:tcPr>
          <w:p>
            <w:pPr>
              <w:jc w:val="center"/>
              <w:rPr>
                <w:rFonts w:ascii="仿宋" w:hAnsi="仿宋" w:eastAsia="仿宋" w:cs="仿宋"/>
                <w:color w:val="auto"/>
                <w:highlight w:val="none"/>
              </w:rPr>
            </w:pPr>
            <w:r>
              <w:rPr>
                <w:rFonts w:hint="eastAsia" w:ascii="仿宋" w:hAnsi="仿宋" w:eastAsia="仿宋" w:cs="仿宋"/>
                <w:b/>
                <w:color w:val="auto"/>
                <w:sz w:val="24"/>
                <w:highlight w:val="none"/>
              </w:rPr>
              <w:t>投标人名称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4644" w:type="dxa"/>
            <w:vMerge w:val="continue"/>
            <w:vAlign w:val="center"/>
          </w:tcPr>
          <w:p>
            <w:pPr>
              <w:jc w:val="center"/>
              <w:rPr>
                <w:rFonts w:ascii="仿宋" w:hAnsi="仿宋" w:eastAsia="仿宋" w:cs="仿宋"/>
                <w:b/>
                <w:color w:val="auto"/>
                <w:kern w:val="0"/>
                <w:sz w:val="24"/>
                <w:highlight w:val="none"/>
              </w:rPr>
            </w:pPr>
          </w:p>
        </w:tc>
        <w:tc>
          <w:tcPr>
            <w:tcW w:w="1843" w:type="dxa"/>
          </w:tcPr>
          <w:p>
            <w:pPr>
              <w:rPr>
                <w:rFonts w:ascii="仿宋" w:hAnsi="仿宋" w:eastAsia="仿宋" w:cs="仿宋"/>
                <w:color w:val="auto"/>
                <w:highlight w:val="none"/>
              </w:rPr>
            </w:pPr>
          </w:p>
        </w:tc>
        <w:tc>
          <w:tcPr>
            <w:tcW w:w="1559" w:type="dxa"/>
            <w:vAlign w:val="center"/>
          </w:tcPr>
          <w:p>
            <w:pPr>
              <w:jc w:val="center"/>
              <w:rPr>
                <w:rFonts w:ascii="仿宋" w:hAnsi="仿宋" w:eastAsia="仿宋" w:cs="仿宋"/>
                <w:color w:val="auto"/>
                <w:highlight w:val="none"/>
              </w:rPr>
            </w:pPr>
          </w:p>
        </w:tc>
        <w:tc>
          <w:tcPr>
            <w:tcW w:w="1917" w:type="dxa"/>
            <w:vAlign w:val="center"/>
          </w:tcPr>
          <w:p>
            <w:pPr>
              <w:jc w:val="cente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4644" w:type="dxa"/>
            <w:vAlign w:val="center"/>
          </w:tcPr>
          <w:p>
            <w:pPr>
              <w:jc w:val="left"/>
              <w:rPr>
                <w:rFonts w:ascii="仿宋" w:hAnsi="仿宋" w:eastAsia="仿宋" w:cs="仿宋"/>
                <w:color w:val="auto"/>
                <w:szCs w:val="21"/>
                <w:highlight w:val="none"/>
              </w:rPr>
            </w:pPr>
            <w:r>
              <w:rPr>
                <w:rFonts w:hint="eastAsia" w:ascii="仿宋" w:hAnsi="仿宋" w:eastAsia="仿宋" w:cs="仿宋"/>
                <w:color w:val="auto"/>
                <w:kern w:val="0"/>
                <w:szCs w:val="21"/>
                <w:highlight w:val="none"/>
              </w:rPr>
              <w:t>投标文件的制作、签章、加密</w:t>
            </w:r>
          </w:p>
        </w:tc>
        <w:tc>
          <w:tcPr>
            <w:tcW w:w="1843" w:type="dxa"/>
          </w:tcPr>
          <w:p>
            <w:pPr>
              <w:rPr>
                <w:rFonts w:ascii="仿宋" w:hAnsi="仿宋" w:eastAsia="仿宋" w:cs="仿宋"/>
                <w:color w:val="auto"/>
                <w:highlight w:val="none"/>
              </w:rPr>
            </w:pPr>
          </w:p>
        </w:tc>
        <w:tc>
          <w:tcPr>
            <w:tcW w:w="1559" w:type="dxa"/>
          </w:tcPr>
          <w:p>
            <w:pPr>
              <w:rPr>
                <w:rFonts w:ascii="仿宋" w:hAnsi="仿宋" w:eastAsia="仿宋" w:cs="仿宋"/>
                <w:color w:val="auto"/>
                <w:highlight w:val="none"/>
              </w:rPr>
            </w:pPr>
          </w:p>
        </w:tc>
        <w:tc>
          <w:tcPr>
            <w:tcW w:w="1917" w:type="dxa"/>
          </w:tcPr>
          <w:p>
            <w:pP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4644" w:type="dxa"/>
            <w:vAlign w:val="center"/>
          </w:tcPr>
          <w:p>
            <w:pPr>
              <w:jc w:val="left"/>
              <w:rPr>
                <w:rFonts w:ascii="仿宋" w:hAnsi="仿宋" w:eastAsia="仿宋" w:cs="仿宋"/>
                <w:color w:val="auto"/>
                <w:szCs w:val="21"/>
                <w:highlight w:val="none"/>
              </w:rPr>
            </w:pPr>
            <w:r>
              <w:rPr>
                <w:rFonts w:hint="eastAsia" w:ascii="仿宋" w:hAnsi="仿宋" w:eastAsia="仿宋" w:cs="仿宋"/>
                <w:color w:val="auto"/>
                <w:kern w:val="0"/>
                <w:szCs w:val="21"/>
                <w:highlight w:val="none"/>
              </w:rPr>
              <w:t>投标有效期</w:t>
            </w:r>
          </w:p>
        </w:tc>
        <w:tc>
          <w:tcPr>
            <w:tcW w:w="1843" w:type="dxa"/>
          </w:tcPr>
          <w:p>
            <w:pPr>
              <w:rPr>
                <w:rFonts w:ascii="仿宋" w:hAnsi="仿宋" w:eastAsia="仿宋" w:cs="仿宋"/>
                <w:color w:val="auto"/>
                <w:highlight w:val="none"/>
              </w:rPr>
            </w:pPr>
          </w:p>
        </w:tc>
        <w:tc>
          <w:tcPr>
            <w:tcW w:w="1559" w:type="dxa"/>
          </w:tcPr>
          <w:p>
            <w:pPr>
              <w:rPr>
                <w:rFonts w:ascii="仿宋" w:hAnsi="仿宋" w:eastAsia="仿宋" w:cs="仿宋"/>
                <w:color w:val="auto"/>
                <w:highlight w:val="none"/>
              </w:rPr>
            </w:pPr>
          </w:p>
        </w:tc>
        <w:tc>
          <w:tcPr>
            <w:tcW w:w="1917" w:type="dxa"/>
          </w:tcPr>
          <w:p>
            <w:pP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4644" w:type="dxa"/>
            <w:vAlign w:val="center"/>
          </w:tcPr>
          <w:p>
            <w:pPr>
              <w:autoSpaceDE w:val="0"/>
              <w:autoSpaceDN w:val="0"/>
              <w:adjustRightInd w:val="0"/>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语言、计量单位、报价货币、知识产权等</w:t>
            </w:r>
          </w:p>
        </w:tc>
        <w:tc>
          <w:tcPr>
            <w:tcW w:w="1843" w:type="dxa"/>
          </w:tcPr>
          <w:p>
            <w:pPr>
              <w:rPr>
                <w:rFonts w:ascii="仿宋" w:hAnsi="仿宋" w:eastAsia="仿宋" w:cs="仿宋"/>
                <w:color w:val="auto"/>
                <w:highlight w:val="none"/>
              </w:rPr>
            </w:pPr>
          </w:p>
        </w:tc>
        <w:tc>
          <w:tcPr>
            <w:tcW w:w="1559" w:type="dxa"/>
          </w:tcPr>
          <w:p>
            <w:pPr>
              <w:rPr>
                <w:rFonts w:ascii="仿宋" w:hAnsi="仿宋" w:eastAsia="仿宋" w:cs="仿宋"/>
                <w:color w:val="auto"/>
                <w:highlight w:val="none"/>
              </w:rPr>
            </w:pPr>
          </w:p>
        </w:tc>
        <w:tc>
          <w:tcPr>
            <w:tcW w:w="1917" w:type="dxa"/>
          </w:tcPr>
          <w:p>
            <w:pP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4644" w:type="dxa"/>
            <w:vAlign w:val="center"/>
          </w:tcPr>
          <w:p>
            <w:pPr>
              <w:rPr>
                <w:rFonts w:ascii="仿宋" w:hAnsi="仿宋" w:eastAsia="仿宋" w:cs="仿宋"/>
                <w:color w:val="auto"/>
                <w:szCs w:val="21"/>
                <w:highlight w:val="none"/>
              </w:rPr>
            </w:pPr>
            <w:r>
              <w:rPr>
                <w:rFonts w:hint="eastAsia" w:ascii="仿宋" w:hAnsi="仿宋" w:eastAsia="仿宋" w:cs="仿宋"/>
                <w:color w:val="auto"/>
                <w:kern w:val="0"/>
                <w:szCs w:val="21"/>
                <w:highlight w:val="none"/>
              </w:rPr>
              <w:t>第</w:t>
            </w:r>
            <w:r>
              <w:rPr>
                <w:rFonts w:hint="eastAsia" w:ascii="仿宋" w:hAnsi="仿宋" w:eastAsia="仿宋" w:cs="仿宋"/>
                <w:color w:val="auto"/>
                <w:kern w:val="0"/>
                <w:szCs w:val="21"/>
                <w:highlight w:val="none"/>
                <w:lang w:val="en-US" w:eastAsia="zh-CN"/>
              </w:rPr>
              <w:t>7</w:t>
            </w:r>
            <w:r>
              <w:rPr>
                <w:rFonts w:hint="eastAsia" w:ascii="仿宋" w:hAnsi="仿宋" w:eastAsia="仿宋" w:cs="仿宋"/>
                <w:color w:val="auto"/>
                <w:kern w:val="0"/>
                <w:szCs w:val="21"/>
                <w:highlight w:val="none"/>
              </w:rPr>
              <w:t>章中★项要求</w:t>
            </w:r>
          </w:p>
        </w:tc>
        <w:tc>
          <w:tcPr>
            <w:tcW w:w="1843" w:type="dxa"/>
          </w:tcPr>
          <w:p>
            <w:pPr>
              <w:rPr>
                <w:rFonts w:ascii="仿宋" w:hAnsi="仿宋" w:eastAsia="仿宋" w:cs="仿宋"/>
                <w:color w:val="auto"/>
                <w:highlight w:val="none"/>
              </w:rPr>
            </w:pPr>
          </w:p>
        </w:tc>
        <w:tc>
          <w:tcPr>
            <w:tcW w:w="1559" w:type="dxa"/>
          </w:tcPr>
          <w:p>
            <w:pPr>
              <w:rPr>
                <w:rFonts w:ascii="仿宋" w:hAnsi="仿宋" w:eastAsia="仿宋" w:cs="仿宋"/>
                <w:color w:val="auto"/>
                <w:highlight w:val="none"/>
              </w:rPr>
            </w:pPr>
          </w:p>
        </w:tc>
        <w:tc>
          <w:tcPr>
            <w:tcW w:w="1917" w:type="dxa"/>
          </w:tcPr>
          <w:p>
            <w:pP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4644" w:type="dxa"/>
            <w:vAlign w:val="center"/>
          </w:tcPr>
          <w:p>
            <w:pPr>
              <w:autoSpaceDE w:val="0"/>
              <w:autoSpaceDN w:val="0"/>
              <w:adjustRightInd w:val="0"/>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投标报价符合招标文件规定的价格标底和其他报价规定</w:t>
            </w:r>
          </w:p>
        </w:tc>
        <w:tc>
          <w:tcPr>
            <w:tcW w:w="1843" w:type="dxa"/>
          </w:tcPr>
          <w:p>
            <w:pPr>
              <w:rPr>
                <w:rFonts w:ascii="仿宋" w:hAnsi="仿宋" w:eastAsia="仿宋" w:cs="仿宋"/>
                <w:color w:val="auto"/>
                <w:highlight w:val="none"/>
              </w:rPr>
            </w:pPr>
          </w:p>
        </w:tc>
        <w:tc>
          <w:tcPr>
            <w:tcW w:w="1559" w:type="dxa"/>
          </w:tcPr>
          <w:p>
            <w:pPr>
              <w:rPr>
                <w:rFonts w:ascii="仿宋" w:hAnsi="仿宋" w:eastAsia="仿宋" w:cs="仿宋"/>
                <w:color w:val="auto"/>
                <w:highlight w:val="none"/>
              </w:rPr>
            </w:pPr>
          </w:p>
        </w:tc>
        <w:tc>
          <w:tcPr>
            <w:tcW w:w="1917" w:type="dxa"/>
          </w:tcPr>
          <w:p>
            <w:pP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4644" w:type="dxa"/>
            <w:vAlign w:val="center"/>
          </w:tcPr>
          <w:p>
            <w:pPr>
              <w:autoSpaceDE w:val="0"/>
              <w:autoSpaceDN w:val="0"/>
              <w:adjustRightInd w:val="0"/>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不存在招标文件第2章、第3章规定的投标无效情形（资格审查表的内容除外）</w:t>
            </w:r>
          </w:p>
        </w:tc>
        <w:tc>
          <w:tcPr>
            <w:tcW w:w="1843" w:type="dxa"/>
          </w:tcPr>
          <w:p>
            <w:pPr>
              <w:rPr>
                <w:rFonts w:ascii="仿宋" w:hAnsi="仿宋" w:eastAsia="仿宋" w:cs="仿宋"/>
                <w:color w:val="auto"/>
                <w:highlight w:val="none"/>
              </w:rPr>
            </w:pPr>
          </w:p>
        </w:tc>
        <w:tc>
          <w:tcPr>
            <w:tcW w:w="1559" w:type="dxa"/>
          </w:tcPr>
          <w:p>
            <w:pPr>
              <w:rPr>
                <w:rFonts w:ascii="仿宋" w:hAnsi="仿宋" w:eastAsia="仿宋" w:cs="仿宋"/>
                <w:color w:val="auto"/>
                <w:highlight w:val="none"/>
              </w:rPr>
            </w:pPr>
          </w:p>
        </w:tc>
        <w:tc>
          <w:tcPr>
            <w:tcW w:w="1917" w:type="dxa"/>
          </w:tcPr>
          <w:p>
            <w:pP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4644" w:type="dxa"/>
            <w:vAlign w:val="center"/>
          </w:tcPr>
          <w:p>
            <w:pPr>
              <w:rPr>
                <w:rFonts w:ascii="仿宋" w:hAnsi="仿宋" w:eastAsia="仿宋" w:cs="仿宋"/>
                <w:color w:val="auto"/>
                <w:szCs w:val="21"/>
                <w:highlight w:val="none"/>
              </w:rPr>
            </w:pPr>
            <w:r>
              <w:rPr>
                <w:rFonts w:hint="eastAsia" w:ascii="仿宋" w:hAnsi="仿宋" w:eastAsia="仿宋" w:cs="仿宋"/>
                <w:color w:val="auto"/>
                <w:kern w:val="0"/>
                <w:szCs w:val="21"/>
                <w:highlight w:val="none"/>
              </w:rPr>
              <w:t>未含有采购人不能接受的附加条件的</w:t>
            </w:r>
          </w:p>
        </w:tc>
        <w:tc>
          <w:tcPr>
            <w:tcW w:w="1843" w:type="dxa"/>
          </w:tcPr>
          <w:p>
            <w:pPr>
              <w:rPr>
                <w:rFonts w:ascii="仿宋" w:hAnsi="仿宋" w:eastAsia="仿宋" w:cs="仿宋"/>
                <w:color w:val="auto"/>
                <w:highlight w:val="none"/>
              </w:rPr>
            </w:pPr>
          </w:p>
        </w:tc>
        <w:tc>
          <w:tcPr>
            <w:tcW w:w="1559" w:type="dxa"/>
          </w:tcPr>
          <w:p>
            <w:pPr>
              <w:rPr>
                <w:rFonts w:ascii="仿宋" w:hAnsi="仿宋" w:eastAsia="仿宋" w:cs="仿宋"/>
                <w:color w:val="auto"/>
                <w:highlight w:val="none"/>
              </w:rPr>
            </w:pPr>
          </w:p>
        </w:tc>
        <w:tc>
          <w:tcPr>
            <w:tcW w:w="1917" w:type="dxa"/>
          </w:tcPr>
          <w:p>
            <w:pPr>
              <w:rPr>
                <w:rFonts w:ascii="仿宋" w:hAnsi="仿宋" w:eastAsia="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4644" w:type="dxa"/>
            <w:vAlign w:val="center"/>
          </w:tcPr>
          <w:p>
            <w:pPr>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结论</w:t>
            </w:r>
          </w:p>
        </w:tc>
        <w:tc>
          <w:tcPr>
            <w:tcW w:w="1843" w:type="dxa"/>
          </w:tcPr>
          <w:p>
            <w:pPr>
              <w:rPr>
                <w:rFonts w:ascii="仿宋" w:hAnsi="仿宋" w:eastAsia="仿宋" w:cs="仿宋"/>
                <w:color w:val="auto"/>
                <w:highlight w:val="none"/>
              </w:rPr>
            </w:pPr>
          </w:p>
        </w:tc>
        <w:tc>
          <w:tcPr>
            <w:tcW w:w="1559" w:type="dxa"/>
          </w:tcPr>
          <w:p>
            <w:pPr>
              <w:rPr>
                <w:rFonts w:ascii="仿宋" w:hAnsi="仿宋" w:eastAsia="仿宋" w:cs="仿宋"/>
                <w:color w:val="auto"/>
                <w:highlight w:val="none"/>
              </w:rPr>
            </w:pPr>
          </w:p>
        </w:tc>
        <w:tc>
          <w:tcPr>
            <w:tcW w:w="1917" w:type="dxa"/>
          </w:tcPr>
          <w:p>
            <w:pPr>
              <w:rPr>
                <w:rFonts w:ascii="仿宋" w:hAnsi="仿宋" w:eastAsia="仿宋" w:cs="仿宋"/>
                <w:color w:val="auto"/>
                <w:highlight w:val="none"/>
              </w:rPr>
            </w:pPr>
          </w:p>
        </w:tc>
      </w:tr>
    </w:tbl>
    <w:p>
      <w:pPr>
        <w:tabs>
          <w:tab w:val="left" w:pos="7665"/>
        </w:tabs>
        <w:spacing w:after="160" w:line="360" w:lineRule="auto"/>
        <w:ind w:firstLine="315" w:firstLineChars="150"/>
        <w:rPr>
          <w:rFonts w:ascii="仿宋" w:hAnsi="仿宋" w:eastAsia="仿宋" w:cs="仿宋"/>
          <w:color w:val="auto"/>
          <w:szCs w:val="21"/>
          <w:highlight w:val="none"/>
        </w:rPr>
      </w:pPr>
      <w:r>
        <w:rPr>
          <w:rFonts w:hint="eastAsia" w:ascii="仿宋" w:hAnsi="仿宋" w:eastAsia="仿宋" w:cs="仿宋"/>
          <w:color w:val="auto"/>
          <w:szCs w:val="21"/>
          <w:highlight w:val="none"/>
        </w:rPr>
        <w:t>注：评标委员会根据投标人上传内容和招标文件要求进行评审，以上每一项结论均为“合格”的，则投标人通过符合性审查，如有任意一项结论为“不合格”的，则投标人不通过符合性审查，其投标文件按无效投标文件处理。如果认为投标人有任意一项不合格的，应载明不合格的具体原因。</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3.2.2投标文件出现其他不影响采购项目实质性要求的情形，不作为符合性审查事项，不得作为无效投标处理。</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3.2.3除政府采购法律制度规定的情形外，本项目投标人或者其投标文件有下列情形之一的，作为无效投标处理：</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（一）投标文件组成明显不符合招标文件的规定要求，影响评标委员会评判的；</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（二）投标文件未按招标文件第二章17.2要求盖电子印章的。</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3.3比较与评价。按招标文件中规定的评标方法和标准，对未作无效投标处理的投标文件进行技术、服务、商务等方面评估，综合比较与评价。</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3.4复核。评分汇总结束后，评标委员会应当进行复核，特别要对拟推荐为中标候选供应商的、报价最低的、投标文件被认定为无效的进行重点复核。</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3.6出具评标报告。评标委员会推荐中标候选供应商后，应当向招标采购单位出具评标报告。评标报告应当包括下列内容：</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（一）招标公告刊登的媒体名称、开标日期和地点；</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（二）获取招标文件的投标人名单和评标委员会成员名单；</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（三）评标方法和标准；</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（四）开标记录和评标情况及说明，包括无效投标人名单及原因；</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（五）评标结果和中标候选供应商排序表；</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（六）评标委员会授标建议；</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（七）报价最高的投标人为中标候选人的，评标委员会应当对其报价的合理性予以特别说明。</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3.8供应商应当书面澄清、说明或者更正。</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3.8.2</w:t>
      </w:r>
      <w:r>
        <w:rPr>
          <w:rFonts w:hint="eastAsia" w:ascii="仿宋" w:hAnsi="仿宋" w:eastAsia="仿宋" w:cs="仿宋"/>
          <w:color w:val="auto"/>
          <w:sz w:val="24"/>
          <w:highlight w:val="none"/>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cs="仿宋"/>
          <w:color w:val="auto"/>
          <w:sz w:val="24"/>
          <w:highlight w:val="none"/>
        </w:rPr>
        <w:t>澄清、说明或者更正不影响投标文件的效力，有效的澄清、说明或者更正材料，是投标文件的组成部分。</w:t>
      </w:r>
      <w:r>
        <w:rPr>
          <w:rFonts w:hint="eastAsia" w:ascii="仿宋" w:hAnsi="仿宋" w:eastAsia="仿宋" w:cs="仿宋"/>
          <w:color w:val="auto"/>
          <w:sz w:val="24"/>
          <w:highlight w:val="none"/>
          <w:lang w:val="zh-CN"/>
        </w:rPr>
        <w:t>如因系统故障（</w:t>
      </w:r>
      <w:r>
        <w:rPr>
          <w:rFonts w:hint="eastAsia" w:ascii="仿宋" w:hAnsi="仿宋" w:eastAsia="仿宋" w:cs="仿宋"/>
          <w:color w:val="auto"/>
          <w:sz w:val="24"/>
          <w:highlight w:val="none"/>
        </w:rPr>
        <w:t>包括组织场所停电、断网等）</w:t>
      </w:r>
      <w:r>
        <w:rPr>
          <w:rFonts w:hint="eastAsia" w:ascii="仿宋" w:hAnsi="仿宋" w:eastAsia="仿宋" w:cs="仿宋"/>
          <w:color w:val="auto"/>
          <w:sz w:val="24"/>
          <w:highlight w:val="none"/>
          <w:lang w:val="zh-CN"/>
        </w:rPr>
        <w:t>导致系统无法使用的，由投标人按评标委员会的要求进行澄清或者说明。</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3.8.3评标委员会要求供应商澄清、说明或者更正，不得超出招标文件的范围，不得以此让供应商实质改变投标文件的内容，不得影响供应商公平竞争。本项目下列内容不得澄清：</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（一）按财政部规定应当在评标时不予承认的投标文件内容事项；</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（二）投标文件中已经明确的内容事项；</w:t>
      </w:r>
    </w:p>
    <w:p>
      <w:pPr>
        <w:tabs>
          <w:tab w:val="left" w:pos="7665"/>
        </w:tabs>
        <w:spacing w:after="160" w:line="360" w:lineRule="auto"/>
        <w:ind w:firstLine="360" w:firstLineChars="150"/>
        <w:rPr>
          <w:rFonts w:ascii="仿宋" w:hAnsi="仿宋" w:eastAsia="仿宋" w:cs="仿宋"/>
          <w:color w:val="auto"/>
          <w:sz w:val="24"/>
          <w:highlight w:val="none"/>
        </w:rPr>
      </w:pPr>
      <w:r>
        <w:rPr>
          <w:rFonts w:ascii="仿宋" w:hAnsi="仿宋" w:eastAsia="仿宋" w:cs="仿宋"/>
          <w:color w:val="auto"/>
          <w:sz w:val="24"/>
          <w:highlight w:val="none"/>
        </w:rPr>
        <w:t xml:space="preserve">3.8.4 </w:t>
      </w:r>
      <w:r>
        <w:rPr>
          <w:rFonts w:hint="eastAsia" w:ascii="仿宋" w:hAnsi="仿宋" w:eastAsia="仿宋" w:cs="仿宋"/>
          <w:color w:val="auto"/>
          <w:sz w:val="24"/>
          <w:highlight w:val="none"/>
        </w:rPr>
        <w:t>本项目采购过程中，投标文件报价出现前后不一致的，按照下列规定修正：</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（一）投标文件中开标一览表（报价表）内容与投标文件中相应内容不一致的，以开标一览表（报价表）为准；</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（二）大写金额和小写金额不一致的，以大写金额为准；</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（三）单价金额小数点或者百分比有明显错位的，以开标一览表的总价为准，并修改单价；</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（四）总价金额与按单价汇总金额不一致的，以单价金额计算结果为准。</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同时出现两种以上不一致的，按照前款规定的顺序修正。修正后的报价按照本章3.8.1-3.8.3的规定经投标人确认后产生约束力，投标人不确认的，其投标无效。</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注：评标委员会当积极履行澄清、说明或者更正的职责，不得滥用权力。供应商的投标文件应当要求澄清、说明或者更正的，不得未经澄清、说明或者更正而直接作无效投标处理。</w:t>
      </w:r>
    </w:p>
    <w:p>
      <w:pPr>
        <w:tabs>
          <w:tab w:val="left" w:pos="7665"/>
        </w:tabs>
        <w:spacing w:after="160" w:line="360" w:lineRule="auto"/>
        <w:ind w:firstLine="360" w:firstLineChars="150"/>
        <w:rPr>
          <w:rFonts w:ascii="仿宋" w:hAnsi="仿宋" w:eastAsia="仿宋" w:cs="仿宋"/>
          <w:color w:val="auto"/>
          <w:sz w:val="24"/>
          <w:highlight w:val="none"/>
        </w:rPr>
      </w:pPr>
      <w:r>
        <w:rPr>
          <w:rFonts w:ascii="仿宋" w:hAnsi="仿宋" w:eastAsia="仿宋" w:cs="仿宋"/>
          <w:color w:val="auto"/>
          <w:sz w:val="24"/>
          <w:highlight w:val="none"/>
        </w:rPr>
        <w:t xml:space="preserve">3.9 </w:t>
      </w:r>
      <w:r>
        <w:rPr>
          <w:rFonts w:hint="eastAsia" w:ascii="仿宋" w:hAnsi="仿宋" w:eastAsia="仿宋" w:cs="仿宋"/>
          <w:color w:val="auto"/>
          <w:sz w:val="24"/>
          <w:highlight w:val="none"/>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tabs>
          <w:tab w:val="left" w:pos="7665"/>
        </w:tabs>
        <w:spacing w:after="160" w:line="360" w:lineRule="auto"/>
        <w:ind w:firstLine="360" w:firstLineChars="150"/>
        <w:rPr>
          <w:rFonts w:ascii="仿宋" w:hAnsi="仿宋" w:eastAsia="仿宋" w:cs="仿宋"/>
          <w:color w:val="auto"/>
          <w:sz w:val="24"/>
          <w:highlight w:val="none"/>
          <w:lang w:val="zh-CN"/>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cs="仿宋"/>
          <w:color w:val="auto"/>
          <w:sz w:val="24"/>
          <w:highlight w:val="none"/>
        </w:rPr>
        <w:t>30分钟，供应商已明确表示澄清、说明完毕的除外</w:t>
      </w:r>
      <w:r>
        <w:rPr>
          <w:rFonts w:hint="eastAsia" w:ascii="仿宋" w:hAnsi="仿宋" w:eastAsia="仿宋" w:cs="仿宋"/>
          <w:color w:val="auto"/>
          <w:sz w:val="24"/>
          <w:highlight w:val="none"/>
          <w:lang w:val="zh-CN"/>
        </w:rPr>
        <w:t>）。如因系统故障（</w:t>
      </w:r>
      <w:r>
        <w:rPr>
          <w:rFonts w:hint="eastAsia" w:ascii="仿宋" w:hAnsi="仿宋" w:eastAsia="仿宋" w:cs="仿宋"/>
          <w:color w:val="auto"/>
          <w:sz w:val="24"/>
          <w:highlight w:val="none"/>
        </w:rPr>
        <w:t>包括组织场所停电、断网等）</w:t>
      </w:r>
      <w:r>
        <w:rPr>
          <w:rFonts w:hint="eastAsia" w:ascii="仿宋" w:hAnsi="仿宋" w:eastAsia="仿宋" w:cs="仿宋"/>
          <w:color w:val="auto"/>
          <w:sz w:val="24"/>
          <w:highlight w:val="none"/>
          <w:lang w:val="zh-CN"/>
        </w:rPr>
        <w:t>导致系统无法使用的，由投标人按评标委员会的要求进行澄清或者说明。</w:t>
      </w:r>
    </w:p>
    <w:p>
      <w:pPr>
        <w:tabs>
          <w:tab w:val="left" w:pos="7665"/>
        </w:tabs>
        <w:spacing w:after="160" w:line="360" w:lineRule="auto"/>
        <w:ind w:firstLine="360" w:firstLineChars="150"/>
        <w:rPr>
          <w:rFonts w:ascii="仿宋" w:hAnsi="仿宋" w:eastAsia="仿宋" w:cs="仿宋"/>
          <w:color w:val="auto"/>
          <w:sz w:val="24"/>
          <w:highlight w:val="none"/>
        </w:rPr>
      </w:pPr>
      <w:r>
        <w:rPr>
          <w:rFonts w:ascii="仿宋" w:hAnsi="仿宋" w:eastAsia="仿宋" w:cs="仿宋"/>
          <w:color w:val="auto"/>
          <w:sz w:val="24"/>
          <w:highlight w:val="none"/>
        </w:rPr>
        <w:t>3.10招标采购单位现场复核评标结果。</w:t>
      </w:r>
    </w:p>
    <w:p>
      <w:pPr>
        <w:tabs>
          <w:tab w:val="left" w:pos="7665"/>
        </w:tabs>
        <w:spacing w:after="160" w:line="360" w:lineRule="auto"/>
        <w:ind w:firstLine="360" w:firstLineChars="150"/>
        <w:rPr>
          <w:rFonts w:ascii="仿宋" w:hAnsi="仿宋" w:eastAsia="仿宋" w:cs="仿宋"/>
          <w:color w:val="auto"/>
          <w:sz w:val="24"/>
          <w:highlight w:val="none"/>
        </w:rPr>
      </w:pPr>
      <w:r>
        <w:rPr>
          <w:rFonts w:ascii="仿宋" w:hAnsi="仿宋" w:eastAsia="仿宋" w:cs="仿宋"/>
          <w:color w:val="auto"/>
          <w:sz w:val="24"/>
          <w:highlight w:val="none"/>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（一）分值汇总计算错误的；</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（二）分项评分超出评分标准范围的；</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（三）客观评分不一致的；</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（四）经评标委员会认定评分畸高畸低的。</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tabs>
          <w:tab w:val="left" w:pos="7665"/>
        </w:tabs>
        <w:spacing w:after="160" w:line="360" w:lineRule="auto"/>
        <w:ind w:firstLine="360" w:firstLineChars="150"/>
        <w:rPr>
          <w:rFonts w:ascii="仿宋" w:hAnsi="仿宋" w:eastAsia="仿宋" w:cs="仿宋"/>
          <w:color w:val="auto"/>
          <w:sz w:val="24"/>
          <w:highlight w:val="none"/>
        </w:rPr>
      </w:pPr>
      <w:r>
        <w:rPr>
          <w:rFonts w:ascii="仿宋" w:hAnsi="仿宋" w:eastAsia="仿宋" w:cs="仿宋"/>
          <w:color w:val="auto"/>
          <w:sz w:val="24"/>
          <w:highlight w:val="none"/>
        </w:rPr>
        <w:t>3.10.2有下列情形之一的，不得修改评标结果或者重新评审：</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（一）招标采购单位现场复核时，复核工作人员数量不足的；</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（二）招标采购单位现场复核时，没有采购监督人员现场监督的；</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（三）招标采购单位现场复核内容超出规定范围的；</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（四）招标采购单位未提供书面建议的。</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xml:space="preserve">3.10.3出现下列情形之一的，应当中止电子化采购活动，并保留相关证明材料备查： </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（一）系统发生故障（包括感染病毒、应用或数据库出错）而无法正常使用的；</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（二）因组织场所停电、断网等原因，导致采购活动无法继续通过交易系统实施的；</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（三）其他无法保证电子化交易的公平、公正和安全的情况。</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出现前款规定的情形，不影响采购公平、公正的，待上述情形消除后继续组织采购活动；影响或者可能影响采购公平、公正的，应当依法废标或者终止采购活动。</w:t>
      </w:r>
    </w:p>
    <w:p>
      <w:pPr>
        <w:tabs>
          <w:tab w:val="left" w:pos="7665"/>
        </w:tabs>
        <w:spacing w:after="160" w:line="360" w:lineRule="auto"/>
        <w:ind w:firstLine="360" w:firstLineChars="150"/>
        <w:rPr>
          <w:rFonts w:ascii="仿宋" w:hAnsi="仿宋" w:eastAsia="仿宋" w:cs="仿宋"/>
          <w:color w:val="auto"/>
          <w:sz w:val="24"/>
          <w:highlight w:val="none"/>
        </w:rPr>
      </w:pPr>
      <w:r>
        <w:rPr>
          <w:rFonts w:ascii="仿宋" w:hAnsi="仿宋" w:eastAsia="仿宋" w:cs="仿宋"/>
          <w:color w:val="auto"/>
          <w:sz w:val="24"/>
          <w:highlight w:val="none"/>
        </w:rPr>
        <w:t xml:space="preserve">4. </w:t>
      </w:r>
      <w:r>
        <w:rPr>
          <w:rFonts w:hint="eastAsia" w:ascii="仿宋" w:hAnsi="仿宋" w:eastAsia="仿宋" w:cs="仿宋"/>
          <w:color w:val="auto"/>
          <w:sz w:val="24"/>
          <w:highlight w:val="none"/>
        </w:rPr>
        <w:t>评标细则及标准</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4.1本项目采用综合评分法，评分因素详见综合评分明细表。</w:t>
      </w:r>
    </w:p>
    <w:p>
      <w:pPr>
        <w:tabs>
          <w:tab w:val="left" w:pos="7665"/>
        </w:tabs>
        <w:spacing w:after="160" w:line="360" w:lineRule="auto"/>
        <w:ind w:firstLine="360" w:firstLineChars="150"/>
        <w:rPr>
          <w:rFonts w:ascii="仿宋" w:hAnsi="仿宋" w:eastAsia="仿宋" w:cs="仿宋"/>
          <w:color w:val="auto"/>
          <w:sz w:val="24"/>
          <w:highlight w:val="none"/>
        </w:rPr>
      </w:pPr>
      <w:r>
        <w:rPr>
          <w:rFonts w:ascii="仿宋" w:hAnsi="仿宋" w:eastAsia="仿宋" w:cs="仿宋"/>
          <w:color w:val="auto"/>
          <w:sz w:val="24"/>
          <w:highlight w:val="none"/>
        </w:rPr>
        <w:t xml:space="preserve">4.2 </w:t>
      </w:r>
      <w:r>
        <w:rPr>
          <w:rFonts w:hint="eastAsia" w:ascii="仿宋" w:hAnsi="仿宋" w:eastAsia="仿宋" w:cs="仿宋"/>
          <w:color w:val="auto"/>
          <w:sz w:val="24"/>
          <w:highlight w:val="none"/>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4.3综合评分明细表</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4.3.1综合评分明细表的制定以科学合理、降低评委会自由裁量权为原则。</w:t>
      </w:r>
    </w:p>
    <w:p>
      <w:pPr>
        <w:tabs>
          <w:tab w:val="left" w:pos="7665"/>
        </w:tabs>
        <w:spacing w:after="160" w:line="360" w:lineRule="auto"/>
        <w:ind w:firstLine="360" w:firstLineChars="150"/>
        <w:rPr>
          <w:rFonts w:ascii="仿宋" w:hAnsi="仿宋" w:eastAsia="仿宋" w:cs="仿宋"/>
          <w:color w:val="auto"/>
          <w:sz w:val="24"/>
          <w:highlight w:val="none"/>
        </w:rPr>
      </w:pPr>
      <w:r>
        <w:rPr>
          <w:rFonts w:ascii="仿宋" w:hAnsi="仿宋" w:eastAsia="仿宋" w:cs="仿宋"/>
          <w:color w:val="auto"/>
          <w:sz w:val="24"/>
          <w:highlight w:val="none"/>
        </w:rPr>
        <w:t xml:space="preserve">4.3.2 </w:t>
      </w:r>
      <w:r>
        <w:rPr>
          <w:rFonts w:hint="eastAsia" w:ascii="仿宋" w:hAnsi="仿宋" w:eastAsia="仿宋" w:cs="仿宋"/>
          <w:color w:val="auto"/>
          <w:sz w:val="24"/>
          <w:highlight w:val="none"/>
        </w:rPr>
        <w:t>综合评分明细表按须知表中的相关要求进行价格调整，再参与价格分评审。</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4.3.3综合评分明细表</w:t>
      </w:r>
    </w:p>
    <w:p>
      <w:pPr>
        <w:pStyle w:val="9"/>
        <w:rPr>
          <w:rFonts w:eastAsia="仿宋"/>
          <w:color w:val="auto"/>
          <w:highlight w:val="none"/>
        </w:rPr>
      </w:pPr>
      <w:r>
        <w:rPr>
          <w:rFonts w:hint="eastAsia" w:ascii="仿宋" w:hAnsi="仿宋" w:eastAsia="仿宋" w:cs="仿宋"/>
          <w:color w:val="auto"/>
          <w:sz w:val="24"/>
          <w:highlight w:val="none"/>
        </w:rPr>
        <w:t>包件一：</w:t>
      </w:r>
    </w:p>
    <w:tbl>
      <w:tblPr>
        <w:tblStyle w:val="18"/>
        <w:tblW w:w="51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038"/>
        <w:gridCol w:w="815"/>
        <w:gridCol w:w="6539"/>
        <w:gridCol w:w="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shd w:val="clear" w:color="auto" w:fill="auto"/>
            <w:vAlign w:val="center"/>
          </w:tcPr>
          <w:p>
            <w:pPr>
              <w:widowControl/>
              <w:snapToGrid w:val="0"/>
              <w:spacing w:line="27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序号</w:t>
            </w:r>
          </w:p>
        </w:tc>
        <w:tc>
          <w:tcPr>
            <w:tcW w:w="525" w:type="pct"/>
            <w:shd w:val="clear" w:color="auto" w:fill="auto"/>
            <w:vAlign w:val="center"/>
          </w:tcPr>
          <w:p>
            <w:pPr>
              <w:widowControl/>
              <w:snapToGrid w:val="0"/>
              <w:spacing w:line="27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评分因素及权重</w:t>
            </w:r>
          </w:p>
        </w:tc>
        <w:tc>
          <w:tcPr>
            <w:tcW w:w="412" w:type="pct"/>
            <w:shd w:val="clear" w:color="auto" w:fill="auto"/>
            <w:vAlign w:val="center"/>
          </w:tcPr>
          <w:p>
            <w:pPr>
              <w:widowControl/>
              <w:snapToGrid w:val="0"/>
              <w:spacing w:line="27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分值</w:t>
            </w:r>
          </w:p>
        </w:tc>
        <w:tc>
          <w:tcPr>
            <w:tcW w:w="3307" w:type="pct"/>
            <w:shd w:val="clear" w:color="auto" w:fill="auto"/>
            <w:vAlign w:val="center"/>
          </w:tcPr>
          <w:p>
            <w:pPr>
              <w:widowControl/>
              <w:snapToGrid w:val="0"/>
              <w:spacing w:line="27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评分标准</w:t>
            </w:r>
          </w:p>
        </w:tc>
        <w:tc>
          <w:tcPr>
            <w:tcW w:w="458" w:type="pct"/>
            <w:shd w:val="clear" w:color="auto" w:fill="auto"/>
            <w:vAlign w:val="center"/>
          </w:tcPr>
          <w:p>
            <w:pPr>
              <w:widowControl/>
              <w:snapToGrid w:val="0"/>
              <w:spacing w:line="276" w:lineRule="auto"/>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说  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9" w:hRule="atLeast"/>
          <w:jc w:val="center"/>
        </w:trPr>
        <w:tc>
          <w:tcPr>
            <w:tcW w:w="296"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w:t>
            </w:r>
          </w:p>
        </w:tc>
        <w:tc>
          <w:tcPr>
            <w:tcW w:w="525"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投标报价</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30%</w:t>
            </w:r>
          </w:p>
        </w:tc>
        <w:tc>
          <w:tcPr>
            <w:tcW w:w="412"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30分</w:t>
            </w:r>
          </w:p>
        </w:tc>
        <w:tc>
          <w:tcPr>
            <w:tcW w:w="3307" w:type="pct"/>
            <w:shd w:val="clear" w:color="auto" w:fill="auto"/>
            <w:vAlign w:val="center"/>
          </w:tcPr>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满足招标文件要求且投标价格最低的投标报价为评标基准价，其价格分为满分。其他投标人的价格分统一按照下列公式计算：投标报价得分=(评标基准价／投标报价)×</w:t>
            </w:r>
            <w:r>
              <w:rPr>
                <w:rFonts w:hint="eastAsia" w:ascii="仿宋" w:hAnsi="仿宋" w:eastAsia="仿宋" w:cs="仿宋"/>
                <w:color w:val="auto"/>
                <w:kern w:val="0"/>
                <w:szCs w:val="21"/>
                <w:highlight w:val="none"/>
                <w:u w:val="single"/>
              </w:rPr>
              <w:t>30</w:t>
            </w:r>
            <w:r>
              <w:rPr>
                <w:rFonts w:hint="eastAsia" w:ascii="仿宋" w:hAnsi="仿宋" w:eastAsia="仿宋" w:cs="仿宋"/>
                <w:color w:val="auto"/>
                <w:kern w:val="0"/>
                <w:szCs w:val="21"/>
                <w:highlight w:val="none"/>
              </w:rPr>
              <w:t>%×100；</w:t>
            </w:r>
          </w:p>
          <w:p>
            <w:pPr>
              <w:widowControl/>
              <w:snapToGrid w:val="0"/>
              <w:spacing w:line="276" w:lineRule="auto"/>
              <w:jc w:val="left"/>
              <w:rPr>
                <w:rFonts w:hint="eastAsia"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注：1.小微企业（残疾人福利性单位、监狱企业视同小微企业）的报价给予10%的价格扣除。</w:t>
            </w:r>
          </w:p>
          <w:p>
            <w:pPr>
              <w:widowControl/>
              <w:snapToGrid w:val="0"/>
              <w:spacing w:line="276" w:lineRule="auto"/>
              <w:jc w:val="left"/>
              <w:rPr>
                <w:rFonts w:hint="eastAsia"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2.监狱企业应当提供由省级以上监狱管理局、戒毒管理局（含新疆生产建设兵团）出具的属于监狱企业的证明文件（复印件）。</w:t>
            </w:r>
          </w:p>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spacing w:val="2"/>
                <w:w w:val="99"/>
                <w:szCs w:val="21"/>
                <w:highlight w:val="none"/>
              </w:rPr>
              <w:t>3.残疾人福利性单位应当提供《残疾人福利性单位声明函》。</w:t>
            </w:r>
          </w:p>
        </w:tc>
        <w:tc>
          <w:tcPr>
            <w:tcW w:w="458"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1" w:hRule="atLeast"/>
          <w:jc w:val="center"/>
        </w:trPr>
        <w:tc>
          <w:tcPr>
            <w:tcW w:w="296"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w:t>
            </w:r>
          </w:p>
        </w:tc>
        <w:tc>
          <w:tcPr>
            <w:tcW w:w="525"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技术指标及配置20%</w:t>
            </w:r>
          </w:p>
        </w:tc>
        <w:tc>
          <w:tcPr>
            <w:tcW w:w="412"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20分</w:t>
            </w:r>
          </w:p>
        </w:tc>
        <w:tc>
          <w:tcPr>
            <w:tcW w:w="3307" w:type="pct"/>
            <w:shd w:val="clear" w:color="auto" w:fill="auto"/>
            <w:vAlign w:val="center"/>
          </w:tcPr>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完全响应“招标采购清单采购内容中技术规格、参数、服务及要求”的得</w:t>
            </w:r>
            <w:r>
              <w:rPr>
                <w:rFonts w:hint="eastAsia" w:ascii="仿宋" w:hAnsi="仿宋" w:eastAsia="仿宋" w:cs="仿宋"/>
                <w:color w:val="auto"/>
                <w:kern w:val="0"/>
                <w:szCs w:val="21"/>
                <w:highlight w:val="none"/>
                <w:u w:val="single"/>
              </w:rPr>
              <w:t>20分</w:t>
            </w:r>
            <w:r>
              <w:rPr>
                <w:rFonts w:hint="eastAsia" w:ascii="仿宋" w:hAnsi="仿宋" w:eastAsia="仿宋" w:cs="仿宋"/>
                <w:color w:val="auto"/>
                <w:kern w:val="0"/>
                <w:szCs w:val="21"/>
                <w:highlight w:val="none"/>
              </w:rPr>
              <w:t>。每有一项重要指标（带“▲”号的参数，共计18项）有负偏离的，扣0.825分，最多扣</w:t>
            </w:r>
            <w:r>
              <w:rPr>
                <w:rFonts w:hint="eastAsia" w:ascii="仿宋" w:hAnsi="仿宋" w:eastAsia="仿宋" w:cs="仿宋"/>
                <w:color w:val="auto"/>
                <w:kern w:val="0"/>
                <w:szCs w:val="21"/>
                <w:highlight w:val="none"/>
                <w:u w:val="single"/>
              </w:rPr>
              <w:t>14.85</w:t>
            </w:r>
            <w:r>
              <w:rPr>
                <w:rFonts w:hint="eastAsia" w:ascii="仿宋" w:hAnsi="仿宋" w:eastAsia="仿宋" w:cs="仿宋"/>
                <w:color w:val="auto"/>
                <w:kern w:val="0"/>
                <w:szCs w:val="21"/>
                <w:highlight w:val="none"/>
              </w:rPr>
              <w:t>分；每有一项一般指标（无符号的参数，共计206项）有负偏离的，扣</w:t>
            </w:r>
            <w:r>
              <w:rPr>
                <w:rFonts w:hint="eastAsia" w:ascii="仿宋" w:hAnsi="仿宋" w:eastAsia="仿宋" w:cs="仿宋"/>
                <w:color w:val="auto"/>
                <w:kern w:val="0"/>
                <w:szCs w:val="21"/>
                <w:highlight w:val="none"/>
                <w:u w:val="single"/>
              </w:rPr>
              <w:t>0.025</w:t>
            </w:r>
            <w:r>
              <w:rPr>
                <w:rFonts w:hint="eastAsia" w:ascii="仿宋" w:hAnsi="仿宋" w:eastAsia="仿宋" w:cs="仿宋"/>
                <w:color w:val="auto"/>
                <w:kern w:val="0"/>
                <w:szCs w:val="21"/>
                <w:highlight w:val="none"/>
              </w:rPr>
              <w:t>分，最多扣</w:t>
            </w:r>
            <w:r>
              <w:rPr>
                <w:rFonts w:hint="eastAsia" w:ascii="仿宋" w:hAnsi="仿宋" w:eastAsia="仿宋" w:cs="仿宋"/>
                <w:color w:val="auto"/>
                <w:kern w:val="0"/>
                <w:szCs w:val="21"/>
                <w:highlight w:val="none"/>
                <w:u w:val="single"/>
              </w:rPr>
              <w:t>5.15</w:t>
            </w:r>
            <w:r>
              <w:rPr>
                <w:rFonts w:hint="eastAsia" w:ascii="仿宋" w:hAnsi="仿宋" w:eastAsia="仿宋" w:cs="仿宋"/>
                <w:color w:val="auto"/>
                <w:kern w:val="0"/>
                <w:szCs w:val="21"/>
                <w:highlight w:val="none"/>
              </w:rPr>
              <w:t>分。</w:t>
            </w:r>
          </w:p>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b/>
                <w:bCs/>
                <w:color w:val="auto"/>
                <w:kern w:val="0"/>
                <w:szCs w:val="21"/>
                <w:highlight w:val="none"/>
              </w:rPr>
              <w:t>注：针对投标产品的“▲”号条款技术参数，要求提供证明材料的投标人应按要求提供对应证明材料提供技术支持资料；如果投标产品中的某条“▲”号条款技术参数没有按照以上要求提供技术支持资料的，该条技术参数在评审中将不予认定。“★”标记的参数除外。</w:t>
            </w:r>
          </w:p>
        </w:tc>
        <w:tc>
          <w:tcPr>
            <w:tcW w:w="458"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4" w:hRule="atLeast"/>
          <w:jc w:val="center"/>
        </w:trPr>
        <w:tc>
          <w:tcPr>
            <w:tcW w:w="296"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w:t>
            </w:r>
          </w:p>
        </w:tc>
        <w:tc>
          <w:tcPr>
            <w:tcW w:w="525"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技术方案5%</w:t>
            </w:r>
          </w:p>
        </w:tc>
        <w:tc>
          <w:tcPr>
            <w:tcW w:w="412"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5分</w:t>
            </w:r>
          </w:p>
        </w:tc>
        <w:tc>
          <w:tcPr>
            <w:tcW w:w="3307" w:type="pct"/>
            <w:shd w:val="clear" w:color="auto" w:fill="auto"/>
            <w:vAlign w:val="center"/>
          </w:tcPr>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根据投标人针对本项目制定的技术方案进行评审，方案包含（①用户现状分析、②机房建设方案、③安全建设方案、④售后服务方案、⑤应急响应方案），方案内容均符合实际情况、内容完善详细、描述准确、完全响应采购要求的得5分；每有一处存在内容错误的扣0.5分，每缺少一项内容的扣1分，扣完为止。</w:t>
            </w:r>
          </w:p>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b/>
                <w:bCs/>
                <w:color w:val="auto"/>
                <w:kern w:val="0"/>
                <w:szCs w:val="21"/>
                <w:highlight w:val="none"/>
              </w:rPr>
              <w:t>注：①内容错误系指以下情形中的任意一项：项目名称、实施地点、涉及的规范、标准与本项目要求不一致；内容与项目要求不匹配；内容无法满足项目要求；方案内容不清晰或交叉混乱；内容无法实现目的或与实际情况不符等任意一种情形。②以评审专家结合项目实际情况和投标文件响应综合评定为准。</w:t>
            </w:r>
          </w:p>
        </w:tc>
        <w:tc>
          <w:tcPr>
            <w:tcW w:w="458"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w:t>
            </w:r>
          </w:p>
        </w:tc>
        <w:tc>
          <w:tcPr>
            <w:tcW w:w="525"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供应商能力</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14%</w:t>
            </w:r>
          </w:p>
        </w:tc>
        <w:tc>
          <w:tcPr>
            <w:tcW w:w="412"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14分</w:t>
            </w:r>
          </w:p>
        </w:tc>
        <w:tc>
          <w:tcPr>
            <w:tcW w:w="3307" w:type="pct"/>
            <w:shd w:val="clear" w:color="auto" w:fill="auto"/>
            <w:vAlign w:val="center"/>
          </w:tcPr>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1.投标人具备有效的环境管理体系认证证书、职业健康安全管理体系认证证书，每具备一个得1分，最多得2分，不具备不得分；</w:t>
            </w:r>
          </w:p>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 投标人具备有效的质量管理体系认证证书（工程建设施工企业质量管理体系认证范围）得2分，不具备不得分；</w:t>
            </w:r>
          </w:p>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3. 投标人具有有效的信息技术服务管理体系认证证书得2分，不具备不得分；</w:t>
            </w:r>
          </w:p>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4. 投标人具有有效的信息安全管理体系认证证书得2分，不具备不得分；</w:t>
            </w:r>
          </w:p>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5. 投标人具备由中国电子工业标准化技术协会颁发的ITSS 信息技术服务标准符合性证书，得2分，不具备不得分；</w:t>
            </w:r>
          </w:p>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6.投标人具备由中国网络安全审查技术与认证中心颁发的CCRC信息安全服务资质认证证书，得2分，不具备不得分；</w:t>
            </w:r>
          </w:p>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7.投标人具有有效的安全生产许可证得2分，不具备不得分；</w:t>
            </w:r>
          </w:p>
          <w:p>
            <w:pPr>
              <w:widowControl/>
              <w:snapToGrid w:val="0"/>
              <w:spacing w:line="276" w:lineRule="auto"/>
              <w:jc w:val="left"/>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注：以上证书需提供复印件并加盖投标人鲜章。</w:t>
            </w:r>
          </w:p>
        </w:tc>
        <w:tc>
          <w:tcPr>
            <w:tcW w:w="458"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3" w:hRule="atLeast"/>
          <w:jc w:val="center"/>
        </w:trPr>
        <w:tc>
          <w:tcPr>
            <w:tcW w:w="296"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w:t>
            </w:r>
          </w:p>
        </w:tc>
        <w:tc>
          <w:tcPr>
            <w:tcW w:w="525"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实施团队能力</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14%</w:t>
            </w:r>
          </w:p>
        </w:tc>
        <w:tc>
          <w:tcPr>
            <w:tcW w:w="412"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14分</w:t>
            </w:r>
          </w:p>
        </w:tc>
        <w:tc>
          <w:tcPr>
            <w:tcW w:w="3307" w:type="pct"/>
            <w:shd w:val="clear" w:color="auto" w:fill="auto"/>
            <w:vAlign w:val="center"/>
          </w:tcPr>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1.供应商拟派本项目经理（1人）：</w:t>
            </w:r>
          </w:p>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①具有中华人民共和国人力资源和社会保障部、中华人民共和国工业和信息化部或省级人力资源和社会保障厅颁发的系统集成项目管理工程师中级以上资格的得2分；</w:t>
            </w:r>
          </w:p>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②具备中华人民共和国住房和城乡建设部颁发的专业为机电工程，级别一级建造师注册证书的得2分；</w:t>
            </w:r>
          </w:p>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③具有有效的省级住房和城乡建设厅颁发的安全生产考核合格证B证证书的得2分。</w:t>
            </w:r>
          </w:p>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2.供应商拟派售后服务经理（1人）：</w:t>
            </w:r>
          </w:p>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① 具有中华人民共和国人力资源和社会保障部、中华人民共和国工业和信息化部或省级人力资源和社会保障厅颁发的计算机技术与软件专业技术资格中级及以上系统集成项目管理工程师证书的得2分；</w:t>
            </w:r>
          </w:p>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② 具有中国信息安全测评中心颁发的注册信息安全专业人员（CISP）(类别：注册信息安全工程师 CISE )证书的得2分；</w:t>
            </w:r>
          </w:p>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3.供应商服务团队（项目经理及售后服务经理除外）中具有人力资源主管部门颁发的中级及以上机电工程工程师、电气自动化工程师、建筑电气工程师、机电一体化工程师类职称证书，每有一类得1分，最多得4分。</w:t>
            </w:r>
          </w:p>
          <w:p>
            <w:pPr>
              <w:widowControl/>
              <w:snapToGrid w:val="0"/>
              <w:spacing w:line="276" w:lineRule="auto"/>
              <w:jc w:val="left"/>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注：提供以上人员证书复印件及在投标人任职的在职证明材料复印件加盖投标人鲜章（若提供劳动合同需有该人员身份证号）。</w:t>
            </w:r>
          </w:p>
        </w:tc>
        <w:tc>
          <w:tcPr>
            <w:tcW w:w="458"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1" w:hRule="atLeast"/>
          <w:jc w:val="center"/>
        </w:trPr>
        <w:tc>
          <w:tcPr>
            <w:tcW w:w="296"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w:t>
            </w:r>
          </w:p>
        </w:tc>
        <w:tc>
          <w:tcPr>
            <w:tcW w:w="525"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产品质量保障</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16%</w:t>
            </w:r>
          </w:p>
        </w:tc>
        <w:tc>
          <w:tcPr>
            <w:tcW w:w="412"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16分</w:t>
            </w:r>
          </w:p>
        </w:tc>
        <w:tc>
          <w:tcPr>
            <w:tcW w:w="3307" w:type="pct"/>
            <w:shd w:val="clear" w:color="auto" w:fill="auto"/>
            <w:vAlign w:val="center"/>
          </w:tcPr>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投标人所投终端安全准入产品制造商需具有一定的漏洞发现能力，对厂商2020年度向国家信息安全漏洞共享平台(CNVD)报送漏洞数量进行评分，大于等于50000条的得5分，大于等于10000条但小于50000条的得3分，大于等于5000条但小于10000条的得1分，其余不得分。提供相关证明材料加盖投标人鲜章。</w:t>
            </w:r>
          </w:p>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2、投标人所投人脸门禁一体机产品制造商为中国信息安全测评中心国家信息安全漏洞库（CNNVD）技术支撑单位，一级得5分，二级或以下得2分，不提供不得分。提供相关证明材料加盖投标人鲜章。</w:t>
            </w:r>
          </w:p>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3、为了防范未知威胁，要求本次所投产品（包含：防火墙、网络流量监测、日志审计、安管平台、web应用防火墙、数据库审计）拥有未知威胁检测能力，提供权威机构出具的带“未知威胁检测”字样的证明材料并加盖投标人公章，提供证明材料得3分，都在不得分；</w:t>
            </w:r>
          </w:p>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4、为保证后续安全应急响应快速性及安全防护的全面性，要求所投产品（包含：安管平台、防火墙、web应用防火墙）的生产厂商为国家级网络安全应急服务支撑单位及国家信息安全漏洞库CNNVD技术支撑单位，提供相关证明材料并加盖投标人公章得3分，否则不得分。</w:t>
            </w:r>
          </w:p>
        </w:tc>
        <w:tc>
          <w:tcPr>
            <w:tcW w:w="458"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5" w:hRule="atLeast"/>
          <w:jc w:val="center"/>
        </w:trPr>
        <w:tc>
          <w:tcPr>
            <w:tcW w:w="296"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七</w:t>
            </w:r>
          </w:p>
        </w:tc>
        <w:tc>
          <w:tcPr>
            <w:tcW w:w="525"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节能、环境标志、无线局域网产品1%</w:t>
            </w:r>
          </w:p>
        </w:tc>
        <w:tc>
          <w:tcPr>
            <w:tcW w:w="412"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1分</w:t>
            </w:r>
          </w:p>
        </w:tc>
        <w:tc>
          <w:tcPr>
            <w:tcW w:w="3307" w:type="pct"/>
            <w:shd w:val="clear" w:color="auto" w:fill="auto"/>
            <w:vAlign w:val="center"/>
          </w:tcPr>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投标人提供的产品属于“政府采购节能产品、环境标志产品实施品目清单”中实施政府优先采购的，提供国家确定的认证机构出具的、处于有效期之内的节能产品、环境标志产品认证证书复印件并加盖供应商单位公章，属于节能产品政府采购品目清单或环境标志产品政府采购品目清单的得0.5分。</w:t>
            </w:r>
            <w:r>
              <w:rPr>
                <w:rFonts w:hint="eastAsia" w:ascii="仿宋" w:hAnsi="仿宋" w:eastAsia="仿宋" w:cs="仿宋"/>
                <w:color w:val="auto"/>
                <w:kern w:val="0"/>
                <w:szCs w:val="21"/>
                <w:highlight w:val="none"/>
              </w:rPr>
              <w:br w:type="textWrapping"/>
            </w:r>
            <w:r>
              <w:rPr>
                <w:rFonts w:hint="eastAsia" w:ascii="仿宋" w:hAnsi="仿宋" w:eastAsia="仿宋" w:cs="仿宋"/>
                <w:color w:val="auto"/>
                <w:kern w:val="0"/>
                <w:szCs w:val="21"/>
                <w:highlight w:val="none"/>
              </w:rPr>
              <w:t>2.认定为无线局域网认证产品的，供应商提供《无线局域网认证产品政府采购清单》对应页复印件并加盖供应商单位公章的得0.5分。</w:t>
            </w:r>
            <w:r>
              <w:rPr>
                <w:rFonts w:hint="eastAsia" w:ascii="仿宋" w:hAnsi="仿宋" w:eastAsia="仿宋" w:cs="仿宋"/>
                <w:color w:val="auto"/>
                <w:kern w:val="0"/>
                <w:szCs w:val="21"/>
                <w:highlight w:val="none"/>
              </w:rPr>
              <w:br w:type="textWrapping"/>
            </w:r>
            <w:r>
              <w:rPr>
                <w:rFonts w:hint="eastAsia" w:ascii="仿宋" w:hAnsi="仿宋" w:eastAsia="仿宋" w:cs="仿宋"/>
                <w:b/>
                <w:bCs/>
                <w:color w:val="auto"/>
                <w:kern w:val="0"/>
                <w:szCs w:val="21"/>
                <w:highlight w:val="none"/>
              </w:rPr>
              <w:t>注：①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②“无线局域网认证产品政府采购清单”以财政部会同国务院有关部门机构认定的为准。</w:t>
            </w:r>
          </w:p>
        </w:tc>
        <w:tc>
          <w:tcPr>
            <w:tcW w:w="458" w:type="pct"/>
            <w:shd w:val="clear" w:color="auto" w:fill="auto"/>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5000" w:type="pct"/>
            <w:gridSpan w:val="5"/>
            <w:shd w:val="clear" w:color="auto" w:fill="auto"/>
            <w:vAlign w:val="center"/>
          </w:tcPr>
          <w:p>
            <w:pPr>
              <w:widowControl/>
              <w:snapToGrid w:val="0"/>
              <w:spacing w:line="276" w:lineRule="auto"/>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注：①评分的取值按四舍五入法，小数点后保留两位。②本表中要求提供各类证明材料，均需加盖供应商单位公章，否则将不认可该项材料的有效性。</w:t>
            </w:r>
          </w:p>
        </w:tc>
      </w:tr>
    </w:tbl>
    <w:p>
      <w:pPr>
        <w:tabs>
          <w:tab w:val="left" w:pos="7665"/>
        </w:tabs>
        <w:spacing w:after="160" w:line="360" w:lineRule="auto"/>
        <w:rPr>
          <w:rFonts w:ascii="仿宋" w:hAnsi="仿宋" w:eastAsia="仿宋" w:cs="仿宋"/>
          <w:b/>
          <w:bCs/>
          <w:color w:val="auto"/>
          <w:sz w:val="22"/>
          <w:szCs w:val="22"/>
          <w:highlight w:val="none"/>
        </w:rPr>
      </w:pPr>
      <w:r>
        <w:rPr>
          <w:rFonts w:hint="eastAsia" w:ascii="仿宋" w:hAnsi="仿宋" w:eastAsia="仿宋" w:cs="仿宋"/>
          <w:b/>
          <w:bCs/>
          <w:color w:val="auto"/>
          <w:sz w:val="22"/>
          <w:szCs w:val="22"/>
          <w:highlight w:val="none"/>
        </w:rPr>
        <w:t>包件二：</w:t>
      </w:r>
    </w:p>
    <w:tbl>
      <w:tblPr>
        <w:tblStyle w:val="18"/>
        <w:tblW w:w="9352" w:type="dxa"/>
        <w:jc w:val="center"/>
        <w:tblLayout w:type="autofit"/>
        <w:tblCellMar>
          <w:top w:w="0" w:type="dxa"/>
          <w:left w:w="0" w:type="dxa"/>
          <w:bottom w:w="0" w:type="dxa"/>
          <w:right w:w="0" w:type="dxa"/>
        </w:tblCellMar>
      </w:tblPr>
      <w:tblGrid>
        <w:gridCol w:w="390"/>
        <w:gridCol w:w="768"/>
        <w:gridCol w:w="716"/>
        <w:gridCol w:w="5926"/>
        <w:gridCol w:w="1552"/>
      </w:tblGrid>
      <w:tr>
        <w:tblPrEx>
          <w:tblCellMar>
            <w:top w:w="0" w:type="dxa"/>
            <w:left w:w="0" w:type="dxa"/>
            <w:bottom w:w="0" w:type="dxa"/>
            <w:right w:w="0" w:type="dxa"/>
          </w:tblCellMar>
        </w:tblPrEx>
        <w:trPr>
          <w:jc w:val="center"/>
        </w:trPr>
        <w:tc>
          <w:tcPr>
            <w:tcW w:w="390"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序号</w:t>
            </w:r>
          </w:p>
        </w:tc>
        <w:tc>
          <w:tcPr>
            <w:tcW w:w="768"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评分因素及权重</w:t>
            </w:r>
          </w:p>
        </w:tc>
        <w:tc>
          <w:tcPr>
            <w:tcW w:w="716"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分值</w:t>
            </w:r>
          </w:p>
        </w:tc>
        <w:tc>
          <w:tcPr>
            <w:tcW w:w="5926"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评分标准</w:t>
            </w:r>
          </w:p>
        </w:tc>
        <w:tc>
          <w:tcPr>
            <w:tcW w:w="155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pacing w:val="2"/>
                <w:w w:val="99"/>
                <w:szCs w:val="21"/>
                <w:highlight w:val="none"/>
              </w:rPr>
            </w:pPr>
            <w:r>
              <w:rPr>
                <w:rFonts w:hint="eastAsia" w:ascii="仿宋" w:hAnsi="仿宋" w:eastAsia="仿宋" w:cs="仿宋"/>
                <w:b/>
                <w:bCs/>
                <w:color w:val="auto"/>
                <w:kern w:val="0"/>
                <w:szCs w:val="21"/>
                <w:highlight w:val="none"/>
              </w:rPr>
              <w:t>说  明</w:t>
            </w:r>
          </w:p>
        </w:tc>
      </w:tr>
      <w:tr>
        <w:tblPrEx>
          <w:tblCellMar>
            <w:top w:w="0" w:type="dxa"/>
            <w:left w:w="0" w:type="dxa"/>
            <w:bottom w:w="0" w:type="dxa"/>
            <w:right w:w="0" w:type="dxa"/>
          </w:tblCellMar>
        </w:tblPrEx>
        <w:trPr>
          <w:trHeight w:val="1865" w:hRule="atLeast"/>
          <w:jc w:val="center"/>
        </w:trPr>
        <w:tc>
          <w:tcPr>
            <w:tcW w:w="39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w:t>
            </w:r>
          </w:p>
        </w:tc>
        <w:tc>
          <w:tcPr>
            <w:tcW w:w="76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投标报价20%</w:t>
            </w:r>
          </w:p>
        </w:tc>
        <w:tc>
          <w:tcPr>
            <w:tcW w:w="71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20分</w:t>
            </w:r>
          </w:p>
        </w:tc>
        <w:tc>
          <w:tcPr>
            <w:tcW w:w="5926" w:type="dxa"/>
            <w:tcBorders>
              <w:top w:val="single" w:color="000000" w:sz="4" w:space="0"/>
              <w:left w:val="single" w:color="000000" w:sz="4" w:space="0"/>
              <w:bottom w:val="single" w:color="000000" w:sz="4" w:space="0"/>
              <w:right w:val="single" w:color="000000" w:sz="4" w:space="0"/>
            </w:tcBorders>
            <w:vAlign w:val="center"/>
          </w:tcPr>
          <w:p>
            <w:pPr>
              <w:jc w:val="left"/>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满足招标文件要求且投标报价最低的投标报价为评标基准价，其价格分为满分。其他投标人的价格分统一按照下列公式计算：</w:t>
            </w:r>
          </w:p>
          <w:p>
            <w:pPr>
              <w:jc w:val="left"/>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报价得分=(评标基准价／投标报价)×20%×100</w:t>
            </w:r>
          </w:p>
          <w:p>
            <w:pPr>
              <w:jc w:val="left"/>
              <w:rPr>
                <w:rFonts w:hint="eastAsia"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注：1.小微企业（残疾人福利性单位、监狱企业视同小微企业）的报价给予10%的价格扣除。</w:t>
            </w:r>
          </w:p>
          <w:p>
            <w:pPr>
              <w:jc w:val="left"/>
              <w:rPr>
                <w:rFonts w:hint="eastAsia"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2.监狱企业应当提供由省级以上监狱管理局、戒毒管理局（含新疆生产建设兵团）出具的属于监狱企业的证明文件（复印件）。</w:t>
            </w:r>
          </w:p>
          <w:p>
            <w:pPr>
              <w:jc w:val="left"/>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3.残疾人福利性单位应当提供《残疾人福利性单位声明函》。</w:t>
            </w:r>
          </w:p>
        </w:tc>
        <w:tc>
          <w:tcPr>
            <w:tcW w:w="155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pacing w:val="2"/>
                <w:w w:val="99"/>
                <w:szCs w:val="21"/>
                <w:highlight w:val="none"/>
              </w:rPr>
            </w:pPr>
            <w:r>
              <w:rPr>
                <w:rFonts w:hint="eastAsia" w:ascii="仿宋" w:hAnsi="仿宋" w:eastAsia="仿宋" w:cs="仿宋"/>
                <w:color w:val="auto"/>
                <w:kern w:val="0"/>
                <w:szCs w:val="21"/>
                <w:highlight w:val="none"/>
              </w:rPr>
              <w:t>共同评分因素</w:t>
            </w:r>
          </w:p>
        </w:tc>
      </w:tr>
      <w:tr>
        <w:tblPrEx>
          <w:tblCellMar>
            <w:top w:w="0" w:type="dxa"/>
            <w:left w:w="0" w:type="dxa"/>
            <w:bottom w:w="0" w:type="dxa"/>
            <w:right w:w="0" w:type="dxa"/>
          </w:tblCellMar>
        </w:tblPrEx>
        <w:trPr>
          <w:trHeight w:val="2322" w:hRule="atLeast"/>
          <w:jc w:val="center"/>
        </w:trPr>
        <w:tc>
          <w:tcPr>
            <w:tcW w:w="390" w:type="dxa"/>
            <w:vMerge w:val="restart"/>
            <w:tcBorders>
              <w:top w:val="single" w:color="000000" w:sz="4" w:space="0"/>
              <w:left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w:t>
            </w:r>
          </w:p>
        </w:tc>
        <w:tc>
          <w:tcPr>
            <w:tcW w:w="768" w:type="dxa"/>
            <w:vMerge w:val="restart"/>
            <w:tcBorders>
              <w:top w:val="single" w:color="000000" w:sz="4" w:space="0"/>
              <w:left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监理方案19%</w:t>
            </w:r>
          </w:p>
        </w:tc>
        <w:tc>
          <w:tcPr>
            <w:tcW w:w="71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质量控措施3分</w:t>
            </w:r>
          </w:p>
        </w:tc>
        <w:tc>
          <w:tcPr>
            <w:tcW w:w="592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根据供应商针对本项目提供的质量控制措施方案进行综合评审（包括：①审查建设单位的质量管理体系方案；②深化设计方案评审；③项目关键节点质量检查方案）。各项内容为专门针对本项目编制，符合本项目实际情况，能够保障项目顺利实施的得3分；每缺少一项内容或不足或不利于项目顺利实施的扣 1分，扣完为止。</w:t>
            </w:r>
          </w:p>
        </w:tc>
        <w:tc>
          <w:tcPr>
            <w:tcW w:w="155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pacing w:val="2"/>
                <w:w w:val="99"/>
                <w:szCs w:val="21"/>
                <w:highlight w:val="none"/>
              </w:rPr>
            </w:pPr>
            <w:r>
              <w:rPr>
                <w:rFonts w:hint="eastAsia" w:ascii="仿宋" w:hAnsi="仿宋" w:eastAsia="仿宋" w:cs="仿宋"/>
                <w:color w:val="auto"/>
                <w:kern w:val="0"/>
                <w:szCs w:val="21"/>
                <w:highlight w:val="none"/>
              </w:rPr>
              <w:t>技术类评分因素</w:t>
            </w:r>
          </w:p>
        </w:tc>
      </w:tr>
      <w:tr>
        <w:tblPrEx>
          <w:tblCellMar>
            <w:top w:w="0" w:type="dxa"/>
            <w:left w:w="0" w:type="dxa"/>
            <w:bottom w:w="0" w:type="dxa"/>
            <w:right w:w="0" w:type="dxa"/>
          </w:tblCellMar>
        </w:tblPrEx>
        <w:trPr>
          <w:trHeight w:val="2319" w:hRule="atLeast"/>
          <w:jc w:val="center"/>
        </w:trPr>
        <w:tc>
          <w:tcPr>
            <w:tcW w:w="390" w:type="dxa"/>
            <w:vMerge w:val="continue"/>
            <w:tcBorders>
              <w:left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p>
        </w:tc>
        <w:tc>
          <w:tcPr>
            <w:tcW w:w="768" w:type="dxa"/>
            <w:vMerge w:val="continue"/>
            <w:tcBorders>
              <w:left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进度控制措施4分</w:t>
            </w:r>
          </w:p>
        </w:tc>
        <w:tc>
          <w:tcPr>
            <w:tcW w:w="592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根据供应商针对本项目提供的进度控制措施方案进行综合评审</w:t>
            </w:r>
          </w:p>
          <w:p>
            <w:pPr>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包括：①审批建设单位报送的施工进度计划方案；②检查施工进度计划；③分析施工进度计划；④检查人力，提出纠偏的方案内容）。各项内容为专门针对本项目编制，符合本项目实际情况，能够保障项目顺利实施的得4分；每缺少一项内容或不足或不利于项目顺利实施的扣1分，扣完为止。</w:t>
            </w:r>
          </w:p>
        </w:tc>
        <w:tc>
          <w:tcPr>
            <w:tcW w:w="155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pacing w:val="2"/>
                <w:w w:val="99"/>
                <w:szCs w:val="21"/>
                <w:highlight w:val="none"/>
              </w:rPr>
            </w:pPr>
            <w:r>
              <w:rPr>
                <w:rFonts w:hint="eastAsia" w:ascii="仿宋" w:hAnsi="仿宋" w:eastAsia="仿宋" w:cs="仿宋"/>
                <w:color w:val="auto"/>
                <w:kern w:val="0"/>
                <w:szCs w:val="21"/>
                <w:highlight w:val="none"/>
              </w:rPr>
              <w:t>技术类评分因素</w:t>
            </w:r>
          </w:p>
        </w:tc>
      </w:tr>
      <w:tr>
        <w:tblPrEx>
          <w:tblCellMar>
            <w:top w:w="0" w:type="dxa"/>
            <w:left w:w="0" w:type="dxa"/>
            <w:bottom w:w="0" w:type="dxa"/>
            <w:right w:w="0" w:type="dxa"/>
          </w:tblCellMar>
        </w:tblPrEx>
        <w:trPr>
          <w:trHeight w:val="677" w:hRule="atLeast"/>
          <w:jc w:val="center"/>
        </w:trPr>
        <w:tc>
          <w:tcPr>
            <w:tcW w:w="390" w:type="dxa"/>
            <w:vMerge w:val="continue"/>
            <w:tcBorders>
              <w:left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p>
        </w:tc>
        <w:tc>
          <w:tcPr>
            <w:tcW w:w="768" w:type="dxa"/>
            <w:vMerge w:val="continue"/>
            <w:tcBorders>
              <w:left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合同信息管理方案4分</w:t>
            </w:r>
          </w:p>
        </w:tc>
        <w:tc>
          <w:tcPr>
            <w:tcW w:w="592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根据供应商针对本项目提供的合同信息管理方案进行综合评审（包括：①反馈合同履行进度；②合同信息协调以及后期情况）。各项内容为专门针对本项目编制，符合本项目实际情况，能够保障项目顺利实施的得4分；每缺少一项内容或不足或不利于项目顺利实施的扣2分，扣完为止。</w:t>
            </w:r>
          </w:p>
        </w:tc>
        <w:tc>
          <w:tcPr>
            <w:tcW w:w="155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pacing w:val="2"/>
                <w:w w:val="99"/>
                <w:szCs w:val="21"/>
                <w:highlight w:val="none"/>
              </w:rPr>
            </w:pPr>
            <w:r>
              <w:rPr>
                <w:rFonts w:hint="eastAsia" w:ascii="仿宋" w:hAnsi="仿宋" w:eastAsia="仿宋" w:cs="仿宋"/>
                <w:color w:val="auto"/>
                <w:kern w:val="0"/>
                <w:szCs w:val="21"/>
                <w:highlight w:val="none"/>
              </w:rPr>
              <w:t>技术类评分因素</w:t>
            </w:r>
          </w:p>
        </w:tc>
      </w:tr>
      <w:tr>
        <w:tblPrEx>
          <w:tblCellMar>
            <w:top w:w="0" w:type="dxa"/>
            <w:left w:w="0" w:type="dxa"/>
            <w:bottom w:w="0" w:type="dxa"/>
            <w:right w:w="0" w:type="dxa"/>
          </w:tblCellMar>
        </w:tblPrEx>
        <w:trPr>
          <w:trHeight w:val="1761" w:hRule="atLeast"/>
          <w:jc w:val="center"/>
        </w:trPr>
        <w:tc>
          <w:tcPr>
            <w:tcW w:w="390" w:type="dxa"/>
            <w:vMerge w:val="continue"/>
            <w:tcBorders>
              <w:left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p>
        </w:tc>
        <w:tc>
          <w:tcPr>
            <w:tcW w:w="768" w:type="dxa"/>
            <w:vMerge w:val="continue"/>
            <w:tcBorders>
              <w:left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组织协调方案2分</w:t>
            </w:r>
          </w:p>
        </w:tc>
        <w:tc>
          <w:tcPr>
            <w:tcW w:w="592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根据供应商针对本项目提供的组织协调方案进行综合评审（包括：①与建设单位协调；②与采购人协调以及多方协调）。各项内容为专门针对本项目编制，符合本项目实际情况，能够保障项目顺利实施的得 2 分；每缺少一项内容或不足或不利于项目顺利实施的扣1分，扣完为止。</w:t>
            </w:r>
          </w:p>
        </w:tc>
        <w:tc>
          <w:tcPr>
            <w:tcW w:w="155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pacing w:val="2"/>
                <w:w w:val="99"/>
                <w:szCs w:val="21"/>
                <w:highlight w:val="none"/>
              </w:rPr>
            </w:pPr>
            <w:r>
              <w:rPr>
                <w:rFonts w:hint="eastAsia" w:ascii="仿宋" w:hAnsi="仿宋" w:eastAsia="仿宋" w:cs="仿宋"/>
                <w:color w:val="auto"/>
                <w:kern w:val="0"/>
                <w:szCs w:val="21"/>
                <w:highlight w:val="none"/>
              </w:rPr>
              <w:t>技术类评分因素</w:t>
            </w:r>
          </w:p>
        </w:tc>
      </w:tr>
      <w:tr>
        <w:tblPrEx>
          <w:tblCellMar>
            <w:top w:w="0" w:type="dxa"/>
            <w:left w:w="0" w:type="dxa"/>
            <w:bottom w:w="0" w:type="dxa"/>
            <w:right w:w="0" w:type="dxa"/>
          </w:tblCellMar>
        </w:tblPrEx>
        <w:trPr>
          <w:trHeight w:val="1884" w:hRule="atLeast"/>
          <w:jc w:val="center"/>
        </w:trPr>
        <w:tc>
          <w:tcPr>
            <w:tcW w:w="390" w:type="dxa"/>
            <w:vMerge w:val="continue"/>
            <w:tcBorders>
              <w:left w:val="single" w:color="000000" w:sz="4" w:space="0"/>
              <w:bottom w:val="nil"/>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p>
        </w:tc>
        <w:tc>
          <w:tcPr>
            <w:tcW w:w="768" w:type="dxa"/>
            <w:vMerge w:val="continue"/>
            <w:tcBorders>
              <w:left w:val="single" w:color="000000" w:sz="4" w:space="0"/>
              <w:bottom w:val="nil"/>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成本控制</w:t>
            </w:r>
          </w:p>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方案2分</w:t>
            </w:r>
          </w:p>
        </w:tc>
        <w:tc>
          <w:tcPr>
            <w:tcW w:w="5926" w:type="dxa"/>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仿宋"/>
                <w:color w:val="auto"/>
                <w:szCs w:val="21"/>
                <w:highlight w:val="none"/>
              </w:rPr>
            </w:pPr>
            <w:r>
              <w:rPr>
                <w:rFonts w:hint="eastAsia" w:ascii="仿宋" w:hAnsi="仿宋" w:eastAsia="仿宋" w:cs="仿宋"/>
                <w:color w:val="auto"/>
                <w:spacing w:val="2"/>
                <w:w w:val="99"/>
                <w:szCs w:val="21"/>
                <w:highlight w:val="none"/>
              </w:rPr>
              <w:t>根据供应商针对本项目提供的投资控制方案进行综合评审（包括：①项目变更费用管理；②项目支付管理）。各项目内容为针对本项目编制，符合本项目实际情况，能够保障项目顺利实施的得 2分；每缺少一项内容或不足或不利于项目顺利实施的扣1分，扣完为止。</w:t>
            </w:r>
          </w:p>
        </w:tc>
        <w:tc>
          <w:tcPr>
            <w:tcW w:w="155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pacing w:val="2"/>
                <w:w w:val="99"/>
                <w:szCs w:val="21"/>
                <w:highlight w:val="none"/>
              </w:rPr>
            </w:pPr>
            <w:r>
              <w:rPr>
                <w:rFonts w:hint="eastAsia" w:ascii="仿宋" w:hAnsi="仿宋" w:eastAsia="仿宋" w:cs="仿宋"/>
                <w:color w:val="auto"/>
                <w:kern w:val="0"/>
                <w:szCs w:val="21"/>
                <w:highlight w:val="none"/>
              </w:rPr>
              <w:t>技术类评分因素</w:t>
            </w:r>
          </w:p>
        </w:tc>
      </w:tr>
      <w:tr>
        <w:tblPrEx>
          <w:tblCellMar>
            <w:top w:w="0" w:type="dxa"/>
            <w:left w:w="0" w:type="dxa"/>
            <w:bottom w:w="0" w:type="dxa"/>
            <w:right w:w="0" w:type="dxa"/>
          </w:tblCellMar>
        </w:tblPrEx>
        <w:trPr>
          <w:trHeight w:val="1874" w:hRule="atLeast"/>
          <w:jc w:val="center"/>
        </w:trPr>
        <w:tc>
          <w:tcPr>
            <w:tcW w:w="390" w:type="dxa"/>
            <w:vMerge w:val="continue"/>
            <w:tcBorders>
              <w:left w:val="single" w:color="000000" w:sz="4" w:space="0"/>
              <w:bottom w:val="single" w:color="000000" w:sz="4" w:space="0"/>
              <w:right w:val="single" w:color="000000" w:sz="4" w:space="0"/>
            </w:tcBorders>
          </w:tcPr>
          <w:p>
            <w:pPr>
              <w:widowControl/>
              <w:snapToGrid w:val="0"/>
              <w:spacing w:line="276" w:lineRule="auto"/>
              <w:jc w:val="center"/>
              <w:rPr>
                <w:rFonts w:ascii="仿宋" w:hAnsi="仿宋" w:eastAsia="仿宋" w:cs="仿宋"/>
                <w:color w:val="auto"/>
                <w:kern w:val="0"/>
                <w:szCs w:val="21"/>
                <w:highlight w:val="none"/>
              </w:rPr>
            </w:pPr>
          </w:p>
        </w:tc>
        <w:tc>
          <w:tcPr>
            <w:tcW w:w="768" w:type="dxa"/>
            <w:vMerge w:val="continue"/>
            <w:tcBorders>
              <w:left w:val="single" w:color="000000" w:sz="4" w:space="0"/>
              <w:bottom w:val="single" w:color="000000" w:sz="4" w:space="0"/>
              <w:right w:val="single" w:color="000000" w:sz="4" w:space="0"/>
            </w:tcBorders>
          </w:tcPr>
          <w:p>
            <w:pPr>
              <w:widowControl/>
              <w:snapToGrid w:val="0"/>
              <w:spacing w:line="276" w:lineRule="auto"/>
              <w:jc w:val="center"/>
              <w:rPr>
                <w:rFonts w:ascii="仿宋" w:hAnsi="仿宋" w:eastAsia="仿宋" w:cs="仿宋"/>
                <w:color w:val="auto"/>
                <w:kern w:val="0"/>
                <w:szCs w:val="21"/>
                <w:highlight w:val="none"/>
              </w:rPr>
            </w:pPr>
          </w:p>
        </w:tc>
        <w:tc>
          <w:tcPr>
            <w:tcW w:w="71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服务期监理方案 4分</w:t>
            </w:r>
          </w:p>
        </w:tc>
        <w:tc>
          <w:tcPr>
            <w:tcW w:w="5926" w:type="dxa"/>
            <w:tcBorders>
              <w:top w:val="single" w:color="000000" w:sz="4" w:space="0"/>
              <w:left w:val="single" w:color="000000" w:sz="4" w:space="0"/>
              <w:bottom w:val="single" w:color="000000" w:sz="4" w:space="0"/>
              <w:right w:val="single" w:color="000000" w:sz="4" w:space="0"/>
            </w:tcBorders>
          </w:tcPr>
          <w:p>
            <w:pPr>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根据供应商针对本项目提供的服务期监理方案进行综合评审</w:t>
            </w:r>
          </w:p>
          <w:p>
            <w:pPr>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包括：①检查登记报告；②监督保修验收；③确定责任归属；④审核签署费用）。各项内容为专门针对本项目编制，符合本项目实际情况，能够保障项目顺利实施的得4分；每缺少一项内容或不足或不利于项目顺利实施的扣 1 分，扣完为止。</w:t>
            </w:r>
          </w:p>
        </w:tc>
        <w:tc>
          <w:tcPr>
            <w:tcW w:w="155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color w:val="auto"/>
                <w:spacing w:val="2"/>
                <w:w w:val="99"/>
                <w:szCs w:val="21"/>
                <w:highlight w:val="none"/>
              </w:rPr>
            </w:pPr>
            <w:r>
              <w:rPr>
                <w:rFonts w:hint="eastAsia" w:ascii="仿宋" w:hAnsi="仿宋" w:eastAsia="仿宋" w:cs="仿宋"/>
                <w:color w:val="auto"/>
                <w:kern w:val="0"/>
                <w:szCs w:val="21"/>
                <w:highlight w:val="none"/>
              </w:rPr>
              <w:t>技术类评分因素</w:t>
            </w:r>
          </w:p>
        </w:tc>
      </w:tr>
      <w:tr>
        <w:tblPrEx>
          <w:tblCellMar>
            <w:top w:w="0" w:type="dxa"/>
            <w:left w:w="0" w:type="dxa"/>
            <w:bottom w:w="0" w:type="dxa"/>
            <w:right w:w="0" w:type="dxa"/>
          </w:tblCellMar>
        </w:tblPrEx>
        <w:trPr>
          <w:trHeight w:val="1254" w:hRule="atLeast"/>
          <w:jc w:val="center"/>
        </w:trPr>
        <w:tc>
          <w:tcPr>
            <w:tcW w:w="39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w:t>
            </w:r>
          </w:p>
        </w:tc>
        <w:tc>
          <w:tcPr>
            <w:tcW w:w="76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履约能力15%</w:t>
            </w:r>
          </w:p>
        </w:tc>
        <w:tc>
          <w:tcPr>
            <w:tcW w:w="71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15分</w:t>
            </w:r>
          </w:p>
        </w:tc>
        <w:tc>
          <w:tcPr>
            <w:tcW w:w="5926" w:type="dxa"/>
            <w:tcBorders>
              <w:top w:val="single" w:color="000000" w:sz="4" w:space="0"/>
              <w:left w:val="single" w:color="000000" w:sz="4" w:space="0"/>
              <w:bottom w:val="single" w:color="000000" w:sz="4" w:space="0"/>
              <w:right w:val="single" w:color="000000" w:sz="4" w:space="0"/>
            </w:tcBorders>
          </w:tcPr>
          <w:p>
            <w:pPr>
              <w:pStyle w:val="42"/>
              <w:kinsoku w:val="0"/>
              <w:overflowPunct w:val="0"/>
              <w:rPr>
                <w:color w:val="auto"/>
                <w:spacing w:val="2"/>
                <w:w w:val="99"/>
                <w:szCs w:val="21"/>
                <w:highlight w:val="none"/>
              </w:rPr>
            </w:pPr>
            <w:r>
              <w:rPr>
                <w:rFonts w:hint="eastAsia"/>
                <w:color w:val="auto"/>
                <w:spacing w:val="2"/>
                <w:w w:val="99"/>
                <w:szCs w:val="21"/>
                <w:highlight w:val="none"/>
              </w:rPr>
              <w:t>供应商自 2018 年1月1日（含）以来，具有类似项目业绩的，每有 1 个得3分，本项最高得 15分。</w:t>
            </w:r>
          </w:p>
          <w:p>
            <w:pPr>
              <w:pStyle w:val="42"/>
              <w:kinsoku w:val="0"/>
              <w:overflowPunct w:val="0"/>
              <w:rPr>
                <w:b/>
                <w:bCs/>
                <w:color w:val="auto"/>
                <w:spacing w:val="2"/>
                <w:w w:val="99"/>
                <w:szCs w:val="21"/>
                <w:highlight w:val="none"/>
              </w:rPr>
            </w:pPr>
            <w:r>
              <w:rPr>
                <w:rFonts w:hint="eastAsia"/>
                <w:b/>
                <w:bCs/>
                <w:color w:val="auto"/>
                <w:spacing w:val="2"/>
                <w:w w:val="99"/>
                <w:szCs w:val="21"/>
                <w:highlight w:val="none"/>
              </w:rPr>
              <w:t>注：提供中标（成交）通知书或完整的合同复印件并加盖鲜章。</w:t>
            </w:r>
          </w:p>
        </w:tc>
        <w:tc>
          <w:tcPr>
            <w:tcW w:w="1552" w:type="dxa"/>
            <w:tcBorders>
              <w:top w:val="single" w:color="000000" w:sz="4" w:space="0"/>
              <w:left w:val="single" w:color="000000" w:sz="4" w:space="0"/>
              <w:bottom w:val="single" w:color="000000" w:sz="4" w:space="0"/>
              <w:right w:val="single" w:color="000000" w:sz="4" w:space="0"/>
            </w:tcBorders>
            <w:vAlign w:val="center"/>
          </w:tcPr>
          <w:p>
            <w:pPr>
              <w:pStyle w:val="42"/>
              <w:kinsoku w:val="0"/>
              <w:overflowPunct w:val="0"/>
              <w:jc w:val="center"/>
              <w:rPr>
                <w:b/>
                <w:bCs/>
                <w:color w:val="auto"/>
                <w:spacing w:val="2"/>
                <w:w w:val="99"/>
                <w:szCs w:val="21"/>
                <w:highlight w:val="none"/>
              </w:rPr>
            </w:pPr>
            <w:r>
              <w:rPr>
                <w:rFonts w:hint="eastAsia"/>
                <w:color w:val="auto"/>
                <w:kern w:val="0"/>
                <w:szCs w:val="21"/>
                <w:highlight w:val="none"/>
              </w:rPr>
              <w:t>共同评分因素</w:t>
            </w:r>
          </w:p>
        </w:tc>
      </w:tr>
      <w:tr>
        <w:tblPrEx>
          <w:tblCellMar>
            <w:top w:w="0" w:type="dxa"/>
            <w:left w:w="0" w:type="dxa"/>
            <w:bottom w:w="0" w:type="dxa"/>
            <w:right w:w="0" w:type="dxa"/>
          </w:tblCellMar>
        </w:tblPrEx>
        <w:trPr>
          <w:jc w:val="center"/>
        </w:trPr>
        <w:tc>
          <w:tcPr>
            <w:tcW w:w="39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w:t>
            </w:r>
          </w:p>
        </w:tc>
        <w:tc>
          <w:tcPr>
            <w:tcW w:w="76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综合实力 22%</w:t>
            </w:r>
          </w:p>
        </w:tc>
        <w:tc>
          <w:tcPr>
            <w:tcW w:w="71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22分</w:t>
            </w:r>
          </w:p>
        </w:tc>
        <w:tc>
          <w:tcPr>
            <w:tcW w:w="5926" w:type="dxa"/>
            <w:tcBorders>
              <w:top w:val="single" w:color="000000" w:sz="4" w:space="0"/>
              <w:left w:val="single" w:color="000000" w:sz="4" w:space="0"/>
              <w:bottom w:val="single" w:color="000000" w:sz="4" w:space="0"/>
              <w:right w:val="single" w:color="000000" w:sz="4" w:space="0"/>
            </w:tcBorders>
          </w:tcPr>
          <w:p>
            <w:pPr>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1.供应商具有中国网络安全审查技术与认证中心颁发的信息系统安全运维服务资质证书的得2分；</w:t>
            </w:r>
          </w:p>
          <w:p>
            <w:pPr>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 xml:space="preserve">2.供应商具有中国网络安全审查技术与认证中心颁发的信息安全应急处理服务资质证书的得 2分； </w:t>
            </w:r>
          </w:p>
          <w:p>
            <w:pPr>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 xml:space="preserve">3.供应商具有中国网络安全审查技术与认证中心颁发的信息安全风险评估服务资质证书的得 2分； </w:t>
            </w:r>
          </w:p>
          <w:p>
            <w:pPr>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4.供应商具有等保项目的监理能力证明材料：具有中国合格评定国家认可委员会（CNAS）颁发的检验机构认可证书（检验对象：等级测评）得2分；</w:t>
            </w:r>
          </w:p>
          <w:p>
            <w:pPr>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5.供应商每具有 1 个参与现行信息技术服务监理的国家标准（GB）的制定或起草的，每参加过一个不同标准号的起草工作，得2分，最多得8分；</w:t>
            </w:r>
          </w:p>
          <w:p>
            <w:pPr>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6.供应商具有国家网络安全等级保护工作协调小组办公室颁发《网络安全等级保护测评机构推荐证书》，得2分；</w:t>
            </w:r>
          </w:p>
          <w:p>
            <w:pPr>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7.供应商具有中国电子工业标准化技术协会信息技术服务分会颁发ITSS会员单位证书，得2分</w:t>
            </w:r>
          </w:p>
          <w:p>
            <w:pPr>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8.供应商具有信息安全管理体系认证证书，认证范围包括信息系统工程监理服务、信息技术咨询服务、评估测试服务相关的信息安全管理活动的，得2分，少一项扣1分。</w:t>
            </w:r>
          </w:p>
          <w:p>
            <w:pPr>
              <w:rPr>
                <w:rFonts w:ascii="仿宋" w:hAnsi="仿宋" w:eastAsia="仿宋" w:cs="仿宋"/>
                <w:b/>
                <w:bCs/>
                <w:color w:val="auto"/>
                <w:spacing w:val="2"/>
                <w:w w:val="99"/>
                <w:szCs w:val="21"/>
                <w:highlight w:val="none"/>
              </w:rPr>
            </w:pPr>
            <w:r>
              <w:rPr>
                <w:rFonts w:hint="eastAsia" w:ascii="仿宋" w:hAnsi="仿宋" w:eastAsia="仿宋" w:cs="仿宋"/>
                <w:b/>
                <w:bCs/>
                <w:color w:val="auto"/>
                <w:spacing w:val="2"/>
                <w:w w:val="99"/>
                <w:szCs w:val="21"/>
                <w:highlight w:val="none"/>
              </w:rPr>
              <w:t>注：提供有效证书复印件或国家认证认可监督管理委员会官网认结果并加盖供应商鲜章；第5条提供标准名称和标准号以及标准中具有供应商名字相关内容的截图，并加盖鲜章。</w:t>
            </w:r>
          </w:p>
        </w:tc>
        <w:tc>
          <w:tcPr>
            <w:tcW w:w="1552" w:type="dxa"/>
            <w:tcBorders>
              <w:top w:val="single" w:color="000000" w:sz="4" w:space="0"/>
              <w:left w:val="single" w:color="000000" w:sz="4" w:space="0"/>
              <w:bottom w:val="single" w:color="000000" w:sz="4" w:space="0"/>
              <w:right w:val="single" w:color="000000" w:sz="4" w:space="0"/>
            </w:tcBorders>
            <w:vAlign w:val="center"/>
          </w:tcPr>
          <w:p>
            <w:pPr>
              <w:jc w:val="center"/>
              <w:rPr>
                <w:rFonts w:ascii="仿宋" w:hAnsi="仿宋" w:eastAsia="仿宋" w:cs="仿宋"/>
                <w:b/>
                <w:bCs/>
                <w:color w:val="auto"/>
                <w:spacing w:val="2"/>
                <w:w w:val="99"/>
                <w:szCs w:val="21"/>
                <w:highlight w:val="none"/>
              </w:rPr>
            </w:pPr>
            <w:r>
              <w:rPr>
                <w:rFonts w:hint="eastAsia" w:ascii="仿宋" w:hAnsi="仿宋" w:eastAsia="仿宋" w:cs="仿宋"/>
                <w:color w:val="auto"/>
                <w:kern w:val="0"/>
                <w:szCs w:val="21"/>
                <w:highlight w:val="none"/>
              </w:rPr>
              <w:t>共同评分因素</w:t>
            </w:r>
          </w:p>
        </w:tc>
      </w:tr>
      <w:tr>
        <w:tblPrEx>
          <w:tblCellMar>
            <w:top w:w="0" w:type="dxa"/>
            <w:left w:w="0" w:type="dxa"/>
            <w:bottom w:w="0" w:type="dxa"/>
            <w:right w:w="0" w:type="dxa"/>
          </w:tblCellMar>
        </w:tblPrEx>
        <w:trPr>
          <w:jc w:val="center"/>
        </w:trPr>
        <w:tc>
          <w:tcPr>
            <w:tcW w:w="39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w:t>
            </w:r>
          </w:p>
        </w:tc>
        <w:tc>
          <w:tcPr>
            <w:tcW w:w="768"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人员配</w:t>
            </w:r>
          </w:p>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置24%</w:t>
            </w:r>
          </w:p>
        </w:tc>
        <w:tc>
          <w:tcPr>
            <w:tcW w:w="716"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line="276" w:lineRule="auto"/>
              <w:jc w:val="center"/>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24分</w:t>
            </w:r>
          </w:p>
        </w:tc>
        <w:tc>
          <w:tcPr>
            <w:tcW w:w="5926" w:type="dxa"/>
            <w:tcBorders>
              <w:top w:val="single" w:color="000000" w:sz="4" w:space="0"/>
              <w:left w:val="single" w:color="000000" w:sz="4" w:space="0"/>
              <w:bottom w:val="single" w:color="000000" w:sz="4" w:space="0"/>
              <w:right w:val="single" w:color="000000" w:sz="4" w:space="0"/>
            </w:tcBorders>
          </w:tcPr>
          <w:p>
            <w:pPr>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1.总监理工程师（1人）：</w:t>
            </w:r>
          </w:p>
          <w:p>
            <w:pPr>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a.具有人力资源主管部门颁发信息系统监理师证书的得 3分；</w:t>
            </w:r>
          </w:p>
          <w:p>
            <w:pPr>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b.具有人力资源主管部门或工信部颁发的软件评测师证书的得 3 分；</w:t>
            </w:r>
          </w:p>
          <w:p>
            <w:pPr>
              <w:rPr>
                <w:rFonts w:ascii="仿宋" w:hAnsi="仿宋" w:eastAsia="仿宋" w:cs="仿宋"/>
                <w:color w:val="auto"/>
                <w:spacing w:val="2"/>
                <w:w w:val="99"/>
                <w:szCs w:val="21"/>
                <w:highlight w:val="none"/>
              </w:rPr>
            </w:pPr>
            <w:r>
              <w:rPr>
                <w:rFonts w:hint="eastAsia" w:ascii="仿宋" w:hAnsi="仿宋" w:eastAsia="仿宋" w:cs="仿宋"/>
                <w:color w:val="auto"/>
                <w:spacing w:val="2"/>
                <w:w w:val="99"/>
                <w:szCs w:val="21"/>
                <w:highlight w:val="none"/>
              </w:rPr>
              <w:t>c.具有人力资源主管部门颁发的信息系统项目管理师证书，高级得3分、中级得2分、初级得1分，本项最多得3分。</w:t>
            </w:r>
          </w:p>
          <w:p>
            <w:pPr>
              <w:pStyle w:val="42"/>
              <w:kinsoku w:val="0"/>
              <w:overflowPunct w:val="0"/>
              <w:rPr>
                <w:color w:val="auto"/>
                <w:spacing w:val="2"/>
                <w:w w:val="99"/>
                <w:szCs w:val="21"/>
                <w:highlight w:val="none"/>
              </w:rPr>
            </w:pPr>
            <w:r>
              <w:rPr>
                <w:rFonts w:hint="eastAsia"/>
                <w:color w:val="auto"/>
                <w:spacing w:val="2"/>
                <w:w w:val="99"/>
                <w:szCs w:val="21"/>
                <w:highlight w:val="none"/>
              </w:rPr>
              <w:t>2.高级顾问工程师（1人）：</w:t>
            </w:r>
          </w:p>
          <w:p>
            <w:pPr>
              <w:pStyle w:val="42"/>
              <w:kinsoku w:val="0"/>
              <w:overflowPunct w:val="0"/>
              <w:rPr>
                <w:color w:val="auto"/>
                <w:spacing w:val="2"/>
                <w:w w:val="99"/>
                <w:szCs w:val="21"/>
                <w:highlight w:val="none"/>
              </w:rPr>
            </w:pPr>
            <w:r>
              <w:rPr>
                <w:rFonts w:hint="eastAsia"/>
                <w:color w:val="auto"/>
                <w:spacing w:val="2"/>
                <w:w w:val="99"/>
                <w:szCs w:val="21"/>
                <w:highlight w:val="none"/>
              </w:rPr>
              <w:t>a.具有人力资源主管部门颁发信息系统监理师证书的得 3分；</w:t>
            </w:r>
          </w:p>
          <w:p>
            <w:pPr>
              <w:pStyle w:val="42"/>
              <w:kinsoku w:val="0"/>
              <w:overflowPunct w:val="0"/>
              <w:rPr>
                <w:color w:val="auto"/>
                <w:spacing w:val="2"/>
                <w:w w:val="99"/>
                <w:szCs w:val="21"/>
                <w:highlight w:val="none"/>
              </w:rPr>
            </w:pPr>
            <w:r>
              <w:rPr>
                <w:rFonts w:hint="eastAsia"/>
                <w:color w:val="auto"/>
                <w:spacing w:val="2"/>
                <w:w w:val="99"/>
                <w:szCs w:val="21"/>
                <w:highlight w:val="none"/>
              </w:rPr>
              <w:t>b.具有中国网络安全审查技术与认证中心颁发信息安全保障人员认证证书（CISAW）（风险管理），专业高级得3分、专业级得2分、专业资格得1分，本项最多得3分；</w:t>
            </w:r>
          </w:p>
          <w:p>
            <w:pPr>
              <w:pStyle w:val="42"/>
              <w:kinsoku w:val="0"/>
              <w:overflowPunct w:val="0"/>
              <w:rPr>
                <w:color w:val="auto"/>
                <w:spacing w:val="2"/>
                <w:w w:val="99"/>
                <w:szCs w:val="21"/>
                <w:highlight w:val="none"/>
              </w:rPr>
            </w:pPr>
            <w:r>
              <w:rPr>
                <w:rFonts w:hint="eastAsia"/>
                <w:color w:val="auto"/>
                <w:spacing w:val="2"/>
                <w:w w:val="99"/>
                <w:szCs w:val="21"/>
                <w:highlight w:val="none"/>
              </w:rPr>
              <w:t>c.具有电子技术类职称，高级及以上得3分、中级得2分、初级得1分，本项最多得3分；</w:t>
            </w:r>
          </w:p>
          <w:p>
            <w:pPr>
              <w:pStyle w:val="42"/>
              <w:kinsoku w:val="0"/>
              <w:overflowPunct w:val="0"/>
              <w:rPr>
                <w:color w:val="auto"/>
                <w:spacing w:val="2"/>
                <w:w w:val="99"/>
                <w:szCs w:val="21"/>
                <w:highlight w:val="none"/>
              </w:rPr>
            </w:pPr>
            <w:r>
              <w:rPr>
                <w:rFonts w:hint="eastAsia"/>
                <w:color w:val="auto"/>
                <w:spacing w:val="2"/>
                <w:w w:val="99"/>
                <w:szCs w:val="21"/>
                <w:highlight w:val="none"/>
              </w:rPr>
              <w:t>3.投入本项目人员（除总监理工程师和高级顾问工程师外）中：</w:t>
            </w:r>
          </w:p>
          <w:p>
            <w:pPr>
              <w:pStyle w:val="42"/>
              <w:kinsoku w:val="0"/>
              <w:overflowPunct w:val="0"/>
              <w:rPr>
                <w:color w:val="auto"/>
                <w:spacing w:val="2"/>
                <w:w w:val="99"/>
                <w:szCs w:val="21"/>
                <w:highlight w:val="none"/>
              </w:rPr>
            </w:pPr>
            <w:r>
              <w:rPr>
                <w:rFonts w:hint="eastAsia"/>
                <w:color w:val="auto"/>
                <w:spacing w:val="2"/>
                <w:w w:val="99"/>
                <w:szCs w:val="21"/>
                <w:highlight w:val="none"/>
              </w:rPr>
              <w:t>a.具有人力资源主管部门颁发的信息安全工程师的得2分；</w:t>
            </w:r>
          </w:p>
          <w:p>
            <w:pPr>
              <w:pStyle w:val="42"/>
              <w:kinsoku w:val="0"/>
              <w:overflowPunct w:val="0"/>
              <w:rPr>
                <w:color w:val="auto"/>
                <w:spacing w:val="2"/>
                <w:w w:val="99"/>
                <w:szCs w:val="21"/>
                <w:highlight w:val="none"/>
              </w:rPr>
            </w:pPr>
            <w:r>
              <w:rPr>
                <w:rFonts w:hint="eastAsia"/>
                <w:color w:val="auto"/>
                <w:spacing w:val="2"/>
                <w:w w:val="99"/>
                <w:szCs w:val="21"/>
                <w:highlight w:val="none"/>
              </w:rPr>
              <w:t>b.具有人力资源主管部门颁发的信息系统项目管理师的得2分；</w:t>
            </w:r>
          </w:p>
          <w:p>
            <w:pPr>
              <w:pStyle w:val="42"/>
              <w:kinsoku w:val="0"/>
              <w:overflowPunct w:val="0"/>
              <w:rPr>
                <w:color w:val="auto"/>
                <w:spacing w:val="2"/>
                <w:w w:val="99"/>
                <w:szCs w:val="21"/>
                <w:highlight w:val="none"/>
              </w:rPr>
            </w:pPr>
            <w:r>
              <w:rPr>
                <w:rFonts w:hint="eastAsia"/>
                <w:color w:val="auto"/>
                <w:spacing w:val="2"/>
                <w:w w:val="99"/>
                <w:szCs w:val="21"/>
                <w:highlight w:val="none"/>
              </w:rPr>
              <w:t>c.具有人力资源主管部门颁发的信息系统监理师的得2分。</w:t>
            </w:r>
          </w:p>
          <w:p>
            <w:pPr>
              <w:pStyle w:val="42"/>
              <w:kinsoku w:val="0"/>
              <w:overflowPunct w:val="0"/>
              <w:rPr>
                <w:b/>
                <w:bCs/>
                <w:color w:val="auto"/>
                <w:spacing w:val="2"/>
                <w:w w:val="99"/>
                <w:szCs w:val="21"/>
                <w:highlight w:val="none"/>
              </w:rPr>
            </w:pPr>
            <w:r>
              <w:rPr>
                <w:rFonts w:hint="eastAsia"/>
                <w:b/>
                <w:bCs/>
                <w:color w:val="auto"/>
                <w:spacing w:val="2"/>
                <w:w w:val="99"/>
                <w:szCs w:val="21"/>
                <w:highlight w:val="none"/>
              </w:rPr>
              <w:t>注：以上人员需提供有效证书或国家认证认可监督管理委员会官网认证结果、单位劳动关系证明材料复印件，均需加盖供应商鲜章；总监理和高级顾问不得能为同一人；投入本项目人员中同一人员证书不重复计算。</w:t>
            </w:r>
          </w:p>
        </w:tc>
        <w:tc>
          <w:tcPr>
            <w:tcW w:w="1552" w:type="dxa"/>
            <w:tcBorders>
              <w:top w:val="single" w:color="000000" w:sz="4" w:space="0"/>
              <w:left w:val="single" w:color="000000" w:sz="4" w:space="0"/>
              <w:bottom w:val="single" w:color="000000" w:sz="4" w:space="0"/>
              <w:right w:val="single" w:color="000000" w:sz="4" w:space="0"/>
            </w:tcBorders>
            <w:vAlign w:val="center"/>
          </w:tcPr>
          <w:p>
            <w:pPr>
              <w:pStyle w:val="42"/>
              <w:kinsoku w:val="0"/>
              <w:overflowPunct w:val="0"/>
              <w:jc w:val="center"/>
              <w:rPr>
                <w:b/>
                <w:bCs/>
                <w:color w:val="auto"/>
                <w:spacing w:val="2"/>
                <w:w w:val="99"/>
                <w:szCs w:val="21"/>
                <w:highlight w:val="none"/>
              </w:rPr>
            </w:pPr>
            <w:r>
              <w:rPr>
                <w:rFonts w:hint="eastAsia"/>
                <w:color w:val="auto"/>
                <w:kern w:val="0"/>
                <w:szCs w:val="21"/>
                <w:highlight w:val="none"/>
              </w:rPr>
              <w:t>共同评分因素</w:t>
            </w:r>
          </w:p>
        </w:tc>
      </w:tr>
    </w:tbl>
    <w:p>
      <w:pPr>
        <w:pStyle w:val="9"/>
        <w:rPr>
          <w:color w:val="auto"/>
          <w:highlight w:val="none"/>
        </w:rPr>
      </w:pPr>
    </w:p>
    <w:p>
      <w:pPr>
        <w:tabs>
          <w:tab w:val="left" w:pos="7665"/>
        </w:tabs>
        <w:spacing w:after="160" w:line="360" w:lineRule="auto"/>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注：</w:t>
      </w:r>
    </w:p>
    <w:p>
      <w:pPr>
        <w:tabs>
          <w:tab w:val="left" w:pos="7665"/>
        </w:tabs>
        <w:spacing w:after="160" w:line="360" w:lineRule="auto"/>
        <w:ind w:firstLine="330" w:firstLineChars="15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1．评分的取值按四舍五入法，保留小数点后两位。</w:t>
      </w:r>
    </w:p>
    <w:p>
      <w:pPr>
        <w:tabs>
          <w:tab w:val="left" w:pos="7665"/>
        </w:tabs>
        <w:spacing w:after="160" w:line="360" w:lineRule="auto"/>
        <w:ind w:firstLine="330" w:firstLineChars="15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2．本表中若与资格条件有重复的，则作为资格条款进行评审，不计入评分项。</w:t>
      </w:r>
    </w:p>
    <w:p>
      <w:pPr>
        <w:tabs>
          <w:tab w:val="left" w:pos="7665"/>
        </w:tabs>
        <w:spacing w:after="160" w:line="360" w:lineRule="auto"/>
        <w:ind w:firstLine="330" w:firstLineChars="15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3．评审专家应对每个投标人每项评分因素给出详细的评审说明（报价评分项除外）。</w:t>
      </w:r>
    </w:p>
    <w:p>
      <w:pPr>
        <w:tabs>
          <w:tab w:val="left" w:pos="7665"/>
        </w:tabs>
        <w:spacing w:after="160" w:line="360" w:lineRule="auto"/>
        <w:ind w:firstLine="330" w:firstLineChars="150"/>
        <w:rPr>
          <w:rFonts w:ascii="仿宋" w:hAnsi="仿宋" w:eastAsia="仿宋" w:cs="仿宋"/>
          <w:color w:val="auto"/>
          <w:sz w:val="22"/>
          <w:szCs w:val="22"/>
          <w:highlight w:val="none"/>
        </w:rPr>
      </w:pPr>
      <w:r>
        <w:rPr>
          <w:rFonts w:hint="eastAsia" w:ascii="仿宋" w:hAnsi="仿宋" w:eastAsia="仿宋" w:cs="仿宋"/>
          <w:color w:val="auto"/>
          <w:sz w:val="22"/>
          <w:szCs w:val="22"/>
          <w:highlight w:val="none"/>
        </w:rPr>
        <w:t>4．联合体投标的，以牵头人为准（联合体中有同类资质的投标人按照联合体分工承担相同工作的，应当按照资质等级较低的投标人确定资质等级）。</w:t>
      </w:r>
    </w:p>
    <w:bookmarkEnd w:id="92"/>
    <w:bookmarkEnd w:id="93"/>
    <w:bookmarkEnd w:id="94"/>
    <w:bookmarkEnd w:id="95"/>
    <w:bookmarkEnd w:id="96"/>
    <w:p>
      <w:pPr>
        <w:tabs>
          <w:tab w:val="left" w:pos="7665"/>
        </w:tabs>
        <w:spacing w:after="160" w:line="360" w:lineRule="auto"/>
        <w:ind w:firstLine="360" w:firstLineChars="150"/>
        <w:rPr>
          <w:rFonts w:ascii="仿宋" w:hAnsi="仿宋" w:eastAsia="仿宋" w:cs="仿宋"/>
          <w:color w:val="auto"/>
          <w:sz w:val="24"/>
          <w:highlight w:val="none"/>
        </w:rPr>
      </w:pPr>
      <w:bookmarkStart w:id="97" w:name="_Toc217446060"/>
      <w:r>
        <w:rPr>
          <w:rFonts w:hint="eastAsia" w:ascii="仿宋" w:hAnsi="仿宋" w:eastAsia="仿宋" w:cs="仿宋"/>
          <w:color w:val="auto"/>
          <w:sz w:val="24"/>
          <w:highlight w:val="none"/>
        </w:rPr>
        <w:t>5、</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废</w:t>
      </w:r>
      <w:r>
        <w:rPr>
          <w:rFonts w:ascii="仿宋" w:hAnsi="仿宋" w:eastAsia="仿宋" w:cs="仿宋"/>
          <w:color w:val="auto"/>
          <w:sz w:val="24"/>
          <w:highlight w:val="none"/>
        </w:rPr>
        <w:t xml:space="preserve"> </w:t>
      </w:r>
      <w:r>
        <w:rPr>
          <w:rFonts w:hint="eastAsia" w:ascii="仿宋" w:hAnsi="仿宋" w:eastAsia="仿宋" w:cs="仿宋"/>
          <w:color w:val="auto"/>
          <w:sz w:val="24"/>
          <w:highlight w:val="none"/>
        </w:rPr>
        <w:t>标</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5.1本次政府采购活动中，出现下列情形之一的，予以废标：</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（1）符合专业条件的供应商或者对招标文件作实质响应的供应商不足三家的；</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（2）出现影响采购公正的违法、违规行为的；</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（3）投标人的报价均超过了采购预算，采购人不能支付的；</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（4）因重大变故，采购任务取消的。</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废标后，采购代理机构应在四川政府采购网上公告，并公告废标的情形。投标人需要知晓导致废标情形的具体原因和理由的，可以通过书面形式询问招标采购单位。</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5.2对于评标过程中废标的采购项目，评标委员会应当对招标文件是否存在倾向性和歧视性、是否存在不合理条款进行论证，并出具书面论证意见。</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6、定标</w:t>
      </w:r>
      <w:bookmarkEnd w:id="97"/>
      <w:bookmarkStart w:id="98" w:name="_Toc217446061"/>
    </w:p>
    <w:p>
      <w:pPr>
        <w:tabs>
          <w:tab w:val="left" w:pos="7665"/>
        </w:tabs>
        <w:spacing w:after="160" w:line="360" w:lineRule="auto"/>
        <w:ind w:firstLine="360" w:firstLineChars="150"/>
        <w:rPr>
          <w:rFonts w:ascii="仿宋" w:hAnsi="仿宋" w:eastAsia="仿宋" w:cs="仿宋"/>
          <w:color w:val="auto"/>
          <w:sz w:val="24"/>
          <w:highlight w:val="none"/>
        </w:rPr>
      </w:pPr>
      <w:r>
        <w:rPr>
          <w:rFonts w:ascii="仿宋" w:hAnsi="仿宋" w:eastAsia="仿宋" w:cs="仿宋"/>
          <w:color w:val="auto"/>
          <w:sz w:val="24"/>
          <w:highlight w:val="none"/>
        </w:rPr>
        <w:t xml:space="preserve">6.1. </w:t>
      </w:r>
      <w:r>
        <w:rPr>
          <w:rFonts w:hint="eastAsia" w:ascii="仿宋" w:hAnsi="仿宋" w:eastAsia="仿宋" w:cs="仿宋"/>
          <w:color w:val="auto"/>
          <w:sz w:val="24"/>
          <w:highlight w:val="none"/>
        </w:rPr>
        <w:t>定标原则</w:t>
      </w:r>
      <w:bookmarkEnd w:id="98"/>
      <w:r>
        <w:rPr>
          <w:rFonts w:hint="eastAsia" w:ascii="仿宋" w:hAnsi="仿宋" w:eastAsia="仿宋" w:cs="仿宋"/>
          <w:color w:val="auto"/>
          <w:sz w:val="24"/>
          <w:highlight w:val="none"/>
        </w:rPr>
        <w:t>：本项目根据评标委员会推荐的中标候选供应商名单，按顺序确定中标供应商。</w:t>
      </w:r>
    </w:p>
    <w:p>
      <w:pPr>
        <w:tabs>
          <w:tab w:val="left" w:pos="7665"/>
        </w:tabs>
        <w:spacing w:after="160" w:line="360" w:lineRule="auto"/>
        <w:ind w:firstLine="360" w:firstLineChars="150"/>
        <w:rPr>
          <w:rFonts w:ascii="仿宋" w:hAnsi="仿宋" w:eastAsia="仿宋" w:cs="仿宋"/>
          <w:color w:val="auto"/>
          <w:sz w:val="24"/>
          <w:highlight w:val="none"/>
        </w:rPr>
      </w:pPr>
      <w:bookmarkStart w:id="99" w:name="_Toc217446062"/>
      <w:r>
        <w:rPr>
          <w:rFonts w:ascii="仿宋" w:hAnsi="仿宋" w:eastAsia="仿宋" w:cs="仿宋"/>
          <w:color w:val="auto"/>
          <w:sz w:val="24"/>
          <w:highlight w:val="none"/>
        </w:rPr>
        <w:t xml:space="preserve">6.2. </w:t>
      </w:r>
      <w:r>
        <w:rPr>
          <w:rFonts w:hint="eastAsia" w:ascii="仿宋" w:hAnsi="仿宋" w:eastAsia="仿宋" w:cs="仿宋"/>
          <w:color w:val="auto"/>
          <w:sz w:val="24"/>
          <w:highlight w:val="none"/>
        </w:rPr>
        <w:t>定标程序</w:t>
      </w:r>
      <w:bookmarkEnd w:id="99"/>
    </w:p>
    <w:p>
      <w:pPr>
        <w:tabs>
          <w:tab w:val="left" w:pos="7665"/>
        </w:tabs>
        <w:spacing w:after="160" w:line="360" w:lineRule="auto"/>
        <w:ind w:firstLine="360" w:firstLineChars="150"/>
        <w:rPr>
          <w:rFonts w:ascii="仿宋" w:hAnsi="仿宋" w:eastAsia="仿宋" w:cs="仿宋"/>
          <w:color w:val="auto"/>
          <w:sz w:val="24"/>
          <w:highlight w:val="none"/>
        </w:rPr>
      </w:pPr>
      <w:r>
        <w:rPr>
          <w:rFonts w:ascii="仿宋" w:hAnsi="仿宋" w:eastAsia="仿宋" w:cs="仿宋"/>
          <w:color w:val="auto"/>
          <w:sz w:val="24"/>
          <w:highlight w:val="none"/>
        </w:rPr>
        <w:t xml:space="preserve">6.2.1 </w:t>
      </w:r>
      <w:r>
        <w:rPr>
          <w:rFonts w:hint="eastAsia" w:ascii="仿宋" w:hAnsi="仿宋" w:eastAsia="仿宋" w:cs="仿宋"/>
          <w:color w:val="auto"/>
          <w:sz w:val="24"/>
          <w:highlight w:val="none"/>
        </w:rPr>
        <w:t>评标委员会将评标情况写出书面报告，推荐中标候选供应商。</w:t>
      </w:r>
    </w:p>
    <w:p>
      <w:pPr>
        <w:tabs>
          <w:tab w:val="left" w:pos="7665"/>
        </w:tabs>
        <w:spacing w:after="160" w:line="360" w:lineRule="auto"/>
        <w:ind w:firstLine="360" w:firstLineChars="150"/>
        <w:rPr>
          <w:rFonts w:ascii="仿宋" w:hAnsi="仿宋" w:eastAsia="仿宋" w:cs="仿宋"/>
          <w:color w:val="auto"/>
          <w:sz w:val="24"/>
          <w:highlight w:val="none"/>
        </w:rPr>
      </w:pPr>
      <w:r>
        <w:rPr>
          <w:rFonts w:ascii="仿宋" w:hAnsi="仿宋" w:eastAsia="仿宋" w:cs="仿宋"/>
          <w:color w:val="auto"/>
          <w:sz w:val="24"/>
          <w:highlight w:val="none"/>
        </w:rPr>
        <w:t xml:space="preserve">6.2.2 </w:t>
      </w:r>
      <w:r>
        <w:rPr>
          <w:rFonts w:hint="eastAsia" w:ascii="仿宋" w:hAnsi="仿宋" w:eastAsia="仿宋" w:cs="仿宋"/>
          <w:color w:val="auto"/>
          <w:sz w:val="24"/>
          <w:highlight w:val="none"/>
        </w:rPr>
        <w:t>采购代理机构在评标结束后2个工作日内将评标报告送采购人。</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6.2.3 采购人在收到评标报告后5个工作日内，按照评标报告中推荐的中标候选供应商顺序确定中标供应商。中标候选供应商并列的，由采购人自主采取公平、择优的方式选择中标供应商。</w:t>
      </w:r>
    </w:p>
    <w:p>
      <w:pPr>
        <w:tabs>
          <w:tab w:val="left" w:pos="7665"/>
        </w:tabs>
        <w:spacing w:after="160" w:line="360" w:lineRule="auto"/>
        <w:ind w:firstLine="360" w:firstLineChars="150"/>
        <w:rPr>
          <w:rFonts w:ascii="仿宋" w:hAnsi="仿宋" w:eastAsia="仿宋" w:cs="仿宋"/>
          <w:color w:val="auto"/>
          <w:sz w:val="24"/>
          <w:highlight w:val="none"/>
        </w:rPr>
      </w:pPr>
      <w:r>
        <w:rPr>
          <w:rFonts w:ascii="仿宋" w:hAnsi="仿宋" w:eastAsia="仿宋" w:cs="仿宋"/>
          <w:color w:val="auto"/>
          <w:sz w:val="24"/>
          <w:highlight w:val="none"/>
        </w:rPr>
        <w:t xml:space="preserve">6.2.4 </w:t>
      </w:r>
      <w:r>
        <w:rPr>
          <w:rFonts w:hint="eastAsia" w:ascii="仿宋" w:hAnsi="仿宋" w:eastAsia="仿宋" w:cs="仿宋"/>
          <w:color w:val="auto"/>
          <w:sz w:val="24"/>
          <w:highlight w:val="none"/>
        </w:rPr>
        <w:t>根据采购人确定的中标供应商，采购代理机构在四川政府采购网上发布中标公告，并自采购人确定中标之日起2个工作日内向中标供应商发出中标通知书。</w:t>
      </w:r>
    </w:p>
    <w:p>
      <w:pPr>
        <w:tabs>
          <w:tab w:val="left" w:pos="7665"/>
        </w:tabs>
        <w:spacing w:after="160" w:line="360" w:lineRule="auto"/>
        <w:ind w:firstLine="360" w:firstLineChars="150"/>
        <w:rPr>
          <w:rFonts w:ascii="仿宋" w:hAnsi="仿宋" w:eastAsia="仿宋" w:cs="仿宋"/>
          <w:color w:val="auto"/>
          <w:sz w:val="24"/>
          <w:highlight w:val="none"/>
        </w:rPr>
      </w:pPr>
      <w:r>
        <w:rPr>
          <w:rFonts w:ascii="仿宋" w:hAnsi="仿宋" w:eastAsia="仿宋" w:cs="仿宋"/>
          <w:color w:val="auto"/>
          <w:sz w:val="24"/>
          <w:highlight w:val="none"/>
        </w:rPr>
        <w:t xml:space="preserve">6.2.5 </w:t>
      </w:r>
      <w:r>
        <w:rPr>
          <w:rFonts w:hint="eastAsia" w:ascii="仿宋" w:hAnsi="仿宋" w:eastAsia="仿宋" w:cs="仿宋"/>
          <w:color w:val="auto"/>
          <w:sz w:val="24"/>
          <w:highlight w:val="none"/>
        </w:rPr>
        <w:t>招标采购单位不退回投标人投标文件和其他投标资料。</w:t>
      </w:r>
    </w:p>
    <w:p>
      <w:pPr>
        <w:tabs>
          <w:tab w:val="left" w:pos="7665"/>
        </w:tabs>
        <w:spacing w:after="160" w:line="360" w:lineRule="auto"/>
        <w:ind w:firstLine="360" w:firstLineChars="150"/>
        <w:rPr>
          <w:rFonts w:ascii="仿宋" w:hAnsi="仿宋" w:eastAsia="仿宋" w:cs="仿宋"/>
          <w:color w:val="auto"/>
          <w:sz w:val="24"/>
          <w:highlight w:val="none"/>
        </w:rPr>
      </w:pPr>
      <w:bookmarkStart w:id="100" w:name="_Toc183682432"/>
      <w:bookmarkStart w:id="101" w:name="_Toc208849022"/>
      <w:bookmarkStart w:id="102" w:name="_Toc183582297"/>
      <w:bookmarkStart w:id="103" w:name="_Toc217446105"/>
      <w:r>
        <w:rPr>
          <w:rFonts w:ascii="仿宋" w:hAnsi="仿宋" w:eastAsia="仿宋" w:cs="仿宋"/>
          <w:color w:val="auto"/>
          <w:sz w:val="24"/>
          <w:highlight w:val="none"/>
        </w:rPr>
        <w:t xml:space="preserve">7. </w:t>
      </w:r>
      <w:bookmarkEnd w:id="100"/>
      <w:bookmarkEnd w:id="101"/>
      <w:bookmarkEnd w:id="102"/>
      <w:bookmarkEnd w:id="103"/>
      <w:r>
        <w:rPr>
          <w:rFonts w:hint="eastAsia" w:ascii="仿宋" w:hAnsi="仿宋" w:eastAsia="仿宋" w:cs="仿宋"/>
          <w:color w:val="auto"/>
          <w:sz w:val="24"/>
          <w:highlight w:val="none"/>
        </w:rPr>
        <w:t>评标专家在政府采购活动中承担以下义务：</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xml:space="preserve">（一）遵守评审工作纪律； </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（二）按照客观、公正、审慎的原则，根据采购文件规定的评审程序、评审方法和评审标准进行独立评审；</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（三）不得泄露评审文件、评审情况和在评审过程中获悉的商业秘密；</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（四）及时向监督部门报告评审过程中采购组织单位向评审专家做倾向性、误导性的解释或者说明，供应商行贿、提供虚假材料或者串通、受到的非法干预情况等违法违规行为；</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（五）发现采购文件内容违反国家有关强制性规定或者存在歧义、重大缺陷导致评审工作无法进行时，停止评审并向采购组织单位书面说明情况；</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（六）配合答复处理供应商的询问、质疑和投诉等事项；</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（七）法律、法规和规章规定的其他义务。</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8.评标专家在政府采购活动中应当遵守以下工作纪律：</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（一）遵行《政府采购法》第十二条和《政府采购法实施条例》第九条及财政部关于回避的规定。</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（二）评标前，应当将通讯工具或者相关电子设备交由招标采购单位统一保管。</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（三）评标过程中，不得与外界联系，因发生不可预见情况，确实需要与外界联系的，应当在监督人员监督之下办理。</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（五）在评标过程中和评标结束后，不得记录、复制或带走任何评标资料，除因规定的义务外，不得向外界透露评标内容。</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（六）服从评标现场招标采购单位的现场秩序管理，接受评标现场监督人员的合法监督。</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（七）遵守有关廉洁自律规定，不得私下接触供应商，不得收受供应商及有关业务单位和个人的财物或好处，不得接受采购组织单位的请托。</w:t>
      </w:r>
    </w:p>
    <w:p>
      <w:pPr>
        <w:tabs>
          <w:tab w:val="left" w:pos="7665"/>
        </w:tabs>
        <w:spacing w:after="160" w:line="360" w:lineRule="auto"/>
        <w:ind w:firstLine="360" w:firstLineChars="150"/>
        <w:rPr>
          <w:rFonts w:ascii="仿宋" w:hAnsi="仿宋" w:eastAsia="仿宋" w:cs="仿宋"/>
          <w:color w:val="auto"/>
          <w:sz w:val="24"/>
          <w:highlight w:val="none"/>
        </w:rPr>
      </w:pPr>
    </w:p>
    <w:p>
      <w:pPr>
        <w:pStyle w:val="16"/>
        <w:rPr>
          <w:rFonts w:ascii="仿宋" w:hAnsi="仿宋" w:eastAsia="仿宋" w:cs="仿宋"/>
          <w:color w:val="auto"/>
          <w:highlight w:val="none"/>
        </w:rPr>
      </w:pPr>
      <w:r>
        <w:rPr>
          <w:rFonts w:hint="eastAsia" w:ascii="仿宋" w:hAnsi="仿宋" w:eastAsia="仿宋" w:cs="仿宋"/>
          <w:color w:val="auto"/>
          <w:highlight w:val="none"/>
        </w:rPr>
        <w:br w:type="page"/>
      </w:r>
      <w:bookmarkStart w:id="104" w:name="_Toc9312"/>
      <w:bookmarkStart w:id="105" w:name="_Toc511206483"/>
      <w:r>
        <w:rPr>
          <w:rFonts w:hint="eastAsia" w:ascii="仿宋" w:hAnsi="仿宋" w:eastAsia="仿宋" w:cs="仿宋"/>
          <w:color w:val="auto"/>
          <w:sz w:val="36"/>
          <w:szCs w:val="36"/>
          <w:highlight w:val="none"/>
        </w:rPr>
        <w:t>第九章  采购合同（参考文本）</w:t>
      </w:r>
      <w:bookmarkEnd w:id="104"/>
    </w:p>
    <w:bookmarkEnd w:id="84"/>
    <w:bookmarkEnd w:id="85"/>
    <w:bookmarkEnd w:id="86"/>
    <w:bookmarkEnd w:id="91"/>
    <w:bookmarkEnd w:id="105"/>
    <w:p>
      <w:pPr>
        <w:rPr>
          <w:rFonts w:ascii="仿宋" w:hAnsi="仿宋" w:eastAsia="仿宋" w:cs="仿宋"/>
          <w:color w:val="auto"/>
          <w:spacing w:val="8"/>
          <w:sz w:val="24"/>
          <w:highlight w:val="none"/>
        </w:rPr>
      </w:pPr>
    </w:p>
    <w:p>
      <w:pPr>
        <w:autoSpaceDE w:val="0"/>
        <w:autoSpaceDN w:val="0"/>
        <w:adjustRightInd w:val="0"/>
        <w:spacing w:line="420" w:lineRule="exact"/>
        <w:jc w:val="center"/>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（根据项目具体情况签订内容）</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合同编号：XXXX。</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签订地点：XXXX。</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签订时间：XXXX年XX月XX日。</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xml:space="preserve">采购人（甲方）：                              </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供应商（乙方）：</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合同法》及XXXX采购项目（项目编号：XX）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tabs>
          <w:tab w:val="left" w:pos="7665"/>
        </w:tabs>
        <w:spacing w:after="160" w:line="360" w:lineRule="auto"/>
        <w:ind w:firstLine="360" w:firstLineChars="150"/>
        <w:rPr>
          <w:rFonts w:ascii="仿宋" w:hAnsi="仿宋" w:eastAsia="仿宋" w:cs="仿宋"/>
          <w:color w:val="auto"/>
          <w:sz w:val="24"/>
          <w:highlight w:val="none"/>
        </w:rPr>
      </w:pPr>
      <w:bookmarkStart w:id="106" w:name="_Toc217446107"/>
      <w:r>
        <w:rPr>
          <w:rFonts w:hint="eastAsia" w:ascii="仿宋" w:hAnsi="仿宋" w:eastAsia="仿宋" w:cs="仿宋"/>
          <w:color w:val="auto"/>
          <w:sz w:val="24"/>
          <w:highlight w:val="none"/>
        </w:rPr>
        <w:t>一、合同货物</w:t>
      </w:r>
      <w:bookmarkEnd w:id="106"/>
    </w:p>
    <w:tbl>
      <w:tblPr>
        <w:tblStyle w:val="18"/>
        <w:tblW w:w="0" w:type="auto"/>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169"/>
        <w:gridCol w:w="601"/>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货物品名</w:t>
            </w:r>
          </w:p>
        </w:tc>
        <w:tc>
          <w:tcPr>
            <w:tcW w:w="1169"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规格型号</w:t>
            </w:r>
          </w:p>
        </w:tc>
        <w:tc>
          <w:tcPr>
            <w:tcW w:w="601"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单位</w:t>
            </w:r>
          </w:p>
        </w:tc>
        <w:tc>
          <w:tcPr>
            <w:tcW w:w="900"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单价（万元）</w:t>
            </w:r>
          </w:p>
        </w:tc>
        <w:tc>
          <w:tcPr>
            <w:tcW w:w="1185"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总价（万元）</w:t>
            </w:r>
          </w:p>
        </w:tc>
        <w:tc>
          <w:tcPr>
            <w:tcW w:w="1260"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随机配件</w:t>
            </w:r>
          </w:p>
        </w:tc>
        <w:tc>
          <w:tcPr>
            <w:tcW w:w="1260"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w:t>
            </w:r>
          </w:p>
        </w:tc>
        <w:tc>
          <w:tcPr>
            <w:tcW w:w="1169"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w:t>
            </w:r>
          </w:p>
        </w:tc>
        <w:tc>
          <w:tcPr>
            <w:tcW w:w="601"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w:t>
            </w:r>
          </w:p>
        </w:tc>
        <w:tc>
          <w:tcPr>
            <w:tcW w:w="900"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w:t>
            </w:r>
          </w:p>
        </w:tc>
        <w:tc>
          <w:tcPr>
            <w:tcW w:w="1080"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w:t>
            </w:r>
          </w:p>
        </w:tc>
        <w:tc>
          <w:tcPr>
            <w:tcW w:w="1185"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w:t>
            </w:r>
          </w:p>
        </w:tc>
        <w:tc>
          <w:tcPr>
            <w:tcW w:w="1260"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w:t>
            </w:r>
          </w:p>
        </w:tc>
        <w:tc>
          <w:tcPr>
            <w:tcW w:w="1260"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w:t>
            </w:r>
          </w:p>
        </w:tc>
        <w:tc>
          <w:tcPr>
            <w:tcW w:w="1169"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w:t>
            </w:r>
          </w:p>
        </w:tc>
        <w:tc>
          <w:tcPr>
            <w:tcW w:w="601"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w:t>
            </w:r>
          </w:p>
        </w:tc>
        <w:tc>
          <w:tcPr>
            <w:tcW w:w="900"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w:t>
            </w:r>
          </w:p>
        </w:tc>
        <w:tc>
          <w:tcPr>
            <w:tcW w:w="1080"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w:t>
            </w:r>
          </w:p>
        </w:tc>
        <w:tc>
          <w:tcPr>
            <w:tcW w:w="1185"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w:t>
            </w:r>
          </w:p>
        </w:tc>
        <w:tc>
          <w:tcPr>
            <w:tcW w:w="1260"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w:t>
            </w:r>
          </w:p>
        </w:tc>
        <w:tc>
          <w:tcPr>
            <w:tcW w:w="1260" w:type="dxa"/>
            <w:tcBorders>
              <w:top w:val="single" w:color="auto" w:sz="4" w:space="0"/>
              <w:left w:val="single" w:color="auto" w:sz="4" w:space="0"/>
              <w:bottom w:val="single" w:color="auto" w:sz="4" w:space="0"/>
              <w:right w:val="single" w:color="auto" w:sz="4" w:space="0"/>
            </w:tcBorders>
            <w:vAlign w:val="center"/>
          </w:tcPr>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 </w:t>
            </w:r>
          </w:p>
        </w:tc>
      </w:tr>
    </w:tbl>
    <w:p>
      <w:pPr>
        <w:tabs>
          <w:tab w:val="left" w:pos="7665"/>
        </w:tabs>
        <w:spacing w:after="160" w:line="360" w:lineRule="auto"/>
        <w:ind w:firstLine="360" w:firstLineChars="150"/>
        <w:rPr>
          <w:rFonts w:ascii="仿宋" w:hAnsi="仿宋" w:eastAsia="仿宋" w:cs="仿宋"/>
          <w:color w:val="auto"/>
          <w:sz w:val="24"/>
          <w:highlight w:val="none"/>
        </w:rPr>
      </w:pPr>
      <w:bookmarkStart w:id="107" w:name="_Toc217446108"/>
      <w:r>
        <w:rPr>
          <w:rFonts w:hint="eastAsia" w:ascii="仿宋" w:hAnsi="仿宋" w:eastAsia="仿宋" w:cs="仿宋"/>
          <w:color w:val="auto"/>
          <w:sz w:val="24"/>
          <w:highlight w:val="none"/>
        </w:rPr>
        <w:t>二、合同总价</w:t>
      </w:r>
      <w:bookmarkEnd w:id="107"/>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tabs>
          <w:tab w:val="left" w:pos="7665"/>
        </w:tabs>
        <w:spacing w:after="160" w:line="360" w:lineRule="auto"/>
        <w:ind w:firstLine="360" w:firstLineChars="150"/>
        <w:rPr>
          <w:rFonts w:ascii="仿宋" w:hAnsi="仿宋" w:eastAsia="仿宋" w:cs="仿宋"/>
          <w:color w:val="auto"/>
          <w:sz w:val="24"/>
          <w:highlight w:val="none"/>
        </w:rPr>
      </w:pPr>
      <w:bookmarkStart w:id="108" w:name="_Toc217446109"/>
      <w:r>
        <w:rPr>
          <w:rFonts w:hint="eastAsia" w:ascii="仿宋" w:hAnsi="仿宋" w:eastAsia="仿宋" w:cs="仿宋"/>
          <w:color w:val="auto"/>
          <w:sz w:val="24"/>
          <w:highlight w:val="none"/>
        </w:rPr>
        <w:t>三、质量要求</w:t>
      </w:r>
      <w:bookmarkEnd w:id="108"/>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1、乙方须提供全新的货物（含零部件、配件等），表面无划伤、无碰撞痕迹，且权属清楚，不得侵害他人的知识产权。</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2、货物必须符合或优于国家（行业）标准，以及本项目招标文件的质量要求和技术指标与出厂标准。</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4、货物制造质量出现问题，乙方应负责三包（包修、包换、包退），费用由乙方负担，甲方有权到乙方生产场地检查货物质量和生产进度。</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5、货到现场后由于甲方保管不当造成的质量问题，乙方亦应负责修理，但费用由甲方负担。</w:t>
      </w:r>
    </w:p>
    <w:p>
      <w:pPr>
        <w:tabs>
          <w:tab w:val="left" w:pos="7665"/>
        </w:tabs>
        <w:spacing w:after="160" w:line="360" w:lineRule="auto"/>
        <w:ind w:firstLine="360" w:firstLineChars="150"/>
        <w:rPr>
          <w:rFonts w:ascii="仿宋" w:hAnsi="仿宋" w:eastAsia="仿宋" w:cs="仿宋"/>
          <w:color w:val="auto"/>
          <w:sz w:val="24"/>
          <w:highlight w:val="none"/>
        </w:rPr>
      </w:pPr>
      <w:bookmarkStart w:id="109" w:name="_Toc217446110"/>
      <w:r>
        <w:rPr>
          <w:rFonts w:hint="eastAsia" w:ascii="仿宋" w:hAnsi="仿宋" w:eastAsia="仿宋" w:cs="仿宋"/>
          <w:color w:val="auto"/>
          <w:sz w:val="24"/>
          <w:highlight w:val="none"/>
        </w:rPr>
        <w:t>四、交货及验收</w:t>
      </w:r>
      <w:bookmarkEnd w:id="109"/>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1、乙方交货期限为合同签订生效后的XX日内，在合同签订生效之日起XX天内交货到甲方指定地点，随即在XX日内全部完成安装调试验收合格交付使用，并且最迟应在XX年XX月XX日前全部完成安装调试验收合格交付使用(如由于采购人的原因造成合同延迟签订或验收的，时间顺延)。交货验收时须提供产品质检部门从同类产品中抽样检查合格的检测报告。</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2、验收由甲方组织，乙方配合进行：</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(1) 货物在乙方通知安装调试完毕后日内初步验收。初步验收合格后，进入试用期；试用期间发生重大质量问题，修复后试用相应顺延；试用期结束后日内完成最终验收；</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(4) 如质量验收合格，双方签署质量验收报告。</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3、货物安装完成后日内，甲方无故不进行验收工作并已使用货物的，视同已安装调试完成并验收合格。</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4、乙方应将所提供货物的装箱清单、配件、随机工具、用户使用手册、原厂保修卡等资料交付给甲方；乙方不能完整交付货物及本款规定的单证和工具的，必须负责补齐，否则视为未按合同约定交货。</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5、如货物经乙方次维修仍不能达到合同约定的质量标准，甲方有权退货，并视作乙方不能交付货物而须支付违约赔偿金给甲方，甲方还可依法追究乙方的违约责任。 </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6、其他未尽事宜参照《财政部关于进一步加强政府采购需求和履约验收管理的指导意见》(财库〔2016〕205 号)的要求进行。</w:t>
      </w:r>
    </w:p>
    <w:p>
      <w:pPr>
        <w:tabs>
          <w:tab w:val="left" w:pos="7665"/>
        </w:tabs>
        <w:spacing w:after="160" w:line="360" w:lineRule="auto"/>
        <w:ind w:firstLine="360" w:firstLineChars="150"/>
        <w:rPr>
          <w:rFonts w:ascii="仿宋" w:hAnsi="仿宋" w:eastAsia="仿宋" w:cs="仿宋"/>
          <w:color w:val="auto"/>
          <w:sz w:val="24"/>
          <w:highlight w:val="none"/>
        </w:rPr>
      </w:pPr>
      <w:bookmarkStart w:id="110" w:name="_Toc217446111"/>
      <w:r>
        <w:rPr>
          <w:rFonts w:hint="eastAsia" w:ascii="仿宋" w:hAnsi="仿宋" w:eastAsia="仿宋" w:cs="仿宋"/>
          <w:color w:val="auto"/>
          <w:sz w:val="24"/>
          <w:highlight w:val="none"/>
        </w:rPr>
        <w:t>五、付款方式</w:t>
      </w:r>
      <w:bookmarkEnd w:id="110"/>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（一）适用于无预付款采购项目</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1、全部货物安装调试完毕并验收合格之日起，甲方接到乙方通知与票据凭证资料以后的XX日内，按照财政性资金支付有关规定，向乙方支付合同价款￥XX元，人民币大写XX元整；</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2、履约保证金退还：在货物验收合格满后，甲方接到乙方通知和支付凭证资料文件，以及由甲方确认本合同货物质量与服务等约定事项已经履行完毕的正式书面文件后的XX日内，递交结算凭证资料给银行并由其向乙方支付价款￥XX元， 人民币大写：XX元整；乙方履约不合格的，履约保证金不予退还。</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3、乙方须向甲方出具合法有效完整的完税发票及凭证资料进行支付结算。</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（二）适用于有预付款采购项目（预付款建议不超过政府采购合同金额的30%）</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1、甲方在本合同签订生效之日起接到乙方通知和票据凭证资料以及乙方交给甲方的合同履约保证金（按合同总价的百分之XX计算款额￥XX元，人民币大写：XX元整）后的XX日内支付合同金额百分之XX的价款；</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2、全部货物安装调试完毕并验收合格之日起，甲方接到乙方通知与票据凭证资料以后的日内，提交支付凭证资料给财政国库支付执行机构办理财政国库支付手续，并由其向乙方核拨合同总价的百分之款项：￥XX元，人民币大写XX元整；</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履约保证金退还：在货物验收合格满后，甲方接到乙方通知和支付凭证资料文件，以及由甲方确认本合同货物质量与服务等约定事项已经履行完毕的正式书面文件后的XX日内，递交结算凭证资料给银行并由其向乙方支付价款￥XX元， 人民币大写：XX元整；乙方履约不合格的，履约保证金不予退还。</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4、乙方须向甲方出具合法有效完整的完税发票及凭证资料进行支付结算。</w:t>
      </w:r>
    </w:p>
    <w:p>
      <w:pPr>
        <w:tabs>
          <w:tab w:val="left" w:pos="7665"/>
        </w:tabs>
        <w:spacing w:after="160" w:line="360" w:lineRule="auto"/>
        <w:ind w:firstLine="360" w:firstLineChars="150"/>
        <w:rPr>
          <w:rFonts w:ascii="仿宋" w:hAnsi="仿宋" w:eastAsia="仿宋" w:cs="仿宋"/>
          <w:color w:val="auto"/>
          <w:sz w:val="24"/>
          <w:highlight w:val="none"/>
        </w:rPr>
      </w:pPr>
      <w:bookmarkStart w:id="111" w:name="_Toc217446112"/>
      <w:r>
        <w:rPr>
          <w:rFonts w:hint="eastAsia" w:ascii="仿宋" w:hAnsi="仿宋" w:eastAsia="仿宋" w:cs="仿宋"/>
          <w:color w:val="auto"/>
          <w:sz w:val="24"/>
          <w:highlight w:val="none"/>
        </w:rPr>
        <w:t>六、售后服务</w:t>
      </w:r>
      <w:bookmarkEnd w:id="111"/>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1、质保期为验收合格后XX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2、乙方须指派专人负责与甲方联系售后服务事宜。 </w:t>
      </w:r>
    </w:p>
    <w:p>
      <w:pPr>
        <w:tabs>
          <w:tab w:val="left" w:pos="7665"/>
        </w:tabs>
        <w:spacing w:after="160" w:line="360" w:lineRule="auto"/>
        <w:ind w:firstLine="360" w:firstLineChars="150"/>
        <w:rPr>
          <w:rFonts w:ascii="仿宋" w:hAnsi="仿宋" w:eastAsia="仿宋" w:cs="仿宋"/>
          <w:color w:val="auto"/>
          <w:sz w:val="24"/>
          <w:highlight w:val="none"/>
        </w:rPr>
      </w:pPr>
      <w:bookmarkStart w:id="112" w:name="_Toc217446113"/>
      <w:r>
        <w:rPr>
          <w:rFonts w:hint="eastAsia" w:ascii="仿宋" w:hAnsi="仿宋" w:eastAsia="仿宋" w:cs="仿宋"/>
          <w:color w:val="auto"/>
          <w:sz w:val="24"/>
          <w:highlight w:val="none"/>
        </w:rPr>
        <w:t>七、违约责任</w:t>
      </w:r>
      <w:bookmarkEnd w:id="112"/>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1、甲方违约责任</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（1） 甲方无正当理由拒收货物的，甲方应偿付合同总价百分之XX的违约金；</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（2） 甲方逾期支付货款的，除应及时付足货款外，应向乙方偿付欠款总额万分之/天的违约金；逾期付款超过天的，乙方有权终止合同；</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 甲方偿付的违约金不足以弥补乙方损失的，还应按乙方损失尚未弥补的部分，支付赔偿金给乙方。</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2、乙方违约责任</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2）乙方不能交付货物或逾期交付货物而违约的，除应及时交足货物外，应向甲方偿付逾期交货部分货款总额的万分之/天的违约金；逾期交货超过XX天，甲方有权终止合同，乙方则应按合同总价的百分之的款额向甲方偿付赔偿金，并须全额退还甲方已经付给乙方的货款及其利息。</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（5）乙方偿付的违约金不足以弥补甲方损失的，还应按甲方损失尚未弥补的部分，支付赔偿金给甲方。</w:t>
      </w:r>
    </w:p>
    <w:p>
      <w:pPr>
        <w:tabs>
          <w:tab w:val="left" w:pos="7665"/>
        </w:tabs>
        <w:spacing w:after="160" w:line="360" w:lineRule="auto"/>
        <w:ind w:firstLine="360" w:firstLineChars="150"/>
        <w:rPr>
          <w:rFonts w:ascii="仿宋" w:hAnsi="仿宋" w:eastAsia="仿宋" w:cs="仿宋"/>
          <w:color w:val="auto"/>
          <w:sz w:val="24"/>
          <w:highlight w:val="none"/>
        </w:rPr>
      </w:pPr>
      <w:bookmarkStart w:id="113" w:name="_Toc217446114"/>
      <w:r>
        <w:rPr>
          <w:rFonts w:hint="eastAsia" w:ascii="仿宋" w:hAnsi="仿宋" w:eastAsia="仿宋" w:cs="仿宋"/>
          <w:color w:val="auto"/>
          <w:sz w:val="24"/>
          <w:highlight w:val="none"/>
        </w:rPr>
        <w:t>八、争议解决办法</w:t>
      </w:r>
      <w:bookmarkEnd w:id="113"/>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1、因货物的质量问题发生争议，由质量技术监督部门或其指定的质量鉴定机构进行质量鉴定。货物符合标准的，鉴定费由甲方承担；货物不符合质量标准的，鉴定费由乙方承担。</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2、合同履行期间,若双方发生争议，可协商或由有关部门调解解决，协商或调解不成的，由当事人依法维护其合法权益。</w:t>
      </w:r>
    </w:p>
    <w:p>
      <w:pPr>
        <w:tabs>
          <w:tab w:val="left" w:pos="7665"/>
        </w:tabs>
        <w:spacing w:after="160" w:line="360" w:lineRule="auto"/>
        <w:ind w:firstLine="360" w:firstLineChars="150"/>
        <w:rPr>
          <w:rFonts w:ascii="仿宋" w:hAnsi="仿宋" w:eastAsia="仿宋" w:cs="仿宋"/>
          <w:color w:val="auto"/>
          <w:sz w:val="24"/>
          <w:highlight w:val="none"/>
        </w:rPr>
      </w:pPr>
      <w:bookmarkStart w:id="114" w:name="_Toc217446115"/>
      <w:r>
        <w:rPr>
          <w:rFonts w:hint="eastAsia" w:ascii="仿宋" w:hAnsi="仿宋" w:eastAsia="仿宋" w:cs="仿宋"/>
          <w:color w:val="auto"/>
          <w:sz w:val="24"/>
          <w:highlight w:val="none"/>
        </w:rPr>
        <w:t>九、其他</w:t>
      </w:r>
      <w:bookmarkEnd w:id="114"/>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1、如有未尽事宜，由双方依法订立补充合同。</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2、本合同一式六份，自双方签章之日起生效。甲方三份，乙方、政府采购管理部门、采购代理机构各一份。</w:t>
      </w:r>
    </w:p>
    <w:p>
      <w:pPr>
        <w:tabs>
          <w:tab w:val="left" w:pos="7665"/>
        </w:tabs>
        <w:spacing w:after="160" w:line="360" w:lineRule="auto"/>
        <w:ind w:firstLine="360" w:firstLineChars="150"/>
        <w:rPr>
          <w:rFonts w:ascii="仿宋" w:hAnsi="仿宋" w:eastAsia="仿宋" w:cs="仿宋"/>
          <w:color w:val="auto"/>
          <w:sz w:val="24"/>
          <w:highlight w:val="none"/>
        </w:rPr>
      </w:pPr>
    </w:p>
    <w:p>
      <w:pPr>
        <w:tabs>
          <w:tab w:val="left" w:pos="7665"/>
        </w:tabs>
        <w:spacing w:after="160" w:line="360" w:lineRule="auto"/>
        <w:ind w:left="1318" w:leftChars="228" w:hanging="840" w:hangingChars="350"/>
        <w:rPr>
          <w:rFonts w:ascii="仿宋" w:hAnsi="仿宋" w:eastAsia="仿宋" w:cs="仿宋"/>
          <w:color w:val="auto"/>
          <w:sz w:val="24"/>
          <w:highlight w:val="none"/>
        </w:rPr>
      </w:pPr>
      <w:r>
        <w:rPr>
          <w:rFonts w:hint="eastAsia" w:ascii="仿宋" w:hAnsi="仿宋" w:eastAsia="仿宋" w:cs="仿宋"/>
          <w:color w:val="auto"/>
          <w:sz w:val="24"/>
          <w:highlight w:val="none"/>
        </w:rPr>
        <w:t>甲方：   （盖章）                 乙方：   （盖章）</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法定代表人（授权代表）：           法定代表人（授权代表）：</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地    址：                         地    址：</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开户银行：                         开户银行：</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账号：                             账号：</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电    话：                         电    话：</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传    真：                         传    真：</w:t>
      </w:r>
    </w:p>
    <w:p>
      <w:pPr>
        <w:tabs>
          <w:tab w:val="left" w:pos="7665"/>
        </w:tabs>
        <w:spacing w:after="16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签约日期：XX年XX月XX日</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签约日期：XX年XX月XX日</w:t>
      </w:r>
    </w:p>
    <w:p>
      <w:pPr>
        <w:rPr>
          <w:rFonts w:ascii="仿宋" w:hAnsi="仿宋" w:eastAsia="仿宋" w:cs="仿宋"/>
          <w:color w:val="auto"/>
          <w:sz w:val="24"/>
          <w:highlight w:val="none"/>
        </w:rPr>
      </w:pPr>
      <w:r>
        <w:rPr>
          <w:rFonts w:hint="eastAsia" w:ascii="仿宋" w:hAnsi="仿宋" w:eastAsia="仿宋" w:cs="仿宋"/>
          <w:color w:val="auto"/>
          <w:sz w:val="24"/>
          <w:highlight w:val="none"/>
        </w:rPr>
        <w:br w:type="page"/>
      </w:r>
    </w:p>
    <w:p>
      <w:pPr>
        <w:pStyle w:val="2"/>
        <w:rPr>
          <w:rFonts w:ascii="仿宋" w:hAnsi="仿宋" w:eastAsia="仿宋" w:cs="仿宋"/>
          <w:color w:val="auto"/>
          <w:highlight w:val="none"/>
        </w:rPr>
      </w:pPr>
      <w:r>
        <w:rPr>
          <w:rFonts w:hint="eastAsia" w:ascii="仿宋" w:hAnsi="仿宋" w:eastAsia="仿宋" w:cs="仿宋"/>
          <w:color w:val="auto"/>
          <w:highlight w:val="none"/>
        </w:rPr>
        <w:t>附件一：《四川省财政厅关于推进四川省政府采购供应商信用融资工作的通知》</w:t>
      </w:r>
    </w:p>
    <w:p>
      <w:pPr>
        <w:rPr>
          <w:color w:val="auto"/>
          <w:highlight w:val="none"/>
        </w:rPr>
      </w:pPr>
      <w:r>
        <w:rPr>
          <w:rFonts w:hint="eastAsia"/>
          <w:color w:val="auto"/>
          <w:highlight w:val="none"/>
        </w:rPr>
        <w:drawing>
          <wp:inline distT="0" distB="0" distL="0" distR="0">
            <wp:extent cx="5132070" cy="7292340"/>
            <wp:effectExtent l="0" t="0" r="11430" b="3810"/>
            <wp:docPr id="43" name="图片 43"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pPr>
        <w:pStyle w:val="2"/>
        <w:rPr>
          <w:color w:val="auto"/>
          <w:highlight w:val="none"/>
        </w:rPr>
      </w:pPr>
      <w:r>
        <w:rPr>
          <w:rFonts w:hint="eastAsia"/>
          <w:color w:val="auto"/>
          <w:highlight w:val="none"/>
        </w:rPr>
        <w:br w:type="page"/>
      </w:r>
    </w:p>
    <w:p>
      <w:pPr>
        <w:rPr>
          <w:color w:val="auto"/>
          <w:highlight w:val="none"/>
        </w:rPr>
      </w:pPr>
      <w:r>
        <w:rPr>
          <w:rFonts w:hint="eastAsia"/>
          <w:color w:val="auto"/>
          <w:highlight w:val="none"/>
        </w:rPr>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pPr>
        <w:rPr>
          <w:color w:val="auto"/>
          <w:highlight w:val="none"/>
        </w:rPr>
      </w:pPr>
      <w:r>
        <w:rPr>
          <w:rFonts w:hint="eastAsia"/>
          <w:color w:val="auto"/>
          <w:highlight w:val="none"/>
        </w:rPr>
        <w:drawing>
          <wp:inline distT="0" distB="0" distL="0" distR="0">
            <wp:extent cx="5941060" cy="8237220"/>
            <wp:effectExtent l="0" t="0" r="2540" b="0"/>
            <wp:docPr id="44" name="图片 4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pPr>
        <w:rPr>
          <w:color w:val="auto"/>
          <w:highlight w:val="none"/>
        </w:rPr>
      </w:pPr>
      <w:r>
        <w:rPr>
          <w:rFonts w:hint="eastAsia"/>
          <w:color w:val="auto"/>
          <w:highlight w:val="none"/>
        </w:rPr>
        <w:drawing>
          <wp:inline distT="0" distB="0" distL="0" distR="0">
            <wp:extent cx="5940425" cy="8124825"/>
            <wp:effectExtent l="0" t="0" r="0" b="0"/>
            <wp:docPr id="45" name="图片 4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pPr>
        <w:rPr>
          <w:color w:val="auto"/>
          <w:highlight w:val="none"/>
        </w:rPr>
      </w:pPr>
      <w:r>
        <w:rPr>
          <w:rFonts w:hint="eastAsia"/>
          <w:color w:val="auto"/>
          <w:highlight w:val="none"/>
        </w:rPr>
        <w:drawing>
          <wp:inline distT="0" distB="0" distL="0" distR="0">
            <wp:extent cx="5940425" cy="8963025"/>
            <wp:effectExtent l="0" t="0" r="0" b="0"/>
            <wp:docPr id="46" name="图片 4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pPr>
        <w:rPr>
          <w:color w:val="auto"/>
          <w:highlight w:val="none"/>
        </w:rPr>
      </w:pPr>
      <w:r>
        <w:rPr>
          <w:rFonts w:hint="eastAsia"/>
          <w:color w:val="auto"/>
          <w:highlight w:val="none"/>
        </w:rPr>
        <w:drawing>
          <wp:inline distT="0" distB="0" distL="0" distR="0">
            <wp:extent cx="5940425" cy="8058150"/>
            <wp:effectExtent l="0" t="0" r="0" b="0"/>
            <wp:docPr id="47" name="图片 4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pPr>
        <w:rPr>
          <w:color w:val="auto"/>
          <w:highlight w:val="none"/>
        </w:rPr>
      </w:pPr>
      <w:r>
        <w:rPr>
          <w:rFonts w:hint="eastAsia"/>
          <w:color w:val="auto"/>
          <w:highlight w:val="none"/>
        </w:rPr>
        <w:drawing>
          <wp:inline distT="0" distB="0" distL="0" distR="0">
            <wp:extent cx="5941060" cy="8360410"/>
            <wp:effectExtent l="0" t="0" r="2540" b="2540"/>
            <wp:docPr id="48" name="图片 4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pPr>
        <w:rPr>
          <w:color w:val="auto"/>
          <w:highlight w:val="none"/>
        </w:rPr>
      </w:pPr>
      <w:r>
        <w:rPr>
          <w:rFonts w:hint="eastAsia"/>
          <w:color w:val="auto"/>
          <w:highlight w:val="none"/>
        </w:rPr>
        <w:drawing>
          <wp:inline distT="0" distB="0" distL="0" distR="0">
            <wp:extent cx="5940425" cy="8001000"/>
            <wp:effectExtent l="0" t="0" r="0" b="0"/>
            <wp:docPr id="49" name="图片 4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pPr>
        <w:rPr>
          <w:color w:val="auto"/>
          <w:highlight w:val="none"/>
        </w:rPr>
      </w:pPr>
      <w:r>
        <w:rPr>
          <w:rFonts w:hint="eastAsia"/>
          <w:color w:val="auto"/>
          <w:highlight w:val="none"/>
        </w:rPr>
        <w:drawing>
          <wp:inline distT="0" distB="0" distL="0" distR="0">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pPr>
        <w:rPr>
          <w:color w:val="auto"/>
          <w:highlight w:val="none"/>
        </w:rPr>
      </w:pPr>
      <w:r>
        <w:rPr>
          <w:rFonts w:hint="eastAsia"/>
          <w:color w:val="auto"/>
          <w:highlight w:val="none"/>
        </w:rPr>
        <w:drawing>
          <wp:inline distT="0" distB="0" distL="0" distR="0">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rFonts w:hint="eastAsia"/>
          <w:color w:val="auto"/>
          <w:highlight w:val="none"/>
        </w:rPr>
        <w:drawing>
          <wp:inline distT="0" distB="0" distL="0" distR="0">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pPr>
        <w:rPr>
          <w:color w:val="auto"/>
          <w:highlight w:val="none"/>
        </w:rPr>
      </w:pPr>
      <w:r>
        <w:rPr>
          <w:rFonts w:hint="eastAsia"/>
          <w:color w:val="auto"/>
          <w:highlight w:val="none"/>
        </w:rPr>
        <w:br w:type="page"/>
      </w:r>
    </w:p>
    <w:p>
      <w:pPr>
        <w:pStyle w:val="2"/>
        <w:rPr>
          <w:rFonts w:ascii="仿宋" w:hAnsi="仿宋" w:eastAsia="仿宋" w:cs="仿宋"/>
          <w:color w:val="auto"/>
          <w:highlight w:val="none"/>
        </w:rPr>
      </w:pPr>
      <w:r>
        <w:rPr>
          <w:rFonts w:hint="eastAsia" w:ascii="仿宋" w:hAnsi="仿宋" w:eastAsia="仿宋" w:cs="仿宋"/>
          <w:color w:val="auto"/>
          <w:highlight w:val="none"/>
        </w:rPr>
        <w:t>附件二：《成都市中小企业政府采购信用融资暂行办法》和《成都市级支持中小企业政府采购信用融资实施方案》</w:t>
      </w:r>
    </w:p>
    <w:p>
      <w:pPr>
        <w:rPr>
          <w:color w:val="auto"/>
          <w:highlight w:val="none"/>
        </w:rPr>
      </w:pPr>
    </w:p>
    <w:p>
      <w:pPr>
        <w:rPr>
          <w:color w:val="auto"/>
          <w:highlight w:val="none"/>
        </w:rPr>
      </w:pPr>
    </w:p>
    <w:p>
      <w:pPr>
        <w:rPr>
          <w:color w:val="auto"/>
          <w:highlight w:val="none"/>
        </w:rPr>
      </w:pPr>
      <w:r>
        <w:rPr>
          <w:rFonts w:hint="eastAsia"/>
          <w:color w:val="auto"/>
          <w:highlight w:val="none"/>
        </w:rPr>
        <w:drawing>
          <wp:inline distT="0" distB="0" distL="0" distR="0">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pPr>
        <w:rPr>
          <w:color w:val="auto"/>
          <w:highlight w:val="none"/>
        </w:rPr>
      </w:pPr>
      <w:r>
        <w:rPr>
          <w:rFonts w:hint="eastAsia"/>
          <w:color w:val="auto"/>
          <w:highlight w:val="none"/>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r>
        <w:rPr>
          <w:rFonts w:hint="eastAsia"/>
          <w:color w:val="auto"/>
          <w:highlight w:val="none"/>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pStyle w:val="2"/>
        <w:rPr>
          <w:color w:val="auto"/>
          <w:highlight w:val="none"/>
        </w:rPr>
      </w:pPr>
      <w:r>
        <w:rPr>
          <w:rFonts w:hint="eastAsia"/>
          <w:color w:val="auto"/>
          <w:highlight w:val="none"/>
        </w:rPr>
        <w:br w:type="page"/>
      </w:r>
    </w:p>
    <w:p>
      <w:pPr>
        <w:rPr>
          <w:color w:val="auto"/>
          <w:highlight w:val="none"/>
        </w:rPr>
      </w:pPr>
      <w:r>
        <w:rPr>
          <w:rFonts w:hint="eastAsia"/>
          <w:color w:val="auto"/>
          <w:highlight w:val="none"/>
        </w:rPr>
        <w:drawing>
          <wp:inline distT="0" distB="0" distL="0" distR="0">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r>
        <w:rPr>
          <w:rFonts w:hint="eastAsia"/>
          <w:color w:val="auto"/>
          <w:highlight w:val="none"/>
        </w:rP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pPr>
        <w:rPr>
          <w:color w:val="auto"/>
          <w:highlight w:val="none"/>
        </w:rPr>
      </w:pPr>
      <w:r>
        <w:rPr>
          <w:rFonts w:hint="eastAsia"/>
          <w:color w:val="auto"/>
          <w:highlight w:val="none"/>
        </w:rP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p>
      <w:pPr>
        <w:pStyle w:val="2"/>
        <w:rPr>
          <w:color w:val="auto"/>
          <w:highlight w:val="none"/>
        </w:rPr>
        <w:sectPr>
          <w:footerReference r:id="rId8" w:type="default"/>
          <w:footerReference r:id="rId9" w:type="even"/>
          <w:type w:val="continuous"/>
          <w:pgSz w:w="11906" w:h="16838"/>
          <w:pgMar w:top="720" w:right="1274" w:bottom="720" w:left="1276" w:header="851" w:footer="992" w:gutter="0"/>
          <w:cols w:space="720" w:num="1"/>
          <w:docGrid w:type="linesAndChars" w:linePitch="312" w:charSpace="0"/>
        </w:sectPr>
      </w:pPr>
    </w:p>
    <w:p>
      <w:pPr>
        <w:pStyle w:val="2"/>
        <w:rPr>
          <w:rFonts w:ascii="仿宋" w:hAnsi="仿宋" w:eastAsia="仿宋" w:cs="仿宋"/>
          <w:color w:val="auto"/>
          <w:highlight w:val="none"/>
        </w:rPr>
      </w:pPr>
      <w:r>
        <w:rPr>
          <w:rFonts w:hint="eastAsia" w:ascii="仿宋" w:hAnsi="仿宋" w:eastAsia="仿宋" w:cs="仿宋"/>
          <w:color w:val="auto"/>
          <w:highlight w:val="none"/>
        </w:rPr>
        <w:t>附件三：政府采购云平台使用介绍</w:t>
      </w:r>
    </w:p>
    <w:p>
      <w:pPr>
        <w:spacing w:after="160" w:line="360"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1.输入网址：</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Fonts w:hint="eastAsia" w:ascii="仿宋" w:hAnsi="仿宋" w:eastAsia="仿宋" w:cs="仿宋"/>
          <w:b/>
          <w:bCs/>
          <w:color w:val="auto"/>
          <w:sz w:val="24"/>
          <w:highlight w:val="none"/>
        </w:rPr>
        <w:t>https://www.zcygov.cn</w:t>
      </w:r>
      <w:r>
        <w:rPr>
          <w:rFonts w:hint="eastAsia" w:ascii="仿宋" w:hAnsi="仿宋" w:eastAsia="仿宋" w:cs="仿宋"/>
          <w:b/>
          <w:bCs/>
          <w:color w:val="auto"/>
          <w:sz w:val="24"/>
          <w:highlight w:val="none"/>
        </w:rPr>
        <w:fldChar w:fldCharType="end"/>
      </w:r>
    </w:p>
    <w:p>
      <w:pPr>
        <w:spacing w:after="160" w:line="360"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2.选择与项目对应的行政区域如：四川省-成都市-成都市本级</w:t>
      </w:r>
    </w:p>
    <w:p>
      <w:pPr>
        <w:spacing w:after="160" w:line="360"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2"/>
                    <a:stretch>
                      <a:fillRect/>
                    </a:stretch>
                  </pic:blipFill>
                  <pic:spPr>
                    <a:xfrm>
                      <a:off x="0" y="0"/>
                      <a:ext cx="4653915" cy="2910840"/>
                    </a:xfrm>
                    <a:prstGeom prst="rect">
                      <a:avLst/>
                    </a:prstGeom>
                    <a:noFill/>
                    <a:ln>
                      <a:noFill/>
                    </a:ln>
                  </pic:spPr>
                </pic:pic>
              </a:graphicData>
            </a:graphic>
          </wp:inline>
        </w:drawing>
      </w:r>
    </w:p>
    <w:p>
      <w:pPr>
        <w:spacing w:after="160" w:line="360" w:lineRule="auto"/>
        <w:jc w:val="left"/>
        <w:rPr>
          <w:rFonts w:ascii="仿宋" w:hAnsi="仿宋" w:eastAsia="仿宋" w:cs="仿宋"/>
          <w:b/>
          <w:bCs/>
          <w:color w:val="auto"/>
          <w:sz w:val="24"/>
          <w:highlight w:val="none"/>
        </w:rPr>
      </w:pPr>
    </w:p>
    <w:p>
      <w:pPr>
        <w:rPr>
          <w:rFonts w:ascii="仿宋" w:hAnsi="仿宋" w:eastAsia="仿宋" w:cs="仿宋"/>
          <w:color w:val="auto"/>
          <w:highlight w:val="none"/>
        </w:rPr>
      </w:pPr>
      <w:r>
        <w:rPr>
          <w:rFonts w:hint="eastAsia" w:ascii="仿宋" w:hAnsi="仿宋" w:eastAsia="仿宋" w:cs="仿宋"/>
          <w:color w:val="auto"/>
          <w:highlight w:val="none"/>
        </w:rPr>
        <w:br w:type="page"/>
      </w:r>
    </w:p>
    <w:p>
      <w:pPr>
        <w:spacing w:after="160" w:line="360"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点击操作指南-供应商</w:t>
      </w:r>
    </w:p>
    <w:p>
      <w:pPr>
        <w:spacing w:after="160" w:line="360" w:lineRule="auto"/>
        <w:jc w:val="left"/>
        <w:rPr>
          <w:rFonts w:ascii="仿宋" w:hAnsi="仿宋" w:eastAsia="仿宋" w:cs="仿宋"/>
          <w:b/>
          <w:bCs/>
          <w:color w:val="auto"/>
          <w:sz w:val="24"/>
          <w:highlight w:val="none"/>
        </w:rPr>
      </w:pPr>
      <w:r>
        <w:rPr>
          <w:rFonts w:hint="eastAsia" w:ascii="仿宋" w:hAnsi="仿宋" w:eastAsia="仿宋" w:cs="仿宋"/>
          <w:color w:val="auto"/>
          <w:sz w:val="24"/>
          <w:highlight w:val="none"/>
        </w:rPr>
        <w:drawing>
          <wp:inline distT="0" distB="0" distL="114300" distR="114300">
            <wp:extent cx="5998210" cy="3106420"/>
            <wp:effectExtent l="0" t="0" r="2540" b="17780"/>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3"/>
                    <a:stretch>
                      <a:fillRect/>
                    </a:stretch>
                  </pic:blipFill>
                  <pic:spPr>
                    <a:xfrm>
                      <a:off x="0" y="0"/>
                      <a:ext cx="5998210" cy="3106420"/>
                    </a:xfrm>
                    <a:prstGeom prst="rect">
                      <a:avLst/>
                    </a:prstGeom>
                    <a:noFill/>
                    <a:ln>
                      <a:noFill/>
                    </a:ln>
                  </pic:spPr>
                </pic:pic>
              </a:graphicData>
            </a:graphic>
          </wp:inline>
        </w:drawing>
      </w:r>
      <w:r>
        <w:rPr>
          <w:rFonts w:hint="eastAsia" w:ascii="仿宋" w:hAnsi="仿宋" w:eastAsia="仿宋" w:cs="仿宋"/>
          <w:color w:val="auto"/>
          <w:sz w:val="24"/>
          <w:highlight w:val="none"/>
        </w:rPr>
        <w:br w:type="page"/>
      </w:r>
      <w:r>
        <w:rPr>
          <w:rFonts w:hint="eastAsia" w:ascii="仿宋" w:hAnsi="仿宋" w:eastAsia="仿宋" w:cs="仿宋"/>
          <w:b/>
          <w:bCs/>
          <w:color w:val="auto"/>
          <w:sz w:val="24"/>
          <w:highlight w:val="none"/>
        </w:rPr>
        <w:t>4.进入政采云供应商学习专题页面（https://edu.zcygov.cn/luban/xxzt-chengdu-gys?utm=a0017.b1347.cl50.5.0917bc90b7bb11eb807c353645758db6）</w:t>
      </w:r>
    </w:p>
    <w:p>
      <w:pPr>
        <w:spacing w:after="160" w:line="360"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drawing>
          <wp:inline distT="0" distB="0" distL="114300" distR="114300">
            <wp:extent cx="5951220" cy="2961640"/>
            <wp:effectExtent l="0" t="0" r="11430" b="1016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4"/>
                    <a:stretch>
                      <a:fillRect/>
                    </a:stretch>
                  </pic:blipFill>
                  <pic:spPr>
                    <a:xfrm>
                      <a:off x="0" y="0"/>
                      <a:ext cx="5951220" cy="2961640"/>
                    </a:xfrm>
                    <a:prstGeom prst="rect">
                      <a:avLst/>
                    </a:prstGeom>
                    <a:noFill/>
                    <a:ln>
                      <a:noFill/>
                    </a:ln>
                  </pic:spPr>
                </pic:pic>
              </a:graphicData>
            </a:graphic>
          </wp:inline>
        </w:drawing>
      </w:r>
    </w:p>
    <w:p>
      <w:pPr>
        <w:spacing w:after="160" w:line="360" w:lineRule="auto"/>
        <w:jc w:val="left"/>
        <w:rPr>
          <w:rFonts w:ascii="仿宋" w:hAnsi="仿宋" w:eastAsia="仿宋" w:cs="仿宋"/>
          <w:b/>
          <w:bCs/>
          <w:color w:val="auto"/>
          <w:sz w:val="24"/>
          <w:highlight w:val="none"/>
        </w:rPr>
      </w:pPr>
      <w:r>
        <w:rPr>
          <w:rFonts w:hint="eastAsia"/>
          <w:color w:val="auto"/>
          <w:highlight w:val="none"/>
        </w:rPr>
        <w:br w:type="page"/>
      </w:r>
      <w:r>
        <w:rPr>
          <w:rFonts w:hint="eastAsia" w:ascii="仿宋" w:hAnsi="仿宋" w:eastAsia="仿宋" w:cs="仿宋"/>
          <w:b/>
          <w:bCs/>
          <w:color w:val="auto"/>
          <w:sz w:val="24"/>
          <w:highlight w:val="none"/>
        </w:rPr>
        <w:t>5.供应商资讯服务渠道</w:t>
      </w:r>
    </w:p>
    <w:p>
      <w:pPr>
        <w:spacing w:after="160" w:line="360"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drawing>
          <wp:inline distT="0" distB="0" distL="114300" distR="114300">
            <wp:extent cx="6158230" cy="2207895"/>
            <wp:effectExtent l="0" t="0" r="13970" b="190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45"/>
                    <a:stretch>
                      <a:fillRect/>
                    </a:stretch>
                  </pic:blipFill>
                  <pic:spPr>
                    <a:xfrm>
                      <a:off x="0" y="0"/>
                      <a:ext cx="6158230" cy="2207895"/>
                    </a:xfrm>
                    <a:prstGeom prst="rect">
                      <a:avLst/>
                    </a:prstGeom>
                    <a:noFill/>
                    <a:ln>
                      <a:noFill/>
                    </a:ln>
                  </pic:spPr>
                </pic:pic>
              </a:graphicData>
            </a:graphic>
          </wp:inline>
        </w:drawing>
      </w:r>
    </w:p>
    <w:p>
      <w:pPr>
        <w:spacing w:after="160" w:line="360" w:lineRule="auto"/>
        <w:jc w:val="left"/>
        <w:rPr>
          <w:rFonts w:ascii="仿宋" w:hAnsi="仿宋" w:eastAsia="仿宋" w:cs="仿宋"/>
          <w:b/>
          <w:bCs/>
          <w:color w:val="auto"/>
          <w:sz w:val="24"/>
          <w:highlight w:val="none"/>
        </w:rPr>
      </w:pPr>
      <w:r>
        <w:rPr>
          <w:rFonts w:hint="eastAsia"/>
          <w:color w:val="auto"/>
          <w:highlight w:val="none"/>
        </w:rPr>
        <w:br w:type="page"/>
      </w:r>
      <w:r>
        <w:rPr>
          <w:rFonts w:hint="eastAsia" w:ascii="仿宋" w:hAnsi="仿宋" w:eastAsia="仿宋" w:cs="仿宋"/>
          <w:b/>
          <w:bCs/>
          <w:color w:val="auto"/>
          <w:sz w:val="24"/>
          <w:highlight w:val="none"/>
        </w:rPr>
        <w:t>6.入驻政府采购云平台（注册）</w:t>
      </w:r>
    </w:p>
    <w:p>
      <w:pPr>
        <w:spacing w:after="160" w:line="360"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drawing>
          <wp:inline distT="0" distB="0" distL="114300" distR="114300">
            <wp:extent cx="6553200" cy="2668270"/>
            <wp:effectExtent l="0" t="0" r="0" b="1778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46"/>
                    <a:stretch>
                      <a:fillRect/>
                    </a:stretch>
                  </pic:blipFill>
                  <pic:spPr>
                    <a:xfrm>
                      <a:off x="0" y="0"/>
                      <a:ext cx="6553200" cy="2668270"/>
                    </a:xfrm>
                    <a:prstGeom prst="rect">
                      <a:avLst/>
                    </a:prstGeom>
                    <a:noFill/>
                    <a:ln>
                      <a:noFill/>
                    </a:ln>
                  </pic:spPr>
                </pic:pic>
              </a:graphicData>
            </a:graphic>
          </wp:inline>
        </w:drawing>
      </w:r>
    </w:p>
    <w:p>
      <w:pPr>
        <w:spacing w:after="160" w:line="360" w:lineRule="auto"/>
        <w:jc w:val="left"/>
        <w:rPr>
          <w:rFonts w:ascii="仿宋" w:hAnsi="仿宋" w:eastAsia="仿宋" w:cs="仿宋"/>
          <w:b/>
          <w:bCs/>
          <w:color w:val="auto"/>
          <w:sz w:val="24"/>
          <w:highlight w:val="none"/>
        </w:rPr>
      </w:pPr>
      <w:r>
        <w:rPr>
          <w:rFonts w:hint="eastAsia"/>
          <w:color w:val="auto"/>
          <w:highlight w:val="none"/>
        </w:rPr>
        <w:br w:type="page"/>
      </w:r>
      <w:r>
        <w:rPr>
          <w:rFonts w:hint="eastAsia" w:ascii="仿宋" w:hAnsi="仿宋" w:eastAsia="仿宋" w:cs="仿宋"/>
          <w:b/>
          <w:bCs/>
          <w:color w:val="auto"/>
          <w:sz w:val="24"/>
          <w:highlight w:val="none"/>
        </w:rPr>
        <w:t>7.下载《供应商政府采购项目电子交易操作指南》</w:t>
      </w:r>
    </w:p>
    <w:p>
      <w:pPr>
        <w:spacing w:after="160" w:line="360"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drawing>
          <wp:inline distT="0" distB="0" distL="114300" distR="114300">
            <wp:extent cx="4800600" cy="2660015"/>
            <wp:effectExtent l="0" t="0" r="0" b="698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47"/>
                    <a:stretch>
                      <a:fillRect/>
                    </a:stretch>
                  </pic:blipFill>
                  <pic:spPr>
                    <a:xfrm>
                      <a:off x="0" y="0"/>
                      <a:ext cx="4800600" cy="2660015"/>
                    </a:xfrm>
                    <a:prstGeom prst="rect">
                      <a:avLst/>
                    </a:prstGeom>
                    <a:noFill/>
                    <a:ln>
                      <a:noFill/>
                    </a:ln>
                  </pic:spPr>
                </pic:pic>
              </a:graphicData>
            </a:graphic>
          </wp:inline>
        </w:drawing>
      </w:r>
    </w:p>
    <w:p>
      <w:pPr>
        <w:spacing w:after="160" w:line="360" w:lineRule="auto"/>
        <w:jc w:val="left"/>
        <w:rPr>
          <w:rFonts w:ascii="仿宋" w:hAnsi="仿宋" w:eastAsia="仿宋" w:cs="仿宋"/>
          <w:b/>
          <w:bCs/>
          <w:color w:val="auto"/>
          <w:sz w:val="24"/>
          <w:highlight w:val="none"/>
        </w:rPr>
      </w:pPr>
    </w:p>
    <w:p>
      <w:pPr>
        <w:spacing w:after="160" w:line="360" w:lineRule="auto"/>
        <w:jc w:val="left"/>
        <w:rPr>
          <w:rFonts w:ascii="仿宋" w:hAnsi="仿宋" w:eastAsia="仿宋" w:cs="仿宋"/>
          <w:b/>
          <w:bCs/>
          <w:color w:val="auto"/>
          <w:sz w:val="24"/>
          <w:highlight w:val="none"/>
        </w:rPr>
      </w:pPr>
    </w:p>
    <w:sectPr>
      <w:footerReference r:id="rId10" w:type="default"/>
      <w:type w:val="continuous"/>
      <w:pgSz w:w="11907" w:h="16840"/>
      <w:pgMar w:top="1440" w:right="1080" w:bottom="1440" w:left="1080" w:header="851" w:footer="992"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宋体" w:hAnsi="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pPr>
                          <w:r>
                            <w:fldChar w:fldCharType="begin"/>
                          </w:r>
                          <w:r>
                            <w:instrText xml:space="preserve"> PAGE  \* MERGEFORMAT </w:instrText>
                          </w:r>
                          <w:r>
                            <w:fldChar w:fldCharType="separate"/>
                          </w:r>
                          <w:r>
                            <w:t>77</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HwXDx3FAQAAmwMAAA4AAAAAAAAAAQAgAAAAHgEAAGRycy9lMm9Eb2MueG1s&#10;UEsFBgAAAAAGAAYAWQEAAFUFAAAAAA==&#10;">
              <v:fill on="f" focussize="0,0"/>
              <v:stroke on="f"/>
              <v:imagedata o:title=""/>
              <o:lock v:ext="edit" aspectratio="f"/>
              <v:textbox inset="0mm,0mm,0mm,0mm" style="mso-fit-shape-to-text:t;">
                <w:txbxContent>
                  <w:p>
                    <w:pPr>
                      <w:pStyle w:val="13"/>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pPr>
                          <w:r>
                            <w:t>第</w:t>
                          </w:r>
                          <w:r>
                            <w:fldChar w:fldCharType="begin"/>
                          </w:r>
                          <w:r>
                            <w:instrText xml:space="preserve"> PAGE  \* MERGEFORMAT </w:instrText>
                          </w:r>
                          <w:r>
                            <w:fldChar w:fldCharType="separate"/>
                          </w:r>
                          <w:r>
                            <w:t>1</w:t>
                          </w:r>
                          <w:r>
                            <w:fldChar w:fldCharType="end"/>
                          </w:r>
                          <w:r>
                            <w:t>页</w:t>
                          </w:r>
                        </w:p>
                      </w:txbxContent>
                    </wps:txbx>
                    <wps:bodyPr wrap="none" lIns="0" tIns="0" rIns="0" bIns="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GoEqEDFAQAAmwMAAA4AAAAAAAAAAQAgAAAAHgEAAGRycy9lMm9Eb2MueG1s&#10;UEsFBgAAAAAGAAYAWQEAAFUFAAAAAA==&#10;">
              <v:fill on="f" focussize="0,0"/>
              <v:stroke on="f"/>
              <v:imagedata o:title=""/>
              <o:lock v:ext="edit" aspectratio="f"/>
              <v:textbox inset="0mm,0mm,0mm,0mm" style="mso-fit-shape-to-text:t;">
                <w:txbxContent>
                  <w:p>
                    <w:pPr>
                      <w:pStyle w:val="13"/>
                    </w:pPr>
                    <w:r>
                      <w:t>第</w:t>
                    </w:r>
                    <w:r>
                      <w:fldChar w:fldCharType="begin"/>
                    </w:r>
                    <w:r>
                      <w:instrText xml:space="preserve"> PAGE  \* MERGEFORMAT </w:instrText>
                    </w:r>
                    <w:r>
                      <w:fldChar w:fldCharType="separate"/>
                    </w:r>
                    <w:r>
                      <w:t>1</w:t>
                    </w:r>
                    <w:r>
                      <w:fldChar w:fldCharType="end"/>
                    </w:r>
                    <w:r>
                      <w:t>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宋体" w:hAnsi="宋体"/>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jc w:val="center"/>
                          </w:pPr>
                          <w:r>
                            <w:rPr>
                              <w:rFonts w:hint="eastAsia" w:ascii="宋体" w:hAnsi="宋体"/>
                              <w:b/>
                              <w:bCs/>
                            </w:rPr>
                            <w:t>第-</w:t>
                          </w:r>
                          <w:r>
                            <w:rPr>
                              <w:rFonts w:ascii="宋体" w:hAnsi="宋体"/>
                              <w:b/>
                              <w:bCs/>
                            </w:rPr>
                            <w:fldChar w:fldCharType="begin"/>
                          </w:r>
                          <w:r>
                            <w:rPr>
                              <w:rFonts w:ascii="宋体" w:hAnsi="宋体"/>
                              <w:b/>
                              <w:bCs/>
                            </w:rPr>
                            <w:instrText xml:space="preserve">PAGE   \* MERGEFORMAT</w:instrText>
                          </w:r>
                          <w:r>
                            <w:rPr>
                              <w:rFonts w:ascii="宋体" w:hAnsi="宋体"/>
                              <w:b/>
                              <w:bCs/>
                            </w:rPr>
                            <w:fldChar w:fldCharType="separate"/>
                          </w:r>
                          <w:r>
                            <w:rPr>
                              <w:rFonts w:ascii="宋体" w:hAnsi="宋体"/>
                              <w:b/>
                              <w:bCs/>
                              <w:lang w:val="zh-CN"/>
                            </w:rPr>
                            <w:t>1</w:t>
                          </w:r>
                          <w:r>
                            <w:rPr>
                              <w:rFonts w:ascii="宋体" w:hAnsi="宋体"/>
                              <w:b/>
                              <w:bCs/>
                            </w:rPr>
                            <w:fldChar w:fldCharType="end"/>
                          </w:r>
                          <w:r>
                            <w:rPr>
                              <w:rFonts w:hint="eastAsia" w:ascii="宋体" w:hAnsi="宋体"/>
                              <w:b/>
                              <w:bCs/>
                            </w:rPr>
                            <w:t>-页</w:t>
                          </w:r>
                        </w:p>
                      </w:txbxContent>
                    </wps:txbx>
                    <wps:bodyPr wrap="none" lIns="0" tIns="0" rIns="0" bIns="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c+wB+McBAACbAwAADgAAAAAAAAABACAAAAAeAQAAZHJzL2Uyb0RvYy54&#10;bWxQSwUGAAAAAAYABgBZAQAAVwUAAAAA&#10;">
              <v:fill on="f" focussize="0,0"/>
              <v:stroke on="f"/>
              <v:imagedata o:title=""/>
              <o:lock v:ext="edit" aspectratio="f"/>
              <v:textbox inset="0mm,0mm,0mm,0mm" style="mso-fit-shape-to-text:t;">
                <w:txbxContent>
                  <w:p>
                    <w:pPr>
                      <w:pStyle w:val="13"/>
                      <w:jc w:val="center"/>
                    </w:pPr>
                    <w:r>
                      <w:rPr>
                        <w:rFonts w:hint="eastAsia" w:ascii="宋体" w:hAnsi="宋体"/>
                        <w:b/>
                        <w:bCs/>
                      </w:rPr>
                      <w:t>第-</w:t>
                    </w:r>
                    <w:r>
                      <w:rPr>
                        <w:rFonts w:ascii="宋体" w:hAnsi="宋体"/>
                        <w:b/>
                        <w:bCs/>
                      </w:rPr>
                      <w:fldChar w:fldCharType="begin"/>
                    </w:r>
                    <w:r>
                      <w:rPr>
                        <w:rFonts w:ascii="宋体" w:hAnsi="宋体"/>
                        <w:b/>
                        <w:bCs/>
                      </w:rPr>
                      <w:instrText xml:space="preserve">PAGE   \* MERGEFORMAT</w:instrText>
                    </w:r>
                    <w:r>
                      <w:rPr>
                        <w:rFonts w:ascii="宋体" w:hAnsi="宋体"/>
                        <w:b/>
                        <w:bCs/>
                      </w:rPr>
                      <w:fldChar w:fldCharType="separate"/>
                    </w:r>
                    <w:r>
                      <w:rPr>
                        <w:rFonts w:ascii="宋体" w:hAnsi="宋体"/>
                        <w:b/>
                        <w:bCs/>
                        <w:lang w:val="zh-CN"/>
                      </w:rPr>
                      <w:t>1</w:t>
                    </w:r>
                    <w:r>
                      <w:rPr>
                        <w:rFonts w:ascii="宋体" w:hAnsi="宋体"/>
                        <w:b/>
                        <w:bCs/>
                      </w:rPr>
                      <w:fldChar w:fldCharType="end"/>
                    </w:r>
                    <w:r>
                      <w:rPr>
                        <w:rFonts w:hint="eastAsia" w:ascii="宋体" w:hAnsi="宋体"/>
                        <w:b/>
                        <w:bCs/>
                      </w:rPr>
                      <w:t>-页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jc w:val="center"/>
                          </w:pPr>
                          <w:r>
                            <w:rPr>
                              <w:rFonts w:hint="eastAsia" w:ascii="宋体" w:hAnsi="宋体"/>
                              <w:b/>
                              <w:bCs/>
                            </w:rPr>
                            <w:t>第-</w:t>
                          </w:r>
                          <w:r>
                            <w:rPr>
                              <w:rFonts w:ascii="宋体" w:hAnsi="宋体"/>
                              <w:b/>
                              <w:bCs/>
                            </w:rPr>
                            <w:fldChar w:fldCharType="begin"/>
                          </w:r>
                          <w:r>
                            <w:rPr>
                              <w:rFonts w:ascii="宋体" w:hAnsi="宋体"/>
                              <w:b/>
                              <w:bCs/>
                            </w:rPr>
                            <w:instrText xml:space="preserve">PAGE   \* MERGEFORMAT</w:instrText>
                          </w:r>
                          <w:r>
                            <w:rPr>
                              <w:rFonts w:ascii="宋体" w:hAnsi="宋体"/>
                              <w:b/>
                              <w:bCs/>
                            </w:rPr>
                            <w:fldChar w:fldCharType="separate"/>
                          </w:r>
                          <w:r>
                            <w:rPr>
                              <w:rFonts w:ascii="宋体" w:hAnsi="宋体"/>
                              <w:b/>
                              <w:bCs/>
                              <w:lang w:val="zh-CN"/>
                            </w:rPr>
                            <w:t>41</w:t>
                          </w:r>
                          <w:r>
                            <w:rPr>
                              <w:rFonts w:ascii="宋体" w:hAnsi="宋体"/>
                              <w:b/>
                              <w:bCs/>
                            </w:rPr>
                            <w:fldChar w:fldCharType="end"/>
                          </w:r>
                          <w:r>
                            <w:rPr>
                              <w:rFonts w:hint="eastAsia" w:ascii="宋体" w:hAnsi="宋体"/>
                              <w:b/>
                              <w:bCs/>
                            </w:rPr>
                            <w:t>-页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HaDCsYBAACbAwAADgAAAGRycy9lMm9Eb2MueG1srVNLbtswEN0X6B0I&#10;7mspR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SkjuhvD5HGyNMl1BGKWCWH3izzm/YrLcVjP1c9/FO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sdoMKxgEAAJsDAAAOAAAAAAAAAAEAIAAAAB4BAABkcnMvZTJvRG9jLnht&#10;bFBLBQYAAAAABgAGAFkBAABWBQAAAAA=&#10;">
              <v:fill on="f" focussize="0,0"/>
              <v:stroke on="f"/>
              <v:imagedata o:title=""/>
              <o:lock v:ext="edit" aspectratio="f"/>
              <v:textbox inset="0mm,0mm,0mm,0mm" style="mso-fit-shape-to-text:t;">
                <w:txbxContent>
                  <w:p>
                    <w:pPr>
                      <w:pStyle w:val="13"/>
                      <w:jc w:val="center"/>
                    </w:pPr>
                    <w:r>
                      <w:rPr>
                        <w:rFonts w:hint="eastAsia" w:ascii="宋体" w:hAnsi="宋体"/>
                        <w:b/>
                        <w:bCs/>
                      </w:rPr>
                      <w:t>第-</w:t>
                    </w:r>
                    <w:r>
                      <w:rPr>
                        <w:rFonts w:ascii="宋体" w:hAnsi="宋体"/>
                        <w:b/>
                        <w:bCs/>
                      </w:rPr>
                      <w:fldChar w:fldCharType="begin"/>
                    </w:r>
                    <w:r>
                      <w:rPr>
                        <w:rFonts w:ascii="宋体" w:hAnsi="宋体"/>
                        <w:b/>
                        <w:bCs/>
                      </w:rPr>
                      <w:instrText xml:space="preserve">PAGE   \* MERGEFORMAT</w:instrText>
                    </w:r>
                    <w:r>
                      <w:rPr>
                        <w:rFonts w:ascii="宋体" w:hAnsi="宋体"/>
                        <w:b/>
                        <w:bCs/>
                      </w:rPr>
                      <w:fldChar w:fldCharType="separate"/>
                    </w:r>
                    <w:r>
                      <w:rPr>
                        <w:rFonts w:ascii="宋体" w:hAnsi="宋体"/>
                        <w:b/>
                        <w:bCs/>
                        <w:lang w:val="zh-CN"/>
                      </w:rPr>
                      <w:t>41</w:t>
                    </w:r>
                    <w:r>
                      <w:rPr>
                        <w:rFonts w:ascii="宋体" w:hAnsi="宋体"/>
                        <w:b/>
                        <w:bCs/>
                      </w:rPr>
                      <w:fldChar w:fldCharType="end"/>
                    </w:r>
                    <w:r>
                      <w:rPr>
                        <w:rFonts w:hint="eastAsia" w:ascii="宋体" w:hAnsi="宋体"/>
                        <w:b/>
                        <w:bCs/>
                      </w:rPr>
                      <w:t>-页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fldChar w:fldCharType="begin"/>
    </w:r>
    <w:r>
      <w:rPr>
        <w:rStyle w:val="22"/>
      </w:rPr>
      <w:instrText xml:space="preserve">PAGE  </w:instrText>
    </w:r>
    <w:r>
      <w:fldChar w:fldCharType="separate"/>
    </w:r>
    <w:r>
      <w:rPr>
        <w:rStyle w:val="22"/>
      </w:rPr>
      <w:t>139</w:t>
    </w:r>
    <w:r>
      <w:fldChar w:fldCharType="end"/>
    </w:r>
  </w:p>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fldChar w:fldCharType="begin"/>
    </w:r>
    <w:r>
      <w:rPr>
        <w:rStyle w:val="22"/>
      </w:rPr>
      <w:instrText xml:space="preserve">PAGE  </w:instrText>
    </w:r>
    <w:r>
      <w:fldChar w:fldCharType="separate"/>
    </w:r>
    <w:r>
      <w:rPr>
        <w:rStyle w:val="22"/>
      </w:rPr>
      <w:t>112</w:t>
    </w:r>
    <w:r>
      <w:fldChar w:fldCharType="end"/>
    </w:r>
  </w:p>
  <w:p>
    <w:pPr>
      <w:pStyle w:val="13"/>
      <w:ind w:right="360"/>
    </w:pPr>
  </w:p>
  <w:p/>
  <w:p/>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ascii="宋体" w:hAnsi="宋体"/>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13"/>
                            <w:jc w:val="center"/>
                          </w:pPr>
                          <w:r>
                            <w:rPr>
                              <w:rFonts w:hint="eastAsia" w:ascii="宋体" w:hAnsi="宋体"/>
                              <w:b/>
                              <w:bCs/>
                            </w:rPr>
                            <w:t>第-</w:t>
                          </w:r>
                          <w:r>
                            <w:rPr>
                              <w:rFonts w:ascii="宋体" w:hAnsi="宋体"/>
                              <w:b/>
                              <w:bCs/>
                            </w:rPr>
                            <w:fldChar w:fldCharType="begin"/>
                          </w:r>
                          <w:r>
                            <w:rPr>
                              <w:rFonts w:ascii="宋体" w:hAnsi="宋体"/>
                              <w:b/>
                              <w:bCs/>
                            </w:rPr>
                            <w:instrText xml:space="preserve">PAGE   \* MERGEFORMAT</w:instrText>
                          </w:r>
                          <w:r>
                            <w:rPr>
                              <w:rFonts w:ascii="宋体" w:hAnsi="宋体"/>
                              <w:b/>
                              <w:bCs/>
                            </w:rPr>
                            <w:fldChar w:fldCharType="separate"/>
                          </w:r>
                          <w:r>
                            <w:rPr>
                              <w:rFonts w:ascii="宋体" w:hAnsi="宋体"/>
                              <w:b/>
                              <w:bCs/>
                              <w:lang w:val="zh-CN"/>
                            </w:rPr>
                            <w:t>145</w:t>
                          </w:r>
                          <w:r>
                            <w:rPr>
                              <w:rFonts w:ascii="宋体" w:hAnsi="宋体"/>
                              <w:b/>
                              <w:bCs/>
                            </w:rPr>
                            <w:fldChar w:fldCharType="end"/>
                          </w:r>
                          <w:r>
                            <w:rPr>
                              <w:rFonts w:hint="eastAsia" w:ascii="宋体" w:hAnsi="宋体"/>
                              <w:b/>
                              <w:bCs/>
                            </w:rPr>
                            <w:t>-页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jVCixxgEAAJsDAAAOAAAAAAAAAAEAIAAAAB4BAABkcnMvZTJvRG9jLnht&#10;bFBLBQYAAAAABgAGAFkBAABWBQAAAAA=&#10;">
              <v:fill on="f" focussize="0,0"/>
              <v:stroke on="f"/>
              <v:imagedata o:title=""/>
              <o:lock v:ext="edit" aspectratio="f"/>
              <v:textbox inset="0mm,0mm,0mm,0mm" style="mso-fit-shape-to-text:t;">
                <w:txbxContent>
                  <w:p>
                    <w:pPr>
                      <w:pStyle w:val="13"/>
                      <w:jc w:val="center"/>
                    </w:pPr>
                    <w:r>
                      <w:rPr>
                        <w:rFonts w:hint="eastAsia" w:ascii="宋体" w:hAnsi="宋体"/>
                        <w:b/>
                        <w:bCs/>
                      </w:rPr>
                      <w:t>第-</w:t>
                    </w:r>
                    <w:r>
                      <w:rPr>
                        <w:rFonts w:ascii="宋体" w:hAnsi="宋体"/>
                        <w:b/>
                        <w:bCs/>
                      </w:rPr>
                      <w:fldChar w:fldCharType="begin"/>
                    </w:r>
                    <w:r>
                      <w:rPr>
                        <w:rFonts w:ascii="宋体" w:hAnsi="宋体"/>
                        <w:b/>
                        <w:bCs/>
                      </w:rPr>
                      <w:instrText xml:space="preserve">PAGE   \* MERGEFORMAT</w:instrText>
                    </w:r>
                    <w:r>
                      <w:rPr>
                        <w:rFonts w:ascii="宋体" w:hAnsi="宋体"/>
                        <w:b/>
                        <w:bCs/>
                      </w:rPr>
                      <w:fldChar w:fldCharType="separate"/>
                    </w:r>
                    <w:r>
                      <w:rPr>
                        <w:rFonts w:ascii="宋体" w:hAnsi="宋体"/>
                        <w:b/>
                        <w:bCs/>
                        <w:lang w:val="zh-CN"/>
                      </w:rPr>
                      <w:t>145</w:t>
                    </w:r>
                    <w:r>
                      <w:rPr>
                        <w:rFonts w:ascii="宋体" w:hAnsi="宋体"/>
                        <w:b/>
                        <w:bCs/>
                      </w:rPr>
                      <w:fldChar w:fldCharType="end"/>
                    </w:r>
                    <w:r>
                      <w:rPr>
                        <w:rFonts w:hint="eastAsia" w:ascii="宋体" w:hAnsi="宋体"/>
                        <w:b/>
                        <w:bCs/>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675D27"/>
    <w:multiLevelType w:val="singleLevel"/>
    <w:tmpl w:val="A8675D27"/>
    <w:lvl w:ilvl="0" w:tentative="0">
      <w:start w:val="1"/>
      <w:numFmt w:val="decimal"/>
      <w:suff w:val="space"/>
      <w:lvlText w:val="%1."/>
      <w:lvlJc w:val="left"/>
    </w:lvl>
  </w:abstractNum>
  <w:abstractNum w:abstractNumId="1">
    <w:nsid w:val="ECF6825B"/>
    <w:multiLevelType w:val="singleLevel"/>
    <w:tmpl w:val="ECF6825B"/>
    <w:lvl w:ilvl="0" w:tentative="0">
      <w:start w:val="1"/>
      <w:numFmt w:val="chineseCounting"/>
      <w:suff w:val="nothing"/>
      <w:lvlText w:val="（%1）"/>
      <w:lvlJc w:val="left"/>
      <w:rPr>
        <w:rFonts w:hint="eastAsia"/>
      </w:rPr>
    </w:lvl>
  </w:abstractNum>
  <w:abstractNum w:abstractNumId="2">
    <w:nsid w:val="1BBC3C1F"/>
    <w:multiLevelType w:val="multilevel"/>
    <w:tmpl w:val="1BBC3C1F"/>
    <w:lvl w:ilvl="0" w:tentative="0">
      <w:start w:val="1"/>
      <w:numFmt w:val="decimal"/>
      <w:pStyle w:val="3"/>
      <w:lvlText w:val="%1"/>
      <w:lvlJc w:val="left"/>
      <w:pPr>
        <w:ind w:left="432" w:hanging="432"/>
      </w:pPr>
    </w:lvl>
    <w:lvl w:ilvl="1" w:tentative="0">
      <w:start w:val="1"/>
      <w:numFmt w:val="decimal"/>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5" w:tentative="0">
      <w:start w:val="1"/>
      <w:numFmt w:val="decimal"/>
      <w:lvlText w:val="%1.%2.%3.%4.%5.%6"/>
      <w:lvlJc w:val="left"/>
      <w:rPr>
        <w:b w:val="0"/>
        <w:bCs w:val="0"/>
        <w:i w:val="0"/>
        <w:iCs w:val="0"/>
        <w:caps w:val="0"/>
        <w:smallCaps w:val="0"/>
        <w:strike w:val="0"/>
        <w:dstrike w:val="0"/>
        <w:vanish w:val="0"/>
        <w:color w:val="000000"/>
        <w:spacing w:val="0"/>
        <w:position w:val="0"/>
        <w:u w:val="none"/>
        <w:vertAlign w:val="baseline"/>
        <w:lang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abstractNum w:abstractNumId="3">
    <w:nsid w:val="3EBB3C91"/>
    <w:multiLevelType w:val="multilevel"/>
    <w:tmpl w:val="3EBB3C91"/>
    <w:lvl w:ilvl="0" w:tentative="0">
      <w:start w:val="1"/>
      <w:numFmt w:val="chineseCountingThousand"/>
      <w:suff w:val="space"/>
      <w:lvlText w:val="%1. "/>
      <w:lvlJc w:val="left"/>
      <w:pPr>
        <w:ind w:left="907" w:hanging="907"/>
      </w:pPr>
      <w:rPr>
        <w:rFonts w:hint="eastAsia" w:cs="Times New Roman"/>
      </w:rPr>
    </w:lvl>
    <w:lvl w:ilvl="1" w:tentative="0">
      <w:start w:val="1"/>
      <w:numFmt w:val="decimal"/>
      <w:isLgl/>
      <w:suff w:val="space"/>
      <w:lvlText w:val="%1.%2 "/>
      <w:lvlJc w:val="left"/>
      <w:pPr>
        <w:ind w:left="794" w:hanging="794"/>
      </w:pPr>
      <w:rPr>
        <w:rFonts w:cs="Times New Roman"/>
      </w:r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40"/>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4">
    <w:nsid w:val="44558FE0"/>
    <w:multiLevelType w:val="singleLevel"/>
    <w:tmpl w:val="44558FE0"/>
    <w:lvl w:ilvl="0" w:tentative="0">
      <w:start w:val="8"/>
      <w:numFmt w:val="chineseCounting"/>
      <w:suff w:val="nothing"/>
      <w:lvlText w:val="（%1）"/>
      <w:lvlJc w:val="left"/>
      <w:rPr>
        <w:rFonts w:hint="eastAsia"/>
      </w:rPr>
    </w:lvl>
  </w:abstractNum>
  <w:abstractNum w:abstractNumId="5">
    <w:nsid w:val="51B2E508"/>
    <w:multiLevelType w:val="singleLevel"/>
    <w:tmpl w:val="51B2E508"/>
    <w:lvl w:ilvl="0" w:tentative="0">
      <w:start w:val="8"/>
      <w:numFmt w:val="chineseCounting"/>
      <w:suff w:val="nothing"/>
      <w:lvlText w:val="%1、"/>
      <w:lvlJc w:val="left"/>
      <w:rPr>
        <w:rFonts w:hint="eastAsia"/>
      </w:rPr>
    </w:lvl>
  </w:abstractNum>
  <w:abstractNum w:abstractNumId="6">
    <w:nsid w:val="7A4C795D"/>
    <w:multiLevelType w:val="singleLevel"/>
    <w:tmpl w:val="7A4C795D"/>
    <w:lvl w:ilvl="0" w:tentative="0">
      <w:start w:val="1"/>
      <w:numFmt w:val="chineseCounting"/>
      <w:suff w:val="nothing"/>
      <w:lvlText w:val="%1、"/>
      <w:lvlJc w:val="left"/>
      <w:rPr>
        <w:rFonts w:hint="eastAsia"/>
      </w:rPr>
    </w:lvl>
  </w:abstractNum>
  <w:num w:numId="1">
    <w:abstractNumId w:val="2"/>
  </w:num>
  <w:num w:numId="2">
    <w:abstractNumId w:val="3"/>
  </w:num>
  <w:num w:numId="3">
    <w:abstractNumId w:val="6"/>
  </w:num>
  <w:num w:numId="4">
    <w:abstractNumId w:val="5"/>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60277F1"/>
    <w:rsid w:val="0005137B"/>
    <w:rsid w:val="0006591C"/>
    <w:rsid w:val="00072886"/>
    <w:rsid w:val="00087E40"/>
    <w:rsid w:val="00093B83"/>
    <w:rsid w:val="00094D40"/>
    <w:rsid w:val="00102071"/>
    <w:rsid w:val="001113F9"/>
    <w:rsid w:val="0014574C"/>
    <w:rsid w:val="00152732"/>
    <w:rsid w:val="00171612"/>
    <w:rsid w:val="001D4122"/>
    <w:rsid w:val="002432EC"/>
    <w:rsid w:val="002719BD"/>
    <w:rsid w:val="002F04C9"/>
    <w:rsid w:val="00325442"/>
    <w:rsid w:val="0034412C"/>
    <w:rsid w:val="00383C0F"/>
    <w:rsid w:val="003B1BBE"/>
    <w:rsid w:val="003F7A72"/>
    <w:rsid w:val="004633C0"/>
    <w:rsid w:val="00470816"/>
    <w:rsid w:val="004B6C7D"/>
    <w:rsid w:val="004F512F"/>
    <w:rsid w:val="0055627F"/>
    <w:rsid w:val="005B0735"/>
    <w:rsid w:val="0063129A"/>
    <w:rsid w:val="0067634C"/>
    <w:rsid w:val="006B27A6"/>
    <w:rsid w:val="006B3FFF"/>
    <w:rsid w:val="006D1EB3"/>
    <w:rsid w:val="006E50F2"/>
    <w:rsid w:val="007B6661"/>
    <w:rsid w:val="007C4C1F"/>
    <w:rsid w:val="0080799A"/>
    <w:rsid w:val="00810A63"/>
    <w:rsid w:val="00823779"/>
    <w:rsid w:val="00866609"/>
    <w:rsid w:val="008A12F6"/>
    <w:rsid w:val="008D3D57"/>
    <w:rsid w:val="009017BC"/>
    <w:rsid w:val="0091270D"/>
    <w:rsid w:val="00944359"/>
    <w:rsid w:val="009B1DB1"/>
    <w:rsid w:val="00A10FDF"/>
    <w:rsid w:val="00AB58A5"/>
    <w:rsid w:val="00AC2E6C"/>
    <w:rsid w:val="00B5079D"/>
    <w:rsid w:val="00BA6F88"/>
    <w:rsid w:val="00BC2834"/>
    <w:rsid w:val="00BC4C1E"/>
    <w:rsid w:val="00BF30C1"/>
    <w:rsid w:val="00C0269A"/>
    <w:rsid w:val="00C44000"/>
    <w:rsid w:val="00CC08E4"/>
    <w:rsid w:val="00CE142C"/>
    <w:rsid w:val="00D222FC"/>
    <w:rsid w:val="00D27FF1"/>
    <w:rsid w:val="00D4199C"/>
    <w:rsid w:val="00D442C1"/>
    <w:rsid w:val="00D572AA"/>
    <w:rsid w:val="00DA3D80"/>
    <w:rsid w:val="00DA69BD"/>
    <w:rsid w:val="00E34440"/>
    <w:rsid w:val="00E412B2"/>
    <w:rsid w:val="00E96897"/>
    <w:rsid w:val="00F028D4"/>
    <w:rsid w:val="00F028EB"/>
    <w:rsid w:val="00F111E7"/>
    <w:rsid w:val="00F2096F"/>
    <w:rsid w:val="00F27F42"/>
    <w:rsid w:val="00F31D6E"/>
    <w:rsid w:val="00FC235C"/>
    <w:rsid w:val="03020A0B"/>
    <w:rsid w:val="03152B3A"/>
    <w:rsid w:val="03477CE7"/>
    <w:rsid w:val="03DB0AB4"/>
    <w:rsid w:val="03FB3331"/>
    <w:rsid w:val="050560F4"/>
    <w:rsid w:val="05117E5E"/>
    <w:rsid w:val="07322A47"/>
    <w:rsid w:val="077A3E9D"/>
    <w:rsid w:val="07F84436"/>
    <w:rsid w:val="08031707"/>
    <w:rsid w:val="083A7A83"/>
    <w:rsid w:val="089C3A7D"/>
    <w:rsid w:val="08D32B09"/>
    <w:rsid w:val="090D125C"/>
    <w:rsid w:val="09D52A35"/>
    <w:rsid w:val="09F649A5"/>
    <w:rsid w:val="0A4743EA"/>
    <w:rsid w:val="0A9122D0"/>
    <w:rsid w:val="0AB44352"/>
    <w:rsid w:val="0AE56E64"/>
    <w:rsid w:val="0B9C2B7D"/>
    <w:rsid w:val="0CDB3F8B"/>
    <w:rsid w:val="0CDD18D7"/>
    <w:rsid w:val="0CE86D7C"/>
    <w:rsid w:val="0E411F49"/>
    <w:rsid w:val="0E531F9B"/>
    <w:rsid w:val="0EA94D87"/>
    <w:rsid w:val="0FDC0E60"/>
    <w:rsid w:val="101438BB"/>
    <w:rsid w:val="105A292B"/>
    <w:rsid w:val="108C5AF0"/>
    <w:rsid w:val="109106A4"/>
    <w:rsid w:val="11B0630D"/>
    <w:rsid w:val="13647EC7"/>
    <w:rsid w:val="13717CA8"/>
    <w:rsid w:val="138F544B"/>
    <w:rsid w:val="14541ECC"/>
    <w:rsid w:val="14C13760"/>
    <w:rsid w:val="14F045AD"/>
    <w:rsid w:val="1507030B"/>
    <w:rsid w:val="15AF699F"/>
    <w:rsid w:val="15F84AAC"/>
    <w:rsid w:val="16785697"/>
    <w:rsid w:val="179151B1"/>
    <w:rsid w:val="17C345DD"/>
    <w:rsid w:val="18830321"/>
    <w:rsid w:val="189907F7"/>
    <w:rsid w:val="19081543"/>
    <w:rsid w:val="19146166"/>
    <w:rsid w:val="19CE781F"/>
    <w:rsid w:val="19E133A4"/>
    <w:rsid w:val="19ED43A4"/>
    <w:rsid w:val="1A264837"/>
    <w:rsid w:val="1A5C7169"/>
    <w:rsid w:val="1A5E24CD"/>
    <w:rsid w:val="1A944440"/>
    <w:rsid w:val="1AAD3BA8"/>
    <w:rsid w:val="1B22276E"/>
    <w:rsid w:val="1B7B4DEF"/>
    <w:rsid w:val="1C716B86"/>
    <w:rsid w:val="1CF55B3F"/>
    <w:rsid w:val="1D153DEF"/>
    <w:rsid w:val="1D973F53"/>
    <w:rsid w:val="209B0C4C"/>
    <w:rsid w:val="20F91104"/>
    <w:rsid w:val="21971719"/>
    <w:rsid w:val="21FC697F"/>
    <w:rsid w:val="2252118E"/>
    <w:rsid w:val="23724F31"/>
    <w:rsid w:val="23D76BAF"/>
    <w:rsid w:val="24044B61"/>
    <w:rsid w:val="24D8298B"/>
    <w:rsid w:val="257F55DB"/>
    <w:rsid w:val="25835A3F"/>
    <w:rsid w:val="25AB47A6"/>
    <w:rsid w:val="25B17346"/>
    <w:rsid w:val="25FB792C"/>
    <w:rsid w:val="260B5511"/>
    <w:rsid w:val="26383E32"/>
    <w:rsid w:val="28393A50"/>
    <w:rsid w:val="28805FCE"/>
    <w:rsid w:val="28DD30C5"/>
    <w:rsid w:val="29D40132"/>
    <w:rsid w:val="29D75C84"/>
    <w:rsid w:val="29E37825"/>
    <w:rsid w:val="2A39211C"/>
    <w:rsid w:val="2A5D26C5"/>
    <w:rsid w:val="2A627729"/>
    <w:rsid w:val="2A685D5D"/>
    <w:rsid w:val="2ADE2CE4"/>
    <w:rsid w:val="2B113C19"/>
    <w:rsid w:val="2B133ADE"/>
    <w:rsid w:val="2B33470F"/>
    <w:rsid w:val="2B5663DB"/>
    <w:rsid w:val="2B694145"/>
    <w:rsid w:val="2B7F747E"/>
    <w:rsid w:val="2BC036D4"/>
    <w:rsid w:val="2BDA1CED"/>
    <w:rsid w:val="2C903A56"/>
    <w:rsid w:val="2CA5472D"/>
    <w:rsid w:val="2D98197C"/>
    <w:rsid w:val="2D9E3A79"/>
    <w:rsid w:val="2DA80D6D"/>
    <w:rsid w:val="2E276823"/>
    <w:rsid w:val="2E2E4E4A"/>
    <w:rsid w:val="2E4D7F0C"/>
    <w:rsid w:val="2E7C6ECF"/>
    <w:rsid w:val="2E9D0408"/>
    <w:rsid w:val="2EF402FB"/>
    <w:rsid w:val="2F4A2791"/>
    <w:rsid w:val="2F757EBF"/>
    <w:rsid w:val="2FF0574E"/>
    <w:rsid w:val="3007530C"/>
    <w:rsid w:val="30786888"/>
    <w:rsid w:val="30C01D26"/>
    <w:rsid w:val="3191022E"/>
    <w:rsid w:val="32C05699"/>
    <w:rsid w:val="32D7229C"/>
    <w:rsid w:val="32E808D4"/>
    <w:rsid w:val="334A1305"/>
    <w:rsid w:val="336E0330"/>
    <w:rsid w:val="341763B3"/>
    <w:rsid w:val="349E504B"/>
    <w:rsid w:val="35174570"/>
    <w:rsid w:val="36451318"/>
    <w:rsid w:val="366D1C5F"/>
    <w:rsid w:val="36ED3AA3"/>
    <w:rsid w:val="37A44F2D"/>
    <w:rsid w:val="37C04BD2"/>
    <w:rsid w:val="37C97629"/>
    <w:rsid w:val="380163DE"/>
    <w:rsid w:val="38CB2B2E"/>
    <w:rsid w:val="395C614E"/>
    <w:rsid w:val="39601BD0"/>
    <w:rsid w:val="39756945"/>
    <w:rsid w:val="3A027285"/>
    <w:rsid w:val="3AA128E8"/>
    <w:rsid w:val="3ADC3991"/>
    <w:rsid w:val="3B9205BA"/>
    <w:rsid w:val="3C650779"/>
    <w:rsid w:val="3D9C58B7"/>
    <w:rsid w:val="3E3B5BB6"/>
    <w:rsid w:val="3E8D1755"/>
    <w:rsid w:val="3EDD1E0B"/>
    <w:rsid w:val="3F1B08A9"/>
    <w:rsid w:val="3FB919F3"/>
    <w:rsid w:val="3FF83A0B"/>
    <w:rsid w:val="40315853"/>
    <w:rsid w:val="40360717"/>
    <w:rsid w:val="416D6D06"/>
    <w:rsid w:val="41DB6DFE"/>
    <w:rsid w:val="4201011D"/>
    <w:rsid w:val="429976E3"/>
    <w:rsid w:val="42A153EB"/>
    <w:rsid w:val="433904F4"/>
    <w:rsid w:val="444D71BA"/>
    <w:rsid w:val="450E7E6E"/>
    <w:rsid w:val="451815AE"/>
    <w:rsid w:val="460277F1"/>
    <w:rsid w:val="47683FCA"/>
    <w:rsid w:val="47F76AC0"/>
    <w:rsid w:val="48DF0486"/>
    <w:rsid w:val="49192F7B"/>
    <w:rsid w:val="496936A3"/>
    <w:rsid w:val="49C009F1"/>
    <w:rsid w:val="49F3243F"/>
    <w:rsid w:val="4AB0262F"/>
    <w:rsid w:val="4B544D1A"/>
    <w:rsid w:val="4BE9719F"/>
    <w:rsid w:val="4C1017D7"/>
    <w:rsid w:val="4C65284C"/>
    <w:rsid w:val="4C9B5331"/>
    <w:rsid w:val="4DAC5F07"/>
    <w:rsid w:val="4DED19A1"/>
    <w:rsid w:val="4F614A52"/>
    <w:rsid w:val="501507C4"/>
    <w:rsid w:val="50183332"/>
    <w:rsid w:val="5072750D"/>
    <w:rsid w:val="50823AEB"/>
    <w:rsid w:val="50C45F43"/>
    <w:rsid w:val="50E97241"/>
    <w:rsid w:val="51684B6C"/>
    <w:rsid w:val="52217B71"/>
    <w:rsid w:val="53802AD0"/>
    <w:rsid w:val="53970A99"/>
    <w:rsid w:val="5430783C"/>
    <w:rsid w:val="54650E64"/>
    <w:rsid w:val="55405E77"/>
    <w:rsid w:val="561B34B8"/>
    <w:rsid w:val="56237152"/>
    <w:rsid w:val="562C39C9"/>
    <w:rsid w:val="56375514"/>
    <w:rsid w:val="585F17EF"/>
    <w:rsid w:val="5875026A"/>
    <w:rsid w:val="58C059A3"/>
    <w:rsid w:val="58DA249B"/>
    <w:rsid w:val="594255A6"/>
    <w:rsid w:val="5970579E"/>
    <w:rsid w:val="5A8474C8"/>
    <w:rsid w:val="5AAB3BC3"/>
    <w:rsid w:val="5B3E348B"/>
    <w:rsid w:val="5B785D5A"/>
    <w:rsid w:val="5BAD01C4"/>
    <w:rsid w:val="5BCB45BB"/>
    <w:rsid w:val="5C11474F"/>
    <w:rsid w:val="5C443874"/>
    <w:rsid w:val="5C4E12A6"/>
    <w:rsid w:val="5CA73B23"/>
    <w:rsid w:val="5D195BB0"/>
    <w:rsid w:val="5D1A072B"/>
    <w:rsid w:val="5D4F1E5C"/>
    <w:rsid w:val="5DCF5EA5"/>
    <w:rsid w:val="5DEB780C"/>
    <w:rsid w:val="5EA66DC6"/>
    <w:rsid w:val="5F7C2541"/>
    <w:rsid w:val="5FE97DBE"/>
    <w:rsid w:val="643E4A6A"/>
    <w:rsid w:val="64B61886"/>
    <w:rsid w:val="64ED1E42"/>
    <w:rsid w:val="651D260E"/>
    <w:rsid w:val="660329AC"/>
    <w:rsid w:val="66921A76"/>
    <w:rsid w:val="66A939EB"/>
    <w:rsid w:val="677D6E1A"/>
    <w:rsid w:val="68040974"/>
    <w:rsid w:val="682D5A3F"/>
    <w:rsid w:val="68582CBD"/>
    <w:rsid w:val="688425FF"/>
    <w:rsid w:val="692944B9"/>
    <w:rsid w:val="69EA0EB0"/>
    <w:rsid w:val="6B1E53C8"/>
    <w:rsid w:val="6B35183A"/>
    <w:rsid w:val="6B6B4CA7"/>
    <w:rsid w:val="6BDB3008"/>
    <w:rsid w:val="6C2227C3"/>
    <w:rsid w:val="6C2A1937"/>
    <w:rsid w:val="6CCC6834"/>
    <w:rsid w:val="6CD3274E"/>
    <w:rsid w:val="6D0840BF"/>
    <w:rsid w:val="6DAF3B5C"/>
    <w:rsid w:val="6DC55853"/>
    <w:rsid w:val="6DD66FD1"/>
    <w:rsid w:val="6DF15F1D"/>
    <w:rsid w:val="6E0E7517"/>
    <w:rsid w:val="6F0248B9"/>
    <w:rsid w:val="6F0D776D"/>
    <w:rsid w:val="6F6059CE"/>
    <w:rsid w:val="6F8D7035"/>
    <w:rsid w:val="6FF87E08"/>
    <w:rsid w:val="70B02CE6"/>
    <w:rsid w:val="70BD3B96"/>
    <w:rsid w:val="72406DDC"/>
    <w:rsid w:val="72A86612"/>
    <w:rsid w:val="72B306B7"/>
    <w:rsid w:val="739846B4"/>
    <w:rsid w:val="74031DF3"/>
    <w:rsid w:val="74403473"/>
    <w:rsid w:val="75124744"/>
    <w:rsid w:val="754B4DE2"/>
    <w:rsid w:val="755E73CE"/>
    <w:rsid w:val="75EE0664"/>
    <w:rsid w:val="774B45EA"/>
    <w:rsid w:val="777B652B"/>
    <w:rsid w:val="78FB1575"/>
    <w:rsid w:val="792F7D74"/>
    <w:rsid w:val="798B0A33"/>
    <w:rsid w:val="79973BE5"/>
    <w:rsid w:val="79E77290"/>
    <w:rsid w:val="79EC7B52"/>
    <w:rsid w:val="7A1079D5"/>
    <w:rsid w:val="7B9C092A"/>
    <w:rsid w:val="7C3A3856"/>
    <w:rsid w:val="7D4163BE"/>
    <w:rsid w:val="7DBB243B"/>
    <w:rsid w:val="7E4A27D1"/>
    <w:rsid w:val="7EFC1F33"/>
    <w:rsid w:val="EF875E4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iPriority="0" w:name="HTML Keyboard"/>
    <w:lsdException w:uiPriority="0" w:name="HTML Preformatted"/>
    <w:lsdException w:uiPriority="0" w:name="HTML Sample"/>
    <w:lsdException w:uiPriority="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numPr>
        <w:ilvl w:val="0"/>
        <w:numId w:val="1"/>
      </w:numPr>
      <w:spacing w:before="340" w:after="330" w:line="578" w:lineRule="auto"/>
      <w:outlineLvl w:val="0"/>
    </w:pPr>
    <w:rPr>
      <w:b/>
      <w:bCs/>
      <w:kern w:val="44"/>
      <w:sz w:val="44"/>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qFormat/>
    <w:uiPriority w:val="0"/>
    <w:pPr>
      <w:keepNext/>
      <w:keepLines/>
      <w:spacing w:before="260" w:after="260" w:line="416" w:lineRule="auto"/>
      <w:outlineLvl w:val="2"/>
    </w:pPr>
    <w:rPr>
      <w:b/>
      <w:bCs/>
      <w:kern w:val="0"/>
      <w:sz w:val="32"/>
      <w:szCs w:val="32"/>
    </w:rPr>
  </w:style>
  <w:style w:type="paragraph" w:styleId="2">
    <w:name w:val="heading 4"/>
    <w:basedOn w:val="1"/>
    <w:next w:val="1"/>
    <w:qFormat/>
    <w:uiPriority w:val="0"/>
    <w:pPr>
      <w:keepNext/>
      <w:keepLines/>
      <w:spacing w:before="280" w:after="290" w:line="376" w:lineRule="auto"/>
      <w:outlineLvl w:val="3"/>
    </w:pPr>
    <w:rPr>
      <w:rFonts w:ascii="Cambria" w:hAnsi="Cambria"/>
      <w:b/>
      <w:bCs/>
      <w:sz w:val="28"/>
      <w:szCs w:val="28"/>
    </w:rPr>
  </w:style>
  <w:style w:type="paragraph" w:styleId="6">
    <w:name w:val="heading 5"/>
    <w:basedOn w:val="2"/>
    <w:next w:val="1"/>
    <w:unhideWhenUsed/>
    <w:qFormat/>
    <w:uiPriority w:val="0"/>
    <w:pPr>
      <w:outlineLvl w:val="4"/>
    </w:p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firstLineChars="200"/>
    </w:pPr>
    <w:rPr>
      <w:kern w:val="0"/>
      <w:sz w:val="20"/>
    </w:rPr>
  </w:style>
  <w:style w:type="paragraph" w:styleId="8">
    <w:name w:val="annotation text"/>
    <w:basedOn w:val="1"/>
    <w:link w:val="38"/>
    <w:qFormat/>
    <w:uiPriority w:val="0"/>
    <w:pPr>
      <w:jc w:val="left"/>
    </w:pPr>
    <w:rPr>
      <w:kern w:val="0"/>
      <w:sz w:val="20"/>
    </w:rPr>
  </w:style>
  <w:style w:type="paragraph" w:styleId="9">
    <w:name w:val="Body Text"/>
    <w:basedOn w:val="1"/>
    <w:next w:val="10"/>
    <w:qFormat/>
    <w:uiPriority w:val="0"/>
    <w:pPr>
      <w:spacing w:after="120"/>
    </w:pPr>
    <w:rPr>
      <w:kern w:val="0"/>
      <w:sz w:val="20"/>
    </w:rPr>
  </w:style>
  <w:style w:type="paragraph" w:styleId="10">
    <w:name w:val="Subtitle"/>
    <w:basedOn w:val="1"/>
    <w:next w:val="1"/>
    <w:qFormat/>
    <w:uiPriority w:val="0"/>
    <w:pPr>
      <w:spacing w:line="312" w:lineRule="auto"/>
      <w:jc w:val="left"/>
      <w:outlineLvl w:val="1"/>
    </w:pPr>
    <w:rPr>
      <w:rFonts w:ascii="Cambria" w:hAnsi="Cambria"/>
      <w:b/>
      <w:bCs/>
      <w:kern w:val="28"/>
      <w:szCs w:val="32"/>
    </w:rPr>
  </w:style>
  <w:style w:type="paragraph" w:styleId="11">
    <w:name w:val="Body Text Indent"/>
    <w:basedOn w:val="1"/>
    <w:qFormat/>
    <w:uiPriority w:val="0"/>
    <w:pPr>
      <w:ind w:firstLine="630"/>
    </w:pPr>
    <w:rPr>
      <w:kern w:val="0"/>
      <w:sz w:val="32"/>
      <w:szCs w:val="20"/>
    </w:rPr>
  </w:style>
  <w:style w:type="paragraph" w:styleId="12">
    <w:name w:val="Balloon Text"/>
    <w:basedOn w:val="1"/>
    <w:link w:val="37"/>
    <w:qFormat/>
    <w:uiPriority w:val="0"/>
    <w:rPr>
      <w:sz w:val="18"/>
      <w:szCs w:val="18"/>
    </w:rPr>
  </w:style>
  <w:style w:type="paragraph" w:styleId="13">
    <w:name w:val="footer"/>
    <w:basedOn w:val="1"/>
    <w:unhideWhenUsed/>
    <w:qFormat/>
    <w:uiPriority w:val="99"/>
    <w:pPr>
      <w:tabs>
        <w:tab w:val="center" w:pos="4153"/>
        <w:tab w:val="right" w:pos="8306"/>
      </w:tabs>
      <w:snapToGrid w:val="0"/>
      <w:jc w:val="left"/>
    </w:pPr>
    <w:rPr>
      <w:kern w:val="0"/>
      <w:sz w:val="18"/>
      <w:szCs w:val="18"/>
    </w:rPr>
  </w:style>
  <w:style w:type="paragraph" w:styleId="14">
    <w:name w:val="header"/>
    <w:basedOn w:val="1"/>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unhideWhenUsed/>
    <w:qFormat/>
    <w:uiPriority w:val="39"/>
    <w:pPr>
      <w:tabs>
        <w:tab w:val="right" w:leader="dot" w:pos="9737"/>
      </w:tabs>
      <w:spacing w:line="360" w:lineRule="auto"/>
    </w:pPr>
    <w:rPr>
      <w:rFonts w:ascii="华文中宋" w:hAnsi="华文中宋" w:eastAsia="华文中宋"/>
      <w:b/>
      <w:bCs/>
      <w:sz w:val="24"/>
    </w:rPr>
  </w:style>
  <w:style w:type="paragraph" w:styleId="16">
    <w:name w:val="Title"/>
    <w:basedOn w:val="1"/>
    <w:next w:val="1"/>
    <w:qFormat/>
    <w:uiPriority w:val="10"/>
    <w:pPr>
      <w:spacing w:before="240" w:after="60"/>
      <w:jc w:val="center"/>
      <w:outlineLvl w:val="0"/>
    </w:pPr>
    <w:rPr>
      <w:rFonts w:ascii="Cambria" w:hAnsi="Cambria"/>
      <w:b/>
      <w:bCs/>
      <w:sz w:val="32"/>
      <w:szCs w:val="32"/>
    </w:rPr>
  </w:style>
  <w:style w:type="paragraph" w:styleId="17">
    <w:name w:val="annotation subject"/>
    <w:basedOn w:val="8"/>
    <w:next w:val="8"/>
    <w:link w:val="39"/>
    <w:qFormat/>
    <w:uiPriority w:val="0"/>
    <w:rPr>
      <w:b/>
      <w:bCs/>
      <w:kern w:val="2"/>
      <w:sz w:val="21"/>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page number"/>
    <w:qFormat/>
    <w:uiPriority w:val="0"/>
  </w:style>
  <w:style w:type="character" w:styleId="23">
    <w:name w:val="FollowedHyperlink"/>
    <w:basedOn w:val="20"/>
    <w:qFormat/>
    <w:uiPriority w:val="0"/>
    <w:rPr>
      <w:color w:val="3D3D3D"/>
      <w:u w:val="none"/>
    </w:rPr>
  </w:style>
  <w:style w:type="character" w:styleId="24">
    <w:name w:val="Emphasis"/>
    <w:basedOn w:val="20"/>
    <w:qFormat/>
    <w:uiPriority w:val="0"/>
    <w:rPr>
      <w:i/>
    </w:rPr>
  </w:style>
  <w:style w:type="character" w:styleId="25">
    <w:name w:val="HTML Definition"/>
    <w:basedOn w:val="20"/>
    <w:qFormat/>
    <w:uiPriority w:val="0"/>
  </w:style>
  <w:style w:type="character" w:styleId="26">
    <w:name w:val="HTML Variable"/>
    <w:basedOn w:val="20"/>
    <w:qFormat/>
    <w:uiPriority w:val="0"/>
  </w:style>
  <w:style w:type="character" w:styleId="27">
    <w:name w:val="Hyperlink"/>
    <w:basedOn w:val="20"/>
    <w:qFormat/>
    <w:uiPriority w:val="99"/>
    <w:rPr>
      <w:color w:val="0000FF"/>
      <w:u w:val="single"/>
    </w:rPr>
  </w:style>
  <w:style w:type="character" w:styleId="28">
    <w:name w:val="HTML Code"/>
    <w:basedOn w:val="20"/>
    <w:qFormat/>
    <w:uiPriority w:val="0"/>
    <w:rPr>
      <w:rFonts w:ascii="Courier New" w:hAnsi="Courier New"/>
      <w:sz w:val="20"/>
    </w:rPr>
  </w:style>
  <w:style w:type="character" w:styleId="29">
    <w:name w:val="annotation reference"/>
    <w:basedOn w:val="20"/>
    <w:qFormat/>
    <w:uiPriority w:val="0"/>
    <w:rPr>
      <w:sz w:val="21"/>
      <w:szCs w:val="21"/>
    </w:rPr>
  </w:style>
  <w:style w:type="character" w:styleId="30">
    <w:name w:val="HTML Cite"/>
    <w:basedOn w:val="20"/>
    <w:qFormat/>
    <w:uiPriority w:val="0"/>
  </w:style>
  <w:style w:type="paragraph" w:customStyle="1" w:styleId="31">
    <w:name w:val="正文首行缩进两字符"/>
    <w:basedOn w:val="1"/>
    <w:qFormat/>
    <w:uiPriority w:val="0"/>
    <w:pPr>
      <w:spacing w:line="360" w:lineRule="auto"/>
      <w:ind w:firstLine="200" w:firstLineChars="200"/>
    </w:pPr>
  </w:style>
  <w:style w:type="paragraph" w:customStyle="1" w:styleId="32">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33">
    <w:name w:val="13、表格内居中正文"/>
    <w:basedOn w:val="1"/>
    <w:qFormat/>
    <w:uiPriority w:val="0"/>
    <w:pPr>
      <w:tabs>
        <w:tab w:val="left" w:pos="0"/>
      </w:tabs>
      <w:wordWrap w:val="0"/>
      <w:topLinePunct/>
      <w:spacing w:line="360" w:lineRule="exact"/>
      <w:jc w:val="center"/>
    </w:pPr>
    <w:rPr>
      <w:rFonts w:ascii="宋体" w:hAnsi="宋体"/>
    </w:rPr>
  </w:style>
  <w:style w:type="paragraph" w:customStyle="1" w:styleId="34">
    <w:name w:val="12、表格内左对齐正文"/>
    <w:basedOn w:val="1"/>
    <w:qFormat/>
    <w:uiPriority w:val="0"/>
    <w:pPr>
      <w:tabs>
        <w:tab w:val="left" w:pos="0"/>
      </w:tabs>
      <w:wordWrap w:val="0"/>
      <w:topLinePunct/>
      <w:spacing w:line="360" w:lineRule="exact"/>
      <w:ind w:left="48" w:leftChars="20"/>
    </w:pPr>
    <w:rPr>
      <w:rFonts w:ascii="宋体" w:hAnsi="宋体"/>
      <w:snapToGrid w:val="0"/>
    </w:rPr>
  </w:style>
  <w:style w:type="paragraph" w:customStyle="1" w:styleId="35">
    <w:name w:val="03、“注：”正文(加粗，首行缩进2字符)"/>
    <w:basedOn w:val="1"/>
    <w:qFormat/>
    <w:uiPriority w:val="0"/>
    <w:pPr>
      <w:tabs>
        <w:tab w:val="left" w:pos="0"/>
      </w:tabs>
      <w:wordWrap w:val="0"/>
      <w:topLinePunct/>
      <w:adjustRightInd w:val="0"/>
      <w:snapToGrid w:val="0"/>
      <w:spacing w:line="440" w:lineRule="exact"/>
      <w:ind w:firstLine="480" w:firstLineChars="200"/>
      <w:jc w:val="left"/>
    </w:pPr>
    <w:rPr>
      <w:rFonts w:ascii="宋体" w:hAnsi="宋体"/>
      <w:b/>
      <w:snapToGrid w:val="0"/>
      <w:sz w:val="24"/>
    </w:rPr>
  </w:style>
  <w:style w:type="paragraph" w:customStyle="1" w:styleId="3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7">
    <w:name w:val="批注框文本 字符"/>
    <w:basedOn w:val="20"/>
    <w:link w:val="12"/>
    <w:qFormat/>
    <w:uiPriority w:val="0"/>
    <w:rPr>
      <w:rFonts w:ascii="Times New Roman" w:hAnsi="Times New Roman" w:eastAsia="宋体" w:cs="Times New Roman"/>
      <w:kern w:val="2"/>
      <w:sz w:val="18"/>
      <w:szCs w:val="18"/>
    </w:rPr>
  </w:style>
  <w:style w:type="character" w:customStyle="1" w:styleId="38">
    <w:name w:val="批注文字 字符"/>
    <w:basedOn w:val="20"/>
    <w:link w:val="8"/>
    <w:qFormat/>
    <w:uiPriority w:val="0"/>
    <w:rPr>
      <w:rFonts w:ascii="Times New Roman" w:hAnsi="Times New Roman" w:eastAsia="宋体" w:cs="Times New Roman"/>
      <w:szCs w:val="24"/>
    </w:rPr>
  </w:style>
  <w:style w:type="character" w:customStyle="1" w:styleId="39">
    <w:name w:val="批注主题 字符"/>
    <w:basedOn w:val="38"/>
    <w:link w:val="17"/>
    <w:qFormat/>
    <w:uiPriority w:val="0"/>
    <w:rPr>
      <w:rFonts w:ascii="Times New Roman" w:hAnsi="Times New Roman" w:eastAsia="宋体" w:cs="Times New Roman"/>
      <w:b/>
      <w:bCs/>
      <w:kern w:val="2"/>
      <w:sz w:val="21"/>
      <w:szCs w:val="24"/>
    </w:rPr>
  </w:style>
  <w:style w:type="paragraph" w:customStyle="1" w:styleId="40">
    <w:name w:val="标题 5（有编号）（绿盟科技）"/>
    <w:basedOn w:val="1"/>
    <w:next w:val="41"/>
    <w:qFormat/>
    <w:uiPriority w:val="99"/>
    <w:pPr>
      <w:keepNext/>
      <w:keepLines/>
      <w:numPr>
        <w:ilvl w:val="4"/>
        <w:numId w:val="2"/>
      </w:numPr>
      <w:spacing w:before="280" w:after="156" w:line="377" w:lineRule="auto"/>
      <w:jc w:val="left"/>
      <w:outlineLvl w:val="4"/>
    </w:pPr>
    <w:rPr>
      <w:rFonts w:ascii="Arial" w:hAnsi="Arial" w:eastAsia="黑体"/>
      <w:b/>
      <w:sz w:val="24"/>
      <w:szCs w:val="28"/>
    </w:rPr>
  </w:style>
  <w:style w:type="paragraph" w:customStyle="1" w:styleId="41">
    <w:name w:val="正文（绿盟科技）"/>
    <w:qFormat/>
    <w:uiPriority w:val="99"/>
    <w:pPr>
      <w:spacing w:line="300" w:lineRule="auto"/>
    </w:pPr>
    <w:rPr>
      <w:rFonts w:ascii="Arial" w:hAnsi="Arial" w:eastAsia="宋体" w:cs="Times New Roman"/>
      <w:sz w:val="21"/>
      <w:szCs w:val="21"/>
      <w:lang w:val="en-US" w:eastAsia="zh-CN" w:bidi="ar-SA"/>
    </w:rPr>
  </w:style>
  <w:style w:type="paragraph" w:customStyle="1" w:styleId="42">
    <w:name w:val="Table Paragraph"/>
    <w:basedOn w:val="1"/>
    <w:qFormat/>
    <w:uiPriority w:val="1"/>
    <w:rPr>
      <w:rFonts w:ascii="仿宋" w:hAnsi="仿宋" w:eastAsia="仿宋" w:cs="仿宋"/>
      <w:lang w:val="zh-CN" w:bidi="zh-CN"/>
    </w:rPr>
  </w:style>
  <w:style w:type="character" w:customStyle="1" w:styleId="43">
    <w:name w:val="img"/>
    <w:basedOn w:val="20"/>
    <w:qFormat/>
    <w:uiPriority w:val="0"/>
  </w:style>
  <w:style w:type="character" w:customStyle="1" w:styleId="44">
    <w:name w:val="img1"/>
    <w:basedOn w:val="20"/>
    <w:qFormat/>
    <w:uiPriority w:val="0"/>
  </w:style>
  <w:style w:type="paragraph" w:customStyle="1" w:styleId="45">
    <w:name w:val="样式 首行缩进:  2 字符"/>
    <w:basedOn w:val="1"/>
    <w:qFormat/>
    <w:uiPriority w:val="0"/>
    <w:pPr>
      <w:spacing w:line="400" w:lineRule="exact"/>
      <w:ind w:firstLine="200" w:firstLineChars="200"/>
    </w:pPr>
    <w:rPr>
      <w:rFonts w:cs="宋体"/>
      <w:sz w:val="24"/>
    </w:rPr>
  </w:style>
  <w:style w:type="paragraph" w:customStyle="1" w:styleId="46">
    <w:name w:val="GW-正文"/>
    <w:basedOn w:val="1"/>
    <w:qFormat/>
    <w:uiPriority w:val="99"/>
    <w:pPr>
      <w:widowControl/>
      <w:spacing w:line="360" w:lineRule="auto"/>
      <w:ind w:firstLine="480" w:firstLineChars="200"/>
    </w:pPr>
    <w:rPr>
      <w:color w:val="000000"/>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0" Type="http://schemas.openxmlformats.org/officeDocument/2006/relationships/fontTable" Target="fontTable.xml"/><Relationship Id="rId5" Type="http://schemas.openxmlformats.org/officeDocument/2006/relationships/footer" Target="footer2.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footer" Target="footer1.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10835</Words>
  <Characters>61765</Characters>
  <Lines>514</Lines>
  <Paragraphs>144</Paragraphs>
  <TotalTime>62</TotalTime>
  <ScaleCrop>false</ScaleCrop>
  <LinksUpToDate>false</LinksUpToDate>
  <CharactersWithSpaces>72456</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2021-04-22T10:38:00Z</dcterms:created>
  <dc:creator>Holly Chan</dc:creator>
  <cp:lastModifiedBy>颖妹儿</cp:lastModifiedBy>
  <cp:lastPrinted>2021-10-26T01:12:00Z</cp:lastPrinted>
  <dcterms:modified xsi:type="dcterms:W3CDTF">2021-11-02T04:30:16Z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C7C8916DF7DD449D951B3A2A78A10862</vt:lpwstr>
  </property>
</Properties>
</file>