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textAlignment w:val="baseline"/>
        <w:rPr>
          <w:rFonts w:hint="eastAsia" w:ascii="仿宋" w:hAnsi="仿宋" w:eastAsia="仿宋" w:cs="仿宋"/>
          <w:color w:val="auto"/>
          <w:sz w:val="30"/>
          <w:szCs w:val="30"/>
          <w:highlight w:val="none"/>
        </w:rPr>
      </w:pPr>
      <w:bookmarkStart w:id="147" w:name="_GoBack"/>
      <w:bookmarkEnd w:id="147"/>
    </w:p>
    <w:p>
      <w:pPr>
        <w:snapToGrid w:val="0"/>
        <w:jc w:val="center"/>
        <w:textAlignment w:val="baseline"/>
        <w:rPr>
          <w:rFonts w:hint="eastAsia" w:ascii="仿宋" w:hAnsi="仿宋" w:eastAsia="仿宋" w:cs="仿宋"/>
          <w:color w:val="auto"/>
          <w:sz w:val="30"/>
          <w:szCs w:val="30"/>
          <w:highlight w:val="none"/>
        </w:rPr>
      </w:pPr>
    </w:p>
    <w:p>
      <w:pPr>
        <w:snapToGrid w:val="0"/>
        <w:spacing w:line="360" w:lineRule="auto"/>
        <w:ind w:firstLine="2880" w:firstLineChars="900"/>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采购编号：510186202100335</w:t>
      </w:r>
    </w:p>
    <w:p>
      <w:pPr>
        <w:snapToGrid w:val="0"/>
        <w:spacing w:line="360" w:lineRule="auto"/>
        <w:jc w:val="center"/>
        <w:textAlignment w:val="baseline"/>
        <w:rPr>
          <w:rFonts w:hint="eastAsia" w:ascii="仿宋" w:hAnsi="仿宋" w:eastAsia="仿宋" w:cs="仿宋"/>
          <w:color w:val="auto"/>
          <w:sz w:val="32"/>
          <w:szCs w:val="32"/>
          <w:highlight w:val="none"/>
        </w:rPr>
      </w:pP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四川天府新区生态环境和城市管理局天府新区环境卫生及城乡环境综合治理第三方巡查监督服务采购项目</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竞</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争</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性</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磋</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商</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文</w:t>
      </w:r>
    </w:p>
    <w:p>
      <w:pPr>
        <w:snapToGrid w:val="0"/>
        <w:jc w:val="center"/>
        <w:textAlignment w:val="baseline"/>
        <w:rPr>
          <w:rFonts w:hint="eastAsia" w:ascii="仿宋" w:hAnsi="仿宋" w:eastAsia="仿宋" w:cs="仿宋"/>
          <w:color w:val="auto"/>
          <w:sz w:val="52"/>
          <w:szCs w:val="52"/>
          <w:highlight w:val="none"/>
        </w:rPr>
      </w:pPr>
      <w:r>
        <w:rPr>
          <w:rFonts w:hint="eastAsia" w:ascii="仿宋" w:hAnsi="仿宋" w:eastAsia="仿宋" w:cs="仿宋"/>
          <w:color w:val="auto"/>
          <w:sz w:val="52"/>
          <w:szCs w:val="52"/>
          <w:highlight w:val="none"/>
        </w:rPr>
        <w:t>件</w:t>
      </w:r>
    </w:p>
    <w:p>
      <w:pPr>
        <w:snapToGrid w:val="0"/>
        <w:spacing w:line="360" w:lineRule="auto"/>
        <w:jc w:val="center"/>
        <w:textAlignment w:val="baseline"/>
        <w:rPr>
          <w:rFonts w:hint="eastAsia" w:ascii="仿宋" w:hAnsi="仿宋" w:eastAsia="仿宋" w:cs="仿宋"/>
          <w:color w:val="auto"/>
          <w:sz w:val="32"/>
          <w:szCs w:val="32"/>
          <w:highlight w:val="none"/>
        </w:rPr>
      </w:pPr>
    </w:p>
    <w:p>
      <w:pPr>
        <w:snapToGrid w:val="0"/>
        <w:spacing w:line="360" w:lineRule="auto"/>
        <w:jc w:val="center"/>
        <w:textAlignment w:val="baseline"/>
        <w:rPr>
          <w:rFonts w:hint="eastAsia" w:ascii="仿宋" w:hAnsi="仿宋" w:eastAsia="仿宋" w:cs="仿宋"/>
          <w:color w:val="auto"/>
          <w:sz w:val="32"/>
          <w:szCs w:val="32"/>
          <w:highlight w:val="none"/>
        </w:rPr>
      </w:pPr>
    </w:p>
    <w:p>
      <w:pPr>
        <w:snapToGrid w:val="0"/>
        <w:spacing w:line="360" w:lineRule="auto"/>
        <w:jc w:val="center"/>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四川天府新区生态环境和城市管理局</w:t>
      </w:r>
    </w:p>
    <w:p>
      <w:pPr>
        <w:snapToGrid w:val="0"/>
        <w:spacing w:line="360" w:lineRule="auto"/>
        <w:jc w:val="center"/>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四川成与诚招标代理有限公司</w:t>
      </w:r>
    </w:p>
    <w:p>
      <w:pPr>
        <w:snapToGrid w:val="0"/>
        <w:spacing w:line="360" w:lineRule="auto"/>
        <w:jc w:val="center"/>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共同编制</w:t>
      </w:r>
    </w:p>
    <w:p>
      <w:pPr>
        <w:snapToGrid w:val="0"/>
        <w:spacing w:line="360" w:lineRule="auto"/>
        <w:jc w:val="center"/>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二〇二一年十一月</w:t>
      </w:r>
    </w:p>
    <w:p>
      <w:pPr>
        <w:snapToGrid w:val="0"/>
        <w:jc w:val="center"/>
        <w:textAlignment w:val="baseline"/>
        <w:rPr>
          <w:rFonts w:hint="eastAsia" w:ascii="仿宋" w:hAnsi="仿宋" w:eastAsia="仿宋" w:cs="仿宋"/>
          <w:color w:val="auto"/>
          <w:sz w:val="36"/>
          <w:szCs w:val="44"/>
          <w:highlight w:val="none"/>
        </w:rPr>
        <w:sectPr>
          <w:headerReference r:id="rId4" w:type="first"/>
          <w:headerReference r:id="rId3" w:type="default"/>
          <w:footerReference r:id="rId5" w:type="even"/>
          <w:pgSz w:w="11905" w:h="16838"/>
          <w:pgMar w:top="1417" w:right="1417" w:bottom="1417" w:left="1417" w:header="425" w:footer="992" w:gutter="0"/>
          <w:cols w:space="0" w:num="1"/>
          <w:titlePg/>
          <w:rtlGutter w:val="0"/>
          <w:docGrid w:linePitch="312" w:charSpace="0"/>
        </w:sectPr>
      </w:pPr>
    </w:p>
    <w:p>
      <w:pPr>
        <w:snapToGrid w:val="0"/>
        <w:jc w:val="center"/>
        <w:textAlignment w:val="baseline"/>
        <w:rPr>
          <w:rFonts w:hint="eastAsia" w:ascii="仿宋" w:hAnsi="仿宋" w:eastAsia="仿宋" w:cs="仿宋"/>
          <w:color w:val="auto"/>
          <w:sz w:val="36"/>
          <w:szCs w:val="44"/>
          <w:highlight w:val="none"/>
        </w:rPr>
      </w:pPr>
      <w:r>
        <w:rPr>
          <w:rFonts w:hint="eastAsia" w:ascii="仿宋" w:hAnsi="仿宋" w:eastAsia="仿宋" w:cs="仿宋"/>
          <w:color w:val="auto"/>
          <w:sz w:val="36"/>
          <w:szCs w:val="44"/>
          <w:highlight w:val="none"/>
        </w:rPr>
        <w:t>廉洁自律承诺书</w:t>
      </w:r>
    </w:p>
    <w:p>
      <w:pPr>
        <w:snapToGrid w:val="0"/>
        <w:spacing w:line="480" w:lineRule="auto"/>
        <w:ind w:firstLine="480" w:firstLineChars="200"/>
        <w:textAlignment w:val="baseline"/>
        <w:rPr>
          <w:rFonts w:hint="eastAsia" w:ascii="仿宋" w:hAnsi="仿宋" w:eastAsia="仿宋" w:cs="仿宋"/>
          <w:color w:val="auto"/>
          <w:sz w:val="24"/>
          <w:highlight w:val="none"/>
        </w:rPr>
      </w:pP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为进一步规范四川成与诚招标代理有限公司政府采购行为，维护政府采购制度，净化政府采购市场环境。四川成与诚招标代理有限公司在代理政府采购事务过程中郑重承诺：</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二、公司员工遵纪守法，不得以不正当手段争取、承揽代理政府采购事务和向任何单位和个人支付现金、实物或其他利益的行为。</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四、公司员工不得与供应商存在任何商业上的利害关系，不得在供应商单位兼职和任职，不得泄漏政府采购过程中的机密。</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napToGrid w:val="0"/>
        <w:spacing w:line="48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举报电话：028-83475775</w:t>
      </w:r>
    </w:p>
    <w:p>
      <w:pPr>
        <w:snapToGrid w:val="0"/>
        <w:spacing w:line="480" w:lineRule="auto"/>
        <w:ind w:firstLine="480" w:firstLineChars="200"/>
        <w:jc w:val="left"/>
        <w:textAlignment w:val="baseline"/>
        <w:rPr>
          <w:rFonts w:hint="eastAsia" w:ascii="仿宋" w:hAnsi="仿宋" w:eastAsia="仿宋" w:cs="仿宋"/>
          <w:color w:val="auto"/>
          <w:sz w:val="24"/>
          <w:highlight w:val="none"/>
        </w:rPr>
      </w:pPr>
    </w:p>
    <w:p>
      <w:pPr>
        <w:snapToGrid w:val="0"/>
        <w:spacing w:line="480" w:lineRule="auto"/>
        <w:ind w:firstLine="480" w:firstLineChars="200"/>
        <w:jc w:val="righ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四川成与诚招标代理有限公司</w:t>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pStyle w:val="16"/>
        <w:snapToGrid w:val="0"/>
        <w:textAlignment w:val="baseline"/>
        <w:rPr>
          <w:rFonts w:hint="eastAsia" w:ascii="仿宋" w:hAnsi="仿宋" w:eastAsia="仿宋" w:cs="仿宋"/>
          <w:color w:val="auto"/>
          <w:highlight w:val="none"/>
        </w:rPr>
      </w:pPr>
    </w:p>
    <w:p>
      <w:pPr>
        <w:snapToGrid w:val="0"/>
        <w:spacing w:line="360" w:lineRule="auto"/>
        <w:jc w:val="center"/>
        <w:textAlignment w:val="baseline"/>
        <w:rPr>
          <w:rFonts w:hint="eastAsia" w:ascii="仿宋" w:hAnsi="仿宋" w:eastAsia="仿宋" w:cs="仿宋"/>
          <w:color w:val="auto"/>
          <w:sz w:val="36"/>
          <w:szCs w:val="44"/>
          <w:highlight w:val="none"/>
        </w:rPr>
      </w:pPr>
      <w:r>
        <w:rPr>
          <w:rFonts w:hint="eastAsia" w:ascii="仿宋" w:hAnsi="仿宋" w:eastAsia="仿宋" w:cs="仿宋"/>
          <w:color w:val="auto"/>
          <w:sz w:val="36"/>
          <w:szCs w:val="44"/>
          <w:highlight w:val="none"/>
        </w:rPr>
        <w:t>交通指引</w:t>
      </w:r>
    </w:p>
    <w:p>
      <w:pPr>
        <w:snapToGrid w:val="0"/>
        <w:spacing w:line="480" w:lineRule="auto"/>
        <w:ind w:firstLine="480" w:firstLineChars="200"/>
        <w:textAlignment w:val="baseline"/>
        <w:rPr>
          <w:rFonts w:hint="eastAsia" w:ascii="仿宋" w:hAnsi="仿宋" w:eastAsia="仿宋" w:cs="仿宋"/>
          <w:color w:val="auto"/>
          <w:sz w:val="24"/>
          <w:szCs w:val="32"/>
          <w:highlight w:val="none"/>
        </w:rPr>
      </w:pPr>
    </w:p>
    <w:p>
      <w:pPr>
        <w:snapToGrid w:val="0"/>
        <w:spacing w:line="360" w:lineRule="auto"/>
        <w:ind w:firstLine="480" w:firstLineChars="200"/>
        <w:textAlignment w:val="baseline"/>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四川成与诚招标代理有限公司位于四川省成都市高新区锦尚西一路</w:t>
      </w:r>
      <w:r>
        <w:rPr>
          <w:rFonts w:hint="eastAsia" w:ascii="仿宋" w:hAnsi="仿宋" w:eastAsia="仿宋" w:cs="仿宋"/>
          <w:b/>
          <w:bCs/>
          <w:color w:val="auto"/>
          <w:sz w:val="24"/>
          <w:szCs w:val="32"/>
          <w:highlight w:val="none"/>
        </w:rPr>
        <w:t>楚峰国际中心45A03号（44层）</w:t>
      </w:r>
      <w:r>
        <w:rPr>
          <w:rFonts w:hint="eastAsia" w:ascii="仿宋" w:hAnsi="仿宋" w:eastAsia="仿宋" w:cs="仿宋"/>
          <w:color w:val="auto"/>
          <w:sz w:val="24"/>
          <w:szCs w:val="32"/>
          <w:highlight w:val="none"/>
        </w:rPr>
        <w:t>，可采用以下交通方式：</w:t>
      </w:r>
    </w:p>
    <w:p>
      <w:pPr>
        <w:snapToGrid w:val="0"/>
        <w:spacing w:line="360" w:lineRule="auto"/>
        <w:ind w:firstLine="480" w:firstLineChars="200"/>
        <w:textAlignment w:val="baseline"/>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1、地铁：1号线孵化园地铁站A口，步行300米即可到达。</w:t>
      </w:r>
    </w:p>
    <w:p>
      <w:pPr>
        <w:snapToGrid w:val="0"/>
        <w:spacing w:line="360" w:lineRule="auto"/>
        <w:ind w:firstLine="480" w:firstLineChars="200"/>
        <w:textAlignment w:val="baseline"/>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2、自驾：高德地图导航输入“楚峰国际中心”，停车场入口位于锦尚西一路。</w:t>
      </w:r>
    </w:p>
    <w:p>
      <w:pPr>
        <w:snapToGrid w:val="0"/>
        <w:spacing w:line="360" w:lineRule="auto"/>
        <w:ind w:firstLine="480" w:firstLineChars="200"/>
        <w:textAlignment w:val="baseline"/>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3、建议将车辆停放于-5层，乘地下客梯至一楼大堂（地下客梯只能到一楼）。来访人员在大堂选乘高区单/双层客梯上楼；大件样品可直接从货梯上楼。</w:t>
      </w:r>
    </w:p>
    <w:p>
      <w:pPr>
        <w:snapToGrid w:val="0"/>
        <w:spacing w:line="480" w:lineRule="auto"/>
        <w:jc w:val="center"/>
        <w:textAlignment w:val="baseline"/>
        <w:rPr>
          <w:rFonts w:hint="eastAsia" w:ascii="仿宋" w:hAnsi="仿宋" w:eastAsia="仿宋" w:cs="仿宋"/>
          <w:color w:val="auto"/>
          <w:sz w:val="36"/>
          <w:szCs w:val="44"/>
          <w:highlight w:val="none"/>
        </w:rPr>
      </w:pPr>
      <w:r>
        <w:rPr>
          <w:rFonts w:hint="eastAsia" w:ascii="仿宋" w:hAnsi="仿宋" w:eastAsia="仿宋" w:cs="仿宋"/>
          <w:color w:val="auto"/>
          <w:highlight w:val="none"/>
        </w:rPr>
        <w:drawing>
          <wp:inline distT="0" distB="0" distL="114300" distR="114300">
            <wp:extent cx="5243830" cy="4730750"/>
            <wp:effectExtent l="0" t="0" r="0" b="0"/>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6">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inline>
        </w:drawing>
      </w:r>
      <w:r>
        <w:rPr>
          <w:rFonts w:hint="eastAsia" w:ascii="仿宋" w:hAnsi="仿宋" w:eastAsia="仿宋" w:cs="仿宋"/>
          <w:color w:val="auto"/>
          <w:sz w:val="24"/>
          <w:szCs w:val="32"/>
          <w:highlight w:val="none"/>
        </w:rPr>
        <w:br w:type="textWrapping"/>
      </w:r>
    </w:p>
    <w:p>
      <w:pPr>
        <w:rPr>
          <w:rFonts w:hint="eastAsia" w:ascii="仿宋" w:hAnsi="仿宋" w:eastAsia="仿宋" w:cs="仿宋"/>
          <w:color w:val="auto"/>
          <w:sz w:val="36"/>
          <w:szCs w:val="44"/>
          <w:highlight w:val="none"/>
        </w:rPr>
      </w:pPr>
      <w:r>
        <w:rPr>
          <w:rFonts w:hint="eastAsia" w:ascii="仿宋" w:hAnsi="仿宋" w:eastAsia="仿宋" w:cs="仿宋"/>
          <w:color w:val="auto"/>
          <w:sz w:val="36"/>
          <w:szCs w:val="44"/>
          <w:highlight w:val="none"/>
        </w:rPr>
        <w:br w:type="page"/>
      </w:r>
    </w:p>
    <w:p>
      <w:pPr>
        <w:snapToGrid w:val="0"/>
        <w:spacing w:line="480" w:lineRule="auto"/>
        <w:jc w:val="center"/>
        <w:textAlignment w:val="baseline"/>
        <w:rPr>
          <w:rFonts w:hint="eastAsia" w:ascii="仿宋" w:hAnsi="仿宋" w:eastAsia="仿宋" w:cs="仿宋"/>
          <w:color w:val="auto"/>
          <w:sz w:val="36"/>
          <w:highlight w:val="none"/>
        </w:rPr>
      </w:pPr>
      <w:r>
        <w:rPr>
          <w:rFonts w:hint="eastAsia" w:ascii="仿宋" w:hAnsi="仿宋" w:eastAsia="仿宋" w:cs="仿宋"/>
          <w:color w:val="auto"/>
          <w:sz w:val="36"/>
          <w:szCs w:val="44"/>
          <w:highlight w:val="none"/>
        </w:rPr>
        <w:t>温馨提示</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各供应商：</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欢迎参与本次采购活动，为优化政府采购营商环境，减少供应商参加政府采购活动成本，温馨提示如下：</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一、报名：注意报名的截止时间、报名的方式以及需要提供的资料，任何一项不满足的将拒绝接收。</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三、制作投标（响应）文件：注意采购文件中的资格要求和实质性要求，任何一条不满足的将作无效处理。注意采购文件中的评分要求，未按要求提供证明材料的将不予认可。</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四、投标（响应）：注意投标（响应）截止时间和递交文件的地点，未按要求密封或逾期送达的将拒绝接收。</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五、结果查询：结果公告将在发布采购公告的同一网站进行公布，供应商应自行关注，任何询问项目评审情况和中标（成交）情况的行为都将被拒绝。</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六、服务费：中标（成交）结果公布后，中标（成交）人应及时足额缴纳服务费，我司在收到服务费后才可开具发票。</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snapToGrid w:val="0"/>
        <w:spacing w:line="360" w:lineRule="auto"/>
        <w:ind w:firstLine="480" w:firstLineChars="200"/>
        <w:jc w:val="left"/>
        <w:textAlignment w:val="baseline"/>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八、采购合同：中标（成交）人应在招标文件规定的期限内凭中标（成交）通知书与采购人签订采购合同。</w:t>
      </w:r>
    </w:p>
    <w:p>
      <w:pPr>
        <w:widowControl/>
        <w:snapToGrid w:val="0"/>
        <w:jc w:val="left"/>
        <w:textAlignment w:val="baseline"/>
        <w:rPr>
          <w:rFonts w:hint="eastAsia" w:ascii="仿宋" w:hAnsi="仿宋" w:eastAsia="仿宋" w:cs="仿宋"/>
          <w:color w:val="auto"/>
          <w:sz w:val="36"/>
          <w:szCs w:val="32"/>
          <w:highlight w:val="none"/>
        </w:rPr>
      </w:pPr>
      <w:r>
        <w:rPr>
          <w:rFonts w:hint="eastAsia" w:ascii="仿宋" w:hAnsi="仿宋" w:eastAsia="仿宋" w:cs="仿宋"/>
          <w:color w:val="auto"/>
          <w:sz w:val="24"/>
          <w:szCs w:val="32"/>
          <w:highlight w:val="none"/>
        </w:rPr>
        <w:br w:type="textWrapping"/>
      </w:r>
    </w:p>
    <w:p>
      <w:pPr>
        <w:rPr>
          <w:rFonts w:hint="eastAsia" w:ascii="仿宋" w:hAnsi="仿宋" w:eastAsia="仿宋" w:cs="仿宋"/>
          <w:bCs w:val="0"/>
          <w:color w:val="auto"/>
          <w:sz w:val="36"/>
          <w:highlight w:val="none"/>
        </w:rPr>
      </w:pPr>
      <w:r>
        <w:rPr>
          <w:rFonts w:hint="eastAsia" w:ascii="仿宋" w:hAnsi="仿宋" w:eastAsia="仿宋" w:cs="仿宋"/>
          <w:bCs w:val="0"/>
          <w:color w:val="auto"/>
          <w:sz w:val="36"/>
          <w:highlight w:val="none"/>
        </w:rPr>
        <w:br w:type="page"/>
      </w:r>
    </w:p>
    <w:p>
      <w:pPr>
        <w:pStyle w:val="4"/>
        <w:keepLines w:val="0"/>
        <w:snapToGrid w:val="0"/>
        <w:spacing w:line="360" w:lineRule="exact"/>
        <w:jc w:val="center"/>
        <w:textAlignment w:val="baseline"/>
        <w:rPr>
          <w:rFonts w:hint="eastAsia" w:ascii="仿宋" w:hAnsi="仿宋" w:eastAsia="仿宋" w:cs="仿宋"/>
          <w:bCs w:val="0"/>
          <w:color w:val="auto"/>
          <w:sz w:val="36"/>
          <w:highlight w:val="none"/>
        </w:rPr>
      </w:pPr>
      <w:r>
        <w:rPr>
          <w:rFonts w:hint="eastAsia" w:ascii="仿宋" w:hAnsi="仿宋" w:eastAsia="仿宋" w:cs="仿宋"/>
          <w:bCs w:val="0"/>
          <w:color w:val="auto"/>
          <w:sz w:val="36"/>
          <w:highlight w:val="none"/>
        </w:rPr>
        <w:t>目    录</w:t>
      </w:r>
    </w:p>
    <w:p>
      <w:pPr>
        <w:snapToGrid w:val="0"/>
        <w:textAlignment w:val="baseline"/>
        <w:rPr>
          <w:rFonts w:hint="eastAsia" w:ascii="仿宋" w:hAnsi="仿宋" w:eastAsia="仿宋" w:cs="仿宋"/>
          <w:color w:val="auto"/>
          <w:sz w:val="20"/>
          <w:highlight w:val="none"/>
        </w:rPr>
      </w:pP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TOC \o "1-1" \h \z \u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_Toc170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第一章  磋商邀请</w:t>
      </w:r>
      <w:r>
        <w:rPr>
          <w:color w:val="auto"/>
          <w:highlight w:val="none"/>
        </w:rPr>
        <w:tab/>
      </w:r>
      <w:r>
        <w:rPr>
          <w:color w:val="auto"/>
          <w:highlight w:val="none"/>
        </w:rPr>
        <w:fldChar w:fldCharType="begin"/>
      </w:r>
      <w:r>
        <w:rPr>
          <w:color w:val="auto"/>
          <w:highlight w:val="none"/>
        </w:rPr>
        <w:instrText xml:space="preserve"> PAGEREF _Toc170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_Toc24300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第二章  磋商须知</w:t>
      </w:r>
      <w:r>
        <w:rPr>
          <w:color w:val="auto"/>
          <w:highlight w:val="none"/>
        </w:rPr>
        <w:tab/>
      </w:r>
      <w:r>
        <w:rPr>
          <w:color w:val="auto"/>
          <w:highlight w:val="none"/>
        </w:rPr>
        <w:fldChar w:fldCharType="begin"/>
      </w:r>
      <w:r>
        <w:rPr>
          <w:color w:val="auto"/>
          <w:highlight w:val="none"/>
        </w:rPr>
        <w:instrText xml:space="preserve"> PAGEREF _Toc24300 \h </w:instrText>
      </w:r>
      <w:r>
        <w:rPr>
          <w:color w:val="auto"/>
          <w:highlight w:val="none"/>
        </w:rPr>
        <w:fldChar w:fldCharType="separate"/>
      </w:r>
      <w:r>
        <w:rPr>
          <w:color w:val="auto"/>
          <w:highlight w:val="none"/>
        </w:rPr>
        <w:t>8</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_Toc10519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第三章  供应商和报价产品的资格、资质性及其他类似效力要求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_Toc10519 \h </w:instrText>
      </w:r>
      <w:r>
        <w:rPr>
          <w:color w:val="auto"/>
          <w:highlight w:val="none"/>
        </w:rPr>
        <w:fldChar w:fldCharType="separate"/>
      </w:r>
      <w:r>
        <w:rPr>
          <w:color w:val="auto"/>
          <w:highlight w:val="none"/>
        </w:rPr>
        <w:t>23</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_Toc8116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第四章  供应商应当提供的资格、资质性及其他类似效力要求的相关证明材料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_Toc8116 \h </w:instrText>
      </w:r>
      <w:r>
        <w:rPr>
          <w:color w:val="auto"/>
          <w:highlight w:val="none"/>
        </w:rPr>
        <w:fldChar w:fldCharType="separate"/>
      </w:r>
      <w:r>
        <w:rPr>
          <w:color w:val="auto"/>
          <w:highlight w:val="none"/>
        </w:rPr>
        <w:t>24</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_Toc28846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第五章  采购项目技术、服务、政府采购合同内容条款及其他商务要求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_Toc28846 \h </w:instrText>
      </w:r>
      <w:r>
        <w:rPr>
          <w:color w:val="auto"/>
          <w:highlight w:val="none"/>
        </w:rPr>
        <w:fldChar w:fldCharType="separate"/>
      </w:r>
      <w:r>
        <w:rPr>
          <w:color w:val="auto"/>
          <w:highlight w:val="none"/>
        </w:rPr>
        <w:t>26</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_Toc699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第六章  磋商内容、磋商过程中可实质性变动的内容</w:t>
      </w:r>
      <w:r>
        <w:rPr>
          <w:color w:val="auto"/>
          <w:highlight w:val="none"/>
        </w:rPr>
        <w:tab/>
      </w:r>
      <w:r>
        <w:rPr>
          <w:color w:val="auto"/>
          <w:highlight w:val="none"/>
        </w:rPr>
        <w:fldChar w:fldCharType="begin"/>
      </w:r>
      <w:r>
        <w:rPr>
          <w:color w:val="auto"/>
          <w:highlight w:val="none"/>
        </w:rPr>
        <w:instrText xml:space="preserve"> PAGEREF _Toc699 \h </w:instrText>
      </w:r>
      <w:r>
        <w:rPr>
          <w:color w:val="auto"/>
          <w:highlight w:val="none"/>
        </w:rPr>
        <w:fldChar w:fldCharType="separate"/>
      </w:r>
      <w:r>
        <w:rPr>
          <w:color w:val="auto"/>
          <w:highlight w:val="none"/>
        </w:rPr>
        <w:t>35</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_Toc4952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第七章  响应文件格式</w:t>
      </w:r>
      <w:r>
        <w:rPr>
          <w:color w:val="auto"/>
          <w:highlight w:val="none"/>
        </w:rPr>
        <w:tab/>
      </w:r>
      <w:r>
        <w:rPr>
          <w:color w:val="auto"/>
          <w:highlight w:val="none"/>
        </w:rPr>
        <w:fldChar w:fldCharType="begin"/>
      </w:r>
      <w:r>
        <w:rPr>
          <w:color w:val="auto"/>
          <w:highlight w:val="none"/>
        </w:rPr>
        <w:instrText xml:space="preserve"> PAGEREF _Toc4952 \h </w:instrText>
      </w:r>
      <w:r>
        <w:rPr>
          <w:color w:val="auto"/>
          <w:highlight w:val="none"/>
        </w:rPr>
        <w:fldChar w:fldCharType="separate"/>
      </w:r>
      <w:r>
        <w:rPr>
          <w:color w:val="auto"/>
          <w:highlight w:val="none"/>
        </w:rPr>
        <w:t>36</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_Toc19495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第八章  评审方法</w:t>
      </w:r>
      <w:r>
        <w:rPr>
          <w:color w:val="auto"/>
          <w:highlight w:val="none"/>
        </w:rPr>
        <w:tab/>
      </w:r>
      <w:r>
        <w:rPr>
          <w:color w:val="auto"/>
          <w:highlight w:val="none"/>
        </w:rPr>
        <w:fldChar w:fldCharType="begin"/>
      </w:r>
      <w:r>
        <w:rPr>
          <w:color w:val="auto"/>
          <w:highlight w:val="none"/>
        </w:rPr>
        <w:instrText xml:space="preserve"> PAGEREF _Toc19495 \h </w:instrText>
      </w:r>
      <w:r>
        <w:rPr>
          <w:color w:val="auto"/>
          <w:highlight w:val="none"/>
        </w:rPr>
        <w:fldChar w:fldCharType="separate"/>
      </w:r>
      <w:r>
        <w:rPr>
          <w:color w:val="auto"/>
          <w:highlight w:val="none"/>
        </w:rPr>
        <w:t>60</w:t>
      </w:r>
      <w:r>
        <w:rPr>
          <w:color w:val="auto"/>
          <w:highlight w:val="none"/>
        </w:rPr>
        <w:fldChar w:fldCharType="end"/>
      </w:r>
      <w:r>
        <w:rPr>
          <w:rFonts w:hint="eastAsia" w:ascii="仿宋" w:hAnsi="仿宋" w:eastAsia="仿宋" w:cs="仿宋"/>
          <w:color w:val="auto"/>
          <w:highlight w:val="none"/>
        </w:rPr>
        <w:fldChar w:fldCharType="end"/>
      </w:r>
    </w:p>
    <w:p>
      <w:pPr>
        <w:pStyle w:val="20"/>
        <w:tabs>
          <w:tab w:val="right" w:leader="dot" w:pos="9071"/>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_Toc25846 </w:instrText>
      </w:r>
      <w:r>
        <w:rPr>
          <w:rFonts w:hint="eastAsia" w:ascii="仿宋" w:hAnsi="仿宋" w:eastAsia="仿宋" w:cs="仿宋"/>
          <w:color w:val="auto"/>
          <w:highlight w:val="none"/>
        </w:rPr>
        <w:fldChar w:fldCharType="separate"/>
      </w:r>
      <w:r>
        <w:rPr>
          <w:rFonts w:hint="eastAsia" w:ascii="仿宋" w:hAnsi="仿宋" w:eastAsia="仿宋" w:cs="仿宋"/>
          <w:color w:val="auto"/>
          <w:szCs w:val="32"/>
          <w:highlight w:val="none"/>
        </w:rPr>
        <w:t>第九章  政府采购合同（草案）</w:t>
      </w:r>
      <w:r>
        <w:rPr>
          <w:color w:val="auto"/>
          <w:highlight w:val="none"/>
        </w:rPr>
        <w:tab/>
      </w:r>
      <w:r>
        <w:rPr>
          <w:color w:val="auto"/>
          <w:highlight w:val="none"/>
        </w:rPr>
        <w:fldChar w:fldCharType="begin"/>
      </w:r>
      <w:r>
        <w:rPr>
          <w:color w:val="auto"/>
          <w:highlight w:val="none"/>
        </w:rPr>
        <w:instrText xml:space="preserve"> PAGEREF _Toc25846 \h </w:instrText>
      </w:r>
      <w:r>
        <w:rPr>
          <w:color w:val="auto"/>
          <w:highlight w:val="none"/>
        </w:rPr>
        <w:fldChar w:fldCharType="separate"/>
      </w:r>
      <w:r>
        <w:rPr>
          <w:color w:val="auto"/>
          <w:highlight w:val="none"/>
        </w:rPr>
        <w:t>69</w:t>
      </w:r>
      <w:r>
        <w:rPr>
          <w:color w:val="auto"/>
          <w:highlight w:val="none"/>
        </w:rPr>
        <w:fldChar w:fldCharType="end"/>
      </w:r>
      <w:r>
        <w:rPr>
          <w:rFonts w:hint="eastAsia" w:ascii="仿宋" w:hAnsi="仿宋" w:eastAsia="仿宋" w:cs="仿宋"/>
          <w:color w:val="auto"/>
          <w:highlight w:val="none"/>
        </w:rPr>
        <w:fldChar w:fldCharType="end"/>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fldChar w:fldCharType="end"/>
      </w:r>
    </w:p>
    <w:p>
      <w:pPr>
        <w:snapToGrid w:val="0"/>
        <w:textAlignment w:val="baseline"/>
        <w:rPr>
          <w:rFonts w:hint="eastAsia" w:ascii="仿宋" w:hAnsi="仿宋" w:eastAsia="仿宋" w:cs="仿宋"/>
          <w:color w:val="auto"/>
          <w:sz w:val="20"/>
          <w:highlight w:val="none"/>
        </w:rPr>
      </w:pPr>
    </w:p>
    <w:p>
      <w:pPr>
        <w:widowControl/>
        <w:snapToGrid w:val="0"/>
        <w:jc w:val="left"/>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textWrapping"/>
      </w:r>
    </w:p>
    <w:p>
      <w:pPr>
        <w:widowControl/>
        <w:snapToGrid w:val="0"/>
        <w:jc w:val="left"/>
        <w:textAlignment w:val="baseline"/>
        <w:rPr>
          <w:rFonts w:hint="eastAsia" w:ascii="仿宋" w:hAnsi="仿宋" w:eastAsia="仿宋" w:cs="仿宋"/>
          <w:bCs/>
          <w:color w:val="auto"/>
          <w:sz w:val="24"/>
          <w:highlight w:val="none"/>
        </w:rPr>
      </w:pP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0" w:name="_Toc170"/>
      <w:r>
        <w:rPr>
          <w:rFonts w:hint="eastAsia" w:ascii="仿宋" w:hAnsi="仿宋" w:eastAsia="仿宋" w:cs="仿宋"/>
          <w:color w:val="auto"/>
          <w:sz w:val="32"/>
          <w:szCs w:val="32"/>
          <w:highlight w:val="none"/>
        </w:rPr>
        <w:t>第一章  磋商邀请</w:t>
      </w:r>
      <w:bookmarkEnd w:id="0"/>
    </w:p>
    <w:p>
      <w:pPr>
        <w:pStyle w:val="7"/>
        <w:snapToGrid w:val="0"/>
        <w:spacing w:line="440" w:lineRule="exact"/>
        <w:textAlignment w:val="baseline"/>
        <w:rPr>
          <w:rFonts w:hint="eastAsia" w:ascii="仿宋" w:hAnsi="仿宋" w:eastAsia="仿宋" w:cs="仿宋"/>
          <w:color w:val="auto"/>
          <w:highlight w:val="none"/>
        </w:rPr>
      </w:pPr>
    </w:p>
    <w:p>
      <w:pPr>
        <w:snapToGrid w:val="0"/>
        <w:spacing w:line="440" w:lineRule="exact"/>
        <w:ind w:firstLine="720" w:firstLineChars="300"/>
        <w:jc w:val="left"/>
        <w:textAlignment w:val="baseline"/>
        <w:rPr>
          <w:rFonts w:hint="eastAsia" w:ascii="仿宋" w:hAnsi="仿宋" w:eastAsia="仿宋" w:cs="仿宋"/>
          <w:color w:val="auto"/>
          <w:sz w:val="24"/>
          <w:szCs w:val="28"/>
          <w:highlight w:val="none"/>
        </w:rPr>
      </w:pPr>
      <w:r>
        <w:rPr>
          <w:rFonts w:hint="eastAsia" w:ascii="仿宋" w:hAnsi="仿宋" w:eastAsia="仿宋" w:cs="仿宋"/>
          <w:color w:val="auto"/>
          <w:sz w:val="24"/>
          <w:highlight w:val="none"/>
        </w:rPr>
        <w:t>四川成与诚招标代理有限公司受</w:t>
      </w:r>
      <w:r>
        <w:rPr>
          <w:rFonts w:hint="eastAsia" w:ascii="仿宋" w:hAnsi="仿宋" w:eastAsia="仿宋" w:cs="仿宋"/>
          <w:color w:val="auto"/>
          <w:sz w:val="24"/>
          <w:highlight w:val="none"/>
          <w:u w:val="single" w:color="000000"/>
        </w:rPr>
        <w:t>四川天府新区生态环境和城市管理局委</w:t>
      </w:r>
      <w:r>
        <w:rPr>
          <w:rFonts w:hint="eastAsia" w:ascii="仿宋" w:hAnsi="仿宋" w:eastAsia="仿宋" w:cs="仿宋"/>
          <w:color w:val="auto"/>
          <w:sz w:val="24"/>
          <w:highlight w:val="none"/>
        </w:rPr>
        <w:t>托，拟对</w:t>
      </w:r>
      <w:bookmarkStart w:id="1" w:name="PO_默认文件内容_1"/>
      <w:r>
        <w:rPr>
          <w:rFonts w:hint="eastAsia" w:ascii="仿宋" w:hAnsi="仿宋" w:eastAsia="仿宋" w:cs="仿宋"/>
          <w:color w:val="auto"/>
          <w:sz w:val="24"/>
          <w:highlight w:val="none"/>
          <w:u w:val="single" w:color="000000"/>
        </w:rPr>
        <w:t>四川天府新区生态环境和城市管理局天府新区环境卫生及城乡环境综合治理第三方巡查监督服务采购项目</w:t>
      </w:r>
      <w:r>
        <w:rPr>
          <w:rFonts w:hint="eastAsia" w:ascii="仿宋" w:hAnsi="仿宋" w:eastAsia="仿宋" w:cs="仿宋"/>
          <w:color w:val="auto"/>
          <w:sz w:val="24"/>
          <w:szCs w:val="32"/>
          <w:highlight w:val="none"/>
        </w:rPr>
        <w:t>采用竞争性磋商方式</w:t>
      </w:r>
      <w:r>
        <w:rPr>
          <w:rFonts w:hint="eastAsia" w:ascii="仿宋" w:hAnsi="仿宋" w:eastAsia="仿宋" w:cs="仿宋"/>
          <w:color w:val="auto"/>
          <w:sz w:val="24"/>
          <w:highlight w:val="none"/>
        </w:rPr>
        <w:t>进行采购，特</w:t>
      </w:r>
      <w:r>
        <w:rPr>
          <w:rFonts w:hint="eastAsia" w:ascii="仿宋" w:hAnsi="仿宋" w:eastAsia="仿宋" w:cs="仿宋"/>
          <w:color w:val="auto"/>
          <w:sz w:val="24"/>
          <w:szCs w:val="28"/>
          <w:highlight w:val="none"/>
        </w:rPr>
        <w:t>邀请符合本次采购要求的供应商参加</w:t>
      </w:r>
      <w:r>
        <w:rPr>
          <w:rFonts w:hint="eastAsia" w:ascii="仿宋" w:hAnsi="仿宋" w:eastAsia="仿宋" w:cs="仿宋"/>
          <w:color w:val="auto"/>
          <w:sz w:val="24"/>
          <w:highlight w:val="none"/>
        </w:rPr>
        <w:t>本项目的竞争性磋商</w:t>
      </w:r>
      <w:r>
        <w:rPr>
          <w:rFonts w:hint="eastAsia" w:ascii="仿宋" w:hAnsi="仿宋" w:eastAsia="仿宋" w:cs="仿宋"/>
          <w:color w:val="auto"/>
          <w:sz w:val="24"/>
          <w:szCs w:val="28"/>
          <w:highlight w:val="none"/>
        </w:rPr>
        <w:t>。</w:t>
      </w:r>
      <w:bookmarkEnd w:id="1"/>
    </w:p>
    <w:p>
      <w:pPr>
        <w:snapToGrid w:val="0"/>
        <w:spacing w:line="44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一、采购项目基本情况</w:t>
      </w:r>
    </w:p>
    <w:p>
      <w:pPr>
        <w:snapToGrid w:val="0"/>
        <w:spacing w:line="440" w:lineRule="exact"/>
        <w:ind w:firstLine="482" w:firstLineChars="200"/>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1.项目编号：510186202100335</w:t>
      </w:r>
    </w:p>
    <w:p>
      <w:pPr>
        <w:snapToGrid w:val="0"/>
        <w:spacing w:line="440" w:lineRule="exact"/>
        <w:ind w:firstLine="482" w:firstLineChars="200"/>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2.采购项目名称：四川天府新区生态环境和城市管理局天府新区环境卫生及城乡环境综合治理第三方巡查监督服务采购项目</w:t>
      </w:r>
    </w:p>
    <w:p>
      <w:pPr>
        <w:snapToGrid w:val="0"/>
        <w:spacing w:line="440" w:lineRule="exact"/>
        <w:ind w:firstLine="482" w:firstLineChars="200"/>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二、资金情况</w:t>
      </w:r>
    </w:p>
    <w:p>
      <w:pPr>
        <w:snapToGrid w:val="0"/>
        <w:spacing w:line="440" w:lineRule="exact"/>
        <w:ind w:firstLine="482" w:firstLineChars="200"/>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资金来源：财政性资金</w:t>
      </w:r>
    </w:p>
    <w:p>
      <w:pPr>
        <w:snapToGrid w:val="0"/>
        <w:spacing w:line="440" w:lineRule="exact"/>
        <w:ind w:firstLine="482" w:firstLineChars="200"/>
        <w:textAlignment w:val="baseline"/>
        <w:rPr>
          <w:rFonts w:hint="eastAsia" w:ascii="仿宋" w:hAnsi="仿宋" w:eastAsia="仿宋" w:cs="仿宋"/>
          <w:color w:val="auto"/>
          <w:sz w:val="24"/>
          <w:highlight w:val="none"/>
        </w:rPr>
      </w:pPr>
      <w:r>
        <w:rPr>
          <w:rFonts w:hint="eastAsia" w:ascii="仿宋" w:hAnsi="仿宋" w:eastAsia="仿宋" w:cs="仿宋"/>
          <w:b/>
          <w:color w:val="auto"/>
          <w:sz w:val="24"/>
          <w:highlight w:val="none"/>
        </w:rPr>
        <w:t>三</w:t>
      </w: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t>采购项目简介：</w:t>
      </w:r>
    </w:p>
    <w:p>
      <w:pPr>
        <w:snapToGrid w:val="0"/>
        <w:spacing w:after="120" w:line="440" w:lineRule="exact"/>
        <w:ind w:firstLine="464" w:firstLineChars="200"/>
        <w:textAlignment w:val="baseline"/>
        <w:rPr>
          <w:rFonts w:hint="eastAsia" w:ascii="仿宋" w:hAnsi="仿宋" w:eastAsia="仿宋" w:cs="仿宋"/>
          <w:color w:val="auto"/>
          <w:spacing w:val="-4"/>
          <w:sz w:val="24"/>
          <w:highlight w:val="none"/>
        </w:rPr>
      </w:pPr>
      <w:bookmarkStart w:id="2" w:name="PO_默认文件内容_2"/>
      <w:r>
        <w:rPr>
          <w:rFonts w:hint="eastAsia" w:ascii="仿宋" w:hAnsi="仿宋" w:eastAsia="仿宋" w:cs="仿宋"/>
          <w:color w:val="auto"/>
          <w:spacing w:val="-4"/>
          <w:sz w:val="24"/>
          <w:highlight w:val="none"/>
        </w:rPr>
        <w:t>本项目共1个包，采购四川天府新区生态环境和城市管理局天府新区环境卫生及城乡环境综合治理第三方巡查监督服务。</w:t>
      </w:r>
    </w:p>
    <w:p>
      <w:pPr>
        <w:snapToGrid w:val="0"/>
        <w:spacing w:after="120" w:line="440" w:lineRule="exact"/>
        <w:ind w:firstLine="480" w:firstLineChars="200"/>
        <w:textAlignment w:val="baseline"/>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（详见磋商文件第</w:t>
      </w:r>
      <w:r>
        <w:rPr>
          <w:rFonts w:hint="eastAsia" w:ascii="仿宋" w:hAnsi="仿宋" w:eastAsia="仿宋" w:cs="仿宋"/>
          <w:b/>
          <w:bCs/>
          <w:color w:val="auto"/>
          <w:sz w:val="24"/>
          <w:highlight w:val="none"/>
        </w:rPr>
        <w:t>五</w:t>
      </w:r>
      <w:r>
        <w:rPr>
          <w:rFonts w:hint="eastAsia" w:ascii="仿宋" w:hAnsi="仿宋" w:eastAsia="仿宋" w:cs="仿宋"/>
          <w:color w:val="auto"/>
          <w:sz w:val="24"/>
          <w:szCs w:val="28"/>
          <w:highlight w:val="none"/>
        </w:rPr>
        <w:t>章）。</w:t>
      </w:r>
      <w:bookmarkEnd w:id="2"/>
    </w:p>
    <w:p>
      <w:pPr>
        <w:snapToGrid w:val="0"/>
        <w:spacing w:after="120" w:line="440" w:lineRule="exact"/>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四、供应商邀请方式</w:t>
      </w:r>
    </w:p>
    <w:p>
      <w:pPr>
        <w:snapToGrid w:val="0"/>
        <w:spacing w:after="120" w:line="440" w:lineRule="exact"/>
        <w:ind w:firstLine="480" w:firstLineChars="200"/>
        <w:textAlignment w:val="baseline"/>
        <w:rPr>
          <w:rFonts w:hint="eastAsia" w:ascii="仿宋" w:hAnsi="仿宋" w:eastAsia="仿宋" w:cs="仿宋"/>
          <w:bCs/>
          <w:color w:val="auto"/>
          <w:sz w:val="24"/>
          <w:highlight w:val="none"/>
        </w:rPr>
      </w:pPr>
      <w:bookmarkStart w:id="3" w:name="PO_默认文件内容_3"/>
      <w:r>
        <w:rPr>
          <w:rFonts w:hint="eastAsia" w:ascii="仿宋" w:hAnsi="仿宋" w:eastAsia="仿宋" w:cs="仿宋"/>
          <w:bCs/>
          <w:color w:val="auto"/>
          <w:sz w:val="24"/>
          <w:highlight w:val="none"/>
        </w:rPr>
        <w:t>本次采购采取方式1邀请参加磋商的供应商。</w:t>
      </w:r>
    </w:p>
    <w:p>
      <w:pPr>
        <w:snapToGrid w:val="0"/>
        <w:spacing w:after="120" w:line="440" w:lineRule="exact"/>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方式1（公告方式）：本次竞争性磋商邀请在四川政府采购网上以公告形式发布；</w:t>
      </w:r>
    </w:p>
    <w:p>
      <w:pPr>
        <w:snapToGrid w:val="0"/>
        <w:spacing w:after="120" w:line="440" w:lineRule="exact"/>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方式2（书面推荐）：通过采购人和评审专家各自出具书面推荐意见，推荐符合相应资格条件的供应商参与本次采购活动；</w:t>
      </w:r>
    </w:p>
    <w:p>
      <w:pPr>
        <w:snapToGrid w:val="0"/>
        <w:spacing w:after="120" w:line="440" w:lineRule="exact"/>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方式3（供应商库随机抽取）：通过省级以上财政部门建立的供应商库中随机抽取供应商。</w:t>
      </w:r>
      <w:bookmarkEnd w:id="3"/>
    </w:p>
    <w:p>
      <w:pPr>
        <w:snapToGrid w:val="0"/>
        <w:spacing w:after="120" w:line="440" w:lineRule="exact"/>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五、供应商参加本次政府采购活动应具备下列条件</w:t>
      </w:r>
    </w:p>
    <w:p>
      <w:pPr>
        <w:pStyle w:val="43"/>
        <w:snapToGrid w:val="0"/>
        <w:spacing w:line="420" w:lineRule="exact"/>
        <w:ind w:firstLine="482"/>
        <w:textAlignment w:val="baseline"/>
        <w:rPr>
          <w:rFonts w:hint="eastAsia" w:ascii="仿宋" w:hAnsi="仿宋" w:eastAsia="仿宋" w:cs="仿宋"/>
          <w:b/>
          <w:bCs/>
          <w:color w:val="auto"/>
          <w:sz w:val="24"/>
          <w:highlight w:val="none"/>
        </w:rPr>
      </w:pPr>
      <w:bookmarkStart w:id="4" w:name="PO_供应商资格条件_1"/>
      <w:r>
        <w:rPr>
          <w:rFonts w:hint="eastAsia" w:ascii="仿宋" w:hAnsi="仿宋" w:eastAsia="仿宋" w:cs="仿宋"/>
          <w:b/>
          <w:bCs/>
          <w:color w:val="auto"/>
          <w:sz w:val="24"/>
          <w:highlight w:val="none"/>
        </w:rPr>
        <w:t>1.满足《中华人民共和国政府采购法》第二十二条规定；</w:t>
      </w:r>
    </w:p>
    <w:p>
      <w:pPr>
        <w:pStyle w:val="43"/>
        <w:snapToGrid w:val="0"/>
        <w:spacing w:line="420" w:lineRule="exact"/>
        <w:ind w:firstLine="482"/>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2.落实政府采购政策需满足的资格要求：</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2.1本项目专门面向中小企业采购，供应商应为中小微企业(监狱企业、残疾人福利性单位均视同小微企业)。</w:t>
      </w:r>
    </w:p>
    <w:p>
      <w:pPr>
        <w:pStyle w:val="43"/>
        <w:snapToGrid w:val="0"/>
        <w:spacing w:line="420" w:lineRule="exact"/>
        <w:ind w:firstLine="482"/>
        <w:textAlignment w:val="baseline"/>
        <w:rPr>
          <w:rFonts w:hint="eastAsia" w:ascii="仿宋" w:hAnsi="仿宋" w:eastAsia="仿宋" w:cs="仿宋"/>
          <w:b/>
          <w:bCs/>
          <w:color w:val="auto"/>
          <w:highlight w:val="none"/>
        </w:rPr>
      </w:pPr>
      <w:r>
        <w:rPr>
          <w:rFonts w:hint="eastAsia" w:ascii="仿宋" w:hAnsi="仿宋" w:eastAsia="仿宋" w:cs="仿宋"/>
          <w:b/>
          <w:bCs/>
          <w:color w:val="auto"/>
          <w:sz w:val="24"/>
          <w:highlight w:val="none"/>
        </w:rPr>
        <w:t>3.本项目的特定资格要求：无。</w:t>
      </w:r>
    </w:p>
    <w:bookmarkEnd w:id="4"/>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六、禁止参加本次采购活动的供应商</w:t>
      </w:r>
    </w:p>
    <w:p>
      <w:pPr>
        <w:spacing w:line="440" w:lineRule="exact"/>
        <w:ind w:firstLine="480" w:firstLineChars="200"/>
        <w:rPr>
          <w:rFonts w:ascii="仿宋" w:hAnsi="仿宋" w:eastAsia="仿宋"/>
          <w:color w:val="auto"/>
          <w:sz w:val="24"/>
        </w:rPr>
      </w:pPr>
      <w:bookmarkStart w:id="5" w:name="PO_默认文件内容_4"/>
      <w:r>
        <w:rPr>
          <w:rFonts w:hint="eastAsia" w:ascii="仿宋" w:hAnsi="仿宋" w:eastAsia="仿宋"/>
          <w:color w:val="auto"/>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七、磋商文件获取方式、时间、地点：</w:t>
      </w:r>
    </w:p>
    <w:p>
      <w:pPr>
        <w:spacing w:after="50" w:line="420" w:lineRule="exact"/>
        <w:ind w:firstLine="480" w:firstLineChars="200"/>
        <w:rPr>
          <w:rFonts w:ascii="仿宋" w:hAnsi="仿宋" w:eastAsia="仿宋" w:cs="仿宋"/>
          <w:color w:val="auto"/>
          <w:sz w:val="24"/>
        </w:rPr>
      </w:pPr>
      <w:bookmarkStart w:id="6" w:name="PO_默认文件内容_32"/>
      <w:r>
        <w:rPr>
          <w:rFonts w:hint="eastAsia" w:ascii="仿宋" w:hAnsi="仿宋" w:eastAsia="仿宋" w:cs="仿宋"/>
          <w:color w:val="auto"/>
          <w:sz w:val="24"/>
        </w:rPr>
        <w:t>磋商文件自</w:t>
      </w:r>
      <w:r>
        <w:rPr>
          <w:rFonts w:ascii="仿宋" w:hAnsi="仿宋" w:eastAsia="仿宋" w:cs="仿宋"/>
          <w:color w:val="auto"/>
          <w:sz w:val="24"/>
        </w:rPr>
        <w:t>2021</w:t>
      </w:r>
      <w:r>
        <w:rPr>
          <w:rFonts w:hint="eastAsia" w:ascii="仿宋" w:hAnsi="仿宋" w:eastAsia="仿宋" w:cs="仿宋"/>
          <w:color w:val="auto"/>
          <w:sz w:val="24"/>
        </w:rPr>
        <w:t>年</w:t>
      </w:r>
      <w:r>
        <w:rPr>
          <w:rFonts w:hint="eastAsia" w:ascii="仿宋" w:hAnsi="仿宋" w:eastAsia="仿宋" w:cs="仿宋"/>
          <w:color w:val="auto"/>
          <w:sz w:val="24"/>
          <w:lang w:val="en-US" w:eastAsia="zh-CN"/>
        </w:rPr>
        <w:t>11</w:t>
      </w:r>
      <w:r>
        <w:rPr>
          <w:rFonts w:hint="eastAsia" w:ascii="仿宋" w:hAnsi="仿宋" w:eastAsia="仿宋" w:cs="仿宋"/>
          <w:color w:val="auto"/>
          <w:sz w:val="24"/>
        </w:rPr>
        <w:t>月</w:t>
      </w:r>
      <w:r>
        <w:rPr>
          <w:rFonts w:hint="eastAsia" w:ascii="仿宋" w:hAnsi="仿宋" w:eastAsia="仿宋" w:cs="仿宋"/>
          <w:color w:val="auto"/>
          <w:sz w:val="24"/>
          <w:lang w:val="en-US" w:eastAsia="zh-CN"/>
        </w:rPr>
        <w:t>30</w:t>
      </w:r>
      <w:r>
        <w:rPr>
          <w:rFonts w:hint="eastAsia" w:ascii="仿宋" w:hAnsi="仿宋" w:eastAsia="仿宋" w:cs="仿宋"/>
          <w:color w:val="auto"/>
          <w:sz w:val="24"/>
        </w:rPr>
        <w:t>日至</w:t>
      </w:r>
      <w:r>
        <w:rPr>
          <w:rFonts w:ascii="仿宋" w:hAnsi="仿宋" w:eastAsia="仿宋" w:cs="仿宋"/>
          <w:color w:val="auto"/>
          <w:sz w:val="24"/>
        </w:rPr>
        <w:t>2021</w:t>
      </w:r>
      <w:r>
        <w:rPr>
          <w:rFonts w:hint="eastAsia" w:ascii="仿宋" w:hAnsi="仿宋" w:eastAsia="仿宋" w:cs="仿宋"/>
          <w:color w:val="auto"/>
          <w:sz w:val="24"/>
        </w:rPr>
        <w:t>年</w:t>
      </w:r>
      <w:r>
        <w:rPr>
          <w:rFonts w:hint="eastAsia" w:ascii="仿宋" w:hAnsi="仿宋" w:eastAsia="仿宋" w:cs="仿宋"/>
          <w:color w:val="auto"/>
          <w:sz w:val="24"/>
          <w:lang w:val="en-US" w:eastAsia="zh-CN"/>
        </w:rPr>
        <w:t>12</w:t>
      </w:r>
      <w:r>
        <w:rPr>
          <w:rFonts w:hint="eastAsia" w:ascii="仿宋" w:hAnsi="仿宋" w:eastAsia="仿宋" w:cs="仿宋"/>
          <w:color w:val="auto"/>
          <w:sz w:val="24"/>
        </w:rPr>
        <w:t>月</w:t>
      </w:r>
      <w:r>
        <w:rPr>
          <w:rFonts w:hint="eastAsia" w:ascii="仿宋" w:hAnsi="仿宋" w:eastAsia="仿宋" w:cs="仿宋"/>
          <w:color w:val="auto"/>
          <w:sz w:val="24"/>
          <w:lang w:val="en-US" w:eastAsia="zh-CN"/>
        </w:rPr>
        <w:t>6</w:t>
      </w:r>
      <w:r>
        <w:rPr>
          <w:rFonts w:hint="eastAsia" w:ascii="仿宋" w:hAnsi="仿宋" w:eastAsia="仿宋" w:cs="仿宋"/>
          <w:color w:val="auto"/>
          <w:sz w:val="24"/>
        </w:rPr>
        <w:t>日每天上午9:00- 12:00，下午14:00-17:00（北京时间，节假日除外）。</w:t>
      </w:r>
    </w:p>
    <w:p>
      <w:pPr>
        <w:spacing w:after="120" w:line="440" w:lineRule="exact"/>
        <w:ind w:firstLine="480" w:firstLineChars="200"/>
        <w:rPr>
          <w:rFonts w:ascii="仿宋" w:hAnsi="仿宋" w:eastAsia="仿宋" w:cs="仿宋"/>
          <w:color w:val="auto"/>
          <w:sz w:val="24"/>
        </w:rPr>
      </w:pPr>
      <w:r>
        <w:rPr>
          <w:rFonts w:ascii="仿宋" w:hAnsi="仿宋" w:eastAsia="仿宋" w:cs="仿宋"/>
          <w:color w:val="auto"/>
          <w:sz w:val="24"/>
        </w:rPr>
        <w:t>获取文件地点：</w:t>
      </w:r>
      <w:r>
        <w:rPr>
          <w:rFonts w:hint="eastAsia" w:ascii="仿宋" w:hAnsi="仿宋" w:eastAsia="仿宋" w:cs="仿宋"/>
          <w:color w:val="auto"/>
          <w:sz w:val="24"/>
        </w:rPr>
        <w:t>政府采购云平台（https://www.zcygov.cn/）</w:t>
      </w:r>
      <w:r>
        <w:rPr>
          <w:rFonts w:ascii="仿宋" w:hAnsi="仿宋" w:eastAsia="仿宋" w:cs="仿宋"/>
          <w:color w:val="auto"/>
          <w:sz w:val="24"/>
        </w:rPr>
        <w:t>。</w:t>
      </w:r>
      <w:r>
        <w:rPr>
          <w:rFonts w:hint="eastAsia" w:ascii="仿宋" w:hAnsi="仿宋" w:eastAsia="仿宋" w:cs="仿宋"/>
          <w:color w:val="auto"/>
          <w:sz w:val="24"/>
        </w:rPr>
        <w:t>本项目磋商文件无偿获取。</w:t>
      </w:r>
    </w:p>
    <w:p>
      <w:pPr>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获取方式：</w:t>
      </w:r>
      <w:r>
        <w:rPr>
          <w:rFonts w:hint="eastAsia" w:ascii="仿宋" w:hAnsi="仿宋" w:eastAsia="仿宋" w:cs="仿宋"/>
          <w:color w:val="auto"/>
          <w:sz w:val="24"/>
        </w:rPr>
        <w:t>网上报名获取</w:t>
      </w:r>
      <w:r>
        <w:rPr>
          <w:rFonts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请登录政采云平台https://www.zcygov.cn/在线申请获取采购文件（登录政府采购云平台—项目采购—获取采购文件—申请获取采购文件） 。</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提示：（1）投标人只有在“政府采购云平台”完成获取采购文件申请并下载采购文件后才视作依法参与本项目。如未在“政府采购云平台”内完成相关流程，引起的投标无效责任自负。</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（2）首次登录政府采购云平台的新用户应先点击“供应商入驻”，入驻成功后再登录。</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（3）本项目为电子招标投标项目，投标人参与本项目全</w:t>
      </w:r>
      <w:r>
        <w:rPr>
          <w:rFonts w:hint="eastAsia" w:ascii="仿宋" w:hAnsi="仿宋" w:eastAsia="仿宋"/>
          <w:color w:val="auto"/>
          <w:sz w:val="24"/>
        </w:rPr>
        <w:t>过程中凡涉及系统操作请详见</w:t>
      </w:r>
      <w:r>
        <w:rPr>
          <w:rFonts w:hint="eastAsia" w:ascii="仿宋" w:hAnsi="仿宋" w:eastAsia="仿宋"/>
          <w:bCs/>
          <w:color w:val="auto"/>
          <w:sz w:val="24"/>
        </w:rPr>
        <w:t>《政府采购</w:t>
      </w:r>
      <w:r>
        <w:rPr>
          <w:rFonts w:hint="eastAsia" w:ascii="仿宋" w:hAnsi="仿宋" w:eastAsia="仿宋" w:cs="仿宋"/>
          <w:color w:val="auto"/>
          <w:sz w:val="24"/>
        </w:rPr>
        <w:t>项目电子交易管理操作指南》。（操作指南以政府采购云平台网站发布为准，获取方式详见附件：政府采购云平台使用介绍）。</w:t>
      </w:r>
    </w:p>
    <w:p>
      <w:pPr>
        <w:spacing w:after="50" w:line="42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磋商文件价格</w:t>
      </w:r>
      <w:r>
        <w:rPr>
          <w:rFonts w:ascii="仿宋" w:hAnsi="仿宋" w:eastAsia="仿宋" w:cs="仿宋"/>
          <w:color w:val="auto"/>
          <w:sz w:val="24"/>
        </w:rPr>
        <w:t>0</w:t>
      </w:r>
      <w:r>
        <w:rPr>
          <w:rFonts w:hint="eastAsia" w:ascii="仿宋" w:hAnsi="仿宋" w:eastAsia="仿宋" w:cs="仿宋"/>
          <w:color w:val="auto"/>
          <w:sz w:val="24"/>
        </w:rPr>
        <w:t>元，售后不退，磋商资格不能转让。</w:t>
      </w:r>
    </w:p>
    <w:bookmarkEnd w:id="6"/>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rPr>
        <w:t>八、递交响应文件</w:t>
      </w:r>
      <w:r>
        <w:rPr>
          <w:rFonts w:hint="eastAsia" w:ascii="仿宋" w:hAnsi="仿宋" w:eastAsia="仿宋"/>
          <w:b/>
          <w:color w:val="auto"/>
          <w:sz w:val="24"/>
        </w:rPr>
        <w:t>截止时间(参加</w:t>
      </w:r>
      <w:r>
        <w:rPr>
          <w:rFonts w:ascii="仿宋" w:hAnsi="仿宋" w:eastAsia="仿宋"/>
          <w:b/>
          <w:color w:val="auto"/>
          <w:sz w:val="24"/>
        </w:rPr>
        <w:t>磋商的时间</w:t>
      </w:r>
      <w:r>
        <w:rPr>
          <w:rFonts w:hint="eastAsia" w:ascii="仿宋" w:hAnsi="仿宋" w:eastAsia="仿宋"/>
          <w:b/>
          <w:color w:val="auto"/>
          <w:sz w:val="24"/>
        </w:rPr>
        <w:t>)：</w:t>
      </w:r>
      <w:r>
        <w:rPr>
          <w:rFonts w:ascii="仿宋" w:hAnsi="仿宋" w:eastAsia="仿宋"/>
          <w:color w:val="auto"/>
          <w:sz w:val="24"/>
          <w:highlight w:val="none"/>
        </w:rPr>
        <w:t>2021</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12</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14</w:t>
      </w:r>
      <w:r>
        <w:rPr>
          <w:rFonts w:hint="eastAsia" w:ascii="仿宋" w:hAnsi="仿宋" w:eastAsia="仿宋"/>
          <w:color w:val="auto"/>
          <w:sz w:val="24"/>
          <w:highlight w:val="none"/>
        </w:rPr>
        <w:t>日</w:t>
      </w:r>
      <w:r>
        <w:rPr>
          <w:rFonts w:ascii="仿宋" w:hAnsi="仿宋" w:eastAsia="仿宋"/>
          <w:color w:val="auto"/>
          <w:sz w:val="24"/>
          <w:highlight w:val="none"/>
        </w:rPr>
        <w:t>10</w:t>
      </w:r>
      <w:r>
        <w:rPr>
          <w:rFonts w:hint="eastAsia" w:ascii="仿宋" w:hAnsi="仿宋" w:eastAsia="仿宋"/>
          <w:color w:val="auto"/>
          <w:sz w:val="24"/>
          <w:highlight w:val="none"/>
        </w:rPr>
        <w:t>：</w:t>
      </w:r>
      <w:r>
        <w:rPr>
          <w:rFonts w:ascii="仿宋" w:hAnsi="仿宋" w:eastAsia="仿宋"/>
          <w:color w:val="auto"/>
          <w:sz w:val="24"/>
          <w:highlight w:val="none"/>
        </w:rPr>
        <w:t>00</w:t>
      </w:r>
      <w:r>
        <w:rPr>
          <w:rFonts w:hint="eastAsia" w:ascii="仿宋" w:hAnsi="仿宋" w:eastAsia="仿宋"/>
          <w:color w:val="auto"/>
          <w:sz w:val="24"/>
          <w:szCs w:val="28"/>
          <w:highlight w:val="none"/>
        </w:rPr>
        <w:t xml:space="preserve">（北京时间）。 </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九</w:t>
      </w:r>
      <w:r>
        <w:rPr>
          <w:rFonts w:hint="eastAsia" w:ascii="仿宋" w:hAnsi="仿宋" w:eastAsia="仿宋"/>
          <w:b/>
          <w:color w:val="auto"/>
          <w:sz w:val="24"/>
          <w:highlight w:val="none"/>
        </w:rPr>
        <w:t>、递交响应文件地点：</w:t>
      </w:r>
      <w:bookmarkStart w:id="7" w:name="PO_默认文件内容_7"/>
      <w:r>
        <w:rPr>
          <w:rFonts w:hint="eastAsia" w:ascii="仿宋" w:hAnsi="仿宋" w:eastAsia="仿宋"/>
          <w:color w:val="auto"/>
          <w:sz w:val="24"/>
          <w:highlight w:val="none"/>
        </w:rPr>
        <w:t>响应文件必须在递交响应文件截止时间前送达磋商地点。逾期送达或没有密封的响应文件恕不接收。本次采购不接收邮寄的响应文件。</w:t>
      </w:r>
      <w:bookmarkEnd w:id="7"/>
    </w:p>
    <w:p>
      <w:pPr>
        <w:spacing w:after="120" w:line="440" w:lineRule="exact"/>
        <w:ind w:firstLine="482" w:firstLineChars="200"/>
        <w:rPr>
          <w:rFonts w:ascii="仿宋" w:hAnsi="仿宋" w:eastAsia="仿宋"/>
          <w:color w:val="auto"/>
          <w:sz w:val="24"/>
          <w:szCs w:val="28"/>
        </w:rPr>
      </w:pPr>
      <w:r>
        <w:rPr>
          <w:rFonts w:hint="eastAsia" w:ascii="仿宋" w:hAnsi="仿宋" w:eastAsia="仿宋"/>
          <w:b/>
          <w:color w:val="auto"/>
          <w:sz w:val="24"/>
          <w:szCs w:val="28"/>
          <w:highlight w:val="none"/>
        </w:rPr>
        <w:t>十、响应文件开启时间：</w:t>
      </w:r>
      <w:r>
        <w:rPr>
          <w:rFonts w:ascii="仿宋" w:hAnsi="仿宋" w:eastAsia="仿宋"/>
          <w:color w:val="auto"/>
          <w:sz w:val="24"/>
          <w:highlight w:val="none"/>
        </w:rPr>
        <w:t>2021</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12</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14</w:t>
      </w:r>
      <w:r>
        <w:rPr>
          <w:rFonts w:hint="eastAsia" w:ascii="仿宋" w:hAnsi="仿宋" w:eastAsia="仿宋"/>
          <w:color w:val="auto"/>
          <w:sz w:val="24"/>
          <w:highlight w:val="none"/>
        </w:rPr>
        <w:t>日</w:t>
      </w:r>
      <w:r>
        <w:rPr>
          <w:rFonts w:ascii="仿宋" w:hAnsi="仿宋" w:eastAsia="仿宋"/>
          <w:color w:val="auto"/>
          <w:sz w:val="24"/>
          <w:highlight w:val="none"/>
        </w:rPr>
        <w:t>10</w:t>
      </w:r>
      <w:r>
        <w:rPr>
          <w:rFonts w:hint="eastAsia" w:ascii="仿宋" w:hAnsi="仿宋" w:eastAsia="仿宋"/>
          <w:color w:val="auto"/>
          <w:sz w:val="24"/>
          <w:highlight w:val="none"/>
        </w:rPr>
        <w:t>：</w:t>
      </w:r>
      <w:r>
        <w:rPr>
          <w:rFonts w:ascii="仿宋" w:hAnsi="仿宋" w:eastAsia="仿宋"/>
          <w:color w:val="auto"/>
          <w:sz w:val="24"/>
          <w:highlight w:val="none"/>
        </w:rPr>
        <w:t>00</w:t>
      </w:r>
      <w:r>
        <w:rPr>
          <w:rFonts w:hint="eastAsia" w:ascii="仿宋" w:hAnsi="仿宋" w:eastAsia="仿宋"/>
          <w:color w:val="auto"/>
          <w:sz w:val="24"/>
          <w:szCs w:val="28"/>
          <w:highlight w:val="none"/>
        </w:rPr>
        <w:t>（北京时间）。</w:t>
      </w:r>
      <w:r>
        <w:rPr>
          <w:rFonts w:hint="eastAsia" w:ascii="仿宋" w:hAnsi="仿宋" w:eastAsia="仿宋"/>
          <w:color w:val="auto"/>
          <w:sz w:val="24"/>
          <w:szCs w:val="28"/>
        </w:rPr>
        <w:t>在磋商地点开启。</w:t>
      </w:r>
    </w:p>
    <w:p>
      <w:pPr>
        <w:spacing w:line="440" w:lineRule="exact"/>
        <w:ind w:firstLine="489" w:firstLineChars="203"/>
        <w:rPr>
          <w:rFonts w:ascii="仿宋" w:hAnsi="仿宋" w:eastAsia="仿宋"/>
          <w:color w:val="auto"/>
          <w:sz w:val="24"/>
          <w:szCs w:val="28"/>
        </w:rPr>
      </w:pPr>
      <w:r>
        <w:rPr>
          <w:rFonts w:hint="eastAsia" w:ascii="仿宋" w:hAnsi="仿宋" w:eastAsia="仿宋"/>
          <w:b/>
          <w:color w:val="auto"/>
          <w:sz w:val="24"/>
          <w:szCs w:val="28"/>
        </w:rPr>
        <w:t>十一、磋商</w:t>
      </w:r>
      <w:r>
        <w:rPr>
          <w:rFonts w:ascii="仿宋" w:hAnsi="仿宋" w:eastAsia="仿宋"/>
          <w:b/>
          <w:color w:val="auto"/>
          <w:sz w:val="24"/>
          <w:szCs w:val="28"/>
        </w:rPr>
        <w:t>地点：</w:t>
      </w:r>
      <w:r>
        <w:rPr>
          <w:rFonts w:hint="eastAsia" w:ascii="仿宋" w:hAnsi="仿宋" w:eastAsia="仿宋"/>
          <w:b/>
          <w:bCs/>
          <w:color w:val="auto"/>
          <w:sz w:val="24"/>
        </w:rPr>
        <w:t>四川省成都市高新区锦尚西一路楚峰国际中心45A03号（44层）</w:t>
      </w:r>
      <w:r>
        <w:rPr>
          <w:rFonts w:hint="eastAsia" w:ascii="仿宋" w:hAnsi="仿宋" w:eastAsia="仿宋"/>
          <w:color w:val="auto"/>
          <w:sz w:val="24"/>
          <w:szCs w:val="28"/>
        </w:rPr>
        <w:t>。</w:t>
      </w:r>
    </w:p>
    <w:p>
      <w:pPr>
        <w:pStyle w:val="43"/>
        <w:snapToGrid w:val="0"/>
        <w:spacing w:line="420" w:lineRule="exact"/>
        <w:ind w:firstLine="482"/>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十二、供应商信用融资：</w:t>
      </w:r>
    </w:p>
    <w:p>
      <w:pPr>
        <w:pStyle w:val="43"/>
        <w:snapToGrid w:val="0"/>
        <w:spacing w:line="42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3"/>
        <w:snapToGrid w:val="0"/>
        <w:spacing w:line="42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2020〕20号）。</w:t>
      </w:r>
    </w:p>
    <w:p>
      <w:pPr>
        <w:pStyle w:val="43"/>
        <w:snapToGrid w:val="0"/>
        <w:spacing w:line="440" w:lineRule="exact"/>
        <w:ind w:firstLine="482"/>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十三、联系方式</w:t>
      </w:r>
    </w:p>
    <w:p>
      <w:pPr>
        <w:snapToGrid w:val="0"/>
        <w:spacing w:line="420" w:lineRule="exact"/>
        <w:ind w:firstLine="851" w:firstLineChars="353"/>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 购 人</w:t>
      </w:r>
      <w:r>
        <w:rPr>
          <w:rFonts w:hint="eastAsia" w:ascii="仿宋" w:hAnsi="仿宋" w:eastAsia="仿宋" w:cs="仿宋"/>
          <w:b/>
          <w:color w:val="auto"/>
          <w:sz w:val="24"/>
          <w:highlight w:val="none"/>
        </w:rPr>
        <w:t>：四川天府新区生态环境和城市管理局</w:t>
      </w:r>
    </w:p>
    <w:p>
      <w:pPr>
        <w:tabs>
          <w:tab w:val="center" w:pos="5109"/>
        </w:tabs>
        <w:snapToGrid w:val="0"/>
        <w:spacing w:line="42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bCs/>
          <w:color w:val="auto"/>
          <w:sz w:val="24"/>
          <w:highlight w:val="none"/>
        </w:rPr>
        <w:t>地    址：成都市双流区天府大道南段2028石化大厦16楼</w:t>
      </w:r>
    </w:p>
    <w:p>
      <w:pPr>
        <w:snapToGrid w:val="0"/>
        <w:spacing w:line="420" w:lineRule="exact"/>
        <w:ind w:firstLine="847" w:firstLineChars="353"/>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lang w:val="en-US" w:eastAsia="zh-CN"/>
        </w:rPr>
        <w:t>刘女士</w:t>
      </w:r>
    </w:p>
    <w:p>
      <w:pPr>
        <w:snapToGrid w:val="0"/>
        <w:spacing w:line="42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联系电话：028-68773055</w:t>
      </w:r>
    </w:p>
    <w:p>
      <w:pPr>
        <w:snapToGrid w:val="0"/>
        <w:spacing w:line="420" w:lineRule="exact"/>
        <w:ind w:firstLine="847" w:firstLineChars="353"/>
        <w:textAlignment w:val="baseline"/>
        <w:rPr>
          <w:rFonts w:hint="eastAsia" w:ascii="仿宋" w:hAnsi="仿宋" w:eastAsia="仿宋" w:cs="仿宋"/>
          <w:color w:val="auto"/>
          <w:sz w:val="24"/>
          <w:highlight w:val="none"/>
        </w:rPr>
      </w:pPr>
    </w:p>
    <w:p>
      <w:pPr>
        <w:snapToGrid w:val="0"/>
        <w:spacing w:line="420" w:lineRule="exact"/>
        <w:ind w:firstLine="851" w:firstLineChars="353"/>
        <w:textAlignment w:val="baseline"/>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采购代理机构：</w:t>
      </w:r>
      <w:r>
        <w:rPr>
          <w:rFonts w:hint="eastAsia" w:ascii="仿宋" w:hAnsi="仿宋" w:eastAsia="仿宋" w:cs="仿宋"/>
          <w:b/>
          <w:color w:val="auto"/>
          <w:sz w:val="24"/>
          <w:highlight w:val="none"/>
        </w:rPr>
        <w:t>四川成与诚招标代理有限公司</w:t>
      </w:r>
    </w:p>
    <w:p>
      <w:pPr>
        <w:snapToGrid w:val="0"/>
        <w:spacing w:line="42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址：四川省成都市高新区锦尚西一路楚峰国际中心45A03号（44层）</w:t>
      </w:r>
    </w:p>
    <w:p>
      <w:pPr>
        <w:snapToGrid w:val="0"/>
        <w:spacing w:line="42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邮    编：610041</w:t>
      </w:r>
    </w:p>
    <w:p>
      <w:pPr>
        <w:snapToGrid w:val="0"/>
        <w:spacing w:line="42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人：郑杰/高阳</w:t>
      </w:r>
    </w:p>
    <w:p>
      <w:pPr>
        <w:pStyle w:val="43"/>
        <w:snapToGrid w:val="0"/>
        <w:spacing w:line="440" w:lineRule="exact"/>
        <w:ind w:firstLine="847" w:firstLineChars="353"/>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联系电话：028-83475775、13688378693</w:t>
      </w:r>
    </w:p>
    <w:p>
      <w:pPr>
        <w:widowControl/>
        <w:snapToGrid w:val="0"/>
        <w:jc w:val="left"/>
        <w:textAlignment w:val="baseline"/>
        <w:rPr>
          <w:rFonts w:hint="eastAsia" w:ascii="仿宋" w:hAnsi="仿宋" w:eastAsia="仿宋" w:cs="仿宋"/>
          <w:color w:val="auto"/>
          <w:sz w:val="24"/>
          <w:szCs w:val="28"/>
          <w:highlight w:val="none"/>
        </w:rPr>
      </w:pPr>
      <w:bookmarkStart w:id="8" w:name="_Toc213396759"/>
      <w:bookmarkStart w:id="9" w:name="_Toc213396945"/>
      <w:bookmarkStart w:id="10" w:name="_Toc213496267"/>
      <w:bookmarkStart w:id="11" w:name="_Toc217446031"/>
      <w:bookmarkStart w:id="12" w:name="_Toc213397009"/>
      <w:r>
        <w:rPr>
          <w:rFonts w:hint="eastAsia" w:ascii="仿宋" w:hAnsi="仿宋" w:eastAsia="仿宋" w:cs="仿宋"/>
          <w:b/>
          <w:bCs/>
          <w:color w:val="auto"/>
          <w:sz w:val="24"/>
          <w:szCs w:val="28"/>
          <w:highlight w:val="none"/>
        </w:rPr>
        <w:br w:type="textWrapping"/>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13" w:name="_Toc24300"/>
      <w:r>
        <w:rPr>
          <w:rFonts w:hint="eastAsia" w:ascii="仿宋" w:hAnsi="仿宋" w:eastAsia="仿宋" w:cs="仿宋"/>
          <w:color w:val="auto"/>
          <w:sz w:val="32"/>
          <w:szCs w:val="32"/>
          <w:highlight w:val="none"/>
        </w:rPr>
        <w:t>第二章  磋商须知</w:t>
      </w:r>
      <w:bookmarkEnd w:id="8"/>
      <w:bookmarkEnd w:id="9"/>
      <w:bookmarkEnd w:id="10"/>
      <w:bookmarkEnd w:id="11"/>
      <w:bookmarkEnd w:id="12"/>
      <w:bookmarkEnd w:id="13"/>
    </w:p>
    <w:p>
      <w:pPr>
        <w:pStyle w:val="4"/>
        <w:keepLines w:val="0"/>
        <w:snapToGrid w:val="0"/>
        <w:spacing w:line="240" w:lineRule="atLeast"/>
        <w:jc w:val="center"/>
        <w:textAlignment w:val="baseline"/>
        <w:rPr>
          <w:rFonts w:hint="eastAsia" w:ascii="仿宋" w:hAnsi="仿宋" w:eastAsia="仿宋" w:cs="仿宋"/>
          <w:color w:val="auto"/>
          <w:highlight w:val="none"/>
        </w:rPr>
      </w:pPr>
      <w:r>
        <w:rPr>
          <w:rFonts w:hint="eastAsia" w:ascii="仿宋" w:hAnsi="仿宋" w:eastAsia="仿宋" w:cs="仿宋"/>
          <w:color w:val="auto"/>
          <w:highlight w:val="none"/>
        </w:rPr>
        <w:t>一、供应商须知附表</w:t>
      </w:r>
    </w:p>
    <w:tbl>
      <w:tblPr>
        <w:tblStyle w:val="29"/>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left="9"/>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序号</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应知事项</w:t>
            </w:r>
          </w:p>
        </w:tc>
        <w:tc>
          <w:tcPr>
            <w:tcW w:w="6084" w:type="dxa"/>
            <w:vAlign w:val="center"/>
          </w:tcPr>
          <w:p>
            <w:pPr>
              <w:pStyle w:val="47"/>
              <w:snapToGrid w:val="0"/>
              <w:spacing w:line="360" w:lineRule="auto"/>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采购预算</w:t>
            </w:r>
          </w:p>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（实质性要求）</w:t>
            </w:r>
          </w:p>
        </w:tc>
        <w:tc>
          <w:tcPr>
            <w:tcW w:w="6084" w:type="dxa"/>
          </w:tcPr>
          <w:p>
            <w:pPr>
              <w:widowControl/>
              <w:snapToGrid w:val="0"/>
              <w:spacing w:line="360" w:lineRule="auto"/>
              <w:jc w:val="left"/>
              <w:textAlignment w:val="baseline"/>
              <w:rPr>
                <w:rFonts w:hint="eastAsia" w:ascii="仿宋" w:hAnsi="仿宋" w:eastAsia="仿宋" w:cs="仿宋"/>
                <w:color w:val="auto"/>
                <w:kern w:val="0"/>
                <w:sz w:val="20"/>
                <w:szCs w:val="21"/>
                <w:highlight w:val="none"/>
              </w:rPr>
            </w:pPr>
            <w:bookmarkStart w:id="14" w:name="PO_预算分包信息_1"/>
            <w:r>
              <w:rPr>
                <w:rFonts w:hint="eastAsia" w:ascii="仿宋" w:hAnsi="仿宋" w:eastAsia="仿宋" w:cs="仿宋"/>
                <w:color w:val="auto"/>
                <w:kern w:val="0"/>
                <w:szCs w:val="21"/>
                <w:highlight w:val="none"/>
              </w:rPr>
              <w:t>预算金额：74.712万元</w:t>
            </w:r>
            <w:bookmarkEnd w:id="14"/>
            <w:r>
              <w:rPr>
                <w:rFonts w:hint="eastAsia" w:ascii="仿宋" w:hAnsi="仿宋" w:eastAsia="仿宋" w:cs="仿宋"/>
                <w:color w:val="auto"/>
                <w:kern w:val="0"/>
                <w:szCs w:val="21"/>
                <w:highlight w:val="none"/>
              </w:rPr>
              <w:t>/年</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最高限价</w:t>
            </w:r>
          </w:p>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（实质性要求）</w:t>
            </w:r>
          </w:p>
        </w:tc>
        <w:tc>
          <w:tcPr>
            <w:tcW w:w="6084" w:type="dxa"/>
            <w:vAlign w:val="center"/>
          </w:tcPr>
          <w:p>
            <w:pPr>
              <w:widowControl/>
              <w:snapToGrid w:val="0"/>
              <w:spacing w:line="360" w:lineRule="auto"/>
              <w:jc w:val="left"/>
              <w:textAlignment w:val="baseline"/>
              <w:rPr>
                <w:rFonts w:hint="eastAsia" w:ascii="仿宋" w:hAnsi="仿宋" w:eastAsia="仿宋" w:cs="仿宋"/>
                <w:color w:val="auto"/>
                <w:kern w:val="0"/>
                <w:sz w:val="20"/>
                <w:szCs w:val="21"/>
                <w:highlight w:val="none"/>
              </w:rPr>
            </w:pPr>
            <w:r>
              <w:rPr>
                <w:rFonts w:hint="eastAsia" w:ascii="仿宋" w:hAnsi="仿宋" w:eastAsia="仿宋" w:cs="仿宋"/>
                <w:color w:val="auto"/>
                <w:kern w:val="0"/>
                <w:szCs w:val="21"/>
                <w:highlight w:val="none"/>
              </w:rPr>
              <w:t>最高限价：74.712万元/年</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bookmarkStart w:id="15" w:name="PO_默认文件内容_21"/>
            <w:r>
              <w:rPr>
                <w:rFonts w:hint="eastAsia" w:ascii="仿宋" w:hAnsi="仿宋" w:eastAsia="仿宋" w:cs="仿宋"/>
                <w:color w:val="auto"/>
                <w:sz w:val="21"/>
                <w:szCs w:val="21"/>
                <w:highlight w:val="none"/>
                <w:lang w:val="zh-CN"/>
              </w:rPr>
              <w:t>超过最高限价的报价,其响应文件按无效处理。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进口产品</w:t>
            </w:r>
          </w:p>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（实质性要求）</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bookmarkStart w:id="16" w:name="PO_默认文件内容_8"/>
            <w:r>
              <w:rPr>
                <w:rFonts w:hint="eastAsia" w:ascii="仿宋" w:hAnsi="仿宋" w:eastAsia="仿宋" w:cs="仿宋"/>
                <w:color w:val="auto"/>
                <w:sz w:val="21"/>
                <w:szCs w:val="21"/>
                <w:highlight w:val="none"/>
              </w:rPr>
              <w:t>本项目竞争性磋商文件中未载明“允许采购进口产品”的产品，拒绝进口产品参与竞争，供应商以进口产品响应时，其响应文件按无效处理。载明“允许采购进口产品”的产品，不限制国产产品参与竞争。</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不正当竞争预防措施</w:t>
            </w:r>
          </w:p>
          <w:p>
            <w:pPr>
              <w:pStyle w:val="47"/>
              <w:snapToGrid w:val="0"/>
              <w:spacing w:line="360" w:lineRule="auto"/>
              <w:ind w:left="38"/>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（实质性要求）</w:t>
            </w:r>
          </w:p>
        </w:tc>
        <w:tc>
          <w:tcPr>
            <w:tcW w:w="6084" w:type="dxa"/>
            <w:vAlign w:val="center"/>
          </w:tcPr>
          <w:p>
            <w:pPr>
              <w:snapToGrid w:val="0"/>
              <w:spacing w:line="360" w:lineRule="auto"/>
              <w:ind w:right="105"/>
              <w:textAlignment w:val="baseline"/>
              <w:rPr>
                <w:rFonts w:hint="eastAsia" w:ascii="仿宋" w:hAnsi="仿宋" w:eastAsia="仿宋" w:cs="仿宋"/>
                <w:color w:val="auto"/>
                <w:sz w:val="20"/>
                <w:szCs w:val="21"/>
                <w:highlight w:val="none"/>
              </w:rPr>
            </w:pPr>
            <w:bookmarkStart w:id="17" w:name="PO_默认文件内容_111"/>
            <w:r>
              <w:rPr>
                <w:rFonts w:hint="eastAsia" w:ascii="仿宋" w:hAnsi="仿宋" w:eastAsia="仿宋" w:cs="仿宋"/>
                <w:color w:val="auto"/>
                <w:kern w:val="0"/>
                <w:szCs w:val="21"/>
                <w:highlight w:val="none"/>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5</w:t>
            </w:r>
          </w:p>
        </w:tc>
        <w:tc>
          <w:tcPr>
            <w:tcW w:w="2594" w:type="dxa"/>
            <w:vAlign w:val="center"/>
          </w:tcPr>
          <w:p>
            <w:pPr>
              <w:snapToGrid w:val="0"/>
              <w:spacing w:line="360" w:lineRule="auto"/>
              <w:ind w:right="105"/>
              <w:jc w:val="center"/>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小微企业（监狱企业、残疾人福利性单位视同小微企业）价格扣除</w:t>
            </w:r>
          </w:p>
          <w:p>
            <w:pPr>
              <w:snapToGrid w:val="0"/>
              <w:spacing w:line="360" w:lineRule="auto"/>
              <w:ind w:right="105"/>
              <w:jc w:val="center"/>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rPr>
              <w:t>（仅适用于未预留份额专门面向中小企业采购的采购项目，以及预留份额项目中的非预留部分采购包）</w:t>
            </w:r>
          </w:p>
        </w:tc>
        <w:tc>
          <w:tcPr>
            <w:tcW w:w="6084" w:type="dxa"/>
            <w:vAlign w:val="center"/>
          </w:tcPr>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2.参加政府采购活动的中小企业提供《中小企业声明函》原件，未提供的，视为放弃享受小微企业价格扣除优惠政策。</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4.参加政府采购活动的残疾人福利性单位应当提供《残疾人福利性单位声明函》原件，未提供的，视为放弃享受小微企业价格扣除优惠政策。</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5.参加政府采购活动的监狱企业提供由省级以上监狱管理局、戒毒管理局(含新疆生产建设兵团)出具的属于监狱企业的证明文件，未提供的，视为放弃享受小微企业价格扣除优惠政策。</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6</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节能、环保及无线局域网产品政府采购政策</w:t>
            </w:r>
          </w:p>
        </w:tc>
        <w:tc>
          <w:tcPr>
            <w:tcW w:w="6084" w:type="dxa"/>
            <w:vAlign w:val="center"/>
          </w:tcPr>
          <w:p>
            <w:pPr>
              <w:snapToGrid w:val="0"/>
              <w:spacing w:line="360" w:lineRule="auto"/>
              <w:ind w:right="105"/>
              <w:textAlignment w:val="baseline"/>
              <w:rPr>
                <w:rFonts w:hint="eastAsia" w:ascii="仿宋" w:hAnsi="仿宋" w:eastAsia="仿宋" w:cs="仿宋"/>
                <w:b/>
                <w:color w:val="auto"/>
                <w:sz w:val="20"/>
                <w:szCs w:val="21"/>
                <w:highlight w:val="none"/>
              </w:rPr>
            </w:pPr>
            <w:r>
              <w:rPr>
                <w:rFonts w:hint="eastAsia" w:ascii="仿宋" w:hAnsi="仿宋" w:eastAsia="仿宋" w:cs="仿宋"/>
                <w:b/>
                <w:color w:val="auto"/>
                <w:szCs w:val="21"/>
                <w:highlight w:val="none"/>
              </w:rPr>
              <w:t>一、节能、环保产品政府采购政策：</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1.本项目采购的产品属于品目清单强制采购范围的，供应商应按上述要求提供产品认证证书复印件并加盖供应商单位公章（鲜章），否则响应无效。</w:t>
            </w:r>
            <w:r>
              <w:rPr>
                <w:rFonts w:hint="eastAsia" w:ascii="仿宋" w:hAnsi="仿宋" w:eastAsia="仿宋" w:cs="仿宋"/>
                <w:b/>
                <w:color w:val="auto"/>
                <w:szCs w:val="21"/>
                <w:highlight w:val="none"/>
              </w:rPr>
              <w:t>（实质性要求）</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2.本项目采购的产品属于品目清单优先采购范围的，按照第八章《综合评分明细表》的规则进行加分。</w:t>
            </w:r>
          </w:p>
          <w:p>
            <w:pPr>
              <w:snapToGrid w:val="0"/>
              <w:spacing w:line="360" w:lineRule="auto"/>
              <w:ind w:right="105"/>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napToGrid w:val="0"/>
              <w:spacing w:line="360" w:lineRule="auto"/>
              <w:ind w:right="105"/>
              <w:textAlignment w:val="baseline"/>
              <w:rPr>
                <w:rFonts w:hint="eastAsia" w:ascii="仿宋" w:hAnsi="仿宋" w:eastAsia="仿宋" w:cs="仿宋"/>
                <w:b/>
                <w:color w:val="auto"/>
                <w:sz w:val="20"/>
                <w:szCs w:val="21"/>
                <w:highlight w:val="none"/>
              </w:rPr>
            </w:pPr>
            <w:r>
              <w:rPr>
                <w:rFonts w:hint="eastAsia" w:ascii="仿宋" w:hAnsi="仿宋" w:eastAsia="仿宋" w:cs="仿宋"/>
                <w:b/>
                <w:color w:val="auto"/>
                <w:szCs w:val="21"/>
                <w:highlight w:val="none"/>
              </w:rPr>
              <w:t>二、无线局域网产品政府采购政策：</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kern w:val="2"/>
                <w:sz w:val="21"/>
                <w:szCs w:val="21"/>
                <w:highlight w:val="none"/>
              </w:rPr>
              <w:t>本项目采购的产品属于中国政府采购网公布的《无线局域网认证产品政府采购清单》的，按照第八章《综合评分明细表》的规则进行加分。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7</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磋商情况公告</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bookmarkStart w:id="18" w:name="PO_默认文件内容_13"/>
            <w:r>
              <w:rPr>
                <w:rFonts w:hint="eastAsia" w:ascii="仿宋" w:hAnsi="仿宋" w:eastAsia="仿宋" w:cs="仿宋"/>
                <w:color w:val="auto"/>
                <w:sz w:val="21"/>
                <w:szCs w:val="21"/>
                <w:highlight w:val="none"/>
                <w:lang w:val="zh-CN"/>
              </w:rPr>
              <w:t>供应商资格审查情况、磋商情况、报价情况、磋商结果等在四川政府采购网上采购结果公告栏中予以公告。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8</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磋商保证金</w:t>
            </w:r>
          </w:p>
        </w:tc>
        <w:tc>
          <w:tcPr>
            <w:tcW w:w="6084" w:type="dxa"/>
            <w:vAlign w:val="center"/>
          </w:tcPr>
          <w:p>
            <w:pPr>
              <w:pStyle w:val="47"/>
              <w:snapToGrid w:val="0"/>
              <w:spacing w:line="360" w:lineRule="auto"/>
              <w:jc w:val="both"/>
              <w:textAlignment w:val="baseline"/>
              <w:rPr>
                <w:rFonts w:hint="eastAsia" w:ascii="仿宋" w:hAnsi="仿宋" w:eastAsia="仿宋" w:cs="仿宋"/>
                <w:b/>
                <w:color w:val="auto"/>
                <w:sz w:val="21"/>
                <w:szCs w:val="21"/>
                <w:highlight w:val="none"/>
                <w:lang w:val="zh-CN"/>
              </w:rPr>
            </w:pPr>
            <w:r>
              <w:rPr>
                <w:rFonts w:hint="eastAsia" w:ascii="仿宋" w:hAnsi="仿宋" w:eastAsia="仿宋" w:cs="仿宋"/>
                <w:color w:val="auto"/>
                <w:sz w:val="21"/>
                <w:szCs w:val="21"/>
                <w:highlight w:val="none"/>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9</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履约保证金</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10</w:t>
            </w:r>
          </w:p>
        </w:tc>
        <w:tc>
          <w:tcPr>
            <w:tcW w:w="2594" w:type="dxa"/>
            <w:vAlign w:val="center"/>
          </w:tcPr>
          <w:p>
            <w:pPr>
              <w:snapToGrid w:val="0"/>
              <w:spacing w:line="360" w:lineRule="auto"/>
              <w:ind w:firstLine="630" w:firstLineChars="300"/>
              <w:jc w:val="left"/>
              <w:textAlignment w:val="baseline"/>
              <w:rPr>
                <w:rFonts w:hint="eastAsia" w:ascii="仿宋" w:hAnsi="仿宋" w:eastAsia="仿宋" w:cs="仿宋"/>
                <w:color w:val="auto"/>
                <w:kern w:val="0"/>
                <w:sz w:val="20"/>
                <w:szCs w:val="21"/>
                <w:highlight w:val="none"/>
                <w:lang w:val="zh-CN"/>
              </w:rPr>
            </w:pPr>
            <w:r>
              <w:rPr>
                <w:rFonts w:hint="eastAsia" w:ascii="仿宋" w:hAnsi="仿宋" w:eastAsia="仿宋" w:cs="仿宋"/>
                <w:color w:val="auto"/>
                <w:kern w:val="0"/>
                <w:szCs w:val="21"/>
                <w:highlight w:val="none"/>
                <w:lang w:val="zh-CN"/>
              </w:rPr>
              <w:t>合同分包</w:t>
            </w:r>
          </w:p>
          <w:p>
            <w:pPr>
              <w:pStyle w:val="47"/>
              <w:snapToGrid w:val="0"/>
              <w:spacing w:line="360" w:lineRule="auto"/>
              <w:ind w:left="38"/>
              <w:jc w:val="center"/>
              <w:textAlignment w:val="baseline"/>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lang w:val="zh-CN"/>
              </w:rPr>
              <w:t>（实质性要求）</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☑本项目不接受合同分包。</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□本项目接受合同分包，具体要求如下：</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2.分包履行合同的部分应当为采购项目的非主体、非关键性工作，不属于成交供应商的主要合同义务。本项目可以分包履行的具体内容、金额或者比例：</w:t>
            </w:r>
            <w:r>
              <w:rPr>
                <w:rFonts w:hint="eastAsia" w:ascii="仿宋" w:hAnsi="仿宋" w:eastAsia="仿宋" w:cs="仿宋"/>
                <w:b/>
                <w:color w:val="auto"/>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11</w:t>
            </w:r>
          </w:p>
        </w:tc>
        <w:tc>
          <w:tcPr>
            <w:tcW w:w="2594" w:type="dxa"/>
            <w:vAlign w:val="center"/>
          </w:tcPr>
          <w:p>
            <w:pPr>
              <w:snapToGrid w:val="0"/>
              <w:spacing w:line="360" w:lineRule="auto"/>
              <w:jc w:val="center"/>
              <w:textAlignment w:val="baseline"/>
              <w:rPr>
                <w:rFonts w:hint="eastAsia" w:ascii="仿宋" w:hAnsi="仿宋" w:eastAsia="仿宋" w:cs="仿宋"/>
                <w:b/>
                <w:color w:val="auto"/>
                <w:sz w:val="20"/>
                <w:szCs w:val="21"/>
                <w:highlight w:val="none"/>
              </w:rPr>
            </w:pPr>
            <w:r>
              <w:rPr>
                <w:rFonts w:hint="eastAsia" w:ascii="仿宋" w:hAnsi="仿宋" w:eastAsia="仿宋" w:cs="仿宋"/>
                <w:b/>
                <w:color w:val="auto"/>
                <w:szCs w:val="21"/>
                <w:highlight w:val="none"/>
              </w:rPr>
              <w:t>磋商、评审工作咨询；</w:t>
            </w:r>
          </w:p>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b/>
                <w:bCs/>
                <w:color w:val="auto"/>
                <w:sz w:val="21"/>
                <w:szCs w:val="21"/>
                <w:highlight w:val="none"/>
              </w:rPr>
              <w:t>采购项目具体事项咨询</w:t>
            </w:r>
          </w:p>
        </w:tc>
        <w:tc>
          <w:tcPr>
            <w:tcW w:w="6084" w:type="dxa"/>
            <w:vAlign w:val="center"/>
          </w:tcPr>
          <w:p>
            <w:pPr>
              <w:pStyle w:val="47"/>
              <w:snapToGrid w:val="0"/>
              <w:spacing w:line="360" w:lineRule="auto"/>
              <w:jc w:val="both"/>
              <w:textAlignment w:val="baseline"/>
              <w:rPr>
                <w:rFonts w:hint="eastAsia" w:ascii="仿宋" w:hAnsi="仿宋" w:eastAsia="仿宋" w:cs="仿宋"/>
                <w:b/>
                <w:color w:val="auto"/>
                <w:sz w:val="21"/>
                <w:szCs w:val="21"/>
                <w:highlight w:val="none"/>
                <w:lang w:val="zh-CN"/>
              </w:rPr>
            </w:pPr>
            <w:r>
              <w:rPr>
                <w:rFonts w:hint="eastAsia" w:ascii="仿宋" w:hAnsi="仿宋" w:eastAsia="仿宋" w:cs="仿宋"/>
                <w:b/>
                <w:color w:val="auto"/>
                <w:sz w:val="21"/>
                <w:szCs w:val="21"/>
                <w:highlight w:val="none"/>
                <w:lang w:val="zh-CN"/>
              </w:rPr>
              <w:t>联系人：</w:t>
            </w:r>
            <w:r>
              <w:rPr>
                <w:rFonts w:hint="eastAsia" w:ascii="仿宋" w:hAnsi="仿宋" w:eastAsia="仿宋" w:cs="仿宋"/>
                <w:b/>
                <w:color w:val="auto"/>
                <w:sz w:val="21"/>
                <w:szCs w:val="21"/>
                <w:highlight w:val="none"/>
              </w:rPr>
              <w:t>高女士</w:t>
            </w:r>
            <w:r>
              <w:rPr>
                <w:rFonts w:hint="eastAsia" w:ascii="仿宋" w:hAnsi="仿宋" w:eastAsia="仿宋" w:cs="仿宋"/>
                <w:b/>
                <w:color w:val="auto"/>
                <w:sz w:val="21"/>
                <w:szCs w:val="21"/>
                <w:highlight w:val="none"/>
                <w:lang w:val="zh-CN"/>
              </w:rPr>
              <w:t xml:space="preserve"> </w:t>
            </w:r>
          </w:p>
          <w:p>
            <w:pPr>
              <w:pStyle w:val="47"/>
              <w:snapToGrid w:val="0"/>
              <w:spacing w:line="360" w:lineRule="auto"/>
              <w:jc w:val="both"/>
              <w:textAlignment w:val="baseline"/>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zh-CN"/>
              </w:rPr>
              <w:t>联系电话：028-83475775、</w:t>
            </w:r>
            <w:r>
              <w:rPr>
                <w:rFonts w:hint="eastAsia" w:ascii="仿宋" w:hAnsi="仿宋" w:eastAsia="仿宋" w:cs="仿宋"/>
                <w:b/>
                <w:color w:val="auto"/>
                <w:sz w:val="21"/>
                <w:szCs w:val="21"/>
                <w:highlight w:val="none"/>
              </w:rPr>
              <w:t>13688378693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12</w:t>
            </w:r>
          </w:p>
        </w:tc>
        <w:tc>
          <w:tcPr>
            <w:tcW w:w="2594" w:type="dxa"/>
            <w:vAlign w:val="center"/>
          </w:tcPr>
          <w:p>
            <w:pPr>
              <w:pStyle w:val="47"/>
              <w:snapToGrid w:val="0"/>
              <w:spacing w:line="360" w:lineRule="auto"/>
              <w:ind w:left="38"/>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成交通知书领取</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bookmarkStart w:id="19" w:name="PO_默认文件内容_16"/>
            <w:r>
              <w:rPr>
                <w:rFonts w:hint="eastAsia" w:ascii="仿宋" w:hAnsi="仿宋" w:eastAsia="仿宋" w:cs="仿宋"/>
                <w:color w:val="auto"/>
                <w:sz w:val="21"/>
                <w:szCs w:val="21"/>
                <w:highlight w:val="none"/>
                <w:lang w:val="zh-CN"/>
              </w:rPr>
              <w:t>采购结果公告在四川政府采购网上发布后，请成交供应商凭有效身份证明证件到采购代理机构领取成交通知书。</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 系 人：兰女士</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联系电话：028-83475775、19180721606</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地址：四川省成都市高新区锦尚西一路楚峰国际中心45A03号（44层）。</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kern w:val="2"/>
                <w:sz w:val="21"/>
                <w:szCs w:val="21"/>
                <w:highlight w:val="none"/>
              </w:rPr>
              <w:t>13</w:t>
            </w:r>
          </w:p>
        </w:tc>
        <w:tc>
          <w:tcPr>
            <w:tcW w:w="2594" w:type="dxa"/>
            <w:vAlign w:val="center"/>
          </w:tcPr>
          <w:p>
            <w:pPr>
              <w:pStyle w:val="47"/>
              <w:snapToGrid w:val="0"/>
              <w:spacing w:line="360" w:lineRule="auto"/>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供应商询问</w:t>
            </w:r>
          </w:p>
        </w:tc>
        <w:tc>
          <w:tcPr>
            <w:tcW w:w="6084" w:type="dxa"/>
            <w:vAlign w:val="center"/>
          </w:tcPr>
          <w:p>
            <w:pPr>
              <w:snapToGrid w:val="0"/>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pacing w:val="-6"/>
                <w:szCs w:val="21"/>
                <w:highlight w:val="none"/>
                <w:lang w:val="zh-CN"/>
              </w:rPr>
              <w:t>根据委托代理协议约定，供应商询问由采购代理机构负责统一答复。</w:t>
            </w:r>
          </w:p>
          <w:p>
            <w:pPr>
              <w:snapToGrid w:val="0"/>
              <w:ind w:right="105"/>
              <w:textAlignment w:val="baseline"/>
              <w:rPr>
                <w:rFonts w:hint="eastAsia" w:ascii="仿宋" w:hAnsi="仿宋" w:eastAsia="仿宋" w:cs="仿宋"/>
                <w:b/>
                <w:color w:val="auto"/>
                <w:sz w:val="20"/>
                <w:szCs w:val="21"/>
                <w:highlight w:val="none"/>
              </w:rPr>
            </w:pPr>
            <w:r>
              <w:rPr>
                <w:rFonts w:hint="eastAsia" w:ascii="仿宋" w:hAnsi="仿宋" w:eastAsia="仿宋" w:cs="仿宋"/>
                <w:b/>
                <w:color w:val="auto"/>
                <w:szCs w:val="21"/>
                <w:highlight w:val="none"/>
              </w:rPr>
              <w:t>联系人：高女士</w:t>
            </w:r>
          </w:p>
          <w:p>
            <w:pPr>
              <w:snapToGrid w:val="0"/>
              <w:ind w:right="105"/>
              <w:textAlignment w:val="baseline"/>
              <w:rPr>
                <w:rFonts w:hint="eastAsia" w:ascii="仿宋" w:hAnsi="仿宋" w:eastAsia="仿宋" w:cs="仿宋"/>
                <w:color w:val="auto"/>
                <w:sz w:val="20"/>
                <w:highlight w:val="none"/>
              </w:rPr>
            </w:pPr>
            <w:r>
              <w:rPr>
                <w:rFonts w:hint="eastAsia" w:ascii="仿宋" w:hAnsi="仿宋" w:eastAsia="仿宋" w:cs="仿宋"/>
                <w:b/>
                <w:color w:val="auto"/>
                <w:szCs w:val="21"/>
                <w:highlight w:val="none"/>
              </w:rPr>
              <w:t>联系电话：</w:t>
            </w:r>
            <w:r>
              <w:rPr>
                <w:rFonts w:hint="eastAsia" w:ascii="仿宋" w:hAnsi="仿宋" w:eastAsia="仿宋" w:cs="仿宋"/>
                <w:b/>
                <w:color w:val="auto"/>
                <w:szCs w:val="21"/>
                <w:highlight w:val="none"/>
                <w:lang w:val="zh-CN"/>
              </w:rPr>
              <w:t>028-83475775、</w:t>
            </w:r>
            <w:r>
              <w:rPr>
                <w:rFonts w:hint="eastAsia" w:ascii="仿宋" w:hAnsi="仿宋" w:eastAsia="仿宋" w:cs="仿宋"/>
                <w:b/>
                <w:color w:val="auto"/>
                <w:szCs w:val="21"/>
                <w:highlight w:val="none"/>
              </w:rPr>
              <w:t>13688378693</w:t>
            </w:r>
          </w:p>
          <w:p>
            <w:pPr>
              <w:snapToGrid w:val="0"/>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联系地址：</w:t>
            </w:r>
            <w:r>
              <w:rPr>
                <w:rFonts w:hint="eastAsia" w:ascii="仿宋" w:hAnsi="仿宋" w:eastAsia="仿宋" w:cs="仿宋"/>
                <w:color w:val="auto"/>
                <w:szCs w:val="21"/>
                <w:highlight w:val="none"/>
              </w:rPr>
              <w:t>四川省成都市高新区锦尚西一路楚峰国际中心45A03号（44层）</w:t>
            </w:r>
            <w:r>
              <w:rPr>
                <w:rFonts w:hint="eastAsia" w:ascii="仿宋" w:hAnsi="仿宋" w:eastAsia="仿宋" w:cs="仿宋"/>
                <w:color w:val="auto"/>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4</w:t>
            </w:r>
          </w:p>
        </w:tc>
        <w:tc>
          <w:tcPr>
            <w:tcW w:w="2594" w:type="dxa"/>
            <w:vAlign w:val="center"/>
          </w:tcPr>
          <w:p>
            <w:pPr>
              <w:pStyle w:val="47"/>
              <w:snapToGrid w:val="0"/>
              <w:spacing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供应商质疑</w:t>
            </w:r>
          </w:p>
        </w:tc>
        <w:tc>
          <w:tcPr>
            <w:tcW w:w="6084" w:type="dxa"/>
            <w:vAlign w:val="center"/>
          </w:tcPr>
          <w:p>
            <w:pPr>
              <w:snapToGrid w:val="0"/>
              <w:spacing w:line="360" w:lineRule="auto"/>
              <w:ind w:right="105"/>
              <w:jc w:val="left"/>
              <w:textAlignment w:val="baseline"/>
              <w:rPr>
                <w:rFonts w:hint="eastAsia" w:ascii="仿宋" w:hAnsi="仿宋" w:eastAsia="仿宋" w:cs="仿宋"/>
                <w:color w:val="auto"/>
                <w:sz w:val="20"/>
                <w:szCs w:val="21"/>
                <w:highlight w:val="none"/>
              </w:rPr>
            </w:pPr>
            <w:bookmarkStart w:id="20" w:name="PO_默认文件内容_30"/>
            <w:r>
              <w:rPr>
                <w:rFonts w:hint="eastAsia" w:ascii="仿宋" w:hAnsi="仿宋" w:eastAsia="仿宋" w:cs="仿宋"/>
                <w:color w:val="auto"/>
                <w:szCs w:val="21"/>
                <w:highlight w:val="none"/>
              </w:rPr>
              <w:t>根据委托代理协议约定，供应商质疑由采购代理机构负责答复。</w:t>
            </w:r>
          </w:p>
          <w:p>
            <w:pPr>
              <w:snapToGrid w:val="0"/>
              <w:spacing w:line="360" w:lineRule="auto"/>
              <w:ind w:right="105"/>
              <w:jc w:val="left"/>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联 系 人：蒋先生</w:t>
            </w:r>
          </w:p>
          <w:p>
            <w:pPr>
              <w:snapToGrid w:val="0"/>
              <w:spacing w:line="360" w:lineRule="auto"/>
              <w:ind w:right="105"/>
              <w:jc w:val="left"/>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联系电话：028-83475775、18583950100。</w:t>
            </w:r>
          </w:p>
          <w:p>
            <w:pPr>
              <w:snapToGrid w:val="0"/>
              <w:spacing w:line="360" w:lineRule="auto"/>
              <w:ind w:right="105"/>
              <w:jc w:val="left"/>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rPr>
              <w:t>联系地址：四川省成都市高新区锦尚西一路楚峰国际中心45A03号（44层）。</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注：根据《中华人民共和国政府采购法》等规定，供应商质疑不得超出采购文件、采购过程、采购结果的范围</w:t>
            </w:r>
            <w:bookmarkEnd w:id="20"/>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5</w:t>
            </w:r>
          </w:p>
        </w:tc>
        <w:tc>
          <w:tcPr>
            <w:tcW w:w="2594" w:type="dxa"/>
            <w:vAlign w:val="center"/>
          </w:tcPr>
          <w:p>
            <w:pPr>
              <w:pStyle w:val="47"/>
              <w:snapToGrid w:val="0"/>
              <w:spacing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供应商投诉</w:t>
            </w:r>
          </w:p>
        </w:tc>
        <w:tc>
          <w:tcPr>
            <w:tcW w:w="6084" w:type="dxa"/>
          </w:tcPr>
          <w:p>
            <w:pPr>
              <w:snapToGrid w:val="0"/>
              <w:spacing w:line="360" w:lineRule="auto"/>
              <w:ind w:right="105"/>
              <w:jc w:val="left"/>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投诉受理单位：本采购项目同级财政部门，即四川天府新区财政金融局</w:t>
            </w:r>
            <w:r>
              <w:rPr>
                <w:rFonts w:hint="eastAsia" w:ascii="仿宋" w:hAnsi="仿宋" w:eastAsia="仿宋" w:cs="仿宋"/>
                <w:color w:val="auto"/>
                <w:szCs w:val="21"/>
                <w:highlight w:val="none"/>
                <w:lang w:val="zh-CN"/>
              </w:rPr>
              <w:t>。</w:t>
            </w:r>
          </w:p>
          <w:p>
            <w:pPr>
              <w:snapToGrid w:val="0"/>
              <w:spacing w:line="360" w:lineRule="auto"/>
              <w:ind w:right="105"/>
              <w:jc w:val="left"/>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联系电话：028-61889702。</w:t>
            </w:r>
          </w:p>
          <w:p>
            <w:pPr>
              <w:snapToGrid w:val="0"/>
              <w:spacing w:line="360" w:lineRule="auto"/>
              <w:ind w:right="105"/>
              <w:jc w:val="left"/>
              <w:textAlignment w:val="baseline"/>
              <w:rPr>
                <w:rFonts w:hint="eastAsia" w:ascii="仿宋" w:hAnsi="仿宋" w:eastAsia="仿宋" w:cs="仿宋"/>
                <w:color w:val="auto"/>
                <w:sz w:val="20"/>
                <w:szCs w:val="21"/>
                <w:highlight w:val="none"/>
              </w:rPr>
            </w:pPr>
            <w:r>
              <w:rPr>
                <w:rFonts w:hint="eastAsia" w:ascii="仿宋" w:hAnsi="仿宋" w:eastAsia="仿宋" w:cs="仿宋"/>
                <w:color w:val="auto"/>
                <w:szCs w:val="21"/>
                <w:highlight w:val="none"/>
              </w:rPr>
              <w:t>地址：四川省成都市天府大道南段288号。</w:t>
            </w:r>
          </w:p>
          <w:p>
            <w:pPr>
              <w:snapToGrid w:val="0"/>
              <w:spacing w:line="360" w:lineRule="auto"/>
              <w:ind w:right="105"/>
              <w:jc w:val="left"/>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6</w:t>
            </w:r>
          </w:p>
        </w:tc>
        <w:tc>
          <w:tcPr>
            <w:tcW w:w="2594" w:type="dxa"/>
            <w:vAlign w:val="center"/>
          </w:tcPr>
          <w:p>
            <w:pPr>
              <w:pStyle w:val="47"/>
              <w:snapToGrid w:val="0"/>
              <w:spacing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政府采购合同</w:t>
            </w:r>
          </w:p>
          <w:p>
            <w:pPr>
              <w:pStyle w:val="47"/>
              <w:snapToGrid w:val="0"/>
              <w:spacing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公告备案</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bookmarkStart w:id="21" w:name="PO_默认文件内容_18"/>
            <w:r>
              <w:rPr>
                <w:rFonts w:hint="eastAsia" w:ascii="仿宋" w:hAnsi="仿宋" w:eastAsia="仿宋" w:cs="仿宋"/>
                <w:color w:val="auto"/>
                <w:sz w:val="21"/>
                <w:szCs w:val="21"/>
                <w:highlight w:val="none"/>
                <w:lang w:val="zh-CN"/>
              </w:rPr>
              <w:t>政府采购合同签订之日起2个工作日内，政府采购合同将在四川</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政府采购网公告；政府采购合同签订之日起七个工作日内，政府</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采购合同将向采购项目同级财政部门备案。</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7</w:t>
            </w:r>
          </w:p>
        </w:tc>
        <w:tc>
          <w:tcPr>
            <w:tcW w:w="2594" w:type="dxa"/>
            <w:vAlign w:val="center"/>
          </w:tcPr>
          <w:p>
            <w:pPr>
              <w:pStyle w:val="47"/>
              <w:snapToGrid w:val="0"/>
              <w:spacing w:before="156"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成交服务费</w:t>
            </w:r>
          </w:p>
        </w:tc>
        <w:tc>
          <w:tcPr>
            <w:tcW w:w="6084" w:type="dxa"/>
            <w:vAlign w:val="center"/>
          </w:tcPr>
          <w:p>
            <w:pPr>
              <w:pStyle w:val="47"/>
              <w:snapToGrid w:val="0"/>
              <w:spacing w:line="360" w:lineRule="auto"/>
              <w:jc w:val="both"/>
              <w:textAlignment w:val="baseline"/>
              <w:rPr>
                <w:rFonts w:hint="eastAsia" w:ascii="仿宋" w:hAnsi="仿宋" w:eastAsia="仿宋" w:cs="仿宋"/>
                <w:color w:val="auto"/>
                <w:kern w:val="2"/>
                <w:sz w:val="21"/>
                <w:szCs w:val="21"/>
                <w:highlight w:val="none"/>
                <w:lang w:val="zh-CN"/>
              </w:rPr>
            </w:pPr>
            <w:r>
              <w:rPr>
                <w:rFonts w:hint="eastAsia" w:ascii="仿宋" w:hAnsi="仿宋" w:eastAsia="仿宋" w:cs="仿宋"/>
                <w:color w:val="auto"/>
                <w:kern w:val="2"/>
                <w:sz w:val="21"/>
                <w:szCs w:val="21"/>
                <w:highlight w:val="none"/>
              </w:rPr>
              <w:t>本项目成交服务费按成本加合理利润的原则，</w:t>
            </w:r>
            <w:r>
              <w:rPr>
                <w:rFonts w:hint="eastAsia" w:ascii="仿宋" w:hAnsi="仿宋" w:eastAsia="仿宋" w:cs="仿宋"/>
                <w:color w:val="auto"/>
                <w:kern w:val="2"/>
                <w:sz w:val="21"/>
                <w:szCs w:val="21"/>
                <w:highlight w:val="none"/>
                <w:lang w:val="zh-CN"/>
              </w:rPr>
              <w:t>以</w:t>
            </w:r>
            <w:r>
              <w:rPr>
                <w:rFonts w:hint="eastAsia" w:ascii="仿宋" w:hAnsi="仿宋" w:eastAsia="仿宋" w:cs="仿宋"/>
                <w:color w:val="auto"/>
                <w:kern w:val="2"/>
                <w:sz w:val="21"/>
                <w:szCs w:val="21"/>
                <w:highlight w:val="none"/>
              </w:rPr>
              <w:t>成交</w:t>
            </w:r>
            <w:r>
              <w:rPr>
                <w:rFonts w:hint="eastAsia" w:ascii="仿宋" w:hAnsi="仿宋" w:eastAsia="仿宋" w:cs="仿宋"/>
                <w:color w:val="auto"/>
                <w:kern w:val="2"/>
                <w:sz w:val="21"/>
                <w:szCs w:val="21"/>
                <w:highlight w:val="none"/>
                <w:lang w:val="zh-CN"/>
              </w:rPr>
              <w:t>金额作为计算基数，</w:t>
            </w:r>
            <w:r>
              <w:rPr>
                <w:rFonts w:hint="eastAsia" w:ascii="仿宋" w:hAnsi="仿宋" w:eastAsia="仿宋" w:cs="仿宋"/>
                <w:color w:val="auto"/>
                <w:kern w:val="2"/>
                <w:sz w:val="21"/>
                <w:szCs w:val="21"/>
                <w:highlight w:val="none"/>
              </w:rPr>
              <w:t>按照以下收费标准</w:t>
            </w:r>
            <w:r>
              <w:rPr>
                <w:rFonts w:hint="eastAsia" w:ascii="仿宋" w:hAnsi="仿宋" w:eastAsia="仿宋" w:cs="仿宋"/>
                <w:color w:val="auto"/>
                <w:sz w:val="21"/>
                <w:szCs w:val="21"/>
                <w:highlight w:val="none"/>
              </w:rPr>
              <w:t>计算后乘以3年进行</w:t>
            </w:r>
            <w:r>
              <w:rPr>
                <w:rFonts w:hint="eastAsia" w:ascii="仿宋" w:hAnsi="仿宋" w:eastAsia="仿宋" w:cs="仿宋"/>
                <w:color w:val="auto"/>
                <w:kern w:val="2"/>
                <w:sz w:val="21"/>
                <w:szCs w:val="21"/>
                <w:highlight w:val="none"/>
              </w:rPr>
              <w:t>收取，</w:t>
            </w:r>
            <w:r>
              <w:rPr>
                <w:rFonts w:hint="eastAsia" w:ascii="仿宋" w:hAnsi="仿宋" w:eastAsia="仿宋" w:cs="仿宋"/>
                <w:color w:val="auto"/>
                <w:kern w:val="2"/>
                <w:sz w:val="21"/>
                <w:szCs w:val="21"/>
                <w:highlight w:val="none"/>
                <w:lang w:val="zh-CN"/>
              </w:rPr>
              <w:t>由</w:t>
            </w:r>
            <w:r>
              <w:rPr>
                <w:rFonts w:hint="eastAsia" w:ascii="仿宋" w:hAnsi="仿宋" w:eastAsia="仿宋" w:cs="仿宋"/>
                <w:color w:val="auto"/>
                <w:kern w:val="2"/>
                <w:sz w:val="21"/>
                <w:szCs w:val="21"/>
                <w:highlight w:val="none"/>
              </w:rPr>
              <w:t>成交</w:t>
            </w:r>
            <w:r>
              <w:rPr>
                <w:rFonts w:hint="eastAsia" w:ascii="仿宋" w:hAnsi="仿宋" w:eastAsia="仿宋" w:cs="仿宋"/>
                <w:color w:val="auto"/>
                <w:kern w:val="2"/>
                <w:sz w:val="21"/>
                <w:szCs w:val="21"/>
                <w:highlight w:val="none"/>
                <w:lang w:val="zh-CN"/>
              </w:rPr>
              <w:t>人在领取</w:t>
            </w:r>
            <w:r>
              <w:rPr>
                <w:rFonts w:hint="eastAsia" w:ascii="仿宋" w:hAnsi="仿宋" w:eastAsia="仿宋" w:cs="仿宋"/>
                <w:color w:val="auto"/>
                <w:kern w:val="2"/>
                <w:sz w:val="21"/>
                <w:szCs w:val="21"/>
                <w:highlight w:val="none"/>
              </w:rPr>
              <w:t>成交</w:t>
            </w:r>
            <w:r>
              <w:rPr>
                <w:rFonts w:hint="eastAsia" w:ascii="仿宋" w:hAnsi="仿宋" w:eastAsia="仿宋" w:cs="仿宋"/>
                <w:color w:val="auto"/>
                <w:kern w:val="2"/>
                <w:sz w:val="21"/>
                <w:szCs w:val="21"/>
                <w:highlight w:val="none"/>
                <w:lang w:val="zh-CN"/>
              </w:rPr>
              <w:t>通知书前向</w:t>
            </w:r>
            <w:r>
              <w:rPr>
                <w:rFonts w:hint="eastAsia" w:ascii="仿宋" w:hAnsi="仿宋" w:eastAsia="仿宋" w:cs="仿宋"/>
                <w:color w:val="auto"/>
                <w:kern w:val="2"/>
                <w:sz w:val="21"/>
                <w:szCs w:val="21"/>
                <w:highlight w:val="none"/>
              </w:rPr>
              <w:t>采购</w:t>
            </w:r>
            <w:r>
              <w:rPr>
                <w:rFonts w:hint="eastAsia" w:ascii="仿宋" w:hAnsi="仿宋" w:eastAsia="仿宋" w:cs="仿宋"/>
                <w:color w:val="auto"/>
                <w:kern w:val="2"/>
                <w:sz w:val="21"/>
                <w:szCs w:val="21"/>
                <w:highlight w:val="none"/>
                <w:lang w:val="zh-CN"/>
              </w:rPr>
              <w:t>代理机构交纳。</w:t>
            </w:r>
          </w:p>
          <w:p>
            <w:pPr>
              <w:pStyle w:val="47"/>
              <w:snapToGrid w:val="0"/>
              <w:spacing w:line="360" w:lineRule="auto"/>
              <w:jc w:val="left"/>
              <w:textAlignment w:val="baseline"/>
              <w:rPr>
                <w:rFonts w:hint="eastAsia" w:ascii="仿宋" w:hAnsi="仿宋" w:eastAsia="仿宋" w:cs="仿宋"/>
                <w:color w:val="auto"/>
                <w:kern w:val="2"/>
                <w:sz w:val="21"/>
                <w:szCs w:val="21"/>
                <w:highlight w:val="none"/>
                <w:lang w:val="zh-CN"/>
              </w:rPr>
            </w:pPr>
            <w:r>
              <w:rPr>
                <w:rFonts w:hint="eastAsia" w:ascii="仿宋" w:hAnsi="仿宋" w:eastAsia="仿宋" w:cs="仿宋"/>
                <w:color w:val="auto"/>
                <w:kern w:val="2"/>
                <w:sz w:val="21"/>
                <w:szCs w:val="21"/>
                <w:highlight w:val="none"/>
              </w:rPr>
              <w:t>收费标准</w:t>
            </w:r>
            <w:r>
              <w:rPr>
                <w:rFonts w:hint="eastAsia" w:ascii="仿宋" w:hAnsi="仿宋" w:eastAsia="仿宋" w:cs="仿宋"/>
                <w:color w:val="auto"/>
                <w:kern w:val="2"/>
                <w:sz w:val="21"/>
                <w:szCs w:val="21"/>
                <w:highlight w:val="none"/>
                <w:lang w:val="zh-CN"/>
              </w:rPr>
              <w:t>（</w:t>
            </w:r>
            <w:r>
              <w:rPr>
                <w:rFonts w:hint="eastAsia" w:ascii="仿宋" w:hAnsi="仿宋" w:eastAsia="仿宋" w:cs="仿宋"/>
                <w:color w:val="auto"/>
                <w:kern w:val="2"/>
                <w:sz w:val="21"/>
                <w:szCs w:val="21"/>
                <w:highlight w:val="none"/>
              </w:rPr>
              <w:t>费率）：</w:t>
            </w:r>
            <w:r>
              <w:rPr>
                <w:rFonts w:hint="eastAsia" w:ascii="仿宋" w:hAnsi="仿宋" w:eastAsia="仿宋" w:cs="仿宋"/>
                <w:color w:val="auto"/>
                <w:highlight w:val="none"/>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7"/>
                          <a:stretch>
                            <a:fillRect/>
                          </a:stretch>
                        </pic:blipFill>
                        <pic:spPr>
                          <a:xfrm>
                            <a:off x="0" y="0"/>
                            <a:ext cx="3841750" cy="2004060"/>
                          </a:xfrm>
                          <a:prstGeom prst="rect">
                            <a:avLst/>
                          </a:prstGeom>
                        </pic:spPr>
                      </pic:pic>
                    </a:graphicData>
                  </a:graphic>
                </wp:inline>
              </w:drawing>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注: ①按本表费率计算的收费为</w:t>
            </w:r>
            <w:r>
              <w:rPr>
                <w:rFonts w:hint="eastAsia" w:ascii="仿宋" w:hAnsi="仿宋" w:eastAsia="仿宋" w:cs="仿宋"/>
                <w:color w:val="auto"/>
                <w:szCs w:val="21"/>
                <w:highlight w:val="none"/>
              </w:rPr>
              <w:t>采购</w:t>
            </w:r>
            <w:r>
              <w:rPr>
                <w:rFonts w:hint="eastAsia" w:ascii="仿宋" w:hAnsi="仿宋" w:eastAsia="仿宋" w:cs="仿宋"/>
                <w:color w:val="auto"/>
                <w:szCs w:val="21"/>
                <w:highlight w:val="none"/>
                <w:lang w:val="zh-CN"/>
              </w:rPr>
              <w:t>代理服务全过程的收费基准价格。②</w:t>
            </w:r>
            <w:r>
              <w:rPr>
                <w:rFonts w:hint="eastAsia" w:ascii="仿宋" w:hAnsi="仿宋" w:eastAsia="仿宋" w:cs="仿宋"/>
                <w:color w:val="auto"/>
                <w:szCs w:val="21"/>
                <w:highlight w:val="none"/>
              </w:rPr>
              <w:t>采购</w:t>
            </w:r>
            <w:r>
              <w:rPr>
                <w:rFonts w:hint="eastAsia" w:ascii="仿宋" w:hAnsi="仿宋" w:eastAsia="仿宋" w:cs="仿宋"/>
                <w:color w:val="auto"/>
                <w:szCs w:val="21"/>
                <w:highlight w:val="none"/>
                <w:lang w:val="zh-CN"/>
              </w:rPr>
              <w:t>代理服务收费按差额定率累进法计算。</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pacing w:val="-6"/>
                <w:szCs w:val="21"/>
                <w:highlight w:val="none"/>
                <w:lang w:val="zh-CN"/>
              </w:rPr>
              <w:t>例如：某工程</w:t>
            </w:r>
            <w:r>
              <w:rPr>
                <w:rFonts w:hint="eastAsia" w:ascii="仿宋" w:hAnsi="仿宋" w:eastAsia="仿宋" w:cs="仿宋"/>
                <w:color w:val="auto"/>
                <w:spacing w:val="-6"/>
                <w:szCs w:val="21"/>
                <w:highlight w:val="none"/>
              </w:rPr>
              <w:t>采购</w:t>
            </w:r>
            <w:r>
              <w:rPr>
                <w:rFonts w:hint="eastAsia" w:ascii="仿宋" w:hAnsi="仿宋" w:eastAsia="仿宋" w:cs="仿宋"/>
                <w:color w:val="auto"/>
                <w:spacing w:val="-6"/>
                <w:szCs w:val="21"/>
                <w:highlight w:val="none"/>
                <w:lang w:val="zh-CN"/>
              </w:rPr>
              <w:t>项目</w:t>
            </w:r>
            <w:r>
              <w:rPr>
                <w:rFonts w:hint="eastAsia" w:ascii="仿宋" w:hAnsi="仿宋" w:eastAsia="仿宋" w:cs="仿宋"/>
                <w:color w:val="auto"/>
                <w:spacing w:val="-6"/>
                <w:szCs w:val="21"/>
                <w:highlight w:val="none"/>
              </w:rPr>
              <w:t>成交</w:t>
            </w:r>
            <w:r>
              <w:rPr>
                <w:rFonts w:hint="eastAsia" w:ascii="仿宋" w:hAnsi="仿宋" w:eastAsia="仿宋" w:cs="仿宋"/>
                <w:color w:val="auto"/>
                <w:spacing w:val="-6"/>
                <w:szCs w:val="21"/>
                <w:highlight w:val="none"/>
                <w:lang w:val="zh-CN"/>
              </w:rPr>
              <w:t>金额为6000万元，计算</w:t>
            </w:r>
            <w:r>
              <w:rPr>
                <w:rFonts w:hint="eastAsia" w:ascii="仿宋" w:hAnsi="仿宋" w:eastAsia="仿宋" w:cs="仿宋"/>
                <w:color w:val="auto"/>
                <w:spacing w:val="-6"/>
                <w:szCs w:val="21"/>
                <w:highlight w:val="none"/>
              </w:rPr>
              <w:t>成交</w:t>
            </w:r>
            <w:r>
              <w:rPr>
                <w:rFonts w:hint="eastAsia" w:ascii="仿宋" w:hAnsi="仿宋" w:eastAsia="仿宋" w:cs="仿宋"/>
                <w:color w:val="auto"/>
                <w:spacing w:val="-6"/>
                <w:szCs w:val="21"/>
                <w:highlight w:val="none"/>
                <w:lang w:val="zh-CN"/>
              </w:rPr>
              <w:t>服务费如下：</w:t>
            </w:r>
            <w:r>
              <w:rPr>
                <w:rFonts w:hint="eastAsia" w:ascii="仿宋" w:hAnsi="仿宋" w:eastAsia="仿宋" w:cs="仿宋"/>
                <w:color w:val="auto"/>
                <w:szCs w:val="21"/>
                <w:highlight w:val="none"/>
                <w:lang w:val="zh-CN"/>
              </w:rPr>
              <w:t xml:space="preserve"> </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100万元×1.0%=1万元</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(500－100)万元×0.7%=2.8万元</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(1000－500)万元×0.55%=2.75万元</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(5000－1000)万元×0.35%=14万元</w:t>
            </w:r>
          </w:p>
          <w:p>
            <w:pPr>
              <w:snapToGrid w:val="0"/>
              <w:spacing w:line="360" w:lineRule="auto"/>
              <w:ind w:right="105"/>
              <w:textAlignment w:val="baseline"/>
              <w:rPr>
                <w:rFonts w:hint="eastAsia" w:ascii="仿宋" w:hAnsi="仿宋" w:eastAsia="仿宋" w:cs="仿宋"/>
                <w:color w:val="auto"/>
                <w:sz w:val="20"/>
                <w:szCs w:val="21"/>
                <w:highlight w:val="none"/>
                <w:lang w:val="zh-CN"/>
              </w:rPr>
            </w:pPr>
            <w:r>
              <w:rPr>
                <w:rFonts w:hint="eastAsia" w:ascii="仿宋" w:hAnsi="仿宋" w:eastAsia="仿宋" w:cs="仿宋"/>
                <w:color w:val="auto"/>
                <w:szCs w:val="21"/>
                <w:highlight w:val="none"/>
                <w:lang w:val="zh-CN"/>
              </w:rPr>
              <w:t>(6000－5000)万元 ×0.2%=2万元</w:t>
            </w:r>
          </w:p>
          <w:p>
            <w:pPr>
              <w:pStyle w:val="47"/>
              <w:snapToGrid w:val="0"/>
              <w:spacing w:line="360" w:lineRule="auto"/>
              <w:jc w:val="both"/>
              <w:textAlignment w:val="baseline"/>
              <w:rPr>
                <w:rFonts w:hint="eastAsia" w:ascii="仿宋" w:hAnsi="仿宋" w:eastAsia="仿宋" w:cs="仿宋"/>
                <w:color w:val="auto"/>
                <w:kern w:val="2"/>
                <w:sz w:val="21"/>
                <w:szCs w:val="21"/>
                <w:highlight w:val="none"/>
                <w:lang w:val="zh-CN"/>
              </w:rPr>
            </w:pPr>
            <w:r>
              <w:rPr>
                <w:rFonts w:hint="eastAsia" w:ascii="仿宋" w:hAnsi="仿宋" w:eastAsia="仿宋" w:cs="仿宋"/>
                <w:color w:val="auto"/>
                <w:kern w:val="2"/>
                <w:sz w:val="21"/>
                <w:szCs w:val="21"/>
                <w:highlight w:val="none"/>
                <w:lang w:val="zh-CN"/>
              </w:rPr>
              <w:t>合计收费=1＋2.8+2.75+14+2=22.55万元</w:t>
            </w:r>
          </w:p>
          <w:p>
            <w:pPr>
              <w:pStyle w:val="47"/>
              <w:snapToGrid w:val="0"/>
              <w:spacing w:line="360" w:lineRule="auto"/>
              <w:jc w:val="both"/>
              <w:textAlignment w:val="baseline"/>
              <w:rPr>
                <w:rFonts w:hint="eastAsia" w:ascii="仿宋" w:hAnsi="仿宋" w:eastAsia="仿宋" w:cs="仿宋"/>
                <w:color w:val="auto"/>
                <w:kern w:val="2"/>
                <w:sz w:val="21"/>
                <w:szCs w:val="21"/>
                <w:highlight w:val="none"/>
                <w:lang w:val="zh-CN"/>
              </w:rPr>
            </w:pPr>
          </w:p>
          <w:p>
            <w:pPr>
              <w:pStyle w:val="47"/>
              <w:snapToGrid w:val="0"/>
              <w:spacing w:line="360" w:lineRule="auto"/>
              <w:jc w:val="both"/>
              <w:textAlignment w:val="baseline"/>
              <w:rPr>
                <w:rFonts w:hint="eastAsia" w:ascii="仿宋" w:hAnsi="仿宋" w:eastAsia="仿宋" w:cs="仿宋"/>
                <w:b/>
                <w:bCs/>
                <w:color w:val="auto"/>
                <w:kern w:val="2"/>
                <w:sz w:val="21"/>
                <w:szCs w:val="21"/>
                <w:highlight w:val="none"/>
                <w:lang w:val="zh-CN"/>
              </w:rPr>
            </w:pPr>
            <w:r>
              <w:rPr>
                <w:rFonts w:hint="eastAsia" w:ascii="仿宋" w:hAnsi="仿宋" w:eastAsia="仿宋" w:cs="仿宋"/>
                <w:b/>
                <w:bCs/>
                <w:color w:val="auto"/>
                <w:kern w:val="2"/>
                <w:sz w:val="21"/>
                <w:szCs w:val="21"/>
                <w:highlight w:val="none"/>
                <w:lang w:val="zh-CN"/>
              </w:rPr>
              <w:t>收款单位：四川成与诚招标代理有限公司</w:t>
            </w:r>
          </w:p>
          <w:p>
            <w:pPr>
              <w:pStyle w:val="47"/>
              <w:snapToGrid w:val="0"/>
              <w:spacing w:line="360" w:lineRule="auto"/>
              <w:jc w:val="both"/>
              <w:textAlignment w:val="baseline"/>
              <w:rPr>
                <w:rFonts w:hint="eastAsia" w:ascii="仿宋" w:hAnsi="仿宋" w:eastAsia="仿宋" w:cs="仿宋"/>
                <w:b/>
                <w:bCs/>
                <w:color w:val="auto"/>
                <w:kern w:val="2"/>
                <w:sz w:val="21"/>
                <w:szCs w:val="21"/>
                <w:highlight w:val="none"/>
                <w:lang w:val="zh-CN"/>
              </w:rPr>
            </w:pPr>
            <w:r>
              <w:rPr>
                <w:rFonts w:hint="eastAsia" w:ascii="仿宋" w:hAnsi="仿宋" w:eastAsia="仿宋" w:cs="仿宋"/>
                <w:b/>
                <w:bCs/>
                <w:color w:val="auto"/>
                <w:kern w:val="2"/>
                <w:sz w:val="21"/>
                <w:szCs w:val="21"/>
                <w:highlight w:val="none"/>
                <w:lang w:val="zh-CN"/>
              </w:rPr>
              <w:t>开 户 行：中信银行股份有限公司成都高升路支行</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b/>
                <w:bCs/>
                <w:color w:val="auto"/>
                <w:kern w:val="2"/>
                <w:sz w:val="21"/>
                <w:szCs w:val="21"/>
                <w:highlight w:val="none"/>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p>
        </w:tc>
        <w:tc>
          <w:tcPr>
            <w:tcW w:w="2594" w:type="dxa"/>
            <w:vAlign w:val="center"/>
          </w:tcPr>
          <w:p>
            <w:pPr>
              <w:pStyle w:val="47"/>
              <w:snapToGrid w:val="0"/>
              <w:spacing w:before="156"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送样提醒</w:t>
            </w:r>
          </w:p>
        </w:tc>
        <w:tc>
          <w:tcPr>
            <w:tcW w:w="6084" w:type="dxa"/>
            <w:vAlign w:val="center"/>
          </w:tcPr>
          <w:p>
            <w:pPr>
              <w:pStyle w:val="47"/>
              <w:snapToGrid w:val="0"/>
              <w:spacing w:line="360" w:lineRule="auto"/>
              <w:jc w:val="both"/>
              <w:textAlignment w:val="baseline"/>
              <w:rPr>
                <w:rFonts w:hint="eastAsia" w:ascii="仿宋" w:hAnsi="仿宋" w:eastAsia="仿宋" w:cs="仿宋"/>
                <w:color w:val="auto"/>
                <w:kern w:val="2"/>
                <w:sz w:val="21"/>
                <w:szCs w:val="21"/>
                <w:highlight w:val="none"/>
                <w:lang w:val="zh-CN"/>
              </w:rPr>
            </w:pPr>
            <w:r>
              <w:rPr>
                <w:rFonts w:hint="eastAsia" w:ascii="仿宋" w:hAnsi="仿宋" w:eastAsia="仿宋" w:cs="仿宋"/>
                <w:color w:val="auto"/>
                <w:kern w:val="2"/>
                <w:sz w:val="21"/>
                <w:szCs w:val="21"/>
                <w:highlight w:val="none"/>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7"/>
              <w:snapToGrid w:val="0"/>
              <w:spacing w:line="360" w:lineRule="auto"/>
              <w:ind w:right="230"/>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9</w:t>
            </w:r>
          </w:p>
        </w:tc>
        <w:tc>
          <w:tcPr>
            <w:tcW w:w="2594" w:type="dxa"/>
            <w:vAlign w:val="center"/>
          </w:tcPr>
          <w:p>
            <w:pPr>
              <w:pStyle w:val="47"/>
              <w:snapToGrid w:val="0"/>
              <w:spacing w:line="360" w:lineRule="auto"/>
              <w:ind w:left="96"/>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承诺提醒</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7"/>
              <w:snapToGrid w:val="0"/>
              <w:spacing w:line="360" w:lineRule="auto"/>
              <w:ind w:left="155" w:leftChars="74" w:firstLine="56" w:firstLineChars="27"/>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c>
          <w:tcPr>
            <w:tcW w:w="2594" w:type="dxa"/>
            <w:vAlign w:val="center"/>
          </w:tcPr>
          <w:p>
            <w:pPr>
              <w:pStyle w:val="47"/>
              <w:snapToGrid w:val="0"/>
              <w:spacing w:line="360" w:lineRule="auto"/>
              <w:ind w:left="155" w:leftChars="74" w:firstLine="56" w:firstLineChars="27"/>
              <w:jc w:val="center"/>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联合体（</w:t>
            </w:r>
            <w:r>
              <w:rPr>
                <w:rFonts w:hint="eastAsia" w:ascii="仿宋" w:hAnsi="仿宋" w:eastAsia="仿宋" w:cs="仿宋"/>
                <w:color w:val="auto"/>
                <w:sz w:val="21"/>
                <w:szCs w:val="21"/>
                <w:highlight w:val="none"/>
              </w:rPr>
              <w:t>实质性要求）</w:t>
            </w:r>
          </w:p>
        </w:tc>
        <w:tc>
          <w:tcPr>
            <w:tcW w:w="6084" w:type="dxa"/>
            <w:vAlign w:val="center"/>
          </w:tcPr>
          <w:p>
            <w:pPr>
              <w:pStyle w:val="47"/>
              <w:snapToGrid w:val="0"/>
              <w:spacing w:line="360" w:lineRule="auto"/>
              <w:jc w:val="both"/>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 xml:space="preserve">☑ 本项目不允许联合体参加 </w:t>
            </w:r>
            <w:r>
              <w:rPr>
                <w:rFonts w:hint="eastAsia" w:ascii="仿宋" w:hAnsi="仿宋" w:eastAsia="仿宋" w:cs="仿宋"/>
                <w:color w:val="auto"/>
                <w:sz w:val="21"/>
                <w:szCs w:val="21"/>
                <w:highlight w:val="none"/>
              </w:rPr>
              <w:t xml:space="preserve">   </w:t>
            </w:r>
          </w:p>
          <w:p>
            <w:pPr>
              <w:pStyle w:val="47"/>
              <w:snapToGrid w:val="0"/>
              <w:spacing w:line="360" w:lineRule="auto"/>
              <w:jc w:val="both"/>
              <w:textAlignment w:val="baseline"/>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 本项目允许联合体参加</w:t>
            </w:r>
          </w:p>
        </w:tc>
      </w:tr>
    </w:tbl>
    <w:p>
      <w:pPr>
        <w:snapToGrid w:val="0"/>
        <w:textAlignment w:val="baseline"/>
        <w:rPr>
          <w:rFonts w:hint="eastAsia" w:ascii="仿宋" w:hAnsi="仿宋" w:eastAsia="仿宋" w:cs="仿宋"/>
          <w:color w:val="auto"/>
          <w:sz w:val="20"/>
          <w:highlight w:val="none"/>
        </w:rPr>
      </w:pP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Cs/>
          <w:color w:val="auto"/>
          <w:highlight w:val="none"/>
        </w:rPr>
        <w:br w:type="textWrapping"/>
      </w:r>
    </w:p>
    <w:p>
      <w:pPr>
        <w:snapToGrid w:val="0"/>
        <w:textAlignment w:val="baseline"/>
        <w:rPr>
          <w:rFonts w:hint="eastAsia" w:ascii="仿宋" w:hAnsi="仿宋" w:eastAsia="仿宋" w:cs="仿宋"/>
          <w:color w:val="auto"/>
          <w:sz w:val="20"/>
          <w:highlight w:val="none"/>
        </w:rPr>
      </w:pPr>
    </w:p>
    <w:p>
      <w:pPr>
        <w:pStyle w:val="4"/>
        <w:keepLines w:val="0"/>
        <w:snapToGrid w:val="0"/>
        <w:spacing w:before="0" w:after="0" w:line="400" w:lineRule="exact"/>
        <w:jc w:val="center"/>
        <w:textAlignment w:val="baseline"/>
        <w:rPr>
          <w:rFonts w:hint="eastAsia" w:ascii="仿宋" w:hAnsi="仿宋" w:eastAsia="仿宋" w:cs="仿宋"/>
          <w:bCs w:val="0"/>
          <w:color w:val="auto"/>
          <w:highlight w:val="none"/>
        </w:rPr>
      </w:pPr>
      <w:r>
        <w:rPr>
          <w:rFonts w:hint="eastAsia" w:ascii="仿宋" w:hAnsi="仿宋" w:eastAsia="仿宋" w:cs="仿宋"/>
          <w:bCs w:val="0"/>
          <w:color w:val="auto"/>
          <w:highlight w:val="none"/>
        </w:rPr>
        <w:t>二、总  则</w:t>
      </w:r>
    </w:p>
    <w:p>
      <w:pPr>
        <w:snapToGrid w:val="0"/>
        <w:textAlignment w:val="baseline"/>
        <w:rPr>
          <w:rFonts w:hint="eastAsia" w:ascii="仿宋" w:hAnsi="仿宋" w:eastAsia="仿宋" w:cs="仿宋"/>
          <w:color w:val="auto"/>
          <w:sz w:val="20"/>
          <w:highlight w:val="none"/>
        </w:rPr>
      </w:pPr>
      <w:bookmarkStart w:id="22" w:name="_Toc217446034"/>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23" w:name="PO_默认文件内容_20"/>
      <w:r>
        <w:rPr>
          <w:rFonts w:hint="eastAsia" w:ascii="仿宋" w:hAnsi="仿宋" w:eastAsia="仿宋" w:cs="仿宋"/>
          <w:color w:val="auto"/>
          <w:sz w:val="24"/>
          <w:szCs w:val="24"/>
          <w:highlight w:val="none"/>
        </w:rPr>
        <w:t>1．适用范围</w:t>
      </w:r>
      <w:bookmarkEnd w:id="22"/>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 本磋商文件仅适用于本次磋商采购项目。</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 本磋商文件的解释权归采购人和采购代理机构所有。</w:t>
      </w:r>
      <w:bookmarkEnd w:id="23"/>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2．采购主体</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2.1本次磋商的采购人是</w:t>
      </w:r>
      <w:r>
        <w:rPr>
          <w:rFonts w:hint="eastAsia" w:ascii="仿宋" w:hAnsi="仿宋" w:eastAsia="仿宋" w:cs="仿宋"/>
          <w:b/>
          <w:color w:val="auto"/>
          <w:sz w:val="24"/>
          <w:highlight w:val="none"/>
          <w:u w:val="single" w:color="000000"/>
        </w:rPr>
        <w:t>四川天府新区生态环境和城市管理局</w:t>
      </w:r>
      <w:r>
        <w:rPr>
          <w:rFonts w:hint="eastAsia" w:ascii="仿宋" w:hAnsi="仿宋" w:eastAsia="仿宋" w:cs="仿宋"/>
          <w:color w:val="auto"/>
          <w:sz w:val="24"/>
          <w:highlight w:val="none"/>
        </w:rPr>
        <w:t>。</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bookmarkStart w:id="24" w:name="PO_默认文件内容_23"/>
      <w:r>
        <w:rPr>
          <w:rFonts w:hint="eastAsia" w:ascii="仿宋" w:hAnsi="仿宋" w:eastAsia="仿宋" w:cs="仿宋"/>
          <w:color w:val="auto"/>
          <w:sz w:val="24"/>
          <w:highlight w:val="none"/>
        </w:rPr>
        <w:t>2.2本次磋商的采购代理机构是</w:t>
      </w:r>
      <w:r>
        <w:rPr>
          <w:rFonts w:hint="eastAsia" w:ascii="仿宋" w:hAnsi="仿宋" w:eastAsia="仿宋" w:cs="仿宋"/>
          <w:b/>
          <w:color w:val="auto"/>
          <w:sz w:val="24"/>
          <w:highlight w:val="none"/>
          <w:u w:val="single" w:color="000000"/>
        </w:rPr>
        <w:t>四川成与诚招标代理有限公司</w:t>
      </w:r>
      <w:r>
        <w:rPr>
          <w:rFonts w:hint="eastAsia" w:ascii="仿宋" w:hAnsi="仿宋" w:eastAsia="仿宋" w:cs="仿宋"/>
          <w:color w:val="auto"/>
          <w:sz w:val="24"/>
          <w:highlight w:val="none"/>
        </w:rPr>
        <w:t>。</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25" w:name="_Toc217446036"/>
      <w:bookmarkStart w:id="26" w:name="_Toc217390843"/>
      <w:bookmarkStart w:id="27" w:name="_Toc183582207"/>
      <w:bookmarkStart w:id="28" w:name="_Toc183682344"/>
      <w:r>
        <w:rPr>
          <w:rFonts w:hint="eastAsia" w:ascii="仿宋" w:hAnsi="仿宋" w:eastAsia="仿宋" w:cs="仿宋"/>
          <w:color w:val="auto"/>
          <w:sz w:val="24"/>
          <w:szCs w:val="24"/>
          <w:highlight w:val="none"/>
        </w:rPr>
        <w:t>3．合格</w:t>
      </w:r>
      <w:bookmarkEnd w:id="25"/>
      <w:bookmarkEnd w:id="26"/>
      <w:bookmarkEnd w:id="27"/>
      <w:bookmarkEnd w:id="28"/>
      <w:r>
        <w:rPr>
          <w:rFonts w:hint="eastAsia" w:ascii="仿宋" w:hAnsi="仿宋" w:eastAsia="仿宋" w:cs="仿宋"/>
          <w:color w:val="auto"/>
          <w:sz w:val="24"/>
          <w:szCs w:val="24"/>
          <w:highlight w:val="none"/>
        </w:rPr>
        <w:t>供应商</w:t>
      </w:r>
    </w:p>
    <w:p>
      <w:pPr>
        <w:tabs>
          <w:tab w:val="left" w:pos="7665"/>
        </w:tabs>
        <w:snapToGrid w:val="0"/>
        <w:spacing w:line="400" w:lineRule="exact"/>
        <w:ind w:firstLine="360" w:firstLineChars="1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合格供应商应具备以下条件：</w:t>
      </w:r>
    </w:p>
    <w:p>
      <w:pPr>
        <w:tabs>
          <w:tab w:val="left" w:pos="7665"/>
        </w:tabs>
        <w:snapToGrid w:val="0"/>
        <w:spacing w:line="400" w:lineRule="exact"/>
        <w:ind w:firstLine="480" w:firstLineChars="200"/>
        <w:textAlignment w:val="baseline"/>
        <w:rPr>
          <w:rFonts w:hint="eastAsia" w:ascii="仿宋" w:hAnsi="仿宋" w:eastAsia="仿宋" w:cs="仿宋"/>
          <w:color w:val="auto"/>
          <w:spacing w:val="-4"/>
          <w:sz w:val="24"/>
          <w:highlight w:val="none"/>
        </w:rPr>
      </w:pPr>
      <w:r>
        <w:rPr>
          <w:rFonts w:hint="eastAsia" w:ascii="仿宋" w:hAnsi="仿宋" w:eastAsia="仿宋" w:cs="仿宋"/>
          <w:color w:val="auto"/>
          <w:sz w:val="24"/>
          <w:highlight w:val="none"/>
        </w:rPr>
        <w:t>3.1 具备法律法规和本采购文件规定的资格条件</w:t>
      </w:r>
      <w:r>
        <w:rPr>
          <w:rFonts w:hint="eastAsia" w:ascii="仿宋" w:hAnsi="仿宋" w:eastAsia="仿宋" w:cs="仿宋"/>
          <w:color w:val="auto"/>
          <w:spacing w:val="-4"/>
          <w:sz w:val="24"/>
          <w:highlight w:val="none"/>
        </w:rPr>
        <w:t>；</w:t>
      </w:r>
    </w:p>
    <w:p>
      <w:pPr>
        <w:tabs>
          <w:tab w:val="left" w:pos="7665"/>
        </w:tabs>
        <w:snapToGrid w:val="0"/>
        <w:spacing w:line="400" w:lineRule="exact"/>
        <w:ind w:firstLine="464" w:firstLineChars="200"/>
        <w:textAlignment w:val="baseline"/>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3.2 不属于禁止参加本项目采购活动的供应商；</w:t>
      </w:r>
    </w:p>
    <w:p>
      <w:pPr>
        <w:tabs>
          <w:tab w:val="left" w:pos="7665"/>
        </w:tabs>
        <w:snapToGrid w:val="0"/>
        <w:spacing w:line="400" w:lineRule="exact"/>
        <w:ind w:firstLine="464" w:firstLineChars="200"/>
        <w:textAlignment w:val="baseline"/>
        <w:rPr>
          <w:rFonts w:hint="eastAsia" w:ascii="仿宋" w:hAnsi="仿宋" w:eastAsia="仿宋" w:cs="仿宋"/>
          <w:color w:val="auto"/>
          <w:spacing w:val="-4"/>
          <w:sz w:val="24"/>
          <w:highlight w:val="none"/>
        </w:rPr>
      </w:pPr>
      <w:bookmarkStart w:id="29" w:name="_Toc183682345"/>
      <w:bookmarkStart w:id="30" w:name="_Toc217446037"/>
      <w:bookmarkStart w:id="31" w:name="_Toc183582208"/>
      <w:r>
        <w:rPr>
          <w:rFonts w:hint="eastAsia" w:ascii="仿宋" w:hAnsi="仿宋" w:eastAsia="仿宋" w:cs="仿宋"/>
          <w:color w:val="auto"/>
          <w:spacing w:val="-4"/>
          <w:sz w:val="24"/>
          <w:highlight w:val="none"/>
        </w:rPr>
        <w:t>3.3按照规定获取了采购文件（实质性要求）</w:t>
      </w:r>
    </w:p>
    <w:p>
      <w:pPr>
        <w:tabs>
          <w:tab w:val="left" w:pos="7665"/>
        </w:tabs>
        <w:snapToGrid w:val="0"/>
        <w:spacing w:line="400" w:lineRule="exact"/>
        <w:ind w:firstLine="436" w:firstLineChars="200"/>
        <w:textAlignment w:val="baseline"/>
        <w:rPr>
          <w:rFonts w:hint="eastAsia" w:ascii="仿宋" w:hAnsi="仿宋" w:eastAsia="仿宋" w:cs="仿宋"/>
          <w:color w:val="auto"/>
          <w:spacing w:val="-11"/>
          <w:sz w:val="24"/>
          <w:highlight w:val="none"/>
        </w:rPr>
      </w:pPr>
      <w:r>
        <w:rPr>
          <w:rFonts w:hint="eastAsia" w:ascii="仿宋" w:hAnsi="仿宋" w:eastAsia="仿宋" w:cs="仿宋"/>
          <w:color w:val="auto"/>
          <w:spacing w:val="-11"/>
          <w:sz w:val="24"/>
          <w:highlight w:val="none"/>
        </w:rPr>
        <w:t>由代理机构提供供应商获取采购文件情况的相关证明材料，供应商不用提供证明材料。</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4．磋商费用</w:t>
      </w:r>
      <w:bookmarkEnd w:id="29"/>
      <w:bookmarkEnd w:id="30"/>
      <w:bookmarkEnd w:id="31"/>
      <w:r>
        <w:rPr>
          <w:rFonts w:hint="eastAsia" w:ascii="仿宋" w:hAnsi="仿宋" w:eastAsia="仿宋" w:cs="仿宋"/>
          <w:color w:val="auto"/>
          <w:sz w:val="24"/>
          <w:szCs w:val="24"/>
          <w:highlight w:val="none"/>
        </w:rPr>
        <w:t>（实质性要求）</w:t>
      </w:r>
    </w:p>
    <w:p>
      <w:pPr>
        <w:tabs>
          <w:tab w:val="left" w:pos="7665"/>
        </w:tabs>
        <w:snapToGrid w:val="0"/>
        <w:spacing w:line="400" w:lineRule="exact"/>
        <w:ind w:firstLine="48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供应商应自行承担参加磋商活动的全部费用。</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5．充分、公平竞争保障措施（实质性要求）</w:t>
      </w:r>
    </w:p>
    <w:p>
      <w:pPr>
        <w:pStyle w:val="44"/>
        <w:snapToGrid w:val="0"/>
        <w:spacing w:line="400" w:lineRule="exact"/>
        <w:ind w:left="1" w:firstLine="480" w:firstLineChars="200"/>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前期参与供应商处理。为采购项目提供整体设计、规范编制或者项目管理、监理、检测等服务的供应商，不得再参加该采购项目的其他采购活动。</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5.7回避。政府采购活动中，采购人员及相关人员与供应商有下列利害关系之一的，应当回避：</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（1）参加采购活动前3年内与供应商存在劳动关系；</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（2）参加采购活动前3年内担任供应商的董事、监事；</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（3）参加采购活动前3年内是供应商的控股股东或者实际控制人；</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（4）与供应商的法定代表人或者负责人有夫妻、直系血亲、三代以内旁系血亲或者近姻亲关系；</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（5）与供应商有其他可能影响政府采购活动公平、公正进行的关系。</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本项目政府采购活动中需要依法回避的相关人员是指磋商小组成员。</w:t>
      </w:r>
    </w:p>
    <w:p>
      <w:pPr>
        <w:pStyle w:val="44"/>
        <w:snapToGrid w:val="0"/>
        <w:spacing w:line="400" w:lineRule="exact"/>
        <w:ind w:left="1"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hint="eastAsia" w:ascii="仿宋" w:hAnsi="仿宋" w:eastAsia="仿宋" w:cs="仿宋"/>
          <w:b/>
          <w:color w:val="auto"/>
          <w:sz w:val="24"/>
          <w:highlight w:val="none"/>
        </w:rPr>
        <w:t xml:space="preserve"> </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6．联合体竞争性磋商（仅适用于允许联合体参与的项目）</w:t>
      </w:r>
    </w:p>
    <w:p>
      <w:pPr>
        <w:pStyle w:val="44"/>
        <w:snapToGrid w:val="0"/>
        <w:spacing w:line="400" w:lineRule="exact"/>
        <w:ind w:left="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联合体各方应当共同与采购人签订采购合同，就采购合同约定的事项对采购人承担连带责任。</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7．磋商保证金（本项目不收取）</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7.2 未按磋商文件要求在规定时间前交纳规定数额磋商保证金的响应文件无效。</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7.3 供应商所交纳的磋商保证金不计利息。</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7.5发生下列情形之一的，采购代理机构将不予退还磋商保证金：</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（一）在磋商文件规定的递交响应文件截止时间后撤回响应文件的；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（二）在采购人确定成交供应商之前放弃成交候选资格的；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（三）成交后放弃、不领取或者不接收成交通知书的；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（四）由于成交供应商的原因未能按照磋商文件的规定与采购人签订合同的；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（五）由于成交供应商的原因未能按照磋商文件的规定交纳履约保证金的；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（六）供应商在政府采购活动中提供虚假材料的；</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（七）报价有效期内，供应商在政府采购活动中有违法、违规、违纪行为。</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8．响应文件有效期（实质性要求）</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9．知识产权（实质性要求）</w:t>
      </w:r>
    </w:p>
    <w:p>
      <w:pPr>
        <w:pStyle w:val="11"/>
        <w:snapToGrid w:val="0"/>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w:t>
      </w:r>
      <w:r>
        <w:rPr>
          <w:rFonts w:hint="eastAsia" w:ascii="仿宋" w:hAnsi="仿宋" w:eastAsia="仿宋" w:cs="仿宋"/>
          <w:color w:val="auto"/>
          <w:sz w:val="24"/>
          <w:highlight w:val="none"/>
        </w:rPr>
        <w:t>供应商</w:t>
      </w:r>
      <w:r>
        <w:rPr>
          <w:rFonts w:hint="eastAsia" w:ascii="仿宋" w:hAnsi="仿宋" w:eastAsia="仿宋" w:cs="仿宋"/>
          <w:color w:val="auto"/>
          <w:sz w:val="24"/>
          <w:szCs w:val="24"/>
          <w:highlight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s="仿宋"/>
          <w:color w:val="auto"/>
          <w:sz w:val="24"/>
          <w:highlight w:val="none"/>
        </w:rPr>
        <w:t>供应商</w:t>
      </w:r>
      <w:r>
        <w:rPr>
          <w:rFonts w:hint="eastAsia" w:ascii="仿宋" w:hAnsi="仿宋" w:eastAsia="仿宋" w:cs="仿宋"/>
          <w:color w:val="auto"/>
          <w:sz w:val="24"/>
          <w:szCs w:val="24"/>
          <w:highlight w:val="none"/>
        </w:rPr>
        <w:t>承担所有相关责任。</w:t>
      </w:r>
    </w:p>
    <w:p>
      <w:pPr>
        <w:pStyle w:val="11"/>
        <w:snapToGrid w:val="0"/>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 除非磋商文件特别规定，采购人享有本项目实施过程中产生的知识成果及知识产权。</w:t>
      </w:r>
    </w:p>
    <w:p>
      <w:pPr>
        <w:snapToGrid w:val="0"/>
        <w:spacing w:line="400" w:lineRule="exact"/>
        <w:ind w:firstLine="480" w:firstLineChars="200"/>
        <w:textAlignment w:val="baseline"/>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napToGrid w:val="0"/>
        <w:spacing w:line="400" w:lineRule="exact"/>
        <w:ind w:firstLine="460" w:firstLineChars="192"/>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 xml:space="preserve">9.4 如采用供应商所不拥有的知识产权，则在报价中必须包括合法获取该知识产权的相关费用。 </w:t>
      </w:r>
      <w:bookmarkEnd w:id="24"/>
      <w:bookmarkStart w:id="32" w:name="_Toc217446038"/>
      <w:bookmarkStart w:id="33" w:name="_Toc183582209"/>
      <w:bookmarkStart w:id="34" w:name="_Toc183682346"/>
      <w:bookmarkStart w:id="35" w:name="_Toc89075875"/>
      <w:bookmarkStart w:id="36" w:name="_Toc77400779"/>
    </w:p>
    <w:p>
      <w:pPr>
        <w:pStyle w:val="4"/>
        <w:keepLines w:val="0"/>
        <w:snapToGrid w:val="0"/>
        <w:spacing w:before="0" w:after="0" w:line="400" w:lineRule="exact"/>
        <w:jc w:val="center"/>
        <w:textAlignment w:val="baseline"/>
        <w:rPr>
          <w:rFonts w:hint="eastAsia" w:ascii="仿宋" w:hAnsi="仿宋" w:eastAsia="仿宋" w:cs="仿宋"/>
          <w:color w:val="auto"/>
          <w:sz w:val="24"/>
          <w:highlight w:val="none"/>
        </w:rPr>
      </w:pPr>
      <w:bookmarkStart w:id="37" w:name="PO_默认文件内容_24"/>
      <w:r>
        <w:rPr>
          <w:rFonts w:hint="eastAsia" w:ascii="仿宋" w:hAnsi="仿宋" w:eastAsia="仿宋" w:cs="仿宋"/>
          <w:bCs w:val="0"/>
          <w:color w:val="auto"/>
          <w:highlight w:val="none"/>
        </w:rPr>
        <w:t>三、磋商文件</w:t>
      </w:r>
      <w:bookmarkEnd w:id="32"/>
      <w:bookmarkEnd w:id="33"/>
      <w:bookmarkEnd w:id="34"/>
      <w:bookmarkEnd w:id="35"/>
      <w:bookmarkEnd w:id="36"/>
      <w:bookmarkStart w:id="38" w:name="_Toc183582210"/>
      <w:bookmarkStart w:id="39" w:name="_Toc183682347"/>
      <w:bookmarkStart w:id="40" w:name="_Toc217446039"/>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10．磋商文件的构成</w:t>
      </w:r>
      <w:bookmarkEnd w:id="38"/>
      <w:bookmarkEnd w:id="39"/>
      <w:bookmarkEnd w:id="40"/>
      <w:r>
        <w:rPr>
          <w:rFonts w:hint="eastAsia" w:ascii="仿宋" w:hAnsi="仿宋" w:eastAsia="仿宋" w:cs="仿宋"/>
          <w:color w:val="auto"/>
          <w:sz w:val="24"/>
          <w:szCs w:val="24"/>
          <w:highlight w:val="none"/>
        </w:rPr>
        <w:t>（实质性要求）</w:t>
      </w:r>
    </w:p>
    <w:p>
      <w:pPr>
        <w:tabs>
          <w:tab w:val="left" w:pos="720"/>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1" w:name="_Toc183682348"/>
      <w:bookmarkStart w:id="42" w:name="_Toc183582211"/>
      <w:bookmarkStart w:id="43" w:name="_Toc217446040"/>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11．磋商文件的澄清</w:t>
      </w:r>
      <w:bookmarkEnd w:id="41"/>
      <w:bookmarkEnd w:id="42"/>
      <w:r>
        <w:rPr>
          <w:rFonts w:hint="eastAsia" w:ascii="仿宋" w:hAnsi="仿宋" w:eastAsia="仿宋" w:cs="仿宋"/>
          <w:color w:val="auto"/>
          <w:sz w:val="24"/>
          <w:szCs w:val="24"/>
          <w:highlight w:val="none"/>
        </w:rPr>
        <w:t>和修改</w:t>
      </w:r>
      <w:bookmarkEnd w:id="43"/>
    </w:p>
    <w:p>
      <w:pPr>
        <w:tabs>
          <w:tab w:val="left" w:pos="720"/>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11.1 在递交响应文件截止时间前，采购人、采购代理机构可以对磋商文件进行澄清或者修改。</w:t>
      </w:r>
    </w:p>
    <w:p>
      <w:pPr>
        <w:tabs>
          <w:tab w:val="left" w:pos="720"/>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11.2 采购代理机构对已发出的磋商文件进行澄清或者修改，应当以书面形式将澄清或者修改的内容通知所有</w:t>
      </w:r>
      <w:r>
        <w:rPr>
          <w:rFonts w:hint="eastAsia" w:ascii="仿宋" w:hAnsi="仿宋" w:eastAsia="仿宋" w:cs="仿宋"/>
          <w:color w:val="auto"/>
          <w:spacing w:val="-4"/>
          <w:sz w:val="24"/>
          <w:highlight w:val="none"/>
        </w:rPr>
        <w:t>获取</w:t>
      </w:r>
      <w:r>
        <w:rPr>
          <w:rFonts w:hint="eastAsia" w:ascii="仿宋" w:hAnsi="仿宋" w:eastAsia="仿宋" w:cs="仿宋"/>
          <w:color w:val="auto"/>
          <w:sz w:val="24"/>
          <w:highlight w:val="none"/>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更正通知通过供应商报名时备注的电子邮箱发送至所有</w:t>
      </w:r>
      <w:r>
        <w:rPr>
          <w:rFonts w:hint="eastAsia" w:ascii="仿宋" w:hAnsi="仿宋" w:eastAsia="仿宋" w:cs="仿宋"/>
          <w:color w:val="auto"/>
          <w:spacing w:val="-4"/>
          <w:sz w:val="24"/>
          <w:highlight w:val="none"/>
        </w:rPr>
        <w:t>获取</w:t>
      </w:r>
      <w:r>
        <w:rPr>
          <w:rFonts w:hint="eastAsia" w:ascii="仿宋" w:hAnsi="仿宋" w:eastAsia="仿宋" w:cs="仿宋"/>
          <w:color w:val="auto"/>
          <w:sz w:val="24"/>
          <w:highlight w:val="none"/>
        </w:rPr>
        <w:t>磋商文件的供应商，供应商在收到相应更正通知后，以书面形式给予确认。如供应商未给予书面回复，则视为收到并认可该更正通知的内容。</w:t>
      </w:r>
    </w:p>
    <w:p>
      <w:pPr>
        <w:tabs>
          <w:tab w:val="left" w:pos="720"/>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11.4供应商认为需要对磋商文件进行澄清或者修改的，可以以书面形式向采购人或采购代理机构提出申请，由采购人或采购代理机构决定是否采纳供应商的申请事项。</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44" w:name="_Toc208848971"/>
      <w:bookmarkStart w:id="45" w:name="_Toc217446041"/>
      <w:r>
        <w:rPr>
          <w:rFonts w:hint="eastAsia" w:ascii="仿宋" w:hAnsi="仿宋" w:eastAsia="仿宋" w:cs="仿宋"/>
          <w:color w:val="auto"/>
          <w:sz w:val="24"/>
          <w:szCs w:val="24"/>
          <w:highlight w:val="none"/>
        </w:rPr>
        <w:t>12．答疑会和现场考察</w:t>
      </w:r>
      <w:bookmarkEnd w:id="44"/>
      <w:bookmarkEnd w:id="45"/>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napToGrid w:val="0"/>
        <w:spacing w:line="400" w:lineRule="exact"/>
        <w:ind w:firstLine="420" w:firstLineChars="175"/>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12.3 供应商考察现场或者参加答疑会所发生的一切费用由供应商自己承担。</w:t>
      </w:r>
      <w:bookmarkStart w:id="46" w:name="_Toc77400780"/>
      <w:bookmarkStart w:id="47" w:name="_Toc89075876"/>
      <w:bookmarkStart w:id="48" w:name="_Toc183582214"/>
      <w:bookmarkStart w:id="49" w:name="_Toc183682351"/>
      <w:bookmarkStart w:id="50" w:name="_Toc217446042"/>
    </w:p>
    <w:p>
      <w:pPr>
        <w:pStyle w:val="4"/>
        <w:keepLines w:val="0"/>
        <w:snapToGrid w:val="0"/>
        <w:spacing w:before="0" w:after="0" w:line="400" w:lineRule="exact"/>
        <w:jc w:val="center"/>
        <w:textAlignment w:val="baseline"/>
        <w:rPr>
          <w:rFonts w:hint="eastAsia" w:ascii="仿宋" w:hAnsi="仿宋" w:eastAsia="仿宋" w:cs="仿宋"/>
          <w:color w:val="auto"/>
          <w:highlight w:val="none"/>
        </w:rPr>
      </w:pPr>
      <w:r>
        <w:rPr>
          <w:rFonts w:hint="eastAsia" w:ascii="仿宋" w:hAnsi="仿宋" w:eastAsia="仿宋" w:cs="仿宋"/>
          <w:bCs w:val="0"/>
          <w:color w:val="auto"/>
          <w:highlight w:val="none"/>
        </w:rPr>
        <w:t>四、响应文件</w:t>
      </w:r>
      <w:bookmarkEnd w:id="46"/>
      <w:bookmarkEnd w:id="47"/>
      <w:bookmarkEnd w:id="48"/>
      <w:bookmarkEnd w:id="49"/>
      <w:bookmarkEnd w:id="50"/>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51" w:name="_Toc217446043"/>
      <w:bookmarkStart w:id="52" w:name="_Toc183582215"/>
      <w:bookmarkStart w:id="53" w:name="_Toc183682352"/>
      <w:r>
        <w:rPr>
          <w:rFonts w:hint="eastAsia" w:ascii="仿宋" w:hAnsi="仿宋" w:eastAsia="仿宋" w:cs="仿宋"/>
          <w:color w:val="auto"/>
          <w:sz w:val="24"/>
          <w:szCs w:val="24"/>
          <w:highlight w:val="none"/>
        </w:rPr>
        <w:t>13．响应文件的组成</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cs="仿宋"/>
          <w:b/>
          <w:color w:val="auto"/>
          <w:sz w:val="24"/>
          <w:highlight w:val="none"/>
        </w:rPr>
        <w:t>（实质性要求）</w:t>
      </w:r>
    </w:p>
    <w:p>
      <w:pPr>
        <w:widowControl/>
        <w:snapToGrid w:val="0"/>
        <w:spacing w:after="160" w:line="360" w:lineRule="auto"/>
        <w:ind w:firstLine="456"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13.2供应商编写的响应文件应包括资格性响应文件和其他响应文件两部分，分册装订。</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14．响应文件的语言</w:t>
      </w:r>
      <w:bookmarkEnd w:id="51"/>
      <w:bookmarkEnd w:id="52"/>
      <w:bookmarkEnd w:id="53"/>
    </w:p>
    <w:p>
      <w:pPr>
        <w:tabs>
          <w:tab w:val="left" w:pos="1134"/>
        </w:tabs>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Pr>
          <w:rFonts w:hint="eastAsia" w:ascii="仿宋" w:hAnsi="仿宋" w:eastAsia="仿宋" w:cs="仿宋"/>
          <w:color w:val="auto"/>
          <w:spacing w:val="-6"/>
          <w:sz w:val="24"/>
          <w:highlight w:val="none"/>
        </w:rPr>
        <w:t>未翻译的外文资料，磋商小组可将其视为无效材料。</w:t>
      </w:r>
    </w:p>
    <w:p>
      <w:pPr>
        <w:tabs>
          <w:tab w:val="left" w:pos="1134"/>
        </w:tabs>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14.2 翻译的中文资料与外文资料如果出现差异和矛盾时，以中文为准。涉嫌虚假响应的按照相关法律法规处理。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14.3 如因未翻译而造成的响应文件无效风险，由供应商承担。</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54" w:name="_Toc183682353"/>
      <w:bookmarkStart w:id="55" w:name="_Toc183582216"/>
      <w:bookmarkStart w:id="56" w:name="_Toc217446044"/>
      <w:r>
        <w:rPr>
          <w:rFonts w:hint="eastAsia" w:ascii="仿宋" w:hAnsi="仿宋" w:eastAsia="仿宋" w:cs="仿宋"/>
          <w:color w:val="auto"/>
          <w:sz w:val="24"/>
          <w:szCs w:val="24"/>
          <w:highlight w:val="none"/>
        </w:rPr>
        <w:t>15．计量单位</w:t>
      </w:r>
      <w:bookmarkEnd w:id="54"/>
      <w:bookmarkEnd w:id="55"/>
      <w:bookmarkEnd w:id="56"/>
      <w:r>
        <w:rPr>
          <w:rFonts w:hint="eastAsia" w:ascii="仿宋" w:hAnsi="仿宋" w:eastAsia="仿宋" w:cs="仿宋"/>
          <w:color w:val="auto"/>
          <w:sz w:val="24"/>
          <w:szCs w:val="24"/>
          <w:highlight w:val="none"/>
        </w:rPr>
        <w:t>（实质性要求）</w:t>
      </w:r>
    </w:p>
    <w:p>
      <w:pPr>
        <w:snapToGrid w:val="0"/>
        <w:spacing w:line="400" w:lineRule="exact"/>
        <w:ind w:firstLine="470" w:firstLineChars="196"/>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除磋商文件中另有规定外，本次采购项目所有合同项下的报价均采用国家法定的计量单位。</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16．报价</w:t>
      </w:r>
    </w:p>
    <w:p>
      <w:pPr>
        <w:snapToGrid w:val="0"/>
        <w:spacing w:line="400" w:lineRule="exact"/>
        <w:ind w:firstLine="444" w:firstLineChars="195"/>
        <w:textAlignment w:val="baseline"/>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rPr>
        <w:t>16.1本次磋商项目的</w:t>
      </w:r>
      <w:r>
        <w:rPr>
          <w:rFonts w:hint="eastAsia" w:ascii="仿宋" w:hAnsi="仿宋" w:eastAsia="仿宋" w:cs="仿宋"/>
          <w:color w:val="auto"/>
          <w:spacing w:val="-6"/>
          <w:sz w:val="24"/>
          <w:highlight w:val="none"/>
        </w:rPr>
        <w:t>报价货币为</w:t>
      </w:r>
      <w:r>
        <w:rPr>
          <w:rFonts w:hint="eastAsia" w:ascii="仿宋" w:hAnsi="仿宋" w:eastAsia="仿宋" w:cs="仿宋"/>
          <w:bCs/>
          <w:color w:val="auto"/>
          <w:spacing w:val="-6"/>
          <w:sz w:val="24"/>
          <w:highlight w:val="none"/>
        </w:rPr>
        <w:t>人民币，报价以磋商文件规定为准。</w:t>
      </w:r>
      <w:r>
        <w:rPr>
          <w:rFonts w:hint="eastAsia" w:ascii="仿宋" w:hAnsi="仿宋" w:eastAsia="仿宋" w:cs="仿宋"/>
          <w:b/>
          <w:bCs/>
          <w:color w:val="auto"/>
          <w:spacing w:val="-6"/>
          <w:sz w:val="24"/>
          <w:highlight w:val="none"/>
        </w:rPr>
        <w:t>（实质性要求）</w:t>
      </w:r>
    </w:p>
    <w:p>
      <w:pPr>
        <w:snapToGrid w:val="0"/>
        <w:spacing w:line="40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16.2本项目采用现场报价，响应文件中不用首次报价，报价要求参考附件一、二，报价格式以现场提供为准。</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17．响应文件格式</w:t>
      </w:r>
    </w:p>
    <w:p>
      <w:pPr>
        <w:snapToGrid w:val="0"/>
        <w:spacing w:line="400" w:lineRule="exact"/>
        <w:ind w:left="2" w:leftChars="1"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17.1 供应商应执行磋商文件第七章的规定要求。</w:t>
      </w:r>
    </w:p>
    <w:p>
      <w:pPr>
        <w:snapToGrid w:val="0"/>
        <w:spacing w:line="400" w:lineRule="exact"/>
        <w:ind w:left="2" w:leftChars="1"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17.2 对于没有格式要求的磋商文件由供应商自行编写。</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18．响应文件的编制和签署</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18.1 资格性响应文件正本1份副本2份</w:t>
      </w:r>
      <w:r>
        <w:rPr>
          <w:rFonts w:hint="eastAsia" w:ascii="仿宋" w:hAnsi="仿宋" w:eastAsia="仿宋" w:cs="仿宋"/>
          <w:bCs/>
          <w:color w:val="auto"/>
          <w:sz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18.3 响应文件正本和副本均需在规定签章处签字和盖章。响应文件副本可采用正本的复印件</w:t>
      </w:r>
      <w:r>
        <w:rPr>
          <w:rFonts w:hint="eastAsia" w:ascii="仿宋" w:hAnsi="仿宋" w:eastAsia="仿宋" w:cs="仿宋"/>
          <w:color w:val="auto"/>
          <w:sz w:val="24"/>
          <w:highlight w:val="none"/>
        </w:rPr>
        <w:t>。提供响应文件电子文档1份采用U盘制作（电子文档仅用于存档，不作为评审材料）。</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18.4响应文件的打印和书写应清楚工整，任何行间插字、涂改或增删，必须由供应商的法定代表人/单位负责人或其授权代表签字并盖供应商公章。</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18.5</w:t>
      </w:r>
      <w:r>
        <w:rPr>
          <w:rFonts w:hint="eastAsia" w:ascii="仿宋" w:hAnsi="仿宋" w:eastAsia="仿宋" w:cs="仿宋"/>
          <w:b/>
          <w:bCs/>
          <w:color w:val="auto"/>
          <w:sz w:val="24"/>
          <w:highlight w:val="none"/>
        </w:rPr>
        <w:t>（实质性要求）</w:t>
      </w:r>
      <w:r>
        <w:rPr>
          <w:rFonts w:hint="eastAsia" w:ascii="仿宋" w:hAnsi="仿宋" w:eastAsia="仿宋" w:cs="仿宋"/>
          <w:bCs/>
          <w:color w:val="auto"/>
          <w:sz w:val="24"/>
          <w:highlight w:val="none"/>
        </w:rPr>
        <w:t>响应文件应由供应商法定代表人/主要负责人/本人或其授权代表在响应文件要求的地方签字（注：</w:t>
      </w:r>
      <w:r>
        <w:rPr>
          <w:rFonts w:hint="eastAsia" w:ascii="仿宋" w:hAnsi="仿宋" w:eastAsia="仿宋" w:cs="仿宋"/>
          <w:color w:val="auto"/>
          <w:sz w:val="24"/>
          <w:highlight w:val="none"/>
        </w:rPr>
        <w:t>供应商为法人的，应当由其法定代表人或者</w:t>
      </w:r>
      <w:r>
        <w:rPr>
          <w:rFonts w:hint="eastAsia" w:ascii="仿宋" w:hAnsi="仿宋" w:eastAsia="仿宋" w:cs="仿宋"/>
          <w:bCs/>
          <w:color w:val="auto"/>
          <w:sz w:val="24"/>
          <w:highlight w:val="none"/>
        </w:rPr>
        <w:t>授权代表</w:t>
      </w:r>
      <w:r>
        <w:rPr>
          <w:rFonts w:hint="eastAsia" w:ascii="仿宋" w:hAnsi="仿宋" w:eastAsia="仿宋" w:cs="仿宋"/>
          <w:color w:val="auto"/>
          <w:sz w:val="24"/>
          <w:highlight w:val="none"/>
        </w:rPr>
        <w:t>签字确认；供应商为其他组织的，应当由其主要负责人或者</w:t>
      </w:r>
      <w:r>
        <w:rPr>
          <w:rFonts w:hint="eastAsia" w:ascii="仿宋" w:hAnsi="仿宋" w:eastAsia="仿宋" w:cs="仿宋"/>
          <w:bCs/>
          <w:color w:val="auto"/>
          <w:sz w:val="24"/>
          <w:highlight w:val="none"/>
        </w:rPr>
        <w:t>授权代表</w:t>
      </w:r>
      <w:r>
        <w:rPr>
          <w:rFonts w:hint="eastAsia" w:ascii="仿宋" w:hAnsi="仿宋" w:eastAsia="仿宋" w:cs="仿宋"/>
          <w:color w:val="auto"/>
          <w:sz w:val="24"/>
          <w:highlight w:val="none"/>
        </w:rPr>
        <w:t>签字确认；供应商为自然人的，应当由其本人或者</w:t>
      </w:r>
      <w:r>
        <w:rPr>
          <w:rFonts w:hint="eastAsia" w:ascii="仿宋" w:hAnsi="仿宋" w:eastAsia="仿宋" w:cs="仿宋"/>
          <w:bCs/>
          <w:color w:val="auto"/>
          <w:sz w:val="24"/>
          <w:highlight w:val="none"/>
        </w:rPr>
        <w:t>授权代表</w:t>
      </w:r>
      <w:r>
        <w:rPr>
          <w:rFonts w:hint="eastAsia" w:ascii="仿宋" w:hAnsi="仿宋" w:eastAsia="仿宋" w:cs="仿宋"/>
          <w:color w:val="auto"/>
          <w:sz w:val="24"/>
          <w:highlight w:val="none"/>
        </w:rPr>
        <w:t>签字确认</w:t>
      </w:r>
      <w:r>
        <w:rPr>
          <w:rFonts w:hint="eastAsia" w:ascii="仿宋" w:hAnsi="仿宋" w:eastAsia="仿宋" w:cs="仿宋"/>
          <w:bCs/>
          <w:color w:val="auto"/>
          <w:sz w:val="24"/>
          <w:highlight w:val="none"/>
        </w:rPr>
        <w:t>）或加盖私人印章，要求加盖公章的地方加盖单位公章，不得使用专用章（如经济合同章、投标专用章等）或下属单位印章代替。</w:t>
      </w:r>
    </w:p>
    <w:p>
      <w:pPr>
        <w:snapToGrid w:val="0"/>
        <w:spacing w:line="380" w:lineRule="exact"/>
        <w:ind w:firstLine="468" w:firstLineChars="19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18.6响应文件正本和副本需要逐页编目编码。</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18.7响应文件正本和副本应当采用胶装方式装订成册，不得散装或者合页装订。</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18.8</w:t>
      </w:r>
      <w:r>
        <w:rPr>
          <w:rFonts w:hint="eastAsia" w:ascii="仿宋" w:hAnsi="仿宋" w:eastAsia="仿宋" w:cs="仿宋"/>
          <w:b/>
          <w:color w:val="auto"/>
          <w:sz w:val="24"/>
          <w:highlight w:val="none"/>
        </w:rPr>
        <w:t>（实质性要求）</w:t>
      </w:r>
      <w:r>
        <w:rPr>
          <w:rFonts w:hint="eastAsia" w:ascii="仿宋" w:hAnsi="仿宋" w:eastAsia="仿宋" w:cs="仿宋"/>
          <w:color w:val="auto"/>
          <w:sz w:val="24"/>
          <w:highlight w:val="none"/>
        </w:rPr>
        <w:t>响应文件应按磋商文件的要求签署、盖章（第八章2.4.6规定的例外情形除外）。</w:t>
      </w:r>
    </w:p>
    <w:p>
      <w:pPr>
        <w:tabs>
          <w:tab w:val="left" w:pos="1080"/>
        </w:tabs>
        <w:snapToGrid w:val="0"/>
        <w:spacing w:line="380" w:lineRule="exact"/>
        <w:ind w:firstLine="460" w:firstLineChars="192"/>
        <w:textAlignment w:val="baseline"/>
        <w:rPr>
          <w:rFonts w:hint="eastAsia" w:ascii="仿宋" w:hAnsi="仿宋" w:eastAsia="仿宋" w:cs="仿宋"/>
          <w:b/>
          <w:color w:val="auto"/>
          <w:sz w:val="24"/>
          <w:highlight w:val="none"/>
        </w:rPr>
      </w:pPr>
      <w:r>
        <w:rPr>
          <w:rFonts w:hint="eastAsia" w:ascii="仿宋" w:hAnsi="仿宋" w:eastAsia="仿宋" w:cs="仿宋"/>
          <w:color w:val="auto"/>
          <w:sz w:val="24"/>
          <w:highlight w:val="none"/>
        </w:rPr>
        <w:t>18.9响应文件统一用A4幅面纸印制，除另有规定外。</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19．响应文件的密封和标注（不属于本项目磋商小组评审范畴，由采购人、采购代理机构在接收响应文件时及时处理）</w:t>
      </w:r>
    </w:p>
    <w:p>
      <w:pPr>
        <w:snapToGrid w:val="0"/>
        <w:spacing w:line="380" w:lineRule="exact"/>
        <w:ind w:firstLine="444" w:firstLineChars="195"/>
        <w:textAlignment w:val="baseline"/>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rPr>
        <w:t>19.1 响应文件可以单独密封包装，也可以所有响应文件密封包装在一个密封袋内。</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19.2 响应文件密封袋的最外层应清楚地标明采购项目名称、采购项目编号、包件号及名称（若有）、供应商名称。</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19.3 所有外层密封袋的封口处应粘贴牢固。</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19.4 未密封的响应文件，采购人、采购代理机构将拒收或者在时间允许的范围内，要求修改完善后接收。</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20．响应文件的递交</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20.1 资格性响应文件和其他响应文件应于递交响应文件截止时间前送达指定地点，采购代理机构拒绝接收截止时间后送达的响应文件。供应商在递交响应文件时，用正楷填写“递交响应文件签收表”（现场提供）然后将签收表和响应文件一并递交给采购代理机构工作人员。</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20.2 采购代理机构将向通过资格审查的供应商发出磋商邀请；告知未通过资格审查的供应商未通过的原因。</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20.3 报价表在磋商后，磋商小组要求供应商进行报价时递交。</w:t>
      </w:r>
    </w:p>
    <w:p>
      <w:pPr>
        <w:tabs>
          <w:tab w:val="left" w:pos="1080"/>
        </w:tabs>
        <w:snapToGrid w:val="0"/>
        <w:spacing w:line="380" w:lineRule="exact"/>
        <w:ind w:firstLine="460" w:firstLineChars="19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20.4 本次采购不接收邮寄的响应文件。</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57" w:name="_Toc183682365"/>
      <w:bookmarkStart w:id="58" w:name="_Toc217446055"/>
      <w:bookmarkStart w:id="59" w:name="_Toc183582228"/>
      <w:r>
        <w:rPr>
          <w:rFonts w:hint="eastAsia" w:ascii="仿宋" w:hAnsi="仿宋" w:eastAsia="仿宋" w:cs="仿宋"/>
          <w:color w:val="auto"/>
          <w:sz w:val="24"/>
          <w:szCs w:val="24"/>
          <w:highlight w:val="none"/>
        </w:rPr>
        <w:t>21.响应文件的修改和撤回（补充、修改响应文件的密封和标注按照本章“19.响应文件的密封和标注”规定处理）</w:t>
      </w:r>
    </w:p>
    <w:p>
      <w:pPr>
        <w:pStyle w:val="7"/>
        <w:snapToGrid w:val="0"/>
        <w:spacing w:line="38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snapToGrid w:val="0"/>
        <w:spacing w:line="38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21.2供应商对响应文件修改的书面材料或撤回的通知应该按规定进行编写、密封、标注和递送，并注明“修改响应文件”字样。</w:t>
      </w:r>
    </w:p>
    <w:p>
      <w:pPr>
        <w:snapToGrid w:val="0"/>
        <w:spacing w:line="38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21.3供应商不得在递交截止时间起至响应文件有效期期满前撤销其响应文件。</w:t>
      </w:r>
    </w:p>
    <w:p>
      <w:pPr>
        <w:snapToGrid w:val="0"/>
        <w:spacing w:line="38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21.4供应商对其提交的响应文件的真实性、合法性承担法律责任。</w:t>
      </w:r>
      <w:bookmarkEnd w:id="57"/>
      <w:bookmarkEnd w:id="58"/>
      <w:bookmarkEnd w:id="59"/>
    </w:p>
    <w:p>
      <w:pPr>
        <w:pStyle w:val="4"/>
        <w:keepLines w:val="0"/>
        <w:snapToGrid w:val="0"/>
        <w:spacing w:line="400" w:lineRule="exact"/>
        <w:jc w:val="center"/>
        <w:textAlignment w:val="baseline"/>
        <w:rPr>
          <w:rFonts w:hint="eastAsia" w:ascii="仿宋" w:hAnsi="仿宋" w:eastAsia="仿宋" w:cs="仿宋"/>
          <w:color w:val="auto"/>
          <w:highlight w:val="none"/>
        </w:rPr>
      </w:pPr>
      <w:bookmarkStart w:id="60" w:name="_Toc89075878"/>
      <w:bookmarkStart w:id="61" w:name="_Toc183682368"/>
      <w:bookmarkStart w:id="62" w:name="_Toc183582231"/>
      <w:bookmarkStart w:id="63" w:name="_Toc77400782"/>
      <w:bookmarkStart w:id="64" w:name="_Toc217446056"/>
      <w:r>
        <w:rPr>
          <w:rFonts w:hint="eastAsia" w:ascii="仿宋" w:hAnsi="仿宋" w:eastAsia="仿宋" w:cs="仿宋"/>
          <w:color w:val="auto"/>
          <w:highlight w:val="none"/>
        </w:rPr>
        <w:t>五、评审</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22．磋商小组的组建及其评审工作按照有关法律制度和本文件第八章的规定进行。</w:t>
      </w:r>
    </w:p>
    <w:p>
      <w:pPr>
        <w:pStyle w:val="4"/>
        <w:keepLines w:val="0"/>
        <w:snapToGrid w:val="0"/>
        <w:spacing w:line="400" w:lineRule="exact"/>
        <w:jc w:val="center"/>
        <w:textAlignment w:val="baseline"/>
        <w:rPr>
          <w:rFonts w:hint="eastAsia" w:ascii="仿宋" w:hAnsi="仿宋" w:eastAsia="仿宋" w:cs="仿宋"/>
          <w:color w:val="auto"/>
          <w:highlight w:val="none"/>
        </w:rPr>
      </w:pPr>
      <w:r>
        <w:rPr>
          <w:rFonts w:hint="eastAsia" w:ascii="仿宋" w:hAnsi="仿宋" w:eastAsia="仿宋" w:cs="仿宋"/>
          <w:color w:val="auto"/>
          <w:highlight w:val="none"/>
        </w:rPr>
        <w:t>六、成交事项</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方式一：采购人将按磋商小组推荐的成交候选供应商顺序确定成交供应商。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方式二：采购人授权磋商小组根据综合评分排名直接确定成交供应商。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本项目采用方式一确定成交供应商。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23.1采购代理机构自评审结束后2个工作日内将磋商报告及有关资料送交采购人确定成交供应商。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23.3采购人确定成交供应商过程中，发现成交候选供应商有下列情形之一的，应当不予确定其为成交供应商：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（1）发现成交候选供应商存在禁止参加本项目采购活动的违法行为的；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（2）成交候选供应商因不可抗力，不能继续参加政府采购活动；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（3）成交候选供应商无偿赠与或者低于成本价竞争；</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（4）成交候选供应商提供虚假材料；</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（5）成交候选供应商恶意串通。</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24．成交结果</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24.1采购人确定成交供应商后，将及时书面通知采购代理机构，发出成交通知书并发布成交结果公告。</w:t>
      </w:r>
    </w:p>
    <w:p>
      <w:pPr>
        <w:snapToGrid w:val="0"/>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24.2成交供应商应当及时领取成交通知书。本项目需要交纳履约保证金的，成交供应商应当及时向采购人交纳。</w:t>
      </w:r>
    </w:p>
    <w:p>
      <w:pPr>
        <w:snapToGrid w:val="0"/>
        <w:ind w:firstLine="465"/>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24.3成交供应商不能及时领取成交通知书，采购人或者采购代理机应当通过邮寄、快递等方式将项目成交通知书送达成交供应商。</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25．成交通知书</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25.1成交通知书为签订政府采购合同的依据之一，是合同的有效组成部分。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25.2成交通知书对采购人和成交供应商均具有法律效力。成交通知书发出后，采购人无正当理由改变成交结果，或者成交供应商无正当理由放弃成交的，将承担相应的法律责任。</w:t>
      </w:r>
    </w:p>
    <w:p>
      <w:pPr>
        <w:snapToGrid w:val="0"/>
        <w:spacing w:line="400" w:lineRule="exact"/>
        <w:ind w:firstLine="480" w:firstLineChars="20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Lines w:val="0"/>
        <w:snapToGrid w:val="0"/>
        <w:spacing w:line="400" w:lineRule="exact"/>
        <w:jc w:val="center"/>
        <w:textAlignment w:val="baseline"/>
        <w:rPr>
          <w:rFonts w:hint="eastAsia" w:ascii="仿宋" w:hAnsi="仿宋" w:eastAsia="仿宋" w:cs="仿宋"/>
          <w:color w:val="auto"/>
          <w:sz w:val="24"/>
          <w:szCs w:val="24"/>
          <w:highlight w:val="none"/>
        </w:rPr>
      </w:pPr>
      <w:r>
        <w:rPr>
          <w:rFonts w:hint="eastAsia" w:ascii="仿宋" w:hAnsi="仿宋" w:eastAsia="仿宋" w:cs="仿宋"/>
          <w:color w:val="auto"/>
          <w:highlight w:val="none"/>
        </w:rPr>
        <w:t>七、合同事项</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bookmarkStart w:id="65" w:name="_Toc430773927"/>
      <w:bookmarkStart w:id="66" w:name="_Toc101250646"/>
      <w:bookmarkStart w:id="67" w:name="_Toc209847069"/>
      <w:bookmarkStart w:id="68" w:name="_Toc101174151"/>
      <w:bookmarkStart w:id="69" w:name="_Toc101338364"/>
      <w:r>
        <w:rPr>
          <w:rFonts w:hint="eastAsia" w:ascii="仿宋" w:hAnsi="仿宋" w:eastAsia="仿宋" w:cs="仿宋"/>
          <w:color w:val="auto"/>
          <w:sz w:val="24"/>
          <w:szCs w:val="24"/>
          <w:highlight w:val="none"/>
        </w:rPr>
        <w:t>26．签订合同</w:t>
      </w:r>
      <w:bookmarkEnd w:id="65"/>
      <w:bookmarkEnd w:id="66"/>
      <w:bookmarkEnd w:id="67"/>
      <w:bookmarkEnd w:id="68"/>
      <w:bookmarkEnd w:id="69"/>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26.1 成交供应商应在成交通知书发出之日起三十日内与采购人签订采购合同。由于成交供应商的原因逾期未与采购人签订采购合同的，将视为放弃成交，取消其成交资格并将按相关规定进行处理。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26.2 磋商文件、成交供应商的响应文件及双方确认的澄清文件等，均为有法律约束力的合同组成部分。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26.4 成交供应商因不可抗力原因不能履行采购合同或放弃成交的，采购人可以与排在成交供应商之后第一位的成交候选人签订采购合同，以此类推。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26.5竞争性磋商文件、成交供应商提交的响应文件、磋商中的最后报价、成交供应商承诺书、成交通知书等均称为有法律约束力的合同组成内容。</w:t>
      </w:r>
    </w:p>
    <w:p>
      <w:pPr>
        <w:snapToGrid w:val="0"/>
        <w:spacing w:line="400" w:lineRule="exact"/>
        <w:ind w:firstLine="480" w:firstLineChars="20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26.6成交人在合同签订之后三个工作日内，将签订的合同（一式一份）发送至我司指定邮箱（luolan@sccyczb.com）。</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27．合同分包（实质性要求）</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27.1本项目合同接受分包与否，以“供应商须知附表”勾选项为准。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27.2中小企业依据《政府采购促进中小企业发展管理办法》（财库〔2020〕46号）规定的政策获取政府采购合同后，小型、微型企业不得分包或转包给大型、中型企业，中型企业不得分包或转包给大型企业。</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28．合同转包（实质性要求）</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成交供应商转包的，视同拒绝履行政府采购合同义务，将依法追究法律责任。</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29．补充合同</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30．履约保证金（本项目不收取）</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30.1 成交供应商应在合同签订之前交纳竞争性磋商文件规定数额的履约保证金。</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30.2 如果成交供应商在规定的合同签订时间内，没有按照采购文件的规定交纳履约保证金，且又无正当理由的，将视为放弃成交。</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31．合同公告</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32．合同备案</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采购人应当将政府采购合同副本自签订（双方当事人均已签字盖章）之日起七个工作日内报同级财政部门备案。</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33．履行合同</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33.1 成交供应商与采购人签订合同后，合同双方应严格执行合同条款，履行合同规定的义务，保证合同的顺利完成。</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33.2 在合同履行过程中，如发生合同纠纷，合同双方应按照《中华人民共和国民法典》的有关规定进行处理。</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34．验收</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34.1本项目采购人及其委托的采购代理机构将严格按照《财政部关于进一步加强政府采购需求和履约验收管理的指导意见》（财库〔2016〕205号）等政府采购相关法律法规的要求进行验收。</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34.2 验收结果合格的，成交供应商凭验收报告办理相关手续；验收结果不合格的，将不予支付采购资金，还可能会报本项目同级财政部门按照政府采购法律法规有关规定给予行政处罚。</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35．资金支付</w:t>
      </w:r>
    </w:p>
    <w:p>
      <w:pPr>
        <w:snapToGrid w:val="0"/>
        <w:spacing w:line="400" w:lineRule="exact"/>
        <w:ind w:firstLine="480" w:firstLineChars="20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采购人将按照政府采购合同规定，及时向成交供应商支付采购资金。本项目采购资金付款详见第五章规定的付款方式。</w:t>
      </w:r>
      <w:bookmarkEnd w:id="37"/>
    </w:p>
    <w:p>
      <w:pPr>
        <w:pStyle w:val="4"/>
        <w:keepLines w:val="0"/>
        <w:snapToGrid w:val="0"/>
        <w:spacing w:before="0" w:after="0" w:line="400" w:lineRule="exact"/>
        <w:jc w:val="center"/>
        <w:textAlignment w:val="baseline"/>
        <w:rPr>
          <w:rFonts w:hint="eastAsia" w:ascii="仿宋" w:hAnsi="仿宋" w:eastAsia="仿宋" w:cs="仿宋"/>
          <w:color w:val="auto"/>
          <w:sz w:val="24"/>
          <w:highlight w:val="none"/>
        </w:rPr>
      </w:pPr>
      <w:bookmarkStart w:id="70" w:name="PO_默认文件内容_25"/>
      <w:r>
        <w:rPr>
          <w:rFonts w:hint="eastAsia" w:ascii="仿宋" w:hAnsi="仿宋" w:eastAsia="仿宋" w:cs="仿宋"/>
          <w:color w:val="auto"/>
          <w:highlight w:val="none"/>
        </w:rPr>
        <w:t>八、磋商纪律要求</w:t>
      </w:r>
    </w:p>
    <w:p>
      <w:pPr>
        <w:pStyle w:val="5"/>
        <w:snapToGrid w:val="0"/>
        <w:spacing w:line="400" w:lineRule="exact"/>
        <w:ind w:firstLine="482"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36．供应商不得具有的情形</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供应商参加本项目磋商不得有下列情形：</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（1）提供虚假材料谋取成交；</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（2）采取不正当手段诋毁、排挤其他供应商；</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（3）与采购人、采购代理机构、或其他供应商恶意串通；</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（4）向采购人、采购代理机构、磋商小组成员行贿或者提供其他不正当利益；</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（5）在磋商过程中与采购人、采购代理机构进行协商；</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（6）成交后无正当理由拒不与采购人签订政府采购合同；</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（7）未按照磋商文件确定的事项签订政府采购合同；</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（8）将政府采购合同转包或者违规分包；</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（9）提供假冒伪劣产品；</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（10）擅自变更、中止或者终止政府采购合同；</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（11）拒绝有关部门的监督检查或者向监督检查部门提供虚假情况；</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（12）法律法规规定的其他情形。</w:t>
      </w:r>
    </w:p>
    <w:p>
      <w:pPr>
        <w:tabs>
          <w:tab w:val="left" w:pos="851"/>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供应商有上述情形的，按照规定追究法律责任，具备（1）-（10）条情形之一的，同时将取消被确认为成交供应商的资格或者认定成交无效。</w:t>
      </w:r>
    </w:p>
    <w:p>
      <w:pPr>
        <w:tabs>
          <w:tab w:val="left" w:pos="851"/>
        </w:tabs>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九、询问、质疑和投诉</w:t>
      </w:r>
    </w:p>
    <w:p>
      <w:pPr>
        <w:tabs>
          <w:tab w:val="left" w:pos="851"/>
        </w:tabs>
        <w:snapToGrid w:val="0"/>
        <w:spacing w:line="360" w:lineRule="auto"/>
        <w:ind w:firstLine="495"/>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37．询问、质疑、投诉的接收和处理严格按照《中华人民共和国政府采购法》、《中华人民共和国政府采购法实施条例》、《财政部关于加强政府采购供应商投诉受理审查工作的通知》、《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cs="仿宋"/>
          <w:bCs/>
          <w:color w:val="auto"/>
          <w:sz w:val="24"/>
          <w:highlight w:val="none"/>
        </w:rPr>
        <w:t>政府采购质疑和投诉办法</w:t>
      </w:r>
      <w:r>
        <w:rPr>
          <w:rFonts w:hint="eastAsia" w:ascii="仿宋" w:hAnsi="仿宋" w:eastAsia="仿宋" w:cs="仿宋"/>
          <w:color w:val="auto"/>
          <w:sz w:val="24"/>
          <w:highlight w:val="none"/>
        </w:rPr>
        <w:t>》和四川省的有关规定办理（详细办理流程请在四川政府采购网—办事指南—《供应商投诉处理办事指南》查询）。</w:t>
      </w:r>
    </w:p>
    <w:p>
      <w:pPr>
        <w:tabs>
          <w:tab w:val="left" w:pos="851"/>
        </w:tabs>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十、其  他</w:t>
      </w:r>
    </w:p>
    <w:p>
      <w:pPr>
        <w:tabs>
          <w:tab w:val="left" w:pos="851"/>
        </w:tabs>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napToGrid w:val="0"/>
        <w:spacing w:line="400" w:lineRule="exact"/>
        <w:ind w:firstLine="480" w:firstLineChars="200"/>
        <w:jc w:val="left"/>
        <w:textAlignment w:val="baseline"/>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39．</w:t>
      </w:r>
      <w:r>
        <w:rPr>
          <w:rFonts w:hint="eastAsia" w:ascii="仿宋" w:hAnsi="仿宋" w:eastAsia="仿宋" w:cs="仿宋"/>
          <w:b/>
          <w:color w:val="auto"/>
          <w:sz w:val="24"/>
          <w:highlight w:val="none"/>
        </w:rPr>
        <w:t>（实质性要求）</w:t>
      </w:r>
      <w:r>
        <w:rPr>
          <w:rFonts w:hint="eastAsia" w:ascii="仿宋" w:hAnsi="仿宋" w:eastAsia="仿宋" w:cs="仿宋"/>
          <w:color w:val="auto"/>
          <w:sz w:val="24"/>
          <w:highlight w:val="none"/>
        </w:rPr>
        <w:t>国家或行业主管部门对采购产品的技术标准、质量标准和资格资质条件等有强制性规定的，必须符合其要求。</w:t>
      </w:r>
      <w:bookmarkEnd w:id="70"/>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bookmarkStart w:id="71" w:name="PO_默认文件内容_26"/>
    </w:p>
    <w:p>
      <w:pPr>
        <w:snapToGrid w:val="0"/>
        <w:textAlignment w:val="baseline"/>
        <w:rPr>
          <w:rFonts w:hint="eastAsia" w:ascii="仿宋" w:hAnsi="仿宋" w:eastAsia="仿宋" w:cs="仿宋"/>
          <w:color w:val="auto"/>
          <w:sz w:val="20"/>
          <w:highlight w:val="none"/>
        </w:rPr>
      </w:pP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72" w:name="_Toc10519"/>
      <w:r>
        <w:rPr>
          <w:rFonts w:hint="eastAsia" w:ascii="仿宋" w:hAnsi="仿宋" w:eastAsia="仿宋" w:cs="仿宋"/>
          <w:color w:val="auto"/>
          <w:sz w:val="32"/>
          <w:szCs w:val="32"/>
          <w:highlight w:val="none"/>
        </w:rPr>
        <w:t>第三章  供应商和报价产品的资格、资质性及其他类似效力要求</w:t>
      </w:r>
      <w:bookmarkEnd w:id="72"/>
    </w:p>
    <w:p>
      <w:pPr>
        <w:snapToGrid w:val="0"/>
        <w:textAlignment w:val="baseline"/>
        <w:rPr>
          <w:rFonts w:hint="eastAsia" w:ascii="仿宋" w:hAnsi="仿宋" w:eastAsia="仿宋" w:cs="仿宋"/>
          <w:b/>
          <w:color w:val="auto"/>
          <w:sz w:val="32"/>
          <w:szCs w:val="32"/>
          <w:highlight w:val="none"/>
        </w:rPr>
      </w:pPr>
    </w:p>
    <w:p>
      <w:pPr>
        <w:snapToGrid w:val="0"/>
        <w:spacing w:line="360" w:lineRule="auto"/>
        <w:ind w:firstLine="542" w:firstLineChars="225"/>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一、参加磋商的供应商应具备下列资格条件：</w:t>
      </w:r>
    </w:p>
    <w:p>
      <w:pPr>
        <w:pStyle w:val="43"/>
        <w:snapToGrid w:val="0"/>
        <w:spacing w:line="420" w:lineRule="exact"/>
        <w:ind w:firstLine="482"/>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1.满足《中华人民共和国政府采购法》第二十二条规定；</w:t>
      </w:r>
    </w:p>
    <w:p>
      <w:pPr>
        <w:pStyle w:val="43"/>
        <w:snapToGrid w:val="0"/>
        <w:spacing w:line="420" w:lineRule="exact"/>
        <w:ind w:firstLine="482"/>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2.落实政府采购政策需满足的资格要求：</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2.1本项目专门面向中小企业采购，供应商应为中小微企业(监狱企业、残疾人福利性单位均视同小微企业)。</w:t>
      </w:r>
    </w:p>
    <w:p>
      <w:pPr>
        <w:pStyle w:val="43"/>
        <w:numPr>
          <w:ilvl w:val="0"/>
          <w:numId w:val="1"/>
        </w:numPr>
        <w:snapToGrid w:val="0"/>
        <w:spacing w:line="420" w:lineRule="exact"/>
        <w:ind w:firstLine="482"/>
        <w:textAlignment w:val="baseline"/>
        <w:rPr>
          <w:rFonts w:hint="eastAsia" w:ascii="仿宋" w:hAnsi="仿宋" w:eastAsia="仿宋" w:cs="仿宋"/>
          <w:b/>
          <w:bCs/>
          <w:color w:val="auto"/>
          <w:highlight w:val="none"/>
        </w:rPr>
      </w:pPr>
      <w:r>
        <w:rPr>
          <w:rFonts w:hint="eastAsia" w:ascii="仿宋" w:hAnsi="仿宋" w:eastAsia="仿宋" w:cs="仿宋"/>
          <w:b/>
          <w:bCs/>
          <w:color w:val="auto"/>
          <w:sz w:val="24"/>
          <w:highlight w:val="none"/>
        </w:rPr>
        <w:t>本项目的特定资格要求：</w:t>
      </w:r>
      <w:r>
        <w:rPr>
          <w:rFonts w:hint="eastAsia" w:ascii="仿宋" w:hAnsi="仿宋" w:eastAsia="仿宋" w:cs="仿宋"/>
          <w:b/>
          <w:bCs/>
          <w:color w:val="auto"/>
          <w:highlight w:val="none"/>
        </w:rPr>
        <w:t>无。</w:t>
      </w:r>
    </w:p>
    <w:p>
      <w:pPr>
        <w:pStyle w:val="43"/>
        <w:snapToGrid w:val="0"/>
        <w:spacing w:line="420" w:lineRule="exact"/>
        <w:ind w:firstLine="0" w:firstLineChars="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（二）资质性要求：无。</w:t>
      </w:r>
    </w:p>
    <w:p>
      <w:pPr>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（三）其他类似效力要求：</w:t>
      </w:r>
    </w:p>
    <w:p>
      <w:pPr>
        <w:snapToGrid w:val="0"/>
        <w:spacing w:line="360" w:lineRule="auto"/>
        <w:ind w:firstLine="540" w:firstLineChars="225"/>
        <w:textAlignment w:val="baseline"/>
        <w:rPr>
          <w:rFonts w:hint="eastAsia" w:ascii="仿宋" w:hAnsi="仿宋" w:eastAsia="仿宋" w:cs="仿宋"/>
          <w:b/>
          <w:color w:val="auto"/>
          <w:sz w:val="24"/>
          <w:highlight w:val="none"/>
        </w:rPr>
      </w:pPr>
      <w:r>
        <w:rPr>
          <w:rFonts w:hint="eastAsia" w:ascii="仿宋" w:hAnsi="仿宋" w:eastAsia="仿宋" w:cs="仿宋"/>
          <w:color w:val="auto"/>
          <w:sz w:val="24"/>
          <w:highlight w:val="none"/>
        </w:rPr>
        <w:t>1.授权参加本次采购活动的供应商代表证明材料。</w:t>
      </w:r>
    </w:p>
    <w:p>
      <w:pPr>
        <w:snapToGrid w:val="0"/>
        <w:spacing w:line="360" w:lineRule="auto"/>
        <w:ind w:firstLine="540" w:firstLineChars="225"/>
        <w:textAlignment w:val="baseline"/>
        <w:rPr>
          <w:rFonts w:hint="eastAsia" w:ascii="仿宋" w:hAnsi="仿宋" w:eastAsia="仿宋" w:cs="仿宋"/>
          <w:color w:val="auto"/>
          <w:sz w:val="24"/>
          <w:highlight w:val="none"/>
        </w:rPr>
      </w:pPr>
    </w:p>
    <w:p>
      <w:pPr>
        <w:numPr>
          <w:ilvl w:val="0"/>
          <w:numId w:val="2"/>
        </w:numPr>
        <w:snapToGrid w:val="0"/>
        <w:spacing w:line="360" w:lineRule="auto"/>
        <w:ind w:firstLine="542" w:firstLineChars="225"/>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报价产品的资格、资质性及其他类似效力要求：</w:t>
      </w:r>
    </w:p>
    <w:p>
      <w:pPr>
        <w:snapToGrid w:val="0"/>
        <w:spacing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无。</w:t>
      </w:r>
    </w:p>
    <w:p>
      <w:pPr>
        <w:snapToGrid w:val="0"/>
        <w:spacing w:line="360" w:lineRule="auto"/>
        <w:ind w:firstLine="540" w:firstLineChars="225"/>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w:t>
      </w:r>
      <w:r>
        <w:rPr>
          <w:rFonts w:hint="eastAsia" w:ascii="仿宋" w:hAnsi="仿宋" w:eastAsia="仿宋" w:cs="仿宋"/>
          <w:color w:val="auto"/>
          <w:spacing w:val="-6"/>
          <w:sz w:val="24"/>
          <w:highlight w:val="none"/>
        </w:rPr>
        <w:t>罚款金额标准未明文规定的，以四川省人民政府规定的行政处罚罚款听证金额标准为准。</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snapToGrid w:val="0"/>
        <w:textAlignment w:val="baseline"/>
        <w:rPr>
          <w:rFonts w:hint="eastAsia" w:ascii="仿宋" w:hAnsi="仿宋" w:eastAsia="仿宋" w:cs="仿宋"/>
          <w:color w:val="auto"/>
          <w:highlight w:val="none"/>
        </w:rPr>
      </w:pPr>
      <w:r>
        <w:rPr>
          <w:rFonts w:hint="eastAsia" w:ascii="仿宋" w:hAnsi="仿宋" w:eastAsia="仿宋" w:cs="仿宋"/>
          <w:color w:val="auto"/>
          <w:highlight w:val="none"/>
        </w:rPr>
        <w:br w:type="textWrapping"/>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2"/>
        <w:rPr>
          <w:rFonts w:hint="eastAsia" w:ascii="仿宋" w:hAnsi="仿宋" w:eastAsia="仿宋" w:cs="仿宋"/>
          <w:color w:val="auto"/>
          <w:highlight w:val="none"/>
        </w:rPr>
      </w:pP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73" w:name="_Toc8116"/>
      <w:r>
        <w:rPr>
          <w:rFonts w:hint="eastAsia" w:ascii="仿宋" w:hAnsi="仿宋" w:eastAsia="仿宋" w:cs="仿宋"/>
          <w:color w:val="auto"/>
          <w:sz w:val="32"/>
          <w:szCs w:val="32"/>
          <w:highlight w:val="none"/>
        </w:rPr>
        <w:t>第四章  供应商应当提供的资格、资质性及其他类似效力要求的相关证明材料</w:t>
      </w:r>
      <w:bookmarkEnd w:id="73"/>
    </w:p>
    <w:p>
      <w:pPr>
        <w:snapToGrid w:val="0"/>
        <w:ind w:firstLine="538"/>
        <w:textAlignment w:val="baseline"/>
        <w:rPr>
          <w:rFonts w:hint="eastAsia" w:ascii="仿宋" w:hAnsi="仿宋" w:eastAsia="仿宋" w:cs="仿宋"/>
          <w:color w:val="auto"/>
          <w:sz w:val="28"/>
          <w:szCs w:val="28"/>
          <w:highlight w:val="none"/>
        </w:rPr>
      </w:pPr>
    </w:p>
    <w:p>
      <w:pPr>
        <w:snapToGrid w:val="0"/>
        <w:spacing w:line="360" w:lineRule="auto"/>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一、应当提供的供应商资格、资质性及其他类似效力要求的相关证明材料</w:t>
      </w:r>
    </w:p>
    <w:p>
      <w:pPr>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（一）资格要求相关证明材料：</w:t>
      </w:r>
    </w:p>
    <w:p>
      <w:pPr>
        <w:pStyle w:val="43"/>
        <w:snapToGrid w:val="0"/>
        <w:ind w:firstLine="0" w:firstLineChars="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1.满足《中华人民共和国政府采购法》第二十二条规定；</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1.2具备良好商业信誉的证明材料（可提供承诺函，格式详见第七章）；</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1.4具有依法缴纳税收和社会保障资金的良好记录（可提供承诺函，格式详见第七章）；</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1.5具备履行合同所必需的设备和专业技术能力的证明材料（可提供承诺函，格式详见第七章）；</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1.6参加政府采购活动前3年内在经营活动中没有重大违法记录的承诺函（格式详见第七章）；</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1.7具备法律、行政法规规定的其他条件的证明材料（可提供承诺函，格式详见第七章）；</w:t>
      </w:r>
    </w:p>
    <w:p>
      <w:pPr>
        <w:pStyle w:val="43"/>
        <w:snapToGrid w:val="0"/>
        <w:ind w:firstLine="0" w:firstLineChars="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2.落实政府采购政策需满足的资格要求：</w:t>
      </w:r>
    </w:p>
    <w:p>
      <w:pPr>
        <w:tabs>
          <w:tab w:val="left" w:pos="7665"/>
        </w:tabs>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本项目专门面向中小企业采购，供应商应为中小微企业(监狱企业、残疾人福利性单位均视同小微企业)。【提供中小企业声明函或残疾人福利性单位声明函或由省级以上监狱管理局、戒毒管理局(含新疆生产建设兵团)出具的属于监狱企业的证明文件】</w:t>
      </w:r>
    </w:p>
    <w:p>
      <w:pPr>
        <w:tabs>
          <w:tab w:val="left" w:pos="7665"/>
        </w:tabs>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    3.本项目的特定资格要求：无。</w:t>
      </w:r>
    </w:p>
    <w:p>
      <w:pPr>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（二）资质性要求相关证明材料：无。</w:t>
      </w:r>
    </w:p>
    <w:p>
      <w:pPr>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（三）其他类似效力要求相关证明材料：</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（1）法定代表人/单位负责人身份证明材料复印件。</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napToGrid w:val="0"/>
        <w:spacing w:line="360" w:lineRule="auto"/>
        <w:textAlignment w:val="baseline"/>
        <w:rPr>
          <w:rFonts w:hint="eastAsia" w:ascii="仿宋" w:hAnsi="仿宋" w:eastAsia="仿宋" w:cs="仿宋"/>
          <w:b/>
          <w:bCs/>
          <w:color w:val="auto"/>
          <w:spacing w:val="-6"/>
          <w:sz w:val="24"/>
          <w:highlight w:val="none"/>
        </w:rPr>
      </w:pPr>
    </w:p>
    <w:p>
      <w:pPr>
        <w:snapToGrid w:val="0"/>
        <w:spacing w:line="360" w:lineRule="auto"/>
        <w:textAlignment w:val="baseline"/>
        <w:rPr>
          <w:rFonts w:hint="eastAsia" w:ascii="仿宋" w:hAnsi="仿宋" w:eastAsia="仿宋" w:cs="仿宋"/>
          <w:b/>
          <w:bCs/>
          <w:color w:val="auto"/>
          <w:spacing w:val="-6"/>
          <w:sz w:val="24"/>
          <w:highlight w:val="none"/>
        </w:rPr>
      </w:pPr>
      <w:r>
        <w:rPr>
          <w:rFonts w:hint="eastAsia" w:ascii="仿宋" w:hAnsi="仿宋" w:eastAsia="仿宋" w:cs="仿宋"/>
          <w:b/>
          <w:bCs/>
          <w:color w:val="auto"/>
          <w:spacing w:val="-6"/>
          <w:sz w:val="24"/>
          <w:highlight w:val="none"/>
        </w:rPr>
        <w:t>二、供应商应提供的报价产品的资格、资质性及其他类似效力要求的相关证明材料：</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无。</w:t>
      </w:r>
    </w:p>
    <w:p>
      <w:pPr>
        <w:snapToGrid w:val="0"/>
        <w:spacing w:line="360" w:lineRule="auto"/>
        <w:textAlignment w:val="baseline"/>
        <w:rPr>
          <w:rFonts w:hint="eastAsia" w:ascii="仿宋" w:hAnsi="仿宋" w:eastAsia="仿宋" w:cs="仿宋"/>
          <w:b/>
          <w:bCs/>
          <w:color w:val="auto"/>
          <w:sz w:val="24"/>
          <w:highlight w:val="none"/>
        </w:rPr>
      </w:pPr>
    </w:p>
    <w:p>
      <w:pPr>
        <w:snapToGrid w:val="0"/>
        <w:spacing w:line="360" w:lineRule="auto"/>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注：1.以上要求的资料复印件均须加盖供应商单位的公章（鲜章）。</w:t>
      </w:r>
    </w:p>
    <w:p>
      <w:pPr>
        <w:snapToGrid w:val="0"/>
        <w:spacing w:line="360" w:lineRule="auto"/>
        <w:textAlignment w:val="baseline"/>
        <w:rPr>
          <w:rFonts w:hint="eastAsia" w:ascii="仿宋" w:hAnsi="仿宋" w:eastAsia="仿宋" w:cs="仿宋"/>
          <w:color w:val="auto"/>
          <w:sz w:val="20"/>
          <w:highlight w:val="none"/>
        </w:rPr>
      </w:pPr>
      <w:r>
        <w:rPr>
          <w:rFonts w:hint="eastAsia" w:ascii="仿宋" w:hAnsi="仿宋" w:eastAsia="仿宋" w:cs="仿宋"/>
          <w:b/>
          <w:color w:val="auto"/>
          <w:kern w:val="0"/>
          <w:sz w:val="24"/>
          <w:highlight w:val="none"/>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71"/>
    </w:p>
    <w:p>
      <w:pPr>
        <w:snapToGrid w:val="0"/>
        <w:spacing w:after="50" w:line="42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74" w:name="_Toc28846"/>
      <w:r>
        <w:rPr>
          <w:rFonts w:hint="eastAsia" w:ascii="仿宋" w:hAnsi="仿宋" w:eastAsia="仿宋" w:cs="仿宋"/>
          <w:color w:val="auto"/>
          <w:sz w:val="32"/>
          <w:szCs w:val="32"/>
          <w:highlight w:val="none"/>
        </w:rPr>
        <w:t>第五章  采购项目技术、服务、政府采购合同内容条款及其他商务要求</w:t>
      </w:r>
      <w:bookmarkEnd w:id="74"/>
    </w:p>
    <w:p>
      <w:pPr>
        <w:snapToGrid w:val="0"/>
        <w:textAlignment w:val="baseline"/>
        <w:rPr>
          <w:rFonts w:hint="eastAsia" w:ascii="仿宋" w:hAnsi="仿宋" w:eastAsia="仿宋" w:cs="仿宋"/>
          <w:color w:val="auto"/>
          <w:sz w:val="20"/>
          <w:highlight w:val="none"/>
        </w:rPr>
      </w:pPr>
    </w:p>
    <w:p>
      <w:pPr>
        <w:pStyle w:val="4"/>
        <w:keepLines w:val="0"/>
        <w:snapToGrid w:val="0"/>
        <w:spacing w:before="0" w:after="0" w:line="400" w:lineRule="exact"/>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前提：本章采购需求中标注“★”号的条款为本次磋商采购项目的实质性要求，供应商应全部满足，否则其响应文件按照无效处理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标注</w:t>
      </w:r>
      <w:r>
        <w:rPr>
          <w:rFonts w:hint="eastAsia" w:ascii="仿宋" w:hAnsi="仿宋" w:eastAsia="仿宋" w:cs="仿宋"/>
          <w:color w:val="auto"/>
          <w:sz w:val="24"/>
          <w:szCs w:val="24"/>
          <w:highlight w:val="none"/>
          <w:lang w:eastAsia="zh-CN"/>
        </w:rPr>
        <w:t>“▲”为评分条款，具体</w:t>
      </w:r>
      <w:r>
        <w:rPr>
          <w:rFonts w:hint="eastAsia" w:ascii="仿宋" w:hAnsi="仿宋" w:eastAsia="仿宋" w:cs="仿宋"/>
          <w:color w:val="auto"/>
          <w:sz w:val="24"/>
          <w:szCs w:val="24"/>
          <w:highlight w:val="none"/>
          <w:lang w:val="en-US" w:eastAsia="zh-CN"/>
        </w:rPr>
        <w:t>评分规则</w:t>
      </w:r>
      <w:r>
        <w:rPr>
          <w:rFonts w:hint="eastAsia" w:ascii="仿宋" w:hAnsi="仿宋" w:eastAsia="仿宋" w:cs="仿宋"/>
          <w:color w:val="auto"/>
          <w:sz w:val="24"/>
          <w:szCs w:val="24"/>
          <w:highlight w:val="none"/>
          <w:lang w:eastAsia="zh-CN"/>
        </w:rPr>
        <w:t>详见</w:t>
      </w:r>
      <w:r>
        <w:rPr>
          <w:rFonts w:hint="eastAsia" w:ascii="仿宋" w:hAnsi="仿宋" w:eastAsia="仿宋" w:cs="仿宋"/>
          <w:color w:val="auto"/>
          <w:sz w:val="24"/>
          <w:highlight w:val="none"/>
        </w:rPr>
        <w:t>综合评分明细表</w:t>
      </w:r>
      <w:r>
        <w:rPr>
          <w:rFonts w:hint="eastAsia" w:ascii="仿宋" w:hAnsi="仿宋" w:eastAsia="仿宋" w:cs="仿宋"/>
          <w:color w:val="auto"/>
          <w:sz w:val="24"/>
          <w:szCs w:val="24"/>
          <w:highlight w:val="none"/>
        </w:rPr>
        <w:t>。</w:t>
      </w:r>
    </w:p>
    <w:p>
      <w:pPr>
        <w:bidi w:val="0"/>
        <w:rPr>
          <w:rFonts w:hint="eastAsia"/>
        </w:rPr>
      </w:pPr>
    </w:p>
    <w:p>
      <w:pPr>
        <w:pStyle w:val="4"/>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一、项目概述</w:t>
      </w:r>
    </w:p>
    <w:p>
      <w:pPr>
        <w:pStyle w:val="4"/>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1.项目概况</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四川天府新区生态环境和城市管理局天府新区环境卫生及城乡环境综合治理第三方巡查监督服务采购项目</w:t>
      </w:r>
    </w:p>
    <w:p>
      <w:pPr>
        <w:pStyle w:val="4"/>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2.项目清单及所属行业 </w:t>
      </w:r>
    </w:p>
    <w:tbl>
      <w:tblPr>
        <w:tblStyle w:val="2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633"/>
        <w:gridCol w:w="4147"/>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94" w:type="dxa"/>
            <w:vAlign w:val="center"/>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包号</w:t>
            </w:r>
          </w:p>
        </w:tc>
        <w:tc>
          <w:tcPr>
            <w:tcW w:w="1633" w:type="dxa"/>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品目号</w:t>
            </w:r>
          </w:p>
        </w:tc>
        <w:tc>
          <w:tcPr>
            <w:tcW w:w="4147" w:type="dxa"/>
            <w:vAlign w:val="center"/>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服务名称</w:t>
            </w:r>
          </w:p>
        </w:tc>
        <w:tc>
          <w:tcPr>
            <w:tcW w:w="2515" w:type="dxa"/>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94" w:type="dxa"/>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633" w:type="dxa"/>
          </w:tcPr>
          <w:p>
            <w:pPr>
              <w:widowControl/>
              <w:snapToGrid w:val="0"/>
              <w:spacing w:line="360" w:lineRule="atLeas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1-01</w:t>
            </w:r>
          </w:p>
        </w:tc>
        <w:tc>
          <w:tcPr>
            <w:tcW w:w="4147" w:type="dxa"/>
          </w:tcPr>
          <w:p>
            <w:pPr>
              <w:widowControl/>
              <w:snapToGrid w:val="0"/>
              <w:spacing w:line="360" w:lineRule="atLeas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四川天府新区生态环境和城市管理局天府新区环境卫生及城乡环境综合治理第三方巡查监督服务采购项目</w:t>
            </w:r>
          </w:p>
        </w:tc>
        <w:tc>
          <w:tcPr>
            <w:tcW w:w="2515" w:type="dxa"/>
          </w:tcPr>
          <w:p>
            <w:pPr>
              <w:widowControl/>
              <w:snapToGrid w:val="0"/>
              <w:spacing w:line="360" w:lineRule="atLeas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租赁和商务服务业</w:t>
            </w:r>
          </w:p>
        </w:tc>
      </w:tr>
    </w:tbl>
    <w:p>
      <w:pPr>
        <w:snapToGrid w:val="0"/>
        <w:spacing w:line="360" w:lineRule="auto"/>
        <w:textAlignment w:val="baseline"/>
        <w:rPr>
          <w:rFonts w:hint="eastAsia" w:ascii="仿宋" w:hAnsi="仿宋" w:eastAsia="仿宋" w:cs="仿宋"/>
          <w:color w:val="auto"/>
          <w:sz w:val="24"/>
          <w:highlight w:val="none"/>
        </w:rPr>
      </w:pPr>
    </w:p>
    <w:p>
      <w:pPr>
        <w:pStyle w:val="4"/>
        <w:snapToGrid w:val="0"/>
        <w:spacing w:line="4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★二、商务要求</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1.服务期限：自首次合同签订之日起三年，合同一年一签（第二年和第三年的合同，采购人根据财政预算情况和对成交供应商服务考核情况确定续签事宜）。</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2.项目地点：四川天府新区范围内采购人指定地点。</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3.验收要求：严格按照《财政部关于进一步加强政府采购需求和履约验收管理的指导意见》（财库〔2016〕205号）等政府采购相关法律法规的要求进行验收。</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4.付款方式：结合考核情况</w:t>
      </w:r>
      <w:r>
        <w:rPr>
          <w:rFonts w:hint="eastAsia" w:ascii="仿宋" w:hAnsi="仿宋" w:eastAsia="仿宋" w:cs="仿宋"/>
          <w:color w:val="auto"/>
          <w:sz w:val="24"/>
          <w:highlight w:val="none"/>
          <w:lang w:val="en-US" w:eastAsia="zh-CN"/>
        </w:rPr>
        <w:t>每满三个月支付一次</w:t>
      </w:r>
      <w:r>
        <w:rPr>
          <w:rFonts w:hint="eastAsia" w:ascii="仿宋" w:hAnsi="仿宋" w:eastAsia="仿宋" w:cs="仿宋"/>
          <w:color w:val="auto"/>
          <w:sz w:val="24"/>
          <w:highlight w:val="none"/>
        </w:rPr>
        <w:t>费用；最后</w:t>
      </w:r>
      <w:r>
        <w:rPr>
          <w:rFonts w:hint="eastAsia" w:ascii="仿宋" w:hAnsi="仿宋" w:eastAsia="仿宋" w:cs="仿宋"/>
          <w:color w:val="auto"/>
          <w:sz w:val="24"/>
          <w:highlight w:val="none"/>
          <w:lang w:val="en-US" w:eastAsia="zh-CN"/>
        </w:rPr>
        <w:t>一次支付</w:t>
      </w:r>
      <w:r>
        <w:rPr>
          <w:rFonts w:hint="eastAsia" w:ascii="仿宋" w:hAnsi="仿宋" w:eastAsia="仿宋" w:cs="仿宋"/>
          <w:color w:val="auto"/>
          <w:sz w:val="24"/>
          <w:highlight w:val="none"/>
        </w:rPr>
        <w:t>在</w:t>
      </w:r>
      <w:r>
        <w:rPr>
          <w:rFonts w:hint="eastAsia" w:ascii="仿宋" w:hAnsi="仿宋" w:eastAsia="仿宋" w:cs="仿宋"/>
          <w:color w:val="auto"/>
          <w:sz w:val="24"/>
          <w:highlight w:val="none"/>
          <w:lang w:val="en-US" w:eastAsia="zh-CN"/>
        </w:rPr>
        <w:t>合同</w:t>
      </w:r>
      <w:r>
        <w:rPr>
          <w:rFonts w:hint="eastAsia" w:ascii="仿宋" w:hAnsi="仿宋" w:eastAsia="仿宋" w:cs="仿宋"/>
          <w:color w:val="auto"/>
          <w:sz w:val="24"/>
          <w:highlight w:val="none"/>
        </w:rPr>
        <w:t>期满，采购人委托的第三方审计机构审计后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根据考核情况进行支付。</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成交供应商应当在采购人每一次付款前及时出具合法有效、金额准确的发票，成交供应商未及时开具发票或开票不符合相关规定的，采购人有权拒绝或延迟支付而不承担任何违约责任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采购人在收到发票后15日内完成支付</w:t>
      </w:r>
      <w:r>
        <w:rPr>
          <w:rFonts w:hint="eastAsia" w:ascii="仿宋" w:hAnsi="仿宋" w:eastAsia="仿宋" w:cs="仿宋"/>
          <w:color w:val="auto"/>
          <w:sz w:val="24"/>
          <w:highlight w:val="none"/>
        </w:rPr>
        <w:t>。</w:t>
      </w:r>
    </w:p>
    <w:p>
      <w:pPr>
        <w:snapToGrid w:val="0"/>
        <w:spacing w:line="590" w:lineRule="exact"/>
        <w:ind w:firstLine="584"/>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5.违约责任</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必须遵守</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合同并执行合同中的各项规定，保证合同的正常履行。</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如因</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工作人员在履行职务过程中的的疏忽、失职、过错等故意或者过失原因给</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造成损失或侵害，包括但不限于</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本身的财产损失、由此而导致的</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对任何第三方的法律责任等，</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对此均应承担全部的赔偿责任。</w:t>
      </w:r>
    </w:p>
    <w:p>
      <w:pPr>
        <w:snapToGrid w:val="0"/>
        <w:spacing w:line="590" w:lineRule="exact"/>
        <w:ind w:firstLine="584"/>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除本</w:t>
      </w:r>
      <w:r>
        <w:rPr>
          <w:rFonts w:hint="eastAsia" w:ascii="仿宋" w:hAnsi="仿宋" w:eastAsia="仿宋" w:cs="仿宋"/>
          <w:color w:val="auto"/>
          <w:sz w:val="24"/>
          <w:highlight w:val="none"/>
          <w:lang w:val="en-US" w:eastAsia="zh-CN"/>
        </w:rPr>
        <w:t>项目考核及采购合同</w:t>
      </w:r>
      <w:r>
        <w:rPr>
          <w:rFonts w:hint="eastAsia" w:ascii="仿宋" w:hAnsi="仿宋" w:eastAsia="仿宋" w:cs="仿宋"/>
          <w:color w:val="auto"/>
          <w:sz w:val="24"/>
          <w:highlight w:val="none"/>
        </w:rPr>
        <w:t>另有约定外，若</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未按照</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合同约定或</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要求提供服务的，每发生一次视为一次违约（涉及日期天数的，每逾期一日/天视为一次违约），</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有权要求</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整改并按照人民币2000元/次的标准支付违约金（</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应支付违约金、赔偿金的，</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有权直接在应付款中扣除），合同期限内，</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发生三次以上违约、</w:t>
      </w:r>
      <w:r>
        <w:rPr>
          <w:rFonts w:hint="eastAsia" w:ascii="仿宋" w:hAnsi="仿宋" w:eastAsia="仿宋" w:cs="仿宋"/>
          <w:color w:val="auto"/>
          <w:sz w:val="24"/>
          <w:highlight w:val="none"/>
          <w:lang w:val="en-US" w:eastAsia="zh-CN"/>
        </w:rPr>
        <w:t>成交供应商</w:t>
      </w:r>
      <w:r>
        <w:rPr>
          <w:rFonts w:hint="eastAsia" w:ascii="仿宋" w:hAnsi="仿宋" w:eastAsia="仿宋" w:cs="仿宋"/>
          <w:color w:val="auto"/>
          <w:sz w:val="24"/>
          <w:highlight w:val="none"/>
        </w:rPr>
        <w:t>拒绝整改或者同一违约事项整改超过三次的，</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有权单方解除合同（合同自解除通知发出后的第七日即解除），相关费用按照实际服务时间</w:t>
      </w:r>
      <w:r>
        <w:rPr>
          <w:rFonts w:hint="eastAsia" w:ascii="仿宋" w:hAnsi="仿宋" w:eastAsia="仿宋" w:cs="仿宋"/>
          <w:color w:val="auto"/>
          <w:sz w:val="24"/>
          <w:highlight w:val="none"/>
          <w:lang w:val="en-US" w:eastAsia="zh-CN"/>
        </w:rPr>
        <w:t>的比例折算</w:t>
      </w:r>
      <w:r>
        <w:rPr>
          <w:rFonts w:hint="eastAsia" w:ascii="仿宋" w:hAnsi="仿宋" w:eastAsia="仿宋" w:cs="仿宋"/>
          <w:color w:val="auto"/>
          <w:sz w:val="24"/>
          <w:highlight w:val="none"/>
        </w:rPr>
        <w:t>。</w:t>
      </w:r>
    </w:p>
    <w:p>
      <w:pPr>
        <w:pStyle w:val="4"/>
        <w:snapToGrid w:val="0"/>
        <w:spacing w:line="400" w:lineRule="exac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三、服务要求</w:t>
      </w:r>
    </w:p>
    <w:p>
      <w:pPr>
        <w:snapToGrid w:val="0"/>
        <w:spacing w:line="7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（一）工作背景</w:t>
      </w:r>
    </w:p>
    <w:p>
      <w:pPr>
        <w:pStyle w:val="71"/>
        <w:snapToGrid w:val="0"/>
        <w:spacing w:line="560" w:lineRule="exact"/>
        <w:ind w:firstLine="484" w:firstLineChars="20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镇建成区环境卫生服务质量是城市管理最基础、最核心的工作，事关一座城市的文明形象和人民群众的生活质量，省、市和管委会领导领导高度重视，多次就城市管理和环境治理作出重要批示。为进一步强化“大城市细管理严管理”理念和“天天归零”、“常态长效”要求，围绕建设国际化大都市和打造“别样精彩新区”的工作定位，需要持续强化环境卫生精细化管理服务质量，切实整治“脏乱差”，努力建设“洁齐美”，着力解决“草包金”问题，促进直管区全域环境质量水平整体提升。</w:t>
      </w:r>
    </w:p>
    <w:p>
      <w:pPr>
        <w:snapToGrid w:val="0"/>
        <w:spacing w:line="7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（二）工作目的</w:t>
      </w:r>
    </w:p>
    <w:p>
      <w:pPr>
        <w:pStyle w:val="71"/>
        <w:snapToGrid w:val="0"/>
        <w:spacing w:line="560" w:lineRule="exact"/>
        <w:ind w:firstLine="484" w:firstLineChars="20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为切实履行对全区城乡环境管理的统筹协调和监督检查职责，进一步改善全区环境卫生质量，四川天府新区生态环境和城市管理局拟通过政府采购方式，确定有资质的合法第三方专业测评机构，开展天府新区环境卫生及城乡环境综合治理三方巡查监督服务工作。达到以下两个目的：</w:t>
      </w:r>
    </w:p>
    <w:p>
      <w:pPr>
        <w:pStyle w:val="71"/>
        <w:snapToGrid w:val="0"/>
        <w:spacing w:line="560" w:lineRule="exact"/>
        <w:ind w:firstLine="484" w:firstLineChars="20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一是形成环境治理压力传递机制。由第三方专业测评机构对全区环境卫生和城乡环境综合治理相关重点工作进行暗访和测评，通过问题曝光，促进属地街道和环卫公司提升管理管理力度和作业质量。</w:t>
      </w:r>
    </w:p>
    <w:p>
      <w:pPr>
        <w:pStyle w:val="71"/>
        <w:snapToGrid w:val="0"/>
        <w:spacing w:line="560" w:lineRule="exact"/>
        <w:ind w:firstLine="484" w:firstLineChars="20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二是形成科学的管理方法。坚持问题导向，根据测评中发现的主要问题，督促属地街道和环卫公司进行整改，并回访整改落实情况，促进管理改进，有利于形成科学长效的监管机制。</w:t>
      </w:r>
    </w:p>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（三）工作范围</w:t>
      </w:r>
    </w:p>
    <w:p>
      <w:pPr>
        <w:snapToGrid w:val="0"/>
        <w:spacing w:line="5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日常测评工作的范围分为两部分，一是天府新区9个街道办的街道、新型社区等区域；二是采购人直管的市政道路（现由成都天投市政设施运营维护有限公司负责环卫保洁）。具体点位包括主干道、次干道、环卫公厕、行业公厕及厕所联盟共享厕所、垃圾桶、垃圾中转站（点）、垃圾清运车、环卫工人休息房、背街小巷、城市家俱等。</w:t>
      </w:r>
    </w:p>
    <w:p>
      <w:pPr>
        <w:snapToGrid w:val="0"/>
        <w:spacing w:line="5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2.对节假日、重大保障活动所经区域的环卫质量进行测评，发现的问题及时通过微信反馈给采购人相关工作人员，由采购人及时通知相应的街道或环卫公司进行整改。</w:t>
      </w:r>
    </w:p>
    <w:p>
      <w:pPr>
        <w:snapToGrid w:val="0"/>
        <w:spacing w:line="5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原则上以测评对象为基础，可分为“道路环境卫生”乱象、“背街小巷”乱象、“公厕”乱象、“垃圾收集、转运”乱象、“垃圾清运车”乱象、“环卫工人休息房”乱象等6个方面归类编辑，制作问题台账，并对问题点位进行回访，制作问题整改前、整改后的对比台账，配上相应的文字说明。每周</w:t>
      </w: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向采购人提交一次上周环卫暗访问题对比台账。根据采购人需要，提供整治时段暗访问题台账。</w:t>
      </w:r>
    </w:p>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（四）测评方法</w:t>
      </w:r>
    </w:p>
    <w:p>
      <w:pPr>
        <w:snapToGrid w:val="0"/>
        <w:spacing w:line="59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测评均通过线上线下相结合方式的闭环管理，即访问员每日到达指派点位后，通过手机微信及时将问题信息传输到工作群。实地考察均采用实地暗访法，即测评人员到达测评现场直接记录问题并拍照取证，不需要提前告知被测评对象。</w:t>
      </w:r>
    </w:p>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（五）测评任务</w:t>
      </w:r>
    </w:p>
    <w:tbl>
      <w:tblPr>
        <w:tblStyle w:val="29"/>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722"/>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测评对象</w:t>
            </w:r>
          </w:p>
        </w:tc>
        <w:tc>
          <w:tcPr>
            <w:tcW w:w="3722"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测评时间</w:t>
            </w:r>
          </w:p>
        </w:tc>
        <w:tc>
          <w:tcPr>
            <w:tcW w:w="2510"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3048"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各街道的市政道路、背街小巷、公厕、垃圾桶、垃圾中转站（点）、环卫作业休息房、城市家俱等</w:t>
            </w:r>
          </w:p>
        </w:tc>
        <w:tc>
          <w:tcPr>
            <w:tcW w:w="3722"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1轮/周，测评内容全覆盖。</w:t>
            </w:r>
          </w:p>
        </w:tc>
        <w:tc>
          <w:tcPr>
            <w:tcW w:w="2510" w:type="dxa"/>
            <w:vMerge w:val="restart"/>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若被测评对象发现测评周期，则在报告采购人后更换测评时间安排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直管道路各标段环卫质量</w:t>
            </w:r>
          </w:p>
        </w:tc>
        <w:tc>
          <w:tcPr>
            <w:tcW w:w="3722"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2轮/周，测评内容全覆盖。</w:t>
            </w:r>
          </w:p>
        </w:tc>
        <w:tc>
          <w:tcPr>
            <w:tcW w:w="2510" w:type="dxa"/>
            <w:vMerge w:val="continue"/>
          </w:tcPr>
          <w:p>
            <w:pPr>
              <w:snapToGrid w:val="0"/>
              <w:spacing w:line="560" w:lineRule="exact"/>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重大保障活动所经区域的道路、市政设施等环卫质量</w:t>
            </w:r>
          </w:p>
        </w:tc>
        <w:tc>
          <w:tcPr>
            <w:tcW w:w="3722"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在重大保障活动开始前2个小时到达指定区域开展暗访。全年保障活动不少于20次。</w:t>
            </w:r>
          </w:p>
        </w:tc>
        <w:tc>
          <w:tcPr>
            <w:tcW w:w="2510" w:type="dxa"/>
          </w:tcPr>
          <w:p>
            <w:pPr>
              <w:snapToGrid w:val="0"/>
              <w:spacing w:line="5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具体时间由采购人通知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8"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城乡环境综合治理巡查</w:t>
            </w:r>
          </w:p>
        </w:tc>
        <w:tc>
          <w:tcPr>
            <w:tcW w:w="3722"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1轮/月，测评内容全覆盖。</w:t>
            </w:r>
          </w:p>
        </w:tc>
        <w:tc>
          <w:tcPr>
            <w:tcW w:w="2510" w:type="dxa"/>
          </w:tcPr>
          <w:p>
            <w:pPr>
              <w:snapToGrid w:val="0"/>
              <w:spacing w:line="560" w:lineRule="exact"/>
              <w:textAlignment w:val="baseline"/>
              <w:rPr>
                <w:rFonts w:hint="eastAsia" w:ascii="仿宋" w:hAnsi="仿宋" w:eastAsia="仿宋" w:cs="仿宋"/>
                <w:color w:val="auto"/>
                <w:sz w:val="24"/>
                <w:highlight w:val="none"/>
              </w:rPr>
            </w:pPr>
          </w:p>
        </w:tc>
      </w:tr>
    </w:tbl>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（六）测评体系</w:t>
      </w:r>
    </w:p>
    <w:p>
      <w:pPr>
        <w:snapToGrid w:val="0"/>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依据天府新区常态巡查环境卫生指标以及天府新区直管道路测评标准的相关内容，初步拟定天府新区环卫保洁精细化测评体系如下表所示（采购人有权根据项目实施情况，对体系中的部分内容进行调整，成交供应商不得拒绝，但采购人应当提前告知供应商）：</w:t>
      </w:r>
    </w:p>
    <w:tbl>
      <w:tblPr>
        <w:tblStyle w:val="29"/>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3520"/>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38"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具体对象</w:t>
            </w:r>
          </w:p>
        </w:tc>
        <w:tc>
          <w:tcPr>
            <w:tcW w:w="3520"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测评内容</w:t>
            </w:r>
          </w:p>
        </w:tc>
        <w:tc>
          <w:tcPr>
            <w:tcW w:w="4525"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路面</w:t>
            </w:r>
          </w:p>
        </w:tc>
        <w:tc>
          <w:tcPr>
            <w:tcW w:w="3520"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道路清扫保洁质量好，街道上没有陈旧废物等堆积，路面无乱张贴、乱涂画现象</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街面有果皮、纸屑、烟蒂、白色垃圾等垃圾杂物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街道上有杂物堆积、有撒漏建渣、有积水污渍；有宠物粪便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街面有乱张贴/乱涂画/牛皮癣/二次污染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窨井盖/水篦子有乱张贴、乱涂画现象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车行道路及两侧边沟、路沿石没有灰带、积泥、积尘现象；人行道方块砖有积尘、油渍、污垢</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车行道路及两侧边沟有灰带、积泥、积尘现象；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路沿石有灰带、积泥、积尘现象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人行道方块砖有积尘、油渍、污垢；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管理痕迹不明显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w:t>
            </w: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清扫保洁</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无明显异味、无蚊蝇;厕所内地面光洁干净，无积水，无烟头，无纸屑，无痰迹和其它杂物;厕所内墙面、天花板、门窗和隔断板洁净，无积灰，无污迹，无蛛网，无乱涂乱画，无破损;卫生洁具整洁，大、小便器内无积存物，无粪便痕迹，无积尿积水，管道畅通、无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设施管理</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导向醒目，标识规范，配置齐全；公厕保洁要求、开放时间、责任人、监督电话等设置在公厕墙面醒目位置，便于市民监督；内外部照明灯具、标志、洗手器具、镜子、挂衣钩、烘手器、冲水设施等设施设备保持完好，无缺损渗漏、无积灰、污物；化粪池窨井盖丢失或损坏应及时补充维修，确保正常使用，无障碍公厕通道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工具管理</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厕所管理间（工具间）物品摆放整洁有序，无杂物，无闲杂人员，无挪作它用。作业工具（塑料扫帚、拖把、撮箕、垃圾袋、毛巾、硬质塑料刷、橡胶手套或一次性手套、水刮器、消毒剂、清洁剂等）配备齐全、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人员要求</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公厕配备专职保洁工人，着装整洁并佩证上岗。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室外保洁</w:t>
            </w:r>
          </w:p>
        </w:tc>
        <w:tc>
          <w:tcPr>
            <w:tcW w:w="4525"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厕所外墙、屋顶及责任区域内整洁，无杂物堆积，墙面光洁无破损，无污蚀，无渗漏，窗栅、门窗玻璃无破损;厕所贮粪池盖密闭，无污物满溢，公厕周围无粪便，无积水，无杂草，定时喷洒灭蝇药物，做到随有随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环卫设施</w:t>
            </w: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无乱张贴、乱涂画现象</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果皮箱/垃圾桶乱张贴、乱涂画、破损不整洁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垃圾清运及时</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垃圾无溢出现象，垃圾桶周边无散落垃圾或袋装垃圾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垃圾分类收集</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垃圾桶有无垃圾分类标识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垃圾桶完好无破损</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垃圾桶无盖、内胆破损或外箱破损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垃圾中转点</w:t>
            </w: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在标段内设垃圾中转点并有专人管理</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标段无垃圾中转站或无专人管理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垃圾清运及时，无脏乱差现象</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无污水、</w:t>
            </w:r>
            <w:r>
              <w:rPr>
                <w:rFonts w:hint="eastAsia" w:ascii="仿宋" w:hAnsi="仿宋" w:eastAsia="仿宋" w:cs="仿宋"/>
                <w:color w:val="auto"/>
                <w:sz w:val="24"/>
                <w:highlight w:val="none"/>
              </w:rPr>
              <w:t>无垃圾溢出，无蚊蝇、无蛆虫、刺鼻气味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无乱张贴、乱涂画现象</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垃圾中转站乱张贴、乱涂画、破损不整洁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设施无破损</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垃圾中转站门窗等设施缺失或外表破损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设施周围无杂物乱摆放现象</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点位周边有杂物堆积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环卫工人休息房</w:t>
            </w:r>
          </w:p>
        </w:tc>
        <w:tc>
          <w:tcPr>
            <w:tcW w:w="3520"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配置齐全，设施完善</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是否缺少标配设施或设施无法正常使用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环卫作业标准化</w:t>
            </w:r>
          </w:p>
        </w:tc>
        <w:tc>
          <w:tcPr>
            <w:tcW w:w="3520"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垃圾车规范作业</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垃圾车不得“背包打伞”，在运输中不得“抛冒滴漏”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垃圾车不得在街面随意停放，影响市容观瞻，必须顺向清运垃圾，设置安全警示标识，不得乱占机动车道人行道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环卫人员及管理人员按照要求规范开展环卫作业工作</w:t>
            </w: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管理人员及环卫工作人着工作装、挂牌上岗，保持工作服整洁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作业人员必须根据岗位情况配备安全帽、安全肩灯、安全绳、反光标识等安全防护装备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道路清扫采用巡回保洁方式，人员在工作时段在岗；不存在坐岗、离岗和集体聊天等现象；不得翻捡和焚烧垃圾，做与工作无关的事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38"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520"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525"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清扫保洁时禁止将垃圾扫入（倒入）水篦子、绿化带、河道和排水沟等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1238"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w:t>
            </w:r>
          </w:p>
        </w:tc>
        <w:tc>
          <w:tcPr>
            <w:tcW w:w="3520" w:type="dxa"/>
            <w:vAlign w:val="center"/>
          </w:tcPr>
          <w:p>
            <w:pPr>
              <w:snapToGrid w:val="0"/>
              <w:jc w:val="center"/>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农村人居环境、市容秩序、工地环境、空闲地块、市场环境、河道沟渠、交通秩序、市政设施、园林绿化、社区院落环境综合治理</w:t>
            </w:r>
          </w:p>
        </w:tc>
        <w:tc>
          <w:tcPr>
            <w:tcW w:w="4525" w:type="dxa"/>
            <w:vMerge w:val="restart"/>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市主次干道和街巷路面平整；主要街道两侧建筑物整洁美观，无乱张贴涂写、乱设摊点现象；广告、牌匾设置规范，居民楼房阳台屋顶无乱放和乱挂衣物等现象；车辆停放整齐；废物箱等垃圾收集容器配置齐全，无乱扔乱吐现象；街巷路面普遍硬化，无残垣断壁、乱搭建、垃圾渣土暴露和违章饲养畜禽现象；城市亮化、美化，照明设施完好，路灯亮化率≥97%；建筑工地管理规范，建筑渣土清运实现密闭运输，无偷倒乱倒、扬尘污染现象；城市绿地、广场管理制度落实；城市河道岸坡整洁，无垃圾杂物；铁路、高速公路、城市出入口环境整洁，无乱排污水、乱倒垃圾、乱堆物料、乱建棚屋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1238" w:type="dxa"/>
            <w:vMerge w:val="continue"/>
            <w:vAlign w:val="center"/>
          </w:tcPr>
          <w:p>
            <w:pPr>
              <w:pStyle w:val="16"/>
              <w:snapToGrid w:val="0"/>
              <w:spacing w:line="240" w:lineRule="auto"/>
              <w:ind w:left="0" w:leftChars="0"/>
              <w:textAlignment w:val="baseline"/>
              <w:rPr>
                <w:rFonts w:hint="eastAsia" w:ascii="仿宋" w:hAnsi="仿宋" w:eastAsia="仿宋" w:cs="仿宋"/>
                <w:color w:val="auto"/>
                <w:highlight w:val="none"/>
              </w:rPr>
            </w:pPr>
          </w:p>
        </w:tc>
        <w:tc>
          <w:tcPr>
            <w:tcW w:w="3520" w:type="dxa"/>
            <w:vAlign w:val="center"/>
          </w:tcPr>
          <w:p>
            <w:pPr>
              <w:pStyle w:val="16"/>
              <w:snapToGrid w:val="0"/>
              <w:spacing w:line="240" w:lineRule="auto"/>
              <w:ind w:left="0" w:leftChars="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城乡环境综合治理专项整治行动测评</w:t>
            </w:r>
          </w:p>
        </w:tc>
        <w:tc>
          <w:tcPr>
            <w:tcW w:w="4525" w:type="dxa"/>
            <w:vMerge w:val="continue"/>
            <w:vAlign w:val="center"/>
          </w:tcPr>
          <w:p>
            <w:pPr>
              <w:pStyle w:val="16"/>
              <w:snapToGrid w:val="0"/>
              <w:spacing w:line="240" w:lineRule="auto"/>
              <w:ind w:left="0" w:leftChars="0"/>
              <w:textAlignment w:val="baseline"/>
              <w:rPr>
                <w:rFonts w:hint="eastAsia" w:ascii="仿宋" w:hAnsi="仿宋" w:eastAsia="仿宋" w:cs="仿宋"/>
                <w:color w:val="auto"/>
                <w:sz w:val="24"/>
                <w:highlight w:val="none"/>
              </w:rPr>
            </w:pPr>
          </w:p>
        </w:tc>
      </w:tr>
    </w:tbl>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（七）沟通机制</w:t>
      </w:r>
    </w:p>
    <w:p>
      <w:pPr>
        <w:snapToGrid w:val="0"/>
        <w:spacing w:line="590" w:lineRule="exact"/>
        <w:ind w:firstLine="424" w:firstLineChars="177"/>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通过长期反复测评工作，预计辖区内环卫保洁精细化和城乡环境综合治理工作会更加标准、规范、安全。每轮测评完成后，向</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提交项目实施成果，具体成果提交内容如下：</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1、测评台账数据</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台账数据包括环境卫生台账数据和城乡环境综合治理台账数据两大类，其中环境卫生台账数据包括直管道路环境卫生、街道环境卫生、垃圾清运、公厕等，城乡环境综合治理台账数据包括农村人居环境、市容秩序、工地环境、空闲地块、市场环境、河道沟渠、交通秩序、市政设施、园林绿化、社区院落十种城乡环境治理类型。台账数据需详实记录本轮巡查中发现的所有问题，各问题点位所对应的标段或街道办不得有误，且不得遗漏任何一条有效测评数据。</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2、本轮测评所有图片文件</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图片是对测评问题最真实、最直接的反映，每轮的测评照片需按问题类型、按标段或街道办整理，并将其全部提交给采购人，且所提交的照片须保证清晰、真实，不能出现模糊不清或虚假照片。另外，所提交的照片必须直接反映出问题，非问题照片（如点位标识照）无需提交。</w:t>
      </w:r>
    </w:p>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（八）质量控制</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采购人工作人员对街道的管理和环卫公司的服务质量进行抽查，对检查发现的问题，除对所在的街道和环卫公司进行考核扣分外，实施连带责任，对成交供应商进行扣分考核。</w:t>
      </w:r>
    </w:p>
    <w:p>
      <w:pPr>
        <w:snapToGrid w:val="0"/>
        <w:spacing w:line="700" w:lineRule="exact"/>
        <w:ind w:firstLine="422"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w:t>
      </w:r>
      <w:r>
        <w:rPr>
          <w:rFonts w:hint="eastAsia" w:ascii="仿宋" w:hAnsi="仿宋" w:eastAsia="仿宋" w:cs="仿宋"/>
          <w:color w:val="auto"/>
          <w:sz w:val="24"/>
          <w:highlight w:val="none"/>
        </w:rPr>
        <w:t>（九）考核与处理</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1、考核评分标准</w:t>
      </w:r>
    </w:p>
    <w:p>
      <w:pPr>
        <w:snapToGrid w:val="0"/>
        <w:textAlignment w:val="baseline"/>
        <w:rPr>
          <w:rFonts w:hint="eastAsia" w:ascii="仿宋" w:hAnsi="仿宋" w:eastAsia="仿宋" w:cs="仿宋"/>
          <w:color w:val="auto"/>
          <w:sz w:val="20"/>
          <w:highlight w:val="none"/>
        </w:rPr>
      </w:pPr>
    </w:p>
    <w:p>
      <w:pPr>
        <w:snapToGrid w:val="0"/>
        <w:spacing w:line="37" w:lineRule="exact"/>
        <w:textAlignment w:val="baseline"/>
        <w:rPr>
          <w:rFonts w:hint="eastAsia" w:ascii="仿宋" w:hAnsi="仿宋" w:eastAsia="仿宋" w:cs="仿宋"/>
          <w:color w:val="auto"/>
          <w:sz w:val="20"/>
          <w:highlight w:val="none"/>
        </w:rPr>
      </w:pPr>
    </w:p>
    <w:tbl>
      <w:tblPr>
        <w:tblStyle w:val="76"/>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2"/>
        <w:gridCol w:w="4931"/>
        <w:gridCol w:w="731"/>
        <w:gridCol w:w="2214"/>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trPr>
        <w:tc>
          <w:tcPr>
            <w:tcW w:w="652" w:type="dxa"/>
            <w:vAlign w:val="center"/>
          </w:tcPr>
          <w:p>
            <w:pPr>
              <w:snapToGrid w:val="0"/>
              <w:spacing w:before="212" w:line="189" w:lineRule="auto"/>
              <w:ind w:firstLine="116"/>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项目</w:t>
            </w:r>
          </w:p>
        </w:tc>
        <w:tc>
          <w:tcPr>
            <w:tcW w:w="4931" w:type="dxa"/>
            <w:vAlign w:val="center"/>
          </w:tcPr>
          <w:p>
            <w:pPr>
              <w:snapToGrid w:val="0"/>
              <w:spacing w:before="212" w:line="189" w:lineRule="auto"/>
              <w:ind w:firstLine="2352"/>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考核内容</w:t>
            </w:r>
          </w:p>
        </w:tc>
        <w:tc>
          <w:tcPr>
            <w:tcW w:w="731" w:type="dxa"/>
            <w:vAlign w:val="center"/>
          </w:tcPr>
          <w:p>
            <w:pPr>
              <w:snapToGrid w:val="0"/>
              <w:spacing w:before="212" w:line="189" w:lineRule="auto"/>
              <w:ind w:firstLine="65"/>
              <w:textAlignment w:val="baseline"/>
              <w:rPr>
                <w:rFonts w:hint="eastAsia" w:ascii="仿宋" w:hAnsi="仿宋" w:eastAsia="仿宋" w:cs="仿宋"/>
                <w:color w:val="auto"/>
                <w:sz w:val="24"/>
                <w:highlight w:val="none"/>
              </w:rPr>
            </w:pPr>
            <w:r>
              <w:rPr>
                <w:rFonts w:hint="eastAsia" w:ascii="仿宋" w:hAnsi="仿宋" w:eastAsia="仿宋" w:cs="仿宋"/>
                <w:color w:val="auto"/>
                <w:spacing w:val="-10"/>
                <w:sz w:val="24"/>
                <w:highlight w:val="none"/>
              </w:rPr>
              <w:t>分值</w:t>
            </w:r>
          </w:p>
        </w:tc>
        <w:tc>
          <w:tcPr>
            <w:tcW w:w="2214" w:type="dxa"/>
            <w:vAlign w:val="center"/>
          </w:tcPr>
          <w:p>
            <w:pPr>
              <w:snapToGrid w:val="0"/>
              <w:spacing w:before="212" w:line="189" w:lineRule="auto"/>
              <w:ind w:firstLine="563"/>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扣分标准</w:t>
            </w:r>
          </w:p>
        </w:tc>
        <w:tc>
          <w:tcPr>
            <w:tcW w:w="549" w:type="dxa"/>
            <w:vAlign w:val="center"/>
          </w:tcPr>
          <w:p>
            <w:pPr>
              <w:snapToGrid w:val="0"/>
              <w:spacing w:before="56"/>
              <w:ind w:left="63" w:right="45" w:hanging="1"/>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考核</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0"/>
                <w:sz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trPr>
        <w:tc>
          <w:tcPr>
            <w:tcW w:w="652" w:type="dxa"/>
            <w:vMerge w:val="restart"/>
            <w:vAlign w:val="center"/>
          </w:tcPr>
          <w:p>
            <w:pPr>
              <w:snapToGrid w:val="0"/>
              <w:spacing w:before="78" w:line="332" w:lineRule="auto"/>
              <w:ind w:left="128" w:right="100" w:hanging="8"/>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rPr>
              <w:t>公司</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5"/>
                <w:sz w:val="24"/>
                <w:highlight w:val="none"/>
              </w:rPr>
              <w:t>管理</w:t>
            </w:r>
          </w:p>
        </w:tc>
        <w:tc>
          <w:tcPr>
            <w:tcW w:w="4931" w:type="dxa"/>
            <w:vAlign w:val="center"/>
          </w:tcPr>
          <w:p>
            <w:pPr>
              <w:snapToGrid w:val="0"/>
              <w:spacing w:before="79"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1、人员和车辆配备数量情况，不少于7个人和3台车，具体数量以投标应答为准。</w:t>
            </w:r>
          </w:p>
        </w:tc>
        <w:tc>
          <w:tcPr>
            <w:tcW w:w="731" w:type="dxa"/>
            <w:vAlign w:val="center"/>
          </w:tcPr>
          <w:p>
            <w:pPr>
              <w:snapToGrid w:val="0"/>
              <w:spacing w:before="78" w:line="180" w:lineRule="auto"/>
              <w:ind w:firstLine="23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2214" w:type="dxa"/>
            <w:vAlign w:val="center"/>
          </w:tcPr>
          <w:p>
            <w:pPr>
              <w:snapToGrid w:val="0"/>
              <w:spacing w:before="56" w:line="189" w:lineRule="auto"/>
              <w:ind w:firstLine="78"/>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按照投标中承诺配备的人员数和车辆数进行核查，每缺</w:t>
            </w:r>
            <w:r>
              <w:rPr>
                <w:rFonts w:hint="eastAsia" w:ascii="仿宋" w:hAnsi="仿宋" w:eastAsia="仿宋" w:cs="仿宋"/>
                <w:color w:val="auto"/>
                <w:spacing w:val="-11"/>
                <w:w w:val="97"/>
                <w:sz w:val="24"/>
                <w:highlight w:val="none"/>
              </w:rPr>
              <w:t>位</w:t>
            </w:r>
            <w:r>
              <w:rPr>
                <w:rFonts w:hint="eastAsia" w:ascii="仿宋" w:hAnsi="仿宋" w:eastAsia="仿宋" w:cs="仿宋"/>
                <w:color w:val="auto"/>
                <w:spacing w:val="-22"/>
                <w:sz w:val="24"/>
                <w:highlight w:val="none"/>
              </w:rPr>
              <w:t xml:space="preserve"> </w:t>
            </w:r>
            <w:r>
              <w:rPr>
                <w:rFonts w:hint="eastAsia" w:ascii="仿宋" w:hAnsi="仿宋" w:eastAsia="仿宋" w:cs="仿宋"/>
                <w:color w:val="auto"/>
                <w:spacing w:val="-11"/>
                <w:w w:val="97"/>
                <w:sz w:val="24"/>
                <w:highlight w:val="none"/>
              </w:rPr>
              <w:t>1</w:t>
            </w:r>
            <w:r>
              <w:rPr>
                <w:rFonts w:hint="eastAsia" w:ascii="仿宋" w:hAnsi="仿宋" w:eastAsia="仿宋" w:cs="仿宋"/>
                <w:color w:val="auto"/>
                <w:spacing w:val="-40"/>
                <w:sz w:val="24"/>
                <w:highlight w:val="none"/>
              </w:rPr>
              <w:t xml:space="preserve"> </w:t>
            </w:r>
            <w:r>
              <w:rPr>
                <w:rFonts w:hint="eastAsia" w:ascii="仿宋" w:hAnsi="仿宋" w:eastAsia="仿宋" w:cs="仿宋"/>
                <w:color w:val="auto"/>
                <w:spacing w:val="-11"/>
                <w:w w:val="97"/>
                <w:sz w:val="24"/>
                <w:highlight w:val="none"/>
              </w:rPr>
              <w:t>人或1车的，扣</w:t>
            </w:r>
            <w:r>
              <w:rPr>
                <w:rFonts w:hint="eastAsia" w:ascii="仿宋" w:hAnsi="仿宋" w:eastAsia="仿宋" w:cs="仿宋"/>
                <w:color w:val="auto"/>
                <w:spacing w:val="-34"/>
                <w:sz w:val="24"/>
                <w:highlight w:val="none"/>
              </w:rPr>
              <w:t xml:space="preserve"> </w:t>
            </w:r>
            <w:r>
              <w:rPr>
                <w:rFonts w:hint="eastAsia" w:ascii="仿宋" w:hAnsi="仿宋" w:eastAsia="仿宋" w:cs="仿宋"/>
                <w:color w:val="auto"/>
                <w:spacing w:val="-11"/>
                <w:w w:val="97"/>
                <w:sz w:val="24"/>
                <w:highlight w:val="none"/>
              </w:rPr>
              <w:t>1</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11"/>
                <w:w w:val="97"/>
                <w:sz w:val="24"/>
                <w:highlight w:val="none"/>
              </w:rPr>
              <w:t>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9" w:hRule="atLeast"/>
        </w:trPr>
        <w:tc>
          <w:tcPr>
            <w:tcW w:w="652" w:type="dxa"/>
            <w:vMerge w:val="continue"/>
            <w:vAlign w:val="center"/>
          </w:tcPr>
          <w:p>
            <w:pPr>
              <w:snapToGrid w:val="0"/>
              <w:textAlignment w:val="baseline"/>
              <w:rPr>
                <w:rFonts w:hint="eastAsia" w:ascii="仿宋" w:hAnsi="仿宋" w:eastAsia="仿宋" w:cs="仿宋"/>
                <w:color w:val="auto"/>
                <w:sz w:val="20"/>
                <w:highlight w:val="none"/>
              </w:rPr>
            </w:pPr>
          </w:p>
        </w:tc>
        <w:tc>
          <w:tcPr>
            <w:tcW w:w="4931" w:type="dxa"/>
            <w:vAlign w:val="center"/>
          </w:tcPr>
          <w:p>
            <w:pPr>
              <w:snapToGrid w:val="0"/>
              <w:spacing w:before="54" w:line="214" w:lineRule="auto"/>
              <w:ind w:left="25" w:hanging="4"/>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2、成交供应商应有健全的管理制度、作业规范、安全</w:t>
            </w:r>
            <w:r>
              <w:rPr>
                <w:rFonts w:hint="eastAsia" w:ascii="仿宋" w:hAnsi="仿宋" w:eastAsia="仿宋" w:cs="仿宋"/>
                <w:color w:val="auto"/>
                <w:spacing w:val="-7"/>
                <w:sz w:val="24"/>
                <w:highlight w:val="none"/>
              </w:rPr>
              <w:t>操作手册及项目相关技术规范等相关管理办法、制度、</w:t>
            </w:r>
          </w:p>
          <w:p>
            <w:pPr>
              <w:snapToGrid w:val="0"/>
              <w:spacing w:before="70" w:line="234" w:lineRule="auto"/>
              <w:ind w:left="70" w:right="56" w:firstLine="1"/>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技术规范等；项目管理人员对项目相关工作人员到位</w:t>
            </w:r>
            <w:r>
              <w:rPr>
                <w:rFonts w:hint="eastAsia" w:ascii="仿宋" w:hAnsi="仿宋" w:eastAsia="仿宋" w:cs="仿宋"/>
                <w:color w:val="auto"/>
                <w:sz w:val="24"/>
                <w:highlight w:val="none"/>
              </w:rPr>
              <w:t xml:space="preserve"> </w:t>
            </w:r>
            <w:r>
              <w:rPr>
                <w:rFonts w:hint="eastAsia" w:ascii="仿宋" w:hAnsi="仿宋" w:eastAsia="仿宋" w:cs="仿宋"/>
                <w:color w:val="auto"/>
                <w:spacing w:val="-9"/>
                <w:sz w:val="24"/>
                <w:highlight w:val="none"/>
              </w:rPr>
              <w:t>及工作落实情况监督检查情况；成交供应商组织开展</w:t>
            </w:r>
            <w:r>
              <w:rPr>
                <w:rFonts w:hint="eastAsia" w:ascii="仿宋" w:hAnsi="仿宋" w:eastAsia="仿宋" w:cs="仿宋"/>
                <w:color w:val="auto"/>
                <w:sz w:val="24"/>
                <w:highlight w:val="none"/>
              </w:rPr>
              <w:t xml:space="preserve"> </w:t>
            </w:r>
            <w:r>
              <w:rPr>
                <w:rFonts w:hint="eastAsia" w:ascii="仿宋" w:hAnsi="仿宋" w:eastAsia="仿宋" w:cs="仿宋"/>
                <w:color w:val="auto"/>
                <w:spacing w:val="-1"/>
                <w:sz w:val="24"/>
                <w:highlight w:val="none"/>
              </w:rPr>
              <w:t>对专职人员问题巡查、问题数据的收集整理、分类、</w:t>
            </w:r>
            <w:r>
              <w:rPr>
                <w:rFonts w:hint="eastAsia" w:ascii="仿宋" w:hAnsi="仿宋" w:eastAsia="仿宋" w:cs="仿宋"/>
                <w:color w:val="auto"/>
                <w:spacing w:val="7"/>
                <w:sz w:val="24"/>
                <w:highlight w:val="none"/>
              </w:rPr>
              <w:t xml:space="preserve"> </w:t>
            </w:r>
            <w:r>
              <w:rPr>
                <w:rFonts w:hint="eastAsia" w:ascii="仿宋" w:hAnsi="仿宋" w:eastAsia="仿宋" w:cs="仿宋"/>
                <w:color w:val="auto"/>
                <w:spacing w:val="-1"/>
                <w:sz w:val="24"/>
                <w:highlight w:val="none"/>
              </w:rPr>
              <w:t>核实及问题派发，整改落实回访监督检查，对各类问</w:t>
            </w:r>
            <w:r>
              <w:rPr>
                <w:rFonts w:hint="eastAsia" w:ascii="仿宋" w:hAnsi="仿宋" w:eastAsia="仿宋" w:cs="仿宋"/>
                <w:color w:val="auto"/>
                <w:spacing w:val="7"/>
                <w:sz w:val="24"/>
                <w:highlight w:val="none"/>
              </w:rPr>
              <w:t xml:space="preserve"> </w:t>
            </w:r>
            <w:r>
              <w:rPr>
                <w:rFonts w:hint="eastAsia" w:ascii="仿宋" w:hAnsi="仿宋" w:eastAsia="仿宋" w:cs="仿宋"/>
                <w:color w:val="auto"/>
                <w:spacing w:val="-1"/>
                <w:sz w:val="24"/>
                <w:highlight w:val="none"/>
              </w:rPr>
              <w:t>题数据分析，月度测评以及相关报告撰写等相关工作</w:t>
            </w:r>
            <w:r>
              <w:rPr>
                <w:rFonts w:hint="eastAsia" w:ascii="仿宋" w:hAnsi="仿宋" w:eastAsia="仿宋" w:cs="仿宋"/>
                <w:color w:val="auto"/>
                <w:spacing w:val="-8"/>
                <w:sz w:val="24"/>
                <w:highlight w:val="none"/>
              </w:rPr>
              <w:t>落实情况。问题相关问题数据收集上报落实情况；成</w:t>
            </w:r>
            <w:r>
              <w:rPr>
                <w:rFonts w:hint="eastAsia" w:ascii="仿宋" w:hAnsi="仿宋" w:eastAsia="仿宋" w:cs="仿宋"/>
                <w:color w:val="auto"/>
                <w:spacing w:val="-1"/>
                <w:sz w:val="24"/>
                <w:highlight w:val="none"/>
              </w:rPr>
              <w:t>交供应商组织开展相关业务知识培训情况（特别是采购人有新的工作要求时，成交供应商应组织相关业务人员针对新的工作要求及相关测评指标的学习培训及相关记录</w:t>
            </w:r>
            <w:r>
              <w:rPr>
                <w:rFonts w:hint="eastAsia" w:ascii="仿宋" w:hAnsi="仿宋" w:eastAsia="仿宋" w:cs="仿宋"/>
                <w:color w:val="auto"/>
                <w:spacing w:val="-73"/>
                <w:sz w:val="24"/>
                <w:highlight w:val="none"/>
              </w:rPr>
              <w:t>），</w:t>
            </w:r>
            <w:r>
              <w:rPr>
                <w:rFonts w:hint="eastAsia" w:ascii="仿宋" w:hAnsi="仿宋" w:eastAsia="仿宋" w:cs="仿宋"/>
                <w:color w:val="auto"/>
                <w:spacing w:val="-1"/>
                <w:sz w:val="24"/>
                <w:highlight w:val="none"/>
              </w:rPr>
              <w:t>该项通过抽查具体业务人员对相关巡查测</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2"/>
                <w:sz w:val="24"/>
                <w:highlight w:val="none"/>
              </w:rPr>
              <w:t>评指标体系熟悉程度进行考核。</w:t>
            </w:r>
          </w:p>
        </w:tc>
        <w:tc>
          <w:tcPr>
            <w:tcW w:w="731" w:type="dxa"/>
            <w:vAlign w:val="center"/>
          </w:tcPr>
          <w:p>
            <w:pPr>
              <w:snapToGrid w:val="0"/>
              <w:spacing w:before="78" w:line="180" w:lineRule="auto"/>
              <w:ind w:firstLine="24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2214" w:type="dxa"/>
            <w:vAlign w:val="center"/>
          </w:tcPr>
          <w:p>
            <w:pPr>
              <w:snapToGrid w:val="0"/>
              <w:spacing w:before="54" w:line="214" w:lineRule="auto"/>
              <w:ind w:left="78" w:right="62" w:firstLine="1"/>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相关管理办法、制</w:t>
            </w:r>
            <w:r>
              <w:rPr>
                <w:rFonts w:hint="eastAsia" w:ascii="仿宋" w:hAnsi="仿宋" w:eastAsia="仿宋" w:cs="仿宋"/>
                <w:color w:val="auto"/>
                <w:spacing w:val="6"/>
                <w:sz w:val="24"/>
                <w:highlight w:val="none"/>
              </w:rPr>
              <w:t xml:space="preserve"> </w:t>
            </w:r>
            <w:r>
              <w:rPr>
                <w:rFonts w:hint="eastAsia" w:ascii="仿宋" w:hAnsi="仿宋" w:eastAsia="仿宋" w:cs="仿宋"/>
                <w:color w:val="auto"/>
                <w:spacing w:val="-9"/>
                <w:sz w:val="24"/>
                <w:highlight w:val="none"/>
              </w:rPr>
              <w:t>度、技术规范等，</w:t>
            </w:r>
            <w:r>
              <w:rPr>
                <w:rFonts w:hint="eastAsia" w:ascii="仿宋" w:hAnsi="仿宋" w:eastAsia="仿宋" w:cs="仿宋"/>
                <w:color w:val="auto"/>
                <w:spacing w:val="-4"/>
                <w:sz w:val="24"/>
                <w:highlight w:val="none"/>
              </w:rPr>
              <w:t>每缺失一项扣一</w:t>
            </w:r>
            <w:r>
              <w:rPr>
                <w:rFonts w:hint="eastAsia" w:ascii="仿宋" w:hAnsi="仿宋" w:eastAsia="仿宋" w:cs="仿宋"/>
                <w:color w:val="auto"/>
                <w:spacing w:val="-24"/>
                <w:w w:val="99"/>
                <w:sz w:val="24"/>
                <w:highlight w:val="none"/>
              </w:rPr>
              <w:t>分；项目管理人员</w:t>
            </w:r>
            <w:r>
              <w:rPr>
                <w:rFonts w:hint="eastAsia" w:ascii="仿宋" w:hAnsi="仿宋" w:eastAsia="仿宋" w:cs="仿宋"/>
                <w:color w:val="auto"/>
                <w:spacing w:val="-3"/>
                <w:sz w:val="24"/>
                <w:highlight w:val="none"/>
              </w:rPr>
              <w:t>检查不到位一次扣</w:t>
            </w:r>
            <w:r>
              <w:rPr>
                <w:rFonts w:hint="eastAsia" w:ascii="仿宋" w:hAnsi="仿宋" w:eastAsia="仿宋" w:cs="仿宋"/>
                <w:color w:val="auto"/>
                <w:spacing w:val="-11"/>
                <w:w w:val="92"/>
                <w:sz w:val="24"/>
                <w:highlight w:val="none"/>
              </w:rPr>
              <w:t>1</w:t>
            </w:r>
            <w:r>
              <w:rPr>
                <w:rFonts w:hint="eastAsia" w:ascii="仿宋" w:hAnsi="仿宋" w:eastAsia="仿宋" w:cs="仿宋"/>
                <w:color w:val="auto"/>
                <w:spacing w:val="-39"/>
                <w:sz w:val="24"/>
                <w:highlight w:val="none"/>
              </w:rPr>
              <w:t xml:space="preserve"> </w:t>
            </w:r>
            <w:r>
              <w:rPr>
                <w:rFonts w:hint="eastAsia" w:ascii="仿宋" w:hAnsi="仿宋" w:eastAsia="仿宋" w:cs="仿宋"/>
                <w:color w:val="auto"/>
                <w:spacing w:val="-11"/>
                <w:w w:val="92"/>
                <w:sz w:val="24"/>
                <w:highlight w:val="none"/>
              </w:rPr>
              <w:t>分；专职人员、项</w:t>
            </w:r>
            <w:r>
              <w:rPr>
                <w:rFonts w:hint="eastAsia" w:ascii="仿宋" w:hAnsi="仿宋" w:eastAsia="仿宋" w:cs="仿宋"/>
                <w:color w:val="auto"/>
                <w:spacing w:val="-8"/>
                <w:sz w:val="24"/>
                <w:highlight w:val="none"/>
              </w:rPr>
              <w:t>目负责人未落实工</w:t>
            </w:r>
            <w:r>
              <w:rPr>
                <w:rFonts w:hint="eastAsia" w:ascii="仿宋" w:hAnsi="仿宋" w:eastAsia="仿宋" w:cs="仿宋"/>
                <w:color w:val="auto"/>
                <w:spacing w:val="-2"/>
                <w:sz w:val="24"/>
                <w:highlight w:val="none"/>
              </w:rPr>
              <w:t>作的，每次扣</w:t>
            </w:r>
            <w:r>
              <w:rPr>
                <w:rFonts w:hint="eastAsia" w:ascii="仿宋" w:hAnsi="仿宋" w:eastAsia="仿宋" w:cs="仿宋"/>
                <w:color w:val="auto"/>
                <w:spacing w:val="-49"/>
                <w:sz w:val="24"/>
                <w:highlight w:val="none"/>
              </w:rPr>
              <w:t xml:space="preserve"> </w:t>
            </w:r>
            <w:r>
              <w:rPr>
                <w:rFonts w:hint="eastAsia" w:ascii="仿宋" w:hAnsi="仿宋" w:eastAsia="仿宋" w:cs="仿宋"/>
                <w:color w:val="auto"/>
                <w:spacing w:val="-2"/>
                <w:sz w:val="24"/>
                <w:highlight w:val="none"/>
              </w:rPr>
              <w:t>0.5</w:t>
            </w:r>
            <w:r>
              <w:rPr>
                <w:rFonts w:hint="eastAsia" w:ascii="仿宋" w:hAnsi="仿宋" w:eastAsia="仿宋" w:cs="仿宋"/>
                <w:color w:val="auto"/>
                <w:spacing w:val="-24"/>
                <w:sz w:val="24"/>
                <w:highlight w:val="none"/>
              </w:rPr>
              <w:t>分；抽查发现业务</w:t>
            </w:r>
            <w:r>
              <w:rPr>
                <w:rFonts w:hint="eastAsia" w:ascii="仿宋" w:hAnsi="仿宋" w:eastAsia="仿宋" w:cs="仿宋"/>
                <w:color w:val="auto"/>
                <w:spacing w:val="-3"/>
                <w:sz w:val="24"/>
                <w:highlight w:val="none"/>
              </w:rPr>
              <w:t>人员对相关巡查测评体系解说不清楚</w:t>
            </w:r>
            <w:r>
              <w:rPr>
                <w:rFonts w:hint="eastAsia" w:ascii="仿宋" w:hAnsi="仿宋" w:eastAsia="仿宋" w:cs="仿宋"/>
                <w:color w:val="auto"/>
                <w:spacing w:val="-4"/>
                <w:sz w:val="24"/>
                <w:highlight w:val="none"/>
              </w:rPr>
              <w:t>的，每人次扣</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4"/>
                <w:sz w:val="24"/>
                <w:highlight w:val="none"/>
              </w:rPr>
              <w:t>0.5分。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4" w:hRule="atLeast"/>
        </w:trPr>
        <w:tc>
          <w:tcPr>
            <w:tcW w:w="652" w:type="dxa"/>
            <w:vMerge w:val="restart"/>
            <w:vAlign w:val="center"/>
          </w:tcPr>
          <w:p>
            <w:pPr>
              <w:snapToGrid w:val="0"/>
              <w:spacing w:before="78"/>
              <w:ind w:left="119" w:right="100" w:hanging="3"/>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巡查</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1"/>
                <w:sz w:val="24"/>
                <w:highlight w:val="none"/>
              </w:rPr>
              <w:t>要求</w:t>
            </w:r>
          </w:p>
        </w:tc>
        <w:tc>
          <w:tcPr>
            <w:tcW w:w="4931" w:type="dxa"/>
            <w:vAlign w:val="center"/>
          </w:tcPr>
          <w:p>
            <w:pPr>
              <w:snapToGrid w:val="0"/>
              <w:spacing w:before="55"/>
              <w:ind w:left="26" w:firstLine="10"/>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1、每天对巡查区域范围内的巡查项目内容进行巡查，</w:t>
            </w:r>
            <w:r>
              <w:rPr>
                <w:rFonts w:hint="eastAsia" w:ascii="仿宋" w:hAnsi="仿宋" w:eastAsia="仿宋" w:cs="仿宋"/>
                <w:color w:val="auto"/>
                <w:spacing w:val="21"/>
                <w:sz w:val="24"/>
                <w:highlight w:val="none"/>
              </w:rPr>
              <w:t xml:space="preserve"> </w:t>
            </w:r>
            <w:r>
              <w:rPr>
                <w:rFonts w:hint="eastAsia" w:ascii="仿宋" w:hAnsi="仿宋" w:eastAsia="仿宋" w:cs="仿宋"/>
                <w:color w:val="auto"/>
                <w:spacing w:val="-7"/>
                <w:sz w:val="24"/>
                <w:highlight w:val="none"/>
              </w:rPr>
              <w:t>做好巡查日志（包括时间、巡查线路、发现问题点位，</w:t>
            </w:r>
            <w:r>
              <w:rPr>
                <w:rFonts w:hint="eastAsia" w:ascii="仿宋" w:hAnsi="仿宋" w:eastAsia="仿宋" w:cs="仿宋"/>
                <w:color w:val="auto"/>
                <w:spacing w:val="13"/>
                <w:sz w:val="24"/>
                <w:highlight w:val="none"/>
              </w:rPr>
              <w:t xml:space="preserve"> </w:t>
            </w:r>
            <w:r>
              <w:rPr>
                <w:rFonts w:hint="eastAsia" w:ascii="仿宋" w:hAnsi="仿宋" w:eastAsia="仿宋" w:cs="仿宋"/>
                <w:color w:val="auto"/>
                <w:spacing w:val="-7"/>
                <w:sz w:val="24"/>
                <w:highlight w:val="none"/>
              </w:rPr>
              <w:t>巡查人员等）及问题档案记录，其中白天时段一次、</w:t>
            </w:r>
            <w:r>
              <w:rPr>
                <w:rFonts w:hint="eastAsia" w:ascii="仿宋" w:hAnsi="仿宋" w:eastAsia="仿宋" w:cs="仿宋"/>
                <w:color w:val="auto"/>
                <w:sz w:val="24"/>
                <w:highlight w:val="none"/>
              </w:rPr>
              <w:t xml:space="preserve"> </w:t>
            </w:r>
            <w:r>
              <w:rPr>
                <w:rFonts w:hint="eastAsia" w:ascii="仿宋" w:hAnsi="仿宋" w:eastAsia="仿宋" w:cs="仿宋"/>
                <w:color w:val="auto"/>
                <w:spacing w:val="-2"/>
                <w:sz w:val="24"/>
                <w:highlight w:val="none"/>
              </w:rPr>
              <w:t>夜间时段一次，个别项目内容视具体情况再进一步细</w:t>
            </w:r>
            <w:r>
              <w:rPr>
                <w:rFonts w:hint="eastAsia" w:ascii="仿宋" w:hAnsi="仿宋" w:eastAsia="仿宋" w:cs="仿宋"/>
                <w:color w:val="auto"/>
                <w:spacing w:val="-3"/>
                <w:sz w:val="24"/>
                <w:highlight w:val="none"/>
              </w:rPr>
              <w:t>化巡查频次。</w:t>
            </w:r>
          </w:p>
        </w:tc>
        <w:tc>
          <w:tcPr>
            <w:tcW w:w="731" w:type="dxa"/>
            <w:vAlign w:val="center"/>
          </w:tcPr>
          <w:p>
            <w:pPr>
              <w:snapToGrid w:val="0"/>
              <w:spacing w:before="78" w:line="180" w:lineRule="auto"/>
              <w:ind w:firstLine="178"/>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26</w:t>
            </w:r>
          </w:p>
        </w:tc>
        <w:tc>
          <w:tcPr>
            <w:tcW w:w="2214" w:type="dxa"/>
            <w:vAlign w:val="center"/>
          </w:tcPr>
          <w:p>
            <w:pPr>
              <w:snapToGrid w:val="0"/>
              <w:spacing w:before="79"/>
              <w:ind w:left="200" w:right="62" w:hanging="113"/>
              <w:textAlignment w:val="baseline"/>
              <w:rPr>
                <w:rFonts w:hint="eastAsia" w:ascii="仿宋" w:hAnsi="仿宋" w:eastAsia="仿宋" w:cs="仿宋"/>
                <w:color w:val="auto"/>
                <w:sz w:val="24"/>
                <w:highlight w:val="none"/>
              </w:rPr>
            </w:pPr>
            <w:r>
              <w:rPr>
                <w:rFonts w:hint="eastAsia" w:ascii="仿宋" w:hAnsi="仿宋" w:eastAsia="仿宋" w:cs="仿宋"/>
                <w:color w:val="auto"/>
                <w:spacing w:val="-4"/>
                <w:sz w:val="24"/>
                <w:highlight w:val="none"/>
              </w:rPr>
              <w:t>每发现缺少一次巡</w:t>
            </w:r>
            <w:r>
              <w:rPr>
                <w:rFonts w:hint="eastAsia" w:ascii="仿宋" w:hAnsi="仿宋" w:eastAsia="仿宋" w:cs="仿宋"/>
                <w:color w:val="auto"/>
                <w:spacing w:val="-7"/>
                <w:sz w:val="24"/>
                <w:highlight w:val="none"/>
              </w:rPr>
              <w:t>查记录扣</w:t>
            </w:r>
            <w:r>
              <w:rPr>
                <w:rFonts w:hint="eastAsia" w:ascii="仿宋" w:hAnsi="仿宋" w:eastAsia="仿宋" w:cs="仿宋"/>
                <w:color w:val="auto"/>
                <w:spacing w:val="-48"/>
                <w:sz w:val="24"/>
                <w:highlight w:val="none"/>
              </w:rPr>
              <w:t xml:space="preserve"> </w:t>
            </w:r>
            <w:r>
              <w:rPr>
                <w:rFonts w:hint="eastAsia" w:ascii="仿宋" w:hAnsi="仿宋" w:eastAsia="仿宋" w:cs="仿宋"/>
                <w:color w:val="auto"/>
                <w:spacing w:val="-7"/>
                <w:sz w:val="24"/>
                <w:highlight w:val="none"/>
              </w:rPr>
              <w:t>2</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7"/>
                <w:sz w:val="24"/>
                <w:highlight w:val="none"/>
              </w:rPr>
              <w:t>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4" w:hRule="atLeast"/>
        </w:trPr>
        <w:tc>
          <w:tcPr>
            <w:tcW w:w="652" w:type="dxa"/>
            <w:vMerge w:val="continue"/>
            <w:vAlign w:val="center"/>
          </w:tcPr>
          <w:p>
            <w:pPr>
              <w:snapToGrid w:val="0"/>
              <w:textAlignment w:val="baseline"/>
              <w:rPr>
                <w:rFonts w:hint="eastAsia" w:ascii="仿宋" w:hAnsi="仿宋" w:eastAsia="仿宋" w:cs="仿宋"/>
                <w:color w:val="auto"/>
                <w:sz w:val="20"/>
                <w:highlight w:val="none"/>
              </w:rPr>
            </w:pPr>
          </w:p>
        </w:tc>
        <w:tc>
          <w:tcPr>
            <w:tcW w:w="4931" w:type="dxa"/>
            <w:vAlign w:val="center"/>
          </w:tcPr>
          <w:p>
            <w:pPr>
              <w:snapToGrid w:val="0"/>
              <w:spacing w:before="211" w:line="189" w:lineRule="auto"/>
              <w:ind w:firstLine="21"/>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2、在巡查、督促检查过程中，必须严格遵守操作规程</w:t>
            </w:r>
            <w:r>
              <w:rPr>
                <w:rFonts w:hint="eastAsia" w:ascii="仿宋" w:hAnsi="仿宋" w:eastAsia="仿宋" w:cs="仿宋"/>
                <w:color w:val="auto"/>
                <w:spacing w:val="-8"/>
                <w:sz w:val="24"/>
                <w:highlight w:val="none"/>
              </w:rPr>
              <w:t>交通安全，保证人员人身安全；</w:t>
            </w:r>
            <w:r>
              <w:rPr>
                <w:rFonts w:hint="eastAsia" w:ascii="仿宋" w:hAnsi="仿宋" w:eastAsia="仿宋" w:cs="仿宋"/>
                <w:color w:val="auto"/>
                <w:spacing w:val="61"/>
                <w:sz w:val="24"/>
                <w:highlight w:val="none"/>
              </w:rPr>
              <w:t xml:space="preserve"> </w:t>
            </w:r>
            <w:r>
              <w:rPr>
                <w:rFonts w:hint="eastAsia" w:ascii="仿宋" w:hAnsi="仿宋" w:eastAsia="仿宋" w:cs="仿宋"/>
                <w:color w:val="auto"/>
                <w:spacing w:val="-8"/>
                <w:sz w:val="24"/>
                <w:highlight w:val="none"/>
              </w:rPr>
              <w:t>及时发现、上报、派</w:t>
            </w:r>
            <w:r>
              <w:rPr>
                <w:rFonts w:hint="eastAsia" w:ascii="仿宋" w:hAnsi="仿宋" w:eastAsia="仿宋" w:cs="仿宋"/>
                <w:color w:val="auto"/>
                <w:spacing w:val="-1"/>
                <w:sz w:val="24"/>
                <w:highlight w:val="none"/>
              </w:rPr>
              <w:t>发巡查发现问题，做好问题整改落实情况的跟踪督促</w:t>
            </w:r>
            <w:r>
              <w:rPr>
                <w:rFonts w:hint="eastAsia" w:ascii="仿宋" w:hAnsi="仿宋" w:eastAsia="仿宋" w:cs="仿宋"/>
                <w:color w:val="auto"/>
                <w:spacing w:val="-6"/>
                <w:sz w:val="24"/>
                <w:highlight w:val="none"/>
              </w:rPr>
              <w:t>检查。</w:t>
            </w:r>
          </w:p>
        </w:tc>
        <w:tc>
          <w:tcPr>
            <w:tcW w:w="731" w:type="dxa"/>
            <w:vAlign w:val="center"/>
          </w:tcPr>
          <w:p>
            <w:pPr>
              <w:snapToGrid w:val="0"/>
              <w:spacing w:before="79" w:line="180" w:lineRule="auto"/>
              <w:ind w:firstLine="178"/>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20</w:t>
            </w:r>
          </w:p>
        </w:tc>
        <w:tc>
          <w:tcPr>
            <w:tcW w:w="2214" w:type="dxa"/>
            <w:vAlign w:val="center"/>
          </w:tcPr>
          <w:p>
            <w:pPr>
              <w:snapToGrid w:val="0"/>
              <w:spacing w:before="55" w:line="189" w:lineRule="auto"/>
              <w:ind w:firstLine="80"/>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在巡查、督促检查</w:t>
            </w:r>
            <w:r>
              <w:rPr>
                <w:rFonts w:hint="eastAsia" w:ascii="仿宋" w:hAnsi="仿宋" w:eastAsia="仿宋" w:cs="仿宋"/>
                <w:color w:val="auto"/>
                <w:spacing w:val="-6"/>
                <w:sz w:val="24"/>
                <w:highlight w:val="none"/>
              </w:rPr>
              <w:t>中，未及时发现问</w:t>
            </w:r>
            <w:r>
              <w:rPr>
                <w:rFonts w:hint="eastAsia" w:ascii="仿宋" w:hAnsi="仿宋" w:eastAsia="仿宋" w:cs="仿宋"/>
                <w:color w:val="auto"/>
                <w:spacing w:val="-3"/>
                <w:sz w:val="24"/>
                <w:highlight w:val="none"/>
              </w:rPr>
              <w:t>题，统计分析并上</w:t>
            </w:r>
            <w:r>
              <w:rPr>
                <w:rFonts w:hint="eastAsia" w:ascii="仿宋" w:hAnsi="仿宋" w:eastAsia="仿宋" w:cs="仿宋"/>
                <w:color w:val="auto"/>
                <w:spacing w:val="-12"/>
                <w:sz w:val="24"/>
                <w:highlight w:val="none"/>
              </w:rPr>
              <w:t>报的，每有一次扣</w:t>
            </w:r>
            <w:r>
              <w:rPr>
                <w:rFonts w:hint="eastAsia" w:ascii="仿宋" w:hAnsi="仿宋" w:eastAsia="仿宋" w:cs="仿宋"/>
                <w:color w:val="auto"/>
                <w:spacing w:val="-45"/>
                <w:sz w:val="24"/>
                <w:highlight w:val="none"/>
              </w:rPr>
              <w:t xml:space="preserve"> </w:t>
            </w:r>
            <w:r>
              <w:rPr>
                <w:rFonts w:hint="eastAsia" w:ascii="仿宋" w:hAnsi="仿宋" w:eastAsia="仿宋" w:cs="仿宋"/>
                <w:color w:val="auto"/>
                <w:spacing w:val="-12"/>
                <w:sz w:val="24"/>
                <w:highlight w:val="none"/>
              </w:rPr>
              <w:t>2分。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trPr>
        <w:tc>
          <w:tcPr>
            <w:tcW w:w="652" w:type="dxa"/>
            <w:vMerge w:val="restart"/>
            <w:vAlign w:val="center"/>
          </w:tcPr>
          <w:p>
            <w:pPr>
              <w:snapToGrid w:val="0"/>
              <w:spacing w:before="78"/>
              <w:ind w:left="116" w:leftChars="0" w:right="100" w:rightChars="0" w:firstLine="6" w:firstLineChars="0"/>
              <w:textAlignment w:val="baseline"/>
              <w:rPr>
                <w:rFonts w:hint="eastAsia" w:ascii="仿宋" w:hAnsi="仿宋" w:eastAsia="仿宋" w:cs="仿宋"/>
                <w:color w:val="auto"/>
                <w:sz w:val="24"/>
                <w:highlight w:val="none"/>
              </w:rPr>
            </w:pPr>
            <w:r>
              <w:rPr>
                <w:rFonts w:hint="eastAsia" w:ascii="仿宋" w:hAnsi="仿宋" w:eastAsia="仿宋" w:cs="仿宋"/>
                <w:color w:val="auto"/>
                <w:spacing w:val="-12"/>
                <w:sz w:val="24"/>
                <w:highlight w:val="none"/>
              </w:rPr>
              <w:t>曝光</w:t>
            </w:r>
            <w:r>
              <w:rPr>
                <w:rFonts w:hint="eastAsia" w:ascii="仿宋" w:hAnsi="仿宋" w:eastAsia="仿宋" w:cs="仿宋"/>
                <w:color w:val="auto"/>
                <w:sz w:val="24"/>
                <w:highlight w:val="none"/>
              </w:rPr>
              <w:t xml:space="preserve"> </w:t>
            </w:r>
            <w:r>
              <w:rPr>
                <w:rFonts w:hint="eastAsia" w:ascii="仿宋" w:hAnsi="仿宋" w:eastAsia="仿宋" w:cs="仿宋"/>
                <w:color w:val="auto"/>
                <w:spacing w:val="-9"/>
                <w:sz w:val="24"/>
                <w:highlight w:val="none"/>
              </w:rPr>
              <w:t>问题</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9"/>
                <w:sz w:val="24"/>
                <w:highlight w:val="none"/>
              </w:rPr>
              <w:t>处罚</w:t>
            </w:r>
          </w:p>
        </w:tc>
        <w:tc>
          <w:tcPr>
            <w:tcW w:w="4931" w:type="dxa"/>
            <w:vAlign w:val="center"/>
          </w:tcPr>
          <w:p>
            <w:pPr>
              <w:snapToGrid w:val="0"/>
              <w:spacing w:before="224"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1、被市治理办、市城管委和采购人单位领导发现或被通报的。</w:t>
            </w:r>
          </w:p>
        </w:tc>
        <w:tc>
          <w:tcPr>
            <w:tcW w:w="731" w:type="dxa"/>
            <w:vAlign w:val="center"/>
          </w:tcPr>
          <w:p>
            <w:pPr>
              <w:snapToGrid w:val="0"/>
              <w:spacing w:before="265" w:line="180" w:lineRule="auto"/>
              <w:ind w:firstLine="192" w:firstLineChars="0"/>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2214" w:type="dxa"/>
            <w:vMerge w:val="restart"/>
            <w:vAlign w:val="center"/>
          </w:tcPr>
          <w:p>
            <w:pPr>
              <w:snapToGrid w:val="0"/>
              <w:spacing w:before="57"/>
              <w:ind w:left="78" w:leftChars="0" w:right="62" w:rightChars="0"/>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经采购人核</w:t>
            </w:r>
            <w:r>
              <w:rPr>
                <w:rFonts w:hint="eastAsia" w:ascii="仿宋" w:hAnsi="仿宋" w:eastAsia="仿宋" w:cs="仿宋"/>
                <w:color w:val="auto"/>
                <w:sz w:val="24"/>
                <w:highlight w:val="none"/>
              </w:rPr>
              <w:t>实，</w:t>
            </w:r>
            <w:r>
              <w:rPr>
                <w:rFonts w:hint="eastAsia" w:ascii="仿宋" w:hAnsi="仿宋" w:eastAsia="仿宋" w:cs="仿宋"/>
                <w:color w:val="auto"/>
                <w:spacing w:val="-2"/>
                <w:sz w:val="24"/>
                <w:highlight w:val="none"/>
              </w:rPr>
              <w:t>被市治理办、市城</w:t>
            </w:r>
            <w:r>
              <w:rPr>
                <w:rFonts w:hint="eastAsia" w:ascii="仿宋" w:hAnsi="仿宋" w:eastAsia="仿宋" w:cs="仿宋"/>
                <w:color w:val="auto"/>
                <w:sz w:val="24"/>
                <w:highlight w:val="none"/>
              </w:rPr>
              <w:t xml:space="preserve"> </w:t>
            </w:r>
            <w:r>
              <w:rPr>
                <w:rFonts w:hint="eastAsia" w:ascii="仿宋" w:hAnsi="仿宋" w:eastAsia="仿宋" w:cs="仿宋"/>
                <w:color w:val="auto"/>
                <w:spacing w:val="-2"/>
                <w:sz w:val="24"/>
                <w:highlight w:val="none"/>
              </w:rPr>
              <w:t>管委、</w:t>
            </w:r>
            <w:r>
              <w:rPr>
                <w:rFonts w:hint="eastAsia" w:ascii="仿宋" w:hAnsi="仿宋" w:eastAsia="仿宋" w:cs="仿宋"/>
                <w:color w:val="auto"/>
                <w:spacing w:val="-2"/>
                <w:sz w:val="24"/>
                <w:highlight w:val="none"/>
                <w:lang w:val="en-US" w:eastAsia="zh-CN"/>
              </w:rPr>
              <w:t>采购人单位</w:t>
            </w:r>
            <w:r>
              <w:rPr>
                <w:rFonts w:hint="eastAsia" w:ascii="仿宋" w:hAnsi="仿宋" w:eastAsia="仿宋" w:cs="仿宋"/>
                <w:color w:val="auto"/>
                <w:spacing w:val="-2"/>
                <w:sz w:val="24"/>
                <w:highlight w:val="none"/>
              </w:rPr>
              <w:t>领导发现</w:t>
            </w:r>
            <w:r>
              <w:rPr>
                <w:rFonts w:hint="eastAsia" w:ascii="仿宋" w:hAnsi="仿宋" w:eastAsia="仿宋" w:cs="仿宋"/>
                <w:color w:val="auto"/>
                <w:spacing w:val="-2"/>
                <w:sz w:val="24"/>
                <w:highlight w:val="none"/>
                <w:lang w:val="en-US" w:eastAsia="zh-CN"/>
              </w:rPr>
              <w:t>未巡查到位</w:t>
            </w:r>
            <w:r>
              <w:rPr>
                <w:rFonts w:hint="eastAsia" w:ascii="仿宋" w:hAnsi="仿宋" w:eastAsia="仿宋" w:cs="仿宋"/>
                <w:color w:val="auto"/>
                <w:spacing w:val="-2"/>
                <w:sz w:val="24"/>
                <w:highlight w:val="none"/>
              </w:rPr>
              <w:t>并被点名批评或通报，</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z w:val="24"/>
                <w:highlight w:val="none"/>
                <w:lang w:val="en-US" w:eastAsia="zh-CN"/>
              </w:rPr>
              <w:t>10</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pacing w:val="-2"/>
                <w:sz w:val="24"/>
                <w:highlight w:val="none"/>
              </w:rPr>
              <w:t>媒体曝光的而成交供应商对被批评、通报或曝光事项未有任何巡查发现记录的，</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pacing w:val="-44"/>
                <w:sz w:val="24"/>
                <w:highlight w:val="none"/>
              </w:rPr>
              <w:t>1</w:t>
            </w:r>
            <w:r>
              <w:rPr>
                <w:rFonts w:hint="eastAsia" w:ascii="仿宋" w:hAnsi="仿宋" w:eastAsia="仿宋" w:cs="仿宋"/>
                <w:color w:val="auto"/>
                <w:sz w:val="24"/>
                <w:highlight w:val="none"/>
              </w:rPr>
              <w:t>5</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；被四川省、成都市、四川天府新区党工委管委会领导检查</w:t>
            </w:r>
            <w:r>
              <w:rPr>
                <w:rFonts w:hint="eastAsia" w:ascii="仿宋" w:hAnsi="仿宋" w:eastAsia="仿宋" w:cs="仿宋"/>
                <w:color w:val="auto"/>
                <w:spacing w:val="-2"/>
                <w:sz w:val="24"/>
                <w:highlight w:val="none"/>
              </w:rPr>
              <w:t>发现</w:t>
            </w:r>
            <w:r>
              <w:rPr>
                <w:rFonts w:hint="eastAsia" w:ascii="仿宋" w:hAnsi="仿宋" w:eastAsia="仿宋" w:cs="仿宋"/>
                <w:color w:val="auto"/>
                <w:spacing w:val="-2"/>
                <w:sz w:val="24"/>
                <w:highlight w:val="none"/>
                <w:lang w:val="en-US" w:eastAsia="zh-CN"/>
              </w:rPr>
              <w:t>未巡查到位</w:t>
            </w:r>
            <w:r>
              <w:rPr>
                <w:rFonts w:hint="eastAsia" w:ascii="仿宋" w:hAnsi="仿宋" w:eastAsia="仿宋" w:cs="仿宋"/>
                <w:color w:val="auto"/>
                <w:spacing w:val="-2"/>
                <w:sz w:val="24"/>
                <w:highlight w:val="none"/>
              </w:rPr>
              <w:t>并被点名批评或通报</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z w:val="24"/>
                <w:highlight w:val="none"/>
                <w:lang w:val="en-US" w:eastAsia="zh-CN"/>
              </w:rPr>
              <w:t>20</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pacing w:val="-2"/>
                <w:sz w:val="24"/>
                <w:highlight w:val="none"/>
                <w:lang w:val="en-US" w:eastAsia="zh-CN"/>
              </w:rPr>
              <w:t>一次最多扣45分</w:t>
            </w:r>
            <w:r>
              <w:rPr>
                <w:rFonts w:hint="eastAsia" w:ascii="仿宋" w:hAnsi="仿宋" w:eastAsia="仿宋" w:cs="仿宋"/>
                <w:color w:val="auto"/>
                <w:spacing w:val="-6"/>
                <w:sz w:val="24"/>
                <w:highlight w:val="none"/>
              </w:rPr>
              <w:t>。</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6" w:hRule="atLeast"/>
        </w:trPr>
        <w:tc>
          <w:tcPr>
            <w:tcW w:w="652" w:type="dxa"/>
            <w:vMerge w:val="continue"/>
            <w:vAlign w:val="center"/>
          </w:tcPr>
          <w:p>
            <w:pPr>
              <w:snapToGrid w:val="0"/>
              <w:textAlignment w:val="baseline"/>
              <w:rPr>
                <w:rFonts w:hint="eastAsia" w:ascii="仿宋" w:hAnsi="仿宋" w:eastAsia="仿宋" w:cs="仿宋"/>
                <w:color w:val="auto"/>
                <w:sz w:val="20"/>
                <w:highlight w:val="none"/>
              </w:rPr>
            </w:pPr>
          </w:p>
        </w:tc>
        <w:tc>
          <w:tcPr>
            <w:tcW w:w="4931" w:type="dxa"/>
            <w:vAlign w:val="center"/>
          </w:tcPr>
          <w:p>
            <w:pPr>
              <w:snapToGrid w:val="0"/>
              <w:spacing w:before="78"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2、媒体曝光的。</w:t>
            </w:r>
          </w:p>
        </w:tc>
        <w:tc>
          <w:tcPr>
            <w:tcW w:w="731" w:type="dxa"/>
            <w:vAlign w:val="center"/>
          </w:tcPr>
          <w:p>
            <w:pPr>
              <w:snapToGrid w:val="0"/>
              <w:spacing w:before="78" w:line="180" w:lineRule="auto"/>
              <w:ind w:firstLine="192"/>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pacing w:val="-11"/>
                <w:w w:val="98"/>
                <w:sz w:val="24"/>
                <w:highlight w:val="none"/>
                <w:lang w:val="en-US" w:eastAsia="zh-CN"/>
              </w:rPr>
              <w:t>15</w:t>
            </w:r>
          </w:p>
        </w:tc>
        <w:tc>
          <w:tcPr>
            <w:tcW w:w="2214" w:type="dxa"/>
            <w:vMerge w:val="continue"/>
            <w:vAlign w:val="center"/>
          </w:tcPr>
          <w:p>
            <w:pPr>
              <w:snapToGrid w:val="0"/>
              <w:textAlignment w:val="baseline"/>
              <w:rPr>
                <w:rFonts w:hint="eastAsia" w:ascii="仿宋" w:hAnsi="仿宋" w:eastAsia="仿宋" w:cs="仿宋"/>
                <w:color w:val="auto"/>
                <w:sz w:val="20"/>
                <w:highlight w:val="none"/>
              </w:rPr>
            </w:pP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 w:hRule="atLeast"/>
        </w:trPr>
        <w:tc>
          <w:tcPr>
            <w:tcW w:w="652" w:type="dxa"/>
            <w:vMerge w:val="continue"/>
            <w:vAlign w:val="center"/>
          </w:tcPr>
          <w:p>
            <w:pPr>
              <w:snapToGrid w:val="0"/>
              <w:textAlignment w:val="baseline"/>
              <w:rPr>
                <w:rFonts w:hint="eastAsia" w:ascii="仿宋" w:hAnsi="仿宋" w:eastAsia="仿宋" w:cs="仿宋"/>
                <w:color w:val="auto"/>
                <w:sz w:val="20"/>
                <w:highlight w:val="none"/>
              </w:rPr>
            </w:pPr>
          </w:p>
        </w:tc>
        <w:tc>
          <w:tcPr>
            <w:tcW w:w="4931" w:type="dxa"/>
            <w:vAlign w:val="center"/>
          </w:tcPr>
          <w:p>
            <w:pPr>
              <w:snapToGrid w:val="0"/>
              <w:spacing w:before="78" w:line="189" w:lineRule="auto"/>
              <w:ind w:firstLine="23"/>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rPr>
              <w:t>3、被四川省、成都市、四川天府新区党工委管委会领导检查发现的。</w:t>
            </w:r>
          </w:p>
        </w:tc>
        <w:tc>
          <w:tcPr>
            <w:tcW w:w="731" w:type="dxa"/>
            <w:vAlign w:val="center"/>
          </w:tcPr>
          <w:p>
            <w:pPr>
              <w:snapToGrid w:val="0"/>
              <w:spacing w:before="78" w:line="180" w:lineRule="auto"/>
              <w:ind w:firstLine="192"/>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pacing w:val="-11"/>
                <w:w w:val="98"/>
                <w:sz w:val="24"/>
                <w:highlight w:val="none"/>
                <w:lang w:val="en-US" w:eastAsia="zh-CN"/>
              </w:rPr>
              <w:t>20</w:t>
            </w:r>
          </w:p>
        </w:tc>
        <w:tc>
          <w:tcPr>
            <w:tcW w:w="2214" w:type="dxa"/>
            <w:vMerge w:val="continue"/>
            <w:vAlign w:val="center"/>
          </w:tcPr>
          <w:p>
            <w:pPr>
              <w:snapToGrid w:val="0"/>
              <w:textAlignment w:val="baseline"/>
              <w:rPr>
                <w:rFonts w:hint="eastAsia" w:ascii="仿宋" w:hAnsi="仿宋" w:eastAsia="仿宋" w:cs="仿宋"/>
                <w:color w:val="auto"/>
                <w:sz w:val="20"/>
                <w:highlight w:val="none"/>
              </w:rPr>
            </w:pPr>
          </w:p>
        </w:tc>
        <w:tc>
          <w:tcPr>
            <w:tcW w:w="549" w:type="dxa"/>
            <w:vAlign w:val="center"/>
          </w:tcPr>
          <w:p>
            <w:pPr>
              <w:snapToGrid w:val="0"/>
              <w:textAlignment w:val="baseline"/>
              <w:rPr>
                <w:rFonts w:hint="eastAsia" w:ascii="仿宋" w:hAnsi="仿宋" w:eastAsia="仿宋" w:cs="仿宋"/>
                <w:color w:val="auto"/>
                <w:sz w:val="20"/>
                <w:highlight w:val="none"/>
              </w:rPr>
            </w:pPr>
          </w:p>
        </w:tc>
      </w:tr>
    </w:tbl>
    <w:p>
      <w:pPr>
        <w:snapToGrid w:val="0"/>
        <w:spacing w:line="444" w:lineRule="auto"/>
        <w:textAlignment w:val="baseline"/>
        <w:rPr>
          <w:rFonts w:hint="eastAsia" w:ascii="仿宋" w:hAnsi="仿宋" w:eastAsia="仿宋" w:cs="仿宋"/>
          <w:color w:val="auto"/>
          <w:sz w:val="20"/>
          <w:highlight w:val="none"/>
        </w:rPr>
      </w:pP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2、考核结果处理办法</w:t>
      </w:r>
    </w:p>
    <w:p>
      <w:pPr>
        <w:snapToGrid w:val="0"/>
        <w:spacing w:line="590" w:lineRule="exact"/>
        <w:ind w:firstLine="58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月末考核得分,80-85 分（包含80分、不包含85分）的，扣罚合同款（85-当月考核得分）*1000 元，</w:t>
      </w:r>
      <w:r>
        <w:rPr>
          <w:rFonts w:hint="eastAsia" w:ascii="仿宋" w:hAnsi="仿宋" w:eastAsia="仿宋" w:cs="仿宋"/>
          <w:color w:val="auto"/>
          <w:sz w:val="24"/>
          <w:highlight w:val="none"/>
          <w:lang w:val="en-US" w:eastAsia="zh-CN"/>
        </w:rPr>
        <w:t>一年内</w:t>
      </w:r>
      <w:r>
        <w:rPr>
          <w:rFonts w:hint="eastAsia" w:ascii="仿宋" w:hAnsi="仿宋" w:eastAsia="仿宋" w:cs="仿宋"/>
          <w:color w:val="auto"/>
          <w:sz w:val="24"/>
          <w:highlight w:val="none"/>
        </w:rPr>
        <w:t>出现三个月得分情况均为80-85分的，则更换项目负责人并扣罚合同款 5000 元；月末考核得分在 80 分以下（不包含80分）的，扣罚合同款（80-当月考核得分）*2000 元，</w:t>
      </w:r>
      <w:r>
        <w:rPr>
          <w:rFonts w:hint="eastAsia" w:ascii="仿宋" w:hAnsi="仿宋" w:eastAsia="仿宋" w:cs="仿宋"/>
          <w:color w:val="auto"/>
          <w:sz w:val="24"/>
          <w:highlight w:val="none"/>
          <w:lang w:val="en-US" w:eastAsia="zh-CN"/>
        </w:rPr>
        <w:t>一年内</w:t>
      </w:r>
      <w:r>
        <w:rPr>
          <w:rFonts w:hint="eastAsia" w:ascii="仿宋" w:hAnsi="仿宋" w:eastAsia="仿宋" w:cs="仿宋"/>
          <w:color w:val="auto"/>
          <w:sz w:val="24"/>
          <w:highlight w:val="none"/>
        </w:rPr>
        <w:t>出现三个月得分情况均为80分以下的，则直接扣罚10000元，且采购人有权直接解除合同。</w:t>
      </w:r>
    </w:p>
    <w:p>
      <w:pPr>
        <w:pStyle w:val="16"/>
        <w:snapToGrid w:val="0"/>
        <w:textAlignment w:val="baseline"/>
        <w:rPr>
          <w:rFonts w:hint="eastAsia" w:ascii="仿宋" w:hAnsi="仿宋" w:eastAsia="仿宋" w:cs="仿宋"/>
          <w:color w:val="auto"/>
          <w:highlight w:val="none"/>
        </w:rPr>
      </w:pPr>
    </w:p>
    <w:p>
      <w:pPr>
        <w:snapToGrid w:val="0"/>
        <w:spacing w:before="78" w:line="214" w:lineRule="auto"/>
        <w:ind w:right="1"/>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pacing w:val="-1"/>
          <w:sz w:val="24"/>
          <w:highlight w:val="none"/>
          <w14:textOutline w14:w="4356" w14:cap="sq" w14:cmpd="sng" w14:algn="ctr">
            <w14:solidFill>
              <w14:srgbClr w14:val="000000"/>
            </w14:solidFill>
            <w14:prstDash w14:val="solid"/>
            <w14:bevel/>
          </w14:textOutline>
        </w:rPr>
        <w:t>考核评分汇总表（月份）</w:t>
      </w:r>
    </w:p>
    <w:p>
      <w:pPr>
        <w:snapToGrid w:val="0"/>
        <w:spacing w:line="31" w:lineRule="exact"/>
        <w:textAlignment w:val="baseline"/>
        <w:rPr>
          <w:rFonts w:hint="eastAsia" w:ascii="仿宋" w:hAnsi="仿宋" w:eastAsia="仿宋" w:cs="仿宋"/>
          <w:color w:val="auto"/>
          <w:sz w:val="20"/>
          <w:highlight w:val="none"/>
        </w:rPr>
      </w:pPr>
    </w:p>
    <w:tbl>
      <w:tblPr>
        <w:tblStyle w:val="76"/>
        <w:tblW w:w="90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1498"/>
        <w:gridCol w:w="1400"/>
        <w:gridCol w:w="1607"/>
        <w:gridCol w:w="1642"/>
        <w:gridCol w:w="15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366" w:type="dxa"/>
          </w:tcPr>
          <w:p>
            <w:pPr>
              <w:snapToGrid w:val="0"/>
              <w:spacing w:line="243" w:lineRule="auto"/>
              <w:textAlignment w:val="baseline"/>
              <w:rPr>
                <w:rFonts w:hint="eastAsia" w:ascii="仿宋" w:hAnsi="仿宋" w:eastAsia="仿宋" w:cs="仿宋"/>
                <w:color w:val="auto"/>
                <w:sz w:val="20"/>
                <w:highlight w:val="none"/>
              </w:rPr>
            </w:pPr>
          </w:p>
          <w:p>
            <w:pPr>
              <w:snapToGrid w:val="0"/>
              <w:spacing w:before="78" w:line="189" w:lineRule="auto"/>
              <w:ind w:firstLine="131"/>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公司名称</w:t>
            </w:r>
          </w:p>
        </w:tc>
        <w:tc>
          <w:tcPr>
            <w:tcW w:w="1498" w:type="dxa"/>
          </w:tcPr>
          <w:p>
            <w:pPr>
              <w:snapToGrid w:val="0"/>
              <w:spacing w:before="120" w:line="274" w:lineRule="auto"/>
              <w:ind w:left="444" w:right="166" w:hanging="259"/>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公司管理</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9</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分</w:t>
            </w:r>
          </w:p>
        </w:tc>
        <w:tc>
          <w:tcPr>
            <w:tcW w:w="1400" w:type="dxa"/>
          </w:tcPr>
          <w:p>
            <w:pPr>
              <w:snapToGrid w:val="0"/>
              <w:spacing w:before="120" w:line="274" w:lineRule="auto"/>
              <w:ind w:left="341" w:right="142" w:hanging="218"/>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巡查要求</w:t>
            </w:r>
            <w:r>
              <w:rPr>
                <w:rFonts w:hint="eastAsia" w:ascii="仿宋" w:hAnsi="仿宋" w:eastAsia="仿宋" w:cs="仿宋"/>
                <w:color w:val="auto"/>
                <w:spacing w:val="3"/>
                <w:sz w:val="24"/>
                <w:highlight w:val="none"/>
              </w:rPr>
              <w:t xml:space="preserve"> </w:t>
            </w:r>
            <w:r>
              <w:rPr>
                <w:rFonts w:hint="eastAsia" w:ascii="仿宋" w:hAnsi="仿宋" w:eastAsia="仿宋" w:cs="仿宋"/>
                <w:color w:val="auto"/>
                <w:spacing w:val="-3"/>
                <w:sz w:val="24"/>
                <w:highlight w:val="none"/>
                <w14:textOutline w14:w="4356" w14:cap="sq" w14:cmpd="sng" w14:algn="ctr">
                  <w14:solidFill>
                    <w14:srgbClr w14:val="000000"/>
                  </w14:solidFill>
                  <w14:prstDash w14:val="solid"/>
                  <w14:bevel/>
                </w14:textOutline>
              </w:rPr>
              <w:t>46</w:t>
            </w:r>
            <w:r>
              <w:rPr>
                <w:rFonts w:hint="eastAsia" w:ascii="仿宋" w:hAnsi="仿宋" w:eastAsia="仿宋" w:cs="仿宋"/>
                <w:color w:val="auto"/>
                <w:spacing w:val="-40"/>
                <w:sz w:val="24"/>
                <w:highlight w:val="none"/>
              </w:rPr>
              <w:t xml:space="preserve"> </w:t>
            </w:r>
            <w:r>
              <w:rPr>
                <w:rFonts w:hint="eastAsia" w:ascii="仿宋" w:hAnsi="仿宋" w:eastAsia="仿宋" w:cs="仿宋"/>
                <w:color w:val="auto"/>
                <w:spacing w:val="-3"/>
                <w:sz w:val="24"/>
                <w:highlight w:val="none"/>
                <w14:textOutline w14:w="4356" w14:cap="sq" w14:cmpd="sng" w14:algn="ctr">
                  <w14:solidFill>
                    <w14:srgbClr w14:val="000000"/>
                  </w14:solidFill>
                  <w14:prstDash w14:val="solid"/>
                  <w14:bevel/>
                </w14:textOutline>
              </w:rPr>
              <w:t>分</w:t>
            </w:r>
          </w:p>
        </w:tc>
        <w:tc>
          <w:tcPr>
            <w:tcW w:w="1607" w:type="dxa"/>
          </w:tcPr>
          <w:p>
            <w:pPr>
              <w:snapToGrid w:val="0"/>
              <w:spacing w:before="120" w:line="274" w:lineRule="auto"/>
              <w:ind w:left="430" w:right="211" w:hanging="192"/>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曝光问题</w:t>
            </w:r>
            <w:r>
              <w:rPr>
                <w:rFonts w:hint="eastAsia" w:ascii="仿宋" w:hAnsi="仿宋" w:eastAsia="仿宋" w:cs="仿宋"/>
                <w:color w:val="auto"/>
                <w:spacing w:val="2"/>
                <w:sz w:val="24"/>
                <w:highlight w:val="none"/>
              </w:rPr>
              <w:t xml:space="preserve"> </w:t>
            </w:r>
            <w:r>
              <w:rPr>
                <w:rFonts w:hint="eastAsia" w:ascii="仿宋" w:hAnsi="仿宋" w:eastAsia="仿宋" w:cs="仿宋"/>
                <w:color w:val="auto"/>
                <w:spacing w:val="-2"/>
                <w:sz w:val="24"/>
                <w:highlight w:val="none"/>
                <w14:textOutline w14:w="4356" w14:cap="sq" w14:cmpd="sng" w14:algn="ctr">
                  <w14:solidFill>
                    <w14:srgbClr w14:val="000000"/>
                  </w14:solidFill>
                  <w14:prstDash w14:val="solid"/>
                  <w14:bevel/>
                </w14:textOutline>
              </w:rPr>
              <w:t>45</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2"/>
                <w:sz w:val="24"/>
                <w:highlight w:val="none"/>
                <w14:textOutline w14:w="4356" w14:cap="sq" w14:cmpd="sng" w14:algn="ctr">
                  <w14:solidFill>
                    <w14:srgbClr w14:val="000000"/>
                  </w14:solidFill>
                  <w14:prstDash w14:val="solid"/>
                  <w14:bevel/>
                </w14:textOutline>
              </w:rPr>
              <w:t>分</w:t>
            </w:r>
          </w:p>
        </w:tc>
        <w:tc>
          <w:tcPr>
            <w:tcW w:w="1642" w:type="dxa"/>
          </w:tcPr>
          <w:p>
            <w:pPr>
              <w:snapToGrid w:val="0"/>
              <w:spacing w:before="119" w:line="468" w:lineRule="exact"/>
              <w:ind w:firstLine="377"/>
              <w:textAlignment w:val="baseline"/>
              <w:rPr>
                <w:rFonts w:hint="eastAsia" w:ascii="仿宋" w:hAnsi="仿宋" w:eastAsia="仿宋" w:cs="仿宋"/>
                <w:color w:val="auto"/>
                <w:sz w:val="24"/>
                <w:highlight w:val="none"/>
              </w:rPr>
            </w:pPr>
            <w:r>
              <w:rPr>
                <w:rFonts w:hint="eastAsia" w:ascii="仿宋" w:hAnsi="仿宋" w:eastAsia="仿宋" w:cs="仿宋"/>
                <w:color w:val="auto"/>
                <w:spacing w:val="-9"/>
                <w:position w:val="16"/>
                <w:sz w:val="24"/>
                <w:highlight w:val="none"/>
                <w14:textOutline w14:w="4356" w14:cap="sq" w14:cmpd="sng" w14:algn="ctr">
                  <w14:solidFill>
                    <w14:srgbClr w14:val="000000"/>
                  </w14:solidFill>
                  <w14:prstDash w14:val="solid"/>
                  <w14:bevel/>
                </w14:textOutline>
              </w:rPr>
              <w:t>月总分</w:t>
            </w:r>
          </w:p>
          <w:p>
            <w:pPr>
              <w:snapToGrid w:val="0"/>
              <w:spacing w:before="1" w:line="204" w:lineRule="auto"/>
              <w:ind w:firstLine="407"/>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100</w:t>
            </w:r>
            <w:r>
              <w:rPr>
                <w:rFonts w:hint="eastAsia" w:ascii="仿宋" w:hAnsi="仿宋" w:eastAsia="仿宋" w:cs="仿宋"/>
                <w:color w:val="auto"/>
                <w:spacing w:val="-42"/>
                <w:sz w:val="24"/>
                <w:highlight w:val="none"/>
              </w:rPr>
              <w:t xml:space="preserve"> </w:t>
            </w: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分</w:t>
            </w:r>
          </w:p>
        </w:tc>
        <w:tc>
          <w:tcPr>
            <w:tcW w:w="1566" w:type="dxa"/>
          </w:tcPr>
          <w:p>
            <w:pPr>
              <w:snapToGrid w:val="0"/>
              <w:spacing w:before="119" w:line="468" w:lineRule="exact"/>
              <w:ind w:firstLine="452"/>
              <w:textAlignment w:val="baseline"/>
              <w:rPr>
                <w:rFonts w:hint="eastAsia" w:ascii="仿宋" w:hAnsi="仿宋" w:eastAsia="仿宋" w:cs="仿宋"/>
                <w:color w:val="auto"/>
                <w:sz w:val="24"/>
                <w:highlight w:val="none"/>
              </w:rPr>
            </w:pPr>
            <w:r>
              <w:rPr>
                <w:rFonts w:hint="eastAsia" w:ascii="仿宋" w:hAnsi="仿宋" w:eastAsia="仿宋" w:cs="仿宋"/>
                <w:color w:val="auto"/>
                <w:spacing w:val="-9"/>
                <w:position w:val="16"/>
                <w:sz w:val="24"/>
                <w:highlight w:val="none"/>
                <w14:textOutline w14:w="4356" w14:cap="sq" w14:cmpd="sng" w14:algn="ctr">
                  <w14:solidFill>
                    <w14:srgbClr w14:val="000000"/>
                  </w14:solidFill>
                  <w14:prstDash w14:val="solid"/>
                  <w14:bevel/>
                </w14:textOutline>
              </w:rPr>
              <w:t>考核</w:t>
            </w:r>
          </w:p>
          <w:p>
            <w:pPr>
              <w:snapToGrid w:val="0"/>
              <w:spacing w:before="1" w:line="204" w:lineRule="auto"/>
              <w:ind w:firstLine="456"/>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14:textOutline w14:w="4356" w14:cap="sq" w14:cmpd="sng" w14:algn="ctr">
                  <w14:solidFill>
                    <w14:srgbClr w14:val="000000"/>
                  </w14:solidFill>
                  <w14:prstDash w14:val="solid"/>
                  <w14:bevel/>
                </w14:textOutline>
              </w:rPr>
              <w:t>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bl>
    <w:p>
      <w:pPr>
        <w:pStyle w:val="73"/>
        <w:snapToGrid w:val="0"/>
        <w:spacing w:line="360" w:lineRule="auto"/>
        <w:ind w:firstLine="0" w:firstLineChars="0"/>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bookmarkEnd w:id="60"/>
    <w:bookmarkEnd w:id="61"/>
    <w:bookmarkEnd w:id="62"/>
    <w:bookmarkEnd w:id="63"/>
    <w:bookmarkEnd w:id="64"/>
    <w:p>
      <w:pPr>
        <w:snapToGrid w:val="0"/>
        <w:textAlignment w:val="baseline"/>
        <w:rPr>
          <w:rFonts w:hint="eastAsia" w:ascii="仿宋" w:hAnsi="仿宋" w:eastAsia="仿宋" w:cs="仿宋"/>
          <w:color w:val="auto"/>
          <w:sz w:val="20"/>
          <w:highlight w:val="none"/>
        </w:rPr>
      </w:pP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24"/>
          <w:szCs w:val="24"/>
          <w:highlight w:val="none"/>
        </w:rPr>
      </w:pPr>
      <w:bookmarkStart w:id="75" w:name="_Toc699"/>
      <w:r>
        <w:rPr>
          <w:rFonts w:hint="eastAsia" w:ascii="仿宋" w:hAnsi="仿宋" w:eastAsia="仿宋" w:cs="仿宋"/>
          <w:color w:val="auto"/>
          <w:sz w:val="32"/>
          <w:szCs w:val="32"/>
          <w:highlight w:val="none"/>
        </w:rPr>
        <w:t>第六章  磋商内容、磋商过程中可实质性变动的内容</w:t>
      </w:r>
      <w:bookmarkEnd w:id="75"/>
    </w:p>
    <w:p>
      <w:pPr>
        <w:tabs>
          <w:tab w:val="left" w:pos="7665"/>
        </w:tabs>
        <w:snapToGrid w:val="0"/>
        <w:spacing w:line="400" w:lineRule="exact"/>
        <w:ind w:firstLine="480"/>
        <w:textAlignment w:val="baseline"/>
        <w:rPr>
          <w:rFonts w:hint="eastAsia" w:ascii="仿宋" w:hAnsi="仿宋" w:eastAsia="仿宋" w:cs="仿宋"/>
          <w:bCs/>
          <w:color w:val="auto"/>
          <w:sz w:val="24"/>
          <w:highlight w:val="none"/>
        </w:rPr>
      </w:pPr>
    </w:p>
    <w:p>
      <w:pPr>
        <w:tabs>
          <w:tab w:val="left" w:pos="7665"/>
        </w:tabs>
        <w:snapToGrid w:val="0"/>
        <w:spacing w:line="400" w:lineRule="exact"/>
        <w:ind w:firstLine="480"/>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napToGrid w:val="0"/>
        <w:spacing w:line="400" w:lineRule="exact"/>
        <w:ind w:firstLine="480"/>
        <w:textAlignment w:val="baseline"/>
        <w:rPr>
          <w:rFonts w:hint="eastAsia" w:ascii="仿宋" w:hAnsi="仿宋" w:eastAsia="仿宋" w:cs="仿宋"/>
          <w:bCs/>
          <w:color w:val="auto"/>
          <w:sz w:val="24"/>
          <w:highlight w:val="none"/>
        </w:rPr>
      </w:pPr>
    </w:p>
    <w:p>
      <w:pPr>
        <w:tabs>
          <w:tab w:val="left" w:pos="7665"/>
        </w:tabs>
        <w:snapToGrid w:val="0"/>
        <w:spacing w:line="400" w:lineRule="exact"/>
        <w:ind w:firstLine="480"/>
        <w:textAlignment w:val="baseline"/>
        <w:rPr>
          <w:rFonts w:hint="eastAsia" w:ascii="仿宋" w:hAnsi="仿宋" w:eastAsia="仿宋" w:cs="仿宋"/>
          <w:b/>
          <w:bCs/>
          <w:color w:val="auto"/>
          <w:sz w:val="32"/>
          <w:szCs w:val="32"/>
          <w:highlight w:val="none"/>
        </w:rPr>
      </w:pPr>
    </w:p>
    <w:p>
      <w:pPr>
        <w:widowControl/>
        <w:snapToGrid w:val="0"/>
        <w:jc w:val="left"/>
        <w:textAlignment w:val="baseline"/>
        <w:rPr>
          <w:rFonts w:hint="eastAsia" w:ascii="仿宋" w:hAnsi="仿宋" w:eastAsia="仿宋" w:cs="仿宋"/>
          <w:b/>
          <w:bCs/>
          <w:color w:val="auto"/>
          <w:sz w:val="32"/>
          <w:szCs w:val="32"/>
          <w:highlight w:val="none"/>
        </w:rPr>
      </w:pPr>
      <w:r>
        <w:rPr>
          <w:rFonts w:hint="eastAsia" w:ascii="仿宋" w:hAnsi="仿宋" w:eastAsia="仿宋" w:cs="仿宋"/>
          <w:color w:val="auto"/>
          <w:highlight w:val="none"/>
        </w:rPr>
        <w:br w:type="textWrapping"/>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76" w:name="_Toc4952"/>
      <w:r>
        <w:rPr>
          <w:rFonts w:hint="eastAsia" w:ascii="仿宋" w:hAnsi="仿宋" w:eastAsia="仿宋" w:cs="仿宋"/>
          <w:color w:val="auto"/>
          <w:sz w:val="32"/>
          <w:szCs w:val="32"/>
          <w:highlight w:val="none"/>
        </w:rPr>
        <w:t>第七章  响应文件格式</w:t>
      </w:r>
      <w:bookmarkEnd w:id="76"/>
    </w:p>
    <w:p>
      <w:pPr>
        <w:snapToGrid w:val="0"/>
        <w:jc w:val="left"/>
        <w:textAlignment w:val="baseline"/>
        <w:rPr>
          <w:rFonts w:hint="eastAsia" w:ascii="仿宋" w:hAnsi="仿宋" w:eastAsia="仿宋" w:cs="仿宋"/>
          <w:b/>
          <w:color w:val="auto"/>
          <w:sz w:val="32"/>
          <w:szCs w:val="32"/>
          <w:highlight w:val="none"/>
        </w:rPr>
      </w:pPr>
    </w:p>
    <w:p>
      <w:pPr>
        <w:snapToGrid w:val="0"/>
        <w:textAlignment w:val="baseline"/>
        <w:rPr>
          <w:rFonts w:hint="eastAsia" w:ascii="仿宋" w:hAnsi="仿宋" w:eastAsia="仿宋" w:cs="仿宋"/>
          <w:color w:val="auto"/>
          <w:sz w:val="24"/>
          <w:highlight w:val="none"/>
        </w:rPr>
      </w:pPr>
      <w:bookmarkStart w:id="77" w:name="PO_默认文件内容_29"/>
      <w:r>
        <w:rPr>
          <w:rFonts w:hint="eastAsia" w:ascii="仿宋" w:hAnsi="仿宋" w:eastAsia="仿宋" w:cs="仿宋"/>
          <w:color w:val="auto"/>
          <w:sz w:val="24"/>
          <w:highlight w:val="none"/>
        </w:rPr>
        <w:t>一、本章所制响应文件格式，除格式中明确将该格式作为实质性要求的，一律不具有强制性。</w:t>
      </w: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二、本章所制响应文件格式有关表格中的备注栏，由供应商根据自身响应情况作解释性说明，不作为必填项。</w:t>
      </w: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三、本章所制响应文件格式中需要填写的相关内容事项，可能会与本采购项目无关，在不改变响应文件原义、不影响本项目采购需求的情况下，供应商可以不予填写，但应当注明。</w:t>
      </w:r>
      <w:bookmarkEnd w:id="77"/>
    </w:p>
    <w:p>
      <w:pPr>
        <w:snapToGrid w:val="0"/>
        <w:jc w:val="center"/>
        <w:textAlignment w:val="baseline"/>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snapToGrid w:val="0"/>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snapToGrid w:val="0"/>
        <w:jc w:val="center"/>
        <w:textAlignment w:val="baseline"/>
        <w:rPr>
          <w:rFonts w:hint="eastAsia" w:ascii="仿宋" w:hAnsi="仿宋" w:eastAsia="仿宋" w:cs="仿宋"/>
          <w:b/>
          <w:color w:val="auto"/>
          <w:sz w:val="32"/>
          <w:highlight w:val="none"/>
        </w:rPr>
      </w:pPr>
      <w:r>
        <w:rPr>
          <w:rFonts w:hint="eastAsia" w:ascii="仿宋" w:hAnsi="仿宋" w:eastAsia="仿宋" w:cs="仿宋"/>
          <w:b/>
          <w:color w:val="auto"/>
          <w:sz w:val="32"/>
          <w:highlight w:val="none"/>
        </w:rPr>
        <w:t>第一部分     “资格性响应文件”格式</w:t>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格式1-1</w:t>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封面：</w:t>
      </w:r>
    </w:p>
    <w:p>
      <w:pPr>
        <w:pStyle w:val="16"/>
        <w:snapToGrid w:val="0"/>
        <w:ind w:left="0" w:leftChars="0"/>
        <w:textAlignment w:val="baseline"/>
        <w:rPr>
          <w:rFonts w:hint="eastAsia" w:ascii="仿宋" w:hAnsi="仿宋" w:eastAsia="仿宋" w:cs="仿宋"/>
          <w:color w:val="auto"/>
          <w:highlight w:val="none"/>
        </w:rPr>
      </w:pPr>
    </w:p>
    <w:p>
      <w:pPr>
        <w:snapToGrid w:val="0"/>
        <w:jc w:val="center"/>
        <w:textAlignment w:val="baseline"/>
        <w:rPr>
          <w:rFonts w:hint="eastAsia" w:ascii="仿宋" w:hAnsi="仿宋" w:eastAsia="仿宋" w:cs="仿宋"/>
          <w:b/>
          <w:color w:val="auto"/>
          <w:sz w:val="32"/>
          <w:szCs w:val="32"/>
          <w:highlight w:val="none"/>
        </w:rPr>
      </w:pPr>
    </w:p>
    <w:p>
      <w:pPr>
        <w:snapToGrid w:val="0"/>
        <w:jc w:val="right"/>
        <w:textAlignment w:val="baseline"/>
        <w:rPr>
          <w:rFonts w:hint="eastAsia" w:ascii="仿宋" w:hAnsi="仿宋" w:eastAsia="仿宋" w:cs="仿宋"/>
          <w:b/>
          <w:color w:val="auto"/>
          <w:sz w:val="36"/>
          <w:highlight w:val="none"/>
        </w:rPr>
      </w:pPr>
      <w:r>
        <w:rPr>
          <w:rFonts w:hint="eastAsia" w:ascii="仿宋" w:hAnsi="仿宋" w:eastAsia="仿宋" w:cs="仿宋"/>
          <w:b/>
          <w:color w:val="auto"/>
          <w:sz w:val="36"/>
          <w:highlight w:val="none"/>
        </w:rPr>
        <w:t>（正本/副本）</w:t>
      </w:r>
    </w:p>
    <w:p>
      <w:pPr>
        <w:snapToGrid w:val="0"/>
        <w:textAlignment w:val="baseline"/>
        <w:rPr>
          <w:rFonts w:hint="eastAsia" w:ascii="仿宋" w:hAnsi="仿宋" w:eastAsia="仿宋" w:cs="仿宋"/>
          <w:b/>
          <w:color w:val="auto"/>
          <w:sz w:val="72"/>
          <w:highlight w:val="none"/>
        </w:rPr>
      </w:pPr>
    </w:p>
    <w:p>
      <w:pPr>
        <w:snapToGrid w:val="0"/>
        <w:spacing w:line="360" w:lineRule="auto"/>
        <w:jc w:val="center"/>
        <w:textAlignment w:val="baseline"/>
        <w:rPr>
          <w:rFonts w:hint="eastAsia" w:ascii="仿宋" w:hAnsi="仿宋" w:eastAsia="仿宋" w:cs="仿宋"/>
          <w:b/>
          <w:color w:val="auto"/>
          <w:sz w:val="72"/>
          <w:highlight w:val="none"/>
        </w:rPr>
      </w:pPr>
      <w:r>
        <w:rPr>
          <w:rFonts w:hint="eastAsia" w:ascii="仿宋" w:hAnsi="仿宋" w:eastAsia="仿宋" w:cs="仿宋"/>
          <w:b/>
          <w:color w:val="auto"/>
          <w:sz w:val="40"/>
          <w:szCs w:val="48"/>
          <w:highlight w:val="none"/>
        </w:rPr>
        <w:t>xxxx项目</w:t>
      </w:r>
    </w:p>
    <w:p>
      <w:pPr>
        <w:snapToGrid w:val="0"/>
        <w:spacing w:line="360" w:lineRule="auto"/>
        <w:textAlignment w:val="baseline"/>
        <w:rPr>
          <w:rFonts w:hint="eastAsia" w:ascii="仿宋" w:hAnsi="仿宋" w:eastAsia="仿宋" w:cs="仿宋"/>
          <w:b/>
          <w:color w:val="auto"/>
          <w:sz w:val="52"/>
          <w:szCs w:val="52"/>
          <w:highlight w:val="none"/>
        </w:rPr>
      </w:pPr>
    </w:p>
    <w:p>
      <w:pPr>
        <w:snapToGrid w:val="0"/>
        <w:spacing w:line="360" w:lineRule="auto"/>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52"/>
          <w:szCs w:val="52"/>
          <w:highlight w:val="none"/>
        </w:rPr>
        <w:t>资格性响应文件</w:t>
      </w:r>
    </w:p>
    <w:p>
      <w:pPr>
        <w:snapToGrid w:val="0"/>
        <w:spacing w:line="360" w:lineRule="auto"/>
        <w:textAlignment w:val="baseline"/>
        <w:rPr>
          <w:rFonts w:hint="eastAsia" w:ascii="仿宋" w:hAnsi="仿宋" w:eastAsia="仿宋" w:cs="仿宋"/>
          <w:b/>
          <w:color w:val="auto"/>
          <w:sz w:val="36"/>
          <w:highlight w:val="none"/>
        </w:rPr>
      </w:pPr>
    </w:p>
    <w:p>
      <w:pPr>
        <w:snapToGrid w:val="0"/>
        <w:spacing w:line="360" w:lineRule="auto"/>
        <w:textAlignment w:val="baseline"/>
        <w:rPr>
          <w:rFonts w:hint="eastAsia" w:ascii="仿宋" w:hAnsi="仿宋" w:eastAsia="仿宋" w:cs="仿宋"/>
          <w:b/>
          <w:color w:val="auto"/>
          <w:sz w:val="36"/>
          <w:highlight w:val="none"/>
        </w:rPr>
      </w:pP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供应商名称：</w:t>
      </w: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采购项目编号：</w:t>
      </w: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包      号：</w:t>
      </w:r>
    </w:p>
    <w:p>
      <w:pPr>
        <w:snapToGrid w:val="0"/>
        <w:jc w:val="center"/>
        <w:textAlignment w:val="baseline"/>
        <w:rPr>
          <w:rFonts w:hint="eastAsia" w:ascii="仿宋" w:hAnsi="仿宋" w:eastAsia="仿宋" w:cs="仿宋"/>
          <w:b/>
          <w:color w:val="auto"/>
          <w:sz w:val="36"/>
          <w:highlight w:val="none"/>
        </w:rPr>
      </w:pPr>
    </w:p>
    <w:p>
      <w:pPr>
        <w:snapToGrid w:val="0"/>
        <w:jc w:val="center"/>
        <w:textAlignment w:val="baseline"/>
        <w:rPr>
          <w:rFonts w:hint="eastAsia" w:ascii="仿宋" w:hAnsi="仿宋" w:eastAsia="仿宋" w:cs="仿宋"/>
          <w:b/>
          <w:color w:val="auto"/>
          <w:sz w:val="32"/>
          <w:szCs w:val="32"/>
          <w:highlight w:val="none"/>
        </w:rPr>
      </w:pPr>
    </w:p>
    <w:p>
      <w:pPr>
        <w:snapToGrid w:val="0"/>
        <w:jc w:val="center"/>
        <w:textAlignment w:val="baseline"/>
        <w:rPr>
          <w:rFonts w:hint="eastAsia" w:ascii="仿宋" w:hAnsi="仿宋" w:eastAsia="仿宋" w:cs="仿宋"/>
          <w:b/>
          <w:color w:val="auto"/>
          <w:sz w:val="36"/>
          <w:highlight w:val="none"/>
        </w:rPr>
      </w:pPr>
    </w:p>
    <w:p>
      <w:pPr>
        <w:snapToGrid w:val="0"/>
        <w:jc w:val="center"/>
        <w:textAlignment w:val="baseline"/>
        <w:rPr>
          <w:rFonts w:hint="eastAsia" w:ascii="仿宋" w:hAnsi="仿宋" w:eastAsia="仿宋" w:cs="仿宋"/>
          <w:b/>
          <w:color w:val="auto"/>
          <w:sz w:val="36"/>
          <w:highlight w:val="none"/>
        </w:rPr>
      </w:pPr>
    </w:p>
    <w:p>
      <w:pPr>
        <w:snapToGrid w:val="0"/>
        <w:spacing w:line="440" w:lineRule="exact"/>
        <w:jc w:val="center"/>
        <w:textAlignment w:val="baseline"/>
        <w:rPr>
          <w:rFonts w:hint="eastAsia" w:ascii="仿宋" w:hAnsi="仿宋" w:eastAsia="仿宋" w:cs="仿宋"/>
          <w:b/>
          <w:color w:val="auto"/>
          <w:sz w:val="36"/>
          <w:highlight w:val="none"/>
        </w:rPr>
      </w:pPr>
    </w:p>
    <w:p>
      <w:pPr>
        <w:snapToGrid w:val="0"/>
        <w:jc w:val="center"/>
        <w:textAlignment w:val="baseline"/>
        <w:rPr>
          <w:rFonts w:hint="eastAsia" w:ascii="仿宋" w:hAnsi="仿宋" w:eastAsia="仿宋" w:cs="仿宋"/>
          <w:b/>
          <w:bCs/>
          <w:color w:val="auto"/>
          <w:sz w:val="32"/>
          <w:szCs w:val="32"/>
          <w:highlight w:val="none"/>
        </w:rPr>
      </w:pPr>
      <w:r>
        <w:rPr>
          <w:rFonts w:hint="eastAsia" w:ascii="仿宋" w:hAnsi="仿宋" w:eastAsia="仿宋" w:cs="仿宋"/>
          <w:b/>
          <w:color w:val="auto"/>
          <w:sz w:val="32"/>
          <w:highlight w:val="none"/>
        </w:rPr>
        <w:t>日期：XX年XX月XX日</w:t>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格式1-2</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一、法定代表人/单位负责人授权书</w:t>
      </w:r>
    </w:p>
    <w:p>
      <w:pPr>
        <w:snapToGrid w:val="0"/>
        <w:spacing w:line="360" w:lineRule="exact"/>
        <w:ind w:firstLine="480" w:firstLineChars="200"/>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XXXXXXXX（采购代理机构名称）：</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snapToGrid w:val="0"/>
        <w:spacing w:line="360" w:lineRule="exact"/>
        <w:ind w:firstLine="480" w:firstLineChars="200"/>
        <w:textAlignment w:val="baseline"/>
        <w:rPr>
          <w:rFonts w:hint="eastAsia" w:ascii="仿宋" w:hAnsi="仿宋" w:eastAsia="仿宋" w:cs="仿宋"/>
          <w:color w:val="auto"/>
          <w:sz w:val="24"/>
          <w:highlight w:val="none"/>
        </w:rPr>
      </w:pP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法定代表人/单位负责人（委托人）签字或加盖个人印章：XXXX。</w:t>
      </w:r>
    </w:p>
    <w:p>
      <w:pPr>
        <w:snapToGrid w:val="0"/>
        <w:spacing w:line="360" w:lineRule="exact"/>
        <w:ind w:firstLine="480" w:firstLineChars="200"/>
        <w:textAlignment w:val="baseline"/>
        <w:rPr>
          <w:rFonts w:hint="eastAsia" w:ascii="仿宋" w:hAnsi="仿宋" w:eastAsia="仿宋" w:cs="仿宋"/>
          <w:color w:val="auto"/>
          <w:sz w:val="24"/>
          <w:highlight w:val="none"/>
        </w:rPr>
      </w:pP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授权代表（被授权人）签字：XXXX。</w:t>
      </w:r>
    </w:p>
    <w:p>
      <w:pPr>
        <w:snapToGrid w:val="0"/>
        <w:spacing w:line="360" w:lineRule="exact"/>
        <w:ind w:firstLine="480" w:firstLineChars="200"/>
        <w:textAlignment w:val="baseline"/>
        <w:rPr>
          <w:rFonts w:hint="eastAsia" w:ascii="仿宋" w:hAnsi="仿宋" w:eastAsia="仿宋" w:cs="仿宋"/>
          <w:color w:val="auto"/>
          <w:sz w:val="24"/>
          <w:highlight w:val="none"/>
        </w:rPr>
      </w:pP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供应商名称：XXXX（单位盖章）。</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期：XXXX。</w:t>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spacing w:line="40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注：1.供应商为法人单位时提供“法定代表人授权书”，供应商为其他组织时提供“单位负责人授权书”，供应商为自然人时提供“自然人身份证明材料”。</w:t>
      </w:r>
    </w:p>
    <w:p>
      <w:pPr>
        <w:snapToGrid w:val="0"/>
        <w:spacing w:line="4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2.应附法定代表人/单位负责人身份证明材料复印件和授权代表身份证明材料复印件。</w:t>
      </w:r>
    </w:p>
    <w:p>
      <w:pPr>
        <w:snapToGrid w:val="0"/>
        <w:spacing w:line="4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3.身份证明材料包括居民身份证或户口本或军官证或护照等。</w:t>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4.身份证明材料应同时提供其在有效期的材料，如居民身份证正、反面复印件。</w:t>
      </w:r>
    </w:p>
    <w:p>
      <w:pPr>
        <w:snapToGrid w:val="0"/>
        <w:spacing w:line="360" w:lineRule="auto"/>
        <w:ind w:firstLine="790" w:firstLineChars="246"/>
        <w:jc w:val="center"/>
        <w:textAlignment w:val="baseline"/>
        <w:rPr>
          <w:rFonts w:hint="eastAsia" w:ascii="仿宋" w:hAnsi="仿宋" w:eastAsia="仿宋" w:cs="仿宋"/>
          <w:b/>
          <w:color w:val="auto"/>
          <w:sz w:val="32"/>
          <w:highlight w:val="none"/>
        </w:rPr>
      </w:pPr>
    </w:p>
    <w:p>
      <w:pPr>
        <w:snapToGrid w:val="0"/>
        <w:spacing w:line="360" w:lineRule="auto"/>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格式1-3</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二、承诺函</w:t>
      </w:r>
    </w:p>
    <w:p>
      <w:pPr>
        <w:snapToGrid w:val="0"/>
        <w:textAlignment w:val="baseline"/>
        <w:rPr>
          <w:rFonts w:hint="eastAsia" w:ascii="仿宋" w:hAnsi="仿宋" w:eastAsia="仿宋" w:cs="仿宋"/>
          <w:color w:val="auto"/>
          <w:sz w:val="20"/>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XXXX（采购代理机构名称）：</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我单位作为本次采购项目的供应商，根据磋商文件要求，现郑重承诺如下：</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具备《中华人民共和国政府采购法》第二十二条第一款和本项目规定的条件：</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（七）根据采购项目提出的特殊条件。</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本单位对上述承诺的内容事项真实性负责。如经查实上述承诺的内容事项存在虚假，我单位愿意接受以提供虚假材料谋取成交追究法律责任。</w:t>
      </w:r>
    </w:p>
    <w:p>
      <w:pPr>
        <w:snapToGrid w:val="0"/>
        <w:spacing w:line="360" w:lineRule="exact"/>
        <w:ind w:firstLine="480" w:firstLineChars="200"/>
        <w:textAlignment w:val="baseline"/>
        <w:rPr>
          <w:rFonts w:hint="eastAsia" w:ascii="仿宋" w:hAnsi="仿宋" w:eastAsia="仿宋" w:cs="仿宋"/>
          <w:color w:val="auto"/>
          <w:sz w:val="24"/>
          <w:highlight w:val="none"/>
        </w:rPr>
      </w:pP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供应商名称：XXXX（单位公章）。</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法定代表人/单位负责人或授权代表（签字或加盖个人印章）：XXXX。</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期：XXXX。</w:t>
      </w:r>
    </w:p>
    <w:p>
      <w:pPr>
        <w:snapToGrid w:val="0"/>
        <w:spacing w:line="36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格式1-4</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三、供应商和报价产品其他资格、资质性及其他类似效力要求的相关证明材料</w:t>
      </w:r>
    </w:p>
    <w:p>
      <w:pPr>
        <w:snapToGrid w:val="0"/>
        <w:spacing w:line="360" w:lineRule="auto"/>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注：供应商应按磋商文件第四章相关要求提供佐证材料，有格式要求的从其要求，无格式要求的格式自拟。</w:t>
      </w:r>
    </w:p>
    <w:p>
      <w:pPr>
        <w:widowControl/>
        <w:snapToGrid w:val="0"/>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格式1-5</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四、承诺函（如涉及）</w:t>
      </w:r>
    </w:p>
    <w:p>
      <w:pPr>
        <w:snapToGrid w:val="0"/>
        <w:textAlignment w:val="baseline"/>
        <w:rPr>
          <w:rFonts w:hint="eastAsia" w:ascii="仿宋" w:hAnsi="仿宋" w:eastAsia="仿宋" w:cs="仿宋"/>
          <w:color w:val="auto"/>
          <w:sz w:val="20"/>
          <w:highlight w:val="none"/>
        </w:rPr>
      </w:pPr>
    </w:p>
    <w:p>
      <w:pPr>
        <w:snapToGrid w:val="0"/>
        <w:spacing w:line="360" w:lineRule="auto"/>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XXXX（采购代理机构名称）：</w:t>
      </w:r>
    </w:p>
    <w:p>
      <w:pPr>
        <w:snapToGrid w:val="0"/>
        <w:spacing w:line="360" w:lineRule="auto"/>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我单位作为本次采购项目的供应商，现郑重承诺如下：</w:t>
      </w:r>
    </w:p>
    <w:p>
      <w:pPr>
        <w:snapToGrid w:val="0"/>
        <w:spacing w:line="360" w:lineRule="auto"/>
        <w:ind w:firstLine="504"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pacing w:val="6"/>
          <w:sz w:val="24"/>
          <w:highlight w:val="none"/>
        </w:rPr>
        <w:t>根据本项目竞争性磋商文件第三章资格证明要求中第</w:t>
      </w:r>
      <w:r>
        <w:rPr>
          <w:rFonts w:hint="eastAsia" w:ascii="仿宋" w:hAnsi="仿宋" w:eastAsia="仿宋" w:cs="仿宋"/>
          <w:bCs/>
          <w:color w:val="auto"/>
          <w:spacing w:val="6"/>
          <w:sz w:val="24"/>
          <w:highlight w:val="none"/>
          <w:u w:val="single" w:color="000000"/>
        </w:rPr>
        <w:t xml:space="preserve">      </w:t>
      </w:r>
      <w:r>
        <w:rPr>
          <w:rFonts w:hint="eastAsia" w:ascii="仿宋" w:hAnsi="仿宋" w:eastAsia="仿宋" w:cs="仿宋"/>
          <w:bCs/>
          <w:color w:val="auto"/>
          <w:spacing w:val="6"/>
          <w:sz w:val="24"/>
          <w:highlight w:val="none"/>
        </w:rPr>
        <w:t>项，我单位应具备</w:t>
      </w:r>
      <w:r>
        <w:rPr>
          <w:rFonts w:hint="eastAsia" w:ascii="仿宋" w:hAnsi="仿宋" w:eastAsia="仿宋" w:cs="仿宋"/>
          <w:bCs/>
          <w:color w:val="auto"/>
          <w:spacing w:val="6"/>
          <w:sz w:val="24"/>
          <w:highlight w:val="none"/>
          <w:u w:val="single" w:color="000000"/>
        </w:rPr>
        <w:t xml:space="preserve">       </w:t>
      </w:r>
      <w:r>
        <w:rPr>
          <w:rFonts w:hint="eastAsia" w:ascii="仿宋" w:hAnsi="仿宋" w:eastAsia="仿宋" w:cs="仿宋"/>
          <w:bCs/>
          <w:color w:val="auto"/>
          <w:spacing w:val="6"/>
          <w:sz w:val="24"/>
          <w:highlight w:val="none"/>
        </w:rPr>
        <w:t>（备案、登记、其他证照）。但因我单位所在地已对上述备案、登记</w:t>
      </w:r>
      <w:r>
        <w:rPr>
          <w:rFonts w:hint="eastAsia" w:ascii="仿宋" w:hAnsi="仿宋" w:eastAsia="仿宋" w:cs="仿宋"/>
          <w:bCs/>
          <w:color w:val="auto"/>
          <w:sz w:val="24"/>
          <w:highlight w:val="none"/>
        </w:rPr>
        <w:t>、其他证照实行“多证合一”，故在此次采购活动中提供满足资格要求：</w:t>
      </w:r>
      <w:r>
        <w:rPr>
          <w:rFonts w:hint="eastAsia" w:ascii="仿宋" w:hAnsi="仿宋" w:eastAsia="仿宋" w:cs="仿宋"/>
          <w:bCs/>
          <w:color w:val="auto"/>
          <w:sz w:val="24"/>
          <w:highlight w:val="none"/>
          <w:u w:val="single" w:color="000000"/>
        </w:rPr>
        <w:t xml:space="preserve">          </w:t>
      </w:r>
      <w:r>
        <w:rPr>
          <w:rFonts w:hint="eastAsia" w:ascii="仿宋" w:hAnsi="仿宋" w:eastAsia="仿宋" w:cs="仿宋"/>
          <w:bCs/>
          <w:color w:val="auto"/>
          <w:sz w:val="24"/>
          <w:highlight w:val="none"/>
        </w:rPr>
        <w:t>（营业执照中对该备案、登记、其他证照的描述）的“多证合一”营业执照。</w:t>
      </w:r>
    </w:p>
    <w:p>
      <w:pPr>
        <w:snapToGrid w:val="0"/>
        <w:spacing w:line="360" w:lineRule="auto"/>
        <w:textAlignment w:val="baseline"/>
        <w:rPr>
          <w:rFonts w:hint="eastAsia" w:ascii="仿宋" w:hAnsi="仿宋" w:eastAsia="仿宋" w:cs="仿宋"/>
          <w:bCs/>
          <w:color w:val="auto"/>
          <w:sz w:val="24"/>
          <w:highlight w:val="none"/>
        </w:rPr>
      </w:pPr>
    </w:p>
    <w:p>
      <w:pPr>
        <w:snapToGrid w:val="0"/>
        <w:spacing w:line="360" w:lineRule="auto"/>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我单位对上述承诺的内容事项真实性负责。如经查实上述承诺内容存在虚假，我单位愿意接受以提供虚假材料谋取成交追究法律责任。</w:t>
      </w:r>
    </w:p>
    <w:p>
      <w:pPr>
        <w:snapToGrid w:val="0"/>
        <w:spacing w:line="360" w:lineRule="auto"/>
        <w:textAlignment w:val="baseline"/>
        <w:rPr>
          <w:rFonts w:hint="eastAsia" w:ascii="仿宋" w:hAnsi="仿宋" w:eastAsia="仿宋" w:cs="仿宋"/>
          <w:bCs/>
          <w:color w:val="auto"/>
          <w:sz w:val="24"/>
          <w:highlight w:val="none"/>
        </w:rPr>
      </w:pPr>
    </w:p>
    <w:p>
      <w:pPr>
        <w:snapToGrid w:val="0"/>
        <w:spacing w:line="360" w:lineRule="auto"/>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供应商名称：XXXX（单位公章）。</w:t>
      </w:r>
    </w:p>
    <w:p>
      <w:pPr>
        <w:snapToGrid w:val="0"/>
        <w:spacing w:line="360" w:lineRule="auto"/>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法定代表人/单位负责人或授权代表（签字或加盖个人印章）：XXXX。</w:t>
      </w:r>
    </w:p>
    <w:p>
      <w:pPr>
        <w:snapToGrid w:val="0"/>
        <w:spacing w:line="360" w:lineRule="auto"/>
        <w:ind w:firstLine="480" w:firstLineChars="20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    期：XXXX。</w:t>
      </w:r>
    </w:p>
    <w:p>
      <w:pPr>
        <w:snapToGrid w:val="0"/>
        <w:spacing w:line="360" w:lineRule="auto"/>
        <w:textAlignment w:val="baseline"/>
        <w:rPr>
          <w:rFonts w:hint="eastAsia" w:ascii="仿宋" w:hAnsi="仿宋" w:eastAsia="仿宋" w:cs="仿宋"/>
          <w:bCs/>
          <w:color w:val="auto"/>
          <w:sz w:val="24"/>
          <w:highlight w:val="none"/>
        </w:rPr>
      </w:pPr>
    </w:p>
    <w:p>
      <w:pPr>
        <w:snapToGrid w:val="0"/>
        <w:spacing w:line="360" w:lineRule="auto"/>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注：1.根据国务院办公厅关于加快推进“多证合一”改革的指导意见（国办发</w:t>
      </w:r>
      <w:r>
        <w:rPr>
          <w:rFonts w:hint="eastAsia" w:ascii="仿宋" w:hAnsi="仿宋" w:eastAsia="仿宋" w:cs="仿宋"/>
          <w:b/>
          <w:color w:val="auto"/>
          <w:kern w:val="0"/>
          <w:sz w:val="24"/>
          <w:highlight w:val="none"/>
        </w:rPr>
        <w:t>〔2017〕</w:t>
      </w:r>
      <w:r>
        <w:rPr>
          <w:rFonts w:hint="eastAsia" w:ascii="仿宋" w:hAnsi="仿宋" w:eastAsia="仿宋" w:cs="仿宋"/>
          <w:bCs/>
          <w:color w:val="auto"/>
          <w:sz w:val="24"/>
          <w:highlight w:val="none"/>
        </w:rPr>
        <w:t>41号）等政策要求，</w:t>
      </w:r>
      <w:r>
        <w:rPr>
          <w:rFonts w:hint="eastAsia" w:ascii="仿宋" w:hAnsi="仿宋" w:eastAsia="仿宋" w:cs="仿宋"/>
          <w:b/>
          <w:bCs/>
          <w:color w:val="auto"/>
          <w:sz w:val="24"/>
          <w:highlight w:val="none"/>
        </w:rPr>
        <w:t>若资格要求涉及的登记、备案等有关事项和各类证照已实行多证合一导致供应商无法单独提供该类证明材料的</w:t>
      </w:r>
      <w:r>
        <w:rPr>
          <w:rFonts w:hint="eastAsia" w:ascii="仿宋" w:hAnsi="仿宋" w:eastAsia="仿宋" w:cs="仿宋"/>
          <w:bCs/>
          <w:color w:val="auto"/>
          <w:sz w:val="24"/>
          <w:highlight w:val="none"/>
        </w:rPr>
        <w:t>，供应商须提供该承诺。</w:t>
      </w:r>
    </w:p>
    <w:p>
      <w:pPr>
        <w:snapToGrid w:val="0"/>
        <w:spacing w:line="360" w:lineRule="auto"/>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2.若已单独提供资格要求涉及的登记、备案等有关事项和各类证照的证明材料，无需提供该承诺。</w:t>
      </w:r>
    </w:p>
    <w:p>
      <w:pPr>
        <w:snapToGrid w:val="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3.例如：资格要求中第X项要求“具备XX经营许可证”，供应商具备该证照：①若因该证照被“多证合一”整合而不能单独提供，则须提供该承诺；②若该证照已单独提供，则无需提供该承诺。</w:t>
      </w:r>
    </w:p>
    <w:p>
      <w:pPr>
        <w:pStyle w:val="2"/>
        <w:snapToGrid w:val="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4.若本项目资格要求不涉及对登记、备案和各类证照的要求，也无需提供该承诺。</w:t>
      </w:r>
    </w:p>
    <w:p>
      <w:pPr>
        <w:pStyle w:val="2"/>
        <w:snapToGrid w:val="0"/>
        <w:textAlignment w:val="baseline"/>
        <w:rPr>
          <w:rFonts w:hint="eastAsia" w:ascii="仿宋" w:hAnsi="仿宋" w:eastAsia="仿宋" w:cs="仿宋"/>
          <w:bCs/>
          <w:color w:val="auto"/>
          <w:sz w:val="24"/>
          <w:highlight w:val="none"/>
        </w:rPr>
      </w:pPr>
    </w:p>
    <w:p>
      <w:pPr>
        <w:pStyle w:val="2"/>
        <w:snapToGrid w:val="0"/>
        <w:textAlignment w:val="baseline"/>
        <w:rPr>
          <w:rFonts w:hint="eastAsia" w:ascii="仿宋" w:hAnsi="仿宋" w:eastAsia="仿宋" w:cs="仿宋"/>
          <w:bCs/>
          <w:color w:val="auto"/>
          <w:sz w:val="24"/>
          <w:highlight w:val="none"/>
        </w:rPr>
      </w:pPr>
    </w:p>
    <w:p>
      <w:pPr>
        <w:snapToGrid w:val="0"/>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格式1-6</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bookmarkStart w:id="78" w:name="_Toc14002"/>
      <w:r>
        <w:rPr>
          <w:rFonts w:hint="eastAsia" w:ascii="仿宋" w:hAnsi="仿宋" w:eastAsia="仿宋" w:cs="仿宋"/>
          <w:b/>
          <w:color w:val="auto"/>
          <w:sz w:val="32"/>
          <w:szCs w:val="32"/>
          <w:highlight w:val="none"/>
        </w:rPr>
        <w:t>五、中小企业声明函（服务）</w:t>
      </w:r>
      <w:bookmarkEnd w:id="78"/>
    </w:p>
    <w:p>
      <w:pPr>
        <w:pStyle w:val="15"/>
        <w:snapToGrid w:val="0"/>
        <w:spacing w:line="360" w:lineRule="auto"/>
        <w:ind w:left="0" w:leftChars="0"/>
        <w:textAlignment w:val="baseline"/>
        <w:rPr>
          <w:rFonts w:hint="eastAsia" w:ascii="仿宋" w:hAnsi="仿宋" w:eastAsia="仿宋" w:cs="仿宋"/>
          <w:b/>
          <w:color w:val="auto"/>
          <w:szCs w:val="21"/>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highlight w:val="none"/>
          <w:u w:val="single" w:color="000000"/>
        </w:rPr>
        <w:t xml:space="preserve">（单位名称）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color="000000"/>
        </w:rPr>
        <w:t xml:space="preserve">（项目名称）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1. </w:t>
      </w:r>
      <w:r>
        <w:rPr>
          <w:rFonts w:hint="eastAsia" w:ascii="仿宋" w:hAnsi="仿宋" w:eastAsia="仿宋" w:cs="仿宋"/>
          <w:color w:val="auto"/>
          <w:sz w:val="24"/>
          <w:highlight w:val="none"/>
          <w:u w:val="single" w:color="000000"/>
        </w:rPr>
        <w:t xml:space="preserve">（标的名称）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color="000000"/>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（中型企业、小型企业、微型企业）</w:t>
      </w: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color="000000"/>
        </w:rPr>
        <w:t xml:space="preserve"> （标的名称）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color="000000"/>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color="000000"/>
        </w:rPr>
        <w:t xml:space="preserve"> （中型企业、小型企业、微型企业）</w:t>
      </w: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600" w:firstLineChars="250"/>
        <w:textAlignment w:val="baseline"/>
        <w:rPr>
          <w:rFonts w:hint="eastAsia" w:ascii="仿宋" w:hAnsi="仿宋" w:eastAsia="仿宋" w:cs="仿宋"/>
          <w:color w:val="auto"/>
          <w:sz w:val="24"/>
          <w:highlight w:val="none"/>
        </w:rPr>
      </w:pPr>
    </w:p>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企业名称（盖章）：</w:t>
      </w:r>
    </w:p>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从业人员、营业收入、资产总额填报上一年度数据，无上一年度数据的新成立企业可不填报。</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格式1-7</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六、残疾人福利性单位声明函</w:t>
      </w:r>
    </w:p>
    <w:p>
      <w:pPr>
        <w:snapToGrid w:val="0"/>
        <w:spacing w:line="588" w:lineRule="exact"/>
        <w:textAlignment w:val="baseline"/>
        <w:rPr>
          <w:rFonts w:hint="eastAsia" w:ascii="仿宋" w:hAnsi="仿宋" w:eastAsia="仿宋" w:cs="仿宋"/>
          <w:b/>
          <w:color w:val="auto"/>
          <w:spacing w:val="6"/>
          <w:sz w:val="24"/>
          <w:highlight w:val="none"/>
        </w:rPr>
      </w:pPr>
    </w:p>
    <w:p>
      <w:pPr>
        <w:snapToGrid w:val="0"/>
        <w:spacing w:line="588" w:lineRule="exact"/>
        <w:ind w:firstLine="504"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w:t>
      </w:r>
      <w:r>
        <w:rPr>
          <w:rFonts w:hint="eastAsia" w:ascii="仿宋" w:hAnsi="仿宋" w:eastAsia="仿宋" w:cs="仿宋"/>
          <w:color w:val="auto"/>
          <w:sz w:val="24"/>
          <w:highlight w:val="none"/>
          <w:u w:val="single" w:color="000000"/>
        </w:rPr>
        <w:t>XXXX</w:t>
      </w:r>
      <w:r>
        <w:rPr>
          <w:rFonts w:hint="eastAsia" w:ascii="仿宋" w:hAnsi="仿宋" w:eastAsia="仿宋" w:cs="仿宋"/>
          <w:color w:val="auto"/>
          <w:spacing w:val="6"/>
          <w:sz w:val="24"/>
          <w:highlight w:val="none"/>
        </w:rPr>
        <w:t>单位的</w:t>
      </w:r>
      <w:r>
        <w:rPr>
          <w:rFonts w:hint="eastAsia" w:ascii="仿宋" w:hAnsi="仿宋" w:eastAsia="仿宋" w:cs="仿宋"/>
          <w:color w:val="auto"/>
          <w:sz w:val="24"/>
          <w:highlight w:val="none"/>
          <w:u w:val="single" w:color="000000"/>
        </w:rPr>
        <w:t>XXXX</w:t>
      </w:r>
      <w:r>
        <w:rPr>
          <w:rFonts w:hint="eastAsia" w:ascii="仿宋" w:hAnsi="仿宋" w:eastAsia="仿宋" w:cs="仿宋"/>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napToGrid w:val="0"/>
        <w:spacing w:line="588" w:lineRule="exact"/>
        <w:ind w:firstLine="504"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napToGrid w:val="0"/>
        <w:spacing w:line="588" w:lineRule="exact"/>
        <w:textAlignment w:val="baseline"/>
        <w:rPr>
          <w:rFonts w:hint="eastAsia" w:ascii="仿宋" w:hAnsi="仿宋" w:eastAsia="仿宋" w:cs="仿宋"/>
          <w:color w:val="auto"/>
          <w:spacing w:val="6"/>
          <w:sz w:val="24"/>
          <w:highlight w:val="none"/>
        </w:rPr>
      </w:pPr>
    </w:p>
    <w:p>
      <w:pPr>
        <w:snapToGrid w:val="0"/>
        <w:spacing w:line="588" w:lineRule="exact"/>
        <w:textAlignment w:val="baseline"/>
        <w:rPr>
          <w:rFonts w:hint="eastAsia" w:ascii="仿宋" w:hAnsi="仿宋" w:eastAsia="仿宋" w:cs="仿宋"/>
          <w:color w:val="auto"/>
          <w:spacing w:val="6"/>
          <w:sz w:val="24"/>
          <w:highlight w:val="none"/>
        </w:rPr>
      </w:pP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单位名称：XXXX（盖单位公章）</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法定代表人/单位负责人或授权代表（签字或加盖个人印章）：XXXX</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日期：XXXX</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注：1.残疾人福利性单位视同小型、微型企业，享受预留份额、评审中价格扣除等促进中小企业发展的政府采购政策。残疾人福利性单位属于小型、微型企业的，不重复享受政策。</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2.供应商为非残疾人福利性单位的，可不提供此声明。</w:t>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格式1-8</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七、监狱企业</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napToGrid w:val="0"/>
        <w:spacing w:line="360" w:lineRule="auto"/>
        <w:jc w:val="left"/>
        <w:textAlignment w:val="baseline"/>
        <w:rPr>
          <w:rFonts w:hint="eastAsia" w:ascii="仿宋" w:hAnsi="仿宋" w:eastAsia="仿宋" w:cs="仿宋"/>
          <w:color w:val="auto"/>
          <w:sz w:val="24"/>
          <w:highlight w:val="none"/>
        </w:rPr>
      </w:pPr>
    </w:p>
    <w:p>
      <w:pPr>
        <w:snapToGrid w:val="0"/>
        <w:spacing w:line="360" w:lineRule="auto"/>
        <w:jc w:val="left"/>
        <w:textAlignment w:val="baseline"/>
        <w:rPr>
          <w:rFonts w:hint="eastAsia" w:ascii="仿宋" w:hAnsi="仿宋" w:eastAsia="仿宋" w:cs="仿宋"/>
          <w:color w:val="auto"/>
          <w:sz w:val="24"/>
          <w:highlight w:val="none"/>
        </w:rPr>
      </w:pPr>
    </w:p>
    <w:p>
      <w:pPr>
        <w:snapToGrid w:val="0"/>
        <w:spacing w:line="360" w:lineRule="auto"/>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注：1.供应商符合《政府采购支持监狱企业发展有关问题的通知》（财库〔2014〕68号）规定的划分标准为监狱企业的适用。</w:t>
      </w:r>
    </w:p>
    <w:p>
      <w:pPr>
        <w:snapToGrid w:val="0"/>
        <w:spacing w:line="3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2.在政府采购活动中，监狱企业视同小型、微型企业，享受预留份额、评审中价格扣除等政府采购促进中小企业发展的政府采购政策。</w:t>
      </w:r>
    </w:p>
    <w:p>
      <w:pPr>
        <w:pStyle w:val="2"/>
        <w:snapToGrid w:val="0"/>
        <w:textAlignment w:val="baseline"/>
        <w:rPr>
          <w:rFonts w:hint="eastAsia" w:ascii="仿宋" w:hAnsi="仿宋" w:eastAsia="仿宋" w:cs="仿宋"/>
          <w:bCs/>
          <w:color w:val="auto"/>
          <w:sz w:val="24"/>
          <w:highlight w:val="none"/>
        </w:rPr>
      </w:pPr>
    </w:p>
    <w:p>
      <w:pPr>
        <w:tabs>
          <w:tab w:val="left" w:pos="900"/>
        </w:tabs>
        <w:snapToGrid w:val="0"/>
        <w:spacing w:line="360" w:lineRule="auto"/>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2"/>
        <w:rPr>
          <w:rFonts w:hint="eastAsia" w:ascii="仿宋" w:hAnsi="仿宋" w:eastAsia="仿宋" w:cs="仿宋"/>
          <w:color w:val="auto"/>
          <w:highlight w:val="none"/>
        </w:rPr>
      </w:pPr>
    </w:p>
    <w:p>
      <w:pPr>
        <w:tabs>
          <w:tab w:val="left" w:pos="900"/>
        </w:tabs>
        <w:snapToGrid w:val="0"/>
        <w:spacing w:line="360" w:lineRule="auto"/>
        <w:jc w:val="center"/>
        <w:textAlignment w:val="baseline"/>
        <w:rPr>
          <w:rFonts w:hint="eastAsia" w:ascii="仿宋" w:hAnsi="仿宋" w:eastAsia="仿宋" w:cs="仿宋"/>
          <w:b/>
          <w:color w:val="auto"/>
          <w:sz w:val="32"/>
          <w:highlight w:val="none"/>
        </w:rPr>
      </w:pPr>
      <w:r>
        <w:rPr>
          <w:rFonts w:hint="eastAsia" w:ascii="仿宋" w:hAnsi="仿宋" w:eastAsia="仿宋" w:cs="仿宋"/>
          <w:b/>
          <w:color w:val="auto"/>
          <w:sz w:val="32"/>
          <w:highlight w:val="none"/>
        </w:rPr>
        <w:t>第二部分     “其他响应文件”格式</w:t>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格式2-1</w:t>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封面：</w:t>
      </w:r>
    </w:p>
    <w:p>
      <w:pPr>
        <w:snapToGrid w:val="0"/>
        <w:spacing w:line="360" w:lineRule="auto"/>
        <w:jc w:val="right"/>
        <w:textAlignment w:val="baseline"/>
        <w:rPr>
          <w:rFonts w:hint="eastAsia" w:ascii="仿宋" w:hAnsi="仿宋" w:eastAsia="仿宋" w:cs="仿宋"/>
          <w:b/>
          <w:color w:val="auto"/>
          <w:sz w:val="36"/>
          <w:highlight w:val="none"/>
        </w:rPr>
      </w:pPr>
      <w:r>
        <w:rPr>
          <w:rFonts w:hint="eastAsia" w:ascii="仿宋" w:hAnsi="仿宋" w:eastAsia="仿宋" w:cs="仿宋"/>
          <w:b/>
          <w:color w:val="auto"/>
          <w:sz w:val="36"/>
          <w:highlight w:val="none"/>
        </w:rPr>
        <w:t>（正本/副本）</w:t>
      </w:r>
    </w:p>
    <w:p>
      <w:pPr>
        <w:snapToGrid w:val="0"/>
        <w:spacing w:line="360" w:lineRule="auto"/>
        <w:textAlignment w:val="baseline"/>
        <w:rPr>
          <w:rFonts w:hint="eastAsia" w:ascii="仿宋" w:hAnsi="仿宋" w:eastAsia="仿宋" w:cs="仿宋"/>
          <w:b/>
          <w:color w:val="auto"/>
          <w:sz w:val="32"/>
          <w:szCs w:val="32"/>
          <w:highlight w:val="none"/>
        </w:rPr>
      </w:pPr>
    </w:p>
    <w:p>
      <w:pPr>
        <w:snapToGrid w:val="0"/>
        <w:spacing w:line="360" w:lineRule="auto"/>
        <w:textAlignment w:val="baseline"/>
        <w:rPr>
          <w:rFonts w:hint="eastAsia" w:ascii="仿宋" w:hAnsi="仿宋" w:eastAsia="仿宋" w:cs="仿宋"/>
          <w:b/>
          <w:color w:val="auto"/>
          <w:sz w:val="32"/>
          <w:szCs w:val="32"/>
          <w:highlight w:val="none"/>
        </w:rPr>
      </w:pPr>
    </w:p>
    <w:p>
      <w:pPr>
        <w:snapToGrid w:val="0"/>
        <w:spacing w:line="360" w:lineRule="auto"/>
        <w:jc w:val="center"/>
        <w:textAlignment w:val="baseline"/>
        <w:rPr>
          <w:rFonts w:hint="eastAsia" w:ascii="仿宋" w:hAnsi="仿宋" w:eastAsia="仿宋" w:cs="仿宋"/>
          <w:b/>
          <w:color w:val="auto"/>
          <w:sz w:val="72"/>
          <w:highlight w:val="none"/>
        </w:rPr>
      </w:pPr>
      <w:r>
        <w:rPr>
          <w:rFonts w:hint="eastAsia" w:ascii="仿宋" w:hAnsi="仿宋" w:eastAsia="仿宋" w:cs="仿宋"/>
          <w:b/>
          <w:color w:val="auto"/>
          <w:sz w:val="40"/>
          <w:szCs w:val="48"/>
          <w:highlight w:val="none"/>
        </w:rPr>
        <w:t>XX项目</w:t>
      </w:r>
    </w:p>
    <w:p>
      <w:pPr>
        <w:snapToGrid w:val="0"/>
        <w:spacing w:line="360" w:lineRule="auto"/>
        <w:textAlignment w:val="baseline"/>
        <w:rPr>
          <w:rFonts w:hint="eastAsia" w:ascii="仿宋" w:hAnsi="仿宋" w:eastAsia="仿宋" w:cs="仿宋"/>
          <w:b/>
          <w:color w:val="auto"/>
          <w:sz w:val="52"/>
          <w:szCs w:val="52"/>
          <w:highlight w:val="none"/>
        </w:rPr>
      </w:pPr>
    </w:p>
    <w:p>
      <w:pPr>
        <w:snapToGrid w:val="0"/>
        <w:spacing w:line="360" w:lineRule="auto"/>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52"/>
          <w:szCs w:val="52"/>
          <w:highlight w:val="none"/>
        </w:rPr>
        <w:t>其他响应文件</w:t>
      </w:r>
    </w:p>
    <w:p>
      <w:pPr>
        <w:snapToGrid w:val="0"/>
        <w:spacing w:line="360" w:lineRule="auto"/>
        <w:textAlignment w:val="baseline"/>
        <w:rPr>
          <w:rFonts w:hint="eastAsia" w:ascii="仿宋" w:hAnsi="仿宋" w:eastAsia="仿宋" w:cs="仿宋"/>
          <w:b/>
          <w:color w:val="auto"/>
          <w:sz w:val="36"/>
          <w:highlight w:val="none"/>
        </w:rPr>
      </w:pPr>
    </w:p>
    <w:p>
      <w:pPr>
        <w:snapToGrid w:val="0"/>
        <w:spacing w:line="360" w:lineRule="auto"/>
        <w:textAlignment w:val="baseline"/>
        <w:rPr>
          <w:rFonts w:hint="eastAsia" w:ascii="仿宋" w:hAnsi="仿宋" w:eastAsia="仿宋" w:cs="仿宋"/>
          <w:b/>
          <w:color w:val="auto"/>
          <w:sz w:val="36"/>
          <w:highlight w:val="none"/>
        </w:rPr>
      </w:pP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供应商名称：</w:t>
      </w: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采购项目编号：</w:t>
      </w:r>
    </w:p>
    <w:p>
      <w:pPr>
        <w:snapToGrid w:val="0"/>
        <w:spacing w:line="360" w:lineRule="auto"/>
        <w:jc w:val="left"/>
        <w:textAlignment w:val="baseline"/>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包      号：</w:t>
      </w:r>
    </w:p>
    <w:p>
      <w:pPr>
        <w:snapToGrid w:val="0"/>
        <w:spacing w:line="360" w:lineRule="auto"/>
        <w:ind w:firstLine="790" w:firstLineChars="246"/>
        <w:jc w:val="center"/>
        <w:textAlignment w:val="baseline"/>
        <w:rPr>
          <w:rFonts w:hint="eastAsia" w:ascii="仿宋" w:hAnsi="仿宋" w:eastAsia="仿宋" w:cs="仿宋"/>
          <w:b/>
          <w:color w:val="auto"/>
          <w:sz w:val="32"/>
          <w:highlight w:val="none"/>
        </w:rPr>
      </w:pPr>
    </w:p>
    <w:p>
      <w:pPr>
        <w:snapToGrid w:val="0"/>
        <w:spacing w:line="360" w:lineRule="auto"/>
        <w:ind w:firstLine="790" w:firstLineChars="246"/>
        <w:jc w:val="center"/>
        <w:textAlignment w:val="baseline"/>
        <w:rPr>
          <w:rFonts w:hint="eastAsia" w:ascii="仿宋" w:hAnsi="仿宋" w:eastAsia="仿宋" w:cs="仿宋"/>
          <w:b/>
          <w:color w:val="auto"/>
          <w:sz w:val="32"/>
          <w:highlight w:val="none"/>
        </w:rPr>
      </w:pPr>
      <w:r>
        <w:rPr>
          <w:rFonts w:hint="eastAsia" w:ascii="仿宋" w:hAnsi="仿宋" w:eastAsia="仿宋" w:cs="仿宋"/>
          <w:b/>
          <w:color w:val="auto"/>
          <w:sz w:val="32"/>
          <w:highlight w:val="none"/>
        </w:rPr>
        <w:t>时间：XX年XX月XX日</w:t>
      </w:r>
    </w:p>
    <w:p>
      <w:pPr>
        <w:snapToGrid w:val="0"/>
        <w:spacing w:line="360" w:lineRule="auto"/>
        <w:textAlignment w:val="baseline"/>
        <w:rPr>
          <w:rFonts w:hint="eastAsia" w:ascii="仿宋" w:hAnsi="仿宋" w:eastAsia="仿宋" w:cs="仿宋"/>
          <w:b/>
          <w:color w:val="auto"/>
          <w:sz w:val="32"/>
          <w:highlight w:val="none"/>
        </w:rPr>
      </w:pPr>
      <w:r>
        <w:rPr>
          <w:rFonts w:hint="eastAsia" w:ascii="仿宋" w:hAnsi="仿宋" w:eastAsia="仿宋" w:cs="仿宋"/>
          <w:b/>
          <w:color w:val="auto"/>
          <w:sz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格式2-2</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bookmarkStart w:id="79" w:name="_Toc308164824"/>
      <w:r>
        <w:rPr>
          <w:rFonts w:hint="eastAsia" w:ascii="仿宋" w:hAnsi="仿宋" w:eastAsia="仿宋" w:cs="仿宋"/>
          <w:b/>
          <w:color w:val="auto"/>
          <w:sz w:val="32"/>
          <w:szCs w:val="32"/>
          <w:highlight w:val="none"/>
        </w:rPr>
        <w:t>一、响应函</w:t>
      </w:r>
    </w:p>
    <w:p>
      <w:pPr>
        <w:snapToGrid w:val="0"/>
        <w:textAlignment w:val="baseline"/>
        <w:rPr>
          <w:rFonts w:hint="eastAsia" w:ascii="仿宋" w:hAnsi="仿宋" w:eastAsia="仿宋" w:cs="仿宋"/>
          <w:color w:val="auto"/>
          <w:sz w:val="20"/>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XXX（采购代理机构名称）：</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我方全面研究了“XXXXXX”项目磋商文件（项目编号：XXXX），决定参加贵单位组织的本项目磋商采购。</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一、我方自愿按照磋商文件规定的各项要求向采购人提供所需货物/服务。</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二、一旦我方成交，我方将严格履行政府采购合同规定的责任和义务。</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三、我方为本项目提交的响应文件正本1份，副本XX份，用于磋商报价。</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四、本次磋商，我方递交的响应文件有效期为磋商文件规定起算之日起XX天。</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五、我方愿意提供贵单位可能另外要求的，与磋商报价有关的文件资料，并保证我方已提供和将要提供的文件资料是真实、准确的。</w:t>
      </w:r>
    </w:p>
    <w:p>
      <w:pPr>
        <w:snapToGrid w:val="0"/>
        <w:spacing w:line="400" w:lineRule="exact"/>
        <w:jc w:val="left"/>
        <w:textAlignment w:val="baseline"/>
        <w:rPr>
          <w:rFonts w:hint="eastAsia" w:ascii="仿宋" w:hAnsi="仿宋" w:eastAsia="仿宋" w:cs="仿宋"/>
          <w:color w:val="auto"/>
          <w:sz w:val="24"/>
          <w:highlight w:val="none"/>
        </w:rPr>
      </w:pP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通讯地址：XXX</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邮政编码：XXX</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联系电话：XXX</w:t>
      </w:r>
    </w:p>
    <w:p>
      <w:pPr>
        <w:snapToGrid w:val="0"/>
        <w:spacing w:line="400" w:lineRule="exact"/>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真：XXX</w:t>
      </w:r>
    </w:p>
    <w:p>
      <w:pPr>
        <w:snapToGrid w:val="0"/>
        <w:ind w:firstLine="480" w:firstLineChars="200"/>
        <w:textAlignment w:val="baseline"/>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日    期：XXX年XXX月XXX日</w:t>
      </w: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格式2-3</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二、承诺函（实质性要求）</w:t>
      </w:r>
    </w:p>
    <w:p>
      <w:pPr>
        <w:snapToGrid w:val="0"/>
        <w:textAlignment w:val="baseline"/>
        <w:rPr>
          <w:rFonts w:hint="eastAsia" w:ascii="仿宋" w:hAnsi="仿宋" w:eastAsia="仿宋" w:cs="仿宋"/>
          <w:color w:val="auto"/>
          <w:sz w:val="20"/>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XXX（采购代理机构名称）：</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我方作为本次采购项目的供应商，根据磋商文件要求，现郑重承诺如下：</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二、在参加本次采购活动中，不存在与单位负责人为同一人或者存在直接控股、管理关系的其他供应商参与同一合同项下的政府采购活动的行为。</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三、为采购项目提供整体设计、规范编制或者项目管理、监理、检测等服务的供应商，不得再参加该采购项目的其他采购活动，我方承诺不属于此类禁止参加本项目的供应商。</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rPr>
        <w:t>、响应文件中提供的任何资料和技术、服务、商务等响应承诺情况都是真实的、有效的、合法的。</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五</w:t>
      </w:r>
      <w:r>
        <w:rPr>
          <w:rFonts w:hint="eastAsia" w:ascii="仿宋" w:hAnsi="仿宋" w:eastAsia="仿宋" w:cs="仿宋"/>
          <w:color w:val="auto"/>
          <w:sz w:val="24"/>
          <w:highlight w:val="none"/>
        </w:rPr>
        <w:t>、如本项目磋商采购过程中需要提供样品，则我方提供的样品将作为中标后履约验收的参考，我方对提供样品的性能和质量负责，因样品存在缺陷或者不符合磋商文件要求导致未能成交的，我方愿意承担相应不利后果。</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六</w:t>
      </w:r>
      <w:r>
        <w:rPr>
          <w:rFonts w:hint="eastAsia" w:ascii="仿宋" w:hAnsi="仿宋" w:eastAsia="仿宋" w:cs="仿宋"/>
          <w:color w:val="auto"/>
          <w:sz w:val="24"/>
          <w:highlight w:val="none"/>
        </w:rPr>
        <w:t>、国家或行业主管部门对采购产品的技术标准、质量标准和资格资质条件等有强制性规定的，我方承诺符合其要求。</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、参加本次采购活动，我方完全同意磋商文件第二章关于“磋商费用”、“合同分包”、“合同转包”的实质性要求，并承诺严格按照磋商文件要求履行。</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八</w:t>
      </w:r>
      <w:r>
        <w:rPr>
          <w:rFonts w:hint="eastAsia" w:ascii="仿宋" w:hAnsi="仿宋" w:eastAsia="仿宋" w:cs="仿宋"/>
          <w:color w:val="auto"/>
          <w:sz w:val="24"/>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我方对上述承诺的内容事项真实性负责。如经查实上述承诺的内容事项存在虚假，我方愿意接受以提供虚假材料谋取成交的法律责任。</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ind w:firstLine="470" w:firstLineChars="196"/>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供应商名称：XXXX（盖章）</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期：XXX年XXX月XXX日</w:t>
      </w:r>
      <w:bookmarkEnd w:id="79"/>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关联单位申明函</w:t>
      </w:r>
    </w:p>
    <w:p>
      <w:pPr>
        <w:snapToGrid w:val="0"/>
        <w:textAlignment w:val="baseline"/>
        <w:rPr>
          <w:rFonts w:hint="eastAsia" w:ascii="仿宋" w:hAnsi="仿宋" w:eastAsia="仿宋" w:cs="仿宋"/>
          <w:color w:val="auto"/>
          <w:sz w:val="20"/>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XXXX（采购代理机构名称）：</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我方作为本次采购项目的供应商，根据采购文件要求，现郑重承诺如下：</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本项目与我方存在直接控股关系的单位为：XXX；存在管理关系单位为：XXX</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我方对上述承诺的内容事项真实性负责。如经查实上述承诺的内容事项存在虚假，我方愿意接受以提供虚假材料谋取中标（成交）追究法律责任。</w:t>
      </w: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供应商名称：XXXX（单位公章）。</w:t>
      </w:r>
      <w:r>
        <w:rPr>
          <w:rFonts w:hint="eastAsia" w:ascii="仿宋" w:hAnsi="仿宋" w:eastAsia="仿宋" w:cs="仿宋"/>
          <w:color w:val="auto"/>
          <w:sz w:val="24"/>
          <w:highlight w:val="none"/>
        </w:rPr>
        <w:tab/>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期：XXXX。</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格式2-4</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三、供应商基本情况表</w:t>
      </w:r>
    </w:p>
    <w:p>
      <w:pPr>
        <w:snapToGrid w:val="0"/>
        <w:jc w:val="center"/>
        <w:textAlignment w:val="baseline"/>
        <w:rPr>
          <w:rFonts w:hint="eastAsia" w:ascii="仿宋" w:hAnsi="仿宋" w:eastAsia="仿宋" w:cs="仿宋"/>
          <w:b/>
          <w:bCs/>
          <w:color w:val="auto"/>
          <w:sz w:val="32"/>
          <w:szCs w:val="32"/>
          <w:highlight w:val="none"/>
        </w:rPr>
      </w:pPr>
    </w:p>
    <w:tbl>
      <w:tblPr>
        <w:tblStyle w:val="2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供应商名称</w:t>
            </w:r>
          </w:p>
        </w:tc>
        <w:tc>
          <w:tcPr>
            <w:tcW w:w="7560" w:type="dxa"/>
            <w:gridSpan w:val="11"/>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注册地址</w:t>
            </w:r>
          </w:p>
        </w:tc>
        <w:tc>
          <w:tcPr>
            <w:tcW w:w="4680" w:type="dxa"/>
            <w:gridSpan w:val="6"/>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邮政编码</w:t>
            </w:r>
          </w:p>
        </w:tc>
        <w:tc>
          <w:tcPr>
            <w:tcW w:w="1620" w:type="dxa"/>
            <w:gridSpan w:val="2"/>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联系方式</w:t>
            </w:r>
          </w:p>
        </w:tc>
        <w:tc>
          <w:tcPr>
            <w:tcW w:w="108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联系人</w:t>
            </w:r>
          </w:p>
        </w:tc>
        <w:tc>
          <w:tcPr>
            <w:tcW w:w="3600" w:type="dxa"/>
            <w:gridSpan w:val="5"/>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620" w:type="dxa"/>
            <w:gridSpan w:val="2"/>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napToGrid w:val="0"/>
              <w:jc w:val="center"/>
              <w:textAlignment w:val="baseline"/>
              <w:rPr>
                <w:rFonts w:hint="eastAsia" w:ascii="仿宋" w:hAnsi="仿宋" w:eastAsia="仿宋" w:cs="仿宋"/>
                <w:bCs/>
                <w:color w:val="auto"/>
                <w:sz w:val="24"/>
                <w:highlight w:val="none"/>
              </w:rPr>
            </w:pPr>
          </w:p>
        </w:tc>
        <w:tc>
          <w:tcPr>
            <w:tcW w:w="108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传真</w:t>
            </w:r>
          </w:p>
        </w:tc>
        <w:tc>
          <w:tcPr>
            <w:tcW w:w="3600" w:type="dxa"/>
            <w:gridSpan w:val="5"/>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网址</w:t>
            </w:r>
          </w:p>
        </w:tc>
        <w:tc>
          <w:tcPr>
            <w:tcW w:w="1620" w:type="dxa"/>
            <w:gridSpan w:val="2"/>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组织结构</w:t>
            </w:r>
          </w:p>
        </w:tc>
        <w:tc>
          <w:tcPr>
            <w:tcW w:w="7560" w:type="dxa"/>
            <w:gridSpan w:val="11"/>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法定代表人/单位负责人</w:t>
            </w:r>
          </w:p>
        </w:tc>
        <w:tc>
          <w:tcPr>
            <w:tcW w:w="1260" w:type="dxa"/>
            <w:gridSpan w:val="2"/>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姓名</w:t>
            </w: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技术职称</w:t>
            </w: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技术负责人</w:t>
            </w:r>
          </w:p>
        </w:tc>
        <w:tc>
          <w:tcPr>
            <w:tcW w:w="1260" w:type="dxa"/>
            <w:gridSpan w:val="2"/>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姓名</w:t>
            </w: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技术职称</w:t>
            </w: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26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联系电话</w:t>
            </w:r>
          </w:p>
        </w:tc>
        <w:tc>
          <w:tcPr>
            <w:tcW w:w="1260"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成立时间</w:t>
            </w:r>
          </w:p>
        </w:tc>
        <w:tc>
          <w:tcPr>
            <w:tcW w:w="2520" w:type="dxa"/>
            <w:gridSpan w:val="3"/>
            <w:vAlign w:val="center"/>
          </w:tcPr>
          <w:p>
            <w:pPr>
              <w:snapToGrid w:val="0"/>
              <w:jc w:val="center"/>
              <w:textAlignment w:val="baseline"/>
              <w:rPr>
                <w:rFonts w:hint="eastAsia" w:ascii="仿宋" w:hAnsi="仿宋" w:eastAsia="仿宋" w:cs="仿宋"/>
                <w:bCs/>
                <w:color w:val="auto"/>
                <w:sz w:val="24"/>
                <w:highlight w:val="none"/>
              </w:rPr>
            </w:pPr>
          </w:p>
        </w:tc>
        <w:tc>
          <w:tcPr>
            <w:tcW w:w="5040" w:type="dxa"/>
            <w:gridSpan w:val="8"/>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企业资质等级</w:t>
            </w:r>
          </w:p>
        </w:tc>
        <w:tc>
          <w:tcPr>
            <w:tcW w:w="252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2"/>
            <w:vMerge w:val="restart"/>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其中</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项目经理</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营业执照</w:t>
            </w:r>
            <w:r>
              <w:rPr>
                <w:rFonts w:hint="eastAsia" w:ascii="仿宋" w:hAnsi="仿宋" w:eastAsia="仿宋" w:cs="仿宋"/>
                <w:color w:val="auto"/>
                <w:sz w:val="24"/>
                <w:highlight w:val="none"/>
              </w:rPr>
              <w:t>号</w:t>
            </w:r>
          </w:p>
        </w:tc>
        <w:tc>
          <w:tcPr>
            <w:tcW w:w="252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2"/>
            <w:vMerge w:val="continue"/>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高级职称人员</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注册资金</w:t>
            </w:r>
          </w:p>
        </w:tc>
        <w:tc>
          <w:tcPr>
            <w:tcW w:w="252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2"/>
            <w:vMerge w:val="continue"/>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中级职称人员</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开户银行</w:t>
            </w:r>
          </w:p>
        </w:tc>
        <w:tc>
          <w:tcPr>
            <w:tcW w:w="252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2"/>
            <w:vMerge w:val="continue"/>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初级职称人员</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账号</w:t>
            </w:r>
          </w:p>
        </w:tc>
        <w:tc>
          <w:tcPr>
            <w:tcW w:w="252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2"/>
            <w:vMerge w:val="continue"/>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技工</w:t>
            </w:r>
          </w:p>
        </w:tc>
        <w:tc>
          <w:tcPr>
            <w:tcW w:w="1680" w:type="dxa"/>
            <w:gridSpan w:val="3"/>
            <w:shd w:val="clear" w:color="auto" w:fill="auto"/>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经营范围</w:t>
            </w:r>
          </w:p>
        </w:tc>
        <w:tc>
          <w:tcPr>
            <w:tcW w:w="7560" w:type="dxa"/>
            <w:gridSpan w:val="11"/>
            <w:vAlign w:val="center"/>
          </w:tcPr>
          <w:p>
            <w:pPr>
              <w:snapToGrid w:val="0"/>
              <w:jc w:val="center"/>
              <w:textAlignment w:val="baseline"/>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w:t>
            </w:r>
          </w:p>
        </w:tc>
        <w:tc>
          <w:tcPr>
            <w:tcW w:w="7560" w:type="dxa"/>
            <w:gridSpan w:val="11"/>
            <w:vAlign w:val="center"/>
          </w:tcPr>
          <w:p>
            <w:pPr>
              <w:snapToGrid w:val="0"/>
              <w:jc w:val="center"/>
              <w:textAlignment w:val="baseline"/>
              <w:rPr>
                <w:rFonts w:hint="eastAsia" w:ascii="仿宋" w:hAnsi="仿宋" w:eastAsia="仿宋" w:cs="仿宋"/>
                <w:bCs/>
                <w:color w:val="auto"/>
                <w:sz w:val="24"/>
                <w:highlight w:val="none"/>
              </w:rPr>
            </w:pPr>
          </w:p>
        </w:tc>
      </w:tr>
    </w:tbl>
    <w:p>
      <w:pPr>
        <w:snapToGrid w:val="0"/>
        <w:spacing w:line="400" w:lineRule="exact"/>
        <w:jc w:val="left"/>
        <w:textAlignment w:val="baseline"/>
        <w:rPr>
          <w:rFonts w:hint="eastAsia" w:ascii="仿宋" w:hAnsi="仿宋" w:eastAsia="仿宋" w:cs="仿宋"/>
          <w:color w:val="auto"/>
          <w:sz w:val="24"/>
          <w:highlight w:val="none"/>
        </w:rPr>
      </w:pPr>
    </w:p>
    <w:p>
      <w:pPr>
        <w:snapToGrid w:val="0"/>
        <w:spacing w:line="400" w:lineRule="exact"/>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400" w:lineRule="exact"/>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法定代表人/单位负责人或授权代表</w:t>
      </w:r>
      <w:r>
        <w:rPr>
          <w:rFonts w:hint="eastAsia" w:ascii="仿宋" w:hAnsi="仿宋" w:eastAsia="仿宋" w:cs="仿宋"/>
          <w:color w:val="auto"/>
          <w:sz w:val="24"/>
          <w:highlight w:val="none"/>
        </w:rPr>
        <w:t>（签字或加盖个人印章）</w:t>
      </w:r>
      <w:r>
        <w:rPr>
          <w:rFonts w:hint="eastAsia" w:ascii="仿宋" w:hAnsi="仿宋" w:eastAsia="仿宋" w:cs="仿宋"/>
          <w:bCs/>
          <w:color w:val="auto"/>
          <w:sz w:val="24"/>
          <w:highlight w:val="none"/>
        </w:rPr>
        <w:t>：XXX</w:t>
      </w:r>
    </w:p>
    <w:p>
      <w:pPr>
        <w:snapToGrid w:val="0"/>
        <w:spacing w:line="400" w:lineRule="exact"/>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日期：XXX年XXX月XXX日</w:t>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spacing w:line="360" w:lineRule="atLeast"/>
        <w:jc w:val="left"/>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格式2-5</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四、制造厂家授权书(如涉及)</w:t>
      </w:r>
    </w:p>
    <w:p>
      <w:pPr>
        <w:snapToGrid w:val="0"/>
        <w:spacing w:line="400" w:lineRule="exact"/>
        <w:jc w:val="center"/>
        <w:textAlignment w:val="baseline"/>
        <w:rPr>
          <w:rFonts w:hint="eastAsia" w:ascii="仿宋" w:hAnsi="仿宋" w:eastAsia="仿宋" w:cs="仿宋"/>
          <w:b/>
          <w:color w:val="auto"/>
          <w:sz w:val="44"/>
          <w:highlight w:val="none"/>
        </w:rPr>
      </w:pPr>
    </w:p>
    <w:p>
      <w:pPr>
        <w:snapToGrid w:val="0"/>
        <w:spacing w:line="40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XXX（采购代理机构名称）：</w:t>
      </w: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XXX（制造厂家名称）是在XXX（国名）依法登记注册的，其厂址现在XXX。</w:t>
      </w: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XXX（被授权公司名称）是在XXX（国名）依法登记注册的，其主要营业地点现在XXXX。</w:t>
      </w: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napToGrid w:val="0"/>
        <w:spacing w:line="400" w:lineRule="exact"/>
        <w:ind w:firstLine="42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作为制造厂家，我方承诺，为本次采购提供的货物为原厂制造、合法渠道供应的全新产品。我方保证以政府采购合作者来约束自己，并对该报价共同承担和分别承担采购文件中规定的义务。</w:t>
      </w:r>
    </w:p>
    <w:p>
      <w:pPr>
        <w:snapToGrid w:val="0"/>
        <w:spacing w:line="400" w:lineRule="exact"/>
        <w:ind w:firstLine="630"/>
        <w:textAlignment w:val="baseline"/>
        <w:rPr>
          <w:rFonts w:hint="eastAsia" w:ascii="仿宋" w:hAnsi="仿宋" w:eastAsia="仿宋" w:cs="仿宋"/>
          <w:color w:val="auto"/>
          <w:sz w:val="24"/>
          <w:highlight w:val="none"/>
        </w:rPr>
      </w:pP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授权单位名称：XXX（盖单位公章） </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日期：XXX年XXX月XXX日</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附：授权销售产品清单</w:t>
      </w:r>
    </w:p>
    <w:p>
      <w:pPr>
        <w:snapToGrid w:val="0"/>
        <w:spacing w:line="400" w:lineRule="exact"/>
        <w:textAlignment w:val="baseline"/>
        <w:rPr>
          <w:rFonts w:hint="eastAsia" w:ascii="仿宋" w:hAnsi="仿宋" w:eastAsia="仿宋" w:cs="仿宋"/>
          <w:color w:val="auto"/>
          <w:sz w:val="32"/>
          <w:highlight w:val="none"/>
        </w:rPr>
      </w:pPr>
    </w:p>
    <w:p>
      <w:pPr>
        <w:pStyle w:val="58"/>
        <w:snapToGrid w:val="0"/>
        <w:ind w:firstLine="0" w:firstLineChars="0"/>
        <w:textAlignment w:val="baseline"/>
        <w:rPr>
          <w:rFonts w:hint="eastAsia" w:ascii="仿宋" w:hAnsi="仿宋" w:eastAsia="仿宋" w:cs="仿宋"/>
          <w:color w:val="auto"/>
          <w:highlight w:val="none"/>
        </w:rPr>
      </w:pPr>
    </w:p>
    <w:p>
      <w:pPr>
        <w:snapToGrid w:val="0"/>
        <w:spacing w:line="400" w:lineRule="exact"/>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s="仿宋"/>
          <w:color w:val="auto"/>
          <w:sz w:val="24"/>
          <w:highlight w:val="none"/>
        </w:rPr>
        <w:t>。制造厂家可以是派出机构。若由代理商授权的，须同时提供证明代理商有授权资格</w:t>
      </w:r>
      <w:r>
        <w:rPr>
          <w:rFonts w:hint="eastAsia" w:ascii="仿宋" w:hAnsi="仿宋" w:eastAsia="仿宋" w:cs="仿宋"/>
          <w:color w:val="auto"/>
          <w:kern w:val="0"/>
          <w:sz w:val="24"/>
          <w:highlight w:val="none"/>
        </w:rPr>
        <w:t>的证明文件复印件。（若由国外制造厂家直接授权的，签字或盖章均可）</w:t>
      </w:r>
    </w:p>
    <w:p>
      <w:pPr>
        <w:snapToGrid w:val="0"/>
        <w:spacing w:line="400" w:lineRule="exact"/>
        <w:textAlignment w:val="baseline"/>
        <w:rPr>
          <w:rFonts w:hint="eastAsia" w:ascii="仿宋" w:hAnsi="仿宋" w:eastAsia="仿宋" w:cs="仿宋"/>
          <w:color w:val="auto"/>
          <w:highlight w:val="none"/>
        </w:rPr>
      </w:pPr>
      <w:r>
        <w:rPr>
          <w:rFonts w:hint="eastAsia" w:ascii="仿宋" w:hAnsi="仿宋" w:eastAsia="仿宋" w:cs="仿宋"/>
          <w:color w:val="auto"/>
          <w:kern w:val="0"/>
          <w:sz w:val="24"/>
          <w:highlight w:val="none"/>
        </w:rPr>
        <w:t>2.对技术服务标准统一、市场竞争充分且可以在成交后通过合法渠道获得产品的采购项目，或者采购文件特别注明不需要提供授权书的采购项目，可以不提供制造厂家授权书。</w:t>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格式2-6</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五、技术、服务要求应答表</w:t>
      </w:r>
    </w:p>
    <w:p>
      <w:pPr>
        <w:snapToGrid w:val="0"/>
        <w:jc w:val="center"/>
        <w:textAlignment w:val="baseline"/>
        <w:rPr>
          <w:rFonts w:hint="eastAsia" w:ascii="仿宋" w:hAnsi="仿宋" w:eastAsia="仿宋" w:cs="仿宋"/>
          <w:b/>
          <w:bCs/>
          <w:color w:val="auto"/>
          <w:sz w:val="32"/>
          <w:szCs w:val="32"/>
          <w:highlight w:val="none"/>
        </w:rPr>
      </w:pP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95"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包号</w:t>
            </w:r>
          </w:p>
        </w:tc>
        <w:tc>
          <w:tcPr>
            <w:tcW w:w="2795"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2193"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193"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193"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193"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193" w:type="dxa"/>
            <w:vAlign w:val="center"/>
          </w:tcPr>
          <w:p>
            <w:pPr>
              <w:snapToGrid w:val="0"/>
              <w:jc w:val="center"/>
              <w:textAlignment w:val="baseline"/>
              <w:rPr>
                <w:rFonts w:hint="eastAsia" w:ascii="仿宋" w:hAnsi="仿宋" w:eastAsia="仿宋" w:cs="仿宋"/>
                <w:color w:val="auto"/>
                <w:sz w:val="24"/>
                <w:highlight w:val="none"/>
              </w:rPr>
            </w:pPr>
          </w:p>
        </w:tc>
      </w:tr>
    </w:tbl>
    <w:p>
      <w:pPr>
        <w:snapToGrid w:val="0"/>
        <w:ind w:firstLine="482" w:firstLineChars="200"/>
        <w:textAlignment w:val="baseline"/>
        <w:rPr>
          <w:rFonts w:hint="eastAsia" w:ascii="仿宋" w:hAnsi="仿宋" w:eastAsia="仿宋" w:cs="仿宋"/>
          <w:b/>
          <w:color w:val="auto"/>
          <w:sz w:val="24"/>
          <w:highlight w:val="none"/>
        </w:rPr>
      </w:pPr>
    </w:p>
    <w:p>
      <w:pPr>
        <w:snapToGrid w:val="0"/>
        <w:textAlignment w:val="baseline"/>
        <w:rPr>
          <w:rFonts w:hint="eastAsia" w:ascii="仿宋" w:hAnsi="仿宋" w:eastAsia="仿宋" w:cs="仿宋"/>
          <w:b/>
          <w:color w:val="auto"/>
          <w:sz w:val="24"/>
          <w:highlight w:val="none"/>
        </w:rPr>
      </w:pPr>
      <w:r>
        <w:rPr>
          <w:rFonts w:hint="eastAsia" w:ascii="仿宋" w:hAnsi="仿宋" w:eastAsia="仿宋" w:cs="仿宋"/>
          <w:color w:val="auto"/>
          <w:sz w:val="24"/>
          <w:highlight w:val="none"/>
        </w:rPr>
        <w:t>注：供应商必须根据磋商文件要求据实逐条填写，不得虚假响应，虚假响应的，其响应文件无效并按规定追究其相关责任。</w:t>
      </w: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400" w:lineRule="exact"/>
        <w:ind w:firstLine="480" w:firstLineChars="200"/>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法定代表人/单位负责人或授权代表</w:t>
      </w:r>
      <w:r>
        <w:rPr>
          <w:rFonts w:hint="eastAsia" w:ascii="仿宋" w:hAnsi="仿宋" w:eastAsia="仿宋" w:cs="仿宋"/>
          <w:color w:val="auto"/>
          <w:sz w:val="24"/>
          <w:highlight w:val="none"/>
        </w:rPr>
        <w:t>（签字或加盖个人印章）</w:t>
      </w:r>
      <w:r>
        <w:rPr>
          <w:rFonts w:hint="eastAsia" w:ascii="仿宋" w:hAnsi="仿宋" w:eastAsia="仿宋" w:cs="仿宋"/>
          <w:bCs/>
          <w:color w:val="auto"/>
          <w:sz w:val="24"/>
          <w:highlight w:val="none"/>
        </w:rPr>
        <w:t>：XXX</w:t>
      </w:r>
    </w:p>
    <w:p>
      <w:pPr>
        <w:snapToGrid w:val="0"/>
        <w:spacing w:line="400" w:lineRule="exact"/>
        <w:ind w:firstLine="540" w:firstLineChars="225"/>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日期</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XXX年XXX月XXX日</w:t>
      </w:r>
    </w:p>
    <w:p>
      <w:pPr>
        <w:snapToGrid w:val="0"/>
        <w:spacing w:line="400" w:lineRule="exact"/>
        <w:textAlignment w:val="baseline"/>
        <w:rPr>
          <w:rFonts w:hint="eastAsia" w:ascii="仿宋" w:hAnsi="仿宋" w:eastAsia="仿宋" w:cs="仿宋"/>
          <w:color w:val="auto"/>
          <w:sz w:val="20"/>
          <w:highlight w:val="none"/>
        </w:rPr>
      </w:pPr>
    </w:p>
    <w:p>
      <w:pPr>
        <w:snapToGrid w:val="0"/>
        <w:spacing w:line="400" w:lineRule="exact"/>
        <w:textAlignment w:val="baseline"/>
        <w:rPr>
          <w:rFonts w:hint="eastAsia" w:ascii="仿宋" w:hAnsi="仿宋" w:eastAsia="仿宋" w:cs="仿宋"/>
          <w:color w:val="auto"/>
          <w:sz w:val="20"/>
          <w:highlight w:val="none"/>
        </w:rPr>
      </w:pP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格式2-7</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六、商务应答表</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795"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包号</w:t>
            </w:r>
          </w:p>
        </w:tc>
        <w:tc>
          <w:tcPr>
            <w:tcW w:w="2795"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2795"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c>
          <w:tcPr>
            <w:tcW w:w="2795" w:type="dxa"/>
            <w:vAlign w:val="center"/>
          </w:tcPr>
          <w:p>
            <w:pPr>
              <w:snapToGrid w:val="0"/>
              <w:jc w:val="center"/>
              <w:textAlignment w:val="baseline"/>
              <w:rPr>
                <w:rFonts w:hint="eastAsia" w:ascii="仿宋" w:hAnsi="仿宋" w:eastAsia="仿宋" w:cs="仿宋"/>
                <w:color w:val="auto"/>
                <w:sz w:val="24"/>
                <w:highlight w:val="none"/>
              </w:rPr>
            </w:pPr>
          </w:p>
        </w:tc>
      </w:tr>
    </w:tbl>
    <w:p>
      <w:pPr>
        <w:snapToGrid w:val="0"/>
        <w:ind w:firstLine="482" w:firstLineChars="200"/>
        <w:textAlignment w:val="baseline"/>
        <w:rPr>
          <w:rFonts w:hint="eastAsia" w:ascii="仿宋" w:hAnsi="仿宋" w:eastAsia="仿宋" w:cs="仿宋"/>
          <w:b/>
          <w:color w:val="auto"/>
          <w:sz w:val="24"/>
          <w:highlight w:val="none"/>
        </w:rPr>
      </w:pPr>
    </w:p>
    <w:p>
      <w:pPr>
        <w:snapToGrid w:val="0"/>
        <w:textAlignment w:val="baseline"/>
        <w:rPr>
          <w:rFonts w:hint="eastAsia" w:ascii="仿宋" w:hAnsi="仿宋" w:eastAsia="仿宋" w:cs="仿宋"/>
          <w:b/>
          <w:color w:val="auto"/>
          <w:sz w:val="24"/>
          <w:highlight w:val="none"/>
        </w:rPr>
      </w:pPr>
      <w:r>
        <w:rPr>
          <w:rFonts w:hint="eastAsia" w:ascii="仿宋" w:hAnsi="仿宋" w:eastAsia="仿宋" w:cs="仿宋"/>
          <w:color w:val="auto"/>
          <w:sz w:val="24"/>
          <w:highlight w:val="none"/>
        </w:rPr>
        <w:t>注意：供应商必须根据磋商文件要求据实逐条填写，不得虚假响应，虚假响应的，其响应文件无效并按规定追究其相关责任。</w:t>
      </w: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p>
    <w:p>
      <w:pPr>
        <w:snapToGrid w:val="0"/>
        <w:spacing w:line="40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400" w:lineRule="exact"/>
        <w:ind w:firstLine="540" w:firstLineChars="225"/>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法定代表人/单位负责人或授权代表</w:t>
      </w:r>
      <w:r>
        <w:rPr>
          <w:rFonts w:hint="eastAsia" w:ascii="仿宋" w:hAnsi="仿宋" w:eastAsia="仿宋" w:cs="仿宋"/>
          <w:color w:val="auto"/>
          <w:sz w:val="24"/>
          <w:highlight w:val="none"/>
        </w:rPr>
        <w:t>（签字或加盖个人印章）</w:t>
      </w:r>
      <w:r>
        <w:rPr>
          <w:rFonts w:hint="eastAsia" w:ascii="仿宋" w:hAnsi="仿宋" w:eastAsia="仿宋" w:cs="仿宋"/>
          <w:bCs/>
          <w:color w:val="auto"/>
          <w:sz w:val="24"/>
          <w:highlight w:val="none"/>
        </w:rPr>
        <w:t>：XXX</w:t>
      </w:r>
    </w:p>
    <w:p>
      <w:pPr>
        <w:snapToGrid w:val="0"/>
        <w:spacing w:line="400" w:lineRule="exact"/>
        <w:ind w:firstLine="540" w:firstLineChars="225"/>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日期：XXX年XXX月XXX日</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格式2-8</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七、商务、技术、服务应答附表</w:t>
      </w:r>
    </w:p>
    <w:p>
      <w:pPr>
        <w:snapToGrid w:val="0"/>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（仅用于成交结果公告，此表不作为评审内容）</w:t>
      </w:r>
    </w:p>
    <w:p>
      <w:pPr>
        <w:snapToGrid w:val="0"/>
        <w:textAlignment w:val="baseline"/>
        <w:rPr>
          <w:rFonts w:hint="eastAsia" w:ascii="仿宋" w:hAnsi="仿宋" w:eastAsia="仿宋" w:cs="仿宋"/>
          <w:bCs/>
          <w:color w:val="auto"/>
          <w:sz w:val="28"/>
          <w:szCs w:val="28"/>
          <w:highlight w:val="none"/>
        </w:rPr>
      </w:pPr>
    </w:p>
    <w:p>
      <w:pPr>
        <w:snapToGrid w:val="0"/>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9"/>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8238" w:type="dxa"/>
            <w:gridSpan w:val="9"/>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b/>
                <w:color w:val="auto"/>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6474" w:type="dxa"/>
            <w:gridSpan w:val="7"/>
            <w:vAlign w:val="center"/>
          </w:tcPr>
          <w:p>
            <w:pPr>
              <w:snapToGrid w:val="0"/>
              <w:ind w:firstLine="470" w:firstLineChars="196"/>
              <w:textAlignment w:val="baseline"/>
              <w:rPr>
                <w:rFonts w:hint="eastAsia" w:ascii="仿宋" w:hAnsi="仿宋" w:eastAsia="仿宋"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p>
        </w:tc>
        <w:tc>
          <w:tcPr>
            <w:tcW w:w="6474" w:type="dxa"/>
            <w:gridSpan w:val="7"/>
            <w:vAlign w:val="center"/>
          </w:tcPr>
          <w:p>
            <w:pPr>
              <w:snapToGrid w:val="0"/>
              <w:ind w:firstLine="470" w:firstLineChars="196"/>
              <w:textAlignment w:val="baseline"/>
              <w:rPr>
                <w:rFonts w:hint="eastAsia" w:ascii="仿宋" w:hAnsi="仿宋" w:eastAsia="仿宋"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2985" w:type="dxa"/>
            <w:gridSpan w:val="2"/>
            <w:tcBorders>
              <w:right w:val="single" w:color="auto" w:sz="4" w:space="0"/>
            </w:tcBorders>
            <w:vAlign w:val="center"/>
          </w:tcPr>
          <w:p>
            <w:pPr>
              <w:snapToGrid w:val="0"/>
              <w:textAlignment w:val="baseline"/>
              <w:rPr>
                <w:rFonts w:hint="eastAsia" w:ascii="仿宋" w:hAnsi="仿宋" w:eastAsia="仿宋" w:cs="仿宋"/>
                <w:color w:val="auto"/>
                <w:sz w:val="24"/>
                <w:highlight w:val="none"/>
              </w:rPr>
            </w:pPr>
          </w:p>
        </w:tc>
        <w:tc>
          <w:tcPr>
            <w:tcW w:w="1590" w:type="dxa"/>
            <w:gridSpan w:val="3"/>
            <w:tcBorders>
              <w:left w:val="single" w:color="auto" w:sz="4" w:space="0"/>
              <w:right w:val="single" w:color="auto" w:sz="4" w:space="0"/>
            </w:tcBorders>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*行政区域</w:t>
            </w:r>
          </w:p>
        </w:tc>
        <w:tc>
          <w:tcPr>
            <w:tcW w:w="1899" w:type="dxa"/>
            <w:gridSpan w:val="2"/>
            <w:tcBorders>
              <w:left w:val="single" w:color="auto" w:sz="4" w:space="0"/>
            </w:tcBorders>
            <w:vAlign w:val="center"/>
          </w:tcPr>
          <w:p>
            <w:pPr>
              <w:snapToGrid w:val="0"/>
              <w:ind w:firstLine="470" w:firstLineChars="196"/>
              <w:textAlignment w:val="baseline"/>
              <w:rPr>
                <w:rFonts w:hint="eastAsia" w:ascii="仿宋" w:hAnsi="仿宋" w:eastAsia="仿宋"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*供应商规模</w:t>
            </w:r>
          </w:p>
        </w:tc>
        <w:tc>
          <w:tcPr>
            <w:tcW w:w="6474" w:type="dxa"/>
            <w:gridSpan w:val="7"/>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Cs w:val="21"/>
                <w:highlight w:val="none"/>
              </w:rPr>
              <w:t>□大型企业□中型企业□小微型企业（对应处打“√”）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*单位联系方式</w:t>
            </w:r>
          </w:p>
        </w:tc>
        <w:tc>
          <w:tcPr>
            <w:tcW w:w="1635" w:type="dxa"/>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*单位联系人</w:t>
            </w:r>
          </w:p>
        </w:tc>
        <w:tc>
          <w:tcPr>
            <w:tcW w:w="1380" w:type="dxa"/>
            <w:gridSpan w:val="2"/>
            <w:vAlign w:val="center"/>
          </w:tcPr>
          <w:p>
            <w:pPr>
              <w:snapToGrid w:val="0"/>
              <w:ind w:firstLine="470" w:firstLineChars="196"/>
              <w:textAlignment w:val="baseline"/>
              <w:rPr>
                <w:rFonts w:hint="eastAsia" w:ascii="仿宋" w:hAnsi="仿宋" w:eastAsia="仿宋" w:cs="仿宋"/>
                <w:color w:val="auto"/>
                <w:sz w:val="24"/>
                <w:highlight w:val="none"/>
              </w:rPr>
            </w:pPr>
          </w:p>
        </w:tc>
        <w:tc>
          <w:tcPr>
            <w:tcW w:w="1529" w:type="dxa"/>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*单位电话</w:t>
            </w:r>
          </w:p>
        </w:tc>
        <w:tc>
          <w:tcPr>
            <w:tcW w:w="1930" w:type="dxa"/>
            <w:gridSpan w:val="3"/>
            <w:vAlign w:val="center"/>
          </w:tcPr>
          <w:p>
            <w:pPr>
              <w:snapToGrid w:val="0"/>
              <w:ind w:firstLine="470" w:firstLineChars="196"/>
              <w:textAlignment w:val="baseline"/>
              <w:rPr>
                <w:rFonts w:hint="eastAsia" w:ascii="仿宋" w:hAnsi="仿宋" w:eastAsia="仿宋"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snapToGrid w:val="0"/>
              <w:textAlignment w:val="baseline"/>
              <w:rPr>
                <w:rFonts w:hint="eastAsia" w:ascii="仿宋" w:hAnsi="仿宋" w:eastAsia="仿宋" w:cs="仿宋"/>
                <w:color w:val="auto"/>
                <w:sz w:val="20"/>
                <w:highlight w:val="none"/>
              </w:rPr>
            </w:pPr>
          </w:p>
        </w:tc>
        <w:tc>
          <w:tcPr>
            <w:tcW w:w="1635" w:type="dxa"/>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*单位邮箱</w:t>
            </w:r>
          </w:p>
        </w:tc>
        <w:tc>
          <w:tcPr>
            <w:tcW w:w="4839" w:type="dxa"/>
            <w:gridSpan w:val="6"/>
            <w:vAlign w:val="center"/>
          </w:tcPr>
          <w:p>
            <w:pPr>
              <w:snapToGrid w:val="0"/>
              <w:ind w:firstLine="470" w:firstLineChars="196"/>
              <w:textAlignment w:val="baseline"/>
              <w:rPr>
                <w:rFonts w:hint="eastAsia" w:ascii="仿宋" w:hAnsi="仿宋" w:eastAsia="仿宋" w:cs="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snapToGrid w:val="0"/>
              <w:ind w:firstLine="472" w:firstLineChars="196"/>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snapToGrid w:val="0"/>
              <w:jc w:val="center"/>
              <w:textAlignment w:val="center"/>
              <w:rPr>
                <w:rFonts w:hint="eastAsia" w:ascii="仿宋" w:hAnsi="仿宋" w:eastAsia="仿宋" w:cs="仿宋"/>
                <w:b/>
                <w:bCs/>
                <w:color w:val="auto"/>
                <w:sz w:val="20"/>
                <w:highlight w:val="none"/>
              </w:rPr>
            </w:pPr>
            <w:r>
              <w:rPr>
                <w:rFonts w:hint="eastAsia" w:ascii="仿宋" w:hAnsi="仿宋" w:eastAsia="仿宋" w:cs="仿宋"/>
                <w:b/>
                <w:color w:val="auto"/>
                <w:kern w:val="0"/>
                <w:highlight w:val="none"/>
              </w:rPr>
              <w:t>供应商应答“磋商文件第五章服务要求”的主要内容</w:t>
            </w:r>
          </w:p>
        </w:tc>
        <w:tc>
          <w:tcPr>
            <w:tcW w:w="7052" w:type="dxa"/>
            <w:gridSpan w:val="7"/>
            <w:tcBorders>
              <w:left w:val="single" w:color="auto" w:sz="4" w:space="0"/>
            </w:tcBorders>
            <w:vAlign w:val="center"/>
          </w:tcPr>
          <w:p>
            <w:pPr>
              <w:snapToGrid w:val="0"/>
              <w:textAlignment w:val="baseline"/>
              <w:rPr>
                <w:rFonts w:hint="eastAsia" w:ascii="仿宋" w:hAnsi="仿宋" w:eastAsia="仿宋" w:cs="仿宋"/>
                <w:b/>
                <w:bCs/>
                <w:color w:val="auto"/>
                <w:sz w:val="20"/>
                <w:highlight w:val="none"/>
              </w:rPr>
            </w:pPr>
            <w:r>
              <w:rPr>
                <w:rFonts w:hint="eastAsia" w:ascii="仿宋" w:hAnsi="仿宋" w:eastAsia="仿宋" w:cs="仿宋"/>
                <w:bCs/>
                <w:color w:val="auto"/>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snapToGrid w:val="0"/>
              <w:jc w:val="center"/>
              <w:textAlignment w:val="center"/>
              <w:rPr>
                <w:rFonts w:hint="eastAsia" w:ascii="仿宋" w:hAnsi="仿宋" w:eastAsia="仿宋" w:cs="仿宋"/>
                <w:b/>
                <w:bCs/>
                <w:color w:val="auto"/>
                <w:sz w:val="20"/>
                <w:highlight w:val="none"/>
              </w:rPr>
            </w:pPr>
          </w:p>
        </w:tc>
        <w:tc>
          <w:tcPr>
            <w:tcW w:w="7052" w:type="dxa"/>
            <w:gridSpan w:val="7"/>
            <w:tcBorders>
              <w:left w:val="single" w:color="auto" w:sz="4" w:space="0"/>
            </w:tcBorders>
            <w:vAlign w:val="center"/>
          </w:tcPr>
          <w:p>
            <w:pPr>
              <w:snapToGrid w:val="0"/>
              <w:textAlignment w:val="baseline"/>
              <w:rPr>
                <w:rFonts w:hint="eastAsia" w:ascii="仿宋" w:hAnsi="仿宋" w:eastAsia="仿宋" w:cs="仿宋"/>
                <w:b/>
                <w:bCs/>
                <w:color w:val="auto"/>
                <w:sz w:val="20"/>
                <w:highlight w:val="none"/>
              </w:rPr>
            </w:pPr>
            <w:r>
              <w:rPr>
                <w:rFonts w:hint="eastAsia" w:ascii="仿宋" w:hAnsi="仿宋" w:eastAsia="仿宋" w:cs="仿宋"/>
                <w:bCs/>
                <w:color w:val="auto"/>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snapToGrid w:val="0"/>
              <w:jc w:val="center"/>
              <w:textAlignment w:val="center"/>
              <w:rPr>
                <w:rFonts w:hint="eastAsia" w:ascii="仿宋" w:hAnsi="仿宋" w:eastAsia="仿宋" w:cs="仿宋"/>
                <w:b/>
                <w:bCs/>
                <w:color w:val="auto"/>
                <w:sz w:val="20"/>
                <w:highlight w:val="none"/>
              </w:rPr>
            </w:pPr>
          </w:p>
        </w:tc>
        <w:tc>
          <w:tcPr>
            <w:tcW w:w="7052" w:type="dxa"/>
            <w:gridSpan w:val="7"/>
            <w:tcBorders>
              <w:left w:val="single" w:color="auto" w:sz="4" w:space="0"/>
            </w:tcBorders>
            <w:vAlign w:val="center"/>
          </w:tcPr>
          <w:p>
            <w:pPr>
              <w:snapToGrid w:val="0"/>
              <w:textAlignment w:val="baseline"/>
              <w:rPr>
                <w:rFonts w:hint="eastAsia" w:ascii="仿宋" w:hAnsi="仿宋" w:eastAsia="仿宋" w:cs="仿宋"/>
                <w:b/>
                <w:bCs/>
                <w:color w:val="auto"/>
                <w:sz w:val="20"/>
                <w:highlight w:val="none"/>
              </w:rPr>
            </w:pPr>
            <w:r>
              <w:rPr>
                <w:rFonts w:hint="eastAsia" w:ascii="仿宋" w:hAnsi="仿宋" w:eastAsia="仿宋" w:cs="仿宋"/>
                <w:bCs/>
                <w:color w:val="auto"/>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snapToGrid w:val="0"/>
              <w:jc w:val="center"/>
              <w:textAlignment w:val="center"/>
              <w:rPr>
                <w:rFonts w:hint="eastAsia" w:ascii="仿宋" w:hAnsi="仿宋" w:eastAsia="仿宋" w:cs="仿宋"/>
                <w:b/>
                <w:bCs/>
                <w:color w:val="auto"/>
                <w:sz w:val="20"/>
                <w:highlight w:val="none"/>
              </w:rPr>
            </w:pPr>
          </w:p>
        </w:tc>
        <w:tc>
          <w:tcPr>
            <w:tcW w:w="7052" w:type="dxa"/>
            <w:gridSpan w:val="7"/>
            <w:tcBorders>
              <w:left w:val="single" w:color="auto" w:sz="4" w:space="0"/>
            </w:tcBorders>
            <w:vAlign w:val="center"/>
          </w:tcPr>
          <w:p>
            <w:pPr>
              <w:snapToGrid w:val="0"/>
              <w:textAlignment w:val="baseline"/>
              <w:rPr>
                <w:rFonts w:hint="eastAsia" w:ascii="仿宋" w:hAnsi="仿宋" w:eastAsia="仿宋" w:cs="仿宋"/>
                <w:b/>
                <w:bCs/>
                <w:color w:val="auto"/>
                <w:sz w:val="20"/>
                <w:highlight w:val="none"/>
              </w:rPr>
            </w:pPr>
          </w:p>
        </w:tc>
      </w:tr>
    </w:tbl>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注：1.供应商需如实完善表格内容。</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2.供应商应答的主要内容应与响应文件一致，可以进行简要概括性表述。</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snapToGrid w:val="0"/>
        <w:ind w:firstLine="420" w:firstLineChars="175"/>
        <w:textAlignment w:val="baseline"/>
        <w:rPr>
          <w:rFonts w:hint="eastAsia" w:ascii="仿宋" w:hAnsi="仿宋" w:eastAsia="仿宋" w:cs="仿宋"/>
          <w:color w:val="auto"/>
          <w:sz w:val="24"/>
          <w:highlight w:val="none"/>
        </w:rPr>
      </w:pPr>
    </w:p>
    <w:p>
      <w:pPr>
        <w:snapToGrid w:val="0"/>
        <w:ind w:firstLine="420" w:firstLineChars="175"/>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供应商名称：（盖章）</w:t>
      </w:r>
    </w:p>
    <w:p>
      <w:pPr>
        <w:snapToGrid w:val="0"/>
        <w:ind w:firstLine="420" w:firstLineChars="175"/>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法定代表人/单位负责人或授权代表（签字或加盖个人印章）</w:t>
      </w:r>
      <w:r>
        <w:rPr>
          <w:rFonts w:hint="eastAsia" w:ascii="仿宋" w:hAnsi="仿宋" w:eastAsia="仿宋" w:cs="仿宋"/>
          <w:bCs/>
          <w:color w:val="auto"/>
          <w:sz w:val="24"/>
          <w:highlight w:val="none"/>
        </w:rPr>
        <w:t>：</w:t>
      </w:r>
    </w:p>
    <w:p>
      <w:pPr>
        <w:snapToGrid w:val="0"/>
        <w:ind w:firstLine="420" w:firstLineChars="175"/>
        <w:textAlignment w:val="baseline"/>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报价日期:</w:t>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spacing w:line="360" w:lineRule="atLeast"/>
        <w:jc w:val="left"/>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格式2-9</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八、供应商类似项目业绩一览表</w:t>
      </w:r>
    </w:p>
    <w:p>
      <w:pPr>
        <w:snapToGrid w:val="0"/>
        <w:spacing w:line="400" w:lineRule="exact"/>
        <w:textAlignment w:val="baseline"/>
        <w:rPr>
          <w:rFonts w:hint="eastAsia" w:ascii="仿宋" w:hAnsi="仿宋" w:eastAsia="仿宋" w:cs="仿宋"/>
          <w:color w:val="auto"/>
          <w:sz w:val="24"/>
          <w:highlight w:val="none"/>
        </w:rPr>
      </w:pPr>
    </w:p>
    <w:tbl>
      <w:tblPr>
        <w:tblStyle w:val="29"/>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napToGrid w:val="0"/>
              <w:spacing w:line="400" w:lineRule="exact"/>
              <w:ind w:firstLine="105" w:firstLineChars="50"/>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年份</w:t>
            </w:r>
          </w:p>
        </w:tc>
        <w:tc>
          <w:tcPr>
            <w:tcW w:w="1439" w:type="dxa"/>
            <w:vAlign w:val="center"/>
          </w:tcPr>
          <w:p>
            <w:pPr>
              <w:snapToGrid w:val="0"/>
              <w:spacing w:line="400" w:lineRule="exact"/>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用户名称</w:t>
            </w:r>
          </w:p>
        </w:tc>
        <w:tc>
          <w:tcPr>
            <w:tcW w:w="1319" w:type="dxa"/>
            <w:vAlign w:val="center"/>
          </w:tcPr>
          <w:p>
            <w:pPr>
              <w:snapToGrid w:val="0"/>
              <w:spacing w:line="400" w:lineRule="exact"/>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项目名称</w:t>
            </w:r>
          </w:p>
        </w:tc>
        <w:tc>
          <w:tcPr>
            <w:tcW w:w="1160" w:type="dxa"/>
            <w:vAlign w:val="center"/>
          </w:tcPr>
          <w:p>
            <w:pPr>
              <w:snapToGrid w:val="0"/>
              <w:spacing w:line="400" w:lineRule="exact"/>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完成时间</w:t>
            </w:r>
          </w:p>
        </w:tc>
        <w:tc>
          <w:tcPr>
            <w:tcW w:w="1421" w:type="dxa"/>
            <w:gridSpan w:val="2"/>
            <w:vAlign w:val="center"/>
          </w:tcPr>
          <w:p>
            <w:pPr>
              <w:snapToGrid w:val="0"/>
              <w:spacing w:line="400" w:lineRule="exact"/>
              <w:ind w:firstLine="105" w:firstLineChars="50"/>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合同金额</w:t>
            </w:r>
          </w:p>
        </w:tc>
        <w:tc>
          <w:tcPr>
            <w:tcW w:w="1593"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是否通过验收</w:t>
            </w: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b/>
                <w:color w:val="auto"/>
                <w:sz w:val="20"/>
                <w:highlight w:val="none"/>
              </w:rPr>
            </w:pPr>
            <w:r>
              <w:rPr>
                <w:rFonts w:hint="eastAsia" w:ascii="仿宋" w:hAnsi="仿宋" w:eastAsia="仿宋" w:cs="仿宋"/>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5"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9" w:type="dxa"/>
            <w:gridSpan w:val="2"/>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left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left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top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top w:val="single" w:color="auto" w:sz="4" w:space="0"/>
              <w:left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top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top w:val="single" w:color="auto" w:sz="4" w:space="0"/>
              <w:left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top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top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top w:val="single" w:color="auto" w:sz="4" w:space="0"/>
              <w:left w:val="single" w:color="auto" w:sz="4" w:space="0"/>
              <w:bottom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39" w:type="dxa"/>
            <w:tcBorders>
              <w:top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319" w:type="dxa"/>
            <w:tcBorders>
              <w:top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160" w:type="dxa"/>
            <w:tcBorders>
              <w:top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21" w:type="dxa"/>
            <w:gridSpan w:val="2"/>
            <w:tcBorders>
              <w:top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593" w:type="dxa"/>
            <w:tcBorders>
              <w:top w:val="single" w:color="auto" w:sz="4" w:space="0"/>
              <w:left w:val="single" w:color="auto" w:sz="4" w:space="0"/>
              <w:righ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c>
          <w:tcPr>
            <w:tcW w:w="1417" w:type="dxa"/>
            <w:tcBorders>
              <w:top w:val="single" w:color="auto" w:sz="4" w:space="0"/>
              <w:left w:val="single" w:color="auto" w:sz="4" w:space="0"/>
            </w:tcBorders>
            <w:vAlign w:val="center"/>
          </w:tcPr>
          <w:p>
            <w:pPr>
              <w:snapToGrid w:val="0"/>
              <w:spacing w:line="400" w:lineRule="exact"/>
              <w:jc w:val="center"/>
              <w:textAlignment w:val="baseline"/>
              <w:rPr>
                <w:rFonts w:hint="eastAsia" w:ascii="仿宋" w:hAnsi="仿宋" w:eastAsia="仿宋" w:cs="仿宋"/>
                <w:color w:val="auto"/>
                <w:sz w:val="20"/>
                <w:highlight w:val="none"/>
              </w:rPr>
            </w:pPr>
          </w:p>
        </w:tc>
      </w:tr>
    </w:tbl>
    <w:p>
      <w:pPr>
        <w:snapToGrid w:val="0"/>
        <w:textAlignment w:val="baseline"/>
        <w:rPr>
          <w:rFonts w:hint="eastAsia" w:ascii="仿宋" w:hAnsi="仿宋" w:eastAsia="仿宋" w:cs="仿宋"/>
          <w:color w:val="auto"/>
          <w:sz w:val="20"/>
          <w:highlight w:val="none"/>
        </w:rPr>
      </w:pPr>
    </w:p>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napToGrid w:val="0"/>
        <w:spacing w:line="400" w:lineRule="exact"/>
        <w:ind w:firstLine="480" w:firstLineChars="200"/>
        <w:textAlignment w:val="baseline"/>
        <w:rPr>
          <w:rFonts w:hint="eastAsia" w:ascii="仿宋" w:hAnsi="仿宋" w:eastAsia="仿宋" w:cs="仿宋"/>
          <w:color w:val="auto"/>
          <w:sz w:val="24"/>
          <w:highlight w:val="none"/>
        </w:rPr>
      </w:pPr>
    </w:p>
    <w:p>
      <w:pPr>
        <w:snapToGrid w:val="0"/>
        <w:spacing w:line="400" w:lineRule="exact"/>
        <w:ind w:left="360"/>
        <w:jc w:val="center"/>
        <w:textAlignment w:val="baseline"/>
        <w:rPr>
          <w:rFonts w:hint="eastAsia" w:ascii="仿宋" w:hAnsi="仿宋" w:eastAsia="仿宋" w:cs="仿宋"/>
          <w:color w:val="auto"/>
          <w:sz w:val="24"/>
          <w:highlight w:val="none"/>
        </w:rPr>
      </w:pPr>
    </w:p>
    <w:p>
      <w:pPr>
        <w:snapToGrid w:val="0"/>
        <w:jc w:val="left"/>
        <w:textAlignment w:val="baseline"/>
        <w:rPr>
          <w:rFonts w:hint="eastAsia" w:ascii="仿宋" w:hAnsi="仿宋" w:eastAsia="仿宋" w:cs="仿宋"/>
          <w:color w:val="auto"/>
          <w:sz w:val="20"/>
          <w:highlight w:val="none"/>
        </w:rPr>
      </w:pP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供应商名称：XXXX（盖单位公章）</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法定代表人/单位负责人或授权代表（签字或加盖个人印章）：XXXX</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XXXX</w:t>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spacing w:line="360" w:lineRule="atLeast"/>
        <w:jc w:val="left"/>
        <w:textAlignment w:val="baseline"/>
        <w:rPr>
          <w:rFonts w:hint="eastAsia" w:ascii="仿宋" w:hAnsi="仿宋" w:eastAsia="仿宋" w:cs="仿宋"/>
          <w:color w:val="auto"/>
          <w:sz w:val="24"/>
          <w:highlight w:val="none"/>
        </w:rPr>
      </w:pPr>
      <w:r>
        <w:rPr>
          <w:rFonts w:hint="eastAsia" w:ascii="仿宋" w:hAnsi="仿宋" w:eastAsia="仿宋" w:cs="仿宋"/>
          <w:b/>
          <w:color w:val="auto"/>
          <w:sz w:val="32"/>
          <w:szCs w:val="32"/>
          <w:highlight w:val="none"/>
        </w:rPr>
        <w:t>格式2-10</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九、供应商本项目管理、技术、服务人员情况表</w:t>
      </w:r>
    </w:p>
    <w:p>
      <w:pPr>
        <w:snapToGrid w:val="0"/>
        <w:textAlignment w:val="baseline"/>
        <w:rPr>
          <w:rFonts w:hint="eastAsia" w:ascii="仿宋" w:hAnsi="仿宋" w:eastAsia="仿宋" w:cs="仿宋"/>
          <w:color w:val="auto"/>
          <w:sz w:val="32"/>
          <w:szCs w:val="32"/>
          <w:highlight w:val="none"/>
        </w:rPr>
      </w:pP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采购编号：</w:t>
      </w:r>
    </w:p>
    <w:tbl>
      <w:tblPr>
        <w:tblStyle w:val="29"/>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6"/>
        <w:gridCol w:w="946"/>
        <w:gridCol w:w="946"/>
        <w:gridCol w:w="946"/>
        <w:gridCol w:w="946"/>
        <w:gridCol w:w="946"/>
        <w:gridCol w:w="947"/>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94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94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94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94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常住地</w:t>
            </w:r>
          </w:p>
        </w:tc>
        <w:tc>
          <w:tcPr>
            <w:tcW w:w="3791" w:type="dxa"/>
            <w:gridSpan w:val="4"/>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证书</w:t>
            </w:r>
          </w:p>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94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级别</w:t>
            </w:r>
          </w:p>
        </w:tc>
        <w:tc>
          <w:tcPr>
            <w:tcW w:w="947"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证号</w:t>
            </w:r>
          </w:p>
        </w:tc>
        <w:tc>
          <w:tcPr>
            <w:tcW w:w="952"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管理</w:t>
            </w:r>
          </w:p>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人员</w:t>
            </w: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人员</w:t>
            </w: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售后服务人员</w:t>
            </w: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tcPr>
          <w:p>
            <w:pPr>
              <w:snapToGrid w:val="0"/>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Merge w:val="continue"/>
          </w:tcPr>
          <w:p>
            <w:pPr>
              <w:snapToGrid w:val="0"/>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6" w:type="dxa"/>
            <w:vAlign w:val="center"/>
          </w:tcPr>
          <w:p>
            <w:pPr>
              <w:snapToGrid w:val="0"/>
              <w:jc w:val="center"/>
              <w:textAlignment w:val="baseline"/>
              <w:rPr>
                <w:rFonts w:hint="eastAsia" w:ascii="仿宋" w:hAnsi="仿宋" w:eastAsia="仿宋" w:cs="仿宋"/>
                <w:color w:val="auto"/>
                <w:sz w:val="24"/>
                <w:highlight w:val="none"/>
              </w:rPr>
            </w:pPr>
          </w:p>
        </w:tc>
        <w:tc>
          <w:tcPr>
            <w:tcW w:w="947" w:type="dxa"/>
            <w:vAlign w:val="center"/>
          </w:tcPr>
          <w:p>
            <w:pPr>
              <w:snapToGrid w:val="0"/>
              <w:jc w:val="center"/>
              <w:textAlignment w:val="baseline"/>
              <w:rPr>
                <w:rFonts w:hint="eastAsia" w:ascii="仿宋" w:hAnsi="仿宋" w:eastAsia="仿宋" w:cs="仿宋"/>
                <w:color w:val="auto"/>
                <w:sz w:val="24"/>
                <w:highlight w:val="none"/>
              </w:rPr>
            </w:pPr>
          </w:p>
        </w:tc>
        <w:tc>
          <w:tcPr>
            <w:tcW w:w="952" w:type="dxa"/>
            <w:vAlign w:val="center"/>
          </w:tcPr>
          <w:p>
            <w:pPr>
              <w:snapToGrid w:val="0"/>
              <w:jc w:val="center"/>
              <w:textAlignment w:val="baseline"/>
              <w:rPr>
                <w:rFonts w:hint="eastAsia" w:ascii="仿宋" w:hAnsi="仿宋" w:eastAsia="仿宋" w:cs="仿宋"/>
                <w:color w:val="auto"/>
                <w:sz w:val="24"/>
                <w:highlight w:val="none"/>
              </w:rPr>
            </w:pPr>
          </w:p>
        </w:tc>
      </w:tr>
    </w:tbl>
    <w:p>
      <w:pPr>
        <w:snapToGrid w:val="0"/>
        <w:textAlignment w:val="baseline"/>
        <w:rPr>
          <w:rFonts w:hint="eastAsia" w:ascii="仿宋" w:hAnsi="仿宋" w:eastAsia="仿宋" w:cs="仿宋"/>
          <w:color w:val="auto"/>
          <w:sz w:val="24"/>
          <w:highlight w:val="none"/>
        </w:rPr>
      </w:pPr>
    </w:p>
    <w:p>
      <w:pPr>
        <w:snapToGrid w:val="0"/>
        <w:textAlignment w:val="baseline"/>
        <w:rPr>
          <w:rFonts w:hint="eastAsia" w:ascii="仿宋" w:hAnsi="仿宋" w:eastAsia="仿宋" w:cs="仿宋"/>
          <w:color w:val="auto"/>
          <w:sz w:val="24"/>
          <w:highlight w:val="none"/>
        </w:rPr>
      </w:pPr>
    </w:p>
    <w:p>
      <w:pPr>
        <w:snapToGrid w:val="0"/>
        <w:textAlignment w:val="baseline"/>
        <w:rPr>
          <w:rFonts w:hint="eastAsia" w:ascii="仿宋" w:hAnsi="仿宋" w:eastAsia="仿宋" w:cs="仿宋"/>
          <w:color w:val="auto"/>
          <w:sz w:val="24"/>
          <w:highlight w:val="none"/>
        </w:rPr>
      </w:pP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日期：XXX</w:t>
      </w:r>
    </w:p>
    <w:p>
      <w:pPr>
        <w:widowControl/>
        <w:snapToGrid w:val="0"/>
        <w:jc w:val="left"/>
        <w:textAlignment w:val="baseline"/>
        <w:rPr>
          <w:rFonts w:hint="eastAsia" w:ascii="仿宋" w:hAnsi="仿宋" w:eastAsia="仿宋" w:cs="仿宋"/>
          <w:b/>
          <w:color w:val="auto"/>
          <w:sz w:val="32"/>
          <w:szCs w:val="32"/>
          <w:highlight w:val="none"/>
        </w:rPr>
      </w:pPr>
    </w:p>
    <w:p>
      <w:pPr>
        <w:widowControl/>
        <w:snapToGrid w:val="0"/>
        <w:jc w:val="left"/>
        <w:textAlignment w:val="baseline"/>
        <w:rPr>
          <w:rFonts w:hint="eastAsia" w:ascii="仿宋" w:hAnsi="仿宋" w:eastAsia="仿宋" w:cs="仿宋"/>
          <w:b/>
          <w:color w:val="auto"/>
          <w:sz w:val="32"/>
          <w:szCs w:val="32"/>
          <w:highlight w:val="none"/>
        </w:rPr>
      </w:pPr>
    </w:p>
    <w:p>
      <w:pPr>
        <w:snapToGrid w:val="0"/>
        <w:spacing w:line="360" w:lineRule="auto"/>
        <w:textAlignment w:val="baseline"/>
        <w:rPr>
          <w:rFonts w:hint="eastAsia" w:ascii="仿宋" w:hAnsi="仿宋" w:eastAsia="仿宋" w:cs="仿宋"/>
          <w:bCs/>
          <w:color w:val="auto"/>
          <w:sz w:val="24"/>
          <w:highlight w:val="none"/>
        </w:rPr>
      </w:pPr>
    </w:p>
    <w:p>
      <w:pPr>
        <w:snapToGrid w:val="0"/>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格式2-11</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十、中小企业声明函（服务）</w:t>
      </w:r>
    </w:p>
    <w:p>
      <w:pPr>
        <w:pStyle w:val="15"/>
        <w:snapToGrid w:val="0"/>
        <w:spacing w:line="360" w:lineRule="auto"/>
        <w:ind w:left="0" w:leftChars="0"/>
        <w:textAlignment w:val="baseline"/>
        <w:rPr>
          <w:rFonts w:hint="eastAsia" w:ascii="仿宋" w:hAnsi="仿宋" w:eastAsia="仿宋" w:cs="仿宋"/>
          <w:b/>
          <w:color w:val="auto"/>
          <w:szCs w:val="21"/>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highlight w:val="none"/>
          <w:u w:val="single" w:color="000000"/>
        </w:rPr>
        <w:t xml:space="preserve">（单位名称）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color="000000"/>
        </w:rPr>
        <w:t xml:space="preserve">（项目名称）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1. </w:t>
      </w:r>
      <w:r>
        <w:rPr>
          <w:rFonts w:hint="eastAsia" w:ascii="仿宋" w:hAnsi="仿宋" w:eastAsia="仿宋" w:cs="仿宋"/>
          <w:color w:val="auto"/>
          <w:sz w:val="24"/>
          <w:highlight w:val="none"/>
          <w:u w:val="single" w:color="000000"/>
        </w:rPr>
        <w:t xml:space="preserve">（标的名称）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color="000000"/>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（中型企业、小型企业、微型企业）</w:t>
      </w: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color="000000"/>
        </w:rPr>
        <w:t xml:space="preserve"> （标的名称）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color="000000"/>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color="000000"/>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color="000000"/>
        </w:rPr>
        <w:t xml:space="preserve"> （中型企业、小型企业、微型企业）</w:t>
      </w: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napToGrid w:val="0"/>
        <w:spacing w:line="360" w:lineRule="auto"/>
        <w:ind w:firstLine="600" w:firstLineChars="2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600" w:firstLineChars="250"/>
        <w:textAlignment w:val="baseline"/>
        <w:rPr>
          <w:rFonts w:hint="eastAsia" w:ascii="仿宋" w:hAnsi="仿宋" w:eastAsia="仿宋" w:cs="仿宋"/>
          <w:color w:val="auto"/>
          <w:sz w:val="24"/>
          <w:highlight w:val="none"/>
        </w:rPr>
      </w:pPr>
    </w:p>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企业名称（盖章）：</w:t>
      </w:r>
    </w:p>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从业人员、营业收入、资产总额填报上一年度数据，无上一年度数据的新成立企业可不填报。</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格式2-12</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十一、残疾人福利性单位声明函</w:t>
      </w:r>
    </w:p>
    <w:p>
      <w:pPr>
        <w:snapToGrid w:val="0"/>
        <w:spacing w:line="588" w:lineRule="exact"/>
        <w:textAlignment w:val="baseline"/>
        <w:rPr>
          <w:rFonts w:hint="eastAsia" w:ascii="仿宋" w:hAnsi="仿宋" w:eastAsia="仿宋" w:cs="仿宋"/>
          <w:b/>
          <w:color w:val="auto"/>
          <w:spacing w:val="6"/>
          <w:sz w:val="24"/>
          <w:highlight w:val="none"/>
        </w:rPr>
      </w:pPr>
    </w:p>
    <w:p>
      <w:pPr>
        <w:snapToGrid w:val="0"/>
        <w:spacing w:line="588" w:lineRule="exact"/>
        <w:ind w:firstLine="504"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w:t>
      </w:r>
      <w:r>
        <w:rPr>
          <w:rFonts w:hint="eastAsia" w:ascii="仿宋" w:hAnsi="仿宋" w:eastAsia="仿宋" w:cs="仿宋"/>
          <w:color w:val="auto"/>
          <w:sz w:val="24"/>
          <w:highlight w:val="none"/>
          <w:u w:val="single" w:color="000000"/>
        </w:rPr>
        <w:t>XXXX</w:t>
      </w:r>
      <w:r>
        <w:rPr>
          <w:rFonts w:hint="eastAsia" w:ascii="仿宋" w:hAnsi="仿宋" w:eastAsia="仿宋" w:cs="仿宋"/>
          <w:color w:val="auto"/>
          <w:spacing w:val="6"/>
          <w:sz w:val="24"/>
          <w:highlight w:val="none"/>
        </w:rPr>
        <w:t>单位的</w:t>
      </w:r>
      <w:r>
        <w:rPr>
          <w:rFonts w:hint="eastAsia" w:ascii="仿宋" w:hAnsi="仿宋" w:eastAsia="仿宋" w:cs="仿宋"/>
          <w:color w:val="auto"/>
          <w:sz w:val="24"/>
          <w:highlight w:val="none"/>
          <w:u w:val="single" w:color="000000"/>
        </w:rPr>
        <w:t>XXXX</w:t>
      </w:r>
      <w:r>
        <w:rPr>
          <w:rFonts w:hint="eastAsia" w:ascii="仿宋" w:hAnsi="仿宋" w:eastAsia="仿宋" w:cs="仿宋"/>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napToGrid w:val="0"/>
        <w:spacing w:line="588" w:lineRule="exact"/>
        <w:ind w:firstLine="504"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napToGrid w:val="0"/>
        <w:spacing w:line="588" w:lineRule="exact"/>
        <w:textAlignment w:val="baseline"/>
        <w:rPr>
          <w:rFonts w:hint="eastAsia" w:ascii="仿宋" w:hAnsi="仿宋" w:eastAsia="仿宋" w:cs="仿宋"/>
          <w:color w:val="auto"/>
          <w:spacing w:val="6"/>
          <w:sz w:val="24"/>
          <w:highlight w:val="none"/>
        </w:rPr>
      </w:pPr>
    </w:p>
    <w:p>
      <w:pPr>
        <w:snapToGrid w:val="0"/>
        <w:spacing w:line="588" w:lineRule="exact"/>
        <w:textAlignment w:val="baseline"/>
        <w:rPr>
          <w:rFonts w:hint="eastAsia" w:ascii="仿宋" w:hAnsi="仿宋" w:eastAsia="仿宋" w:cs="仿宋"/>
          <w:color w:val="auto"/>
          <w:spacing w:val="6"/>
          <w:sz w:val="24"/>
          <w:highlight w:val="none"/>
        </w:rPr>
      </w:pP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单位名称：XXXX（盖单位公章）</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法定代表人/单位负责人或授权代表（签字或加盖个人印章）：XXXX</w:t>
      </w:r>
    </w:p>
    <w:p>
      <w:pPr>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日期：XXXX</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注：1.残疾人福利性单位视同小型、微型企业，享受预留份额、评审中价格扣除等促进中小企业发展的政府采购政策。残疾人福利性单位属于小型、微型企业的，不重复享受政策。</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2.供应商为非残疾人福利性单位的，可不提供此声明。</w:t>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widowControl/>
        <w:snapToGrid w:val="0"/>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格式2-13</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十二、监狱企业</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napToGrid w:val="0"/>
        <w:spacing w:line="360" w:lineRule="auto"/>
        <w:jc w:val="left"/>
        <w:textAlignment w:val="baseline"/>
        <w:rPr>
          <w:rFonts w:hint="eastAsia" w:ascii="仿宋" w:hAnsi="仿宋" w:eastAsia="仿宋" w:cs="仿宋"/>
          <w:color w:val="auto"/>
          <w:sz w:val="24"/>
          <w:highlight w:val="none"/>
        </w:rPr>
      </w:pPr>
    </w:p>
    <w:p>
      <w:pPr>
        <w:snapToGrid w:val="0"/>
        <w:spacing w:line="360" w:lineRule="auto"/>
        <w:jc w:val="left"/>
        <w:textAlignment w:val="baseline"/>
        <w:rPr>
          <w:rFonts w:hint="eastAsia" w:ascii="仿宋" w:hAnsi="仿宋" w:eastAsia="仿宋" w:cs="仿宋"/>
          <w:color w:val="auto"/>
          <w:sz w:val="24"/>
          <w:highlight w:val="none"/>
        </w:rPr>
      </w:pPr>
    </w:p>
    <w:p>
      <w:pPr>
        <w:snapToGrid w:val="0"/>
        <w:spacing w:line="360" w:lineRule="auto"/>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注：1.供应商符合《政府采购支持监狱企业发展有关问题的通知》（财库〔2014〕68号）规定的划分标准为监狱企业的适用。</w:t>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2.在政府采购活动中，监狱企业视同小型、微型企业，享受预留份额、评审中价格扣除等政府采购促进中小企业发展的政府采购政策。</w:t>
      </w:r>
      <w:r>
        <w:rPr>
          <w:rFonts w:hint="eastAsia" w:ascii="仿宋" w:hAnsi="仿宋" w:eastAsia="仿宋" w:cs="仿宋"/>
          <w:color w:val="auto"/>
          <w:highlight w:val="none"/>
        </w:rPr>
        <w:br w:type="textWrapping"/>
      </w:r>
    </w:p>
    <w:p>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80" w:name="_Toc19495"/>
      <w:r>
        <w:rPr>
          <w:rFonts w:hint="eastAsia" w:ascii="仿宋" w:hAnsi="仿宋" w:eastAsia="仿宋" w:cs="仿宋"/>
          <w:color w:val="auto"/>
          <w:sz w:val="32"/>
          <w:szCs w:val="32"/>
          <w:highlight w:val="none"/>
        </w:rPr>
        <w:t>第八章  评审方法</w:t>
      </w:r>
      <w:bookmarkEnd w:id="80"/>
    </w:p>
    <w:p>
      <w:pPr>
        <w:snapToGrid w:val="0"/>
        <w:textAlignment w:val="baseline"/>
        <w:rPr>
          <w:rFonts w:hint="eastAsia" w:ascii="仿宋" w:hAnsi="仿宋" w:eastAsia="仿宋" w:cs="仿宋"/>
          <w:color w:val="auto"/>
          <w:sz w:val="20"/>
          <w:highlight w:val="none"/>
        </w:rPr>
      </w:pPr>
      <w:bookmarkStart w:id="81" w:name="_Toc430773924"/>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1.总则</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1.2 磋商工作由采购代理机构负责组织，具体磋商由采购代理机构依法组建的磋商小组负责。</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磋商工作应遵循公平、公正、科学及择优的原则，并以相同的磋商程序和标准对待所有的供应商。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1.4 磋商小组按照磋商文件规定的磋商程序、评分方法和标准进行评审，并独立履行下列职责：</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（二）审查供应商响应文件是否满足磋商文件要求，并作出公正评价；</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（三）根据需要要求供应商对响应文件中含义不明确、同类问题表述不一致或者有明显文字和计算错误的内容等作出必要的澄清、说明或者更正；</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（四）推荐成交供应商，或者受采购人委托确定成交供应商；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（五）起草评审报告并进行签署；</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（六）向采购人/采购代理机构、财政部门或者其他监督部门报告非法干预评审工作的行为；</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（七）法律、法规和规章规定的其他职责。</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1.5磋商过程独立、保密。供应商非法干预磋商过程的，其响应文件作无效处理。</w:t>
      </w:r>
    </w:p>
    <w:p>
      <w:pPr>
        <w:snapToGrid w:val="0"/>
        <w:ind w:firstLine="413"/>
        <w:textAlignment w:val="baseline"/>
        <w:rPr>
          <w:rFonts w:hint="eastAsia" w:ascii="仿宋" w:hAnsi="仿宋" w:eastAsia="仿宋" w:cs="仿宋"/>
          <w:color w:val="auto"/>
          <w:sz w:val="20"/>
          <w:highlight w:val="none"/>
        </w:rPr>
      </w:pPr>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2.磋商程序</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2.1审查磋商文件和停止评审。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 本磋商文件有下列情形之一的，磋商小组应当停止评审：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（1）磋商文件的规定存在歧义、重大缺陷的；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（2）磋商文件明显以不合理条件对供应商实行差别待遇或者歧视待遇的；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（3）采购项目属于国家规定的优先、强制采购范围，但是磋商文件未依法体现优先、强制采购相关规定的；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（4）采购项目属于政府采购促进中小企业发展的范围，但是磋商文件未依法体现促进中小企业发展相关规定的；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（5）磋商文件将供应商的资格条件列为评分因素的；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（6）磋商文件载明的成交原则不合法的；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（7）磋商文件有违反国家其他有关强制性规定的情形。</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2.1.3 出现本条2.1.2规定应当停止评审情形的，磋商小组应当向采购组织单位书面说明情况。除本条规定的情形外，磋商小组不得以任何方式和理由停止评审。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2.2资格性审查。</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2.2.1本项目需要磋商小组进行资格性检查。</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磋商小组应依据法律法规和磋商文件的规定，对响应文件是否按照规定要求提供资格性证明材料、是否属于禁止参加磋商的供应商等进行审查，以确定供应商是否具备磋商资格。</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2.2.2资格性审查结束后，磋商小组应当出具资格性审查报告，没有通过资格审查的供应商，磋商小组应当在资格审查报告中说明原因。</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2.2.3采购人或者采购代理机构宣布未通过资格性审查的供应商名单时，应当告知供应商未通过审查的原因。</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2.3 通过资格性审查的供应商不足3家的，终止本次采购活动，并发布终止采购活动公告。</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2.4磋商。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2.4.2每轮磋商开始前，磋商小组应根据磋商文件的规定，并结合各供应商的响应文件拟定磋商内容。</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2.4.4对磋商文件作出的实质性变动是磋商文件的有效组成部分，磋商小组应当及时以书面形式同时通知所有参加磋商的供应商。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auto"/>
          <w:sz w:val="24"/>
          <w:highlight w:val="none"/>
        </w:rPr>
        <w:t>（注：仅针对竞争性磋商文件的技术、服务要求以及合同草案条款，供应商可以自行决定变更其响应文件</w:t>
      </w:r>
      <w:r>
        <w:rPr>
          <w:rFonts w:hint="eastAsia" w:ascii="仿宋" w:hAnsi="仿宋" w:eastAsia="仿宋" w:cs="仿宋"/>
          <w:color w:val="auto"/>
          <w:sz w:val="24"/>
          <w:highlight w:val="none"/>
        </w:rPr>
        <w:t>），磋商小组不得拒绝，并应当给予供应商必要的时间，但是供应商变更其响应文件，应当以有利于满足磋商文件要求为原则，不得变更为不利于满足磋商文件规定，否则，其响应文件作为无效处理。</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2.4.6磋商过程中，</w:t>
      </w:r>
      <w:r>
        <w:rPr>
          <w:rFonts w:hint="eastAsia" w:ascii="仿宋" w:hAnsi="仿宋" w:eastAsia="仿宋" w:cs="仿宋"/>
          <w:color w:val="auto"/>
          <w:sz w:val="24"/>
          <w:highlight w:val="none"/>
          <w:lang w:val="zh-CN"/>
        </w:rPr>
        <w:t>磋商小组对响应文件的有效性、完整性和响应程度进行审查，审查中发现供应商响应文件属于下列情况之一的，应按照无效响应文件处理：</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（1）响应文件正副本数量不足的；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）响应文件组成明显不符合采购文件的规定要求，影响评审委员会评判的；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）响应文件的语言、计量单位、知识产权、响应有效期等不符合采购文件的规定，影响磋商小组评判的；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（4）经最终磋商后，供应商的响应文件仍不能完全响应采购文件的实质性要求的；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 xml:space="preserve"> (5)</w:t>
      </w:r>
      <w:r>
        <w:rPr>
          <w:rFonts w:hint="eastAsia" w:ascii="仿宋" w:hAnsi="仿宋" w:eastAsia="仿宋" w:cs="仿宋"/>
          <w:color w:val="auto"/>
          <w:sz w:val="24"/>
          <w:highlight w:val="none"/>
        </w:rPr>
        <w:t xml:space="preserve"> 未载明或者载明的采购项目履约时间、方式、数量及其他政府采购合同实质性内容与本竞争性磋商文件要求不一致，且采购单位无法接受的。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(6)属于竞争性磋商文件中无效响应情形的。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但磋商小组对响应文件签署、盖章等进行审查过程中，有下列情形的，磋商小组应</w:t>
      </w:r>
      <w:r>
        <w:rPr>
          <w:rFonts w:hint="eastAsia" w:ascii="仿宋" w:hAnsi="仿宋" w:eastAsia="仿宋" w:cs="仿宋"/>
          <w:color w:val="auto"/>
          <w:spacing w:val="-6"/>
          <w:sz w:val="24"/>
          <w:highlight w:val="none"/>
          <w:lang w:val="zh-CN"/>
        </w:rPr>
        <w:t>当评定为不影响整个响应文件有效性和采购活动公平竞争，并通过响应文件的有效性审查：</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）响应文件存在个别地方（总数不能超过2个）没有法定代表人/单位负责人签字，但有法定代表人/单位负责人的私人印章或者有效授权代理人签字的；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）响应文件除采购文件明确要求加盖单位(法人)公章的以外，其他地方以相关专用章加盖的；</w:t>
      </w:r>
    </w:p>
    <w:p>
      <w:pPr>
        <w:snapToGrid w:val="0"/>
        <w:spacing w:line="400" w:lineRule="exact"/>
        <w:ind w:firstLine="480" w:firstLineChars="200"/>
        <w:textAlignment w:val="baseline"/>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）以骑缝章的形式代替响应文件内容逐页盖章的（但是骑缝章模糊不清，印章名称无法辨认的除外）。</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磋商小组</w:t>
      </w:r>
      <w:r>
        <w:rPr>
          <w:rFonts w:hint="eastAsia" w:ascii="仿宋" w:hAnsi="仿宋" w:eastAsia="仿宋" w:cs="仿宋"/>
          <w:color w:val="auto"/>
          <w:sz w:val="24"/>
          <w:highlight w:val="none"/>
          <w:lang w:val="zh-CN"/>
        </w:rPr>
        <w:t>对所有响应文件的有效性、完整性和响应程度进行审查</w:t>
      </w:r>
      <w:r>
        <w:rPr>
          <w:rFonts w:hint="eastAsia" w:ascii="仿宋" w:hAnsi="仿宋" w:eastAsia="仿宋" w:cs="仿宋"/>
          <w:color w:val="auto"/>
          <w:sz w:val="24"/>
          <w:highlight w:val="none"/>
        </w:rPr>
        <w:t>后，向采购</w:t>
      </w:r>
      <w:r>
        <w:rPr>
          <w:rFonts w:hint="eastAsia" w:ascii="仿宋" w:hAnsi="仿宋" w:eastAsia="仿宋" w:cs="仿宋"/>
          <w:color w:val="auto"/>
          <w:sz w:val="24"/>
          <w:highlight w:val="none"/>
          <w:lang w:val="zh-CN"/>
        </w:rPr>
        <w:t>代理机构</w:t>
      </w:r>
      <w:r>
        <w:rPr>
          <w:rFonts w:hint="eastAsia" w:ascii="仿宋" w:hAnsi="仿宋" w:eastAsia="仿宋" w:cs="仿宋"/>
          <w:color w:val="auto"/>
          <w:sz w:val="24"/>
          <w:highlight w:val="none"/>
        </w:rPr>
        <w:t>出具</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审查报告，确定继续磋商的供应商名单。没有通过</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审查的供应商，磋商小组应在</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审查报告中说明原因。</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2.4.7磋商过程中，磋商的任何一方不得透露与磋商有关的其他供应商的技术资料、价格和其他信息。</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2.4.8磋商过程中，磋商小组发现或者知晓供应商存在违法、违纪行为的，磋商小组应当将该供应商响应文件作无效处理，不允许其提交最后报价。</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2.4.9磋商完成后，磋商小组应出具磋商情况记录表，磋商情况记录表需包含磋商内容、磋商意见、实质性变动内容等。</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2.5报价。</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2.5.2磋商文件能够详细列明采购标的的技术、服务要求的，磋商结束后，磋商小组应当要求所有实质性响应的供应商在规定时间内提交最后报价，提交最后报价的供应商不得少于3家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cs="仿宋"/>
          <w:b/>
          <w:color w:val="auto"/>
          <w:sz w:val="24"/>
          <w:highlight w:val="none"/>
        </w:rPr>
        <w:t>（本章</w:t>
      </w:r>
      <w:r>
        <w:rPr>
          <w:rFonts w:hint="eastAsia" w:ascii="仿宋" w:hAnsi="仿宋" w:eastAsia="仿宋" w:cs="仿宋"/>
          <w:color w:val="auto"/>
          <w:sz w:val="24"/>
          <w:highlight w:val="none"/>
        </w:rPr>
        <w:t>2.5.3</w:t>
      </w:r>
      <w:r>
        <w:rPr>
          <w:rFonts w:hint="eastAsia" w:ascii="仿宋" w:hAnsi="仿宋" w:eastAsia="仿宋" w:cs="仿宋"/>
          <w:b/>
          <w:color w:val="auto"/>
          <w:sz w:val="24"/>
          <w:highlight w:val="none"/>
        </w:rPr>
        <w:t>的情况除外）</w:t>
      </w:r>
      <w:r>
        <w:rPr>
          <w:rFonts w:hint="eastAsia" w:ascii="仿宋" w:hAnsi="仿宋" w:eastAsia="仿宋" w:cs="仿宋"/>
          <w:color w:val="auto"/>
          <w:sz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cs="仿宋"/>
          <w:b/>
          <w:color w:val="auto"/>
          <w:sz w:val="24"/>
          <w:highlight w:val="none"/>
        </w:rPr>
        <w:t>（本章</w:t>
      </w:r>
      <w:r>
        <w:rPr>
          <w:rFonts w:hint="eastAsia" w:ascii="仿宋" w:hAnsi="仿宋" w:eastAsia="仿宋" w:cs="仿宋"/>
          <w:color w:val="auto"/>
          <w:sz w:val="24"/>
          <w:highlight w:val="none"/>
        </w:rPr>
        <w:t>2.5.3</w:t>
      </w:r>
      <w:r>
        <w:rPr>
          <w:rFonts w:hint="eastAsia" w:ascii="仿宋" w:hAnsi="仿宋" w:eastAsia="仿宋" w:cs="仿宋"/>
          <w:b/>
          <w:color w:val="auto"/>
          <w:sz w:val="24"/>
          <w:highlight w:val="none"/>
        </w:rPr>
        <w:t>的情况除外）</w:t>
      </w:r>
      <w:r>
        <w:rPr>
          <w:rFonts w:hint="eastAsia" w:ascii="仿宋" w:hAnsi="仿宋" w:eastAsia="仿宋" w:cs="仿宋"/>
          <w:color w:val="auto"/>
          <w:sz w:val="24"/>
          <w:highlight w:val="none"/>
        </w:rPr>
        <w:t>供应商的设计方案或者解决方案，并要求其在规定时间内提交最后报价。</w:t>
      </w:r>
    </w:p>
    <w:p>
      <w:pPr>
        <w:snapToGrid w:val="0"/>
        <w:spacing w:line="400" w:lineRule="exact"/>
        <w:ind w:firstLine="480" w:firstLineChars="200"/>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2.5.3符合</w:t>
      </w:r>
      <w:bookmarkStart w:id="82" w:name="_Toc30986"/>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政府采购竞争性磋商采购方式管理暂行办法财库》〔2014〕214号</w:t>
      </w:r>
      <w:bookmarkEnd w:id="82"/>
      <w:r>
        <w:rPr>
          <w:rFonts w:hint="eastAsia" w:ascii="仿宋" w:hAnsi="仿宋" w:eastAsia="仿宋" w:cs="仿宋"/>
          <w:b/>
          <w:bCs/>
          <w:color w:val="auto"/>
          <w:sz w:val="24"/>
          <w:highlight w:val="none"/>
        </w:rPr>
        <w:t>第三条第四项情形的，提交最后报价的供应商可以为2家。</w:t>
      </w:r>
    </w:p>
    <w:p>
      <w:pPr>
        <w:snapToGrid w:val="0"/>
        <w:spacing w:line="400" w:lineRule="exact"/>
        <w:ind w:firstLine="480" w:firstLineChars="200"/>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val="zh-CN"/>
        </w:rPr>
        <w:t>根据《财政部关于政府采购竞争性磋商采购方式管理暂行办法有关问题的补充通知》财库</w:t>
      </w:r>
      <w:r>
        <w:rPr>
          <w:rFonts w:hint="eastAsia" w:ascii="仿宋" w:hAnsi="仿宋" w:eastAsia="仿宋" w:cs="仿宋"/>
          <w:color w:val="auto"/>
          <w:sz w:val="24"/>
          <w:highlight w:val="none"/>
        </w:rPr>
        <w:t>〔2015〕</w:t>
      </w:r>
      <w:r>
        <w:rPr>
          <w:rFonts w:hint="eastAsia" w:ascii="仿宋" w:hAnsi="仿宋" w:eastAsia="仿宋" w:cs="仿宋"/>
          <w:color w:val="auto"/>
          <w:sz w:val="24"/>
          <w:highlight w:val="none"/>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s="仿宋"/>
          <w:color w:val="auto"/>
          <w:spacing w:val="-6"/>
          <w:sz w:val="24"/>
          <w:highlight w:val="none"/>
        </w:rPr>
        <w:t>本分析和价格构成的或对质函询的解释未被磋商小组采信的，应按照无效响应文件处理。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2.5.5供应商最后报价应当由法定代表人/主要负责人/本人或其授权代表签字确认（</w:t>
      </w: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napToGrid w:val="0"/>
        <w:spacing w:line="40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2.5.6报价如果出现下列不一致的，可按以下原则进行修改：</w:t>
      </w:r>
    </w:p>
    <w:p>
      <w:pPr>
        <w:snapToGrid w:val="0"/>
        <w:spacing w:line="40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color w:val="auto"/>
          <w:kern w:val="0"/>
          <w:sz w:val="24"/>
          <w:highlight w:val="none"/>
        </w:rPr>
        <w:t>大写金额和小写金额不一致的，以大写金额为准</w:t>
      </w:r>
      <w:r>
        <w:rPr>
          <w:rFonts w:hint="eastAsia" w:ascii="仿宋" w:hAnsi="仿宋" w:eastAsia="仿宋" w:cs="仿宋"/>
          <w:color w:val="auto"/>
          <w:sz w:val="24"/>
          <w:highlight w:val="none"/>
        </w:rPr>
        <w:t>，但大写金额文字存在错误的，应当先对大写金额的文字错误进行澄清、说明或者更正，再行修正。</w:t>
      </w:r>
    </w:p>
    <w:p>
      <w:pPr>
        <w:snapToGrid w:val="0"/>
        <w:spacing w:line="40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w:t>
      </w:r>
      <w:r>
        <w:rPr>
          <w:rFonts w:hint="eastAsia" w:ascii="仿宋" w:hAnsi="仿宋" w:eastAsia="仿宋" w:cs="仿宋"/>
          <w:color w:val="auto"/>
          <w:kern w:val="0"/>
          <w:sz w:val="24"/>
          <w:highlight w:val="none"/>
        </w:rPr>
        <w:t>总价金额与按单价汇总金额不一致的，以单价金额计算结果为准，</w:t>
      </w:r>
      <w:r>
        <w:rPr>
          <w:rFonts w:hint="eastAsia" w:ascii="仿宋" w:hAnsi="仿宋" w:eastAsia="仿宋" w:cs="仿宋"/>
          <w:color w:val="auto"/>
          <w:sz w:val="24"/>
          <w:highlight w:val="none"/>
        </w:rPr>
        <w:t>但</w:t>
      </w:r>
      <w:r>
        <w:rPr>
          <w:rFonts w:hint="eastAsia" w:ascii="仿宋" w:hAnsi="仿宋" w:eastAsia="仿宋" w:cs="仿宋"/>
          <w:color w:val="auto"/>
          <w:kern w:val="0"/>
          <w:sz w:val="24"/>
          <w:highlight w:val="none"/>
        </w:rPr>
        <w:t>单价或者单价汇总金额存在数字或者</w:t>
      </w:r>
      <w:r>
        <w:rPr>
          <w:rFonts w:hint="eastAsia" w:ascii="仿宋" w:hAnsi="仿宋" w:eastAsia="仿宋" w:cs="仿宋"/>
          <w:color w:val="auto"/>
          <w:sz w:val="24"/>
          <w:highlight w:val="none"/>
        </w:rPr>
        <w:t>文字错误的，应当先对</w:t>
      </w:r>
      <w:r>
        <w:rPr>
          <w:rFonts w:hint="eastAsia" w:ascii="仿宋" w:hAnsi="仿宋" w:eastAsia="仿宋" w:cs="仿宋"/>
          <w:color w:val="auto"/>
          <w:kern w:val="0"/>
          <w:sz w:val="24"/>
          <w:highlight w:val="none"/>
        </w:rPr>
        <w:t>数字或者</w:t>
      </w:r>
      <w:r>
        <w:rPr>
          <w:rFonts w:hint="eastAsia" w:ascii="仿宋" w:hAnsi="仿宋" w:eastAsia="仿宋" w:cs="仿宋"/>
          <w:color w:val="auto"/>
          <w:sz w:val="24"/>
          <w:highlight w:val="none"/>
        </w:rPr>
        <w:t>文字错误进行澄清、说明或者更正，再行修正。</w:t>
      </w:r>
    </w:p>
    <w:p>
      <w:pPr>
        <w:snapToGrid w:val="0"/>
        <w:spacing w:line="400" w:lineRule="exact"/>
        <w:ind w:firstLine="48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（三）单价金额小数点</w:t>
      </w:r>
      <w:r>
        <w:rPr>
          <w:rFonts w:hint="eastAsia" w:ascii="仿宋" w:hAnsi="仿宋" w:eastAsia="仿宋" w:cs="仿宋"/>
          <w:color w:val="auto"/>
          <w:kern w:val="0"/>
          <w:sz w:val="24"/>
          <w:highlight w:val="none"/>
        </w:rPr>
        <w:t>或者百分比有明显错位的</w:t>
      </w:r>
      <w:r>
        <w:rPr>
          <w:rFonts w:hint="eastAsia" w:ascii="仿宋" w:hAnsi="仿宋" w:eastAsia="仿宋" w:cs="仿宋"/>
          <w:color w:val="auto"/>
          <w:sz w:val="24"/>
          <w:highlight w:val="none"/>
        </w:rPr>
        <w:t>，以总价为准，修正单价。</w:t>
      </w:r>
    </w:p>
    <w:p>
      <w:pPr>
        <w:snapToGrid w:val="0"/>
        <w:ind w:firstLine="480" w:firstLineChars="200"/>
        <w:jc w:val="left"/>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不得未经澄清、说明或者更正，直接将供应商响应文件作为无效处理。对不同文字文本响应文件的解释发生异议的，以中文文本为准。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2.6比较与评价。由磋商小组采用综合评分法对提交最后报价的供应商的响应文件和最后报价进行综合评分，具体要求详见本章综合评分部分。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2.9采购组织单位现场复核评审结果。</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（1）资格性审查认定错误的；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（2）分值汇总计算错误的；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（3）分项评分超出评分标准范围的；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（4）客观评分不一致的。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采购代理机构复核过程中，磋商小组成员不得离开评审现场。</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2.9.2有下列情形之一的，不得现场修改评审结果：</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（1）磋商小组已经出具磋商报告并且离开评审现场的；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（2）采购代理机构现场复核时，复核工作人员数量不足的；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（3）采购代理机构现场复核时，没有采购监督人员现场监督的；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（4）采购代理机构现场复核内容超出规定范围的；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（5）采购代理机构未提供书面建议的。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2.10编写磋商报告。磋商小组推荐成交候选供应商后，应向采购代理机构出具磋商报告。磋商报告应当包括以下主要内容：</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（1）邀请供应商参加采购活动的具体方式和相关情况；</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（2）响应文件开启日期和地点；</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（3）获取磋商文件的供应商名单和磋商小组成员名单；</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（4）评审情况记录和说明，包括对供应商的资格审查情况、供应商响应文件审查情况、磋商情况、报价情况等；</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（5）提出的成交候选供应商的排序名单及理由。</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2.12供应商澄清、说明</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2.13终止磋商采购活动。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出现下列情形之一的，采购人或者采购代理机构应当终止竞争性磋商采购活动，发布项目终止公告并说明原因，重新开展采购活动：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（1）因情况变化，不再符合规定的竞争性磋商采购方式适用情形的；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（3）除</w:t>
      </w:r>
      <w:r>
        <w:rPr>
          <w:rFonts w:hint="eastAsia" w:ascii="仿宋" w:hAnsi="仿宋" w:eastAsia="仿宋" w:cs="仿宋"/>
          <w:b/>
          <w:color w:val="auto"/>
          <w:sz w:val="24"/>
          <w:highlight w:val="none"/>
        </w:rPr>
        <w:t>本章</w:t>
      </w:r>
      <w:r>
        <w:rPr>
          <w:rFonts w:hint="eastAsia" w:ascii="仿宋" w:hAnsi="仿宋" w:eastAsia="仿宋" w:cs="仿宋"/>
          <w:color w:val="auto"/>
          <w:sz w:val="24"/>
          <w:highlight w:val="none"/>
        </w:rPr>
        <w:t>2.5.3</w:t>
      </w:r>
      <w:r>
        <w:rPr>
          <w:rFonts w:hint="eastAsia" w:ascii="仿宋" w:hAnsi="仿宋" w:eastAsia="仿宋" w:cs="仿宋"/>
          <w:b/>
          <w:color w:val="auto"/>
          <w:sz w:val="24"/>
          <w:highlight w:val="none"/>
        </w:rPr>
        <w:t>的情况外，</w:t>
      </w:r>
      <w:r>
        <w:rPr>
          <w:rFonts w:hint="eastAsia" w:ascii="仿宋" w:hAnsi="仿宋" w:eastAsia="仿宋" w:cs="仿宋"/>
          <w:color w:val="auto"/>
          <w:sz w:val="24"/>
          <w:highlight w:val="none"/>
        </w:rPr>
        <w:t>在采购过程中符合要求的供应商或者报价未超过采购预算的供应商不足3家的。</w:t>
      </w:r>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3.综合评分</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3.1本次综合评分的因素详见综合评分明细表。</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napToGrid w:val="0"/>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3.3综合评分明细表</w:t>
      </w:r>
    </w:p>
    <w:p>
      <w:pPr>
        <w:pStyle w:val="11"/>
        <w:tabs>
          <w:tab w:val="left" w:pos="600"/>
        </w:tabs>
        <w:snapToGrid w:val="0"/>
        <w:spacing w:line="400" w:lineRule="exact"/>
        <w:ind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3.3.1综合评分明细表的制定以科学合理、降低评委会自由裁量权为原则。</w:t>
      </w:r>
    </w:p>
    <w:p>
      <w:pPr>
        <w:widowControl/>
        <w:snapToGrid w:val="0"/>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3.3.2 综合评分明细表按须知表中的相关要求进行价格调整，再参与价格分评审。</w:t>
      </w:r>
    </w:p>
    <w:p>
      <w:pPr>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3.3.3综合评分明细表</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102"/>
        <w:gridCol w:w="812"/>
        <w:gridCol w:w="479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1102" w:type="dxa"/>
            <w:shd w:val="clear" w:color="auto" w:fill="auto"/>
            <w:vAlign w:val="center"/>
          </w:tcPr>
          <w:p>
            <w:pPr>
              <w:widowControl/>
              <w:snapToGrid w:val="0"/>
              <w:jc w:val="center"/>
              <w:textAlignment w:val="baseline"/>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评分因素</w:t>
            </w:r>
          </w:p>
        </w:tc>
        <w:tc>
          <w:tcPr>
            <w:tcW w:w="812" w:type="dxa"/>
            <w:shd w:val="clear" w:color="auto" w:fill="auto"/>
            <w:vAlign w:val="center"/>
          </w:tcPr>
          <w:p>
            <w:pPr>
              <w:widowControl/>
              <w:snapToGrid w:val="0"/>
              <w:jc w:val="center"/>
              <w:textAlignment w:val="baseline"/>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权重分值</w:t>
            </w:r>
          </w:p>
        </w:tc>
        <w:tc>
          <w:tcPr>
            <w:tcW w:w="4794" w:type="dxa"/>
            <w:shd w:val="clear" w:color="auto" w:fill="auto"/>
            <w:vAlign w:val="center"/>
          </w:tcPr>
          <w:p>
            <w:pPr>
              <w:widowControl/>
              <w:snapToGrid w:val="0"/>
              <w:jc w:val="center"/>
              <w:textAlignment w:val="baseline"/>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评分依据</w:t>
            </w:r>
          </w:p>
        </w:tc>
        <w:tc>
          <w:tcPr>
            <w:tcW w:w="1286" w:type="dxa"/>
            <w:shd w:val="clear" w:color="auto" w:fill="auto"/>
            <w:vAlign w:val="center"/>
          </w:tcPr>
          <w:p>
            <w:pPr>
              <w:widowControl/>
              <w:snapToGrid w:val="0"/>
              <w:jc w:val="center"/>
              <w:textAlignment w:val="baseline"/>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102" w:type="dxa"/>
            <w:shd w:val="clear" w:color="auto" w:fill="auto"/>
            <w:vAlign w:val="center"/>
          </w:tcPr>
          <w:p>
            <w:pPr>
              <w:snapToGrid w:val="0"/>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报价</w:t>
            </w:r>
          </w:p>
        </w:tc>
        <w:tc>
          <w:tcPr>
            <w:tcW w:w="812" w:type="dxa"/>
            <w:shd w:val="clear" w:color="auto" w:fill="auto"/>
            <w:vAlign w:val="center"/>
          </w:tcPr>
          <w:p>
            <w:pPr>
              <w:widowControl/>
              <w:snapToGrid w:val="0"/>
              <w:jc w:val="left"/>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10分</w:t>
            </w:r>
          </w:p>
        </w:tc>
        <w:tc>
          <w:tcPr>
            <w:tcW w:w="4794"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满足磋商文件要求且响应价格最低的响应报价为磋商基准价，其价格分为满分。其他供应商的价格分统一按照下列公式计算：磋商报价得分=(磋商基准价／最后磋商报价)×10</w:t>
            </w:r>
          </w:p>
        </w:tc>
        <w:tc>
          <w:tcPr>
            <w:tcW w:w="1286" w:type="dxa"/>
            <w:shd w:val="clear" w:color="auto" w:fill="auto"/>
            <w:vAlign w:val="center"/>
          </w:tcPr>
          <w:p>
            <w:pPr>
              <w:widowControl/>
              <w:snapToGrid w:val="0"/>
              <w:jc w:val="left"/>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28" w:type="dxa"/>
            <w:shd w:val="clear" w:color="auto" w:fill="auto"/>
            <w:vAlign w:val="center"/>
          </w:tcPr>
          <w:p>
            <w:pPr>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102" w:type="dxa"/>
            <w:shd w:val="clear" w:color="auto" w:fill="auto"/>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服务应答</w:t>
            </w:r>
          </w:p>
        </w:tc>
        <w:tc>
          <w:tcPr>
            <w:tcW w:w="812" w:type="dxa"/>
            <w:shd w:val="clear" w:color="auto" w:fill="auto"/>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28分</w:t>
            </w:r>
          </w:p>
        </w:tc>
        <w:tc>
          <w:tcPr>
            <w:tcW w:w="4794" w:type="dxa"/>
            <w:shd w:val="clear" w:color="auto" w:fill="auto"/>
          </w:tcPr>
          <w:p>
            <w:pPr>
              <w:pStyle w:val="10"/>
              <w:snapToGrid w:val="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磋商文件第五章“三、服务要求”中“▲”条款共</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条，完全满足上述条款没有负偏离得满分28分。低于磋商文件要求的（负偏离），“▲”条款每一项扣</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分，最多扣28分。</w:t>
            </w:r>
          </w:p>
        </w:tc>
        <w:tc>
          <w:tcPr>
            <w:tcW w:w="1286" w:type="dxa"/>
            <w:shd w:val="clear" w:color="auto" w:fill="auto"/>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1102" w:type="dxa"/>
            <w:shd w:val="clear" w:color="auto" w:fill="auto"/>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w:t>
            </w:r>
          </w:p>
        </w:tc>
        <w:tc>
          <w:tcPr>
            <w:tcW w:w="812"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20分</w:t>
            </w:r>
          </w:p>
        </w:tc>
        <w:tc>
          <w:tcPr>
            <w:tcW w:w="4794"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供应商对本项目提出的实施方案，包括但不限于以下部分：</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1、作业方案；2、测评作业质量控制措施；</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以上2个部分，每缺少一个部分扣10分，20分扣完为止；内容描述存在不完整、前后矛盾、不符合项目及当地实际情况中任何一种情形或其他不足之处的，每有一处扣2分，每个部分最多扣10分，20分扣完为止。</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（注：其他不足之处是指内容套用或错用、凭空编造、科学原理错误以及不可能实现的夸大情形等。）。</w:t>
            </w:r>
          </w:p>
        </w:tc>
        <w:tc>
          <w:tcPr>
            <w:tcW w:w="1286" w:type="dxa"/>
            <w:shd w:val="clear" w:color="auto" w:fill="auto"/>
            <w:vAlign w:val="center"/>
          </w:tcPr>
          <w:p>
            <w:pPr>
              <w:snapToGrid w:val="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c>
          <w:tcPr>
            <w:tcW w:w="1102"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保障方案</w:t>
            </w:r>
          </w:p>
        </w:tc>
        <w:tc>
          <w:tcPr>
            <w:tcW w:w="812" w:type="dxa"/>
            <w:shd w:val="clear" w:color="auto" w:fill="auto"/>
            <w:vAlign w:val="center"/>
          </w:tcPr>
          <w:p>
            <w:pPr>
              <w:widowControl/>
              <w:snapToGrid w:val="0"/>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20分</w:t>
            </w:r>
          </w:p>
        </w:tc>
        <w:tc>
          <w:tcPr>
            <w:tcW w:w="4794"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供应商对本项目提出的保障方案，包括但不限于以下部分：</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①作业应急方案；②作业安全文明保障措施。</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以上2个部分，每缺少一个部分扣10分，20分扣完为止；内容描述存在不完整、前后矛盾、不符合项目及当地实际情况中任何一种情形或其他不足之处的，每有一处扣2分，每个部分最多扣10分，20分扣完为止。</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（注：其他不足之处是指内容套用或错用、凭空编造、科学原理错误以及不可能实现的夸大情形等。）</w:t>
            </w:r>
          </w:p>
        </w:tc>
        <w:tc>
          <w:tcPr>
            <w:tcW w:w="1286"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5</w:t>
            </w:r>
          </w:p>
        </w:tc>
        <w:tc>
          <w:tcPr>
            <w:tcW w:w="1102" w:type="dxa"/>
            <w:shd w:val="clear" w:color="auto" w:fill="auto"/>
            <w:vAlign w:val="center"/>
          </w:tcPr>
          <w:p>
            <w:pPr>
              <w:widowControl/>
              <w:snapToGrid w:val="0"/>
              <w:jc w:val="left"/>
              <w:textAlignment w:val="baseline"/>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rPr>
              <w:t>人员</w:t>
            </w:r>
            <w:r>
              <w:rPr>
                <w:rFonts w:hint="eastAsia" w:ascii="仿宋" w:hAnsi="仿宋" w:eastAsia="仿宋" w:cs="仿宋"/>
                <w:color w:val="auto"/>
                <w:sz w:val="24"/>
                <w:highlight w:val="none"/>
                <w:lang w:val="en-US" w:eastAsia="zh-CN"/>
              </w:rPr>
              <w:t>安排方案</w:t>
            </w:r>
          </w:p>
        </w:tc>
        <w:tc>
          <w:tcPr>
            <w:tcW w:w="812" w:type="dxa"/>
            <w:shd w:val="clear" w:color="auto" w:fill="auto"/>
            <w:vAlign w:val="center"/>
          </w:tcPr>
          <w:p>
            <w:pPr>
              <w:widowControl/>
              <w:snapToGrid w:val="0"/>
              <w:jc w:val="left"/>
              <w:textAlignment w:val="baseline"/>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rPr>
              <w:t>分</w:t>
            </w:r>
          </w:p>
        </w:tc>
        <w:tc>
          <w:tcPr>
            <w:tcW w:w="4794"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lang w:val="en-US" w:eastAsia="zh-CN"/>
              </w:rPr>
              <w:t>针</w:t>
            </w:r>
            <w:r>
              <w:rPr>
                <w:rFonts w:hint="eastAsia" w:ascii="仿宋" w:hAnsi="仿宋" w:eastAsia="仿宋" w:cs="仿宋"/>
                <w:color w:val="auto"/>
                <w:sz w:val="24"/>
                <w:highlight w:val="none"/>
              </w:rPr>
              <w:t>对本项目</w:t>
            </w:r>
            <w:r>
              <w:rPr>
                <w:rFonts w:hint="eastAsia" w:ascii="仿宋" w:hAnsi="仿宋" w:eastAsia="仿宋" w:cs="仿宋"/>
                <w:color w:val="auto"/>
                <w:sz w:val="24"/>
                <w:highlight w:val="none"/>
                <w:lang w:val="en-US" w:eastAsia="zh-CN"/>
              </w:rPr>
              <w:t>制定</w:t>
            </w:r>
            <w:r>
              <w:rPr>
                <w:rFonts w:hint="eastAsia" w:ascii="仿宋" w:hAnsi="仿宋" w:eastAsia="仿宋" w:cs="仿宋"/>
                <w:color w:val="auto"/>
                <w:sz w:val="24"/>
                <w:highlight w:val="none"/>
              </w:rPr>
              <w:t>人员</w:t>
            </w:r>
            <w:r>
              <w:rPr>
                <w:rFonts w:hint="eastAsia" w:ascii="仿宋" w:hAnsi="仿宋" w:eastAsia="仿宋" w:cs="仿宋"/>
                <w:color w:val="auto"/>
                <w:sz w:val="24"/>
                <w:highlight w:val="none"/>
                <w:lang w:val="en-US" w:eastAsia="zh-CN"/>
              </w:rPr>
              <w:t>安排方案，</w:t>
            </w:r>
            <w:r>
              <w:rPr>
                <w:rFonts w:hint="eastAsia" w:ascii="仿宋" w:hAnsi="仿宋" w:eastAsia="仿宋" w:cs="仿宋"/>
                <w:color w:val="auto"/>
                <w:sz w:val="24"/>
                <w:highlight w:val="none"/>
              </w:rPr>
              <w:t>包括但不限于以下部分：</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①人员配备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②工作</w:t>
            </w:r>
            <w:r>
              <w:rPr>
                <w:rFonts w:hint="eastAsia" w:ascii="仿宋" w:hAnsi="仿宋" w:eastAsia="仿宋" w:cs="仿宋"/>
                <w:color w:val="auto"/>
                <w:sz w:val="24"/>
                <w:highlight w:val="none"/>
                <w:lang w:val="en-US" w:eastAsia="zh-CN"/>
              </w:rPr>
              <w:t>分工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③</w:t>
            </w:r>
            <w:r>
              <w:rPr>
                <w:rFonts w:hint="eastAsia" w:ascii="仿宋" w:hAnsi="仿宋" w:eastAsia="仿宋" w:cs="仿宋"/>
                <w:color w:val="auto"/>
                <w:sz w:val="24"/>
                <w:highlight w:val="none"/>
                <w:lang w:val="en-US" w:eastAsia="zh-CN"/>
              </w:rPr>
              <w:t>巡查</w:t>
            </w:r>
            <w:r>
              <w:rPr>
                <w:rFonts w:hint="eastAsia" w:ascii="仿宋" w:hAnsi="仿宋" w:eastAsia="仿宋" w:cs="仿宋"/>
                <w:color w:val="auto"/>
                <w:sz w:val="24"/>
                <w:highlight w:val="none"/>
              </w:rPr>
              <w:t>时间安排。</w:t>
            </w:r>
          </w:p>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以上</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个部分，每缺少一个部分扣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分扣完为止；内容描述存在不完整、前后矛盾、不符合项目及当地实际情况中任何一种情形或其他不足之处的，每有一处扣</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分，每个部分最多扣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分扣完为止。</w:t>
            </w:r>
          </w:p>
          <w:p>
            <w:pPr>
              <w:widowControl/>
              <w:snapToGrid w:val="0"/>
              <w:jc w:val="left"/>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（注：其他不足之处是指内容套用或错用、凭空编造、科学原理错误以及不可能实现的夸大情形等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项目及当地实际情况应结合项目工作内容和项目地点的特点来进行判断。）</w:t>
            </w:r>
          </w:p>
        </w:tc>
        <w:tc>
          <w:tcPr>
            <w:tcW w:w="1286" w:type="dxa"/>
            <w:shd w:val="clear" w:color="auto" w:fill="auto"/>
            <w:vAlign w:val="center"/>
          </w:tcPr>
          <w:p>
            <w:pPr>
              <w:widowControl/>
              <w:snapToGrid w:val="0"/>
              <w:jc w:val="left"/>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28" w:type="dxa"/>
            <w:shd w:val="clear" w:color="auto" w:fill="auto"/>
            <w:vAlign w:val="center"/>
          </w:tcPr>
          <w:p>
            <w:pPr>
              <w:widowControl/>
              <w:snapToGrid w:val="0"/>
              <w:jc w:val="center"/>
              <w:textAlignment w:val="baseline"/>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6</w:t>
            </w:r>
          </w:p>
        </w:tc>
        <w:tc>
          <w:tcPr>
            <w:tcW w:w="1102" w:type="dxa"/>
            <w:shd w:val="clear" w:color="auto" w:fill="auto"/>
            <w:vAlign w:val="center"/>
          </w:tcPr>
          <w:p>
            <w:pPr>
              <w:widowControl/>
              <w:snapToGrid w:val="0"/>
              <w:jc w:val="left"/>
              <w:textAlignment w:val="baseline"/>
              <w:rPr>
                <w:rFonts w:hint="eastAsia" w:ascii="仿宋" w:hAnsi="仿宋" w:eastAsia="仿宋" w:cs="仿宋"/>
                <w:bCs/>
                <w:color w:val="auto"/>
                <w:sz w:val="24"/>
                <w:highlight w:val="none"/>
              </w:rPr>
            </w:pPr>
            <w:r>
              <w:rPr>
                <w:rFonts w:hint="eastAsia" w:ascii="仿宋" w:hAnsi="仿宋" w:eastAsia="仿宋" w:cs="仿宋"/>
                <w:color w:val="auto"/>
                <w:sz w:val="24"/>
                <w:highlight w:val="none"/>
              </w:rPr>
              <w:t>项目案例</w:t>
            </w:r>
          </w:p>
        </w:tc>
        <w:tc>
          <w:tcPr>
            <w:tcW w:w="812" w:type="dxa"/>
            <w:shd w:val="clear" w:color="auto" w:fill="auto"/>
            <w:vAlign w:val="center"/>
          </w:tcPr>
          <w:p>
            <w:pPr>
              <w:widowControl/>
              <w:snapToGrid w:val="0"/>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16</w:t>
            </w:r>
            <w:r>
              <w:rPr>
                <w:rFonts w:hint="eastAsia" w:ascii="仿宋" w:hAnsi="仿宋" w:eastAsia="仿宋" w:cs="仿宋"/>
                <w:bCs/>
                <w:color w:val="auto"/>
                <w:sz w:val="24"/>
                <w:highlight w:val="none"/>
              </w:rPr>
              <w:t>分</w:t>
            </w:r>
          </w:p>
        </w:tc>
        <w:tc>
          <w:tcPr>
            <w:tcW w:w="4794" w:type="dxa"/>
            <w:shd w:val="clear" w:color="auto" w:fill="auto"/>
            <w:vAlign w:val="center"/>
          </w:tcPr>
          <w:p>
            <w:pPr>
              <w:widowControl/>
              <w:snapToGrid w:val="0"/>
              <w:ind w:hanging="36"/>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2018年1月1日至</w:t>
            </w:r>
            <w:r>
              <w:rPr>
                <w:rFonts w:hint="eastAsia" w:ascii="仿宋" w:hAnsi="仿宋" w:eastAsia="仿宋" w:cs="仿宋"/>
                <w:bCs/>
                <w:color w:val="auto"/>
                <w:sz w:val="24"/>
                <w:highlight w:val="none"/>
                <w:lang w:val="en-US" w:eastAsia="zh-CN"/>
              </w:rPr>
              <w:t>递交</w:t>
            </w:r>
            <w:r>
              <w:rPr>
                <w:rFonts w:hint="eastAsia" w:ascii="仿宋" w:hAnsi="仿宋" w:eastAsia="仿宋" w:cs="仿宋"/>
                <w:bCs/>
                <w:color w:val="auto"/>
                <w:sz w:val="24"/>
                <w:highlight w:val="none"/>
              </w:rPr>
              <w:t>响应</w:t>
            </w:r>
            <w:r>
              <w:rPr>
                <w:rFonts w:hint="eastAsia" w:ascii="仿宋" w:hAnsi="仿宋" w:eastAsia="仿宋" w:cs="仿宋"/>
                <w:bCs/>
                <w:color w:val="auto"/>
                <w:sz w:val="24"/>
                <w:highlight w:val="none"/>
                <w:lang w:val="en-US" w:eastAsia="zh-CN"/>
              </w:rPr>
              <w:t>文件</w:t>
            </w:r>
            <w:r>
              <w:rPr>
                <w:rFonts w:hint="eastAsia" w:ascii="仿宋" w:hAnsi="仿宋" w:eastAsia="仿宋" w:cs="仿宋"/>
                <w:bCs/>
                <w:color w:val="auto"/>
                <w:sz w:val="24"/>
                <w:highlight w:val="none"/>
              </w:rPr>
              <w:t>截止时间（以合同签订时间为准），供应商具有本项目类似服务业绩的，每提供一个得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分，最多得</w:t>
            </w:r>
            <w:r>
              <w:rPr>
                <w:rFonts w:hint="eastAsia" w:ascii="仿宋" w:hAnsi="仿宋" w:eastAsia="仿宋" w:cs="仿宋"/>
                <w:bCs/>
                <w:color w:val="auto"/>
                <w:sz w:val="24"/>
                <w:highlight w:val="none"/>
                <w:lang w:val="en-US" w:eastAsia="zh-CN"/>
              </w:rPr>
              <w:t>16</w:t>
            </w:r>
            <w:r>
              <w:rPr>
                <w:rFonts w:hint="eastAsia" w:ascii="仿宋" w:hAnsi="仿宋" w:eastAsia="仿宋" w:cs="仿宋"/>
                <w:bCs/>
                <w:color w:val="auto"/>
                <w:sz w:val="24"/>
                <w:highlight w:val="none"/>
              </w:rPr>
              <w:t>分。</w:t>
            </w:r>
          </w:p>
          <w:p>
            <w:pPr>
              <w:widowControl/>
              <w:snapToGrid w:val="0"/>
              <w:ind w:hanging="36"/>
              <w:jc w:val="left"/>
              <w:textAlignment w:val="baseline"/>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(提供合同或中标/成交通知书复印件，并加盖供应商鲜章)</w:t>
            </w:r>
          </w:p>
        </w:tc>
        <w:tc>
          <w:tcPr>
            <w:tcW w:w="1286" w:type="dxa"/>
            <w:shd w:val="clear" w:color="auto" w:fill="auto"/>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共同评分因素</w:t>
            </w:r>
          </w:p>
        </w:tc>
      </w:tr>
    </w:tbl>
    <w:p>
      <w:pPr>
        <w:snapToGrid w:val="0"/>
        <w:ind w:firstLine="630"/>
        <w:textAlignment w:val="baseline"/>
        <w:rPr>
          <w:rFonts w:hint="eastAsia" w:ascii="仿宋" w:hAnsi="仿宋" w:eastAsia="仿宋" w:cs="仿宋"/>
          <w:color w:val="auto"/>
          <w:sz w:val="20"/>
          <w:highlight w:val="none"/>
        </w:rPr>
      </w:pPr>
    </w:p>
    <w:p>
      <w:pPr>
        <w:snapToGrid w:val="0"/>
        <w:ind w:firstLine="360" w:firstLineChars="15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注：评分的取值按四舍五入法，保留小数点后两位。</w:t>
      </w:r>
    </w:p>
    <w:p>
      <w:pPr>
        <w:pStyle w:val="10"/>
        <w:snapToGrid w:val="0"/>
        <w:ind w:firstLine="420" w:firstLineChars="175"/>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3.3.4评审得分＝（A1＋A2＋……＋An）/N</w:t>
      </w:r>
      <w:r>
        <w:rPr>
          <w:rFonts w:hint="eastAsia" w:ascii="仿宋" w:hAnsi="仿宋" w:eastAsia="仿宋" w:cs="仿宋"/>
          <w:color w:val="auto"/>
          <w:sz w:val="24"/>
          <w:highlight w:val="none"/>
          <w:vertAlign w:val="subscript"/>
        </w:rPr>
        <w:t>A</w:t>
      </w:r>
      <w:r>
        <w:rPr>
          <w:rFonts w:hint="eastAsia" w:ascii="仿宋" w:hAnsi="仿宋" w:eastAsia="仿宋" w:cs="仿宋"/>
          <w:color w:val="auto"/>
          <w:sz w:val="24"/>
          <w:highlight w:val="none"/>
        </w:rPr>
        <w:t>＋（B1＋B2＋……＋Bn）/ N</w:t>
      </w:r>
      <w:r>
        <w:rPr>
          <w:rFonts w:hint="eastAsia" w:ascii="仿宋" w:hAnsi="仿宋" w:eastAsia="仿宋" w:cs="仿宋"/>
          <w:color w:val="auto"/>
          <w:sz w:val="24"/>
          <w:highlight w:val="none"/>
          <w:vertAlign w:val="subscript"/>
        </w:rPr>
        <w:t>B</w:t>
      </w:r>
      <w:r>
        <w:rPr>
          <w:rFonts w:hint="eastAsia" w:ascii="仿宋" w:hAnsi="仿宋" w:eastAsia="仿宋" w:cs="仿宋"/>
          <w:color w:val="auto"/>
          <w:sz w:val="24"/>
          <w:highlight w:val="none"/>
        </w:rPr>
        <w:t>＋（C1＋C2＋……＋Cn）/ N</w:t>
      </w:r>
      <w:r>
        <w:rPr>
          <w:rFonts w:hint="eastAsia" w:ascii="仿宋" w:hAnsi="仿宋" w:eastAsia="仿宋" w:cs="仿宋"/>
          <w:color w:val="auto"/>
          <w:sz w:val="24"/>
          <w:highlight w:val="none"/>
          <w:vertAlign w:val="subscript"/>
        </w:rPr>
        <w:t>C</w:t>
      </w:r>
      <w:r>
        <w:rPr>
          <w:rFonts w:hint="eastAsia" w:ascii="仿宋" w:hAnsi="仿宋" w:eastAsia="仿宋" w:cs="仿宋"/>
          <w:color w:val="auto"/>
          <w:sz w:val="24"/>
          <w:highlight w:val="none"/>
        </w:rPr>
        <w:t>＋（D1＋D2＋……＋Dn）/ N</w:t>
      </w:r>
      <w:r>
        <w:rPr>
          <w:rFonts w:hint="eastAsia" w:ascii="仿宋" w:hAnsi="仿宋" w:eastAsia="仿宋" w:cs="仿宋"/>
          <w:color w:val="auto"/>
          <w:sz w:val="24"/>
          <w:highlight w:val="none"/>
          <w:vertAlign w:val="subscript"/>
        </w:rPr>
        <w:t>D</w:t>
      </w:r>
    </w:p>
    <w:p>
      <w:pPr>
        <w:pStyle w:val="10"/>
        <w:snapToGrid w:val="0"/>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A1、A2……An分别为每个经济类评委（经济类专家）的打分，N</w:t>
      </w:r>
      <w:r>
        <w:rPr>
          <w:rFonts w:hint="eastAsia" w:ascii="仿宋" w:hAnsi="仿宋" w:eastAsia="仿宋" w:cs="仿宋"/>
          <w:color w:val="auto"/>
          <w:sz w:val="24"/>
          <w:highlight w:val="none"/>
          <w:vertAlign w:val="subscript"/>
        </w:rPr>
        <w:t>A</w:t>
      </w:r>
      <w:r>
        <w:rPr>
          <w:rFonts w:hint="eastAsia" w:ascii="仿宋" w:hAnsi="仿宋" w:eastAsia="仿宋" w:cs="仿宋"/>
          <w:color w:val="auto"/>
          <w:sz w:val="24"/>
          <w:highlight w:val="none"/>
        </w:rPr>
        <w:t>为经济类评委（经济类专家）人数；</w:t>
      </w:r>
    </w:p>
    <w:p>
      <w:pPr>
        <w:pStyle w:val="10"/>
        <w:snapToGrid w:val="0"/>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B1、B2……Bn 分别为每个技术类评委（技术类专家和采购人代表）的打分，N</w:t>
      </w:r>
      <w:r>
        <w:rPr>
          <w:rFonts w:hint="eastAsia" w:ascii="仿宋" w:hAnsi="仿宋" w:eastAsia="仿宋" w:cs="仿宋"/>
          <w:color w:val="auto"/>
          <w:sz w:val="24"/>
          <w:highlight w:val="none"/>
          <w:vertAlign w:val="subscript"/>
        </w:rPr>
        <w:t>B</w:t>
      </w:r>
      <w:r>
        <w:rPr>
          <w:rFonts w:hint="eastAsia" w:ascii="仿宋" w:hAnsi="仿宋" w:eastAsia="仿宋" w:cs="仿宋"/>
          <w:color w:val="auto"/>
          <w:sz w:val="24"/>
          <w:highlight w:val="none"/>
        </w:rPr>
        <w:t>为技术类评委（技术类专家和采购人代表）人数；</w:t>
      </w:r>
    </w:p>
    <w:p>
      <w:pPr>
        <w:pStyle w:val="10"/>
        <w:snapToGrid w:val="0"/>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C1、C2……Cn 分别为每个政策合同类评委（法律类专家）的打分，N</w:t>
      </w:r>
      <w:r>
        <w:rPr>
          <w:rFonts w:hint="eastAsia" w:ascii="仿宋" w:hAnsi="仿宋" w:eastAsia="仿宋" w:cs="仿宋"/>
          <w:color w:val="auto"/>
          <w:sz w:val="24"/>
          <w:highlight w:val="none"/>
          <w:vertAlign w:val="subscript"/>
        </w:rPr>
        <w:t>C</w:t>
      </w:r>
      <w:r>
        <w:rPr>
          <w:rFonts w:hint="eastAsia" w:ascii="仿宋" w:hAnsi="仿宋" w:eastAsia="仿宋" w:cs="仿宋"/>
          <w:color w:val="auto"/>
          <w:sz w:val="24"/>
          <w:highlight w:val="none"/>
        </w:rPr>
        <w:t>为政策合同类评委（法律类专家）人数；</w:t>
      </w:r>
    </w:p>
    <w:p>
      <w:pPr>
        <w:tabs>
          <w:tab w:val="left" w:pos="851"/>
        </w:tabs>
        <w:snapToGrid w:val="0"/>
        <w:spacing w:line="400" w:lineRule="exact"/>
        <w:ind w:firstLine="436" w:firstLineChars="200"/>
        <w:textAlignment w:val="baseline"/>
        <w:rPr>
          <w:rFonts w:hint="eastAsia" w:ascii="仿宋" w:hAnsi="仿宋" w:eastAsia="仿宋" w:cs="仿宋"/>
          <w:color w:val="auto"/>
          <w:spacing w:val="-11"/>
          <w:sz w:val="24"/>
          <w:highlight w:val="none"/>
        </w:rPr>
      </w:pPr>
      <w:r>
        <w:rPr>
          <w:rFonts w:hint="eastAsia" w:ascii="仿宋" w:hAnsi="仿宋" w:eastAsia="仿宋" w:cs="仿宋"/>
          <w:color w:val="auto"/>
          <w:spacing w:val="-11"/>
          <w:sz w:val="24"/>
          <w:highlight w:val="none"/>
        </w:rPr>
        <w:t>D1、D2……Dn 分别为评审委员会每个成员的打分（共同评分类），N</w:t>
      </w:r>
      <w:r>
        <w:rPr>
          <w:rFonts w:hint="eastAsia" w:ascii="仿宋" w:hAnsi="仿宋" w:eastAsia="仿宋" w:cs="仿宋"/>
          <w:color w:val="auto"/>
          <w:spacing w:val="-11"/>
          <w:sz w:val="24"/>
          <w:highlight w:val="none"/>
          <w:vertAlign w:val="subscript"/>
        </w:rPr>
        <w:t>D</w:t>
      </w:r>
      <w:r>
        <w:rPr>
          <w:rFonts w:hint="eastAsia" w:ascii="仿宋" w:hAnsi="仿宋" w:eastAsia="仿宋" w:cs="仿宋"/>
          <w:color w:val="auto"/>
          <w:spacing w:val="-11"/>
          <w:sz w:val="24"/>
          <w:highlight w:val="none"/>
        </w:rPr>
        <w:t>为评审委员会人数。</w:t>
      </w:r>
    </w:p>
    <w:p>
      <w:pPr>
        <w:pStyle w:val="7"/>
        <w:snapToGrid w:val="0"/>
        <w:textAlignment w:val="baseline"/>
        <w:rPr>
          <w:rFonts w:hint="eastAsia" w:ascii="仿宋" w:hAnsi="仿宋" w:eastAsia="仿宋" w:cs="仿宋"/>
          <w:color w:val="auto"/>
          <w:highlight w:val="none"/>
        </w:rPr>
      </w:pPr>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4.磋商纪律及注意事项</w:t>
      </w:r>
    </w:p>
    <w:p>
      <w:pPr>
        <w:tabs>
          <w:tab w:val="left" w:pos="851"/>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4.1磋商小组内部讨论的情况和意见必须保密，任何人不得以任何形式透露给供应商或与供应商有关的单位或个人。</w:t>
      </w:r>
    </w:p>
    <w:p>
      <w:pPr>
        <w:tabs>
          <w:tab w:val="left" w:pos="851"/>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4.2在磋商过程中，供应商不得以任何形式对磋商小组成员进行旨在影响磋商结果的私下接触，否则将取消其参与磋商的资格。</w:t>
      </w:r>
    </w:p>
    <w:p>
      <w:pPr>
        <w:tabs>
          <w:tab w:val="left" w:pos="851"/>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4.3对各供应商的商业秘密，磋商小组成员应予以保密，不得泄露给其他供应商。</w:t>
      </w:r>
    </w:p>
    <w:p>
      <w:pPr>
        <w:tabs>
          <w:tab w:val="left" w:pos="851"/>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4.4 磋商小组独立评判，推荐成交候选人，并写出书面报告。</w:t>
      </w:r>
    </w:p>
    <w:p>
      <w:pPr>
        <w:tabs>
          <w:tab w:val="left" w:pos="851"/>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4.5 磋商小组可根据需要对供应商进行实地考察。</w:t>
      </w:r>
    </w:p>
    <w:p>
      <w:pPr>
        <w:snapToGrid w:val="0"/>
        <w:spacing w:line="400" w:lineRule="exact"/>
        <w:ind w:firstLine="480" w:firstLineChars="200"/>
        <w:textAlignment w:val="baseline"/>
        <w:rPr>
          <w:rFonts w:hint="eastAsia" w:ascii="仿宋" w:hAnsi="仿宋" w:eastAsia="仿宋" w:cs="仿宋"/>
          <w:color w:val="auto"/>
          <w:sz w:val="24"/>
          <w:highlight w:val="none"/>
        </w:rPr>
      </w:pPr>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bookmarkEnd w:id="81"/>
      <w:r>
        <w:rPr>
          <w:rFonts w:hint="eastAsia" w:ascii="仿宋" w:hAnsi="仿宋" w:eastAsia="仿宋" w:cs="仿宋"/>
          <w:color w:val="auto"/>
          <w:sz w:val="24"/>
          <w:szCs w:val="24"/>
          <w:highlight w:val="none"/>
        </w:rPr>
        <w:t>磋商小组在政府采购活动中承担以下义务：</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（一）遵守评审工作纪律；</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（二）按照客观、公正、审慎的原则，根据磋商文件规定的评审程序、评审方法和评审标准进行独立评审；</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（三）不得泄露评审文件、评审情况和在评审过程中获悉的商业秘密；</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（六）及时向财政、监察等部门举报在评审过程中受到非法干预的情况；</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（七）配合答复处理供应商的询问、质疑和投诉等事项；</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（八）法律、法规和规章规定的其他义务。</w:t>
      </w:r>
    </w:p>
    <w:p>
      <w:pPr>
        <w:tabs>
          <w:tab w:val="left" w:pos="7665"/>
        </w:tabs>
        <w:snapToGrid w:val="0"/>
        <w:spacing w:line="400" w:lineRule="exact"/>
        <w:textAlignment w:val="baseline"/>
        <w:rPr>
          <w:rFonts w:hint="eastAsia" w:ascii="仿宋" w:hAnsi="仿宋" w:eastAsia="仿宋" w:cs="仿宋"/>
          <w:color w:val="auto"/>
          <w:sz w:val="24"/>
          <w:highlight w:val="none"/>
        </w:rPr>
      </w:pPr>
    </w:p>
    <w:p>
      <w:pPr>
        <w:pStyle w:val="4"/>
        <w:keepLines w:val="0"/>
        <w:snapToGrid w:val="0"/>
        <w:spacing w:before="0" w:after="0" w:line="400" w:lineRule="exact"/>
        <w:ind w:firstLine="472" w:firstLineChars="196"/>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6.评审专家在政府采购活动中应当遵守以下工作纪律：</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（二）评审前，应当将通讯工具或者相关电子设备交由采购代理机构统一保管；</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（三）评审过程中，不得与外界联系，因发生不可预见情况，确实需要与外界联系的，应当在监督人员监督之下办理；</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（五）在评审过程中和评审结束后，不得记录、复制或带走任何评审资料，不得向外界透露评审内容；</w:t>
      </w:r>
    </w:p>
    <w:p>
      <w:pPr>
        <w:tabs>
          <w:tab w:val="left" w:pos="7665"/>
        </w:tabs>
        <w:snapToGrid w:val="0"/>
        <w:spacing w:line="400" w:lineRule="exact"/>
        <w:ind w:firstLine="456" w:firstLineChars="200"/>
        <w:textAlignment w:val="baseline"/>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（六）评审现场服从采购代理机构工作人员的管理，接受现场监督人员的合法监督；</w:t>
      </w:r>
    </w:p>
    <w:p>
      <w:pPr>
        <w:tabs>
          <w:tab w:val="left" w:pos="7665"/>
        </w:tabs>
        <w:snapToGrid w:val="0"/>
        <w:spacing w:line="400" w:lineRule="exact"/>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（七）遵守有关廉洁自律规定，不得私下接触供应商，不得收受供应商及有关业务单位和个人的财物或好处，不得接受采购代理机构的请托。</w:t>
      </w:r>
    </w:p>
    <w:p>
      <w:pPr>
        <w:pStyle w:val="3"/>
        <w:snapToGrid w:val="0"/>
        <w:spacing w:before="0" w:after="0" w:line="360" w:lineRule="auto"/>
        <w:jc w:val="center"/>
        <w:textAlignment w:val="baseline"/>
        <w:rPr>
          <w:rFonts w:hint="eastAsia" w:ascii="仿宋" w:hAnsi="仿宋" w:eastAsia="仿宋" w:cs="仿宋"/>
          <w:color w:val="auto"/>
          <w:sz w:val="32"/>
          <w:szCs w:val="32"/>
          <w:highlight w:val="none"/>
        </w:rPr>
      </w:pPr>
      <w:bookmarkStart w:id="83" w:name="_Toc25846"/>
      <w:r>
        <w:rPr>
          <w:rFonts w:hint="eastAsia" w:ascii="仿宋" w:hAnsi="仿宋" w:eastAsia="仿宋" w:cs="仿宋"/>
          <w:color w:val="auto"/>
          <w:sz w:val="32"/>
          <w:szCs w:val="32"/>
          <w:highlight w:val="none"/>
        </w:rPr>
        <w:t>第九章  政府采购合同（草案）</w:t>
      </w:r>
      <w:bookmarkEnd w:id="83"/>
    </w:p>
    <w:p>
      <w:pPr>
        <w:snapToGrid w:val="0"/>
        <w:spacing w:line="360" w:lineRule="auto"/>
        <w:ind w:firstLine="482" w:firstLineChars="200"/>
        <w:textAlignment w:val="baseline"/>
        <w:rPr>
          <w:rFonts w:hint="eastAsia" w:ascii="仿宋" w:hAnsi="仿宋" w:eastAsia="仿宋" w:cs="仿宋"/>
          <w:b/>
          <w:bCs/>
          <w:color w:val="auto"/>
          <w:sz w:val="24"/>
          <w:highlight w:val="none"/>
        </w:rPr>
      </w:pPr>
    </w:p>
    <w:p>
      <w:pPr>
        <w:snapToGrid w:val="0"/>
        <w:spacing w:before="100" w:after="90" w:line="360" w:lineRule="auto"/>
        <w:jc w:val="center"/>
        <w:textAlignment w:val="baseline"/>
        <w:rPr>
          <w:rFonts w:hint="eastAsia" w:ascii="仿宋" w:hAnsi="仿宋" w:eastAsia="仿宋" w:cs="仿宋"/>
          <w:b/>
          <w:bCs/>
          <w:color w:val="auto"/>
          <w:kern w:val="44"/>
          <w:sz w:val="52"/>
          <w:szCs w:val="52"/>
          <w:highlight w:val="none"/>
        </w:rPr>
      </w:pPr>
    </w:p>
    <w:p>
      <w:pPr>
        <w:snapToGrid w:val="0"/>
        <w:spacing w:before="100" w:after="90" w:line="360" w:lineRule="auto"/>
        <w:jc w:val="center"/>
        <w:textAlignment w:val="baseline"/>
        <w:rPr>
          <w:rFonts w:hint="eastAsia" w:ascii="仿宋" w:hAnsi="仿宋" w:eastAsia="仿宋" w:cs="仿宋"/>
          <w:b/>
          <w:bCs/>
          <w:color w:val="auto"/>
          <w:kern w:val="44"/>
          <w:sz w:val="56"/>
          <w:szCs w:val="56"/>
          <w:highlight w:val="none"/>
        </w:rPr>
      </w:pPr>
      <w:r>
        <w:rPr>
          <w:rFonts w:hint="eastAsia" w:ascii="仿宋" w:hAnsi="仿宋" w:eastAsia="仿宋" w:cs="仿宋"/>
          <w:b/>
          <w:bCs/>
          <w:color w:val="auto"/>
          <w:kern w:val="44"/>
          <w:sz w:val="56"/>
          <w:szCs w:val="56"/>
          <w:highlight w:val="none"/>
        </w:rPr>
        <w:t>（中小企业预留合同）</w:t>
      </w:r>
    </w:p>
    <w:p>
      <w:pPr>
        <w:snapToGrid w:val="0"/>
        <w:spacing w:before="100" w:after="90" w:line="360" w:lineRule="auto"/>
        <w:jc w:val="center"/>
        <w:textAlignment w:val="baseline"/>
        <w:rPr>
          <w:rFonts w:hint="eastAsia" w:ascii="仿宋" w:hAnsi="仿宋" w:eastAsia="仿宋" w:cs="仿宋"/>
          <w:b/>
          <w:bCs/>
          <w:color w:val="auto"/>
          <w:kern w:val="44"/>
          <w:sz w:val="52"/>
          <w:szCs w:val="52"/>
          <w:highlight w:val="none"/>
        </w:rPr>
      </w:pPr>
    </w:p>
    <w:p>
      <w:pPr>
        <w:snapToGrid w:val="0"/>
        <w:spacing w:before="100" w:after="90" w:line="360" w:lineRule="auto"/>
        <w:jc w:val="center"/>
        <w:textAlignment w:val="baseline"/>
        <w:rPr>
          <w:rFonts w:hint="eastAsia" w:ascii="仿宋" w:hAnsi="仿宋" w:eastAsia="仿宋" w:cs="仿宋"/>
          <w:b/>
          <w:bCs/>
          <w:color w:val="auto"/>
          <w:kern w:val="44"/>
          <w:sz w:val="40"/>
          <w:szCs w:val="40"/>
          <w:highlight w:val="none"/>
        </w:rPr>
      </w:pPr>
      <w:r>
        <w:rPr>
          <w:rFonts w:hint="eastAsia" w:ascii="仿宋" w:hAnsi="仿宋" w:eastAsia="仿宋" w:cs="仿宋"/>
          <w:b/>
          <w:bCs/>
          <w:color w:val="auto"/>
          <w:kern w:val="44"/>
          <w:sz w:val="40"/>
          <w:szCs w:val="40"/>
          <w:highlight w:val="none"/>
        </w:rPr>
        <w:t>天府新区环境卫生及城乡环境综合治理三方巡查监督服务的采购项目</w:t>
      </w:r>
    </w:p>
    <w:p>
      <w:pPr>
        <w:snapToGrid w:val="0"/>
        <w:spacing w:before="100" w:after="90" w:line="360" w:lineRule="auto"/>
        <w:jc w:val="center"/>
        <w:textAlignment w:val="baseline"/>
        <w:rPr>
          <w:rFonts w:hint="eastAsia" w:ascii="仿宋" w:hAnsi="仿宋" w:eastAsia="仿宋" w:cs="仿宋"/>
          <w:b/>
          <w:bCs/>
          <w:color w:val="auto"/>
          <w:kern w:val="44"/>
          <w:sz w:val="56"/>
          <w:szCs w:val="56"/>
          <w:highlight w:val="none"/>
        </w:rPr>
      </w:pPr>
      <w:r>
        <w:rPr>
          <w:rFonts w:hint="eastAsia" w:ascii="仿宋" w:hAnsi="仿宋" w:eastAsia="仿宋" w:cs="仿宋"/>
          <w:b/>
          <w:bCs/>
          <w:color w:val="auto"/>
          <w:kern w:val="44"/>
          <w:sz w:val="56"/>
          <w:szCs w:val="56"/>
          <w:highlight w:val="none"/>
        </w:rPr>
        <w:t>服 务 合 同</w:t>
      </w: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业主单位（甲方）：</w:t>
      </w:r>
      <w:r>
        <w:rPr>
          <w:rFonts w:hint="eastAsia" w:ascii="仿宋" w:hAnsi="仿宋" w:eastAsia="仿宋" w:cs="仿宋"/>
          <w:b/>
          <w:bCs/>
          <w:color w:val="auto"/>
          <w:sz w:val="24"/>
          <w:highlight w:val="none"/>
          <w:u w:val="single" w:color="000000"/>
        </w:rPr>
        <w:t>四川天府新区生态环境和城市管理局</w:t>
      </w: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b/>
          <w:bCs/>
          <w:color w:val="auto"/>
          <w:sz w:val="24"/>
          <w:highlight w:val="none"/>
          <w:u w:val="single"/>
        </w:rPr>
      </w:pPr>
      <w:r>
        <w:rPr>
          <w:rFonts w:hint="eastAsia" w:ascii="仿宋" w:hAnsi="仿宋" w:eastAsia="仿宋" w:cs="仿宋"/>
          <w:color w:val="auto"/>
          <w:sz w:val="24"/>
          <w:highlight w:val="none"/>
        </w:rPr>
        <w:t>供 应 商（乙方）：</w:t>
      </w:r>
      <w:r>
        <w:rPr>
          <w:rFonts w:hint="eastAsia" w:ascii="仿宋" w:hAnsi="仿宋" w:eastAsia="仿宋" w:cs="仿宋"/>
          <w:b/>
          <w:bCs/>
          <w:color w:val="auto"/>
          <w:sz w:val="24"/>
          <w:highlight w:val="none"/>
          <w:u w:val="single" w:color="000000"/>
        </w:rPr>
        <w:t xml:space="preserve">                             </w:t>
      </w:r>
    </w:p>
    <w:p>
      <w:pPr>
        <w:snapToGrid w:val="0"/>
        <w:spacing w:line="360" w:lineRule="auto"/>
        <w:ind w:firstLine="480" w:firstLineChars="200"/>
        <w:textAlignment w:val="baseline"/>
        <w:rPr>
          <w:rFonts w:hint="eastAsia" w:ascii="仿宋" w:hAnsi="仿宋" w:eastAsia="仿宋" w:cs="仿宋"/>
          <w:color w:val="auto"/>
          <w:sz w:val="24"/>
          <w:highlight w:val="none"/>
        </w:rPr>
      </w:pP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合同期限：    年  月  日—    年  月  日</w:t>
      </w:r>
    </w:p>
    <w:p>
      <w:pPr>
        <w:snapToGrid w:val="0"/>
        <w:textAlignment w:val="baseline"/>
        <w:rPr>
          <w:rFonts w:hint="eastAsia" w:ascii="仿宋" w:hAnsi="仿宋" w:eastAsia="仿宋" w:cs="仿宋"/>
          <w:color w:val="auto"/>
          <w:sz w:val="22"/>
          <w:szCs w:val="28"/>
          <w:highlight w:val="none"/>
        </w:rPr>
      </w:pPr>
    </w:p>
    <w:p>
      <w:pPr>
        <w:snapToGrid w:val="0"/>
        <w:spacing w:before="100" w:after="90" w:line="440" w:lineRule="exact"/>
        <w:textAlignment w:val="baseline"/>
        <w:rPr>
          <w:rFonts w:hint="eastAsia" w:ascii="仿宋" w:hAnsi="仿宋" w:eastAsia="仿宋" w:cs="仿宋"/>
          <w:color w:val="auto"/>
          <w:sz w:val="32"/>
          <w:szCs w:val="32"/>
          <w:highlight w:val="none"/>
        </w:rPr>
        <w:sectPr>
          <w:footerReference r:id="rId8" w:type="first"/>
          <w:headerReference r:id="rId6" w:type="default"/>
          <w:footerReference r:id="rId7" w:type="default"/>
          <w:pgSz w:w="11905" w:h="16838"/>
          <w:pgMar w:top="1417" w:right="1417" w:bottom="1417" w:left="1417" w:header="425" w:footer="992" w:gutter="0"/>
          <w:pgNumType w:fmt="decimal" w:start="1"/>
          <w:cols w:space="0" w:num="1"/>
          <w:titlePg/>
          <w:rtlGutter w:val="0"/>
          <w:docGrid w:linePitch="312" w:charSpace="0"/>
        </w:sectPr>
      </w:pP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 xml:space="preserve">                                    </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签订地点：四川成都天府新区</w:t>
      </w:r>
    </w:p>
    <w:p>
      <w:pPr>
        <w:snapToGrid w:val="0"/>
        <w:spacing w:line="48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业主单位（甲方）：</w:t>
      </w:r>
      <w:r>
        <w:rPr>
          <w:rFonts w:hint="eastAsia" w:ascii="仿宋" w:hAnsi="仿宋" w:eastAsia="仿宋" w:cs="仿宋"/>
          <w:b/>
          <w:bCs/>
          <w:color w:val="auto"/>
          <w:sz w:val="24"/>
          <w:highlight w:val="none"/>
          <w:u w:val="single" w:color="000000"/>
        </w:rPr>
        <w:t>四川天府新区生态环境和城市管理局</w:t>
      </w:r>
    </w:p>
    <w:p>
      <w:pPr>
        <w:snapToGrid w:val="0"/>
        <w:spacing w:line="480" w:lineRule="auto"/>
        <w:ind w:firstLine="480" w:firstLineChars="200"/>
        <w:textAlignment w:val="baseline"/>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供应商（乙方）：</w:t>
      </w:r>
      <w:r>
        <w:rPr>
          <w:rFonts w:hint="eastAsia" w:ascii="仿宋" w:hAnsi="仿宋" w:eastAsia="仿宋" w:cs="仿宋"/>
          <w:color w:val="auto"/>
          <w:sz w:val="24"/>
          <w:highlight w:val="none"/>
          <w:u w:val="single" w:color="000000"/>
        </w:rPr>
        <w:t xml:space="preserve">                                 </w:t>
      </w:r>
    </w:p>
    <w:p>
      <w:pPr>
        <w:widowControl/>
        <w:snapToGrid w:val="0"/>
        <w:spacing w:line="360" w:lineRule="auto"/>
        <w:textAlignment w:val="baseline"/>
        <w:rPr>
          <w:rFonts w:hint="eastAsia" w:ascii="仿宋" w:hAnsi="仿宋" w:eastAsia="仿宋" w:cs="仿宋"/>
          <w:color w:val="auto"/>
          <w:highlight w:val="none"/>
        </w:rPr>
      </w:pPr>
    </w:p>
    <w:p>
      <w:pPr>
        <w:snapToGrid w:val="0"/>
        <w:textAlignment w:val="baseline"/>
        <w:rPr>
          <w:rFonts w:hint="eastAsia" w:ascii="仿宋" w:hAnsi="仿宋" w:eastAsia="仿宋" w:cs="仿宋"/>
          <w:color w:val="auto"/>
          <w:sz w:val="20"/>
          <w:highlight w:val="none"/>
        </w:rPr>
      </w:pPr>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依据《中华人民共和国民法典》等有关的法律法规，以及四川天府新区生态环境和城市管理局环卫及城乡环境综合治理等第三方常态巡查服务采购项目（磋商项目编号               ）的《磋商文件》，乙方的《响应文件》及《成交通知书》，甲、乙双方同意签订本合同。合同附件及本项目的《磋商文件》、《响应文件》、《成交通知书》等均为本合同的组成部分。</w:t>
      </w:r>
    </w:p>
    <w:p>
      <w:pPr>
        <w:snapToGrid w:val="0"/>
        <w:spacing w:line="384" w:lineRule="auto"/>
        <w:ind w:left="420" w:leftChars="200"/>
        <w:textAlignment w:val="baseline"/>
        <w:rPr>
          <w:rFonts w:hint="eastAsia" w:ascii="仿宋" w:hAnsi="仿宋" w:eastAsia="仿宋" w:cs="仿宋"/>
          <w:b/>
          <w:bCs/>
          <w:color w:val="auto"/>
          <w:sz w:val="24"/>
          <w:highlight w:val="none"/>
        </w:rPr>
      </w:pPr>
      <w:bookmarkStart w:id="84" w:name="_Toc12860"/>
      <w:bookmarkStart w:id="85" w:name="_Toc7129"/>
      <w:r>
        <w:rPr>
          <w:rFonts w:hint="eastAsia" w:ascii="仿宋" w:hAnsi="仿宋" w:eastAsia="仿宋" w:cs="仿宋"/>
          <w:b/>
          <w:bCs/>
          <w:color w:val="auto"/>
          <w:sz w:val="24"/>
          <w:highlight w:val="none"/>
        </w:rPr>
        <w:t>第一条 项目基本情况</w:t>
      </w:r>
      <w:bookmarkEnd w:id="84"/>
      <w:bookmarkEnd w:id="85"/>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为切实履行对全区城乡环境管理的统筹协调和监督检查职责，进一步改善全区环境卫生质量，甲方通过</w:t>
      </w:r>
      <w:r>
        <w:rPr>
          <w:rFonts w:hint="eastAsia" w:ascii="仿宋" w:hAnsi="仿宋" w:eastAsia="仿宋" w:cs="仿宋"/>
          <w:color w:val="auto"/>
          <w:sz w:val="24"/>
          <w:highlight w:val="none"/>
          <w:u w:val="single" w:color="000000"/>
        </w:rPr>
        <w:t>竞争性磋商</w:t>
      </w:r>
      <w:r>
        <w:rPr>
          <w:rFonts w:hint="eastAsia" w:ascii="仿宋" w:hAnsi="仿宋" w:eastAsia="仿宋" w:cs="仿宋"/>
          <w:color w:val="auto"/>
          <w:sz w:val="24"/>
          <w:highlight w:val="none"/>
        </w:rPr>
        <w:t>方式确定由乙方来开展直管区环卫及城乡环境综合治理等第三方常态巡查服务工作。达到以下两个目的：</w:t>
      </w:r>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一是形成环境治理压力传递机制。由第三方专业测评机构对全区环境卫生相关重点工作进行暗访和测评，通过问题曝光，促进属地街道和环卫公司提升管理管理力度和作业质量。</w:t>
      </w:r>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二是形成科学的管理方法。坚持问题导向，根据测评中发现的主要问题，督促属地街道和环卫公司进行整改，并回访整改落实情况，促进管理改进，有利于形成科学长效的监管机制。</w:t>
      </w:r>
    </w:p>
    <w:p>
      <w:pPr>
        <w:snapToGrid w:val="0"/>
        <w:spacing w:line="384" w:lineRule="auto"/>
        <w:ind w:left="420" w:leftChars="200"/>
        <w:textAlignment w:val="baseline"/>
        <w:rPr>
          <w:rFonts w:hint="eastAsia" w:ascii="仿宋" w:hAnsi="仿宋" w:eastAsia="仿宋" w:cs="仿宋"/>
          <w:b/>
          <w:bCs/>
          <w:color w:val="auto"/>
          <w:sz w:val="24"/>
          <w:highlight w:val="none"/>
        </w:rPr>
      </w:pPr>
      <w:bookmarkStart w:id="86" w:name="_Toc2085"/>
      <w:bookmarkStart w:id="87" w:name="_Toc152"/>
      <w:r>
        <w:rPr>
          <w:rFonts w:hint="eastAsia" w:ascii="仿宋" w:hAnsi="仿宋" w:eastAsia="仿宋" w:cs="仿宋"/>
          <w:b/>
          <w:bCs/>
          <w:color w:val="auto"/>
          <w:sz w:val="24"/>
          <w:highlight w:val="none"/>
        </w:rPr>
        <w:t>第二条 合同期限</w:t>
      </w:r>
      <w:bookmarkEnd w:id="86"/>
      <w:bookmarkEnd w:id="87"/>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项目期限为三年，合同一年一签。本合同期限自    年  月  日至    年  月  日，合同期限届满，甲方根据财政预算情况和对乙方服务考核情况确定续签事宜。</w:t>
      </w:r>
    </w:p>
    <w:p>
      <w:pPr>
        <w:snapToGrid w:val="0"/>
        <w:spacing w:line="384" w:lineRule="auto"/>
        <w:ind w:left="420" w:leftChars="200"/>
        <w:textAlignment w:val="baseline"/>
        <w:rPr>
          <w:rFonts w:hint="eastAsia" w:ascii="仿宋" w:hAnsi="仿宋" w:eastAsia="仿宋" w:cs="仿宋"/>
          <w:b/>
          <w:bCs/>
          <w:color w:val="auto"/>
          <w:sz w:val="24"/>
          <w:highlight w:val="none"/>
        </w:rPr>
      </w:pPr>
      <w:bookmarkStart w:id="88" w:name="_Toc12511"/>
      <w:bookmarkStart w:id="89" w:name="_Toc32468"/>
      <w:r>
        <w:rPr>
          <w:rFonts w:hint="eastAsia" w:ascii="仿宋" w:hAnsi="仿宋" w:eastAsia="仿宋" w:cs="仿宋"/>
          <w:b/>
          <w:bCs/>
          <w:color w:val="auto"/>
          <w:sz w:val="24"/>
          <w:highlight w:val="none"/>
        </w:rPr>
        <w:t>第三条 服务内容与质量标准</w:t>
      </w:r>
      <w:bookmarkEnd w:id="88"/>
      <w:bookmarkEnd w:id="89"/>
    </w:p>
    <w:p>
      <w:pPr>
        <w:snapToGrid w:val="0"/>
        <w:spacing w:line="384"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服务内容：</w:t>
      </w:r>
    </w:p>
    <w:p>
      <w:pPr>
        <w:snapToGrid w:val="0"/>
        <w:spacing w:line="432"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一）日常测评工作的范围分为两部分，一是天府新区9个街道办的街道、新型社区等区域；二是甲方直管的市政道路（现由成都天投市政设施运营维护有限公司负责环卫保洁）。具体点位包括主干道、次干道、环卫公厕、行业公厕及厕所联盟共享厕所、垃圾桶、垃圾中转站（点）、垃圾清运车、环卫工人休息房、背街小巷、城市家俱等。</w:t>
      </w:r>
    </w:p>
    <w:p>
      <w:pPr>
        <w:snapToGrid w:val="0"/>
        <w:spacing w:line="432"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（二）对节假日、重大保障活动所经区域的环卫质量进行测评，发现的问题及时通过微信反馈给甲方相关工作人员，由甲方及时通知相应的街道或环卫公司进行整改。</w:t>
      </w:r>
    </w:p>
    <w:p>
      <w:pPr>
        <w:snapToGrid w:val="0"/>
        <w:spacing w:line="432"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三)原则上以测评对象为基础，可分为“道路环境卫生”乱象、“背街小巷”乱象、“公厕”乱象、“垃圾收集、转运”乱象、“垃圾清运车”乱象、“环卫工人休息房”乱象等6个方面归类编辑，制作问题台账，并对问题点位进行回访，制作问题整改前、整改后的对比台账，配上相应的文字说明。每周</w:t>
      </w:r>
      <w:r>
        <w:rPr>
          <w:rFonts w:hint="eastAsia" w:ascii="仿宋" w:hAnsi="仿宋" w:eastAsia="仿宋" w:cs="仿宋"/>
          <w:color w:val="auto"/>
          <w:sz w:val="24"/>
          <w:highlight w:val="none"/>
          <w:lang w:val="en-US" w:eastAsia="zh-CN"/>
        </w:rPr>
        <w:t>一</w:t>
      </w:r>
      <w:r>
        <w:rPr>
          <w:rFonts w:hint="eastAsia" w:ascii="仿宋" w:hAnsi="仿宋" w:eastAsia="仿宋" w:cs="仿宋"/>
          <w:color w:val="auto"/>
          <w:sz w:val="24"/>
          <w:highlight w:val="none"/>
        </w:rPr>
        <w:t>向甲方提交一次上周环卫暗访问题对比台账。根据甲方需要，提供整治时段暗访问题台账。</w:t>
      </w:r>
    </w:p>
    <w:p>
      <w:pPr>
        <w:snapToGrid w:val="0"/>
        <w:spacing w:line="432"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测评均通过线上线下相结合方式的手环管理，即访问员每日到达指派点位后，通过手机APP及时将问题信息传输到线上测评系统。实地考察均采用实地暗访法，即测评人员到达测评现场直接记录问题并拍照取证，不需要提前告知被测评对象。</w:t>
      </w:r>
    </w:p>
    <w:p>
      <w:pPr>
        <w:snapToGrid w:val="0"/>
        <w:spacing w:line="432"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评测对象与评测时间要求：</w:t>
      </w:r>
    </w:p>
    <w:tbl>
      <w:tblPr>
        <w:tblStyle w:val="29"/>
        <w:tblW w:w="9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4364"/>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测评对象</w:t>
            </w:r>
          </w:p>
        </w:tc>
        <w:tc>
          <w:tcPr>
            <w:tcW w:w="4364"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测评时间</w:t>
            </w:r>
          </w:p>
        </w:tc>
        <w:tc>
          <w:tcPr>
            <w:tcW w:w="2179" w:type="dxa"/>
            <w:shd w:val="clear" w:color="auto" w:fill="9CC2E5"/>
          </w:tcPr>
          <w:p>
            <w:pPr>
              <w:snapToGrid w:val="0"/>
              <w:spacing w:line="560" w:lineRule="exact"/>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2786"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各街道的市政道路、背街小巷、公厕、垃圾桶、垃圾中转站（点）、环卫作业休息房、城市家俱等</w:t>
            </w:r>
          </w:p>
        </w:tc>
        <w:tc>
          <w:tcPr>
            <w:tcW w:w="4364"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1轮/周，测评内容全覆盖。</w:t>
            </w:r>
          </w:p>
        </w:tc>
        <w:tc>
          <w:tcPr>
            <w:tcW w:w="2179" w:type="dxa"/>
            <w:vMerge w:val="restart"/>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若被测评对象发现测评周期，则在报甲方许可后更换测评时间安排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直管道路各标段环卫质量</w:t>
            </w:r>
          </w:p>
        </w:tc>
        <w:tc>
          <w:tcPr>
            <w:tcW w:w="4364"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2轮/周，测评内容全覆盖。</w:t>
            </w:r>
          </w:p>
        </w:tc>
        <w:tc>
          <w:tcPr>
            <w:tcW w:w="2179" w:type="dxa"/>
            <w:vMerge w:val="continue"/>
          </w:tcPr>
          <w:p>
            <w:pPr>
              <w:snapToGrid w:val="0"/>
              <w:spacing w:line="560" w:lineRule="exact"/>
              <w:textAlignment w:val="baseline"/>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重大保障活动所经区域的道路、市政设施等环卫质量</w:t>
            </w:r>
          </w:p>
        </w:tc>
        <w:tc>
          <w:tcPr>
            <w:tcW w:w="4364"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在重大保障活动开始前2个小时到达指定区域开展暗访。全年保障活动不少于20次。</w:t>
            </w:r>
          </w:p>
        </w:tc>
        <w:tc>
          <w:tcPr>
            <w:tcW w:w="2179" w:type="dxa"/>
          </w:tcPr>
          <w:p>
            <w:pPr>
              <w:snapToGrid w:val="0"/>
              <w:spacing w:line="5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具体时间由甲方通知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城乡环境综合治理巡查</w:t>
            </w:r>
          </w:p>
        </w:tc>
        <w:tc>
          <w:tcPr>
            <w:tcW w:w="4364" w:type="dxa"/>
            <w:vAlign w:val="center"/>
          </w:tcPr>
          <w:p>
            <w:pPr>
              <w:snapToGrid w:val="0"/>
              <w:spacing w:line="560" w:lineRule="exact"/>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1轮/月，测评内容全覆盖。</w:t>
            </w:r>
          </w:p>
        </w:tc>
        <w:tc>
          <w:tcPr>
            <w:tcW w:w="2179" w:type="dxa"/>
          </w:tcPr>
          <w:p>
            <w:pPr>
              <w:snapToGrid w:val="0"/>
              <w:spacing w:line="560" w:lineRule="exact"/>
              <w:textAlignment w:val="baseline"/>
              <w:rPr>
                <w:rFonts w:hint="eastAsia" w:ascii="仿宋" w:hAnsi="仿宋" w:eastAsia="仿宋" w:cs="仿宋"/>
                <w:color w:val="auto"/>
                <w:sz w:val="24"/>
                <w:highlight w:val="none"/>
              </w:rPr>
            </w:pPr>
          </w:p>
        </w:tc>
      </w:tr>
    </w:tbl>
    <w:p>
      <w:pPr>
        <w:snapToGrid w:val="0"/>
        <w:spacing w:line="360" w:lineRule="auto"/>
        <w:ind w:firstLine="480" w:firstLineChars="200"/>
        <w:jc w:val="left"/>
        <w:textAlignment w:val="baseline"/>
        <w:rPr>
          <w:rFonts w:hint="eastAsia" w:ascii="仿宋" w:hAnsi="仿宋" w:eastAsia="仿宋" w:cs="仿宋"/>
          <w:color w:val="auto"/>
          <w:sz w:val="24"/>
          <w:highlight w:val="none"/>
        </w:rPr>
      </w:pP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测评体系：</w:t>
      </w:r>
    </w:p>
    <w:p>
      <w:pPr>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依据天府新区常态巡查环境卫生指标以及天府新区直管道路测评标准的相关内容，环卫保洁精细化测评体系如下表所示（甲方有权根据项目实施情况，对体系中的部分内容进行调整，乙方不得拒绝，但甲方应当提前告知乙方）：</w:t>
      </w:r>
    </w:p>
    <w:tbl>
      <w:tblPr>
        <w:tblStyle w:val="29"/>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606"/>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71"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bookmarkStart w:id="90" w:name="_Toc15014"/>
            <w:r>
              <w:rPr>
                <w:rFonts w:hint="eastAsia" w:ascii="仿宋" w:hAnsi="仿宋" w:eastAsia="仿宋" w:cs="仿宋"/>
                <w:b/>
                <w:color w:val="auto"/>
                <w:sz w:val="24"/>
                <w:highlight w:val="none"/>
              </w:rPr>
              <w:t>具体对象</w:t>
            </w:r>
          </w:p>
        </w:tc>
        <w:tc>
          <w:tcPr>
            <w:tcW w:w="3606"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测评内容</w:t>
            </w:r>
          </w:p>
        </w:tc>
        <w:tc>
          <w:tcPr>
            <w:tcW w:w="4636" w:type="dxa"/>
            <w:shd w:val="clear" w:color="auto" w:fill="9CC2E5"/>
            <w:vAlign w:val="center"/>
          </w:tcPr>
          <w:p>
            <w:pPr>
              <w:snapToGrid w:val="0"/>
              <w:jc w:val="center"/>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测评指标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路面</w:t>
            </w:r>
          </w:p>
        </w:tc>
        <w:tc>
          <w:tcPr>
            <w:tcW w:w="360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道路清扫保洁质量好，街道上没有陈旧废物等堆积，路面无乱张贴、乱涂画现象</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街面有果皮、纸屑、烟蒂、白色垃圾等垃圾杂物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街道上有杂物堆积、有撒漏建渣、有积水污渍；有宠物粪便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街面有乱张贴/乱涂画/牛皮癣/二次污染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窨井盖/水篦子有乱张贴、乱涂画现象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车行道路及两侧边沟、路沿石没有灰带、积泥、积尘现象；人行道方块砖有积尘、油渍、污垢</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车行道路及两侧边沟有灰带、积泥、积尘现象；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路沿石有灰带、积泥、积尘现象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人行道方块砖有积尘、油渍、污垢；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管理痕迹不明显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w:t>
            </w: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清扫保洁</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无明显异味、无蚊蝇;厕所内地面光洁干净，无积水，无烟头，无纸屑，无痰迹和其它杂物;厕所内墙面、天花板、门窗和隔断板洁净，无积灰，无污迹，无蛛网，无乱涂乱画，无破损;卫生洁具整洁，大、小便器内无积存物，无粪便痕迹，无积尿积水，管道畅通、无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设施管理</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导向醒目，标识规范，配置齐全；公厕保洁要求、开放时间、责任人、监督电话等设置在公厕墙面醒目位置，便于市民监督；内外部照明灯具、标志、洗手器具、镜子、挂衣钩、烘手器、冲水设施等设施设备保持完好，无缺损渗漏、无积灰、污物；化粪池窨井盖丢失或损坏应及时补充维修，确保正常使用，无障碍公厕通道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工具管理</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厕所管理间（工具间）物品摆放整洁有序，无杂物，无闲杂人员，无挪作它用。作业工具（塑料扫帚、拖把、撮箕、垃圾袋、毛巾、硬质塑料刷、橡胶手套或一次性手套、水刮器、消毒剂、清洁剂等）配备齐全、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人员要求</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公厕配备专职保洁工人，着装整洁并佩证上岗。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室外保洁</w:t>
            </w:r>
          </w:p>
        </w:tc>
        <w:tc>
          <w:tcPr>
            <w:tcW w:w="4636" w:type="dxa"/>
            <w:vAlign w:val="center"/>
          </w:tcPr>
          <w:p>
            <w:pPr>
              <w:widowControl/>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厕所外墙、屋顶及责任区域内整洁，无杂物堆积，墙面光洁无破损，无污蚀，无渗漏，窗栅、门窗玻璃无破损;厕所贮粪池盖密闭，无污物满溢，公厕周围无粪便，无积水，无杂草，定时喷洒灭蝇药物，做到随有随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环卫设施</w:t>
            </w: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无乱张贴、乱涂画现象</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果皮箱/垃圾桶乱张贴、乱涂画、破损不整洁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垃圾清运及时</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垃圾无溢出现象，垃圾桶周边无散落垃圾或袋装垃圾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垃圾分类收集</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垃圾桶有无垃圾分类标识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垃圾桶完好无破损</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垃圾桶无盖、内胆破损或外箱破损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垃圾中转点</w:t>
            </w: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在标段内设垃圾中转点并有专人管理</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标段无垃圾中转站或无专人管理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垃圾清运及时，无脏乱差现象</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无污水、</w:t>
            </w:r>
            <w:r>
              <w:rPr>
                <w:rFonts w:hint="eastAsia" w:ascii="仿宋" w:hAnsi="仿宋" w:eastAsia="仿宋" w:cs="仿宋"/>
                <w:color w:val="auto"/>
                <w:sz w:val="24"/>
                <w:highlight w:val="none"/>
              </w:rPr>
              <w:t>无垃圾溢出，无蚊蝇、无蛆虫、刺鼻气味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无乱张贴、乱涂画现象</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垃圾中转站乱张贴、乱涂画、破损不整洁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设施无破损</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垃圾中转站门窗等设施缺失或外表破损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设施周围无杂物乱摆放现象</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点位周边有杂物堆积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环卫工人休息房</w:t>
            </w:r>
          </w:p>
        </w:tc>
        <w:tc>
          <w:tcPr>
            <w:tcW w:w="3606" w:type="dxa"/>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配置齐全，设施完善</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是否缺少标配设施或设施无法正常使用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环卫作业标准化</w:t>
            </w:r>
          </w:p>
        </w:tc>
        <w:tc>
          <w:tcPr>
            <w:tcW w:w="360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垃圾车规范作业</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垃圾车不得“背包打伞”，在运输中不得“抛冒滴漏”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垃圾车不得在街面随意停放，影响市容观瞻，必须顺向清运垃圾，设置安全警示标识，不得乱占机动车道人行道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环卫人员及管理人员按照要求规范开展环卫作业工作</w:t>
            </w: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管理人员及环卫工作人着工作装、挂牌上岗，保持工作服整洁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作业人员必须根据岗位情况配备安全帽、安全肩灯、安全绳、反光标识等安全防护装备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道路清扫采用巡回保洁方式，人员在工作时段在岗；不存在坐岗、离岗和集体聊天等现象；不得翻捡和焚烧垃圾，做与工作无关的事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71"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3606" w:type="dxa"/>
            <w:vMerge w:val="continue"/>
            <w:vAlign w:val="center"/>
          </w:tcPr>
          <w:p>
            <w:pPr>
              <w:snapToGrid w:val="0"/>
              <w:jc w:val="center"/>
              <w:textAlignment w:val="baseline"/>
              <w:rPr>
                <w:rFonts w:hint="eastAsia" w:ascii="仿宋" w:hAnsi="仿宋" w:eastAsia="仿宋" w:cs="仿宋"/>
                <w:color w:val="auto"/>
                <w:sz w:val="24"/>
                <w:highlight w:val="none"/>
              </w:rPr>
            </w:pPr>
          </w:p>
        </w:tc>
        <w:tc>
          <w:tcPr>
            <w:tcW w:w="4636" w:type="dxa"/>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清扫保洁时禁止将垃圾扫入（倒入）水篦子、绿化带、河道和排水沟等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1271" w:type="dxa"/>
            <w:vMerge w:val="restart"/>
            <w:vAlign w:val="center"/>
          </w:tcPr>
          <w:p>
            <w:pPr>
              <w:snapToGrid w:val="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w:t>
            </w:r>
          </w:p>
        </w:tc>
        <w:tc>
          <w:tcPr>
            <w:tcW w:w="3606" w:type="dxa"/>
            <w:vAlign w:val="center"/>
          </w:tcPr>
          <w:p>
            <w:pPr>
              <w:snapToGrid w:val="0"/>
              <w:jc w:val="center"/>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农村人居环境、市容秩序、工地环境、空闲地块、市场环境、河道沟渠、交通秩序、市政设施、园林绿化、社区院落环境综合治理</w:t>
            </w:r>
          </w:p>
        </w:tc>
        <w:tc>
          <w:tcPr>
            <w:tcW w:w="4636" w:type="dxa"/>
            <w:vMerge w:val="restart"/>
            <w:vAlign w:val="center"/>
          </w:tcPr>
          <w:p>
            <w:pPr>
              <w:snapToGrid w:val="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市主次干道和街巷路面平整；主要街道两侧建筑物整洁美观，无乱张贴涂写、乱设摊点现象；广告、牌匾设置规范，居民楼房阳台屋顶无乱放和乱挂衣物等现象；车辆停放整齐；废物箱等垃圾收集容器配置齐全，无乱扔乱吐现象；街巷路面普遍硬化，无残垣断壁、乱搭建、垃圾渣土暴露和违章饲养畜禽现象；城市亮化、美化，照明设施完好，路灯亮化率≥97%；建筑工地管理规范，建筑渣土清运实现密闭运输，无偷倒乱倒、扬尘污染现象；城市绿地、广场管理制度落实；城市河道岸坡整洁，无垃圾杂物；铁路、高速公路、城市出入口环境整洁，无乱排污水、乱倒垃圾、乱堆物料、乱建棚屋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1271" w:type="dxa"/>
            <w:vMerge w:val="continue"/>
            <w:vAlign w:val="center"/>
          </w:tcPr>
          <w:p>
            <w:pPr>
              <w:pStyle w:val="16"/>
              <w:snapToGrid w:val="0"/>
              <w:spacing w:line="240" w:lineRule="auto"/>
              <w:ind w:left="0" w:leftChars="0"/>
              <w:textAlignment w:val="baseline"/>
              <w:rPr>
                <w:rFonts w:hint="eastAsia" w:ascii="仿宋" w:hAnsi="仿宋" w:eastAsia="仿宋" w:cs="仿宋"/>
                <w:color w:val="auto"/>
                <w:highlight w:val="none"/>
              </w:rPr>
            </w:pPr>
          </w:p>
        </w:tc>
        <w:tc>
          <w:tcPr>
            <w:tcW w:w="3606" w:type="dxa"/>
            <w:vAlign w:val="center"/>
          </w:tcPr>
          <w:p>
            <w:pPr>
              <w:pStyle w:val="16"/>
              <w:snapToGrid w:val="0"/>
              <w:spacing w:line="240" w:lineRule="auto"/>
              <w:ind w:left="0" w:leftChars="0"/>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城乡环境综合治理专项整治行动测评</w:t>
            </w:r>
          </w:p>
        </w:tc>
        <w:tc>
          <w:tcPr>
            <w:tcW w:w="4636" w:type="dxa"/>
            <w:vMerge w:val="continue"/>
            <w:vAlign w:val="center"/>
          </w:tcPr>
          <w:p>
            <w:pPr>
              <w:pStyle w:val="16"/>
              <w:snapToGrid w:val="0"/>
              <w:spacing w:line="240" w:lineRule="auto"/>
              <w:ind w:left="0" w:leftChars="0"/>
              <w:textAlignment w:val="baseline"/>
              <w:rPr>
                <w:rFonts w:hint="eastAsia" w:ascii="仿宋" w:hAnsi="仿宋" w:eastAsia="仿宋" w:cs="仿宋"/>
                <w:color w:val="auto"/>
                <w:sz w:val="24"/>
                <w:highlight w:val="none"/>
              </w:rPr>
            </w:pPr>
          </w:p>
        </w:tc>
      </w:tr>
    </w:tbl>
    <w:p>
      <w:pPr>
        <w:snapToGrid w:val="0"/>
        <w:spacing w:line="360" w:lineRule="auto"/>
        <w:ind w:firstLine="420" w:firstLineChars="200"/>
        <w:textAlignment w:val="baseline"/>
        <w:rPr>
          <w:rStyle w:val="34"/>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snapToGrid w:val="0"/>
        <w:spacing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第四条 服务费用及支付方式</w:t>
      </w:r>
      <w:bookmarkEnd w:id="90"/>
    </w:p>
    <w:p>
      <w:pPr>
        <w:snapToGrid w:val="0"/>
        <w:spacing w:line="360" w:lineRule="auto"/>
        <w:ind w:firstLine="480" w:firstLineChars="200"/>
        <w:jc w:val="left"/>
        <w:textAlignment w:val="baseline"/>
        <w:rPr>
          <w:rFonts w:hint="eastAsia" w:ascii="仿宋" w:hAnsi="仿宋" w:eastAsia="仿宋" w:cs="仿宋"/>
          <w:color w:val="auto"/>
          <w:sz w:val="24"/>
          <w:highlight w:val="none"/>
          <w:lang w:eastAsia="zh-CN"/>
        </w:rPr>
      </w:pPr>
      <w:bookmarkStart w:id="91" w:name="_Toc20876"/>
      <w:r>
        <w:rPr>
          <w:rFonts w:hint="eastAsia" w:ascii="仿宋" w:hAnsi="仿宋" w:eastAsia="仿宋" w:cs="仿宋"/>
          <w:color w:val="auto"/>
          <w:sz w:val="24"/>
          <w:highlight w:val="none"/>
        </w:rPr>
        <w:t>本项目服务费</w:t>
      </w:r>
      <w:bookmarkEnd w:id="91"/>
      <w:r>
        <w:rPr>
          <w:rFonts w:hint="eastAsia" w:ascii="仿宋" w:hAnsi="仿宋" w:eastAsia="仿宋" w:cs="仿宋"/>
          <w:color w:val="auto"/>
          <w:sz w:val="24"/>
          <w:highlight w:val="none"/>
        </w:rPr>
        <w:t>年费用含税价为￥</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（大写：</w:t>
      </w:r>
      <w:r>
        <w:rPr>
          <w:rFonts w:hint="eastAsia" w:ascii="仿宋" w:hAnsi="仿宋" w:eastAsia="仿宋" w:cs="仿宋"/>
          <w:color w:val="auto"/>
          <w:sz w:val="24"/>
          <w:highlight w:val="none"/>
          <w:u w:val="single" w:color="000000"/>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合同总金额四等分，每期最高结算费用为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支付</w:t>
      </w:r>
      <w:r>
        <w:rPr>
          <w:rFonts w:hint="eastAsia" w:ascii="仿宋" w:hAnsi="仿宋" w:eastAsia="仿宋" w:cs="仿宋"/>
          <w:color w:val="auto"/>
          <w:sz w:val="24"/>
          <w:highlight w:val="none"/>
        </w:rPr>
        <w:t>结合考核情况</w:t>
      </w:r>
      <w:r>
        <w:rPr>
          <w:rFonts w:hint="eastAsia" w:ascii="仿宋" w:hAnsi="仿宋" w:eastAsia="仿宋" w:cs="仿宋"/>
          <w:color w:val="auto"/>
          <w:sz w:val="24"/>
          <w:highlight w:val="none"/>
          <w:lang w:val="en-US" w:eastAsia="zh-CN"/>
        </w:rPr>
        <w:t>每满三个月支付一次</w:t>
      </w:r>
      <w:r>
        <w:rPr>
          <w:rFonts w:hint="eastAsia" w:ascii="仿宋" w:hAnsi="仿宋" w:eastAsia="仿宋" w:cs="仿宋"/>
          <w:color w:val="auto"/>
          <w:sz w:val="24"/>
          <w:highlight w:val="none"/>
        </w:rPr>
        <w:t>费用；最后</w:t>
      </w:r>
      <w:r>
        <w:rPr>
          <w:rFonts w:hint="eastAsia" w:ascii="仿宋" w:hAnsi="仿宋" w:eastAsia="仿宋" w:cs="仿宋"/>
          <w:color w:val="auto"/>
          <w:sz w:val="24"/>
          <w:highlight w:val="none"/>
          <w:lang w:val="en-US" w:eastAsia="zh-CN"/>
        </w:rPr>
        <w:t>一次支付</w:t>
      </w:r>
      <w:r>
        <w:rPr>
          <w:rFonts w:hint="eastAsia" w:ascii="仿宋" w:hAnsi="仿宋" w:eastAsia="仿宋" w:cs="仿宋"/>
          <w:color w:val="auto"/>
          <w:sz w:val="24"/>
          <w:highlight w:val="none"/>
        </w:rPr>
        <w:t>在服务期满，</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委托的第三方审计机构审计后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根据考核情况进行支付。</w:t>
      </w: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应当在</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每一次付款前及时出具合法有效、金额准确的发票，</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未及时开具发票或开票不符合相关规定的，</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有权拒绝或延迟支付而不承担任何违约责任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甲方在收到发票后15日内完成支付</w:t>
      </w:r>
      <w:r>
        <w:rPr>
          <w:rFonts w:hint="eastAsia" w:ascii="仿宋" w:hAnsi="仿宋" w:eastAsia="仿宋" w:cs="仿宋"/>
          <w:color w:val="auto"/>
          <w:sz w:val="24"/>
          <w:highlight w:val="none"/>
        </w:rPr>
        <w:t>。</w:t>
      </w: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bookmarkStart w:id="92" w:name="_Toc27312"/>
      <w:bookmarkStart w:id="93" w:name="_Toc22790"/>
      <w:r>
        <w:rPr>
          <w:rFonts w:hint="eastAsia" w:ascii="仿宋" w:hAnsi="仿宋" w:eastAsia="仿宋" w:cs="仿宋"/>
          <w:color w:val="auto"/>
          <w:sz w:val="24"/>
          <w:highlight w:val="none"/>
        </w:rPr>
        <w:t>考核与处理</w:t>
      </w: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1、考核评分标准</w:t>
      </w:r>
    </w:p>
    <w:tbl>
      <w:tblPr>
        <w:tblStyle w:val="76"/>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4680"/>
        <w:gridCol w:w="641"/>
        <w:gridCol w:w="2419"/>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trPr>
        <w:tc>
          <w:tcPr>
            <w:tcW w:w="788" w:type="dxa"/>
            <w:vAlign w:val="center"/>
          </w:tcPr>
          <w:p>
            <w:pPr>
              <w:snapToGrid w:val="0"/>
              <w:spacing w:before="212" w:line="189" w:lineRule="auto"/>
              <w:ind w:firstLine="116"/>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项目</w:t>
            </w:r>
          </w:p>
        </w:tc>
        <w:tc>
          <w:tcPr>
            <w:tcW w:w="4680" w:type="dxa"/>
            <w:vAlign w:val="center"/>
          </w:tcPr>
          <w:p>
            <w:pPr>
              <w:snapToGrid w:val="0"/>
              <w:spacing w:before="212" w:line="189" w:lineRule="auto"/>
              <w:ind w:firstLine="2352"/>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考核内容</w:t>
            </w:r>
          </w:p>
        </w:tc>
        <w:tc>
          <w:tcPr>
            <w:tcW w:w="641" w:type="dxa"/>
            <w:vAlign w:val="center"/>
          </w:tcPr>
          <w:p>
            <w:pPr>
              <w:snapToGrid w:val="0"/>
              <w:spacing w:before="212" w:line="189" w:lineRule="auto"/>
              <w:ind w:firstLine="65"/>
              <w:textAlignment w:val="baseline"/>
              <w:rPr>
                <w:rFonts w:hint="eastAsia" w:ascii="仿宋" w:hAnsi="仿宋" w:eastAsia="仿宋" w:cs="仿宋"/>
                <w:color w:val="auto"/>
                <w:sz w:val="24"/>
                <w:highlight w:val="none"/>
              </w:rPr>
            </w:pPr>
            <w:r>
              <w:rPr>
                <w:rFonts w:hint="eastAsia" w:ascii="仿宋" w:hAnsi="仿宋" w:eastAsia="仿宋" w:cs="仿宋"/>
                <w:color w:val="auto"/>
                <w:spacing w:val="-10"/>
                <w:sz w:val="24"/>
                <w:highlight w:val="none"/>
              </w:rPr>
              <w:t>分值</w:t>
            </w:r>
          </w:p>
        </w:tc>
        <w:tc>
          <w:tcPr>
            <w:tcW w:w="2419" w:type="dxa"/>
            <w:vAlign w:val="center"/>
          </w:tcPr>
          <w:p>
            <w:pPr>
              <w:snapToGrid w:val="0"/>
              <w:spacing w:before="212" w:line="189" w:lineRule="auto"/>
              <w:ind w:firstLine="563"/>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扣分标准</w:t>
            </w:r>
          </w:p>
        </w:tc>
        <w:tc>
          <w:tcPr>
            <w:tcW w:w="549" w:type="dxa"/>
            <w:vAlign w:val="center"/>
          </w:tcPr>
          <w:p>
            <w:pPr>
              <w:snapToGrid w:val="0"/>
              <w:spacing w:before="56"/>
              <w:ind w:left="63" w:right="45" w:hanging="1"/>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考核</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0"/>
                <w:sz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5" w:hRule="atLeast"/>
        </w:trPr>
        <w:tc>
          <w:tcPr>
            <w:tcW w:w="788" w:type="dxa"/>
            <w:vMerge w:val="restart"/>
            <w:vAlign w:val="center"/>
          </w:tcPr>
          <w:p>
            <w:pPr>
              <w:snapToGrid w:val="0"/>
              <w:spacing w:before="78" w:line="332" w:lineRule="auto"/>
              <w:ind w:left="128" w:right="100" w:hanging="8"/>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rPr>
              <w:t>公司</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5"/>
                <w:sz w:val="24"/>
                <w:highlight w:val="none"/>
              </w:rPr>
              <w:t>管理</w:t>
            </w:r>
          </w:p>
        </w:tc>
        <w:tc>
          <w:tcPr>
            <w:tcW w:w="4680" w:type="dxa"/>
            <w:vAlign w:val="center"/>
          </w:tcPr>
          <w:p>
            <w:pPr>
              <w:snapToGrid w:val="0"/>
              <w:spacing w:before="79"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1、人员和车辆配备数量情况，不少于7个人和3台车，具体数量以投标应答为准。</w:t>
            </w:r>
          </w:p>
        </w:tc>
        <w:tc>
          <w:tcPr>
            <w:tcW w:w="641" w:type="dxa"/>
            <w:vAlign w:val="center"/>
          </w:tcPr>
          <w:p>
            <w:pPr>
              <w:snapToGrid w:val="0"/>
              <w:spacing w:before="78" w:line="180" w:lineRule="auto"/>
              <w:ind w:firstLine="234"/>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2419" w:type="dxa"/>
            <w:vAlign w:val="center"/>
          </w:tcPr>
          <w:p>
            <w:pPr>
              <w:snapToGrid w:val="0"/>
              <w:spacing w:before="56" w:line="189" w:lineRule="auto"/>
              <w:ind w:firstLine="78"/>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按照投标中承诺配备的人员数和车辆数进行核查，每缺</w:t>
            </w:r>
            <w:r>
              <w:rPr>
                <w:rFonts w:hint="eastAsia" w:ascii="仿宋" w:hAnsi="仿宋" w:eastAsia="仿宋" w:cs="仿宋"/>
                <w:color w:val="auto"/>
                <w:spacing w:val="-11"/>
                <w:w w:val="97"/>
                <w:sz w:val="24"/>
                <w:highlight w:val="none"/>
              </w:rPr>
              <w:t>位</w:t>
            </w:r>
            <w:r>
              <w:rPr>
                <w:rFonts w:hint="eastAsia" w:ascii="仿宋" w:hAnsi="仿宋" w:eastAsia="仿宋" w:cs="仿宋"/>
                <w:color w:val="auto"/>
                <w:spacing w:val="-22"/>
                <w:sz w:val="24"/>
                <w:highlight w:val="none"/>
              </w:rPr>
              <w:t xml:space="preserve"> </w:t>
            </w:r>
            <w:r>
              <w:rPr>
                <w:rFonts w:hint="eastAsia" w:ascii="仿宋" w:hAnsi="仿宋" w:eastAsia="仿宋" w:cs="仿宋"/>
                <w:color w:val="auto"/>
                <w:spacing w:val="-11"/>
                <w:w w:val="97"/>
                <w:sz w:val="24"/>
                <w:highlight w:val="none"/>
              </w:rPr>
              <w:t>1</w:t>
            </w:r>
            <w:r>
              <w:rPr>
                <w:rFonts w:hint="eastAsia" w:ascii="仿宋" w:hAnsi="仿宋" w:eastAsia="仿宋" w:cs="仿宋"/>
                <w:color w:val="auto"/>
                <w:spacing w:val="-40"/>
                <w:sz w:val="24"/>
                <w:highlight w:val="none"/>
              </w:rPr>
              <w:t xml:space="preserve"> </w:t>
            </w:r>
            <w:r>
              <w:rPr>
                <w:rFonts w:hint="eastAsia" w:ascii="仿宋" w:hAnsi="仿宋" w:eastAsia="仿宋" w:cs="仿宋"/>
                <w:color w:val="auto"/>
                <w:spacing w:val="-11"/>
                <w:w w:val="97"/>
                <w:sz w:val="24"/>
                <w:highlight w:val="none"/>
              </w:rPr>
              <w:t>人或1车的，扣</w:t>
            </w:r>
            <w:r>
              <w:rPr>
                <w:rFonts w:hint="eastAsia" w:ascii="仿宋" w:hAnsi="仿宋" w:eastAsia="仿宋" w:cs="仿宋"/>
                <w:color w:val="auto"/>
                <w:spacing w:val="-34"/>
                <w:sz w:val="24"/>
                <w:highlight w:val="none"/>
              </w:rPr>
              <w:t xml:space="preserve"> </w:t>
            </w:r>
            <w:r>
              <w:rPr>
                <w:rFonts w:hint="eastAsia" w:ascii="仿宋" w:hAnsi="仿宋" w:eastAsia="仿宋" w:cs="仿宋"/>
                <w:color w:val="auto"/>
                <w:spacing w:val="-11"/>
                <w:w w:val="97"/>
                <w:sz w:val="24"/>
                <w:highlight w:val="none"/>
              </w:rPr>
              <w:t>1</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11"/>
                <w:w w:val="97"/>
                <w:sz w:val="24"/>
                <w:highlight w:val="none"/>
              </w:rPr>
              <w:t>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9" w:hRule="atLeast"/>
        </w:trPr>
        <w:tc>
          <w:tcPr>
            <w:tcW w:w="788" w:type="dxa"/>
            <w:vMerge w:val="continue"/>
            <w:vAlign w:val="center"/>
          </w:tcPr>
          <w:p>
            <w:pPr>
              <w:snapToGrid w:val="0"/>
              <w:textAlignment w:val="baseline"/>
              <w:rPr>
                <w:rFonts w:hint="eastAsia" w:ascii="仿宋" w:hAnsi="仿宋" w:eastAsia="仿宋" w:cs="仿宋"/>
                <w:color w:val="auto"/>
                <w:sz w:val="20"/>
                <w:highlight w:val="none"/>
              </w:rPr>
            </w:pPr>
          </w:p>
        </w:tc>
        <w:tc>
          <w:tcPr>
            <w:tcW w:w="4680" w:type="dxa"/>
            <w:vAlign w:val="center"/>
          </w:tcPr>
          <w:p>
            <w:pPr>
              <w:snapToGrid w:val="0"/>
              <w:spacing w:before="54" w:line="214" w:lineRule="auto"/>
              <w:ind w:left="25" w:hanging="4"/>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2、成交供应商应有健全的管理制度、作业规范、安全</w:t>
            </w:r>
            <w:r>
              <w:rPr>
                <w:rFonts w:hint="eastAsia" w:ascii="仿宋" w:hAnsi="仿宋" w:eastAsia="仿宋" w:cs="仿宋"/>
                <w:color w:val="auto"/>
                <w:spacing w:val="-7"/>
                <w:sz w:val="24"/>
                <w:highlight w:val="none"/>
              </w:rPr>
              <w:t>操作手册及项目相关技术规范等相关管理办法、制度、</w:t>
            </w:r>
          </w:p>
          <w:p>
            <w:pPr>
              <w:snapToGrid w:val="0"/>
              <w:spacing w:before="70" w:line="234" w:lineRule="auto"/>
              <w:ind w:left="70" w:right="56" w:firstLine="1"/>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技术规范等；项目管理人员对项目相关工作人员到位</w:t>
            </w:r>
            <w:r>
              <w:rPr>
                <w:rFonts w:hint="eastAsia" w:ascii="仿宋" w:hAnsi="仿宋" w:eastAsia="仿宋" w:cs="仿宋"/>
                <w:color w:val="auto"/>
                <w:sz w:val="24"/>
                <w:highlight w:val="none"/>
              </w:rPr>
              <w:t xml:space="preserve"> </w:t>
            </w:r>
            <w:r>
              <w:rPr>
                <w:rFonts w:hint="eastAsia" w:ascii="仿宋" w:hAnsi="仿宋" w:eastAsia="仿宋" w:cs="仿宋"/>
                <w:color w:val="auto"/>
                <w:spacing w:val="-9"/>
                <w:sz w:val="24"/>
                <w:highlight w:val="none"/>
              </w:rPr>
              <w:t>及工作落实情况监督检查情况；成交供应商组织开展</w:t>
            </w:r>
            <w:r>
              <w:rPr>
                <w:rFonts w:hint="eastAsia" w:ascii="仿宋" w:hAnsi="仿宋" w:eastAsia="仿宋" w:cs="仿宋"/>
                <w:color w:val="auto"/>
                <w:sz w:val="24"/>
                <w:highlight w:val="none"/>
              </w:rPr>
              <w:t xml:space="preserve"> </w:t>
            </w:r>
            <w:r>
              <w:rPr>
                <w:rFonts w:hint="eastAsia" w:ascii="仿宋" w:hAnsi="仿宋" w:eastAsia="仿宋" w:cs="仿宋"/>
                <w:color w:val="auto"/>
                <w:spacing w:val="-1"/>
                <w:sz w:val="24"/>
                <w:highlight w:val="none"/>
              </w:rPr>
              <w:t>对专职人员问题巡查、问题数据的收集整理、分类、</w:t>
            </w:r>
            <w:r>
              <w:rPr>
                <w:rFonts w:hint="eastAsia" w:ascii="仿宋" w:hAnsi="仿宋" w:eastAsia="仿宋" w:cs="仿宋"/>
                <w:color w:val="auto"/>
                <w:spacing w:val="7"/>
                <w:sz w:val="24"/>
                <w:highlight w:val="none"/>
              </w:rPr>
              <w:t xml:space="preserve"> </w:t>
            </w:r>
            <w:r>
              <w:rPr>
                <w:rFonts w:hint="eastAsia" w:ascii="仿宋" w:hAnsi="仿宋" w:eastAsia="仿宋" w:cs="仿宋"/>
                <w:color w:val="auto"/>
                <w:spacing w:val="-1"/>
                <w:sz w:val="24"/>
                <w:highlight w:val="none"/>
              </w:rPr>
              <w:t>核实及问题派发，整改落实回访监督检查，对各类问</w:t>
            </w:r>
            <w:r>
              <w:rPr>
                <w:rFonts w:hint="eastAsia" w:ascii="仿宋" w:hAnsi="仿宋" w:eastAsia="仿宋" w:cs="仿宋"/>
                <w:color w:val="auto"/>
                <w:spacing w:val="7"/>
                <w:sz w:val="24"/>
                <w:highlight w:val="none"/>
              </w:rPr>
              <w:t xml:space="preserve"> </w:t>
            </w:r>
            <w:r>
              <w:rPr>
                <w:rFonts w:hint="eastAsia" w:ascii="仿宋" w:hAnsi="仿宋" w:eastAsia="仿宋" w:cs="仿宋"/>
                <w:color w:val="auto"/>
                <w:spacing w:val="-1"/>
                <w:sz w:val="24"/>
                <w:highlight w:val="none"/>
              </w:rPr>
              <w:t>题数据分析，月度测评以及相关报告撰写等相关工作</w:t>
            </w:r>
            <w:r>
              <w:rPr>
                <w:rFonts w:hint="eastAsia" w:ascii="仿宋" w:hAnsi="仿宋" w:eastAsia="仿宋" w:cs="仿宋"/>
                <w:color w:val="auto"/>
                <w:spacing w:val="-8"/>
                <w:sz w:val="24"/>
                <w:highlight w:val="none"/>
              </w:rPr>
              <w:t>落实情况。问题相关问题数据收集上报落实情况；成</w:t>
            </w:r>
            <w:r>
              <w:rPr>
                <w:rFonts w:hint="eastAsia" w:ascii="仿宋" w:hAnsi="仿宋" w:eastAsia="仿宋" w:cs="仿宋"/>
                <w:color w:val="auto"/>
                <w:spacing w:val="-1"/>
                <w:sz w:val="24"/>
                <w:highlight w:val="none"/>
              </w:rPr>
              <w:t>交供应商组织开展相关业务知识培训情况（特别是采购人有新的工作要求时，成交供应商应组织相关业务人员针对新的工作要求及相关测评指标的学习培训及相关记录</w:t>
            </w:r>
            <w:r>
              <w:rPr>
                <w:rFonts w:hint="eastAsia" w:ascii="仿宋" w:hAnsi="仿宋" w:eastAsia="仿宋" w:cs="仿宋"/>
                <w:color w:val="auto"/>
                <w:spacing w:val="-73"/>
                <w:sz w:val="24"/>
                <w:highlight w:val="none"/>
              </w:rPr>
              <w:t>），</w:t>
            </w:r>
            <w:r>
              <w:rPr>
                <w:rFonts w:hint="eastAsia" w:ascii="仿宋" w:hAnsi="仿宋" w:eastAsia="仿宋" w:cs="仿宋"/>
                <w:color w:val="auto"/>
                <w:spacing w:val="-1"/>
                <w:sz w:val="24"/>
                <w:highlight w:val="none"/>
              </w:rPr>
              <w:t>该项通过抽查具体业务人员对相关巡查测</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2"/>
                <w:sz w:val="24"/>
                <w:highlight w:val="none"/>
              </w:rPr>
              <w:t>评指标体系熟悉程度进行考核。</w:t>
            </w:r>
          </w:p>
        </w:tc>
        <w:tc>
          <w:tcPr>
            <w:tcW w:w="641" w:type="dxa"/>
            <w:vAlign w:val="center"/>
          </w:tcPr>
          <w:p>
            <w:pPr>
              <w:snapToGrid w:val="0"/>
              <w:spacing w:before="78" w:line="180" w:lineRule="auto"/>
              <w:ind w:firstLine="24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2419" w:type="dxa"/>
            <w:vAlign w:val="center"/>
          </w:tcPr>
          <w:p>
            <w:pPr>
              <w:snapToGrid w:val="0"/>
              <w:spacing w:before="54" w:line="214" w:lineRule="auto"/>
              <w:ind w:left="78" w:right="62" w:firstLine="1"/>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相关管理办法、制</w:t>
            </w:r>
            <w:r>
              <w:rPr>
                <w:rFonts w:hint="eastAsia" w:ascii="仿宋" w:hAnsi="仿宋" w:eastAsia="仿宋" w:cs="仿宋"/>
                <w:color w:val="auto"/>
                <w:spacing w:val="6"/>
                <w:sz w:val="24"/>
                <w:highlight w:val="none"/>
              </w:rPr>
              <w:t xml:space="preserve"> </w:t>
            </w:r>
            <w:r>
              <w:rPr>
                <w:rFonts w:hint="eastAsia" w:ascii="仿宋" w:hAnsi="仿宋" w:eastAsia="仿宋" w:cs="仿宋"/>
                <w:color w:val="auto"/>
                <w:spacing w:val="-9"/>
                <w:sz w:val="24"/>
                <w:highlight w:val="none"/>
              </w:rPr>
              <w:t>度、技术规范等，</w:t>
            </w:r>
            <w:r>
              <w:rPr>
                <w:rFonts w:hint="eastAsia" w:ascii="仿宋" w:hAnsi="仿宋" w:eastAsia="仿宋" w:cs="仿宋"/>
                <w:color w:val="auto"/>
                <w:spacing w:val="-4"/>
                <w:sz w:val="24"/>
                <w:highlight w:val="none"/>
              </w:rPr>
              <w:t>每缺失一项扣一</w:t>
            </w:r>
            <w:r>
              <w:rPr>
                <w:rFonts w:hint="eastAsia" w:ascii="仿宋" w:hAnsi="仿宋" w:eastAsia="仿宋" w:cs="仿宋"/>
                <w:color w:val="auto"/>
                <w:spacing w:val="-24"/>
                <w:w w:val="99"/>
                <w:sz w:val="24"/>
                <w:highlight w:val="none"/>
              </w:rPr>
              <w:t>分；项目管理人员</w:t>
            </w:r>
            <w:r>
              <w:rPr>
                <w:rFonts w:hint="eastAsia" w:ascii="仿宋" w:hAnsi="仿宋" w:eastAsia="仿宋" w:cs="仿宋"/>
                <w:color w:val="auto"/>
                <w:spacing w:val="-3"/>
                <w:sz w:val="24"/>
                <w:highlight w:val="none"/>
              </w:rPr>
              <w:t>检查不到位一次扣</w:t>
            </w:r>
            <w:r>
              <w:rPr>
                <w:rFonts w:hint="eastAsia" w:ascii="仿宋" w:hAnsi="仿宋" w:eastAsia="仿宋" w:cs="仿宋"/>
                <w:color w:val="auto"/>
                <w:spacing w:val="-11"/>
                <w:w w:val="92"/>
                <w:sz w:val="24"/>
                <w:highlight w:val="none"/>
              </w:rPr>
              <w:t>1</w:t>
            </w:r>
            <w:r>
              <w:rPr>
                <w:rFonts w:hint="eastAsia" w:ascii="仿宋" w:hAnsi="仿宋" w:eastAsia="仿宋" w:cs="仿宋"/>
                <w:color w:val="auto"/>
                <w:spacing w:val="-39"/>
                <w:sz w:val="24"/>
                <w:highlight w:val="none"/>
              </w:rPr>
              <w:t xml:space="preserve"> </w:t>
            </w:r>
            <w:r>
              <w:rPr>
                <w:rFonts w:hint="eastAsia" w:ascii="仿宋" w:hAnsi="仿宋" w:eastAsia="仿宋" w:cs="仿宋"/>
                <w:color w:val="auto"/>
                <w:spacing w:val="-11"/>
                <w:w w:val="92"/>
                <w:sz w:val="24"/>
                <w:highlight w:val="none"/>
              </w:rPr>
              <w:t>分；专职人员、项</w:t>
            </w:r>
            <w:r>
              <w:rPr>
                <w:rFonts w:hint="eastAsia" w:ascii="仿宋" w:hAnsi="仿宋" w:eastAsia="仿宋" w:cs="仿宋"/>
                <w:color w:val="auto"/>
                <w:spacing w:val="-8"/>
                <w:sz w:val="24"/>
                <w:highlight w:val="none"/>
              </w:rPr>
              <w:t>目负责人未落实工</w:t>
            </w:r>
            <w:r>
              <w:rPr>
                <w:rFonts w:hint="eastAsia" w:ascii="仿宋" w:hAnsi="仿宋" w:eastAsia="仿宋" w:cs="仿宋"/>
                <w:color w:val="auto"/>
                <w:spacing w:val="-2"/>
                <w:sz w:val="24"/>
                <w:highlight w:val="none"/>
              </w:rPr>
              <w:t>作的，每次扣</w:t>
            </w:r>
            <w:r>
              <w:rPr>
                <w:rFonts w:hint="eastAsia" w:ascii="仿宋" w:hAnsi="仿宋" w:eastAsia="仿宋" w:cs="仿宋"/>
                <w:color w:val="auto"/>
                <w:spacing w:val="-49"/>
                <w:sz w:val="24"/>
                <w:highlight w:val="none"/>
              </w:rPr>
              <w:t xml:space="preserve"> </w:t>
            </w:r>
            <w:r>
              <w:rPr>
                <w:rFonts w:hint="eastAsia" w:ascii="仿宋" w:hAnsi="仿宋" w:eastAsia="仿宋" w:cs="仿宋"/>
                <w:color w:val="auto"/>
                <w:spacing w:val="-2"/>
                <w:sz w:val="24"/>
                <w:highlight w:val="none"/>
              </w:rPr>
              <w:t>0.5</w:t>
            </w:r>
            <w:r>
              <w:rPr>
                <w:rFonts w:hint="eastAsia" w:ascii="仿宋" w:hAnsi="仿宋" w:eastAsia="仿宋" w:cs="仿宋"/>
                <w:color w:val="auto"/>
                <w:spacing w:val="-24"/>
                <w:sz w:val="24"/>
                <w:highlight w:val="none"/>
              </w:rPr>
              <w:t>分；抽查发现业务</w:t>
            </w:r>
            <w:r>
              <w:rPr>
                <w:rFonts w:hint="eastAsia" w:ascii="仿宋" w:hAnsi="仿宋" w:eastAsia="仿宋" w:cs="仿宋"/>
                <w:color w:val="auto"/>
                <w:spacing w:val="-3"/>
                <w:sz w:val="24"/>
                <w:highlight w:val="none"/>
              </w:rPr>
              <w:t>人员对相关巡查测评体系解说不清楚</w:t>
            </w:r>
            <w:r>
              <w:rPr>
                <w:rFonts w:hint="eastAsia" w:ascii="仿宋" w:hAnsi="仿宋" w:eastAsia="仿宋" w:cs="仿宋"/>
                <w:color w:val="auto"/>
                <w:spacing w:val="-4"/>
                <w:sz w:val="24"/>
                <w:highlight w:val="none"/>
              </w:rPr>
              <w:t>的，每人次扣</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4"/>
                <w:sz w:val="24"/>
                <w:highlight w:val="none"/>
              </w:rPr>
              <w:t>0.5分。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4" w:hRule="atLeast"/>
        </w:trPr>
        <w:tc>
          <w:tcPr>
            <w:tcW w:w="788" w:type="dxa"/>
            <w:vMerge w:val="restart"/>
            <w:vAlign w:val="center"/>
          </w:tcPr>
          <w:p>
            <w:pPr>
              <w:snapToGrid w:val="0"/>
              <w:spacing w:before="78"/>
              <w:ind w:left="119" w:right="100" w:hanging="3"/>
              <w:textAlignment w:val="baseline"/>
              <w:rPr>
                <w:rFonts w:hint="eastAsia" w:ascii="仿宋" w:hAnsi="仿宋" w:eastAsia="仿宋" w:cs="仿宋"/>
                <w:color w:val="auto"/>
                <w:sz w:val="24"/>
                <w:highlight w:val="none"/>
              </w:rPr>
            </w:pPr>
            <w:r>
              <w:rPr>
                <w:rFonts w:hint="eastAsia" w:ascii="仿宋" w:hAnsi="仿宋" w:eastAsia="仿宋" w:cs="仿宋"/>
                <w:color w:val="auto"/>
                <w:spacing w:val="-9"/>
                <w:sz w:val="24"/>
                <w:highlight w:val="none"/>
              </w:rPr>
              <w:t>巡查</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11"/>
                <w:sz w:val="24"/>
                <w:highlight w:val="none"/>
              </w:rPr>
              <w:t>要求</w:t>
            </w:r>
          </w:p>
        </w:tc>
        <w:tc>
          <w:tcPr>
            <w:tcW w:w="4680" w:type="dxa"/>
            <w:vAlign w:val="center"/>
          </w:tcPr>
          <w:p>
            <w:pPr>
              <w:snapToGrid w:val="0"/>
              <w:spacing w:before="55"/>
              <w:ind w:left="26" w:firstLine="10"/>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1、每天对巡查区域范围内的巡查项目内容进行巡查，</w:t>
            </w:r>
            <w:r>
              <w:rPr>
                <w:rFonts w:hint="eastAsia" w:ascii="仿宋" w:hAnsi="仿宋" w:eastAsia="仿宋" w:cs="仿宋"/>
                <w:color w:val="auto"/>
                <w:spacing w:val="21"/>
                <w:sz w:val="24"/>
                <w:highlight w:val="none"/>
              </w:rPr>
              <w:t xml:space="preserve"> </w:t>
            </w:r>
            <w:r>
              <w:rPr>
                <w:rFonts w:hint="eastAsia" w:ascii="仿宋" w:hAnsi="仿宋" w:eastAsia="仿宋" w:cs="仿宋"/>
                <w:color w:val="auto"/>
                <w:spacing w:val="-7"/>
                <w:sz w:val="24"/>
                <w:highlight w:val="none"/>
              </w:rPr>
              <w:t>做好巡查日志（包括时间、巡查线路、发现问题点位，</w:t>
            </w:r>
            <w:r>
              <w:rPr>
                <w:rFonts w:hint="eastAsia" w:ascii="仿宋" w:hAnsi="仿宋" w:eastAsia="仿宋" w:cs="仿宋"/>
                <w:color w:val="auto"/>
                <w:spacing w:val="13"/>
                <w:sz w:val="24"/>
                <w:highlight w:val="none"/>
              </w:rPr>
              <w:t xml:space="preserve"> </w:t>
            </w:r>
            <w:r>
              <w:rPr>
                <w:rFonts w:hint="eastAsia" w:ascii="仿宋" w:hAnsi="仿宋" w:eastAsia="仿宋" w:cs="仿宋"/>
                <w:color w:val="auto"/>
                <w:spacing w:val="-7"/>
                <w:sz w:val="24"/>
                <w:highlight w:val="none"/>
              </w:rPr>
              <w:t>巡查人员等）及问题档案记录，其中白天时段一次、</w:t>
            </w:r>
            <w:r>
              <w:rPr>
                <w:rFonts w:hint="eastAsia" w:ascii="仿宋" w:hAnsi="仿宋" w:eastAsia="仿宋" w:cs="仿宋"/>
                <w:color w:val="auto"/>
                <w:sz w:val="24"/>
                <w:highlight w:val="none"/>
              </w:rPr>
              <w:t xml:space="preserve"> </w:t>
            </w:r>
            <w:r>
              <w:rPr>
                <w:rFonts w:hint="eastAsia" w:ascii="仿宋" w:hAnsi="仿宋" w:eastAsia="仿宋" w:cs="仿宋"/>
                <w:color w:val="auto"/>
                <w:spacing w:val="-2"/>
                <w:sz w:val="24"/>
                <w:highlight w:val="none"/>
              </w:rPr>
              <w:t>夜间时段一次，个别项目内容视具体情况再进一步细</w:t>
            </w:r>
            <w:r>
              <w:rPr>
                <w:rFonts w:hint="eastAsia" w:ascii="仿宋" w:hAnsi="仿宋" w:eastAsia="仿宋" w:cs="仿宋"/>
                <w:color w:val="auto"/>
                <w:spacing w:val="-3"/>
                <w:sz w:val="24"/>
                <w:highlight w:val="none"/>
              </w:rPr>
              <w:t>化巡查频次。</w:t>
            </w:r>
          </w:p>
        </w:tc>
        <w:tc>
          <w:tcPr>
            <w:tcW w:w="641" w:type="dxa"/>
            <w:vAlign w:val="center"/>
          </w:tcPr>
          <w:p>
            <w:pPr>
              <w:snapToGrid w:val="0"/>
              <w:spacing w:before="78" w:line="180" w:lineRule="auto"/>
              <w:ind w:firstLine="178"/>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26</w:t>
            </w:r>
          </w:p>
        </w:tc>
        <w:tc>
          <w:tcPr>
            <w:tcW w:w="2419" w:type="dxa"/>
            <w:vAlign w:val="center"/>
          </w:tcPr>
          <w:p>
            <w:pPr>
              <w:snapToGrid w:val="0"/>
              <w:spacing w:before="79"/>
              <w:ind w:left="200" w:right="62" w:hanging="113"/>
              <w:textAlignment w:val="baseline"/>
              <w:rPr>
                <w:rFonts w:hint="eastAsia" w:ascii="仿宋" w:hAnsi="仿宋" w:eastAsia="仿宋" w:cs="仿宋"/>
                <w:color w:val="auto"/>
                <w:sz w:val="24"/>
                <w:highlight w:val="none"/>
              </w:rPr>
            </w:pPr>
            <w:r>
              <w:rPr>
                <w:rFonts w:hint="eastAsia" w:ascii="仿宋" w:hAnsi="仿宋" w:eastAsia="仿宋" w:cs="仿宋"/>
                <w:color w:val="auto"/>
                <w:spacing w:val="-4"/>
                <w:sz w:val="24"/>
                <w:highlight w:val="none"/>
              </w:rPr>
              <w:t>每发现缺少一次巡</w:t>
            </w:r>
            <w:r>
              <w:rPr>
                <w:rFonts w:hint="eastAsia" w:ascii="仿宋" w:hAnsi="仿宋" w:eastAsia="仿宋" w:cs="仿宋"/>
                <w:color w:val="auto"/>
                <w:spacing w:val="-7"/>
                <w:sz w:val="24"/>
                <w:highlight w:val="none"/>
              </w:rPr>
              <w:t>查记录扣</w:t>
            </w:r>
            <w:r>
              <w:rPr>
                <w:rFonts w:hint="eastAsia" w:ascii="仿宋" w:hAnsi="仿宋" w:eastAsia="仿宋" w:cs="仿宋"/>
                <w:color w:val="auto"/>
                <w:spacing w:val="-48"/>
                <w:sz w:val="24"/>
                <w:highlight w:val="none"/>
              </w:rPr>
              <w:t xml:space="preserve"> </w:t>
            </w:r>
            <w:r>
              <w:rPr>
                <w:rFonts w:hint="eastAsia" w:ascii="仿宋" w:hAnsi="仿宋" w:eastAsia="仿宋" w:cs="仿宋"/>
                <w:color w:val="auto"/>
                <w:spacing w:val="-7"/>
                <w:sz w:val="24"/>
                <w:highlight w:val="none"/>
              </w:rPr>
              <w:t>2</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7"/>
                <w:sz w:val="24"/>
                <w:highlight w:val="none"/>
              </w:rPr>
              <w:t>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4" w:hRule="atLeast"/>
        </w:trPr>
        <w:tc>
          <w:tcPr>
            <w:tcW w:w="788" w:type="dxa"/>
            <w:vMerge w:val="continue"/>
            <w:vAlign w:val="center"/>
          </w:tcPr>
          <w:p>
            <w:pPr>
              <w:snapToGrid w:val="0"/>
              <w:textAlignment w:val="baseline"/>
              <w:rPr>
                <w:rFonts w:hint="eastAsia" w:ascii="仿宋" w:hAnsi="仿宋" w:eastAsia="仿宋" w:cs="仿宋"/>
                <w:color w:val="auto"/>
                <w:sz w:val="20"/>
                <w:highlight w:val="none"/>
              </w:rPr>
            </w:pPr>
          </w:p>
        </w:tc>
        <w:tc>
          <w:tcPr>
            <w:tcW w:w="4680" w:type="dxa"/>
            <w:vAlign w:val="center"/>
          </w:tcPr>
          <w:p>
            <w:pPr>
              <w:snapToGrid w:val="0"/>
              <w:spacing w:before="211" w:line="189" w:lineRule="auto"/>
              <w:ind w:firstLine="21"/>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2、在巡查、督促检查过程中，必须严格遵守操作规程</w:t>
            </w:r>
            <w:r>
              <w:rPr>
                <w:rFonts w:hint="eastAsia" w:ascii="仿宋" w:hAnsi="仿宋" w:eastAsia="仿宋" w:cs="仿宋"/>
                <w:color w:val="auto"/>
                <w:spacing w:val="-8"/>
                <w:sz w:val="24"/>
                <w:highlight w:val="none"/>
              </w:rPr>
              <w:t>交通安全，保证人员人身安全；</w:t>
            </w:r>
            <w:r>
              <w:rPr>
                <w:rFonts w:hint="eastAsia" w:ascii="仿宋" w:hAnsi="仿宋" w:eastAsia="仿宋" w:cs="仿宋"/>
                <w:color w:val="auto"/>
                <w:spacing w:val="61"/>
                <w:sz w:val="24"/>
                <w:highlight w:val="none"/>
              </w:rPr>
              <w:t xml:space="preserve"> </w:t>
            </w:r>
            <w:r>
              <w:rPr>
                <w:rFonts w:hint="eastAsia" w:ascii="仿宋" w:hAnsi="仿宋" w:eastAsia="仿宋" w:cs="仿宋"/>
                <w:color w:val="auto"/>
                <w:spacing w:val="-8"/>
                <w:sz w:val="24"/>
                <w:highlight w:val="none"/>
              </w:rPr>
              <w:t>及时发现、上报、派</w:t>
            </w:r>
            <w:r>
              <w:rPr>
                <w:rFonts w:hint="eastAsia" w:ascii="仿宋" w:hAnsi="仿宋" w:eastAsia="仿宋" w:cs="仿宋"/>
                <w:color w:val="auto"/>
                <w:spacing w:val="-1"/>
                <w:sz w:val="24"/>
                <w:highlight w:val="none"/>
              </w:rPr>
              <w:t>发巡查发现问题，做好问题整改落实情况的跟踪督促</w:t>
            </w:r>
            <w:r>
              <w:rPr>
                <w:rFonts w:hint="eastAsia" w:ascii="仿宋" w:hAnsi="仿宋" w:eastAsia="仿宋" w:cs="仿宋"/>
                <w:color w:val="auto"/>
                <w:spacing w:val="-6"/>
                <w:sz w:val="24"/>
                <w:highlight w:val="none"/>
              </w:rPr>
              <w:t>检查。</w:t>
            </w:r>
          </w:p>
        </w:tc>
        <w:tc>
          <w:tcPr>
            <w:tcW w:w="641" w:type="dxa"/>
            <w:vAlign w:val="center"/>
          </w:tcPr>
          <w:p>
            <w:pPr>
              <w:snapToGrid w:val="0"/>
              <w:spacing w:before="79" w:line="180" w:lineRule="auto"/>
              <w:ind w:firstLine="178"/>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rPr>
              <w:t>20</w:t>
            </w:r>
          </w:p>
        </w:tc>
        <w:tc>
          <w:tcPr>
            <w:tcW w:w="2419" w:type="dxa"/>
            <w:vAlign w:val="center"/>
          </w:tcPr>
          <w:p>
            <w:pPr>
              <w:snapToGrid w:val="0"/>
              <w:spacing w:before="55" w:line="189" w:lineRule="auto"/>
              <w:ind w:firstLine="80"/>
              <w:textAlignment w:val="baseline"/>
              <w:rPr>
                <w:rFonts w:hint="eastAsia" w:ascii="仿宋" w:hAnsi="仿宋" w:eastAsia="仿宋" w:cs="仿宋"/>
                <w:color w:val="auto"/>
                <w:sz w:val="24"/>
                <w:highlight w:val="none"/>
              </w:rPr>
            </w:pPr>
            <w:r>
              <w:rPr>
                <w:rFonts w:hint="eastAsia" w:ascii="仿宋" w:hAnsi="仿宋" w:eastAsia="仿宋" w:cs="仿宋"/>
                <w:color w:val="auto"/>
                <w:spacing w:val="-3"/>
                <w:sz w:val="24"/>
                <w:highlight w:val="none"/>
              </w:rPr>
              <w:t>在巡查、督促检查</w:t>
            </w:r>
            <w:r>
              <w:rPr>
                <w:rFonts w:hint="eastAsia" w:ascii="仿宋" w:hAnsi="仿宋" w:eastAsia="仿宋" w:cs="仿宋"/>
                <w:color w:val="auto"/>
                <w:spacing w:val="-6"/>
                <w:sz w:val="24"/>
                <w:highlight w:val="none"/>
              </w:rPr>
              <w:t>中，未及时发现问</w:t>
            </w:r>
            <w:r>
              <w:rPr>
                <w:rFonts w:hint="eastAsia" w:ascii="仿宋" w:hAnsi="仿宋" w:eastAsia="仿宋" w:cs="仿宋"/>
                <w:color w:val="auto"/>
                <w:spacing w:val="-3"/>
                <w:sz w:val="24"/>
                <w:highlight w:val="none"/>
              </w:rPr>
              <w:t>题，统计分析并上</w:t>
            </w:r>
            <w:r>
              <w:rPr>
                <w:rFonts w:hint="eastAsia" w:ascii="仿宋" w:hAnsi="仿宋" w:eastAsia="仿宋" w:cs="仿宋"/>
                <w:color w:val="auto"/>
                <w:spacing w:val="-12"/>
                <w:sz w:val="24"/>
                <w:highlight w:val="none"/>
              </w:rPr>
              <w:t>报的，每有一次扣</w:t>
            </w:r>
            <w:r>
              <w:rPr>
                <w:rFonts w:hint="eastAsia" w:ascii="仿宋" w:hAnsi="仿宋" w:eastAsia="仿宋" w:cs="仿宋"/>
                <w:color w:val="auto"/>
                <w:spacing w:val="-45"/>
                <w:sz w:val="24"/>
                <w:highlight w:val="none"/>
              </w:rPr>
              <w:t xml:space="preserve"> </w:t>
            </w:r>
            <w:r>
              <w:rPr>
                <w:rFonts w:hint="eastAsia" w:ascii="仿宋" w:hAnsi="仿宋" w:eastAsia="仿宋" w:cs="仿宋"/>
                <w:color w:val="auto"/>
                <w:spacing w:val="-12"/>
                <w:sz w:val="24"/>
                <w:highlight w:val="none"/>
              </w:rPr>
              <w:t>2分。</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trPr>
        <w:tc>
          <w:tcPr>
            <w:tcW w:w="788" w:type="dxa"/>
            <w:vMerge w:val="restart"/>
            <w:vAlign w:val="center"/>
          </w:tcPr>
          <w:p>
            <w:pPr>
              <w:snapToGrid w:val="0"/>
              <w:spacing w:before="78"/>
              <w:ind w:left="116" w:right="100" w:firstLine="6"/>
              <w:textAlignment w:val="baseline"/>
              <w:rPr>
                <w:rFonts w:hint="eastAsia" w:ascii="仿宋" w:hAnsi="仿宋" w:eastAsia="仿宋" w:cs="仿宋"/>
                <w:color w:val="auto"/>
                <w:sz w:val="24"/>
                <w:highlight w:val="none"/>
              </w:rPr>
            </w:pPr>
            <w:r>
              <w:rPr>
                <w:rFonts w:hint="eastAsia" w:ascii="仿宋" w:hAnsi="仿宋" w:eastAsia="仿宋" w:cs="仿宋"/>
                <w:color w:val="auto"/>
                <w:spacing w:val="-12"/>
                <w:sz w:val="24"/>
                <w:highlight w:val="none"/>
              </w:rPr>
              <w:t>曝光</w:t>
            </w:r>
            <w:r>
              <w:rPr>
                <w:rFonts w:hint="eastAsia" w:ascii="仿宋" w:hAnsi="仿宋" w:eastAsia="仿宋" w:cs="仿宋"/>
                <w:color w:val="auto"/>
                <w:sz w:val="24"/>
                <w:highlight w:val="none"/>
              </w:rPr>
              <w:t xml:space="preserve"> </w:t>
            </w:r>
            <w:r>
              <w:rPr>
                <w:rFonts w:hint="eastAsia" w:ascii="仿宋" w:hAnsi="仿宋" w:eastAsia="仿宋" w:cs="仿宋"/>
                <w:color w:val="auto"/>
                <w:spacing w:val="-9"/>
                <w:sz w:val="24"/>
                <w:highlight w:val="none"/>
              </w:rPr>
              <w:t>问题</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9"/>
                <w:sz w:val="24"/>
                <w:highlight w:val="none"/>
              </w:rPr>
              <w:t>处罚</w:t>
            </w:r>
          </w:p>
        </w:tc>
        <w:tc>
          <w:tcPr>
            <w:tcW w:w="4680" w:type="dxa"/>
            <w:vAlign w:val="center"/>
          </w:tcPr>
          <w:p>
            <w:pPr>
              <w:snapToGrid w:val="0"/>
              <w:spacing w:before="224"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1、被市治理办、市城管委和采购人单位领导发现或被通报的。</w:t>
            </w:r>
          </w:p>
        </w:tc>
        <w:tc>
          <w:tcPr>
            <w:tcW w:w="641" w:type="dxa"/>
            <w:vAlign w:val="center"/>
          </w:tcPr>
          <w:p>
            <w:pPr>
              <w:snapToGrid w:val="0"/>
              <w:spacing w:before="265" w:line="180" w:lineRule="auto"/>
              <w:ind w:firstLine="192"/>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2419" w:type="dxa"/>
            <w:vMerge w:val="restart"/>
            <w:vAlign w:val="center"/>
          </w:tcPr>
          <w:p>
            <w:pPr>
              <w:snapToGrid w:val="0"/>
              <w:spacing w:before="57"/>
              <w:ind w:left="78" w:right="62"/>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经采购人核</w:t>
            </w:r>
            <w:r>
              <w:rPr>
                <w:rFonts w:hint="eastAsia" w:ascii="仿宋" w:hAnsi="仿宋" w:eastAsia="仿宋" w:cs="仿宋"/>
                <w:color w:val="auto"/>
                <w:sz w:val="24"/>
                <w:highlight w:val="none"/>
              </w:rPr>
              <w:t>实，</w:t>
            </w:r>
            <w:r>
              <w:rPr>
                <w:rFonts w:hint="eastAsia" w:ascii="仿宋" w:hAnsi="仿宋" w:eastAsia="仿宋" w:cs="仿宋"/>
                <w:color w:val="auto"/>
                <w:spacing w:val="-2"/>
                <w:sz w:val="24"/>
                <w:highlight w:val="none"/>
              </w:rPr>
              <w:t>被市治理办、市城</w:t>
            </w:r>
            <w:r>
              <w:rPr>
                <w:rFonts w:hint="eastAsia" w:ascii="仿宋" w:hAnsi="仿宋" w:eastAsia="仿宋" w:cs="仿宋"/>
                <w:color w:val="auto"/>
                <w:sz w:val="24"/>
                <w:highlight w:val="none"/>
              </w:rPr>
              <w:t xml:space="preserve"> </w:t>
            </w:r>
            <w:r>
              <w:rPr>
                <w:rFonts w:hint="eastAsia" w:ascii="仿宋" w:hAnsi="仿宋" w:eastAsia="仿宋" w:cs="仿宋"/>
                <w:color w:val="auto"/>
                <w:spacing w:val="-2"/>
                <w:sz w:val="24"/>
                <w:highlight w:val="none"/>
              </w:rPr>
              <w:t>管委、</w:t>
            </w:r>
            <w:r>
              <w:rPr>
                <w:rFonts w:hint="eastAsia" w:ascii="仿宋" w:hAnsi="仿宋" w:eastAsia="仿宋" w:cs="仿宋"/>
                <w:color w:val="auto"/>
                <w:spacing w:val="-2"/>
                <w:sz w:val="24"/>
                <w:highlight w:val="none"/>
                <w:lang w:val="en-US" w:eastAsia="zh-CN"/>
              </w:rPr>
              <w:t>采购人单位</w:t>
            </w:r>
            <w:r>
              <w:rPr>
                <w:rFonts w:hint="eastAsia" w:ascii="仿宋" w:hAnsi="仿宋" w:eastAsia="仿宋" w:cs="仿宋"/>
                <w:color w:val="auto"/>
                <w:spacing w:val="-2"/>
                <w:sz w:val="24"/>
                <w:highlight w:val="none"/>
              </w:rPr>
              <w:t>领导发现</w:t>
            </w:r>
            <w:r>
              <w:rPr>
                <w:rFonts w:hint="eastAsia" w:ascii="仿宋" w:hAnsi="仿宋" w:eastAsia="仿宋" w:cs="仿宋"/>
                <w:color w:val="auto"/>
                <w:spacing w:val="-2"/>
                <w:sz w:val="24"/>
                <w:highlight w:val="none"/>
                <w:lang w:val="en-US" w:eastAsia="zh-CN"/>
              </w:rPr>
              <w:t>未巡查到位</w:t>
            </w:r>
            <w:r>
              <w:rPr>
                <w:rFonts w:hint="eastAsia" w:ascii="仿宋" w:hAnsi="仿宋" w:eastAsia="仿宋" w:cs="仿宋"/>
                <w:color w:val="auto"/>
                <w:spacing w:val="-2"/>
                <w:sz w:val="24"/>
                <w:highlight w:val="none"/>
              </w:rPr>
              <w:t>并被点名批评或通报，</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z w:val="24"/>
                <w:highlight w:val="none"/>
                <w:lang w:val="en-US" w:eastAsia="zh-CN"/>
              </w:rPr>
              <w:t>10</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pacing w:val="-2"/>
                <w:sz w:val="24"/>
                <w:highlight w:val="none"/>
              </w:rPr>
              <w:t>媒体曝光的而成交供应商对被批评、通报或曝光事项未有任何巡查发现记录的，</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pacing w:val="-44"/>
                <w:sz w:val="24"/>
                <w:highlight w:val="none"/>
              </w:rPr>
              <w:t>1</w:t>
            </w:r>
            <w:r>
              <w:rPr>
                <w:rFonts w:hint="eastAsia" w:ascii="仿宋" w:hAnsi="仿宋" w:eastAsia="仿宋" w:cs="仿宋"/>
                <w:color w:val="auto"/>
                <w:sz w:val="24"/>
                <w:highlight w:val="none"/>
              </w:rPr>
              <w:t>5</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；被四川省、成都市、四川天府新区党工委管委会领导检查</w:t>
            </w:r>
            <w:r>
              <w:rPr>
                <w:rFonts w:hint="eastAsia" w:ascii="仿宋" w:hAnsi="仿宋" w:eastAsia="仿宋" w:cs="仿宋"/>
                <w:color w:val="auto"/>
                <w:spacing w:val="-2"/>
                <w:sz w:val="24"/>
                <w:highlight w:val="none"/>
              </w:rPr>
              <w:t>发现</w:t>
            </w:r>
            <w:r>
              <w:rPr>
                <w:rFonts w:hint="eastAsia" w:ascii="仿宋" w:hAnsi="仿宋" w:eastAsia="仿宋" w:cs="仿宋"/>
                <w:color w:val="auto"/>
                <w:spacing w:val="-2"/>
                <w:sz w:val="24"/>
                <w:highlight w:val="none"/>
                <w:lang w:val="en-US" w:eastAsia="zh-CN"/>
              </w:rPr>
              <w:t>未巡查到位</w:t>
            </w:r>
            <w:r>
              <w:rPr>
                <w:rFonts w:hint="eastAsia" w:ascii="仿宋" w:hAnsi="仿宋" w:eastAsia="仿宋" w:cs="仿宋"/>
                <w:color w:val="auto"/>
                <w:spacing w:val="-2"/>
                <w:sz w:val="24"/>
                <w:highlight w:val="none"/>
              </w:rPr>
              <w:t>并被点名批评或通报</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z w:val="24"/>
                <w:highlight w:val="none"/>
              </w:rPr>
              <w:t>每有一</w:t>
            </w:r>
            <w:r>
              <w:rPr>
                <w:rFonts w:hint="eastAsia" w:ascii="仿宋" w:hAnsi="仿宋" w:eastAsia="仿宋" w:cs="仿宋"/>
                <w:color w:val="auto"/>
                <w:sz w:val="24"/>
                <w:highlight w:val="none"/>
                <w:lang w:val="en-US" w:eastAsia="zh-CN"/>
              </w:rPr>
              <w:t>项</w:t>
            </w:r>
            <w:r>
              <w:rPr>
                <w:rFonts w:hint="eastAsia" w:ascii="仿宋" w:hAnsi="仿宋" w:eastAsia="仿宋" w:cs="仿宋"/>
                <w:color w:val="auto"/>
                <w:sz w:val="24"/>
                <w:highlight w:val="none"/>
              </w:rPr>
              <w:t>扣</w:t>
            </w:r>
            <w:r>
              <w:rPr>
                <w:rFonts w:hint="eastAsia" w:ascii="仿宋" w:hAnsi="仿宋" w:eastAsia="仿宋" w:cs="仿宋"/>
                <w:color w:val="auto"/>
                <w:sz w:val="24"/>
                <w:highlight w:val="none"/>
                <w:lang w:val="en-US" w:eastAsia="zh-CN"/>
              </w:rPr>
              <w:t>20</w:t>
            </w:r>
            <w:r>
              <w:rPr>
                <w:rFonts w:hint="eastAsia" w:ascii="仿宋" w:hAnsi="仿宋" w:eastAsia="仿宋" w:cs="仿宋"/>
                <w:color w:val="auto"/>
                <w:spacing w:val="-2"/>
                <w:sz w:val="24"/>
                <w:highlight w:val="none"/>
              </w:rPr>
              <w:t>分</w:t>
            </w:r>
            <w:r>
              <w:rPr>
                <w:rFonts w:hint="eastAsia" w:ascii="仿宋" w:hAnsi="仿宋" w:eastAsia="仿宋" w:cs="仿宋"/>
                <w:color w:val="auto"/>
                <w:spacing w:val="-2"/>
                <w:sz w:val="24"/>
                <w:highlight w:val="none"/>
                <w:lang w:eastAsia="zh-CN"/>
              </w:rPr>
              <w:t>。</w:t>
            </w:r>
            <w:r>
              <w:rPr>
                <w:rFonts w:hint="eastAsia" w:ascii="仿宋" w:hAnsi="仿宋" w:eastAsia="仿宋" w:cs="仿宋"/>
                <w:color w:val="auto"/>
                <w:spacing w:val="-2"/>
                <w:sz w:val="24"/>
                <w:highlight w:val="none"/>
                <w:lang w:val="en-US" w:eastAsia="zh-CN"/>
              </w:rPr>
              <w:t>一次最多扣45分</w:t>
            </w:r>
            <w:r>
              <w:rPr>
                <w:rFonts w:hint="eastAsia" w:ascii="仿宋" w:hAnsi="仿宋" w:eastAsia="仿宋" w:cs="仿宋"/>
                <w:color w:val="auto"/>
                <w:spacing w:val="-6"/>
                <w:sz w:val="24"/>
                <w:highlight w:val="none"/>
              </w:rPr>
              <w:t>。</w:t>
            </w: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6" w:hRule="atLeast"/>
        </w:trPr>
        <w:tc>
          <w:tcPr>
            <w:tcW w:w="788" w:type="dxa"/>
            <w:vMerge w:val="continue"/>
            <w:vAlign w:val="center"/>
          </w:tcPr>
          <w:p>
            <w:pPr>
              <w:snapToGrid w:val="0"/>
              <w:textAlignment w:val="baseline"/>
              <w:rPr>
                <w:rFonts w:hint="eastAsia" w:ascii="仿宋" w:hAnsi="仿宋" w:eastAsia="仿宋" w:cs="仿宋"/>
                <w:color w:val="auto"/>
                <w:sz w:val="20"/>
                <w:highlight w:val="none"/>
              </w:rPr>
            </w:pPr>
          </w:p>
        </w:tc>
        <w:tc>
          <w:tcPr>
            <w:tcW w:w="4680" w:type="dxa"/>
            <w:vAlign w:val="center"/>
          </w:tcPr>
          <w:p>
            <w:pPr>
              <w:snapToGrid w:val="0"/>
              <w:spacing w:before="78" w:line="189" w:lineRule="auto"/>
              <w:textAlignment w:val="baseline"/>
              <w:rPr>
                <w:rFonts w:hint="eastAsia" w:ascii="仿宋" w:hAnsi="仿宋" w:eastAsia="仿宋" w:cs="仿宋"/>
                <w:color w:val="auto"/>
                <w:sz w:val="24"/>
                <w:highlight w:val="none"/>
              </w:rPr>
            </w:pPr>
            <w:r>
              <w:rPr>
                <w:rFonts w:hint="eastAsia" w:ascii="仿宋" w:hAnsi="仿宋" w:eastAsia="仿宋" w:cs="仿宋"/>
                <w:color w:val="auto"/>
                <w:spacing w:val="-2"/>
                <w:sz w:val="24"/>
                <w:highlight w:val="none"/>
              </w:rPr>
              <w:t>2、媒体曝光的。</w:t>
            </w:r>
          </w:p>
        </w:tc>
        <w:tc>
          <w:tcPr>
            <w:tcW w:w="641" w:type="dxa"/>
            <w:vAlign w:val="center"/>
          </w:tcPr>
          <w:p>
            <w:pPr>
              <w:snapToGrid w:val="0"/>
              <w:spacing w:before="78" w:line="180" w:lineRule="auto"/>
              <w:ind w:firstLine="192"/>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pacing w:val="-11"/>
                <w:w w:val="98"/>
                <w:sz w:val="24"/>
                <w:highlight w:val="none"/>
                <w:lang w:val="en-US" w:eastAsia="zh-CN"/>
              </w:rPr>
              <w:t>15</w:t>
            </w:r>
          </w:p>
        </w:tc>
        <w:tc>
          <w:tcPr>
            <w:tcW w:w="2419" w:type="dxa"/>
            <w:vMerge w:val="continue"/>
            <w:vAlign w:val="center"/>
          </w:tcPr>
          <w:p>
            <w:pPr>
              <w:snapToGrid w:val="0"/>
              <w:textAlignment w:val="baseline"/>
              <w:rPr>
                <w:rFonts w:hint="eastAsia" w:ascii="仿宋" w:hAnsi="仿宋" w:eastAsia="仿宋" w:cs="仿宋"/>
                <w:color w:val="auto"/>
                <w:sz w:val="20"/>
                <w:highlight w:val="none"/>
              </w:rPr>
            </w:pPr>
          </w:p>
        </w:tc>
        <w:tc>
          <w:tcPr>
            <w:tcW w:w="549" w:type="dxa"/>
            <w:vAlign w:val="center"/>
          </w:tcPr>
          <w:p>
            <w:pPr>
              <w:snapToGrid w:val="0"/>
              <w:textAlignment w:val="baseline"/>
              <w:rPr>
                <w:rFonts w:hint="eastAsia" w:ascii="仿宋" w:hAnsi="仿宋" w:eastAsia="仿宋" w:cs="仿宋"/>
                <w:color w:val="auto"/>
                <w:sz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7" w:hRule="atLeast"/>
        </w:trPr>
        <w:tc>
          <w:tcPr>
            <w:tcW w:w="788" w:type="dxa"/>
            <w:vMerge w:val="continue"/>
            <w:vAlign w:val="center"/>
          </w:tcPr>
          <w:p>
            <w:pPr>
              <w:snapToGrid w:val="0"/>
              <w:textAlignment w:val="baseline"/>
              <w:rPr>
                <w:rFonts w:hint="eastAsia" w:ascii="仿宋" w:hAnsi="仿宋" w:eastAsia="仿宋" w:cs="仿宋"/>
                <w:color w:val="auto"/>
                <w:sz w:val="20"/>
                <w:highlight w:val="none"/>
              </w:rPr>
            </w:pPr>
          </w:p>
        </w:tc>
        <w:tc>
          <w:tcPr>
            <w:tcW w:w="4680" w:type="dxa"/>
            <w:vAlign w:val="center"/>
          </w:tcPr>
          <w:p>
            <w:pPr>
              <w:snapToGrid w:val="0"/>
              <w:spacing w:before="78" w:line="189" w:lineRule="auto"/>
              <w:ind w:firstLine="23"/>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rPr>
              <w:t>3、被四川省、成都市、四川天府新区党工委管委会领导检查发现的。</w:t>
            </w:r>
          </w:p>
        </w:tc>
        <w:tc>
          <w:tcPr>
            <w:tcW w:w="641" w:type="dxa"/>
            <w:vAlign w:val="center"/>
          </w:tcPr>
          <w:p>
            <w:pPr>
              <w:snapToGrid w:val="0"/>
              <w:spacing w:before="78" w:line="180" w:lineRule="auto"/>
              <w:ind w:firstLine="192"/>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w w:val="98"/>
                <w:sz w:val="24"/>
                <w:highlight w:val="none"/>
                <w:lang w:val="en-US" w:eastAsia="zh-CN"/>
              </w:rPr>
              <w:t>20</w:t>
            </w:r>
          </w:p>
        </w:tc>
        <w:tc>
          <w:tcPr>
            <w:tcW w:w="2419" w:type="dxa"/>
            <w:vMerge w:val="continue"/>
            <w:vAlign w:val="center"/>
          </w:tcPr>
          <w:p>
            <w:pPr>
              <w:snapToGrid w:val="0"/>
              <w:textAlignment w:val="baseline"/>
              <w:rPr>
                <w:rFonts w:hint="eastAsia" w:ascii="仿宋" w:hAnsi="仿宋" w:eastAsia="仿宋" w:cs="仿宋"/>
                <w:color w:val="auto"/>
                <w:sz w:val="20"/>
                <w:highlight w:val="none"/>
              </w:rPr>
            </w:pPr>
          </w:p>
        </w:tc>
        <w:tc>
          <w:tcPr>
            <w:tcW w:w="549" w:type="dxa"/>
            <w:vAlign w:val="center"/>
          </w:tcPr>
          <w:p>
            <w:pPr>
              <w:snapToGrid w:val="0"/>
              <w:textAlignment w:val="baseline"/>
              <w:rPr>
                <w:rFonts w:hint="eastAsia" w:ascii="仿宋" w:hAnsi="仿宋" w:eastAsia="仿宋" w:cs="仿宋"/>
                <w:color w:val="auto"/>
                <w:sz w:val="20"/>
                <w:highlight w:val="none"/>
              </w:rPr>
            </w:pPr>
          </w:p>
        </w:tc>
      </w:tr>
    </w:tbl>
    <w:p>
      <w:pPr>
        <w:snapToGrid w:val="0"/>
        <w:textAlignment w:val="baseline"/>
        <w:rPr>
          <w:rFonts w:hint="eastAsia" w:ascii="仿宋" w:hAnsi="仿宋" w:eastAsia="仿宋" w:cs="仿宋"/>
          <w:color w:val="auto"/>
          <w:sz w:val="20"/>
          <w:highlight w:val="none"/>
        </w:rPr>
      </w:pPr>
    </w:p>
    <w:p>
      <w:pPr>
        <w:snapToGrid w:val="0"/>
        <w:spacing w:line="37" w:lineRule="exact"/>
        <w:textAlignment w:val="baseline"/>
        <w:rPr>
          <w:rFonts w:hint="eastAsia" w:ascii="仿宋" w:hAnsi="仿宋" w:eastAsia="仿宋" w:cs="仿宋"/>
          <w:color w:val="auto"/>
          <w:sz w:val="20"/>
          <w:highlight w:val="none"/>
        </w:rPr>
      </w:pPr>
    </w:p>
    <w:p>
      <w:pPr>
        <w:snapToGrid w:val="0"/>
        <w:spacing w:line="444" w:lineRule="auto"/>
        <w:textAlignment w:val="baseline"/>
        <w:rPr>
          <w:rFonts w:hint="eastAsia" w:ascii="仿宋" w:hAnsi="仿宋" w:eastAsia="仿宋" w:cs="仿宋"/>
          <w:color w:val="auto"/>
          <w:sz w:val="20"/>
          <w:highlight w:val="none"/>
        </w:rPr>
      </w:pP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2、考核结果处理办法</w:t>
      </w:r>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月末考核得分,80-85 分（包含80分、不包含85分）的，扣罚合同款（85-当月考核得分）*1000 元，</w:t>
      </w:r>
      <w:r>
        <w:rPr>
          <w:rFonts w:hint="eastAsia" w:ascii="仿宋" w:hAnsi="仿宋" w:eastAsia="仿宋" w:cs="仿宋"/>
          <w:color w:val="auto"/>
          <w:sz w:val="24"/>
          <w:highlight w:val="none"/>
          <w:lang w:val="en-US" w:eastAsia="zh-CN"/>
        </w:rPr>
        <w:t>一年内</w:t>
      </w:r>
      <w:r>
        <w:rPr>
          <w:rFonts w:hint="eastAsia" w:ascii="仿宋" w:hAnsi="仿宋" w:eastAsia="仿宋" w:cs="仿宋"/>
          <w:color w:val="auto"/>
          <w:sz w:val="24"/>
          <w:highlight w:val="none"/>
        </w:rPr>
        <w:t>出现三个月得分情况均为80-85分的，则更换项目负责人并扣罚合同款 5000 元；月末考核得分在 80 分以下（不包含80分）的，扣罚合同款（80-当月考核得分）*2000 元，</w:t>
      </w:r>
      <w:r>
        <w:rPr>
          <w:rFonts w:hint="eastAsia" w:ascii="仿宋" w:hAnsi="仿宋" w:eastAsia="仿宋" w:cs="仿宋"/>
          <w:color w:val="auto"/>
          <w:sz w:val="24"/>
          <w:highlight w:val="none"/>
          <w:lang w:val="en-US" w:eastAsia="zh-CN"/>
        </w:rPr>
        <w:t>一年内</w:t>
      </w:r>
      <w:r>
        <w:rPr>
          <w:rFonts w:hint="eastAsia" w:ascii="仿宋" w:hAnsi="仿宋" w:eastAsia="仿宋" w:cs="仿宋"/>
          <w:color w:val="auto"/>
          <w:sz w:val="24"/>
          <w:highlight w:val="none"/>
        </w:rPr>
        <w:t>出现三个月得分情况均为80分以下的，则直接扣罚10000元，且采购人有权直接解除合同。</w:t>
      </w:r>
    </w:p>
    <w:p>
      <w:pPr>
        <w:pStyle w:val="16"/>
        <w:snapToGrid w:val="0"/>
        <w:textAlignment w:val="baseline"/>
        <w:rPr>
          <w:rFonts w:hint="eastAsia" w:ascii="仿宋" w:hAnsi="仿宋" w:eastAsia="仿宋" w:cs="仿宋"/>
          <w:color w:val="auto"/>
          <w:highlight w:val="none"/>
        </w:rPr>
      </w:pPr>
    </w:p>
    <w:p>
      <w:pPr>
        <w:snapToGrid w:val="0"/>
        <w:spacing w:before="78" w:line="214" w:lineRule="auto"/>
        <w:ind w:right="1"/>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pacing w:val="-1"/>
          <w:sz w:val="24"/>
          <w:highlight w:val="none"/>
          <w14:textOutline w14:w="4356" w14:cap="sq" w14:cmpd="sng" w14:algn="ctr">
            <w14:solidFill>
              <w14:srgbClr w14:val="000000"/>
            </w14:solidFill>
            <w14:prstDash w14:val="solid"/>
            <w14:bevel/>
          </w14:textOutline>
        </w:rPr>
        <w:t>考核评分汇总表（月份）</w:t>
      </w:r>
    </w:p>
    <w:p>
      <w:pPr>
        <w:snapToGrid w:val="0"/>
        <w:spacing w:line="31" w:lineRule="exact"/>
        <w:textAlignment w:val="baseline"/>
        <w:rPr>
          <w:rFonts w:hint="eastAsia" w:ascii="仿宋" w:hAnsi="仿宋" w:eastAsia="仿宋" w:cs="仿宋"/>
          <w:color w:val="auto"/>
          <w:sz w:val="20"/>
          <w:highlight w:val="none"/>
        </w:rPr>
      </w:pPr>
    </w:p>
    <w:tbl>
      <w:tblPr>
        <w:tblStyle w:val="76"/>
        <w:tblW w:w="90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1498"/>
        <w:gridCol w:w="1400"/>
        <w:gridCol w:w="1607"/>
        <w:gridCol w:w="1642"/>
        <w:gridCol w:w="15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366" w:type="dxa"/>
          </w:tcPr>
          <w:p>
            <w:pPr>
              <w:snapToGrid w:val="0"/>
              <w:spacing w:line="243" w:lineRule="auto"/>
              <w:textAlignment w:val="baseline"/>
              <w:rPr>
                <w:rFonts w:hint="eastAsia" w:ascii="仿宋" w:hAnsi="仿宋" w:eastAsia="仿宋" w:cs="仿宋"/>
                <w:color w:val="auto"/>
                <w:sz w:val="20"/>
                <w:highlight w:val="none"/>
              </w:rPr>
            </w:pPr>
          </w:p>
          <w:p>
            <w:pPr>
              <w:snapToGrid w:val="0"/>
              <w:spacing w:before="78" w:line="189" w:lineRule="auto"/>
              <w:ind w:firstLine="131"/>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公司名称</w:t>
            </w:r>
          </w:p>
        </w:tc>
        <w:tc>
          <w:tcPr>
            <w:tcW w:w="1498" w:type="dxa"/>
          </w:tcPr>
          <w:p>
            <w:pPr>
              <w:snapToGrid w:val="0"/>
              <w:spacing w:before="120" w:line="274" w:lineRule="auto"/>
              <w:ind w:left="444" w:right="166" w:hanging="259"/>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公司管理</w:t>
            </w:r>
            <w:r>
              <w:rPr>
                <w:rFonts w:hint="eastAsia" w:ascii="仿宋" w:hAnsi="仿宋" w:eastAsia="仿宋" w:cs="仿宋"/>
                <w:color w:val="auto"/>
                <w:spacing w:val="1"/>
                <w:sz w:val="24"/>
                <w:highlight w:val="none"/>
              </w:rPr>
              <w:t xml:space="preserve"> </w:t>
            </w: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9</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分</w:t>
            </w:r>
          </w:p>
        </w:tc>
        <w:tc>
          <w:tcPr>
            <w:tcW w:w="1400" w:type="dxa"/>
          </w:tcPr>
          <w:p>
            <w:pPr>
              <w:snapToGrid w:val="0"/>
              <w:spacing w:before="120" w:line="274" w:lineRule="auto"/>
              <w:ind w:left="341" w:right="142" w:hanging="218"/>
              <w:textAlignment w:val="baseline"/>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14:textOutline w14:w="4356" w14:cap="sq" w14:cmpd="sng" w14:algn="ctr">
                  <w14:solidFill>
                    <w14:srgbClr w14:val="000000"/>
                  </w14:solidFill>
                  <w14:prstDash w14:val="solid"/>
                  <w14:bevel/>
                </w14:textOutline>
              </w:rPr>
              <w:t>巡查要求</w:t>
            </w:r>
            <w:r>
              <w:rPr>
                <w:rFonts w:hint="eastAsia" w:ascii="仿宋" w:hAnsi="仿宋" w:eastAsia="仿宋" w:cs="仿宋"/>
                <w:color w:val="auto"/>
                <w:spacing w:val="3"/>
                <w:sz w:val="24"/>
                <w:highlight w:val="none"/>
              </w:rPr>
              <w:t xml:space="preserve"> </w:t>
            </w:r>
            <w:r>
              <w:rPr>
                <w:rFonts w:hint="eastAsia" w:ascii="仿宋" w:hAnsi="仿宋" w:eastAsia="仿宋" w:cs="仿宋"/>
                <w:color w:val="auto"/>
                <w:spacing w:val="-3"/>
                <w:sz w:val="24"/>
                <w:highlight w:val="none"/>
                <w14:textOutline w14:w="4356" w14:cap="sq" w14:cmpd="sng" w14:algn="ctr">
                  <w14:solidFill>
                    <w14:srgbClr w14:val="000000"/>
                  </w14:solidFill>
                  <w14:prstDash w14:val="solid"/>
                  <w14:bevel/>
                </w14:textOutline>
              </w:rPr>
              <w:t>46</w:t>
            </w:r>
            <w:r>
              <w:rPr>
                <w:rFonts w:hint="eastAsia" w:ascii="仿宋" w:hAnsi="仿宋" w:eastAsia="仿宋" w:cs="仿宋"/>
                <w:color w:val="auto"/>
                <w:spacing w:val="-40"/>
                <w:sz w:val="24"/>
                <w:highlight w:val="none"/>
              </w:rPr>
              <w:t xml:space="preserve"> </w:t>
            </w:r>
            <w:r>
              <w:rPr>
                <w:rFonts w:hint="eastAsia" w:ascii="仿宋" w:hAnsi="仿宋" w:eastAsia="仿宋" w:cs="仿宋"/>
                <w:color w:val="auto"/>
                <w:spacing w:val="-3"/>
                <w:sz w:val="24"/>
                <w:highlight w:val="none"/>
                <w14:textOutline w14:w="4356" w14:cap="sq" w14:cmpd="sng" w14:algn="ctr">
                  <w14:solidFill>
                    <w14:srgbClr w14:val="000000"/>
                  </w14:solidFill>
                  <w14:prstDash w14:val="solid"/>
                  <w14:bevel/>
                </w14:textOutline>
              </w:rPr>
              <w:t>分</w:t>
            </w:r>
          </w:p>
        </w:tc>
        <w:tc>
          <w:tcPr>
            <w:tcW w:w="1607" w:type="dxa"/>
          </w:tcPr>
          <w:p>
            <w:pPr>
              <w:snapToGrid w:val="0"/>
              <w:spacing w:before="120" w:line="274" w:lineRule="auto"/>
              <w:ind w:left="430" w:right="211" w:hanging="192"/>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曝光问题</w:t>
            </w:r>
            <w:r>
              <w:rPr>
                <w:rFonts w:hint="eastAsia" w:ascii="仿宋" w:hAnsi="仿宋" w:eastAsia="仿宋" w:cs="仿宋"/>
                <w:color w:val="auto"/>
                <w:spacing w:val="2"/>
                <w:sz w:val="24"/>
                <w:highlight w:val="none"/>
              </w:rPr>
              <w:t xml:space="preserve"> </w:t>
            </w:r>
            <w:r>
              <w:rPr>
                <w:rFonts w:hint="eastAsia" w:ascii="仿宋" w:hAnsi="仿宋" w:eastAsia="仿宋" w:cs="仿宋"/>
                <w:color w:val="auto"/>
                <w:spacing w:val="-2"/>
                <w:sz w:val="24"/>
                <w:highlight w:val="none"/>
                <w14:textOutline w14:w="4356" w14:cap="sq" w14:cmpd="sng" w14:algn="ctr">
                  <w14:solidFill>
                    <w14:srgbClr w14:val="000000"/>
                  </w14:solidFill>
                  <w14:prstDash w14:val="solid"/>
                  <w14:bevel/>
                </w14:textOutline>
              </w:rPr>
              <w:t>45</w:t>
            </w:r>
            <w:r>
              <w:rPr>
                <w:rFonts w:hint="eastAsia" w:ascii="仿宋" w:hAnsi="仿宋" w:eastAsia="仿宋" w:cs="仿宋"/>
                <w:color w:val="auto"/>
                <w:spacing w:val="-41"/>
                <w:sz w:val="24"/>
                <w:highlight w:val="none"/>
              </w:rPr>
              <w:t xml:space="preserve"> </w:t>
            </w:r>
            <w:r>
              <w:rPr>
                <w:rFonts w:hint="eastAsia" w:ascii="仿宋" w:hAnsi="仿宋" w:eastAsia="仿宋" w:cs="仿宋"/>
                <w:color w:val="auto"/>
                <w:spacing w:val="-2"/>
                <w:sz w:val="24"/>
                <w:highlight w:val="none"/>
                <w14:textOutline w14:w="4356" w14:cap="sq" w14:cmpd="sng" w14:algn="ctr">
                  <w14:solidFill>
                    <w14:srgbClr w14:val="000000"/>
                  </w14:solidFill>
                  <w14:prstDash w14:val="solid"/>
                  <w14:bevel/>
                </w14:textOutline>
              </w:rPr>
              <w:t>分</w:t>
            </w:r>
          </w:p>
        </w:tc>
        <w:tc>
          <w:tcPr>
            <w:tcW w:w="1642" w:type="dxa"/>
          </w:tcPr>
          <w:p>
            <w:pPr>
              <w:snapToGrid w:val="0"/>
              <w:spacing w:before="119" w:line="468" w:lineRule="exact"/>
              <w:ind w:firstLine="377"/>
              <w:textAlignment w:val="baseline"/>
              <w:rPr>
                <w:rFonts w:hint="eastAsia" w:ascii="仿宋" w:hAnsi="仿宋" w:eastAsia="仿宋" w:cs="仿宋"/>
                <w:color w:val="auto"/>
                <w:sz w:val="24"/>
                <w:highlight w:val="none"/>
              </w:rPr>
            </w:pPr>
            <w:r>
              <w:rPr>
                <w:rFonts w:hint="eastAsia" w:ascii="仿宋" w:hAnsi="仿宋" w:eastAsia="仿宋" w:cs="仿宋"/>
                <w:color w:val="auto"/>
                <w:spacing w:val="-9"/>
                <w:position w:val="16"/>
                <w:sz w:val="24"/>
                <w:highlight w:val="none"/>
                <w14:textOutline w14:w="4356" w14:cap="sq" w14:cmpd="sng" w14:algn="ctr">
                  <w14:solidFill>
                    <w14:srgbClr w14:val="000000"/>
                  </w14:solidFill>
                  <w14:prstDash w14:val="solid"/>
                  <w14:bevel/>
                </w14:textOutline>
              </w:rPr>
              <w:t>月总分</w:t>
            </w:r>
          </w:p>
          <w:p>
            <w:pPr>
              <w:snapToGrid w:val="0"/>
              <w:spacing w:before="1" w:line="204" w:lineRule="auto"/>
              <w:ind w:firstLine="407"/>
              <w:textAlignment w:val="baseline"/>
              <w:rPr>
                <w:rFonts w:hint="eastAsia" w:ascii="仿宋" w:hAnsi="仿宋" w:eastAsia="仿宋" w:cs="仿宋"/>
                <w:color w:val="auto"/>
                <w:sz w:val="24"/>
                <w:highlight w:val="none"/>
              </w:rPr>
            </w:pP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100</w:t>
            </w:r>
            <w:r>
              <w:rPr>
                <w:rFonts w:hint="eastAsia" w:ascii="仿宋" w:hAnsi="仿宋" w:eastAsia="仿宋" w:cs="仿宋"/>
                <w:color w:val="auto"/>
                <w:spacing w:val="-42"/>
                <w:sz w:val="24"/>
                <w:highlight w:val="none"/>
              </w:rPr>
              <w:t xml:space="preserve"> </w:t>
            </w:r>
            <w:r>
              <w:rPr>
                <w:rFonts w:hint="eastAsia" w:ascii="仿宋" w:hAnsi="仿宋" w:eastAsia="仿宋" w:cs="仿宋"/>
                <w:color w:val="auto"/>
                <w:spacing w:val="-6"/>
                <w:sz w:val="24"/>
                <w:highlight w:val="none"/>
                <w14:textOutline w14:w="4356" w14:cap="sq" w14:cmpd="sng" w14:algn="ctr">
                  <w14:solidFill>
                    <w14:srgbClr w14:val="000000"/>
                  </w14:solidFill>
                  <w14:prstDash w14:val="solid"/>
                  <w14:bevel/>
                </w14:textOutline>
              </w:rPr>
              <w:t>分</w:t>
            </w:r>
          </w:p>
        </w:tc>
        <w:tc>
          <w:tcPr>
            <w:tcW w:w="1566" w:type="dxa"/>
          </w:tcPr>
          <w:p>
            <w:pPr>
              <w:snapToGrid w:val="0"/>
              <w:spacing w:before="119" w:line="468" w:lineRule="exact"/>
              <w:ind w:firstLine="452"/>
              <w:textAlignment w:val="baseline"/>
              <w:rPr>
                <w:rFonts w:hint="eastAsia" w:ascii="仿宋" w:hAnsi="仿宋" w:eastAsia="仿宋" w:cs="仿宋"/>
                <w:color w:val="auto"/>
                <w:sz w:val="24"/>
                <w:highlight w:val="none"/>
              </w:rPr>
            </w:pPr>
            <w:r>
              <w:rPr>
                <w:rFonts w:hint="eastAsia" w:ascii="仿宋" w:hAnsi="仿宋" w:eastAsia="仿宋" w:cs="仿宋"/>
                <w:color w:val="auto"/>
                <w:spacing w:val="-9"/>
                <w:position w:val="16"/>
                <w:sz w:val="24"/>
                <w:highlight w:val="none"/>
                <w14:textOutline w14:w="4356" w14:cap="sq" w14:cmpd="sng" w14:algn="ctr">
                  <w14:solidFill>
                    <w14:srgbClr w14:val="000000"/>
                  </w14:solidFill>
                  <w14:prstDash w14:val="solid"/>
                  <w14:bevel/>
                </w14:textOutline>
              </w:rPr>
              <w:t>考核</w:t>
            </w:r>
          </w:p>
          <w:p>
            <w:pPr>
              <w:snapToGrid w:val="0"/>
              <w:spacing w:before="1" w:line="204" w:lineRule="auto"/>
              <w:ind w:firstLine="456"/>
              <w:textAlignment w:val="baseline"/>
              <w:rPr>
                <w:rFonts w:hint="eastAsia" w:ascii="仿宋" w:hAnsi="仿宋" w:eastAsia="仿宋" w:cs="仿宋"/>
                <w:color w:val="auto"/>
                <w:sz w:val="24"/>
                <w:highlight w:val="none"/>
              </w:rPr>
            </w:pPr>
            <w:r>
              <w:rPr>
                <w:rFonts w:hint="eastAsia" w:ascii="仿宋" w:hAnsi="仿宋" w:eastAsia="仿宋" w:cs="仿宋"/>
                <w:color w:val="auto"/>
                <w:spacing w:val="-11"/>
                <w:sz w:val="24"/>
                <w:highlight w:val="none"/>
                <w14:textOutline w14:w="4356" w14:cap="sq" w14:cmpd="sng" w14:algn="ctr">
                  <w14:solidFill>
                    <w14:srgbClr w14:val="000000"/>
                  </w14:solidFill>
                  <w14:prstDash w14:val="solid"/>
                  <w14:bevel/>
                </w14:textOutline>
              </w:rPr>
              <w:t>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66" w:type="dxa"/>
          </w:tcPr>
          <w:p>
            <w:pPr>
              <w:snapToGrid w:val="0"/>
              <w:textAlignment w:val="baseline"/>
              <w:rPr>
                <w:rFonts w:hint="eastAsia" w:ascii="仿宋" w:hAnsi="仿宋" w:eastAsia="仿宋" w:cs="仿宋"/>
                <w:color w:val="auto"/>
                <w:sz w:val="20"/>
                <w:highlight w:val="none"/>
              </w:rPr>
            </w:pPr>
          </w:p>
        </w:tc>
        <w:tc>
          <w:tcPr>
            <w:tcW w:w="1498" w:type="dxa"/>
          </w:tcPr>
          <w:p>
            <w:pPr>
              <w:snapToGrid w:val="0"/>
              <w:textAlignment w:val="baseline"/>
              <w:rPr>
                <w:rFonts w:hint="eastAsia" w:ascii="仿宋" w:hAnsi="仿宋" w:eastAsia="仿宋" w:cs="仿宋"/>
                <w:color w:val="auto"/>
                <w:sz w:val="20"/>
                <w:highlight w:val="none"/>
              </w:rPr>
            </w:pPr>
          </w:p>
        </w:tc>
        <w:tc>
          <w:tcPr>
            <w:tcW w:w="1400" w:type="dxa"/>
          </w:tcPr>
          <w:p>
            <w:pPr>
              <w:snapToGrid w:val="0"/>
              <w:textAlignment w:val="baseline"/>
              <w:rPr>
                <w:rFonts w:hint="eastAsia" w:ascii="仿宋" w:hAnsi="仿宋" w:eastAsia="仿宋" w:cs="仿宋"/>
                <w:color w:val="auto"/>
                <w:sz w:val="20"/>
                <w:highlight w:val="none"/>
              </w:rPr>
            </w:pPr>
          </w:p>
        </w:tc>
        <w:tc>
          <w:tcPr>
            <w:tcW w:w="1607" w:type="dxa"/>
          </w:tcPr>
          <w:p>
            <w:pPr>
              <w:snapToGrid w:val="0"/>
              <w:textAlignment w:val="baseline"/>
              <w:rPr>
                <w:rFonts w:hint="eastAsia" w:ascii="仿宋" w:hAnsi="仿宋" w:eastAsia="仿宋" w:cs="仿宋"/>
                <w:color w:val="auto"/>
                <w:sz w:val="20"/>
                <w:highlight w:val="none"/>
              </w:rPr>
            </w:pPr>
          </w:p>
        </w:tc>
        <w:tc>
          <w:tcPr>
            <w:tcW w:w="1642" w:type="dxa"/>
          </w:tcPr>
          <w:p>
            <w:pPr>
              <w:snapToGrid w:val="0"/>
              <w:textAlignment w:val="baseline"/>
              <w:rPr>
                <w:rFonts w:hint="eastAsia" w:ascii="仿宋" w:hAnsi="仿宋" w:eastAsia="仿宋" w:cs="仿宋"/>
                <w:color w:val="auto"/>
                <w:sz w:val="20"/>
                <w:highlight w:val="none"/>
              </w:rPr>
            </w:pPr>
          </w:p>
        </w:tc>
        <w:tc>
          <w:tcPr>
            <w:tcW w:w="1566" w:type="dxa"/>
          </w:tcPr>
          <w:p>
            <w:pPr>
              <w:snapToGrid w:val="0"/>
              <w:textAlignment w:val="baseline"/>
              <w:rPr>
                <w:rFonts w:hint="eastAsia" w:ascii="仿宋" w:hAnsi="仿宋" w:eastAsia="仿宋" w:cs="仿宋"/>
                <w:color w:val="auto"/>
                <w:sz w:val="20"/>
                <w:highlight w:val="none"/>
              </w:rPr>
            </w:pPr>
          </w:p>
        </w:tc>
      </w:tr>
    </w:tbl>
    <w:p>
      <w:pPr>
        <w:pStyle w:val="73"/>
        <w:snapToGrid w:val="0"/>
        <w:spacing w:line="360" w:lineRule="auto"/>
        <w:ind w:firstLine="0" w:firstLineChars="0"/>
        <w:textAlignment w:val="baseline"/>
        <w:rPr>
          <w:rFonts w:hint="eastAsia" w:ascii="仿宋" w:hAnsi="仿宋" w:eastAsia="仿宋" w:cs="仿宋"/>
          <w:color w:val="auto"/>
          <w:sz w:val="24"/>
          <w:highlight w:val="none"/>
        </w:rPr>
      </w:pPr>
    </w:p>
    <w:p>
      <w:pPr>
        <w:snapToGrid w:val="0"/>
        <w:spacing w:line="360" w:lineRule="auto"/>
        <w:ind w:firstLine="480" w:firstLineChars="200"/>
        <w:jc w:val="left"/>
        <w:textAlignment w:val="baseline"/>
        <w:rPr>
          <w:rFonts w:hint="eastAsia" w:ascii="仿宋" w:hAnsi="仿宋" w:eastAsia="仿宋" w:cs="仿宋"/>
          <w:color w:val="auto"/>
          <w:sz w:val="24"/>
          <w:highlight w:val="none"/>
        </w:rPr>
      </w:pPr>
    </w:p>
    <w:p>
      <w:pPr>
        <w:snapToGrid w:val="0"/>
        <w:spacing w:line="360" w:lineRule="auto"/>
        <w:ind w:firstLine="482" w:firstLineChars="200"/>
        <w:jc w:val="left"/>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第五条 知识产权</w:t>
      </w:r>
      <w:bookmarkEnd w:id="92"/>
      <w:bookmarkEnd w:id="93"/>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乙方应保证所提供的服务或其任何一部分均不会侵犯任何第三方的专利权、商标权、著作权或其他合法权益，否则甲方将积极采取措施维护己方的合法权益，由此给甲方造成的一切损失（包括但不限于甲方主张权利而产生的保全费、诉讼费、律师费等费用），乙方负全部责任。</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94" w:name="_Toc8040"/>
      <w:bookmarkStart w:id="95" w:name="_Toc22044"/>
      <w:r>
        <w:rPr>
          <w:rFonts w:hint="eastAsia" w:ascii="仿宋" w:hAnsi="仿宋" w:eastAsia="仿宋" w:cs="仿宋"/>
          <w:b/>
          <w:bCs/>
          <w:color w:val="auto"/>
          <w:sz w:val="24"/>
          <w:highlight w:val="none"/>
        </w:rPr>
        <w:t>第六条 无产权瑕疵条款</w:t>
      </w:r>
      <w:bookmarkEnd w:id="94"/>
      <w:bookmarkEnd w:id="95"/>
    </w:p>
    <w:p>
      <w:pPr>
        <w:tabs>
          <w:tab w:val="left" w:pos="144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乙方保证所提供的服务的所有权完全属于乙方且无任何抵押、查封等产权瑕疵。如有产权瑕疵的，视为乙方违约。乙方应负担由此而产生的一切损失。</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96" w:name="_Toc26772"/>
      <w:bookmarkStart w:id="97" w:name="_Toc30261"/>
      <w:r>
        <w:rPr>
          <w:rFonts w:hint="eastAsia" w:ascii="仿宋" w:hAnsi="仿宋" w:eastAsia="仿宋" w:cs="仿宋"/>
          <w:b/>
          <w:bCs/>
          <w:color w:val="auto"/>
          <w:sz w:val="24"/>
          <w:highlight w:val="none"/>
        </w:rPr>
        <w:t>第七条 甲方的权利和义务</w:t>
      </w:r>
      <w:bookmarkEnd w:id="96"/>
      <w:bookmarkEnd w:id="97"/>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甲方有权对合同规定范围内乙方的服务行为进行监督和检查，拥有监管权。有权定期核对乙方提供服务所配备的人员数量，未经甲方书面许可，乙方不得擅自更换服务团队成员。对甲方认为不合理的部分有权下达整改通知书，并要求乙方限期整改。</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3、负责检查监督乙方管理工作的实施及制度的执行情况。</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4、根据本合同规定，按时向乙方支付应付服务费用。</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5、国家法律、法规所规定由甲方承担的其它责任。</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98" w:name="_Toc31019"/>
      <w:bookmarkStart w:id="99" w:name="_Toc27528"/>
      <w:r>
        <w:rPr>
          <w:rFonts w:hint="eastAsia" w:ascii="仿宋" w:hAnsi="仿宋" w:eastAsia="仿宋" w:cs="仿宋"/>
          <w:b/>
          <w:bCs/>
          <w:color w:val="auto"/>
          <w:sz w:val="24"/>
          <w:highlight w:val="none"/>
        </w:rPr>
        <w:t>第八条 乙方的权利和义务</w:t>
      </w:r>
      <w:bookmarkEnd w:id="98"/>
      <w:bookmarkEnd w:id="99"/>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1、对本合同规定的委托服务范围内的项目享有管理权及服务义务。</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2、根据本合同的规定向甲方收取相关服务费用，并有权在本项目管理范围内管理及合理使用。</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3、及时向甲方通告本项目服务范围内有关服务的重大事项，及时配合处理投诉。</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4、接受项目行业管理部门及政府有关部门的指导，接受甲方的监督。</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5、应当负责处理好与派驻甲方、协助甲方处理相关工作的人员的劳动关系或劳务关系，由此产生的一切法律后果由乙方自行承担。</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6、国家法律、法规所规定由乙方承担的其它责任。</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100" w:name="_Toc30436"/>
      <w:bookmarkStart w:id="101" w:name="_Toc7746"/>
      <w:r>
        <w:rPr>
          <w:rFonts w:hint="eastAsia" w:ascii="仿宋" w:hAnsi="仿宋" w:eastAsia="仿宋" w:cs="仿宋"/>
          <w:b/>
          <w:bCs/>
          <w:color w:val="auto"/>
          <w:sz w:val="24"/>
          <w:highlight w:val="none"/>
        </w:rPr>
        <w:t>第九条 违约责任</w:t>
      </w:r>
      <w:bookmarkEnd w:id="100"/>
      <w:bookmarkEnd w:id="101"/>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1、甲乙双方必须遵守本合同并执行合同中的各项规定，保证本合同的正常履行。</w:t>
      </w:r>
    </w:p>
    <w:p>
      <w:pPr>
        <w:snapToGrid w:val="0"/>
        <w:spacing w:line="360" w:lineRule="auto"/>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widowControl/>
        <w:snapToGrid w:val="0"/>
        <w:spacing w:line="360" w:lineRule="auto"/>
        <w:ind w:firstLine="480" w:firstLineChars="200"/>
        <w:textAlignment w:val="baseline"/>
        <w:rPr>
          <w:rFonts w:hint="eastAsia" w:ascii="仿宋" w:hAnsi="仿宋" w:eastAsia="仿宋" w:cs="仿宋"/>
          <w:color w:val="auto"/>
          <w:highlight w:val="none"/>
        </w:rPr>
      </w:pPr>
      <w:r>
        <w:rPr>
          <w:rFonts w:hint="eastAsia" w:ascii="仿宋" w:hAnsi="仿宋" w:eastAsia="仿宋" w:cs="仿宋"/>
          <w:color w:val="auto"/>
          <w:sz w:val="24"/>
          <w:highlight w:val="none"/>
        </w:rPr>
        <w:t>3、除本合同另有约定外，若乙方未按照合同约定或甲方要求提供服务的，每发生一次视为一次违约（涉及日期天数的，每逾期一日/天视为一次违约），甲方有权要求乙方整改并按照人民币2000元/次的标准支付违约金（乙方应支付违约金、赔偿金的，甲方有权直接在应付款中扣除），合同期限内，乙方发生三次以上违约、乙方拒绝整改或者同一违约事项整改超过三次的，甲方有权单方解除合同（合同自解除通知发出后的第七日即解除），相关费用按照实际服务时间</w:t>
      </w:r>
      <w:r>
        <w:rPr>
          <w:rStyle w:val="34"/>
          <w:rFonts w:hint="eastAsia" w:ascii="仿宋" w:hAnsi="仿宋" w:eastAsia="仿宋" w:cs="仿宋"/>
          <w:color w:val="auto"/>
          <w:highlight w:val="none"/>
          <w:lang w:val="en-US" w:eastAsia="zh-CN"/>
        </w:rPr>
        <w:t>的</w:t>
      </w:r>
      <w:r>
        <w:rPr>
          <w:rFonts w:hint="eastAsia" w:ascii="仿宋" w:hAnsi="仿宋" w:eastAsia="仿宋" w:cs="仿宋"/>
          <w:color w:val="auto"/>
          <w:sz w:val="24"/>
          <w:highlight w:val="none"/>
          <w:lang w:val="en-US" w:eastAsia="zh-CN"/>
        </w:rPr>
        <w:t>比例折算</w:t>
      </w:r>
      <w:r>
        <w:rPr>
          <w:rFonts w:hint="eastAsia" w:ascii="仿宋" w:hAnsi="仿宋" w:eastAsia="仿宋" w:cs="仿宋"/>
          <w:color w:val="auto"/>
          <w:sz w:val="24"/>
          <w:highlight w:val="none"/>
        </w:rPr>
        <w:t>。</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102" w:name="_Toc31004"/>
      <w:bookmarkStart w:id="103" w:name="_Toc30468"/>
      <w:r>
        <w:rPr>
          <w:rFonts w:hint="eastAsia" w:ascii="仿宋" w:hAnsi="仿宋" w:eastAsia="仿宋" w:cs="仿宋"/>
          <w:b/>
          <w:bCs/>
          <w:color w:val="auto"/>
          <w:sz w:val="24"/>
          <w:highlight w:val="none"/>
        </w:rPr>
        <w:t>第十条 不可抗力事件处理</w:t>
      </w:r>
      <w:bookmarkEnd w:id="102"/>
      <w:bookmarkEnd w:id="103"/>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1、在合同有效期内，任何一方因不可抗力事件导致不能履行合同，双方协商后合同履行期可延长，其延长期与不可抗力影响期相同。</w:t>
      </w:r>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2、不可抗力事件发生后，应立即通知对方，并在7日内寄送有关权威机构出具的证明。</w:t>
      </w:r>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3、不可抗力事件延续15天以上，双方应通过友好协商，确定是否继续履行合同。</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104" w:name="_Toc239568423"/>
      <w:bookmarkStart w:id="105" w:name="_Toc239233919"/>
      <w:bookmarkStart w:id="106" w:name="_Toc225670756"/>
      <w:bookmarkStart w:id="107" w:name="_Toc286993792"/>
      <w:bookmarkStart w:id="108" w:name="_Toc4796"/>
      <w:bookmarkStart w:id="109" w:name="_Toc225654649"/>
      <w:bookmarkStart w:id="110" w:name="_Toc185395254"/>
      <w:bookmarkStart w:id="111" w:name="_Toc241833908"/>
      <w:bookmarkStart w:id="112" w:name="_Toc211911353"/>
      <w:bookmarkStart w:id="113" w:name="_Toc251768867"/>
      <w:bookmarkStart w:id="114" w:name="_Toc225244857"/>
      <w:bookmarkStart w:id="115" w:name="_Toc247334846"/>
      <w:bookmarkStart w:id="116" w:name="_Toc28381"/>
      <w:bookmarkStart w:id="117" w:name="_Toc237145411"/>
      <w:bookmarkStart w:id="118" w:name="_Toc232492933"/>
      <w:bookmarkStart w:id="119" w:name="_Toc211854454"/>
      <w:bookmarkStart w:id="120" w:name="_Toc212019599"/>
      <w:bookmarkStart w:id="121" w:name="_Toc238984980"/>
      <w:r>
        <w:rPr>
          <w:rFonts w:hint="eastAsia" w:ascii="仿宋" w:hAnsi="仿宋" w:eastAsia="仿宋" w:cs="仿宋"/>
          <w:b/>
          <w:bCs/>
          <w:color w:val="auto"/>
          <w:sz w:val="24"/>
          <w:highlight w:val="none"/>
        </w:rPr>
        <w:t>第十一条 解决合同纠纷的方式</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1、在执行本合同中发生的或与本合同有关的争端，双方应通过友好协商解决，经协商在30天内不能达成协议时，应提交甲方所在地有管辖权的人民法院诉讼处理。</w:t>
      </w:r>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2、除另有判决、裁定外，案件受理费、律师费应由败诉方负担。</w:t>
      </w:r>
    </w:p>
    <w:p>
      <w:pPr>
        <w:tabs>
          <w:tab w:val="left" w:pos="0"/>
        </w:tabs>
        <w:snapToGrid w:val="0"/>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3、在诉讼期间，除正在进行诉讼部分外，合同其他部分继续执行。</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122" w:name="_Toc239568424"/>
      <w:bookmarkStart w:id="123" w:name="_Toc251768868"/>
      <w:bookmarkStart w:id="124" w:name="_Toc282696231"/>
      <w:bookmarkStart w:id="125" w:name="_Toc283019219"/>
      <w:bookmarkStart w:id="126" w:name="_Toc232492934"/>
      <w:bookmarkStart w:id="127" w:name="_Toc225670757"/>
      <w:bookmarkStart w:id="128" w:name="_Toc211911354"/>
      <w:bookmarkStart w:id="129" w:name="_Toc185395255"/>
      <w:bookmarkStart w:id="130" w:name="_Toc286993793"/>
      <w:bookmarkStart w:id="131" w:name="_Toc212019600"/>
      <w:bookmarkStart w:id="132" w:name="_Toc238984981"/>
      <w:bookmarkStart w:id="133" w:name="_Toc225654650"/>
      <w:bookmarkStart w:id="134" w:name="_Toc247334847"/>
      <w:bookmarkStart w:id="135" w:name="_Toc225244858"/>
      <w:bookmarkStart w:id="136" w:name="_Toc237145412"/>
      <w:bookmarkStart w:id="137" w:name="_Toc211854455"/>
      <w:bookmarkStart w:id="138" w:name="_Toc241833909"/>
      <w:bookmarkStart w:id="139" w:name="_Toc239233920"/>
      <w:bookmarkStart w:id="140" w:name="_Toc16935"/>
      <w:bookmarkStart w:id="141" w:name="_Toc28077"/>
      <w:r>
        <w:rPr>
          <w:rFonts w:hint="eastAsia" w:ascii="仿宋" w:hAnsi="仿宋" w:eastAsia="仿宋" w:cs="仿宋"/>
          <w:b/>
          <w:bCs/>
          <w:color w:val="auto"/>
          <w:sz w:val="24"/>
          <w:highlight w:val="none"/>
        </w:rPr>
        <w:t>第十二条 合同</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hint="eastAsia" w:ascii="仿宋" w:hAnsi="仿宋" w:eastAsia="仿宋" w:cs="仿宋"/>
          <w:b/>
          <w:bCs/>
          <w:color w:val="auto"/>
          <w:sz w:val="24"/>
          <w:highlight w:val="none"/>
        </w:rPr>
        <w:t>生效及其他</w:t>
      </w:r>
      <w:bookmarkEnd w:id="140"/>
      <w:bookmarkEnd w:id="141"/>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1、合同经双方法定代表人/单位负责人或授权代表签字并加盖单位公章后生效。</w:t>
      </w:r>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2、合同执行中涉及采购资金和采购内容修改或补充的，须经政府采购监管部门审批，并依法签书面补充协议报政府采购监督管理部门备案，方可作为主合同不可分割的一部分。</w:t>
      </w:r>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3、本合同一式</w:t>
      </w:r>
      <w:r>
        <w:rPr>
          <w:rFonts w:hint="eastAsia" w:ascii="仿宋" w:hAnsi="仿宋" w:eastAsia="仿宋" w:cs="仿宋"/>
          <w:color w:val="auto"/>
          <w:kern w:val="0"/>
          <w:sz w:val="24"/>
          <w:highlight w:val="none"/>
        </w:rPr>
        <w:t>五</w:t>
      </w:r>
      <w:r>
        <w:rPr>
          <w:rFonts w:hint="eastAsia" w:ascii="仿宋" w:hAnsi="仿宋" w:eastAsia="仿宋" w:cs="仿宋"/>
          <w:color w:val="auto"/>
          <w:kern w:val="0"/>
          <w:sz w:val="24"/>
          <w:highlight w:val="none"/>
          <w:lang w:val="zh-CN"/>
        </w:rPr>
        <w:t>份，自双方签章之日起起效。甲方二份，乙方二份，采购代理机构一份，具有同等法律效力。</w:t>
      </w:r>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本合同载明的双方当事人地址、联系方式均为双方联系的固定、有效方式，如发生变化的，应在变化后3日内书面通知对方，否则应承担由此引发的包括但不限于视为送达等一切法律后果。司法机关亦可按本合同中载明的地址、联系方式等向受送达方发送相关诉讼文书。</w:t>
      </w:r>
    </w:p>
    <w:p>
      <w:pPr>
        <w:snapToGrid w:val="0"/>
        <w:spacing w:line="360" w:lineRule="auto"/>
        <w:ind w:firstLine="482" w:firstLineChars="200"/>
        <w:textAlignment w:val="baseline"/>
        <w:rPr>
          <w:rFonts w:hint="eastAsia" w:ascii="仿宋" w:hAnsi="仿宋" w:eastAsia="仿宋" w:cs="仿宋"/>
          <w:b/>
          <w:bCs/>
          <w:color w:val="auto"/>
          <w:sz w:val="24"/>
          <w:highlight w:val="none"/>
        </w:rPr>
      </w:pPr>
      <w:bookmarkStart w:id="142" w:name="_Toc2904"/>
      <w:bookmarkStart w:id="143" w:name="_Toc5178"/>
      <w:r>
        <w:rPr>
          <w:rFonts w:hint="eastAsia" w:ascii="仿宋" w:hAnsi="仿宋" w:eastAsia="仿宋" w:cs="仿宋"/>
          <w:b/>
          <w:bCs/>
          <w:color w:val="auto"/>
          <w:sz w:val="24"/>
          <w:highlight w:val="none"/>
        </w:rPr>
        <w:t>第十三条 附件</w:t>
      </w:r>
      <w:bookmarkEnd w:id="142"/>
      <w:bookmarkEnd w:id="143"/>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bookmarkStart w:id="144" w:name="_Toc29967"/>
      <w:r>
        <w:rPr>
          <w:rFonts w:hint="eastAsia" w:ascii="仿宋" w:hAnsi="仿宋" w:eastAsia="仿宋" w:cs="仿宋"/>
          <w:color w:val="auto"/>
          <w:kern w:val="0"/>
          <w:sz w:val="24"/>
          <w:highlight w:val="none"/>
          <w:lang w:val="zh-CN"/>
        </w:rPr>
        <w:t>1、项目磋商文件</w:t>
      </w:r>
      <w:bookmarkEnd w:id="144"/>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bookmarkStart w:id="145" w:name="_Toc27786"/>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、项目响应文件</w:t>
      </w:r>
      <w:bookmarkEnd w:id="145"/>
    </w:p>
    <w:p>
      <w:pPr>
        <w:snapToGrid w:val="0"/>
        <w:spacing w:line="360" w:lineRule="auto"/>
        <w:ind w:firstLine="480" w:firstLineChars="200"/>
        <w:textAlignment w:val="baseline"/>
        <w:rPr>
          <w:rFonts w:hint="eastAsia" w:ascii="仿宋" w:hAnsi="仿宋" w:eastAsia="仿宋" w:cs="仿宋"/>
          <w:color w:val="auto"/>
          <w:kern w:val="0"/>
          <w:sz w:val="24"/>
          <w:highlight w:val="none"/>
          <w:lang w:val="zh-CN"/>
        </w:rPr>
      </w:pPr>
      <w:bookmarkStart w:id="146" w:name="_Toc12318"/>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、成交通知书</w:t>
      </w:r>
      <w:bookmarkEnd w:id="146"/>
    </w:p>
    <w:p>
      <w:pPr>
        <w:snapToGrid w:val="0"/>
        <w:spacing w:line="360" w:lineRule="auto"/>
        <w:ind w:firstLine="480" w:firstLineChars="200"/>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4、考核办法</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甲方：（盖章）</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法定代表人/单位负责人（授权代表）：</w:t>
      </w:r>
    </w:p>
    <w:p>
      <w:pPr>
        <w:snapToGrid w:val="0"/>
        <w:spacing w:line="360" w:lineRule="auto"/>
        <w:ind w:right="-51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napToGrid w:val="0"/>
        <w:spacing w:line="360" w:lineRule="auto"/>
        <w:ind w:right="-51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签约日期：      年   月   日</w:t>
      </w:r>
    </w:p>
    <w:p>
      <w:pPr>
        <w:snapToGrid w:val="0"/>
        <w:spacing w:line="360" w:lineRule="auto"/>
        <w:textAlignment w:val="baseline"/>
        <w:rPr>
          <w:rFonts w:hint="eastAsia" w:ascii="仿宋" w:hAnsi="仿宋" w:eastAsia="仿宋" w:cs="仿宋"/>
          <w:color w:val="auto"/>
          <w:sz w:val="24"/>
          <w:highlight w:val="none"/>
        </w:rPr>
      </w:pP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乙方：（盖章）</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法定代表人/单位负责人（授权代表）：</w:t>
      </w:r>
    </w:p>
    <w:p>
      <w:pPr>
        <w:snapToGrid w:val="0"/>
        <w:spacing w:line="360" w:lineRule="auto"/>
        <w:ind w:right="-512"/>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p>
      <w:pPr>
        <w:snapToGrid w:val="0"/>
        <w:spacing w:line="360" w:lineRule="auto"/>
        <w:textAlignment w:val="baseline"/>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账号：</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pPr>
        <w:snapToGrid w:val="0"/>
        <w:spacing w:line="360" w:lineRule="auto"/>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snapToGrid w:val="0"/>
        <w:spacing w:line="360" w:lineRule="auto"/>
        <w:ind w:right="-512"/>
        <w:textAlignment w:val="baseline"/>
        <w:rPr>
          <w:rFonts w:hint="eastAsia" w:ascii="仿宋" w:hAnsi="仿宋" w:eastAsia="仿宋" w:cs="仿宋"/>
          <w:color w:val="auto"/>
          <w:sz w:val="20"/>
          <w:highlight w:val="none"/>
        </w:rPr>
      </w:pPr>
      <w:r>
        <w:rPr>
          <w:rFonts w:hint="eastAsia" w:ascii="仿宋" w:hAnsi="仿宋" w:eastAsia="仿宋" w:cs="仿宋"/>
          <w:color w:val="auto"/>
          <w:sz w:val="24"/>
          <w:highlight w:val="none"/>
        </w:rPr>
        <w:t>签约日期：      年   月  日</w:t>
      </w:r>
      <w:r>
        <w:rPr>
          <w:rFonts w:hint="eastAsia" w:ascii="仿宋" w:hAnsi="仿宋" w:eastAsia="仿宋" w:cs="仿宋"/>
          <w:color w:val="auto"/>
          <w:sz w:val="24"/>
          <w:highlight w:val="none"/>
        </w:rPr>
        <w:tab/>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4"/>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附件一</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报价一览表</w:t>
      </w:r>
    </w:p>
    <w:p>
      <w:pPr>
        <w:snapToGrid w:val="0"/>
        <w:jc w:val="left"/>
        <w:textAlignment w:val="baseline"/>
        <w:rPr>
          <w:rFonts w:hint="eastAsia" w:ascii="仿宋" w:hAnsi="仿宋" w:eastAsia="仿宋" w:cs="仿宋"/>
          <w:color w:val="auto"/>
          <w:sz w:val="20"/>
          <w:szCs w:val="21"/>
          <w:highlight w:val="none"/>
        </w:rPr>
      </w:pPr>
    </w:p>
    <w:p>
      <w:pPr>
        <w:snapToGrid w:val="0"/>
        <w:ind w:right="1301"/>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ind w:right="1301"/>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采购编号：</w:t>
      </w:r>
    </w:p>
    <w:tbl>
      <w:tblPr>
        <w:tblStyle w:val="29"/>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763"/>
        <w:gridCol w:w="1931"/>
        <w:gridCol w:w="2040"/>
        <w:gridCol w:w="2040"/>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457" w:type="dxa"/>
            <w:vAlign w:val="center"/>
          </w:tcPr>
          <w:p>
            <w:pPr>
              <w:widowControl/>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2694" w:type="dxa"/>
            <w:gridSpan w:val="2"/>
            <w:vAlign w:val="center"/>
          </w:tcPr>
          <w:p>
            <w:pPr>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服务内容</w:t>
            </w:r>
          </w:p>
        </w:tc>
        <w:tc>
          <w:tcPr>
            <w:tcW w:w="2040" w:type="dxa"/>
            <w:vAlign w:val="center"/>
          </w:tcPr>
          <w:p>
            <w:pPr>
              <w:snapToGrid w:val="0"/>
              <w:spacing w:line="360" w:lineRule="auto"/>
              <w:jc w:val="center"/>
              <w:textAlignment w:val="baseline"/>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服务期限</w:t>
            </w:r>
          </w:p>
        </w:tc>
        <w:tc>
          <w:tcPr>
            <w:tcW w:w="2040" w:type="dxa"/>
            <w:vAlign w:val="center"/>
          </w:tcPr>
          <w:p>
            <w:pPr>
              <w:snapToGrid w:val="0"/>
              <w:spacing w:line="360" w:lineRule="auto"/>
              <w:jc w:val="center"/>
              <w:textAlignment w:val="baseline"/>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每月服务费</w:t>
            </w:r>
          </w:p>
        </w:tc>
        <w:tc>
          <w:tcPr>
            <w:tcW w:w="2049" w:type="dxa"/>
            <w:vAlign w:val="center"/>
          </w:tcPr>
          <w:p>
            <w:pPr>
              <w:widowControl/>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lang w:val="en-US" w:eastAsia="zh-CN"/>
              </w:rPr>
              <w:t>一年服务费</w:t>
            </w:r>
            <w:r>
              <w:rPr>
                <w:rFonts w:hint="eastAsia" w:ascii="仿宋" w:hAnsi="仿宋" w:eastAsia="仿宋" w:cs="仿宋"/>
                <w:bCs/>
                <w:color w:val="auto"/>
                <w:kern w:val="0"/>
                <w:sz w:val="24"/>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457" w:type="dxa"/>
            <w:vAlign w:val="center"/>
          </w:tcPr>
          <w:p>
            <w:pPr>
              <w:widowControl/>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2694" w:type="dxa"/>
            <w:gridSpan w:val="2"/>
            <w:vAlign w:val="center"/>
          </w:tcPr>
          <w:p>
            <w:pPr>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天府新区环境卫生及城乡环境综合治理三方巡查监督服务</w:t>
            </w:r>
          </w:p>
        </w:tc>
        <w:tc>
          <w:tcPr>
            <w:tcW w:w="2040" w:type="dxa"/>
            <w:vAlign w:val="center"/>
          </w:tcPr>
          <w:p>
            <w:pPr>
              <w:snapToGrid w:val="0"/>
              <w:spacing w:line="360" w:lineRule="auto"/>
              <w:jc w:val="center"/>
              <w:textAlignment w:val="baseline"/>
              <w:rPr>
                <w:rFonts w:hint="default"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12个月</w:t>
            </w:r>
          </w:p>
        </w:tc>
        <w:tc>
          <w:tcPr>
            <w:tcW w:w="2040" w:type="dxa"/>
            <w:vAlign w:val="center"/>
          </w:tcPr>
          <w:p>
            <w:pPr>
              <w:snapToGrid w:val="0"/>
              <w:spacing w:line="360" w:lineRule="auto"/>
              <w:jc w:val="center"/>
              <w:textAlignment w:val="baseline"/>
              <w:rPr>
                <w:rFonts w:hint="eastAsia" w:ascii="仿宋" w:hAnsi="仿宋" w:eastAsia="仿宋" w:cs="仿宋"/>
                <w:bCs/>
                <w:color w:val="auto"/>
                <w:kern w:val="0"/>
                <w:sz w:val="24"/>
                <w:highlight w:val="none"/>
                <w:lang w:val="en-US" w:eastAsia="zh-CN"/>
              </w:rPr>
            </w:pPr>
            <w:r>
              <w:rPr>
                <w:rFonts w:hint="eastAsia" w:ascii="仿宋" w:hAnsi="仿宋" w:eastAsia="仿宋" w:cs="仿宋"/>
                <w:bCs/>
                <w:color w:val="auto"/>
                <w:kern w:val="0"/>
                <w:sz w:val="24"/>
                <w:highlight w:val="none"/>
                <w:lang w:val="en-US" w:eastAsia="zh-CN"/>
              </w:rPr>
              <w:t>元</w:t>
            </w:r>
          </w:p>
        </w:tc>
        <w:tc>
          <w:tcPr>
            <w:tcW w:w="2049" w:type="dxa"/>
            <w:vAlign w:val="center"/>
          </w:tcPr>
          <w:p>
            <w:pPr>
              <w:widowControl/>
              <w:snapToGrid w:val="0"/>
              <w:spacing w:line="360" w:lineRule="auto"/>
              <w:jc w:val="center"/>
              <w:textAlignment w:val="baseline"/>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20" w:type="dxa"/>
            <w:gridSpan w:val="2"/>
            <w:vAlign w:val="center"/>
          </w:tcPr>
          <w:p>
            <w:pPr>
              <w:widowControl/>
              <w:snapToGrid w:val="0"/>
              <w:spacing w:line="360" w:lineRule="auto"/>
              <w:jc w:val="center"/>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报价总价</w:t>
            </w:r>
            <w:r>
              <w:rPr>
                <w:rFonts w:hint="eastAsia" w:ascii="仿宋" w:hAnsi="仿宋" w:eastAsia="仿宋" w:cs="仿宋"/>
                <w:color w:val="auto"/>
                <w:highlight w:val="none"/>
              </w:rPr>
              <w:t>（一年）</w:t>
            </w:r>
          </w:p>
        </w:tc>
        <w:tc>
          <w:tcPr>
            <w:tcW w:w="8060" w:type="dxa"/>
            <w:gridSpan w:val="4"/>
            <w:vAlign w:val="center"/>
          </w:tcPr>
          <w:p>
            <w:pPr>
              <w:widowControl/>
              <w:snapToGrid w:val="0"/>
              <w:spacing w:line="360" w:lineRule="auto"/>
              <w:textAlignment w:val="baseline"/>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人民币大写：</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（人民币小写：</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元）</w:t>
            </w:r>
          </w:p>
        </w:tc>
      </w:tr>
    </w:tbl>
    <w:p>
      <w:pPr>
        <w:snapToGrid w:val="0"/>
        <w:ind w:right="1301" w:firstLine="420"/>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 1.所有报价均用人民币表示,所报价格是交货地的验收价格，其总价即为履行合同的固定价格。人工、保险、代理、培训、税费等费用以及采购文件规定的其他费用均应包含在报价中。</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2.应完整填写产品的品牌和型号或项目内容。</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3.本项目采用现场报价，响应文件中不用首次报价（除现场报价以响应文件报价为准的情形之外，响应文件报价不作为评审的依据，以现场报价为准）。</w:t>
      </w:r>
    </w:p>
    <w:p>
      <w:pPr>
        <w:snapToGrid w:val="0"/>
        <w:spacing w:line="360" w:lineRule="exact"/>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期：XXX年XXX月XXX日</w:t>
      </w:r>
    </w:p>
    <w:p>
      <w:pPr>
        <w:snapToGrid w:val="0"/>
        <w:spacing w:line="360" w:lineRule="auto"/>
        <w:ind w:firstLine="628"/>
        <w:textAlignment w:val="baseline"/>
        <w:rPr>
          <w:rFonts w:hint="eastAsia" w:ascii="仿宋" w:hAnsi="仿宋" w:eastAsia="仿宋" w:cs="仿宋"/>
          <w:color w:val="auto"/>
          <w:sz w:val="24"/>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snapToGrid w:val="0"/>
        <w:textAlignment w:val="baseline"/>
        <w:rPr>
          <w:rFonts w:hint="eastAsia" w:ascii="仿宋" w:hAnsi="仿宋" w:eastAsia="仿宋" w:cs="仿宋"/>
          <w:color w:val="auto"/>
          <w:highlight w:val="none"/>
        </w:rPr>
      </w:pPr>
      <w:r>
        <w:rPr>
          <w:rFonts w:hint="eastAsia" w:ascii="仿宋" w:hAnsi="仿宋" w:eastAsia="仿宋" w:cs="仿宋"/>
          <w:color w:val="auto"/>
          <w:highlight w:val="none"/>
        </w:rPr>
        <w:t>附件二</w:t>
      </w:r>
    </w:p>
    <w:p>
      <w:pPr>
        <w:widowControl/>
        <w:snapToGrid w:val="0"/>
        <w:spacing w:line="360" w:lineRule="atLeast"/>
        <w:jc w:val="center"/>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分项报价明细表</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采购编号：</w:t>
      </w:r>
    </w:p>
    <w:tbl>
      <w:tblPr>
        <w:tblStyle w:val="29"/>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before="156" w:line="360" w:lineRule="auto"/>
              <w:jc w:val="center"/>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4190" w:type="dxa"/>
            <w:vAlign w:val="center"/>
          </w:tcPr>
          <w:p>
            <w:pPr>
              <w:pStyle w:val="14"/>
              <w:snapToGrid w:val="0"/>
              <w:spacing w:before="156" w:line="360" w:lineRule="auto"/>
              <w:jc w:val="center"/>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服务内容</w:t>
            </w:r>
          </w:p>
        </w:tc>
        <w:tc>
          <w:tcPr>
            <w:tcW w:w="3556" w:type="dxa"/>
            <w:vAlign w:val="center"/>
          </w:tcPr>
          <w:p>
            <w:pPr>
              <w:pStyle w:val="14"/>
              <w:snapToGrid w:val="0"/>
              <w:spacing w:before="156" w:line="360" w:lineRule="auto"/>
              <w:jc w:val="center"/>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单项价格（单位：元）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4190"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4"/>
              <w:snapToGrid w:val="0"/>
              <w:spacing w:line="360" w:lineRule="auto"/>
              <w:ind w:firstLine="361" w:firstLineChars="150"/>
              <w:textAlignment w:val="baseline"/>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总    价(元)</w:t>
            </w:r>
          </w:p>
        </w:tc>
        <w:tc>
          <w:tcPr>
            <w:tcW w:w="3556" w:type="dxa"/>
            <w:vAlign w:val="center"/>
          </w:tcPr>
          <w:p>
            <w:pPr>
              <w:pStyle w:val="14"/>
              <w:snapToGrid w:val="0"/>
              <w:spacing w:line="360" w:lineRule="auto"/>
              <w:jc w:val="center"/>
              <w:textAlignment w:val="baseline"/>
              <w:rPr>
                <w:rFonts w:hint="eastAsia" w:ascii="仿宋" w:hAnsi="仿宋" w:eastAsia="仿宋" w:cs="仿宋"/>
                <w:color w:val="auto"/>
                <w:kern w:val="0"/>
                <w:sz w:val="24"/>
                <w:highlight w:val="none"/>
              </w:rPr>
            </w:pPr>
          </w:p>
        </w:tc>
      </w:tr>
    </w:tbl>
    <w:p>
      <w:pPr>
        <w:snapToGrid w:val="0"/>
        <w:spacing w:line="360" w:lineRule="exact"/>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注：1.供应商应按“分项报价明细表”的格式详细报出总价的各个组成部分的报价。</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2.“分项报价明细表”各分项报价合计应当与“报价一览表”报价合计相等。</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3.本项目采用现场报价，响应文件中不用首次报价（除现场报价以响应文件报价为准的情形之外，响应文件报价不作为评审的依据，以现场报价为准）。</w:t>
      </w:r>
    </w:p>
    <w:p>
      <w:pPr>
        <w:snapToGrid w:val="0"/>
        <w:spacing w:line="360" w:lineRule="exact"/>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napToGrid w:val="0"/>
        <w:spacing w:line="360" w:lineRule="exac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      期：XXX年XXX月XXX日 </w:t>
      </w:r>
    </w:p>
    <w:p>
      <w:pPr>
        <w:snapToGrid w:val="0"/>
        <w:ind w:firstLine="540"/>
        <w:jc w:val="left"/>
        <w:textAlignment w:val="baseline"/>
        <w:rPr>
          <w:rFonts w:hint="eastAsia" w:ascii="仿宋" w:hAnsi="仿宋" w:eastAsia="仿宋" w:cs="仿宋"/>
          <w:color w:val="auto"/>
          <w:sz w:val="20"/>
          <w:szCs w:val="21"/>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p>
    <w:p>
      <w:pPr>
        <w:widowControl/>
        <w:snapToGrid w:val="0"/>
        <w:spacing w:line="360" w:lineRule="atLeast"/>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附件三：川财采〔2018〕123号</w:t>
      </w:r>
    </w:p>
    <w:p>
      <w:pPr>
        <w:snapToGrid w:val="0"/>
        <w:textAlignment w:val="baseline"/>
        <w:rPr>
          <w:rFonts w:hint="eastAsia" w:ascii="仿宋" w:hAnsi="仿宋" w:eastAsia="仿宋" w:cs="仿宋"/>
          <w:color w:val="auto"/>
          <w:sz w:val="20"/>
          <w:highlight w:val="none"/>
        </w:rPr>
        <w:sectPr>
          <w:headerReference r:id="rId10" w:type="first"/>
          <w:footerReference r:id="rId12" w:type="first"/>
          <w:headerReference r:id="rId9" w:type="default"/>
          <w:footerReference r:id="rId11" w:type="default"/>
          <w:pgSz w:w="11905" w:h="16838"/>
          <w:pgMar w:top="1417" w:right="1417" w:bottom="1417" w:left="1417" w:header="425" w:footer="992" w:gutter="0"/>
          <w:pgNumType w:fmt="decimal"/>
          <w:cols w:space="0" w:num="1"/>
          <w:titlePg/>
          <w:rtlGutter w:val="0"/>
          <w:docGrid w:linePitch="312" w:charSpace="0"/>
        </w:sectPr>
      </w:pPr>
      <w:r>
        <w:rPr>
          <w:rFonts w:hint="eastAsia" w:ascii="仿宋" w:hAnsi="仿宋" w:eastAsia="仿宋" w:cs="仿宋"/>
          <w:color w:val="auto"/>
          <w:highlight w:val="none"/>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7"/>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6"/>
                    </a:xfrm>
                    <a:prstGeom prst="rect">
                      <a:avLst/>
                    </a:prstGeom>
                    <a:noFill/>
                    <a:ln>
                      <a:noFill/>
                    </a:ln>
                  </pic:spPr>
                </pic:pic>
              </a:graphicData>
            </a:graphic>
          </wp:inline>
        </w:drawing>
      </w:r>
    </w:p>
    <w:p>
      <w:pPr>
        <w:snapToGrid w:val="0"/>
        <w:spacing w:line="400" w:lineRule="exact"/>
        <w:textAlignment w:val="baseline"/>
        <w:rPr>
          <w:rFonts w:hint="eastAsia" w:ascii="仿宋" w:hAnsi="仿宋" w:eastAsia="仿宋" w:cs="仿宋"/>
          <w:b/>
          <w:color w:val="auto"/>
          <w:sz w:val="30"/>
          <w:szCs w:val="30"/>
          <w:highlight w:val="none"/>
        </w:rPr>
      </w:pPr>
    </w:p>
    <w:p>
      <w:pPr>
        <w:snapToGrid w:val="0"/>
        <w:textAlignment w:val="baseline"/>
        <w:rPr>
          <w:rFonts w:hint="eastAsia" w:ascii="仿宋" w:hAnsi="仿宋" w:eastAsia="仿宋" w:cs="仿宋"/>
          <w:color w:val="auto"/>
          <w:sz w:val="20"/>
          <w:highlight w:val="none"/>
        </w:rPr>
      </w:pPr>
    </w:p>
    <w:p>
      <w:pPr>
        <w:widowControl/>
        <w:snapToGrid w:val="0"/>
        <w:spacing w:line="360" w:lineRule="atLeast"/>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附件四：成财采〔2019〕17号</w:t>
      </w:r>
    </w:p>
    <w:p>
      <w:pPr>
        <w:snapToGrid w:val="0"/>
        <w:textAlignment w:val="baseline"/>
        <w:rPr>
          <w:rStyle w:val="34"/>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6"/>
        <w:snapToGrid w:val="0"/>
        <w:textAlignment w:val="baseline"/>
        <w:rPr>
          <w:rFonts w:hint="eastAsia" w:ascii="仿宋" w:hAnsi="仿宋" w:eastAsia="仿宋" w:cs="仿宋"/>
          <w:color w:val="auto"/>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br w:type="textWrapp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18200" cy="83750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1" cy="8375270"/>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72810" cy="77184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887085" cy="833120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875020" cy="762317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880735" cy="83223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86145" cy="8074660"/>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1" cy="8074895"/>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34710" cy="838517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3" cy="8385315"/>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882005" cy="7691120"/>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1" cy="7691649"/>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06135" cy="835787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36615" cy="780288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06770" cy="834517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6026150" cy="775970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06135" cy="835787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976620" cy="7470775"/>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snapToGrid w:val="0"/>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p>
    <w:p>
      <w:pPr>
        <w:widowControl/>
        <w:snapToGrid w:val="0"/>
        <w:spacing w:line="360" w:lineRule="atLeast"/>
        <w:jc w:val="left"/>
        <w:textAlignment w:val="baselin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附件五：成财采〔2020〕20号</w:t>
      </w:r>
    </w:p>
    <w:p>
      <w:pPr>
        <w:pStyle w:val="7"/>
        <w:snapToGrid w:val="0"/>
        <w:textAlignment w:val="baseline"/>
        <w:rPr>
          <w:rFonts w:hint="eastAsia" w:ascii="仿宋" w:hAnsi="仿宋" w:eastAsia="仿宋" w:cs="仿宋"/>
          <w:color w:val="auto"/>
          <w:highlight w:val="none"/>
        </w:rPr>
      </w:pP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4"/>
                    <a:stretch>
                      <a:fillRect/>
                    </a:stretch>
                  </pic:blipFill>
                  <pic:spPr>
                    <a:xfrm>
                      <a:off x="0" y="0"/>
                      <a:ext cx="5760085" cy="7719060"/>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5760085" cy="8389620"/>
                    </a:xfrm>
                    <a:prstGeom prst="rect">
                      <a:avLst/>
                    </a:prstGeom>
                  </pic:spPr>
                </pic:pic>
              </a:graphicData>
            </a:graphic>
          </wp:inline>
        </w:drawing>
      </w:r>
    </w:p>
    <w:p>
      <w:pPr>
        <w:snapToGrid w:val="0"/>
        <w:textAlignment w:val="baseline"/>
        <w:rPr>
          <w:rFonts w:hint="eastAsia" w:ascii="仿宋" w:hAnsi="仿宋" w:eastAsia="仿宋" w:cs="仿宋"/>
          <w:color w:val="auto"/>
          <w:sz w:val="20"/>
          <w:highlight w:val="none"/>
        </w:rPr>
      </w:pPr>
      <w:r>
        <w:rPr>
          <w:rFonts w:hint="eastAsia" w:ascii="仿宋" w:hAnsi="仿宋" w:eastAsia="仿宋" w:cs="仿宋"/>
          <w:color w:val="auto"/>
          <w:highlight w:val="none"/>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a:stretch>
                      <a:fillRect/>
                    </a:stretch>
                  </pic:blipFill>
                  <pic:spPr>
                    <a:xfrm>
                      <a:off x="0" y="0"/>
                      <a:ext cx="5760085" cy="3675380"/>
                    </a:xfrm>
                    <a:prstGeom prst="rect">
                      <a:avLst/>
                    </a:prstGeom>
                  </pic:spPr>
                </pic:pic>
              </a:graphicData>
            </a:graphic>
          </wp:inline>
        </w:drawing>
      </w:r>
    </w:p>
    <w:p>
      <w:pPr>
        <w:widowControl/>
        <w:snapToGrid w:val="0"/>
        <w:jc w:val="left"/>
        <w:textAlignment w:val="baseline"/>
        <w:rPr>
          <w:rFonts w:hint="eastAsia" w:ascii="仿宋" w:hAnsi="仿宋" w:eastAsia="仿宋" w:cs="仿宋"/>
          <w:color w:val="auto"/>
          <w:sz w:val="20"/>
          <w:highlight w:val="none"/>
        </w:rPr>
      </w:pPr>
    </w:p>
    <w:p>
      <w:pPr>
        <w:widowControl/>
        <w:snapToGrid w:val="0"/>
        <w:jc w:val="left"/>
        <w:textAlignment w:val="baseline"/>
        <w:rPr>
          <w:rFonts w:hint="eastAsia" w:ascii="仿宋" w:hAnsi="仿宋" w:eastAsia="仿宋" w:cs="仿宋"/>
          <w:color w:val="auto"/>
          <w:sz w:val="20"/>
          <w:highlight w:val="none"/>
        </w:rPr>
      </w:pPr>
    </w:p>
    <w:sectPr>
      <w:footerReference r:id="rId14" w:type="first"/>
      <w:footerReference r:id="rId13" w:type="default"/>
      <w:pgSz w:w="11905" w:h="16838"/>
      <w:pgMar w:top="1417" w:right="1417" w:bottom="1417" w:left="1417" w:header="425"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8"/>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sz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47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231439701"/>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666403495"/>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2336"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Calibri" w:hAnsi="Calibri"/>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2AA70A"/>
    <w:multiLevelType w:val="singleLevel"/>
    <w:tmpl w:val="C62AA70A"/>
    <w:lvl w:ilvl="0" w:tentative="0">
      <w:start w:val="3"/>
      <w:numFmt w:val="decimal"/>
      <w:lvlText w:val="%1."/>
      <w:lvlJc w:val="left"/>
      <w:pPr>
        <w:tabs>
          <w:tab w:val="left" w:pos="312"/>
        </w:tabs>
      </w:pPr>
    </w:lvl>
  </w:abstractNum>
  <w:abstractNum w:abstractNumId="1">
    <w:nsid w:val="09AAF509"/>
    <w:multiLevelType w:val="singleLevel"/>
    <w:tmpl w:val="09AAF509"/>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210"/>
  <w:drawingGridVerticalSpacing w:val="156"/>
  <w:displayHorizont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10094"/>
    <w:rsid w:val="00123566"/>
    <w:rsid w:val="001350D9"/>
    <w:rsid w:val="00146917"/>
    <w:rsid w:val="00153C61"/>
    <w:rsid w:val="00154B00"/>
    <w:rsid w:val="00156297"/>
    <w:rsid w:val="00156FBB"/>
    <w:rsid w:val="00161605"/>
    <w:rsid w:val="00165411"/>
    <w:rsid w:val="00172A27"/>
    <w:rsid w:val="001850D0"/>
    <w:rsid w:val="00185509"/>
    <w:rsid w:val="00185FDC"/>
    <w:rsid w:val="0018628A"/>
    <w:rsid w:val="00192EC0"/>
    <w:rsid w:val="001A4AEB"/>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419"/>
    <w:rsid w:val="0023152B"/>
    <w:rsid w:val="00231731"/>
    <w:rsid w:val="00236F48"/>
    <w:rsid w:val="00243EFE"/>
    <w:rsid w:val="00244012"/>
    <w:rsid w:val="002455E4"/>
    <w:rsid w:val="00245FA0"/>
    <w:rsid w:val="00247303"/>
    <w:rsid w:val="002501A9"/>
    <w:rsid w:val="0025103B"/>
    <w:rsid w:val="00261A6D"/>
    <w:rsid w:val="00290764"/>
    <w:rsid w:val="002919CE"/>
    <w:rsid w:val="00292DC2"/>
    <w:rsid w:val="002946DC"/>
    <w:rsid w:val="00297E22"/>
    <w:rsid w:val="002A145F"/>
    <w:rsid w:val="002A733B"/>
    <w:rsid w:val="002C1A5B"/>
    <w:rsid w:val="002C593F"/>
    <w:rsid w:val="002D7046"/>
    <w:rsid w:val="002E0E72"/>
    <w:rsid w:val="002F2CBD"/>
    <w:rsid w:val="002F5EAB"/>
    <w:rsid w:val="002F6518"/>
    <w:rsid w:val="002F76A5"/>
    <w:rsid w:val="002F776E"/>
    <w:rsid w:val="00305CB2"/>
    <w:rsid w:val="0031394A"/>
    <w:rsid w:val="00316B0C"/>
    <w:rsid w:val="00321012"/>
    <w:rsid w:val="003212C9"/>
    <w:rsid w:val="00323E41"/>
    <w:rsid w:val="00324CB6"/>
    <w:rsid w:val="00326F53"/>
    <w:rsid w:val="00330D0F"/>
    <w:rsid w:val="00333B66"/>
    <w:rsid w:val="003377C4"/>
    <w:rsid w:val="00337828"/>
    <w:rsid w:val="00342F58"/>
    <w:rsid w:val="00346904"/>
    <w:rsid w:val="00346BEF"/>
    <w:rsid w:val="00346C9C"/>
    <w:rsid w:val="0035432A"/>
    <w:rsid w:val="0036023D"/>
    <w:rsid w:val="00360E7D"/>
    <w:rsid w:val="00364CD9"/>
    <w:rsid w:val="00365A61"/>
    <w:rsid w:val="00366415"/>
    <w:rsid w:val="00366D85"/>
    <w:rsid w:val="0037656C"/>
    <w:rsid w:val="00380DE6"/>
    <w:rsid w:val="0039128B"/>
    <w:rsid w:val="003929E0"/>
    <w:rsid w:val="003A2B3E"/>
    <w:rsid w:val="003B4840"/>
    <w:rsid w:val="003B5F8D"/>
    <w:rsid w:val="003C11FC"/>
    <w:rsid w:val="003C2CE4"/>
    <w:rsid w:val="003C46EC"/>
    <w:rsid w:val="003C4C72"/>
    <w:rsid w:val="003D1580"/>
    <w:rsid w:val="003D228C"/>
    <w:rsid w:val="003F2556"/>
    <w:rsid w:val="0040095C"/>
    <w:rsid w:val="00400BCF"/>
    <w:rsid w:val="00404839"/>
    <w:rsid w:val="004061B6"/>
    <w:rsid w:val="0041309E"/>
    <w:rsid w:val="00413C01"/>
    <w:rsid w:val="00414245"/>
    <w:rsid w:val="00414FF7"/>
    <w:rsid w:val="004152C1"/>
    <w:rsid w:val="00415B17"/>
    <w:rsid w:val="00416160"/>
    <w:rsid w:val="0041635D"/>
    <w:rsid w:val="00430C54"/>
    <w:rsid w:val="00434105"/>
    <w:rsid w:val="004348E7"/>
    <w:rsid w:val="004353C9"/>
    <w:rsid w:val="0043706E"/>
    <w:rsid w:val="004403F9"/>
    <w:rsid w:val="0044392B"/>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02F00"/>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E7DFB"/>
    <w:rsid w:val="005F017B"/>
    <w:rsid w:val="005F479D"/>
    <w:rsid w:val="005F4D50"/>
    <w:rsid w:val="00600CD6"/>
    <w:rsid w:val="00604181"/>
    <w:rsid w:val="00606D04"/>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57B75"/>
    <w:rsid w:val="00760055"/>
    <w:rsid w:val="007652CD"/>
    <w:rsid w:val="00766945"/>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082C"/>
    <w:rsid w:val="00852C56"/>
    <w:rsid w:val="00855404"/>
    <w:rsid w:val="00861CCA"/>
    <w:rsid w:val="00863417"/>
    <w:rsid w:val="00883383"/>
    <w:rsid w:val="00883451"/>
    <w:rsid w:val="008844D5"/>
    <w:rsid w:val="00885720"/>
    <w:rsid w:val="00896E78"/>
    <w:rsid w:val="008A284A"/>
    <w:rsid w:val="008B33AE"/>
    <w:rsid w:val="008B53A7"/>
    <w:rsid w:val="008C3F84"/>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1814"/>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3F06"/>
    <w:rsid w:val="00AD7270"/>
    <w:rsid w:val="00AE18AC"/>
    <w:rsid w:val="00AE3FF4"/>
    <w:rsid w:val="00AE415B"/>
    <w:rsid w:val="00AE483E"/>
    <w:rsid w:val="00AF2564"/>
    <w:rsid w:val="00AF2683"/>
    <w:rsid w:val="00B025C0"/>
    <w:rsid w:val="00B0665F"/>
    <w:rsid w:val="00B07D19"/>
    <w:rsid w:val="00B1082B"/>
    <w:rsid w:val="00B12650"/>
    <w:rsid w:val="00B12C46"/>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20D7"/>
    <w:rsid w:val="00B86024"/>
    <w:rsid w:val="00B8697A"/>
    <w:rsid w:val="00B91E16"/>
    <w:rsid w:val="00B976DC"/>
    <w:rsid w:val="00B97913"/>
    <w:rsid w:val="00BB4041"/>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4589"/>
    <w:rsid w:val="00CA65DA"/>
    <w:rsid w:val="00CB1DE0"/>
    <w:rsid w:val="00CB21AA"/>
    <w:rsid w:val="00CB3BB1"/>
    <w:rsid w:val="00CB5B0C"/>
    <w:rsid w:val="00CC0E9B"/>
    <w:rsid w:val="00CC1C97"/>
    <w:rsid w:val="00CD613A"/>
    <w:rsid w:val="00CD7023"/>
    <w:rsid w:val="00CE4CDC"/>
    <w:rsid w:val="00CE5B22"/>
    <w:rsid w:val="00CF4AB7"/>
    <w:rsid w:val="00CF5EB3"/>
    <w:rsid w:val="00D00F83"/>
    <w:rsid w:val="00D033F4"/>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67514"/>
    <w:rsid w:val="00D735F8"/>
    <w:rsid w:val="00D74B0A"/>
    <w:rsid w:val="00D76F7E"/>
    <w:rsid w:val="00D77B84"/>
    <w:rsid w:val="00D844B9"/>
    <w:rsid w:val="00D921D3"/>
    <w:rsid w:val="00D93E99"/>
    <w:rsid w:val="00D945C3"/>
    <w:rsid w:val="00D95A23"/>
    <w:rsid w:val="00D97F97"/>
    <w:rsid w:val="00DA0113"/>
    <w:rsid w:val="00DA326A"/>
    <w:rsid w:val="00DA6B1E"/>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7E"/>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6C87"/>
    <w:rsid w:val="00FB7375"/>
    <w:rsid w:val="00FB7783"/>
    <w:rsid w:val="00FC0B81"/>
    <w:rsid w:val="00FC7E5A"/>
    <w:rsid w:val="00FE22FF"/>
    <w:rsid w:val="00FF0A46"/>
    <w:rsid w:val="00FF263E"/>
    <w:rsid w:val="00FF26DD"/>
    <w:rsid w:val="012B1F59"/>
    <w:rsid w:val="03D2096A"/>
    <w:rsid w:val="0447488B"/>
    <w:rsid w:val="04833AEA"/>
    <w:rsid w:val="049B5035"/>
    <w:rsid w:val="05015D85"/>
    <w:rsid w:val="05061113"/>
    <w:rsid w:val="075366D6"/>
    <w:rsid w:val="093F7DF8"/>
    <w:rsid w:val="095837D1"/>
    <w:rsid w:val="0ACB0A8C"/>
    <w:rsid w:val="0C06083B"/>
    <w:rsid w:val="0C3B1F34"/>
    <w:rsid w:val="0C8A30B3"/>
    <w:rsid w:val="0E4E4508"/>
    <w:rsid w:val="0F6953E0"/>
    <w:rsid w:val="106506B0"/>
    <w:rsid w:val="11E36382"/>
    <w:rsid w:val="125750FC"/>
    <w:rsid w:val="13DF4653"/>
    <w:rsid w:val="13FE0E5F"/>
    <w:rsid w:val="168F7E84"/>
    <w:rsid w:val="18A0709F"/>
    <w:rsid w:val="192E49E3"/>
    <w:rsid w:val="19ED00A4"/>
    <w:rsid w:val="1B2B6927"/>
    <w:rsid w:val="1BC05B5E"/>
    <w:rsid w:val="1BE4554F"/>
    <w:rsid w:val="1C0401DB"/>
    <w:rsid w:val="1FC03C5A"/>
    <w:rsid w:val="202B4DBE"/>
    <w:rsid w:val="20677573"/>
    <w:rsid w:val="21153713"/>
    <w:rsid w:val="21A6640C"/>
    <w:rsid w:val="22286C0E"/>
    <w:rsid w:val="22F96DEE"/>
    <w:rsid w:val="23E5206A"/>
    <w:rsid w:val="26473A92"/>
    <w:rsid w:val="26E274CB"/>
    <w:rsid w:val="273205EA"/>
    <w:rsid w:val="288652F0"/>
    <w:rsid w:val="29560BF0"/>
    <w:rsid w:val="2A815741"/>
    <w:rsid w:val="2A8C2756"/>
    <w:rsid w:val="2AAB4248"/>
    <w:rsid w:val="2BA83B49"/>
    <w:rsid w:val="2BD34C40"/>
    <w:rsid w:val="2C3806B6"/>
    <w:rsid w:val="2C783060"/>
    <w:rsid w:val="2D6128FB"/>
    <w:rsid w:val="2D935D9A"/>
    <w:rsid w:val="2E9C6D72"/>
    <w:rsid w:val="2FF84291"/>
    <w:rsid w:val="326C67DD"/>
    <w:rsid w:val="33463941"/>
    <w:rsid w:val="334E0780"/>
    <w:rsid w:val="34A77421"/>
    <w:rsid w:val="34A82A87"/>
    <w:rsid w:val="366E6E0B"/>
    <w:rsid w:val="39C12B0B"/>
    <w:rsid w:val="3C531CC1"/>
    <w:rsid w:val="3CB57A3B"/>
    <w:rsid w:val="3F072749"/>
    <w:rsid w:val="3F1E339F"/>
    <w:rsid w:val="400D342D"/>
    <w:rsid w:val="41A36D2B"/>
    <w:rsid w:val="426A6CB0"/>
    <w:rsid w:val="43275185"/>
    <w:rsid w:val="45C65FDD"/>
    <w:rsid w:val="45FA51A7"/>
    <w:rsid w:val="46A973B8"/>
    <w:rsid w:val="48091139"/>
    <w:rsid w:val="49297C58"/>
    <w:rsid w:val="4A6404A9"/>
    <w:rsid w:val="4B3D4A46"/>
    <w:rsid w:val="4C9D1D65"/>
    <w:rsid w:val="4D1A29BD"/>
    <w:rsid w:val="4FF824C6"/>
    <w:rsid w:val="51972EBD"/>
    <w:rsid w:val="5287462A"/>
    <w:rsid w:val="5463295C"/>
    <w:rsid w:val="5C38441D"/>
    <w:rsid w:val="5CB0652B"/>
    <w:rsid w:val="5CD0728D"/>
    <w:rsid w:val="5EB80E83"/>
    <w:rsid w:val="60313A36"/>
    <w:rsid w:val="608464B8"/>
    <w:rsid w:val="60ED1D81"/>
    <w:rsid w:val="629D7714"/>
    <w:rsid w:val="633A721C"/>
    <w:rsid w:val="638D7905"/>
    <w:rsid w:val="63C569F2"/>
    <w:rsid w:val="660E5E1C"/>
    <w:rsid w:val="681D48E0"/>
    <w:rsid w:val="69C0524F"/>
    <w:rsid w:val="6B496C86"/>
    <w:rsid w:val="6ED412F9"/>
    <w:rsid w:val="6F251A41"/>
    <w:rsid w:val="6F87409D"/>
    <w:rsid w:val="706D12CD"/>
    <w:rsid w:val="70DC0AC2"/>
    <w:rsid w:val="71F02E18"/>
    <w:rsid w:val="748B34D3"/>
    <w:rsid w:val="78A61EC8"/>
    <w:rsid w:val="78C106B3"/>
    <w:rsid w:val="7A567F6D"/>
    <w:rsid w:val="7C71581C"/>
    <w:rsid w:val="7CD61AEE"/>
    <w:rsid w:val="7DC779FA"/>
    <w:rsid w:val="7E775396"/>
    <w:rsid w:val="7E823943"/>
    <w:rsid w:val="7EDB5C68"/>
    <w:rsid w:val="7F8348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5"/>
    <w:qFormat/>
    <w:uiPriority w:val="0"/>
    <w:pPr>
      <w:spacing w:after="12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next w:val="8"/>
    <w:link w:val="52"/>
    <w:qFormat/>
    <w:uiPriority w:val="0"/>
    <w:pPr>
      <w:ind w:firstLine="420" w:firstLineChars="200"/>
    </w:pPr>
  </w:style>
  <w:style w:type="paragraph" w:customStyle="1" w:styleId="8">
    <w:name w:val="首行缩进"/>
    <w:basedOn w:val="1"/>
    <w:qFormat/>
    <w:uiPriority w:val="0"/>
    <w:pPr>
      <w:spacing w:afterLines="50" w:line="300" w:lineRule="auto"/>
      <w:ind w:firstLine="200" w:firstLineChars="200"/>
    </w:pPr>
  </w:style>
  <w:style w:type="paragraph" w:styleId="9">
    <w:name w:val="Document Map"/>
    <w:basedOn w:val="1"/>
    <w:link w:val="64"/>
    <w:qFormat/>
    <w:uiPriority w:val="0"/>
    <w:rPr>
      <w:rFonts w:ascii="宋体"/>
      <w:sz w:val="18"/>
      <w:szCs w:val="18"/>
    </w:rPr>
  </w:style>
  <w:style w:type="paragraph" w:styleId="10">
    <w:name w:val="annotation text"/>
    <w:basedOn w:val="1"/>
    <w:link w:val="55"/>
    <w:qFormat/>
    <w:uiPriority w:val="0"/>
    <w:pPr>
      <w:jc w:val="left"/>
    </w:pPr>
    <w:rPr>
      <w:rFonts w:asciiTheme="minorHAnsi" w:hAnsiTheme="minorHAnsi" w:eastAsiaTheme="minorEastAsia" w:cstheme="minorBidi"/>
      <w:sz w:val="18"/>
      <w:szCs w:val="22"/>
    </w:rPr>
  </w:style>
  <w:style w:type="paragraph" w:styleId="11">
    <w:name w:val="Body Text Indent"/>
    <w:basedOn w:val="1"/>
    <w:link w:val="42"/>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7"/>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ody Text Indent 2"/>
    <w:basedOn w:val="1"/>
    <w:link w:val="45"/>
    <w:qFormat/>
    <w:uiPriority w:val="0"/>
    <w:pPr>
      <w:spacing w:after="120" w:line="480" w:lineRule="auto"/>
      <w:ind w:left="420" w:leftChars="200"/>
    </w:pPr>
  </w:style>
  <w:style w:type="paragraph" w:styleId="17">
    <w:name w:val="Balloon Text"/>
    <w:basedOn w:val="1"/>
    <w:link w:val="51"/>
    <w:qFormat/>
    <w:uiPriority w:val="0"/>
    <w:rPr>
      <w:sz w:val="18"/>
      <w:szCs w:val="18"/>
    </w:rPr>
  </w:style>
  <w:style w:type="paragraph" w:styleId="18">
    <w:name w:val="footer"/>
    <w:basedOn w:val="1"/>
    <w:link w:val="41"/>
    <w:unhideWhenUsed/>
    <w:qFormat/>
    <w:uiPriority w:val="99"/>
    <w:pPr>
      <w:tabs>
        <w:tab w:val="center" w:pos="4153"/>
        <w:tab w:val="right" w:pos="8306"/>
      </w:tabs>
      <w:snapToGrid w:val="0"/>
      <w:jc w:val="left"/>
    </w:pPr>
    <w:rPr>
      <w:sz w:val="18"/>
      <w:szCs w:val="18"/>
    </w:rPr>
  </w:style>
  <w:style w:type="paragraph" w:styleId="19">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line="360" w:lineRule="auto"/>
    </w:pPr>
    <w:rPr>
      <w:rFonts w:eastAsia="微软雅黑"/>
      <w:sz w:val="24"/>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46"/>
    <w:qFormat/>
    <w:uiPriority w:val="0"/>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Title"/>
    <w:basedOn w:val="1"/>
    <w:next w:val="1"/>
    <w:link w:val="68"/>
    <w:qFormat/>
    <w:uiPriority w:val="10"/>
    <w:pPr>
      <w:spacing w:before="240" w:after="60"/>
      <w:jc w:val="center"/>
      <w:outlineLvl w:val="0"/>
    </w:pPr>
    <w:rPr>
      <w:rFonts w:asciiTheme="majorHAnsi" w:hAnsiTheme="majorHAnsi" w:cstheme="majorBidi"/>
      <w:b/>
      <w:bCs/>
      <w:sz w:val="32"/>
      <w:szCs w:val="32"/>
    </w:rPr>
  </w:style>
  <w:style w:type="paragraph" w:styleId="28">
    <w:name w:val="annotation subject"/>
    <w:basedOn w:val="10"/>
    <w:next w:val="10"/>
    <w:link w:val="62"/>
    <w:qFormat/>
    <w:uiPriority w:val="0"/>
    <w:rPr>
      <w:b/>
      <w:bCs/>
      <w:sz w:val="21"/>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qFormat/>
    <w:uiPriority w:val="99"/>
    <w:rPr>
      <w:color w:val="0000FF"/>
      <w:u w:val="single"/>
    </w:rPr>
  </w:style>
  <w:style w:type="character" w:styleId="34">
    <w:name w:val="annotation reference"/>
    <w:basedOn w:val="31"/>
    <w:qFormat/>
    <w:uiPriority w:val="99"/>
    <w:rPr>
      <w:sz w:val="21"/>
      <w:szCs w:val="21"/>
    </w:rPr>
  </w:style>
  <w:style w:type="paragraph" w:customStyle="1" w:styleId="35">
    <w:name w:val="Default"/>
    <w:next w:val="3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toc 21"/>
    <w:next w:val="1"/>
    <w:qFormat/>
    <w:uiPriority w:val="0"/>
    <w:pPr>
      <w:wordWrap w:val="0"/>
      <w:ind w:left="425"/>
      <w:jc w:val="both"/>
    </w:pPr>
    <w:rPr>
      <w:rFonts w:ascii="Times New Roman" w:hAnsi="Times New Roman" w:eastAsia="宋体" w:cs="Times New Roman"/>
      <w:sz w:val="21"/>
      <w:lang w:val="en-US" w:eastAsia="zh-CN" w:bidi="ar-SA"/>
    </w:rPr>
  </w:style>
  <w:style w:type="character" w:customStyle="1" w:styleId="37">
    <w:name w:val="标题 2 字符"/>
    <w:basedOn w:val="31"/>
    <w:link w:val="4"/>
    <w:qFormat/>
    <w:uiPriority w:val="0"/>
    <w:rPr>
      <w:rFonts w:ascii="Arial" w:hAnsi="Arial" w:eastAsia="黑体" w:cs="Times New Roman"/>
      <w:b/>
      <w:bCs/>
      <w:sz w:val="32"/>
      <w:szCs w:val="32"/>
    </w:rPr>
  </w:style>
  <w:style w:type="character" w:customStyle="1" w:styleId="38">
    <w:name w:val="标题 3 字符"/>
    <w:basedOn w:val="31"/>
    <w:link w:val="5"/>
    <w:qFormat/>
    <w:uiPriority w:val="0"/>
    <w:rPr>
      <w:rFonts w:ascii="Times New Roman" w:hAnsi="Times New Roman" w:eastAsia="宋体" w:cs="Times New Roman"/>
      <w:b/>
      <w:bCs/>
      <w:sz w:val="32"/>
      <w:szCs w:val="32"/>
    </w:rPr>
  </w:style>
  <w:style w:type="character" w:customStyle="1" w:styleId="39">
    <w:name w:val="标题 1 字符"/>
    <w:basedOn w:val="31"/>
    <w:link w:val="3"/>
    <w:qFormat/>
    <w:uiPriority w:val="0"/>
    <w:rPr>
      <w:rFonts w:ascii="Times New Roman" w:hAnsi="Times New Roman" w:eastAsia="宋体" w:cs="Times New Roman"/>
      <w:b/>
      <w:bCs/>
      <w:kern w:val="44"/>
      <w:sz w:val="44"/>
      <w:szCs w:val="44"/>
    </w:rPr>
  </w:style>
  <w:style w:type="character" w:customStyle="1" w:styleId="40">
    <w:name w:val="页眉 字符"/>
    <w:basedOn w:val="31"/>
    <w:link w:val="19"/>
    <w:qFormat/>
    <w:uiPriority w:val="0"/>
    <w:rPr>
      <w:sz w:val="18"/>
      <w:szCs w:val="18"/>
    </w:rPr>
  </w:style>
  <w:style w:type="character" w:customStyle="1" w:styleId="41">
    <w:name w:val="页脚 字符"/>
    <w:basedOn w:val="31"/>
    <w:link w:val="18"/>
    <w:qFormat/>
    <w:uiPriority w:val="99"/>
    <w:rPr>
      <w:sz w:val="18"/>
      <w:szCs w:val="18"/>
    </w:rPr>
  </w:style>
  <w:style w:type="character" w:customStyle="1" w:styleId="42">
    <w:name w:val="正文文本缩进 字符"/>
    <w:basedOn w:val="31"/>
    <w:link w:val="11"/>
    <w:qFormat/>
    <w:uiPriority w:val="0"/>
    <w:rPr>
      <w:rFonts w:ascii="Times New Roman" w:hAnsi="Times New Roman" w:eastAsia="宋体" w:cs="Times New Roman"/>
      <w:sz w:val="32"/>
      <w:szCs w:val="20"/>
    </w:rPr>
  </w:style>
  <w:style w:type="paragraph" w:customStyle="1" w:styleId="43">
    <w:name w:val="正文首行缩进两字符"/>
    <w:basedOn w:val="1"/>
    <w:qFormat/>
    <w:uiPriority w:val="0"/>
    <w:pPr>
      <w:spacing w:line="360" w:lineRule="auto"/>
      <w:ind w:firstLine="200" w:firstLineChars="200"/>
    </w:pPr>
  </w:style>
  <w:style w:type="paragraph" w:customStyle="1" w:styleId="4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5">
    <w:name w:val="正文文本缩进 2 字符"/>
    <w:basedOn w:val="31"/>
    <w:link w:val="16"/>
    <w:qFormat/>
    <w:uiPriority w:val="0"/>
    <w:rPr>
      <w:rFonts w:ascii="Times New Roman" w:hAnsi="Times New Roman" w:eastAsia="宋体" w:cs="Times New Roman"/>
      <w:szCs w:val="24"/>
    </w:rPr>
  </w:style>
  <w:style w:type="character" w:customStyle="1" w:styleId="46">
    <w:name w:val="正文文本缩进 3 字符"/>
    <w:basedOn w:val="31"/>
    <w:link w:val="23"/>
    <w:qFormat/>
    <w:uiPriority w:val="0"/>
    <w:rPr>
      <w:rFonts w:ascii="Times New Roman" w:hAnsi="Times New Roman" w:eastAsia="宋体" w:cs="Times New Roman"/>
      <w:sz w:val="16"/>
      <w:szCs w:val="16"/>
    </w:rPr>
  </w:style>
  <w:style w:type="paragraph" w:customStyle="1" w:styleId="4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8">
    <w:name w:val="表格"/>
    <w:basedOn w:val="1"/>
    <w:qFormat/>
    <w:uiPriority w:val="0"/>
    <w:pPr>
      <w:spacing w:line="400" w:lineRule="exact"/>
    </w:pPr>
    <w:rPr>
      <w:sz w:val="24"/>
    </w:rPr>
  </w:style>
  <w:style w:type="paragraph" w:customStyle="1" w:styleId="49">
    <w:name w:val="样式 首行缩进:  2 字符"/>
    <w:basedOn w:val="1"/>
    <w:qFormat/>
    <w:uiPriority w:val="0"/>
    <w:pPr>
      <w:spacing w:line="400" w:lineRule="exact"/>
      <w:ind w:firstLine="200" w:firstLineChars="200"/>
    </w:pPr>
    <w:rPr>
      <w:rFonts w:cs="宋体"/>
      <w:sz w:val="24"/>
    </w:rPr>
  </w:style>
  <w:style w:type="character" w:customStyle="1" w:styleId="50">
    <w:name w:val="（符号）邀请函中一、"/>
    <w:basedOn w:val="31"/>
    <w:qFormat/>
    <w:uiPriority w:val="0"/>
    <w:rPr>
      <w:rFonts w:ascii="黑体" w:hAnsi="黑体" w:eastAsia="黑体"/>
      <w:b/>
      <w:bCs/>
      <w:sz w:val="24"/>
    </w:rPr>
  </w:style>
  <w:style w:type="character" w:customStyle="1" w:styleId="51">
    <w:name w:val="批注框文本 字符"/>
    <w:basedOn w:val="31"/>
    <w:link w:val="17"/>
    <w:qFormat/>
    <w:uiPriority w:val="0"/>
    <w:rPr>
      <w:rFonts w:ascii="Times New Roman" w:hAnsi="Times New Roman" w:eastAsia="宋体" w:cs="Times New Roman"/>
      <w:sz w:val="18"/>
      <w:szCs w:val="18"/>
    </w:rPr>
  </w:style>
  <w:style w:type="character" w:customStyle="1" w:styleId="52">
    <w:name w:val="正文缩进 字符"/>
    <w:link w:val="7"/>
    <w:qFormat/>
    <w:uiPriority w:val="0"/>
    <w:rPr>
      <w:rFonts w:ascii="Times New Roman" w:hAnsi="Times New Roman" w:eastAsia="宋体" w:cs="Times New Roman"/>
      <w:szCs w:val="24"/>
    </w:rPr>
  </w:style>
  <w:style w:type="character" w:customStyle="1" w:styleId="53">
    <w:name w:val="Char Char9"/>
    <w:qFormat/>
    <w:uiPriority w:val="0"/>
    <w:rPr>
      <w:kern w:val="2"/>
      <w:sz w:val="21"/>
    </w:rPr>
  </w:style>
  <w:style w:type="character" w:customStyle="1" w:styleId="54">
    <w:name w:val="批注文字 Char"/>
    <w:qFormat/>
    <w:uiPriority w:val="0"/>
    <w:rPr>
      <w:sz w:val="18"/>
    </w:rPr>
  </w:style>
  <w:style w:type="character" w:customStyle="1" w:styleId="55">
    <w:name w:val="批注文字 字符"/>
    <w:basedOn w:val="31"/>
    <w:link w:val="10"/>
    <w:qFormat/>
    <w:uiPriority w:val="0"/>
    <w:rPr>
      <w:rFonts w:ascii="Times New Roman" w:hAnsi="Times New Roman" w:eastAsia="宋体" w:cs="Times New Roman"/>
      <w:szCs w:val="24"/>
    </w:rPr>
  </w:style>
  <w:style w:type="character" w:customStyle="1" w:styleId="56">
    <w:name w:val="纯文本 Char"/>
    <w:unhideWhenUsed/>
    <w:qFormat/>
    <w:uiPriority w:val="0"/>
    <w:rPr>
      <w:rFonts w:ascii="宋体" w:hAnsi="Tms Rmn" w:eastAsia="宋体"/>
    </w:rPr>
  </w:style>
  <w:style w:type="character" w:customStyle="1" w:styleId="57">
    <w:name w:val="纯文本 字符"/>
    <w:basedOn w:val="31"/>
    <w:link w:val="14"/>
    <w:qFormat/>
    <w:uiPriority w:val="99"/>
    <w:rPr>
      <w:rFonts w:ascii="宋体" w:hAnsi="Courier New" w:eastAsia="宋体" w:cs="Courier New"/>
      <w:szCs w:val="21"/>
    </w:rPr>
  </w:style>
  <w:style w:type="paragraph" w:customStyle="1" w:styleId="58">
    <w:name w:val="GW-正文"/>
    <w:basedOn w:val="1"/>
    <w:link w:val="59"/>
    <w:qFormat/>
    <w:uiPriority w:val="0"/>
    <w:pPr>
      <w:spacing w:line="360" w:lineRule="auto"/>
      <w:ind w:firstLine="200" w:firstLineChars="200"/>
    </w:pPr>
    <w:rPr>
      <w:rFonts w:eastAsia="仿宋_GB2312"/>
      <w:sz w:val="24"/>
    </w:rPr>
  </w:style>
  <w:style w:type="character" w:customStyle="1" w:styleId="59">
    <w:name w:val="GW-正文 Char"/>
    <w:link w:val="58"/>
    <w:qFormat/>
    <w:uiPriority w:val="0"/>
    <w:rPr>
      <w:rFonts w:ascii="Times New Roman" w:hAnsi="Times New Roman" w:eastAsia="仿宋_GB2312" w:cs="Times New Roman"/>
      <w:sz w:val="24"/>
      <w:szCs w:val="24"/>
    </w:rPr>
  </w:style>
  <w:style w:type="paragraph" w:customStyle="1" w:styleId="60">
    <w:name w:val="列表段落1"/>
    <w:basedOn w:val="1"/>
    <w:link w:val="61"/>
    <w:qFormat/>
    <w:uiPriority w:val="0"/>
    <w:pPr>
      <w:ind w:firstLine="420" w:firstLineChars="200"/>
    </w:pPr>
  </w:style>
  <w:style w:type="character" w:customStyle="1" w:styleId="61">
    <w:name w:val="列表段落 字符"/>
    <w:link w:val="60"/>
    <w:qFormat/>
    <w:uiPriority w:val="0"/>
    <w:rPr>
      <w:rFonts w:ascii="Times New Roman" w:hAnsi="Times New Roman" w:eastAsia="宋体" w:cs="Times New Roman"/>
      <w:szCs w:val="24"/>
    </w:rPr>
  </w:style>
  <w:style w:type="character" w:customStyle="1" w:styleId="62">
    <w:name w:val="批注主题 字符"/>
    <w:basedOn w:val="55"/>
    <w:link w:val="28"/>
    <w:qFormat/>
    <w:uiPriority w:val="0"/>
    <w:rPr>
      <w:rFonts w:ascii="Times New Roman" w:hAnsi="Times New Roman" w:eastAsia="宋体" w:cs="Times New Roman"/>
      <w:b/>
      <w:bCs/>
      <w:szCs w:val="24"/>
    </w:rPr>
  </w:style>
  <w:style w:type="paragraph" w:customStyle="1" w:styleId="63">
    <w:name w:val="Char Char Char Char Char Char Char Char Char Char Char Char Char Char1 Char Char Char Char"/>
    <w:basedOn w:val="1"/>
    <w:qFormat/>
    <w:uiPriority w:val="0"/>
    <w:rPr>
      <w:szCs w:val="21"/>
    </w:rPr>
  </w:style>
  <w:style w:type="character" w:customStyle="1" w:styleId="64">
    <w:name w:val="文档结构图 字符"/>
    <w:basedOn w:val="31"/>
    <w:link w:val="9"/>
    <w:qFormat/>
    <w:uiPriority w:val="0"/>
    <w:rPr>
      <w:rFonts w:ascii="宋体" w:hAnsi="Times New Roman" w:eastAsia="宋体" w:cs="Times New Roman"/>
      <w:sz w:val="18"/>
      <w:szCs w:val="18"/>
    </w:rPr>
  </w:style>
  <w:style w:type="character" w:customStyle="1" w:styleId="65">
    <w:name w:val="正文文本 字符"/>
    <w:basedOn w:val="31"/>
    <w:link w:val="2"/>
    <w:qFormat/>
    <w:uiPriority w:val="0"/>
    <w:rPr>
      <w:rFonts w:ascii="Times New Roman" w:hAnsi="Times New Roman" w:eastAsia="宋体" w:cs="Times New Roman"/>
      <w:szCs w:val="24"/>
    </w:rPr>
  </w:style>
  <w:style w:type="paragraph" w:customStyle="1" w:styleId="6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7">
    <w:name w:val="font31"/>
    <w:basedOn w:val="31"/>
    <w:qFormat/>
    <w:uiPriority w:val="0"/>
    <w:rPr>
      <w:rFonts w:hint="eastAsia" w:ascii="宋体" w:hAnsi="宋体" w:eastAsia="宋体" w:cs="宋体"/>
      <w:color w:val="000000"/>
      <w:sz w:val="21"/>
      <w:szCs w:val="21"/>
      <w:u w:val="none"/>
    </w:rPr>
  </w:style>
  <w:style w:type="character" w:customStyle="1" w:styleId="68">
    <w:name w:val="标题 字符"/>
    <w:basedOn w:val="31"/>
    <w:link w:val="27"/>
    <w:qFormat/>
    <w:uiPriority w:val="10"/>
    <w:rPr>
      <w:rFonts w:eastAsia="宋体" w:asciiTheme="majorHAnsi" w:hAnsiTheme="majorHAnsi" w:cstheme="majorBidi"/>
      <w:b/>
      <w:bCs/>
      <w:kern w:val="2"/>
      <w:sz w:val="32"/>
      <w:szCs w:val="32"/>
    </w:rPr>
  </w:style>
  <w:style w:type="character" w:customStyle="1" w:styleId="69">
    <w:name w:val="font91"/>
    <w:qFormat/>
    <w:uiPriority w:val="0"/>
    <w:rPr>
      <w:rFonts w:hint="eastAsia" w:ascii="宋体" w:hAnsi="宋体" w:eastAsia="宋体" w:cs="宋体"/>
      <w:color w:val="FF0000"/>
      <w:sz w:val="21"/>
      <w:szCs w:val="21"/>
      <w:u w:val="single"/>
    </w:rPr>
  </w:style>
  <w:style w:type="paragraph" w:customStyle="1" w:styleId="7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1">
    <w:name w:val="列出段落1"/>
    <w:basedOn w:val="1"/>
    <w:qFormat/>
    <w:uiPriority w:val="34"/>
    <w:pPr>
      <w:ind w:firstLine="420" w:firstLineChars="200"/>
    </w:pPr>
  </w:style>
  <w:style w:type="paragraph" w:customStyle="1" w:styleId="72">
    <w:name w:val="列出段落2"/>
    <w:basedOn w:val="1"/>
    <w:qFormat/>
    <w:uiPriority w:val="34"/>
    <w:pPr>
      <w:ind w:firstLine="420" w:firstLineChars="200"/>
    </w:pPr>
    <w:rPr>
      <w:rFonts w:ascii="Calibri" w:hAnsi="Calibri"/>
      <w:szCs w:val="22"/>
    </w:rPr>
  </w:style>
  <w:style w:type="paragraph" w:customStyle="1" w:styleId="73">
    <w:name w:val="列出段落4"/>
    <w:basedOn w:val="1"/>
    <w:unhideWhenUsed/>
    <w:qFormat/>
    <w:uiPriority w:val="99"/>
    <w:pPr>
      <w:ind w:firstLine="420" w:firstLineChars="200"/>
    </w:pPr>
    <w:rPr>
      <w:rFonts w:ascii="Calibri" w:hAnsi="Calibri"/>
    </w:rPr>
  </w:style>
  <w:style w:type="paragraph" w:customStyle="1" w:styleId="7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75">
    <w:name w:val="修订3"/>
    <w:hidden/>
    <w:semiHidden/>
    <w:qFormat/>
    <w:uiPriority w:val="99"/>
    <w:rPr>
      <w:rFonts w:ascii="Times New Roman" w:hAnsi="Times New Roman" w:eastAsia="宋体" w:cs="Times New Roman"/>
      <w:kern w:val="2"/>
      <w:sz w:val="21"/>
      <w:szCs w:val="24"/>
      <w:lang w:val="en-US" w:eastAsia="zh-CN" w:bidi="ar-SA"/>
    </w:rPr>
  </w:style>
  <w:style w:type="table" w:customStyle="1" w:styleId="76">
    <w:name w:val="Table Normal"/>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77">
    <w:name w:val="List Paragraph1"/>
    <w:basedOn w:val="1"/>
    <w:qFormat/>
    <w:uiPriority w:val="99"/>
    <w:pPr>
      <w:ind w:firstLine="420" w:firstLineChars="200"/>
    </w:pPr>
    <w:rPr>
      <w:rFonts w:cs="Calibri"/>
      <w:kern w:val="0"/>
      <w:sz w:val="20"/>
      <w:lang w:val="zh-CN"/>
    </w:rPr>
  </w:style>
  <w:style w:type="paragraph" w:customStyle="1" w:styleId="7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CC0EE-2256-46CA-A754-B7AB92DFF1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7165</Words>
  <Characters>40842</Characters>
  <Lines>340</Lines>
  <Paragraphs>95</Paragraphs>
  <TotalTime>27</TotalTime>
  <ScaleCrop>false</ScaleCrop>
  <LinksUpToDate>false</LinksUpToDate>
  <CharactersWithSpaces>47912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2021-11-25T06:58:00Z</dcterms:created>
  <dc:creator>刘春阳</dc:creator>
  <cp:lastModifiedBy>francis</cp:lastModifiedBy>
  <dcterms:modified xsi:type="dcterms:W3CDTF">2021-11-29T07:21:38Z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6A71CA2390D3472AAE791E657DDEB4C5</vt:lpwstr>
  </property>
</Properties>
</file>