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0" w:line="390" w:lineRule="atLeast"/>
        <w:ind w:firstLine="420"/>
        <w:jc w:val="right"/>
        <w:rPr>
          <w:rFonts w:ascii="宋体" w:hAnsi="宋体" w:cs="宋体"/>
          <w:b/>
          <w:bCs/>
          <w:color w:val="auto"/>
          <w:sz w:val="28"/>
          <w:szCs w:val="28"/>
          <w:highlight w:val="none"/>
        </w:rPr>
      </w:pPr>
      <w:r>
        <w:rPr>
          <w:rFonts w:hint="eastAsia" w:ascii="宋体" w:hAnsi="宋体" w:cs="宋体"/>
          <w:b/>
          <w:bCs/>
          <w:color w:val="auto"/>
          <w:sz w:val="28"/>
          <w:szCs w:val="28"/>
          <w:highlight w:val="none"/>
        </w:rPr>
        <w:t>项目编号：510118202100190</w:t>
      </w:r>
    </w:p>
    <w:p>
      <w:pPr>
        <w:widowControl/>
        <w:shd w:val="clear" w:color="auto" w:fill="FFFFFF"/>
        <w:spacing w:after="0" w:line="390" w:lineRule="atLeast"/>
        <w:jc w:val="center"/>
        <w:rPr>
          <w:rFonts w:ascii="宋体" w:hAnsi="宋体" w:cs="宋体"/>
          <w:b/>
          <w:bCs/>
          <w:color w:val="auto"/>
          <w:sz w:val="28"/>
          <w:szCs w:val="28"/>
          <w:highlight w:val="none"/>
        </w:rPr>
      </w:pPr>
    </w:p>
    <w:p>
      <w:pPr>
        <w:pStyle w:val="33"/>
        <w:ind w:firstLine="0" w:firstLineChars="0"/>
        <w:jc w:val="center"/>
        <w:rPr>
          <w:rFonts w:ascii="宋体" w:hAnsi="宋体" w:cs="宋体"/>
          <w:b/>
          <w:color w:val="auto"/>
          <w:sz w:val="48"/>
          <w:szCs w:val="48"/>
          <w:highlight w:val="none"/>
        </w:rPr>
      </w:pPr>
      <w:r>
        <w:rPr>
          <w:rFonts w:hint="eastAsia" w:ascii="宋体" w:hAnsi="宋体" w:cs="宋体"/>
          <w:b/>
          <w:color w:val="auto"/>
          <w:sz w:val="48"/>
          <w:szCs w:val="48"/>
          <w:highlight w:val="none"/>
        </w:rPr>
        <w:t>成都东部新区应急安全管理局</w:t>
      </w:r>
    </w:p>
    <w:p>
      <w:pPr>
        <w:pStyle w:val="33"/>
        <w:ind w:firstLine="0" w:firstLineChars="0"/>
        <w:jc w:val="center"/>
        <w:rPr>
          <w:rFonts w:ascii="宋体" w:hAnsi="宋体" w:cs="宋体"/>
          <w:b/>
          <w:color w:val="auto"/>
          <w:sz w:val="48"/>
          <w:szCs w:val="48"/>
          <w:highlight w:val="none"/>
        </w:rPr>
      </w:pPr>
      <w:r>
        <w:rPr>
          <w:rFonts w:hint="eastAsia" w:ascii="宋体" w:hAnsi="宋体" w:cs="宋体"/>
          <w:b/>
          <w:color w:val="auto"/>
          <w:sz w:val="48"/>
          <w:szCs w:val="48"/>
          <w:highlight w:val="none"/>
        </w:rPr>
        <w:t>水库动态监管预警系统升级改造项目</w:t>
      </w:r>
    </w:p>
    <w:p>
      <w:pPr>
        <w:pStyle w:val="33"/>
        <w:ind w:firstLine="0" w:firstLineChars="0"/>
        <w:jc w:val="center"/>
        <w:rPr>
          <w:rFonts w:ascii="宋体" w:hAnsi="宋体" w:cs="宋体"/>
          <w:b/>
          <w:color w:val="auto"/>
          <w:sz w:val="48"/>
          <w:szCs w:val="48"/>
          <w:highlight w:val="none"/>
        </w:rPr>
      </w:pPr>
    </w:p>
    <w:p>
      <w:pPr>
        <w:tabs>
          <w:tab w:val="left" w:pos="2505"/>
          <w:tab w:val="center" w:pos="4204"/>
        </w:tabs>
        <w:jc w:val="center"/>
        <w:rPr>
          <w:rFonts w:ascii="宋体" w:hAnsi="宋体" w:cs="宋体"/>
          <w:b/>
          <w:color w:val="auto"/>
          <w:sz w:val="56"/>
          <w:szCs w:val="56"/>
          <w:highlight w:val="none"/>
        </w:rPr>
      </w:pPr>
      <w:r>
        <w:rPr>
          <w:rFonts w:hint="eastAsia" w:ascii="宋体" w:hAnsi="宋体" w:cs="宋体"/>
          <w:b/>
          <w:color w:val="auto"/>
          <w:sz w:val="56"/>
          <w:szCs w:val="56"/>
          <w:highlight w:val="none"/>
        </w:rPr>
        <w:t>竞</w:t>
      </w:r>
    </w:p>
    <w:p>
      <w:pPr>
        <w:tabs>
          <w:tab w:val="left" w:pos="2505"/>
          <w:tab w:val="center" w:pos="4204"/>
        </w:tabs>
        <w:jc w:val="center"/>
        <w:rPr>
          <w:rFonts w:ascii="宋体" w:hAnsi="宋体" w:cs="宋体"/>
          <w:b/>
          <w:color w:val="auto"/>
          <w:sz w:val="56"/>
          <w:szCs w:val="56"/>
          <w:highlight w:val="none"/>
        </w:rPr>
      </w:pPr>
      <w:r>
        <w:rPr>
          <w:rFonts w:hint="eastAsia" w:ascii="宋体" w:hAnsi="宋体" w:cs="宋体"/>
          <w:b/>
          <w:color w:val="auto"/>
          <w:sz w:val="56"/>
          <w:szCs w:val="56"/>
          <w:highlight w:val="none"/>
        </w:rPr>
        <w:t>争</w:t>
      </w:r>
    </w:p>
    <w:p>
      <w:pPr>
        <w:tabs>
          <w:tab w:val="left" w:pos="2505"/>
          <w:tab w:val="center" w:pos="4204"/>
        </w:tabs>
        <w:jc w:val="center"/>
        <w:rPr>
          <w:rFonts w:ascii="宋体" w:hAnsi="宋体" w:cs="宋体"/>
          <w:b/>
          <w:color w:val="auto"/>
          <w:sz w:val="56"/>
          <w:szCs w:val="56"/>
          <w:highlight w:val="none"/>
        </w:rPr>
      </w:pPr>
      <w:r>
        <w:rPr>
          <w:rFonts w:hint="eastAsia" w:ascii="宋体" w:hAnsi="宋体" w:cs="宋体"/>
          <w:b/>
          <w:color w:val="auto"/>
          <w:sz w:val="56"/>
          <w:szCs w:val="56"/>
          <w:highlight w:val="none"/>
        </w:rPr>
        <w:t>性</w:t>
      </w:r>
    </w:p>
    <w:p>
      <w:pPr>
        <w:tabs>
          <w:tab w:val="left" w:pos="2505"/>
          <w:tab w:val="center" w:pos="4204"/>
        </w:tabs>
        <w:jc w:val="center"/>
        <w:rPr>
          <w:rFonts w:ascii="宋体" w:hAnsi="宋体" w:cs="宋体"/>
          <w:b/>
          <w:color w:val="auto"/>
          <w:sz w:val="56"/>
          <w:szCs w:val="56"/>
          <w:highlight w:val="none"/>
        </w:rPr>
      </w:pPr>
      <w:r>
        <w:rPr>
          <w:rFonts w:hint="eastAsia" w:ascii="宋体" w:hAnsi="宋体" w:cs="宋体"/>
          <w:b/>
          <w:color w:val="auto"/>
          <w:sz w:val="56"/>
          <w:szCs w:val="56"/>
          <w:highlight w:val="none"/>
        </w:rPr>
        <w:t>磋</w:t>
      </w:r>
    </w:p>
    <w:p>
      <w:pPr>
        <w:tabs>
          <w:tab w:val="left" w:pos="2505"/>
          <w:tab w:val="center" w:pos="4204"/>
        </w:tabs>
        <w:jc w:val="center"/>
        <w:rPr>
          <w:rFonts w:ascii="宋体" w:hAnsi="宋体" w:cs="宋体"/>
          <w:b/>
          <w:color w:val="auto"/>
          <w:sz w:val="56"/>
          <w:szCs w:val="56"/>
          <w:highlight w:val="none"/>
        </w:rPr>
      </w:pPr>
      <w:r>
        <w:rPr>
          <w:rFonts w:hint="eastAsia" w:ascii="宋体" w:hAnsi="宋体" w:cs="宋体"/>
          <w:b/>
          <w:color w:val="auto"/>
          <w:sz w:val="56"/>
          <w:szCs w:val="56"/>
          <w:highlight w:val="none"/>
        </w:rPr>
        <w:t>商</w:t>
      </w:r>
    </w:p>
    <w:p>
      <w:pPr>
        <w:jc w:val="center"/>
        <w:rPr>
          <w:rFonts w:ascii="宋体" w:hAnsi="宋体" w:cs="宋体"/>
          <w:b/>
          <w:color w:val="auto"/>
          <w:sz w:val="56"/>
          <w:szCs w:val="56"/>
          <w:highlight w:val="none"/>
        </w:rPr>
      </w:pPr>
      <w:r>
        <w:rPr>
          <w:rFonts w:hint="eastAsia" w:ascii="宋体" w:hAnsi="宋体" w:cs="宋体"/>
          <w:b/>
          <w:color w:val="auto"/>
          <w:sz w:val="56"/>
          <w:szCs w:val="56"/>
          <w:highlight w:val="none"/>
        </w:rPr>
        <w:t>文</w:t>
      </w:r>
    </w:p>
    <w:p>
      <w:pPr>
        <w:jc w:val="center"/>
        <w:rPr>
          <w:rFonts w:ascii="宋体" w:hAnsi="宋体" w:cs="宋体"/>
          <w:b/>
          <w:color w:val="auto"/>
          <w:sz w:val="56"/>
          <w:szCs w:val="56"/>
          <w:highlight w:val="none"/>
        </w:rPr>
      </w:pPr>
      <w:r>
        <w:rPr>
          <w:rFonts w:hint="eastAsia" w:ascii="宋体" w:hAnsi="宋体" w:cs="宋体"/>
          <w:b/>
          <w:color w:val="auto"/>
          <w:sz w:val="56"/>
          <w:szCs w:val="56"/>
          <w:highlight w:val="none"/>
        </w:rPr>
        <w:t>件</w:t>
      </w:r>
    </w:p>
    <w:p>
      <w:pPr>
        <w:pStyle w:val="2"/>
        <w:rPr>
          <w:rFonts w:ascii="宋体" w:hAnsi="宋体" w:cs="宋体"/>
          <w:color w:val="auto"/>
          <w:highlight w:val="none"/>
        </w:rPr>
      </w:pPr>
    </w:p>
    <w:p>
      <w:pPr>
        <w:pStyle w:val="2"/>
        <w:rPr>
          <w:rFonts w:ascii="宋体" w:hAnsi="宋体" w:cs="宋体"/>
          <w:color w:val="auto"/>
          <w:highlight w:val="none"/>
        </w:rPr>
      </w:pPr>
    </w:p>
    <w:p>
      <w:pPr>
        <w:pStyle w:val="71"/>
        <w:spacing w:line="360" w:lineRule="auto"/>
        <w:jc w:val="center"/>
        <w:rPr>
          <w:rFonts w:cs="宋体"/>
          <w:b/>
          <w:bCs/>
          <w:color w:val="auto"/>
          <w:sz w:val="28"/>
          <w:szCs w:val="28"/>
          <w:highlight w:val="none"/>
        </w:rPr>
      </w:pPr>
      <w:r>
        <w:rPr>
          <w:rFonts w:hint="eastAsia" w:cs="宋体"/>
          <w:b/>
          <w:bCs/>
          <w:color w:val="auto"/>
          <w:sz w:val="28"/>
          <w:szCs w:val="28"/>
          <w:highlight w:val="none"/>
        </w:rPr>
        <w:t>中国·四川</w:t>
      </w:r>
    </w:p>
    <w:p>
      <w:pPr>
        <w:spacing w:after="0"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四川天启建设项目管理有限公司</w:t>
      </w:r>
    </w:p>
    <w:p>
      <w:pPr>
        <w:spacing w:after="0"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成都东部新区党工委管委会（成都市东部新城办）应急安全管理局  共同编制</w:t>
      </w:r>
    </w:p>
    <w:p>
      <w:pPr>
        <w:spacing w:line="360" w:lineRule="auto"/>
        <w:jc w:val="center"/>
        <w:rPr>
          <w:rFonts w:ascii="宋体" w:hAnsi="宋体" w:cs="宋体"/>
          <w:b/>
          <w:color w:val="auto"/>
          <w:sz w:val="24"/>
          <w:highlight w:val="none"/>
        </w:rPr>
        <w:sectPr>
          <w:headerReference r:id="rId7" w:type="first"/>
          <w:headerReference r:id="rId5" w:type="default"/>
          <w:footerReference r:id="rId8" w:type="default"/>
          <w:headerReference r:id="rId6" w:type="even"/>
          <w:footerReference r:id="rId9" w:type="even"/>
          <w:pgSz w:w="11907" w:h="16840"/>
          <w:pgMar w:top="1440" w:right="1080" w:bottom="1440" w:left="1080" w:header="851" w:footer="992" w:gutter="0"/>
          <w:pgNumType w:start="1"/>
          <w:cols w:space="720" w:num="1"/>
          <w:titlePg/>
          <w:docGrid w:linePitch="312" w:charSpace="0"/>
        </w:sectPr>
      </w:pPr>
      <w:r>
        <w:rPr>
          <w:rFonts w:hint="eastAsia" w:ascii="宋体" w:hAnsi="宋体" w:cs="宋体"/>
          <w:b/>
          <w:color w:val="auto"/>
          <w:sz w:val="32"/>
          <w:szCs w:val="32"/>
          <w:highlight w:val="none"/>
          <w:lang w:val="zh-CN"/>
        </w:rPr>
        <w:t>2021年</w:t>
      </w:r>
      <w:r>
        <w:rPr>
          <w:rFonts w:hint="eastAsia" w:ascii="宋体" w:hAnsi="宋体" w:cs="宋体"/>
          <w:b/>
          <w:color w:val="auto"/>
          <w:sz w:val="32"/>
          <w:szCs w:val="32"/>
          <w:highlight w:val="none"/>
          <w:lang w:val="en-US" w:eastAsia="zh-CN"/>
        </w:rPr>
        <w:t>11</w:t>
      </w:r>
      <w:r>
        <w:rPr>
          <w:rFonts w:hint="eastAsia" w:ascii="宋体" w:hAnsi="宋体" w:cs="宋体"/>
          <w:b/>
          <w:color w:val="auto"/>
          <w:sz w:val="32"/>
          <w:szCs w:val="32"/>
          <w:highlight w:val="none"/>
          <w:lang w:val="zh-CN"/>
        </w:rPr>
        <w:t>月</w:t>
      </w:r>
    </w:p>
    <w:p>
      <w:pPr>
        <w:spacing w:after="0" w:line="480" w:lineRule="auto"/>
        <w:jc w:val="center"/>
        <w:rPr>
          <w:rFonts w:ascii="宋体" w:hAnsi="宋体" w:cs="宋体"/>
          <w:b/>
          <w:bCs/>
          <w:color w:val="auto"/>
          <w:sz w:val="40"/>
          <w:highlight w:val="none"/>
        </w:rPr>
      </w:pPr>
      <w:bookmarkStart w:id="0" w:name="_Hlt101843627"/>
      <w:bookmarkEnd w:id="0"/>
      <w:bookmarkStart w:id="1" w:name="_Hlt101233737"/>
      <w:bookmarkEnd w:id="1"/>
      <w:r>
        <w:rPr>
          <w:rFonts w:hint="eastAsia" w:ascii="宋体" w:hAnsi="宋体" w:cs="宋体"/>
          <w:b/>
          <w:bCs/>
          <w:color w:val="auto"/>
          <w:sz w:val="40"/>
          <w:highlight w:val="none"/>
        </w:rPr>
        <w:t>目    录</w:t>
      </w:r>
    </w:p>
    <w:p>
      <w:pPr>
        <w:pStyle w:val="23"/>
        <w:tabs>
          <w:tab w:val="right" w:leader="middleDot" w:pos="8949"/>
        </w:tabs>
        <w:spacing w:after="0" w:line="480" w:lineRule="auto"/>
        <w:rPr>
          <w:rFonts w:ascii="宋体" w:hAnsi="宋体" w:cs="宋体"/>
          <w:b/>
          <w:bCs/>
          <w:color w:val="auto"/>
          <w:szCs w:val="22"/>
          <w:highlight w:val="none"/>
        </w:rPr>
      </w:pPr>
      <w:r>
        <w:rPr>
          <w:rFonts w:hint="eastAsia" w:ascii="宋体" w:hAnsi="宋体" w:cs="宋体"/>
          <w:b/>
          <w:bCs/>
          <w:color w:val="auto"/>
          <w:sz w:val="24"/>
          <w:highlight w:val="none"/>
        </w:rPr>
        <w:fldChar w:fldCharType="begin"/>
      </w:r>
      <w:r>
        <w:rPr>
          <w:rFonts w:hint="eastAsia" w:ascii="宋体" w:hAnsi="宋体" w:cs="宋体"/>
          <w:b/>
          <w:bCs/>
          <w:color w:val="auto"/>
          <w:sz w:val="24"/>
          <w:highlight w:val="none"/>
        </w:rPr>
        <w:instrText xml:space="preserve">TOC \o "1-1" \h \u </w:instrText>
      </w:r>
      <w:r>
        <w:rPr>
          <w:rFonts w:hint="eastAsia" w:ascii="宋体" w:hAnsi="宋体" w:cs="宋体"/>
          <w:b/>
          <w:bCs/>
          <w:color w:val="auto"/>
          <w:sz w:val="24"/>
          <w:highlight w:val="none"/>
        </w:rPr>
        <w:fldChar w:fldCharType="separate"/>
      </w:r>
      <w:r>
        <w:rPr>
          <w:color w:val="auto"/>
          <w:highlight w:val="none"/>
        </w:rPr>
        <w:fldChar w:fldCharType="begin"/>
      </w:r>
      <w:r>
        <w:rPr>
          <w:color w:val="auto"/>
          <w:highlight w:val="none"/>
        </w:rPr>
        <w:instrText xml:space="preserve"> HYPERLINK \l "_Toc73912822" </w:instrText>
      </w:r>
      <w:r>
        <w:rPr>
          <w:color w:val="auto"/>
          <w:highlight w:val="none"/>
        </w:rPr>
        <w:fldChar w:fldCharType="separate"/>
      </w:r>
      <w:r>
        <w:rPr>
          <w:rStyle w:val="45"/>
          <w:rFonts w:hint="eastAsia" w:ascii="宋体" w:hAnsi="宋体" w:cs="宋体"/>
          <w:b/>
          <w:bCs/>
          <w:color w:val="auto"/>
          <w:highlight w:val="none"/>
        </w:rPr>
        <w:t>第一章 磋商邀请</w:t>
      </w:r>
      <w:r>
        <w:rPr>
          <w:rFonts w:hint="eastAsia" w:ascii="宋体" w:hAnsi="宋体" w:cs="宋体"/>
          <w:b/>
          <w:bCs/>
          <w:color w:val="auto"/>
          <w:highlight w:val="none"/>
        </w:rPr>
        <w:tab/>
      </w:r>
      <w:r>
        <w:rPr>
          <w:rFonts w:hint="eastAsia" w:ascii="宋体" w:hAnsi="宋体" w:cs="宋体"/>
          <w:b/>
          <w:bCs/>
          <w:color w:val="auto"/>
          <w:highlight w:val="none"/>
        </w:rPr>
        <w:fldChar w:fldCharType="begin"/>
      </w:r>
      <w:r>
        <w:rPr>
          <w:rFonts w:hint="eastAsia" w:ascii="宋体" w:hAnsi="宋体" w:cs="宋体"/>
          <w:b/>
          <w:bCs/>
          <w:color w:val="auto"/>
          <w:highlight w:val="none"/>
        </w:rPr>
        <w:instrText xml:space="preserve"> PAGEREF _Toc73912822 \h </w:instrText>
      </w:r>
      <w:r>
        <w:rPr>
          <w:rFonts w:hint="eastAsia" w:ascii="宋体" w:hAnsi="宋体" w:cs="宋体"/>
          <w:b/>
          <w:bCs/>
          <w:color w:val="auto"/>
          <w:highlight w:val="none"/>
        </w:rPr>
        <w:fldChar w:fldCharType="separate"/>
      </w:r>
      <w:r>
        <w:rPr>
          <w:rFonts w:hint="eastAsia" w:ascii="宋体" w:hAnsi="宋体" w:cs="宋体"/>
          <w:b/>
          <w:bCs/>
          <w:color w:val="auto"/>
          <w:highlight w:val="none"/>
        </w:rPr>
        <w:t>3</w:t>
      </w:r>
      <w:r>
        <w:rPr>
          <w:rFonts w:hint="eastAsia" w:ascii="宋体" w:hAnsi="宋体" w:cs="宋体"/>
          <w:b/>
          <w:bCs/>
          <w:color w:val="auto"/>
          <w:highlight w:val="none"/>
        </w:rPr>
        <w:fldChar w:fldCharType="end"/>
      </w:r>
      <w:r>
        <w:rPr>
          <w:rFonts w:hint="eastAsia" w:ascii="宋体" w:hAnsi="宋体" w:cs="宋体"/>
          <w:b/>
          <w:bCs/>
          <w:color w:val="auto"/>
          <w:highlight w:val="none"/>
        </w:rPr>
        <w:fldChar w:fldCharType="end"/>
      </w:r>
    </w:p>
    <w:p>
      <w:pPr>
        <w:pStyle w:val="23"/>
        <w:tabs>
          <w:tab w:val="right" w:leader="middleDot" w:pos="8949"/>
        </w:tabs>
        <w:spacing w:after="0" w:line="480" w:lineRule="auto"/>
        <w:rPr>
          <w:rFonts w:ascii="宋体" w:hAnsi="宋体" w:cs="宋体"/>
          <w:b/>
          <w:bCs/>
          <w:color w:val="auto"/>
          <w:szCs w:val="22"/>
          <w:highlight w:val="none"/>
        </w:rPr>
      </w:pPr>
      <w:r>
        <w:rPr>
          <w:color w:val="auto"/>
          <w:highlight w:val="none"/>
        </w:rPr>
        <w:fldChar w:fldCharType="begin"/>
      </w:r>
      <w:r>
        <w:rPr>
          <w:color w:val="auto"/>
          <w:highlight w:val="none"/>
        </w:rPr>
        <w:instrText xml:space="preserve"> HYPERLINK \l "_Toc73912823" </w:instrText>
      </w:r>
      <w:r>
        <w:rPr>
          <w:color w:val="auto"/>
          <w:highlight w:val="none"/>
        </w:rPr>
        <w:fldChar w:fldCharType="separate"/>
      </w:r>
      <w:r>
        <w:rPr>
          <w:rStyle w:val="45"/>
          <w:rFonts w:hint="eastAsia" w:ascii="宋体" w:hAnsi="宋体" w:cs="宋体"/>
          <w:b/>
          <w:bCs/>
          <w:color w:val="auto"/>
          <w:highlight w:val="none"/>
        </w:rPr>
        <w:t>第二章 磋商须知</w:t>
      </w:r>
      <w:r>
        <w:rPr>
          <w:rFonts w:hint="eastAsia" w:ascii="宋体" w:hAnsi="宋体" w:cs="宋体"/>
          <w:b/>
          <w:bCs/>
          <w:color w:val="auto"/>
          <w:highlight w:val="none"/>
        </w:rPr>
        <w:tab/>
      </w:r>
      <w:r>
        <w:rPr>
          <w:rFonts w:hint="eastAsia" w:ascii="宋体" w:hAnsi="宋体" w:cs="宋体"/>
          <w:b/>
          <w:bCs/>
          <w:color w:val="auto"/>
          <w:highlight w:val="none"/>
        </w:rPr>
        <w:fldChar w:fldCharType="begin"/>
      </w:r>
      <w:r>
        <w:rPr>
          <w:rFonts w:hint="eastAsia" w:ascii="宋体" w:hAnsi="宋体" w:cs="宋体"/>
          <w:b/>
          <w:bCs/>
          <w:color w:val="auto"/>
          <w:highlight w:val="none"/>
        </w:rPr>
        <w:instrText xml:space="preserve"> PAGEREF _Toc73912823 \h </w:instrText>
      </w:r>
      <w:r>
        <w:rPr>
          <w:rFonts w:hint="eastAsia" w:ascii="宋体" w:hAnsi="宋体" w:cs="宋体"/>
          <w:b/>
          <w:bCs/>
          <w:color w:val="auto"/>
          <w:highlight w:val="none"/>
        </w:rPr>
        <w:fldChar w:fldCharType="separate"/>
      </w:r>
      <w:r>
        <w:rPr>
          <w:rFonts w:hint="eastAsia" w:ascii="宋体" w:hAnsi="宋体" w:cs="宋体"/>
          <w:b/>
          <w:bCs/>
          <w:color w:val="auto"/>
          <w:highlight w:val="none"/>
        </w:rPr>
        <w:t>6</w:t>
      </w:r>
      <w:r>
        <w:rPr>
          <w:rFonts w:hint="eastAsia" w:ascii="宋体" w:hAnsi="宋体" w:cs="宋体"/>
          <w:b/>
          <w:bCs/>
          <w:color w:val="auto"/>
          <w:highlight w:val="none"/>
        </w:rPr>
        <w:fldChar w:fldCharType="end"/>
      </w:r>
      <w:r>
        <w:rPr>
          <w:rFonts w:hint="eastAsia" w:ascii="宋体" w:hAnsi="宋体" w:cs="宋体"/>
          <w:b/>
          <w:bCs/>
          <w:color w:val="auto"/>
          <w:highlight w:val="none"/>
        </w:rPr>
        <w:fldChar w:fldCharType="end"/>
      </w:r>
    </w:p>
    <w:p>
      <w:pPr>
        <w:pStyle w:val="23"/>
        <w:tabs>
          <w:tab w:val="right" w:leader="middleDot" w:pos="8949"/>
        </w:tabs>
        <w:spacing w:after="0" w:line="480" w:lineRule="auto"/>
        <w:rPr>
          <w:rFonts w:ascii="宋体" w:hAnsi="宋体" w:cs="宋体"/>
          <w:b/>
          <w:bCs/>
          <w:color w:val="auto"/>
          <w:szCs w:val="22"/>
          <w:highlight w:val="none"/>
        </w:rPr>
      </w:pPr>
      <w:r>
        <w:rPr>
          <w:color w:val="auto"/>
          <w:highlight w:val="none"/>
        </w:rPr>
        <w:fldChar w:fldCharType="begin"/>
      </w:r>
      <w:r>
        <w:rPr>
          <w:color w:val="auto"/>
          <w:highlight w:val="none"/>
        </w:rPr>
        <w:instrText xml:space="preserve"> HYPERLINK \l "_Toc73912824" </w:instrText>
      </w:r>
      <w:r>
        <w:rPr>
          <w:color w:val="auto"/>
          <w:highlight w:val="none"/>
        </w:rPr>
        <w:fldChar w:fldCharType="separate"/>
      </w:r>
      <w:r>
        <w:rPr>
          <w:rStyle w:val="45"/>
          <w:rFonts w:hint="eastAsia" w:ascii="宋体" w:hAnsi="宋体" w:cs="宋体"/>
          <w:b/>
          <w:bCs/>
          <w:color w:val="auto"/>
          <w:highlight w:val="none"/>
        </w:rPr>
        <w:t>第三章 响应文件格式</w:t>
      </w:r>
      <w:r>
        <w:rPr>
          <w:rFonts w:hint="eastAsia" w:ascii="宋体" w:hAnsi="宋体" w:cs="宋体"/>
          <w:b/>
          <w:bCs/>
          <w:color w:val="auto"/>
          <w:highlight w:val="none"/>
        </w:rPr>
        <w:tab/>
      </w:r>
      <w:r>
        <w:rPr>
          <w:rFonts w:hint="eastAsia" w:ascii="宋体" w:hAnsi="宋体" w:cs="宋体"/>
          <w:b/>
          <w:bCs/>
          <w:color w:val="auto"/>
          <w:highlight w:val="none"/>
        </w:rPr>
        <w:fldChar w:fldCharType="begin"/>
      </w:r>
      <w:r>
        <w:rPr>
          <w:rFonts w:hint="eastAsia" w:ascii="宋体" w:hAnsi="宋体" w:cs="宋体"/>
          <w:b/>
          <w:bCs/>
          <w:color w:val="auto"/>
          <w:highlight w:val="none"/>
        </w:rPr>
        <w:instrText xml:space="preserve"> PAGEREF _Toc73912824 \h </w:instrText>
      </w:r>
      <w:r>
        <w:rPr>
          <w:rFonts w:hint="eastAsia" w:ascii="宋体" w:hAnsi="宋体" w:cs="宋体"/>
          <w:b/>
          <w:bCs/>
          <w:color w:val="auto"/>
          <w:highlight w:val="none"/>
        </w:rPr>
        <w:fldChar w:fldCharType="separate"/>
      </w:r>
      <w:r>
        <w:rPr>
          <w:rFonts w:hint="eastAsia" w:ascii="宋体" w:hAnsi="宋体" w:cs="宋体"/>
          <w:b/>
          <w:bCs/>
          <w:color w:val="auto"/>
          <w:highlight w:val="none"/>
        </w:rPr>
        <w:t>7</w:t>
      </w:r>
      <w:r>
        <w:rPr>
          <w:rFonts w:hint="eastAsia" w:ascii="宋体" w:hAnsi="宋体" w:cs="宋体"/>
          <w:b/>
          <w:bCs/>
          <w:color w:val="auto"/>
          <w:highlight w:val="none"/>
        </w:rPr>
        <w:fldChar w:fldCharType="end"/>
      </w:r>
      <w:r>
        <w:rPr>
          <w:rFonts w:hint="eastAsia" w:ascii="宋体" w:hAnsi="宋体" w:cs="宋体"/>
          <w:b/>
          <w:bCs/>
          <w:color w:val="auto"/>
          <w:highlight w:val="none"/>
        </w:rPr>
        <w:fldChar w:fldCharType="end"/>
      </w:r>
    </w:p>
    <w:p>
      <w:pPr>
        <w:pStyle w:val="23"/>
        <w:tabs>
          <w:tab w:val="right" w:leader="middleDot" w:pos="8949"/>
        </w:tabs>
        <w:spacing w:after="0" w:line="480" w:lineRule="auto"/>
        <w:rPr>
          <w:rFonts w:ascii="宋体" w:hAnsi="宋体" w:cs="宋体"/>
          <w:b/>
          <w:bCs/>
          <w:color w:val="auto"/>
          <w:szCs w:val="22"/>
          <w:highlight w:val="none"/>
        </w:rPr>
      </w:pPr>
      <w:r>
        <w:rPr>
          <w:color w:val="auto"/>
          <w:highlight w:val="none"/>
        </w:rPr>
        <w:fldChar w:fldCharType="begin"/>
      </w:r>
      <w:r>
        <w:rPr>
          <w:color w:val="auto"/>
          <w:highlight w:val="none"/>
        </w:rPr>
        <w:instrText xml:space="preserve"> HYPERLINK \l "_Toc73912825" </w:instrText>
      </w:r>
      <w:r>
        <w:rPr>
          <w:color w:val="auto"/>
          <w:highlight w:val="none"/>
        </w:rPr>
        <w:fldChar w:fldCharType="separate"/>
      </w:r>
      <w:r>
        <w:rPr>
          <w:rStyle w:val="45"/>
          <w:rFonts w:hint="eastAsia" w:ascii="宋体" w:hAnsi="宋体" w:cs="宋体"/>
          <w:b/>
          <w:bCs/>
          <w:color w:val="auto"/>
          <w:highlight w:val="none"/>
        </w:rPr>
        <w:t>第四章 供应商和响应产品的资格、资质性及其他类似效力要求</w:t>
      </w:r>
      <w:r>
        <w:rPr>
          <w:rFonts w:hint="eastAsia" w:ascii="宋体" w:hAnsi="宋体" w:cs="宋体"/>
          <w:b/>
          <w:bCs/>
          <w:color w:val="auto"/>
          <w:highlight w:val="none"/>
        </w:rPr>
        <w:tab/>
      </w:r>
      <w:r>
        <w:rPr>
          <w:rFonts w:hint="eastAsia" w:ascii="宋体" w:hAnsi="宋体" w:cs="宋体"/>
          <w:b/>
          <w:bCs/>
          <w:color w:val="auto"/>
          <w:highlight w:val="none"/>
        </w:rPr>
        <w:fldChar w:fldCharType="begin"/>
      </w:r>
      <w:r>
        <w:rPr>
          <w:rFonts w:hint="eastAsia" w:ascii="宋体" w:hAnsi="宋体" w:cs="宋体"/>
          <w:b/>
          <w:bCs/>
          <w:color w:val="auto"/>
          <w:highlight w:val="none"/>
        </w:rPr>
        <w:instrText xml:space="preserve"> PAGEREF _Toc73912825 \h </w:instrText>
      </w:r>
      <w:r>
        <w:rPr>
          <w:rFonts w:hint="eastAsia" w:ascii="宋体" w:hAnsi="宋体" w:cs="宋体"/>
          <w:b/>
          <w:bCs/>
          <w:color w:val="auto"/>
          <w:highlight w:val="none"/>
        </w:rPr>
        <w:fldChar w:fldCharType="separate"/>
      </w:r>
      <w:r>
        <w:rPr>
          <w:rFonts w:hint="eastAsia" w:ascii="宋体" w:hAnsi="宋体" w:cs="宋体"/>
          <w:b/>
          <w:bCs/>
          <w:color w:val="auto"/>
          <w:highlight w:val="none"/>
        </w:rPr>
        <w:t>24</w:t>
      </w:r>
      <w:r>
        <w:rPr>
          <w:rFonts w:hint="eastAsia" w:ascii="宋体" w:hAnsi="宋体" w:cs="宋体"/>
          <w:b/>
          <w:bCs/>
          <w:color w:val="auto"/>
          <w:highlight w:val="none"/>
        </w:rPr>
        <w:fldChar w:fldCharType="end"/>
      </w:r>
      <w:r>
        <w:rPr>
          <w:rFonts w:hint="eastAsia" w:ascii="宋体" w:hAnsi="宋体" w:cs="宋体"/>
          <w:b/>
          <w:bCs/>
          <w:color w:val="auto"/>
          <w:highlight w:val="none"/>
        </w:rPr>
        <w:fldChar w:fldCharType="end"/>
      </w:r>
    </w:p>
    <w:p>
      <w:pPr>
        <w:pStyle w:val="23"/>
        <w:tabs>
          <w:tab w:val="right" w:leader="middleDot" w:pos="8949"/>
        </w:tabs>
        <w:spacing w:after="0" w:line="480" w:lineRule="auto"/>
        <w:rPr>
          <w:rFonts w:ascii="宋体" w:hAnsi="宋体" w:cs="宋体"/>
          <w:b/>
          <w:bCs/>
          <w:color w:val="auto"/>
          <w:szCs w:val="22"/>
          <w:highlight w:val="none"/>
        </w:rPr>
      </w:pPr>
      <w:r>
        <w:rPr>
          <w:color w:val="auto"/>
          <w:highlight w:val="none"/>
        </w:rPr>
        <w:fldChar w:fldCharType="begin"/>
      </w:r>
      <w:r>
        <w:rPr>
          <w:color w:val="auto"/>
          <w:highlight w:val="none"/>
        </w:rPr>
        <w:instrText xml:space="preserve"> HYPERLINK \l "_Toc73912826" </w:instrText>
      </w:r>
      <w:r>
        <w:rPr>
          <w:color w:val="auto"/>
          <w:highlight w:val="none"/>
        </w:rPr>
        <w:fldChar w:fldCharType="separate"/>
      </w:r>
      <w:r>
        <w:rPr>
          <w:rStyle w:val="45"/>
          <w:rFonts w:hint="eastAsia" w:ascii="宋体" w:hAnsi="宋体" w:cs="宋体"/>
          <w:b/>
          <w:bCs/>
          <w:color w:val="auto"/>
          <w:highlight w:val="none"/>
        </w:rPr>
        <w:t>第五章 供应商应当提供的资格、资质性及其他类似效力要求的相关证明材料</w:t>
      </w:r>
      <w:r>
        <w:rPr>
          <w:rFonts w:hint="eastAsia" w:ascii="宋体" w:hAnsi="宋体" w:cs="宋体"/>
          <w:b/>
          <w:bCs/>
          <w:color w:val="auto"/>
          <w:highlight w:val="none"/>
        </w:rPr>
        <w:tab/>
      </w:r>
      <w:r>
        <w:rPr>
          <w:rFonts w:hint="eastAsia" w:ascii="宋体" w:hAnsi="宋体" w:cs="宋体"/>
          <w:b/>
          <w:bCs/>
          <w:color w:val="auto"/>
          <w:highlight w:val="none"/>
        </w:rPr>
        <w:fldChar w:fldCharType="begin"/>
      </w:r>
      <w:r>
        <w:rPr>
          <w:rFonts w:hint="eastAsia" w:ascii="宋体" w:hAnsi="宋体" w:cs="宋体"/>
          <w:b/>
          <w:bCs/>
          <w:color w:val="auto"/>
          <w:highlight w:val="none"/>
        </w:rPr>
        <w:instrText xml:space="preserve"> PAGEREF _Toc73912826 \h </w:instrText>
      </w:r>
      <w:r>
        <w:rPr>
          <w:rFonts w:hint="eastAsia" w:ascii="宋体" w:hAnsi="宋体" w:cs="宋体"/>
          <w:b/>
          <w:bCs/>
          <w:color w:val="auto"/>
          <w:highlight w:val="none"/>
        </w:rPr>
        <w:fldChar w:fldCharType="separate"/>
      </w:r>
      <w:r>
        <w:rPr>
          <w:rFonts w:hint="eastAsia" w:ascii="宋体" w:hAnsi="宋体" w:cs="宋体"/>
          <w:b/>
          <w:bCs/>
          <w:color w:val="auto"/>
          <w:highlight w:val="none"/>
        </w:rPr>
        <w:t>33</w:t>
      </w:r>
      <w:r>
        <w:rPr>
          <w:rFonts w:hint="eastAsia" w:ascii="宋体" w:hAnsi="宋体" w:cs="宋体"/>
          <w:b/>
          <w:bCs/>
          <w:color w:val="auto"/>
          <w:highlight w:val="none"/>
        </w:rPr>
        <w:fldChar w:fldCharType="end"/>
      </w:r>
      <w:r>
        <w:rPr>
          <w:rFonts w:hint="eastAsia" w:ascii="宋体" w:hAnsi="宋体" w:cs="宋体"/>
          <w:b/>
          <w:bCs/>
          <w:color w:val="auto"/>
          <w:highlight w:val="none"/>
        </w:rPr>
        <w:fldChar w:fldCharType="end"/>
      </w:r>
    </w:p>
    <w:p>
      <w:pPr>
        <w:pStyle w:val="23"/>
        <w:tabs>
          <w:tab w:val="right" w:leader="middleDot" w:pos="8949"/>
        </w:tabs>
        <w:spacing w:after="0" w:line="480" w:lineRule="auto"/>
        <w:rPr>
          <w:rFonts w:ascii="宋体" w:hAnsi="宋体" w:cs="宋体"/>
          <w:b/>
          <w:bCs/>
          <w:color w:val="auto"/>
          <w:szCs w:val="22"/>
          <w:highlight w:val="none"/>
        </w:rPr>
      </w:pPr>
      <w:r>
        <w:rPr>
          <w:color w:val="auto"/>
          <w:highlight w:val="none"/>
        </w:rPr>
        <w:fldChar w:fldCharType="begin"/>
      </w:r>
      <w:r>
        <w:rPr>
          <w:color w:val="auto"/>
          <w:highlight w:val="none"/>
        </w:rPr>
        <w:instrText xml:space="preserve"> HYPERLINK \l "_Toc73912827" </w:instrText>
      </w:r>
      <w:r>
        <w:rPr>
          <w:color w:val="auto"/>
          <w:highlight w:val="none"/>
        </w:rPr>
        <w:fldChar w:fldCharType="separate"/>
      </w:r>
      <w:r>
        <w:rPr>
          <w:rStyle w:val="45"/>
          <w:rFonts w:hint="eastAsia" w:ascii="宋体" w:hAnsi="宋体" w:cs="宋体"/>
          <w:b/>
          <w:bCs/>
          <w:color w:val="auto"/>
          <w:highlight w:val="none"/>
        </w:rPr>
        <w:t>第六章 采购项目技术、服务、政府采购合同内容条款及其他商务要求</w:t>
      </w:r>
      <w:r>
        <w:rPr>
          <w:rFonts w:hint="eastAsia" w:ascii="宋体" w:hAnsi="宋体" w:cs="宋体"/>
          <w:b/>
          <w:bCs/>
          <w:color w:val="auto"/>
          <w:highlight w:val="none"/>
        </w:rPr>
        <w:tab/>
      </w:r>
      <w:r>
        <w:rPr>
          <w:rFonts w:hint="eastAsia" w:ascii="宋体" w:hAnsi="宋体" w:cs="宋体"/>
          <w:b/>
          <w:bCs/>
          <w:color w:val="auto"/>
          <w:highlight w:val="none"/>
        </w:rPr>
        <w:fldChar w:fldCharType="begin"/>
      </w:r>
      <w:r>
        <w:rPr>
          <w:rFonts w:hint="eastAsia" w:ascii="宋体" w:hAnsi="宋体" w:cs="宋体"/>
          <w:b/>
          <w:bCs/>
          <w:color w:val="auto"/>
          <w:highlight w:val="none"/>
        </w:rPr>
        <w:instrText xml:space="preserve"> PAGEREF _Toc73912827 \h </w:instrText>
      </w:r>
      <w:r>
        <w:rPr>
          <w:rFonts w:hint="eastAsia" w:ascii="宋体" w:hAnsi="宋体" w:cs="宋体"/>
          <w:b/>
          <w:bCs/>
          <w:color w:val="auto"/>
          <w:highlight w:val="none"/>
        </w:rPr>
        <w:fldChar w:fldCharType="separate"/>
      </w:r>
      <w:r>
        <w:rPr>
          <w:rFonts w:hint="eastAsia" w:ascii="宋体" w:hAnsi="宋体" w:cs="宋体"/>
          <w:b/>
          <w:bCs/>
          <w:color w:val="auto"/>
          <w:highlight w:val="none"/>
        </w:rPr>
        <w:t>35</w:t>
      </w:r>
      <w:r>
        <w:rPr>
          <w:rFonts w:hint="eastAsia" w:ascii="宋体" w:hAnsi="宋体" w:cs="宋体"/>
          <w:b/>
          <w:bCs/>
          <w:color w:val="auto"/>
          <w:highlight w:val="none"/>
        </w:rPr>
        <w:fldChar w:fldCharType="end"/>
      </w:r>
      <w:r>
        <w:rPr>
          <w:rFonts w:hint="eastAsia" w:ascii="宋体" w:hAnsi="宋体" w:cs="宋体"/>
          <w:b/>
          <w:bCs/>
          <w:color w:val="auto"/>
          <w:highlight w:val="none"/>
        </w:rPr>
        <w:fldChar w:fldCharType="end"/>
      </w:r>
    </w:p>
    <w:p>
      <w:pPr>
        <w:pStyle w:val="23"/>
        <w:tabs>
          <w:tab w:val="right" w:leader="middleDot" w:pos="8949"/>
        </w:tabs>
        <w:spacing w:after="0" w:line="480" w:lineRule="auto"/>
        <w:rPr>
          <w:rFonts w:hint="eastAsia" w:ascii="宋体" w:hAnsi="宋体" w:eastAsia="宋体" w:cs="宋体"/>
          <w:b/>
          <w:bCs/>
          <w:color w:val="auto"/>
          <w:szCs w:val="22"/>
          <w:highlight w:val="none"/>
          <w:lang w:val="en-US" w:eastAsia="zh-CN"/>
        </w:rPr>
      </w:pPr>
      <w:r>
        <w:rPr>
          <w:color w:val="auto"/>
          <w:highlight w:val="none"/>
        </w:rPr>
        <w:fldChar w:fldCharType="begin"/>
      </w:r>
      <w:r>
        <w:rPr>
          <w:color w:val="auto"/>
          <w:highlight w:val="none"/>
        </w:rPr>
        <w:instrText xml:space="preserve"> HYPERLINK \l "_Toc73912828" </w:instrText>
      </w:r>
      <w:r>
        <w:rPr>
          <w:color w:val="auto"/>
          <w:highlight w:val="none"/>
        </w:rPr>
        <w:fldChar w:fldCharType="separate"/>
      </w:r>
      <w:r>
        <w:rPr>
          <w:rStyle w:val="45"/>
          <w:rFonts w:hint="eastAsia" w:ascii="宋体" w:hAnsi="宋体" w:cs="宋体"/>
          <w:b/>
          <w:bCs/>
          <w:color w:val="auto"/>
          <w:highlight w:val="none"/>
        </w:rPr>
        <w:t>第七章 磋商内容、磋商过程中可实质性变动的内容</w:t>
      </w:r>
      <w:r>
        <w:rPr>
          <w:rFonts w:hint="eastAsia" w:ascii="宋体" w:hAnsi="宋体" w:cs="宋体"/>
          <w:b/>
          <w:bCs/>
          <w:color w:val="auto"/>
          <w:highlight w:val="none"/>
        </w:rPr>
        <w:tab/>
      </w:r>
      <w:r>
        <w:rPr>
          <w:rFonts w:hint="eastAsia" w:ascii="宋体" w:hAnsi="宋体" w:cs="宋体"/>
          <w:b/>
          <w:bCs/>
          <w:color w:val="auto"/>
          <w:highlight w:val="none"/>
          <w:lang w:val="en-US" w:eastAsia="zh-CN"/>
        </w:rPr>
        <w:t>3</w:t>
      </w:r>
      <w:r>
        <w:rPr>
          <w:rFonts w:hint="eastAsia" w:ascii="宋体" w:hAnsi="宋体" w:cs="宋体"/>
          <w:b/>
          <w:bCs/>
          <w:color w:val="auto"/>
          <w:highlight w:val="none"/>
        </w:rPr>
        <w:fldChar w:fldCharType="end"/>
      </w:r>
      <w:r>
        <w:rPr>
          <w:rFonts w:hint="eastAsia" w:ascii="宋体" w:hAnsi="宋体" w:cs="宋体"/>
          <w:b/>
          <w:bCs/>
          <w:color w:val="auto"/>
          <w:highlight w:val="none"/>
          <w:lang w:val="en-US" w:eastAsia="zh-CN"/>
        </w:rPr>
        <w:t>9</w:t>
      </w:r>
    </w:p>
    <w:p>
      <w:pPr>
        <w:pStyle w:val="23"/>
        <w:tabs>
          <w:tab w:val="right" w:leader="middleDot" w:pos="8949"/>
        </w:tabs>
        <w:spacing w:after="0" w:line="480" w:lineRule="auto"/>
        <w:rPr>
          <w:rFonts w:ascii="宋体" w:hAnsi="宋体" w:cs="宋体"/>
          <w:b/>
          <w:bCs/>
          <w:color w:val="auto"/>
          <w:szCs w:val="22"/>
          <w:highlight w:val="none"/>
        </w:rPr>
      </w:pPr>
      <w:r>
        <w:rPr>
          <w:color w:val="auto"/>
          <w:highlight w:val="none"/>
        </w:rPr>
        <w:fldChar w:fldCharType="begin"/>
      </w:r>
      <w:r>
        <w:rPr>
          <w:color w:val="auto"/>
          <w:highlight w:val="none"/>
        </w:rPr>
        <w:instrText xml:space="preserve"> HYPERLINK \l "_Toc73912829" </w:instrText>
      </w:r>
      <w:r>
        <w:rPr>
          <w:color w:val="auto"/>
          <w:highlight w:val="none"/>
        </w:rPr>
        <w:fldChar w:fldCharType="separate"/>
      </w:r>
      <w:r>
        <w:rPr>
          <w:rStyle w:val="45"/>
          <w:rFonts w:hint="eastAsia" w:ascii="宋体" w:hAnsi="宋体" w:cs="宋体"/>
          <w:b/>
          <w:bCs/>
          <w:color w:val="auto"/>
          <w:highlight w:val="none"/>
        </w:rPr>
        <w:t>第八章 评审办法</w:t>
      </w:r>
      <w:r>
        <w:rPr>
          <w:rFonts w:hint="eastAsia" w:ascii="宋体" w:hAnsi="宋体" w:cs="宋体"/>
          <w:b/>
          <w:bCs/>
          <w:color w:val="auto"/>
          <w:highlight w:val="none"/>
        </w:rPr>
        <w:tab/>
      </w:r>
      <w:r>
        <w:rPr>
          <w:rFonts w:hint="eastAsia" w:ascii="宋体" w:hAnsi="宋体" w:cs="宋体"/>
          <w:b/>
          <w:bCs/>
          <w:color w:val="auto"/>
          <w:highlight w:val="none"/>
        </w:rPr>
        <w:fldChar w:fldCharType="begin"/>
      </w:r>
      <w:r>
        <w:rPr>
          <w:rFonts w:hint="eastAsia" w:ascii="宋体" w:hAnsi="宋体" w:cs="宋体"/>
          <w:b/>
          <w:bCs/>
          <w:color w:val="auto"/>
          <w:highlight w:val="none"/>
        </w:rPr>
        <w:instrText xml:space="preserve"> PAGEREF _Toc73912829 \h </w:instrText>
      </w:r>
      <w:r>
        <w:rPr>
          <w:rFonts w:hint="eastAsia" w:ascii="宋体" w:hAnsi="宋体" w:cs="宋体"/>
          <w:b/>
          <w:bCs/>
          <w:color w:val="auto"/>
          <w:highlight w:val="none"/>
        </w:rPr>
        <w:fldChar w:fldCharType="separate"/>
      </w:r>
      <w:r>
        <w:rPr>
          <w:rFonts w:hint="eastAsia" w:ascii="宋体" w:hAnsi="宋体" w:cs="宋体"/>
          <w:b/>
          <w:bCs/>
          <w:color w:val="auto"/>
          <w:highlight w:val="none"/>
        </w:rPr>
        <w:t>40</w:t>
      </w:r>
      <w:r>
        <w:rPr>
          <w:rFonts w:hint="eastAsia" w:ascii="宋体" w:hAnsi="宋体" w:cs="宋体"/>
          <w:b/>
          <w:bCs/>
          <w:color w:val="auto"/>
          <w:highlight w:val="none"/>
        </w:rPr>
        <w:fldChar w:fldCharType="end"/>
      </w:r>
      <w:r>
        <w:rPr>
          <w:rFonts w:hint="eastAsia" w:ascii="宋体" w:hAnsi="宋体" w:cs="宋体"/>
          <w:b/>
          <w:bCs/>
          <w:color w:val="auto"/>
          <w:highlight w:val="none"/>
        </w:rPr>
        <w:fldChar w:fldCharType="end"/>
      </w:r>
    </w:p>
    <w:p>
      <w:pPr>
        <w:pStyle w:val="23"/>
        <w:tabs>
          <w:tab w:val="right" w:leader="middleDot" w:pos="8949"/>
        </w:tabs>
        <w:spacing w:after="0" w:line="480" w:lineRule="auto"/>
        <w:rPr>
          <w:rFonts w:ascii="宋体" w:hAnsi="宋体" w:cs="宋体"/>
          <w:b/>
          <w:bCs/>
          <w:color w:val="auto"/>
          <w:szCs w:val="22"/>
          <w:highlight w:val="none"/>
        </w:rPr>
      </w:pPr>
      <w:r>
        <w:rPr>
          <w:color w:val="auto"/>
          <w:highlight w:val="none"/>
        </w:rPr>
        <w:fldChar w:fldCharType="begin"/>
      </w:r>
      <w:r>
        <w:rPr>
          <w:color w:val="auto"/>
          <w:highlight w:val="none"/>
        </w:rPr>
        <w:instrText xml:space="preserve"> HYPERLINK \l "_Toc73912830" </w:instrText>
      </w:r>
      <w:r>
        <w:rPr>
          <w:color w:val="auto"/>
          <w:highlight w:val="none"/>
        </w:rPr>
        <w:fldChar w:fldCharType="separate"/>
      </w:r>
      <w:r>
        <w:rPr>
          <w:rStyle w:val="45"/>
          <w:rFonts w:hint="eastAsia" w:ascii="宋体" w:hAnsi="宋体" w:cs="宋体"/>
          <w:b/>
          <w:bCs/>
          <w:color w:val="auto"/>
          <w:highlight w:val="none"/>
        </w:rPr>
        <w:t>第九章 政府采购合同</w:t>
      </w:r>
      <w:r>
        <w:rPr>
          <w:rFonts w:hint="eastAsia" w:ascii="宋体" w:hAnsi="宋体" w:cs="宋体"/>
          <w:b/>
          <w:bCs/>
          <w:color w:val="auto"/>
          <w:highlight w:val="none"/>
        </w:rPr>
        <w:tab/>
      </w:r>
      <w:r>
        <w:rPr>
          <w:rFonts w:hint="eastAsia" w:ascii="宋体" w:hAnsi="宋体" w:cs="宋体"/>
          <w:b/>
          <w:bCs/>
          <w:color w:val="auto"/>
          <w:highlight w:val="none"/>
        </w:rPr>
        <w:fldChar w:fldCharType="begin"/>
      </w:r>
      <w:r>
        <w:rPr>
          <w:rFonts w:hint="eastAsia" w:ascii="宋体" w:hAnsi="宋体" w:cs="宋体"/>
          <w:b/>
          <w:bCs/>
          <w:color w:val="auto"/>
          <w:highlight w:val="none"/>
        </w:rPr>
        <w:instrText xml:space="preserve"> PAGEREF _Toc73912830 \h </w:instrText>
      </w:r>
      <w:r>
        <w:rPr>
          <w:rFonts w:hint="eastAsia" w:ascii="宋体" w:hAnsi="宋体" w:cs="宋体"/>
          <w:b/>
          <w:bCs/>
          <w:color w:val="auto"/>
          <w:highlight w:val="none"/>
        </w:rPr>
        <w:fldChar w:fldCharType="separate"/>
      </w:r>
      <w:r>
        <w:rPr>
          <w:rFonts w:hint="eastAsia" w:ascii="宋体" w:hAnsi="宋体" w:cs="宋体"/>
          <w:b/>
          <w:bCs/>
          <w:color w:val="auto"/>
          <w:highlight w:val="none"/>
        </w:rPr>
        <w:t>53</w:t>
      </w:r>
      <w:r>
        <w:rPr>
          <w:rFonts w:hint="eastAsia" w:ascii="宋体" w:hAnsi="宋体" w:cs="宋体"/>
          <w:b/>
          <w:bCs/>
          <w:color w:val="auto"/>
          <w:highlight w:val="none"/>
        </w:rPr>
        <w:fldChar w:fldCharType="end"/>
      </w:r>
      <w:r>
        <w:rPr>
          <w:rFonts w:hint="eastAsia" w:ascii="宋体" w:hAnsi="宋体" w:cs="宋体"/>
          <w:b/>
          <w:bCs/>
          <w:color w:val="auto"/>
          <w:highlight w:val="none"/>
        </w:rPr>
        <w:fldChar w:fldCharType="end"/>
      </w:r>
    </w:p>
    <w:p>
      <w:pPr>
        <w:spacing w:after="0" w:line="480" w:lineRule="auto"/>
        <w:rPr>
          <w:rFonts w:ascii="宋体" w:hAnsi="宋体" w:cs="宋体"/>
          <w:color w:val="auto"/>
          <w:sz w:val="28"/>
          <w:szCs w:val="28"/>
          <w:highlight w:val="none"/>
        </w:rPr>
        <w:sectPr>
          <w:footerReference r:id="rId10" w:type="default"/>
          <w:footerReference r:id="rId11" w:type="even"/>
          <w:pgSz w:w="11907" w:h="16840"/>
          <w:pgMar w:top="1440" w:right="1474" w:bottom="1440" w:left="1474" w:header="851" w:footer="992" w:gutter="0"/>
          <w:cols w:space="720" w:num="1"/>
          <w:docGrid w:linePitch="312" w:charSpace="0"/>
        </w:sectPr>
      </w:pPr>
      <w:r>
        <w:rPr>
          <w:rFonts w:hint="eastAsia" w:ascii="宋体" w:hAnsi="宋体" w:cs="宋体"/>
          <w:b/>
          <w:bCs/>
          <w:color w:val="auto"/>
          <w:sz w:val="24"/>
          <w:highlight w:val="none"/>
        </w:rPr>
        <w:fldChar w:fldCharType="end"/>
      </w:r>
      <w:bookmarkStart w:id="2" w:name="_Toc24584"/>
      <w:bookmarkStart w:id="3" w:name="_Toc73912822"/>
    </w:p>
    <w:p>
      <w:pPr>
        <w:spacing w:after="0" w:line="480" w:lineRule="auto"/>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 xml:space="preserve">第一章  </w:t>
      </w:r>
      <w:bookmarkEnd w:id="2"/>
      <w:r>
        <w:rPr>
          <w:rFonts w:hint="eastAsia" w:ascii="宋体" w:hAnsi="宋体" w:cs="宋体"/>
          <w:b/>
          <w:bCs/>
          <w:color w:val="auto"/>
          <w:sz w:val="36"/>
          <w:szCs w:val="36"/>
          <w:highlight w:val="none"/>
        </w:rPr>
        <w:t>磋商邀请</w:t>
      </w:r>
      <w:bookmarkEnd w:id="3"/>
    </w:p>
    <w:p>
      <w:pPr>
        <w:tabs>
          <w:tab w:val="left" w:pos="7665"/>
        </w:tabs>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u w:val="single"/>
        </w:rPr>
        <w:t>四川天启建设项目管理有限公司</w:t>
      </w:r>
      <w:r>
        <w:rPr>
          <w:rFonts w:hint="eastAsia" w:ascii="宋体" w:hAnsi="宋体" w:cs="宋体"/>
          <w:color w:val="auto"/>
          <w:sz w:val="24"/>
          <w:highlight w:val="none"/>
        </w:rPr>
        <w:t>受</w:t>
      </w:r>
      <w:r>
        <w:rPr>
          <w:rFonts w:hint="eastAsia" w:ascii="宋体" w:hAnsi="宋体" w:cs="宋体"/>
          <w:color w:val="auto"/>
          <w:sz w:val="24"/>
          <w:highlight w:val="none"/>
          <w:u w:val="single"/>
        </w:rPr>
        <w:t>成都东部新区党工委管委会（成都市东部新城办）应急安全管理局</w:t>
      </w:r>
      <w:r>
        <w:rPr>
          <w:rFonts w:hint="eastAsia" w:ascii="宋体" w:hAnsi="宋体" w:cs="宋体"/>
          <w:color w:val="auto"/>
          <w:sz w:val="24"/>
          <w:highlight w:val="none"/>
        </w:rPr>
        <w:t>委托，拟对</w:t>
      </w:r>
      <w:r>
        <w:rPr>
          <w:rFonts w:hint="eastAsia" w:ascii="宋体" w:hAnsi="宋体" w:cs="宋体"/>
          <w:color w:val="auto"/>
          <w:sz w:val="24"/>
          <w:highlight w:val="none"/>
          <w:u w:val="single"/>
        </w:rPr>
        <w:t xml:space="preserve">成都东部新区应急安全管理局水库动态监管预警系统升级改造项目 </w:t>
      </w:r>
      <w:bookmarkStart w:id="4" w:name="PO_默认文件内容_4"/>
      <w:r>
        <w:rPr>
          <w:rFonts w:hint="eastAsia" w:ascii="宋体" w:hAnsi="宋体" w:cs="宋体"/>
          <w:color w:val="auto"/>
          <w:sz w:val="24"/>
          <w:highlight w:val="none"/>
        </w:rPr>
        <w:t>采用竞争性磋商方式进行采购，特邀请符合本次采购要求的供应商参加本项目的竞争性磋商。</w:t>
      </w:r>
      <w:bookmarkEnd w:id="4"/>
    </w:p>
    <w:p>
      <w:pPr>
        <w:numPr>
          <w:ilvl w:val="0"/>
          <w:numId w:val="3"/>
        </w:numPr>
        <w:spacing w:after="0"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项目编号：510118202100190</w:t>
      </w:r>
    </w:p>
    <w:p>
      <w:pPr>
        <w:numPr>
          <w:ilvl w:val="0"/>
          <w:numId w:val="0"/>
        </w:num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二、采购项目名称：</w:t>
      </w:r>
      <w:r>
        <w:rPr>
          <w:rFonts w:hint="eastAsia" w:ascii="宋体" w:hAnsi="宋体" w:cs="宋体"/>
          <w:color w:val="auto"/>
          <w:sz w:val="24"/>
          <w:highlight w:val="none"/>
        </w:rPr>
        <w:t>成都东部新区应急安全管理局水库动态监管预警系统升级改造项目。</w:t>
      </w:r>
    </w:p>
    <w:p>
      <w:pPr>
        <w:spacing w:after="0" w:line="360" w:lineRule="auto"/>
        <w:ind w:right="31" w:rightChars="15" w:firstLine="482" w:firstLineChars="200"/>
        <w:rPr>
          <w:rFonts w:ascii="宋体" w:hAnsi="宋体" w:cs="宋体"/>
          <w:color w:val="auto"/>
          <w:sz w:val="24"/>
          <w:highlight w:val="none"/>
        </w:rPr>
      </w:pPr>
      <w:r>
        <w:rPr>
          <w:rFonts w:hint="eastAsia" w:ascii="宋体" w:hAnsi="宋体" w:cs="宋体"/>
          <w:b/>
          <w:bCs/>
          <w:color w:val="auto"/>
          <w:sz w:val="24"/>
          <w:highlight w:val="none"/>
        </w:rPr>
        <w:t>三、资金来源：</w:t>
      </w:r>
      <w:r>
        <w:rPr>
          <w:rFonts w:hint="eastAsia" w:ascii="宋体" w:hAnsi="宋体" w:cs="宋体"/>
          <w:bCs/>
          <w:color w:val="auto"/>
          <w:sz w:val="24"/>
          <w:highlight w:val="none"/>
        </w:rPr>
        <w:t>财政资金，</w:t>
      </w:r>
      <w:r>
        <w:rPr>
          <w:rFonts w:hint="eastAsia" w:ascii="宋体" w:hAnsi="宋体" w:cs="宋体"/>
          <w:b/>
          <w:bCs/>
          <w:color w:val="auto"/>
          <w:sz w:val="24"/>
          <w:highlight w:val="none"/>
        </w:rPr>
        <w:t>政府采购实施计划备案号</w:t>
      </w:r>
      <w:r>
        <w:rPr>
          <w:rFonts w:hint="eastAsia" w:ascii="宋体" w:hAnsi="宋体" w:cs="宋体"/>
          <w:bCs/>
          <w:color w:val="auto"/>
          <w:sz w:val="24"/>
          <w:highlight w:val="none"/>
        </w:rPr>
        <w:t>：</w:t>
      </w:r>
      <w:r>
        <w:rPr>
          <w:rFonts w:hint="eastAsia" w:ascii="宋体" w:hAnsi="宋体" w:cs="宋体"/>
          <w:bCs/>
          <w:color w:val="auto"/>
          <w:sz w:val="24"/>
          <w:highlight w:val="none"/>
          <w:lang w:eastAsia="zh-CN"/>
        </w:rPr>
        <w:t>（</w:t>
      </w:r>
      <w:r>
        <w:rPr>
          <w:rFonts w:hint="eastAsia" w:ascii="宋体" w:hAnsi="宋体" w:cs="宋体"/>
          <w:bCs/>
          <w:color w:val="auto"/>
          <w:sz w:val="24"/>
          <w:highlight w:val="none"/>
        </w:rPr>
        <w:t>2021</w:t>
      </w:r>
      <w:r>
        <w:rPr>
          <w:rFonts w:hint="eastAsia" w:ascii="宋体" w:hAnsi="宋体" w:cs="宋体"/>
          <w:bCs/>
          <w:color w:val="auto"/>
          <w:sz w:val="24"/>
          <w:highlight w:val="none"/>
          <w:lang w:eastAsia="zh-CN"/>
        </w:rPr>
        <w:t>）</w:t>
      </w:r>
      <w:r>
        <w:rPr>
          <w:rFonts w:hint="eastAsia" w:ascii="宋体" w:hAnsi="宋体" w:cs="宋体"/>
          <w:bCs/>
          <w:color w:val="auto"/>
          <w:sz w:val="24"/>
          <w:highlight w:val="none"/>
          <w:lang w:val="en-US" w:eastAsia="zh-CN"/>
        </w:rPr>
        <w:t>0657号</w:t>
      </w:r>
      <w:r>
        <w:rPr>
          <w:rFonts w:hint="eastAsia" w:ascii="宋体" w:hAnsi="宋体" w:cs="宋体"/>
          <w:bCs/>
          <w:color w:val="auto"/>
          <w:sz w:val="24"/>
          <w:highlight w:val="none"/>
        </w:rPr>
        <w:t>，</w:t>
      </w:r>
      <w:r>
        <w:rPr>
          <w:rFonts w:hint="eastAsia" w:ascii="宋体" w:hAnsi="宋体" w:cs="宋体"/>
          <w:b/>
          <w:bCs/>
          <w:color w:val="auto"/>
          <w:sz w:val="24"/>
          <w:highlight w:val="none"/>
        </w:rPr>
        <w:t>品目编码及名称</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A02091107视频监控设备</w:t>
      </w:r>
      <w:r>
        <w:rPr>
          <w:rFonts w:hint="eastAsia" w:ascii="宋体" w:hAnsi="宋体" w:cs="宋体"/>
          <w:color w:val="auto"/>
          <w:sz w:val="24"/>
          <w:highlight w:val="none"/>
        </w:rPr>
        <w:t>；</w:t>
      </w:r>
      <w:r>
        <w:rPr>
          <w:rFonts w:hint="eastAsia" w:ascii="宋体" w:hAnsi="宋体" w:cs="宋体"/>
          <w:b/>
          <w:bCs/>
          <w:color w:val="auto"/>
          <w:sz w:val="24"/>
          <w:highlight w:val="none"/>
        </w:rPr>
        <w:t>采购预算</w:t>
      </w:r>
      <w:r>
        <w:rPr>
          <w:rFonts w:hint="eastAsia" w:ascii="宋体" w:hAnsi="宋体" w:cs="宋体"/>
          <w:bCs/>
          <w:color w:val="auto"/>
          <w:sz w:val="24"/>
          <w:highlight w:val="none"/>
        </w:rPr>
        <w:t>：</w:t>
      </w:r>
      <w:r>
        <w:rPr>
          <w:rFonts w:hint="eastAsia" w:ascii="宋体" w:hAnsi="宋体" w:cs="宋体"/>
          <w:bCs/>
          <w:color w:val="auto"/>
          <w:sz w:val="24"/>
          <w:highlight w:val="none"/>
          <w:u w:val="single"/>
        </w:rPr>
        <w:t xml:space="preserve"> </w:t>
      </w:r>
      <w:r>
        <w:rPr>
          <w:rFonts w:ascii="宋体" w:hAnsi="宋体" w:cs="宋体"/>
          <w:bCs/>
          <w:color w:val="auto"/>
          <w:sz w:val="24"/>
          <w:highlight w:val="none"/>
          <w:u w:val="single"/>
        </w:rPr>
        <w:t>85.12</w:t>
      </w:r>
      <w:r>
        <w:rPr>
          <w:rFonts w:hint="eastAsia" w:ascii="宋体" w:hAnsi="宋体" w:cs="宋体"/>
          <w:bCs/>
          <w:color w:val="auto"/>
          <w:sz w:val="24"/>
          <w:highlight w:val="none"/>
          <w:u w:val="single"/>
        </w:rPr>
        <w:t>万元</w:t>
      </w:r>
      <w:r>
        <w:rPr>
          <w:rFonts w:hint="eastAsia" w:ascii="宋体" w:hAnsi="宋体" w:cs="宋体"/>
          <w:bCs/>
          <w:color w:val="auto"/>
          <w:sz w:val="24"/>
          <w:highlight w:val="none"/>
        </w:rPr>
        <w:t>，</w:t>
      </w:r>
      <w:r>
        <w:rPr>
          <w:rFonts w:hint="eastAsia" w:ascii="宋体" w:hAnsi="宋体" w:cs="宋体"/>
          <w:b/>
          <w:bCs/>
          <w:color w:val="auto"/>
          <w:sz w:val="24"/>
          <w:highlight w:val="none"/>
        </w:rPr>
        <w:t>最高限价：</w:t>
      </w:r>
      <w:r>
        <w:rPr>
          <w:rFonts w:hint="eastAsia" w:ascii="宋体" w:hAnsi="宋体" w:cs="宋体"/>
          <w:bCs/>
          <w:color w:val="auto"/>
          <w:sz w:val="24"/>
          <w:highlight w:val="none"/>
          <w:u w:val="single"/>
        </w:rPr>
        <w:t xml:space="preserve"> </w:t>
      </w:r>
      <w:r>
        <w:rPr>
          <w:rFonts w:ascii="宋体" w:hAnsi="宋体" w:cs="宋体"/>
          <w:bCs/>
          <w:color w:val="auto"/>
          <w:sz w:val="24"/>
          <w:highlight w:val="none"/>
          <w:u w:val="single"/>
        </w:rPr>
        <w:t>85.12</w:t>
      </w:r>
      <w:r>
        <w:rPr>
          <w:rFonts w:hint="eastAsia" w:ascii="宋体" w:hAnsi="宋体" w:cs="宋体"/>
          <w:bCs/>
          <w:color w:val="auto"/>
          <w:sz w:val="24"/>
          <w:highlight w:val="none"/>
          <w:u w:val="single"/>
        </w:rPr>
        <w:t>万元。</w:t>
      </w:r>
      <w:r>
        <w:rPr>
          <w:rFonts w:hint="eastAsia" w:ascii="宋体" w:hAnsi="宋体" w:cs="宋体"/>
          <w:b/>
          <w:bCs/>
          <w:color w:val="auto"/>
          <w:sz w:val="24"/>
          <w:highlight w:val="none"/>
        </w:rPr>
        <w:t>采购标的：</w:t>
      </w:r>
      <w:r>
        <w:rPr>
          <w:rFonts w:hint="eastAsia" w:ascii="宋体" w:hAnsi="宋体" w:cs="宋体"/>
          <w:color w:val="auto"/>
          <w:sz w:val="24"/>
          <w:highlight w:val="none"/>
        </w:rPr>
        <w:t>成都东部新区应急安全管理局水库动态监管预警系统升级改造项目</w:t>
      </w:r>
      <w:r>
        <w:rPr>
          <w:rFonts w:hint="eastAsia" w:ascii="宋体" w:hAnsi="宋体" w:cs="宋体"/>
          <w:bCs/>
          <w:color w:val="auto"/>
          <w:sz w:val="24"/>
          <w:highlight w:val="none"/>
        </w:rPr>
        <w:t>。</w:t>
      </w:r>
    </w:p>
    <w:p>
      <w:pPr>
        <w:spacing w:after="0"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四</w:t>
      </w:r>
      <w:r>
        <w:rPr>
          <w:rFonts w:hint="eastAsia" w:ascii="宋体" w:hAnsi="宋体" w:cs="宋体"/>
          <w:b/>
          <w:bCs/>
          <w:color w:val="auto"/>
          <w:sz w:val="24"/>
          <w:highlight w:val="none"/>
        </w:rPr>
        <w:t>、</w:t>
      </w:r>
      <w:r>
        <w:rPr>
          <w:rFonts w:hint="eastAsia" w:ascii="宋体" w:hAnsi="宋体" w:cs="宋体"/>
          <w:b/>
          <w:color w:val="auto"/>
          <w:sz w:val="24"/>
          <w:highlight w:val="none"/>
        </w:rPr>
        <w:t>采购项目简介：</w:t>
      </w:r>
    </w:p>
    <w:p>
      <w:pPr>
        <w:spacing w:after="0" w:line="360" w:lineRule="auto"/>
        <w:ind w:firstLine="464" w:firstLineChars="200"/>
        <w:rPr>
          <w:rFonts w:ascii="宋体" w:hAnsi="宋体" w:cs="宋体"/>
          <w:color w:val="auto"/>
          <w:spacing w:val="-4"/>
          <w:sz w:val="24"/>
          <w:highlight w:val="none"/>
        </w:rPr>
      </w:pPr>
      <w:bookmarkStart w:id="5" w:name="PO_默认文件内容_3"/>
      <w:r>
        <w:rPr>
          <w:rFonts w:hint="eastAsia" w:ascii="宋体" w:hAnsi="宋体" w:cs="宋体"/>
          <w:color w:val="auto"/>
          <w:spacing w:val="-4"/>
          <w:sz w:val="24"/>
          <w:highlight w:val="none"/>
        </w:rPr>
        <w:t>本次采购的内容为成都东部新区应急安全管理局水库动态监管预警系统升级改造项目。本项目共1个包。（具体详见磋商文件第六章）</w:t>
      </w:r>
    </w:p>
    <w:bookmarkEnd w:id="5"/>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五、供应商邀请方式</w:t>
      </w:r>
    </w:p>
    <w:p>
      <w:pPr>
        <w:spacing w:after="0" w:line="360" w:lineRule="auto"/>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公告方式：本竞争性磋商邀请在四川政府采购网（www.ccgp-sichuan.gov.cn）上以公告形式发布。</w:t>
      </w:r>
    </w:p>
    <w:p>
      <w:pPr>
        <w:numPr>
          <w:ilvl w:val="0"/>
          <w:numId w:val="4"/>
        </w:num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供应商参加本次政府采购活动应具备下列条件：</w:t>
      </w:r>
    </w:p>
    <w:p>
      <w:pPr>
        <w:spacing w:after="0" w:line="360" w:lineRule="auto"/>
        <w:ind w:firstLine="482" w:firstLineChars="200"/>
        <w:rPr>
          <w:rFonts w:ascii="宋体" w:hAnsi="宋体" w:cs="宋体"/>
          <w:b/>
          <w:bCs/>
          <w:color w:val="auto"/>
          <w:sz w:val="24"/>
          <w:highlight w:val="none"/>
        </w:rPr>
      </w:pPr>
      <w:bookmarkStart w:id="6" w:name="PO_供应商资格条件_1"/>
      <w:r>
        <w:rPr>
          <w:rFonts w:hint="eastAsia" w:ascii="宋体" w:hAnsi="宋体" w:cs="宋体"/>
          <w:b/>
          <w:bCs/>
          <w:color w:val="auto"/>
          <w:sz w:val="24"/>
          <w:highlight w:val="none"/>
        </w:rPr>
        <w:t>具备《中华人民共和国政府采购法》第二十二条规定的条件：</w:t>
      </w:r>
    </w:p>
    <w:p>
      <w:pPr>
        <w:spacing w:after="0" w:line="360" w:lineRule="auto"/>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1.具有独立承担民事责任的能力；</w:t>
      </w:r>
    </w:p>
    <w:p>
      <w:pPr>
        <w:spacing w:after="0" w:line="360" w:lineRule="auto"/>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2.具有良好的商业信誉和健全的财务会计制度；</w:t>
      </w:r>
    </w:p>
    <w:p>
      <w:pPr>
        <w:spacing w:after="0" w:line="360" w:lineRule="auto"/>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3.具有履行合同所必须的设备和专业技术能力；</w:t>
      </w:r>
    </w:p>
    <w:p>
      <w:pPr>
        <w:spacing w:after="0" w:line="360" w:lineRule="auto"/>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4.具有依法缴纳税收和社会保障资金的良好记录；</w:t>
      </w:r>
    </w:p>
    <w:p>
      <w:pPr>
        <w:spacing w:after="0" w:line="360" w:lineRule="auto"/>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5.参加本次政府采购活动前三年内，在经营活动中没有重大违法记录；</w:t>
      </w:r>
    </w:p>
    <w:p>
      <w:pPr>
        <w:spacing w:after="0" w:line="360" w:lineRule="auto"/>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6.法律、行政法规规定的其他条件：</w:t>
      </w:r>
    </w:p>
    <w:p>
      <w:pPr>
        <w:spacing w:after="0" w:line="360" w:lineRule="auto"/>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（1）参加本次政府采购活动，供应商不存在与单位负责人为同一人或者存在直接控股、管理关系的其他供应商参与同一合同项下的政府采购活动的行为。</w:t>
      </w:r>
    </w:p>
    <w:p>
      <w:pPr>
        <w:spacing w:after="0" w:line="360" w:lineRule="auto"/>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（2）参加本次政府采购活动，供应商不存在和其他供应商在同一合同项下的采购项目中，同时委托同一个自然人、同一家庭的人员、同一单位的人员作为代理人的行为。</w:t>
      </w:r>
    </w:p>
    <w:p>
      <w:pPr>
        <w:spacing w:after="0" w:line="360" w:lineRule="auto"/>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（3）为采购项目提供整体设计、规范编制或者项目管理、监理、检测等服务的供应商，不得再参加该采购项目的其他采购活动。</w:t>
      </w:r>
    </w:p>
    <w:p>
      <w:pPr>
        <w:spacing w:after="0" w:line="360" w:lineRule="auto"/>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（4）供应商及其现任法定代表人、主要负责人不得具有行贿犯罪记录。</w:t>
      </w:r>
    </w:p>
    <w:p>
      <w:pPr>
        <w:spacing w:after="0" w:line="360" w:lineRule="auto"/>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（5）落实政府采购政策需满足的资格要求：本项目</w:t>
      </w:r>
      <w:r>
        <w:rPr>
          <w:rFonts w:hint="eastAsia" w:ascii="宋体" w:hAnsi="宋体" w:cs="宋体"/>
          <w:color w:val="auto"/>
          <w:spacing w:val="-4"/>
          <w:sz w:val="24"/>
          <w:highlight w:val="none"/>
          <w:lang w:val="en-US" w:eastAsia="zh-CN"/>
        </w:rPr>
        <w:t>非</w:t>
      </w:r>
      <w:r>
        <w:rPr>
          <w:rFonts w:hint="eastAsia" w:ascii="宋体" w:hAnsi="宋体" w:cs="宋体"/>
          <w:color w:val="auto"/>
          <w:spacing w:val="-4"/>
          <w:sz w:val="24"/>
          <w:highlight w:val="none"/>
        </w:rPr>
        <w:t>专门面向中小企业。</w:t>
      </w:r>
    </w:p>
    <w:p>
      <w:pPr>
        <w:spacing w:after="0" w:line="360" w:lineRule="auto"/>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7.采购人根据采购项目提出的特殊条件：无。</w:t>
      </w:r>
    </w:p>
    <w:p>
      <w:pPr>
        <w:spacing w:after="0" w:line="360" w:lineRule="auto"/>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8.</w:t>
      </w:r>
      <w:r>
        <w:rPr>
          <w:rFonts w:hint="eastAsia" w:ascii="宋体" w:hAnsi="宋体" w:cs="宋体"/>
          <w:b/>
          <w:bCs/>
          <w:color w:val="auto"/>
          <w:spacing w:val="-4"/>
          <w:sz w:val="24"/>
          <w:highlight w:val="none"/>
        </w:rPr>
        <w:t>本项目不允许联合体参加。</w:t>
      </w:r>
      <w:bookmarkEnd w:id="6"/>
      <w:r>
        <w:rPr>
          <w:rFonts w:hint="eastAsia" w:ascii="宋体" w:hAnsi="宋体" w:cs="宋体"/>
          <w:color w:val="auto"/>
          <w:spacing w:val="-4"/>
          <w:sz w:val="24"/>
          <w:highlight w:val="none"/>
        </w:rPr>
        <w:t xml:space="preserve"> </w:t>
      </w:r>
    </w:p>
    <w:p>
      <w:pPr>
        <w:pStyle w:val="63"/>
        <w:spacing w:after="0"/>
        <w:ind w:firstLine="482"/>
        <w:rPr>
          <w:rFonts w:ascii="宋体" w:hAnsi="宋体" w:cs="宋体"/>
          <w:b/>
          <w:color w:val="auto"/>
          <w:sz w:val="24"/>
          <w:highlight w:val="none"/>
        </w:rPr>
      </w:pPr>
      <w:r>
        <w:rPr>
          <w:rFonts w:hint="eastAsia" w:ascii="宋体" w:hAnsi="宋体" w:cs="宋体"/>
          <w:b/>
          <w:color w:val="auto"/>
          <w:sz w:val="24"/>
          <w:highlight w:val="none"/>
        </w:rPr>
        <w:t>七、禁止参加本次采购活动的供应商</w:t>
      </w:r>
    </w:p>
    <w:p>
      <w:pPr>
        <w:spacing w:after="0" w:line="360" w:lineRule="auto"/>
        <w:ind w:firstLine="480" w:firstLineChars="200"/>
        <w:rPr>
          <w:rFonts w:ascii="宋体" w:hAnsi="宋体" w:cs="宋体"/>
          <w:color w:val="auto"/>
          <w:sz w:val="24"/>
          <w:highlight w:val="none"/>
        </w:rPr>
      </w:pPr>
      <w:bookmarkStart w:id="7" w:name="PO_默认文件内容_7"/>
      <w:r>
        <w:rPr>
          <w:rFonts w:hint="eastAsia" w:ascii="宋体" w:hAnsi="宋体" w:cs="宋体"/>
          <w:color w:val="auto"/>
          <w:sz w:val="24"/>
          <w:highlight w:val="none"/>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非企业参与投标时由供应商在投标文件中自行提供承诺函，格式自拟。</w:t>
      </w:r>
    </w:p>
    <w:bookmarkEnd w:id="7"/>
    <w:p>
      <w:pPr>
        <w:pStyle w:val="73"/>
        <w:numPr>
          <w:ilvl w:val="0"/>
          <w:numId w:val="4"/>
        </w:numPr>
        <w:wordWrap/>
        <w:spacing w:line="360" w:lineRule="auto"/>
        <w:ind w:firstLine="482" w:firstLineChars="200"/>
        <w:rPr>
          <w:rFonts w:cs="宋体"/>
          <w:b/>
          <w:bCs/>
          <w:color w:val="auto"/>
          <w:highlight w:val="none"/>
        </w:rPr>
      </w:pPr>
      <w:r>
        <w:rPr>
          <w:rFonts w:hint="eastAsia" w:cs="宋体"/>
          <w:b/>
          <w:bCs/>
          <w:color w:val="auto"/>
          <w:highlight w:val="none"/>
        </w:rPr>
        <w:t>获取磋商文件的时间及方式:</w:t>
      </w:r>
    </w:p>
    <w:p>
      <w:pPr>
        <w:spacing w:after="0" w:line="360" w:lineRule="auto"/>
        <w:ind w:firstLine="482" w:firstLineChars="200"/>
        <w:rPr>
          <w:rFonts w:ascii="宋体" w:hAnsi="宋体" w:cs="宋体"/>
          <w:color w:val="auto"/>
          <w:highlight w:val="none"/>
          <w:lang w:val="zh-CN"/>
        </w:rPr>
      </w:pPr>
      <w:r>
        <w:rPr>
          <w:rFonts w:hint="eastAsia" w:ascii="宋体" w:hAnsi="宋体" w:cs="宋体"/>
          <w:b/>
          <w:bCs/>
          <w:snapToGrid w:val="0"/>
          <w:color w:val="auto"/>
          <w:sz w:val="24"/>
          <w:highlight w:val="none"/>
        </w:rPr>
        <w:t>(一)获取磋商文件时间：</w:t>
      </w:r>
      <w:r>
        <w:rPr>
          <w:rFonts w:hint="eastAsia" w:ascii="宋体" w:hAnsi="宋体" w:cs="宋体"/>
          <w:color w:val="auto"/>
          <w:sz w:val="24"/>
          <w:highlight w:val="none"/>
          <w:u w:val="single"/>
        </w:rPr>
        <w:t>2021年</w:t>
      </w:r>
      <w:r>
        <w:rPr>
          <w:rFonts w:hint="eastAsia" w:ascii="宋体" w:hAnsi="宋体" w:cs="宋体"/>
          <w:color w:val="auto"/>
          <w:sz w:val="24"/>
          <w:highlight w:val="none"/>
          <w:u w:val="single"/>
          <w:lang w:val="en-US" w:eastAsia="zh-CN"/>
        </w:rPr>
        <w:t>11</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04</w:t>
      </w:r>
      <w:r>
        <w:rPr>
          <w:rFonts w:hint="eastAsia" w:ascii="宋体" w:hAnsi="宋体" w:cs="宋体"/>
          <w:color w:val="auto"/>
          <w:sz w:val="24"/>
          <w:highlight w:val="none"/>
          <w:u w:val="single"/>
        </w:rPr>
        <w:t>日9时至2021年</w:t>
      </w:r>
      <w:r>
        <w:rPr>
          <w:rFonts w:hint="eastAsia" w:ascii="宋体" w:hAnsi="宋体" w:cs="宋体"/>
          <w:color w:val="auto"/>
          <w:sz w:val="24"/>
          <w:highlight w:val="none"/>
          <w:u w:val="single"/>
          <w:lang w:val="en-US" w:eastAsia="zh-CN"/>
        </w:rPr>
        <w:t>11</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10</w:t>
      </w:r>
      <w:r>
        <w:rPr>
          <w:rFonts w:hint="eastAsia" w:ascii="宋体" w:hAnsi="宋体" w:cs="宋体"/>
          <w:color w:val="auto"/>
          <w:sz w:val="24"/>
          <w:highlight w:val="none"/>
          <w:u w:val="single"/>
        </w:rPr>
        <w:t>日18时(北京时间)</w:t>
      </w:r>
      <w:r>
        <w:rPr>
          <w:rFonts w:hint="eastAsia" w:ascii="宋体" w:hAnsi="宋体" w:cs="宋体"/>
          <w:color w:val="auto"/>
          <w:sz w:val="24"/>
          <w:highlight w:val="none"/>
        </w:rPr>
        <w:t>。</w:t>
      </w:r>
    </w:p>
    <w:p>
      <w:pPr>
        <w:pStyle w:val="73"/>
        <w:wordWrap/>
        <w:spacing w:line="360" w:lineRule="auto"/>
        <w:ind w:firstLine="482" w:firstLineChars="200"/>
        <w:rPr>
          <w:rFonts w:cs="宋体"/>
          <w:b/>
          <w:bCs/>
          <w:color w:val="auto"/>
          <w:highlight w:val="none"/>
        </w:rPr>
      </w:pPr>
      <w:r>
        <w:rPr>
          <w:rFonts w:hint="eastAsia" w:cs="宋体"/>
          <w:b/>
          <w:bCs/>
          <w:color w:val="auto"/>
          <w:highlight w:val="none"/>
        </w:rPr>
        <w:t>(二)获取磋商文件的方式：</w:t>
      </w:r>
    </w:p>
    <w:p>
      <w:pPr>
        <w:spacing w:after="50"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磋商文件获取方式：供应商从“政府采购云平台”获取采购文件（网址：</w:t>
      </w:r>
      <w:r>
        <w:rPr>
          <w:color w:val="auto"/>
          <w:highlight w:val="none"/>
        </w:rPr>
        <w:fldChar w:fldCharType="begin"/>
      </w:r>
      <w:r>
        <w:rPr>
          <w:color w:val="auto"/>
          <w:highlight w:val="none"/>
        </w:rPr>
        <w:instrText xml:space="preserve"> HYPERLINK "https://www.zcygov.cn）项目采购—获取采购文件—申请获取采购文件。_x0005_" </w:instrText>
      </w:r>
      <w:r>
        <w:rPr>
          <w:color w:val="auto"/>
          <w:highlight w:val="none"/>
        </w:rPr>
        <w:fldChar w:fldCharType="separate"/>
      </w:r>
      <w:r>
        <w:rPr>
          <w:rFonts w:hint="eastAsia" w:ascii="宋体" w:hAnsi="宋体" w:cs="宋体"/>
          <w:color w:val="auto"/>
          <w:sz w:val="24"/>
          <w:highlight w:val="none"/>
        </w:rPr>
        <w:t>https://www.zcygov.cn）。登录政府采购云平台—项目采购—获取采购文件—申请获取采购文件</w:t>
      </w:r>
      <w:r>
        <w:rPr>
          <w:rFonts w:hint="eastAsia" w:ascii="宋体" w:hAnsi="宋体" w:cs="宋体"/>
          <w:color w:val="auto"/>
          <w:sz w:val="24"/>
          <w:highlight w:val="none"/>
        </w:rPr>
        <w:fldChar w:fldCharType="end"/>
      </w:r>
      <w:r>
        <w:rPr>
          <w:rFonts w:hint="eastAsia" w:ascii="宋体" w:hAnsi="宋体" w:cs="宋体"/>
          <w:color w:val="auto"/>
          <w:sz w:val="24"/>
          <w:highlight w:val="none"/>
        </w:rPr>
        <w:t>。</w:t>
      </w:r>
    </w:p>
    <w:p>
      <w:pPr>
        <w:spacing w:after="50"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提示：</w:t>
      </w:r>
    </w:p>
    <w:p>
      <w:pPr>
        <w:spacing w:after="0"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供应商从“政府采购云平台”获取采购文件（网址：https://www.zcygov.cn）。登录“政府采购云平台”—项目采购—获取采购文件—申请获取采购文件。提示：（1）本项目磋商文件免费获取，磋商资格不得转让。（2）供应商只有在“政府采购云平台”完成获取磋商文件申请并下载磋商文件后才视作依法参与本项目。如未在“政府采购云平台”内完成相关流程，引起的无效相应责任自负。（3）本项目报名平台为“政府采购云平台”，供应商参与本项目过程中凡涉及系统操作请详见《供应商政府采购项目电子交易操作指南》（操作指南以“政府采购云平台”网站发布为准）。 “政府采购云平台”供应商注册地址：https://middle.zcygov.cn/v-settle-front/registry?settleCategory=1&amp;entranceType=119&amp;utm=a0017.b1347.cl50.3.c0de9400b91b11eb870ad7da87d69c97。</w:t>
      </w:r>
    </w:p>
    <w:p>
      <w:pPr>
        <w:spacing w:after="0" w:line="360" w:lineRule="auto"/>
        <w:ind w:firstLine="482" w:firstLineChars="200"/>
        <w:rPr>
          <w:rFonts w:ascii="宋体" w:hAnsi="宋体" w:cs="宋体"/>
          <w:b/>
          <w:color w:val="auto"/>
          <w:sz w:val="24"/>
          <w:highlight w:val="none"/>
        </w:rPr>
      </w:pPr>
      <w:r>
        <w:rPr>
          <w:rFonts w:hint="eastAsia" w:ascii="宋体" w:hAnsi="宋体" w:cs="宋体"/>
          <w:b/>
          <w:color w:val="auto"/>
          <w:sz w:val="24"/>
          <w:szCs w:val="28"/>
          <w:highlight w:val="none"/>
        </w:rPr>
        <w:t>九、</w:t>
      </w:r>
      <w:r>
        <w:rPr>
          <w:rFonts w:hint="eastAsia" w:ascii="宋体" w:hAnsi="宋体" w:cs="宋体"/>
          <w:b/>
          <w:color w:val="auto"/>
          <w:sz w:val="24"/>
          <w:highlight w:val="none"/>
        </w:rPr>
        <w:t>递交响应文件截止时间（参加磋商时间）：</w:t>
      </w:r>
      <w:r>
        <w:rPr>
          <w:rFonts w:hint="eastAsia" w:ascii="宋体" w:hAnsi="宋体" w:cs="宋体"/>
          <w:color w:val="auto"/>
          <w:sz w:val="24"/>
          <w:highlight w:val="none"/>
          <w:u w:val="single"/>
        </w:rPr>
        <w:t>2021年</w:t>
      </w:r>
      <w:r>
        <w:rPr>
          <w:rFonts w:hint="eastAsia" w:ascii="宋体" w:hAnsi="宋体" w:cs="宋体"/>
          <w:color w:val="auto"/>
          <w:sz w:val="24"/>
          <w:highlight w:val="none"/>
          <w:u w:val="single"/>
          <w:lang w:val="en-US" w:eastAsia="zh-CN"/>
        </w:rPr>
        <w:t>11</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15</w:t>
      </w:r>
      <w:r>
        <w:rPr>
          <w:rFonts w:hint="eastAsia" w:ascii="宋体" w:hAnsi="宋体" w:cs="宋体"/>
          <w:color w:val="auto"/>
          <w:sz w:val="24"/>
          <w:highlight w:val="none"/>
          <w:u w:val="single"/>
        </w:rPr>
        <w:t>日 1</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0</w:t>
      </w:r>
      <w:r>
        <w:rPr>
          <w:rFonts w:hint="eastAsia" w:ascii="宋体" w:hAnsi="宋体" w:cs="宋体"/>
          <w:color w:val="auto"/>
          <w:sz w:val="24"/>
          <w:highlight w:val="none"/>
          <w:u w:val="single"/>
        </w:rPr>
        <w:t>0 （北京时间）。</w:t>
      </w:r>
    </w:p>
    <w:p>
      <w:pPr>
        <w:pStyle w:val="13"/>
        <w:spacing w:after="0" w:line="360" w:lineRule="auto"/>
        <w:ind w:firstLine="480" w:firstLineChars="200"/>
        <w:rPr>
          <w:rFonts w:ascii="宋体" w:hAnsi="宋体" w:cs="宋体"/>
          <w:color w:val="auto"/>
          <w:sz w:val="24"/>
          <w:szCs w:val="28"/>
          <w:highlight w:val="none"/>
        </w:rPr>
      </w:pPr>
      <w:bookmarkStart w:id="8" w:name="PO_默认文件内容_12"/>
      <w:r>
        <w:rPr>
          <w:rFonts w:hint="eastAsia" w:ascii="宋体" w:hAnsi="宋体" w:cs="宋体"/>
          <w:color w:val="auto"/>
          <w:sz w:val="24"/>
          <w:szCs w:val="28"/>
          <w:highlight w:val="none"/>
        </w:rPr>
        <w:t>响应文件必须在递交响应文件截止时间前送达磋商地点。逾期送达或没有密封的响应文件不予接收。本次磋商不接受邮寄的响应文件。</w:t>
      </w:r>
      <w:bookmarkEnd w:id="8"/>
      <w:r>
        <w:rPr>
          <w:rFonts w:hint="eastAsia" w:ascii="宋体" w:hAnsi="宋体" w:cs="宋体"/>
          <w:b/>
          <w:bCs/>
          <w:color w:val="auto"/>
          <w:sz w:val="24"/>
          <w:highlight w:val="none"/>
        </w:rPr>
        <w:t>（响应文件接收时间：2021年</w:t>
      </w:r>
      <w:r>
        <w:rPr>
          <w:rFonts w:hint="eastAsia" w:ascii="宋体" w:hAnsi="宋体" w:cs="宋体"/>
          <w:b/>
          <w:bCs/>
          <w:color w:val="auto"/>
          <w:sz w:val="24"/>
          <w:highlight w:val="none"/>
          <w:lang w:val="en-US" w:eastAsia="zh-CN"/>
        </w:rPr>
        <w:t>11</w:t>
      </w:r>
      <w:r>
        <w:rPr>
          <w:rFonts w:hint="eastAsia" w:ascii="宋体" w:hAnsi="宋体" w:cs="宋体"/>
          <w:b/>
          <w:bCs/>
          <w:color w:val="auto"/>
          <w:sz w:val="24"/>
          <w:highlight w:val="none"/>
        </w:rPr>
        <w:t>月</w:t>
      </w:r>
      <w:r>
        <w:rPr>
          <w:rFonts w:hint="eastAsia" w:ascii="宋体" w:hAnsi="宋体" w:cs="宋体"/>
          <w:b/>
          <w:bCs/>
          <w:color w:val="auto"/>
          <w:sz w:val="24"/>
          <w:highlight w:val="none"/>
          <w:lang w:val="en-US" w:eastAsia="zh-CN"/>
        </w:rPr>
        <w:t>15</w:t>
      </w:r>
      <w:r>
        <w:rPr>
          <w:rFonts w:hint="eastAsia" w:ascii="宋体" w:hAnsi="宋体" w:cs="宋体"/>
          <w:b/>
          <w:bCs/>
          <w:color w:val="auto"/>
          <w:sz w:val="24"/>
          <w:highlight w:val="none"/>
        </w:rPr>
        <w:t xml:space="preserve">日 </w:t>
      </w:r>
      <w:r>
        <w:rPr>
          <w:rFonts w:hint="eastAsia" w:ascii="宋体" w:hAnsi="宋体" w:cs="宋体"/>
          <w:b/>
          <w:bCs/>
          <w:color w:val="auto"/>
          <w:sz w:val="24"/>
          <w:highlight w:val="none"/>
          <w:lang w:val="en-US" w:eastAsia="zh-CN"/>
        </w:rPr>
        <w:t>13</w:t>
      </w:r>
      <w:r>
        <w:rPr>
          <w:rFonts w:hint="eastAsia" w:ascii="宋体" w:hAnsi="宋体" w:cs="宋体"/>
          <w:b/>
          <w:bCs/>
          <w:color w:val="auto"/>
          <w:sz w:val="24"/>
          <w:highlight w:val="none"/>
        </w:rPr>
        <w:t>:30-2021年</w:t>
      </w:r>
      <w:r>
        <w:rPr>
          <w:rFonts w:hint="eastAsia" w:ascii="宋体" w:hAnsi="宋体" w:cs="宋体"/>
          <w:b/>
          <w:bCs/>
          <w:color w:val="auto"/>
          <w:sz w:val="24"/>
          <w:highlight w:val="none"/>
          <w:lang w:val="en-US" w:eastAsia="zh-CN"/>
        </w:rPr>
        <w:t>11</w:t>
      </w:r>
      <w:r>
        <w:rPr>
          <w:rFonts w:hint="eastAsia" w:ascii="宋体" w:hAnsi="宋体" w:cs="宋体"/>
          <w:b/>
          <w:bCs/>
          <w:color w:val="auto"/>
          <w:sz w:val="24"/>
          <w:highlight w:val="none"/>
        </w:rPr>
        <w:t>月</w:t>
      </w:r>
      <w:r>
        <w:rPr>
          <w:rFonts w:hint="eastAsia" w:ascii="宋体" w:hAnsi="宋体" w:cs="宋体"/>
          <w:b/>
          <w:bCs/>
          <w:color w:val="auto"/>
          <w:sz w:val="24"/>
          <w:highlight w:val="none"/>
          <w:lang w:val="en-US" w:eastAsia="zh-CN"/>
        </w:rPr>
        <w:t>15</w:t>
      </w:r>
      <w:r>
        <w:rPr>
          <w:rFonts w:hint="eastAsia" w:ascii="宋体" w:hAnsi="宋体" w:cs="宋体"/>
          <w:b/>
          <w:bCs/>
          <w:color w:val="auto"/>
          <w:sz w:val="24"/>
          <w:highlight w:val="none"/>
        </w:rPr>
        <w:t>日 1</w:t>
      </w:r>
      <w:r>
        <w:rPr>
          <w:rFonts w:hint="eastAsia" w:ascii="宋体" w:hAnsi="宋体" w:cs="宋体"/>
          <w:b/>
          <w:bCs/>
          <w:color w:val="auto"/>
          <w:sz w:val="24"/>
          <w:highlight w:val="none"/>
          <w:lang w:val="en-US" w:eastAsia="zh-CN"/>
        </w:rPr>
        <w:t>4</w:t>
      </w:r>
      <w:r>
        <w:rPr>
          <w:rFonts w:hint="eastAsia" w:ascii="宋体" w:hAnsi="宋体" w:cs="宋体"/>
          <w:b/>
          <w:bCs/>
          <w:color w:val="auto"/>
          <w:sz w:val="24"/>
          <w:highlight w:val="none"/>
        </w:rPr>
        <w:t>:</w:t>
      </w:r>
      <w:r>
        <w:rPr>
          <w:rFonts w:hint="eastAsia" w:ascii="宋体" w:hAnsi="宋体" w:cs="宋体"/>
          <w:b/>
          <w:bCs/>
          <w:color w:val="auto"/>
          <w:sz w:val="24"/>
          <w:highlight w:val="none"/>
          <w:lang w:val="en-US" w:eastAsia="zh-CN"/>
        </w:rPr>
        <w:t>00</w:t>
      </w:r>
      <w:r>
        <w:rPr>
          <w:rFonts w:hint="eastAsia" w:ascii="宋体" w:hAnsi="宋体" w:cs="宋体"/>
          <w:b/>
          <w:bCs/>
          <w:color w:val="auto"/>
          <w:sz w:val="24"/>
          <w:highlight w:val="none"/>
        </w:rPr>
        <w:t>）</w:t>
      </w:r>
    </w:p>
    <w:p>
      <w:pPr>
        <w:spacing w:after="0" w:line="360" w:lineRule="auto"/>
        <w:ind w:firstLine="482" w:firstLineChars="200"/>
        <w:rPr>
          <w:rFonts w:ascii="宋体" w:hAnsi="宋体" w:cs="宋体"/>
          <w:color w:val="auto"/>
          <w:sz w:val="24"/>
          <w:szCs w:val="28"/>
          <w:highlight w:val="none"/>
        </w:rPr>
      </w:pPr>
      <w:r>
        <w:rPr>
          <w:rFonts w:hint="eastAsia" w:ascii="宋体" w:hAnsi="宋体" w:cs="宋体"/>
          <w:b/>
          <w:color w:val="auto"/>
          <w:sz w:val="24"/>
          <w:szCs w:val="28"/>
          <w:highlight w:val="none"/>
        </w:rPr>
        <w:t>十、磋商地点：</w:t>
      </w:r>
      <w:r>
        <w:rPr>
          <w:rFonts w:hint="eastAsia" w:ascii="宋体" w:hAnsi="宋体" w:cs="宋体"/>
          <w:color w:val="auto"/>
          <w:sz w:val="24"/>
          <w:highlight w:val="none"/>
        </w:rPr>
        <w:t>四川天启建设项目管理有限公司（</w:t>
      </w:r>
      <w:r>
        <w:rPr>
          <w:rFonts w:hint="eastAsia" w:ascii="宋体" w:hAnsi="宋体" w:cs="宋体"/>
          <w:color w:val="auto"/>
          <w:sz w:val="24"/>
          <w:szCs w:val="28"/>
          <w:highlight w:val="none"/>
        </w:rPr>
        <w:t>成都市金牛区蜀西路9号丰德羊西中心13楼01号 ）。</w:t>
      </w:r>
    </w:p>
    <w:p>
      <w:pPr>
        <w:pStyle w:val="63"/>
        <w:spacing w:after="0"/>
        <w:ind w:firstLine="482"/>
        <w:rPr>
          <w:rFonts w:ascii="宋体" w:hAnsi="宋体" w:cs="宋体"/>
          <w:b/>
          <w:color w:val="auto"/>
          <w:sz w:val="24"/>
          <w:highlight w:val="none"/>
        </w:rPr>
      </w:pPr>
      <w:r>
        <w:rPr>
          <w:rFonts w:hint="eastAsia" w:ascii="宋体" w:hAnsi="宋体" w:cs="宋体"/>
          <w:b/>
          <w:color w:val="auto"/>
          <w:sz w:val="24"/>
          <w:highlight w:val="none"/>
        </w:rPr>
        <w:t>十一、供应商信用融资：</w:t>
      </w:r>
    </w:p>
    <w:p>
      <w:pPr>
        <w:pStyle w:val="13"/>
        <w:spacing w:after="0" w:line="360" w:lineRule="auto"/>
        <w:ind w:firstLine="480"/>
        <w:rPr>
          <w:rFonts w:ascii="宋体" w:hAnsi="宋体" w:cs="宋体"/>
          <w:b/>
          <w:color w:val="auto"/>
          <w:sz w:val="24"/>
          <w:highlight w:val="none"/>
        </w:rPr>
      </w:pPr>
      <w:r>
        <w:rPr>
          <w:rFonts w:hint="eastAsia" w:ascii="宋体" w:hAnsi="宋体" w:cs="宋体"/>
          <w:color w:val="auto"/>
          <w:sz w:val="24"/>
          <w:szCs w:val="28"/>
          <w:highlight w:val="none"/>
        </w:rPr>
        <w:t>四川省正在推进政府采购供应商信用融资工作，相关要求详见《四川省财政厅关于推进四川省政府采购供应商信用融资工作的通知》（川财采〔2018〕123 号）、《成都市中小企业政府采购信用融资暂行办法》（成财采〔2019〕17 号）等有关规定，上述文件请在四川政府采购网查询。</w:t>
      </w:r>
    </w:p>
    <w:p>
      <w:pPr>
        <w:pStyle w:val="63"/>
        <w:spacing w:after="0"/>
        <w:ind w:firstLine="482"/>
        <w:rPr>
          <w:rFonts w:ascii="宋体" w:hAnsi="宋体" w:cs="宋体"/>
          <w:b/>
          <w:color w:val="auto"/>
          <w:sz w:val="24"/>
          <w:highlight w:val="none"/>
        </w:rPr>
      </w:pPr>
      <w:r>
        <w:rPr>
          <w:rFonts w:hint="eastAsia" w:ascii="宋体" w:hAnsi="宋体" w:cs="宋体"/>
          <w:b/>
          <w:color w:val="auto"/>
          <w:sz w:val="24"/>
          <w:highlight w:val="none"/>
        </w:rPr>
        <w:t>十二、联系方式</w:t>
      </w:r>
    </w:p>
    <w:p>
      <w:pPr>
        <w:pStyle w:val="63"/>
        <w:spacing w:after="0"/>
        <w:ind w:firstLine="482"/>
        <w:rPr>
          <w:rFonts w:ascii="宋体" w:hAnsi="宋体" w:cs="宋体"/>
          <w:b/>
          <w:color w:val="auto"/>
          <w:sz w:val="24"/>
          <w:szCs w:val="22"/>
          <w:highlight w:val="none"/>
        </w:rPr>
      </w:pPr>
      <w:r>
        <w:rPr>
          <w:rFonts w:hint="eastAsia" w:ascii="宋体" w:hAnsi="宋体" w:cs="宋体"/>
          <w:b/>
          <w:color w:val="auto"/>
          <w:sz w:val="24"/>
          <w:szCs w:val="22"/>
          <w:highlight w:val="none"/>
        </w:rPr>
        <w:t>采 购 人：</w:t>
      </w:r>
      <w:r>
        <w:rPr>
          <w:rFonts w:hint="eastAsia" w:ascii="宋体" w:hAnsi="宋体" w:cs="宋体"/>
          <w:b/>
          <w:bCs/>
          <w:color w:val="auto"/>
          <w:sz w:val="24"/>
          <w:szCs w:val="22"/>
          <w:highlight w:val="none"/>
        </w:rPr>
        <w:t>成都东部新区党工委管委会（成都市东部新城办）应急安全管理局</w:t>
      </w:r>
    </w:p>
    <w:p>
      <w:pPr>
        <w:pStyle w:val="63"/>
        <w:spacing w:after="0"/>
        <w:ind w:firstLine="480"/>
        <w:rPr>
          <w:rFonts w:ascii="宋体" w:hAnsi="宋体" w:cs="宋体"/>
          <w:color w:val="auto"/>
          <w:sz w:val="24"/>
          <w:szCs w:val="22"/>
          <w:highlight w:val="none"/>
        </w:rPr>
      </w:pPr>
      <w:r>
        <w:rPr>
          <w:rFonts w:hint="eastAsia" w:ascii="宋体" w:hAnsi="宋体" w:cs="宋体"/>
          <w:color w:val="auto"/>
          <w:sz w:val="24"/>
          <w:szCs w:val="22"/>
          <w:highlight w:val="none"/>
        </w:rPr>
        <w:t>地    址：</w:t>
      </w:r>
      <w:r>
        <w:rPr>
          <w:rFonts w:hint="eastAsia" w:ascii="宋体" w:hAnsi="宋体" w:cs="宋体"/>
          <w:color w:val="auto"/>
          <w:sz w:val="24"/>
          <w:highlight w:val="none"/>
        </w:rPr>
        <w:t>成都东部新区三岔街道板桥村2组166号</w:t>
      </w:r>
    </w:p>
    <w:p>
      <w:pPr>
        <w:pStyle w:val="63"/>
        <w:spacing w:after="0"/>
        <w:ind w:firstLine="480"/>
        <w:rPr>
          <w:rFonts w:ascii="宋体" w:hAnsi="宋体" w:cs="宋体"/>
          <w:color w:val="auto"/>
          <w:sz w:val="24"/>
          <w:szCs w:val="22"/>
          <w:highlight w:val="none"/>
        </w:rPr>
      </w:pPr>
      <w:r>
        <w:rPr>
          <w:rFonts w:hint="eastAsia" w:ascii="宋体" w:hAnsi="宋体" w:cs="宋体"/>
          <w:color w:val="auto"/>
          <w:sz w:val="24"/>
          <w:szCs w:val="22"/>
          <w:highlight w:val="none"/>
        </w:rPr>
        <w:t>联 系 人：石老师</w:t>
      </w:r>
    </w:p>
    <w:p>
      <w:pPr>
        <w:pStyle w:val="63"/>
        <w:spacing w:after="0"/>
        <w:ind w:firstLine="480"/>
        <w:rPr>
          <w:rFonts w:hint="eastAsia" w:ascii="宋体" w:hAnsi="宋体" w:eastAsia="宋体" w:cs="宋体"/>
          <w:color w:val="auto"/>
          <w:sz w:val="24"/>
          <w:highlight w:val="none"/>
          <w:lang w:eastAsia="zh-CN"/>
        </w:rPr>
      </w:pPr>
      <w:r>
        <w:rPr>
          <w:rFonts w:hint="eastAsia" w:ascii="宋体" w:hAnsi="宋体" w:cs="宋体"/>
          <w:color w:val="auto"/>
          <w:sz w:val="24"/>
          <w:szCs w:val="22"/>
          <w:highlight w:val="none"/>
        </w:rPr>
        <w:t>联系电话：</w:t>
      </w:r>
      <w:r>
        <w:rPr>
          <w:rFonts w:hint="eastAsia" w:ascii="宋体" w:hAnsi="宋体" w:cs="宋体"/>
          <w:color w:val="auto"/>
          <w:sz w:val="24"/>
          <w:highlight w:val="none"/>
          <w:lang w:eastAsia="zh-CN"/>
        </w:rPr>
        <w:t>13036675517</w:t>
      </w:r>
    </w:p>
    <w:p>
      <w:pPr>
        <w:pStyle w:val="63"/>
        <w:spacing w:after="0"/>
        <w:ind w:firstLine="480"/>
        <w:rPr>
          <w:rFonts w:hint="eastAsia" w:ascii="宋体" w:hAnsi="宋体" w:cs="宋体"/>
          <w:color w:val="auto"/>
          <w:sz w:val="24"/>
          <w:highlight w:val="none"/>
        </w:rPr>
      </w:pPr>
    </w:p>
    <w:p>
      <w:pPr>
        <w:pStyle w:val="63"/>
        <w:spacing w:after="0"/>
        <w:ind w:firstLine="482"/>
        <w:rPr>
          <w:rFonts w:ascii="宋体" w:hAnsi="宋体" w:cs="宋体"/>
          <w:b/>
          <w:color w:val="auto"/>
          <w:sz w:val="24"/>
          <w:highlight w:val="none"/>
        </w:rPr>
      </w:pPr>
      <w:r>
        <w:rPr>
          <w:rFonts w:hint="eastAsia" w:ascii="宋体" w:hAnsi="宋体" w:cs="宋体"/>
          <w:b/>
          <w:color w:val="auto"/>
          <w:sz w:val="24"/>
          <w:highlight w:val="none"/>
        </w:rPr>
        <w:t>采购代理机构：四川天启建设项目管理有限公司</w:t>
      </w:r>
    </w:p>
    <w:p>
      <w:pPr>
        <w:pStyle w:val="63"/>
        <w:spacing w:after="0"/>
        <w:ind w:firstLine="480"/>
        <w:rPr>
          <w:rFonts w:ascii="宋体" w:hAnsi="宋体" w:cs="宋体"/>
          <w:color w:val="auto"/>
          <w:sz w:val="24"/>
          <w:szCs w:val="22"/>
          <w:highlight w:val="none"/>
        </w:rPr>
      </w:pPr>
      <w:r>
        <w:rPr>
          <w:rFonts w:hint="eastAsia" w:ascii="宋体" w:hAnsi="宋体" w:cs="宋体"/>
          <w:color w:val="auto"/>
          <w:sz w:val="24"/>
          <w:szCs w:val="22"/>
          <w:highlight w:val="none"/>
        </w:rPr>
        <w:t>地    址：成都市金牛区蜀西路9号丰德羊西中心13楼01号</w:t>
      </w:r>
    </w:p>
    <w:p>
      <w:pPr>
        <w:pStyle w:val="63"/>
        <w:spacing w:after="0"/>
        <w:ind w:firstLine="480"/>
        <w:rPr>
          <w:rFonts w:ascii="宋体" w:hAnsi="宋体" w:cs="宋体"/>
          <w:color w:val="auto"/>
          <w:sz w:val="24"/>
          <w:szCs w:val="22"/>
          <w:highlight w:val="none"/>
        </w:rPr>
      </w:pPr>
      <w:r>
        <w:rPr>
          <w:rFonts w:hint="eastAsia" w:ascii="宋体" w:hAnsi="宋体" w:cs="宋体"/>
          <w:color w:val="auto"/>
          <w:sz w:val="24"/>
          <w:szCs w:val="22"/>
          <w:highlight w:val="none"/>
        </w:rPr>
        <w:t>联 系 人：江女士</w:t>
      </w:r>
    </w:p>
    <w:p>
      <w:pPr>
        <w:pStyle w:val="63"/>
        <w:spacing w:after="0"/>
        <w:ind w:firstLine="480"/>
        <w:rPr>
          <w:rFonts w:ascii="宋体" w:hAnsi="宋体" w:cs="宋体"/>
          <w:color w:val="auto"/>
          <w:sz w:val="24"/>
          <w:szCs w:val="22"/>
          <w:highlight w:val="none"/>
        </w:rPr>
      </w:pPr>
      <w:r>
        <w:rPr>
          <w:rFonts w:hint="eastAsia" w:ascii="宋体" w:hAnsi="宋体" w:cs="宋体"/>
          <w:color w:val="auto"/>
          <w:sz w:val="24"/>
          <w:szCs w:val="22"/>
          <w:highlight w:val="none"/>
        </w:rPr>
        <w:t>联系电话：028-81752878</w:t>
      </w:r>
    </w:p>
    <w:p>
      <w:pPr>
        <w:pStyle w:val="3"/>
        <w:spacing w:before="0" w:after="0" w:line="360" w:lineRule="auto"/>
        <w:jc w:val="center"/>
        <w:rPr>
          <w:rFonts w:ascii="宋体" w:hAnsi="宋体" w:cs="宋体"/>
          <w:color w:val="auto"/>
          <w:sz w:val="36"/>
          <w:szCs w:val="36"/>
          <w:highlight w:val="none"/>
        </w:rPr>
      </w:pPr>
      <w:bookmarkStart w:id="9" w:name="_Toc73912823"/>
      <w:bookmarkStart w:id="10" w:name="_Toc12497"/>
      <w:bookmarkStart w:id="11" w:name="_Toc213496267"/>
      <w:bookmarkStart w:id="12" w:name="_Toc217446031"/>
      <w:bookmarkStart w:id="13" w:name="_Toc213396759"/>
      <w:bookmarkStart w:id="14" w:name="_Toc213397009"/>
      <w:bookmarkStart w:id="15" w:name="_Toc213396945"/>
    </w:p>
    <w:p>
      <w:pPr>
        <w:pStyle w:val="3"/>
        <w:spacing w:before="0" w:after="0" w:line="360" w:lineRule="auto"/>
        <w:jc w:val="center"/>
        <w:rPr>
          <w:rFonts w:ascii="宋体" w:hAnsi="宋体" w:cs="宋体"/>
          <w:color w:val="auto"/>
          <w:sz w:val="36"/>
          <w:szCs w:val="36"/>
          <w:highlight w:val="none"/>
        </w:rPr>
      </w:pPr>
    </w:p>
    <w:p>
      <w:pPr>
        <w:pStyle w:val="3"/>
        <w:spacing w:before="0" w:after="0" w:line="360" w:lineRule="auto"/>
        <w:jc w:val="center"/>
        <w:rPr>
          <w:rFonts w:ascii="宋体" w:hAnsi="宋体" w:cs="宋体"/>
          <w:color w:val="auto"/>
          <w:sz w:val="36"/>
          <w:szCs w:val="36"/>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第二章  磋商须知</w:t>
      </w:r>
      <w:bookmarkEnd w:id="9"/>
      <w:bookmarkEnd w:id="10"/>
    </w:p>
    <w:p>
      <w:pPr>
        <w:pStyle w:val="4"/>
        <w:spacing w:line="240" w:lineRule="atLeast"/>
        <w:jc w:val="center"/>
        <w:rPr>
          <w:rFonts w:ascii="宋体" w:hAnsi="宋体" w:eastAsia="宋体" w:cs="宋体"/>
          <w:color w:val="auto"/>
          <w:highlight w:val="none"/>
        </w:rPr>
      </w:pPr>
      <w:r>
        <w:rPr>
          <w:rFonts w:hint="eastAsia" w:ascii="宋体" w:hAnsi="宋体" w:eastAsia="宋体" w:cs="宋体"/>
          <w:color w:val="auto"/>
          <w:highlight w:val="none"/>
        </w:rPr>
        <w:t>一、供应商须知附表</w:t>
      </w:r>
    </w:p>
    <w:bookmarkEnd w:id="11"/>
    <w:bookmarkEnd w:id="12"/>
    <w:bookmarkEnd w:id="13"/>
    <w:bookmarkEnd w:id="14"/>
    <w:bookmarkEnd w:id="15"/>
    <w:tbl>
      <w:tblPr>
        <w:tblStyle w:val="34"/>
        <w:tblW w:w="975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97"/>
        <w:gridCol w:w="2244"/>
        <w:gridCol w:w="6815"/>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2" w:hRule="atLeast"/>
          <w:tblHeader/>
          <w:jc w:val="center"/>
        </w:trPr>
        <w:tc>
          <w:tcPr>
            <w:tcW w:w="697" w:type="dxa"/>
            <w:vAlign w:val="center"/>
          </w:tcPr>
          <w:p>
            <w:pPr>
              <w:pStyle w:val="62"/>
              <w:keepNext w:val="0"/>
              <w:keepLines w:val="0"/>
              <w:suppressLineNumbers w:val="0"/>
              <w:spacing w:before="0" w:beforeAutospacing="0" w:afterAutospacing="0"/>
              <w:ind w:left="9" w:right="0"/>
              <w:jc w:val="center"/>
              <w:rPr>
                <w:rFonts w:hint="default"/>
                <w:b/>
                <w:color w:val="auto"/>
                <w:kern w:val="2"/>
                <w:sz w:val="22"/>
                <w:szCs w:val="22"/>
                <w:highlight w:val="none"/>
              </w:rPr>
            </w:pPr>
            <w:r>
              <w:rPr>
                <w:rFonts w:hint="eastAsia"/>
                <w:b/>
                <w:color w:val="auto"/>
                <w:kern w:val="2"/>
                <w:sz w:val="22"/>
                <w:szCs w:val="22"/>
                <w:highlight w:val="none"/>
              </w:rPr>
              <w:t>序号</w:t>
            </w:r>
          </w:p>
        </w:tc>
        <w:tc>
          <w:tcPr>
            <w:tcW w:w="2244" w:type="dxa"/>
            <w:vAlign w:val="center"/>
          </w:tcPr>
          <w:p>
            <w:pPr>
              <w:pStyle w:val="62"/>
              <w:keepNext w:val="0"/>
              <w:keepLines w:val="0"/>
              <w:suppressLineNumbers w:val="0"/>
              <w:spacing w:before="0" w:beforeAutospacing="0" w:afterAutospacing="0"/>
              <w:ind w:left="38" w:right="0"/>
              <w:jc w:val="center"/>
              <w:rPr>
                <w:rFonts w:hint="default"/>
                <w:b/>
                <w:color w:val="auto"/>
                <w:kern w:val="2"/>
                <w:sz w:val="22"/>
                <w:szCs w:val="22"/>
                <w:highlight w:val="none"/>
              </w:rPr>
            </w:pPr>
            <w:r>
              <w:rPr>
                <w:rFonts w:hint="eastAsia"/>
                <w:b/>
                <w:color w:val="auto"/>
                <w:kern w:val="2"/>
                <w:sz w:val="22"/>
                <w:szCs w:val="22"/>
                <w:highlight w:val="none"/>
              </w:rPr>
              <w:t>条款名称</w:t>
            </w:r>
          </w:p>
        </w:tc>
        <w:tc>
          <w:tcPr>
            <w:tcW w:w="6815" w:type="dxa"/>
            <w:vAlign w:val="center"/>
          </w:tcPr>
          <w:p>
            <w:pPr>
              <w:pStyle w:val="62"/>
              <w:keepNext w:val="0"/>
              <w:keepLines w:val="0"/>
              <w:suppressLineNumbers w:val="0"/>
              <w:spacing w:before="0" w:beforeAutospacing="0" w:afterAutospacing="0"/>
              <w:ind w:left="0" w:right="0"/>
              <w:jc w:val="center"/>
              <w:rPr>
                <w:rFonts w:hint="default"/>
                <w:b/>
                <w:color w:val="auto"/>
                <w:kern w:val="2"/>
                <w:sz w:val="22"/>
                <w:szCs w:val="22"/>
                <w:highlight w:val="none"/>
              </w:rPr>
            </w:pPr>
            <w:r>
              <w:rPr>
                <w:rFonts w:hint="eastAsia"/>
                <w:b/>
                <w:color w:val="auto"/>
                <w:kern w:val="2"/>
                <w:sz w:val="22"/>
                <w:szCs w:val="22"/>
                <w:highlight w:val="none"/>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Merge w:val="restart"/>
            <w:vAlign w:val="center"/>
          </w:tcPr>
          <w:p>
            <w:pPr>
              <w:pStyle w:val="62"/>
              <w:keepNext w:val="0"/>
              <w:keepLines w:val="0"/>
              <w:suppressLineNumbers w:val="0"/>
              <w:spacing w:before="0" w:beforeAutospacing="0" w:after="0" w:afterAutospacing="0" w:line="360" w:lineRule="auto"/>
              <w:ind w:left="0" w:right="0"/>
              <w:jc w:val="center"/>
              <w:rPr>
                <w:rFonts w:hint="default"/>
                <w:color w:val="auto"/>
                <w:kern w:val="2"/>
                <w:sz w:val="22"/>
                <w:szCs w:val="22"/>
                <w:highlight w:val="none"/>
              </w:rPr>
            </w:pPr>
            <w:r>
              <w:rPr>
                <w:rFonts w:hint="eastAsia"/>
                <w:color w:val="auto"/>
                <w:kern w:val="2"/>
                <w:sz w:val="22"/>
                <w:szCs w:val="22"/>
                <w:highlight w:val="none"/>
              </w:rPr>
              <w:t>1</w:t>
            </w:r>
          </w:p>
        </w:tc>
        <w:tc>
          <w:tcPr>
            <w:tcW w:w="2244" w:type="dxa"/>
            <w:vAlign w:val="center"/>
          </w:tcPr>
          <w:p>
            <w:pPr>
              <w:pStyle w:val="62"/>
              <w:keepNext w:val="0"/>
              <w:keepLines w:val="0"/>
              <w:suppressLineNumbers w:val="0"/>
              <w:spacing w:before="0" w:beforeAutospacing="0" w:after="0" w:afterAutospacing="0" w:line="240" w:lineRule="auto"/>
              <w:ind w:left="0" w:right="0"/>
              <w:jc w:val="center"/>
              <w:rPr>
                <w:rFonts w:hint="default"/>
                <w:color w:val="auto"/>
                <w:sz w:val="22"/>
                <w:szCs w:val="22"/>
                <w:highlight w:val="none"/>
              </w:rPr>
            </w:pPr>
            <w:r>
              <w:rPr>
                <w:rFonts w:hint="eastAsia"/>
                <w:color w:val="auto"/>
                <w:sz w:val="22"/>
                <w:szCs w:val="22"/>
                <w:highlight w:val="none"/>
              </w:rPr>
              <w:t>采购预算</w:t>
            </w:r>
          </w:p>
          <w:p>
            <w:pPr>
              <w:pStyle w:val="62"/>
              <w:keepNext w:val="0"/>
              <w:keepLines w:val="0"/>
              <w:suppressLineNumbers w:val="0"/>
              <w:spacing w:before="0" w:beforeAutospacing="0" w:after="0" w:afterAutospacing="0" w:line="240" w:lineRule="auto"/>
              <w:ind w:left="0" w:right="0"/>
              <w:jc w:val="center"/>
              <w:rPr>
                <w:rFonts w:hint="default"/>
                <w:color w:val="auto"/>
                <w:sz w:val="22"/>
                <w:szCs w:val="22"/>
                <w:highlight w:val="none"/>
              </w:rPr>
            </w:pPr>
            <w:r>
              <w:rPr>
                <w:rFonts w:hint="eastAsia"/>
                <w:color w:val="auto"/>
                <w:sz w:val="22"/>
                <w:szCs w:val="22"/>
                <w:highlight w:val="none"/>
              </w:rPr>
              <w:t>（实质性要求）</w:t>
            </w:r>
          </w:p>
        </w:tc>
        <w:tc>
          <w:tcPr>
            <w:tcW w:w="6815" w:type="dxa"/>
          </w:tcPr>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kern w:val="0"/>
                <w:sz w:val="22"/>
                <w:szCs w:val="22"/>
                <w:highlight w:val="none"/>
              </w:rPr>
            </w:pPr>
            <w:r>
              <w:rPr>
                <w:rFonts w:hint="eastAsia" w:ascii="宋体" w:hAnsi="宋体" w:cs="宋体"/>
                <w:b/>
                <w:color w:val="auto"/>
                <w:kern w:val="0"/>
                <w:sz w:val="22"/>
                <w:szCs w:val="22"/>
                <w:highlight w:val="none"/>
              </w:rPr>
              <w:t>人民币</w:t>
            </w:r>
            <w:r>
              <w:rPr>
                <w:rFonts w:hint="default" w:ascii="宋体" w:hAnsi="宋体" w:cs="宋体"/>
                <w:b/>
                <w:color w:val="auto"/>
                <w:kern w:val="0"/>
                <w:sz w:val="22"/>
                <w:szCs w:val="22"/>
                <w:highlight w:val="none"/>
              </w:rPr>
              <w:t>85.12</w:t>
            </w:r>
            <w:r>
              <w:rPr>
                <w:rFonts w:hint="eastAsia" w:ascii="宋体" w:hAnsi="宋体" w:cs="宋体"/>
                <w:b/>
                <w:color w:val="auto"/>
                <w:kern w:val="0"/>
                <w:sz w:val="22"/>
                <w:szCs w:val="22"/>
                <w:highlight w:val="none"/>
              </w:rPr>
              <w:t xml:space="preserve"> 万元。</w:t>
            </w:r>
          </w:p>
          <w:p>
            <w:pPr>
              <w:pStyle w:val="62"/>
              <w:keepNext w:val="0"/>
              <w:keepLines w:val="0"/>
              <w:suppressLineNumbers w:val="0"/>
              <w:spacing w:before="0" w:beforeAutospacing="0" w:after="0" w:afterAutospacing="0" w:line="440" w:lineRule="exact"/>
              <w:ind w:left="0" w:right="0" w:firstLine="110" w:firstLineChars="50"/>
              <w:rPr>
                <w:rFonts w:hint="default"/>
                <w:color w:val="auto"/>
                <w:kern w:val="2"/>
                <w:sz w:val="22"/>
                <w:szCs w:val="22"/>
                <w:highlight w:val="none"/>
              </w:rPr>
            </w:pPr>
            <w:r>
              <w:rPr>
                <w:rFonts w:hint="eastAsia"/>
                <w:color w:val="auto"/>
                <w:sz w:val="22"/>
                <w:szCs w:val="22"/>
                <w:highlight w:val="none"/>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Merge w:val="continue"/>
            <w:vAlign w:val="center"/>
          </w:tcPr>
          <w:p>
            <w:pPr>
              <w:pStyle w:val="62"/>
              <w:keepNext w:val="0"/>
              <w:keepLines w:val="0"/>
              <w:suppressLineNumbers w:val="0"/>
              <w:spacing w:before="0" w:beforeAutospacing="0" w:after="0" w:afterAutospacing="0" w:line="360" w:lineRule="auto"/>
              <w:ind w:left="0" w:right="0"/>
              <w:jc w:val="center"/>
              <w:rPr>
                <w:rFonts w:hint="default"/>
                <w:color w:val="auto"/>
                <w:sz w:val="22"/>
                <w:szCs w:val="22"/>
                <w:highlight w:val="none"/>
              </w:rPr>
            </w:pPr>
          </w:p>
        </w:tc>
        <w:tc>
          <w:tcPr>
            <w:tcW w:w="2244" w:type="dxa"/>
            <w:vAlign w:val="center"/>
          </w:tcPr>
          <w:p>
            <w:pPr>
              <w:pStyle w:val="62"/>
              <w:keepNext w:val="0"/>
              <w:keepLines w:val="0"/>
              <w:suppressLineNumbers w:val="0"/>
              <w:spacing w:before="0" w:beforeAutospacing="0" w:after="0" w:afterAutospacing="0" w:line="240" w:lineRule="auto"/>
              <w:ind w:left="0" w:right="0"/>
              <w:jc w:val="center"/>
              <w:rPr>
                <w:rFonts w:hint="default"/>
                <w:color w:val="auto"/>
                <w:sz w:val="22"/>
                <w:szCs w:val="22"/>
                <w:highlight w:val="none"/>
              </w:rPr>
            </w:pPr>
            <w:r>
              <w:rPr>
                <w:rFonts w:hint="eastAsia"/>
                <w:color w:val="auto"/>
                <w:sz w:val="22"/>
                <w:szCs w:val="22"/>
                <w:highlight w:val="none"/>
              </w:rPr>
              <w:t>最高限价</w:t>
            </w:r>
          </w:p>
          <w:p>
            <w:pPr>
              <w:pStyle w:val="62"/>
              <w:keepNext w:val="0"/>
              <w:keepLines w:val="0"/>
              <w:suppressLineNumbers w:val="0"/>
              <w:spacing w:before="0" w:beforeAutospacing="0" w:after="0" w:afterAutospacing="0" w:line="240" w:lineRule="auto"/>
              <w:ind w:left="0" w:right="0"/>
              <w:jc w:val="center"/>
              <w:rPr>
                <w:rFonts w:hint="default"/>
                <w:color w:val="auto"/>
                <w:sz w:val="22"/>
                <w:szCs w:val="22"/>
                <w:highlight w:val="none"/>
              </w:rPr>
            </w:pPr>
            <w:r>
              <w:rPr>
                <w:rFonts w:hint="eastAsia"/>
                <w:color w:val="auto"/>
                <w:sz w:val="22"/>
                <w:szCs w:val="22"/>
                <w:highlight w:val="none"/>
              </w:rPr>
              <w:t>（实质性要求）</w:t>
            </w:r>
          </w:p>
        </w:tc>
        <w:tc>
          <w:tcPr>
            <w:tcW w:w="6815" w:type="dxa"/>
          </w:tcPr>
          <w:p>
            <w:pPr>
              <w:pStyle w:val="62"/>
              <w:keepNext w:val="0"/>
              <w:keepLines w:val="0"/>
              <w:suppressLineNumbers w:val="0"/>
              <w:spacing w:before="0" w:beforeAutospacing="0" w:after="0" w:afterAutospacing="0" w:line="440" w:lineRule="exact"/>
              <w:ind w:left="0" w:right="0" w:firstLine="110" w:firstLineChars="50"/>
              <w:rPr>
                <w:rFonts w:hint="default"/>
                <w:b/>
                <w:bCs/>
                <w:color w:val="auto"/>
                <w:sz w:val="22"/>
                <w:szCs w:val="22"/>
                <w:highlight w:val="none"/>
              </w:rPr>
            </w:pPr>
            <w:r>
              <w:rPr>
                <w:rFonts w:hint="eastAsia"/>
                <w:b/>
                <w:bCs/>
                <w:color w:val="auto"/>
                <w:sz w:val="22"/>
                <w:szCs w:val="22"/>
                <w:highlight w:val="none"/>
              </w:rPr>
              <w:t>人民币</w:t>
            </w:r>
            <w:r>
              <w:rPr>
                <w:rFonts w:hint="default"/>
                <w:b/>
                <w:color w:val="auto"/>
                <w:sz w:val="22"/>
                <w:szCs w:val="22"/>
                <w:highlight w:val="none"/>
              </w:rPr>
              <w:t>85.12</w:t>
            </w:r>
            <w:r>
              <w:rPr>
                <w:rFonts w:hint="eastAsia"/>
                <w:b/>
                <w:color w:val="auto"/>
                <w:sz w:val="22"/>
                <w:szCs w:val="22"/>
                <w:highlight w:val="none"/>
              </w:rPr>
              <w:t xml:space="preserve"> 万元。</w:t>
            </w:r>
          </w:p>
          <w:p>
            <w:pPr>
              <w:pStyle w:val="62"/>
              <w:keepNext w:val="0"/>
              <w:keepLines w:val="0"/>
              <w:suppressLineNumbers w:val="0"/>
              <w:spacing w:before="0" w:beforeAutospacing="0" w:after="0" w:afterAutospacing="0" w:line="440" w:lineRule="exact"/>
              <w:ind w:left="0" w:right="0" w:firstLine="110" w:firstLineChars="50"/>
              <w:rPr>
                <w:rFonts w:hint="default"/>
                <w:color w:val="auto"/>
                <w:sz w:val="22"/>
                <w:szCs w:val="22"/>
                <w:highlight w:val="none"/>
              </w:rPr>
            </w:pPr>
            <w:r>
              <w:rPr>
                <w:rFonts w:hint="eastAsia"/>
                <w:color w:val="auto"/>
                <w:sz w:val="22"/>
                <w:szCs w:val="22"/>
                <w:highlight w:val="none"/>
              </w:rPr>
              <w:t>超过最高限价的报价,其响应文件按无效处理。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pStyle w:val="62"/>
              <w:keepNext w:val="0"/>
              <w:keepLines w:val="0"/>
              <w:suppressLineNumbers w:val="0"/>
              <w:spacing w:before="0" w:beforeAutospacing="0" w:after="0" w:afterAutospacing="0" w:line="360" w:lineRule="auto"/>
              <w:ind w:left="0" w:right="0"/>
              <w:jc w:val="center"/>
              <w:rPr>
                <w:rFonts w:hint="eastAsia" w:eastAsia="宋体"/>
                <w:color w:val="auto"/>
                <w:sz w:val="22"/>
                <w:szCs w:val="22"/>
                <w:highlight w:val="none"/>
                <w:lang w:val="en-US" w:eastAsia="zh-CN"/>
              </w:rPr>
            </w:pPr>
            <w:r>
              <w:rPr>
                <w:rFonts w:hint="eastAsia"/>
                <w:color w:val="auto"/>
                <w:sz w:val="22"/>
                <w:szCs w:val="22"/>
                <w:highlight w:val="none"/>
                <w:lang w:val="en-US" w:eastAsia="zh-CN"/>
              </w:rPr>
              <w:t>2</w:t>
            </w:r>
          </w:p>
        </w:tc>
        <w:tc>
          <w:tcPr>
            <w:tcW w:w="2244" w:type="dxa"/>
            <w:vAlign w:val="center"/>
          </w:tcPr>
          <w:p>
            <w:pPr>
              <w:pStyle w:val="62"/>
              <w:keepNext w:val="0"/>
              <w:keepLines w:val="0"/>
              <w:suppressLineNumbers w:val="0"/>
              <w:spacing w:before="0" w:beforeAutospacing="0" w:after="0" w:afterAutospacing="0" w:line="240" w:lineRule="auto"/>
              <w:ind w:left="0" w:right="0"/>
              <w:jc w:val="center"/>
              <w:rPr>
                <w:rFonts w:hint="default"/>
                <w:color w:val="auto"/>
                <w:sz w:val="22"/>
                <w:szCs w:val="22"/>
                <w:highlight w:val="none"/>
              </w:rPr>
            </w:pPr>
            <w:r>
              <w:rPr>
                <w:rFonts w:hint="eastAsia"/>
                <w:color w:val="auto"/>
                <w:sz w:val="22"/>
                <w:szCs w:val="22"/>
                <w:highlight w:val="none"/>
              </w:rPr>
              <w:t>定向采购</w:t>
            </w:r>
          </w:p>
        </w:tc>
        <w:tc>
          <w:tcPr>
            <w:tcW w:w="6815" w:type="dxa"/>
          </w:tcPr>
          <w:p>
            <w:pPr>
              <w:pStyle w:val="62"/>
              <w:keepNext w:val="0"/>
              <w:keepLines w:val="0"/>
              <w:suppressLineNumbers w:val="0"/>
              <w:spacing w:before="0" w:beforeAutospacing="0" w:after="0" w:afterAutospacing="0" w:line="440" w:lineRule="exact"/>
              <w:ind w:left="0" w:right="0" w:firstLine="110" w:firstLineChars="50"/>
              <w:rPr>
                <w:rFonts w:hint="default"/>
                <w:bCs/>
                <w:color w:val="auto"/>
                <w:sz w:val="22"/>
                <w:szCs w:val="22"/>
                <w:highlight w:val="none"/>
              </w:rPr>
            </w:pPr>
            <w:r>
              <w:rPr>
                <w:rFonts w:hint="eastAsia"/>
                <w:bCs/>
                <w:color w:val="auto"/>
                <w:sz w:val="22"/>
                <w:szCs w:val="22"/>
                <w:highlight w:val="none"/>
              </w:rPr>
              <w:t>本项目为</w:t>
            </w:r>
            <w:r>
              <w:rPr>
                <w:rFonts w:hint="eastAsia"/>
                <w:bCs/>
                <w:color w:val="auto"/>
                <w:sz w:val="22"/>
                <w:szCs w:val="22"/>
                <w:highlight w:val="none"/>
                <w:lang w:val="en-US" w:eastAsia="zh-CN"/>
              </w:rPr>
              <w:t>非</w:t>
            </w:r>
            <w:r>
              <w:rPr>
                <w:rFonts w:hint="eastAsia"/>
                <w:bCs/>
                <w:color w:val="auto"/>
                <w:sz w:val="22"/>
                <w:szCs w:val="22"/>
                <w:highlight w:val="none"/>
              </w:rPr>
              <w:t>专门面向中小企业采购的项目。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pStyle w:val="62"/>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sz w:val="22"/>
                <w:szCs w:val="22"/>
                <w:highlight w:val="none"/>
                <w:lang w:val="en-US" w:eastAsia="zh-CN" w:bidi="ar-SA"/>
              </w:rPr>
            </w:pPr>
            <w:r>
              <w:rPr>
                <w:rFonts w:hint="eastAsia"/>
                <w:color w:val="auto"/>
                <w:sz w:val="22"/>
                <w:szCs w:val="22"/>
                <w:highlight w:val="none"/>
              </w:rPr>
              <w:t>3</w:t>
            </w:r>
          </w:p>
        </w:tc>
        <w:tc>
          <w:tcPr>
            <w:tcW w:w="2244" w:type="dxa"/>
            <w:vAlign w:val="center"/>
          </w:tcPr>
          <w:p>
            <w:pPr>
              <w:pStyle w:val="62"/>
              <w:keepNext w:val="0"/>
              <w:keepLines w:val="0"/>
              <w:suppressLineNumbers w:val="0"/>
              <w:spacing w:before="0" w:beforeAutospacing="0" w:after="0" w:afterAutospacing="0" w:line="240" w:lineRule="auto"/>
              <w:ind w:left="0" w:right="0"/>
              <w:jc w:val="center"/>
              <w:rPr>
                <w:rFonts w:hint="default"/>
                <w:color w:val="auto"/>
                <w:sz w:val="22"/>
                <w:szCs w:val="22"/>
                <w:highlight w:val="none"/>
              </w:rPr>
            </w:pPr>
            <w:r>
              <w:rPr>
                <w:rFonts w:hint="eastAsia"/>
                <w:color w:val="auto"/>
                <w:sz w:val="22"/>
                <w:szCs w:val="22"/>
                <w:highlight w:val="none"/>
              </w:rPr>
              <w:t>采购方式</w:t>
            </w:r>
          </w:p>
        </w:tc>
        <w:tc>
          <w:tcPr>
            <w:tcW w:w="6815" w:type="dxa"/>
            <w:vAlign w:val="center"/>
          </w:tcPr>
          <w:p>
            <w:pPr>
              <w:pStyle w:val="62"/>
              <w:keepNext w:val="0"/>
              <w:keepLines w:val="0"/>
              <w:suppressLineNumbers w:val="0"/>
              <w:spacing w:before="0" w:beforeAutospacing="0" w:after="0" w:afterAutospacing="0" w:line="440" w:lineRule="exact"/>
              <w:ind w:left="0" w:right="0" w:firstLine="110" w:firstLineChars="50"/>
              <w:jc w:val="both"/>
              <w:rPr>
                <w:rFonts w:hint="default"/>
                <w:color w:val="auto"/>
                <w:sz w:val="22"/>
                <w:szCs w:val="22"/>
                <w:highlight w:val="none"/>
              </w:rPr>
            </w:pPr>
            <w:r>
              <w:rPr>
                <w:rFonts w:hint="eastAsia"/>
                <w:color w:val="auto"/>
                <w:sz w:val="22"/>
                <w:szCs w:val="22"/>
                <w:highlight w:val="none"/>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pStyle w:val="62"/>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sz w:val="22"/>
                <w:szCs w:val="22"/>
                <w:highlight w:val="none"/>
                <w:lang w:val="en-US" w:eastAsia="zh-CN" w:bidi="ar-SA"/>
              </w:rPr>
            </w:pPr>
            <w:r>
              <w:rPr>
                <w:rFonts w:hint="eastAsia"/>
                <w:color w:val="auto"/>
                <w:sz w:val="22"/>
                <w:szCs w:val="22"/>
                <w:highlight w:val="none"/>
              </w:rPr>
              <w:t>4</w:t>
            </w:r>
          </w:p>
        </w:tc>
        <w:tc>
          <w:tcPr>
            <w:tcW w:w="2244" w:type="dxa"/>
            <w:tcBorders>
              <w:top w:val="single" w:color="auto" w:sz="4" w:space="0"/>
            </w:tcBorders>
            <w:vAlign w:val="center"/>
          </w:tcPr>
          <w:p>
            <w:pPr>
              <w:pStyle w:val="62"/>
              <w:keepNext w:val="0"/>
              <w:keepLines w:val="0"/>
              <w:suppressLineNumbers w:val="0"/>
              <w:spacing w:before="0" w:beforeAutospacing="0" w:after="0" w:afterAutospacing="0" w:line="240" w:lineRule="auto"/>
              <w:ind w:left="0" w:right="0"/>
              <w:jc w:val="center"/>
              <w:rPr>
                <w:rFonts w:hint="default"/>
                <w:color w:val="auto"/>
                <w:sz w:val="22"/>
                <w:szCs w:val="22"/>
                <w:highlight w:val="none"/>
              </w:rPr>
            </w:pPr>
            <w:r>
              <w:rPr>
                <w:rFonts w:hint="eastAsia"/>
                <w:color w:val="auto"/>
                <w:sz w:val="22"/>
                <w:szCs w:val="22"/>
                <w:highlight w:val="none"/>
              </w:rPr>
              <w:t>评审办法</w:t>
            </w:r>
          </w:p>
        </w:tc>
        <w:tc>
          <w:tcPr>
            <w:tcW w:w="6815" w:type="dxa"/>
            <w:tcBorders>
              <w:top w:val="single" w:color="auto" w:sz="4" w:space="0"/>
            </w:tcBorders>
            <w:vAlign w:val="center"/>
          </w:tcPr>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kern w:val="0"/>
                <w:sz w:val="22"/>
                <w:szCs w:val="22"/>
                <w:highlight w:val="none"/>
              </w:rPr>
            </w:pPr>
            <w:r>
              <w:rPr>
                <w:rFonts w:hint="eastAsia" w:ascii="宋体" w:hAnsi="宋体" w:cs="宋体"/>
                <w:color w:val="auto"/>
                <w:kern w:val="0"/>
                <w:sz w:val="22"/>
                <w:szCs w:val="22"/>
                <w:highlight w:val="none"/>
              </w:rPr>
              <w:t>综合评分法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5</w:t>
            </w:r>
          </w:p>
        </w:tc>
        <w:tc>
          <w:tcPr>
            <w:tcW w:w="2244" w:type="dxa"/>
            <w:tcBorders>
              <w:top w:val="single" w:color="auto" w:sz="4" w:space="0"/>
            </w:tcBorders>
            <w:vAlign w:val="center"/>
          </w:tcPr>
          <w:p>
            <w:pPr>
              <w:pStyle w:val="62"/>
              <w:keepNext w:val="0"/>
              <w:keepLines w:val="0"/>
              <w:suppressLineNumbers w:val="0"/>
              <w:spacing w:before="0" w:beforeAutospacing="0" w:after="0" w:afterAutospacing="0" w:line="240" w:lineRule="auto"/>
              <w:ind w:left="0" w:right="0"/>
              <w:jc w:val="center"/>
              <w:rPr>
                <w:rFonts w:hint="default"/>
                <w:color w:val="auto"/>
                <w:sz w:val="22"/>
                <w:szCs w:val="22"/>
                <w:highlight w:val="none"/>
              </w:rPr>
            </w:pPr>
            <w:r>
              <w:rPr>
                <w:rFonts w:hint="eastAsia"/>
                <w:color w:val="auto"/>
                <w:sz w:val="22"/>
                <w:szCs w:val="22"/>
                <w:highlight w:val="none"/>
              </w:rPr>
              <w:t>磋商保证金</w:t>
            </w:r>
          </w:p>
        </w:tc>
        <w:tc>
          <w:tcPr>
            <w:tcW w:w="6815" w:type="dxa"/>
            <w:tcBorders>
              <w:top w:val="single" w:color="auto" w:sz="4" w:space="0"/>
            </w:tcBorders>
            <w:vAlign w:val="center"/>
          </w:tcPr>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kern w:val="0"/>
                <w:sz w:val="22"/>
                <w:szCs w:val="22"/>
                <w:highlight w:val="none"/>
              </w:rPr>
            </w:pPr>
            <w:r>
              <w:rPr>
                <w:rFonts w:hint="eastAsia" w:ascii="宋体" w:hAnsi="宋体" w:cs="宋体"/>
                <w:color w:val="auto"/>
                <w:kern w:val="0"/>
                <w:sz w:val="22"/>
                <w:szCs w:val="22"/>
                <w:highlight w:val="none"/>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6</w:t>
            </w:r>
          </w:p>
        </w:tc>
        <w:tc>
          <w:tcPr>
            <w:tcW w:w="2244" w:type="dxa"/>
            <w:tcBorders>
              <w:top w:val="single" w:color="auto" w:sz="4" w:space="0"/>
            </w:tcBorders>
            <w:vAlign w:val="center"/>
          </w:tcPr>
          <w:p>
            <w:pPr>
              <w:pStyle w:val="62"/>
              <w:keepNext w:val="0"/>
              <w:keepLines w:val="0"/>
              <w:suppressLineNumbers w:val="0"/>
              <w:spacing w:before="0" w:beforeAutospacing="0" w:after="0" w:afterAutospacing="0" w:line="240" w:lineRule="auto"/>
              <w:ind w:left="0" w:right="0"/>
              <w:jc w:val="center"/>
              <w:rPr>
                <w:rFonts w:hint="default"/>
                <w:color w:val="auto"/>
                <w:sz w:val="22"/>
                <w:szCs w:val="22"/>
                <w:highlight w:val="none"/>
              </w:rPr>
            </w:pPr>
            <w:r>
              <w:rPr>
                <w:rFonts w:hint="eastAsia"/>
                <w:color w:val="auto"/>
                <w:sz w:val="22"/>
                <w:szCs w:val="22"/>
                <w:highlight w:val="none"/>
              </w:rPr>
              <w:t>是否接受联合体参与本次磋商</w:t>
            </w:r>
          </w:p>
          <w:p>
            <w:pPr>
              <w:pStyle w:val="62"/>
              <w:keepNext w:val="0"/>
              <w:keepLines w:val="0"/>
              <w:suppressLineNumbers w:val="0"/>
              <w:spacing w:before="0" w:beforeAutospacing="0" w:after="0" w:afterAutospacing="0" w:line="240" w:lineRule="auto"/>
              <w:ind w:left="0" w:right="0"/>
              <w:jc w:val="center"/>
              <w:rPr>
                <w:rFonts w:hint="default"/>
                <w:color w:val="auto"/>
                <w:sz w:val="22"/>
                <w:szCs w:val="22"/>
                <w:highlight w:val="none"/>
              </w:rPr>
            </w:pPr>
            <w:r>
              <w:rPr>
                <w:rFonts w:hint="eastAsia"/>
                <w:color w:val="auto"/>
                <w:sz w:val="22"/>
                <w:szCs w:val="22"/>
                <w:highlight w:val="none"/>
              </w:rPr>
              <w:t>（实质性要求）</w:t>
            </w:r>
          </w:p>
        </w:tc>
        <w:tc>
          <w:tcPr>
            <w:tcW w:w="6815" w:type="dxa"/>
            <w:tcBorders>
              <w:top w:val="single" w:color="auto" w:sz="4" w:space="0"/>
            </w:tcBorders>
            <w:vAlign w:val="center"/>
          </w:tcPr>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kern w:val="0"/>
                <w:sz w:val="22"/>
                <w:szCs w:val="22"/>
                <w:highlight w:val="none"/>
              </w:rPr>
            </w:pPr>
            <w:r>
              <w:rPr>
                <w:rFonts w:hint="eastAsia" w:ascii="宋体" w:hAnsi="宋体" w:cs="宋体"/>
                <w:color w:val="auto"/>
                <w:kern w:val="0"/>
                <w:sz w:val="22"/>
                <w:szCs w:val="22"/>
                <w:highlight w:val="none"/>
              </w:rPr>
              <w:t>本项目不接受联合体参加磋商。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74" w:hRule="atLeast"/>
          <w:jc w:val="center"/>
        </w:trPr>
        <w:tc>
          <w:tcPr>
            <w:tcW w:w="697"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7</w:t>
            </w:r>
          </w:p>
        </w:tc>
        <w:tc>
          <w:tcPr>
            <w:tcW w:w="2244" w:type="dxa"/>
            <w:tcBorders>
              <w:top w:val="single" w:color="auto" w:sz="4" w:space="0"/>
            </w:tcBorders>
            <w:vAlign w:val="center"/>
          </w:tcPr>
          <w:p>
            <w:pPr>
              <w:pStyle w:val="62"/>
              <w:keepNext w:val="0"/>
              <w:keepLines w:val="0"/>
              <w:suppressLineNumbers w:val="0"/>
              <w:spacing w:before="0" w:beforeAutospacing="0" w:after="0" w:afterAutospacing="0" w:line="240" w:lineRule="auto"/>
              <w:ind w:left="0" w:right="0"/>
              <w:jc w:val="center"/>
              <w:rPr>
                <w:rFonts w:hint="default"/>
                <w:color w:val="auto"/>
                <w:sz w:val="22"/>
                <w:szCs w:val="22"/>
                <w:highlight w:val="none"/>
              </w:rPr>
            </w:pPr>
            <w:r>
              <w:rPr>
                <w:rFonts w:hint="eastAsia"/>
                <w:color w:val="auto"/>
                <w:sz w:val="22"/>
                <w:szCs w:val="22"/>
                <w:highlight w:val="none"/>
              </w:rPr>
              <w:t>磋商有效期</w:t>
            </w:r>
          </w:p>
          <w:p>
            <w:pPr>
              <w:pStyle w:val="62"/>
              <w:keepNext w:val="0"/>
              <w:keepLines w:val="0"/>
              <w:suppressLineNumbers w:val="0"/>
              <w:spacing w:before="0" w:beforeAutospacing="0" w:after="0" w:afterAutospacing="0" w:line="240" w:lineRule="auto"/>
              <w:ind w:left="0" w:right="0"/>
              <w:jc w:val="center"/>
              <w:rPr>
                <w:rFonts w:hint="default"/>
                <w:color w:val="auto"/>
                <w:sz w:val="22"/>
                <w:szCs w:val="22"/>
                <w:highlight w:val="none"/>
              </w:rPr>
            </w:pPr>
            <w:r>
              <w:rPr>
                <w:rFonts w:hint="eastAsia"/>
                <w:color w:val="auto"/>
                <w:sz w:val="22"/>
                <w:szCs w:val="22"/>
                <w:highlight w:val="none"/>
              </w:rPr>
              <w:t>（实质性要求）</w:t>
            </w:r>
          </w:p>
        </w:tc>
        <w:tc>
          <w:tcPr>
            <w:tcW w:w="6815" w:type="dxa"/>
            <w:tcBorders>
              <w:top w:val="single" w:color="auto" w:sz="4" w:space="0"/>
            </w:tcBorders>
            <w:vAlign w:val="center"/>
          </w:tcPr>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kern w:val="0"/>
                <w:sz w:val="22"/>
                <w:szCs w:val="22"/>
                <w:highlight w:val="none"/>
              </w:rPr>
            </w:pPr>
            <w:r>
              <w:rPr>
                <w:rFonts w:hint="eastAsia" w:ascii="宋体" w:hAnsi="宋体" w:cs="宋体"/>
                <w:color w:val="auto"/>
                <w:sz w:val="22"/>
                <w:szCs w:val="22"/>
                <w:highlight w:val="none"/>
              </w:rPr>
              <w:t>提交响应文件的截止之日起90日。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8</w:t>
            </w:r>
          </w:p>
        </w:tc>
        <w:tc>
          <w:tcPr>
            <w:tcW w:w="2244" w:type="dxa"/>
            <w:tcBorders>
              <w:top w:val="single" w:color="auto" w:sz="4" w:space="0"/>
            </w:tcBorders>
            <w:vAlign w:val="center"/>
          </w:tcPr>
          <w:p>
            <w:pPr>
              <w:pStyle w:val="62"/>
              <w:keepNext w:val="0"/>
              <w:keepLines w:val="0"/>
              <w:suppressLineNumbers w:val="0"/>
              <w:spacing w:before="0" w:beforeAutospacing="0" w:after="0" w:afterAutospacing="0" w:line="240" w:lineRule="auto"/>
              <w:ind w:left="0" w:right="0"/>
              <w:jc w:val="center"/>
              <w:rPr>
                <w:rFonts w:hint="default"/>
                <w:color w:val="auto"/>
                <w:sz w:val="22"/>
                <w:szCs w:val="22"/>
                <w:highlight w:val="none"/>
              </w:rPr>
            </w:pPr>
            <w:r>
              <w:rPr>
                <w:rFonts w:hint="eastAsia"/>
                <w:color w:val="auto"/>
                <w:sz w:val="22"/>
                <w:szCs w:val="22"/>
                <w:highlight w:val="none"/>
              </w:rPr>
              <w:t>备选方案和报价</w:t>
            </w:r>
          </w:p>
        </w:tc>
        <w:tc>
          <w:tcPr>
            <w:tcW w:w="6815" w:type="dxa"/>
            <w:tcBorders>
              <w:top w:val="single" w:color="auto" w:sz="4" w:space="0"/>
            </w:tcBorders>
          </w:tcPr>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kern w:val="0"/>
                <w:sz w:val="22"/>
                <w:szCs w:val="22"/>
                <w:highlight w:val="none"/>
              </w:rPr>
            </w:pPr>
            <w:r>
              <w:rPr>
                <w:rFonts w:hint="eastAsia" w:ascii="宋体" w:hAnsi="宋体" w:cs="宋体"/>
                <w:color w:val="auto"/>
                <w:kern w:val="0"/>
                <w:sz w:val="22"/>
                <w:szCs w:val="22"/>
                <w:highlight w:val="none"/>
              </w:rPr>
              <w:t>本项目不接受备选方案和多个报价。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9</w:t>
            </w:r>
          </w:p>
        </w:tc>
        <w:tc>
          <w:tcPr>
            <w:tcW w:w="2244" w:type="dxa"/>
            <w:tcBorders>
              <w:top w:val="single" w:color="auto" w:sz="4" w:space="0"/>
            </w:tcBorders>
            <w:vAlign w:val="center"/>
          </w:tcPr>
          <w:p>
            <w:pPr>
              <w:pStyle w:val="62"/>
              <w:keepNext w:val="0"/>
              <w:keepLines w:val="0"/>
              <w:suppressLineNumbers w:val="0"/>
              <w:spacing w:before="0" w:beforeAutospacing="0" w:after="0" w:afterAutospacing="0" w:line="240" w:lineRule="auto"/>
              <w:ind w:left="0" w:right="0"/>
              <w:jc w:val="center"/>
              <w:rPr>
                <w:rFonts w:hint="default"/>
                <w:color w:val="auto"/>
                <w:sz w:val="22"/>
                <w:szCs w:val="22"/>
                <w:highlight w:val="none"/>
              </w:rPr>
            </w:pPr>
            <w:r>
              <w:rPr>
                <w:rFonts w:hint="eastAsia"/>
                <w:color w:val="auto"/>
                <w:sz w:val="22"/>
                <w:szCs w:val="22"/>
                <w:highlight w:val="none"/>
              </w:rPr>
              <w:t>现场考察、答疑会</w:t>
            </w:r>
          </w:p>
        </w:tc>
        <w:tc>
          <w:tcPr>
            <w:tcW w:w="6815" w:type="dxa"/>
            <w:tcBorders>
              <w:top w:val="single" w:color="auto" w:sz="4" w:space="0"/>
            </w:tcBorders>
          </w:tcPr>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kern w:val="0"/>
                <w:sz w:val="22"/>
                <w:szCs w:val="22"/>
                <w:highlight w:val="none"/>
              </w:rPr>
            </w:pPr>
            <w:r>
              <w:rPr>
                <w:rFonts w:hint="eastAsia" w:ascii="宋体" w:hAnsi="宋体" w:cs="宋体"/>
                <w:color w:val="auto"/>
                <w:sz w:val="22"/>
                <w:szCs w:val="22"/>
                <w:highlight w:val="none"/>
              </w:rPr>
              <w:t>本项目</w:t>
            </w:r>
            <w:r>
              <w:rPr>
                <w:rFonts w:hint="eastAsia" w:ascii="宋体" w:hAnsi="宋体" w:cs="宋体"/>
                <w:b/>
                <w:color w:val="auto"/>
                <w:sz w:val="22"/>
                <w:szCs w:val="22"/>
                <w:highlight w:val="none"/>
              </w:rPr>
              <w:t>□</w:t>
            </w:r>
            <w:r>
              <w:rPr>
                <w:rFonts w:hint="eastAsia" w:ascii="宋体" w:hAnsi="宋体" w:cs="宋体"/>
                <w:color w:val="auto"/>
                <w:sz w:val="22"/>
                <w:szCs w:val="22"/>
                <w:highlight w:val="none"/>
              </w:rPr>
              <w:t>组织  ☑不组织现场考察、答疑会。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11</w:t>
            </w:r>
          </w:p>
        </w:tc>
        <w:tc>
          <w:tcPr>
            <w:tcW w:w="2244" w:type="dxa"/>
            <w:tcBorders>
              <w:top w:val="single" w:color="auto" w:sz="4" w:space="0"/>
            </w:tcBorders>
            <w:vAlign w:val="center"/>
          </w:tcPr>
          <w:p>
            <w:pPr>
              <w:pStyle w:val="62"/>
              <w:keepNext w:val="0"/>
              <w:keepLines w:val="0"/>
              <w:suppressLineNumbers w:val="0"/>
              <w:spacing w:before="0" w:beforeAutospacing="0" w:after="0" w:afterAutospacing="0" w:line="240" w:lineRule="auto"/>
              <w:ind w:left="0" w:right="0"/>
              <w:jc w:val="center"/>
              <w:rPr>
                <w:rFonts w:hint="default"/>
                <w:color w:val="auto"/>
                <w:sz w:val="22"/>
                <w:szCs w:val="22"/>
                <w:highlight w:val="none"/>
              </w:rPr>
            </w:pPr>
            <w:r>
              <w:rPr>
                <w:rFonts w:hint="eastAsia"/>
                <w:color w:val="auto"/>
                <w:sz w:val="22"/>
                <w:szCs w:val="22"/>
                <w:highlight w:val="none"/>
              </w:rPr>
              <w:t>低于成本价不正当竞争预防措施</w:t>
            </w:r>
          </w:p>
          <w:p>
            <w:pPr>
              <w:pStyle w:val="62"/>
              <w:keepNext w:val="0"/>
              <w:keepLines w:val="0"/>
              <w:suppressLineNumbers w:val="0"/>
              <w:spacing w:before="0" w:beforeAutospacing="0" w:after="0" w:afterAutospacing="0" w:line="240" w:lineRule="auto"/>
              <w:ind w:left="0" w:right="0"/>
              <w:jc w:val="center"/>
              <w:rPr>
                <w:rFonts w:hint="default"/>
                <w:color w:val="auto"/>
                <w:sz w:val="22"/>
                <w:szCs w:val="22"/>
                <w:highlight w:val="none"/>
              </w:rPr>
            </w:pPr>
            <w:r>
              <w:rPr>
                <w:rFonts w:hint="eastAsia"/>
                <w:color w:val="auto"/>
                <w:sz w:val="22"/>
                <w:szCs w:val="22"/>
                <w:highlight w:val="none"/>
              </w:rPr>
              <w:t>（实质性要</w:t>
            </w:r>
            <w:r>
              <w:rPr>
                <w:rFonts w:hint="eastAsia"/>
                <w:color w:val="auto"/>
                <w:kern w:val="2"/>
                <w:sz w:val="22"/>
                <w:szCs w:val="22"/>
                <w:highlight w:val="none"/>
              </w:rPr>
              <w:t>求）</w:t>
            </w:r>
          </w:p>
        </w:tc>
        <w:tc>
          <w:tcPr>
            <w:tcW w:w="6815" w:type="dxa"/>
            <w:tcBorders>
              <w:top w:val="single" w:color="auto" w:sz="4" w:space="0"/>
            </w:tcBorders>
          </w:tcPr>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sz w:val="20"/>
                <w:szCs w:val="22"/>
                <w:highlight w:val="none"/>
              </w:rPr>
            </w:pPr>
            <w:r>
              <w:rPr>
                <w:rFonts w:hint="eastAsia" w:ascii="宋体" w:hAnsi="宋体" w:cs="宋体"/>
                <w:color w:val="auto"/>
                <w:kern w:val="0"/>
                <w:sz w:val="22"/>
                <w:szCs w:val="22"/>
                <w:highlight w:val="none"/>
              </w:rPr>
              <w:t>磋商小组</w:t>
            </w:r>
            <w:r>
              <w:rPr>
                <w:rFonts w:hint="eastAsia" w:ascii="宋体" w:hAnsi="宋体" w:cs="宋体"/>
                <w:color w:val="auto"/>
                <w:kern w:val="0"/>
                <w:sz w:val="22"/>
                <w:szCs w:val="22"/>
                <w:highlight w:val="none"/>
                <w:lang w:val="zh-CN"/>
              </w:rPr>
              <w:t>认为</w:t>
            </w:r>
            <w:r>
              <w:rPr>
                <w:rFonts w:hint="eastAsia" w:ascii="宋体" w:hAnsi="宋体" w:cs="宋体"/>
                <w:color w:val="auto"/>
                <w:kern w:val="0"/>
                <w:sz w:val="22"/>
                <w:szCs w:val="22"/>
                <w:highlight w:val="none"/>
              </w:rPr>
              <w:t>供应商</w:t>
            </w:r>
            <w:r>
              <w:rPr>
                <w:rFonts w:hint="eastAsia" w:ascii="宋体" w:hAnsi="宋体" w:cs="宋体"/>
                <w:color w:val="auto"/>
                <w:kern w:val="0"/>
                <w:sz w:val="22"/>
                <w:szCs w:val="22"/>
                <w:highlight w:val="none"/>
                <w:lang w:val="zh-CN"/>
              </w:rPr>
              <w:t xml:space="preserve">的报价明显低于其他通过有效性、完整性和响应程度审查供应商的报价，有可能影响产品质量或者不能诚信履约的，应当要求其在评标现场合理的时间内提供书面说明，必要时提交相关证明 材料。 </w:t>
            </w:r>
            <w:r>
              <w:rPr>
                <w:rFonts w:hint="eastAsia" w:ascii="宋体" w:hAnsi="宋体" w:cs="宋体"/>
                <w:color w:val="auto"/>
                <w:kern w:val="0"/>
                <w:sz w:val="22"/>
                <w:szCs w:val="22"/>
                <w:highlight w:val="none"/>
              </w:rPr>
              <w:t>供应商</w:t>
            </w:r>
            <w:r>
              <w:rPr>
                <w:rFonts w:hint="eastAsia" w:ascii="宋体" w:hAnsi="宋体" w:cs="宋体"/>
                <w:color w:val="auto"/>
                <w:kern w:val="0"/>
                <w:sz w:val="22"/>
                <w:szCs w:val="22"/>
                <w:highlight w:val="none"/>
                <w:lang w:val="zh-CN"/>
              </w:rPr>
              <w:t xml:space="preserve">书面说明应当按照国家财务会计制度的规定要求，逐项就供应商提供的型予以区别）、税金及附加、销售费用、管理费用、财务费用等成本构成事项详细陈述。 </w:t>
            </w:r>
            <w:r>
              <w:rPr>
                <w:rFonts w:hint="eastAsia" w:ascii="宋体" w:hAnsi="宋体" w:cs="宋体"/>
                <w:color w:val="auto"/>
                <w:kern w:val="0"/>
                <w:sz w:val="22"/>
                <w:szCs w:val="22"/>
                <w:highlight w:val="none"/>
              </w:rPr>
              <w:t>供应商</w:t>
            </w:r>
            <w:r>
              <w:rPr>
                <w:rFonts w:hint="eastAsia" w:ascii="宋体" w:hAnsi="宋体" w:cs="宋体"/>
                <w:color w:val="auto"/>
                <w:kern w:val="0"/>
                <w:sz w:val="22"/>
                <w:szCs w:val="22"/>
                <w:highlight w:val="none"/>
                <w:lang w:val="zh-CN"/>
              </w:rPr>
              <w:t>书面说明应当签字确认或者加盖公章，否则无效。书面说明的签字确认，</w:t>
            </w:r>
            <w:r>
              <w:rPr>
                <w:rFonts w:hint="eastAsia" w:ascii="宋体" w:hAnsi="宋体" w:cs="宋体"/>
                <w:color w:val="auto"/>
                <w:kern w:val="0"/>
                <w:sz w:val="22"/>
                <w:szCs w:val="22"/>
                <w:highlight w:val="none"/>
              </w:rPr>
              <w:t>供应商</w:t>
            </w:r>
            <w:r>
              <w:rPr>
                <w:rFonts w:hint="eastAsia" w:ascii="宋体" w:hAnsi="宋体" w:cs="宋体"/>
                <w:color w:val="auto"/>
                <w:kern w:val="0"/>
                <w:sz w:val="22"/>
                <w:szCs w:val="22"/>
                <w:highlight w:val="none"/>
                <w:lang w:val="zh-CN"/>
              </w:rPr>
              <w:t>为法人的，由其法定代表人或者代理人签字确认；</w:t>
            </w:r>
            <w:r>
              <w:rPr>
                <w:rFonts w:hint="eastAsia" w:ascii="宋体" w:hAnsi="宋体" w:cs="宋体"/>
                <w:color w:val="auto"/>
                <w:kern w:val="0"/>
                <w:sz w:val="22"/>
                <w:szCs w:val="22"/>
                <w:highlight w:val="none"/>
              </w:rPr>
              <w:t>供应商</w:t>
            </w:r>
            <w:r>
              <w:rPr>
                <w:rFonts w:hint="eastAsia" w:ascii="宋体" w:hAnsi="宋体" w:cs="宋体"/>
                <w:color w:val="auto"/>
                <w:kern w:val="0"/>
                <w:sz w:val="22"/>
                <w:szCs w:val="22"/>
                <w:highlight w:val="none"/>
                <w:lang w:val="zh-CN"/>
              </w:rPr>
              <w:t>为其他组织的，由其主要负责人或者代理人签字确认；</w:t>
            </w:r>
            <w:r>
              <w:rPr>
                <w:rFonts w:hint="eastAsia" w:ascii="宋体" w:hAnsi="宋体" w:cs="宋体"/>
                <w:color w:val="auto"/>
                <w:kern w:val="0"/>
                <w:sz w:val="22"/>
                <w:szCs w:val="22"/>
                <w:highlight w:val="none"/>
              </w:rPr>
              <w:t>供应商</w:t>
            </w:r>
            <w:r>
              <w:rPr>
                <w:rFonts w:hint="eastAsia" w:ascii="宋体" w:hAnsi="宋体" w:cs="宋体"/>
                <w:color w:val="auto"/>
                <w:kern w:val="0"/>
                <w:sz w:val="22"/>
                <w:szCs w:val="22"/>
                <w:highlight w:val="none"/>
                <w:lang w:val="zh-CN"/>
              </w:rPr>
              <w:t>为自然人的，由其本人或者代理人签字确认。</w:t>
            </w:r>
            <w:r>
              <w:rPr>
                <w:rFonts w:hint="eastAsia" w:ascii="宋体" w:hAnsi="宋体" w:cs="宋体"/>
                <w:color w:val="auto"/>
                <w:kern w:val="0"/>
                <w:sz w:val="22"/>
                <w:szCs w:val="22"/>
                <w:highlight w:val="none"/>
              </w:rPr>
              <w:t>供应商</w:t>
            </w:r>
            <w:r>
              <w:rPr>
                <w:rFonts w:hint="eastAsia" w:ascii="宋体" w:hAnsi="宋体" w:cs="宋体"/>
                <w:color w:val="auto"/>
                <w:kern w:val="0"/>
                <w:sz w:val="22"/>
                <w:szCs w:val="22"/>
                <w:highlight w:val="none"/>
                <w:lang w:val="zh-CN"/>
              </w:rPr>
              <w:t>提供书面说明后，</w:t>
            </w:r>
            <w:r>
              <w:rPr>
                <w:rFonts w:hint="eastAsia" w:ascii="宋体" w:hAnsi="宋体" w:cs="宋体"/>
                <w:color w:val="auto"/>
                <w:kern w:val="0"/>
                <w:sz w:val="22"/>
                <w:szCs w:val="22"/>
                <w:highlight w:val="none"/>
                <w:lang w:val="en-US" w:eastAsia="zh-CN"/>
              </w:rPr>
              <w:t>评审小组</w:t>
            </w:r>
            <w:r>
              <w:rPr>
                <w:rFonts w:hint="eastAsia" w:ascii="宋体" w:hAnsi="宋体" w:cs="宋体"/>
                <w:color w:val="auto"/>
                <w:kern w:val="0"/>
                <w:sz w:val="22"/>
                <w:szCs w:val="22"/>
                <w:highlight w:val="none"/>
                <w:lang w:val="zh-CN"/>
              </w:rPr>
              <w:t xml:space="preserve">应当结合采购项目采购需求、 专业实际情况、供应商财务状况报告、与其他货物、工程和服务的主营业务成本（应根据供应商 企业类供应商比较情况等 就供应商书面说明进行审查评价。 </w:t>
            </w:r>
            <w:r>
              <w:rPr>
                <w:rFonts w:hint="eastAsia" w:ascii="宋体" w:hAnsi="宋体" w:cs="宋体"/>
                <w:color w:val="auto"/>
                <w:kern w:val="0"/>
                <w:sz w:val="22"/>
                <w:szCs w:val="22"/>
                <w:highlight w:val="none"/>
              </w:rPr>
              <w:t>供应商</w:t>
            </w:r>
            <w:r>
              <w:rPr>
                <w:rFonts w:hint="eastAsia" w:ascii="宋体" w:hAnsi="宋体" w:cs="宋体"/>
                <w:color w:val="auto"/>
                <w:kern w:val="0"/>
                <w:sz w:val="22"/>
                <w:szCs w:val="22"/>
                <w:highlight w:val="none"/>
                <w:lang w:val="zh-CN"/>
              </w:rPr>
              <w:t>拒绝或者变相拒绝提供有效书面说明或者书面说明不能证明其报价合理性的，</w:t>
            </w:r>
            <w:r>
              <w:rPr>
                <w:rFonts w:hint="eastAsia" w:ascii="宋体" w:hAnsi="宋体" w:cs="宋体"/>
                <w:color w:val="auto"/>
                <w:kern w:val="0"/>
                <w:sz w:val="22"/>
                <w:szCs w:val="22"/>
                <w:highlight w:val="none"/>
              </w:rPr>
              <w:t>磋商小组</w:t>
            </w:r>
            <w:r>
              <w:rPr>
                <w:rFonts w:hint="eastAsia" w:ascii="宋体" w:hAnsi="宋体" w:cs="宋体"/>
                <w:color w:val="auto"/>
                <w:kern w:val="0"/>
                <w:sz w:val="22"/>
                <w:szCs w:val="22"/>
                <w:highlight w:val="none"/>
                <w:lang w:val="zh-CN"/>
              </w:rPr>
              <w:t>应当将其作为无效</w:t>
            </w:r>
            <w:r>
              <w:rPr>
                <w:rFonts w:hint="eastAsia" w:ascii="宋体" w:hAnsi="宋体" w:cs="宋体"/>
                <w:color w:val="auto"/>
                <w:kern w:val="0"/>
                <w:sz w:val="22"/>
                <w:szCs w:val="22"/>
                <w:highlight w:val="none"/>
                <w:lang w:val="en-US" w:eastAsia="zh-CN"/>
              </w:rPr>
              <w:t>响应</w:t>
            </w:r>
            <w:r>
              <w:rPr>
                <w:rFonts w:hint="eastAsia" w:ascii="宋体" w:hAnsi="宋体" w:cs="宋体"/>
                <w:color w:val="auto"/>
                <w:kern w:val="0"/>
                <w:sz w:val="22"/>
                <w:szCs w:val="22"/>
                <w:highlight w:val="none"/>
                <w:lang w:val="zh-CN"/>
              </w:rPr>
              <w:t>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12</w:t>
            </w:r>
          </w:p>
        </w:tc>
        <w:tc>
          <w:tcPr>
            <w:tcW w:w="2244" w:type="dxa"/>
            <w:tcBorders>
              <w:top w:val="single" w:color="auto" w:sz="4" w:space="0"/>
            </w:tcBorders>
            <w:vAlign w:val="center"/>
          </w:tcPr>
          <w:p>
            <w:pPr>
              <w:pStyle w:val="62"/>
              <w:keepNext w:val="0"/>
              <w:keepLines w:val="0"/>
              <w:suppressLineNumbers w:val="0"/>
              <w:spacing w:before="0" w:beforeAutospacing="0" w:after="0" w:afterAutospacing="0" w:line="240" w:lineRule="auto"/>
              <w:ind w:left="0" w:right="0"/>
              <w:jc w:val="center"/>
              <w:rPr>
                <w:rFonts w:hint="default"/>
                <w:color w:val="auto"/>
                <w:sz w:val="22"/>
                <w:szCs w:val="22"/>
                <w:highlight w:val="none"/>
              </w:rPr>
            </w:pPr>
            <w:r>
              <w:rPr>
                <w:rFonts w:hint="eastAsia"/>
                <w:color w:val="auto"/>
                <w:sz w:val="22"/>
                <w:szCs w:val="22"/>
                <w:highlight w:val="none"/>
              </w:rPr>
              <w:t>小微企业（监狱企业、残疾人福利性单位视同小微企业）价格加成或者扣除</w:t>
            </w:r>
          </w:p>
          <w:p>
            <w:pPr>
              <w:pStyle w:val="76"/>
              <w:keepNext w:val="0"/>
              <w:keepLines w:val="0"/>
              <w:suppressLineNumbers w:val="0"/>
              <w:wordWrap/>
              <w:spacing w:before="0" w:beforeAutospacing="0" w:afterAutospacing="0" w:line="360" w:lineRule="auto"/>
              <w:ind w:left="0" w:leftChars="0" w:right="0"/>
              <w:jc w:val="center"/>
              <w:rPr>
                <w:rFonts w:hint="default" w:cs="宋体"/>
                <w:color w:val="auto"/>
                <w:sz w:val="22"/>
                <w:szCs w:val="22"/>
                <w:highlight w:val="none"/>
              </w:rPr>
            </w:pPr>
            <w:r>
              <w:rPr>
                <w:rFonts w:hint="eastAsia" w:cs="宋体"/>
                <w:color w:val="auto"/>
                <w:sz w:val="22"/>
                <w:szCs w:val="22"/>
                <w:highlight w:val="none"/>
              </w:rPr>
              <w:t>（实质性要求）</w:t>
            </w:r>
          </w:p>
        </w:tc>
        <w:tc>
          <w:tcPr>
            <w:tcW w:w="6815" w:type="dxa"/>
            <w:tcBorders>
              <w:top w:val="single" w:color="auto" w:sz="4" w:space="0"/>
            </w:tcBorders>
          </w:tcPr>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en-US" w:eastAsia="zh-CN"/>
              </w:rPr>
              <w:t>一、</w:t>
            </w:r>
            <w:r>
              <w:rPr>
                <w:rFonts w:hint="eastAsia" w:ascii="宋体" w:hAnsi="宋体" w:cs="宋体"/>
                <w:color w:val="auto"/>
                <w:kern w:val="0"/>
                <w:sz w:val="22"/>
                <w:szCs w:val="22"/>
                <w:highlight w:val="none"/>
                <w:lang w:val="zh-CN"/>
              </w:rPr>
              <w:t>小微企业（监狱企业、残疾人福利性单位视同小微企业）</w:t>
            </w:r>
          </w:p>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en-US" w:eastAsia="zh-CN"/>
              </w:rPr>
              <w:t>1.</w:t>
            </w:r>
            <w:r>
              <w:rPr>
                <w:rFonts w:hint="eastAsia" w:ascii="宋体" w:hAnsi="宋体" w:cs="宋体"/>
                <w:color w:val="auto"/>
                <w:kern w:val="0"/>
                <w:sz w:val="22"/>
                <w:szCs w:val="22"/>
                <w:highlight w:val="none"/>
                <w:lang w:val="zh-CN"/>
              </w:rPr>
              <w:t>根据《政府采购促进中小企业发展管理办法》（财库〔2020〕46号）的规定执行。对小型和微型企业产品的价格给予10%的价格扣除，用扣除后的价格参与评审。</w:t>
            </w:r>
          </w:p>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2.参加政府采购活动的中小企业应当提供《中小企业声明函》原件。监狱企业应当提供《监狱企业证明》原件。残疾人福利性单位应当提供《残疾人福利性单位声明函》原件。符合中小企业划分标准的个体工商户，在政府采购活动中视同中小企业。</w:t>
            </w:r>
          </w:p>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b/>
                <w:bCs/>
                <w:color w:val="auto"/>
                <w:kern w:val="0"/>
                <w:sz w:val="22"/>
                <w:szCs w:val="22"/>
                <w:highlight w:val="none"/>
                <w:u w:val="single"/>
              </w:rPr>
            </w:pPr>
            <w:r>
              <w:rPr>
                <w:rFonts w:hint="eastAsia" w:ascii="宋体" w:hAnsi="宋体" w:cs="宋体"/>
                <w:b/>
                <w:bCs/>
                <w:color w:val="auto"/>
                <w:kern w:val="0"/>
                <w:sz w:val="22"/>
                <w:szCs w:val="22"/>
                <w:highlight w:val="none"/>
                <w:lang w:val="zh-CN"/>
              </w:rPr>
              <w:t>3.本项目采购采购标的对应的中小企业划分标准所属行业为：</w:t>
            </w:r>
            <w:r>
              <w:rPr>
                <w:rFonts w:hint="eastAsia" w:ascii="宋体" w:hAnsi="宋体" w:cs="宋体"/>
                <w:b/>
                <w:bCs/>
                <w:color w:val="auto"/>
                <w:kern w:val="0"/>
                <w:sz w:val="22"/>
                <w:szCs w:val="22"/>
                <w:highlight w:val="none"/>
              </w:rPr>
              <w:t>制造业</w:t>
            </w:r>
          </w:p>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4.残疾人福利性单位属于小型、微型企业的，不重复享受政策。</w:t>
            </w:r>
          </w:p>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二、失信企业报价</w:t>
            </w:r>
          </w:p>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1.失信企业扣分：对记入诚信档案且在有效期内的失信供应商，在参加政府采购活动中直接从总分中扣除5分/次予以惩戒，供应商失信行为惩戒实行无限制累加制，直到总分100分扣完为止。</w:t>
            </w:r>
          </w:p>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sz w:val="22"/>
                <w:szCs w:val="22"/>
                <w:highlight w:val="none"/>
              </w:rPr>
            </w:pPr>
            <w:r>
              <w:rPr>
                <w:rFonts w:hint="eastAsia" w:ascii="宋体" w:hAnsi="宋体" w:cs="宋体"/>
                <w:color w:val="auto"/>
                <w:kern w:val="0"/>
                <w:sz w:val="22"/>
                <w:szCs w:val="22"/>
                <w:highlight w:val="none"/>
                <w:lang w:val="zh-CN"/>
              </w:rPr>
              <w:t>2.供应商参加政府采购活动时，应当就自己的诚信情况在响应文件中进行承诺。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13</w:t>
            </w:r>
          </w:p>
        </w:tc>
        <w:tc>
          <w:tcPr>
            <w:tcW w:w="2244" w:type="dxa"/>
            <w:tcBorders>
              <w:top w:val="single" w:color="auto" w:sz="4" w:space="0"/>
            </w:tcBorders>
            <w:vAlign w:val="center"/>
          </w:tcPr>
          <w:p>
            <w:pPr>
              <w:pStyle w:val="62"/>
              <w:keepNext w:val="0"/>
              <w:keepLines w:val="0"/>
              <w:suppressLineNumbers w:val="0"/>
              <w:spacing w:before="0" w:beforeAutospacing="0" w:after="0" w:afterAutospacing="0" w:line="240" w:lineRule="auto"/>
              <w:ind w:left="0" w:right="0"/>
              <w:jc w:val="center"/>
              <w:rPr>
                <w:rFonts w:hint="default"/>
                <w:color w:val="auto"/>
                <w:sz w:val="22"/>
                <w:szCs w:val="22"/>
                <w:highlight w:val="none"/>
              </w:rPr>
            </w:pPr>
            <w:r>
              <w:rPr>
                <w:rFonts w:hint="eastAsia"/>
                <w:color w:val="auto"/>
                <w:sz w:val="22"/>
                <w:szCs w:val="22"/>
                <w:highlight w:val="none"/>
              </w:rPr>
              <w:t>节能产品、环境标志产品、无线局域网产品采购政策</w:t>
            </w:r>
          </w:p>
        </w:tc>
        <w:tc>
          <w:tcPr>
            <w:tcW w:w="6815" w:type="dxa"/>
            <w:tcBorders>
              <w:top w:val="single" w:color="auto" w:sz="4" w:space="0"/>
            </w:tcBorders>
          </w:tcPr>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（1）节能产品、环境标志产品</w:t>
            </w:r>
          </w:p>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根据《财政部 发展改革委 生态环境部 市场监管总局关于调整优化节能产品、环境标志产品政府采购执行机制的通知》（财库〔2019 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本项目采购的产品属于品目清单范围内强制采购的，供应商应按上述要求提供产品认证证书复印件并加盖供应商公章，否则作无效响应处理。（实质性要求）</w:t>
            </w:r>
          </w:p>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（2）无线局域网产品</w:t>
            </w:r>
          </w:p>
          <w:p>
            <w:pPr>
              <w:keepNext w:val="0"/>
              <w:keepLines w:val="0"/>
              <w:widowControl/>
              <w:suppressLineNumbers w:val="0"/>
              <w:spacing w:before="0" w:beforeAutospacing="0" w:after="0" w:afterAutospacing="0" w:line="440" w:lineRule="exact"/>
              <w:ind w:left="0" w:right="0" w:firstLine="110" w:firstLineChars="50"/>
              <w:rPr>
                <w:rFonts w:hint="default"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根据《无线局域网产品政府采购实施意见》（财库〔2005〕366 号）的规定，采购人用财政性资金采购无线局域网产品和含有无线局域网功能的计算机、通信设备、打印机、复印机、投影仪等产品的，应当优先采购符合国家无线局域网安全标准（GB15629．11/1102并通过国家产品认证的产品。其中，国家有特殊信息安全要求的项目必须采购认证产品。供应商必须提供相关证明材料（但是本采购文件的采购项目清单或采购项目质量、技术服务内容要求中另有特殊规定的情形除外）。</w:t>
            </w:r>
          </w:p>
          <w:p>
            <w:pPr>
              <w:keepNext w:val="0"/>
              <w:keepLines w:val="0"/>
              <w:widowControl/>
              <w:suppressLineNumbers w:val="0"/>
              <w:spacing w:before="0" w:beforeAutospacing="0" w:after="0" w:afterAutospacing="0" w:line="440" w:lineRule="exact"/>
              <w:ind w:left="0" w:right="0" w:firstLine="110" w:firstLineChars="50"/>
              <w:rPr>
                <w:rFonts w:hint="default"/>
                <w:color w:val="auto"/>
                <w:highlight w:val="none"/>
              </w:rPr>
            </w:pPr>
            <w:r>
              <w:rPr>
                <w:rFonts w:hint="eastAsia" w:ascii="宋体" w:hAnsi="宋体" w:cs="宋体"/>
                <w:color w:val="auto"/>
                <w:kern w:val="0"/>
                <w:sz w:val="22"/>
                <w:szCs w:val="22"/>
                <w:highlight w:val="none"/>
                <w:lang w:val="zh-CN"/>
              </w:rPr>
              <w:t>注：对于节能产品、环境标志产品政府采购品目清单中的产品及无线局域网认证产品政府采购清单的产品，同等情况下优先采购本条所指“同等情况下”特指：采用最低评标价法评定标时经评审报价相同的情况；采用综合评分法评定标时，最后汇总综合得分相同的情况，但是综合评分明细表中已经有单独的政策性评分评标因素的，不再重复享受政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14</w:t>
            </w:r>
          </w:p>
        </w:tc>
        <w:tc>
          <w:tcPr>
            <w:tcW w:w="2244" w:type="dxa"/>
            <w:vAlign w:val="center"/>
          </w:tcPr>
          <w:p>
            <w:pPr>
              <w:pStyle w:val="62"/>
              <w:keepNext w:val="0"/>
              <w:keepLines w:val="0"/>
              <w:suppressLineNumbers w:val="0"/>
              <w:spacing w:before="0" w:beforeAutospacing="0" w:after="0" w:afterAutospacing="0" w:line="360" w:lineRule="auto"/>
              <w:ind w:left="0" w:right="0"/>
              <w:jc w:val="center"/>
              <w:rPr>
                <w:rFonts w:hint="default"/>
                <w:color w:val="auto"/>
                <w:kern w:val="2"/>
                <w:sz w:val="22"/>
                <w:szCs w:val="22"/>
                <w:highlight w:val="none"/>
              </w:rPr>
            </w:pPr>
            <w:r>
              <w:rPr>
                <w:rFonts w:hint="eastAsia"/>
                <w:color w:val="auto"/>
                <w:kern w:val="2"/>
                <w:sz w:val="22"/>
                <w:szCs w:val="22"/>
                <w:highlight w:val="none"/>
              </w:rPr>
              <w:t>其他强制性规定</w:t>
            </w:r>
          </w:p>
          <w:p>
            <w:pPr>
              <w:pStyle w:val="62"/>
              <w:keepNext w:val="0"/>
              <w:keepLines w:val="0"/>
              <w:suppressLineNumbers w:val="0"/>
              <w:spacing w:before="0" w:beforeAutospacing="0" w:after="0" w:afterAutospacing="0" w:line="360" w:lineRule="auto"/>
              <w:ind w:left="0" w:right="0"/>
              <w:jc w:val="center"/>
              <w:rPr>
                <w:rFonts w:hint="default"/>
                <w:color w:val="auto"/>
                <w:kern w:val="2"/>
                <w:sz w:val="22"/>
                <w:szCs w:val="22"/>
                <w:highlight w:val="none"/>
              </w:rPr>
            </w:pPr>
            <w:r>
              <w:rPr>
                <w:rFonts w:hint="eastAsia"/>
                <w:color w:val="auto"/>
                <w:kern w:val="2"/>
                <w:sz w:val="22"/>
                <w:szCs w:val="22"/>
                <w:highlight w:val="none"/>
              </w:rPr>
              <w:t>（如涉及时作为实质性要求）</w:t>
            </w:r>
          </w:p>
        </w:tc>
        <w:tc>
          <w:tcPr>
            <w:tcW w:w="6815" w:type="dxa"/>
            <w:vAlign w:val="center"/>
          </w:tcPr>
          <w:p>
            <w:pPr>
              <w:pStyle w:val="62"/>
              <w:keepNext w:val="0"/>
              <w:keepLines w:val="0"/>
              <w:suppressLineNumbers w:val="0"/>
              <w:spacing w:before="0" w:beforeAutospacing="0" w:after="0" w:afterAutospacing="0" w:line="360" w:lineRule="auto"/>
              <w:ind w:left="0" w:right="0" w:firstLine="110" w:firstLineChars="50"/>
              <w:rPr>
                <w:rFonts w:hint="default"/>
                <w:color w:val="auto"/>
                <w:kern w:val="2"/>
                <w:sz w:val="22"/>
                <w:szCs w:val="22"/>
                <w:highlight w:val="none"/>
              </w:rPr>
            </w:pPr>
            <w:r>
              <w:rPr>
                <w:rFonts w:hint="eastAsia"/>
                <w:color w:val="auto"/>
                <w:kern w:val="2"/>
                <w:sz w:val="22"/>
                <w:szCs w:val="22"/>
                <w:highlight w:val="none"/>
              </w:rPr>
              <w:t>国家或行业主管部门对采购产品的技术标准、质量标准和资格资质条件等有强制性规定的，必须符合其要求。如涉及3C认证产品的，3C认证证书在</w:t>
            </w:r>
            <w:r>
              <w:rPr>
                <w:rFonts w:hint="eastAsia"/>
                <w:color w:val="auto"/>
                <w:kern w:val="2"/>
                <w:sz w:val="22"/>
                <w:szCs w:val="22"/>
                <w:highlight w:val="none"/>
                <w:lang w:val="en-US" w:eastAsia="zh-CN"/>
              </w:rPr>
              <w:t>响应</w:t>
            </w:r>
            <w:r>
              <w:rPr>
                <w:rFonts w:hint="eastAsia"/>
                <w:color w:val="auto"/>
                <w:kern w:val="2"/>
                <w:sz w:val="22"/>
                <w:szCs w:val="22"/>
                <w:highlight w:val="none"/>
              </w:rPr>
              <w:t>文件中可不提供（磋商文件有要求在</w:t>
            </w:r>
            <w:r>
              <w:rPr>
                <w:rFonts w:hint="eastAsia"/>
                <w:color w:val="auto"/>
                <w:kern w:val="2"/>
                <w:sz w:val="22"/>
                <w:szCs w:val="22"/>
                <w:highlight w:val="none"/>
                <w:lang w:val="en-US" w:eastAsia="zh-CN"/>
              </w:rPr>
              <w:t>磋商</w:t>
            </w:r>
            <w:r>
              <w:rPr>
                <w:rFonts w:hint="eastAsia"/>
                <w:color w:val="auto"/>
                <w:kern w:val="2"/>
                <w:sz w:val="22"/>
                <w:szCs w:val="22"/>
                <w:highlight w:val="none"/>
              </w:rPr>
              <w:t>时提供证明材料的除外），供应商</w:t>
            </w:r>
            <w:r>
              <w:rPr>
                <w:rFonts w:hint="eastAsia"/>
                <w:color w:val="auto"/>
                <w:kern w:val="2"/>
                <w:sz w:val="22"/>
                <w:szCs w:val="22"/>
                <w:highlight w:val="none"/>
                <w:lang w:val="en-US" w:eastAsia="zh-CN"/>
              </w:rPr>
              <w:t>成交</w:t>
            </w:r>
            <w:r>
              <w:rPr>
                <w:rFonts w:hint="eastAsia"/>
                <w:color w:val="auto"/>
                <w:kern w:val="2"/>
                <w:sz w:val="22"/>
                <w:szCs w:val="22"/>
                <w:highlight w:val="none"/>
              </w:rPr>
              <w:t>后应在签订采购合同时向采购人提供加盖</w:t>
            </w:r>
            <w:r>
              <w:rPr>
                <w:rFonts w:hint="eastAsia"/>
                <w:color w:val="auto"/>
                <w:kern w:val="2"/>
                <w:sz w:val="22"/>
                <w:szCs w:val="22"/>
                <w:highlight w:val="none"/>
                <w:lang w:val="en-US" w:eastAsia="zh-CN"/>
              </w:rPr>
              <w:t>供应商</w:t>
            </w:r>
            <w:r>
              <w:rPr>
                <w:rFonts w:hint="eastAsia"/>
                <w:color w:val="auto"/>
                <w:kern w:val="2"/>
                <w:sz w:val="22"/>
                <w:szCs w:val="22"/>
                <w:highlight w:val="none"/>
              </w:rPr>
              <w:t>公章的3C证书复印件。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2" w:hRule="atLeast"/>
          <w:jc w:val="center"/>
        </w:trPr>
        <w:tc>
          <w:tcPr>
            <w:tcW w:w="697" w:type="dxa"/>
            <w:vAlign w:val="center"/>
          </w:tcPr>
          <w:p>
            <w:pPr>
              <w:pStyle w:val="62"/>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sz w:val="22"/>
                <w:szCs w:val="22"/>
                <w:highlight w:val="none"/>
                <w:lang w:val="en-US" w:eastAsia="zh-CN" w:bidi="ar-SA"/>
              </w:rPr>
            </w:pPr>
            <w:r>
              <w:rPr>
                <w:rFonts w:hint="eastAsia"/>
                <w:color w:val="auto"/>
                <w:sz w:val="22"/>
                <w:szCs w:val="22"/>
                <w:highlight w:val="none"/>
              </w:rPr>
              <w:t>15</w:t>
            </w:r>
          </w:p>
        </w:tc>
        <w:tc>
          <w:tcPr>
            <w:tcW w:w="2244" w:type="dxa"/>
            <w:vAlign w:val="center"/>
          </w:tcPr>
          <w:p>
            <w:pPr>
              <w:pStyle w:val="62"/>
              <w:keepNext w:val="0"/>
              <w:keepLines w:val="0"/>
              <w:suppressLineNumbers w:val="0"/>
              <w:spacing w:before="0" w:beforeAutospacing="0" w:after="0" w:afterAutospacing="0" w:line="360" w:lineRule="auto"/>
              <w:ind w:left="0" w:right="0"/>
              <w:jc w:val="center"/>
              <w:rPr>
                <w:rFonts w:hint="default"/>
                <w:color w:val="auto"/>
                <w:kern w:val="2"/>
                <w:sz w:val="22"/>
                <w:szCs w:val="22"/>
                <w:highlight w:val="none"/>
              </w:rPr>
            </w:pPr>
            <w:r>
              <w:rPr>
                <w:rFonts w:hint="eastAsia"/>
                <w:color w:val="auto"/>
                <w:kern w:val="2"/>
                <w:sz w:val="22"/>
                <w:szCs w:val="22"/>
                <w:highlight w:val="none"/>
              </w:rPr>
              <w:t>评审情况公告</w:t>
            </w:r>
          </w:p>
        </w:tc>
        <w:tc>
          <w:tcPr>
            <w:tcW w:w="6815" w:type="dxa"/>
            <w:vAlign w:val="center"/>
          </w:tcPr>
          <w:p>
            <w:pPr>
              <w:pStyle w:val="62"/>
              <w:keepNext w:val="0"/>
              <w:keepLines w:val="0"/>
              <w:suppressLineNumbers w:val="0"/>
              <w:spacing w:before="0" w:beforeAutospacing="0" w:after="0" w:afterAutospacing="0" w:line="440" w:lineRule="exact"/>
              <w:ind w:left="0" w:right="0" w:firstLine="110" w:firstLineChars="50"/>
              <w:jc w:val="both"/>
              <w:rPr>
                <w:rFonts w:hint="default"/>
                <w:color w:val="auto"/>
                <w:kern w:val="2"/>
                <w:sz w:val="22"/>
                <w:szCs w:val="22"/>
                <w:highlight w:val="none"/>
              </w:rPr>
            </w:pPr>
            <w:r>
              <w:rPr>
                <w:rFonts w:hint="eastAsia"/>
                <w:color w:val="auto"/>
                <w:kern w:val="2"/>
                <w:sz w:val="22"/>
                <w:szCs w:val="22"/>
                <w:highlight w:val="none"/>
              </w:rPr>
              <w:t>所有供应商响应文件资格性、符合性检查情况、采用综合评分法时的总得分和分项汇总得分情况、评审结果等将在四川政府采购网上采购结果公告栏中予以公告。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pStyle w:val="62"/>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sz w:val="22"/>
                <w:szCs w:val="22"/>
                <w:highlight w:val="none"/>
                <w:lang w:val="en-US" w:eastAsia="zh-CN" w:bidi="ar-SA"/>
              </w:rPr>
            </w:pPr>
            <w:r>
              <w:rPr>
                <w:rFonts w:hint="eastAsia"/>
                <w:color w:val="auto"/>
                <w:sz w:val="22"/>
                <w:szCs w:val="22"/>
                <w:highlight w:val="none"/>
              </w:rPr>
              <w:t>16</w:t>
            </w:r>
          </w:p>
        </w:tc>
        <w:tc>
          <w:tcPr>
            <w:tcW w:w="2244" w:type="dxa"/>
            <w:vAlign w:val="center"/>
          </w:tcPr>
          <w:p>
            <w:pPr>
              <w:pStyle w:val="62"/>
              <w:keepNext w:val="0"/>
              <w:keepLines w:val="0"/>
              <w:suppressLineNumbers w:val="0"/>
              <w:spacing w:before="0" w:beforeAutospacing="0" w:after="0" w:afterAutospacing="0" w:line="360" w:lineRule="auto"/>
              <w:ind w:left="0" w:right="0"/>
              <w:jc w:val="center"/>
              <w:rPr>
                <w:rFonts w:hint="default"/>
                <w:color w:val="auto"/>
                <w:kern w:val="2"/>
                <w:sz w:val="22"/>
                <w:szCs w:val="22"/>
                <w:highlight w:val="none"/>
              </w:rPr>
            </w:pPr>
            <w:r>
              <w:rPr>
                <w:rFonts w:hint="eastAsia"/>
                <w:color w:val="auto"/>
                <w:kern w:val="2"/>
                <w:sz w:val="22"/>
                <w:szCs w:val="22"/>
                <w:highlight w:val="none"/>
              </w:rPr>
              <w:t>成交通知书领取</w:t>
            </w:r>
          </w:p>
        </w:tc>
        <w:tc>
          <w:tcPr>
            <w:tcW w:w="6815" w:type="dxa"/>
            <w:vAlign w:val="center"/>
          </w:tcPr>
          <w:p>
            <w:pPr>
              <w:pStyle w:val="76"/>
              <w:keepNext w:val="0"/>
              <w:keepLines w:val="0"/>
              <w:suppressLineNumbers w:val="0"/>
              <w:wordWrap/>
              <w:spacing w:before="0" w:beforeAutospacing="0" w:afterAutospacing="0" w:line="440" w:lineRule="exact"/>
              <w:ind w:left="0" w:leftChars="0" w:right="0" w:firstLine="110" w:firstLineChars="50"/>
              <w:rPr>
                <w:rFonts w:hint="default" w:cs="宋体"/>
                <w:color w:val="auto"/>
                <w:sz w:val="22"/>
                <w:szCs w:val="22"/>
                <w:highlight w:val="none"/>
                <w:lang w:val="zh-CN"/>
              </w:rPr>
            </w:pPr>
            <w:r>
              <w:rPr>
                <w:rFonts w:hint="eastAsia" w:cs="宋体"/>
                <w:color w:val="auto"/>
                <w:sz w:val="22"/>
                <w:szCs w:val="22"/>
                <w:highlight w:val="none"/>
                <w:lang w:val="zh-CN"/>
              </w:rPr>
              <w:t>采购代理机构在成交人确定后2个工作日内，在“四川政府采购网”发布成交公告，同时向成交人发出成交通知书。</w:t>
            </w:r>
          </w:p>
          <w:p>
            <w:pPr>
              <w:pStyle w:val="76"/>
              <w:keepNext w:val="0"/>
              <w:keepLines w:val="0"/>
              <w:suppressLineNumbers w:val="0"/>
              <w:wordWrap/>
              <w:spacing w:before="0" w:beforeAutospacing="0" w:afterAutospacing="0" w:line="440" w:lineRule="exact"/>
              <w:ind w:left="0" w:leftChars="0" w:right="0" w:firstLine="110" w:firstLineChars="50"/>
              <w:rPr>
                <w:rFonts w:hint="default" w:cs="宋体"/>
                <w:color w:val="auto"/>
                <w:sz w:val="22"/>
                <w:szCs w:val="22"/>
                <w:highlight w:val="none"/>
                <w:lang w:val="zh-CN"/>
              </w:rPr>
            </w:pPr>
            <w:r>
              <w:rPr>
                <w:rFonts w:hint="eastAsia" w:cs="宋体"/>
                <w:color w:val="auto"/>
                <w:sz w:val="22"/>
                <w:szCs w:val="22"/>
                <w:highlight w:val="none"/>
                <w:lang w:val="zh-CN"/>
              </w:rPr>
              <w:t>请成交人凭有效身份证明证件到采购代理机构领取成交通知书，逾期</w:t>
            </w:r>
            <w:r>
              <w:rPr>
                <w:rFonts w:hint="eastAsia" w:cs="宋体"/>
                <w:color w:val="auto"/>
                <w:sz w:val="22"/>
                <w:szCs w:val="22"/>
                <w:highlight w:val="none"/>
              </w:rPr>
              <w:t>不领取，</w:t>
            </w:r>
            <w:r>
              <w:rPr>
                <w:rFonts w:hint="eastAsia" w:cs="宋体"/>
                <w:color w:val="auto"/>
                <w:sz w:val="22"/>
                <w:szCs w:val="22"/>
                <w:highlight w:val="none"/>
                <w:lang w:val="zh-CN"/>
              </w:rPr>
              <w:t>采购代理机构将成交通知书快递至成交人，成交人自行承担相关不利后果。</w:t>
            </w:r>
          </w:p>
          <w:p>
            <w:pPr>
              <w:pStyle w:val="76"/>
              <w:keepNext w:val="0"/>
              <w:keepLines w:val="0"/>
              <w:suppressLineNumbers w:val="0"/>
              <w:wordWrap/>
              <w:spacing w:before="0" w:beforeAutospacing="0" w:afterAutospacing="0" w:line="440" w:lineRule="exact"/>
              <w:ind w:left="0" w:leftChars="0" w:right="0" w:firstLine="110" w:firstLineChars="50"/>
              <w:rPr>
                <w:rFonts w:hint="default" w:cs="宋体"/>
                <w:color w:val="auto"/>
                <w:sz w:val="22"/>
                <w:szCs w:val="22"/>
                <w:highlight w:val="none"/>
              </w:rPr>
            </w:pPr>
            <w:r>
              <w:rPr>
                <w:rFonts w:hint="eastAsia" w:cs="宋体"/>
                <w:color w:val="auto"/>
                <w:sz w:val="22"/>
                <w:szCs w:val="22"/>
                <w:highlight w:val="none"/>
                <w:lang w:val="zh-CN"/>
              </w:rPr>
              <w:t>联系人：江女士</w:t>
            </w:r>
          </w:p>
          <w:p>
            <w:pPr>
              <w:pStyle w:val="76"/>
              <w:keepNext w:val="0"/>
              <w:keepLines w:val="0"/>
              <w:suppressLineNumbers w:val="0"/>
              <w:wordWrap/>
              <w:spacing w:before="0" w:beforeAutospacing="0" w:afterAutospacing="0" w:line="440" w:lineRule="exact"/>
              <w:ind w:left="0" w:leftChars="0" w:right="0" w:firstLine="110" w:firstLineChars="50"/>
              <w:rPr>
                <w:rFonts w:hint="default" w:cs="宋体"/>
                <w:color w:val="auto"/>
                <w:sz w:val="22"/>
                <w:szCs w:val="22"/>
                <w:highlight w:val="none"/>
                <w:lang w:val="zh-CN"/>
              </w:rPr>
            </w:pPr>
            <w:r>
              <w:rPr>
                <w:rFonts w:hint="eastAsia" w:cs="宋体"/>
                <w:color w:val="auto"/>
                <w:sz w:val="22"/>
                <w:szCs w:val="22"/>
                <w:highlight w:val="none"/>
                <w:lang w:val="zh-CN"/>
              </w:rPr>
              <w:t>联系电话：</w:t>
            </w:r>
            <w:r>
              <w:rPr>
                <w:rFonts w:hint="eastAsia" w:cs="宋体"/>
                <w:color w:val="auto"/>
                <w:sz w:val="22"/>
                <w:szCs w:val="22"/>
                <w:highlight w:val="none"/>
              </w:rPr>
              <w:t>028-81752878</w:t>
            </w:r>
          </w:p>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kern w:val="0"/>
                <w:sz w:val="22"/>
                <w:szCs w:val="22"/>
                <w:highlight w:val="none"/>
              </w:rPr>
            </w:pPr>
            <w:r>
              <w:rPr>
                <w:rFonts w:hint="eastAsia" w:ascii="宋体" w:hAnsi="宋体" w:cs="宋体"/>
                <w:color w:val="auto"/>
                <w:sz w:val="22"/>
                <w:szCs w:val="22"/>
                <w:highlight w:val="none"/>
                <w:lang w:val="zh-CN"/>
              </w:rPr>
              <w:t>地址：成都市金牛区蜀西路9号丰德羊西中心13楼01号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pStyle w:val="62"/>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sz w:val="22"/>
                <w:szCs w:val="22"/>
                <w:highlight w:val="none"/>
                <w:lang w:val="en-US" w:eastAsia="zh-CN" w:bidi="ar-SA"/>
              </w:rPr>
            </w:pPr>
            <w:r>
              <w:rPr>
                <w:rFonts w:hint="eastAsia"/>
                <w:color w:val="auto"/>
                <w:sz w:val="22"/>
                <w:szCs w:val="22"/>
                <w:highlight w:val="none"/>
              </w:rPr>
              <w:t>17</w:t>
            </w:r>
          </w:p>
        </w:tc>
        <w:tc>
          <w:tcPr>
            <w:tcW w:w="224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kern w:val="0"/>
                <w:sz w:val="22"/>
                <w:szCs w:val="22"/>
                <w:highlight w:val="none"/>
              </w:rPr>
            </w:pPr>
            <w:r>
              <w:rPr>
                <w:rFonts w:hint="eastAsia" w:ascii="宋体" w:hAnsi="宋体" w:cs="宋体"/>
                <w:color w:val="auto"/>
                <w:sz w:val="22"/>
                <w:szCs w:val="22"/>
                <w:highlight w:val="none"/>
                <w:lang w:val="zh-CN"/>
              </w:rPr>
              <w:t>招标代理服务费</w:t>
            </w:r>
          </w:p>
        </w:tc>
        <w:tc>
          <w:tcPr>
            <w:tcW w:w="6815" w:type="dxa"/>
            <w:vAlign w:val="center"/>
          </w:tcPr>
          <w:p>
            <w:pPr>
              <w:pStyle w:val="62"/>
              <w:keepNext w:val="0"/>
              <w:keepLines w:val="0"/>
              <w:suppressLineNumbers w:val="0"/>
              <w:spacing w:before="0" w:beforeAutospacing="0" w:after="0" w:afterAutospacing="0" w:line="440" w:lineRule="exact"/>
              <w:ind w:left="0" w:right="0" w:firstLine="110" w:firstLineChars="50"/>
              <w:rPr>
                <w:rFonts w:hint="default"/>
                <w:color w:val="auto"/>
                <w:sz w:val="22"/>
                <w:szCs w:val="22"/>
                <w:highlight w:val="none"/>
                <w:lang w:val="zh-CN"/>
              </w:rPr>
            </w:pPr>
            <w:r>
              <w:rPr>
                <w:rFonts w:hint="eastAsia"/>
                <w:b/>
                <w:color w:val="auto"/>
                <w:sz w:val="22"/>
                <w:szCs w:val="22"/>
                <w:highlight w:val="none"/>
              </w:rPr>
              <w:t>1.</w:t>
            </w:r>
            <w:r>
              <w:rPr>
                <w:rFonts w:hint="eastAsia"/>
                <w:b/>
                <w:color w:val="auto"/>
                <w:sz w:val="22"/>
                <w:szCs w:val="22"/>
                <w:highlight w:val="none"/>
                <w:lang w:val="zh-CN"/>
              </w:rPr>
              <w:t>收取标准：</w:t>
            </w:r>
            <w:r>
              <w:rPr>
                <w:rFonts w:hint="eastAsia"/>
                <w:color w:val="auto"/>
                <w:sz w:val="22"/>
                <w:szCs w:val="22"/>
                <w:highlight w:val="none"/>
                <w:lang w:val="zh-CN"/>
              </w:rPr>
              <w:t>按照《四川省政府采购营商环境指标提升专项行动工作方案》的通知(川财采[2020]74号)规定，</w:t>
            </w:r>
            <w:r>
              <w:rPr>
                <w:rFonts w:hint="eastAsia"/>
                <w:color w:val="auto"/>
                <w:sz w:val="22"/>
                <w:szCs w:val="22"/>
                <w:highlight w:val="none"/>
              </w:rPr>
              <w:t>代理采购项目的成本支出加合理利润的原则</w:t>
            </w:r>
            <w:r>
              <w:rPr>
                <w:rFonts w:hint="eastAsia"/>
                <w:color w:val="auto"/>
                <w:sz w:val="22"/>
                <w:szCs w:val="22"/>
                <w:highlight w:val="none"/>
                <w:lang w:val="zh-CN"/>
              </w:rPr>
              <w:t>收取（即：</w:t>
            </w:r>
            <w:r>
              <w:rPr>
                <w:rFonts w:hint="default"/>
                <w:color w:val="auto"/>
                <w:sz w:val="22"/>
                <w:szCs w:val="22"/>
                <w:highlight w:val="none"/>
              </w:rPr>
              <w:t>12750</w:t>
            </w:r>
            <w:r>
              <w:rPr>
                <w:rFonts w:hint="eastAsia"/>
                <w:color w:val="auto"/>
                <w:sz w:val="22"/>
                <w:szCs w:val="22"/>
                <w:highlight w:val="none"/>
                <w:lang w:val="zh-CN"/>
              </w:rPr>
              <w:t>元）。</w:t>
            </w:r>
          </w:p>
          <w:p>
            <w:pPr>
              <w:pStyle w:val="62"/>
              <w:keepNext w:val="0"/>
              <w:keepLines w:val="0"/>
              <w:suppressLineNumbers w:val="0"/>
              <w:spacing w:before="0" w:beforeAutospacing="0" w:after="0" w:afterAutospacing="0" w:line="440" w:lineRule="exact"/>
              <w:ind w:left="0" w:right="0" w:firstLine="110" w:firstLineChars="50"/>
              <w:rPr>
                <w:rFonts w:hint="default"/>
                <w:color w:val="auto"/>
                <w:sz w:val="22"/>
                <w:szCs w:val="22"/>
                <w:highlight w:val="none"/>
              </w:rPr>
            </w:pPr>
            <w:r>
              <w:rPr>
                <w:rFonts w:hint="eastAsia"/>
                <w:b/>
                <w:color w:val="auto"/>
                <w:sz w:val="22"/>
                <w:szCs w:val="22"/>
                <w:highlight w:val="none"/>
                <w:lang w:val="zh-CN"/>
              </w:rPr>
              <w:t>2.收取方式：</w:t>
            </w:r>
            <w:r>
              <w:rPr>
                <w:rFonts w:hint="eastAsia"/>
                <w:bCs/>
                <w:color w:val="auto"/>
                <w:sz w:val="22"/>
                <w:szCs w:val="22"/>
                <w:highlight w:val="none"/>
              </w:rPr>
              <w:t>成交供应商</w:t>
            </w:r>
            <w:r>
              <w:rPr>
                <w:rFonts w:hint="eastAsia"/>
                <w:bCs/>
                <w:color w:val="auto"/>
                <w:sz w:val="22"/>
                <w:szCs w:val="22"/>
                <w:highlight w:val="none"/>
                <w:lang w:val="zh-CN"/>
              </w:rPr>
              <w:t>支付。</w:t>
            </w:r>
          </w:p>
          <w:p>
            <w:pPr>
              <w:pStyle w:val="62"/>
              <w:keepNext w:val="0"/>
              <w:keepLines w:val="0"/>
              <w:suppressLineNumbers w:val="0"/>
              <w:spacing w:before="0" w:beforeAutospacing="0" w:after="0" w:afterAutospacing="0" w:line="440" w:lineRule="exact"/>
              <w:ind w:left="0" w:right="0" w:firstLine="110" w:firstLineChars="50"/>
              <w:rPr>
                <w:rFonts w:hint="default"/>
                <w:b/>
                <w:color w:val="auto"/>
                <w:sz w:val="22"/>
                <w:szCs w:val="22"/>
                <w:highlight w:val="none"/>
                <w:lang w:val="zh-CN"/>
              </w:rPr>
            </w:pPr>
            <w:r>
              <w:rPr>
                <w:rFonts w:hint="eastAsia"/>
                <w:b/>
                <w:color w:val="auto"/>
                <w:sz w:val="22"/>
                <w:szCs w:val="22"/>
                <w:highlight w:val="none"/>
                <w:lang w:val="zh-CN"/>
              </w:rPr>
              <w:t>3.采购代理机构代理费收款信息：</w:t>
            </w:r>
          </w:p>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收款单位：四川天启建设项目管理有限公司</w:t>
            </w:r>
          </w:p>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开 户 行：中国银行股份有限公司成都实业街支行</w:t>
            </w:r>
          </w:p>
          <w:p>
            <w:pPr>
              <w:keepNext w:val="0"/>
              <w:keepLines w:val="0"/>
              <w:suppressLineNumbers w:val="0"/>
              <w:spacing w:before="0" w:beforeAutospacing="0" w:after="0" w:afterAutospacing="0" w:line="440" w:lineRule="exact"/>
              <w:ind w:left="0" w:right="0" w:firstLine="110" w:firstLineChars="50"/>
              <w:rPr>
                <w:rFonts w:hint="default" w:ascii="宋体" w:hAnsi="宋体" w:cs="宋体"/>
                <w:color w:val="auto"/>
                <w:sz w:val="22"/>
                <w:szCs w:val="22"/>
                <w:highlight w:val="none"/>
              </w:rPr>
            </w:pPr>
            <w:r>
              <w:rPr>
                <w:rFonts w:hint="eastAsia" w:ascii="宋体" w:hAnsi="宋体" w:cs="宋体"/>
                <w:color w:val="auto"/>
                <w:kern w:val="0"/>
                <w:sz w:val="22"/>
                <w:szCs w:val="22"/>
                <w:highlight w:val="none"/>
                <w:lang w:val="zh-CN"/>
              </w:rPr>
              <w:t>银行账号：128 0213 04930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8" w:hRule="atLeast"/>
          <w:jc w:val="center"/>
        </w:trPr>
        <w:tc>
          <w:tcPr>
            <w:tcW w:w="697" w:type="dxa"/>
            <w:vAlign w:val="center"/>
          </w:tcPr>
          <w:p>
            <w:pPr>
              <w:pStyle w:val="62"/>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color w:val="auto"/>
                <w:kern w:val="2"/>
                <w:sz w:val="22"/>
                <w:szCs w:val="22"/>
                <w:highlight w:val="none"/>
              </w:rPr>
              <w:t>18</w:t>
            </w:r>
          </w:p>
        </w:tc>
        <w:tc>
          <w:tcPr>
            <w:tcW w:w="224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2"/>
                <w:szCs w:val="22"/>
                <w:highlight w:val="none"/>
              </w:rPr>
            </w:pPr>
            <w:r>
              <w:rPr>
                <w:rFonts w:hint="eastAsia" w:ascii="宋体" w:hAnsi="宋体" w:cs="宋体"/>
                <w:color w:val="auto"/>
                <w:sz w:val="22"/>
                <w:szCs w:val="22"/>
                <w:highlight w:val="none"/>
                <w:lang w:val="zh-CN"/>
              </w:rPr>
              <w:t>履约保证金</w:t>
            </w:r>
          </w:p>
        </w:tc>
        <w:tc>
          <w:tcPr>
            <w:tcW w:w="6815" w:type="dxa"/>
            <w:vAlign w:val="center"/>
          </w:tcPr>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rPr>
            </w:pPr>
            <w:r>
              <w:rPr>
                <w:rFonts w:hint="eastAsia" w:ascii="宋体" w:hAnsi="宋体" w:cs="宋体"/>
                <w:color w:val="auto"/>
                <w:sz w:val="22"/>
                <w:szCs w:val="22"/>
                <w:highlight w:val="none"/>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97" w:type="dxa"/>
            <w:vAlign w:val="center"/>
          </w:tcPr>
          <w:p>
            <w:pPr>
              <w:pStyle w:val="62"/>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color w:val="auto"/>
                <w:kern w:val="2"/>
                <w:sz w:val="22"/>
                <w:szCs w:val="22"/>
                <w:highlight w:val="none"/>
              </w:rPr>
              <w:t>19</w:t>
            </w:r>
          </w:p>
        </w:tc>
        <w:tc>
          <w:tcPr>
            <w:tcW w:w="224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2"/>
                <w:szCs w:val="22"/>
                <w:highlight w:val="none"/>
                <w:lang w:val="zh-CN"/>
              </w:rPr>
            </w:pPr>
            <w:r>
              <w:rPr>
                <w:rFonts w:hint="eastAsia" w:ascii="宋体" w:hAnsi="宋体" w:cs="宋体"/>
                <w:color w:val="auto"/>
                <w:sz w:val="22"/>
                <w:szCs w:val="22"/>
                <w:highlight w:val="none"/>
                <w:lang w:val="zh-CN"/>
              </w:rPr>
              <w:t>政府采购供应商信用融资</w:t>
            </w:r>
          </w:p>
        </w:tc>
        <w:tc>
          <w:tcPr>
            <w:tcW w:w="6815" w:type="dxa"/>
            <w:vAlign w:val="center"/>
          </w:tcPr>
          <w:p>
            <w:pPr>
              <w:pStyle w:val="13"/>
              <w:keepNext w:val="0"/>
              <w:keepLines w:val="0"/>
              <w:suppressLineNumbers w:val="0"/>
              <w:spacing w:before="0" w:beforeAutospacing="0" w:after="0" w:afterAutospacing="0" w:line="440" w:lineRule="exact"/>
              <w:ind w:left="0" w:right="0" w:firstLine="110" w:firstLineChars="50"/>
              <w:rPr>
                <w:rFonts w:hint="default" w:ascii="宋体" w:hAnsi="宋体" w:cs="宋体"/>
                <w:color w:val="auto"/>
                <w:sz w:val="22"/>
                <w:szCs w:val="22"/>
                <w:highlight w:val="none"/>
              </w:rPr>
            </w:pPr>
            <w:r>
              <w:rPr>
                <w:rFonts w:hint="eastAsia" w:ascii="宋体" w:hAnsi="宋体" w:cs="宋体"/>
                <w:color w:val="auto"/>
                <w:kern w:val="0"/>
                <w:sz w:val="22"/>
                <w:szCs w:val="22"/>
                <w:highlight w:val="none"/>
                <w:lang w:val="zh-CN"/>
              </w:rPr>
              <w:t>四川省正在推进政府采购供应商信用融资工作，相关要求详见《四川省财政厅关于推进四川省政府采购供应商信用融资工作的通知》（川财采〔2018〕123 号）、《成都市中小企业政府采购信用融资暂行办法》（成财采〔2019〕17 号）等有关规定，上述文件请在四川政府采购网查询。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24" w:hRule="atLeast"/>
          <w:jc w:val="center"/>
        </w:trPr>
        <w:tc>
          <w:tcPr>
            <w:tcW w:w="697" w:type="dxa"/>
            <w:vAlign w:val="center"/>
          </w:tcPr>
          <w:p>
            <w:pPr>
              <w:pStyle w:val="62"/>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color w:val="auto"/>
                <w:kern w:val="2"/>
                <w:sz w:val="22"/>
                <w:szCs w:val="22"/>
                <w:highlight w:val="none"/>
              </w:rPr>
              <w:t>20</w:t>
            </w:r>
          </w:p>
        </w:tc>
        <w:tc>
          <w:tcPr>
            <w:tcW w:w="2244" w:type="dxa"/>
            <w:vAlign w:val="center"/>
          </w:tcPr>
          <w:p>
            <w:pPr>
              <w:keepNext w:val="0"/>
              <w:keepLines w:val="0"/>
              <w:suppressLineNumbers w:val="0"/>
              <w:spacing w:before="0" w:beforeAutospacing="0" w:after="0" w:afterAutospacing="0" w:line="360" w:lineRule="auto"/>
              <w:ind w:left="0" w:right="0" w:firstLine="110" w:firstLineChars="50"/>
              <w:jc w:val="center"/>
              <w:rPr>
                <w:rFonts w:hint="default" w:ascii="宋体" w:hAnsi="宋体" w:cs="宋体"/>
                <w:color w:val="auto"/>
                <w:sz w:val="22"/>
                <w:szCs w:val="22"/>
                <w:highlight w:val="none"/>
              </w:rPr>
            </w:pPr>
            <w:r>
              <w:rPr>
                <w:rFonts w:hint="eastAsia" w:ascii="宋体" w:hAnsi="宋体" w:cs="宋体"/>
                <w:color w:val="auto"/>
                <w:sz w:val="22"/>
                <w:szCs w:val="22"/>
                <w:highlight w:val="none"/>
              </w:rPr>
              <w:t>政府采购合同</w:t>
            </w:r>
          </w:p>
          <w:p>
            <w:pPr>
              <w:keepNext w:val="0"/>
              <w:keepLines w:val="0"/>
              <w:suppressLineNumbers w:val="0"/>
              <w:spacing w:before="0" w:beforeAutospacing="0" w:after="0" w:afterAutospacing="0" w:line="360" w:lineRule="auto"/>
              <w:ind w:left="0" w:right="0"/>
              <w:jc w:val="center"/>
              <w:rPr>
                <w:rFonts w:hint="default" w:ascii="宋体" w:hAnsi="宋体" w:cs="宋体"/>
                <w:color w:val="auto"/>
                <w:sz w:val="22"/>
                <w:szCs w:val="22"/>
                <w:highlight w:val="none"/>
                <w:lang w:val="zh-CN"/>
              </w:rPr>
            </w:pPr>
            <w:r>
              <w:rPr>
                <w:rFonts w:hint="eastAsia" w:ascii="宋体" w:hAnsi="宋体" w:cs="宋体"/>
                <w:color w:val="auto"/>
                <w:sz w:val="22"/>
                <w:szCs w:val="22"/>
                <w:highlight w:val="none"/>
              </w:rPr>
              <w:t>公告备案</w:t>
            </w:r>
          </w:p>
        </w:tc>
        <w:tc>
          <w:tcPr>
            <w:tcW w:w="6815" w:type="dxa"/>
            <w:vAlign w:val="center"/>
          </w:tcPr>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rPr>
            </w:pPr>
            <w:r>
              <w:rPr>
                <w:rFonts w:hint="eastAsia" w:ascii="宋体" w:hAnsi="宋体" w:cs="宋体"/>
                <w:color w:val="auto"/>
                <w:sz w:val="22"/>
                <w:szCs w:val="22"/>
                <w:highlight w:val="none"/>
              </w:rPr>
              <w:t>政府采购合同签订之日起2个工作日内，采购人应将政府采购合同在“四川政府采购网”公告；政府采购合同签订之日起七个工作日内，政府采购合同将向本采购项目同级财政部门备案</w:t>
            </w:r>
            <w:r>
              <w:rPr>
                <w:rFonts w:hint="eastAsia" w:ascii="宋体" w:hAnsi="宋体" w:cs="宋体"/>
                <w:color w:val="auto"/>
                <w:sz w:val="22"/>
                <w:szCs w:val="22"/>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697" w:type="dxa"/>
            <w:vAlign w:val="center"/>
          </w:tcPr>
          <w:p>
            <w:pPr>
              <w:pStyle w:val="62"/>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color w:val="auto"/>
                <w:kern w:val="2"/>
                <w:sz w:val="22"/>
                <w:szCs w:val="22"/>
                <w:highlight w:val="none"/>
              </w:rPr>
              <w:t>21</w:t>
            </w:r>
          </w:p>
        </w:tc>
        <w:tc>
          <w:tcPr>
            <w:tcW w:w="224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2"/>
                <w:szCs w:val="22"/>
                <w:highlight w:val="none"/>
                <w:lang w:val="zh-CN"/>
              </w:rPr>
            </w:pPr>
            <w:r>
              <w:rPr>
                <w:rFonts w:hint="eastAsia" w:ascii="宋体" w:hAnsi="宋体" w:cs="宋体"/>
                <w:color w:val="auto"/>
                <w:sz w:val="22"/>
                <w:szCs w:val="22"/>
                <w:highlight w:val="none"/>
                <w:lang w:val="zh-CN"/>
              </w:rPr>
              <w:t>供应商询问</w:t>
            </w:r>
          </w:p>
        </w:tc>
        <w:tc>
          <w:tcPr>
            <w:tcW w:w="6815" w:type="dxa"/>
            <w:vAlign w:val="center"/>
          </w:tcPr>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lang w:val="zh-CN"/>
              </w:rPr>
            </w:pPr>
            <w:r>
              <w:rPr>
                <w:rFonts w:hint="eastAsia" w:ascii="宋体" w:hAnsi="宋体" w:cs="宋体"/>
                <w:color w:val="auto"/>
                <w:sz w:val="22"/>
                <w:szCs w:val="22"/>
                <w:highlight w:val="none"/>
                <w:lang w:val="zh-CN"/>
              </w:rPr>
              <w:t>根据委托代理协议约定（采购人负责采购文件技术部分的询问，采购代理机构负责采购文件技术部分以外的询问）。</w:t>
            </w:r>
          </w:p>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lang w:val="zh-CN"/>
              </w:rPr>
            </w:pPr>
            <w:r>
              <w:rPr>
                <w:rFonts w:hint="eastAsia" w:ascii="宋体" w:hAnsi="宋体" w:cs="宋体"/>
                <w:color w:val="auto"/>
                <w:sz w:val="22"/>
                <w:szCs w:val="22"/>
                <w:highlight w:val="none"/>
                <w:lang w:val="zh-CN"/>
              </w:rPr>
              <w:t>采购人：成都东部新区党工委管委会（成都市东部新城办）应急安全管理局</w:t>
            </w:r>
          </w:p>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lang w:val="zh-CN"/>
              </w:rPr>
            </w:pPr>
            <w:r>
              <w:rPr>
                <w:rFonts w:hint="eastAsia" w:ascii="宋体" w:hAnsi="宋体" w:cs="宋体"/>
                <w:color w:val="auto"/>
                <w:sz w:val="22"/>
                <w:szCs w:val="22"/>
                <w:highlight w:val="none"/>
                <w:lang w:val="zh-CN"/>
              </w:rPr>
              <w:t>地  址：成都东部新区三岔街道板桥村2组166号</w:t>
            </w:r>
          </w:p>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lang w:val="zh-CN"/>
              </w:rPr>
            </w:pPr>
            <w:r>
              <w:rPr>
                <w:rFonts w:hint="eastAsia" w:ascii="宋体" w:hAnsi="宋体" w:cs="宋体"/>
                <w:color w:val="auto"/>
                <w:sz w:val="22"/>
                <w:szCs w:val="22"/>
                <w:highlight w:val="none"/>
                <w:lang w:val="zh-CN"/>
              </w:rPr>
              <w:t>联系人：</w:t>
            </w:r>
            <w:r>
              <w:rPr>
                <w:rFonts w:hint="eastAsia" w:ascii="宋体" w:hAnsi="宋体" w:cs="宋体"/>
                <w:color w:val="auto"/>
                <w:sz w:val="22"/>
                <w:szCs w:val="22"/>
                <w:highlight w:val="none"/>
                <w:lang w:val="en-US" w:eastAsia="zh-CN"/>
              </w:rPr>
              <w:t>石</w:t>
            </w:r>
            <w:r>
              <w:rPr>
                <w:rFonts w:hint="eastAsia" w:ascii="宋体" w:hAnsi="宋体" w:cs="宋体"/>
                <w:color w:val="auto"/>
                <w:sz w:val="22"/>
                <w:szCs w:val="22"/>
                <w:highlight w:val="none"/>
                <w:lang w:val="zh-CN"/>
              </w:rPr>
              <w:t>老师</w:t>
            </w:r>
          </w:p>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lang w:val="zh-CN"/>
              </w:rPr>
            </w:pPr>
            <w:r>
              <w:rPr>
                <w:rFonts w:hint="eastAsia" w:ascii="宋体" w:hAnsi="宋体" w:cs="宋体"/>
                <w:color w:val="auto"/>
                <w:sz w:val="22"/>
                <w:szCs w:val="22"/>
                <w:highlight w:val="none"/>
                <w:lang w:val="zh-CN"/>
              </w:rPr>
              <w:t>联系电话：13036675517</w:t>
            </w:r>
          </w:p>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lang w:val="zh-CN"/>
              </w:rPr>
            </w:pPr>
            <w:r>
              <w:rPr>
                <w:rFonts w:hint="eastAsia" w:ascii="宋体" w:hAnsi="宋体" w:cs="宋体"/>
                <w:color w:val="auto"/>
                <w:sz w:val="22"/>
                <w:szCs w:val="22"/>
                <w:highlight w:val="none"/>
              </w:rPr>
              <w:t>采购代理机构：</w:t>
            </w:r>
            <w:r>
              <w:rPr>
                <w:rFonts w:hint="eastAsia" w:ascii="宋体" w:hAnsi="宋体" w:cs="宋体"/>
                <w:color w:val="auto"/>
                <w:sz w:val="22"/>
                <w:szCs w:val="22"/>
                <w:highlight w:val="none"/>
                <w:lang w:val="zh-CN"/>
              </w:rPr>
              <w:t>四川天启建设项目管理有限公司</w:t>
            </w:r>
          </w:p>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lang w:val="zh-CN"/>
              </w:rPr>
            </w:pPr>
            <w:r>
              <w:rPr>
                <w:rFonts w:hint="eastAsia" w:ascii="宋体" w:hAnsi="宋体" w:cs="宋体"/>
                <w:color w:val="auto"/>
                <w:sz w:val="22"/>
                <w:szCs w:val="22"/>
                <w:highlight w:val="none"/>
                <w:lang w:val="zh-CN"/>
              </w:rPr>
              <w:t>联系人：江女士</w:t>
            </w:r>
          </w:p>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lang w:val="zh-CN"/>
              </w:rPr>
            </w:pPr>
            <w:r>
              <w:rPr>
                <w:rFonts w:hint="eastAsia" w:ascii="宋体" w:hAnsi="宋体" w:cs="宋体"/>
                <w:color w:val="auto"/>
                <w:sz w:val="22"/>
                <w:szCs w:val="22"/>
                <w:highlight w:val="none"/>
                <w:lang w:val="zh-CN"/>
              </w:rPr>
              <w:t>联系电话：028-81752878</w:t>
            </w:r>
          </w:p>
          <w:p>
            <w:pPr>
              <w:pStyle w:val="76"/>
              <w:keepNext w:val="0"/>
              <w:keepLines w:val="0"/>
              <w:suppressLineNumbers w:val="0"/>
              <w:wordWrap/>
              <w:spacing w:before="0" w:beforeAutospacing="0" w:afterAutospacing="0" w:line="440" w:lineRule="exact"/>
              <w:ind w:left="0" w:leftChars="0" w:right="0" w:firstLine="110" w:firstLineChars="50"/>
              <w:rPr>
                <w:rFonts w:hint="default" w:cs="宋体"/>
                <w:color w:val="auto"/>
                <w:sz w:val="22"/>
                <w:szCs w:val="22"/>
                <w:highlight w:val="none"/>
              </w:rPr>
            </w:pPr>
            <w:r>
              <w:rPr>
                <w:rFonts w:hint="eastAsia" w:cs="宋体"/>
                <w:color w:val="auto"/>
                <w:sz w:val="22"/>
                <w:szCs w:val="22"/>
                <w:highlight w:val="none"/>
                <w:lang w:val="zh-CN"/>
              </w:rPr>
              <w:t>地址：成都市金牛区蜀西路9号丰德羊西中心13楼01号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6" w:hRule="atLeast"/>
          <w:jc w:val="center"/>
        </w:trPr>
        <w:tc>
          <w:tcPr>
            <w:tcW w:w="697" w:type="dxa"/>
            <w:vAlign w:val="center"/>
          </w:tcPr>
          <w:p>
            <w:pPr>
              <w:pStyle w:val="62"/>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color w:val="auto"/>
                <w:kern w:val="2"/>
                <w:sz w:val="22"/>
                <w:szCs w:val="22"/>
                <w:highlight w:val="none"/>
              </w:rPr>
              <w:t>22</w:t>
            </w:r>
          </w:p>
        </w:tc>
        <w:tc>
          <w:tcPr>
            <w:tcW w:w="2244" w:type="dxa"/>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2"/>
                <w:szCs w:val="22"/>
                <w:highlight w:val="none"/>
                <w:lang w:val="zh-CN"/>
              </w:rPr>
            </w:pPr>
            <w:r>
              <w:rPr>
                <w:rFonts w:hint="eastAsia" w:ascii="宋体" w:hAnsi="宋体" w:cs="宋体"/>
                <w:color w:val="auto"/>
                <w:sz w:val="22"/>
                <w:szCs w:val="22"/>
                <w:highlight w:val="none"/>
                <w:lang w:val="zh-CN"/>
              </w:rPr>
              <w:t>供应商质疑</w:t>
            </w:r>
          </w:p>
        </w:tc>
        <w:tc>
          <w:tcPr>
            <w:tcW w:w="6815" w:type="dxa"/>
            <w:vAlign w:val="center"/>
          </w:tcPr>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lang w:val="zh-CN"/>
              </w:rPr>
            </w:pPr>
            <w:r>
              <w:rPr>
                <w:rFonts w:hint="eastAsia" w:ascii="宋体" w:hAnsi="宋体" w:cs="宋体"/>
                <w:color w:val="auto"/>
                <w:sz w:val="22"/>
                <w:szCs w:val="22"/>
                <w:highlight w:val="none"/>
                <w:lang w:val="zh-CN"/>
              </w:rPr>
              <w:t>根据委托代理协议约定（采购人负责采购文件技术部分的质疑答复，采购代理机构负责采购文件技术部分以外的质疑答复）。</w:t>
            </w:r>
          </w:p>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lang w:val="zh-CN"/>
              </w:rPr>
            </w:pPr>
            <w:r>
              <w:rPr>
                <w:rFonts w:hint="eastAsia" w:ascii="宋体" w:hAnsi="宋体" w:cs="宋体"/>
                <w:color w:val="auto"/>
                <w:sz w:val="22"/>
                <w:szCs w:val="22"/>
                <w:highlight w:val="none"/>
                <w:lang w:val="zh-CN"/>
              </w:rPr>
              <w:t>采购人：成都东部新区党工委管委会（成都市东部新城办）应急安全管理局</w:t>
            </w:r>
          </w:p>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lang w:val="zh-CN"/>
              </w:rPr>
            </w:pPr>
            <w:r>
              <w:rPr>
                <w:rFonts w:hint="eastAsia" w:ascii="宋体" w:hAnsi="宋体" w:cs="宋体"/>
                <w:color w:val="auto"/>
                <w:sz w:val="22"/>
                <w:szCs w:val="22"/>
                <w:highlight w:val="none"/>
                <w:lang w:val="zh-CN"/>
              </w:rPr>
              <w:t>地  址：成都东部新区三岔街道板桥村2组166号</w:t>
            </w:r>
          </w:p>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lang w:val="zh-CN"/>
              </w:rPr>
            </w:pPr>
            <w:r>
              <w:rPr>
                <w:rFonts w:hint="eastAsia" w:ascii="宋体" w:hAnsi="宋体" w:cs="宋体"/>
                <w:color w:val="auto"/>
                <w:sz w:val="22"/>
                <w:szCs w:val="22"/>
                <w:highlight w:val="none"/>
                <w:lang w:val="zh-CN"/>
              </w:rPr>
              <w:t>联系人：石老师</w:t>
            </w:r>
          </w:p>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lang w:val="zh-CN"/>
              </w:rPr>
            </w:pPr>
            <w:r>
              <w:rPr>
                <w:rFonts w:hint="eastAsia" w:ascii="宋体" w:hAnsi="宋体" w:cs="宋体"/>
                <w:color w:val="auto"/>
                <w:sz w:val="22"/>
                <w:szCs w:val="22"/>
                <w:highlight w:val="none"/>
                <w:lang w:val="zh-CN"/>
              </w:rPr>
              <w:t>联系电话：13036675517</w:t>
            </w:r>
          </w:p>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lang w:val="zh-CN"/>
              </w:rPr>
            </w:pPr>
            <w:r>
              <w:rPr>
                <w:rFonts w:hint="eastAsia" w:ascii="宋体" w:hAnsi="宋体" w:cs="宋体"/>
                <w:color w:val="auto"/>
                <w:sz w:val="22"/>
                <w:szCs w:val="22"/>
                <w:highlight w:val="none"/>
              </w:rPr>
              <w:t>采购代理机构：</w:t>
            </w:r>
            <w:r>
              <w:rPr>
                <w:rFonts w:hint="eastAsia" w:ascii="宋体" w:hAnsi="宋体" w:cs="宋体"/>
                <w:color w:val="auto"/>
                <w:sz w:val="22"/>
                <w:szCs w:val="22"/>
                <w:highlight w:val="none"/>
                <w:lang w:val="zh-CN"/>
              </w:rPr>
              <w:t>四川天启建设项目管理有限公司</w:t>
            </w:r>
          </w:p>
          <w:p>
            <w:pPr>
              <w:pStyle w:val="76"/>
              <w:keepNext w:val="0"/>
              <w:keepLines w:val="0"/>
              <w:suppressLineNumbers w:val="0"/>
              <w:wordWrap/>
              <w:spacing w:before="0" w:beforeAutospacing="0" w:afterAutospacing="0" w:line="440" w:lineRule="exact"/>
              <w:ind w:left="42" w:right="0" w:firstLine="110" w:firstLineChars="50"/>
              <w:rPr>
                <w:rFonts w:hint="default" w:cs="宋体"/>
                <w:color w:val="auto"/>
                <w:sz w:val="22"/>
                <w:szCs w:val="22"/>
                <w:highlight w:val="none"/>
              </w:rPr>
            </w:pPr>
            <w:r>
              <w:rPr>
                <w:rFonts w:hint="eastAsia" w:cs="宋体"/>
                <w:color w:val="auto"/>
                <w:sz w:val="22"/>
                <w:szCs w:val="22"/>
                <w:highlight w:val="none"/>
              </w:rPr>
              <w:t>联系人：江女士</w:t>
            </w:r>
          </w:p>
          <w:p>
            <w:pPr>
              <w:pStyle w:val="76"/>
              <w:keepNext w:val="0"/>
              <w:keepLines w:val="0"/>
              <w:suppressLineNumbers w:val="0"/>
              <w:wordWrap/>
              <w:spacing w:before="0" w:beforeAutospacing="0" w:afterAutospacing="0" w:line="440" w:lineRule="exact"/>
              <w:ind w:left="42" w:right="0" w:firstLine="110" w:firstLineChars="50"/>
              <w:rPr>
                <w:rFonts w:hint="default" w:cs="宋体"/>
                <w:color w:val="auto"/>
                <w:sz w:val="22"/>
                <w:szCs w:val="22"/>
                <w:highlight w:val="none"/>
              </w:rPr>
            </w:pPr>
            <w:r>
              <w:rPr>
                <w:rFonts w:hint="eastAsia" w:cs="宋体"/>
                <w:color w:val="auto"/>
                <w:sz w:val="22"/>
                <w:szCs w:val="22"/>
                <w:highlight w:val="none"/>
              </w:rPr>
              <w:t>联系电话：028-81752878</w:t>
            </w:r>
          </w:p>
          <w:p>
            <w:pPr>
              <w:pStyle w:val="76"/>
              <w:keepNext w:val="0"/>
              <w:keepLines w:val="0"/>
              <w:suppressLineNumbers w:val="0"/>
              <w:wordWrap/>
              <w:spacing w:before="0" w:beforeAutospacing="0" w:afterAutospacing="0" w:line="440" w:lineRule="exact"/>
              <w:ind w:left="42" w:right="0" w:firstLine="110" w:firstLineChars="50"/>
              <w:rPr>
                <w:rFonts w:hint="default" w:cs="宋体"/>
                <w:color w:val="auto"/>
                <w:sz w:val="22"/>
                <w:szCs w:val="22"/>
                <w:highlight w:val="none"/>
                <w:lang w:val="zh-CN"/>
              </w:rPr>
            </w:pPr>
            <w:r>
              <w:rPr>
                <w:rFonts w:hint="eastAsia" w:cs="宋体"/>
                <w:color w:val="auto"/>
                <w:sz w:val="22"/>
                <w:szCs w:val="22"/>
                <w:highlight w:val="none"/>
              </w:rPr>
              <w:t>通讯地址：</w:t>
            </w:r>
            <w:r>
              <w:rPr>
                <w:rFonts w:hint="eastAsia" w:cs="宋体"/>
                <w:color w:val="auto"/>
                <w:sz w:val="22"/>
                <w:szCs w:val="22"/>
                <w:highlight w:val="none"/>
                <w:lang w:val="zh-CN"/>
              </w:rPr>
              <w:t>成都市金牛区蜀西路9号丰德羊西中心13楼01号</w:t>
            </w:r>
          </w:p>
          <w:p>
            <w:pPr>
              <w:keepNext w:val="0"/>
              <w:keepLines w:val="0"/>
              <w:widowControl/>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rPr>
            </w:pPr>
            <w:r>
              <w:rPr>
                <w:rFonts w:hint="eastAsia" w:ascii="宋体" w:hAnsi="宋体" w:cs="宋体"/>
                <w:color w:val="auto"/>
                <w:sz w:val="22"/>
                <w:szCs w:val="22"/>
                <w:highlight w:val="none"/>
                <w:lang w:val="zh-CN"/>
              </w:rPr>
              <w:t>注：根据《中华人民共和国政府采购法》的规定，供应商质疑不得超出磋商文件、采购过程、采购结果的范围，供应商针对同一采购程序环节的质疑应在法定质疑期内一次性提出。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697" w:type="dxa"/>
            <w:tcBorders>
              <w:top w:val="single" w:color="auto" w:sz="4" w:space="0"/>
              <w:bottom w:val="single" w:color="auto" w:sz="4" w:space="0"/>
            </w:tcBorders>
            <w:vAlign w:val="center"/>
          </w:tcPr>
          <w:p>
            <w:pPr>
              <w:pStyle w:val="62"/>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color w:val="auto"/>
                <w:kern w:val="2"/>
                <w:sz w:val="22"/>
                <w:szCs w:val="22"/>
                <w:highlight w:val="none"/>
              </w:rPr>
              <w:t>23</w:t>
            </w:r>
          </w:p>
        </w:tc>
        <w:tc>
          <w:tcPr>
            <w:tcW w:w="2244" w:type="dxa"/>
            <w:vAlign w:val="center"/>
          </w:tcPr>
          <w:p>
            <w:pPr>
              <w:keepNext w:val="0"/>
              <w:keepLines w:val="0"/>
              <w:suppressLineNumbers w:val="0"/>
              <w:spacing w:before="0" w:beforeAutospacing="0" w:after="0" w:afterAutospacing="0" w:line="360" w:lineRule="auto"/>
              <w:ind w:left="0" w:right="0" w:firstLine="110" w:firstLineChars="50"/>
              <w:jc w:val="center"/>
              <w:rPr>
                <w:rFonts w:hint="default" w:ascii="宋体" w:hAnsi="宋体" w:cs="宋体"/>
                <w:color w:val="auto"/>
                <w:sz w:val="22"/>
                <w:szCs w:val="22"/>
                <w:highlight w:val="none"/>
              </w:rPr>
            </w:pPr>
            <w:r>
              <w:rPr>
                <w:rFonts w:hint="eastAsia" w:ascii="宋体" w:hAnsi="宋体" w:cs="宋体"/>
                <w:color w:val="auto"/>
                <w:sz w:val="22"/>
                <w:szCs w:val="22"/>
                <w:highlight w:val="none"/>
              </w:rPr>
              <w:t>供应商投诉</w:t>
            </w:r>
          </w:p>
        </w:tc>
        <w:tc>
          <w:tcPr>
            <w:tcW w:w="6815" w:type="dxa"/>
          </w:tcPr>
          <w:p>
            <w:pPr>
              <w:pStyle w:val="76"/>
              <w:keepNext w:val="0"/>
              <w:keepLines w:val="0"/>
              <w:suppressLineNumbers w:val="0"/>
              <w:wordWrap/>
              <w:spacing w:before="0" w:beforeAutospacing="0" w:afterAutospacing="0" w:line="360" w:lineRule="auto"/>
              <w:ind w:right="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投诉受理单位：本采购项目同级财政部门，即成都东部新区党工委管委会(成都市东部新城办)财政金融局；</w:t>
            </w:r>
          </w:p>
          <w:p>
            <w:pPr>
              <w:pStyle w:val="76"/>
              <w:keepNext w:val="0"/>
              <w:keepLines w:val="0"/>
              <w:suppressLineNumbers w:val="0"/>
              <w:wordWrap/>
              <w:spacing w:before="0" w:beforeAutospacing="0" w:afterAutospacing="0" w:line="360" w:lineRule="auto"/>
              <w:ind w:right="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联系电话：</w:t>
            </w:r>
            <w:r>
              <w:rPr>
                <w:rFonts w:hint="eastAsia" w:ascii="宋体" w:hAnsi="宋体" w:eastAsia="宋体" w:cs="宋体"/>
                <w:color w:val="auto"/>
                <w:sz w:val="22"/>
                <w:szCs w:val="22"/>
                <w:highlight w:val="none"/>
                <w:lang w:val="zh-CN" w:eastAsia="zh-CN"/>
              </w:rPr>
              <w:t>028-86360129</w:t>
            </w:r>
            <w:r>
              <w:rPr>
                <w:rFonts w:hint="eastAsia" w:ascii="宋体" w:hAnsi="宋体" w:eastAsia="宋体" w:cs="宋体"/>
                <w:color w:val="auto"/>
                <w:sz w:val="22"/>
                <w:szCs w:val="22"/>
                <w:highlight w:val="none"/>
                <w:lang w:val="en-US" w:eastAsia="zh-CN"/>
              </w:rPr>
              <w:t>。</w:t>
            </w:r>
          </w:p>
          <w:p>
            <w:pPr>
              <w:pStyle w:val="76"/>
              <w:keepNext w:val="0"/>
              <w:keepLines w:val="0"/>
              <w:suppressLineNumbers w:val="0"/>
              <w:wordWrap/>
              <w:spacing w:before="0" w:beforeAutospacing="0" w:afterAutospacing="0" w:line="440" w:lineRule="exact"/>
              <w:ind w:left="0" w:leftChars="0" w:right="0" w:firstLine="110" w:firstLineChars="50"/>
              <w:rPr>
                <w:rFonts w:hint="default" w:cs="宋体"/>
                <w:color w:val="auto"/>
                <w:sz w:val="22"/>
                <w:szCs w:val="22"/>
                <w:highlight w:val="none"/>
              </w:rPr>
            </w:pPr>
            <w:r>
              <w:rPr>
                <w:rFonts w:hint="eastAsia" w:cs="宋体"/>
                <w:color w:val="auto"/>
                <w:sz w:val="22"/>
                <w:szCs w:val="22"/>
                <w:highlight w:val="none"/>
                <w:lang w:val="zh-CN"/>
              </w:rPr>
              <w:t>注：根据《中华人民共和国政府采购法实施条例》的规定，供应商投诉事项不得超出已质疑事项的范围。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697" w:type="dxa"/>
            <w:tcBorders>
              <w:top w:val="single" w:color="auto" w:sz="4" w:space="0"/>
              <w:bottom w:val="single" w:color="auto" w:sz="4" w:space="0"/>
            </w:tcBorders>
            <w:vAlign w:val="center"/>
          </w:tcPr>
          <w:p>
            <w:pPr>
              <w:pStyle w:val="62"/>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color w:val="auto"/>
                <w:kern w:val="2"/>
                <w:sz w:val="22"/>
                <w:szCs w:val="22"/>
                <w:highlight w:val="none"/>
              </w:rPr>
              <w:t>24</w:t>
            </w:r>
          </w:p>
        </w:tc>
        <w:tc>
          <w:tcPr>
            <w:tcW w:w="2244" w:type="dxa"/>
            <w:vAlign w:val="center"/>
          </w:tcPr>
          <w:p>
            <w:pPr>
              <w:keepNext w:val="0"/>
              <w:keepLines w:val="0"/>
              <w:suppressLineNumbers w:val="0"/>
              <w:spacing w:before="0" w:beforeAutospacing="0" w:after="0" w:afterAutospacing="0" w:line="360" w:lineRule="auto"/>
              <w:ind w:left="0" w:right="0" w:firstLine="110" w:firstLineChars="50"/>
              <w:jc w:val="center"/>
              <w:rPr>
                <w:rFonts w:hint="default" w:ascii="宋体" w:hAnsi="宋体" w:cs="宋体"/>
                <w:color w:val="auto"/>
                <w:sz w:val="22"/>
                <w:szCs w:val="22"/>
                <w:highlight w:val="none"/>
              </w:rPr>
            </w:pPr>
            <w:r>
              <w:rPr>
                <w:rFonts w:hint="eastAsia" w:ascii="宋体" w:hAnsi="宋体" w:cs="宋体"/>
                <w:color w:val="auto"/>
                <w:sz w:val="22"/>
                <w:szCs w:val="22"/>
                <w:highlight w:val="none"/>
              </w:rPr>
              <w:t>采购项目具体事项/磋商文件内容咨询</w:t>
            </w:r>
          </w:p>
        </w:tc>
        <w:tc>
          <w:tcPr>
            <w:tcW w:w="6815" w:type="dxa"/>
            <w:vAlign w:val="center"/>
          </w:tcPr>
          <w:p>
            <w:pPr>
              <w:keepNext w:val="0"/>
              <w:keepLines w:val="0"/>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rPr>
            </w:pPr>
            <w:r>
              <w:rPr>
                <w:rFonts w:hint="eastAsia" w:ascii="宋体" w:hAnsi="宋体" w:cs="宋体"/>
                <w:color w:val="auto"/>
                <w:sz w:val="22"/>
                <w:szCs w:val="22"/>
                <w:highlight w:val="none"/>
              </w:rPr>
              <w:t xml:space="preserve">联系人：任女士 </w:t>
            </w:r>
          </w:p>
          <w:p>
            <w:pPr>
              <w:keepNext w:val="0"/>
              <w:keepLines w:val="0"/>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rPr>
            </w:pPr>
            <w:r>
              <w:rPr>
                <w:rFonts w:hint="eastAsia" w:ascii="宋体" w:hAnsi="宋体" w:cs="宋体"/>
                <w:color w:val="auto"/>
                <w:sz w:val="22"/>
                <w:szCs w:val="22"/>
                <w:highlight w:val="none"/>
              </w:rPr>
              <w:t>联系电话：028-87691663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697" w:type="dxa"/>
            <w:tcBorders>
              <w:top w:val="single" w:color="auto" w:sz="4" w:space="0"/>
              <w:bottom w:val="single" w:color="auto" w:sz="4" w:space="0"/>
            </w:tcBorders>
            <w:vAlign w:val="center"/>
          </w:tcPr>
          <w:p>
            <w:pPr>
              <w:pStyle w:val="62"/>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color w:val="auto"/>
                <w:kern w:val="2"/>
                <w:sz w:val="22"/>
                <w:szCs w:val="22"/>
                <w:highlight w:val="none"/>
              </w:rPr>
              <w:t>25</w:t>
            </w:r>
          </w:p>
        </w:tc>
        <w:tc>
          <w:tcPr>
            <w:tcW w:w="2244" w:type="dxa"/>
            <w:tcBorders>
              <w:top w:val="single" w:color="auto" w:sz="4" w:space="0"/>
              <w:bottom w:val="single" w:color="auto" w:sz="4" w:space="0"/>
            </w:tcBorders>
            <w:vAlign w:val="center"/>
          </w:tcPr>
          <w:p>
            <w:pPr>
              <w:pStyle w:val="62"/>
              <w:keepNext w:val="0"/>
              <w:keepLines w:val="0"/>
              <w:suppressLineNumbers w:val="0"/>
              <w:spacing w:before="0" w:beforeAutospacing="0" w:after="0" w:afterAutospacing="0" w:line="360" w:lineRule="auto"/>
              <w:ind w:left="0" w:right="0"/>
              <w:jc w:val="center"/>
              <w:rPr>
                <w:rFonts w:hint="default"/>
                <w:color w:val="auto"/>
                <w:kern w:val="2"/>
                <w:sz w:val="22"/>
                <w:szCs w:val="22"/>
                <w:highlight w:val="none"/>
              </w:rPr>
            </w:pPr>
            <w:r>
              <w:rPr>
                <w:rFonts w:hint="eastAsia"/>
                <w:color w:val="auto"/>
                <w:kern w:val="2"/>
                <w:sz w:val="22"/>
                <w:szCs w:val="22"/>
                <w:highlight w:val="none"/>
              </w:rPr>
              <w:t>磋商、评审工作咨询</w:t>
            </w:r>
          </w:p>
        </w:tc>
        <w:tc>
          <w:tcPr>
            <w:tcW w:w="6815" w:type="dxa"/>
            <w:tcBorders>
              <w:top w:val="single" w:color="auto" w:sz="4" w:space="0"/>
              <w:bottom w:val="single" w:color="auto" w:sz="4" w:space="0"/>
            </w:tcBorders>
            <w:vAlign w:val="center"/>
          </w:tcPr>
          <w:p>
            <w:pPr>
              <w:keepNext w:val="0"/>
              <w:keepLines w:val="0"/>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rPr>
            </w:pPr>
            <w:r>
              <w:rPr>
                <w:rFonts w:hint="eastAsia" w:ascii="宋体" w:hAnsi="宋体" w:cs="宋体"/>
                <w:color w:val="auto"/>
                <w:sz w:val="22"/>
                <w:szCs w:val="22"/>
                <w:highlight w:val="none"/>
              </w:rPr>
              <w:t xml:space="preserve">联系人：任女士 </w:t>
            </w:r>
          </w:p>
          <w:p>
            <w:pPr>
              <w:keepNext w:val="0"/>
              <w:keepLines w:val="0"/>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rPr>
            </w:pPr>
            <w:r>
              <w:rPr>
                <w:rFonts w:hint="eastAsia" w:ascii="宋体" w:hAnsi="宋体" w:cs="宋体"/>
                <w:color w:val="auto"/>
                <w:sz w:val="22"/>
                <w:szCs w:val="22"/>
                <w:highlight w:val="none"/>
              </w:rPr>
              <w:t>联系电话：028-87691663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697" w:type="dxa"/>
            <w:tcBorders>
              <w:top w:val="single" w:color="auto" w:sz="4" w:space="0"/>
              <w:bottom w:val="single" w:color="auto" w:sz="4" w:space="0"/>
            </w:tcBorders>
            <w:vAlign w:val="center"/>
          </w:tcPr>
          <w:p>
            <w:pPr>
              <w:pStyle w:val="62"/>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color w:val="auto"/>
                <w:kern w:val="2"/>
                <w:sz w:val="22"/>
                <w:szCs w:val="22"/>
                <w:highlight w:val="none"/>
              </w:rPr>
              <w:t>26</w:t>
            </w:r>
          </w:p>
        </w:tc>
        <w:tc>
          <w:tcPr>
            <w:tcW w:w="2244" w:type="dxa"/>
            <w:tcBorders>
              <w:top w:val="single" w:color="auto" w:sz="4" w:space="0"/>
              <w:bottom w:val="single" w:color="auto" w:sz="4" w:space="0"/>
            </w:tcBorders>
            <w:vAlign w:val="center"/>
          </w:tcPr>
          <w:p>
            <w:pPr>
              <w:pStyle w:val="62"/>
              <w:keepNext w:val="0"/>
              <w:keepLines w:val="0"/>
              <w:suppressLineNumbers w:val="0"/>
              <w:spacing w:before="0" w:beforeAutospacing="0" w:after="0" w:afterAutospacing="0" w:line="360" w:lineRule="auto"/>
              <w:ind w:left="0" w:right="0"/>
              <w:jc w:val="center"/>
              <w:rPr>
                <w:rFonts w:hint="default"/>
                <w:color w:val="auto"/>
                <w:kern w:val="2"/>
                <w:sz w:val="22"/>
                <w:szCs w:val="22"/>
                <w:highlight w:val="none"/>
              </w:rPr>
            </w:pPr>
            <w:r>
              <w:rPr>
                <w:rFonts w:hint="eastAsia"/>
                <w:color w:val="auto"/>
                <w:sz w:val="22"/>
                <w:szCs w:val="22"/>
                <w:highlight w:val="none"/>
                <w:lang w:val="zh-CN"/>
              </w:rPr>
              <w:t>声明承诺提醒</w:t>
            </w:r>
          </w:p>
        </w:tc>
        <w:tc>
          <w:tcPr>
            <w:tcW w:w="6815" w:type="dxa"/>
            <w:tcBorders>
              <w:top w:val="single" w:color="auto" w:sz="4" w:space="0"/>
              <w:bottom w:val="single" w:color="auto" w:sz="4" w:space="0"/>
            </w:tcBorders>
            <w:vAlign w:val="center"/>
          </w:tcPr>
          <w:p>
            <w:pPr>
              <w:keepNext w:val="0"/>
              <w:keepLines w:val="0"/>
              <w:suppressLineNumbers w:val="0"/>
              <w:spacing w:before="0" w:beforeAutospacing="0" w:after="0" w:afterAutospacing="0" w:line="440" w:lineRule="exact"/>
              <w:ind w:left="0" w:right="0" w:firstLine="110" w:firstLineChars="50"/>
              <w:jc w:val="left"/>
              <w:rPr>
                <w:rFonts w:hint="default" w:ascii="宋体" w:hAnsi="宋体" w:cs="宋体"/>
                <w:color w:val="auto"/>
                <w:sz w:val="22"/>
                <w:szCs w:val="22"/>
                <w:highlight w:val="none"/>
              </w:rPr>
            </w:pPr>
            <w:r>
              <w:rPr>
                <w:rFonts w:hint="eastAsia" w:ascii="宋体" w:hAnsi="宋体" w:cs="宋体"/>
                <w:color w:val="auto"/>
                <w:sz w:val="22"/>
                <w:szCs w:val="22"/>
                <w:highlight w:val="none"/>
                <w:lang w:val="zh-CN"/>
              </w:rPr>
              <w:t>供应商的响应文件中提供的各种声明和承诺应当真实有效，无效声明和承诺、虚假声明和承诺将由供应商自己承担由此带来的任何不利后果，虚假声明和承诺还将报告监管部门追究法律责任。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697" w:type="dxa"/>
            <w:tcBorders>
              <w:top w:val="single" w:color="auto" w:sz="4" w:space="0"/>
              <w:bottom w:val="single" w:color="auto" w:sz="4" w:space="0"/>
            </w:tcBorders>
            <w:vAlign w:val="center"/>
          </w:tcPr>
          <w:p>
            <w:pPr>
              <w:pStyle w:val="62"/>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color w:val="auto"/>
                <w:kern w:val="2"/>
                <w:sz w:val="22"/>
                <w:szCs w:val="22"/>
                <w:highlight w:val="none"/>
              </w:rPr>
              <w:t>27</w:t>
            </w:r>
          </w:p>
        </w:tc>
        <w:tc>
          <w:tcPr>
            <w:tcW w:w="2244" w:type="dxa"/>
            <w:tcBorders>
              <w:top w:val="single" w:color="auto" w:sz="4" w:space="0"/>
              <w:bottom w:val="single" w:color="auto" w:sz="4" w:space="0"/>
            </w:tcBorders>
            <w:vAlign w:val="center"/>
          </w:tcPr>
          <w:p>
            <w:pPr>
              <w:pStyle w:val="110"/>
              <w:keepNext w:val="0"/>
              <w:keepLines w:val="0"/>
              <w:suppressLineNumbers w:val="0"/>
              <w:spacing w:before="43" w:beforeAutospacing="0" w:afterAutospacing="0" w:line="242" w:lineRule="auto"/>
              <w:ind w:left="843" w:right="81" w:hanging="720"/>
              <w:jc w:val="center"/>
              <w:rPr>
                <w:rFonts w:hint="default" w:ascii="宋体" w:hAnsi="宋体" w:eastAsia="宋体" w:cs="宋体"/>
                <w:color w:val="auto"/>
                <w:sz w:val="22"/>
                <w:szCs w:val="22"/>
                <w:highlight w:val="none"/>
                <w:lang w:bidi="ar-SA"/>
              </w:rPr>
            </w:pPr>
            <w:r>
              <w:rPr>
                <w:rFonts w:hint="eastAsia" w:ascii="宋体" w:hAnsi="宋体" w:eastAsia="宋体" w:cs="宋体"/>
                <w:color w:val="auto"/>
                <w:sz w:val="22"/>
                <w:szCs w:val="22"/>
                <w:highlight w:val="none"/>
                <w:lang w:bidi="ar-SA"/>
              </w:rPr>
              <w:t>进口产品参与竞争</w:t>
            </w:r>
          </w:p>
        </w:tc>
        <w:tc>
          <w:tcPr>
            <w:tcW w:w="6815" w:type="dxa"/>
            <w:tcBorders>
              <w:top w:val="single" w:color="auto" w:sz="4" w:space="0"/>
              <w:bottom w:val="single" w:color="auto" w:sz="4" w:space="0"/>
            </w:tcBorders>
            <w:vAlign w:val="center"/>
          </w:tcPr>
          <w:p>
            <w:pPr>
              <w:pStyle w:val="110"/>
              <w:keepNext w:val="0"/>
              <w:keepLines w:val="0"/>
              <w:suppressLineNumbers w:val="0"/>
              <w:spacing w:before="0" w:beforeAutospacing="0" w:afterAutospacing="0" w:line="440" w:lineRule="exact"/>
              <w:ind w:left="0" w:right="0" w:firstLine="110" w:firstLineChars="50"/>
              <w:rPr>
                <w:rFonts w:hint="default" w:ascii="宋体" w:hAnsi="宋体" w:eastAsia="宋体" w:cs="宋体"/>
                <w:color w:val="auto"/>
                <w:sz w:val="22"/>
                <w:szCs w:val="22"/>
                <w:highlight w:val="none"/>
                <w:lang w:bidi="ar-SA"/>
              </w:rPr>
            </w:pPr>
            <w:r>
              <w:rPr>
                <w:rFonts w:hint="eastAsia" w:ascii="宋体" w:hAnsi="宋体" w:eastAsia="宋体" w:cs="宋体"/>
                <w:color w:val="auto"/>
                <w:sz w:val="22"/>
                <w:szCs w:val="22"/>
                <w:highlight w:val="none"/>
                <w:lang w:bidi="ar-SA"/>
              </w:rPr>
              <w:t>本项目不允许进口产品参与竞争，否则作无效响应处理。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tcBorders>
              <w:top w:val="single" w:color="auto" w:sz="4" w:space="0"/>
            </w:tcBorders>
            <w:vAlign w:val="center"/>
          </w:tcPr>
          <w:p>
            <w:pPr>
              <w:pStyle w:val="62"/>
              <w:keepNext w:val="0"/>
              <w:keepLines w:val="0"/>
              <w:suppressLineNumbers w:val="0"/>
              <w:spacing w:before="0" w:beforeAutospacing="0" w:after="0" w:afterAutospacing="0" w:line="360" w:lineRule="auto"/>
              <w:ind w:left="0" w:leftChars="0" w:right="0" w:rightChars="0"/>
              <w:jc w:val="center"/>
              <w:rPr>
                <w:rFonts w:hint="default" w:ascii="宋体" w:hAnsi="宋体" w:eastAsia="宋体" w:cs="宋体"/>
                <w:color w:val="auto"/>
                <w:kern w:val="2"/>
                <w:sz w:val="22"/>
                <w:szCs w:val="22"/>
                <w:highlight w:val="none"/>
                <w:lang w:val="en-US" w:eastAsia="zh-CN" w:bidi="ar-SA"/>
              </w:rPr>
            </w:pPr>
            <w:r>
              <w:rPr>
                <w:rFonts w:hint="eastAsia"/>
                <w:color w:val="auto"/>
                <w:kern w:val="2"/>
                <w:sz w:val="22"/>
                <w:szCs w:val="22"/>
                <w:highlight w:val="none"/>
              </w:rPr>
              <w:t>28</w:t>
            </w:r>
          </w:p>
        </w:tc>
        <w:tc>
          <w:tcPr>
            <w:tcW w:w="2244" w:type="dxa"/>
            <w:tcBorders>
              <w:top w:val="single" w:color="auto" w:sz="4"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b/>
                <w:color w:val="auto"/>
                <w:sz w:val="22"/>
                <w:szCs w:val="22"/>
                <w:highlight w:val="none"/>
              </w:rPr>
            </w:pPr>
            <w:r>
              <w:rPr>
                <w:rFonts w:hint="eastAsia" w:ascii="宋体" w:hAnsi="宋体" w:cs="宋体"/>
                <w:b/>
                <w:color w:val="auto"/>
                <w:sz w:val="22"/>
                <w:szCs w:val="22"/>
                <w:highlight w:val="none"/>
                <w:lang w:val="zh-CN"/>
              </w:rPr>
              <w:t>备注</w:t>
            </w:r>
          </w:p>
        </w:tc>
        <w:tc>
          <w:tcPr>
            <w:tcW w:w="6815" w:type="dxa"/>
            <w:tcBorders>
              <w:top w:val="single" w:color="auto" w:sz="4" w:space="0"/>
            </w:tcBorders>
            <w:vAlign w:val="center"/>
          </w:tcPr>
          <w:p>
            <w:pPr>
              <w:pStyle w:val="76"/>
              <w:keepNext w:val="0"/>
              <w:keepLines w:val="0"/>
              <w:suppressLineNumbers w:val="0"/>
              <w:wordWrap/>
              <w:spacing w:before="0" w:beforeAutospacing="0" w:afterAutospacing="0" w:line="440" w:lineRule="exact"/>
              <w:ind w:left="0" w:leftChars="0" w:right="0" w:firstLine="110" w:firstLineChars="50"/>
              <w:rPr>
                <w:rFonts w:hint="default" w:cs="宋体"/>
                <w:b/>
                <w:color w:val="auto"/>
                <w:sz w:val="22"/>
                <w:szCs w:val="22"/>
                <w:highlight w:val="none"/>
                <w:lang w:val="zh-CN"/>
              </w:rPr>
            </w:pPr>
            <w:r>
              <w:rPr>
                <w:rFonts w:hint="eastAsia" w:cs="宋体"/>
                <w:b/>
                <w:color w:val="auto"/>
                <w:sz w:val="22"/>
                <w:szCs w:val="22"/>
                <w:highlight w:val="none"/>
                <w:lang w:val="zh-CN"/>
              </w:rPr>
              <w:t>若磋商文件中其他内容与供应商须知前附表内容不一致的，以供应商须知前附表为准。</w:t>
            </w:r>
          </w:p>
        </w:tc>
      </w:tr>
    </w:tbl>
    <w:p>
      <w:pPr>
        <w:pStyle w:val="4"/>
        <w:spacing w:line="240" w:lineRule="atLeast"/>
        <w:jc w:val="center"/>
        <w:rPr>
          <w:rFonts w:ascii="宋体" w:hAnsi="宋体" w:eastAsia="宋体" w:cs="宋体"/>
          <w:color w:val="auto"/>
          <w:highlight w:val="none"/>
        </w:rPr>
      </w:pPr>
      <w:bookmarkStart w:id="16" w:name="PO_默认文件内容_23"/>
      <w:r>
        <w:rPr>
          <w:rFonts w:hint="eastAsia" w:ascii="宋体" w:hAnsi="宋体" w:eastAsia="宋体" w:cs="宋体"/>
          <w:color w:val="auto"/>
          <w:highlight w:val="none"/>
        </w:rPr>
        <w:t>二、总  则</w:t>
      </w:r>
    </w:p>
    <w:p>
      <w:pPr>
        <w:pStyle w:val="5"/>
        <w:keepLines w:val="0"/>
        <w:spacing w:before="0" w:after="0" w:line="400" w:lineRule="exact"/>
        <w:ind w:firstLine="480" w:firstLineChars="200"/>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 xml:space="preserve"> </w:t>
      </w:r>
    </w:p>
    <w:p>
      <w:pPr>
        <w:pStyle w:val="5"/>
        <w:keepLines w:val="0"/>
        <w:spacing w:before="0" w:after="0" w:line="360" w:lineRule="auto"/>
        <w:ind w:firstLine="482" w:firstLineChars="200"/>
        <w:rPr>
          <w:rFonts w:ascii="宋体" w:hAnsi="宋体" w:cs="宋体"/>
          <w:color w:val="auto"/>
          <w:sz w:val="24"/>
          <w:szCs w:val="24"/>
          <w:highlight w:val="none"/>
        </w:rPr>
      </w:pPr>
      <w:r>
        <w:rPr>
          <w:rFonts w:hint="eastAsia" w:ascii="宋体" w:hAnsi="宋体" w:cs="宋体"/>
          <w:color w:val="auto"/>
          <w:sz w:val="24"/>
          <w:szCs w:val="24"/>
          <w:highlight w:val="none"/>
        </w:rPr>
        <w:t>1.适用范围</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 本磋商文件仅适用于本次磋商采购项目。</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 本磋商文件的解释权归采购人和采购代理机构所有。</w:t>
      </w:r>
    </w:p>
    <w:p>
      <w:pPr>
        <w:pStyle w:val="5"/>
        <w:keepLines w:val="0"/>
        <w:spacing w:before="0" w:after="0" w:line="360" w:lineRule="auto"/>
        <w:ind w:firstLine="482" w:firstLineChars="200"/>
        <w:rPr>
          <w:rFonts w:ascii="宋体" w:hAnsi="宋体" w:cs="宋体"/>
          <w:color w:val="auto"/>
          <w:sz w:val="24"/>
          <w:szCs w:val="24"/>
          <w:highlight w:val="none"/>
        </w:rPr>
      </w:pPr>
      <w:r>
        <w:rPr>
          <w:rFonts w:hint="eastAsia" w:ascii="宋体" w:hAnsi="宋体" w:cs="宋体"/>
          <w:color w:val="auto"/>
          <w:sz w:val="24"/>
          <w:szCs w:val="24"/>
          <w:highlight w:val="none"/>
        </w:rPr>
        <w:t>2.采购主体</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2.1本次磋商的采购人是</w:t>
      </w:r>
      <w:r>
        <w:rPr>
          <w:rFonts w:hint="eastAsia" w:ascii="宋体" w:hAnsi="宋体" w:cs="宋体"/>
          <w:color w:val="auto"/>
          <w:sz w:val="24"/>
          <w:highlight w:val="none"/>
          <w:u w:val="single"/>
        </w:rPr>
        <w:t xml:space="preserve"> </w:t>
      </w:r>
      <w:r>
        <w:rPr>
          <w:rFonts w:hint="eastAsia" w:ascii="宋体" w:hAnsi="宋体" w:cs="宋体"/>
          <w:color w:val="auto"/>
          <w:sz w:val="24"/>
          <w:szCs w:val="22"/>
          <w:highlight w:val="none"/>
          <w:u w:val="single"/>
        </w:rPr>
        <w:t>成都东部新区党工委管委会（成都市东部新城办）应急安全管理局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2.2本次磋商的采购代理机构是</w:t>
      </w:r>
      <w:r>
        <w:rPr>
          <w:rFonts w:hint="eastAsia" w:ascii="宋体" w:hAnsi="宋体" w:cs="宋体"/>
          <w:color w:val="auto"/>
          <w:sz w:val="24"/>
          <w:szCs w:val="22"/>
          <w:highlight w:val="none"/>
          <w:u w:val="single"/>
        </w:rPr>
        <w:t>四川天启建设项目管理有限公司</w:t>
      </w:r>
      <w:r>
        <w:rPr>
          <w:rFonts w:hint="eastAsia" w:ascii="宋体" w:hAnsi="宋体" w:cs="宋体"/>
          <w:color w:val="auto"/>
          <w:sz w:val="24"/>
          <w:highlight w:val="none"/>
        </w:rPr>
        <w:t>。</w:t>
      </w:r>
    </w:p>
    <w:p>
      <w:pPr>
        <w:pStyle w:val="5"/>
        <w:keepLines w:val="0"/>
        <w:spacing w:before="0" w:after="0" w:line="360" w:lineRule="auto"/>
        <w:ind w:firstLine="482" w:firstLineChars="200"/>
        <w:rPr>
          <w:rFonts w:ascii="宋体" w:hAnsi="宋体" w:cs="宋体"/>
          <w:color w:val="auto"/>
          <w:sz w:val="24"/>
          <w:szCs w:val="24"/>
          <w:highlight w:val="none"/>
        </w:rPr>
      </w:pPr>
      <w:r>
        <w:rPr>
          <w:rFonts w:hint="eastAsia" w:ascii="宋体" w:hAnsi="宋体" w:cs="宋体"/>
          <w:color w:val="auto"/>
          <w:sz w:val="24"/>
          <w:szCs w:val="24"/>
          <w:highlight w:val="none"/>
        </w:rPr>
        <w:t>3. 合格供应商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合格供应商应具备以下条件：</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 具备法律法规和本磋商文件规定的资格条件；</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 不属于禁止参加本项目采购活动的供应商；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3.3按照规定获取了磋商文件。</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4. 磋商费用（实质性要求）</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供应商应自行承担参加磋商活动的全部费用。</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5.充分、公平竞争保障措施（实质性要求）</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5.2利害关系授权代表处理。两家以上的供应商不得在同一合同项下的采购项目中，委托同一个自然人、同一家庭的人员、同一单位的人员作为其授权代表，否则，其响应文件作为无效处理。</w:t>
      </w:r>
    </w:p>
    <w:p>
      <w:pPr>
        <w:spacing w:after="0" w:line="360" w:lineRule="auto"/>
        <w:ind w:firstLine="480" w:firstLineChars="200"/>
        <w:rPr>
          <w:rFonts w:hint="eastAsia" w:ascii="宋体" w:hAnsi="宋体" w:cs="宋体"/>
          <w:b/>
          <w:bCs/>
          <w:color w:val="auto"/>
          <w:sz w:val="24"/>
          <w:highlight w:val="none"/>
        </w:rPr>
      </w:pPr>
      <w:r>
        <w:rPr>
          <w:rFonts w:hint="eastAsia" w:ascii="宋体" w:hAnsi="宋体" w:cs="宋体"/>
          <w:color w:val="auto"/>
          <w:sz w:val="24"/>
          <w:highlight w:val="none"/>
        </w:rPr>
        <w:t>5.3前期参与供应商处理。为采购项目提供整体设计、规范编制或者项目管理、监理、检测等服务的供应商，不得再参加该采购项目的其他采购活动。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bookmarkStart w:id="51" w:name="_GoBack"/>
      <w:r>
        <w:rPr>
          <w:rFonts w:hint="eastAsia" w:ascii="宋体" w:hAnsi="宋体" w:cs="宋体"/>
          <w:b/>
          <w:bCs/>
          <w:color w:val="auto"/>
          <w:sz w:val="24"/>
          <w:highlight w:val="none"/>
        </w:rPr>
        <w:t>（说明：无供应商为本项目提供整体设计、规范编制或者项目管理、监理、检测等服务）。</w:t>
      </w:r>
    </w:p>
    <w:bookmarkEnd w:id="51"/>
    <w:p>
      <w:pPr>
        <w:spacing w:after="0"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5.4提供相同品牌产品处理。提供相同品牌产品且通过资格审查的不同供应商参加同一</w:t>
      </w:r>
    </w:p>
    <w:p>
      <w:pPr>
        <w:spacing w:after="0"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项下采购项目的，按一家供应商计算，评审后得分最高的同品牌供应商获得成交供应商推荐资格；评审得分相同的，由采购人/采购人委托评审小组自主采取公平、择优的方式确定一个供应商获得成交供应商推荐资格，其他同品牌供应商不作为成交供应商候选人。</w:t>
      </w:r>
    </w:p>
    <w:p>
      <w:pPr>
        <w:spacing w:after="0" w:line="360" w:lineRule="auto"/>
        <w:ind w:firstLine="480" w:firstLineChars="200"/>
        <w:rPr>
          <w:rFonts w:hint="eastAsia" w:ascii="宋体" w:hAnsi="宋体" w:cs="宋体"/>
          <w:b/>
          <w:bCs/>
          <w:color w:val="auto"/>
          <w:sz w:val="24"/>
          <w:highlight w:val="none"/>
        </w:rPr>
      </w:pPr>
      <w:r>
        <w:rPr>
          <w:rFonts w:hint="eastAsia" w:ascii="宋体" w:hAnsi="宋体" w:cs="宋体"/>
          <w:color w:val="auto"/>
          <w:sz w:val="24"/>
          <w:highlight w:val="none"/>
        </w:rPr>
        <w:t>非单一产品采购项目中，多家供应商提供的部分或所有核心产品品牌相同的，视为提供相同品牌产品。</w:t>
      </w:r>
      <w:r>
        <w:rPr>
          <w:rFonts w:hint="eastAsia" w:ascii="宋体" w:hAnsi="宋体" w:cs="宋体"/>
          <w:b/>
          <w:bCs/>
          <w:color w:val="auto"/>
          <w:sz w:val="24"/>
          <w:highlight w:val="none"/>
        </w:rPr>
        <w:t>本采购项目核心产品为：</w:t>
      </w:r>
      <w:r>
        <w:rPr>
          <w:rFonts w:hint="eastAsia" w:ascii="宋体" w:hAnsi="宋体" w:eastAsia="宋体" w:cs="宋体"/>
          <w:b/>
          <w:bCs/>
          <w:color w:val="auto"/>
          <w:kern w:val="0"/>
          <w:sz w:val="24"/>
          <w:szCs w:val="24"/>
          <w:highlight w:val="none"/>
          <w:lang w:val="en-US" w:eastAsia="zh-CN" w:bidi="ar"/>
        </w:rPr>
        <w:t>水利巡检器</w:t>
      </w:r>
      <w:r>
        <w:rPr>
          <w:rFonts w:hint="eastAsia" w:ascii="宋体" w:hAnsi="宋体" w:cs="宋体"/>
          <w:b/>
          <w:bCs/>
          <w:color w:val="auto"/>
          <w:sz w:val="24"/>
          <w:highlight w:val="none"/>
        </w:rPr>
        <w:t>。</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5.5供应商实际控制人或者中高级管理人员，同时是采购代理机构工作人员，不得参与本项目政府采购活动。</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5.6同一母公司的两家以上的子公司只能组成联合体参加本项目同一合同项下的采购活动，不得以不同供应商身份同时参加本项目同一合同项下的采购活动。</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5.7供应商与采购代理机构存在关联关系，或者是采购代理机构的母公司或子公司，不得参加本项目政府采购活动。</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5.8回避。政府采购活动中，采购人员及相关人员与供应商有下列利害关系之一的，应当回避：</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（1）参加采购活动前3年内与供应商存在劳动关系；</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（2）参加采购活动前3年内担任供应商的董事、监事；</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（3）参加采购活动前3年内是供应商的控股股东或者实际控制人；</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（4）与供应商的法定代表人或者负责人有夫妻、直系血亲、三代以内旁系血亲或者近姻亲关系；</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（5）与供应商有其他可能影响政府采购活动公平、公正进行的关系。</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供应商认为采购人员及相关人员与其他供应商有利害关系的，可以向采购代理机构书面提出回避申请，并说明理由。采购代理机构将及时询问被申请回避人员，有利害关系的被申请回避人员应当回避。 </w:t>
      </w:r>
    </w:p>
    <w:p>
      <w:pPr>
        <w:numPr>
          <w:ilvl w:val="0"/>
          <w:numId w:val="5"/>
        </w:num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联合体竞争性磋商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本项目不接受联合体磋商。</w:t>
      </w:r>
    </w:p>
    <w:p>
      <w:pPr>
        <w:numPr>
          <w:ilvl w:val="0"/>
          <w:numId w:val="5"/>
        </w:num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磋商保证金</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本项目不缴纳磋商保证金</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8.响应文件有效期（实质性要求）</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9.知识产权（实质性要求）</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9.1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9.2 除非磋商文件特别规定，采购人享有本项目实施过程中产生的知识成果及知识产权。</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9.4 如采用供应商所不拥有的知识产权，则在报价中必须包括合法获取该知识产权的相关费用。 </w:t>
      </w:r>
    </w:p>
    <w:p>
      <w:pPr>
        <w:pStyle w:val="4"/>
        <w:keepLines w:val="0"/>
        <w:spacing w:before="0" w:after="0" w:line="400" w:lineRule="exact"/>
        <w:jc w:val="center"/>
        <w:rPr>
          <w:rFonts w:ascii="宋体" w:hAnsi="宋体" w:eastAsia="宋体" w:cs="宋体"/>
          <w:color w:val="auto"/>
          <w:highlight w:val="none"/>
        </w:rPr>
      </w:pPr>
      <w:r>
        <w:rPr>
          <w:rFonts w:hint="eastAsia" w:ascii="宋体" w:hAnsi="宋体" w:eastAsia="宋体" w:cs="宋体"/>
          <w:color w:val="auto"/>
          <w:highlight w:val="none"/>
        </w:rPr>
        <w:t>三、磋商文件</w:t>
      </w:r>
    </w:p>
    <w:p>
      <w:pPr>
        <w:pStyle w:val="5"/>
        <w:keepLines w:val="0"/>
        <w:spacing w:before="0" w:after="0" w:line="400" w:lineRule="exact"/>
        <w:ind w:firstLine="482" w:firstLineChars="200"/>
        <w:rPr>
          <w:rFonts w:ascii="宋体" w:hAnsi="宋体" w:cs="宋体"/>
          <w:color w:val="auto"/>
          <w:sz w:val="24"/>
          <w:szCs w:val="24"/>
          <w:highlight w:val="none"/>
        </w:rPr>
      </w:pPr>
      <w:r>
        <w:rPr>
          <w:rFonts w:hint="eastAsia" w:ascii="宋体" w:hAnsi="宋体" w:cs="宋体"/>
          <w:color w:val="auto"/>
          <w:sz w:val="24"/>
          <w:szCs w:val="24"/>
          <w:highlight w:val="none"/>
        </w:rPr>
        <w:t xml:space="preserve"> </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10．磋商文件的构成（实质性要求）</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10.1 磋商文件是供应商准备响应文件和参加磋商的依据，同时也是磋商的重要依据。磋商文件用以阐明磋商项目所需的资质、技术、服务及报价等要求、磋商程序、有关规定和注意事项以及合同主要条款等。</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spacing w:after="0" w:line="360" w:lineRule="auto"/>
        <w:ind w:firstLine="482" w:firstLineChars="200"/>
        <w:rPr>
          <w:rFonts w:ascii="宋体" w:hAnsi="宋体" w:cs="宋体"/>
          <w:color w:val="auto"/>
          <w:sz w:val="24"/>
          <w:highlight w:val="none"/>
        </w:rPr>
      </w:pPr>
      <w:r>
        <w:rPr>
          <w:rFonts w:hint="eastAsia" w:ascii="宋体" w:hAnsi="宋体" w:cs="宋体"/>
          <w:b/>
          <w:bCs/>
          <w:color w:val="auto"/>
          <w:sz w:val="24"/>
          <w:highlight w:val="none"/>
        </w:rPr>
        <w:t>11</w:t>
      </w:r>
      <w:r>
        <w:rPr>
          <w:rFonts w:hint="eastAsia" w:ascii="宋体" w:hAnsi="宋体" w:cs="宋体"/>
          <w:color w:val="auto"/>
          <w:sz w:val="24"/>
          <w:highlight w:val="none"/>
        </w:rPr>
        <w:t>.供应商应详细阅读竞争性磋商文件的全部内容，并实质性响应竞争性磋商文件的要求，供应商未对竞争性磋商文件全面做出实质性响应是供应商的风险。</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12. 磋商文件的澄清和修改</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12.1 在递交响应文件截止时间前，采购人、采购代理机构可以对磋商文件进行澄清或者修改。</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更正通知通过供应商报名时备注的电子邮箱发送至所有购买磋商文件的供应商，供应商在收到相应更正通知后，以书面形式给予确认。如供应商未给予书面回复，则视为收到并认可该更正通知的内容。</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12.4供应商认为需要对磋商文件进行澄清或者修改的，可以以书面形式向采购人或采购代理机构提出申请，由采购人或采购代理机构决定是否采纳供应商的申请事项。</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13. 答疑会和现场考察</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13.1 根据采购项目和具体情况，采购人、采购代理机构认为有必要，可以在磋商文件提供期限截止后响应文件提交截止前，组织已获取磋商文件的潜在供应商现场考察或者召开答疑会。</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13.3 供应商考察现场或者参加答疑会所发生的一切费用由供应商自己承担。</w:t>
      </w:r>
    </w:p>
    <w:p>
      <w:pPr>
        <w:pStyle w:val="4"/>
        <w:keepLines w:val="0"/>
        <w:spacing w:before="0" w:after="0" w:line="400" w:lineRule="exact"/>
        <w:jc w:val="center"/>
        <w:rPr>
          <w:rFonts w:ascii="宋体" w:hAnsi="宋体" w:eastAsia="宋体" w:cs="宋体"/>
          <w:b w:val="0"/>
          <w:bCs w:val="0"/>
          <w:color w:val="auto"/>
          <w:highlight w:val="none"/>
        </w:rPr>
      </w:pPr>
      <w:r>
        <w:rPr>
          <w:rFonts w:hint="eastAsia" w:ascii="宋体" w:hAnsi="宋体" w:eastAsia="宋体" w:cs="宋体"/>
          <w:b w:val="0"/>
          <w:bCs w:val="0"/>
          <w:color w:val="auto"/>
          <w:highlight w:val="none"/>
        </w:rPr>
        <w:t xml:space="preserve"> </w:t>
      </w:r>
    </w:p>
    <w:p>
      <w:pPr>
        <w:pStyle w:val="4"/>
        <w:keepLines w:val="0"/>
        <w:spacing w:before="0" w:after="0" w:line="400" w:lineRule="exact"/>
        <w:jc w:val="center"/>
        <w:rPr>
          <w:rFonts w:ascii="宋体" w:hAnsi="宋体" w:eastAsia="宋体" w:cs="宋体"/>
          <w:color w:val="auto"/>
          <w:highlight w:val="none"/>
        </w:rPr>
      </w:pPr>
      <w:r>
        <w:rPr>
          <w:rFonts w:hint="eastAsia" w:ascii="宋体" w:hAnsi="宋体" w:eastAsia="宋体" w:cs="宋体"/>
          <w:color w:val="auto"/>
          <w:highlight w:val="none"/>
        </w:rPr>
        <w:t>四、响应文件</w:t>
      </w:r>
    </w:p>
    <w:p>
      <w:pPr>
        <w:rPr>
          <w:rFonts w:ascii="宋体" w:hAnsi="宋体" w:cs="宋体"/>
          <w:color w:val="auto"/>
          <w:highlight w:val="none"/>
        </w:rPr>
      </w:pPr>
      <w:r>
        <w:rPr>
          <w:rFonts w:hint="eastAsia" w:ascii="宋体" w:hAnsi="宋体" w:cs="宋体"/>
          <w:color w:val="auto"/>
          <w:highlight w:val="none"/>
        </w:rPr>
        <w:t xml:space="preserve"> </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14.响应文件的组成</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14.1供应商应按照磋商文件的规定和要求编制响应文件。供应商在成交后将成交项目的非主体、非关键性工作分包他人完成的，应当在响应文件中载明。（实质性要求）</w:t>
      </w:r>
    </w:p>
    <w:p>
      <w:pPr>
        <w:spacing w:after="0" w:line="360" w:lineRule="auto"/>
        <w:ind w:firstLine="480" w:firstLineChars="200"/>
        <w:rPr>
          <w:rFonts w:ascii="宋体" w:hAnsi="宋体" w:cs="宋体"/>
          <w:b/>
          <w:bCs/>
          <w:color w:val="auto"/>
          <w:sz w:val="24"/>
          <w:highlight w:val="none"/>
        </w:rPr>
      </w:pPr>
      <w:r>
        <w:rPr>
          <w:rFonts w:hint="eastAsia" w:ascii="宋体" w:hAnsi="宋体" w:cs="宋体"/>
          <w:color w:val="auto"/>
          <w:sz w:val="24"/>
          <w:highlight w:val="none"/>
        </w:rPr>
        <w:t>14.2供应商编写的响应文件应包括资格性响应文件和其他响应文件两部分，分册装订。</w:t>
      </w:r>
      <w:r>
        <w:rPr>
          <w:rFonts w:hint="eastAsia" w:ascii="宋体" w:hAnsi="宋体" w:cs="宋体"/>
          <w:b/>
          <w:bCs/>
          <w:color w:val="auto"/>
          <w:sz w:val="24"/>
          <w:highlight w:val="none"/>
        </w:rPr>
        <w:t xml:space="preserve"> </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文件一：资格性响应文件</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包括但不限于竞争性磋商文件第四章规定的资格证明材料。</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文件二：其他响应文件</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包括但不限于竞争性磋商文件第三章格式要求的内容</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14.3补充、修改的内容作为响应文件的组成部分。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14.4最后报价是供应商响应文件的有效组成部分。</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15.响应文件的语言（实质性要求）</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15.1供应商提交的响应文件以及供应商与采购组织单位就有关磋商采购的所有来往书面文件均须使用中文。响应文件中如附有外文资料，主要部分对应翻译成中文并加盖供应商公章后附在相关外文资料后面。</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15.2 翻译的中文资料与外文资料如果出现差异和矛盾时，以中文为准。涉嫌虚假响应的按照相关法律法规处理。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15.3 如因未翻译而造成的响应文件无效风险，由供应商承担。</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16．计量单位（实质性要求）</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除磋商文件中另有规定外，本次采购项目所有合同项下的报价均采用国家法定的计量单位。</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17. 报价</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17.1本次磋商项目的报价货币为人民币，报价以磋商文件规定为准。（实质性要求）</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17.2供应商在响应文件中可不提供报价，在磋商现场由磋商小组通知进行现场报价。（报价表格式详见附件</w:t>
      </w:r>
      <w:r>
        <w:rPr>
          <w:rFonts w:hint="eastAsia" w:ascii="宋体" w:hAnsi="宋体" w:cs="宋体"/>
          <w:color w:val="auto"/>
          <w:sz w:val="24"/>
          <w:highlight w:val="none"/>
          <w:lang w:val="en-US" w:eastAsia="zh-CN"/>
        </w:rPr>
        <w:t>一</w:t>
      </w:r>
      <w:r>
        <w:rPr>
          <w:rFonts w:hint="eastAsia" w:ascii="宋体" w:hAnsi="宋体" w:cs="宋体"/>
          <w:color w:val="auto"/>
          <w:sz w:val="24"/>
          <w:highlight w:val="none"/>
        </w:rPr>
        <w:t>,由供应商自行准备。）</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17.3本项目磋商采购最后报价采用现场报价，通过资格审查及实质性审查（最后报价除外）的供应商按磋商小组要求进行报价。</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17.4供应商报价（包括最后报价）应为完成本竞争性磋商文件中所要求的货物及服务所应包括内容的所有价格。</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17.5成交供应商的成交价是以最后报价表的报价为准，并以此作为结算的依据。</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17.6供应商提交的报价（包括最后报价）不得超过本项目采购预算，否则将作为无效响应处理。</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18.响应文件格式</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18.1 供应商应执行磋商文件第三章的规定要求。</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18.2 对于没有格式要求的磋商文件由供应商自行编写。</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19.响应文件的编制和签署</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19.1 资格性响应文件正本1份副本2份，并在其封面上清楚地标明资格性响应文件、采购项目名称、采购项目编号、包件号及名称（若有）、供应商名称以及“正本”或“副本”字样。若正本和副本有不一致的内容，以正本书面响应文件为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19.2 其他响应文件正本1份副本2份，并在其封面上清楚地标明其他响应文件、采购项目名称、采购项目编号、包件号及名称（若有）、供应商名称以及“正本”或“副本”字样。若正本和副本有不一致的内容，以正本书面响应文件为准。</w:t>
      </w:r>
    </w:p>
    <w:p>
      <w:pPr>
        <w:spacing w:after="0" w:line="360" w:lineRule="auto"/>
        <w:ind w:firstLine="480" w:firstLineChars="200"/>
        <w:rPr>
          <w:rFonts w:ascii="宋体" w:hAnsi="宋体" w:cs="宋体"/>
          <w:b/>
          <w:bCs/>
          <w:color w:val="auto"/>
          <w:sz w:val="24"/>
          <w:highlight w:val="none"/>
        </w:rPr>
      </w:pPr>
      <w:r>
        <w:rPr>
          <w:rFonts w:hint="eastAsia" w:ascii="宋体" w:hAnsi="宋体" w:cs="宋体"/>
          <w:color w:val="auto"/>
          <w:sz w:val="24"/>
          <w:highlight w:val="none"/>
        </w:rPr>
        <w:t>19.3 响应文件正本和副本均需在规定签章处签字和盖章。响应文件副本可采用正本的复印件，</w:t>
      </w:r>
      <w:r>
        <w:rPr>
          <w:rFonts w:hint="eastAsia" w:ascii="宋体" w:hAnsi="宋体" w:cs="宋体"/>
          <w:b/>
          <w:bCs/>
          <w:color w:val="auto"/>
          <w:sz w:val="24"/>
          <w:highlight w:val="none"/>
        </w:rPr>
        <w:t>提供电子文档1份采用U盘制作，电子文档可单独密封。</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19.4响应文件的打印和书写应清楚工整，任何行间插字、涂改或增删，必须由供应商的法定代表人/单位负责人或其授权代表签字并盖供应商公章。</w:t>
      </w:r>
    </w:p>
    <w:p>
      <w:pPr>
        <w:spacing w:after="0" w:line="360" w:lineRule="auto"/>
        <w:ind w:firstLine="480" w:firstLineChars="200"/>
        <w:rPr>
          <w:rFonts w:ascii="宋体" w:hAnsi="宋体" w:cs="宋体"/>
          <w:color w:val="auto"/>
          <w:highlight w:val="none"/>
        </w:rPr>
      </w:pPr>
      <w:r>
        <w:rPr>
          <w:rFonts w:hint="eastAsia" w:ascii="宋体" w:hAnsi="宋体" w:cs="宋体"/>
          <w:color w:val="auto"/>
          <w:sz w:val="24"/>
          <w:highlight w:val="none"/>
        </w:rPr>
        <w:t>19.5</w:t>
      </w:r>
      <w:r>
        <w:rPr>
          <w:rFonts w:hint="eastAsia" w:ascii="宋体" w:hAnsi="宋体" w:cs="宋体"/>
          <w:b/>
          <w:bCs/>
          <w:color w:val="auto"/>
          <w:sz w:val="24"/>
          <w:highlight w:val="none"/>
        </w:rPr>
        <w:t>（实质性要求）</w:t>
      </w:r>
      <w:r>
        <w:rPr>
          <w:rFonts w:hint="eastAsia" w:ascii="宋体" w:hAnsi="宋体" w:cs="宋体"/>
          <w:color w:val="auto"/>
          <w:sz w:val="24"/>
          <w:highlight w:val="none"/>
        </w:rPr>
        <w:t>响应文件应由供应商法定代表人/主要负责人/本人或其授权代表在响应文件要求的地方签字（注：供应商为法人的，应当由其法定代表人或者授权代表签字确认；供应商为其他组织的，应当由其主要负责人或者授权代表签字确认；供应商为自然人的，应当由其本人或者授权代表签字确认）或加盖私人印章，要求加盖公章的地方加盖单位公章，不得使用专用章（如经济合同章、投标专用章等）或下属单位印章代替。</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19.6响应文件正本和副本需要逐页编目编码。</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19.7响应文件正本和副本应当采用胶装方式装订成册，不得散装或者合页装订。</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19.8</w:t>
      </w:r>
      <w:r>
        <w:rPr>
          <w:rFonts w:hint="eastAsia" w:ascii="宋体" w:hAnsi="宋体" w:cs="宋体"/>
          <w:b/>
          <w:bCs/>
          <w:color w:val="auto"/>
          <w:sz w:val="24"/>
          <w:highlight w:val="none"/>
        </w:rPr>
        <w:t>（实质性要求）</w:t>
      </w:r>
      <w:r>
        <w:rPr>
          <w:rFonts w:hint="eastAsia" w:ascii="宋体" w:hAnsi="宋体" w:cs="宋体"/>
          <w:color w:val="auto"/>
          <w:sz w:val="24"/>
          <w:highlight w:val="none"/>
        </w:rPr>
        <w:t>响应文件应按磋商文件的要求签署、盖章。</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19.9响应文件统一用A4幅面纸印制，除另有规定外。</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20.响应文件的密封和标注</w:t>
      </w:r>
      <w:r>
        <w:rPr>
          <w:rFonts w:hint="eastAsia" w:ascii="宋体" w:hAnsi="宋体" w:cs="宋体"/>
          <w:color w:val="auto"/>
          <w:sz w:val="24"/>
          <w:highlight w:val="none"/>
        </w:rPr>
        <w:t>（不属于本项目磋商小组评审范畴，由采购人、采购代理机构在接收响应文件时及时处理）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20.1 响应文件可以单独密封包装，也可以所有响应文件密封包装在一个密封袋内。</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20.2 响应文件密封袋的最外层应清楚地标明采购项目名称、采购项目编号、包件号及名称（若有）、供应商名称。</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20.3 所有外层密封袋的封口处应粘贴牢固。</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20.4 未密封的响应文件，采购人、采购代理机构将拒收或者在时间允许的范围内，要求修改完善后接收。</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21.响应文件的递交</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21.1 资格性响应文件和其他响应文件应于递交响应文件截止时间前送达指定地点，采购代理机构拒绝接收截止时间后送达的响应文件。</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 递交响应文件时，供应商名称和响应文件的项目编号应当与报名供应商名称和磋商文件的项目编号一致。但是，响应文件实质性内容与报名供应商名称和磋商文件的项目编号一致，只是封面文字错误的，可以在评审过程中当面予以澄清，以有效的澄清材料作为认定响应文件是否有效的依据。</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21.3本次采购不接收邮寄的响应文件。</w:t>
      </w:r>
    </w:p>
    <w:p>
      <w:pPr>
        <w:spacing w:after="0" w:line="360" w:lineRule="auto"/>
        <w:ind w:firstLine="482" w:firstLineChars="200"/>
        <w:rPr>
          <w:rFonts w:ascii="宋体" w:hAnsi="宋体" w:cs="宋体"/>
          <w:color w:val="auto"/>
          <w:sz w:val="24"/>
          <w:highlight w:val="none"/>
        </w:rPr>
      </w:pPr>
      <w:r>
        <w:rPr>
          <w:rFonts w:hint="eastAsia" w:ascii="宋体" w:hAnsi="宋体" w:cs="宋体"/>
          <w:b/>
          <w:bCs/>
          <w:color w:val="auto"/>
          <w:sz w:val="24"/>
          <w:highlight w:val="none"/>
        </w:rPr>
        <w:t>22.响应文件的修改和撤回</w:t>
      </w:r>
      <w:r>
        <w:rPr>
          <w:rFonts w:hint="eastAsia" w:ascii="宋体" w:hAnsi="宋体" w:cs="宋体"/>
          <w:color w:val="auto"/>
          <w:sz w:val="24"/>
          <w:highlight w:val="none"/>
        </w:rPr>
        <w:t>（补充、修改响应文件的密封和标注按照本章“20.响应文件的密封和标注”规定处理）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22.2供应商对响应文件修改的书面材料或撤回的通知应该按规定进行编写、密封、标注和递送，并注明“修改响应文件”字样。</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22.3供应商不得在递交截止时间起至响应文件有效期期满前撤销其响应文件。否则其磋商保证金将按相关规定不予退还。</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22.4供应商对其提交的响应文件的真实性、合法性承担法律责任。</w:t>
      </w:r>
    </w:p>
    <w:p>
      <w:pPr>
        <w:rPr>
          <w:color w:val="auto"/>
          <w:highlight w:val="none"/>
        </w:rPr>
        <w:sectPr>
          <w:footerReference r:id="rId12" w:type="default"/>
          <w:footerReference r:id="rId13" w:type="even"/>
          <w:pgSz w:w="11850" w:h="16790"/>
          <w:pgMar w:top="1440" w:right="1083" w:bottom="1440" w:left="1083" w:header="850" w:footer="992" w:gutter="0"/>
          <w:cols w:space="720" w:num="1"/>
        </w:sectPr>
      </w:pPr>
    </w:p>
    <w:p>
      <w:pPr>
        <w:pStyle w:val="4"/>
        <w:keepLines w:val="0"/>
        <w:spacing w:before="0" w:after="0" w:line="400" w:lineRule="exact"/>
        <w:jc w:val="center"/>
        <w:rPr>
          <w:rFonts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 </w:t>
      </w:r>
    </w:p>
    <w:p>
      <w:pPr>
        <w:pStyle w:val="4"/>
        <w:keepLines w:val="0"/>
        <w:spacing w:before="0" w:after="0" w:line="400" w:lineRule="exact"/>
        <w:jc w:val="center"/>
        <w:rPr>
          <w:rFonts w:ascii="宋体" w:hAnsi="宋体" w:eastAsia="宋体" w:cs="宋体"/>
          <w:color w:val="auto"/>
          <w:highlight w:val="none"/>
        </w:rPr>
      </w:pPr>
      <w:r>
        <w:rPr>
          <w:rFonts w:hint="eastAsia" w:ascii="宋体" w:hAnsi="宋体" w:eastAsia="宋体" w:cs="宋体"/>
          <w:color w:val="auto"/>
          <w:highlight w:val="none"/>
        </w:rPr>
        <w:t>五、磋商会</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23.磋商会人员</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采购代理机构在磋商文件规定的时间和地点组织磋商，采购人、供应商须派授权代表参加并签到以证明其出席，磋商会由采购代理机构主持。</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24.磋商会内容</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磋商会主持人按照磋商文件规定宣布响应文件递交截止时间，按照规定主持磋商会。将按以下程序进行：</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（1）宣布磋商会开始。响应文件递交截止时间已到，主持人宣布磋商会开始并致辞；</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（2）宣布会场纪律和有关注意事项；</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确认响应文件的密封情况，是指供应商确认自己递交的响应文件的密封情况，不代表对其他供应商的响应文件的密封情况确认。供应商或者其推选的代表对其他供应商的响应文件密封情况有异议的，可以当场向会议主持人或者现场监督人员反映，要求现场记录人员予以记录，但不得干扰、阻挠磋商会议工作的正常进行；</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（4）供应商不足3家的，终止竞争性磋商采购活动，并发布终止竞争性磋商公告；</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宣布磋商会结束，所有供应商代表应立即退场，同时所有供应商应保持通讯设备畅通，以方便进行下一步的磋商活动和在评审过程中磋商小组要求供应商对响应文件的必要澄清、说明或者更正。评审结果供应商在“四川政府采购网”查询。</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25.电子监控档案</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本项目磋商会和评审过程进行全过程电子监控，并将电子监控资料存储介质留存归档。</w:t>
      </w:r>
    </w:p>
    <w:p>
      <w:pPr>
        <w:pStyle w:val="4"/>
        <w:keepLines w:val="0"/>
        <w:spacing w:before="0" w:after="0" w:line="400" w:lineRule="exact"/>
        <w:jc w:val="center"/>
        <w:rPr>
          <w:rFonts w:ascii="宋体" w:hAnsi="宋体" w:eastAsia="宋体" w:cs="宋体"/>
          <w:color w:val="auto"/>
          <w:highlight w:val="none"/>
        </w:rPr>
      </w:pPr>
      <w:r>
        <w:rPr>
          <w:rFonts w:hint="eastAsia" w:ascii="宋体" w:hAnsi="宋体" w:eastAsia="宋体" w:cs="宋体"/>
          <w:color w:val="auto"/>
          <w:highlight w:val="none"/>
        </w:rPr>
        <w:t>六、评审</w:t>
      </w:r>
    </w:p>
    <w:p>
      <w:pPr>
        <w:rPr>
          <w:rFonts w:ascii="宋体" w:hAnsi="宋体" w:cs="宋体"/>
          <w:color w:val="auto"/>
          <w:highlight w:val="none"/>
        </w:rPr>
      </w:pPr>
      <w:r>
        <w:rPr>
          <w:rFonts w:hint="eastAsia" w:ascii="宋体" w:hAnsi="宋体" w:cs="宋体"/>
          <w:color w:val="auto"/>
          <w:highlight w:val="none"/>
        </w:rPr>
        <w:t xml:space="preserve"> </w:t>
      </w:r>
    </w:p>
    <w:p>
      <w:pPr>
        <w:pStyle w:val="4"/>
        <w:keepLines w:val="0"/>
        <w:spacing w:line="400" w:lineRule="exact"/>
        <w:ind w:firstLine="482"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26.磋商小组的组建及其评审工作按照有关法律制度和本文件第八章的规定进行。</w:t>
      </w:r>
    </w:p>
    <w:p>
      <w:pPr>
        <w:pStyle w:val="4"/>
        <w:keepLines w:val="0"/>
        <w:spacing w:before="0" w:after="0" w:line="400" w:lineRule="exact"/>
        <w:jc w:val="center"/>
        <w:rPr>
          <w:rFonts w:ascii="宋体" w:hAnsi="宋体" w:eastAsia="宋体" w:cs="宋体"/>
          <w:color w:val="auto"/>
          <w:highlight w:val="none"/>
        </w:rPr>
      </w:pPr>
      <w:r>
        <w:rPr>
          <w:rFonts w:hint="eastAsia" w:ascii="宋体" w:hAnsi="宋体" w:eastAsia="宋体" w:cs="宋体"/>
          <w:color w:val="auto"/>
          <w:highlight w:val="none"/>
        </w:rPr>
        <w:t xml:space="preserve"> </w:t>
      </w:r>
    </w:p>
    <w:p>
      <w:pPr>
        <w:pStyle w:val="4"/>
        <w:keepLines w:val="0"/>
        <w:spacing w:before="0" w:after="0" w:line="400" w:lineRule="exact"/>
        <w:jc w:val="center"/>
        <w:rPr>
          <w:rFonts w:ascii="宋体" w:hAnsi="宋体" w:eastAsia="宋体" w:cs="宋体"/>
          <w:color w:val="auto"/>
          <w:highlight w:val="none"/>
        </w:rPr>
      </w:pPr>
      <w:r>
        <w:rPr>
          <w:rFonts w:hint="eastAsia" w:ascii="宋体" w:hAnsi="宋体" w:eastAsia="宋体" w:cs="宋体"/>
          <w:color w:val="auto"/>
          <w:highlight w:val="none"/>
        </w:rPr>
        <w:t>七、成交事项</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27.确定成交供应商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采购人将按磋商小组推荐的成交候选供应商中，按照排序由高到低的原则确定成交供应商。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27.1采购组织单位自评审结束后2个工作日内将磋商报告及有关资料送交采购人确定成交供应商。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27.2采购人收到磋商报告及有关资料后，应当在5个工作日内按照磋商报告中推荐的成交候选供应商顺序确定成交供应商。成交候选供应商并列的，由采购人自主采取公平、择优的方式选择成交供应商。采购人逾期未确定成交供应商且不提出异议的，视为确定磋商报告提出的排序第一的供应商为成交供应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27.3采购人收到磋商报告后，采购人因客观情况不能在规定时间内确定成交供应商的，应当向各方当事人说明情况。</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27.4采购人确定成交供应商过程中，发现成交候选供应商有下列情形之一的，应当不予确定其为成交供应商：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（1）发现成交候选供应商存在禁止参加本项目采购活动的违法行为的；</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（2）成交候选供应商因不可抗力，不能继续参加政府采购活动；</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（3）成交候选供应商无偿赠与或者低于成本价竞争；</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（4）成交候选供应商提供虚假材料；</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（5）成交候选供应商恶意串通。</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成交候选供应商有本条情形之一的，采购人可以确定后一位成交候选供应商为成交供应商，依次类推。无法确定成交供应商的，应当重新组织采购。</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28.行贿犯罪档案查询</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28.1根据《最高人民检察院关于行贿犯罪档案查询工作的规定》和《关于在政府采购活动中全面开展行贿犯罪档案查询的通知》（川检会[2016]5号）的要求，在本项目采购过程中按下列要求执行：</w:t>
      </w:r>
    </w:p>
    <w:p>
      <w:pPr>
        <w:spacing w:after="0" w:line="360" w:lineRule="auto"/>
        <w:ind w:firstLine="480" w:firstLineChars="200"/>
        <w:rPr>
          <w:color w:val="auto"/>
          <w:highlight w:val="none"/>
        </w:rPr>
      </w:pPr>
      <w:r>
        <w:rPr>
          <w:rFonts w:hint="eastAsia" w:ascii="宋体" w:hAnsi="宋体" w:cs="宋体"/>
          <w:color w:val="auto"/>
          <w:sz w:val="24"/>
          <w:highlight w:val="none"/>
        </w:rPr>
        <w:t>28.2</w:t>
      </w:r>
      <w:r>
        <w:rPr>
          <w:rFonts w:hint="eastAsia" w:ascii="宋体" w:hAnsi="宋体" w:cs="宋体"/>
          <w:b/>
          <w:bCs/>
          <w:color w:val="auto"/>
          <w:sz w:val="24"/>
          <w:highlight w:val="none"/>
        </w:rPr>
        <w:t>（实质性要求）</w:t>
      </w:r>
      <w:r>
        <w:rPr>
          <w:rFonts w:hint="eastAsia" w:ascii="宋体" w:hAnsi="宋体" w:cs="宋体"/>
          <w:color w:val="auto"/>
          <w:sz w:val="24"/>
          <w:highlight w:val="none"/>
        </w:rPr>
        <w:t>在政府采购活动中，采购人、采购代理机构在磋商文件中规定供应商单位及其现任法定代表人、主要负责人不得具有行贿犯罪记录，供应商应在投标文件中承诺，否则供应商响应文件应当认定为无效。</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29.成交结果</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29.1采购人确定成交供应商后，将及时书面通知采购代理机构，发出成交通知书并发布成交结果公告。</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29.2成交供应商应当及时领取成交通知书。</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30.成交通知书</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30.1成交通知书为签订政府采购合同的依据之一，是合同的有效组成部分。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30.2成交通知书对采购人和成交供应商均具有法律效力。成交通知书发出后，采购人无正当理由改变成交结果，或者成交供应商无正当理由放弃成交的，将承担相应的法律责任。</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30.3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rPr>
          <w:rFonts w:ascii="宋体" w:hAnsi="宋体" w:cs="宋体"/>
          <w:color w:val="auto"/>
          <w:szCs w:val="21"/>
          <w:highlight w:val="none"/>
        </w:rPr>
      </w:pPr>
      <w:r>
        <w:rPr>
          <w:rFonts w:hint="eastAsia" w:ascii="宋体" w:hAnsi="宋体" w:cs="宋体"/>
          <w:color w:val="auto"/>
          <w:highlight w:val="none"/>
        </w:rPr>
        <w:t xml:space="preserve"> </w:t>
      </w:r>
    </w:p>
    <w:p>
      <w:pPr>
        <w:pStyle w:val="4"/>
        <w:keepLines w:val="0"/>
        <w:spacing w:before="0" w:after="0" w:line="400" w:lineRule="exact"/>
        <w:jc w:val="center"/>
        <w:rPr>
          <w:rFonts w:ascii="宋体" w:hAnsi="宋体" w:eastAsia="宋体" w:cs="宋体"/>
          <w:color w:val="auto"/>
          <w:highlight w:val="none"/>
        </w:rPr>
      </w:pPr>
      <w:r>
        <w:rPr>
          <w:rFonts w:hint="eastAsia" w:ascii="宋体" w:hAnsi="宋体" w:eastAsia="宋体" w:cs="宋体"/>
          <w:color w:val="auto"/>
          <w:highlight w:val="none"/>
        </w:rPr>
        <w:t>八、合同事项</w:t>
      </w:r>
    </w:p>
    <w:p>
      <w:pPr>
        <w:pStyle w:val="4"/>
        <w:keepLines w:val="0"/>
        <w:spacing w:before="0" w:after="0" w:line="400" w:lineRule="exact"/>
        <w:ind w:firstLine="470" w:firstLineChars="196"/>
        <w:rPr>
          <w:rFonts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 </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31.签订合同</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31.1 成交供应商应在成交通知书发出之日起三十日内与采购人签订采购合同。由于成交供应商的原因逾期未与采购人签订采购合同的，将视为放弃成交，取消其成交资格并将按相关规定进行处理。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31.2 磋商文件、成交供应商的响应文件及双方确认的澄清文件等，均为有法律约束力的合同组成部分。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31.4 成交供应商因不可抗力原因不能履行采购合同或放弃成交的，采购人可以与排在成交供应商之后第一位的成交候选人签订采购合同，以此类推。</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31.5竞争性磋商文件、成交供应商提交的响应文件、磋商中的最后报价、成交供应商承诺书、成交通知书等均称为有法律约束力的合同组成内容。</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32.合同分包（实质性要求）</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本项目不允许合同分包。</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33.合同转包（实质性要求）</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成交供应商转包的，视同拒绝履行政府采购合同义务，将依法追究法律责任。</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34.补充合同</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35.履约保证金</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本项目不缴纳履约保证金。</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36.合同公告</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采购人应当自政府采购合同签订（双方当事人均已签字盖章）之日起2个工作日内，将政府采购合同在四川政府采购网上公告，但政府采购合同中涉及国家秘密、商业秘密的内容除外。</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37.合同备案</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采购人应当将政府采购合同副本自签订（双方当事人均已签字盖章）之日起七个工作日内通过四川政府采购网报同级财政部门备案。</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38.履行合同</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38.1 成交供应商与采购人签订合同后，合同双方应严格执行合同条款，履行合同规定的义务，保证合同的顺利完成。</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38.2 在合同履行过程中，如发生合同纠纷，合同双方应按照《中华人民共和国民法典》的有关规定进行处理。</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39.验收</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39.1本项目采购人及其委托的采购代理机构将严格按照政府采购相关法律法规以及财政部关于进一步加强政府采购需求和履约验收管理的指导意见》（财库〔2016〕205号）的要求及参考《四川省政府采购项目需求论证和履约验收管理办法》（川财采〔2015〕32号）文件规定的要求进行验收。</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39.2 验收结果合格的，成交供应商凭验收报告办理相关手续；验收结果不合格的，履约保证金将不予退还，也将不予支付采购资金，还可能会报本项目同级财政部门按照政府采购法律法规有关规定给予行政处罚。</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40.资金支付</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采购人将按照政府采购合同规定，及时向成交供应商支付采购资金。本项目采购资金付款详见第六章规定的付款方式。</w:t>
      </w:r>
    </w:p>
    <w:p>
      <w:pPr>
        <w:pStyle w:val="4"/>
        <w:keepLines w:val="0"/>
        <w:spacing w:before="0" w:after="0" w:line="400" w:lineRule="exact"/>
        <w:jc w:val="center"/>
        <w:rPr>
          <w:rFonts w:ascii="宋体" w:hAnsi="宋体" w:eastAsia="宋体" w:cs="宋体"/>
          <w:color w:val="auto"/>
          <w:highlight w:val="none"/>
        </w:rPr>
      </w:pPr>
    </w:p>
    <w:p>
      <w:pPr>
        <w:pStyle w:val="4"/>
        <w:keepLines w:val="0"/>
        <w:spacing w:before="0" w:after="0" w:line="400" w:lineRule="exact"/>
        <w:jc w:val="center"/>
        <w:rPr>
          <w:rFonts w:ascii="宋体" w:hAnsi="宋体" w:eastAsia="宋体" w:cs="宋体"/>
          <w:color w:val="auto"/>
          <w:highlight w:val="none"/>
        </w:rPr>
      </w:pPr>
      <w:r>
        <w:rPr>
          <w:rFonts w:hint="eastAsia" w:ascii="宋体" w:hAnsi="宋体" w:eastAsia="宋体" w:cs="宋体"/>
          <w:color w:val="auto"/>
          <w:highlight w:val="none"/>
        </w:rPr>
        <w:t>九、磋商纪律要求</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41.供应商不得具有的情形</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供应商参加本项目磋商不得有下列情形：</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（1）提供虚假材料谋取成交；</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（2）采取不正当手段诋毁、排挤其他供应商；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（3）与采购人、采购代理机构、或其他供应商恶意串通；</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（4）向采购人、采购代理机构、磋商小组成员行贿或者提供其他不正当利益；</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（5）在磋商过程中与采购人、采购代理机构进行协商；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（6）成交后无正当理由拒不与采购人签订政府采购合同；</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（7）未按照磋商文件确定的事项签订政府采购合同；</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（8）将政府采购合同转包或者违规分包；</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（9）提供假冒伪劣产品；</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（10）擅自变更、中止或者终止政府采购合同；</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（11）拒绝有关部门的监督检查或者向监督检查部门提供虚假情况；</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（12）法律法规规定的其他情形。</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供应商有上述情形的，按照规定追究法律责任，具备（1）-（10）条情形之一的，同时将取消被确认为成交供应商的资格或者认定成交无效。</w:t>
      </w:r>
    </w:p>
    <w:p>
      <w:pPr>
        <w:pStyle w:val="27"/>
        <w:ind w:left="840" w:hanging="420"/>
        <w:rPr>
          <w:color w:val="auto"/>
          <w:highlight w:val="none"/>
        </w:rPr>
      </w:pPr>
    </w:p>
    <w:p>
      <w:pPr>
        <w:pStyle w:val="4"/>
        <w:keepLines w:val="0"/>
        <w:spacing w:before="0" w:after="0" w:line="400" w:lineRule="exact"/>
        <w:jc w:val="center"/>
        <w:rPr>
          <w:rFonts w:ascii="宋体" w:hAnsi="宋体" w:eastAsia="宋体" w:cs="宋体"/>
          <w:color w:val="auto"/>
          <w:highlight w:val="none"/>
        </w:rPr>
      </w:pPr>
      <w:r>
        <w:rPr>
          <w:rFonts w:hint="eastAsia" w:ascii="宋体" w:hAnsi="宋体" w:eastAsia="宋体" w:cs="宋体"/>
          <w:color w:val="auto"/>
          <w:highlight w:val="none"/>
        </w:rPr>
        <w:t xml:space="preserve"> 十、询问、质疑和投诉</w:t>
      </w:r>
    </w:p>
    <w:p>
      <w:pPr>
        <w:rPr>
          <w:rFonts w:ascii="宋体" w:hAnsi="宋体" w:cs="宋体"/>
          <w:color w:val="auto"/>
          <w:highlight w:val="none"/>
        </w:rPr>
      </w:pP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42.询问、质疑、投诉的接收和处理严格按照《中华人民共和国政府采购法》、《中华人民共和国政府采购法实施条例》、《财政部关于加强政府采购供应商投诉受理审查工作的通知》、《政府采购质疑和投诉办法》和四川省的有关规定办理（详细规定请在四川政府采购网政策法规模块查询）。</w:t>
      </w:r>
    </w:p>
    <w:p>
      <w:pPr>
        <w:pStyle w:val="4"/>
        <w:keepLines w:val="0"/>
        <w:spacing w:before="0" w:after="0" w:line="400" w:lineRule="exact"/>
        <w:jc w:val="center"/>
        <w:rPr>
          <w:rFonts w:ascii="宋体" w:hAnsi="宋体" w:eastAsia="宋体" w:cs="宋体"/>
          <w:color w:val="auto"/>
          <w:highlight w:val="none"/>
        </w:rPr>
      </w:pPr>
      <w:r>
        <w:rPr>
          <w:rFonts w:hint="eastAsia" w:ascii="宋体" w:hAnsi="宋体" w:eastAsia="宋体" w:cs="宋体"/>
          <w:color w:val="auto"/>
          <w:highlight w:val="none"/>
        </w:rPr>
        <w:t xml:space="preserve"> </w:t>
      </w:r>
    </w:p>
    <w:p>
      <w:pPr>
        <w:pStyle w:val="4"/>
        <w:keepLines w:val="0"/>
        <w:spacing w:before="0" w:after="0" w:line="400" w:lineRule="exact"/>
        <w:jc w:val="center"/>
        <w:rPr>
          <w:rFonts w:ascii="宋体" w:hAnsi="宋体" w:eastAsia="宋体" w:cs="宋体"/>
          <w:color w:val="auto"/>
          <w:highlight w:val="none"/>
        </w:rPr>
      </w:pPr>
      <w:r>
        <w:rPr>
          <w:rFonts w:hint="eastAsia" w:ascii="宋体" w:hAnsi="宋体" w:eastAsia="宋体" w:cs="宋体"/>
          <w:color w:val="auto"/>
          <w:highlight w:val="none"/>
        </w:rPr>
        <w:t>十一、其  他</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43.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after="0" w:line="360" w:lineRule="auto"/>
        <w:ind w:firstLine="480" w:firstLineChars="200"/>
        <w:jc w:val="left"/>
        <w:rPr>
          <w:rFonts w:ascii="宋体" w:hAnsi="宋体"/>
          <w:color w:val="auto"/>
          <w:kern w:val="0"/>
          <w:sz w:val="24"/>
          <w:highlight w:val="none"/>
        </w:rPr>
      </w:pPr>
      <w:bookmarkStart w:id="17" w:name="_Toc1368"/>
      <w:bookmarkStart w:id="18" w:name="_Toc217446083"/>
      <w:r>
        <w:rPr>
          <w:rFonts w:hint="eastAsia" w:ascii="宋体" w:hAnsi="宋体"/>
          <w:bCs/>
          <w:color w:val="auto"/>
          <w:sz w:val="24"/>
          <w:highlight w:val="none"/>
        </w:rPr>
        <w:t>44．</w:t>
      </w:r>
      <w:r>
        <w:rPr>
          <w:rFonts w:ascii="宋体" w:hAnsi="宋体"/>
          <w:bCs/>
          <w:color w:val="auto"/>
          <w:sz w:val="24"/>
          <w:highlight w:val="none"/>
        </w:rPr>
        <w:t>国</w:t>
      </w:r>
      <w:r>
        <w:rPr>
          <w:rFonts w:ascii="宋体" w:hAnsi="宋体"/>
          <w:color w:val="auto"/>
          <w:sz w:val="24"/>
          <w:highlight w:val="none"/>
        </w:rPr>
        <w:t>家</w:t>
      </w:r>
      <w:r>
        <w:rPr>
          <w:rFonts w:hint="eastAsia" w:ascii="宋体" w:hAnsi="宋体"/>
          <w:color w:val="auto"/>
          <w:sz w:val="24"/>
          <w:highlight w:val="none"/>
        </w:rPr>
        <w:t>或行业主管部门</w:t>
      </w:r>
      <w:r>
        <w:rPr>
          <w:rFonts w:ascii="宋体" w:hAnsi="宋体"/>
          <w:color w:val="auto"/>
          <w:sz w:val="24"/>
          <w:highlight w:val="none"/>
        </w:rPr>
        <w:t>对</w:t>
      </w:r>
      <w:r>
        <w:rPr>
          <w:rFonts w:hint="eastAsia" w:ascii="宋体" w:hAnsi="宋体"/>
          <w:color w:val="auto"/>
          <w:sz w:val="24"/>
          <w:highlight w:val="none"/>
        </w:rPr>
        <w:t>采购产品的</w:t>
      </w:r>
      <w:r>
        <w:rPr>
          <w:rFonts w:ascii="宋体" w:hAnsi="宋体"/>
          <w:color w:val="auto"/>
          <w:sz w:val="24"/>
          <w:highlight w:val="none"/>
        </w:rPr>
        <w:t>技术</w:t>
      </w:r>
      <w:r>
        <w:rPr>
          <w:rFonts w:hint="eastAsia" w:ascii="宋体" w:hAnsi="宋体"/>
          <w:color w:val="auto"/>
          <w:sz w:val="24"/>
          <w:highlight w:val="none"/>
        </w:rPr>
        <w:t>标准、</w:t>
      </w:r>
      <w:r>
        <w:rPr>
          <w:rFonts w:ascii="宋体" w:hAnsi="宋体"/>
          <w:color w:val="auto"/>
          <w:sz w:val="24"/>
          <w:highlight w:val="none"/>
        </w:rPr>
        <w:t>质量</w:t>
      </w:r>
      <w:r>
        <w:rPr>
          <w:rFonts w:hint="eastAsia" w:ascii="宋体" w:hAnsi="宋体"/>
          <w:color w:val="auto"/>
          <w:sz w:val="24"/>
          <w:highlight w:val="none"/>
        </w:rPr>
        <w:t>标准和资格资质条件</w:t>
      </w:r>
      <w:r>
        <w:rPr>
          <w:rFonts w:ascii="宋体" w:hAnsi="宋体"/>
          <w:color w:val="auto"/>
          <w:sz w:val="24"/>
          <w:highlight w:val="none"/>
        </w:rPr>
        <w:t>等有</w:t>
      </w:r>
      <w:r>
        <w:rPr>
          <w:rFonts w:hint="eastAsia" w:ascii="宋体" w:hAnsi="宋体"/>
          <w:color w:val="auto"/>
          <w:sz w:val="24"/>
          <w:highlight w:val="none"/>
        </w:rPr>
        <w:t>强制性规定</w:t>
      </w:r>
      <w:r>
        <w:rPr>
          <w:rFonts w:ascii="宋体" w:hAnsi="宋体"/>
          <w:color w:val="auto"/>
          <w:sz w:val="24"/>
          <w:highlight w:val="none"/>
        </w:rPr>
        <w:t>的</w:t>
      </w:r>
      <w:r>
        <w:rPr>
          <w:rFonts w:hint="eastAsia" w:ascii="宋体" w:hAnsi="宋体"/>
          <w:color w:val="auto"/>
          <w:sz w:val="24"/>
          <w:highlight w:val="none"/>
        </w:rPr>
        <w:t>，必须符合其要求</w:t>
      </w:r>
      <w:r>
        <w:rPr>
          <w:rFonts w:hint="eastAsia" w:ascii="宋体" w:hAnsi="宋体"/>
          <w:b/>
          <w:color w:val="auto"/>
          <w:sz w:val="24"/>
          <w:highlight w:val="none"/>
        </w:rPr>
        <w:t>（实质性要求）</w:t>
      </w:r>
      <w:r>
        <w:rPr>
          <w:rFonts w:hint="eastAsia" w:ascii="宋体" w:hAnsi="宋体"/>
          <w:color w:val="auto"/>
          <w:sz w:val="24"/>
          <w:highlight w:val="none"/>
        </w:rPr>
        <w:t>。</w:t>
      </w:r>
    </w:p>
    <w:p>
      <w:pPr>
        <w:pStyle w:val="3"/>
        <w:jc w:val="center"/>
        <w:rPr>
          <w:rFonts w:ascii="宋体" w:hAnsi="宋体" w:cs="宋体"/>
          <w:color w:val="auto"/>
          <w:sz w:val="36"/>
          <w:szCs w:val="36"/>
          <w:highlight w:val="none"/>
        </w:rPr>
        <w:sectPr>
          <w:footerReference r:id="rId14" w:type="default"/>
          <w:footerReference r:id="rId15" w:type="even"/>
          <w:pgSz w:w="11907" w:h="16840"/>
          <w:pgMar w:top="1440" w:right="1083" w:bottom="1440" w:left="1083" w:header="851" w:footer="992" w:gutter="0"/>
          <w:pgNumType w:start="1"/>
          <w:cols w:space="720" w:num="1"/>
          <w:docGrid w:linePitch="312" w:charSpace="0"/>
        </w:sectPr>
      </w:pPr>
    </w:p>
    <w:p>
      <w:pPr>
        <w:pStyle w:val="3"/>
        <w:spacing w:before="0" w:after="0" w:line="360" w:lineRule="auto"/>
        <w:jc w:val="center"/>
        <w:rPr>
          <w:rFonts w:ascii="宋体" w:hAnsi="宋体" w:cs="宋体"/>
          <w:color w:val="auto"/>
          <w:sz w:val="36"/>
          <w:szCs w:val="36"/>
          <w:highlight w:val="none"/>
        </w:rPr>
      </w:pPr>
      <w:bookmarkStart w:id="19" w:name="_Toc73912824"/>
      <w:r>
        <w:rPr>
          <w:rFonts w:hint="eastAsia" w:ascii="宋体" w:hAnsi="宋体" w:cs="宋体"/>
          <w:color w:val="auto"/>
          <w:sz w:val="36"/>
          <w:szCs w:val="36"/>
          <w:highlight w:val="none"/>
        </w:rPr>
        <w:t>第三章  响应文件格式</w:t>
      </w:r>
      <w:bookmarkEnd w:id="17"/>
      <w:bookmarkEnd w:id="19"/>
      <w:bookmarkStart w:id="20" w:name="_Toc217446082"/>
      <w:bookmarkStart w:id="21" w:name="_Toc308164821"/>
    </w:p>
    <w:p>
      <w:pPr>
        <w:widowControl/>
        <w:spacing w:line="360" w:lineRule="atLeast"/>
        <w:jc w:val="center"/>
        <w:outlineLvl w:val="1"/>
        <w:rPr>
          <w:rFonts w:ascii="宋体" w:hAnsi="宋体" w:cs="宋体"/>
          <w:b/>
          <w:color w:val="auto"/>
          <w:sz w:val="24"/>
          <w:highlight w:val="none"/>
        </w:rPr>
      </w:pPr>
    </w:p>
    <w:bookmarkEnd w:id="16"/>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一、本章所制响应文件格式，除格式中明确将该格式作为实质性要求的，一律不具有强制性。</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二、本章所制响应文件格式有关表格中的备注栏，由供应商根据自身响应情况作解释性说明，不作为必填项。</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三、本章所制响应文件格式中需要填写的相关内容事项，可能会与本采购项目无关，在不改变响应文件原义、不影响本项目采购需求的情况下，供应商可以不予填写，但应当注明。</w:t>
      </w:r>
    </w:p>
    <w:p>
      <w:pPr>
        <w:tabs>
          <w:tab w:val="left" w:pos="900"/>
        </w:tabs>
        <w:spacing w:line="360" w:lineRule="auto"/>
        <w:jc w:val="center"/>
        <w:rPr>
          <w:rFonts w:ascii="宋体" w:hAnsi="宋体" w:cs="宋体"/>
          <w:b/>
          <w:color w:val="auto"/>
          <w:sz w:val="32"/>
          <w:highlight w:val="none"/>
        </w:rPr>
      </w:pPr>
      <w:r>
        <w:rPr>
          <w:rFonts w:hint="eastAsia" w:ascii="宋体" w:hAnsi="宋体" w:cs="宋体"/>
          <w:b/>
          <w:color w:val="auto"/>
          <w:sz w:val="32"/>
          <w:szCs w:val="32"/>
          <w:highlight w:val="none"/>
        </w:rPr>
        <w:br w:type="page"/>
      </w:r>
      <w:bookmarkStart w:id="22" w:name="PO_默认文件内容_24"/>
      <w:r>
        <w:rPr>
          <w:rFonts w:hint="eastAsia" w:ascii="宋体" w:hAnsi="宋体" w:cs="宋体"/>
          <w:b/>
          <w:color w:val="auto"/>
          <w:sz w:val="32"/>
          <w:highlight w:val="none"/>
        </w:rPr>
        <w:t>第一部分     “资格性响应文件”格式</w:t>
      </w:r>
    </w:p>
    <w:p>
      <w:pPr>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格式1-1</w:t>
      </w:r>
    </w:p>
    <w:p>
      <w:pPr>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封面：</w:t>
      </w:r>
    </w:p>
    <w:p>
      <w:pPr>
        <w:spacing w:line="360" w:lineRule="auto"/>
        <w:jc w:val="right"/>
        <w:rPr>
          <w:rFonts w:ascii="宋体" w:hAnsi="宋体" w:cs="宋体"/>
          <w:b/>
          <w:color w:val="auto"/>
          <w:sz w:val="36"/>
          <w:highlight w:val="none"/>
        </w:rPr>
      </w:pPr>
      <w:r>
        <w:rPr>
          <w:rFonts w:hint="eastAsia" w:ascii="宋体" w:hAnsi="宋体" w:cs="宋体"/>
          <w:b/>
          <w:color w:val="auto"/>
          <w:sz w:val="36"/>
          <w:highlight w:val="none"/>
        </w:rPr>
        <w:t>（正本/副本）</w:t>
      </w: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jc w:val="center"/>
        <w:rPr>
          <w:rFonts w:ascii="宋体" w:hAnsi="宋体" w:cs="宋体"/>
          <w:b/>
          <w:color w:val="auto"/>
          <w:sz w:val="72"/>
          <w:highlight w:val="none"/>
        </w:rPr>
      </w:pPr>
      <w:r>
        <w:rPr>
          <w:rFonts w:hint="eastAsia" w:ascii="宋体" w:hAnsi="宋体" w:cs="宋体"/>
          <w:b/>
          <w:color w:val="auto"/>
          <w:sz w:val="40"/>
          <w:szCs w:val="48"/>
          <w:highlight w:val="none"/>
          <w:u w:val="single"/>
        </w:rPr>
        <w:t>xxxxx</w:t>
      </w:r>
      <w:r>
        <w:rPr>
          <w:rFonts w:hint="eastAsia" w:ascii="宋体" w:hAnsi="宋体" w:cs="宋体"/>
          <w:b/>
          <w:color w:val="auto"/>
          <w:sz w:val="40"/>
          <w:szCs w:val="48"/>
          <w:highlight w:val="none"/>
        </w:rPr>
        <w:t>项目</w:t>
      </w:r>
    </w:p>
    <w:p>
      <w:pPr>
        <w:spacing w:line="360" w:lineRule="auto"/>
        <w:rPr>
          <w:rFonts w:ascii="宋体" w:hAnsi="宋体" w:cs="宋体"/>
          <w:b/>
          <w:color w:val="auto"/>
          <w:sz w:val="52"/>
          <w:szCs w:val="52"/>
          <w:highlight w:val="non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52"/>
          <w:szCs w:val="52"/>
          <w:highlight w:val="none"/>
        </w:rPr>
        <w:t>资格性响应文件</w:t>
      </w: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供应商名称：</w:t>
      </w: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采购项目编号：</w:t>
      </w: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包        号：</w:t>
      </w:r>
    </w:p>
    <w:p>
      <w:pPr>
        <w:spacing w:line="360" w:lineRule="auto"/>
        <w:ind w:firstLine="790" w:firstLineChars="246"/>
        <w:jc w:val="center"/>
        <w:rPr>
          <w:rFonts w:ascii="宋体" w:hAnsi="宋体" w:cs="宋体"/>
          <w:b/>
          <w:color w:val="auto"/>
          <w:sz w:val="32"/>
          <w:highlight w:val="none"/>
        </w:rPr>
      </w:pPr>
    </w:p>
    <w:p>
      <w:pPr>
        <w:spacing w:line="360" w:lineRule="auto"/>
        <w:ind w:firstLine="790" w:firstLineChars="246"/>
        <w:jc w:val="center"/>
        <w:rPr>
          <w:rFonts w:ascii="宋体" w:hAnsi="宋体" w:cs="宋体"/>
          <w:b/>
          <w:color w:val="auto"/>
          <w:sz w:val="32"/>
          <w:highlight w:val="none"/>
        </w:rPr>
      </w:pPr>
      <w:r>
        <w:rPr>
          <w:rFonts w:hint="eastAsia" w:ascii="宋体" w:hAnsi="宋体" w:cs="宋体"/>
          <w:b/>
          <w:color w:val="auto"/>
          <w:sz w:val="32"/>
          <w:highlight w:val="none"/>
        </w:rPr>
        <w:t>日期：年 月 日</w:t>
      </w:r>
    </w:p>
    <w:p>
      <w:pPr>
        <w:spacing w:after="0" w:line="360" w:lineRule="auto"/>
        <w:rPr>
          <w:rFonts w:ascii="宋体" w:hAnsi="宋体" w:cs="宋体"/>
          <w:b/>
          <w:color w:val="auto"/>
          <w:sz w:val="32"/>
          <w:szCs w:val="32"/>
          <w:highlight w:val="none"/>
        </w:rPr>
      </w:pPr>
      <w:r>
        <w:rPr>
          <w:rFonts w:hint="eastAsia" w:ascii="宋体" w:hAnsi="宋体" w:cs="宋体"/>
          <w:b/>
          <w:color w:val="auto"/>
          <w:sz w:val="32"/>
          <w:highlight w:val="none"/>
        </w:rPr>
        <w:br w:type="page"/>
      </w:r>
      <w:r>
        <w:rPr>
          <w:rFonts w:hint="eastAsia" w:ascii="宋体" w:hAnsi="宋体" w:cs="宋体"/>
          <w:b/>
          <w:color w:val="auto"/>
          <w:sz w:val="32"/>
          <w:szCs w:val="32"/>
          <w:highlight w:val="none"/>
        </w:rPr>
        <w:t>格式1-2</w:t>
      </w:r>
    </w:p>
    <w:p>
      <w:pPr>
        <w:spacing w:after="0" w:line="360" w:lineRule="auto"/>
        <w:ind w:firstLine="790" w:firstLineChars="246"/>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法定代表人/单位负责人授权书</w:t>
      </w:r>
    </w:p>
    <w:p>
      <w:pPr>
        <w:widowControl/>
        <w:spacing w:after="0" w:line="360" w:lineRule="auto"/>
        <w:jc w:val="left"/>
        <w:outlineLvl w:val="1"/>
        <w:rPr>
          <w:rFonts w:ascii="宋体" w:hAnsi="宋体" w:cs="宋体"/>
          <w:color w:val="auto"/>
          <w:sz w:val="24"/>
          <w:highlight w:val="none"/>
        </w:rPr>
      </w:pPr>
      <w:r>
        <w:rPr>
          <w:rFonts w:hint="eastAsia" w:ascii="宋体" w:hAnsi="宋体" w:cs="宋体"/>
          <w:color w:val="auto"/>
          <w:sz w:val="24"/>
          <w:highlight w:val="none"/>
        </w:rPr>
        <w:t>XXXXXXXX（采购代理机构名称）：</w:t>
      </w:r>
    </w:p>
    <w:p>
      <w:pPr>
        <w:widowControl/>
        <w:spacing w:after="0" w:line="360" w:lineRule="auto"/>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本授权声明：XXXX XXXX（供应商名称）XXXX（法定代表人/单位负责人姓名、职务）授权XXXX（被授权人姓名、职务）为我方 “XXXXXXXX” 项目（项目编号：XXXX）磋商采购活动的合法代表，以我方名义全权处理该项目有关磋商采购、签订合同以及执行合同等一切事宜。</w:t>
      </w:r>
    </w:p>
    <w:p>
      <w:pPr>
        <w:widowControl/>
        <w:spacing w:after="0" w:line="360" w:lineRule="auto"/>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特此声明。</w:t>
      </w:r>
    </w:p>
    <w:p>
      <w:pPr>
        <w:widowControl/>
        <w:spacing w:after="0" w:line="360" w:lineRule="atLeast"/>
        <w:ind w:firstLine="470" w:firstLineChars="196"/>
        <w:jc w:val="left"/>
        <w:outlineLvl w:val="1"/>
        <w:rPr>
          <w:rFonts w:ascii="宋体" w:hAnsi="宋体" w:cs="宋体"/>
          <w:color w:val="auto"/>
          <w:sz w:val="24"/>
          <w:highlight w:val="none"/>
        </w:rPr>
      </w:pPr>
    </w:p>
    <w:p>
      <w:pPr>
        <w:widowControl/>
        <w:spacing w:after="0"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法定代表人/单位负责人（委托人）签字或者加盖个人名章：XXXX。</w:t>
      </w:r>
    </w:p>
    <w:p>
      <w:pPr>
        <w:widowControl/>
        <w:spacing w:after="0" w:line="360" w:lineRule="atLeast"/>
        <w:ind w:firstLine="470" w:firstLineChars="196"/>
        <w:jc w:val="left"/>
        <w:outlineLvl w:val="1"/>
        <w:rPr>
          <w:rFonts w:ascii="宋体" w:hAnsi="宋体" w:cs="宋体"/>
          <w:color w:val="auto"/>
          <w:sz w:val="24"/>
          <w:highlight w:val="none"/>
        </w:rPr>
      </w:pPr>
    </w:p>
    <w:p>
      <w:pPr>
        <w:widowControl/>
        <w:spacing w:after="0"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授权代表（被授权人）签字：XXXX。</w:t>
      </w:r>
    </w:p>
    <w:p>
      <w:pPr>
        <w:widowControl/>
        <w:spacing w:after="0" w:line="360" w:lineRule="atLeast"/>
        <w:ind w:firstLine="470" w:firstLineChars="196"/>
        <w:jc w:val="left"/>
        <w:outlineLvl w:val="1"/>
        <w:rPr>
          <w:rFonts w:ascii="宋体" w:hAnsi="宋体" w:cs="宋体"/>
          <w:color w:val="auto"/>
          <w:sz w:val="24"/>
          <w:highlight w:val="none"/>
        </w:rPr>
      </w:pPr>
    </w:p>
    <w:p>
      <w:pPr>
        <w:widowControl/>
        <w:spacing w:after="0"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供应商名称：XXXX（单位盖章）。</w:t>
      </w:r>
    </w:p>
    <w:p>
      <w:pPr>
        <w:widowControl/>
        <w:spacing w:after="0"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日    期：XXXX。</w:t>
      </w:r>
    </w:p>
    <w:p>
      <w:pPr>
        <w:widowControl/>
        <w:spacing w:after="0" w:line="360" w:lineRule="atLeast"/>
        <w:jc w:val="left"/>
        <w:outlineLvl w:val="1"/>
        <w:rPr>
          <w:rFonts w:ascii="宋体" w:hAnsi="宋体" w:cs="宋体"/>
          <w:b/>
          <w:color w:val="auto"/>
          <w:sz w:val="24"/>
          <w:highlight w:val="none"/>
        </w:rPr>
      </w:pPr>
      <w:bookmarkStart w:id="23" w:name="_Toc217446084"/>
    </w:p>
    <w:p>
      <w:pPr>
        <w:widowControl/>
        <w:spacing w:after="0" w:line="360" w:lineRule="atLeast"/>
        <w:jc w:val="left"/>
        <w:outlineLvl w:val="1"/>
        <w:rPr>
          <w:rFonts w:ascii="宋体" w:hAnsi="宋体" w:cs="宋体"/>
          <w:b/>
          <w:color w:val="auto"/>
          <w:sz w:val="24"/>
          <w:highlight w:val="none"/>
        </w:rPr>
      </w:pPr>
    </w:p>
    <w:p>
      <w:pPr>
        <w:widowControl/>
        <w:spacing w:after="0" w:line="360" w:lineRule="atLeast"/>
        <w:jc w:val="left"/>
        <w:outlineLvl w:val="1"/>
        <w:rPr>
          <w:rFonts w:ascii="宋体" w:hAnsi="宋体" w:cs="宋体"/>
          <w:b/>
          <w:color w:val="auto"/>
          <w:sz w:val="24"/>
          <w:highlight w:val="none"/>
        </w:rPr>
      </w:pPr>
    </w:p>
    <w:p>
      <w:pPr>
        <w:widowControl/>
        <w:spacing w:after="0" w:line="360" w:lineRule="atLeast"/>
        <w:jc w:val="left"/>
        <w:outlineLvl w:val="1"/>
        <w:rPr>
          <w:rFonts w:ascii="宋体" w:hAnsi="宋体" w:cs="宋体"/>
          <w:b/>
          <w:color w:val="auto"/>
          <w:sz w:val="24"/>
          <w:highlight w:val="none"/>
        </w:rPr>
      </w:pPr>
    </w:p>
    <w:p>
      <w:pPr>
        <w:spacing w:after="0" w:line="400" w:lineRule="exact"/>
        <w:ind w:left="840" w:hanging="840" w:hangingChars="350"/>
        <w:jc w:val="left"/>
        <w:rPr>
          <w:rFonts w:ascii="宋体" w:hAnsi="宋体" w:cs="宋体"/>
          <w:color w:val="auto"/>
          <w:sz w:val="24"/>
          <w:highlight w:val="none"/>
        </w:rPr>
      </w:pPr>
      <w:r>
        <w:rPr>
          <w:rFonts w:hint="eastAsia" w:ascii="宋体" w:hAnsi="宋体" w:cs="宋体"/>
          <w:color w:val="auto"/>
          <w:sz w:val="24"/>
          <w:highlight w:val="none"/>
        </w:rPr>
        <w:t>注：</w:t>
      </w:r>
    </w:p>
    <w:p>
      <w:pPr>
        <w:spacing w:after="0"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1、供应商为法人单位时提供“法定代表人授权书”，供应商为其他组织时提供“单位负责人授权书”，供应商为自然人时提供“自然人身份证明材料”。</w:t>
      </w:r>
    </w:p>
    <w:p>
      <w:pPr>
        <w:spacing w:after="0"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2、应附法定代表人/单位负责人身份证明材料复印件和授权代表身份证明材料复印件。</w:t>
      </w:r>
    </w:p>
    <w:p>
      <w:pPr>
        <w:spacing w:after="0"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3、身份证明材料包括居民身份证或户口本或军官证或护照等。</w:t>
      </w:r>
    </w:p>
    <w:p>
      <w:pPr>
        <w:spacing w:after="0"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4、身份证明材料应同时提供其在有效期的材料，如居民身份证正、反面复印件。</w:t>
      </w:r>
    </w:p>
    <w:p>
      <w:pPr>
        <w:widowControl/>
        <w:spacing w:line="360" w:lineRule="atLeast"/>
        <w:jc w:val="left"/>
        <w:outlineLvl w:val="1"/>
        <w:rPr>
          <w:rFonts w:ascii="宋体" w:hAnsi="宋体" w:cs="宋体"/>
          <w:b/>
          <w:color w:val="auto"/>
          <w:sz w:val="24"/>
          <w:highlight w:val="none"/>
        </w:rPr>
      </w:pPr>
    </w:p>
    <w:bookmarkEnd w:id="23"/>
    <w:p>
      <w:pPr>
        <w:spacing w:line="360" w:lineRule="auto"/>
        <w:ind w:firstLine="790" w:firstLineChars="246"/>
        <w:jc w:val="center"/>
        <w:rPr>
          <w:rFonts w:ascii="宋体" w:hAnsi="宋体" w:cs="宋体"/>
          <w:b/>
          <w:color w:val="auto"/>
          <w:sz w:val="32"/>
          <w:highlight w:val="none"/>
        </w:rPr>
      </w:pPr>
    </w:p>
    <w:p>
      <w:pPr>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br w:type="page"/>
      </w:r>
      <w:r>
        <w:rPr>
          <w:rFonts w:hint="eastAsia" w:ascii="宋体" w:hAnsi="宋体" w:cs="宋体"/>
          <w:b/>
          <w:color w:val="auto"/>
          <w:sz w:val="32"/>
          <w:szCs w:val="32"/>
          <w:highlight w:val="none"/>
        </w:rPr>
        <w:t>格式1-3</w:t>
      </w:r>
    </w:p>
    <w:p>
      <w:pPr>
        <w:widowControl/>
        <w:spacing w:line="360" w:lineRule="atLeast"/>
        <w:jc w:val="center"/>
        <w:outlineLvl w:val="1"/>
        <w:rPr>
          <w:rFonts w:ascii="宋体" w:hAnsi="宋体" w:cs="宋体"/>
          <w:b/>
          <w:color w:val="auto"/>
          <w:sz w:val="32"/>
          <w:szCs w:val="32"/>
          <w:highlight w:val="none"/>
        </w:rPr>
      </w:pPr>
      <w:r>
        <w:rPr>
          <w:rFonts w:hint="eastAsia" w:ascii="宋体" w:hAnsi="宋体" w:cs="宋体"/>
          <w:b/>
          <w:color w:val="auto"/>
          <w:sz w:val="32"/>
          <w:szCs w:val="32"/>
          <w:highlight w:val="none"/>
        </w:rPr>
        <w:t>承诺函</w:t>
      </w:r>
    </w:p>
    <w:p>
      <w:pPr>
        <w:widowControl/>
        <w:spacing w:line="360" w:lineRule="atLeast"/>
        <w:jc w:val="left"/>
        <w:outlineLvl w:val="1"/>
        <w:rPr>
          <w:rFonts w:ascii="宋体" w:hAnsi="宋体" w:cs="宋体"/>
          <w:color w:val="auto"/>
          <w:sz w:val="24"/>
          <w:highlight w:val="none"/>
        </w:rPr>
      </w:pPr>
      <w:r>
        <w:rPr>
          <w:rFonts w:hint="eastAsia" w:ascii="宋体" w:hAnsi="宋体" w:cs="宋体"/>
          <w:color w:val="auto"/>
          <w:sz w:val="24"/>
          <w:highlight w:val="none"/>
        </w:rPr>
        <w:t>XXXX（采购代理机构名称）：</w:t>
      </w:r>
    </w:p>
    <w:p>
      <w:pPr>
        <w:widowControl/>
        <w:spacing w:line="360" w:lineRule="atLeast"/>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我单位作为本次采购项目的供应商，根据磋商文件要求，现郑重承诺如下：</w:t>
      </w:r>
    </w:p>
    <w:p>
      <w:pPr>
        <w:widowControl/>
        <w:spacing w:line="360" w:lineRule="atLeast"/>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一、具备《中华人民共和国政府采购法》第二十二条第一款和本项目规定的条件：</w:t>
      </w:r>
    </w:p>
    <w:p>
      <w:pPr>
        <w:widowControl/>
        <w:spacing w:line="360" w:lineRule="atLeast"/>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（一）具有独立承担民事责任的能力；</w:t>
      </w:r>
    </w:p>
    <w:p>
      <w:pPr>
        <w:widowControl/>
        <w:spacing w:line="360" w:lineRule="atLeast"/>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（二）具有良好的商业信誉和健全的财务会计制度；</w:t>
      </w:r>
    </w:p>
    <w:p>
      <w:pPr>
        <w:widowControl/>
        <w:spacing w:line="360" w:lineRule="atLeast"/>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（三）具有履行合同所必需的设备和专业技术能力；</w:t>
      </w:r>
    </w:p>
    <w:p>
      <w:pPr>
        <w:widowControl/>
        <w:spacing w:line="360" w:lineRule="atLeast"/>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（四）有依法缴纳税收和社会保障资金的良好记录；</w:t>
      </w:r>
    </w:p>
    <w:p>
      <w:pPr>
        <w:widowControl/>
        <w:spacing w:line="360" w:lineRule="atLeast"/>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（五）参加政府采购活动前三年内，在经营活动中没有重大违法记录；</w:t>
      </w:r>
    </w:p>
    <w:p>
      <w:pPr>
        <w:widowControl/>
        <w:spacing w:line="360" w:lineRule="atLeast"/>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（六）法律、行政法规规定的其他条件；</w:t>
      </w:r>
    </w:p>
    <w:p>
      <w:pPr>
        <w:widowControl/>
        <w:spacing w:line="360" w:lineRule="atLeast"/>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（七）根据采购项目提出的特殊条件。</w:t>
      </w:r>
    </w:p>
    <w:p>
      <w:pPr>
        <w:widowControl/>
        <w:spacing w:line="360" w:lineRule="auto"/>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二、截至响应文件递交截止日未被列入失信被执行人、重大税收违法案件当事人名单、政府采购严重违法失信行为记录名单。</w:t>
      </w:r>
    </w:p>
    <w:p>
      <w:pPr>
        <w:widowControl/>
        <w:spacing w:line="360" w:lineRule="auto"/>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outlineLvl w:val="1"/>
        <w:rPr>
          <w:rFonts w:ascii="宋体" w:hAnsi="宋体" w:cs="宋体"/>
          <w:color w:val="auto"/>
          <w:sz w:val="24"/>
          <w:highlight w:val="none"/>
        </w:rPr>
      </w:pPr>
    </w:p>
    <w:p>
      <w:pPr>
        <w:widowControl/>
        <w:spacing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供应商名称：XXXX（单位公章）。</w:t>
      </w:r>
    </w:p>
    <w:p>
      <w:pPr>
        <w:widowControl/>
        <w:spacing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widowControl/>
        <w:spacing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日    期：XXXX。</w:t>
      </w:r>
    </w:p>
    <w:p>
      <w:pPr>
        <w:spacing w:line="360" w:lineRule="auto"/>
        <w:rPr>
          <w:rFonts w:hint="eastAsia" w:ascii="宋体" w:hAnsi="宋体" w:eastAsia="宋体" w:cs="宋体"/>
          <w:b/>
          <w:color w:val="auto"/>
          <w:sz w:val="32"/>
          <w:szCs w:val="32"/>
          <w:highlight w:val="none"/>
          <w:lang w:eastAsia="zh-CN"/>
        </w:rPr>
      </w:pPr>
      <w:r>
        <w:rPr>
          <w:rFonts w:hint="eastAsia" w:ascii="宋体" w:hAnsi="宋体" w:cs="宋体"/>
          <w:color w:val="auto"/>
          <w:sz w:val="24"/>
          <w:highlight w:val="none"/>
        </w:rPr>
        <w:br w:type="page"/>
      </w:r>
      <w:r>
        <w:rPr>
          <w:rFonts w:hint="eastAsia" w:ascii="宋体" w:hAnsi="宋体" w:cs="宋体"/>
          <w:b/>
          <w:color w:val="auto"/>
          <w:sz w:val="32"/>
          <w:szCs w:val="32"/>
          <w:highlight w:val="none"/>
        </w:rPr>
        <w:t>格式1-</w:t>
      </w:r>
      <w:r>
        <w:rPr>
          <w:rFonts w:hint="eastAsia" w:ascii="宋体" w:hAnsi="宋体" w:cs="宋体"/>
          <w:b/>
          <w:color w:val="auto"/>
          <w:sz w:val="32"/>
          <w:szCs w:val="32"/>
          <w:highlight w:val="none"/>
          <w:lang w:val="en-US" w:eastAsia="zh-CN"/>
        </w:rPr>
        <w:t>4</w:t>
      </w:r>
    </w:p>
    <w:p>
      <w:pPr>
        <w:widowControl/>
        <w:spacing w:line="360" w:lineRule="atLeast"/>
        <w:jc w:val="center"/>
        <w:outlineLvl w:val="1"/>
        <w:rPr>
          <w:rFonts w:ascii="宋体" w:hAnsi="宋体" w:cs="宋体"/>
          <w:b/>
          <w:color w:val="auto"/>
          <w:sz w:val="32"/>
          <w:szCs w:val="32"/>
          <w:highlight w:val="none"/>
        </w:rPr>
      </w:pPr>
      <w:r>
        <w:rPr>
          <w:rFonts w:hint="eastAsia" w:ascii="宋体" w:hAnsi="宋体" w:cs="宋体"/>
          <w:b/>
          <w:color w:val="auto"/>
          <w:sz w:val="32"/>
          <w:szCs w:val="32"/>
          <w:highlight w:val="none"/>
        </w:rPr>
        <w:t>承诺函(如涉及)</w:t>
      </w:r>
    </w:p>
    <w:p>
      <w:pPr>
        <w:spacing w:line="360" w:lineRule="auto"/>
        <w:rPr>
          <w:rFonts w:ascii="宋体" w:hAnsi="宋体" w:cs="宋体"/>
          <w:bCs/>
          <w:color w:val="auto"/>
          <w:sz w:val="24"/>
          <w:highlight w:val="none"/>
        </w:rPr>
      </w:pPr>
      <w:r>
        <w:rPr>
          <w:rFonts w:hint="eastAsia" w:ascii="宋体" w:hAnsi="宋体" w:cs="宋体"/>
          <w:bCs/>
          <w:color w:val="auto"/>
          <w:sz w:val="24"/>
          <w:highlight w:val="none"/>
        </w:rPr>
        <w:t>XXXX（采购代理机构名称）：</w:t>
      </w:r>
    </w:p>
    <w:p>
      <w:pPr>
        <w:spacing w:after="0"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我单位作为本次采购项目的供应商，现郑重承诺如下：</w:t>
      </w:r>
    </w:p>
    <w:p>
      <w:pPr>
        <w:spacing w:after="0"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根据本项目磋商文件第四章资格证明要求中第</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项，我单位应具备</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（备案、登记、其他证照）。但因我单位所在地已对上述备案、登记、其他证照实行“多证合一”，故在此次采购活动中提供满足资格要求：</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（营业执照中对该备案、登记、其他证照的描述）的“多证合一”营业执照。</w:t>
      </w:r>
    </w:p>
    <w:p>
      <w:pPr>
        <w:spacing w:after="0"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我单位对上述承诺的内容事项真实性负责。如经查实上述承诺内容存在虚假，我单位愿意接受以提供虚假材料谋取成交追究法律责任。</w:t>
      </w:r>
    </w:p>
    <w:p>
      <w:pPr>
        <w:spacing w:line="360" w:lineRule="auto"/>
        <w:rPr>
          <w:rFonts w:ascii="宋体" w:hAnsi="宋体" w:cs="宋体"/>
          <w:bCs/>
          <w:color w:val="auto"/>
          <w:sz w:val="24"/>
          <w:highlight w:val="none"/>
        </w:rPr>
      </w:pPr>
    </w:p>
    <w:p>
      <w:pPr>
        <w:spacing w:line="360" w:lineRule="auto"/>
        <w:rPr>
          <w:rFonts w:ascii="宋体" w:hAnsi="宋体" w:cs="宋体"/>
          <w:bCs/>
          <w:color w:val="auto"/>
          <w:sz w:val="24"/>
          <w:highlight w:val="none"/>
        </w:rPr>
      </w:pPr>
      <w:r>
        <w:rPr>
          <w:rFonts w:hint="eastAsia" w:ascii="宋体" w:hAnsi="宋体" w:cs="宋体"/>
          <w:bCs/>
          <w:color w:val="auto"/>
          <w:sz w:val="24"/>
          <w:highlight w:val="none"/>
        </w:rPr>
        <w:t>供应商名称：XXXX（单位公章）。</w:t>
      </w:r>
    </w:p>
    <w:p>
      <w:pPr>
        <w:spacing w:line="360" w:lineRule="auto"/>
        <w:rPr>
          <w:rFonts w:ascii="宋体" w:hAnsi="宋体" w:cs="宋体"/>
          <w:bCs/>
          <w:color w:val="auto"/>
          <w:sz w:val="24"/>
          <w:highlight w:val="none"/>
        </w:rPr>
      </w:pPr>
      <w:r>
        <w:rPr>
          <w:rFonts w:hint="eastAsia" w:ascii="宋体" w:hAnsi="宋体" w:cs="宋体"/>
          <w:bCs/>
          <w:color w:val="auto"/>
          <w:sz w:val="24"/>
          <w:highlight w:val="none"/>
        </w:rPr>
        <w:t>法定代表人/单位负责人或授权代表（签字或加盖个人印章）：XXXX。</w:t>
      </w:r>
    </w:p>
    <w:p>
      <w:pPr>
        <w:spacing w:line="360" w:lineRule="auto"/>
        <w:rPr>
          <w:rFonts w:ascii="宋体" w:hAnsi="宋体" w:cs="宋体"/>
          <w:bCs/>
          <w:color w:val="auto"/>
          <w:sz w:val="24"/>
          <w:highlight w:val="none"/>
        </w:rPr>
      </w:pPr>
      <w:r>
        <w:rPr>
          <w:rFonts w:hint="eastAsia" w:ascii="宋体" w:hAnsi="宋体" w:cs="宋体"/>
          <w:bCs/>
          <w:color w:val="auto"/>
          <w:sz w:val="24"/>
          <w:highlight w:val="none"/>
        </w:rPr>
        <w:t>日    期：XXXX。</w:t>
      </w:r>
    </w:p>
    <w:p>
      <w:pPr>
        <w:spacing w:line="360" w:lineRule="auto"/>
        <w:rPr>
          <w:rFonts w:ascii="宋体" w:hAnsi="宋体" w:cs="宋体"/>
          <w:bCs/>
          <w:color w:val="auto"/>
          <w:sz w:val="24"/>
          <w:highlight w:val="none"/>
        </w:rPr>
      </w:pPr>
      <w:r>
        <w:rPr>
          <w:rFonts w:hint="eastAsia" w:ascii="宋体" w:hAnsi="宋体" w:cs="宋体"/>
          <w:bCs/>
          <w:color w:val="auto"/>
          <w:sz w:val="24"/>
          <w:highlight w:val="none"/>
        </w:rPr>
        <w:t>注：1.根据国务院办公厅关于加快推进“多证合一”改革的指导意见（国办发【2017】41号）等政策要求，</w:t>
      </w:r>
      <w:r>
        <w:rPr>
          <w:rFonts w:hint="eastAsia" w:ascii="宋体" w:hAnsi="宋体" w:cs="宋体"/>
          <w:b/>
          <w:bCs/>
          <w:color w:val="auto"/>
          <w:sz w:val="24"/>
          <w:highlight w:val="none"/>
        </w:rPr>
        <w:t>若资格要求涉及的登记、备案等有关事项和各类证照已实行多证合一导致供应商无法提供该类证明材料的</w:t>
      </w:r>
      <w:r>
        <w:rPr>
          <w:rFonts w:hint="eastAsia" w:ascii="宋体" w:hAnsi="宋体" w:cs="宋体"/>
          <w:bCs/>
          <w:color w:val="auto"/>
          <w:sz w:val="24"/>
          <w:highlight w:val="none"/>
        </w:rPr>
        <w:t>，供应商须提供该承诺。</w:t>
      </w:r>
    </w:p>
    <w:p>
      <w:pPr>
        <w:spacing w:line="360" w:lineRule="auto"/>
        <w:ind w:firstLine="360" w:firstLineChars="150"/>
        <w:rPr>
          <w:rFonts w:ascii="宋体" w:hAnsi="宋体" w:cs="宋体"/>
          <w:bCs/>
          <w:color w:val="auto"/>
          <w:sz w:val="24"/>
          <w:highlight w:val="none"/>
        </w:rPr>
      </w:pPr>
      <w:r>
        <w:rPr>
          <w:rFonts w:hint="eastAsia" w:ascii="宋体" w:hAnsi="宋体" w:cs="宋体"/>
          <w:bCs/>
          <w:color w:val="auto"/>
          <w:sz w:val="24"/>
          <w:highlight w:val="none"/>
        </w:rPr>
        <w:t>2.若已提供资格要求涉及的登记、备案等有关事项和各类证照的证明材料，无需提供该承诺。</w:t>
      </w:r>
    </w:p>
    <w:p>
      <w:pPr>
        <w:spacing w:line="360" w:lineRule="auto"/>
        <w:ind w:firstLine="360" w:firstLineChars="150"/>
        <w:rPr>
          <w:rFonts w:ascii="宋体" w:hAnsi="宋体" w:cs="宋体"/>
          <w:bCs/>
          <w:color w:val="auto"/>
          <w:sz w:val="24"/>
          <w:highlight w:val="none"/>
        </w:rPr>
      </w:pPr>
      <w:r>
        <w:rPr>
          <w:rFonts w:hint="eastAsia" w:ascii="宋体" w:hAnsi="宋体" w:cs="宋体"/>
          <w:bCs/>
          <w:color w:val="auto"/>
          <w:sz w:val="24"/>
          <w:highlight w:val="none"/>
        </w:rPr>
        <w:t>3.若本项目资格要求不涉及，无需提供该承诺。</w:t>
      </w: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ascii="宋体" w:hAnsi="宋体" w:cs="宋体"/>
          <w:b/>
          <w:color w:val="auto"/>
          <w:sz w:val="32"/>
          <w:szCs w:val="32"/>
          <w:highlight w:val="none"/>
        </w:rPr>
      </w:pPr>
    </w:p>
    <w:p>
      <w:pPr>
        <w:spacing w:line="360" w:lineRule="auto"/>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格式1-</w:t>
      </w:r>
      <w:r>
        <w:rPr>
          <w:rFonts w:hint="eastAsia" w:ascii="宋体" w:hAnsi="宋体" w:cs="宋体"/>
          <w:b/>
          <w:color w:val="auto"/>
          <w:sz w:val="32"/>
          <w:szCs w:val="32"/>
          <w:highlight w:val="none"/>
          <w:lang w:val="en-US" w:eastAsia="zh-CN"/>
        </w:rPr>
        <w:t>5</w:t>
      </w:r>
    </w:p>
    <w:p>
      <w:pPr>
        <w:spacing w:line="360" w:lineRule="auto"/>
        <w:ind w:firstLine="790" w:firstLineChars="246"/>
        <w:jc w:val="center"/>
        <w:rPr>
          <w:rFonts w:ascii="宋体" w:hAnsi="宋体" w:cs="宋体"/>
          <w:b/>
          <w:color w:val="auto"/>
          <w:sz w:val="32"/>
          <w:szCs w:val="32"/>
          <w:highlight w:val="none"/>
        </w:rPr>
      </w:pPr>
      <w:r>
        <w:rPr>
          <w:rFonts w:hint="eastAsia" w:ascii="宋体" w:hAnsi="宋体" w:cs="宋体"/>
          <w:b/>
          <w:color w:val="auto"/>
          <w:sz w:val="32"/>
          <w:szCs w:val="32"/>
          <w:highlight w:val="none"/>
        </w:rPr>
        <w:t>供应商和报价产品其他资格、资质性及其他类似效力要求的相关证明材料</w:t>
      </w:r>
    </w:p>
    <w:p>
      <w:pPr>
        <w:spacing w:line="360" w:lineRule="auto"/>
        <w:rPr>
          <w:rFonts w:ascii="宋体" w:hAnsi="宋体" w:cs="宋体"/>
          <w:bCs/>
          <w:color w:val="auto"/>
          <w:sz w:val="24"/>
          <w:highlight w:val="none"/>
        </w:rPr>
      </w:pPr>
      <w:r>
        <w:rPr>
          <w:rFonts w:hint="eastAsia" w:ascii="宋体" w:hAnsi="宋体" w:cs="宋体"/>
          <w:bCs/>
          <w:color w:val="auto"/>
          <w:sz w:val="24"/>
          <w:highlight w:val="none"/>
        </w:rPr>
        <w:t>注：供应商应按磋商文件第五章相关要求提供佐证材料，有格式要求的从其要求，无格式要求的格式自拟。</w:t>
      </w:r>
    </w:p>
    <w:p>
      <w:pPr>
        <w:widowControl/>
        <w:spacing w:after="0" w:line="240" w:lineRule="auto"/>
        <w:jc w:val="left"/>
        <w:rPr>
          <w:rFonts w:ascii="宋体" w:hAnsi="宋体" w:cs="宋体"/>
          <w:bCs/>
          <w:color w:val="auto"/>
          <w:sz w:val="24"/>
          <w:highlight w:val="none"/>
        </w:rPr>
      </w:pPr>
      <w:r>
        <w:rPr>
          <w:rFonts w:hint="eastAsia" w:ascii="宋体" w:hAnsi="宋体" w:cs="宋体"/>
          <w:bCs/>
          <w:color w:val="auto"/>
          <w:sz w:val="24"/>
          <w:highlight w:val="none"/>
        </w:rPr>
        <w:br w:type="page"/>
      </w:r>
    </w:p>
    <w:p>
      <w:pPr>
        <w:widowControl/>
        <w:spacing w:after="0" w:line="240" w:lineRule="auto"/>
        <w:jc w:val="left"/>
        <w:rPr>
          <w:rFonts w:ascii="宋体" w:hAnsi="宋体" w:cs="宋体"/>
          <w:bCs/>
          <w:color w:val="auto"/>
          <w:sz w:val="24"/>
          <w:highlight w:val="none"/>
        </w:rPr>
      </w:pPr>
      <w:r>
        <w:rPr>
          <w:rFonts w:hint="eastAsia" w:ascii="宋体" w:hAnsi="宋体" w:cs="宋体"/>
          <w:b/>
          <w:color w:val="auto"/>
          <w:sz w:val="32"/>
          <w:highlight w:val="none"/>
        </w:rPr>
        <w:t>第二部分     “其他响应文件”格式</w:t>
      </w:r>
    </w:p>
    <w:p>
      <w:pPr>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格式2-1</w:t>
      </w:r>
    </w:p>
    <w:p>
      <w:pPr>
        <w:spacing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封面：</w:t>
      </w:r>
    </w:p>
    <w:p>
      <w:pPr>
        <w:spacing w:line="360" w:lineRule="auto"/>
        <w:jc w:val="right"/>
        <w:rPr>
          <w:rFonts w:ascii="宋体" w:hAnsi="宋体" w:cs="宋体"/>
          <w:b/>
          <w:color w:val="auto"/>
          <w:sz w:val="36"/>
          <w:highlight w:val="none"/>
        </w:rPr>
      </w:pPr>
      <w:r>
        <w:rPr>
          <w:rFonts w:hint="eastAsia" w:ascii="宋体" w:hAnsi="宋体" w:cs="宋体"/>
          <w:b/>
          <w:color w:val="auto"/>
          <w:sz w:val="36"/>
          <w:highlight w:val="none"/>
        </w:rPr>
        <w:t>（正本/副本）</w:t>
      </w:r>
    </w:p>
    <w:p>
      <w:pPr>
        <w:spacing w:line="360" w:lineRule="auto"/>
        <w:rPr>
          <w:rFonts w:ascii="宋体" w:hAnsi="宋体" w:cs="宋体"/>
          <w:b/>
          <w:color w:val="auto"/>
          <w:sz w:val="32"/>
          <w:szCs w:val="32"/>
          <w:highlight w:val="none"/>
        </w:rPr>
      </w:pPr>
    </w:p>
    <w:p>
      <w:pPr>
        <w:spacing w:line="360" w:lineRule="auto"/>
        <w:jc w:val="center"/>
        <w:rPr>
          <w:rFonts w:ascii="宋体" w:hAnsi="宋体" w:cs="宋体"/>
          <w:b/>
          <w:color w:val="auto"/>
          <w:sz w:val="72"/>
          <w:highlight w:val="none"/>
        </w:rPr>
      </w:pPr>
      <w:r>
        <w:rPr>
          <w:rFonts w:hint="eastAsia" w:ascii="宋体" w:hAnsi="宋体" w:cs="宋体"/>
          <w:b/>
          <w:color w:val="auto"/>
          <w:sz w:val="40"/>
          <w:szCs w:val="48"/>
          <w:highlight w:val="none"/>
          <w:u w:val="single"/>
        </w:rPr>
        <w:t>xxxxx</w:t>
      </w:r>
      <w:r>
        <w:rPr>
          <w:rFonts w:hint="eastAsia" w:ascii="宋体" w:hAnsi="宋体" w:cs="宋体"/>
          <w:b/>
          <w:color w:val="auto"/>
          <w:sz w:val="40"/>
          <w:szCs w:val="48"/>
          <w:highlight w:val="none"/>
        </w:rPr>
        <w:t>项目</w:t>
      </w:r>
    </w:p>
    <w:p>
      <w:pPr>
        <w:spacing w:line="360" w:lineRule="auto"/>
        <w:rPr>
          <w:rFonts w:ascii="宋体" w:hAnsi="宋体" w:cs="宋体"/>
          <w:b/>
          <w:color w:val="auto"/>
          <w:sz w:val="52"/>
          <w:szCs w:val="52"/>
          <w:highlight w:val="none"/>
        </w:rPr>
      </w:pPr>
    </w:p>
    <w:p>
      <w:pPr>
        <w:spacing w:line="360" w:lineRule="auto"/>
        <w:jc w:val="center"/>
        <w:rPr>
          <w:rFonts w:ascii="宋体" w:hAnsi="宋体" w:cs="宋体"/>
          <w:b/>
          <w:color w:val="auto"/>
          <w:sz w:val="32"/>
          <w:szCs w:val="32"/>
          <w:highlight w:val="none"/>
        </w:rPr>
      </w:pPr>
      <w:r>
        <w:rPr>
          <w:rFonts w:hint="eastAsia" w:ascii="宋体" w:hAnsi="宋体" w:cs="宋体"/>
          <w:b/>
          <w:color w:val="auto"/>
          <w:sz w:val="52"/>
          <w:szCs w:val="52"/>
          <w:highlight w:val="none"/>
        </w:rPr>
        <w:t>其他响应文件</w:t>
      </w:r>
    </w:p>
    <w:p>
      <w:pPr>
        <w:spacing w:line="360" w:lineRule="auto"/>
        <w:rPr>
          <w:rFonts w:ascii="宋体" w:hAnsi="宋体" w:cs="宋体"/>
          <w:b/>
          <w:color w:val="auto"/>
          <w:sz w:val="36"/>
          <w:highlight w:val="none"/>
        </w:rPr>
      </w:pP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供应商名称：</w:t>
      </w: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采购项目编号：</w:t>
      </w:r>
    </w:p>
    <w:p>
      <w:pPr>
        <w:spacing w:line="360" w:lineRule="auto"/>
        <w:jc w:val="left"/>
        <w:rPr>
          <w:rFonts w:ascii="宋体" w:hAnsi="宋体" w:cs="宋体"/>
          <w:b/>
          <w:color w:val="auto"/>
          <w:sz w:val="32"/>
          <w:highlight w:val="none"/>
          <w:u w:val="single"/>
        </w:rPr>
      </w:pPr>
      <w:r>
        <w:rPr>
          <w:rFonts w:hint="eastAsia" w:ascii="宋体" w:hAnsi="宋体" w:cs="宋体"/>
          <w:b/>
          <w:color w:val="auto"/>
          <w:sz w:val="32"/>
          <w:highlight w:val="none"/>
        </w:rPr>
        <w:t>包        号：</w:t>
      </w:r>
    </w:p>
    <w:p>
      <w:pPr>
        <w:spacing w:line="360" w:lineRule="auto"/>
        <w:ind w:firstLine="790" w:firstLineChars="246"/>
        <w:jc w:val="center"/>
        <w:rPr>
          <w:rFonts w:ascii="宋体" w:hAnsi="宋体" w:cs="宋体"/>
          <w:b/>
          <w:color w:val="auto"/>
          <w:sz w:val="32"/>
          <w:highlight w:val="none"/>
        </w:rPr>
      </w:pPr>
    </w:p>
    <w:p>
      <w:pPr>
        <w:spacing w:line="360" w:lineRule="auto"/>
        <w:ind w:firstLine="790" w:firstLineChars="246"/>
        <w:jc w:val="left"/>
        <w:rPr>
          <w:rFonts w:ascii="宋体" w:hAnsi="宋体" w:cs="宋体"/>
          <w:b/>
          <w:color w:val="auto"/>
          <w:sz w:val="32"/>
          <w:szCs w:val="32"/>
          <w:highlight w:val="none"/>
        </w:rPr>
      </w:pPr>
      <w:r>
        <w:rPr>
          <w:rFonts w:hint="eastAsia" w:ascii="宋体" w:hAnsi="宋体" w:cs="宋体"/>
          <w:b/>
          <w:color w:val="auto"/>
          <w:sz w:val="32"/>
          <w:highlight w:val="none"/>
        </w:rPr>
        <w:t xml:space="preserve">        时间： 年  月  日</w:t>
      </w:r>
      <w:r>
        <w:rPr>
          <w:rFonts w:hint="eastAsia" w:ascii="宋体" w:hAnsi="宋体" w:cs="宋体"/>
          <w:b/>
          <w:color w:val="auto"/>
          <w:sz w:val="32"/>
          <w:highlight w:val="none"/>
        </w:rPr>
        <w:br w:type="page"/>
      </w:r>
      <w:r>
        <w:rPr>
          <w:rFonts w:hint="eastAsia" w:ascii="宋体" w:hAnsi="宋体" w:cs="宋体"/>
          <w:b/>
          <w:color w:val="auto"/>
          <w:sz w:val="32"/>
          <w:szCs w:val="32"/>
          <w:highlight w:val="none"/>
        </w:rPr>
        <w:t>格式2-2</w:t>
      </w:r>
    </w:p>
    <w:p>
      <w:pPr>
        <w:widowControl/>
        <w:spacing w:line="360" w:lineRule="atLeast"/>
        <w:jc w:val="center"/>
        <w:outlineLvl w:val="1"/>
        <w:rPr>
          <w:rFonts w:ascii="宋体" w:hAnsi="宋体" w:cs="宋体"/>
          <w:b/>
          <w:color w:val="auto"/>
          <w:sz w:val="32"/>
          <w:szCs w:val="32"/>
          <w:highlight w:val="none"/>
        </w:rPr>
      </w:pPr>
      <w:r>
        <w:rPr>
          <w:rFonts w:hint="eastAsia" w:ascii="宋体" w:hAnsi="宋体" w:cs="宋体"/>
          <w:b/>
          <w:color w:val="auto"/>
          <w:sz w:val="32"/>
          <w:szCs w:val="32"/>
          <w:highlight w:val="none"/>
        </w:rPr>
        <w:t>响 应 函</w:t>
      </w:r>
      <w:bookmarkEnd w:id="20"/>
      <w:bookmarkEnd w:id="21"/>
    </w:p>
    <w:p>
      <w:pPr>
        <w:widowControl/>
        <w:spacing w:line="360" w:lineRule="atLeast"/>
        <w:jc w:val="left"/>
        <w:outlineLvl w:val="1"/>
        <w:rPr>
          <w:rFonts w:ascii="宋体" w:hAnsi="宋体" w:cs="宋体"/>
          <w:color w:val="auto"/>
          <w:sz w:val="24"/>
          <w:highlight w:val="none"/>
        </w:rPr>
      </w:pPr>
      <w:r>
        <w:rPr>
          <w:rFonts w:hint="eastAsia" w:ascii="宋体" w:hAnsi="宋体" w:cs="宋体"/>
          <w:color w:val="auto"/>
          <w:sz w:val="24"/>
          <w:highlight w:val="none"/>
        </w:rPr>
        <w:t>XXXX（采购代理机构名称）：</w:t>
      </w:r>
    </w:p>
    <w:p>
      <w:pPr>
        <w:widowControl/>
        <w:spacing w:after="0" w:line="360" w:lineRule="auto"/>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我方全面研究了“</w:t>
      </w:r>
      <w:r>
        <w:rPr>
          <w:rFonts w:hint="eastAsia" w:ascii="宋体" w:hAnsi="宋体" w:cs="宋体"/>
          <w:color w:val="auto"/>
          <w:sz w:val="24"/>
          <w:highlight w:val="none"/>
          <w:u w:val="single"/>
        </w:rPr>
        <w:t>XXXXXXXX</w:t>
      </w:r>
      <w:r>
        <w:rPr>
          <w:rFonts w:hint="eastAsia" w:ascii="宋体" w:hAnsi="宋体" w:cs="宋体"/>
          <w:color w:val="auto"/>
          <w:sz w:val="24"/>
          <w:highlight w:val="none"/>
        </w:rPr>
        <w:t>”项目（项目编号：</w:t>
      </w:r>
      <w:r>
        <w:rPr>
          <w:rFonts w:hint="eastAsia" w:ascii="宋体" w:hAnsi="宋体" w:cs="宋体"/>
          <w:color w:val="auto"/>
          <w:sz w:val="24"/>
          <w:highlight w:val="none"/>
          <w:u w:val="single"/>
        </w:rPr>
        <w:t>XXXX</w:t>
      </w:r>
      <w:r>
        <w:rPr>
          <w:rFonts w:hint="eastAsia" w:ascii="宋体" w:hAnsi="宋体" w:cs="宋体"/>
          <w:color w:val="auto"/>
          <w:sz w:val="24"/>
          <w:highlight w:val="none"/>
        </w:rPr>
        <w:t>）磋商文件，决定参加贵单位组织的本项目磋商采购。我方授权</w:t>
      </w:r>
      <w:r>
        <w:rPr>
          <w:rFonts w:hint="eastAsia" w:ascii="宋体" w:hAnsi="宋体" w:cs="宋体"/>
          <w:color w:val="auto"/>
          <w:sz w:val="24"/>
          <w:highlight w:val="none"/>
          <w:u w:val="single"/>
        </w:rPr>
        <w:t>XXXX</w:t>
      </w:r>
      <w:r>
        <w:rPr>
          <w:rFonts w:hint="eastAsia" w:ascii="宋体" w:hAnsi="宋体" w:cs="宋体"/>
          <w:color w:val="auto"/>
          <w:sz w:val="24"/>
          <w:highlight w:val="none"/>
        </w:rPr>
        <w:t>（姓名、职务）代表我方</w:t>
      </w:r>
      <w:r>
        <w:rPr>
          <w:rFonts w:hint="eastAsia" w:ascii="宋体" w:hAnsi="宋体" w:cs="宋体"/>
          <w:color w:val="auto"/>
          <w:sz w:val="24"/>
          <w:highlight w:val="none"/>
          <w:u w:val="single"/>
        </w:rPr>
        <w:t>XXXXXXXX</w:t>
      </w:r>
      <w:r>
        <w:rPr>
          <w:rFonts w:hint="eastAsia" w:ascii="宋体" w:hAnsi="宋体" w:cs="宋体"/>
          <w:color w:val="auto"/>
          <w:sz w:val="24"/>
          <w:highlight w:val="none"/>
        </w:rPr>
        <w:t>（供应商的名称）全权处理本项目磋商的有关事宜。</w:t>
      </w:r>
    </w:p>
    <w:p>
      <w:pPr>
        <w:widowControl/>
        <w:spacing w:after="0" w:line="360" w:lineRule="auto"/>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一、我方自愿按照磋商文件规定的各项要求向采购人提供所需货物及服务，交货期为XXXXXXXX。</w:t>
      </w:r>
    </w:p>
    <w:p>
      <w:pPr>
        <w:widowControl/>
        <w:spacing w:after="0" w:line="360" w:lineRule="auto"/>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二、如我方成交，我方将严格履行政府采购合同规定的责任和义务。</w:t>
      </w:r>
    </w:p>
    <w:p>
      <w:pPr>
        <w:widowControl/>
        <w:spacing w:after="0" w:line="360" w:lineRule="auto"/>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三、我方为本项目提交的响应文件正本壹份，副本XXXX份，电子文档XX份，用于磋商响应。</w:t>
      </w:r>
    </w:p>
    <w:p>
      <w:pPr>
        <w:widowControl/>
        <w:spacing w:after="0" w:line="360" w:lineRule="auto"/>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四、我方愿意提供贵单位可能另外要求的，与磋商响应有关的文件资料，并保证我方已提供和将要提供的文件资料是真实、准确的。</w:t>
      </w:r>
    </w:p>
    <w:p>
      <w:pPr>
        <w:widowControl/>
        <w:spacing w:after="0" w:line="360" w:lineRule="auto"/>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五、本次磋商，我方递交的响应文件有效期为磋商文件规定起算之日起 XX天。</w:t>
      </w:r>
    </w:p>
    <w:p>
      <w:pPr>
        <w:widowControl/>
        <w:spacing w:line="360" w:lineRule="atLeast"/>
        <w:ind w:firstLine="470" w:firstLineChars="196"/>
        <w:jc w:val="left"/>
        <w:outlineLvl w:val="1"/>
        <w:rPr>
          <w:rFonts w:ascii="宋体" w:hAnsi="宋体" w:cs="宋体"/>
          <w:color w:val="auto"/>
          <w:sz w:val="24"/>
          <w:highlight w:val="none"/>
        </w:rPr>
      </w:pPr>
    </w:p>
    <w:p>
      <w:pPr>
        <w:widowControl/>
        <w:spacing w:after="0" w:line="360" w:lineRule="auto"/>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供应商名称：XXXX（单位公章）。</w:t>
      </w:r>
    </w:p>
    <w:p>
      <w:pPr>
        <w:widowControl/>
        <w:spacing w:after="0" w:line="360" w:lineRule="auto"/>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widowControl/>
        <w:spacing w:after="0" w:line="360" w:lineRule="auto"/>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通讯地址：XXXX。</w:t>
      </w:r>
    </w:p>
    <w:p>
      <w:pPr>
        <w:widowControl/>
        <w:spacing w:after="0" w:line="360" w:lineRule="auto"/>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邮政编码：XXXX。</w:t>
      </w:r>
    </w:p>
    <w:p>
      <w:pPr>
        <w:widowControl/>
        <w:spacing w:after="0" w:line="360" w:lineRule="auto"/>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联系电话：XXXX。</w:t>
      </w:r>
    </w:p>
    <w:p>
      <w:pPr>
        <w:widowControl/>
        <w:spacing w:after="0" w:line="360" w:lineRule="auto"/>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传    真：XXXX。</w:t>
      </w:r>
    </w:p>
    <w:p>
      <w:pPr>
        <w:widowControl/>
        <w:spacing w:after="0" w:line="360" w:lineRule="auto"/>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日    期：XXXX年XXXX月XXXX日。</w:t>
      </w:r>
    </w:p>
    <w:p>
      <w:pPr>
        <w:widowControl/>
        <w:spacing w:after="0" w:line="240" w:lineRule="auto"/>
        <w:jc w:val="left"/>
        <w:outlineLvl w:val="1"/>
        <w:rPr>
          <w:rFonts w:ascii="宋体" w:hAnsi="宋体" w:cs="宋体"/>
          <w:b/>
          <w:color w:val="auto"/>
          <w:sz w:val="32"/>
          <w:szCs w:val="32"/>
          <w:highlight w:val="none"/>
        </w:rPr>
      </w:pPr>
      <w:bookmarkStart w:id="24" w:name="_Toc308164824"/>
      <w:r>
        <w:rPr>
          <w:rFonts w:hint="eastAsia" w:ascii="宋体" w:hAnsi="宋体" w:cs="宋体"/>
          <w:b/>
          <w:color w:val="auto"/>
          <w:sz w:val="32"/>
          <w:szCs w:val="32"/>
          <w:highlight w:val="none"/>
        </w:rPr>
        <w:br w:type="page"/>
      </w:r>
    </w:p>
    <w:p>
      <w:pPr>
        <w:rPr>
          <w:rFonts w:ascii="宋体" w:hAnsi="宋体" w:cs="宋体"/>
          <w:b/>
          <w:color w:val="auto"/>
          <w:sz w:val="32"/>
          <w:szCs w:val="32"/>
          <w:highlight w:val="none"/>
        </w:rPr>
      </w:pPr>
      <w:r>
        <w:rPr>
          <w:rFonts w:hint="eastAsia" w:ascii="宋体" w:hAnsi="宋体" w:cs="宋体"/>
          <w:b/>
          <w:color w:val="auto"/>
          <w:sz w:val="32"/>
          <w:szCs w:val="32"/>
          <w:highlight w:val="none"/>
        </w:rPr>
        <w:t>格式2-3</w:t>
      </w:r>
    </w:p>
    <w:p>
      <w:pPr>
        <w:widowControl/>
        <w:spacing w:line="360" w:lineRule="atLeast"/>
        <w:jc w:val="center"/>
        <w:outlineLvl w:val="1"/>
        <w:rPr>
          <w:rFonts w:ascii="宋体" w:hAnsi="宋体" w:cs="宋体"/>
          <w:b/>
          <w:color w:val="auto"/>
          <w:sz w:val="32"/>
          <w:szCs w:val="32"/>
          <w:highlight w:val="none"/>
        </w:rPr>
      </w:pPr>
      <w:r>
        <w:rPr>
          <w:rFonts w:hint="eastAsia" w:ascii="宋体" w:hAnsi="宋体" w:cs="宋体"/>
          <w:b/>
          <w:color w:val="auto"/>
          <w:sz w:val="32"/>
          <w:szCs w:val="32"/>
          <w:highlight w:val="none"/>
        </w:rPr>
        <w:t>供应商基本情况表</w:t>
      </w:r>
    </w:p>
    <w:tbl>
      <w:tblPr>
        <w:tblStyle w:val="34"/>
        <w:tblW w:w="9499"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760"/>
        <w:gridCol w:w="1106"/>
        <w:gridCol w:w="1432"/>
        <w:gridCol w:w="1443"/>
        <w:gridCol w:w="1526"/>
        <w:gridCol w:w="183"/>
        <w:gridCol w:w="799"/>
        <w:gridCol w:w="125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96" w:hRule="atLeast"/>
          <w:jc w:val="center"/>
        </w:trPr>
        <w:tc>
          <w:tcPr>
            <w:tcW w:w="1760" w:type="dxa"/>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供应商名称</w:t>
            </w:r>
          </w:p>
        </w:tc>
        <w:tc>
          <w:tcPr>
            <w:tcW w:w="7739" w:type="dxa"/>
            <w:gridSpan w:val="7"/>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7" w:hRule="atLeast"/>
          <w:jc w:val="center"/>
        </w:trPr>
        <w:tc>
          <w:tcPr>
            <w:tcW w:w="1760" w:type="dxa"/>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注册地址</w:t>
            </w:r>
          </w:p>
        </w:tc>
        <w:tc>
          <w:tcPr>
            <w:tcW w:w="3981" w:type="dxa"/>
            <w:gridSpan w:val="3"/>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c>
          <w:tcPr>
            <w:tcW w:w="1526" w:type="dxa"/>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邮政编码</w:t>
            </w:r>
          </w:p>
        </w:tc>
        <w:tc>
          <w:tcPr>
            <w:tcW w:w="2232" w:type="dxa"/>
            <w:gridSpan w:val="3"/>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7" w:hRule="atLeast"/>
          <w:jc w:val="center"/>
        </w:trPr>
        <w:tc>
          <w:tcPr>
            <w:tcW w:w="1760" w:type="dxa"/>
            <w:vMerge w:val="restart"/>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联系方式</w:t>
            </w:r>
          </w:p>
        </w:tc>
        <w:tc>
          <w:tcPr>
            <w:tcW w:w="1106" w:type="dxa"/>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联系人</w:t>
            </w:r>
          </w:p>
        </w:tc>
        <w:tc>
          <w:tcPr>
            <w:tcW w:w="2875" w:type="dxa"/>
            <w:gridSpan w:val="2"/>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c>
          <w:tcPr>
            <w:tcW w:w="1526" w:type="dxa"/>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r>
              <w:rPr>
                <w:rFonts w:hint="eastAsia" w:ascii="宋体" w:hAnsi="宋体" w:cs="宋体"/>
                <w:color w:val="auto"/>
                <w:sz w:val="24"/>
                <w:highlight w:val="none"/>
              </w:rPr>
              <w:t>电话</w:t>
            </w:r>
          </w:p>
        </w:tc>
        <w:tc>
          <w:tcPr>
            <w:tcW w:w="2232" w:type="dxa"/>
            <w:gridSpan w:val="3"/>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1760" w:type="dxa"/>
            <w:vMerge w:val="continue"/>
            <w:vAlign w:val="center"/>
          </w:tcPr>
          <w:p>
            <w:pPr>
              <w:keepNext w:val="0"/>
              <w:keepLines w:val="0"/>
              <w:suppressLineNumbers w:val="0"/>
              <w:spacing w:before="0" w:beforeAutospacing="0" w:after="0" w:afterAutospacing="0"/>
              <w:ind w:left="0" w:right="0"/>
              <w:rPr>
                <w:rFonts w:hint="default" w:ascii="宋体" w:hAnsi="宋体" w:cs="宋体"/>
                <w:color w:val="auto"/>
                <w:highlight w:val="none"/>
              </w:rPr>
            </w:pPr>
          </w:p>
        </w:tc>
        <w:tc>
          <w:tcPr>
            <w:tcW w:w="1106" w:type="dxa"/>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传真</w:t>
            </w:r>
          </w:p>
        </w:tc>
        <w:tc>
          <w:tcPr>
            <w:tcW w:w="2875" w:type="dxa"/>
            <w:gridSpan w:val="2"/>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c>
          <w:tcPr>
            <w:tcW w:w="1526" w:type="dxa"/>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r>
              <w:rPr>
                <w:rFonts w:hint="eastAsia" w:ascii="宋体" w:hAnsi="宋体" w:cs="宋体"/>
                <w:color w:val="auto"/>
                <w:sz w:val="24"/>
                <w:highlight w:val="none"/>
              </w:rPr>
              <w:t>网址</w:t>
            </w:r>
          </w:p>
        </w:tc>
        <w:tc>
          <w:tcPr>
            <w:tcW w:w="2232" w:type="dxa"/>
            <w:gridSpan w:val="3"/>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7" w:hRule="atLeast"/>
          <w:jc w:val="center"/>
        </w:trPr>
        <w:tc>
          <w:tcPr>
            <w:tcW w:w="1760" w:type="dxa"/>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组织结构</w:t>
            </w:r>
          </w:p>
        </w:tc>
        <w:tc>
          <w:tcPr>
            <w:tcW w:w="7739" w:type="dxa"/>
            <w:gridSpan w:val="7"/>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072" w:hRule="atLeast"/>
          <w:jc w:val="center"/>
        </w:trPr>
        <w:tc>
          <w:tcPr>
            <w:tcW w:w="1760" w:type="dxa"/>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法定代表人/单位负责人</w:t>
            </w:r>
          </w:p>
        </w:tc>
        <w:tc>
          <w:tcPr>
            <w:tcW w:w="1106" w:type="dxa"/>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姓名</w:t>
            </w:r>
          </w:p>
        </w:tc>
        <w:tc>
          <w:tcPr>
            <w:tcW w:w="1432" w:type="dxa"/>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c>
          <w:tcPr>
            <w:tcW w:w="1443" w:type="dxa"/>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技术职称</w:t>
            </w:r>
          </w:p>
        </w:tc>
        <w:tc>
          <w:tcPr>
            <w:tcW w:w="1526" w:type="dxa"/>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c>
          <w:tcPr>
            <w:tcW w:w="982" w:type="dxa"/>
            <w:gridSpan w:val="2"/>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电话</w:t>
            </w:r>
          </w:p>
        </w:tc>
        <w:tc>
          <w:tcPr>
            <w:tcW w:w="1250" w:type="dxa"/>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7" w:hRule="atLeast"/>
          <w:jc w:val="center"/>
        </w:trPr>
        <w:tc>
          <w:tcPr>
            <w:tcW w:w="1760" w:type="dxa"/>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技术负责人</w:t>
            </w:r>
          </w:p>
        </w:tc>
        <w:tc>
          <w:tcPr>
            <w:tcW w:w="1106" w:type="dxa"/>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姓名</w:t>
            </w:r>
          </w:p>
        </w:tc>
        <w:tc>
          <w:tcPr>
            <w:tcW w:w="1432" w:type="dxa"/>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c>
          <w:tcPr>
            <w:tcW w:w="1443" w:type="dxa"/>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技术职称</w:t>
            </w:r>
          </w:p>
        </w:tc>
        <w:tc>
          <w:tcPr>
            <w:tcW w:w="1526" w:type="dxa"/>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c>
          <w:tcPr>
            <w:tcW w:w="982" w:type="dxa"/>
            <w:gridSpan w:val="2"/>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电话</w:t>
            </w:r>
          </w:p>
        </w:tc>
        <w:tc>
          <w:tcPr>
            <w:tcW w:w="1250" w:type="dxa"/>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7" w:hRule="atLeast"/>
          <w:jc w:val="center"/>
        </w:trPr>
        <w:tc>
          <w:tcPr>
            <w:tcW w:w="1760" w:type="dxa"/>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成立时间</w:t>
            </w:r>
          </w:p>
        </w:tc>
        <w:tc>
          <w:tcPr>
            <w:tcW w:w="2538" w:type="dxa"/>
            <w:gridSpan w:val="2"/>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c>
          <w:tcPr>
            <w:tcW w:w="5201" w:type="dxa"/>
            <w:gridSpan w:val="5"/>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1760" w:type="dxa"/>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企业资质等级</w:t>
            </w:r>
          </w:p>
        </w:tc>
        <w:tc>
          <w:tcPr>
            <w:tcW w:w="2538" w:type="dxa"/>
            <w:gridSpan w:val="2"/>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c>
          <w:tcPr>
            <w:tcW w:w="1443" w:type="dxa"/>
            <w:vMerge w:val="restart"/>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r>
              <w:rPr>
                <w:rFonts w:hint="eastAsia" w:ascii="宋体" w:hAnsi="宋体" w:cs="宋体"/>
                <w:color w:val="auto"/>
                <w:sz w:val="24"/>
                <w:highlight w:val="none"/>
              </w:rPr>
              <w:t>其中</w:t>
            </w:r>
          </w:p>
        </w:tc>
        <w:tc>
          <w:tcPr>
            <w:tcW w:w="1709" w:type="dxa"/>
            <w:gridSpan w:val="2"/>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项目经理</w:t>
            </w:r>
          </w:p>
        </w:tc>
        <w:tc>
          <w:tcPr>
            <w:tcW w:w="2049" w:type="dxa"/>
            <w:gridSpan w:val="2"/>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1760" w:type="dxa"/>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营业执照号</w:t>
            </w:r>
          </w:p>
        </w:tc>
        <w:tc>
          <w:tcPr>
            <w:tcW w:w="2538" w:type="dxa"/>
            <w:gridSpan w:val="2"/>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c>
          <w:tcPr>
            <w:tcW w:w="1443" w:type="dxa"/>
            <w:vMerge w:val="continue"/>
            <w:vAlign w:val="center"/>
          </w:tcPr>
          <w:p>
            <w:pPr>
              <w:keepNext w:val="0"/>
              <w:keepLines w:val="0"/>
              <w:suppressLineNumbers w:val="0"/>
              <w:spacing w:before="0" w:beforeAutospacing="0" w:after="0" w:afterAutospacing="0"/>
              <w:ind w:left="0" w:right="0"/>
              <w:rPr>
                <w:rFonts w:hint="default" w:ascii="宋体" w:hAnsi="宋体" w:cs="宋体"/>
                <w:color w:val="auto"/>
                <w:highlight w:val="none"/>
              </w:rPr>
            </w:pPr>
          </w:p>
        </w:tc>
        <w:tc>
          <w:tcPr>
            <w:tcW w:w="1709" w:type="dxa"/>
            <w:gridSpan w:val="2"/>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高级职称人员</w:t>
            </w:r>
          </w:p>
        </w:tc>
        <w:tc>
          <w:tcPr>
            <w:tcW w:w="2049" w:type="dxa"/>
            <w:gridSpan w:val="2"/>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1760" w:type="dxa"/>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注册资金</w:t>
            </w:r>
          </w:p>
        </w:tc>
        <w:tc>
          <w:tcPr>
            <w:tcW w:w="2538" w:type="dxa"/>
            <w:gridSpan w:val="2"/>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c>
          <w:tcPr>
            <w:tcW w:w="1443" w:type="dxa"/>
            <w:vMerge w:val="continue"/>
            <w:vAlign w:val="center"/>
          </w:tcPr>
          <w:p>
            <w:pPr>
              <w:keepNext w:val="0"/>
              <w:keepLines w:val="0"/>
              <w:suppressLineNumbers w:val="0"/>
              <w:spacing w:before="0" w:beforeAutospacing="0" w:after="0" w:afterAutospacing="0"/>
              <w:ind w:left="0" w:right="0"/>
              <w:rPr>
                <w:rFonts w:hint="default" w:ascii="宋体" w:hAnsi="宋体" w:cs="宋体"/>
                <w:color w:val="auto"/>
                <w:highlight w:val="none"/>
              </w:rPr>
            </w:pPr>
          </w:p>
        </w:tc>
        <w:tc>
          <w:tcPr>
            <w:tcW w:w="1709" w:type="dxa"/>
            <w:gridSpan w:val="2"/>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中级职称人员</w:t>
            </w:r>
          </w:p>
        </w:tc>
        <w:tc>
          <w:tcPr>
            <w:tcW w:w="2049" w:type="dxa"/>
            <w:gridSpan w:val="2"/>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1760" w:type="dxa"/>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开户银行</w:t>
            </w:r>
          </w:p>
        </w:tc>
        <w:tc>
          <w:tcPr>
            <w:tcW w:w="2538" w:type="dxa"/>
            <w:gridSpan w:val="2"/>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c>
          <w:tcPr>
            <w:tcW w:w="1443" w:type="dxa"/>
            <w:vMerge w:val="continue"/>
            <w:vAlign w:val="center"/>
          </w:tcPr>
          <w:p>
            <w:pPr>
              <w:keepNext w:val="0"/>
              <w:keepLines w:val="0"/>
              <w:suppressLineNumbers w:val="0"/>
              <w:spacing w:before="0" w:beforeAutospacing="0" w:after="0" w:afterAutospacing="0"/>
              <w:ind w:left="0" w:right="0"/>
              <w:rPr>
                <w:rFonts w:hint="default" w:ascii="宋体" w:hAnsi="宋体" w:cs="宋体"/>
                <w:color w:val="auto"/>
                <w:highlight w:val="none"/>
              </w:rPr>
            </w:pPr>
          </w:p>
        </w:tc>
        <w:tc>
          <w:tcPr>
            <w:tcW w:w="1709" w:type="dxa"/>
            <w:gridSpan w:val="2"/>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初级职称人员</w:t>
            </w:r>
          </w:p>
        </w:tc>
        <w:tc>
          <w:tcPr>
            <w:tcW w:w="2049" w:type="dxa"/>
            <w:gridSpan w:val="2"/>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7" w:hRule="atLeast"/>
          <w:jc w:val="center"/>
        </w:trPr>
        <w:tc>
          <w:tcPr>
            <w:tcW w:w="1760" w:type="dxa"/>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r>
              <w:rPr>
                <w:rFonts w:hint="eastAsia" w:ascii="宋体" w:hAnsi="宋体" w:cs="宋体"/>
                <w:color w:val="auto"/>
                <w:sz w:val="24"/>
                <w:highlight w:val="none"/>
              </w:rPr>
              <w:t>账号</w:t>
            </w:r>
          </w:p>
        </w:tc>
        <w:tc>
          <w:tcPr>
            <w:tcW w:w="2538" w:type="dxa"/>
            <w:gridSpan w:val="2"/>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c>
          <w:tcPr>
            <w:tcW w:w="1443" w:type="dxa"/>
            <w:vMerge w:val="continue"/>
            <w:vAlign w:val="center"/>
          </w:tcPr>
          <w:p>
            <w:pPr>
              <w:keepNext w:val="0"/>
              <w:keepLines w:val="0"/>
              <w:suppressLineNumbers w:val="0"/>
              <w:spacing w:before="0" w:beforeAutospacing="0" w:after="0" w:afterAutospacing="0"/>
              <w:ind w:left="0" w:right="0"/>
              <w:rPr>
                <w:rFonts w:hint="default" w:ascii="宋体" w:hAnsi="宋体" w:cs="宋体"/>
                <w:color w:val="auto"/>
                <w:highlight w:val="none"/>
              </w:rPr>
            </w:pPr>
          </w:p>
        </w:tc>
        <w:tc>
          <w:tcPr>
            <w:tcW w:w="1709" w:type="dxa"/>
            <w:gridSpan w:val="2"/>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r>
              <w:rPr>
                <w:rFonts w:hint="eastAsia" w:ascii="宋体" w:hAnsi="宋体" w:cs="宋体"/>
                <w:color w:val="auto"/>
                <w:sz w:val="24"/>
                <w:highlight w:val="none"/>
              </w:rPr>
              <w:t>技工</w:t>
            </w:r>
          </w:p>
        </w:tc>
        <w:tc>
          <w:tcPr>
            <w:tcW w:w="2049" w:type="dxa"/>
            <w:gridSpan w:val="2"/>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148" w:hRule="atLeast"/>
          <w:jc w:val="center"/>
        </w:trPr>
        <w:tc>
          <w:tcPr>
            <w:tcW w:w="1760" w:type="dxa"/>
            <w:vAlign w:val="center"/>
          </w:tcPr>
          <w:p>
            <w:pPr>
              <w:keepNext w:val="0"/>
              <w:keepLines w:val="0"/>
              <w:widowControl/>
              <w:suppressLineNumbers w:val="0"/>
              <w:spacing w:before="0" w:beforeAutospacing="0" w:after="0" w:afterAutospacing="0" w:line="360" w:lineRule="atLeas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经营范围</w:t>
            </w:r>
          </w:p>
        </w:tc>
        <w:tc>
          <w:tcPr>
            <w:tcW w:w="7739" w:type="dxa"/>
            <w:gridSpan w:val="7"/>
            <w:vAlign w:val="center"/>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59" w:hRule="atLeast"/>
          <w:jc w:val="center"/>
        </w:trPr>
        <w:tc>
          <w:tcPr>
            <w:tcW w:w="1760" w:type="dxa"/>
          </w:tcPr>
          <w:p>
            <w:pPr>
              <w:keepNext w:val="0"/>
              <w:keepLines w:val="0"/>
              <w:widowControl/>
              <w:suppressLineNumbers w:val="0"/>
              <w:spacing w:before="0" w:beforeAutospacing="0" w:after="0" w:afterAutospacing="0" w:line="360" w:lineRule="atLeast"/>
              <w:ind w:left="0" w:right="0"/>
              <w:outlineLvl w:val="1"/>
              <w:rPr>
                <w:rFonts w:hint="default" w:ascii="宋体" w:hAnsi="宋体" w:cs="宋体"/>
                <w:color w:val="auto"/>
                <w:sz w:val="24"/>
                <w:highlight w:val="none"/>
              </w:rPr>
            </w:pPr>
            <w:r>
              <w:rPr>
                <w:rFonts w:hint="eastAsia" w:ascii="宋体" w:hAnsi="宋体" w:cs="宋体"/>
                <w:color w:val="auto"/>
                <w:sz w:val="24"/>
                <w:highlight w:val="none"/>
              </w:rPr>
              <w:t>备注</w:t>
            </w:r>
          </w:p>
        </w:tc>
        <w:tc>
          <w:tcPr>
            <w:tcW w:w="7739" w:type="dxa"/>
            <w:gridSpan w:val="7"/>
          </w:tcPr>
          <w:p>
            <w:pPr>
              <w:keepNext w:val="0"/>
              <w:keepLines w:val="0"/>
              <w:widowControl/>
              <w:suppressLineNumbers w:val="0"/>
              <w:spacing w:before="0" w:beforeAutospacing="0" w:after="0" w:afterAutospacing="0" w:line="360" w:lineRule="atLeast"/>
              <w:ind w:left="0" w:right="0" w:firstLine="470" w:firstLineChars="196"/>
              <w:jc w:val="left"/>
              <w:outlineLvl w:val="1"/>
              <w:rPr>
                <w:rFonts w:hint="default" w:ascii="宋体" w:hAnsi="宋体" w:cs="宋体"/>
                <w:color w:val="auto"/>
                <w:sz w:val="24"/>
                <w:highlight w:val="none"/>
              </w:rPr>
            </w:pPr>
          </w:p>
        </w:tc>
      </w:tr>
    </w:tbl>
    <w:p>
      <w:pPr>
        <w:adjustRightInd w:val="0"/>
        <w:spacing w:line="400" w:lineRule="exact"/>
        <w:jc w:val="left"/>
        <w:rPr>
          <w:rFonts w:ascii="宋体" w:hAnsi="宋体" w:cs="宋体"/>
          <w:color w:val="auto"/>
          <w:sz w:val="24"/>
          <w:highlight w:val="none"/>
        </w:rPr>
      </w:pPr>
      <w:r>
        <w:rPr>
          <w:rFonts w:hint="eastAsia" w:ascii="宋体" w:hAnsi="宋体" w:cs="宋体"/>
          <w:color w:val="auto"/>
          <w:sz w:val="24"/>
          <w:highlight w:val="none"/>
        </w:rPr>
        <w:t xml:space="preserve"> </w:t>
      </w:r>
    </w:p>
    <w:p>
      <w:pPr>
        <w:widowControl/>
        <w:tabs>
          <w:tab w:val="left" w:pos="8127"/>
        </w:tabs>
        <w:spacing w:after="0" w:line="360" w:lineRule="auto"/>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供应商名称：XXX（盖单位公章）</w:t>
      </w:r>
    </w:p>
    <w:p>
      <w:pPr>
        <w:widowControl/>
        <w:tabs>
          <w:tab w:val="left" w:pos="8127"/>
        </w:tabs>
        <w:spacing w:after="0" w:line="360" w:lineRule="auto"/>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法定代表人/单位负责人或授权代表（签字或加盖个人印章）：XXX</w:t>
      </w:r>
    </w:p>
    <w:p>
      <w:pPr>
        <w:widowControl/>
        <w:tabs>
          <w:tab w:val="left" w:pos="8127"/>
        </w:tabs>
        <w:spacing w:after="0" w:line="360" w:lineRule="auto"/>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日期：XXX年XXX月XXX日</w:t>
      </w:r>
    </w:p>
    <w:p>
      <w:pPr>
        <w:widowControl/>
        <w:spacing w:after="0" w:line="240" w:lineRule="auto"/>
        <w:jc w:val="left"/>
        <w:rPr>
          <w:rFonts w:ascii="宋体" w:hAnsi="宋体" w:cs="宋体"/>
          <w:b/>
          <w:color w:val="auto"/>
          <w:sz w:val="32"/>
          <w:szCs w:val="32"/>
          <w:highlight w:val="none"/>
        </w:rPr>
      </w:pPr>
      <w:r>
        <w:rPr>
          <w:rFonts w:hint="eastAsia" w:ascii="宋体" w:hAnsi="宋体" w:cs="宋体"/>
          <w:b/>
          <w:color w:val="auto"/>
          <w:sz w:val="32"/>
          <w:szCs w:val="32"/>
          <w:highlight w:val="none"/>
        </w:rPr>
        <w:br w:type="page"/>
      </w:r>
      <w:r>
        <w:rPr>
          <w:rFonts w:hint="eastAsia" w:ascii="宋体" w:hAnsi="宋体" w:cs="宋体"/>
          <w:b/>
          <w:color w:val="auto"/>
          <w:sz w:val="32"/>
          <w:szCs w:val="32"/>
          <w:highlight w:val="none"/>
        </w:rPr>
        <w:t>格式</w:t>
      </w:r>
      <w:r>
        <w:rPr>
          <w:rFonts w:hint="eastAsia" w:ascii="宋体" w:hAnsi="宋体" w:cs="宋体"/>
          <w:b/>
          <w:color w:val="auto"/>
          <w:sz w:val="32"/>
          <w:szCs w:val="32"/>
          <w:highlight w:val="none"/>
          <w:lang w:val="en-US" w:eastAsia="zh-CN"/>
        </w:rPr>
        <w:t>2</w:t>
      </w:r>
      <w:r>
        <w:rPr>
          <w:rFonts w:hint="eastAsia" w:ascii="宋体" w:hAnsi="宋体" w:cs="宋体"/>
          <w:b/>
          <w:color w:val="auto"/>
          <w:sz w:val="32"/>
          <w:szCs w:val="32"/>
          <w:highlight w:val="none"/>
        </w:rPr>
        <w:t>-4</w:t>
      </w:r>
    </w:p>
    <w:p>
      <w:pPr>
        <w:widowControl/>
        <w:spacing w:line="360" w:lineRule="atLeast"/>
        <w:jc w:val="center"/>
        <w:outlineLvl w:val="1"/>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w:t>
      </w:r>
    </w:p>
    <w:p>
      <w:pPr>
        <w:spacing w:after="0"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本公司郑重声明，根据《政府采购促进中小企业发展管理办法》（财库〔2020</w:t>
      </w:r>
      <w:r>
        <w:rPr>
          <w:rFonts w:ascii="宋体" w:hAnsi="宋体"/>
          <w:color w:val="auto"/>
          <w:sz w:val="24"/>
          <w:highlight w:val="none"/>
        </w:rPr>
        <w:t>〕</w:t>
      </w:r>
      <w:r>
        <w:rPr>
          <w:rFonts w:hint="eastAsia" w:ascii="宋体" w:hAnsi="宋体"/>
          <w:color w:val="auto"/>
          <w:sz w:val="24"/>
          <w:highlight w:val="none"/>
        </w:rPr>
        <w:t>46 号）</w:t>
      </w:r>
      <w:r>
        <w:rPr>
          <w:rFonts w:ascii="宋体" w:hAnsi="宋体"/>
          <w:color w:val="auto"/>
          <w:sz w:val="24"/>
          <w:highlight w:val="none"/>
        </w:rPr>
        <w:t>的规定，</w:t>
      </w:r>
      <w:r>
        <w:rPr>
          <w:rFonts w:hint="eastAsia" w:ascii="宋体" w:hAnsi="宋体"/>
          <w:color w:val="auto"/>
          <w:sz w:val="24"/>
          <w:highlight w:val="none"/>
        </w:rPr>
        <w:t xml:space="preserve">本公司参加 </w:t>
      </w:r>
      <w:r>
        <w:rPr>
          <w:rFonts w:hint="eastAsia" w:ascii="宋体" w:hAnsi="宋体"/>
          <w:color w:val="auto"/>
          <w:sz w:val="24"/>
          <w:highlight w:val="none"/>
          <w:u w:val="single"/>
        </w:rPr>
        <w:t xml:space="preserve">（单位名称） </w:t>
      </w:r>
      <w:r>
        <w:rPr>
          <w:rFonts w:hint="eastAsia" w:ascii="宋体" w:hAnsi="宋体"/>
          <w:color w:val="auto"/>
          <w:sz w:val="24"/>
          <w:highlight w:val="none"/>
        </w:rPr>
        <w:t xml:space="preserve">的 </w:t>
      </w:r>
      <w:r>
        <w:rPr>
          <w:rFonts w:hint="eastAsia" w:ascii="宋体" w:hAnsi="宋体"/>
          <w:color w:val="auto"/>
          <w:sz w:val="24"/>
          <w:highlight w:val="none"/>
          <w:u w:val="single"/>
        </w:rPr>
        <w:t xml:space="preserve">（项目名称） </w:t>
      </w:r>
      <w:r>
        <w:rPr>
          <w:rFonts w:hint="eastAsia" w:ascii="宋体" w:hAnsi="宋体"/>
          <w:color w:val="auto"/>
          <w:sz w:val="24"/>
          <w:highlight w:val="none"/>
        </w:rPr>
        <w:t>采购活动，提供的货物全部由符合政策要求的中小企业制造。相关企业的具体情况如下：</w:t>
      </w:r>
    </w:p>
    <w:p>
      <w:pPr>
        <w:spacing w:after="0"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　　</w:t>
      </w:r>
      <w:bookmarkStart w:id="25" w:name="_Toc417911732"/>
      <w:bookmarkStart w:id="26" w:name="_Toc413748654"/>
      <w:bookmarkStart w:id="27" w:name="_Toc387658050"/>
      <w:bookmarkStart w:id="28" w:name="_Toc419811733"/>
      <w:bookmarkStart w:id="29" w:name="_Toc387147344"/>
      <w:r>
        <w:rPr>
          <w:rFonts w:hint="eastAsia" w:ascii="宋体" w:hAnsi="宋体"/>
          <w:color w:val="auto"/>
          <w:sz w:val="24"/>
          <w:highlight w:val="none"/>
        </w:rPr>
        <w:t xml:space="preserve">1. </w:t>
      </w:r>
      <w:r>
        <w:rPr>
          <w:rFonts w:hint="eastAsia" w:ascii="宋体" w:hAnsi="宋体"/>
          <w:color w:val="auto"/>
          <w:sz w:val="24"/>
          <w:highlight w:val="none"/>
          <w:u w:val="single"/>
        </w:rPr>
        <w:t xml:space="preserve">（标的名称） </w:t>
      </w:r>
      <w:r>
        <w:rPr>
          <w:rFonts w:hint="eastAsia" w:ascii="宋体" w:hAnsi="宋体"/>
          <w:color w:val="auto"/>
          <w:sz w:val="24"/>
          <w:highlight w:val="none"/>
        </w:rPr>
        <w:t>，属于</w:t>
      </w:r>
      <w:r>
        <w:rPr>
          <w:rFonts w:hint="eastAsia" w:ascii="宋体" w:hAnsi="宋体"/>
          <w:color w:val="auto"/>
          <w:sz w:val="24"/>
          <w:highlight w:val="none"/>
          <w:u w:val="single"/>
        </w:rPr>
        <w:t xml:space="preserve"> （采购文件中明确的所属行业） </w:t>
      </w:r>
      <w:r>
        <w:rPr>
          <w:rFonts w:hint="eastAsia" w:ascii="宋体" w:hAnsi="宋体"/>
          <w:color w:val="auto"/>
          <w:sz w:val="24"/>
          <w:highlight w:val="none"/>
        </w:rPr>
        <w:t>；制造商为</w:t>
      </w:r>
      <w:r>
        <w:rPr>
          <w:rFonts w:hint="eastAsia" w:ascii="宋体" w:hAnsi="宋体"/>
          <w:color w:val="auto"/>
          <w:sz w:val="24"/>
          <w:highlight w:val="none"/>
          <w:u w:val="single"/>
        </w:rPr>
        <w:t xml:space="preserve"> （企业名称） </w:t>
      </w:r>
      <w:r>
        <w:rPr>
          <w:rFonts w:hint="eastAsia" w:ascii="宋体" w:hAnsi="宋体"/>
          <w:color w:val="auto"/>
          <w:sz w:val="24"/>
          <w:highlight w:val="none"/>
        </w:rPr>
        <w:t>，从业人员</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ascii="宋体" w:hAnsi="宋体"/>
          <w:color w:val="auto"/>
          <w:sz w:val="24"/>
          <w:highlight w:val="none"/>
          <w:u w:val="single"/>
        </w:rPr>
        <w:t xml:space="preserve">   </w:t>
      </w:r>
      <w:r>
        <w:rPr>
          <w:rFonts w:hint="eastAsia" w:ascii="宋体" w:hAnsi="宋体"/>
          <w:color w:val="auto"/>
          <w:sz w:val="24"/>
          <w:highlight w:val="none"/>
        </w:rPr>
        <w:t>万元，属于</w:t>
      </w:r>
      <w:r>
        <w:rPr>
          <w:rFonts w:hint="eastAsia" w:ascii="宋体" w:hAnsi="宋体"/>
          <w:color w:val="auto"/>
          <w:sz w:val="24"/>
          <w:highlight w:val="none"/>
          <w:u w:val="single"/>
        </w:rPr>
        <w:t xml:space="preserve"> （中型企业、小型企业、微型企业） </w:t>
      </w:r>
      <w:r>
        <w:rPr>
          <w:rFonts w:hint="eastAsia" w:ascii="宋体" w:hAnsi="宋体"/>
          <w:color w:val="auto"/>
          <w:sz w:val="24"/>
          <w:highlight w:val="none"/>
        </w:rPr>
        <w:t>；</w:t>
      </w:r>
    </w:p>
    <w:p>
      <w:pPr>
        <w:spacing w:after="0" w:line="360" w:lineRule="auto"/>
        <w:ind w:firstLine="600" w:firstLineChars="250"/>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u w:val="single"/>
        </w:rPr>
        <w:t xml:space="preserve"> （标的名称） </w:t>
      </w:r>
      <w:r>
        <w:rPr>
          <w:rFonts w:hint="eastAsia" w:ascii="宋体" w:hAnsi="宋体"/>
          <w:color w:val="auto"/>
          <w:sz w:val="24"/>
          <w:highlight w:val="none"/>
        </w:rPr>
        <w:t>，属于</w:t>
      </w:r>
      <w:r>
        <w:rPr>
          <w:rFonts w:hint="eastAsia" w:ascii="宋体" w:hAnsi="宋体"/>
          <w:color w:val="auto"/>
          <w:sz w:val="24"/>
          <w:highlight w:val="none"/>
          <w:u w:val="single"/>
        </w:rPr>
        <w:t xml:space="preserve"> （采购文件中明确的所属行业） </w:t>
      </w:r>
      <w:r>
        <w:rPr>
          <w:rFonts w:hint="eastAsia" w:ascii="宋体" w:hAnsi="宋体"/>
          <w:color w:val="auto"/>
          <w:sz w:val="24"/>
          <w:highlight w:val="none"/>
        </w:rPr>
        <w:t>；制造商为</w:t>
      </w:r>
      <w:r>
        <w:rPr>
          <w:rFonts w:hint="eastAsia" w:ascii="宋体" w:hAnsi="宋体"/>
          <w:color w:val="auto"/>
          <w:sz w:val="24"/>
          <w:highlight w:val="none"/>
          <w:u w:val="single"/>
        </w:rPr>
        <w:t xml:space="preserve"> （企业名称） </w:t>
      </w:r>
      <w:r>
        <w:rPr>
          <w:rFonts w:hint="eastAsia" w:ascii="宋体" w:hAnsi="宋体"/>
          <w:color w:val="auto"/>
          <w:sz w:val="24"/>
          <w:highlight w:val="none"/>
        </w:rPr>
        <w:t>，从业人员</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ascii="宋体" w:hAnsi="宋体"/>
          <w:color w:val="auto"/>
          <w:sz w:val="24"/>
          <w:highlight w:val="none"/>
          <w:u w:val="single"/>
        </w:rPr>
        <w:t xml:space="preserve">   </w:t>
      </w:r>
      <w:r>
        <w:rPr>
          <w:rFonts w:hint="eastAsia" w:ascii="宋体" w:hAnsi="宋体"/>
          <w:color w:val="auto"/>
          <w:sz w:val="24"/>
          <w:highlight w:val="none"/>
        </w:rPr>
        <w:t>万元，属于</w:t>
      </w:r>
      <w:r>
        <w:rPr>
          <w:rFonts w:hint="eastAsia" w:ascii="宋体" w:hAnsi="宋体"/>
          <w:color w:val="auto"/>
          <w:sz w:val="24"/>
          <w:highlight w:val="none"/>
          <w:u w:val="single"/>
        </w:rPr>
        <w:t xml:space="preserve"> （中型企业、小型企业、微型企业） </w:t>
      </w:r>
      <w:r>
        <w:rPr>
          <w:rFonts w:hint="eastAsia" w:ascii="宋体" w:hAnsi="宋体"/>
          <w:color w:val="auto"/>
          <w:sz w:val="24"/>
          <w:highlight w:val="none"/>
        </w:rPr>
        <w:t>；</w:t>
      </w:r>
    </w:p>
    <w:p>
      <w:pPr>
        <w:spacing w:after="0" w:line="360" w:lineRule="auto"/>
        <w:ind w:firstLine="600" w:firstLineChars="250"/>
        <w:jc w:val="left"/>
        <w:rPr>
          <w:rFonts w:ascii="宋体" w:hAnsi="宋体"/>
          <w:color w:val="auto"/>
          <w:sz w:val="24"/>
          <w:highlight w:val="none"/>
        </w:rPr>
      </w:pPr>
      <w:r>
        <w:rPr>
          <w:rFonts w:hint="eastAsia" w:ascii="宋体" w:hAnsi="宋体"/>
          <w:color w:val="auto"/>
          <w:sz w:val="24"/>
          <w:highlight w:val="none"/>
        </w:rPr>
        <w:t>……</w:t>
      </w:r>
    </w:p>
    <w:p>
      <w:pPr>
        <w:spacing w:after="0" w:line="360" w:lineRule="auto"/>
        <w:ind w:firstLine="600" w:firstLineChars="250"/>
        <w:jc w:val="left"/>
        <w:rPr>
          <w:rFonts w:ascii="宋体" w:hAnsi="宋体"/>
          <w:color w:val="auto"/>
          <w:sz w:val="24"/>
          <w:highlight w:val="none"/>
        </w:rPr>
      </w:pPr>
      <w:r>
        <w:rPr>
          <w:rFonts w:hint="eastAsia" w:ascii="宋体" w:hAnsi="宋体"/>
          <w:color w:val="auto"/>
          <w:sz w:val="24"/>
          <w:highlight w:val="none"/>
        </w:rPr>
        <w:t>以上企业，不属于大企业的分支机构，不存在控股股东为大企业的情形，也不存在与大企业的负责人为同一人的情形。</w:t>
      </w:r>
    </w:p>
    <w:p>
      <w:pPr>
        <w:spacing w:after="0" w:line="360" w:lineRule="auto"/>
        <w:ind w:firstLine="600" w:firstLineChars="250"/>
        <w:jc w:val="left"/>
        <w:rPr>
          <w:rFonts w:ascii="宋体" w:hAnsi="宋体"/>
          <w:color w:val="auto"/>
          <w:sz w:val="24"/>
          <w:highlight w:val="none"/>
        </w:rPr>
      </w:pPr>
      <w:r>
        <w:rPr>
          <w:rFonts w:hint="eastAsia" w:ascii="宋体" w:hAnsi="宋体"/>
          <w:color w:val="auto"/>
          <w:sz w:val="24"/>
          <w:highlight w:val="none"/>
        </w:rPr>
        <w:t>本企业对上述声明内容的真实性负责。如有虚假，将依法承担相应责任。</w:t>
      </w:r>
    </w:p>
    <w:p>
      <w:pPr>
        <w:spacing w:after="0" w:line="360" w:lineRule="auto"/>
        <w:jc w:val="left"/>
        <w:rPr>
          <w:rFonts w:ascii="宋体" w:hAnsi="宋体"/>
          <w:color w:val="auto"/>
          <w:sz w:val="24"/>
          <w:highlight w:val="none"/>
        </w:rPr>
      </w:pPr>
      <w:r>
        <w:rPr>
          <w:rFonts w:hint="eastAsia" w:ascii="宋体" w:hAnsi="宋体"/>
          <w:color w:val="auto"/>
          <w:sz w:val="24"/>
          <w:highlight w:val="none"/>
        </w:rPr>
        <w:t xml:space="preserve">                                 企业名称（盖章）：</w:t>
      </w:r>
    </w:p>
    <w:p>
      <w:pPr>
        <w:spacing w:after="0" w:line="360" w:lineRule="auto"/>
        <w:jc w:val="left"/>
        <w:rPr>
          <w:rFonts w:ascii="宋体" w:hAnsi="宋体"/>
          <w:color w:val="auto"/>
          <w:sz w:val="24"/>
          <w:highlight w:val="none"/>
        </w:rPr>
      </w:pPr>
      <w:r>
        <w:rPr>
          <w:rFonts w:hint="eastAsia" w:ascii="宋体" w:hAnsi="宋体"/>
          <w:color w:val="auto"/>
          <w:sz w:val="24"/>
          <w:highlight w:val="none"/>
        </w:rPr>
        <w:t xml:space="preserve">                                 日 期：</w:t>
      </w:r>
    </w:p>
    <w:p>
      <w:pPr>
        <w:spacing w:after="0" w:line="360" w:lineRule="auto"/>
        <w:jc w:val="left"/>
        <w:rPr>
          <w:rFonts w:ascii="宋体" w:hAnsi="宋体" w:cs="宋体"/>
          <w:color w:val="auto"/>
          <w:sz w:val="24"/>
          <w:highlight w:val="none"/>
        </w:rPr>
      </w:pPr>
      <w:r>
        <w:rPr>
          <w:rFonts w:hint="eastAsia" w:ascii="宋体" w:hAnsi="宋体" w:cs="宋体"/>
          <w:color w:val="auto"/>
          <w:sz w:val="24"/>
          <w:highlight w:val="none"/>
        </w:rPr>
        <w:t>注：</w:t>
      </w:r>
    </w:p>
    <w:p>
      <w:pPr>
        <w:pStyle w:val="33"/>
        <w:ind w:firstLine="0" w:firstLineChars="0"/>
        <w:jc w:val="left"/>
        <w:rPr>
          <w:rFonts w:ascii="宋体" w:hAnsi="宋体" w:cs="宋体"/>
          <w:b/>
          <w:bCs/>
          <w:color w:val="auto"/>
          <w:sz w:val="36"/>
          <w:szCs w:val="36"/>
          <w:highlight w:val="none"/>
        </w:rPr>
      </w:pPr>
      <w:r>
        <w:rPr>
          <w:rFonts w:ascii="宋体" w:hAnsi="宋体" w:cs="宋体"/>
          <w:color w:val="auto"/>
          <w:sz w:val="24"/>
          <w:highlight w:val="none"/>
        </w:rPr>
        <w:t>1、</w:t>
      </w:r>
      <w:bookmarkEnd w:id="25"/>
      <w:bookmarkEnd w:id="26"/>
      <w:bookmarkEnd w:id="27"/>
      <w:bookmarkEnd w:id="28"/>
      <w:bookmarkEnd w:id="29"/>
      <w:r>
        <w:rPr>
          <w:rFonts w:hint="eastAsia" w:ascii="宋体" w:hAnsi="宋体" w:cs="宋体"/>
          <w:color w:val="auto"/>
          <w:sz w:val="24"/>
          <w:highlight w:val="none"/>
        </w:rPr>
        <w:t>从业人员、营业收入、资产总额填报上一年度数据，无上一年度数据的新成立企业可不填报。</w:t>
      </w:r>
      <w:r>
        <w:rPr>
          <w:rFonts w:hint="eastAsia" w:ascii="宋体" w:hAnsi="宋体" w:cs="宋体"/>
          <w:color w:val="auto"/>
          <w:sz w:val="24"/>
          <w:highlight w:val="none"/>
        </w:rPr>
        <w:br w:type="page"/>
      </w:r>
    </w:p>
    <w:p>
      <w:pPr>
        <w:widowControl/>
        <w:spacing w:after="0" w:line="240" w:lineRule="auto"/>
        <w:jc w:val="left"/>
        <w:rPr>
          <w:rFonts w:ascii="宋体" w:hAnsi="宋体" w:cs="宋体"/>
          <w:b/>
          <w:color w:val="auto"/>
          <w:sz w:val="32"/>
          <w:szCs w:val="32"/>
          <w:highlight w:val="none"/>
        </w:rPr>
      </w:pPr>
      <w:r>
        <w:rPr>
          <w:rFonts w:hint="eastAsia" w:ascii="宋体" w:hAnsi="宋体" w:cs="宋体"/>
          <w:b/>
          <w:color w:val="auto"/>
          <w:sz w:val="32"/>
          <w:szCs w:val="32"/>
          <w:highlight w:val="none"/>
        </w:rPr>
        <w:t>格式</w:t>
      </w:r>
      <w:r>
        <w:rPr>
          <w:rFonts w:hint="eastAsia" w:ascii="宋体" w:hAnsi="宋体" w:cs="宋体"/>
          <w:b/>
          <w:color w:val="auto"/>
          <w:sz w:val="32"/>
          <w:szCs w:val="32"/>
          <w:highlight w:val="none"/>
          <w:lang w:val="en-US" w:eastAsia="zh-CN"/>
        </w:rPr>
        <w:t>2</w:t>
      </w:r>
      <w:r>
        <w:rPr>
          <w:rFonts w:hint="eastAsia" w:ascii="宋体" w:hAnsi="宋体" w:cs="宋体"/>
          <w:b/>
          <w:color w:val="auto"/>
          <w:sz w:val="32"/>
          <w:szCs w:val="32"/>
          <w:highlight w:val="none"/>
        </w:rPr>
        <w:t>-5</w:t>
      </w:r>
    </w:p>
    <w:p>
      <w:pPr>
        <w:jc w:val="center"/>
        <w:rPr>
          <w:rFonts w:ascii="宋体" w:hAnsi="宋体" w:cs="宋体"/>
          <w:b/>
          <w:color w:val="auto"/>
          <w:spacing w:val="6"/>
          <w:sz w:val="24"/>
          <w:highlight w:val="none"/>
        </w:rPr>
      </w:pPr>
      <w:r>
        <w:rPr>
          <w:rFonts w:hint="eastAsia" w:ascii="宋体" w:hAnsi="宋体" w:cs="宋体"/>
          <w:b/>
          <w:color w:val="auto"/>
          <w:sz w:val="32"/>
          <w:szCs w:val="32"/>
          <w:highlight w:val="none"/>
        </w:rPr>
        <w:t>残疾人福利性单位声明函</w:t>
      </w:r>
    </w:p>
    <w:p>
      <w:pPr>
        <w:spacing w:line="588" w:lineRule="exact"/>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rPr>
        <w:t>〔2017〕 141</w:t>
      </w:r>
      <w:r>
        <w:rPr>
          <w:rFonts w:hint="eastAsia" w:ascii="宋体" w:hAnsi="宋体" w:cs="宋体"/>
          <w:color w:val="auto"/>
          <w:spacing w:val="6"/>
          <w:sz w:val="24"/>
          <w:highlight w:val="none"/>
        </w:rPr>
        <w:t>号）的规定，本单位为符合条件的残疾人福利性单位，且本单位参加</w:t>
      </w:r>
      <w:r>
        <w:rPr>
          <w:rFonts w:hint="eastAsia" w:ascii="宋体" w:hAnsi="宋体" w:cs="宋体"/>
          <w:color w:val="auto"/>
          <w:sz w:val="24"/>
          <w:highlight w:val="none"/>
          <w:u w:val="single"/>
        </w:rPr>
        <w:t>XXXX</w:t>
      </w:r>
      <w:r>
        <w:rPr>
          <w:rFonts w:hint="eastAsia" w:ascii="宋体" w:hAnsi="宋体" w:cs="宋体"/>
          <w:color w:val="auto"/>
          <w:spacing w:val="6"/>
          <w:sz w:val="24"/>
          <w:highlight w:val="none"/>
        </w:rPr>
        <w:t>单位的</w:t>
      </w:r>
      <w:r>
        <w:rPr>
          <w:rFonts w:hint="eastAsia" w:ascii="宋体" w:hAnsi="宋体" w:cs="宋体"/>
          <w:color w:val="auto"/>
          <w:sz w:val="24"/>
          <w:highlight w:val="none"/>
          <w:u w:val="single"/>
        </w:rPr>
        <w:t>XXXX</w:t>
      </w:r>
      <w:r>
        <w:rPr>
          <w:rFonts w:hint="eastAsia" w:ascii="宋体" w:hAnsi="宋体" w:cs="宋体"/>
          <w:color w:val="auto"/>
          <w:spacing w:val="6"/>
          <w:sz w:val="24"/>
          <w:highlight w:val="none"/>
        </w:rPr>
        <w:t>项目采购活动提供本单位服务，或者提供其他残疾人福利性单位提供的服务。</w:t>
      </w:r>
    </w:p>
    <w:p>
      <w:pPr>
        <w:spacing w:line="588" w:lineRule="exact"/>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本单位对上述声明的真实性负责。如有虚假，将依法承担相应责任。</w:t>
      </w:r>
    </w:p>
    <w:p>
      <w:pPr>
        <w:spacing w:line="588" w:lineRule="exact"/>
        <w:rPr>
          <w:rFonts w:ascii="宋体" w:hAnsi="宋体" w:cs="宋体"/>
          <w:color w:val="auto"/>
          <w:spacing w:val="6"/>
          <w:sz w:val="24"/>
          <w:highlight w:val="none"/>
        </w:rPr>
      </w:pPr>
    </w:p>
    <w:p>
      <w:pPr>
        <w:spacing w:line="588" w:lineRule="exact"/>
        <w:rPr>
          <w:rFonts w:ascii="宋体" w:hAnsi="宋体" w:cs="宋体"/>
          <w:color w:val="auto"/>
          <w:spacing w:val="6"/>
          <w:sz w:val="24"/>
          <w:highlight w:val="none"/>
        </w:rPr>
      </w:pPr>
    </w:p>
    <w:p>
      <w:pPr>
        <w:tabs>
          <w:tab w:val="left" w:pos="4860"/>
        </w:tabs>
        <w:spacing w:after="0" w:line="360" w:lineRule="auto"/>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单位名称（盖章）：XXXX</w:t>
      </w:r>
    </w:p>
    <w:p>
      <w:pPr>
        <w:tabs>
          <w:tab w:val="left" w:pos="4860"/>
        </w:tabs>
        <w:spacing w:after="0" w:line="360" w:lineRule="auto"/>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法定代表人/单位负责人或授权代表（签字或加盖个人印章）：XXXX</w:t>
      </w:r>
    </w:p>
    <w:p>
      <w:pPr>
        <w:tabs>
          <w:tab w:val="left" w:pos="4860"/>
        </w:tabs>
        <w:spacing w:after="0" w:line="360" w:lineRule="auto"/>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日  期：XXXX</w:t>
      </w:r>
    </w:p>
    <w:p>
      <w:pPr>
        <w:spacing w:line="360" w:lineRule="auto"/>
        <w:rPr>
          <w:rFonts w:ascii="宋体" w:hAnsi="宋体" w:cs="宋体"/>
          <w:color w:val="auto"/>
          <w:sz w:val="24"/>
          <w:highlight w:val="none"/>
        </w:rPr>
      </w:pPr>
    </w:p>
    <w:p>
      <w:pPr>
        <w:spacing w:after="0" w:line="360" w:lineRule="auto"/>
        <w:jc w:val="left"/>
        <w:rPr>
          <w:rFonts w:ascii="宋体" w:hAnsi="宋体" w:cs="宋体"/>
          <w:b/>
          <w:bCs/>
          <w:color w:val="auto"/>
          <w:sz w:val="22"/>
          <w:szCs w:val="22"/>
          <w:highlight w:val="none"/>
        </w:rPr>
      </w:pPr>
      <w:r>
        <w:rPr>
          <w:rFonts w:hint="eastAsia" w:ascii="宋体" w:hAnsi="宋体" w:cs="宋体"/>
          <w:b/>
          <w:bCs/>
          <w:color w:val="auto"/>
          <w:sz w:val="22"/>
          <w:szCs w:val="22"/>
          <w:highlight w:val="none"/>
        </w:rPr>
        <w:t>注：</w:t>
      </w:r>
    </w:p>
    <w:p>
      <w:pPr>
        <w:spacing w:after="0" w:line="360" w:lineRule="auto"/>
        <w:ind w:firstLine="442" w:firstLineChars="200"/>
        <w:jc w:val="left"/>
        <w:rPr>
          <w:rFonts w:ascii="宋体" w:hAnsi="宋体" w:cs="宋体"/>
          <w:b/>
          <w:bCs/>
          <w:color w:val="auto"/>
          <w:sz w:val="22"/>
          <w:szCs w:val="22"/>
          <w:highlight w:val="none"/>
        </w:rPr>
      </w:pPr>
      <w:r>
        <w:rPr>
          <w:rFonts w:hint="eastAsia" w:ascii="宋体" w:hAnsi="宋体" w:cs="宋体"/>
          <w:b/>
          <w:bCs/>
          <w:color w:val="auto"/>
          <w:sz w:val="22"/>
          <w:szCs w:val="22"/>
          <w:highlight w:val="none"/>
        </w:rPr>
        <w:t>1、残疾人福利性单位视同小型、微型企业，享受预留份额、评审中价格扣除等促进中小企业发展的政府采购政策。残疾人福利性单位属于小型、微型企业的，不重复享受政策。</w:t>
      </w:r>
    </w:p>
    <w:p>
      <w:pPr>
        <w:spacing w:after="0" w:line="360" w:lineRule="auto"/>
        <w:ind w:firstLine="442" w:firstLineChars="200"/>
        <w:jc w:val="left"/>
        <w:rPr>
          <w:rFonts w:ascii="宋体" w:hAnsi="宋体" w:cs="宋体"/>
          <w:b/>
          <w:bCs/>
          <w:color w:val="auto"/>
          <w:sz w:val="22"/>
          <w:szCs w:val="22"/>
          <w:highlight w:val="none"/>
        </w:rPr>
      </w:pPr>
      <w:r>
        <w:rPr>
          <w:rFonts w:hint="eastAsia" w:ascii="宋体" w:hAnsi="宋体" w:cs="宋体"/>
          <w:b/>
          <w:bCs/>
          <w:color w:val="auto"/>
          <w:sz w:val="22"/>
          <w:szCs w:val="22"/>
          <w:highlight w:val="none"/>
        </w:rPr>
        <w:t>2、供应商为非残疾人福利性单位的，可不提供此声明。</w:t>
      </w:r>
    </w:p>
    <w:p>
      <w:pPr>
        <w:spacing w:line="300" w:lineRule="exact"/>
        <w:rPr>
          <w:rFonts w:ascii="宋体" w:hAnsi="宋体" w:cs="宋体"/>
          <w:color w:val="auto"/>
          <w:sz w:val="24"/>
          <w:highlight w:val="none"/>
        </w:rPr>
      </w:pPr>
    </w:p>
    <w:p>
      <w:pPr>
        <w:widowControl/>
        <w:spacing w:after="0" w:line="240" w:lineRule="auto"/>
        <w:jc w:val="left"/>
        <w:rPr>
          <w:rFonts w:ascii="宋体" w:hAnsi="宋体" w:cs="宋体"/>
          <w:color w:val="auto"/>
          <w:sz w:val="24"/>
          <w:highlight w:val="none"/>
        </w:rPr>
      </w:pPr>
      <w:r>
        <w:rPr>
          <w:rFonts w:hint="eastAsia" w:ascii="宋体" w:hAnsi="宋体" w:cs="宋体"/>
          <w:color w:val="auto"/>
          <w:sz w:val="24"/>
          <w:highlight w:val="none"/>
        </w:rPr>
        <w:br w:type="page"/>
      </w:r>
    </w:p>
    <w:p>
      <w:pPr>
        <w:spacing w:after="0" w:line="360" w:lineRule="auto"/>
        <w:rPr>
          <w:rFonts w:ascii="宋体" w:hAnsi="宋体" w:cs="宋体"/>
          <w:b/>
          <w:color w:val="auto"/>
          <w:sz w:val="32"/>
          <w:szCs w:val="32"/>
          <w:highlight w:val="none"/>
        </w:rPr>
      </w:pPr>
      <w:r>
        <w:rPr>
          <w:rFonts w:hint="eastAsia" w:ascii="宋体" w:hAnsi="宋体" w:cs="宋体"/>
          <w:b/>
          <w:color w:val="auto"/>
          <w:sz w:val="32"/>
          <w:szCs w:val="32"/>
          <w:highlight w:val="none"/>
        </w:rPr>
        <w:t>格式</w:t>
      </w:r>
      <w:r>
        <w:rPr>
          <w:rFonts w:hint="eastAsia" w:ascii="宋体" w:hAnsi="宋体" w:cs="宋体"/>
          <w:b/>
          <w:color w:val="auto"/>
          <w:sz w:val="32"/>
          <w:szCs w:val="32"/>
          <w:highlight w:val="none"/>
          <w:lang w:val="en-US" w:eastAsia="zh-CN"/>
        </w:rPr>
        <w:t>2</w:t>
      </w:r>
      <w:r>
        <w:rPr>
          <w:rFonts w:hint="eastAsia" w:ascii="宋体" w:hAnsi="宋体" w:cs="宋体"/>
          <w:b/>
          <w:color w:val="auto"/>
          <w:sz w:val="32"/>
          <w:szCs w:val="32"/>
          <w:highlight w:val="none"/>
        </w:rPr>
        <w:t>-6</w:t>
      </w:r>
    </w:p>
    <w:p>
      <w:pPr>
        <w:jc w:val="center"/>
        <w:rPr>
          <w:rFonts w:ascii="宋体" w:hAnsi="宋体" w:cs="宋体"/>
          <w:b/>
          <w:color w:val="auto"/>
          <w:sz w:val="32"/>
          <w:szCs w:val="32"/>
          <w:highlight w:val="none"/>
        </w:rPr>
      </w:pPr>
      <w:r>
        <w:rPr>
          <w:rFonts w:hint="eastAsia" w:ascii="宋体" w:hAnsi="宋体" w:cs="宋体"/>
          <w:b/>
          <w:color w:val="auto"/>
          <w:sz w:val="32"/>
          <w:szCs w:val="32"/>
          <w:highlight w:val="none"/>
        </w:rPr>
        <w:t>监狱企业</w:t>
      </w:r>
    </w:p>
    <w:p>
      <w:pPr>
        <w:spacing w:after="0"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根据《政府采购支持监狱企业发展有关问题的通知》（财库〔2014〕68号）的规定监狱企业参加采购活动的，应提供由省级以上监狱管理局、戒毒管理局(含新疆生产建设兵团)出具的属于监狱企业的证明文件。</w:t>
      </w:r>
    </w:p>
    <w:p>
      <w:pPr>
        <w:tabs>
          <w:tab w:val="left" w:pos="4860"/>
        </w:tabs>
        <w:spacing w:after="0" w:line="360" w:lineRule="auto"/>
        <w:ind w:firstLine="504" w:firstLineChars="200"/>
        <w:rPr>
          <w:rFonts w:ascii="宋体" w:hAnsi="宋体" w:cs="宋体"/>
          <w:color w:val="auto"/>
          <w:spacing w:val="6"/>
          <w:sz w:val="24"/>
          <w:highlight w:val="none"/>
        </w:rPr>
      </w:pPr>
    </w:p>
    <w:p>
      <w:pPr>
        <w:tabs>
          <w:tab w:val="left" w:pos="4860"/>
        </w:tabs>
        <w:spacing w:after="0" w:line="360" w:lineRule="auto"/>
        <w:ind w:firstLine="504" w:firstLineChars="200"/>
        <w:rPr>
          <w:rFonts w:ascii="宋体" w:hAnsi="宋体" w:cs="宋体"/>
          <w:color w:val="auto"/>
          <w:spacing w:val="6"/>
          <w:sz w:val="24"/>
          <w:highlight w:val="none"/>
        </w:rPr>
      </w:pPr>
    </w:p>
    <w:p>
      <w:pPr>
        <w:tabs>
          <w:tab w:val="left" w:pos="4860"/>
        </w:tabs>
        <w:spacing w:after="0" w:line="360" w:lineRule="auto"/>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单位名称（盖章）：XXXX</w:t>
      </w:r>
    </w:p>
    <w:p>
      <w:pPr>
        <w:tabs>
          <w:tab w:val="left" w:pos="4860"/>
        </w:tabs>
        <w:spacing w:after="0" w:line="360" w:lineRule="auto"/>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法定代表人/单位负责人或授权代表（签字或加盖个人印章）：XXXX</w:t>
      </w:r>
    </w:p>
    <w:p>
      <w:pPr>
        <w:tabs>
          <w:tab w:val="left" w:pos="4860"/>
        </w:tabs>
        <w:spacing w:after="0" w:line="360" w:lineRule="auto"/>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日  期：XXXX</w:t>
      </w:r>
    </w:p>
    <w:p>
      <w:pPr>
        <w:spacing w:after="0" w:line="360" w:lineRule="auto"/>
        <w:ind w:firstLine="442" w:firstLineChars="200"/>
        <w:jc w:val="left"/>
        <w:rPr>
          <w:rFonts w:ascii="宋体" w:hAnsi="宋体" w:cs="宋体"/>
          <w:b/>
          <w:bCs/>
          <w:color w:val="auto"/>
          <w:sz w:val="22"/>
          <w:szCs w:val="22"/>
          <w:highlight w:val="none"/>
        </w:rPr>
      </w:pPr>
    </w:p>
    <w:p>
      <w:pPr>
        <w:spacing w:after="0" w:line="360" w:lineRule="auto"/>
        <w:ind w:firstLine="442" w:firstLineChars="200"/>
        <w:jc w:val="left"/>
        <w:rPr>
          <w:rFonts w:ascii="宋体" w:hAnsi="宋体" w:cs="宋体"/>
          <w:b/>
          <w:bCs/>
          <w:color w:val="auto"/>
          <w:sz w:val="22"/>
          <w:szCs w:val="22"/>
          <w:highlight w:val="none"/>
        </w:rPr>
      </w:pPr>
      <w:r>
        <w:rPr>
          <w:rFonts w:hint="eastAsia" w:ascii="宋体" w:hAnsi="宋体" w:cs="宋体"/>
          <w:b/>
          <w:bCs/>
          <w:color w:val="auto"/>
          <w:sz w:val="22"/>
          <w:szCs w:val="22"/>
          <w:highlight w:val="none"/>
        </w:rPr>
        <w:t>注：</w:t>
      </w:r>
    </w:p>
    <w:p>
      <w:pPr>
        <w:spacing w:after="0" w:line="360" w:lineRule="auto"/>
        <w:ind w:firstLine="442" w:firstLineChars="200"/>
        <w:jc w:val="left"/>
        <w:rPr>
          <w:rFonts w:ascii="宋体" w:hAnsi="宋体" w:cs="宋体"/>
          <w:b/>
          <w:bCs/>
          <w:color w:val="auto"/>
          <w:sz w:val="22"/>
          <w:szCs w:val="22"/>
          <w:highlight w:val="none"/>
        </w:rPr>
      </w:pPr>
      <w:r>
        <w:rPr>
          <w:rFonts w:hint="eastAsia" w:ascii="宋体" w:hAnsi="宋体" w:cs="宋体"/>
          <w:b/>
          <w:bCs/>
          <w:color w:val="auto"/>
          <w:sz w:val="22"/>
          <w:szCs w:val="22"/>
          <w:highlight w:val="none"/>
        </w:rPr>
        <w:t>1、供应商符合《政府采购支持监狱企业发展有关问题的通知》（财库〔2014〕68号）规定的划分标准为监狱企业适用。</w:t>
      </w:r>
    </w:p>
    <w:p>
      <w:pPr>
        <w:spacing w:after="0" w:line="360" w:lineRule="auto"/>
        <w:ind w:firstLine="442" w:firstLineChars="200"/>
        <w:jc w:val="left"/>
        <w:rPr>
          <w:rFonts w:ascii="宋体" w:hAnsi="宋体" w:cs="宋体"/>
          <w:b/>
          <w:bCs/>
          <w:color w:val="auto"/>
          <w:sz w:val="22"/>
          <w:szCs w:val="22"/>
          <w:highlight w:val="none"/>
        </w:rPr>
      </w:pPr>
      <w:r>
        <w:rPr>
          <w:rFonts w:hint="eastAsia" w:ascii="宋体" w:hAnsi="宋体" w:cs="宋体"/>
          <w:b/>
          <w:bCs/>
          <w:color w:val="auto"/>
          <w:sz w:val="22"/>
          <w:szCs w:val="22"/>
          <w:highlight w:val="none"/>
        </w:rPr>
        <w:t>2、在政府采购活动中，监狱企业视同小型、微型企业，享受预留份额、评审中价格扣除等政府采购促进中小企业发展的政府采购政策。</w:t>
      </w:r>
    </w:p>
    <w:p>
      <w:pPr>
        <w:pStyle w:val="33"/>
        <w:ind w:firstLine="240"/>
        <w:rPr>
          <w:rFonts w:ascii="宋体" w:hAnsi="宋体" w:cs="宋体"/>
          <w:bCs/>
          <w:color w:val="auto"/>
          <w:sz w:val="24"/>
          <w:highlight w:val="none"/>
        </w:rPr>
      </w:pPr>
    </w:p>
    <w:p>
      <w:pPr>
        <w:pStyle w:val="33"/>
        <w:ind w:firstLine="240"/>
        <w:rPr>
          <w:rFonts w:ascii="宋体" w:hAnsi="宋体" w:cs="宋体"/>
          <w:bCs/>
          <w:color w:val="auto"/>
          <w:sz w:val="24"/>
          <w:highlight w:val="none"/>
        </w:rPr>
      </w:pPr>
    </w:p>
    <w:p>
      <w:pPr>
        <w:pStyle w:val="33"/>
        <w:ind w:firstLine="240"/>
        <w:rPr>
          <w:rFonts w:ascii="宋体" w:hAnsi="宋体" w:cs="宋体"/>
          <w:bCs/>
          <w:color w:val="auto"/>
          <w:sz w:val="24"/>
          <w:highlight w:val="none"/>
        </w:rPr>
      </w:pPr>
    </w:p>
    <w:p>
      <w:pPr>
        <w:pStyle w:val="33"/>
        <w:ind w:firstLine="240"/>
        <w:rPr>
          <w:rFonts w:ascii="宋体" w:hAnsi="宋体" w:cs="宋体"/>
          <w:bCs/>
          <w:color w:val="auto"/>
          <w:sz w:val="24"/>
          <w:highlight w:val="none"/>
        </w:rPr>
      </w:pPr>
    </w:p>
    <w:p>
      <w:pPr>
        <w:pStyle w:val="33"/>
        <w:ind w:firstLine="240"/>
        <w:rPr>
          <w:rFonts w:ascii="宋体" w:hAnsi="宋体" w:cs="宋体"/>
          <w:bCs/>
          <w:color w:val="auto"/>
          <w:sz w:val="24"/>
          <w:highlight w:val="none"/>
        </w:rPr>
      </w:pPr>
    </w:p>
    <w:p>
      <w:pPr>
        <w:pStyle w:val="33"/>
        <w:ind w:firstLine="240"/>
        <w:rPr>
          <w:rFonts w:ascii="宋体" w:hAnsi="宋体" w:cs="宋体"/>
          <w:bCs/>
          <w:color w:val="auto"/>
          <w:sz w:val="24"/>
          <w:highlight w:val="none"/>
        </w:rPr>
      </w:pPr>
    </w:p>
    <w:p>
      <w:pPr>
        <w:pStyle w:val="33"/>
        <w:ind w:firstLine="240"/>
        <w:rPr>
          <w:rFonts w:ascii="宋体" w:hAnsi="宋体" w:cs="宋体"/>
          <w:bCs/>
          <w:color w:val="auto"/>
          <w:sz w:val="24"/>
          <w:highlight w:val="none"/>
        </w:rPr>
      </w:pPr>
    </w:p>
    <w:p>
      <w:pPr>
        <w:pStyle w:val="33"/>
        <w:ind w:firstLine="240"/>
        <w:rPr>
          <w:rFonts w:ascii="宋体" w:hAnsi="宋体" w:cs="宋体"/>
          <w:bCs/>
          <w:color w:val="auto"/>
          <w:sz w:val="24"/>
          <w:highlight w:val="none"/>
        </w:rPr>
      </w:pPr>
    </w:p>
    <w:p>
      <w:pPr>
        <w:pStyle w:val="33"/>
        <w:ind w:firstLine="240"/>
        <w:rPr>
          <w:rFonts w:ascii="宋体" w:hAnsi="宋体" w:cs="宋体"/>
          <w:bCs/>
          <w:color w:val="auto"/>
          <w:sz w:val="24"/>
          <w:highlight w:val="none"/>
        </w:rPr>
      </w:pPr>
    </w:p>
    <w:p>
      <w:pPr>
        <w:pStyle w:val="33"/>
        <w:ind w:firstLine="240"/>
        <w:rPr>
          <w:rFonts w:ascii="宋体" w:hAnsi="宋体" w:cs="宋体"/>
          <w:bCs/>
          <w:color w:val="auto"/>
          <w:sz w:val="24"/>
          <w:highlight w:val="none"/>
        </w:rPr>
      </w:pPr>
    </w:p>
    <w:p>
      <w:pPr>
        <w:pStyle w:val="33"/>
        <w:ind w:firstLine="240"/>
        <w:rPr>
          <w:rFonts w:ascii="宋体" w:hAnsi="宋体" w:cs="宋体"/>
          <w:bCs/>
          <w:color w:val="auto"/>
          <w:sz w:val="24"/>
          <w:highlight w:val="none"/>
        </w:rPr>
      </w:pPr>
    </w:p>
    <w:p>
      <w:pPr>
        <w:pStyle w:val="33"/>
        <w:ind w:firstLine="240"/>
        <w:rPr>
          <w:rFonts w:ascii="宋体" w:hAnsi="宋体" w:cs="宋体"/>
          <w:bCs/>
          <w:color w:val="auto"/>
          <w:sz w:val="24"/>
          <w:highlight w:val="none"/>
        </w:rPr>
      </w:pPr>
    </w:p>
    <w:p>
      <w:pPr>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格式2-</w:t>
      </w:r>
      <w:r>
        <w:rPr>
          <w:rFonts w:hint="eastAsia" w:ascii="宋体" w:hAnsi="宋体" w:cs="宋体"/>
          <w:b/>
          <w:color w:val="auto"/>
          <w:sz w:val="32"/>
          <w:szCs w:val="32"/>
          <w:highlight w:val="none"/>
          <w:lang w:val="en-US" w:eastAsia="zh-CN"/>
        </w:rPr>
        <w:t>7</w:t>
      </w:r>
    </w:p>
    <w:p>
      <w:pPr>
        <w:jc w:val="center"/>
        <w:rPr>
          <w:rFonts w:ascii="宋体" w:hAnsi="宋体" w:cs="宋体"/>
          <w:b/>
          <w:color w:val="auto"/>
          <w:sz w:val="32"/>
          <w:szCs w:val="32"/>
          <w:highlight w:val="none"/>
        </w:rPr>
      </w:pPr>
      <w:r>
        <w:rPr>
          <w:rFonts w:hint="eastAsia" w:ascii="宋体" w:hAnsi="宋体" w:cs="宋体"/>
          <w:b/>
          <w:color w:val="auto"/>
          <w:sz w:val="32"/>
          <w:szCs w:val="32"/>
          <w:highlight w:val="none"/>
        </w:rPr>
        <w:t>技术、服务要求应答表</w:t>
      </w:r>
    </w:p>
    <w:tbl>
      <w:tblPr>
        <w:tblStyle w:val="34"/>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序号</w:t>
            </w:r>
          </w:p>
        </w:tc>
        <w:tc>
          <w:tcPr>
            <w:tcW w:w="2795" w:type="dxa"/>
            <w:vAlign w:val="center"/>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包号</w:t>
            </w:r>
          </w:p>
        </w:tc>
        <w:tc>
          <w:tcPr>
            <w:tcW w:w="2795" w:type="dxa"/>
            <w:vAlign w:val="center"/>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磋商文件要求</w:t>
            </w:r>
          </w:p>
        </w:tc>
        <w:tc>
          <w:tcPr>
            <w:tcW w:w="2193" w:type="dxa"/>
            <w:vAlign w:val="center"/>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795"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795"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193"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795"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795"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193"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795"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795"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193"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795"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795"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193"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r>
    </w:tbl>
    <w:p>
      <w:pPr>
        <w:pStyle w:val="91"/>
        <w:tabs>
          <w:tab w:val="left" w:pos="0"/>
        </w:tabs>
        <w:ind w:firstLine="482"/>
        <w:rPr>
          <w:rFonts w:cs="宋体"/>
          <w:color w:val="auto"/>
          <w:highlight w:val="none"/>
        </w:rPr>
      </w:pPr>
      <w:r>
        <w:rPr>
          <w:rFonts w:hint="eastAsia" w:cs="宋体"/>
          <w:color w:val="auto"/>
          <w:highlight w:val="none"/>
        </w:rPr>
        <w:t>注：本表只须填写响应文件与磋商文件第六章技术服务要求有偏离的内容，完全响应的无需列入此表。</w:t>
      </w:r>
    </w:p>
    <w:p>
      <w:pPr>
        <w:pStyle w:val="91"/>
        <w:tabs>
          <w:tab w:val="left" w:pos="0"/>
        </w:tabs>
        <w:ind w:firstLine="482"/>
        <w:rPr>
          <w:rFonts w:cs="宋体"/>
          <w:color w:val="auto"/>
          <w:highlight w:val="none"/>
        </w:rPr>
      </w:pPr>
    </w:p>
    <w:p>
      <w:pPr>
        <w:pStyle w:val="91"/>
        <w:ind w:firstLine="482"/>
        <w:rPr>
          <w:rFonts w:cs="宋体"/>
          <w:color w:val="auto"/>
          <w:highlight w:val="none"/>
        </w:rPr>
      </w:pPr>
    </w:p>
    <w:p>
      <w:pPr>
        <w:ind w:firstLine="480" w:firstLineChars="200"/>
        <w:rPr>
          <w:rFonts w:ascii="宋体" w:hAnsi="宋体" w:cs="宋体"/>
          <w:color w:val="auto"/>
          <w:sz w:val="24"/>
          <w:highlight w:val="none"/>
        </w:rPr>
      </w:pPr>
    </w:p>
    <w:p>
      <w:pPr>
        <w:adjustRightInd w:val="0"/>
        <w:spacing w:line="400" w:lineRule="exact"/>
        <w:jc w:val="left"/>
        <w:rPr>
          <w:rFonts w:ascii="宋体" w:hAnsi="宋体" w:cs="宋体"/>
          <w:color w:val="auto"/>
          <w:sz w:val="24"/>
          <w:highlight w:val="none"/>
        </w:rPr>
      </w:pPr>
    </w:p>
    <w:p>
      <w:pPr>
        <w:adjustRightIn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供应商名称：XXX（盖单位公章）</w:t>
      </w:r>
    </w:p>
    <w:p>
      <w:pPr>
        <w:adjustRightIn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法定代表人/单位负责人或授权代表（签字或加盖个人印章）：XXX</w:t>
      </w:r>
    </w:p>
    <w:p>
      <w:pPr>
        <w:adjustRightIn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日期：XXX年XXX月XXX日</w:t>
      </w:r>
    </w:p>
    <w:p>
      <w:pPr>
        <w:spacing w:line="400" w:lineRule="exact"/>
        <w:rPr>
          <w:rFonts w:ascii="宋体" w:hAnsi="宋体" w:cs="宋体"/>
          <w:color w:val="auto"/>
          <w:highlight w:val="none"/>
        </w:rPr>
      </w:pPr>
    </w:p>
    <w:p>
      <w:pPr>
        <w:pStyle w:val="33"/>
        <w:ind w:firstLine="0" w:firstLineChars="0"/>
        <w:jc w:val="center"/>
        <w:rPr>
          <w:rFonts w:ascii="宋体" w:hAnsi="宋体" w:cs="宋体"/>
          <w:b/>
          <w:bCs/>
          <w:color w:val="auto"/>
          <w:sz w:val="36"/>
          <w:szCs w:val="36"/>
          <w:highlight w:val="none"/>
        </w:rPr>
      </w:pPr>
    </w:p>
    <w:p>
      <w:pPr>
        <w:widowControl/>
        <w:spacing w:after="0" w:line="240" w:lineRule="auto"/>
        <w:jc w:val="left"/>
        <w:rPr>
          <w:rFonts w:ascii="宋体" w:hAnsi="宋体" w:cs="宋体"/>
          <w:b/>
          <w:bCs/>
          <w:color w:val="auto"/>
          <w:sz w:val="36"/>
          <w:szCs w:val="36"/>
          <w:highlight w:val="none"/>
        </w:rPr>
      </w:pPr>
    </w:p>
    <w:p>
      <w:pPr>
        <w:widowControl/>
        <w:spacing w:after="0" w:line="240" w:lineRule="auto"/>
        <w:jc w:val="left"/>
        <w:rPr>
          <w:rFonts w:ascii="宋体" w:hAnsi="宋体" w:cs="宋体"/>
          <w:b/>
          <w:color w:val="auto"/>
          <w:sz w:val="32"/>
          <w:szCs w:val="32"/>
          <w:highlight w:val="none"/>
        </w:rPr>
      </w:pPr>
      <w:r>
        <w:rPr>
          <w:rFonts w:hint="eastAsia" w:ascii="宋体" w:hAnsi="宋体" w:cs="宋体"/>
          <w:b/>
          <w:color w:val="auto"/>
          <w:sz w:val="32"/>
          <w:szCs w:val="32"/>
          <w:highlight w:val="none"/>
        </w:rPr>
        <w:br w:type="page"/>
      </w:r>
    </w:p>
    <w:p>
      <w:pPr>
        <w:spacing w:after="0" w:line="360" w:lineRule="auto"/>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格式2-</w:t>
      </w:r>
      <w:r>
        <w:rPr>
          <w:rFonts w:hint="eastAsia" w:ascii="宋体" w:hAnsi="宋体" w:cs="宋体"/>
          <w:b/>
          <w:color w:val="auto"/>
          <w:sz w:val="32"/>
          <w:szCs w:val="32"/>
          <w:highlight w:val="none"/>
          <w:lang w:val="en-US" w:eastAsia="zh-CN"/>
        </w:rPr>
        <w:t>8</w:t>
      </w:r>
    </w:p>
    <w:p>
      <w:pPr>
        <w:jc w:val="center"/>
        <w:rPr>
          <w:rFonts w:ascii="宋体" w:hAnsi="宋体" w:cs="宋体"/>
          <w:b/>
          <w:color w:val="auto"/>
          <w:sz w:val="32"/>
          <w:szCs w:val="32"/>
          <w:highlight w:val="none"/>
        </w:rPr>
      </w:pPr>
      <w:r>
        <w:rPr>
          <w:rFonts w:hint="eastAsia" w:ascii="宋体" w:hAnsi="宋体" w:cs="宋体"/>
          <w:b/>
          <w:color w:val="auto"/>
          <w:sz w:val="32"/>
          <w:szCs w:val="32"/>
          <w:highlight w:val="none"/>
        </w:rPr>
        <w:t>商务应答表</w:t>
      </w:r>
    </w:p>
    <w:tbl>
      <w:tblPr>
        <w:tblStyle w:val="34"/>
        <w:tblW w:w="8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序号</w:t>
            </w:r>
          </w:p>
        </w:tc>
        <w:tc>
          <w:tcPr>
            <w:tcW w:w="2795" w:type="dxa"/>
            <w:vAlign w:val="center"/>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包号</w:t>
            </w:r>
          </w:p>
        </w:tc>
        <w:tc>
          <w:tcPr>
            <w:tcW w:w="2795" w:type="dxa"/>
            <w:vAlign w:val="center"/>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磋商文件要求</w:t>
            </w:r>
          </w:p>
        </w:tc>
        <w:tc>
          <w:tcPr>
            <w:tcW w:w="2324" w:type="dxa"/>
            <w:vAlign w:val="center"/>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795"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795"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324"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795"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795"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324"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795"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795"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324"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795"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795"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c>
          <w:tcPr>
            <w:tcW w:w="2324" w:type="dxa"/>
          </w:tcPr>
          <w:p>
            <w:pPr>
              <w:keepNext w:val="0"/>
              <w:keepLines w:val="0"/>
              <w:suppressLineNumbers w:val="0"/>
              <w:spacing w:before="0" w:beforeAutospacing="0" w:afterAutospacing="0"/>
              <w:ind w:left="0" w:right="0"/>
              <w:jc w:val="center"/>
              <w:rPr>
                <w:rFonts w:hint="default" w:ascii="宋体" w:hAnsi="宋体" w:cs="宋体"/>
                <w:color w:val="auto"/>
                <w:sz w:val="24"/>
                <w:highlight w:val="none"/>
              </w:rPr>
            </w:pPr>
          </w:p>
        </w:tc>
      </w:tr>
    </w:tbl>
    <w:p>
      <w:pPr>
        <w:pStyle w:val="91"/>
        <w:tabs>
          <w:tab w:val="left" w:pos="0"/>
        </w:tabs>
        <w:ind w:firstLine="482"/>
        <w:rPr>
          <w:rFonts w:cs="宋体"/>
          <w:color w:val="auto"/>
          <w:highlight w:val="none"/>
        </w:rPr>
      </w:pPr>
      <w:r>
        <w:rPr>
          <w:rFonts w:hint="eastAsia" w:cs="宋体"/>
          <w:color w:val="auto"/>
          <w:highlight w:val="none"/>
        </w:rPr>
        <w:t>注：本表只须填写响应文件与磋商文件第六章</w:t>
      </w:r>
      <w:r>
        <w:rPr>
          <w:rFonts w:hint="eastAsia" w:cs="宋体"/>
          <w:color w:val="auto"/>
          <w:highlight w:val="none"/>
          <w:lang w:val="en-US" w:eastAsia="zh-CN"/>
        </w:rPr>
        <w:t>商务</w:t>
      </w:r>
      <w:r>
        <w:rPr>
          <w:rFonts w:hint="eastAsia" w:cs="宋体"/>
          <w:color w:val="auto"/>
          <w:highlight w:val="none"/>
        </w:rPr>
        <w:t>要求有偏离的内容，完全响应的无需列入此表。</w:t>
      </w:r>
    </w:p>
    <w:p>
      <w:pPr>
        <w:adjustRightInd w:val="0"/>
        <w:spacing w:line="400" w:lineRule="exact"/>
        <w:ind w:firstLine="480" w:firstLineChars="200"/>
        <w:jc w:val="left"/>
        <w:rPr>
          <w:rFonts w:ascii="宋体" w:hAnsi="宋体" w:cs="宋体"/>
          <w:color w:val="auto"/>
          <w:sz w:val="24"/>
          <w:highlight w:val="none"/>
        </w:rPr>
      </w:pPr>
    </w:p>
    <w:p>
      <w:pPr>
        <w:adjustRightInd w:val="0"/>
        <w:spacing w:line="400" w:lineRule="exact"/>
        <w:ind w:firstLine="480" w:firstLineChars="200"/>
        <w:jc w:val="left"/>
        <w:rPr>
          <w:rFonts w:ascii="宋体" w:hAnsi="宋体" w:cs="宋体"/>
          <w:color w:val="auto"/>
          <w:sz w:val="24"/>
          <w:highlight w:val="none"/>
        </w:rPr>
      </w:pPr>
    </w:p>
    <w:p>
      <w:pPr>
        <w:adjustRightIn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供应商名称：XXX（盖单位公章）</w:t>
      </w:r>
    </w:p>
    <w:p>
      <w:pPr>
        <w:adjustRightIn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法定代表人/单位负责人或授权代表（签字或加盖个人印章）：XXX</w:t>
      </w:r>
    </w:p>
    <w:p>
      <w:pPr>
        <w:adjustRightIn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日期：XXX年XXX月XXX日</w:t>
      </w:r>
    </w:p>
    <w:p>
      <w:pPr>
        <w:pStyle w:val="33"/>
        <w:ind w:firstLine="0" w:firstLineChars="0"/>
        <w:jc w:val="center"/>
        <w:rPr>
          <w:rFonts w:ascii="宋体" w:hAnsi="宋体" w:cs="宋体"/>
          <w:b/>
          <w:bCs/>
          <w:color w:val="auto"/>
          <w:sz w:val="36"/>
          <w:szCs w:val="36"/>
          <w:highlight w:val="none"/>
        </w:rPr>
      </w:pPr>
    </w:p>
    <w:p>
      <w:pPr>
        <w:widowControl/>
        <w:spacing w:after="0" w:line="240" w:lineRule="auto"/>
        <w:jc w:val="left"/>
        <w:rPr>
          <w:rFonts w:ascii="宋体" w:hAnsi="宋体" w:cs="宋体"/>
          <w:b/>
          <w:bCs/>
          <w:color w:val="auto"/>
          <w:sz w:val="36"/>
          <w:szCs w:val="36"/>
          <w:highlight w:val="none"/>
        </w:rPr>
      </w:pPr>
      <w:r>
        <w:rPr>
          <w:rFonts w:hint="eastAsia" w:ascii="宋体" w:hAnsi="宋体" w:cs="宋体"/>
          <w:b/>
          <w:bCs/>
          <w:color w:val="auto"/>
          <w:sz w:val="36"/>
          <w:szCs w:val="36"/>
          <w:highlight w:val="none"/>
        </w:rPr>
        <w:br w:type="page"/>
      </w:r>
    </w:p>
    <w:bookmarkEnd w:id="18"/>
    <w:bookmarkEnd w:id="22"/>
    <w:bookmarkEnd w:id="24"/>
    <w:p>
      <w:pPr>
        <w:spacing w:after="0" w:line="360" w:lineRule="auto"/>
        <w:rPr>
          <w:rFonts w:hint="eastAsia" w:ascii="宋体" w:hAnsi="宋体" w:eastAsia="宋体" w:cs="宋体"/>
          <w:b/>
          <w:color w:val="auto"/>
          <w:sz w:val="32"/>
          <w:szCs w:val="32"/>
          <w:highlight w:val="none"/>
          <w:lang w:eastAsia="zh-CN"/>
        </w:rPr>
      </w:pPr>
      <w:bookmarkStart w:id="30" w:name="PO_默认文件内容_26"/>
      <w:r>
        <w:rPr>
          <w:rFonts w:hint="eastAsia" w:ascii="宋体" w:hAnsi="宋体" w:cs="宋体"/>
          <w:b/>
          <w:color w:val="auto"/>
          <w:sz w:val="32"/>
          <w:szCs w:val="32"/>
          <w:highlight w:val="none"/>
        </w:rPr>
        <w:t>格式2-</w:t>
      </w:r>
      <w:r>
        <w:rPr>
          <w:rFonts w:hint="eastAsia" w:ascii="宋体" w:hAnsi="宋体" w:cs="宋体"/>
          <w:b/>
          <w:color w:val="auto"/>
          <w:sz w:val="32"/>
          <w:szCs w:val="32"/>
          <w:highlight w:val="none"/>
          <w:lang w:val="en-US" w:eastAsia="zh-CN"/>
        </w:rPr>
        <w:t>9</w:t>
      </w:r>
    </w:p>
    <w:p>
      <w:pPr>
        <w:widowControl/>
        <w:spacing w:after="0" w:line="280" w:lineRule="exact"/>
        <w:jc w:val="center"/>
        <w:outlineLvl w:val="1"/>
        <w:rPr>
          <w:rFonts w:ascii="宋体" w:hAnsi="宋体" w:cs="宋体"/>
          <w:b/>
          <w:color w:val="auto"/>
          <w:sz w:val="24"/>
          <w:szCs w:val="32"/>
          <w:highlight w:val="none"/>
        </w:rPr>
      </w:pPr>
      <w:r>
        <w:rPr>
          <w:rFonts w:hint="eastAsia" w:ascii="宋体" w:hAnsi="宋体" w:cs="宋体"/>
          <w:b/>
          <w:color w:val="auto"/>
          <w:sz w:val="24"/>
          <w:szCs w:val="32"/>
          <w:highlight w:val="none"/>
        </w:rPr>
        <w:t>商务、技术、服务应答附表</w:t>
      </w:r>
    </w:p>
    <w:p>
      <w:pPr>
        <w:widowControl/>
        <w:spacing w:after="0" w:line="280" w:lineRule="exact"/>
        <w:jc w:val="center"/>
        <w:rPr>
          <w:rFonts w:ascii="宋体" w:hAnsi="宋体" w:cs="宋体"/>
          <w:b/>
          <w:color w:val="auto"/>
          <w:sz w:val="24"/>
          <w:szCs w:val="32"/>
          <w:highlight w:val="none"/>
        </w:rPr>
      </w:pPr>
      <w:r>
        <w:rPr>
          <w:rFonts w:hint="eastAsia" w:ascii="宋体" w:hAnsi="宋体" w:cs="宋体"/>
          <w:b/>
          <w:color w:val="auto"/>
          <w:sz w:val="24"/>
          <w:szCs w:val="32"/>
          <w:highlight w:val="none"/>
        </w:rPr>
        <w:t>（仅用于成交结果公告，此表不作为评审内容）</w:t>
      </w:r>
    </w:p>
    <w:p>
      <w:pPr>
        <w:widowControl/>
        <w:spacing w:after="0" w:line="340" w:lineRule="exact"/>
        <w:ind w:firstLine="480"/>
        <w:jc w:val="left"/>
        <w:rPr>
          <w:rFonts w:ascii="宋体" w:hAnsi="宋体" w:cs="宋体"/>
          <w:bCs/>
          <w:color w:val="auto"/>
          <w:sz w:val="24"/>
          <w:highlight w:val="none"/>
        </w:rPr>
      </w:pPr>
      <w:r>
        <w:rPr>
          <w:rFonts w:hint="eastAsia" w:ascii="宋体" w:hAnsi="宋体" w:cs="宋体"/>
          <w:bCs/>
          <w:color w:val="auto"/>
          <w:sz w:val="24"/>
          <w:highlight w:val="none"/>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34"/>
        <w:tblW w:w="888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948"/>
        <w:gridCol w:w="175"/>
        <w:gridCol w:w="1923"/>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8885" w:type="dxa"/>
            <w:gridSpan w:val="9"/>
            <w:vAlign w:val="center"/>
          </w:tcPr>
          <w:p>
            <w:pPr>
              <w:keepNext w:val="0"/>
              <w:keepLines w:val="0"/>
              <w:widowControl/>
              <w:suppressLineNumbers w:val="0"/>
              <w:spacing w:before="0" w:beforeAutospacing="0" w:after="0" w:afterAutospacing="0" w:line="340" w:lineRule="exact"/>
              <w:ind w:left="0" w:right="0"/>
              <w:jc w:val="center"/>
              <w:outlineLvl w:val="1"/>
              <w:rPr>
                <w:rFonts w:hint="default" w:ascii="宋体" w:hAnsi="宋体" w:cs="宋体"/>
                <w:color w:val="auto"/>
                <w:sz w:val="24"/>
                <w:highlight w:val="none"/>
              </w:rPr>
            </w:pPr>
            <w:r>
              <w:rPr>
                <w:rFonts w:hint="eastAsia" w:ascii="宋体" w:hAnsi="宋体" w:cs="宋体"/>
                <w:b/>
                <w:color w:val="auto"/>
                <w:kern w:val="0"/>
                <w:sz w:val="24"/>
                <w:highlight w:val="none"/>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2123" w:type="dxa"/>
            <w:gridSpan w:val="2"/>
            <w:vAlign w:val="center"/>
          </w:tcPr>
          <w:p>
            <w:pPr>
              <w:keepNext w:val="0"/>
              <w:keepLines w:val="0"/>
              <w:widowControl/>
              <w:suppressLineNumbers w:val="0"/>
              <w:spacing w:before="0" w:beforeAutospacing="0" w:after="0" w:afterAutospacing="0" w:line="340" w:lineRule="exac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*项目名称</w:t>
            </w:r>
          </w:p>
        </w:tc>
        <w:tc>
          <w:tcPr>
            <w:tcW w:w="6762" w:type="dxa"/>
            <w:gridSpan w:val="7"/>
            <w:vAlign w:val="center"/>
          </w:tcPr>
          <w:p>
            <w:pPr>
              <w:keepNext w:val="0"/>
              <w:keepLines w:val="0"/>
              <w:widowControl/>
              <w:suppressLineNumbers w:val="0"/>
              <w:spacing w:before="0" w:beforeAutospacing="0" w:after="0" w:afterAutospacing="0" w:line="340" w:lineRule="exact"/>
              <w:ind w:left="0" w:right="0" w:firstLine="470" w:firstLineChars="196"/>
              <w:jc w:val="left"/>
              <w:outlineLvl w:val="1"/>
              <w:rPr>
                <w:rFonts w:hint="default"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2123" w:type="dxa"/>
            <w:gridSpan w:val="2"/>
            <w:vAlign w:val="center"/>
          </w:tcPr>
          <w:p>
            <w:pPr>
              <w:keepNext w:val="0"/>
              <w:keepLines w:val="0"/>
              <w:widowControl/>
              <w:suppressLineNumbers w:val="0"/>
              <w:spacing w:before="0" w:beforeAutospacing="0" w:after="0" w:afterAutospacing="0" w:line="340" w:lineRule="exac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*供应商名称</w:t>
            </w:r>
          </w:p>
        </w:tc>
        <w:tc>
          <w:tcPr>
            <w:tcW w:w="6762" w:type="dxa"/>
            <w:gridSpan w:val="7"/>
            <w:vAlign w:val="center"/>
          </w:tcPr>
          <w:p>
            <w:pPr>
              <w:keepNext w:val="0"/>
              <w:keepLines w:val="0"/>
              <w:widowControl/>
              <w:suppressLineNumbers w:val="0"/>
              <w:spacing w:before="0" w:beforeAutospacing="0" w:after="0" w:afterAutospacing="0" w:line="340" w:lineRule="exact"/>
              <w:ind w:left="0" w:right="0" w:firstLine="470" w:firstLineChars="196"/>
              <w:jc w:val="left"/>
              <w:outlineLvl w:val="1"/>
              <w:rPr>
                <w:rFonts w:hint="default"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2123" w:type="dxa"/>
            <w:gridSpan w:val="2"/>
            <w:vAlign w:val="center"/>
          </w:tcPr>
          <w:p>
            <w:pPr>
              <w:keepNext w:val="0"/>
              <w:keepLines w:val="0"/>
              <w:widowControl/>
              <w:suppressLineNumbers w:val="0"/>
              <w:spacing w:before="0" w:beforeAutospacing="0" w:after="0" w:afterAutospacing="0" w:line="340" w:lineRule="exac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*注册地址</w:t>
            </w:r>
          </w:p>
        </w:tc>
        <w:tc>
          <w:tcPr>
            <w:tcW w:w="3273" w:type="dxa"/>
            <w:gridSpan w:val="3"/>
            <w:tcBorders>
              <w:right w:val="single" w:color="auto" w:sz="4" w:space="0"/>
            </w:tcBorders>
            <w:vAlign w:val="center"/>
          </w:tcPr>
          <w:p>
            <w:pPr>
              <w:keepNext w:val="0"/>
              <w:keepLines w:val="0"/>
              <w:widowControl/>
              <w:suppressLineNumbers w:val="0"/>
              <w:spacing w:before="0" w:beforeAutospacing="0" w:after="0" w:afterAutospacing="0" w:line="340" w:lineRule="exact"/>
              <w:ind w:left="0" w:right="0"/>
              <w:jc w:val="left"/>
              <w:outlineLvl w:val="1"/>
              <w:rPr>
                <w:rFonts w:hint="default" w:ascii="宋体" w:hAnsi="宋体" w:cs="宋体"/>
                <w:color w:val="auto"/>
                <w:sz w:val="24"/>
                <w:highlight w:val="none"/>
              </w:rPr>
            </w:pPr>
          </w:p>
        </w:tc>
        <w:tc>
          <w:tcPr>
            <w:tcW w:w="1590" w:type="dxa"/>
            <w:gridSpan w:val="3"/>
            <w:tcBorders>
              <w:left w:val="single" w:color="auto" w:sz="4" w:space="0"/>
              <w:right w:val="single" w:color="auto" w:sz="4" w:space="0"/>
            </w:tcBorders>
            <w:vAlign w:val="center"/>
          </w:tcPr>
          <w:p>
            <w:pPr>
              <w:keepNext w:val="0"/>
              <w:keepLines w:val="0"/>
              <w:widowControl/>
              <w:suppressLineNumbers w:val="0"/>
              <w:spacing w:before="0" w:beforeAutospacing="0" w:after="0" w:afterAutospacing="0" w:line="340" w:lineRule="exac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*行政区域</w:t>
            </w:r>
          </w:p>
        </w:tc>
        <w:tc>
          <w:tcPr>
            <w:tcW w:w="1899" w:type="dxa"/>
            <w:tcBorders>
              <w:left w:val="single" w:color="auto" w:sz="4" w:space="0"/>
            </w:tcBorders>
            <w:vAlign w:val="center"/>
          </w:tcPr>
          <w:p>
            <w:pPr>
              <w:keepNext w:val="0"/>
              <w:keepLines w:val="0"/>
              <w:widowControl/>
              <w:suppressLineNumbers w:val="0"/>
              <w:spacing w:before="0" w:beforeAutospacing="0" w:after="0" w:afterAutospacing="0" w:line="340" w:lineRule="exact"/>
              <w:ind w:left="0" w:right="0" w:firstLine="470" w:firstLineChars="196"/>
              <w:jc w:val="left"/>
              <w:outlineLvl w:val="1"/>
              <w:rPr>
                <w:rFonts w:hint="default"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2123" w:type="dxa"/>
            <w:gridSpan w:val="2"/>
            <w:vAlign w:val="center"/>
          </w:tcPr>
          <w:p>
            <w:pPr>
              <w:keepNext w:val="0"/>
              <w:keepLines w:val="0"/>
              <w:widowControl/>
              <w:suppressLineNumbers w:val="0"/>
              <w:spacing w:before="0" w:beforeAutospacing="0" w:after="0" w:afterAutospacing="0" w:line="340" w:lineRule="exac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*供应商规模</w:t>
            </w:r>
          </w:p>
        </w:tc>
        <w:tc>
          <w:tcPr>
            <w:tcW w:w="6762" w:type="dxa"/>
            <w:gridSpan w:val="7"/>
            <w:vAlign w:val="center"/>
          </w:tcPr>
          <w:p>
            <w:pPr>
              <w:keepNext w:val="0"/>
              <w:keepLines w:val="0"/>
              <w:widowControl/>
              <w:suppressLineNumbers w:val="0"/>
              <w:spacing w:before="0" w:beforeAutospacing="0" w:after="0" w:afterAutospacing="0" w:line="340" w:lineRule="exact"/>
              <w:ind w:left="0" w:right="0"/>
              <w:jc w:val="center"/>
              <w:outlineLvl w:val="1"/>
              <w:rPr>
                <w:rFonts w:hint="default" w:ascii="宋体" w:hAnsi="宋体" w:cs="宋体"/>
                <w:color w:val="auto"/>
                <w:sz w:val="24"/>
                <w:highlight w:val="none"/>
              </w:rPr>
            </w:pPr>
            <w:r>
              <w:rPr>
                <w:rFonts w:hint="eastAsia" w:ascii="宋体" w:hAnsi="宋体" w:cs="宋体"/>
                <w:color w:val="auto"/>
                <w:szCs w:val="21"/>
                <w:highlight w:val="none"/>
              </w:rPr>
              <w:t>□大型企业   □中型企业   □小微型企业（对应处打“√”）</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2123" w:type="dxa"/>
            <w:gridSpan w:val="2"/>
            <w:vMerge w:val="restart"/>
            <w:vAlign w:val="center"/>
          </w:tcPr>
          <w:p>
            <w:pPr>
              <w:keepNext w:val="0"/>
              <w:keepLines w:val="0"/>
              <w:widowControl/>
              <w:suppressLineNumbers w:val="0"/>
              <w:spacing w:before="0" w:beforeAutospacing="0" w:after="0" w:afterAutospacing="0" w:line="340" w:lineRule="exac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*单位联系方式</w:t>
            </w:r>
          </w:p>
        </w:tc>
        <w:tc>
          <w:tcPr>
            <w:tcW w:w="1923" w:type="dxa"/>
            <w:vAlign w:val="center"/>
          </w:tcPr>
          <w:p>
            <w:pPr>
              <w:keepNext w:val="0"/>
              <w:keepLines w:val="0"/>
              <w:widowControl/>
              <w:suppressLineNumbers w:val="0"/>
              <w:spacing w:before="0" w:beforeAutospacing="0" w:after="0" w:afterAutospacing="0" w:line="340" w:lineRule="exac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*单位联系人</w:t>
            </w:r>
          </w:p>
        </w:tc>
        <w:tc>
          <w:tcPr>
            <w:tcW w:w="1380" w:type="dxa"/>
            <w:gridSpan w:val="3"/>
            <w:vAlign w:val="center"/>
          </w:tcPr>
          <w:p>
            <w:pPr>
              <w:keepNext w:val="0"/>
              <w:keepLines w:val="0"/>
              <w:widowControl/>
              <w:suppressLineNumbers w:val="0"/>
              <w:spacing w:before="0" w:beforeAutospacing="0" w:after="0" w:afterAutospacing="0" w:line="340" w:lineRule="exact"/>
              <w:ind w:left="0" w:right="0" w:firstLine="470" w:firstLineChars="196"/>
              <w:jc w:val="left"/>
              <w:outlineLvl w:val="1"/>
              <w:rPr>
                <w:rFonts w:hint="default" w:ascii="宋体" w:hAnsi="宋体" w:cs="宋体"/>
                <w:color w:val="auto"/>
                <w:sz w:val="24"/>
                <w:highlight w:val="none"/>
              </w:rPr>
            </w:pPr>
          </w:p>
        </w:tc>
        <w:tc>
          <w:tcPr>
            <w:tcW w:w="1529" w:type="dxa"/>
            <w:vAlign w:val="center"/>
          </w:tcPr>
          <w:p>
            <w:pPr>
              <w:keepNext w:val="0"/>
              <w:keepLines w:val="0"/>
              <w:widowControl/>
              <w:suppressLineNumbers w:val="0"/>
              <w:spacing w:before="0" w:beforeAutospacing="0" w:after="0" w:afterAutospacing="0" w:line="340" w:lineRule="exac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*单位电话</w:t>
            </w:r>
          </w:p>
        </w:tc>
        <w:tc>
          <w:tcPr>
            <w:tcW w:w="1930" w:type="dxa"/>
            <w:gridSpan w:val="2"/>
            <w:vAlign w:val="center"/>
          </w:tcPr>
          <w:p>
            <w:pPr>
              <w:keepNext w:val="0"/>
              <w:keepLines w:val="0"/>
              <w:widowControl/>
              <w:suppressLineNumbers w:val="0"/>
              <w:spacing w:before="0" w:beforeAutospacing="0" w:after="0" w:afterAutospacing="0" w:line="340" w:lineRule="exact"/>
              <w:ind w:left="0" w:right="0" w:firstLine="470" w:firstLineChars="196"/>
              <w:jc w:val="left"/>
              <w:outlineLvl w:val="1"/>
              <w:rPr>
                <w:rFonts w:hint="default"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2123" w:type="dxa"/>
            <w:gridSpan w:val="2"/>
            <w:vMerge w:val="continue"/>
            <w:vAlign w:val="center"/>
          </w:tcPr>
          <w:p>
            <w:pPr>
              <w:keepNext w:val="0"/>
              <w:keepLines w:val="0"/>
              <w:suppressLineNumbers w:val="0"/>
              <w:spacing w:before="0" w:beforeAutospacing="0" w:after="0" w:afterAutospacing="0" w:line="340" w:lineRule="exact"/>
              <w:ind w:left="0" w:right="0"/>
              <w:rPr>
                <w:rFonts w:hint="default" w:ascii="宋体" w:hAnsi="宋体" w:cs="宋体"/>
                <w:color w:val="auto"/>
                <w:highlight w:val="none"/>
              </w:rPr>
            </w:pPr>
          </w:p>
        </w:tc>
        <w:tc>
          <w:tcPr>
            <w:tcW w:w="1923" w:type="dxa"/>
            <w:vAlign w:val="center"/>
          </w:tcPr>
          <w:p>
            <w:pPr>
              <w:keepNext w:val="0"/>
              <w:keepLines w:val="0"/>
              <w:widowControl/>
              <w:suppressLineNumbers w:val="0"/>
              <w:spacing w:before="0" w:beforeAutospacing="0" w:after="0" w:afterAutospacing="0" w:line="340" w:lineRule="exact"/>
              <w:ind w:left="0" w:right="0"/>
              <w:jc w:val="left"/>
              <w:outlineLvl w:val="1"/>
              <w:rPr>
                <w:rFonts w:hint="default" w:ascii="宋体" w:hAnsi="宋体" w:cs="宋体"/>
                <w:color w:val="auto"/>
                <w:sz w:val="24"/>
                <w:highlight w:val="none"/>
              </w:rPr>
            </w:pPr>
            <w:r>
              <w:rPr>
                <w:rFonts w:hint="eastAsia" w:ascii="宋体" w:hAnsi="宋体" w:cs="宋体"/>
                <w:color w:val="auto"/>
                <w:sz w:val="24"/>
                <w:highlight w:val="none"/>
              </w:rPr>
              <w:t>*单位邮箱</w:t>
            </w:r>
          </w:p>
        </w:tc>
        <w:tc>
          <w:tcPr>
            <w:tcW w:w="4839" w:type="dxa"/>
            <w:gridSpan w:val="6"/>
            <w:vAlign w:val="center"/>
          </w:tcPr>
          <w:p>
            <w:pPr>
              <w:keepNext w:val="0"/>
              <w:keepLines w:val="0"/>
              <w:widowControl/>
              <w:suppressLineNumbers w:val="0"/>
              <w:spacing w:before="0" w:beforeAutospacing="0" w:after="0" w:afterAutospacing="0" w:line="340" w:lineRule="exact"/>
              <w:ind w:left="0" w:right="0" w:firstLine="470" w:firstLineChars="196"/>
              <w:jc w:val="left"/>
              <w:outlineLvl w:val="1"/>
              <w:rPr>
                <w:rFonts w:hint="default" w:ascii="宋体" w:hAnsi="宋体" w:cs="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8885" w:type="dxa"/>
            <w:gridSpan w:val="9"/>
            <w:vAlign w:val="center"/>
          </w:tcPr>
          <w:p>
            <w:pPr>
              <w:keepNext w:val="0"/>
              <w:keepLines w:val="0"/>
              <w:widowControl/>
              <w:suppressLineNumbers w:val="0"/>
              <w:spacing w:before="0" w:beforeAutospacing="0" w:after="0" w:afterAutospacing="0" w:line="340" w:lineRule="exact"/>
              <w:ind w:left="0" w:right="0" w:firstLine="472" w:firstLineChars="196"/>
              <w:jc w:val="left"/>
              <w:outlineLvl w:val="1"/>
              <w:rPr>
                <w:rFonts w:hint="default" w:ascii="宋体" w:hAnsi="宋体" w:cs="宋体"/>
                <w:color w:val="auto"/>
                <w:sz w:val="24"/>
                <w:highlight w:val="none"/>
              </w:rPr>
            </w:pPr>
            <w:r>
              <w:rPr>
                <w:rFonts w:hint="eastAsia" w:ascii="宋体" w:hAnsi="宋体" w:cs="宋体"/>
                <w:b/>
                <w:bCs/>
                <w:color w:val="auto"/>
                <w:sz w:val="24"/>
                <w:highlight w:val="none"/>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948" w:type="dxa"/>
            <w:vMerge w:val="restart"/>
            <w:tcBorders>
              <w:right w:val="single" w:color="auto" w:sz="4" w:space="0"/>
            </w:tcBorders>
            <w:vAlign w:val="center"/>
          </w:tcPr>
          <w:p>
            <w:pPr>
              <w:keepNext w:val="0"/>
              <w:keepLines w:val="0"/>
              <w:widowControl/>
              <w:suppressLineNumbers w:val="0"/>
              <w:spacing w:before="0" w:beforeAutospacing="0" w:after="0" w:afterAutospacing="0" w:line="340" w:lineRule="exact"/>
              <w:ind w:left="0" w:right="0"/>
              <w:jc w:val="left"/>
              <w:outlineLvl w:val="1"/>
              <w:rPr>
                <w:rFonts w:hint="default" w:ascii="宋体" w:hAnsi="宋体" w:cs="宋体"/>
                <w:b/>
                <w:bCs/>
                <w:color w:val="auto"/>
                <w:sz w:val="24"/>
                <w:highlight w:val="none"/>
              </w:rPr>
            </w:pPr>
            <w:r>
              <w:rPr>
                <w:rFonts w:hint="eastAsia" w:ascii="宋体" w:hAnsi="宋体" w:cs="宋体"/>
                <w:b/>
                <w:bCs/>
                <w:color w:val="auto"/>
                <w:sz w:val="24"/>
                <w:highlight w:val="none"/>
              </w:rPr>
              <w:t>供应商应答“磋商文件”的主要内容</w:t>
            </w:r>
          </w:p>
        </w:tc>
        <w:tc>
          <w:tcPr>
            <w:tcW w:w="2373" w:type="dxa"/>
            <w:gridSpan w:val="3"/>
            <w:tcBorders>
              <w:left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ascii="宋体" w:hAnsi="宋体" w:cs="宋体"/>
                <w:b/>
                <w:bCs/>
                <w:color w:val="auto"/>
                <w:sz w:val="24"/>
                <w:highlight w:val="none"/>
              </w:rPr>
            </w:pPr>
            <w:r>
              <w:rPr>
                <w:rFonts w:hint="eastAsia" w:ascii="宋体" w:hAnsi="宋体" w:cs="宋体"/>
                <w:bCs/>
                <w:color w:val="auto"/>
                <w:kern w:val="0"/>
                <w:sz w:val="24"/>
                <w:highlight w:val="none"/>
              </w:rPr>
              <w:t>主要中标或者成交标的的名称</w:t>
            </w:r>
          </w:p>
        </w:tc>
        <w:tc>
          <w:tcPr>
            <w:tcW w:w="4564" w:type="dxa"/>
            <w:gridSpan w:val="5"/>
            <w:tcBorders>
              <w:lef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ascii="宋体" w:hAnsi="宋体" w:cs="宋体"/>
                <w:b/>
                <w:bCs/>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948" w:type="dxa"/>
            <w:vMerge w:val="continue"/>
            <w:tcBorders>
              <w:right w:val="single" w:color="auto" w:sz="4" w:space="0"/>
            </w:tcBorders>
            <w:vAlign w:val="center"/>
          </w:tcPr>
          <w:p>
            <w:pPr>
              <w:keepNext w:val="0"/>
              <w:keepLines w:val="0"/>
              <w:widowControl/>
              <w:suppressLineNumbers w:val="0"/>
              <w:spacing w:before="0" w:beforeAutospacing="0" w:after="0" w:afterAutospacing="0" w:line="340" w:lineRule="exact"/>
              <w:ind w:left="0" w:right="0" w:firstLine="472" w:firstLineChars="196"/>
              <w:jc w:val="left"/>
              <w:outlineLvl w:val="1"/>
              <w:rPr>
                <w:rFonts w:hint="default" w:ascii="宋体" w:hAnsi="宋体" w:cs="宋体"/>
                <w:b/>
                <w:bCs/>
                <w:color w:val="auto"/>
                <w:sz w:val="24"/>
                <w:highlight w:val="none"/>
              </w:rPr>
            </w:pPr>
          </w:p>
        </w:tc>
        <w:tc>
          <w:tcPr>
            <w:tcW w:w="2373" w:type="dxa"/>
            <w:gridSpan w:val="3"/>
            <w:tcBorders>
              <w:left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ascii="宋体" w:hAnsi="宋体" w:cs="宋体"/>
                <w:b/>
                <w:bCs/>
                <w:color w:val="auto"/>
                <w:sz w:val="24"/>
                <w:highlight w:val="none"/>
              </w:rPr>
            </w:pPr>
            <w:r>
              <w:rPr>
                <w:rFonts w:hint="eastAsia" w:ascii="宋体" w:hAnsi="宋体" w:cs="宋体"/>
                <w:bCs/>
                <w:color w:val="auto"/>
                <w:kern w:val="0"/>
                <w:sz w:val="24"/>
                <w:highlight w:val="none"/>
              </w:rPr>
              <w:t>主要中标或者成交标的的规格型号</w:t>
            </w:r>
          </w:p>
        </w:tc>
        <w:tc>
          <w:tcPr>
            <w:tcW w:w="4564" w:type="dxa"/>
            <w:gridSpan w:val="5"/>
            <w:tcBorders>
              <w:lef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ascii="宋体" w:hAnsi="宋体" w:cs="宋体"/>
                <w:b/>
                <w:bCs/>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948" w:type="dxa"/>
            <w:vMerge w:val="continue"/>
            <w:tcBorders>
              <w:right w:val="single" w:color="auto" w:sz="4" w:space="0"/>
            </w:tcBorders>
            <w:vAlign w:val="center"/>
          </w:tcPr>
          <w:p>
            <w:pPr>
              <w:keepNext w:val="0"/>
              <w:keepLines w:val="0"/>
              <w:widowControl/>
              <w:suppressLineNumbers w:val="0"/>
              <w:spacing w:before="0" w:beforeAutospacing="0" w:after="0" w:afterAutospacing="0" w:line="340" w:lineRule="exact"/>
              <w:ind w:left="0" w:right="0" w:firstLine="472" w:firstLineChars="196"/>
              <w:jc w:val="left"/>
              <w:outlineLvl w:val="1"/>
              <w:rPr>
                <w:rFonts w:hint="default" w:ascii="宋体" w:hAnsi="宋体" w:cs="宋体"/>
                <w:b/>
                <w:bCs/>
                <w:color w:val="auto"/>
                <w:sz w:val="24"/>
                <w:highlight w:val="none"/>
              </w:rPr>
            </w:pPr>
          </w:p>
        </w:tc>
        <w:tc>
          <w:tcPr>
            <w:tcW w:w="2373" w:type="dxa"/>
            <w:gridSpan w:val="3"/>
            <w:tcBorders>
              <w:left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ascii="宋体" w:hAnsi="宋体" w:cs="宋体"/>
                <w:b/>
                <w:bCs/>
                <w:color w:val="auto"/>
                <w:sz w:val="24"/>
                <w:highlight w:val="none"/>
              </w:rPr>
            </w:pPr>
            <w:r>
              <w:rPr>
                <w:rFonts w:hint="eastAsia" w:ascii="宋体" w:hAnsi="宋体" w:cs="宋体"/>
                <w:bCs/>
                <w:color w:val="auto"/>
                <w:kern w:val="0"/>
                <w:sz w:val="24"/>
                <w:highlight w:val="none"/>
              </w:rPr>
              <w:t>主要中标或者成交标的的数量</w:t>
            </w:r>
          </w:p>
        </w:tc>
        <w:tc>
          <w:tcPr>
            <w:tcW w:w="4564" w:type="dxa"/>
            <w:gridSpan w:val="5"/>
            <w:tcBorders>
              <w:lef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ascii="宋体" w:hAnsi="宋体" w:cs="宋体"/>
                <w:b/>
                <w:bCs/>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948" w:type="dxa"/>
            <w:vMerge w:val="continue"/>
            <w:tcBorders>
              <w:right w:val="single" w:color="auto" w:sz="4" w:space="0"/>
            </w:tcBorders>
            <w:vAlign w:val="center"/>
          </w:tcPr>
          <w:p>
            <w:pPr>
              <w:keepNext w:val="0"/>
              <w:keepLines w:val="0"/>
              <w:widowControl/>
              <w:suppressLineNumbers w:val="0"/>
              <w:spacing w:before="0" w:beforeAutospacing="0" w:after="0" w:afterAutospacing="0" w:line="340" w:lineRule="exact"/>
              <w:ind w:left="0" w:right="0" w:firstLine="472" w:firstLineChars="196"/>
              <w:jc w:val="left"/>
              <w:outlineLvl w:val="1"/>
              <w:rPr>
                <w:rFonts w:hint="default" w:ascii="宋体" w:hAnsi="宋体" w:cs="宋体"/>
                <w:b/>
                <w:bCs/>
                <w:color w:val="auto"/>
                <w:sz w:val="24"/>
                <w:highlight w:val="none"/>
              </w:rPr>
            </w:pPr>
          </w:p>
        </w:tc>
        <w:tc>
          <w:tcPr>
            <w:tcW w:w="2373" w:type="dxa"/>
            <w:gridSpan w:val="3"/>
            <w:tcBorders>
              <w:left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ascii="宋体" w:hAnsi="宋体" w:cs="宋体"/>
                <w:b/>
                <w:bCs/>
                <w:color w:val="auto"/>
                <w:sz w:val="24"/>
                <w:highlight w:val="none"/>
              </w:rPr>
            </w:pPr>
            <w:r>
              <w:rPr>
                <w:rFonts w:hint="eastAsia" w:ascii="宋体" w:hAnsi="宋体" w:cs="宋体"/>
                <w:bCs/>
                <w:color w:val="auto"/>
                <w:kern w:val="0"/>
                <w:sz w:val="24"/>
                <w:highlight w:val="none"/>
              </w:rPr>
              <w:t>主要中标或者成交标的的单价</w:t>
            </w:r>
          </w:p>
        </w:tc>
        <w:tc>
          <w:tcPr>
            <w:tcW w:w="4564" w:type="dxa"/>
            <w:gridSpan w:val="5"/>
            <w:tcBorders>
              <w:lef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ascii="宋体" w:hAnsi="宋体" w:cs="宋体"/>
                <w:b/>
                <w:bCs/>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948" w:type="dxa"/>
            <w:vMerge w:val="continue"/>
            <w:tcBorders>
              <w:right w:val="single" w:color="auto" w:sz="4" w:space="0"/>
            </w:tcBorders>
            <w:vAlign w:val="center"/>
          </w:tcPr>
          <w:p>
            <w:pPr>
              <w:keepNext w:val="0"/>
              <w:keepLines w:val="0"/>
              <w:widowControl/>
              <w:suppressLineNumbers w:val="0"/>
              <w:spacing w:before="0" w:beforeAutospacing="0" w:after="0" w:afterAutospacing="0" w:line="340" w:lineRule="exact"/>
              <w:ind w:left="0" w:right="0" w:firstLine="472" w:firstLineChars="196"/>
              <w:jc w:val="left"/>
              <w:outlineLvl w:val="1"/>
              <w:rPr>
                <w:rFonts w:hint="default" w:ascii="宋体" w:hAnsi="宋体" w:cs="宋体"/>
                <w:b/>
                <w:bCs/>
                <w:color w:val="auto"/>
                <w:sz w:val="24"/>
                <w:highlight w:val="none"/>
              </w:rPr>
            </w:pPr>
          </w:p>
        </w:tc>
        <w:tc>
          <w:tcPr>
            <w:tcW w:w="2373" w:type="dxa"/>
            <w:gridSpan w:val="3"/>
            <w:tcBorders>
              <w:left w:val="single" w:color="auto" w:sz="4" w:space="0"/>
              <w:right w:val="single" w:color="auto" w:sz="4" w:space="0"/>
            </w:tcBorders>
            <w:vAlign w:val="center"/>
          </w:tcPr>
          <w:p>
            <w:pPr>
              <w:keepNext w:val="0"/>
              <w:keepLines w:val="0"/>
              <w:suppressLineNumbers w:val="0"/>
              <w:spacing w:before="0" w:beforeAutospacing="0" w:after="0" w:afterAutospacing="0" w:line="340" w:lineRule="exact"/>
              <w:ind w:left="0" w:right="0"/>
              <w:jc w:val="left"/>
              <w:rPr>
                <w:rFonts w:hint="default" w:ascii="宋体" w:hAnsi="宋体" w:cs="宋体"/>
                <w:b/>
                <w:bCs/>
                <w:color w:val="auto"/>
                <w:sz w:val="24"/>
                <w:highlight w:val="none"/>
              </w:rPr>
            </w:pPr>
            <w:r>
              <w:rPr>
                <w:rFonts w:hint="eastAsia" w:ascii="宋体" w:hAnsi="宋体" w:cs="宋体"/>
                <w:bCs/>
                <w:color w:val="auto"/>
                <w:kern w:val="0"/>
                <w:sz w:val="24"/>
                <w:highlight w:val="none"/>
              </w:rPr>
              <w:t>主要中标或者成交标的的服务要求（如：交货期、质保期、售后服务等等）</w:t>
            </w:r>
          </w:p>
        </w:tc>
        <w:tc>
          <w:tcPr>
            <w:tcW w:w="4564" w:type="dxa"/>
            <w:gridSpan w:val="5"/>
            <w:tcBorders>
              <w:left w:val="single" w:color="auto" w:sz="4" w:space="0"/>
            </w:tcBorders>
            <w:vAlign w:val="center"/>
          </w:tcPr>
          <w:p>
            <w:pPr>
              <w:keepNext w:val="0"/>
              <w:keepLines w:val="0"/>
              <w:numPr>
                <w:ilvl w:val="0"/>
                <w:numId w:val="6"/>
              </w:numPr>
              <w:suppressLineNumbers w:val="0"/>
              <w:spacing w:before="0" w:beforeAutospacing="0" w:after="0" w:afterAutospacing="0" w:line="340" w:lineRule="exact"/>
              <w:ind w:left="0" w:right="0"/>
              <w:jc w:val="left"/>
              <w:rPr>
                <w:rFonts w:hint="default" w:ascii="宋体" w:hAnsi="宋体" w:cs="宋体"/>
                <w:bCs/>
                <w:color w:val="auto"/>
                <w:sz w:val="24"/>
                <w:highlight w:val="none"/>
              </w:rPr>
            </w:pPr>
            <w:r>
              <w:rPr>
                <w:rFonts w:hint="eastAsia" w:ascii="宋体" w:hAnsi="宋体" w:cs="宋体"/>
                <w:bCs/>
                <w:color w:val="auto"/>
                <w:sz w:val="24"/>
                <w:highlight w:val="none"/>
              </w:rPr>
              <w:t>....</w:t>
            </w:r>
          </w:p>
          <w:p>
            <w:pPr>
              <w:keepNext w:val="0"/>
              <w:keepLines w:val="0"/>
              <w:numPr>
                <w:ilvl w:val="0"/>
                <w:numId w:val="6"/>
              </w:numPr>
              <w:suppressLineNumbers w:val="0"/>
              <w:spacing w:before="0" w:beforeAutospacing="0" w:after="0" w:afterAutospacing="0" w:line="340" w:lineRule="exact"/>
              <w:ind w:left="0" w:right="0"/>
              <w:jc w:val="left"/>
              <w:rPr>
                <w:rFonts w:hint="default" w:ascii="宋体" w:hAnsi="宋体" w:cs="宋体"/>
                <w:bCs/>
                <w:color w:val="auto"/>
                <w:sz w:val="24"/>
                <w:highlight w:val="none"/>
              </w:rPr>
            </w:pPr>
            <w:r>
              <w:rPr>
                <w:rFonts w:hint="eastAsia" w:ascii="宋体" w:hAnsi="宋体" w:cs="宋体"/>
                <w:bCs/>
                <w:color w:val="auto"/>
                <w:sz w:val="24"/>
                <w:highlight w:val="none"/>
              </w:rPr>
              <w:t>....</w:t>
            </w:r>
          </w:p>
          <w:p>
            <w:pPr>
              <w:keepNext w:val="0"/>
              <w:keepLines w:val="0"/>
              <w:numPr>
                <w:ilvl w:val="0"/>
                <w:numId w:val="6"/>
              </w:numPr>
              <w:suppressLineNumbers w:val="0"/>
              <w:spacing w:before="0" w:beforeAutospacing="0" w:after="0" w:afterAutospacing="0" w:line="340" w:lineRule="exact"/>
              <w:ind w:left="0" w:right="0"/>
              <w:jc w:val="left"/>
              <w:rPr>
                <w:rFonts w:hint="default" w:ascii="宋体" w:hAnsi="宋体" w:cs="宋体"/>
                <w:bCs/>
                <w:color w:val="auto"/>
                <w:sz w:val="24"/>
                <w:highlight w:val="none"/>
              </w:rPr>
            </w:pPr>
            <w:r>
              <w:rPr>
                <w:rFonts w:hint="eastAsia" w:ascii="宋体" w:hAnsi="宋体" w:cs="宋体"/>
                <w:bCs/>
                <w:color w:val="auto"/>
                <w:sz w:val="24"/>
                <w:highlight w:val="none"/>
              </w:rPr>
              <w:t>....</w:t>
            </w:r>
          </w:p>
          <w:p>
            <w:pPr>
              <w:keepNext w:val="0"/>
              <w:keepLines w:val="0"/>
              <w:suppressLineNumbers w:val="0"/>
              <w:spacing w:before="0" w:beforeAutospacing="0" w:after="0" w:afterAutospacing="0" w:line="340" w:lineRule="exact"/>
              <w:ind w:left="0" w:right="0"/>
              <w:jc w:val="left"/>
              <w:rPr>
                <w:rFonts w:hint="default" w:ascii="宋体" w:hAnsi="宋体" w:cs="宋体"/>
                <w:b/>
                <w:bCs/>
                <w:color w:val="auto"/>
                <w:sz w:val="24"/>
                <w:highlight w:val="none"/>
              </w:rPr>
            </w:pPr>
            <w:r>
              <w:rPr>
                <w:rFonts w:hint="eastAsia" w:ascii="宋体" w:hAnsi="宋体" w:cs="宋体"/>
                <w:bCs/>
                <w:color w:val="auto"/>
                <w:sz w:val="24"/>
                <w:highlight w:val="none"/>
              </w:rPr>
              <w:t>......</w:t>
            </w:r>
          </w:p>
        </w:tc>
      </w:tr>
    </w:tbl>
    <w:p>
      <w:pPr>
        <w:spacing w:after="0" w:line="300" w:lineRule="exact"/>
        <w:rPr>
          <w:rFonts w:ascii="宋体" w:hAnsi="宋体" w:cs="宋体"/>
          <w:color w:val="auto"/>
          <w:sz w:val="24"/>
          <w:highlight w:val="none"/>
        </w:rPr>
      </w:pPr>
      <w:r>
        <w:rPr>
          <w:rFonts w:hint="eastAsia" w:ascii="宋体" w:hAnsi="宋体" w:cs="宋体"/>
          <w:color w:val="auto"/>
          <w:sz w:val="24"/>
          <w:highlight w:val="none"/>
        </w:rPr>
        <w:t>注：</w:t>
      </w:r>
    </w:p>
    <w:p>
      <w:pPr>
        <w:numPr>
          <w:ilvl w:val="0"/>
          <w:numId w:val="7"/>
        </w:numPr>
        <w:spacing w:after="0" w:line="300" w:lineRule="exact"/>
        <w:rPr>
          <w:rFonts w:ascii="宋体" w:hAnsi="宋体" w:cs="宋体"/>
          <w:color w:val="auto"/>
          <w:sz w:val="24"/>
          <w:highlight w:val="none"/>
        </w:rPr>
      </w:pPr>
      <w:r>
        <w:rPr>
          <w:rFonts w:hint="eastAsia" w:ascii="宋体" w:hAnsi="宋体" w:cs="宋体"/>
          <w:color w:val="auto"/>
          <w:sz w:val="24"/>
          <w:highlight w:val="none"/>
        </w:rPr>
        <w:t>供应商需如实完善表格内容。</w:t>
      </w:r>
    </w:p>
    <w:p>
      <w:pPr>
        <w:numPr>
          <w:ilvl w:val="0"/>
          <w:numId w:val="7"/>
        </w:numPr>
        <w:spacing w:after="0" w:line="300" w:lineRule="exact"/>
        <w:rPr>
          <w:rFonts w:ascii="宋体" w:hAnsi="宋体" w:cs="宋体"/>
          <w:color w:val="auto"/>
          <w:sz w:val="24"/>
          <w:highlight w:val="none"/>
        </w:rPr>
      </w:pPr>
      <w:r>
        <w:rPr>
          <w:rFonts w:hint="eastAsia" w:ascii="宋体" w:hAnsi="宋体" w:cs="宋体"/>
          <w:color w:val="auto"/>
          <w:sz w:val="24"/>
          <w:highlight w:val="none"/>
        </w:rPr>
        <w:t>供应商应答的主要内容应与响应文件一致，可以进行简要概括性表述。</w:t>
      </w:r>
    </w:p>
    <w:p>
      <w:pPr>
        <w:numPr>
          <w:ilvl w:val="0"/>
          <w:numId w:val="7"/>
        </w:numPr>
        <w:spacing w:after="0" w:line="300" w:lineRule="exact"/>
        <w:rPr>
          <w:rFonts w:ascii="宋体" w:hAnsi="宋体" w:cs="宋体"/>
          <w:color w:val="auto"/>
          <w:sz w:val="24"/>
          <w:highlight w:val="none"/>
        </w:rPr>
      </w:pPr>
      <w:r>
        <w:rPr>
          <w:rFonts w:hint="eastAsia" w:ascii="宋体" w:hAnsi="宋体" w:cs="宋体"/>
          <w:color w:val="auto"/>
          <w:sz w:val="24"/>
          <w:highlight w:val="none"/>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widowControl/>
        <w:spacing w:after="0" w:line="340" w:lineRule="exac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供应商名称：XXXX（单位盖章）。</w:t>
      </w:r>
    </w:p>
    <w:p>
      <w:pPr>
        <w:widowControl/>
        <w:spacing w:after="0" w:line="340" w:lineRule="exac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widowControl/>
        <w:spacing w:after="0" w:line="340" w:lineRule="exact"/>
        <w:ind w:firstLine="470" w:firstLineChars="196"/>
        <w:jc w:val="left"/>
        <w:outlineLvl w:val="1"/>
        <w:rPr>
          <w:rFonts w:ascii="宋体" w:hAnsi="宋体" w:cs="宋体"/>
          <w:b/>
          <w:color w:val="auto"/>
          <w:sz w:val="24"/>
          <w:highlight w:val="none"/>
        </w:rPr>
      </w:pPr>
      <w:r>
        <w:rPr>
          <w:rFonts w:hint="eastAsia" w:ascii="宋体" w:hAnsi="宋体" w:cs="宋体"/>
          <w:color w:val="auto"/>
          <w:sz w:val="24"/>
          <w:highlight w:val="none"/>
        </w:rPr>
        <w:t>报价日期: XXXX。</w:t>
      </w:r>
    </w:p>
    <w:p>
      <w:pPr>
        <w:rPr>
          <w:rFonts w:hint="eastAsia" w:ascii="宋体" w:hAnsi="宋体" w:cs="宋体"/>
          <w:b/>
          <w:color w:val="auto"/>
          <w:sz w:val="32"/>
          <w:szCs w:val="32"/>
          <w:highlight w:val="none"/>
        </w:rPr>
      </w:pPr>
      <w:r>
        <w:rPr>
          <w:rFonts w:hint="eastAsia" w:ascii="宋体" w:hAnsi="宋体" w:cs="宋体"/>
          <w:b/>
          <w:color w:val="auto"/>
          <w:sz w:val="32"/>
          <w:szCs w:val="32"/>
          <w:highlight w:val="none"/>
        </w:rPr>
        <w:br w:type="page"/>
      </w:r>
    </w:p>
    <w:p>
      <w:pPr>
        <w:spacing w:after="0" w:line="360" w:lineRule="auto"/>
        <w:rPr>
          <w:rFonts w:hint="default" w:ascii="宋体" w:hAnsi="宋体" w:eastAsia="宋体" w:cs="宋体"/>
          <w:b/>
          <w:color w:val="auto"/>
          <w:sz w:val="32"/>
          <w:szCs w:val="32"/>
          <w:highlight w:val="none"/>
          <w:lang w:val="en-US" w:eastAsia="zh-CN"/>
        </w:rPr>
      </w:pPr>
      <w:r>
        <w:rPr>
          <w:rFonts w:hint="eastAsia" w:ascii="宋体" w:hAnsi="宋体" w:cs="宋体"/>
          <w:b/>
          <w:color w:val="auto"/>
          <w:sz w:val="32"/>
          <w:szCs w:val="32"/>
          <w:highlight w:val="none"/>
        </w:rPr>
        <w:t>格式2-</w:t>
      </w:r>
      <w:r>
        <w:rPr>
          <w:rFonts w:hint="eastAsia" w:ascii="宋体" w:hAnsi="宋体" w:cs="宋体"/>
          <w:b/>
          <w:color w:val="auto"/>
          <w:sz w:val="32"/>
          <w:szCs w:val="32"/>
          <w:highlight w:val="none"/>
          <w:lang w:val="en-US" w:eastAsia="zh-CN"/>
        </w:rPr>
        <w:t>10</w:t>
      </w:r>
    </w:p>
    <w:p>
      <w:pPr>
        <w:widowControl/>
        <w:spacing w:line="360" w:lineRule="atLeast"/>
        <w:jc w:val="center"/>
        <w:outlineLvl w:val="1"/>
        <w:rPr>
          <w:rFonts w:ascii="宋体" w:hAnsi="宋体" w:cs="宋体"/>
          <w:b/>
          <w:color w:val="auto"/>
          <w:sz w:val="32"/>
          <w:szCs w:val="32"/>
          <w:highlight w:val="none"/>
        </w:rPr>
      </w:pPr>
      <w:r>
        <w:rPr>
          <w:rFonts w:hint="eastAsia" w:ascii="宋体" w:hAnsi="宋体" w:cs="宋体"/>
          <w:b/>
          <w:color w:val="auto"/>
          <w:sz w:val="32"/>
          <w:szCs w:val="32"/>
          <w:highlight w:val="none"/>
        </w:rPr>
        <w:t>供应商类似项目业绩一览表</w:t>
      </w:r>
      <w:bookmarkStart w:id="31" w:name="_Toc217446089"/>
    </w:p>
    <w:bookmarkEnd w:id="31"/>
    <w:p>
      <w:pPr>
        <w:adjustRightInd w:val="0"/>
        <w:snapToGrid w:val="0"/>
        <w:spacing w:after="0" w:line="360" w:lineRule="auto"/>
        <w:rPr>
          <w:rFonts w:ascii="宋体" w:hAnsi="宋体" w:cs="宋体"/>
          <w:color w:val="auto"/>
          <w:highlight w:val="none"/>
        </w:rPr>
      </w:pPr>
      <w:r>
        <w:rPr>
          <w:rFonts w:hint="eastAsia" w:ascii="宋体" w:hAnsi="宋体" w:cs="宋体"/>
          <w:color w:val="auto"/>
          <w:sz w:val="24"/>
          <w:highlight w:val="none"/>
        </w:rPr>
        <w:t>采购项目编号：</w:t>
      </w:r>
      <w:r>
        <w:rPr>
          <w:rFonts w:hint="eastAsia" w:ascii="宋体" w:hAnsi="宋体" w:cs="宋体"/>
          <w:color w:val="auto"/>
          <w:highlight w:val="none"/>
        </w:rPr>
        <w:t xml:space="preserve">                         </w:t>
      </w:r>
    </w:p>
    <w:tbl>
      <w:tblPr>
        <w:tblStyle w:val="34"/>
        <w:tblW w:w="949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899"/>
        <w:gridCol w:w="1899"/>
        <w:gridCol w:w="1899"/>
        <w:gridCol w:w="1899"/>
        <w:gridCol w:w="190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27" w:hRule="atLeast"/>
          <w:jc w:val="center"/>
        </w:trPr>
        <w:tc>
          <w:tcPr>
            <w:tcW w:w="1899" w:type="dxa"/>
            <w:tcBorders>
              <w:top w:val="single" w:color="auto" w:sz="4" w:space="0"/>
            </w:tcBorders>
            <w:vAlign w:val="center"/>
          </w:tcPr>
          <w:p>
            <w:pPr>
              <w:keepNext w:val="0"/>
              <w:keepLines w:val="0"/>
              <w:suppressLineNumbers w:val="0"/>
              <w:spacing w:before="0" w:beforeAutospacing="0" w:afterAutospacing="0" w:line="400" w:lineRule="exact"/>
              <w:ind w:left="0" w:right="0" w:firstLine="105" w:firstLineChars="50"/>
              <w:jc w:val="center"/>
              <w:rPr>
                <w:rFonts w:hint="default" w:ascii="宋体" w:hAnsi="宋体" w:cs="宋体"/>
                <w:b/>
                <w:color w:val="auto"/>
                <w:highlight w:val="none"/>
              </w:rPr>
            </w:pPr>
            <w:r>
              <w:rPr>
                <w:rFonts w:hint="eastAsia" w:ascii="宋体" w:hAnsi="宋体" w:cs="宋体"/>
                <w:b/>
                <w:color w:val="auto"/>
                <w:highlight w:val="none"/>
              </w:rPr>
              <w:t>序号</w:t>
            </w:r>
          </w:p>
        </w:tc>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b/>
                <w:color w:val="auto"/>
                <w:highlight w:val="none"/>
              </w:rPr>
            </w:pPr>
            <w:r>
              <w:rPr>
                <w:rFonts w:hint="eastAsia" w:ascii="宋体" w:hAnsi="宋体" w:cs="宋体"/>
                <w:b/>
                <w:color w:val="auto"/>
                <w:highlight w:val="none"/>
              </w:rPr>
              <w:t>用户名称</w:t>
            </w:r>
          </w:p>
        </w:tc>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b/>
                <w:color w:val="auto"/>
                <w:highlight w:val="none"/>
              </w:rPr>
            </w:pPr>
            <w:r>
              <w:rPr>
                <w:rFonts w:hint="eastAsia" w:ascii="宋体" w:hAnsi="宋体" w:cs="宋体"/>
                <w:b/>
                <w:color w:val="auto"/>
                <w:highlight w:val="none"/>
              </w:rPr>
              <w:t>项目名称</w:t>
            </w:r>
          </w:p>
        </w:tc>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b/>
                <w:color w:val="auto"/>
                <w:highlight w:val="none"/>
              </w:rPr>
            </w:pPr>
            <w:r>
              <w:rPr>
                <w:rFonts w:hint="eastAsia" w:ascii="宋体" w:hAnsi="宋体" w:cs="宋体"/>
                <w:b/>
                <w:color w:val="auto"/>
                <w:highlight w:val="none"/>
              </w:rPr>
              <w:t>签订时间</w:t>
            </w:r>
          </w:p>
        </w:tc>
        <w:tc>
          <w:tcPr>
            <w:tcW w:w="1900" w:type="dxa"/>
            <w:tcBorders>
              <w:left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b/>
                <w:color w:val="auto"/>
                <w:highlight w:val="none"/>
              </w:rPr>
            </w:pPr>
            <w:r>
              <w:rPr>
                <w:rFonts w:hint="eastAsia" w:ascii="宋体" w:hAnsi="宋体" w:cs="宋体"/>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7" w:hRule="atLeast"/>
          <w:jc w:val="center"/>
        </w:trPr>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900" w:type="dxa"/>
            <w:tcBorders>
              <w:left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7" w:hRule="atLeast"/>
          <w:jc w:val="center"/>
        </w:trPr>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900" w:type="dxa"/>
            <w:tcBorders>
              <w:left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7" w:hRule="atLeast"/>
          <w:jc w:val="center"/>
        </w:trPr>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900" w:type="dxa"/>
            <w:tcBorders>
              <w:left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7" w:hRule="atLeast"/>
          <w:jc w:val="center"/>
        </w:trPr>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tcBorders>
              <w:right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tcBorders>
              <w:left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900" w:type="dxa"/>
            <w:tcBorders>
              <w:left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7" w:hRule="atLeast"/>
          <w:jc w:val="center"/>
        </w:trPr>
        <w:tc>
          <w:tcPr>
            <w:tcW w:w="1899" w:type="dxa"/>
            <w:tcBorders>
              <w:right w:val="single" w:color="auto" w:sz="4" w:space="0"/>
            </w:tcBorders>
            <w:vAlign w:val="center"/>
          </w:tcPr>
          <w:p>
            <w:pPr>
              <w:keepNext w:val="0"/>
              <w:keepLines w:val="0"/>
              <w:suppressLineNumbers w:val="0"/>
              <w:spacing w:before="0" w:beforeAutospacing="0" w:afterAutospacing="0" w:line="400" w:lineRule="exact"/>
              <w:ind w:left="0" w:right="0"/>
              <w:rPr>
                <w:rFonts w:hint="default" w:ascii="宋体" w:hAnsi="宋体" w:cs="宋体"/>
                <w:color w:val="auto"/>
                <w:highlight w:val="none"/>
              </w:rPr>
            </w:pPr>
          </w:p>
        </w:tc>
        <w:tc>
          <w:tcPr>
            <w:tcW w:w="1899" w:type="dxa"/>
            <w:tcBorders>
              <w:left w:val="single" w:color="auto" w:sz="4" w:space="0"/>
              <w:right w:val="single" w:color="auto" w:sz="4" w:space="0"/>
            </w:tcBorders>
            <w:vAlign w:val="center"/>
          </w:tcPr>
          <w:p>
            <w:pPr>
              <w:keepNext w:val="0"/>
              <w:keepLines w:val="0"/>
              <w:suppressLineNumbers w:val="0"/>
              <w:spacing w:before="0" w:beforeAutospacing="0" w:afterAutospacing="0" w:line="400" w:lineRule="exact"/>
              <w:ind w:left="0" w:right="0"/>
              <w:rPr>
                <w:rFonts w:hint="default" w:ascii="宋体" w:hAnsi="宋体" w:cs="宋体"/>
                <w:color w:val="auto"/>
                <w:highlight w:val="none"/>
              </w:rPr>
            </w:pPr>
          </w:p>
        </w:tc>
        <w:tc>
          <w:tcPr>
            <w:tcW w:w="1899" w:type="dxa"/>
            <w:tcBorders>
              <w:left w:val="single" w:color="auto" w:sz="4" w:space="0"/>
              <w:right w:val="single" w:color="auto" w:sz="4" w:space="0"/>
            </w:tcBorders>
            <w:vAlign w:val="center"/>
          </w:tcPr>
          <w:p>
            <w:pPr>
              <w:keepNext w:val="0"/>
              <w:keepLines w:val="0"/>
              <w:suppressLineNumbers w:val="0"/>
              <w:spacing w:before="0" w:beforeAutospacing="0" w:afterAutospacing="0" w:line="400" w:lineRule="exact"/>
              <w:ind w:left="0" w:right="0"/>
              <w:rPr>
                <w:rFonts w:hint="default" w:ascii="宋体" w:hAnsi="宋体" w:cs="宋体"/>
                <w:color w:val="auto"/>
                <w:highlight w:val="none"/>
              </w:rPr>
            </w:pPr>
          </w:p>
        </w:tc>
        <w:tc>
          <w:tcPr>
            <w:tcW w:w="1899" w:type="dxa"/>
            <w:tcBorders>
              <w:left w:val="single" w:color="auto" w:sz="4" w:space="0"/>
              <w:right w:val="single" w:color="auto" w:sz="4" w:space="0"/>
            </w:tcBorders>
            <w:vAlign w:val="center"/>
          </w:tcPr>
          <w:p>
            <w:pPr>
              <w:keepNext w:val="0"/>
              <w:keepLines w:val="0"/>
              <w:suppressLineNumbers w:val="0"/>
              <w:spacing w:before="0" w:beforeAutospacing="0" w:afterAutospacing="0" w:line="400" w:lineRule="exact"/>
              <w:ind w:left="0" w:right="0"/>
              <w:rPr>
                <w:rFonts w:hint="default" w:ascii="宋体" w:hAnsi="宋体" w:cs="宋体"/>
                <w:color w:val="auto"/>
                <w:highlight w:val="none"/>
              </w:rPr>
            </w:pPr>
          </w:p>
        </w:tc>
        <w:tc>
          <w:tcPr>
            <w:tcW w:w="1900" w:type="dxa"/>
            <w:tcBorders>
              <w:left w:val="single" w:color="auto" w:sz="4" w:space="0"/>
            </w:tcBorders>
            <w:vAlign w:val="center"/>
          </w:tcPr>
          <w:p>
            <w:pPr>
              <w:keepNext w:val="0"/>
              <w:keepLines w:val="0"/>
              <w:suppressLineNumbers w:val="0"/>
              <w:spacing w:before="0" w:beforeAutospacing="0" w:afterAutospacing="0" w:line="400" w:lineRule="exact"/>
              <w:ind w:left="0" w:right="0"/>
              <w:rPr>
                <w:rFonts w:hint="default"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7" w:hRule="atLeast"/>
          <w:jc w:val="center"/>
        </w:trPr>
        <w:tc>
          <w:tcPr>
            <w:tcW w:w="1899" w:type="dxa"/>
            <w:vAlign w:val="center"/>
          </w:tcPr>
          <w:p>
            <w:pPr>
              <w:keepNext w:val="0"/>
              <w:keepLines w:val="0"/>
              <w:suppressLineNumbers w:val="0"/>
              <w:spacing w:before="0" w:beforeAutospacing="0" w:afterAutospacing="0" w:line="400" w:lineRule="exact"/>
              <w:ind w:left="0" w:right="0"/>
              <w:rPr>
                <w:rFonts w:hint="default" w:ascii="宋体" w:hAnsi="宋体" w:cs="宋体"/>
                <w:color w:val="auto"/>
                <w:highlight w:val="none"/>
              </w:rPr>
            </w:pPr>
          </w:p>
        </w:tc>
        <w:tc>
          <w:tcPr>
            <w:tcW w:w="1899" w:type="dxa"/>
            <w:vAlign w:val="center"/>
          </w:tcPr>
          <w:p>
            <w:pPr>
              <w:keepNext w:val="0"/>
              <w:keepLines w:val="0"/>
              <w:suppressLineNumbers w:val="0"/>
              <w:spacing w:before="0" w:beforeAutospacing="0" w:afterAutospacing="0" w:line="400" w:lineRule="exact"/>
              <w:ind w:left="0" w:right="0"/>
              <w:rPr>
                <w:rFonts w:hint="default" w:ascii="宋体" w:hAnsi="宋体" w:cs="宋体"/>
                <w:color w:val="auto"/>
                <w:highlight w:val="none"/>
              </w:rPr>
            </w:pPr>
          </w:p>
        </w:tc>
        <w:tc>
          <w:tcPr>
            <w:tcW w:w="1899" w:type="dxa"/>
            <w:vAlign w:val="center"/>
          </w:tcPr>
          <w:p>
            <w:pPr>
              <w:keepNext w:val="0"/>
              <w:keepLines w:val="0"/>
              <w:suppressLineNumbers w:val="0"/>
              <w:spacing w:before="0" w:beforeAutospacing="0" w:afterAutospacing="0" w:line="400" w:lineRule="exact"/>
              <w:ind w:left="0" w:right="0"/>
              <w:rPr>
                <w:rFonts w:hint="default" w:ascii="宋体" w:hAnsi="宋体" w:cs="宋体"/>
                <w:color w:val="auto"/>
                <w:highlight w:val="none"/>
              </w:rPr>
            </w:pPr>
          </w:p>
        </w:tc>
        <w:tc>
          <w:tcPr>
            <w:tcW w:w="1899" w:type="dxa"/>
            <w:vAlign w:val="center"/>
          </w:tcPr>
          <w:p>
            <w:pPr>
              <w:keepNext w:val="0"/>
              <w:keepLines w:val="0"/>
              <w:suppressLineNumbers w:val="0"/>
              <w:spacing w:before="0" w:beforeAutospacing="0" w:afterAutospacing="0" w:line="400" w:lineRule="exact"/>
              <w:ind w:left="0" w:right="0"/>
              <w:rPr>
                <w:rFonts w:hint="default" w:ascii="宋体" w:hAnsi="宋体" w:cs="宋体"/>
                <w:color w:val="auto"/>
                <w:highlight w:val="none"/>
              </w:rPr>
            </w:pPr>
          </w:p>
        </w:tc>
        <w:tc>
          <w:tcPr>
            <w:tcW w:w="1900" w:type="dxa"/>
            <w:tcBorders>
              <w:left w:val="single" w:color="auto" w:sz="4" w:space="0"/>
            </w:tcBorders>
            <w:vAlign w:val="center"/>
          </w:tcPr>
          <w:p>
            <w:pPr>
              <w:keepNext w:val="0"/>
              <w:keepLines w:val="0"/>
              <w:suppressLineNumbers w:val="0"/>
              <w:spacing w:before="0" w:beforeAutospacing="0" w:afterAutospacing="0" w:line="400" w:lineRule="exact"/>
              <w:ind w:left="0" w:right="0"/>
              <w:rPr>
                <w:rFonts w:hint="default"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7" w:hRule="atLeast"/>
          <w:jc w:val="center"/>
        </w:trPr>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900" w:type="dxa"/>
            <w:tcBorders>
              <w:left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37" w:hRule="atLeast"/>
          <w:jc w:val="center"/>
        </w:trPr>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900" w:type="dxa"/>
            <w:tcBorders>
              <w:left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46" w:hRule="atLeast"/>
          <w:jc w:val="center"/>
        </w:trPr>
        <w:tc>
          <w:tcPr>
            <w:tcW w:w="1899" w:type="dxa"/>
            <w:tcBorders>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tcBorders>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tcBorders>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tcBorders>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900" w:type="dxa"/>
            <w:tcBorders>
              <w:left w:val="single" w:color="auto" w:sz="4" w:space="0"/>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2" w:hRule="atLeast"/>
          <w:jc w:val="center"/>
        </w:trPr>
        <w:tc>
          <w:tcPr>
            <w:tcW w:w="1899" w:type="dxa"/>
            <w:tcBorders>
              <w:top w:val="single" w:color="auto" w:sz="4" w:space="0"/>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tcBorders>
              <w:top w:val="single" w:color="auto" w:sz="4" w:space="0"/>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tcBorders>
              <w:top w:val="single" w:color="auto" w:sz="4" w:space="0"/>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tcBorders>
              <w:top w:val="single" w:color="auto" w:sz="4" w:space="0"/>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900"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2" w:hRule="atLeast"/>
          <w:jc w:val="center"/>
        </w:trPr>
        <w:tc>
          <w:tcPr>
            <w:tcW w:w="1899" w:type="dxa"/>
            <w:tcBorders>
              <w:top w:val="single" w:color="auto" w:sz="4" w:space="0"/>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tcBorders>
              <w:top w:val="single" w:color="auto" w:sz="4" w:space="0"/>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tcBorders>
              <w:top w:val="single" w:color="auto" w:sz="4" w:space="0"/>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tcBorders>
              <w:top w:val="single" w:color="auto" w:sz="4" w:space="0"/>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900"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75" w:hRule="atLeast"/>
          <w:jc w:val="center"/>
        </w:trPr>
        <w:tc>
          <w:tcPr>
            <w:tcW w:w="1899" w:type="dxa"/>
            <w:tcBorders>
              <w:top w:val="single" w:color="auto" w:sz="4" w:space="0"/>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tcBorders>
              <w:top w:val="single" w:color="auto" w:sz="4" w:space="0"/>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tcBorders>
              <w:top w:val="single" w:color="auto" w:sz="4" w:space="0"/>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899" w:type="dxa"/>
            <w:tcBorders>
              <w:top w:val="single" w:color="auto" w:sz="4" w:space="0"/>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c>
          <w:tcPr>
            <w:tcW w:w="1900" w:type="dxa"/>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Autospacing="0" w:line="400" w:lineRule="exact"/>
              <w:ind w:left="0" w:right="0"/>
              <w:jc w:val="center"/>
              <w:rPr>
                <w:rFonts w:hint="default" w:ascii="宋体" w:hAnsi="宋体" w:cs="宋体"/>
                <w:color w:val="auto"/>
                <w:highlight w:val="none"/>
              </w:rPr>
            </w:pPr>
          </w:p>
        </w:tc>
      </w:tr>
    </w:tbl>
    <w:p>
      <w:pPr>
        <w:widowControl/>
        <w:spacing w:line="360" w:lineRule="atLeast"/>
        <w:jc w:val="left"/>
        <w:outlineLvl w:val="1"/>
        <w:rPr>
          <w:rFonts w:hint="eastAsia" w:ascii="宋体" w:hAnsi="宋体" w:cs="宋体"/>
          <w:b/>
          <w:bCs/>
          <w:color w:val="auto"/>
          <w:sz w:val="24"/>
          <w:highlight w:val="none"/>
        </w:rPr>
      </w:pPr>
    </w:p>
    <w:p>
      <w:pPr>
        <w:widowControl/>
        <w:spacing w:line="360" w:lineRule="atLeast"/>
        <w:jc w:val="left"/>
        <w:outlineLvl w:val="1"/>
        <w:rPr>
          <w:rFonts w:ascii="宋体" w:hAnsi="宋体" w:cs="宋体"/>
          <w:b/>
          <w:bCs/>
          <w:color w:val="auto"/>
          <w:sz w:val="24"/>
          <w:highlight w:val="none"/>
        </w:rPr>
      </w:pPr>
      <w:r>
        <w:rPr>
          <w:rFonts w:hint="eastAsia" w:ascii="宋体" w:hAnsi="宋体" w:cs="宋体"/>
          <w:b/>
          <w:bCs/>
          <w:color w:val="auto"/>
          <w:sz w:val="24"/>
          <w:highlight w:val="none"/>
        </w:rPr>
        <w:t>注：按综合评分明细表提供相关证明材料。</w:t>
      </w:r>
    </w:p>
    <w:p>
      <w:pPr>
        <w:widowControl/>
        <w:spacing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供应商名称：XXXX（单位盖章）。</w:t>
      </w:r>
    </w:p>
    <w:p>
      <w:pPr>
        <w:widowControl/>
        <w:spacing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widowControl/>
        <w:spacing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日期: XXXX。</w:t>
      </w:r>
    </w:p>
    <w:p>
      <w:pPr>
        <w:widowControl/>
        <w:spacing w:after="0" w:line="360" w:lineRule="atLeast"/>
        <w:jc w:val="left"/>
        <w:outlineLvl w:val="1"/>
        <w:rPr>
          <w:rFonts w:hint="default" w:ascii="宋体" w:hAnsi="宋体" w:eastAsia="宋体" w:cs="宋体"/>
          <w:b/>
          <w:color w:val="auto"/>
          <w:sz w:val="32"/>
          <w:szCs w:val="32"/>
          <w:highlight w:val="none"/>
          <w:lang w:val="en-US" w:eastAsia="zh-CN"/>
        </w:rPr>
      </w:pPr>
      <w:bookmarkStart w:id="32" w:name="_Toc217446090"/>
      <w:r>
        <w:rPr>
          <w:rFonts w:hint="eastAsia" w:ascii="宋体" w:hAnsi="宋体" w:cs="宋体"/>
          <w:b/>
          <w:color w:val="auto"/>
          <w:sz w:val="32"/>
          <w:szCs w:val="32"/>
          <w:highlight w:val="none"/>
        </w:rPr>
        <w:br w:type="page"/>
      </w:r>
      <w:r>
        <w:rPr>
          <w:rFonts w:hint="eastAsia" w:ascii="宋体" w:hAnsi="宋体" w:cs="宋体"/>
          <w:b/>
          <w:color w:val="auto"/>
          <w:sz w:val="32"/>
          <w:szCs w:val="32"/>
          <w:highlight w:val="none"/>
        </w:rPr>
        <w:t>格式2-</w:t>
      </w:r>
      <w:r>
        <w:rPr>
          <w:rFonts w:hint="eastAsia" w:ascii="宋体" w:hAnsi="宋体" w:cs="宋体"/>
          <w:b/>
          <w:color w:val="auto"/>
          <w:sz w:val="32"/>
          <w:szCs w:val="32"/>
          <w:highlight w:val="none"/>
          <w:lang w:val="en-US" w:eastAsia="zh-CN"/>
        </w:rPr>
        <w:t>11</w:t>
      </w:r>
    </w:p>
    <w:p>
      <w:pPr>
        <w:pStyle w:val="2"/>
        <w:jc w:val="center"/>
        <w:rPr>
          <w:rFonts w:ascii="宋体" w:hAnsi="宋体" w:cs="宋体"/>
          <w:b/>
          <w:color w:val="auto"/>
          <w:sz w:val="32"/>
          <w:szCs w:val="32"/>
          <w:highlight w:val="none"/>
        </w:rPr>
      </w:pPr>
      <w:r>
        <w:rPr>
          <w:rFonts w:hint="eastAsia" w:ascii="宋体" w:hAnsi="宋体" w:cs="宋体"/>
          <w:b/>
          <w:color w:val="auto"/>
          <w:sz w:val="32"/>
          <w:szCs w:val="32"/>
          <w:highlight w:val="none"/>
        </w:rPr>
        <w:t>供应商本项目管理、技术、服务人员情况表</w:t>
      </w:r>
    </w:p>
    <w:p>
      <w:pPr>
        <w:adjustRightInd w:val="0"/>
        <w:snapToGrid w:val="0"/>
        <w:spacing w:after="0" w:line="360" w:lineRule="auto"/>
        <w:rPr>
          <w:rFonts w:ascii="宋体" w:hAnsi="宋体" w:cs="宋体"/>
          <w:color w:val="auto"/>
          <w:sz w:val="24"/>
          <w:highlight w:val="none"/>
        </w:rPr>
      </w:pPr>
      <w:r>
        <w:rPr>
          <w:rFonts w:hint="eastAsia" w:ascii="宋体" w:hAnsi="宋体" w:cs="宋体"/>
          <w:color w:val="auto"/>
          <w:sz w:val="24"/>
          <w:highlight w:val="none"/>
        </w:rPr>
        <w:t>采购项目编号：</w:t>
      </w:r>
    </w:p>
    <w:bookmarkEnd w:id="32"/>
    <w:tbl>
      <w:tblPr>
        <w:tblStyle w:val="34"/>
        <w:tblW w:w="9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1052"/>
        <w:gridCol w:w="1052"/>
        <w:gridCol w:w="1052"/>
        <w:gridCol w:w="1052"/>
        <w:gridCol w:w="1110"/>
        <w:gridCol w:w="1253"/>
        <w:gridCol w:w="1105"/>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244" w:type="dxa"/>
            <w:vMerge w:val="restart"/>
            <w:vAlign w:val="center"/>
          </w:tcPr>
          <w:p>
            <w:pPr>
              <w:keepNext w:val="0"/>
              <w:keepLines w:val="0"/>
              <w:widowControl/>
              <w:suppressLineNumbers w:val="0"/>
              <w:spacing w:before="0" w:beforeAutospacing="0" w:afterAutospacing="0" w:line="360" w:lineRule="atLeast"/>
              <w:ind w:left="0" w:right="0"/>
              <w:jc w:val="center"/>
              <w:outlineLvl w:val="1"/>
              <w:rPr>
                <w:rFonts w:hint="default" w:ascii="宋体" w:hAnsi="宋体" w:cs="宋体"/>
                <w:b/>
                <w:color w:val="auto"/>
                <w:sz w:val="24"/>
                <w:highlight w:val="none"/>
              </w:rPr>
            </w:pPr>
            <w:bookmarkStart w:id="33" w:name="_Toc217446091"/>
            <w:r>
              <w:rPr>
                <w:rFonts w:hint="eastAsia" w:ascii="宋体" w:hAnsi="宋体" w:cs="宋体"/>
                <w:b/>
                <w:color w:val="auto"/>
                <w:sz w:val="24"/>
                <w:highlight w:val="none"/>
              </w:rPr>
              <w:t>类别</w:t>
            </w:r>
          </w:p>
        </w:tc>
        <w:tc>
          <w:tcPr>
            <w:tcW w:w="1052" w:type="dxa"/>
            <w:vMerge w:val="restart"/>
            <w:vAlign w:val="center"/>
          </w:tcPr>
          <w:p>
            <w:pPr>
              <w:keepNext w:val="0"/>
              <w:keepLines w:val="0"/>
              <w:widowControl/>
              <w:suppressLineNumbers w:val="0"/>
              <w:spacing w:before="0" w:beforeAutospacing="0" w:afterAutospacing="0" w:line="360" w:lineRule="atLeast"/>
              <w:ind w:left="0" w:right="0"/>
              <w:jc w:val="center"/>
              <w:outlineLvl w:val="1"/>
              <w:rPr>
                <w:rFonts w:hint="default" w:ascii="宋体" w:hAnsi="宋体" w:cs="宋体"/>
                <w:b/>
                <w:color w:val="auto"/>
                <w:sz w:val="24"/>
                <w:highlight w:val="none"/>
              </w:rPr>
            </w:pPr>
            <w:r>
              <w:rPr>
                <w:rFonts w:hint="eastAsia" w:ascii="宋体" w:hAnsi="宋体" w:cs="宋体"/>
                <w:b/>
                <w:color w:val="auto"/>
                <w:sz w:val="24"/>
                <w:highlight w:val="none"/>
              </w:rPr>
              <w:t>职务</w:t>
            </w:r>
          </w:p>
        </w:tc>
        <w:tc>
          <w:tcPr>
            <w:tcW w:w="1052" w:type="dxa"/>
            <w:vMerge w:val="restart"/>
            <w:vAlign w:val="center"/>
          </w:tcPr>
          <w:p>
            <w:pPr>
              <w:keepNext w:val="0"/>
              <w:keepLines w:val="0"/>
              <w:widowControl/>
              <w:suppressLineNumbers w:val="0"/>
              <w:spacing w:before="0" w:beforeAutospacing="0" w:afterAutospacing="0" w:line="360" w:lineRule="atLeast"/>
              <w:ind w:left="0" w:right="0"/>
              <w:jc w:val="center"/>
              <w:outlineLvl w:val="1"/>
              <w:rPr>
                <w:rFonts w:hint="default" w:ascii="宋体" w:hAnsi="宋体" w:cs="宋体"/>
                <w:b/>
                <w:color w:val="auto"/>
                <w:sz w:val="24"/>
                <w:highlight w:val="none"/>
              </w:rPr>
            </w:pPr>
            <w:r>
              <w:rPr>
                <w:rFonts w:hint="eastAsia" w:ascii="宋体" w:hAnsi="宋体" w:cs="宋体"/>
                <w:b/>
                <w:color w:val="auto"/>
                <w:sz w:val="24"/>
                <w:highlight w:val="none"/>
              </w:rPr>
              <w:t>姓名</w:t>
            </w:r>
          </w:p>
        </w:tc>
        <w:tc>
          <w:tcPr>
            <w:tcW w:w="1052" w:type="dxa"/>
            <w:vMerge w:val="restart"/>
            <w:vAlign w:val="center"/>
          </w:tcPr>
          <w:p>
            <w:pPr>
              <w:keepNext w:val="0"/>
              <w:keepLines w:val="0"/>
              <w:widowControl/>
              <w:suppressLineNumbers w:val="0"/>
              <w:spacing w:before="0" w:beforeAutospacing="0" w:afterAutospacing="0" w:line="360" w:lineRule="atLeast"/>
              <w:ind w:left="0" w:right="0"/>
              <w:jc w:val="center"/>
              <w:outlineLvl w:val="1"/>
              <w:rPr>
                <w:rFonts w:hint="default" w:ascii="宋体" w:hAnsi="宋体" w:cs="宋体"/>
                <w:b/>
                <w:color w:val="auto"/>
                <w:sz w:val="24"/>
                <w:highlight w:val="none"/>
              </w:rPr>
            </w:pPr>
            <w:r>
              <w:rPr>
                <w:rFonts w:hint="eastAsia" w:ascii="宋体" w:hAnsi="宋体" w:cs="宋体"/>
                <w:b/>
                <w:color w:val="auto"/>
                <w:sz w:val="24"/>
                <w:highlight w:val="none"/>
              </w:rPr>
              <w:t>职称</w:t>
            </w:r>
          </w:p>
        </w:tc>
        <w:tc>
          <w:tcPr>
            <w:tcW w:w="1052" w:type="dxa"/>
            <w:vMerge w:val="restart"/>
            <w:vAlign w:val="center"/>
          </w:tcPr>
          <w:p>
            <w:pPr>
              <w:keepNext w:val="0"/>
              <w:keepLines w:val="0"/>
              <w:widowControl/>
              <w:suppressLineNumbers w:val="0"/>
              <w:spacing w:before="0" w:beforeAutospacing="0" w:afterAutospacing="0" w:line="360" w:lineRule="atLeast"/>
              <w:ind w:left="0" w:right="0"/>
              <w:jc w:val="center"/>
              <w:outlineLvl w:val="1"/>
              <w:rPr>
                <w:rFonts w:hint="default" w:ascii="宋体" w:hAnsi="宋体" w:cs="宋体"/>
                <w:b/>
                <w:color w:val="auto"/>
                <w:sz w:val="24"/>
                <w:highlight w:val="none"/>
              </w:rPr>
            </w:pPr>
            <w:r>
              <w:rPr>
                <w:rFonts w:hint="eastAsia" w:ascii="宋体" w:hAnsi="宋体" w:cs="宋体"/>
                <w:b/>
                <w:color w:val="auto"/>
                <w:sz w:val="24"/>
                <w:highlight w:val="none"/>
              </w:rPr>
              <w:t>常住地</w:t>
            </w:r>
          </w:p>
        </w:tc>
        <w:tc>
          <w:tcPr>
            <w:tcW w:w="4425" w:type="dxa"/>
            <w:gridSpan w:val="4"/>
            <w:vAlign w:val="center"/>
          </w:tcPr>
          <w:p>
            <w:pPr>
              <w:keepNext w:val="0"/>
              <w:keepLines w:val="0"/>
              <w:widowControl/>
              <w:suppressLineNumbers w:val="0"/>
              <w:spacing w:before="0" w:beforeAutospacing="0" w:afterAutospacing="0" w:line="360" w:lineRule="atLeast"/>
              <w:ind w:left="0" w:right="0" w:firstLine="472" w:firstLineChars="196"/>
              <w:jc w:val="center"/>
              <w:outlineLvl w:val="1"/>
              <w:rPr>
                <w:rFonts w:hint="default" w:ascii="宋体" w:hAnsi="宋体" w:cs="宋体"/>
                <w:b/>
                <w:color w:val="auto"/>
                <w:sz w:val="24"/>
                <w:highlight w:val="none"/>
              </w:rPr>
            </w:pPr>
            <w:r>
              <w:rPr>
                <w:rFonts w:hint="eastAsia" w:ascii="宋体" w:hAnsi="宋体" w:cs="宋体"/>
                <w:b/>
                <w:color w:val="auto"/>
                <w:sz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8" w:hRule="atLeast"/>
          <w:jc w:val="center"/>
        </w:trPr>
        <w:tc>
          <w:tcPr>
            <w:tcW w:w="1244" w:type="dxa"/>
            <w:vMerge w:val="continue"/>
            <w:vAlign w:val="center"/>
          </w:tcPr>
          <w:p>
            <w:pPr>
              <w:keepNext w:val="0"/>
              <w:keepLines w:val="0"/>
              <w:suppressLineNumbers w:val="0"/>
              <w:spacing w:before="0" w:beforeAutospacing="0" w:afterAutospacing="0"/>
              <w:ind w:left="0" w:right="0"/>
              <w:jc w:val="center"/>
              <w:rPr>
                <w:rFonts w:hint="default" w:ascii="宋体" w:hAnsi="宋体" w:cs="宋体"/>
                <w:b/>
                <w:color w:val="auto"/>
                <w:highlight w:val="none"/>
              </w:rPr>
            </w:pPr>
          </w:p>
        </w:tc>
        <w:tc>
          <w:tcPr>
            <w:tcW w:w="1052" w:type="dxa"/>
            <w:vMerge w:val="continue"/>
            <w:vAlign w:val="center"/>
          </w:tcPr>
          <w:p>
            <w:pPr>
              <w:keepNext w:val="0"/>
              <w:keepLines w:val="0"/>
              <w:suppressLineNumbers w:val="0"/>
              <w:spacing w:before="0" w:beforeAutospacing="0" w:afterAutospacing="0"/>
              <w:ind w:left="0" w:right="0"/>
              <w:jc w:val="center"/>
              <w:rPr>
                <w:rFonts w:hint="default" w:ascii="宋体" w:hAnsi="宋体" w:cs="宋体"/>
                <w:b/>
                <w:color w:val="auto"/>
                <w:highlight w:val="none"/>
              </w:rPr>
            </w:pPr>
          </w:p>
        </w:tc>
        <w:tc>
          <w:tcPr>
            <w:tcW w:w="1052" w:type="dxa"/>
            <w:vMerge w:val="continue"/>
            <w:vAlign w:val="center"/>
          </w:tcPr>
          <w:p>
            <w:pPr>
              <w:keepNext w:val="0"/>
              <w:keepLines w:val="0"/>
              <w:suppressLineNumbers w:val="0"/>
              <w:spacing w:before="0" w:beforeAutospacing="0" w:afterAutospacing="0"/>
              <w:ind w:left="0" w:right="0"/>
              <w:jc w:val="center"/>
              <w:rPr>
                <w:rFonts w:hint="default" w:ascii="宋体" w:hAnsi="宋体" w:cs="宋体"/>
                <w:b/>
                <w:color w:val="auto"/>
                <w:highlight w:val="none"/>
              </w:rPr>
            </w:pPr>
          </w:p>
        </w:tc>
        <w:tc>
          <w:tcPr>
            <w:tcW w:w="1052" w:type="dxa"/>
            <w:vMerge w:val="continue"/>
            <w:vAlign w:val="center"/>
          </w:tcPr>
          <w:p>
            <w:pPr>
              <w:keepNext w:val="0"/>
              <w:keepLines w:val="0"/>
              <w:suppressLineNumbers w:val="0"/>
              <w:spacing w:before="0" w:beforeAutospacing="0" w:afterAutospacing="0"/>
              <w:ind w:left="0" w:right="0"/>
              <w:jc w:val="center"/>
              <w:rPr>
                <w:rFonts w:hint="default" w:ascii="宋体" w:hAnsi="宋体" w:cs="宋体"/>
                <w:b/>
                <w:color w:val="auto"/>
                <w:highlight w:val="none"/>
              </w:rPr>
            </w:pPr>
          </w:p>
        </w:tc>
        <w:tc>
          <w:tcPr>
            <w:tcW w:w="1052" w:type="dxa"/>
            <w:vMerge w:val="continue"/>
            <w:vAlign w:val="center"/>
          </w:tcPr>
          <w:p>
            <w:pPr>
              <w:keepNext w:val="0"/>
              <w:keepLines w:val="0"/>
              <w:suppressLineNumbers w:val="0"/>
              <w:spacing w:before="0" w:beforeAutospacing="0" w:afterAutospacing="0"/>
              <w:ind w:left="0" w:right="0"/>
              <w:jc w:val="center"/>
              <w:rPr>
                <w:rFonts w:hint="default" w:ascii="宋体" w:hAnsi="宋体" w:cs="宋体"/>
                <w:b/>
                <w:color w:val="auto"/>
                <w:highlight w:val="none"/>
              </w:rPr>
            </w:pPr>
          </w:p>
        </w:tc>
        <w:tc>
          <w:tcPr>
            <w:tcW w:w="1110" w:type="dxa"/>
            <w:vAlign w:val="center"/>
          </w:tcPr>
          <w:p>
            <w:pPr>
              <w:keepNext w:val="0"/>
              <w:keepLines w:val="0"/>
              <w:widowControl/>
              <w:suppressLineNumbers w:val="0"/>
              <w:spacing w:before="0" w:beforeAutospacing="0" w:after="0" w:afterAutospacing="0" w:line="360" w:lineRule="atLeast"/>
              <w:ind w:left="0" w:right="0"/>
              <w:jc w:val="center"/>
              <w:outlineLvl w:val="1"/>
              <w:rPr>
                <w:rFonts w:hint="default" w:ascii="宋体" w:hAnsi="宋体" w:cs="宋体"/>
                <w:b/>
                <w:color w:val="auto"/>
                <w:sz w:val="24"/>
                <w:highlight w:val="none"/>
              </w:rPr>
            </w:pPr>
            <w:r>
              <w:rPr>
                <w:rFonts w:hint="eastAsia" w:ascii="宋体" w:hAnsi="宋体" w:cs="宋体"/>
                <w:b/>
                <w:color w:val="auto"/>
                <w:sz w:val="24"/>
                <w:highlight w:val="none"/>
              </w:rPr>
              <w:t>证书</w:t>
            </w:r>
          </w:p>
          <w:p>
            <w:pPr>
              <w:keepNext w:val="0"/>
              <w:keepLines w:val="0"/>
              <w:widowControl/>
              <w:suppressLineNumbers w:val="0"/>
              <w:spacing w:before="0" w:beforeAutospacing="0" w:after="0" w:afterAutospacing="0" w:line="360" w:lineRule="atLeast"/>
              <w:ind w:left="0" w:right="0"/>
              <w:jc w:val="center"/>
              <w:outlineLvl w:val="1"/>
              <w:rPr>
                <w:rFonts w:hint="default" w:ascii="宋体" w:hAnsi="宋体" w:cs="宋体"/>
                <w:b/>
                <w:color w:val="auto"/>
                <w:sz w:val="24"/>
                <w:highlight w:val="none"/>
              </w:rPr>
            </w:pPr>
            <w:r>
              <w:rPr>
                <w:rFonts w:hint="eastAsia" w:ascii="宋体" w:hAnsi="宋体" w:cs="宋体"/>
                <w:b/>
                <w:color w:val="auto"/>
                <w:sz w:val="24"/>
                <w:highlight w:val="none"/>
              </w:rPr>
              <w:t>名称</w:t>
            </w:r>
          </w:p>
        </w:tc>
        <w:tc>
          <w:tcPr>
            <w:tcW w:w="1253" w:type="dxa"/>
            <w:vAlign w:val="center"/>
          </w:tcPr>
          <w:p>
            <w:pPr>
              <w:keepNext w:val="0"/>
              <w:keepLines w:val="0"/>
              <w:widowControl/>
              <w:suppressLineNumbers w:val="0"/>
              <w:spacing w:before="0" w:beforeAutospacing="0" w:after="0" w:afterAutospacing="0" w:line="360" w:lineRule="atLeast"/>
              <w:ind w:left="0" w:right="0"/>
              <w:jc w:val="center"/>
              <w:outlineLvl w:val="1"/>
              <w:rPr>
                <w:rFonts w:hint="default" w:ascii="宋体" w:hAnsi="宋体" w:cs="宋体"/>
                <w:b/>
                <w:color w:val="auto"/>
                <w:sz w:val="24"/>
                <w:highlight w:val="none"/>
              </w:rPr>
            </w:pPr>
            <w:r>
              <w:rPr>
                <w:rFonts w:hint="eastAsia" w:ascii="宋体" w:hAnsi="宋体" w:cs="宋体"/>
                <w:b/>
                <w:color w:val="auto"/>
                <w:sz w:val="24"/>
                <w:highlight w:val="none"/>
              </w:rPr>
              <w:t>级别</w:t>
            </w:r>
          </w:p>
        </w:tc>
        <w:tc>
          <w:tcPr>
            <w:tcW w:w="1105" w:type="dxa"/>
            <w:vAlign w:val="center"/>
          </w:tcPr>
          <w:p>
            <w:pPr>
              <w:keepNext w:val="0"/>
              <w:keepLines w:val="0"/>
              <w:widowControl/>
              <w:suppressLineNumbers w:val="0"/>
              <w:spacing w:before="0" w:beforeAutospacing="0" w:after="0" w:afterAutospacing="0" w:line="360" w:lineRule="atLeast"/>
              <w:ind w:left="0" w:right="0"/>
              <w:jc w:val="center"/>
              <w:outlineLvl w:val="1"/>
              <w:rPr>
                <w:rFonts w:hint="default" w:ascii="宋体" w:hAnsi="宋体" w:cs="宋体"/>
                <w:b/>
                <w:color w:val="auto"/>
                <w:sz w:val="24"/>
                <w:highlight w:val="none"/>
              </w:rPr>
            </w:pPr>
            <w:r>
              <w:rPr>
                <w:rFonts w:hint="eastAsia" w:ascii="宋体" w:hAnsi="宋体" w:cs="宋体"/>
                <w:b/>
                <w:color w:val="auto"/>
                <w:sz w:val="24"/>
                <w:highlight w:val="none"/>
              </w:rPr>
              <w:t>证号</w:t>
            </w:r>
          </w:p>
        </w:tc>
        <w:tc>
          <w:tcPr>
            <w:tcW w:w="957" w:type="dxa"/>
            <w:vAlign w:val="center"/>
          </w:tcPr>
          <w:p>
            <w:pPr>
              <w:keepNext w:val="0"/>
              <w:keepLines w:val="0"/>
              <w:widowControl/>
              <w:suppressLineNumbers w:val="0"/>
              <w:spacing w:before="0" w:beforeAutospacing="0" w:after="0" w:afterAutospacing="0" w:line="360" w:lineRule="atLeast"/>
              <w:ind w:left="0" w:right="0"/>
              <w:jc w:val="center"/>
              <w:outlineLvl w:val="1"/>
              <w:rPr>
                <w:rFonts w:hint="default" w:ascii="宋体" w:hAnsi="宋体" w:cs="宋体"/>
                <w:b/>
                <w:color w:val="auto"/>
                <w:sz w:val="24"/>
                <w:highlight w:val="none"/>
              </w:rPr>
            </w:pPr>
            <w:r>
              <w:rPr>
                <w:rFonts w:hint="eastAsia" w:ascii="宋体" w:hAnsi="宋体" w:cs="宋体"/>
                <w:b/>
                <w:color w:val="auto"/>
                <w:sz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244" w:type="dxa"/>
            <w:vMerge w:val="restart"/>
            <w:vAlign w:val="center"/>
          </w:tcPr>
          <w:p>
            <w:pPr>
              <w:keepNext w:val="0"/>
              <w:keepLines w:val="0"/>
              <w:widowControl/>
              <w:suppressLineNumbers w:val="0"/>
              <w:spacing w:before="0" w:beforeAutospacing="0" w:after="0" w:afterAutospacing="0" w:line="240" w:lineRule="auto"/>
              <w:ind w:left="0" w:right="0"/>
              <w:jc w:val="center"/>
              <w:outlineLvl w:val="1"/>
              <w:rPr>
                <w:rFonts w:hint="default" w:ascii="宋体" w:hAnsi="宋体" w:cs="宋体"/>
                <w:color w:val="auto"/>
                <w:sz w:val="24"/>
                <w:highlight w:val="none"/>
              </w:rPr>
            </w:pPr>
            <w:r>
              <w:rPr>
                <w:rFonts w:hint="eastAsia" w:ascii="宋体" w:hAnsi="宋体" w:cs="宋体"/>
                <w:color w:val="auto"/>
                <w:sz w:val="24"/>
                <w:highlight w:val="none"/>
              </w:rPr>
              <w:t>管理</w:t>
            </w:r>
          </w:p>
          <w:p>
            <w:pPr>
              <w:keepNext w:val="0"/>
              <w:keepLines w:val="0"/>
              <w:widowControl/>
              <w:suppressLineNumbers w:val="0"/>
              <w:spacing w:before="0" w:beforeAutospacing="0" w:after="0" w:afterAutospacing="0" w:line="240" w:lineRule="auto"/>
              <w:ind w:left="0" w:right="0"/>
              <w:jc w:val="center"/>
              <w:outlineLvl w:val="1"/>
              <w:rPr>
                <w:rFonts w:hint="default" w:ascii="宋体" w:hAnsi="宋体" w:cs="宋体"/>
                <w:color w:val="auto"/>
                <w:sz w:val="24"/>
                <w:highlight w:val="none"/>
              </w:rPr>
            </w:pPr>
            <w:r>
              <w:rPr>
                <w:rFonts w:hint="eastAsia" w:ascii="宋体" w:hAnsi="宋体" w:cs="宋体"/>
                <w:color w:val="auto"/>
                <w:sz w:val="24"/>
                <w:highlight w:val="none"/>
              </w:rPr>
              <w:t>人员</w:t>
            </w: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110"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253"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105"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957"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24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宋体" w:hAnsi="宋体" w:cs="宋体"/>
                <w:color w:val="auto"/>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110"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253"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105"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957"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24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宋体" w:hAnsi="宋体" w:cs="宋体"/>
                <w:color w:val="auto"/>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110"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253"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105"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957"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244" w:type="dxa"/>
            <w:vMerge w:val="restart"/>
            <w:vAlign w:val="center"/>
          </w:tcPr>
          <w:p>
            <w:pPr>
              <w:keepNext w:val="0"/>
              <w:keepLines w:val="0"/>
              <w:widowControl/>
              <w:suppressLineNumbers w:val="0"/>
              <w:spacing w:before="0" w:beforeAutospacing="0" w:after="0" w:afterAutospacing="0" w:line="240" w:lineRule="auto"/>
              <w:ind w:left="0" w:right="0"/>
              <w:jc w:val="center"/>
              <w:outlineLvl w:val="1"/>
              <w:rPr>
                <w:rFonts w:hint="default" w:ascii="宋体" w:hAnsi="宋体" w:cs="宋体"/>
                <w:color w:val="auto"/>
                <w:sz w:val="24"/>
                <w:highlight w:val="none"/>
              </w:rPr>
            </w:pPr>
            <w:r>
              <w:rPr>
                <w:rFonts w:hint="eastAsia" w:ascii="宋体" w:hAnsi="宋体" w:cs="宋体"/>
                <w:color w:val="auto"/>
                <w:sz w:val="24"/>
                <w:highlight w:val="none"/>
              </w:rPr>
              <w:t>技术</w:t>
            </w:r>
          </w:p>
          <w:p>
            <w:pPr>
              <w:keepNext w:val="0"/>
              <w:keepLines w:val="0"/>
              <w:widowControl/>
              <w:suppressLineNumbers w:val="0"/>
              <w:spacing w:before="0" w:beforeAutospacing="0" w:after="0" w:afterAutospacing="0" w:line="240" w:lineRule="auto"/>
              <w:ind w:left="0" w:right="0"/>
              <w:jc w:val="center"/>
              <w:outlineLvl w:val="1"/>
              <w:rPr>
                <w:rFonts w:hint="default" w:ascii="宋体" w:hAnsi="宋体" w:cs="宋体"/>
                <w:color w:val="auto"/>
                <w:sz w:val="24"/>
                <w:highlight w:val="none"/>
              </w:rPr>
            </w:pPr>
            <w:r>
              <w:rPr>
                <w:rFonts w:hint="eastAsia" w:ascii="宋体" w:hAnsi="宋体" w:cs="宋体"/>
                <w:color w:val="auto"/>
                <w:sz w:val="24"/>
                <w:highlight w:val="none"/>
              </w:rPr>
              <w:t>人员</w:t>
            </w: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110"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253"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105"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957"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24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宋体" w:hAnsi="宋体" w:cs="宋体"/>
                <w:color w:val="auto"/>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110"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253"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105"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957"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1244" w:type="dxa"/>
            <w:vMerge w:val="continue"/>
            <w:vAlign w:val="center"/>
          </w:tcPr>
          <w:p>
            <w:pPr>
              <w:keepNext w:val="0"/>
              <w:keepLines w:val="0"/>
              <w:suppressLineNumbers w:val="0"/>
              <w:spacing w:before="0" w:beforeAutospacing="0" w:after="0" w:afterAutospacing="0" w:line="240" w:lineRule="auto"/>
              <w:ind w:left="0" w:right="0"/>
              <w:jc w:val="center"/>
              <w:rPr>
                <w:rFonts w:hint="default" w:ascii="宋体" w:hAnsi="宋体" w:cs="宋体"/>
                <w:color w:val="auto"/>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110"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253"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105"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957"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1244" w:type="dxa"/>
            <w:vMerge w:val="restart"/>
            <w:vAlign w:val="center"/>
          </w:tcPr>
          <w:p>
            <w:pPr>
              <w:keepNext w:val="0"/>
              <w:keepLines w:val="0"/>
              <w:widowControl/>
              <w:suppressLineNumbers w:val="0"/>
              <w:spacing w:before="0" w:beforeAutospacing="0" w:after="0" w:afterAutospacing="0" w:line="240" w:lineRule="auto"/>
              <w:ind w:left="0" w:right="0"/>
              <w:jc w:val="center"/>
              <w:outlineLvl w:val="1"/>
              <w:rPr>
                <w:rFonts w:hint="default" w:ascii="宋体" w:hAnsi="宋体" w:cs="宋体"/>
                <w:color w:val="auto"/>
                <w:sz w:val="24"/>
                <w:highlight w:val="none"/>
              </w:rPr>
            </w:pPr>
            <w:r>
              <w:rPr>
                <w:rFonts w:hint="eastAsia" w:ascii="宋体" w:hAnsi="宋体" w:cs="宋体"/>
                <w:color w:val="auto"/>
                <w:sz w:val="24"/>
                <w:highlight w:val="none"/>
              </w:rPr>
              <w:t>售后服务人员</w:t>
            </w: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110"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253"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105"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957"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1244" w:type="dxa"/>
            <w:vMerge w:val="continue"/>
            <w:tcBorders>
              <w:bottom w:val="single" w:color="auto" w:sz="4" w:space="0"/>
            </w:tcBorders>
          </w:tcPr>
          <w:p>
            <w:pPr>
              <w:keepNext w:val="0"/>
              <w:keepLines w:val="0"/>
              <w:suppressLineNumbers w:val="0"/>
              <w:spacing w:before="0" w:beforeAutospacing="0" w:afterAutospacing="0"/>
              <w:ind w:left="0" w:right="0"/>
              <w:rPr>
                <w:rFonts w:hint="default" w:ascii="宋体" w:hAnsi="宋体" w:cs="宋体"/>
                <w:color w:val="auto"/>
                <w:highlight w:val="none"/>
              </w:rPr>
            </w:pPr>
          </w:p>
        </w:tc>
        <w:tc>
          <w:tcPr>
            <w:tcW w:w="1052" w:type="dxa"/>
            <w:tcBorders>
              <w:bottom w:val="single" w:color="auto" w:sz="4" w:space="0"/>
            </w:tcBorders>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052"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110"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253"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1105"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c>
          <w:tcPr>
            <w:tcW w:w="957" w:type="dxa"/>
          </w:tcPr>
          <w:p>
            <w:pPr>
              <w:keepNext w:val="0"/>
              <w:keepLines w:val="0"/>
              <w:widowControl/>
              <w:suppressLineNumbers w:val="0"/>
              <w:spacing w:before="0" w:beforeAutospacing="0" w:afterAutospacing="0" w:line="360" w:lineRule="atLeast"/>
              <w:ind w:left="0" w:right="0" w:firstLine="470" w:firstLineChars="196"/>
              <w:jc w:val="left"/>
              <w:outlineLvl w:val="1"/>
              <w:rPr>
                <w:rFonts w:hint="default" w:ascii="宋体" w:hAnsi="宋体" w:cs="宋体"/>
                <w:color w:val="auto"/>
                <w:sz w:val="24"/>
                <w:highlight w:val="none"/>
              </w:rPr>
            </w:pPr>
          </w:p>
        </w:tc>
      </w:tr>
    </w:tbl>
    <w:p>
      <w:pPr>
        <w:widowControl/>
        <w:spacing w:line="360" w:lineRule="atLeast"/>
        <w:ind w:firstLine="470" w:firstLineChars="196"/>
        <w:jc w:val="left"/>
        <w:outlineLvl w:val="1"/>
        <w:rPr>
          <w:rFonts w:ascii="宋体" w:hAnsi="宋体" w:cs="宋体"/>
          <w:color w:val="auto"/>
          <w:sz w:val="24"/>
          <w:highlight w:val="none"/>
        </w:rPr>
      </w:pPr>
    </w:p>
    <w:p>
      <w:pPr>
        <w:widowControl/>
        <w:spacing w:line="360" w:lineRule="atLeast"/>
        <w:ind w:firstLine="472" w:firstLineChars="196"/>
        <w:jc w:val="left"/>
        <w:outlineLvl w:val="1"/>
        <w:rPr>
          <w:rFonts w:ascii="宋体" w:hAnsi="宋体" w:cs="宋体"/>
          <w:b/>
          <w:color w:val="auto"/>
          <w:sz w:val="24"/>
          <w:highlight w:val="none"/>
        </w:rPr>
      </w:pPr>
      <w:r>
        <w:rPr>
          <w:rFonts w:hint="eastAsia" w:ascii="宋体" w:hAnsi="宋体" w:cs="宋体"/>
          <w:b/>
          <w:color w:val="auto"/>
          <w:sz w:val="24"/>
          <w:highlight w:val="none"/>
        </w:rPr>
        <w:t>注：供应商根据自身实际情况填写，对不涉及的内容可填写“/”。</w:t>
      </w:r>
    </w:p>
    <w:p>
      <w:pPr>
        <w:widowControl/>
        <w:spacing w:line="360" w:lineRule="atLeast"/>
        <w:jc w:val="left"/>
        <w:outlineLvl w:val="1"/>
        <w:rPr>
          <w:rFonts w:ascii="宋体" w:hAnsi="宋体" w:cs="宋体"/>
          <w:color w:val="auto"/>
          <w:sz w:val="24"/>
          <w:highlight w:val="none"/>
        </w:rPr>
      </w:pPr>
    </w:p>
    <w:p>
      <w:pPr>
        <w:widowControl/>
        <w:spacing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供应商名称：XXXX（单位盖章）。</w:t>
      </w:r>
    </w:p>
    <w:p>
      <w:pPr>
        <w:widowControl/>
        <w:spacing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法定代表人/单位负责人或授权代表（签字或加盖个人名章）：XXXX。</w:t>
      </w:r>
    </w:p>
    <w:p>
      <w:pPr>
        <w:widowControl/>
        <w:spacing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日期: XXXX。</w:t>
      </w:r>
    </w:p>
    <w:p>
      <w:pPr>
        <w:spacing w:line="360" w:lineRule="auto"/>
        <w:rPr>
          <w:rFonts w:ascii="宋体" w:hAnsi="宋体" w:cs="宋体"/>
          <w:color w:val="auto"/>
          <w:sz w:val="24"/>
          <w:highlight w:val="none"/>
        </w:rPr>
        <w:sectPr>
          <w:headerReference r:id="rId16" w:type="default"/>
          <w:footerReference r:id="rId18" w:type="default"/>
          <w:headerReference r:id="rId17" w:type="even"/>
          <w:pgSz w:w="11906" w:h="16838"/>
          <w:pgMar w:top="1440" w:right="1080" w:bottom="1440" w:left="1080" w:header="851" w:footer="992" w:gutter="0"/>
          <w:cols w:space="720" w:num="1"/>
          <w:docGrid w:type="lines" w:linePitch="312" w:charSpace="0"/>
        </w:sectPr>
      </w:pPr>
      <w:r>
        <w:rPr>
          <w:rFonts w:hint="eastAsia" w:ascii="宋体" w:hAnsi="宋体" w:cs="宋体"/>
          <w:b/>
          <w:color w:val="auto"/>
          <w:sz w:val="32"/>
          <w:szCs w:val="32"/>
          <w:highlight w:val="none"/>
        </w:rPr>
        <w:br w:type="page"/>
      </w:r>
      <w:bookmarkEnd w:id="33"/>
      <w:bookmarkStart w:id="34" w:name="_Toc28495"/>
    </w:p>
    <w:p>
      <w:pPr>
        <w:widowControl/>
        <w:spacing w:after="0" w:line="360" w:lineRule="atLeast"/>
        <w:jc w:val="left"/>
        <w:outlineLvl w:val="1"/>
        <w:rPr>
          <w:rFonts w:hint="default" w:ascii="宋体" w:hAnsi="宋体" w:eastAsia="宋体" w:cs="宋体"/>
          <w:b/>
          <w:color w:val="auto"/>
          <w:sz w:val="32"/>
          <w:szCs w:val="32"/>
          <w:highlight w:val="none"/>
          <w:lang w:val="en-US" w:eastAsia="zh-CN"/>
        </w:rPr>
      </w:pPr>
      <w:bookmarkStart w:id="35" w:name="_Toc73912825"/>
      <w:r>
        <w:rPr>
          <w:rFonts w:hint="eastAsia" w:ascii="宋体" w:hAnsi="宋体" w:cs="宋体"/>
          <w:b/>
          <w:color w:val="auto"/>
          <w:sz w:val="32"/>
          <w:szCs w:val="32"/>
          <w:highlight w:val="none"/>
        </w:rPr>
        <w:t>格式2-</w:t>
      </w:r>
      <w:r>
        <w:rPr>
          <w:rFonts w:hint="eastAsia" w:ascii="宋体" w:hAnsi="宋体" w:cs="宋体"/>
          <w:b/>
          <w:color w:val="auto"/>
          <w:sz w:val="32"/>
          <w:szCs w:val="32"/>
          <w:highlight w:val="none"/>
          <w:lang w:val="en-US" w:eastAsia="zh-CN"/>
        </w:rPr>
        <w:t>12</w:t>
      </w:r>
    </w:p>
    <w:p>
      <w:pPr>
        <w:widowControl/>
        <w:spacing w:after="0" w:line="24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服务方案</w:t>
      </w:r>
    </w:p>
    <w:p>
      <w:pPr>
        <w:pStyle w:val="2"/>
        <w:rPr>
          <w:rFonts w:ascii="宋体" w:hAnsi="宋体" w:cs="宋体"/>
          <w:b/>
          <w:color w:val="auto"/>
          <w:sz w:val="32"/>
          <w:szCs w:val="32"/>
          <w:highlight w:val="none"/>
        </w:rPr>
      </w:pPr>
    </w:p>
    <w:p>
      <w:pPr>
        <w:pStyle w:val="33"/>
        <w:ind w:firstLine="321"/>
        <w:rPr>
          <w:rFonts w:ascii="宋体" w:hAnsi="宋体" w:cs="宋体"/>
          <w:b/>
          <w:color w:val="auto"/>
          <w:sz w:val="32"/>
          <w:szCs w:val="32"/>
          <w:highlight w:val="none"/>
        </w:rPr>
      </w:pPr>
    </w:p>
    <w:p>
      <w:pPr>
        <w:pStyle w:val="33"/>
        <w:ind w:firstLine="321"/>
        <w:rPr>
          <w:rFonts w:ascii="宋体" w:hAnsi="宋体" w:cs="宋体"/>
          <w:b/>
          <w:color w:val="auto"/>
          <w:sz w:val="32"/>
          <w:szCs w:val="32"/>
          <w:highlight w:val="none"/>
        </w:rPr>
      </w:pPr>
    </w:p>
    <w:p>
      <w:pPr>
        <w:pStyle w:val="33"/>
        <w:ind w:firstLine="321"/>
        <w:rPr>
          <w:rFonts w:ascii="宋体" w:hAnsi="宋体" w:cs="宋体"/>
          <w:b/>
          <w:color w:val="auto"/>
          <w:sz w:val="32"/>
          <w:szCs w:val="32"/>
          <w:highlight w:val="none"/>
        </w:rPr>
      </w:pPr>
    </w:p>
    <w:p>
      <w:pPr>
        <w:widowControl/>
        <w:spacing w:after="0" w:line="240" w:lineRule="auto"/>
        <w:jc w:val="center"/>
        <w:rPr>
          <w:rFonts w:ascii="宋体" w:hAnsi="宋体" w:cs="宋体"/>
          <w:color w:val="auto"/>
          <w:sz w:val="32"/>
          <w:szCs w:val="32"/>
          <w:highlight w:val="none"/>
        </w:rPr>
      </w:pPr>
      <w:r>
        <w:rPr>
          <w:rFonts w:hint="eastAsia" w:ascii="宋体" w:hAnsi="宋体" w:cs="宋体"/>
          <w:color w:val="auto"/>
          <w:sz w:val="32"/>
          <w:szCs w:val="32"/>
          <w:highlight w:val="none"/>
        </w:rPr>
        <w:t>（格式自拟）</w:t>
      </w:r>
    </w:p>
    <w:p>
      <w:pPr>
        <w:widowControl/>
        <w:jc w:val="left"/>
        <w:rPr>
          <w:rFonts w:ascii="宋体" w:hAnsi="宋体" w:cs="宋体"/>
          <w:b/>
          <w:color w:val="auto"/>
          <w:sz w:val="32"/>
          <w:szCs w:val="32"/>
          <w:highlight w:val="none"/>
        </w:rPr>
      </w:pPr>
    </w:p>
    <w:p>
      <w:pPr>
        <w:widowControl/>
        <w:jc w:val="left"/>
        <w:rPr>
          <w:rFonts w:ascii="宋体" w:hAnsi="宋体" w:cs="宋体"/>
          <w:b/>
          <w:color w:val="auto"/>
          <w:sz w:val="32"/>
          <w:szCs w:val="32"/>
          <w:highlight w:val="none"/>
        </w:rPr>
      </w:pPr>
    </w:p>
    <w:p>
      <w:pPr>
        <w:widowControl/>
        <w:jc w:val="left"/>
        <w:rPr>
          <w:rFonts w:ascii="宋体" w:hAnsi="宋体" w:cs="宋体"/>
          <w:b/>
          <w:color w:val="auto"/>
          <w:sz w:val="32"/>
          <w:szCs w:val="32"/>
          <w:highlight w:val="none"/>
        </w:rPr>
      </w:pPr>
    </w:p>
    <w:p>
      <w:pPr>
        <w:widowControl/>
        <w:jc w:val="left"/>
        <w:rPr>
          <w:rFonts w:ascii="宋体" w:hAnsi="宋体" w:cs="宋体"/>
          <w:b/>
          <w:color w:val="auto"/>
          <w:sz w:val="32"/>
          <w:szCs w:val="32"/>
          <w:highlight w:val="none"/>
        </w:rPr>
      </w:pPr>
    </w:p>
    <w:p>
      <w:pPr>
        <w:widowControl/>
        <w:jc w:val="left"/>
        <w:rPr>
          <w:rFonts w:ascii="宋体" w:hAnsi="宋体" w:cs="宋体"/>
          <w:b/>
          <w:color w:val="auto"/>
          <w:sz w:val="32"/>
          <w:szCs w:val="32"/>
          <w:highlight w:val="none"/>
        </w:rPr>
      </w:pPr>
    </w:p>
    <w:p>
      <w:pPr>
        <w:widowControl/>
        <w:jc w:val="left"/>
        <w:rPr>
          <w:rFonts w:ascii="宋体" w:hAnsi="宋体" w:cs="宋体"/>
          <w:b/>
          <w:color w:val="auto"/>
          <w:sz w:val="32"/>
          <w:szCs w:val="32"/>
          <w:highlight w:val="none"/>
        </w:rPr>
      </w:pPr>
    </w:p>
    <w:p>
      <w:pPr>
        <w:widowControl/>
        <w:jc w:val="left"/>
        <w:rPr>
          <w:rFonts w:ascii="宋体" w:hAnsi="宋体" w:cs="宋体"/>
          <w:b/>
          <w:color w:val="auto"/>
          <w:sz w:val="32"/>
          <w:szCs w:val="32"/>
          <w:highlight w:val="none"/>
        </w:rPr>
      </w:pPr>
    </w:p>
    <w:p>
      <w:pPr>
        <w:widowControl/>
        <w:jc w:val="left"/>
        <w:rPr>
          <w:rFonts w:ascii="宋体" w:hAnsi="宋体" w:cs="宋体"/>
          <w:b/>
          <w:color w:val="auto"/>
          <w:sz w:val="32"/>
          <w:szCs w:val="32"/>
          <w:highlight w:val="none"/>
        </w:rPr>
      </w:pPr>
    </w:p>
    <w:p>
      <w:pPr>
        <w:widowControl/>
        <w:jc w:val="left"/>
        <w:rPr>
          <w:rFonts w:ascii="宋体" w:hAnsi="宋体" w:cs="宋体"/>
          <w:b/>
          <w:color w:val="auto"/>
          <w:sz w:val="32"/>
          <w:szCs w:val="32"/>
          <w:highlight w:val="none"/>
        </w:rPr>
      </w:pPr>
    </w:p>
    <w:p>
      <w:pPr>
        <w:widowControl/>
        <w:jc w:val="left"/>
        <w:rPr>
          <w:rFonts w:ascii="宋体" w:hAnsi="宋体" w:cs="宋体"/>
          <w:b/>
          <w:color w:val="auto"/>
          <w:sz w:val="32"/>
          <w:szCs w:val="32"/>
          <w:highlight w:val="none"/>
        </w:rPr>
      </w:pPr>
    </w:p>
    <w:p>
      <w:pPr>
        <w:widowControl/>
        <w:jc w:val="left"/>
        <w:rPr>
          <w:rFonts w:ascii="宋体" w:hAnsi="宋体" w:cs="宋体"/>
          <w:b/>
          <w:color w:val="auto"/>
          <w:sz w:val="32"/>
          <w:szCs w:val="32"/>
          <w:highlight w:val="none"/>
        </w:rPr>
      </w:pPr>
    </w:p>
    <w:p>
      <w:pPr>
        <w:widowControl/>
        <w:jc w:val="left"/>
        <w:rPr>
          <w:rFonts w:ascii="宋体" w:hAnsi="宋体" w:cs="宋体"/>
          <w:b/>
          <w:color w:val="auto"/>
          <w:sz w:val="32"/>
          <w:szCs w:val="32"/>
          <w:highlight w:val="none"/>
        </w:rPr>
      </w:pPr>
    </w:p>
    <w:p>
      <w:pPr>
        <w:widowControl/>
        <w:jc w:val="left"/>
        <w:rPr>
          <w:rFonts w:ascii="宋体" w:hAnsi="宋体" w:cs="宋体"/>
          <w:b/>
          <w:color w:val="auto"/>
          <w:sz w:val="32"/>
          <w:szCs w:val="32"/>
          <w:highlight w:val="none"/>
        </w:rPr>
      </w:pPr>
    </w:p>
    <w:p>
      <w:pPr>
        <w:widowControl/>
        <w:jc w:val="left"/>
        <w:rPr>
          <w:rFonts w:ascii="宋体" w:hAnsi="宋体" w:cs="宋体"/>
          <w:b/>
          <w:color w:val="auto"/>
          <w:sz w:val="32"/>
          <w:szCs w:val="32"/>
          <w:highlight w:val="none"/>
        </w:rPr>
      </w:pPr>
    </w:p>
    <w:p>
      <w:pPr>
        <w:widowControl/>
        <w:jc w:val="left"/>
        <w:rPr>
          <w:rFonts w:ascii="宋体" w:hAnsi="宋体" w:cs="宋体"/>
          <w:b/>
          <w:color w:val="auto"/>
          <w:sz w:val="32"/>
          <w:szCs w:val="32"/>
          <w:highlight w:val="none"/>
        </w:rPr>
      </w:pPr>
    </w:p>
    <w:p>
      <w:pPr>
        <w:rPr>
          <w:rFonts w:ascii="宋体" w:hAnsi="宋体" w:cs="宋体"/>
          <w:b/>
          <w:color w:val="auto"/>
          <w:sz w:val="32"/>
          <w:szCs w:val="32"/>
          <w:highlight w:val="none"/>
        </w:rPr>
      </w:pPr>
      <w:r>
        <w:rPr>
          <w:rFonts w:hint="eastAsia" w:ascii="宋体" w:hAnsi="宋体" w:cs="宋体"/>
          <w:b/>
          <w:color w:val="auto"/>
          <w:sz w:val="32"/>
          <w:szCs w:val="32"/>
          <w:highlight w:val="none"/>
        </w:rPr>
        <w:br w:type="page"/>
      </w:r>
    </w:p>
    <w:p>
      <w:pPr>
        <w:widowControl/>
        <w:jc w:val="left"/>
        <w:rPr>
          <w:rFonts w:ascii="宋体" w:hAnsi="宋体" w:cs="宋体"/>
          <w:b/>
          <w:color w:val="auto"/>
          <w:sz w:val="32"/>
          <w:szCs w:val="32"/>
          <w:highlight w:val="none"/>
        </w:rPr>
      </w:pPr>
      <w:r>
        <w:rPr>
          <w:rFonts w:hint="eastAsia" w:ascii="宋体" w:hAnsi="宋体" w:cs="宋体"/>
          <w:b/>
          <w:color w:val="auto"/>
          <w:sz w:val="32"/>
          <w:szCs w:val="32"/>
          <w:highlight w:val="none"/>
        </w:rPr>
        <w:t>格式2-1</w:t>
      </w:r>
      <w:r>
        <w:rPr>
          <w:rFonts w:hint="eastAsia" w:ascii="宋体" w:hAnsi="宋体" w:cs="宋体"/>
          <w:b/>
          <w:color w:val="auto"/>
          <w:sz w:val="32"/>
          <w:szCs w:val="32"/>
          <w:highlight w:val="none"/>
          <w:lang w:val="en-US" w:eastAsia="zh-CN"/>
        </w:rPr>
        <w:t>3</w:t>
      </w:r>
      <w:r>
        <w:rPr>
          <w:rFonts w:hint="eastAsia" w:ascii="宋体" w:hAnsi="宋体" w:cs="宋体"/>
          <w:b/>
          <w:color w:val="auto"/>
          <w:sz w:val="32"/>
          <w:szCs w:val="32"/>
          <w:highlight w:val="none"/>
        </w:rPr>
        <w:t xml:space="preserve">    </w:t>
      </w:r>
    </w:p>
    <w:p>
      <w:pPr>
        <w:widowControl/>
        <w:spacing w:after="0" w:line="24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供应商认为需要的其他证明材料</w:t>
      </w:r>
    </w:p>
    <w:p>
      <w:pPr>
        <w:widowControl/>
        <w:spacing w:after="0" w:line="240" w:lineRule="auto"/>
        <w:jc w:val="center"/>
        <w:rPr>
          <w:rFonts w:ascii="宋体" w:hAnsi="宋体" w:cs="宋体"/>
          <w:color w:val="auto"/>
          <w:sz w:val="32"/>
          <w:szCs w:val="32"/>
          <w:highlight w:val="none"/>
        </w:rPr>
      </w:pPr>
    </w:p>
    <w:p>
      <w:pPr>
        <w:widowControl/>
        <w:spacing w:after="0" w:line="240" w:lineRule="auto"/>
        <w:jc w:val="center"/>
        <w:rPr>
          <w:rFonts w:ascii="宋体" w:hAnsi="宋体" w:cs="宋体"/>
          <w:color w:val="auto"/>
          <w:sz w:val="32"/>
          <w:szCs w:val="32"/>
          <w:highlight w:val="none"/>
        </w:rPr>
      </w:pPr>
    </w:p>
    <w:p>
      <w:pPr>
        <w:widowControl/>
        <w:spacing w:after="0" w:line="240" w:lineRule="auto"/>
        <w:jc w:val="center"/>
        <w:rPr>
          <w:rFonts w:ascii="宋体" w:hAnsi="宋体" w:cs="宋体"/>
          <w:color w:val="auto"/>
          <w:sz w:val="32"/>
          <w:szCs w:val="32"/>
          <w:highlight w:val="none"/>
        </w:rPr>
      </w:pPr>
    </w:p>
    <w:p>
      <w:pPr>
        <w:widowControl/>
        <w:spacing w:after="0" w:line="240" w:lineRule="auto"/>
        <w:jc w:val="center"/>
        <w:rPr>
          <w:rFonts w:ascii="宋体" w:hAnsi="宋体" w:cs="宋体"/>
          <w:color w:val="auto"/>
          <w:sz w:val="32"/>
          <w:szCs w:val="32"/>
          <w:highlight w:val="none"/>
        </w:rPr>
      </w:pPr>
    </w:p>
    <w:p>
      <w:pPr>
        <w:widowControl/>
        <w:spacing w:after="0" w:line="240" w:lineRule="auto"/>
        <w:jc w:val="center"/>
        <w:rPr>
          <w:rFonts w:ascii="宋体" w:hAnsi="宋体" w:cs="宋体"/>
          <w:color w:val="auto"/>
          <w:sz w:val="32"/>
          <w:szCs w:val="32"/>
          <w:highlight w:val="none"/>
        </w:rPr>
      </w:pPr>
      <w:r>
        <w:rPr>
          <w:rFonts w:hint="eastAsia" w:ascii="宋体" w:hAnsi="宋体" w:cs="宋体"/>
          <w:color w:val="auto"/>
          <w:sz w:val="32"/>
          <w:szCs w:val="32"/>
          <w:highlight w:val="none"/>
        </w:rPr>
        <w:t>（格式自拟）</w:t>
      </w:r>
    </w:p>
    <w:p>
      <w:pPr>
        <w:pStyle w:val="2"/>
        <w:rPr>
          <w:rFonts w:ascii="宋体" w:hAnsi="宋体" w:cs="宋体"/>
          <w:color w:val="auto"/>
          <w:highlight w:val="none"/>
        </w:rPr>
      </w:pPr>
    </w:p>
    <w:p>
      <w:pPr>
        <w:rPr>
          <w:rFonts w:ascii="宋体" w:hAnsi="宋体" w:cs="宋体"/>
          <w:color w:val="auto"/>
          <w:highlight w:val="none"/>
        </w:rPr>
      </w:pPr>
    </w:p>
    <w:p>
      <w:pPr>
        <w:pStyle w:val="27"/>
        <w:ind w:left="840" w:hanging="420"/>
        <w:rPr>
          <w:rFonts w:ascii="宋体" w:hAnsi="宋体" w:cs="宋体"/>
          <w:color w:val="auto"/>
          <w:highlight w:val="none"/>
        </w:rPr>
      </w:pPr>
    </w:p>
    <w:p>
      <w:pPr>
        <w:rPr>
          <w:rFonts w:ascii="宋体" w:hAnsi="宋体" w:cs="宋体"/>
          <w:color w:val="auto"/>
          <w:highlight w:val="none"/>
        </w:rPr>
      </w:pPr>
    </w:p>
    <w:p>
      <w:pPr>
        <w:pStyle w:val="27"/>
        <w:ind w:left="840" w:hanging="420"/>
        <w:rPr>
          <w:rFonts w:ascii="宋体" w:hAnsi="宋体" w:cs="宋体"/>
          <w:color w:val="auto"/>
          <w:highlight w:val="none"/>
        </w:rPr>
      </w:pPr>
    </w:p>
    <w:p>
      <w:pPr>
        <w:rPr>
          <w:rFonts w:ascii="宋体" w:hAnsi="宋体" w:cs="宋体"/>
          <w:color w:val="auto"/>
          <w:highlight w:val="none"/>
        </w:rPr>
      </w:pPr>
    </w:p>
    <w:p>
      <w:pPr>
        <w:pStyle w:val="27"/>
        <w:ind w:left="840" w:hanging="420"/>
        <w:rPr>
          <w:rFonts w:ascii="宋体" w:hAnsi="宋体" w:cs="宋体"/>
          <w:color w:val="auto"/>
          <w:highlight w:val="none"/>
        </w:rPr>
      </w:pPr>
    </w:p>
    <w:p>
      <w:pPr>
        <w:rPr>
          <w:rFonts w:ascii="宋体" w:hAnsi="宋体" w:cs="宋体"/>
          <w:color w:val="auto"/>
          <w:highlight w:val="none"/>
        </w:rPr>
      </w:pPr>
    </w:p>
    <w:p>
      <w:pPr>
        <w:pStyle w:val="27"/>
        <w:ind w:left="840" w:hanging="420"/>
        <w:rPr>
          <w:rFonts w:ascii="宋体" w:hAnsi="宋体" w:cs="宋体"/>
          <w:color w:val="auto"/>
          <w:highlight w:val="none"/>
        </w:rPr>
      </w:pPr>
    </w:p>
    <w:p>
      <w:pPr>
        <w:rPr>
          <w:rFonts w:ascii="宋体" w:hAnsi="宋体" w:cs="宋体"/>
          <w:color w:val="auto"/>
          <w:highlight w:val="none"/>
        </w:rPr>
      </w:pPr>
    </w:p>
    <w:p>
      <w:pPr>
        <w:pStyle w:val="27"/>
        <w:ind w:left="840" w:hanging="420"/>
        <w:rPr>
          <w:rFonts w:ascii="宋体" w:hAnsi="宋体" w:cs="宋体"/>
          <w:color w:val="auto"/>
          <w:highlight w:val="none"/>
        </w:rPr>
      </w:pPr>
    </w:p>
    <w:p>
      <w:pPr>
        <w:rPr>
          <w:rFonts w:ascii="宋体" w:hAnsi="宋体" w:cs="宋体"/>
          <w:color w:val="auto"/>
          <w:highlight w:val="none"/>
        </w:rPr>
      </w:pPr>
    </w:p>
    <w:p>
      <w:pPr>
        <w:pStyle w:val="27"/>
        <w:ind w:left="840" w:hanging="420"/>
        <w:rPr>
          <w:rFonts w:ascii="宋体" w:hAnsi="宋体" w:cs="宋体"/>
          <w:color w:val="auto"/>
          <w:highlight w:val="none"/>
        </w:rPr>
      </w:pPr>
    </w:p>
    <w:p>
      <w:pPr>
        <w:rPr>
          <w:rFonts w:ascii="宋体" w:hAnsi="宋体" w:cs="宋体"/>
          <w:color w:val="auto"/>
          <w:highlight w:val="none"/>
        </w:rPr>
      </w:pPr>
    </w:p>
    <w:p>
      <w:pPr>
        <w:pStyle w:val="27"/>
        <w:ind w:left="840" w:hanging="420"/>
        <w:rPr>
          <w:rFonts w:ascii="宋体" w:hAnsi="宋体" w:cs="宋体"/>
          <w:color w:val="auto"/>
          <w:highlight w:val="none"/>
        </w:rPr>
      </w:pPr>
    </w:p>
    <w:p>
      <w:pPr>
        <w:rPr>
          <w:rFonts w:ascii="宋体" w:hAnsi="宋体" w:cs="宋体"/>
          <w:color w:val="auto"/>
          <w:highlight w:val="none"/>
        </w:rPr>
      </w:pPr>
    </w:p>
    <w:p>
      <w:pPr>
        <w:pStyle w:val="27"/>
        <w:ind w:left="840" w:hanging="420"/>
        <w:rPr>
          <w:rFonts w:ascii="宋体" w:hAnsi="宋体" w:cs="宋体"/>
          <w:color w:val="auto"/>
          <w:highlight w:val="none"/>
        </w:rPr>
      </w:pPr>
    </w:p>
    <w:p>
      <w:pPr>
        <w:rPr>
          <w:rFonts w:ascii="宋体" w:hAnsi="宋体" w:cs="宋体"/>
          <w:color w:val="auto"/>
          <w:highlight w:val="none"/>
        </w:rPr>
      </w:pPr>
    </w:p>
    <w:p>
      <w:pPr>
        <w:pStyle w:val="27"/>
        <w:ind w:left="840" w:hanging="420"/>
        <w:rPr>
          <w:rFonts w:ascii="宋体" w:hAnsi="宋体" w:cs="宋体"/>
          <w:color w:val="auto"/>
          <w:highlight w:val="none"/>
        </w:rPr>
      </w:pPr>
    </w:p>
    <w:p>
      <w:pPr>
        <w:rPr>
          <w:rFonts w:ascii="宋体" w:hAnsi="宋体" w:cs="宋体"/>
          <w:color w:val="auto"/>
          <w:highlight w:val="none"/>
        </w:rPr>
      </w:pPr>
    </w:p>
    <w:p>
      <w:pPr>
        <w:pStyle w:val="27"/>
        <w:ind w:left="840" w:hanging="420"/>
        <w:rPr>
          <w:rFonts w:ascii="宋体" w:hAnsi="宋体" w:cs="宋体"/>
          <w:color w:val="auto"/>
          <w:highlight w:val="none"/>
        </w:rPr>
      </w:pPr>
    </w:p>
    <w:p>
      <w:pPr>
        <w:rPr>
          <w:rFonts w:ascii="宋体" w:hAnsi="宋体" w:cs="宋体"/>
          <w:b/>
          <w:bCs/>
          <w:color w:val="auto"/>
          <w:sz w:val="32"/>
          <w:szCs w:val="32"/>
          <w:highlight w:val="none"/>
        </w:rPr>
      </w:pPr>
      <w:r>
        <w:rPr>
          <w:rFonts w:hint="eastAsia" w:ascii="宋体" w:hAnsi="宋体" w:cs="宋体"/>
          <w:b/>
          <w:bCs/>
          <w:color w:val="auto"/>
          <w:sz w:val="32"/>
          <w:szCs w:val="32"/>
          <w:highlight w:val="none"/>
        </w:rPr>
        <w:br w:type="page"/>
      </w:r>
    </w:p>
    <w:p>
      <w:pPr>
        <w:widowControl/>
        <w:jc w:val="left"/>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格式2-1</w:t>
      </w:r>
      <w:r>
        <w:rPr>
          <w:rFonts w:hint="eastAsia" w:ascii="宋体" w:hAnsi="宋体" w:cs="宋体"/>
          <w:b/>
          <w:color w:val="auto"/>
          <w:sz w:val="32"/>
          <w:szCs w:val="32"/>
          <w:highlight w:val="none"/>
          <w:lang w:val="en-US" w:eastAsia="zh-CN"/>
        </w:rPr>
        <w:t>4</w:t>
      </w:r>
    </w:p>
    <w:p>
      <w:pPr>
        <w:widowControl/>
        <w:spacing w:line="360" w:lineRule="atLeast"/>
        <w:jc w:val="center"/>
        <w:outlineLvl w:val="1"/>
        <w:rPr>
          <w:rFonts w:ascii="宋体" w:hAnsi="宋体" w:cs="宋体"/>
          <w:bCs/>
          <w:color w:val="auto"/>
          <w:sz w:val="24"/>
          <w:highlight w:val="none"/>
        </w:rPr>
      </w:pPr>
      <w:r>
        <w:rPr>
          <w:rFonts w:hint="eastAsia" w:ascii="宋体" w:hAnsi="宋体" w:cs="宋体"/>
          <w:b/>
          <w:color w:val="auto"/>
          <w:sz w:val="32"/>
          <w:szCs w:val="32"/>
          <w:highlight w:val="none"/>
        </w:rPr>
        <w:t>供应商诚信情况承诺函</w:t>
      </w:r>
    </w:p>
    <w:p>
      <w:pPr>
        <w:spacing w:line="360" w:lineRule="auto"/>
        <w:rPr>
          <w:rFonts w:ascii="宋体" w:hAnsi="宋体" w:cs="宋体"/>
          <w:bCs/>
          <w:color w:val="auto"/>
          <w:sz w:val="24"/>
          <w:highlight w:val="none"/>
        </w:rPr>
      </w:pPr>
      <w:r>
        <w:rPr>
          <w:rFonts w:hint="eastAsia" w:ascii="宋体" w:hAnsi="宋体" w:cs="宋体"/>
          <w:bCs/>
          <w:color w:val="auto"/>
          <w:sz w:val="24"/>
          <w:highlight w:val="none"/>
        </w:rPr>
        <w:t>致：</w:t>
      </w:r>
      <w:r>
        <w:rPr>
          <w:rFonts w:hint="eastAsia" w:ascii="宋体" w:hAnsi="宋体" w:cs="宋体"/>
          <w:bCs/>
          <w:color w:val="auto"/>
          <w:sz w:val="24"/>
          <w:highlight w:val="none"/>
          <w:u w:val="single"/>
        </w:rPr>
        <w:t xml:space="preserve">          （采购代理机构名称）</w:t>
      </w:r>
      <w:r>
        <w:rPr>
          <w:rFonts w:hint="eastAsia" w:ascii="宋体" w:hAnsi="宋体" w:cs="宋体"/>
          <w:bCs/>
          <w:color w:val="auto"/>
          <w:sz w:val="24"/>
          <w:highlight w:val="none"/>
        </w:rPr>
        <w:t>：</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本单位</w:t>
      </w:r>
      <w:r>
        <w:rPr>
          <w:rFonts w:hint="eastAsia" w:ascii="宋体" w:hAnsi="宋体" w:cs="宋体"/>
          <w:color w:val="auto"/>
          <w:sz w:val="24"/>
          <w:highlight w:val="none"/>
          <w:u w:val="single"/>
        </w:rPr>
        <w:t>XXXX</w:t>
      </w:r>
      <w:r>
        <w:rPr>
          <w:rFonts w:hint="eastAsia" w:ascii="宋体" w:hAnsi="宋体" w:cs="宋体"/>
          <w:bCs/>
          <w:color w:val="auto"/>
          <w:sz w:val="24"/>
          <w:highlight w:val="none"/>
          <w:u w:val="single"/>
        </w:rPr>
        <w:t>（供应商名称）</w:t>
      </w:r>
      <w:r>
        <w:rPr>
          <w:rFonts w:hint="eastAsia" w:ascii="宋体" w:hAnsi="宋体" w:cs="宋体"/>
          <w:bCs/>
          <w:color w:val="auto"/>
          <w:sz w:val="24"/>
          <w:highlight w:val="none"/>
        </w:rPr>
        <w:t>参加</w:t>
      </w:r>
      <w:r>
        <w:rPr>
          <w:rFonts w:hint="eastAsia" w:ascii="宋体" w:hAnsi="宋体" w:cs="宋体"/>
          <w:color w:val="auto"/>
          <w:sz w:val="24"/>
          <w:highlight w:val="none"/>
          <w:u w:val="single"/>
        </w:rPr>
        <w:t>XXXX</w:t>
      </w:r>
      <w:r>
        <w:rPr>
          <w:rFonts w:hint="eastAsia" w:ascii="宋体" w:hAnsi="宋体" w:cs="宋体"/>
          <w:bCs/>
          <w:color w:val="auto"/>
          <w:sz w:val="24"/>
          <w:highlight w:val="none"/>
          <w:u w:val="single"/>
        </w:rPr>
        <w:t>（项目名称及采购编号）</w:t>
      </w:r>
      <w:r>
        <w:rPr>
          <w:rFonts w:hint="eastAsia" w:ascii="宋体" w:hAnsi="宋体" w:cs="宋体"/>
          <w:bCs/>
          <w:color w:val="auto"/>
          <w:sz w:val="24"/>
          <w:highlight w:val="none"/>
        </w:rPr>
        <w:t>的政府采购活动，</w:t>
      </w:r>
      <w:r>
        <w:rPr>
          <w:rFonts w:hint="eastAsia" w:ascii="宋体" w:hAnsi="宋体" w:cs="宋体"/>
          <w:color w:val="auto"/>
          <w:sz w:val="24"/>
          <w:highlight w:val="none"/>
        </w:rPr>
        <w:t>现根据《四川省政府采购当事人诚信管理办法》川财采〔2015〕33号的相关规定，针</w:t>
      </w:r>
      <w:r>
        <w:rPr>
          <w:rFonts w:hint="eastAsia" w:ascii="宋体" w:hAnsi="宋体" w:cs="宋体"/>
          <w:bCs/>
          <w:color w:val="auto"/>
          <w:sz w:val="24"/>
          <w:highlight w:val="none"/>
        </w:rPr>
        <w:t>对本单位的诚信情况作出以下承诺：</w:t>
      </w:r>
    </w:p>
    <w:p>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我单位具有</w:t>
      </w:r>
      <w:r>
        <w:rPr>
          <w:rFonts w:hint="eastAsia" w:ascii="宋体" w:hAnsi="宋体" w:cs="宋体"/>
          <w:color w:val="auto"/>
          <w:sz w:val="24"/>
          <w:highlight w:val="none"/>
        </w:rPr>
        <w:t>《四川省政府采购当事人诚信管理办法》（川财采[2015]33号）所规定的失信行为</w:t>
      </w:r>
      <w:r>
        <w:rPr>
          <w:rFonts w:hint="eastAsia" w:ascii="宋体" w:hAnsi="宋体" w:cs="宋体"/>
          <w:color w:val="auto"/>
          <w:sz w:val="24"/>
          <w:highlight w:val="none"/>
          <w:u w:val="single"/>
        </w:rPr>
        <w:t>XXXX</w:t>
      </w:r>
      <w:r>
        <w:rPr>
          <w:rFonts w:hint="eastAsia" w:ascii="宋体" w:hAnsi="宋体" w:cs="宋体"/>
          <w:color w:val="auto"/>
          <w:sz w:val="24"/>
          <w:highlight w:val="none"/>
        </w:rPr>
        <w:t>次（填写失信行为的次数时，建议使用大写数字，如零、壹、贰、叁、肆等。）；</w:t>
      </w:r>
      <w:r>
        <w:rPr>
          <w:rFonts w:hint="eastAsia" w:ascii="宋体" w:hAnsi="宋体" w:cs="宋体"/>
          <w:bCs/>
          <w:color w:val="auto"/>
          <w:sz w:val="24"/>
          <w:highlight w:val="none"/>
        </w:rPr>
        <w:t>（仅限递交响应文件截止当日仍在有效期的次数）</w:t>
      </w:r>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bCs/>
          <w:color w:val="auto"/>
          <w:sz w:val="24"/>
          <w:highlight w:val="none"/>
        </w:rPr>
        <w:t>单位</w:t>
      </w:r>
      <w:r>
        <w:rPr>
          <w:rFonts w:hint="eastAsia" w:ascii="宋体" w:hAnsi="宋体" w:cs="宋体"/>
          <w:color w:val="auto"/>
          <w:sz w:val="24"/>
          <w:highlight w:val="none"/>
        </w:rPr>
        <w:t>对以上填写信息的真实性负责。如有不实，本</w:t>
      </w:r>
      <w:r>
        <w:rPr>
          <w:rFonts w:hint="eastAsia" w:ascii="宋体" w:hAnsi="宋体" w:cs="宋体"/>
          <w:bCs/>
          <w:color w:val="auto"/>
          <w:sz w:val="24"/>
          <w:highlight w:val="none"/>
        </w:rPr>
        <w:t>单位</w:t>
      </w:r>
      <w:r>
        <w:rPr>
          <w:rFonts w:hint="eastAsia" w:ascii="宋体" w:hAnsi="宋体" w:cs="宋体"/>
          <w:color w:val="auto"/>
          <w:sz w:val="24"/>
          <w:highlight w:val="none"/>
        </w:rPr>
        <w:t>愿承担由此产生的一切法律责任和后果。</w:t>
      </w:r>
    </w:p>
    <w:p>
      <w:pPr>
        <w:spacing w:line="360" w:lineRule="auto"/>
        <w:rPr>
          <w:rFonts w:ascii="宋体" w:hAnsi="宋体" w:cs="宋体"/>
          <w:bCs/>
          <w:color w:val="auto"/>
          <w:sz w:val="24"/>
          <w:highlight w:val="none"/>
        </w:rPr>
      </w:pPr>
    </w:p>
    <w:p>
      <w:pPr>
        <w:widowControl/>
        <w:spacing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供应商名称：XXXX（单位盖章）。</w:t>
      </w:r>
    </w:p>
    <w:p>
      <w:pPr>
        <w:widowControl/>
        <w:spacing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法定代表人/单位负责人或授权代表（签字或加盖个人印章）：XXXX。</w:t>
      </w:r>
    </w:p>
    <w:p>
      <w:pPr>
        <w:widowControl/>
        <w:spacing w:line="360" w:lineRule="atLeast"/>
        <w:ind w:firstLine="470" w:firstLineChars="196"/>
        <w:jc w:val="left"/>
        <w:outlineLvl w:val="1"/>
        <w:rPr>
          <w:rFonts w:ascii="宋体" w:hAnsi="宋体" w:cs="宋体"/>
          <w:bCs/>
          <w:color w:val="auto"/>
          <w:sz w:val="24"/>
          <w:highlight w:val="none"/>
        </w:rPr>
      </w:pPr>
      <w:r>
        <w:rPr>
          <w:rFonts w:hint="eastAsia" w:ascii="宋体" w:hAnsi="宋体" w:cs="宋体"/>
          <w:bCs/>
          <w:color w:val="auto"/>
          <w:sz w:val="24"/>
          <w:highlight w:val="none"/>
        </w:rPr>
        <w:t>递交响应文件截止</w:t>
      </w:r>
      <w:r>
        <w:rPr>
          <w:rFonts w:hint="eastAsia" w:ascii="宋体" w:hAnsi="宋体" w:cs="宋体"/>
          <w:color w:val="auto"/>
          <w:sz w:val="24"/>
          <w:highlight w:val="none"/>
        </w:rPr>
        <w:t>日期: XXXX。</w:t>
      </w:r>
    </w:p>
    <w:p>
      <w:pPr>
        <w:widowControl/>
        <w:spacing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注：</w:t>
      </w:r>
    </w:p>
    <w:p>
      <w:pPr>
        <w:widowControl/>
        <w:spacing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1、本表格式及内容仅供参考，供应商也可提供自己的格式；</w:t>
      </w:r>
    </w:p>
    <w:p>
      <w:pPr>
        <w:widowControl/>
        <w:spacing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2、供应商存在以上所述失信行为的，将按照第二章磋商须知附表的要求进行处理；</w:t>
      </w:r>
    </w:p>
    <w:p>
      <w:pPr>
        <w:widowControl/>
        <w:spacing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3、财政部门对政府采购当事人的失信行为依法进行处罚、处理后，应当在四川政府采购网向社会公告，并记入诚信档案，有效期为1年。工商部门、税务部门、审判机关及其他有关部门单位认定供应商的失信行为明确了有效期的，不再重复计算。</w:t>
      </w:r>
    </w:p>
    <w:p>
      <w:pPr>
        <w:widowControl/>
        <w:spacing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4、供应商的失信行为受到行政处罚或司法惩处的，评审时不再对其以价格加成进行惩戒。</w:t>
      </w:r>
    </w:p>
    <w:p>
      <w:pPr>
        <w:widowControl/>
        <w:spacing w:line="360" w:lineRule="atLeast"/>
        <w:ind w:firstLine="470" w:firstLineChars="196"/>
        <w:jc w:val="left"/>
        <w:outlineLvl w:val="1"/>
        <w:rPr>
          <w:rFonts w:ascii="宋体" w:hAnsi="宋体" w:cs="宋体"/>
          <w:color w:val="auto"/>
          <w:sz w:val="24"/>
          <w:highlight w:val="none"/>
        </w:rPr>
      </w:pPr>
    </w:p>
    <w:p>
      <w:pPr>
        <w:rPr>
          <w:rFonts w:ascii="宋体" w:hAnsi="宋体" w:cs="宋体"/>
          <w:b/>
          <w:color w:val="auto"/>
          <w:sz w:val="32"/>
          <w:szCs w:val="32"/>
          <w:highlight w:val="none"/>
        </w:rPr>
      </w:pPr>
      <w:r>
        <w:rPr>
          <w:rFonts w:hint="eastAsia" w:ascii="宋体" w:hAnsi="宋体" w:cs="宋体"/>
          <w:b/>
          <w:color w:val="auto"/>
          <w:sz w:val="32"/>
          <w:szCs w:val="32"/>
          <w:highlight w:val="none"/>
        </w:rPr>
        <w:br w:type="page"/>
      </w:r>
    </w:p>
    <w:p>
      <w:pPr>
        <w:widowControl/>
        <w:spacing w:line="360" w:lineRule="atLeast"/>
        <w:outlineLvl w:val="1"/>
        <w:rPr>
          <w:rFonts w:hint="eastAsia" w:ascii="宋体" w:hAnsi="宋体" w:eastAsia="宋体" w:cs="宋体"/>
          <w:b/>
          <w:color w:val="auto"/>
          <w:sz w:val="32"/>
          <w:szCs w:val="32"/>
          <w:highlight w:val="none"/>
          <w:lang w:eastAsia="zh-CN"/>
        </w:rPr>
      </w:pPr>
      <w:r>
        <w:rPr>
          <w:rFonts w:hint="eastAsia" w:ascii="宋体" w:hAnsi="宋体" w:cs="宋体"/>
          <w:b/>
          <w:color w:val="auto"/>
          <w:sz w:val="32"/>
          <w:szCs w:val="32"/>
          <w:highlight w:val="none"/>
        </w:rPr>
        <w:t>格式2-1</w:t>
      </w:r>
      <w:r>
        <w:rPr>
          <w:rFonts w:hint="eastAsia" w:ascii="宋体" w:hAnsi="宋体" w:cs="宋体"/>
          <w:b/>
          <w:color w:val="auto"/>
          <w:sz w:val="32"/>
          <w:szCs w:val="32"/>
          <w:highlight w:val="none"/>
          <w:lang w:val="en-US" w:eastAsia="zh-CN"/>
        </w:rPr>
        <w:t>5</w:t>
      </w:r>
    </w:p>
    <w:p>
      <w:pPr>
        <w:widowControl/>
        <w:spacing w:line="360" w:lineRule="atLeast"/>
        <w:jc w:val="center"/>
        <w:outlineLvl w:val="1"/>
        <w:rPr>
          <w:rFonts w:ascii="宋体" w:hAnsi="宋体" w:cs="宋体"/>
          <w:b/>
          <w:color w:val="auto"/>
          <w:sz w:val="32"/>
          <w:szCs w:val="32"/>
          <w:highlight w:val="none"/>
        </w:rPr>
      </w:pPr>
      <w:r>
        <w:rPr>
          <w:rFonts w:hint="eastAsia" w:ascii="宋体" w:hAnsi="宋体" w:cs="宋体"/>
          <w:b/>
          <w:color w:val="auto"/>
          <w:sz w:val="32"/>
          <w:szCs w:val="32"/>
          <w:highlight w:val="none"/>
        </w:rPr>
        <w:t>知识产权声明函</w:t>
      </w:r>
    </w:p>
    <w:p>
      <w:pPr>
        <w:spacing w:line="360" w:lineRule="auto"/>
        <w:rPr>
          <w:rFonts w:ascii="宋体" w:hAnsi="宋体" w:cs="宋体"/>
          <w:bCs/>
          <w:color w:val="auto"/>
          <w:sz w:val="24"/>
          <w:highlight w:val="none"/>
        </w:rPr>
      </w:pPr>
    </w:p>
    <w:p>
      <w:pPr>
        <w:spacing w:line="360" w:lineRule="auto"/>
        <w:rPr>
          <w:rFonts w:ascii="宋体" w:hAnsi="宋体" w:cs="宋体"/>
          <w:b/>
          <w:color w:val="auto"/>
          <w:sz w:val="24"/>
          <w:highlight w:val="none"/>
        </w:rPr>
      </w:pPr>
      <w:r>
        <w:rPr>
          <w:rFonts w:hint="eastAsia" w:ascii="宋体" w:hAnsi="宋体" w:cs="宋体"/>
          <w:bCs/>
          <w:color w:val="auto"/>
          <w:sz w:val="24"/>
          <w:highlight w:val="none"/>
        </w:rPr>
        <w:t>致：</w:t>
      </w:r>
      <w:r>
        <w:rPr>
          <w:rFonts w:hint="eastAsia" w:ascii="宋体" w:hAnsi="宋体" w:cs="宋体"/>
          <w:bCs/>
          <w:color w:val="auto"/>
          <w:sz w:val="24"/>
          <w:highlight w:val="none"/>
          <w:u w:val="single"/>
        </w:rPr>
        <w:t xml:space="preserve">          （采购代理机构名称）</w:t>
      </w:r>
      <w:r>
        <w:rPr>
          <w:rFonts w:hint="eastAsia" w:ascii="宋体" w:hAnsi="宋体" w:cs="宋体"/>
          <w:bCs/>
          <w:color w:val="auto"/>
          <w:sz w:val="24"/>
          <w:highlight w:val="none"/>
        </w:rPr>
        <w:t xml:space="preserve"> </w:t>
      </w:r>
    </w:p>
    <w:p>
      <w:pPr>
        <w:spacing w:line="360" w:lineRule="auto"/>
        <w:ind w:firstLine="482" w:firstLineChars="200"/>
        <w:rPr>
          <w:rFonts w:ascii="宋体" w:hAnsi="宋体" w:cs="宋体"/>
          <w:bCs/>
          <w:color w:val="auto"/>
          <w:sz w:val="24"/>
          <w:highlight w:val="none"/>
        </w:rPr>
      </w:pPr>
      <w:r>
        <w:rPr>
          <w:rFonts w:hint="eastAsia" w:ascii="宋体" w:hAnsi="宋体" w:cs="宋体"/>
          <w:b/>
          <w:color w:val="auto"/>
          <w:sz w:val="24"/>
          <w:highlight w:val="none"/>
        </w:rPr>
        <w:t>本单位</w:t>
      </w:r>
      <w:r>
        <w:rPr>
          <w:rFonts w:hint="eastAsia" w:ascii="宋体" w:hAnsi="宋体" w:cs="宋体"/>
          <w:b/>
          <w:color w:val="auto"/>
          <w:sz w:val="24"/>
          <w:highlight w:val="none"/>
          <w:u w:val="single"/>
        </w:rPr>
        <w:t xml:space="preserve">         </w:t>
      </w:r>
      <w:r>
        <w:rPr>
          <w:rFonts w:hint="eastAsia" w:ascii="宋体" w:hAnsi="宋体" w:cs="宋体"/>
          <w:b/>
          <w:color w:val="auto"/>
          <w:sz w:val="24"/>
          <w:highlight w:val="none"/>
        </w:rPr>
        <w:t>（公司名称）参加</w:t>
      </w:r>
      <w:r>
        <w:rPr>
          <w:rFonts w:hint="eastAsia" w:ascii="宋体" w:hAnsi="宋体" w:cs="宋体"/>
          <w:b/>
          <w:color w:val="auto"/>
          <w:sz w:val="24"/>
          <w:highlight w:val="none"/>
          <w:u w:val="single"/>
        </w:rPr>
        <w:t xml:space="preserve">       </w:t>
      </w:r>
      <w:r>
        <w:rPr>
          <w:rFonts w:hint="eastAsia" w:ascii="宋体" w:hAnsi="宋体" w:cs="宋体"/>
          <w:b/>
          <w:color w:val="auto"/>
          <w:sz w:val="24"/>
          <w:highlight w:val="none"/>
        </w:rPr>
        <w:t>（项目名称）的采购活动，现承诺声明：</w:t>
      </w:r>
      <w:r>
        <w:rPr>
          <w:rFonts w:hint="eastAsia" w:ascii="宋体" w:hAnsi="宋体" w:cs="宋体"/>
          <w:bCs/>
          <w:color w:val="auto"/>
          <w:sz w:val="24"/>
          <w:highlight w:val="none"/>
        </w:rPr>
        <w:t xml:space="preserve"> </w:t>
      </w:r>
    </w:p>
    <w:p>
      <w:pPr>
        <w:spacing w:line="48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1.本单位保证在本项目使用的任何产品和服务（包括部分使用）时，不会产生因第三方提出侵犯其专利权、商标权或其它知识产权而引起的法律和经济纠纷，如因专利权、商标权或其它知识产权而引起法律和经济纠纷，由本单位承担所有相关责任。 </w:t>
      </w:r>
    </w:p>
    <w:p>
      <w:pPr>
        <w:spacing w:line="48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2.除非磋商文件特别规定，采购人享有本项目实施过程中产生的知识成果及知识产权。 </w:t>
      </w:r>
    </w:p>
    <w:p>
      <w:pPr>
        <w:spacing w:line="48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3.本单位在采购项目实施过程中采用自有或者第三方知识成果的，使用该知识成果后，我单位提供开发接口和开发手册等技术资料，并承诺提供无限期支持，采购人享有使用权（含采购人委托第三方在该项目后续开发的使用权）。 </w:t>
      </w:r>
    </w:p>
    <w:p>
      <w:pPr>
        <w:spacing w:line="48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4.如采用本单位所不拥有的知识产权，本单位承诺在本项目报价中已经包括合法获取该知识产权的相关费用。 </w:t>
      </w:r>
    </w:p>
    <w:p>
      <w:pPr>
        <w:spacing w:line="48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本单位对上述承诺声明内容事项真实性负责。如经查实上述承诺声明的内容事项存在虚假或未履行，本单位愿意接受以提供虚假材料谋取成交追究法律责任。</w:t>
      </w:r>
    </w:p>
    <w:p>
      <w:pPr>
        <w:widowControl/>
        <w:spacing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供应商名称：XXXX（单位盖章）。</w:t>
      </w:r>
    </w:p>
    <w:p>
      <w:pPr>
        <w:widowControl/>
        <w:spacing w:line="360" w:lineRule="atLeast"/>
        <w:ind w:firstLine="470" w:firstLineChars="196"/>
        <w:jc w:val="left"/>
        <w:outlineLvl w:val="1"/>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法定代表人/单位负责人或授权代表（签字或加盖个人印章）：XXXX。</w:t>
      </w:r>
    </w:p>
    <w:p>
      <w:pPr>
        <w:widowControl/>
        <w:spacing w:line="360" w:lineRule="atLeast"/>
        <w:ind w:firstLine="470" w:firstLineChars="196"/>
        <w:jc w:val="left"/>
        <w:outlineLvl w:val="1"/>
        <w:rPr>
          <w:rFonts w:ascii="宋体" w:hAnsi="宋体" w:cs="宋体"/>
          <w:color w:val="auto"/>
          <w:sz w:val="24"/>
          <w:highlight w:val="none"/>
        </w:rPr>
      </w:pPr>
      <w:r>
        <w:rPr>
          <w:rFonts w:hint="eastAsia" w:ascii="宋体" w:hAnsi="宋体" w:cs="宋体"/>
          <w:bCs/>
          <w:color w:val="auto"/>
          <w:sz w:val="24"/>
          <w:highlight w:val="none"/>
        </w:rPr>
        <w:t>递交响应文件截止</w:t>
      </w:r>
      <w:r>
        <w:rPr>
          <w:rFonts w:hint="eastAsia" w:ascii="宋体" w:hAnsi="宋体" w:cs="宋体"/>
          <w:color w:val="auto"/>
          <w:sz w:val="24"/>
          <w:highlight w:val="none"/>
        </w:rPr>
        <w:t>日期: XXXX。</w:t>
      </w:r>
    </w:p>
    <w:p>
      <w:pPr>
        <w:spacing w:line="480" w:lineRule="auto"/>
        <w:ind w:firstLine="480" w:firstLineChars="200"/>
        <w:rPr>
          <w:rFonts w:ascii="宋体" w:hAnsi="宋体" w:cs="宋体"/>
          <w:color w:val="auto"/>
          <w:sz w:val="24"/>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31"/>
        <w:jc w:val="left"/>
        <w:rPr>
          <w:rFonts w:hint="eastAsia" w:ascii="宋体" w:hAnsi="宋体" w:eastAsia="宋体" w:cs="宋体"/>
          <w:color w:val="auto"/>
          <w:highlight w:val="none"/>
          <w:lang w:eastAsia="zh-CN"/>
        </w:rPr>
      </w:pPr>
      <w:r>
        <w:rPr>
          <w:rFonts w:hint="eastAsia" w:ascii="宋体" w:hAnsi="宋体" w:eastAsia="宋体" w:cs="宋体"/>
          <w:color w:val="auto"/>
          <w:highlight w:val="none"/>
        </w:rPr>
        <w:t>格式2-1</w:t>
      </w:r>
      <w:r>
        <w:rPr>
          <w:rFonts w:hint="eastAsia" w:ascii="宋体" w:hAnsi="宋体" w:eastAsia="宋体" w:cs="宋体"/>
          <w:color w:val="auto"/>
          <w:highlight w:val="none"/>
          <w:lang w:val="en-US" w:eastAsia="zh-CN"/>
        </w:rPr>
        <w:t>6</w:t>
      </w:r>
    </w:p>
    <w:p>
      <w:pPr>
        <w:widowControl/>
        <w:spacing w:line="360" w:lineRule="atLeast"/>
        <w:jc w:val="center"/>
        <w:outlineLvl w:val="1"/>
        <w:rPr>
          <w:rFonts w:ascii="宋体" w:hAnsi="宋体" w:cs="宋体"/>
          <w:bCs/>
          <w:color w:val="auto"/>
          <w:sz w:val="24"/>
          <w:highlight w:val="none"/>
        </w:rPr>
      </w:pPr>
      <w:r>
        <w:rPr>
          <w:rFonts w:hint="eastAsia" w:ascii="宋体" w:hAnsi="宋体" w:cs="宋体"/>
          <w:b/>
          <w:color w:val="auto"/>
          <w:sz w:val="32"/>
          <w:szCs w:val="32"/>
          <w:highlight w:val="none"/>
        </w:rPr>
        <w:t>实质性要求的承诺</w:t>
      </w:r>
    </w:p>
    <w:p>
      <w:pPr>
        <w:spacing w:line="240" w:lineRule="auto"/>
        <w:rPr>
          <w:rFonts w:ascii="宋体" w:hAnsi="宋体" w:cs="宋体"/>
          <w:bCs/>
          <w:color w:val="auto"/>
          <w:sz w:val="24"/>
          <w:highlight w:val="none"/>
        </w:rPr>
      </w:pPr>
      <w:r>
        <w:rPr>
          <w:rFonts w:hint="eastAsia" w:ascii="宋体" w:hAnsi="宋体" w:cs="宋体"/>
          <w:bCs/>
          <w:color w:val="auto"/>
          <w:sz w:val="24"/>
          <w:highlight w:val="none"/>
        </w:rPr>
        <w:t>XXX（采购代理机构名称）：</w:t>
      </w:r>
    </w:p>
    <w:p>
      <w:pPr>
        <w:spacing w:line="24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我公司作为本次采购项目的供应商，根据磋商文件要求，现郑重承诺完全响应本项目磋商文件规定的所有实质性要求：</w:t>
      </w:r>
    </w:p>
    <w:p>
      <w:pPr>
        <w:spacing w:line="24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1.关于采购预算的要求：完全响应</w:t>
      </w:r>
    </w:p>
    <w:p>
      <w:pPr>
        <w:spacing w:line="24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2.关于是否专门面向中小企业的要求：完全响应</w:t>
      </w:r>
    </w:p>
    <w:p>
      <w:pPr>
        <w:spacing w:line="24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3.关于最高限价的要求：完全响应</w:t>
      </w:r>
    </w:p>
    <w:p>
      <w:pPr>
        <w:spacing w:line="24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4.关于低于成本价不正当竞争预防措施的要求：完全响应</w:t>
      </w:r>
    </w:p>
    <w:p>
      <w:pPr>
        <w:spacing w:line="24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5.关于响应文件有效期的要求：完全响应</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6.关于磋商费用的要求：完全响应</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7.关于充分、公平竞争保障措施的要求：完全响应</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8.关于联合体竞争性磋商的要求：完全响应</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9.关于知识产权的要求：完全响应</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10.关于磋商文件的构成的要求：完全响应</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11.关于“供应商应按照磋商文件的规定和要求编制响应文件。供应商在成交后将成交项目的非主体、非关键性工作分包他人完成的，应当在响应文件中载明。”的要求：完全响应</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12.关于响应文件的语言的要求：完全响应</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13.关于计量单位的要求：完全响应</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14.关于“本次磋商项目的报价货币为人民币，报价以磋商文件规定为准。”的要求：完全响应</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关于“响应文件应由供应商法定代表人/主要负责人/本人或其授权代表在响应文件要求的地方签字（注：供应商为法人的，应当由其法定代表人或者授权代表签字确认；供应商为其他组织的，应当由其主要负责人或者授权代表签字确认；供应商为自然人的，应当由其本人或者授权代表签字确认）或加盖私人印章，要求加盖公章的地方加盖单位公章，不得使用专用章（如经济合同章、投标专用章等）或下属单位印章代替。”的要求：完全响应</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16.关于“响应文件应按磋商文件的要求签署、盖章。”的要求：完全响应</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17.关于合同分包的要求：完全响应</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18.关于合同转包的要求：完全响应</w:t>
      </w:r>
    </w:p>
    <w:p>
      <w:pPr>
        <w:spacing w:line="24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19.关于第六章采购项目技术、服务及其他商务要求中服务时间、服务地点、付款方式、报价要求内容的要求：完全响应；</w:t>
      </w:r>
    </w:p>
    <w:p>
      <w:pPr>
        <w:pStyle w:val="27"/>
        <w:ind w:left="840" w:hanging="420"/>
        <w:rPr>
          <w:rFonts w:ascii="宋体" w:hAnsi="宋体" w:cs="宋体"/>
          <w:color w:val="auto"/>
          <w:highlight w:val="none"/>
        </w:rPr>
      </w:pPr>
    </w:p>
    <w:p>
      <w:pPr>
        <w:spacing w:line="360" w:lineRule="auto"/>
        <w:rPr>
          <w:rFonts w:ascii="宋体" w:hAnsi="宋体" w:cs="宋体"/>
          <w:bCs/>
          <w:color w:val="auto"/>
          <w:sz w:val="24"/>
          <w:highlight w:val="none"/>
        </w:rPr>
      </w:pPr>
      <w:r>
        <w:rPr>
          <w:rFonts w:hint="eastAsia" w:ascii="宋体" w:hAnsi="宋体" w:cs="宋体"/>
          <w:bCs/>
          <w:color w:val="auto"/>
          <w:sz w:val="24"/>
          <w:highlight w:val="none"/>
        </w:rPr>
        <w:t>供应商名称：XXXX（单位盖章）。</w:t>
      </w:r>
    </w:p>
    <w:p>
      <w:pPr>
        <w:spacing w:line="360" w:lineRule="auto"/>
        <w:rPr>
          <w:rFonts w:ascii="宋体" w:hAnsi="宋体" w:cs="宋体"/>
          <w:bCs/>
          <w:color w:val="auto"/>
          <w:sz w:val="24"/>
          <w:highlight w:val="none"/>
        </w:rPr>
      </w:pPr>
      <w:r>
        <w:rPr>
          <w:rFonts w:hint="eastAsia" w:ascii="宋体" w:hAnsi="宋体" w:cs="宋体"/>
          <w:bCs/>
          <w:color w:val="auto"/>
          <w:sz w:val="24"/>
          <w:highlight w:val="none"/>
        </w:rPr>
        <w:t>法定代表人/单位负责人或授权代表（签字或加盖个人印章）：XXXX。</w:t>
      </w:r>
    </w:p>
    <w:p>
      <w:pPr>
        <w:rPr>
          <w:rFonts w:ascii="宋体" w:hAnsi="宋体" w:cs="宋体"/>
          <w:bCs/>
          <w:color w:val="auto"/>
          <w:sz w:val="24"/>
          <w:highlight w:val="none"/>
        </w:rPr>
      </w:pPr>
      <w:r>
        <w:rPr>
          <w:rFonts w:hint="eastAsia" w:ascii="宋体" w:hAnsi="宋体" w:cs="宋体"/>
          <w:bCs/>
          <w:color w:val="auto"/>
          <w:sz w:val="24"/>
          <w:highlight w:val="none"/>
        </w:rPr>
        <w:t>日期: XXXX。</w:t>
      </w:r>
    </w:p>
    <w:p>
      <w:pPr>
        <w:pStyle w:val="33"/>
        <w:ind w:firstLine="0" w:firstLineChars="0"/>
        <w:rPr>
          <w:rFonts w:ascii="宋体" w:hAnsi="宋体" w:cs="宋体"/>
          <w:color w:val="auto"/>
          <w:highlight w:val="none"/>
        </w:rPr>
      </w:pPr>
    </w:p>
    <w:p>
      <w:pPr>
        <w:rPr>
          <w:rFonts w:ascii="宋体" w:hAnsi="宋体" w:cs="宋体"/>
          <w:color w:val="auto"/>
          <w:highlight w:val="none"/>
        </w:rPr>
      </w:pPr>
    </w:p>
    <w:p>
      <w:pPr>
        <w:rPr>
          <w:rFonts w:ascii="宋体" w:hAnsi="宋体" w:cs="宋体"/>
          <w:b/>
          <w:bCs/>
          <w:color w:val="auto"/>
          <w:sz w:val="32"/>
          <w:szCs w:val="32"/>
          <w:highlight w:val="none"/>
        </w:rPr>
      </w:pPr>
      <w:r>
        <w:rPr>
          <w:rFonts w:hint="eastAsia" w:ascii="宋体" w:hAnsi="宋体" w:cs="宋体"/>
          <w:b/>
          <w:bCs/>
          <w:color w:val="auto"/>
          <w:sz w:val="32"/>
          <w:szCs w:val="32"/>
          <w:highlight w:val="none"/>
        </w:rPr>
        <w:br w:type="page"/>
      </w:r>
    </w:p>
    <w:p>
      <w:pPr>
        <w:pStyle w:val="4"/>
        <w:tabs>
          <w:tab w:val="left" w:pos="426"/>
          <w:tab w:val="left" w:pos="567"/>
        </w:tabs>
        <w:spacing w:line="240" w:lineRule="auto"/>
        <w:jc w:val="center"/>
        <w:rPr>
          <w:rFonts w:ascii="宋体" w:hAnsi="宋体" w:eastAsia="宋体" w:cs="宋体"/>
          <w:color w:val="auto"/>
          <w:highlight w:val="none"/>
        </w:rPr>
      </w:pPr>
      <w:r>
        <w:rPr>
          <w:rFonts w:hint="eastAsia" w:ascii="宋体" w:hAnsi="宋体" w:eastAsia="宋体" w:cs="宋体"/>
          <w:color w:val="auto"/>
          <w:highlight w:val="none"/>
        </w:rPr>
        <w:t>最终报价表</w:t>
      </w:r>
    </w:p>
    <w:p>
      <w:pPr>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（供应商在响应文件中不提供此表由磋商小组现场提供）</w:t>
      </w:r>
    </w:p>
    <w:p>
      <w:pPr>
        <w:adjustRightInd w:val="0"/>
        <w:snapToGrid w:val="0"/>
        <w:spacing w:after="0" w:line="360" w:lineRule="auto"/>
        <w:rPr>
          <w:rFonts w:ascii="宋体" w:hAnsi="宋体" w:cs="宋体"/>
          <w:color w:val="auto"/>
          <w:sz w:val="24"/>
          <w:highlight w:val="none"/>
        </w:rPr>
      </w:pPr>
      <w:r>
        <w:rPr>
          <w:rFonts w:hint="eastAsia" w:ascii="宋体" w:hAnsi="宋体" w:cs="宋体"/>
          <w:color w:val="auto"/>
          <w:sz w:val="24"/>
          <w:highlight w:val="none"/>
        </w:rPr>
        <w:t>采购项目编号：</w:t>
      </w:r>
    </w:p>
    <w:tbl>
      <w:tblPr>
        <w:tblStyle w:val="34"/>
        <w:tblW w:w="9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953"/>
        <w:gridCol w:w="1590"/>
        <w:gridCol w:w="835"/>
        <w:gridCol w:w="1413"/>
        <w:gridCol w:w="1413"/>
        <w:gridCol w:w="1413"/>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8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Autospacing="0" w:line="360" w:lineRule="atLeast"/>
              <w:ind w:left="0" w:right="0"/>
              <w:jc w:val="center"/>
              <w:outlineLvl w:val="1"/>
              <w:rPr>
                <w:rFonts w:hint="default" w:ascii="宋体" w:hAnsi="宋体" w:cs="宋体"/>
                <w:b/>
                <w:bCs/>
                <w:color w:val="auto"/>
                <w:sz w:val="24"/>
                <w:highlight w:val="none"/>
              </w:rPr>
            </w:pPr>
            <w:r>
              <w:rPr>
                <w:rFonts w:hint="eastAsia" w:ascii="宋体" w:hAnsi="宋体" w:cs="宋体"/>
                <w:b/>
                <w:bCs/>
                <w:color w:val="auto"/>
                <w:sz w:val="24"/>
                <w:highlight w:val="none"/>
              </w:rPr>
              <w:t>序号</w:t>
            </w:r>
          </w:p>
        </w:tc>
        <w:tc>
          <w:tcPr>
            <w:tcW w:w="95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360" w:lineRule="atLeast"/>
              <w:ind w:left="0" w:right="0"/>
              <w:jc w:val="center"/>
              <w:outlineLvl w:val="1"/>
              <w:rPr>
                <w:rFonts w:hint="default" w:ascii="宋体" w:hAnsi="宋体" w:cs="宋体"/>
                <w:b/>
                <w:bCs/>
                <w:color w:val="auto"/>
                <w:sz w:val="24"/>
                <w:highlight w:val="none"/>
              </w:rPr>
            </w:pPr>
            <w:r>
              <w:rPr>
                <w:rFonts w:hint="eastAsia" w:ascii="宋体" w:hAnsi="宋体" w:cs="宋体"/>
                <w:b/>
                <w:bCs/>
                <w:color w:val="auto"/>
                <w:sz w:val="24"/>
                <w:highlight w:val="none"/>
              </w:rPr>
              <w:t>产品名称</w:t>
            </w:r>
          </w:p>
        </w:tc>
        <w:tc>
          <w:tcPr>
            <w:tcW w:w="1590"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360" w:lineRule="atLeast"/>
              <w:ind w:left="0" w:right="0"/>
              <w:jc w:val="center"/>
              <w:outlineLvl w:val="1"/>
              <w:rPr>
                <w:rFonts w:hint="default" w:ascii="宋体" w:hAnsi="宋体" w:cs="宋体"/>
                <w:b/>
                <w:bCs/>
                <w:color w:val="auto"/>
                <w:sz w:val="24"/>
                <w:highlight w:val="none"/>
              </w:rPr>
            </w:pPr>
            <w:r>
              <w:rPr>
                <w:rFonts w:hint="eastAsia" w:ascii="宋体" w:hAnsi="宋体" w:cs="宋体"/>
                <w:b/>
                <w:bCs/>
                <w:color w:val="auto"/>
                <w:sz w:val="24"/>
                <w:highlight w:val="none"/>
              </w:rPr>
              <w:t>生产厂家及</w:t>
            </w:r>
          </w:p>
          <w:p>
            <w:pPr>
              <w:keepNext w:val="0"/>
              <w:keepLines w:val="0"/>
              <w:widowControl/>
              <w:suppressLineNumbers w:val="0"/>
              <w:spacing w:before="0" w:beforeAutospacing="0" w:afterAutospacing="0" w:line="360" w:lineRule="atLeast"/>
              <w:ind w:left="0" w:right="0"/>
              <w:jc w:val="center"/>
              <w:outlineLvl w:val="1"/>
              <w:rPr>
                <w:rFonts w:hint="default" w:ascii="宋体" w:hAnsi="宋体" w:cs="宋体"/>
                <w:b/>
                <w:bCs/>
                <w:color w:val="auto"/>
                <w:sz w:val="24"/>
                <w:highlight w:val="none"/>
              </w:rPr>
            </w:pPr>
            <w:r>
              <w:rPr>
                <w:rFonts w:hint="eastAsia" w:ascii="宋体" w:hAnsi="宋体" w:cs="宋体"/>
                <w:b/>
                <w:bCs/>
                <w:color w:val="auto"/>
                <w:sz w:val="24"/>
                <w:highlight w:val="none"/>
              </w:rPr>
              <w:t>规格型号</w:t>
            </w:r>
          </w:p>
        </w:tc>
        <w:tc>
          <w:tcPr>
            <w:tcW w:w="835"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360" w:lineRule="atLeast"/>
              <w:ind w:left="0" w:right="0"/>
              <w:jc w:val="center"/>
              <w:outlineLvl w:val="1"/>
              <w:rPr>
                <w:rFonts w:hint="default" w:ascii="宋体" w:hAnsi="宋体" w:cs="宋体"/>
                <w:b/>
                <w:bCs/>
                <w:color w:val="auto"/>
                <w:sz w:val="24"/>
                <w:highlight w:val="none"/>
              </w:rPr>
            </w:pPr>
            <w:r>
              <w:rPr>
                <w:rFonts w:hint="eastAsia" w:ascii="宋体" w:hAnsi="宋体" w:cs="宋体"/>
                <w:b/>
                <w:bCs/>
                <w:color w:val="auto"/>
                <w:sz w:val="24"/>
                <w:highlight w:val="none"/>
              </w:rPr>
              <w:t>单位</w:t>
            </w:r>
          </w:p>
        </w:tc>
        <w:tc>
          <w:tcPr>
            <w:tcW w:w="141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360" w:lineRule="atLeast"/>
              <w:ind w:left="0" w:right="0"/>
              <w:jc w:val="center"/>
              <w:outlineLvl w:val="1"/>
              <w:rPr>
                <w:rFonts w:hint="default" w:ascii="宋体" w:hAnsi="宋体" w:cs="宋体"/>
                <w:b/>
                <w:bCs/>
                <w:color w:val="auto"/>
                <w:sz w:val="24"/>
                <w:highlight w:val="none"/>
              </w:rPr>
            </w:pPr>
            <w:r>
              <w:rPr>
                <w:rFonts w:hint="eastAsia" w:ascii="宋体" w:hAnsi="宋体" w:cs="宋体"/>
                <w:b/>
                <w:bCs/>
                <w:color w:val="auto"/>
                <w:sz w:val="24"/>
                <w:highlight w:val="none"/>
              </w:rPr>
              <w:t>数量</w:t>
            </w:r>
          </w:p>
        </w:tc>
        <w:tc>
          <w:tcPr>
            <w:tcW w:w="141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360" w:lineRule="atLeast"/>
              <w:ind w:left="0" w:right="0"/>
              <w:jc w:val="center"/>
              <w:outlineLvl w:val="1"/>
              <w:rPr>
                <w:rFonts w:hint="default" w:ascii="宋体" w:hAnsi="宋体" w:cs="宋体"/>
                <w:b/>
                <w:bCs/>
                <w:color w:val="auto"/>
                <w:sz w:val="24"/>
                <w:highlight w:val="none"/>
              </w:rPr>
            </w:pPr>
            <w:r>
              <w:rPr>
                <w:rFonts w:hint="eastAsia" w:ascii="宋体" w:hAnsi="宋体" w:cs="宋体"/>
                <w:b/>
                <w:bCs/>
                <w:color w:val="auto"/>
                <w:sz w:val="24"/>
                <w:highlight w:val="none"/>
              </w:rPr>
              <w:t>单价（元）</w:t>
            </w:r>
          </w:p>
        </w:tc>
        <w:tc>
          <w:tcPr>
            <w:tcW w:w="141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360" w:lineRule="atLeast"/>
              <w:ind w:left="0" w:right="0"/>
              <w:jc w:val="center"/>
              <w:outlineLvl w:val="1"/>
              <w:rPr>
                <w:rFonts w:hint="default" w:ascii="宋体" w:hAnsi="宋体" w:cs="宋体"/>
                <w:b/>
                <w:bCs/>
                <w:color w:val="auto"/>
                <w:sz w:val="24"/>
                <w:highlight w:val="none"/>
              </w:rPr>
            </w:pPr>
            <w:r>
              <w:rPr>
                <w:rFonts w:hint="eastAsia" w:ascii="宋体" w:hAnsi="宋体" w:cs="宋体"/>
                <w:b/>
                <w:bCs/>
                <w:color w:val="auto"/>
                <w:sz w:val="24"/>
                <w:highlight w:val="none"/>
              </w:rPr>
              <w:t>总价（元）</w:t>
            </w:r>
          </w:p>
        </w:tc>
        <w:tc>
          <w:tcPr>
            <w:tcW w:w="141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Autospacing="0" w:line="360" w:lineRule="atLeast"/>
              <w:ind w:left="0" w:right="0"/>
              <w:jc w:val="center"/>
              <w:outlineLvl w:val="1"/>
              <w:rPr>
                <w:rFonts w:hint="default" w:ascii="宋体" w:hAnsi="宋体" w:cs="宋体"/>
                <w:b/>
                <w:bCs/>
                <w:color w:val="auto"/>
                <w:sz w:val="24"/>
                <w:highlight w:val="none"/>
              </w:rPr>
            </w:pPr>
            <w:r>
              <w:rPr>
                <w:rFonts w:hint="eastAsia" w:ascii="宋体" w:hAnsi="宋体" w:cs="宋体"/>
                <w:b/>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87" w:type="dxa"/>
            <w:tcBorders>
              <w:top w:val="single" w:color="auto" w:sz="4" w:space="0"/>
              <w:left w:val="single" w:color="auto" w:sz="4" w:space="0"/>
              <w:bottom w:val="single" w:color="auto" w:sz="4" w:space="0"/>
              <w:right w:val="single" w:color="auto" w:sz="4" w:space="0"/>
            </w:tcBorders>
          </w:tcPr>
          <w:p>
            <w:pPr>
              <w:pStyle w:val="73"/>
              <w:keepNext w:val="0"/>
              <w:keepLines w:val="0"/>
              <w:suppressLineNumbers w:val="0"/>
              <w:spacing w:before="0" w:beforeAutospacing="0" w:afterAutospacing="0"/>
              <w:ind w:left="0" w:right="0"/>
              <w:rPr>
                <w:rFonts w:hint="default"/>
                <w:color w:val="auto"/>
                <w:highlight w:val="none"/>
              </w:rPr>
            </w:pPr>
          </w:p>
        </w:tc>
        <w:tc>
          <w:tcPr>
            <w:tcW w:w="95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590"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835"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87" w:type="dxa"/>
            <w:tcBorders>
              <w:top w:val="single" w:color="auto" w:sz="4" w:space="0"/>
              <w:left w:val="single" w:color="auto" w:sz="4" w:space="0"/>
              <w:bottom w:val="single" w:color="auto" w:sz="4" w:space="0"/>
              <w:right w:val="single" w:color="auto" w:sz="4" w:space="0"/>
            </w:tcBorders>
          </w:tcPr>
          <w:p>
            <w:pPr>
              <w:pStyle w:val="73"/>
              <w:keepNext w:val="0"/>
              <w:keepLines w:val="0"/>
              <w:suppressLineNumbers w:val="0"/>
              <w:spacing w:before="0" w:beforeAutospacing="0" w:afterAutospacing="0"/>
              <w:ind w:left="0" w:right="0"/>
              <w:rPr>
                <w:rFonts w:hint="default"/>
                <w:color w:val="auto"/>
                <w:highlight w:val="none"/>
              </w:rPr>
            </w:pPr>
          </w:p>
        </w:tc>
        <w:tc>
          <w:tcPr>
            <w:tcW w:w="95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590"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835"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87" w:type="dxa"/>
            <w:tcBorders>
              <w:top w:val="single" w:color="auto" w:sz="4" w:space="0"/>
              <w:left w:val="single" w:color="auto" w:sz="4" w:space="0"/>
              <w:bottom w:val="single" w:color="auto" w:sz="4" w:space="0"/>
              <w:right w:val="single" w:color="auto" w:sz="4" w:space="0"/>
            </w:tcBorders>
          </w:tcPr>
          <w:p>
            <w:pPr>
              <w:pStyle w:val="73"/>
              <w:keepNext w:val="0"/>
              <w:keepLines w:val="0"/>
              <w:suppressLineNumbers w:val="0"/>
              <w:spacing w:before="0" w:beforeAutospacing="0" w:afterAutospacing="0"/>
              <w:ind w:left="0" w:right="0"/>
              <w:rPr>
                <w:rFonts w:hint="default"/>
                <w:color w:val="auto"/>
                <w:highlight w:val="none"/>
              </w:rPr>
            </w:pPr>
          </w:p>
        </w:tc>
        <w:tc>
          <w:tcPr>
            <w:tcW w:w="95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590"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835"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87" w:type="dxa"/>
            <w:tcBorders>
              <w:top w:val="single" w:color="auto" w:sz="4" w:space="0"/>
              <w:left w:val="single" w:color="auto" w:sz="4" w:space="0"/>
              <w:bottom w:val="single" w:color="auto" w:sz="4" w:space="0"/>
              <w:right w:val="single" w:color="auto" w:sz="4" w:space="0"/>
            </w:tcBorders>
          </w:tcPr>
          <w:p>
            <w:pPr>
              <w:pStyle w:val="73"/>
              <w:keepNext w:val="0"/>
              <w:keepLines w:val="0"/>
              <w:suppressLineNumbers w:val="0"/>
              <w:spacing w:before="0" w:beforeAutospacing="0" w:afterAutospacing="0"/>
              <w:ind w:left="0" w:right="0"/>
              <w:rPr>
                <w:rFonts w:hint="default"/>
                <w:color w:val="auto"/>
                <w:highlight w:val="none"/>
              </w:rPr>
            </w:pPr>
          </w:p>
        </w:tc>
        <w:tc>
          <w:tcPr>
            <w:tcW w:w="95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590"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835"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87" w:type="dxa"/>
            <w:tcBorders>
              <w:top w:val="single" w:color="auto" w:sz="4" w:space="0"/>
              <w:left w:val="single" w:color="auto" w:sz="4" w:space="0"/>
              <w:bottom w:val="single" w:color="auto" w:sz="4" w:space="0"/>
              <w:right w:val="single" w:color="auto" w:sz="4" w:space="0"/>
            </w:tcBorders>
          </w:tcPr>
          <w:p>
            <w:pPr>
              <w:pStyle w:val="73"/>
              <w:keepNext w:val="0"/>
              <w:keepLines w:val="0"/>
              <w:suppressLineNumbers w:val="0"/>
              <w:spacing w:before="0" w:beforeAutospacing="0" w:afterAutospacing="0"/>
              <w:ind w:left="0" w:right="0"/>
              <w:rPr>
                <w:rFonts w:hint="default"/>
                <w:color w:val="auto"/>
                <w:highlight w:val="none"/>
              </w:rPr>
            </w:pPr>
          </w:p>
        </w:tc>
        <w:tc>
          <w:tcPr>
            <w:tcW w:w="95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590"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835"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c>
          <w:tcPr>
            <w:tcW w:w="1413" w:type="dxa"/>
            <w:tcBorders>
              <w:top w:val="single" w:color="auto" w:sz="4" w:space="0"/>
              <w:left w:val="nil"/>
              <w:bottom w:val="single" w:color="auto" w:sz="4" w:space="0"/>
              <w:right w:val="single" w:color="auto" w:sz="4" w:space="0"/>
            </w:tcBorders>
            <w:vAlign w:val="center"/>
          </w:tcPr>
          <w:p>
            <w:pPr>
              <w:pStyle w:val="73"/>
              <w:keepNext w:val="0"/>
              <w:keepLines w:val="0"/>
              <w:suppressLineNumbers w:val="0"/>
              <w:spacing w:before="0" w:beforeAutospacing="0" w:afterAutospacing="0"/>
              <w:ind w:left="0" w:right="0"/>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917" w:type="dxa"/>
            <w:gridSpan w:val="8"/>
            <w:tcBorders>
              <w:top w:val="single" w:color="auto" w:sz="4" w:space="0"/>
              <w:left w:val="single" w:color="auto" w:sz="4" w:space="0"/>
              <w:bottom w:val="single" w:color="auto" w:sz="4" w:space="0"/>
              <w:right w:val="single" w:color="auto" w:sz="4" w:space="0"/>
            </w:tcBorders>
          </w:tcPr>
          <w:p>
            <w:pPr>
              <w:pStyle w:val="73"/>
              <w:keepNext w:val="0"/>
              <w:keepLines w:val="0"/>
              <w:suppressLineNumbers w:val="0"/>
              <w:spacing w:before="0" w:beforeAutospacing="0" w:afterAutospacing="0"/>
              <w:ind w:left="0" w:right="0"/>
              <w:rPr>
                <w:rFonts w:hint="default"/>
                <w:color w:val="auto"/>
                <w:highlight w:val="none"/>
              </w:rPr>
            </w:pPr>
            <w:r>
              <w:rPr>
                <w:rFonts w:hint="eastAsia"/>
                <w:color w:val="auto"/>
                <w:highlight w:val="none"/>
              </w:rPr>
              <w:t>报价合计金额：</w:t>
            </w:r>
            <w:r>
              <w:rPr>
                <w:rFonts w:hint="eastAsia"/>
                <w:color w:val="auto"/>
                <w:highlight w:val="none"/>
                <w:u w:val="single"/>
              </w:rPr>
              <w:t xml:space="preserve">             </w:t>
            </w:r>
            <w:r>
              <w:rPr>
                <w:rFonts w:hint="eastAsia"/>
                <w:color w:val="auto"/>
                <w:highlight w:val="none"/>
              </w:rPr>
              <w:t>元 ，大写</w:t>
            </w:r>
            <w:r>
              <w:rPr>
                <w:rFonts w:hint="eastAsia"/>
                <w:color w:val="auto"/>
                <w:highlight w:val="none"/>
                <w:u w:val="single"/>
              </w:rPr>
              <w:t xml:space="preserve">               </w:t>
            </w:r>
            <w:r>
              <w:rPr>
                <w:rFonts w:hint="eastAsia"/>
                <w:color w:val="auto"/>
                <w:highlight w:val="none"/>
              </w:rPr>
              <w:t xml:space="preserve"> 元</w:t>
            </w:r>
          </w:p>
        </w:tc>
      </w:tr>
    </w:tbl>
    <w:p>
      <w:pPr>
        <w:pStyle w:val="109"/>
        <w:ind w:firstLine="551"/>
        <w:rPr>
          <w:rFonts w:ascii="宋体" w:hAnsi="宋体" w:cs="宋体"/>
          <w:color w:val="auto"/>
          <w:sz w:val="24"/>
          <w:szCs w:val="24"/>
          <w:highlight w:val="none"/>
        </w:rPr>
      </w:pPr>
      <w:r>
        <w:rPr>
          <w:rFonts w:hint="eastAsia" w:ascii="宋体" w:hAnsi="宋体" w:cs="宋体"/>
          <w:color w:val="auto"/>
          <w:sz w:val="24"/>
          <w:szCs w:val="24"/>
          <w:highlight w:val="none"/>
        </w:rPr>
        <w:t>注：1.供应商不在响应文件中填写并提供此表。此表为磋商结束后，由供应商填写“最终报价”（表格由磋商小组提供），经供应商法定代表人或代理人签字后密封递交给采购代理机构工作人员，由其收集齐后集中递交磋商小组。供应商在响应文件中提交此表的，不影响其响应文件的有效性，其最后报价以磋商结束后提交的“最终报价”为准。“最终报价”合计保留小数点后两位四舍五入。</w:t>
      </w:r>
    </w:p>
    <w:p>
      <w:pPr>
        <w:adjustRightInd w:val="0"/>
        <w:snapToGrid w:val="0"/>
        <w:spacing w:line="360" w:lineRule="auto"/>
        <w:ind w:firstLine="480" w:firstLineChars="200"/>
        <w:outlineLvl w:val="2"/>
        <w:rPr>
          <w:rFonts w:ascii="宋体" w:hAnsi="宋体" w:cs="宋体"/>
          <w:color w:val="auto"/>
          <w:sz w:val="24"/>
          <w:highlight w:val="none"/>
        </w:rPr>
      </w:pPr>
      <w:r>
        <w:rPr>
          <w:rFonts w:hint="eastAsia" w:ascii="宋体" w:hAnsi="宋体" w:cs="宋体"/>
          <w:color w:val="auto"/>
          <w:sz w:val="24"/>
          <w:highlight w:val="none"/>
        </w:rPr>
        <w:t>2.所有报价一律以人民币报价。采购人不接受任何非人民币币种的报价。</w:t>
      </w:r>
    </w:p>
    <w:p>
      <w:pPr>
        <w:adjustRightInd w:val="0"/>
        <w:snapToGrid w:val="0"/>
        <w:spacing w:line="360" w:lineRule="auto"/>
        <w:ind w:firstLine="480" w:firstLineChars="200"/>
        <w:outlineLvl w:val="2"/>
        <w:rPr>
          <w:rFonts w:ascii="宋体" w:hAnsi="宋体" w:cs="宋体"/>
          <w:color w:val="auto"/>
          <w:sz w:val="24"/>
          <w:highlight w:val="none"/>
        </w:rPr>
      </w:pPr>
      <w:r>
        <w:rPr>
          <w:rFonts w:hint="eastAsia" w:ascii="宋体" w:hAnsi="宋体" w:cs="宋体"/>
          <w:color w:val="auto"/>
          <w:sz w:val="24"/>
          <w:highlight w:val="none"/>
        </w:rPr>
        <w:t>3.供应商的报价是其响应本项目要求的全部工作内容的价格体现，采购人将不再支付其他额外费用。</w:t>
      </w:r>
    </w:p>
    <w:p>
      <w:pPr>
        <w:widowControl/>
        <w:tabs>
          <w:tab w:val="left" w:pos="8127"/>
        </w:tabs>
        <w:spacing w:after="0" w:line="360" w:lineRule="auto"/>
        <w:ind w:firstLine="480" w:firstLineChars="200"/>
        <w:jc w:val="left"/>
        <w:outlineLvl w:val="1"/>
        <w:rPr>
          <w:rFonts w:ascii="宋体" w:hAnsi="宋体" w:cs="宋体"/>
          <w:color w:val="auto"/>
          <w:sz w:val="24"/>
          <w:highlight w:val="none"/>
        </w:rPr>
      </w:pPr>
    </w:p>
    <w:p>
      <w:pPr>
        <w:widowControl/>
        <w:tabs>
          <w:tab w:val="left" w:pos="8127"/>
        </w:tabs>
        <w:spacing w:after="0" w:line="360" w:lineRule="auto"/>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供应商名称：XXX（盖单位公章）</w:t>
      </w:r>
    </w:p>
    <w:p>
      <w:pPr>
        <w:widowControl/>
        <w:tabs>
          <w:tab w:val="left" w:pos="8127"/>
        </w:tabs>
        <w:spacing w:after="0" w:line="360" w:lineRule="auto"/>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法定代表人/单位负责人或授权代表（签字或加盖个人印章）：XXX</w:t>
      </w:r>
    </w:p>
    <w:p>
      <w:pPr>
        <w:widowControl/>
        <w:tabs>
          <w:tab w:val="left" w:pos="8127"/>
        </w:tabs>
        <w:spacing w:after="0" w:line="360" w:lineRule="auto"/>
        <w:ind w:firstLine="480" w:firstLineChars="200"/>
        <w:jc w:val="left"/>
        <w:outlineLvl w:val="1"/>
        <w:rPr>
          <w:rFonts w:ascii="宋体" w:hAnsi="宋体" w:cs="宋体"/>
          <w:color w:val="auto"/>
          <w:sz w:val="24"/>
          <w:highlight w:val="none"/>
        </w:rPr>
      </w:pPr>
      <w:r>
        <w:rPr>
          <w:rFonts w:hint="eastAsia" w:ascii="宋体" w:hAnsi="宋体" w:cs="宋体"/>
          <w:color w:val="auto"/>
          <w:sz w:val="24"/>
          <w:highlight w:val="none"/>
        </w:rPr>
        <w:t>日期：XXX年XXX月XXX日</w:t>
      </w:r>
    </w:p>
    <w:p>
      <w:pPr>
        <w:rPr>
          <w:rFonts w:ascii="宋体" w:hAnsi="宋体" w:cs="宋体"/>
          <w:color w:val="auto"/>
          <w:highlight w:val="none"/>
        </w:rPr>
      </w:pPr>
    </w:p>
    <w:p>
      <w:pPr>
        <w:widowControl/>
        <w:spacing w:after="0" w:line="240" w:lineRule="auto"/>
        <w:jc w:val="left"/>
        <w:rPr>
          <w:rFonts w:ascii="宋体" w:hAnsi="宋体" w:cs="宋体"/>
          <w:b/>
          <w:bCs/>
          <w:color w:val="auto"/>
          <w:kern w:val="44"/>
          <w:sz w:val="36"/>
          <w:szCs w:val="36"/>
          <w:highlight w:val="none"/>
        </w:rPr>
      </w:pPr>
      <w:r>
        <w:rPr>
          <w:rFonts w:hint="eastAsia" w:ascii="宋体" w:hAnsi="宋体" w:cs="宋体"/>
          <w:color w:val="auto"/>
          <w:sz w:val="36"/>
          <w:szCs w:val="36"/>
          <w:highlight w:val="none"/>
        </w:rPr>
        <w:br w:type="page"/>
      </w:r>
    </w:p>
    <w:p>
      <w:pPr>
        <w:pStyle w:val="3"/>
        <w:numPr>
          <w:ilvl w:val="0"/>
          <w:numId w:val="8"/>
        </w:numPr>
        <w:spacing w:before="0" w:after="0" w:line="360" w:lineRule="auto"/>
        <w:jc w:val="center"/>
        <w:rPr>
          <w:rFonts w:ascii="宋体" w:hAnsi="宋体" w:cs="宋体"/>
          <w:color w:val="auto"/>
          <w:sz w:val="36"/>
          <w:szCs w:val="36"/>
          <w:highlight w:val="none"/>
        </w:rPr>
      </w:pPr>
      <w:r>
        <w:rPr>
          <w:rFonts w:hint="eastAsia" w:ascii="宋体" w:hAnsi="宋体" w:cs="宋体"/>
          <w:color w:val="auto"/>
          <w:sz w:val="36"/>
          <w:szCs w:val="36"/>
          <w:highlight w:val="none"/>
        </w:rPr>
        <w:t xml:space="preserve"> 供应商和响应产品的资格、资质性及其他类似效力要求</w:t>
      </w:r>
      <w:bookmarkEnd w:id="34"/>
      <w:bookmarkEnd w:id="35"/>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一、参加磋商的供应商应具备下列资格条件：</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（一）《中华人民共和国政府采购法》第二十二条第一款第1项至第5项规定的条件：</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w:t>
      </w:r>
      <w:r>
        <w:rPr>
          <w:rFonts w:hint="eastAsia" w:ascii="宋体" w:hAnsi="宋体" w:cs="宋体"/>
          <w:color w:val="auto"/>
          <w:spacing w:val="-4"/>
          <w:sz w:val="24"/>
          <w:highlight w:val="none"/>
        </w:rPr>
        <w:t>能力</w:t>
      </w:r>
      <w:r>
        <w:rPr>
          <w:rFonts w:hint="eastAsia" w:ascii="宋体" w:hAnsi="宋体" w:cs="宋体"/>
          <w:color w:val="auto"/>
          <w:sz w:val="24"/>
          <w:highlight w:val="none"/>
        </w:rPr>
        <w:t>；</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2.具有良好的商业信誉和</w:t>
      </w:r>
      <w:r>
        <w:rPr>
          <w:rFonts w:hint="eastAsia" w:ascii="宋体" w:hAnsi="宋体" w:cs="宋体"/>
          <w:color w:val="auto"/>
          <w:spacing w:val="-4"/>
          <w:sz w:val="24"/>
          <w:highlight w:val="none"/>
        </w:rPr>
        <w:t>健全</w:t>
      </w:r>
      <w:r>
        <w:rPr>
          <w:rFonts w:hint="eastAsia" w:ascii="宋体" w:hAnsi="宋体" w:cs="宋体"/>
          <w:color w:val="auto"/>
          <w:sz w:val="24"/>
          <w:highlight w:val="none"/>
        </w:rPr>
        <w:t>的财务会计制度；</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3.具有履行合同所必须的设备和专业技术能力；</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4.具有依法缴纳税收和</w:t>
      </w:r>
      <w:r>
        <w:rPr>
          <w:rFonts w:hint="eastAsia" w:ascii="宋体" w:hAnsi="宋体" w:cs="宋体"/>
          <w:color w:val="auto"/>
          <w:spacing w:val="-4"/>
          <w:sz w:val="24"/>
          <w:highlight w:val="none"/>
        </w:rPr>
        <w:t>社会</w:t>
      </w:r>
      <w:r>
        <w:rPr>
          <w:rFonts w:hint="eastAsia" w:ascii="宋体" w:hAnsi="宋体" w:cs="宋体"/>
          <w:color w:val="auto"/>
          <w:sz w:val="24"/>
          <w:highlight w:val="none"/>
        </w:rPr>
        <w:t>保障资金的良好记录；</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5.参加本次政府采购活动前三年内，在经营活动中没有重大违法记录。</w:t>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（二）法律、行政法规规定的其他条件：</w:t>
      </w:r>
    </w:p>
    <w:p>
      <w:pPr>
        <w:spacing w:after="0" w:line="360" w:lineRule="auto"/>
        <w:ind w:firstLine="480" w:firstLineChars="200"/>
        <w:rPr>
          <w:rFonts w:ascii="宋体" w:hAnsi="宋体" w:cs="宋体"/>
          <w:color w:val="auto"/>
          <w:spacing w:val="-4"/>
          <w:sz w:val="24"/>
          <w:highlight w:val="none"/>
        </w:rPr>
      </w:pPr>
      <w:r>
        <w:rPr>
          <w:rFonts w:hint="eastAsia" w:ascii="宋体" w:hAnsi="宋体" w:cs="宋体"/>
          <w:color w:val="auto"/>
          <w:sz w:val="24"/>
          <w:highlight w:val="none"/>
        </w:rPr>
        <w:t>1.参加本次政府采购活动，</w:t>
      </w:r>
      <w:r>
        <w:rPr>
          <w:rFonts w:hint="eastAsia" w:ascii="宋体" w:hAnsi="宋体" w:cs="宋体"/>
          <w:color w:val="auto"/>
          <w:spacing w:val="-4"/>
          <w:sz w:val="24"/>
          <w:highlight w:val="none"/>
        </w:rPr>
        <w:t>供应商</w:t>
      </w:r>
      <w:r>
        <w:rPr>
          <w:rFonts w:hint="eastAsia" w:ascii="宋体" w:hAnsi="宋体" w:cs="宋体"/>
          <w:color w:val="auto"/>
          <w:sz w:val="24"/>
          <w:highlight w:val="none"/>
        </w:rPr>
        <w:t>不存在与单位负责人为同一人或者存在直接控股、管理关系的其他供</w:t>
      </w:r>
      <w:r>
        <w:rPr>
          <w:rFonts w:hint="eastAsia" w:ascii="宋体" w:hAnsi="宋体" w:cs="宋体"/>
          <w:color w:val="auto"/>
          <w:spacing w:val="-4"/>
          <w:sz w:val="24"/>
          <w:highlight w:val="none"/>
        </w:rPr>
        <w:t>应商参与同一合同项下的政府采购活动的行为。</w:t>
      </w:r>
    </w:p>
    <w:p>
      <w:pPr>
        <w:spacing w:after="0" w:line="360" w:lineRule="auto"/>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2.参加本次政府采购活动，供应商不存在和其他供应商在同一合同项下的采购项目中，同时委托同一个自然人、同一家庭的人员、同一单位的人员作为代理人的行为。</w:t>
      </w:r>
    </w:p>
    <w:p>
      <w:pPr>
        <w:spacing w:after="0" w:line="360" w:lineRule="auto"/>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3.为采购项目提供整体设计、规范编制或者项目管理、监理、检测等服务的供应商，不得再参加该采购项目的其他采购活动。</w:t>
      </w:r>
    </w:p>
    <w:p>
      <w:pPr>
        <w:spacing w:after="0" w:line="360" w:lineRule="auto"/>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4.供应商及其现任法定代表人、主要负责人不得具有行贿犯罪记录；</w:t>
      </w:r>
    </w:p>
    <w:p>
      <w:pPr>
        <w:spacing w:after="0" w:line="360" w:lineRule="auto"/>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5.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注：采购代理机构将通过“信用中国”（www.creditchina.gov.cn）、“中国政府采购网”（www.ccgp.gov.cn）等渠道查询供应商在递交响应文件截止时间前的信用记录并保存信用记录结果网页截图。查询时以输入供应商全称搜索后的结果截图为准，如有列入失信被执行人、重大税收违法案件当事人名单、政府采购严重违法失信行为记录名单及其他不符合《中华人民共和国政府采购法》第二十二条规定条件的供应商，拒绝其参与政府采购活动。以联合体形式参加本项目采购活动，联合体成员存在不良信用记录的，视同联合体存在不良信用记录。）；②非企业参与磋商时由供应商在响应文件中自行提供承诺函，格式自拟；</w:t>
      </w:r>
    </w:p>
    <w:p>
      <w:pPr>
        <w:spacing w:after="0" w:line="360" w:lineRule="auto"/>
        <w:ind w:firstLine="464" w:firstLineChars="200"/>
        <w:rPr>
          <w:rFonts w:ascii="宋体" w:hAnsi="宋体" w:cs="宋体"/>
          <w:color w:val="auto"/>
          <w:spacing w:val="-4"/>
          <w:sz w:val="24"/>
          <w:highlight w:val="none"/>
        </w:rPr>
      </w:pPr>
      <w:r>
        <w:rPr>
          <w:rFonts w:hint="eastAsia" w:ascii="宋体" w:hAnsi="宋体" w:cs="宋体"/>
          <w:color w:val="auto"/>
          <w:spacing w:val="-4"/>
          <w:sz w:val="24"/>
          <w:highlight w:val="none"/>
        </w:rPr>
        <w:t>（6）落实政府采购政策需满足的资格要求：本项目</w:t>
      </w:r>
      <w:r>
        <w:rPr>
          <w:rFonts w:hint="eastAsia" w:ascii="宋体" w:hAnsi="宋体" w:cs="宋体"/>
          <w:color w:val="auto"/>
          <w:spacing w:val="-4"/>
          <w:sz w:val="24"/>
          <w:highlight w:val="none"/>
          <w:lang w:val="en-US" w:eastAsia="zh-CN"/>
        </w:rPr>
        <w:t>非</w:t>
      </w:r>
      <w:r>
        <w:rPr>
          <w:rFonts w:hint="eastAsia" w:ascii="宋体" w:hAnsi="宋体" w:cs="宋体"/>
          <w:color w:val="auto"/>
          <w:spacing w:val="-4"/>
          <w:sz w:val="24"/>
          <w:highlight w:val="none"/>
        </w:rPr>
        <w:t>专门面向中小企业。</w:t>
      </w:r>
    </w:p>
    <w:p>
      <w:pPr>
        <w:widowControl/>
        <w:jc w:val="left"/>
        <w:rPr>
          <w:rFonts w:ascii="宋体" w:hAnsi="宋体" w:cs="宋体"/>
          <w:b/>
          <w:bCs/>
          <w:color w:val="auto"/>
          <w:sz w:val="24"/>
          <w:highlight w:val="none"/>
        </w:rPr>
      </w:pPr>
      <w:r>
        <w:rPr>
          <w:rFonts w:hint="eastAsia" w:ascii="宋体" w:hAnsi="宋体" w:cs="宋体"/>
          <w:b/>
          <w:bCs/>
          <w:color w:val="auto"/>
          <w:sz w:val="24"/>
          <w:highlight w:val="none"/>
        </w:rPr>
        <w:t>（三）根据采购项目提出的特殊条件：无</w:t>
      </w:r>
    </w:p>
    <w:p>
      <w:pPr>
        <w:widowControl/>
        <w:jc w:val="left"/>
        <w:rPr>
          <w:rFonts w:ascii="宋体" w:hAnsi="宋体" w:cs="宋体"/>
          <w:b/>
          <w:bCs/>
          <w:color w:val="auto"/>
          <w:sz w:val="24"/>
          <w:highlight w:val="none"/>
        </w:rPr>
      </w:pPr>
      <w:r>
        <w:rPr>
          <w:rFonts w:hint="eastAsia" w:ascii="宋体" w:hAnsi="宋体" w:cs="宋体"/>
          <w:b/>
          <w:bCs/>
          <w:color w:val="auto"/>
          <w:sz w:val="24"/>
          <w:highlight w:val="none"/>
        </w:rPr>
        <w:t>（四）本项目不接受联合体投标。</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本项目确定供应商重大违法记录中较大数额罚款的金额标准为：若采购项目所属行业行政主管部门对较大数额罚款金额标准有明文规定的，以所属行业行政主管部门规定的较大数额罚款金额标准；若采购项目所属行业行政主管部门对较大</w:t>
      </w:r>
      <w:r>
        <w:rPr>
          <w:rFonts w:hint="eastAsia" w:ascii="宋体" w:hAnsi="宋体" w:cs="宋体"/>
          <w:color w:val="auto"/>
          <w:spacing w:val="-4"/>
          <w:sz w:val="24"/>
          <w:highlight w:val="none"/>
        </w:rPr>
        <w:t>数额</w:t>
      </w:r>
      <w:r>
        <w:rPr>
          <w:rFonts w:hint="eastAsia" w:ascii="宋体" w:hAnsi="宋体" w:cs="宋体"/>
          <w:color w:val="auto"/>
          <w:sz w:val="24"/>
          <w:highlight w:val="none"/>
        </w:rPr>
        <w:t>罚款金额标准未明文规定的，以四川省人民政府规定的行政处罚罚款听证标准金额为准。</w:t>
      </w:r>
    </w:p>
    <w:p>
      <w:pPr>
        <w:rPr>
          <w:rFonts w:ascii="宋体" w:hAnsi="宋体" w:cs="宋体"/>
          <w:color w:val="auto"/>
          <w:highlight w:val="none"/>
        </w:rPr>
      </w:pPr>
    </w:p>
    <w:p>
      <w:pPr>
        <w:pStyle w:val="3"/>
        <w:spacing w:before="0" w:after="0" w:line="360" w:lineRule="auto"/>
        <w:jc w:val="center"/>
        <w:rPr>
          <w:rFonts w:ascii="宋体" w:hAnsi="宋体" w:cs="宋体"/>
          <w:color w:val="auto"/>
          <w:sz w:val="36"/>
          <w:szCs w:val="36"/>
          <w:highlight w:val="none"/>
        </w:rPr>
      </w:pPr>
      <w:bookmarkStart w:id="36" w:name="_Toc73912826"/>
      <w:bookmarkStart w:id="37" w:name="_Toc1588"/>
    </w:p>
    <w:p>
      <w:pPr>
        <w:pStyle w:val="3"/>
        <w:spacing w:before="0" w:after="0" w:line="360" w:lineRule="auto"/>
        <w:jc w:val="center"/>
        <w:rPr>
          <w:rFonts w:ascii="宋体" w:hAnsi="宋体" w:cs="宋体"/>
          <w:color w:val="auto"/>
          <w:sz w:val="36"/>
          <w:szCs w:val="36"/>
          <w:highlight w:val="none"/>
        </w:rPr>
      </w:pPr>
    </w:p>
    <w:p>
      <w:pPr>
        <w:pStyle w:val="3"/>
        <w:spacing w:before="0" w:after="0" w:line="360" w:lineRule="auto"/>
        <w:jc w:val="center"/>
        <w:rPr>
          <w:rFonts w:ascii="宋体" w:hAnsi="宋体" w:cs="宋体"/>
          <w:color w:val="auto"/>
          <w:sz w:val="36"/>
          <w:szCs w:val="36"/>
          <w:highlight w:val="none"/>
        </w:rPr>
      </w:pPr>
    </w:p>
    <w:p>
      <w:pPr>
        <w:pStyle w:val="3"/>
        <w:spacing w:before="0" w:after="0" w:line="360" w:lineRule="auto"/>
        <w:jc w:val="center"/>
        <w:rPr>
          <w:rFonts w:ascii="宋体" w:hAnsi="宋体" w:cs="宋体"/>
          <w:color w:val="auto"/>
          <w:sz w:val="36"/>
          <w:szCs w:val="36"/>
          <w:highlight w:val="none"/>
        </w:rPr>
      </w:pPr>
    </w:p>
    <w:p>
      <w:pPr>
        <w:pStyle w:val="3"/>
        <w:spacing w:before="0" w:after="0" w:line="360" w:lineRule="auto"/>
        <w:jc w:val="center"/>
        <w:rPr>
          <w:rFonts w:ascii="宋体" w:hAnsi="宋体" w:cs="宋体"/>
          <w:color w:val="auto"/>
          <w:sz w:val="36"/>
          <w:szCs w:val="36"/>
          <w:highlight w:val="none"/>
        </w:rPr>
      </w:pPr>
    </w:p>
    <w:p>
      <w:pPr>
        <w:pStyle w:val="3"/>
        <w:spacing w:before="0" w:after="0" w:line="360" w:lineRule="auto"/>
        <w:jc w:val="center"/>
        <w:rPr>
          <w:rFonts w:ascii="宋体" w:hAnsi="宋体" w:cs="宋体"/>
          <w:color w:val="auto"/>
          <w:sz w:val="36"/>
          <w:szCs w:val="36"/>
          <w:highlight w:val="none"/>
        </w:rPr>
      </w:pPr>
    </w:p>
    <w:p>
      <w:pPr>
        <w:pStyle w:val="3"/>
        <w:spacing w:before="0" w:after="0" w:line="360" w:lineRule="auto"/>
        <w:jc w:val="center"/>
        <w:rPr>
          <w:rFonts w:ascii="宋体" w:hAnsi="宋体" w:cs="宋体"/>
          <w:color w:val="auto"/>
          <w:sz w:val="36"/>
          <w:szCs w:val="36"/>
          <w:highlight w:val="none"/>
        </w:rPr>
      </w:pPr>
    </w:p>
    <w:p>
      <w:pPr>
        <w:pStyle w:val="3"/>
        <w:spacing w:before="0" w:after="0" w:line="360" w:lineRule="auto"/>
        <w:jc w:val="center"/>
        <w:rPr>
          <w:rFonts w:ascii="宋体" w:hAnsi="宋体" w:cs="宋体"/>
          <w:color w:val="auto"/>
          <w:sz w:val="36"/>
          <w:szCs w:val="36"/>
          <w:highlight w:val="none"/>
        </w:rPr>
      </w:pPr>
    </w:p>
    <w:p>
      <w:pPr>
        <w:pStyle w:val="3"/>
        <w:spacing w:before="0" w:after="0" w:line="360" w:lineRule="auto"/>
        <w:jc w:val="center"/>
        <w:rPr>
          <w:rFonts w:ascii="宋体" w:hAnsi="宋体" w:cs="宋体"/>
          <w:color w:val="auto"/>
          <w:sz w:val="36"/>
          <w:szCs w:val="36"/>
          <w:highlight w:val="none"/>
        </w:rPr>
      </w:pPr>
    </w:p>
    <w:p>
      <w:pPr>
        <w:pStyle w:val="3"/>
        <w:spacing w:before="0" w:after="0" w:line="360" w:lineRule="auto"/>
        <w:jc w:val="center"/>
        <w:rPr>
          <w:rFonts w:ascii="宋体" w:hAnsi="宋体" w:cs="宋体"/>
          <w:color w:val="auto"/>
          <w:sz w:val="36"/>
          <w:szCs w:val="36"/>
          <w:highlight w:val="none"/>
        </w:rPr>
      </w:pPr>
    </w:p>
    <w:p>
      <w:pPr>
        <w:pStyle w:val="3"/>
        <w:spacing w:before="0" w:after="0" w:line="360" w:lineRule="auto"/>
        <w:jc w:val="center"/>
        <w:rPr>
          <w:rFonts w:ascii="宋体" w:hAnsi="宋体" w:cs="宋体"/>
          <w:color w:val="auto"/>
          <w:sz w:val="36"/>
          <w:szCs w:val="36"/>
          <w:highlight w:val="none"/>
        </w:rPr>
      </w:pPr>
    </w:p>
    <w:p>
      <w:pPr>
        <w:pStyle w:val="3"/>
        <w:spacing w:before="0" w:after="0" w:line="360" w:lineRule="auto"/>
        <w:jc w:val="center"/>
        <w:rPr>
          <w:rFonts w:ascii="宋体" w:hAnsi="宋体" w:cs="宋体"/>
          <w:color w:val="auto"/>
          <w:sz w:val="36"/>
          <w:szCs w:val="36"/>
          <w:highlight w:val="none"/>
        </w:rPr>
      </w:pPr>
    </w:p>
    <w:p>
      <w:pPr>
        <w:pStyle w:val="3"/>
        <w:spacing w:before="0" w:after="0" w:line="360" w:lineRule="auto"/>
        <w:jc w:val="center"/>
        <w:rPr>
          <w:rFonts w:ascii="宋体" w:hAnsi="宋体" w:cs="宋体"/>
          <w:color w:val="auto"/>
          <w:sz w:val="36"/>
          <w:szCs w:val="36"/>
          <w:highlight w:val="none"/>
        </w:rPr>
      </w:pPr>
    </w:p>
    <w:p>
      <w:pPr>
        <w:pStyle w:val="3"/>
        <w:spacing w:before="0" w:after="0" w:line="360" w:lineRule="auto"/>
        <w:jc w:val="center"/>
        <w:rPr>
          <w:rFonts w:ascii="宋体" w:hAnsi="宋体" w:cs="宋体"/>
          <w:color w:val="auto"/>
          <w:sz w:val="36"/>
          <w:szCs w:val="36"/>
          <w:highlight w:val="none"/>
        </w:rPr>
      </w:pPr>
    </w:p>
    <w:p>
      <w:pPr>
        <w:rPr>
          <w:rFonts w:ascii="宋体" w:hAnsi="宋体" w:cs="宋体"/>
          <w:color w:val="auto"/>
          <w:sz w:val="36"/>
          <w:szCs w:val="36"/>
          <w:highlight w:val="none"/>
        </w:rPr>
      </w:pPr>
      <w:r>
        <w:rPr>
          <w:rFonts w:hint="eastAsia" w:ascii="宋体" w:hAnsi="宋体" w:cs="宋体"/>
          <w:color w:val="auto"/>
          <w:sz w:val="36"/>
          <w:szCs w:val="36"/>
          <w:highlight w:val="none"/>
        </w:rPr>
        <w:br w:type="page"/>
      </w:r>
    </w:p>
    <w:p>
      <w:pPr>
        <w:pStyle w:val="3"/>
        <w:numPr>
          <w:ilvl w:val="0"/>
          <w:numId w:val="8"/>
        </w:numPr>
        <w:spacing w:before="0" w:after="0" w:line="360" w:lineRule="auto"/>
        <w:jc w:val="center"/>
        <w:rPr>
          <w:rFonts w:ascii="宋体" w:hAnsi="宋体" w:cs="宋体"/>
          <w:color w:val="auto"/>
          <w:sz w:val="36"/>
          <w:szCs w:val="36"/>
          <w:highlight w:val="none"/>
        </w:rPr>
      </w:pPr>
      <w:r>
        <w:rPr>
          <w:rFonts w:hint="eastAsia" w:ascii="宋体" w:hAnsi="宋体" w:cs="宋体"/>
          <w:color w:val="auto"/>
          <w:sz w:val="36"/>
          <w:szCs w:val="36"/>
          <w:highlight w:val="none"/>
        </w:rPr>
        <w:t xml:space="preserve"> 供应商应当提供的资格、资质性及其他类似效力要求的相关证明材料</w:t>
      </w:r>
      <w:bookmarkEnd w:id="30"/>
      <w:bookmarkEnd w:id="36"/>
      <w:bookmarkEnd w:id="37"/>
      <w:bookmarkStart w:id="38" w:name="_Toc217446093"/>
    </w:p>
    <w:p>
      <w:pPr>
        <w:ind w:firstLine="236" w:firstLineChars="98"/>
        <w:rPr>
          <w:rFonts w:ascii="宋体" w:hAnsi="宋体" w:cs="宋体"/>
          <w:b/>
          <w:bCs/>
          <w:color w:val="auto"/>
          <w:sz w:val="24"/>
          <w:highlight w:val="none"/>
        </w:rPr>
      </w:pPr>
      <w:r>
        <w:rPr>
          <w:rFonts w:hint="eastAsia" w:ascii="宋体" w:hAnsi="宋体" w:cs="宋体"/>
          <w:b/>
          <w:bCs/>
          <w:color w:val="auto"/>
          <w:sz w:val="24"/>
          <w:highlight w:val="none"/>
        </w:rPr>
        <w:t>一、资格要求相关证明材料：</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有关注册登记证照”；④若为自然人：提供“身份证明材料”。）</w:t>
      </w:r>
      <w:r>
        <w:rPr>
          <w:rFonts w:hint="eastAsia" w:ascii="宋体" w:hAnsi="宋体" w:cs="宋体"/>
          <w:b/>
          <w:bCs/>
          <w:color w:val="auto"/>
          <w:sz w:val="24"/>
          <w:highlight w:val="none"/>
        </w:rPr>
        <w:t>（提供复印件加盖公章）；</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2.具备良好商业信誉的证明材料</w:t>
      </w:r>
      <w:r>
        <w:rPr>
          <w:rFonts w:hint="eastAsia" w:ascii="宋体" w:hAnsi="宋体" w:cs="宋体"/>
          <w:b/>
          <w:bCs/>
          <w:color w:val="auto"/>
          <w:sz w:val="24"/>
          <w:highlight w:val="none"/>
        </w:rPr>
        <w:t>（提供承诺函）</w:t>
      </w:r>
      <w:r>
        <w:rPr>
          <w:rFonts w:hint="eastAsia" w:ascii="宋体" w:hAnsi="宋体" w:cs="宋体"/>
          <w:color w:val="auto"/>
          <w:sz w:val="24"/>
          <w:highlight w:val="none"/>
        </w:rPr>
        <w:t>；</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备健全的财务会计制度的证明材料：｛注：①可提供2019年度或者2020年度经审计的财务报告复印件（包含审计报告和审计报告中所涉及的财务报表和报表附注），②也可提供2019年度或者2020年度供应商内部的财务报表复印件（至少包含资产负债表），③也可提供距文件递交截止日一年内银行出具的资信证明（复印件）④供应商注册时间截至投标文件递交截止日不足一年的，也可提供在工商备案的公司章程（复印件）。⑤供应商为事业单位或其他组织的提供其具有健全的财务会计制度的承诺函原件即可。｝；</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4.具有依法缴纳税收和社会保障资金的良好记录</w:t>
      </w:r>
      <w:r>
        <w:rPr>
          <w:rFonts w:hint="eastAsia" w:ascii="宋体" w:hAnsi="宋体" w:cs="宋体"/>
          <w:b/>
          <w:bCs/>
          <w:color w:val="auto"/>
          <w:sz w:val="24"/>
          <w:highlight w:val="none"/>
        </w:rPr>
        <w:t>；（提供承诺函）</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5.具备履行合同所必需的设备和专业技术能力的证明材料</w:t>
      </w:r>
      <w:r>
        <w:rPr>
          <w:rFonts w:hint="eastAsia" w:ascii="宋体" w:hAnsi="宋体" w:cs="宋体"/>
          <w:b/>
          <w:bCs/>
          <w:color w:val="auto"/>
          <w:sz w:val="24"/>
          <w:highlight w:val="none"/>
        </w:rPr>
        <w:t>（提供承诺函）</w:t>
      </w:r>
      <w:r>
        <w:rPr>
          <w:rFonts w:hint="eastAsia" w:ascii="宋体" w:hAnsi="宋体" w:cs="宋体"/>
          <w:color w:val="auto"/>
          <w:sz w:val="24"/>
          <w:highlight w:val="none"/>
        </w:rPr>
        <w:t>；</w:t>
      </w:r>
    </w:p>
    <w:p>
      <w:pPr>
        <w:spacing w:after="0" w:line="360" w:lineRule="auto"/>
        <w:ind w:firstLine="480" w:firstLineChars="200"/>
        <w:rPr>
          <w:rFonts w:ascii="宋体" w:hAnsi="宋体" w:cs="宋体"/>
          <w:color w:val="auto"/>
          <w:highlight w:val="none"/>
        </w:rPr>
      </w:pPr>
      <w:r>
        <w:rPr>
          <w:rFonts w:hint="eastAsia" w:ascii="宋体" w:hAnsi="宋体" w:cs="宋体"/>
          <w:color w:val="auto"/>
          <w:sz w:val="24"/>
          <w:highlight w:val="none"/>
        </w:rPr>
        <w:t>6.参加本次政府采购活动前三年内，在经营活动中没有重大违法记录的承诺函</w:t>
      </w:r>
      <w:r>
        <w:rPr>
          <w:rFonts w:hint="eastAsia" w:ascii="宋体" w:hAnsi="宋体" w:cs="宋体"/>
          <w:b/>
          <w:bCs/>
          <w:color w:val="auto"/>
          <w:sz w:val="24"/>
          <w:highlight w:val="none"/>
        </w:rPr>
        <w:t>（提供承诺函）</w:t>
      </w:r>
      <w:r>
        <w:rPr>
          <w:rFonts w:hint="eastAsia" w:ascii="宋体" w:hAnsi="宋体" w:cs="宋体"/>
          <w:color w:val="auto"/>
          <w:sz w:val="24"/>
          <w:highlight w:val="none"/>
        </w:rPr>
        <w:t>；</w:t>
      </w:r>
    </w:p>
    <w:p>
      <w:pPr>
        <w:spacing w:after="50" w:line="420" w:lineRule="exact"/>
        <w:rPr>
          <w:rFonts w:ascii="宋体" w:hAnsi="宋体" w:cs="宋体"/>
          <w:b/>
          <w:bCs/>
          <w:color w:val="auto"/>
          <w:sz w:val="24"/>
          <w:highlight w:val="none"/>
        </w:rPr>
      </w:pPr>
      <w:r>
        <w:rPr>
          <w:rFonts w:hint="eastAsia" w:ascii="宋体" w:hAnsi="宋体" w:cs="宋体"/>
          <w:b/>
          <w:bCs/>
          <w:color w:val="auto"/>
          <w:sz w:val="24"/>
          <w:highlight w:val="none"/>
        </w:rPr>
        <w:t>二、法律、行政法规规定的其他条件：</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1.供应商与其他供应商之间，单位负责人不为同一人而且不存在直接控股、管理关系。</w:t>
      </w:r>
      <w:r>
        <w:rPr>
          <w:rFonts w:hint="eastAsia" w:ascii="宋体" w:hAnsi="宋体" w:cs="宋体"/>
          <w:b/>
          <w:bCs/>
          <w:color w:val="auto"/>
          <w:sz w:val="24"/>
          <w:highlight w:val="none"/>
        </w:rPr>
        <w:t>（提供承诺函）</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2.参加本次政府采购活动，供应商不存在和其他供应商在同一合同项下的采购项目中，同时委托同一个自然人、同一家庭的人员、同一单位的人员作为代理人的行为。</w:t>
      </w:r>
      <w:r>
        <w:rPr>
          <w:rFonts w:hint="eastAsia" w:ascii="宋体" w:hAnsi="宋体" w:cs="宋体"/>
          <w:b/>
          <w:bCs/>
          <w:color w:val="auto"/>
          <w:sz w:val="24"/>
          <w:highlight w:val="none"/>
        </w:rPr>
        <w:t>（提供承诺函）</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3.提供为采购项目提供整体设计、规范编制或者项目管理、监理、检测等服务的供应商，不得再参加该采购项目的其他采购活动的承诺函</w:t>
      </w:r>
      <w:r>
        <w:rPr>
          <w:rFonts w:hint="eastAsia" w:ascii="宋体" w:hAnsi="宋体" w:cs="宋体"/>
          <w:b/>
          <w:bCs/>
          <w:color w:val="auto"/>
          <w:sz w:val="24"/>
          <w:highlight w:val="none"/>
        </w:rPr>
        <w:t>（提供承诺函）</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4.提供供应商单位及其现任法定代表人、主要负责人不具有行贿犯罪记录承诺函原件。</w:t>
      </w:r>
      <w:r>
        <w:rPr>
          <w:rFonts w:hint="eastAsia" w:ascii="宋体" w:hAnsi="宋体" w:cs="宋体"/>
          <w:b/>
          <w:bCs/>
          <w:color w:val="auto"/>
          <w:sz w:val="24"/>
          <w:highlight w:val="none"/>
        </w:rPr>
        <w:t>（提供承诺函）</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注：采购代理机构将通过“信用中国”（www.creditchina.gov.cn）、“中国政府采购网”（www.ccgp.gov.cn）等渠道查询供应商在递交响应文件截止时间前的信用记录并保存信用记录结果网页截图。查询时以输入供应商全称搜索后的结果截图为准，如有列入失信被执行人、重大税收违法案件当事人名单、政府采购严重违法失信行为记录名单及其他不符合《中华人民共和国政府采购法》第二十二条规定条件的供应商，拒绝其参与政府采购活动。以联合体形式参加本项目采购活动，联合体成员存在不良信用记录的，视同联合体存在不良信用记录。）；②非企业参与磋商时由供应商在响应文件中自行提供承诺函，格式自拟；</w:t>
      </w:r>
    </w:p>
    <w:p>
      <w:pPr>
        <w:spacing w:after="0" w:line="360" w:lineRule="auto"/>
        <w:ind w:firstLine="480" w:firstLineChars="200"/>
        <w:rPr>
          <w:rFonts w:ascii="宋体" w:hAnsi="宋体" w:cs="宋体"/>
          <w:b/>
          <w:bCs/>
          <w:color w:val="auto"/>
          <w:sz w:val="24"/>
          <w:highlight w:val="none"/>
        </w:rPr>
      </w:pPr>
      <w:r>
        <w:rPr>
          <w:rFonts w:hint="eastAsia" w:ascii="宋体" w:hAnsi="宋体" w:cs="宋体"/>
          <w:color w:val="auto"/>
          <w:sz w:val="24"/>
          <w:highlight w:val="none"/>
        </w:rPr>
        <w:t>（6）落实政府采购政策需满足的资格要求：本项目</w:t>
      </w:r>
      <w:r>
        <w:rPr>
          <w:rFonts w:hint="eastAsia" w:ascii="宋体" w:hAnsi="宋体" w:cs="宋体"/>
          <w:color w:val="auto"/>
          <w:sz w:val="24"/>
          <w:highlight w:val="none"/>
          <w:lang w:val="en-US" w:eastAsia="zh-CN"/>
        </w:rPr>
        <w:t>非</w:t>
      </w:r>
      <w:r>
        <w:rPr>
          <w:rFonts w:hint="eastAsia" w:ascii="宋体" w:hAnsi="宋体" w:cs="宋体"/>
          <w:color w:val="auto"/>
          <w:sz w:val="24"/>
          <w:highlight w:val="none"/>
        </w:rPr>
        <w:t>专门面向中小企业。</w:t>
      </w:r>
    </w:p>
    <w:p>
      <w:pPr>
        <w:rPr>
          <w:rFonts w:ascii="宋体" w:hAnsi="宋体" w:cs="宋体"/>
          <w:b/>
          <w:bCs/>
          <w:color w:val="auto"/>
          <w:sz w:val="24"/>
          <w:highlight w:val="none"/>
        </w:rPr>
      </w:pPr>
      <w:r>
        <w:rPr>
          <w:rFonts w:hint="eastAsia" w:ascii="宋体" w:hAnsi="宋体" w:cs="宋体"/>
          <w:b/>
          <w:bCs/>
          <w:color w:val="auto"/>
          <w:sz w:val="24"/>
          <w:highlight w:val="none"/>
        </w:rPr>
        <w:t>三、根据采购项目提出的特殊条件：无</w:t>
      </w:r>
    </w:p>
    <w:p>
      <w:pPr>
        <w:rPr>
          <w:rFonts w:ascii="宋体" w:hAnsi="宋体" w:cs="宋体"/>
          <w:b/>
          <w:bCs/>
          <w:color w:val="auto"/>
          <w:sz w:val="24"/>
          <w:highlight w:val="none"/>
        </w:rPr>
      </w:pPr>
      <w:r>
        <w:rPr>
          <w:rFonts w:hint="eastAsia" w:ascii="宋体" w:hAnsi="宋体" w:cs="宋体"/>
          <w:b/>
          <w:bCs/>
          <w:color w:val="auto"/>
          <w:sz w:val="24"/>
          <w:highlight w:val="none"/>
        </w:rPr>
        <w:t>四、供应商应提供其他类似效力要求的相关证明材料:</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1.法定代表人授权书原件(法定代表人参与投标时不需要提供授权书，但须提供法定代表人身份证明）；</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法定代表人和授权代表身份证明复印件（法定代表人参与投标时只需提供法定代表人身份证明复印件，授权代表参与投标时需提供法定代表人和授权代表身份证明复印件，复印件均需加盖公章，身份证明文件包括居民身份证、军官证、外籍人员的护照等，身份证明文件应同时提供其在有效期的材料）。</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注：1）以上承诺函(可参照第七章响应文件格式“承诺函”格式或自拟格式填写均有效)。</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2）供应商提供的以上资格证明材料为复印件的均应加盖供应商公章。</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3）供应商应对其所提供的资格证明材料来源的合法性、真实性负责。</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4）以上要求提供的相关证明材料应当结合采购项目具体情况和供应商的组织机构性质确定，不得一概而论。</w:t>
      </w:r>
    </w:p>
    <w:p>
      <w:pPr>
        <w:rPr>
          <w:rFonts w:ascii="宋体" w:hAnsi="宋体" w:cs="宋体"/>
          <w:color w:val="auto"/>
          <w:highlight w:val="none"/>
        </w:rPr>
      </w:pPr>
    </w:p>
    <w:p>
      <w:pPr>
        <w:pStyle w:val="27"/>
        <w:ind w:left="840" w:hanging="420"/>
        <w:rPr>
          <w:rFonts w:ascii="宋体" w:hAnsi="宋体" w:cs="宋体"/>
          <w:color w:val="auto"/>
          <w:highlight w:val="none"/>
        </w:rPr>
      </w:pPr>
    </w:p>
    <w:p>
      <w:pPr>
        <w:pStyle w:val="27"/>
        <w:ind w:left="0" w:leftChars="0" w:firstLine="0" w:firstLineChars="0"/>
        <w:rPr>
          <w:rFonts w:ascii="宋体" w:hAnsi="宋体" w:cs="宋体"/>
          <w:color w:val="auto"/>
          <w:highlight w:val="none"/>
        </w:rPr>
      </w:pPr>
    </w:p>
    <w:p>
      <w:pPr>
        <w:rPr>
          <w:rFonts w:hint="eastAsia" w:ascii="宋体" w:hAnsi="宋体" w:eastAsia="宋体" w:cs="宋体"/>
          <w:color w:val="auto"/>
          <w:sz w:val="36"/>
          <w:szCs w:val="36"/>
          <w:highlight w:val="none"/>
        </w:rPr>
      </w:pPr>
      <w:bookmarkStart w:id="39" w:name="_Toc73912827"/>
      <w:bookmarkStart w:id="40" w:name="PO_默认文件内容_32"/>
      <w:r>
        <w:rPr>
          <w:rFonts w:hint="eastAsia" w:ascii="宋体" w:hAnsi="宋体" w:eastAsia="宋体" w:cs="宋体"/>
          <w:color w:val="auto"/>
          <w:sz w:val="36"/>
          <w:szCs w:val="36"/>
          <w:highlight w:val="none"/>
        </w:rPr>
        <w:br w:type="page"/>
      </w:r>
    </w:p>
    <w:p>
      <w:pPr>
        <w:pStyle w:val="31"/>
        <w:rPr>
          <w:rFonts w:ascii="宋体" w:hAnsi="宋体" w:eastAsia="宋体" w:cs="宋体"/>
          <w:color w:val="auto"/>
          <w:sz w:val="36"/>
          <w:szCs w:val="36"/>
          <w:highlight w:val="none"/>
        </w:rPr>
      </w:pPr>
      <w:r>
        <w:rPr>
          <w:rFonts w:hint="eastAsia" w:ascii="宋体" w:hAnsi="宋体" w:eastAsia="宋体" w:cs="宋体"/>
          <w:color w:val="auto"/>
          <w:sz w:val="36"/>
          <w:szCs w:val="36"/>
          <w:highlight w:val="none"/>
        </w:rPr>
        <w:t xml:space="preserve">第六章 </w:t>
      </w:r>
      <w:bookmarkEnd w:id="38"/>
      <w:bookmarkEnd w:id="39"/>
      <w:bookmarkStart w:id="41" w:name="_Toc24786"/>
      <w:r>
        <w:rPr>
          <w:rFonts w:hint="eastAsia" w:ascii="宋体" w:hAnsi="宋体" w:eastAsia="宋体" w:cs="宋体"/>
          <w:color w:val="auto"/>
          <w:sz w:val="36"/>
          <w:szCs w:val="36"/>
          <w:highlight w:val="none"/>
        </w:rPr>
        <w:t>采购项目技术、服务及其他商务要求</w:t>
      </w:r>
    </w:p>
    <w:p>
      <w:pPr>
        <w:pStyle w:val="3"/>
        <w:spacing w:before="0" w:after="0" w:line="360" w:lineRule="auto"/>
        <w:jc w:val="center"/>
        <w:rPr>
          <w:rFonts w:ascii="宋体" w:hAnsi="宋体" w:cs="宋体"/>
          <w:color w:val="auto"/>
          <w:sz w:val="36"/>
          <w:szCs w:val="36"/>
          <w:highlight w:val="none"/>
        </w:rPr>
      </w:pPr>
    </w:p>
    <w:p>
      <w:pPr>
        <w:pStyle w:val="7"/>
        <w:spacing w:after="0" w:line="360" w:lineRule="auto"/>
        <w:jc w:val="both"/>
        <w:rPr>
          <w:rFonts w:ascii="宋体" w:hAnsi="宋体" w:eastAsia="宋体" w:cs="宋体"/>
          <w:color w:val="auto"/>
          <w:sz w:val="24"/>
          <w:highlight w:val="none"/>
          <w:lang w:val="en-US"/>
        </w:rPr>
      </w:pPr>
      <w:r>
        <w:rPr>
          <w:rFonts w:hint="eastAsia" w:ascii="宋体" w:hAnsi="宋体" w:eastAsia="宋体" w:cs="宋体"/>
          <w:color w:val="auto"/>
          <w:sz w:val="24"/>
          <w:highlight w:val="none"/>
          <w:lang w:val="en-US"/>
        </w:rPr>
        <w:t>本章中标注“▲”的条款为本次采购项目的实质性要求条款，供应商应全部满足，否则作无效响应处理。标注“★”的条款为本次采购的重要参数，不响应或负偏离将影响供应商得分。</w:t>
      </w:r>
    </w:p>
    <w:p>
      <w:pPr>
        <w:spacing w:after="0" w:line="360" w:lineRule="auto"/>
        <w:ind w:firstLine="480" w:firstLineChars="200"/>
        <w:rPr>
          <w:rFonts w:ascii="宋体" w:hAnsi="宋体" w:cs="宋体"/>
          <w:color w:val="auto"/>
          <w:sz w:val="24"/>
          <w:highlight w:val="none"/>
        </w:rPr>
      </w:pP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一、项目概述</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本项目为成都东部新区应急安全管理局水库动态监管预警系统升级改造项目。</w:t>
      </w:r>
    </w:p>
    <w:p>
      <w:pPr>
        <w:spacing w:after="0" w:line="360" w:lineRule="auto"/>
        <w:ind w:firstLine="482" w:firstLineChars="200"/>
        <w:rPr>
          <w:color w:val="auto"/>
          <w:highlight w:val="none"/>
        </w:rPr>
      </w:pPr>
      <w:bookmarkStart w:id="42" w:name="_Toc73912828"/>
      <w:r>
        <w:rPr>
          <w:rFonts w:hint="eastAsia" w:ascii="宋体" w:hAnsi="宋体" w:cs="宋体"/>
          <w:b/>
          <w:bCs/>
          <w:color w:val="auto"/>
          <w:sz w:val="24"/>
          <w:highlight w:val="none"/>
        </w:rPr>
        <w:t>二、设备清单及技术参数表（本项目不允许进口产品参与）</w:t>
      </w:r>
    </w:p>
    <w:tbl>
      <w:tblPr>
        <w:tblStyle w:val="34"/>
        <w:tblpPr w:leftFromText="180" w:rightFromText="180" w:vertAnchor="text" w:horzAnchor="page" w:tblpXSpec="center" w:tblpY="839"/>
        <w:tblOverlap w:val="never"/>
        <w:tblW w:w="96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62"/>
        <w:gridCol w:w="1287"/>
        <w:gridCol w:w="5358"/>
        <w:gridCol w:w="801"/>
        <w:gridCol w:w="840"/>
        <w:gridCol w:w="8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18"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0"/>
                <w:sz w:val="24"/>
                <w:szCs w:val="24"/>
                <w:highlight w:val="none"/>
                <w:lang w:val="en-US" w:eastAsia="zh-CN" w:bidi="ar"/>
              </w:rPr>
              <w:t>序号</w:t>
            </w:r>
          </w:p>
        </w:tc>
        <w:tc>
          <w:tcPr>
            <w:tcW w:w="1287" w:type="dxa"/>
            <w:tcBorders>
              <w:top w:val="single" w:color="000000" w:sz="4" w:space="0"/>
              <w:left w:val="nil"/>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0"/>
                <w:sz w:val="24"/>
                <w:szCs w:val="24"/>
                <w:highlight w:val="none"/>
                <w:lang w:val="en-US" w:eastAsia="zh-CN" w:bidi="ar"/>
              </w:rPr>
              <w:t>分项名称</w:t>
            </w:r>
          </w:p>
        </w:tc>
        <w:tc>
          <w:tcPr>
            <w:tcW w:w="5358" w:type="dxa"/>
            <w:tcBorders>
              <w:top w:val="single" w:color="000000" w:sz="4" w:space="0"/>
              <w:left w:val="nil"/>
              <w:bottom w:val="nil"/>
              <w:right w:val="single" w:color="000000" w:sz="4" w:space="0"/>
            </w:tcBorders>
            <w:shd w:val="clear" w:color="auto" w:fill="FFFFFF"/>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b/>
                <w:bCs w:val="0"/>
                <w:color w:val="auto"/>
                <w:kern w:val="0"/>
                <w:sz w:val="24"/>
                <w:szCs w:val="24"/>
                <w:highlight w:val="none"/>
                <w:lang w:val="en-US"/>
              </w:rPr>
            </w:pPr>
            <w:r>
              <w:rPr>
                <w:rFonts w:hint="eastAsia" w:ascii="宋体" w:hAnsi="宋体" w:eastAsia="宋体" w:cs="宋体"/>
                <w:b/>
                <w:bCs w:val="0"/>
                <w:color w:val="auto"/>
                <w:kern w:val="0"/>
                <w:sz w:val="24"/>
                <w:szCs w:val="24"/>
                <w:highlight w:val="none"/>
                <w:lang w:val="en-US" w:eastAsia="zh-CN" w:bidi="ar"/>
              </w:rPr>
              <w:t>技术参数</w:t>
            </w:r>
          </w:p>
        </w:tc>
        <w:tc>
          <w:tcPr>
            <w:tcW w:w="801" w:type="dxa"/>
            <w:tcBorders>
              <w:top w:val="single" w:color="000000" w:sz="4" w:space="0"/>
              <w:left w:val="nil"/>
              <w:bottom w:val="nil"/>
              <w:right w:val="single" w:color="000000" w:sz="4" w:space="0"/>
            </w:tcBorders>
            <w:shd w:val="clear" w:color="auto" w:fill="FFFFFF"/>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b/>
                <w:bCs w:val="0"/>
                <w:color w:val="auto"/>
                <w:kern w:val="0"/>
                <w:sz w:val="24"/>
                <w:szCs w:val="24"/>
                <w:highlight w:val="none"/>
                <w:lang w:val="en-US"/>
              </w:rPr>
            </w:pPr>
            <w:r>
              <w:rPr>
                <w:rFonts w:hint="eastAsia" w:ascii="宋体" w:hAnsi="宋体" w:eastAsia="宋体" w:cs="宋体"/>
                <w:b/>
                <w:bCs w:val="0"/>
                <w:color w:val="auto"/>
                <w:kern w:val="0"/>
                <w:sz w:val="24"/>
                <w:szCs w:val="24"/>
                <w:highlight w:val="none"/>
                <w:lang w:val="en-US" w:eastAsia="zh-CN" w:bidi="ar"/>
              </w:rPr>
              <w:t>单位</w:t>
            </w:r>
          </w:p>
        </w:tc>
        <w:tc>
          <w:tcPr>
            <w:tcW w:w="840" w:type="dxa"/>
            <w:tcBorders>
              <w:top w:val="single" w:color="000000" w:sz="4" w:space="0"/>
              <w:left w:val="nil"/>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b/>
                <w:bCs w:val="0"/>
                <w:color w:val="auto"/>
                <w:kern w:val="0"/>
                <w:sz w:val="24"/>
                <w:szCs w:val="24"/>
                <w:highlight w:val="none"/>
                <w:lang w:val="en-US"/>
              </w:rPr>
            </w:pPr>
            <w:r>
              <w:rPr>
                <w:rFonts w:hint="eastAsia" w:ascii="宋体" w:hAnsi="宋体" w:eastAsia="宋体" w:cs="宋体"/>
                <w:b/>
                <w:bCs w:val="0"/>
                <w:color w:val="auto"/>
                <w:kern w:val="0"/>
                <w:sz w:val="24"/>
                <w:szCs w:val="24"/>
                <w:highlight w:val="none"/>
                <w:lang w:val="en-US" w:eastAsia="zh-CN" w:bidi="ar"/>
              </w:rPr>
              <w:t>数量</w:t>
            </w:r>
          </w:p>
        </w:tc>
        <w:tc>
          <w:tcPr>
            <w:tcW w:w="840" w:type="dxa"/>
            <w:tcBorders>
              <w:top w:val="single" w:color="000000" w:sz="4" w:space="0"/>
              <w:left w:val="nil"/>
              <w:bottom w:val="single" w:color="000000" w:sz="4" w:space="0"/>
              <w:right w:val="single" w:color="000000" w:sz="4" w:space="0"/>
            </w:tcBorders>
            <w:shd w:val="clear" w:color="auto" w:fill="FFFFFF"/>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b/>
                <w:bCs w:val="0"/>
                <w:color w:val="auto"/>
                <w:kern w:val="0"/>
                <w:sz w:val="24"/>
                <w:szCs w:val="24"/>
                <w:highlight w:val="none"/>
                <w:lang w:val="en-US"/>
              </w:rPr>
            </w:pPr>
            <w:r>
              <w:rPr>
                <w:rFonts w:hint="eastAsia" w:ascii="宋体" w:hAnsi="宋体" w:eastAsia="宋体" w:cs="宋体"/>
                <w:b/>
                <w:bCs w:val="0"/>
                <w:color w:val="auto"/>
                <w:kern w:val="0"/>
                <w:sz w:val="24"/>
                <w:szCs w:val="24"/>
                <w:highlight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D9D9D9"/>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0"/>
                <w:sz w:val="24"/>
                <w:szCs w:val="24"/>
                <w:highlight w:val="none"/>
                <w:lang w:val="en-US" w:eastAsia="zh-CN" w:bidi="ar"/>
              </w:rPr>
              <w:t>一</w:t>
            </w:r>
          </w:p>
        </w:tc>
        <w:tc>
          <w:tcPr>
            <w:tcW w:w="9126" w:type="dxa"/>
            <w:gridSpan w:val="5"/>
            <w:tcBorders>
              <w:top w:val="single" w:color="000000" w:sz="4" w:space="0"/>
              <w:left w:val="nil"/>
              <w:bottom w:val="single" w:color="000000" w:sz="4" w:space="0"/>
              <w:right w:val="single" w:color="000000" w:sz="4" w:space="0"/>
            </w:tcBorders>
            <w:shd w:val="clear" w:color="auto" w:fill="D9D9D9"/>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b/>
                <w:bCs w:val="0"/>
                <w:color w:val="auto"/>
                <w:kern w:val="0"/>
                <w:sz w:val="24"/>
                <w:szCs w:val="24"/>
                <w:highlight w:val="none"/>
                <w:lang w:val="en-US"/>
              </w:rPr>
            </w:pPr>
            <w:r>
              <w:rPr>
                <w:rFonts w:hint="eastAsia" w:ascii="宋体" w:hAnsi="宋体" w:eastAsia="宋体" w:cs="宋体"/>
                <w:b/>
                <w:bCs w:val="0"/>
                <w:color w:val="auto"/>
                <w:kern w:val="0"/>
                <w:sz w:val="24"/>
                <w:szCs w:val="24"/>
                <w:highlight w:val="none"/>
                <w:lang w:val="en-US" w:eastAsia="zh-CN" w:bidi="ar"/>
              </w:rPr>
              <w:t>设备及系统集成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1</w:t>
            </w:r>
          </w:p>
        </w:tc>
        <w:tc>
          <w:tcPr>
            <w:tcW w:w="1287"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视频摄像头</w:t>
            </w:r>
          </w:p>
        </w:tc>
        <w:tc>
          <w:tcPr>
            <w:tcW w:w="5358"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★(1)支持最大1920×1080@30fps高清画面输出；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)支持4G（移动、联通，电信）网络传输，兼容3G（移动、联通、电信）；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)支持H.265高效压缩算法，可较大节省存储空间；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)支持超低照度，0.005Lux/F1.6(彩色),0.001Lux/F1.6(黑白) ,0 Lux with IR；</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)支持23倍光学变倍，16倍数字变倍；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)采用高效红外阵列，低功耗，照射距离最远可达100m；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)支持宽动态范围达120dB，适合逆光环境监控；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8</w:t>
            </w:r>
            <w:r>
              <w:rPr>
                <w:rFonts w:hint="eastAsia" w:ascii="宋体" w:hAnsi="宋体" w:eastAsia="宋体" w:cs="宋体"/>
                <w:color w:val="auto"/>
                <w:kern w:val="0"/>
                <w:sz w:val="24"/>
                <w:szCs w:val="24"/>
                <w:highlight w:val="none"/>
                <w:lang w:val="en-US" w:eastAsia="zh-CN" w:bidi="ar"/>
              </w:rPr>
              <w:t>)支持360°水平旋转，垂直方向-15°-90°（自动翻转）；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9</w:t>
            </w:r>
            <w:r>
              <w:rPr>
                <w:rFonts w:hint="eastAsia" w:ascii="宋体" w:hAnsi="宋体" w:eastAsia="宋体" w:cs="宋体"/>
                <w:color w:val="auto"/>
                <w:kern w:val="0"/>
                <w:sz w:val="24"/>
                <w:szCs w:val="24"/>
                <w:highlight w:val="none"/>
                <w:lang w:val="en-US" w:eastAsia="zh-CN" w:bidi="ar"/>
              </w:rPr>
              <w:t>)支持300个预置位，8条巡航扫描；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(1</w:t>
            </w:r>
            <w:r>
              <w:rPr>
                <w:rFonts w:hint="eastAsia" w:ascii="宋体" w:hAnsi="宋体" w:cs="宋体"/>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)支持4G流量使用查询，流量达到预警阈值后进行报警；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(1</w:t>
            </w:r>
            <w:r>
              <w:rPr>
                <w:rFonts w:hint="eastAsia" w:ascii="宋体" w:hAnsi="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)支持区域曝光与区域聚焦功能；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(1</w:t>
            </w:r>
            <w:r>
              <w:rPr>
                <w:rFonts w:hint="eastAsia" w:ascii="宋体" w:hAnsi="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)支持最大256G的 Micro SD/Micro SDHC/Micro SDXC卡存储；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(1</w:t>
            </w:r>
            <w:r>
              <w:rPr>
                <w:rFonts w:hint="eastAsia" w:ascii="宋体" w:hAnsi="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)支持海康SDK、ONVIF、ISAPI、GB/T28181、ISUP和萤石接入；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(1</w:t>
            </w:r>
            <w:r>
              <w:rPr>
                <w:rFonts w:hint="eastAsia" w:ascii="宋体" w:hAnsi="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)防雷、防浪涌、防突波，IP66防护等级。</w:t>
            </w:r>
          </w:p>
        </w:tc>
        <w:tc>
          <w:tcPr>
            <w:tcW w:w="801"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台</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22</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2</w:t>
            </w:r>
          </w:p>
        </w:tc>
        <w:tc>
          <w:tcPr>
            <w:tcW w:w="1287"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太阳能板</w:t>
            </w:r>
          </w:p>
        </w:tc>
        <w:tc>
          <w:tcPr>
            <w:tcW w:w="5358"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(1)材料：单晶硅；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)封装形式：高透钢化玻璃层压；</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)绝缘电压：≥600V；</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)边框接地电阻：≤10Ω；</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)迎风压强：2400pa；</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)填充因子：73%；</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)工作温度：0℃～50℃；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8</w:t>
            </w:r>
            <w:r>
              <w:rPr>
                <w:rFonts w:hint="eastAsia" w:ascii="宋体" w:hAnsi="宋体" w:eastAsia="宋体" w:cs="宋体"/>
                <w:color w:val="auto"/>
                <w:kern w:val="0"/>
                <w:sz w:val="24"/>
                <w:szCs w:val="24"/>
                <w:highlight w:val="none"/>
                <w:lang w:val="en-US" w:eastAsia="zh-CN" w:bidi="ar"/>
              </w:rPr>
              <w:t>)功率：不小于135W；</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9</w:t>
            </w:r>
            <w:r>
              <w:rPr>
                <w:rFonts w:hint="eastAsia" w:ascii="宋体" w:hAnsi="宋体" w:eastAsia="宋体" w:cs="宋体"/>
                <w:color w:val="auto"/>
                <w:kern w:val="0"/>
                <w:sz w:val="24"/>
                <w:szCs w:val="24"/>
                <w:highlight w:val="none"/>
                <w:lang w:val="en-US" w:eastAsia="zh-CN" w:bidi="ar"/>
              </w:rPr>
              <w:t>)最大工作电压17V，开路电压21V；</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(1</w:t>
            </w:r>
            <w:r>
              <w:rPr>
                <w:rFonts w:hint="eastAsia" w:ascii="宋体" w:hAnsi="宋体" w:cs="宋体"/>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)最大充电电流：7.9A；</w:t>
            </w:r>
          </w:p>
        </w:tc>
        <w:tc>
          <w:tcPr>
            <w:tcW w:w="801"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块</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44</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3</w:t>
            </w:r>
          </w:p>
        </w:tc>
        <w:tc>
          <w:tcPr>
            <w:tcW w:w="1287"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蓄电池</w:t>
            </w:r>
          </w:p>
        </w:tc>
        <w:tc>
          <w:tcPr>
            <w:tcW w:w="5358"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(1)标称供电电压：12V；</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★(2)容量：不小于100AH；</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(3)最大通电电流：6A；</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(4)工作温度：0℃～50℃；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(5)寿命：3年以上（25℃）；</w:t>
            </w:r>
          </w:p>
        </w:tc>
        <w:tc>
          <w:tcPr>
            <w:tcW w:w="801"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个</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66</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4</w:t>
            </w:r>
          </w:p>
        </w:tc>
        <w:tc>
          <w:tcPr>
            <w:tcW w:w="1287"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太阳能充电控制器</w:t>
            </w:r>
          </w:p>
        </w:tc>
        <w:tc>
          <w:tcPr>
            <w:tcW w:w="5358"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(1)最大充电电流：8A；</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(2)最大负载电流：6A；</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(3)系统电压：12/24VDC；</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(4)最大自损耗：8mA；</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(5)最终充电电压：13.7V；</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(6)过放保护值：11.1V(SOC=30%)；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(7)过放恢复值：12.6V(SOC=50%)；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(8)温度补偿：-3mV/K/Cell；</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(9)工作环境温度：0℃ ～ 50℃；</w:t>
            </w:r>
          </w:p>
        </w:tc>
        <w:tc>
          <w:tcPr>
            <w:tcW w:w="801"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个</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22</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5</w:t>
            </w:r>
          </w:p>
        </w:tc>
        <w:tc>
          <w:tcPr>
            <w:tcW w:w="1287"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LED补光灯</w:t>
            </w:r>
          </w:p>
        </w:tc>
        <w:tc>
          <w:tcPr>
            <w:tcW w:w="5358"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(1)工作电压：直流12伏；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(2)工作温度：-20℃～+75℃；</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(3)工作湿度：≤95%（40℃）；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(4)有效距离：不小于50米；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(5)照摄角度：45度；</w:t>
            </w:r>
          </w:p>
        </w:tc>
        <w:tc>
          <w:tcPr>
            <w:tcW w:w="801"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个</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22</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6</w:t>
            </w:r>
          </w:p>
        </w:tc>
        <w:tc>
          <w:tcPr>
            <w:tcW w:w="1287"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水利巡检器</w:t>
            </w:r>
          </w:p>
        </w:tc>
        <w:tc>
          <w:tcPr>
            <w:tcW w:w="5358"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(1)产品尺寸：115*58*33.5mm；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(2)红外接收最大距离：8m；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(3)工作电压：DC5V；</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)遥控器电压：DC3V；</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)工作电流：10mA；</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)工作环境温度：-15℃～+65℃；</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7</w:t>
            </w:r>
            <w:r>
              <w:rPr>
                <w:rFonts w:hint="eastAsia" w:ascii="宋体" w:hAnsi="宋体" w:eastAsia="宋体" w:cs="宋体"/>
                <w:color w:val="auto"/>
                <w:kern w:val="0"/>
                <w:sz w:val="24"/>
                <w:szCs w:val="24"/>
                <w:highlight w:val="none"/>
                <w:lang w:val="en-US" w:eastAsia="zh-CN" w:bidi="ar"/>
              </w:rPr>
              <w:t>)工作环境相对湿度：≤95%（40℃）。</w:t>
            </w:r>
          </w:p>
        </w:tc>
        <w:tc>
          <w:tcPr>
            <w:tcW w:w="801"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个</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22</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b/>
                <w:bCs/>
                <w:color w:val="auto"/>
                <w:kern w:val="0"/>
                <w:sz w:val="24"/>
                <w:szCs w:val="24"/>
                <w:highlight w:val="none"/>
                <w:lang w:val="en-US" w:eastAsia="zh-CN" w:bidi="ar"/>
              </w:rPr>
              <w:t>核心产品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7</w:t>
            </w:r>
          </w:p>
        </w:tc>
        <w:tc>
          <w:tcPr>
            <w:tcW w:w="1287"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地埋箱</w:t>
            </w:r>
          </w:p>
        </w:tc>
        <w:tc>
          <w:tcPr>
            <w:tcW w:w="5358"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center"/>
              <w:rPr>
                <w:rFonts w:hint="eastAsia" w:ascii="宋体" w:hAnsi="宋体" w:eastAsia="宋体" w:cs="宋体"/>
                <w:color w:val="auto"/>
                <w:kern w:val="0"/>
                <w:sz w:val="24"/>
                <w:szCs w:val="24"/>
                <w:highlight w:val="none"/>
                <w:lang w:val="en-US"/>
              </w:rPr>
            </w:pPr>
          </w:p>
        </w:tc>
        <w:tc>
          <w:tcPr>
            <w:tcW w:w="801"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个</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44</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8</w:t>
            </w:r>
          </w:p>
        </w:tc>
        <w:tc>
          <w:tcPr>
            <w:tcW w:w="1287"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数据通讯</w:t>
            </w:r>
          </w:p>
        </w:tc>
        <w:tc>
          <w:tcPr>
            <w:tcW w:w="5358"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含一年通讯费。</w:t>
            </w:r>
          </w:p>
        </w:tc>
        <w:tc>
          <w:tcPr>
            <w:tcW w:w="801"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项</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22</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D9D9D9"/>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0"/>
                <w:sz w:val="24"/>
                <w:szCs w:val="24"/>
                <w:highlight w:val="none"/>
                <w:lang w:val="en-US" w:eastAsia="zh-CN" w:bidi="ar"/>
              </w:rPr>
              <w:t>二</w:t>
            </w:r>
          </w:p>
        </w:tc>
        <w:tc>
          <w:tcPr>
            <w:tcW w:w="9126" w:type="dxa"/>
            <w:gridSpan w:val="5"/>
            <w:tcBorders>
              <w:top w:val="single" w:color="000000" w:sz="4" w:space="0"/>
              <w:left w:val="nil"/>
              <w:bottom w:val="single" w:color="000000" w:sz="4" w:space="0"/>
              <w:right w:val="single" w:color="000000" w:sz="4" w:space="0"/>
            </w:tcBorders>
            <w:shd w:val="clear" w:color="auto" w:fill="D9D9D9"/>
            <w:noWrap/>
            <w:tcMar>
              <w:top w:w="12" w:type="dxa"/>
              <w:left w:w="12" w:type="dxa"/>
              <w:right w:w="12" w:type="dxa"/>
            </w:tcMar>
            <w:vAlign w:val="center"/>
          </w:tcPr>
          <w:p>
            <w:pPr>
              <w:keepNext w:val="0"/>
              <w:keepLines w:val="0"/>
              <w:widowControl w:val="0"/>
              <w:suppressLineNumbers w:val="0"/>
              <w:spacing w:before="0" w:beforeAutospacing="0" w:after="160" w:afterAutospacing="0" w:line="240" w:lineRule="auto"/>
              <w:ind w:left="0" w:right="0"/>
              <w:jc w:val="center"/>
              <w:rPr>
                <w:rFonts w:hint="eastAsia" w:ascii="宋体" w:hAnsi="宋体" w:eastAsia="宋体" w:cs="宋体"/>
                <w:b/>
                <w:bCs w:val="0"/>
                <w:color w:val="auto"/>
                <w:kern w:val="0"/>
                <w:sz w:val="24"/>
                <w:szCs w:val="24"/>
                <w:highlight w:val="none"/>
                <w:lang w:val="en-US"/>
              </w:rPr>
            </w:pPr>
            <w:r>
              <w:rPr>
                <w:rFonts w:hint="eastAsia" w:ascii="宋体" w:hAnsi="宋体" w:eastAsia="宋体" w:cs="宋体"/>
                <w:b/>
                <w:bCs w:val="0"/>
                <w:color w:val="auto"/>
                <w:kern w:val="0"/>
                <w:sz w:val="24"/>
                <w:szCs w:val="24"/>
                <w:highlight w:val="none"/>
                <w:lang w:val="en-US" w:eastAsia="zh-CN" w:bidi="ar"/>
              </w:rPr>
              <w:t>安装附件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1</w:t>
            </w:r>
          </w:p>
        </w:tc>
        <w:tc>
          <w:tcPr>
            <w:tcW w:w="1287"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设备安装杆</w:t>
            </w:r>
          </w:p>
        </w:tc>
        <w:tc>
          <w:tcPr>
            <w:tcW w:w="5358"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907" w:right="0" w:hanging="907"/>
              <w:jc w:val="both"/>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材料：镀锌管；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907" w:right="0" w:hanging="907"/>
              <w:jc w:val="both"/>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长度：不小于6000mm；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907" w:right="0" w:hanging="907"/>
              <w:jc w:val="both"/>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直径：不小于110mm；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厚度：不小于4mm。</w:t>
            </w:r>
          </w:p>
        </w:tc>
        <w:tc>
          <w:tcPr>
            <w:tcW w:w="801"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根</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22</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2</w:t>
            </w:r>
          </w:p>
        </w:tc>
        <w:tc>
          <w:tcPr>
            <w:tcW w:w="1287"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设备安装支架</w:t>
            </w:r>
          </w:p>
        </w:tc>
        <w:tc>
          <w:tcPr>
            <w:tcW w:w="5358"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尺寸：定制。材料为铁镀锌材料，做烤漆防锈处理。</w:t>
            </w:r>
          </w:p>
        </w:tc>
        <w:tc>
          <w:tcPr>
            <w:tcW w:w="801"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套</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22</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3</w:t>
            </w:r>
          </w:p>
        </w:tc>
        <w:tc>
          <w:tcPr>
            <w:tcW w:w="1287"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安装辅材</w:t>
            </w:r>
          </w:p>
        </w:tc>
        <w:tc>
          <w:tcPr>
            <w:tcW w:w="5358"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c>
          <w:tcPr>
            <w:tcW w:w="801"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套</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22</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D9D9D9"/>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0"/>
                <w:sz w:val="24"/>
                <w:szCs w:val="24"/>
                <w:highlight w:val="none"/>
                <w:lang w:val="en-US" w:eastAsia="zh-CN" w:bidi="ar"/>
              </w:rPr>
              <w:t>三</w:t>
            </w:r>
          </w:p>
        </w:tc>
        <w:tc>
          <w:tcPr>
            <w:tcW w:w="9126" w:type="dxa"/>
            <w:gridSpan w:val="5"/>
            <w:tcBorders>
              <w:top w:val="single" w:color="000000" w:sz="4" w:space="0"/>
              <w:left w:val="nil"/>
              <w:bottom w:val="single" w:color="000000" w:sz="4" w:space="0"/>
              <w:right w:val="single" w:color="000000" w:sz="4" w:space="0"/>
            </w:tcBorders>
            <w:shd w:val="clear" w:color="auto" w:fill="D9D9D9"/>
            <w:noWrap/>
            <w:tcMar>
              <w:top w:w="12" w:type="dxa"/>
              <w:left w:w="12" w:type="dxa"/>
              <w:right w:w="12" w:type="dxa"/>
            </w:tcMar>
            <w:vAlign w:val="center"/>
          </w:tcPr>
          <w:p>
            <w:pPr>
              <w:keepNext w:val="0"/>
              <w:keepLines w:val="0"/>
              <w:widowControl w:val="0"/>
              <w:suppressLineNumbers w:val="0"/>
              <w:spacing w:before="0" w:beforeAutospacing="0" w:after="160" w:afterAutospacing="0" w:line="240" w:lineRule="auto"/>
              <w:ind w:left="0" w:right="0"/>
              <w:jc w:val="center"/>
              <w:rPr>
                <w:rFonts w:hint="eastAsia" w:ascii="宋体" w:hAnsi="宋体" w:eastAsia="宋体" w:cs="宋体"/>
                <w:b/>
                <w:bCs w:val="0"/>
                <w:color w:val="auto"/>
                <w:kern w:val="0"/>
                <w:sz w:val="24"/>
                <w:szCs w:val="24"/>
                <w:highlight w:val="none"/>
                <w:lang w:val="en-US"/>
              </w:rPr>
            </w:pPr>
            <w:r>
              <w:rPr>
                <w:rFonts w:hint="eastAsia" w:ascii="宋体" w:hAnsi="宋体" w:eastAsia="宋体" w:cs="宋体"/>
                <w:b/>
                <w:bCs w:val="0"/>
                <w:color w:val="auto"/>
                <w:kern w:val="0"/>
                <w:sz w:val="24"/>
                <w:szCs w:val="24"/>
                <w:highlight w:val="none"/>
                <w:lang w:val="en-US" w:eastAsia="zh-CN" w:bidi="ar"/>
              </w:rPr>
              <w:t>设备安装调试工程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1</w:t>
            </w:r>
          </w:p>
        </w:tc>
        <w:tc>
          <w:tcPr>
            <w:tcW w:w="1287"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立杆工程</w:t>
            </w:r>
          </w:p>
        </w:tc>
        <w:tc>
          <w:tcPr>
            <w:tcW w:w="5358"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c>
          <w:tcPr>
            <w:tcW w:w="801"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项</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22</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7"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2</w:t>
            </w:r>
          </w:p>
        </w:tc>
        <w:tc>
          <w:tcPr>
            <w:tcW w:w="1287"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电池地埋工程</w:t>
            </w:r>
          </w:p>
        </w:tc>
        <w:tc>
          <w:tcPr>
            <w:tcW w:w="5358"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c>
          <w:tcPr>
            <w:tcW w:w="801"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项</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22</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3</w:t>
            </w:r>
          </w:p>
        </w:tc>
        <w:tc>
          <w:tcPr>
            <w:tcW w:w="1287"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设备安装调试</w:t>
            </w:r>
          </w:p>
        </w:tc>
        <w:tc>
          <w:tcPr>
            <w:tcW w:w="5358"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c>
          <w:tcPr>
            <w:tcW w:w="801"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项</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22</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D9D9D9"/>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0"/>
                <w:sz w:val="24"/>
                <w:szCs w:val="24"/>
                <w:highlight w:val="none"/>
                <w:lang w:val="en-US" w:eastAsia="zh-CN" w:bidi="ar"/>
              </w:rPr>
              <w:t>四</w:t>
            </w:r>
          </w:p>
        </w:tc>
        <w:tc>
          <w:tcPr>
            <w:tcW w:w="9126" w:type="dxa"/>
            <w:gridSpan w:val="5"/>
            <w:tcBorders>
              <w:top w:val="single" w:color="000000" w:sz="4" w:space="0"/>
              <w:left w:val="nil"/>
              <w:bottom w:val="single" w:color="000000" w:sz="4" w:space="0"/>
              <w:right w:val="single" w:color="000000" w:sz="4" w:space="0"/>
            </w:tcBorders>
            <w:shd w:val="clear" w:color="auto" w:fill="D9D9D9"/>
            <w:noWrap/>
            <w:tcMar>
              <w:top w:w="12" w:type="dxa"/>
              <w:left w:w="12" w:type="dxa"/>
              <w:right w:w="12" w:type="dxa"/>
            </w:tcMar>
            <w:vAlign w:val="center"/>
          </w:tcPr>
          <w:p>
            <w:pPr>
              <w:keepNext w:val="0"/>
              <w:keepLines w:val="0"/>
              <w:widowControl w:val="0"/>
              <w:suppressLineNumbers w:val="0"/>
              <w:spacing w:before="0" w:beforeAutospacing="0" w:after="160" w:afterAutospacing="0" w:line="240" w:lineRule="auto"/>
              <w:ind w:left="0" w:right="0"/>
              <w:jc w:val="center"/>
              <w:rPr>
                <w:rFonts w:hint="eastAsia" w:ascii="宋体" w:hAnsi="宋体" w:eastAsia="宋体" w:cs="宋体"/>
                <w:b/>
                <w:bCs w:val="0"/>
                <w:color w:val="auto"/>
                <w:kern w:val="0"/>
                <w:sz w:val="24"/>
                <w:szCs w:val="24"/>
                <w:highlight w:val="none"/>
                <w:lang w:val="en-US"/>
              </w:rPr>
            </w:pPr>
            <w:r>
              <w:rPr>
                <w:rFonts w:hint="eastAsia" w:ascii="宋体" w:hAnsi="宋体" w:eastAsia="宋体" w:cs="宋体"/>
                <w:b/>
                <w:bCs w:val="0"/>
                <w:color w:val="auto"/>
                <w:kern w:val="0"/>
                <w:sz w:val="24"/>
                <w:szCs w:val="24"/>
                <w:highlight w:val="none"/>
                <w:lang w:val="en-US" w:eastAsia="zh-CN" w:bidi="ar"/>
              </w:rPr>
              <w:t>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1</w:t>
            </w:r>
          </w:p>
        </w:tc>
        <w:tc>
          <w:tcPr>
            <w:tcW w:w="1287"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材料运输</w:t>
            </w:r>
          </w:p>
        </w:tc>
        <w:tc>
          <w:tcPr>
            <w:tcW w:w="5358"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含材料运送到指定地点的费用。</w:t>
            </w:r>
          </w:p>
        </w:tc>
        <w:tc>
          <w:tcPr>
            <w:tcW w:w="801"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项</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22</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40" w:hRule="atLeast"/>
          <w:jc w:val="center"/>
        </w:trPr>
        <w:tc>
          <w:tcPr>
            <w:tcW w:w="562"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2</w:t>
            </w:r>
          </w:p>
        </w:tc>
        <w:tc>
          <w:tcPr>
            <w:tcW w:w="1287" w:type="dxa"/>
            <w:tcBorders>
              <w:top w:val="single" w:color="000000" w:sz="4" w:space="0"/>
              <w:left w:val="nil"/>
              <w:bottom w:val="single" w:color="auto"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检修维护</w:t>
            </w:r>
          </w:p>
        </w:tc>
        <w:tc>
          <w:tcPr>
            <w:tcW w:w="5358" w:type="dxa"/>
            <w:tcBorders>
              <w:top w:val="single" w:color="000000" w:sz="4" w:space="0"/>
              <w:left w:val="nil"/>
              <w:bottom w:val="single" w:color="auto"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含一年检修维护的费用。</w:t>
            </w:r>
          </w:p>
        </w:tc>
        <w:tc>
          <w:tcPr>
            <w:tcW w:w="801" w:type="dxa"/>
            <w:tcBorders>
              <w:top w:val="single" w:color="000000" w:sz="4" w:space="0"/>
              <w:left w:val="nil"/>
              <w:bottom w:val="single" w:color="auto"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项</w:t>
            </w:r>
          </w:p>
        </w:tc>
        <w:tc>
          <w:tcPr>
            <w:tcW w:w="840" w:type="dxa"/>
            <w:tcBorders>
              <w:top w:val="single" w:color="000000" w:sz="4" w:space="0"/>
              <w:left w:val="nil"/>
              <w:bottom w:val="single" w:color="auto"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22</w:t>
            </w:r>
          </w:p>
        </w:tc>
        <w:tc>
          <w:tcPr>
            <w:tcW w:w="840" w:type="dxa"/>
            <w:tcBorders>
              <w:top w:val="single" w:color="000000" w:sz="4" w:space="0"/>
              <w:left w:val="nil"/>
              <w:bottom w:val="single" w:color="auto"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9" w:hRule="atLeast"/>
          <w:jc w:val="center"/>
        </w:trPr>
        <w:tc>
          <w:tcPr>
            <w:tcW w:w="562"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val="0"/>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3</w:t>
            </w:r>
          </w:p>
        </w:tc>
        <w:tc>
          <w:tcPr>
            <w:tcW w:w="1287" w:type="dxa"/>
            <w:tcBorders>
              <w:top w:val="single" w:color="auto"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val="0"/>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水雨情监测系统维护</w:t>
            </w:r>
          </w:p>
        </w:tc>
        <w:tc>
          <w:tcPr>
            <w:tcW w:w="5358" w:type="dxa"/>
            <w:tcBorders>
              <w:top w:val="single" w:color="auto"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val="0"/>
              <w:suppressLineNumbers w:val="0"/>
              <w:spacing w:before="0" w:beforeAutospacing="0" w:after="16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p>
        </w:tc>
        <w:tc>
          <w:tcPr>
            <w:tcW w:w="801" w:type="dxa"/>
            <w:tcBorders>
              <w:top w:val="single" w:color="auto"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val="0"/>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项</w:t>
            </w:r>
          </w:p>
        </w:tc>
        <w:tc>
          <w:tcPr>
            <w:tcW w:w="840" w:type="dxa"/>
            <w:tcBorders>
              <w:top w:val="single" w:color="auto"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val="0"/>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22</w:t>
            </w:r>
          </w:p>
        </w:tc>
        <w:tc>
          <w:tcPr>
            <w:tcW w:w="840" w:type="dxa"/>
            <w:tcBorders>
              <w:top w:val="single" w:color="auto"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val="0"/>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2"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D7D7D7"/>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b/>
                <w:bCs w:val="0"/>
                <w:color w:val="auto"/>
                <w:kern w:val="0"/>
                <w:sz w:val="24"/>
                <w:szCs w:val="24"/>
                <w:highlight w:val="none"/>
                <w:lang w:val="en-US"/>
              </w:rPr>
            </w:pPr>
            <w:r>
              <w:rPr>
                <w:rFonts w:hint="eastAsia" w:ascii="宋体" w:hAnsi="宋体" w:eastAsia="宋体" w:cs="宋体"/>
                <w:b/>
                <w:bCs w:val="0"/>
                <w:color w:val="auto"/>
                <w:kern w:val="0"/>
                <w:sz w:val="24"/>
                <w:szCs w:val="24"/>
                <w:highlight w:val="none"/>
                <w:lang w:val="en-US" w:eastAsia="zh-CN" w:bidi="ar"/>
              </w:rPr>
              <w:t>五</w:t>
            </w:r>
          </w:p>
        </w:tc>
        <w:tc>
          <w:tcPr>
            <w:tcW w:w="9126" w:type="dxa"/>
            <w:gridSpan w:val="5"/>
            <w:tcBorders>
              <w:top w:val="single" w:color="000000" w:sz="4" w:space="0"/>
              <w:left w:val="nil"/>
              <w:bottom w:val="single" w:color="000000" w:sz="4" w:space="0"/>
              <w:right w:val="single" w:color="000000" w:sz="4" w:space="0"/>
            </w:tcBorders>
            <w:shd w:val="clear" w:color="auto" w:fill="D7D7D7"/>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b/>
                <w:bCs w:val="0"/>
                <w:color w:val="auto"/>
                <w:kern w:val="0"/>
                <w:sz w:val="24"/>
                <w:szCs w:val="24"/>
                <w:highlight w:val="none"/>
                <w:lang w:val="en-US"/>
              </w:rPr>
            </w:pPr>
            <w:r>
              <w:rPr>
                <w:rFonts w:hint="eastAsia" w:ascii="宋体" w:hAnsi="宋体" w:eastAsia="宋体" w:cs="宋体"/>
                <w:b/>
                <w:bCs w:val="0"/>
                <w:color w:val="auto"/>
                <w:kern w:val="0"/>
                <w:sz w:val="24"/>
                <w:szCs w:val="24"/>
                <w:highlight w:val="none"/>
                <w:lang w:val="en-US" w:eastAsia="zh-CN" w:bidi="ar"/>
              </w:rPr>
              <w:t>软件应用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1</w:t>
            </w:r>
          </w:p>
        </w:tc>
        <w:tc>
          <w:tcPr>
            <w:tcW w:w="1287"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应用软件</w:t>
            </w:r>
          </w:p>
        </w:tc>
        <w:tc>
          <w:tcPr>
            <w:tcW w:w="5358"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1、视频监控：具备播放视频、云台操作视频、查询历史记录等功能。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2、水库巡查：主要内容包含(1)巡查记录查询；(</w:t>
            </w:r>
            <w:r>
              <w:rPr>
                <w:rFonts w:hint="eastAsia" w:ascii="宋体" w:hAnsi="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)巡查统计；(</w:t>
            </w:r>
            <w:r>
              <w:rPr>
                <w:rFonts w:hint="eastAsia" w:ascii="宋体" w:hAnsi="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)巡查初始化；(</w:t>
            </w:r>
            <w:r>
              <w:rPr>
                <w:rFonts w:hint="eastAsia" w:ascii="宋体" w:hAnsi="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)巡查过程记录；(</w:t>
            </w:r>
            <w:r>
              <w:rPr>
                <w:rFonts w:hint="eastAsia" w:ascii="宋体" w:hAnsi="宋体" w:cs="宋体"/>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)隐患在线处理；(</w:t>
            </w:r>
            <w:r>
              <w:rPr>
                <w:rFonts w:hint="eastAsia" w:ascii="宋体" w:hAnsi="宋体" w:cs="宋体"/>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)消息提醒。</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3、以上数据全部接入四川省水库动态监管预警系统。并提供以下技术服务：(</w:t>
            </w:r>
            <w:r>
              <w:rPr>
                <w:rFonts w:hint="eastAsia" w:ascii="宋体" w:hAnsi="宋体" w:cs="宋体"/>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)运行环境保障；(</w:t>
            </w:r>
            <w:r>
              <w:rPr>
                <w:rFonts w:hint="eastAsia" w:ascii="宋体" w:hAnsi="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)故障排除；(</w:t>
            </w:r>
            <w:r>
              <w:rPr>
                <w:rFonts w:hint="eastAsia" w:ascii="宋体" w:hAnsi="宋体"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)数据整编；(</w:t>
            </w:r>
            <w:r>
              <w:rPr>
                <w:rFonts w:hint="eastAsia" w:ascii="宋体" w:hAnsi="宋体"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)软件培训；(</w:t>
            </w:r>
            <w:r>
              <w:rPr>
                <w:rFonts w:hint="eastAsia" w:ascii="宋体" w:hAnsi="宋体" w:cs="宋体"/>
                <w:color w:val="auto"/>
                <w:kern w:val="0"/>
                <w:sz w:val="24"/>
                <w:szCs w:val="24"/>
                <w:highlight w:val="none"/>
                <w:lang w:val="en-US" w:eastAsia="zh-CN" w:bidi="ar"/>
              </w:rPr>
              <w:t>5</w:t>
            </w:r>
            <w:r>
              <w:rPr>
                <w:rFonts w:hint="eastAsia" w:ascii="宋体" w:hAnsi="宋体" w:eastAsia="宋体" w:cs="宋体"/>
                <w:color w:val="auto"/>
                <w:kern w:val="0"/>
                <w:sz w:val="24"/>
                <w:szCs w:val="24"/>
                <w:highlight w:val="none"/>
                <w:lang w:val="en-US" w:eastAsia="zh-CN" w:bidi="ar"/>
              </w:rPr>
              <w:t>)咨询服务；(</w:t>
            </w:r>
            <w:r>
              <w:rPr>
                <w:rFonts w:hint="eastAsia" w:ascii="宋体" w:hAnsi="宋体" w:cs="宋体"/>
                <w:color w:val="auto"/>
                <w:kern w:val="0"/>
                <w:sz w:val="24"/>
                <w:szCs w:val="24"/>
                <w:highlight w:val="none"/>
                <w:lang w:val="en-US" w:eastAsia="zh-CN" w:bidi="ar"/>
              </w:rPr>
              <w:t>6</w:t>
            </w:r>
            <w:r>
              <w:rPr>
                <w:rFonts w:hint="eastAsia" w:ascii="宋体" w:hAnsi="宋体" w:eastAsia="宋体" w:cs="宋体"/>
                <w:color w:val="auto"/>
                <w:kern w:val="0"/>
                <w:sz w:val="24"/>
                <w:szCs w:val="24"/>
                <w:highlight w:val="none"/>
                <w:lang w:val="en-US" w:eastAsia="zh-CN" w:bidi="ar"/>
              </w:rPr>
              <w:t>)服务期限：一年。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★4、供应商所投产品为成熟的软件产品，提供视频监控、水库巡查软件功能截图</w:t>
            </w:r>
            <w:r>
              <w:rPr>
                <w:rFonts w:hint="eastAsia" w:ascii="宋体" w:hAnsi="宋体" w:eastAsia="宋体" w:cs="宋体"/>
                <w:b/>
                <w:bCs/>
                <w:color w:val="auto"/>
                <w:kern w:val="0"/>
                <w:sz w:val="24"/>
                <w:szCs w:val="24"/>
                <w:highlight w:val="none"/>
                <w:lang w:val="en-US" w:eastAsia="zh-CN" w:bidi="ar"/>
              </w:rPr>
              <w:t>(供应商须提供加盖鲜章的软件截图予以证明)</w:t>
            </w:r>
            <w:r>
              <w:rPr>
                <w:rFonts w:hint="eastAsia" w:ascii="宋体" w:hAnsi="宋体" w:eastAsia="宋体" w:cs="宋体"/>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★5、供应商所投产品具有水库安全巡查软件著作权登记证书</w:t>
            </w:r>
            <w:r>
              <w:rPr>
                <w:rFonts w:hint="eastAsia" w:ascii="宋体" w:hAnsi="宋体" w:eastAsia="宋体" w:cs="宋体"/>
                <w:b/>
                <w:bCs/>
                <w:color w:val="auto"/>
                <w:kern w:val="0"/>
                <w:sz w:val="24"/>
                <w:szCs w:val="24"/>
                <w:highlight w:val="none"/>
                <w:lang w:val="en-US" w:eastAsia="zh-CN" w:bidi="ar"/>
              </w:rPr>
              <w:t>(供应商须提供加盖鲜章的证明材料予以证明)</w:t>
            </w:r>
            <w:r>
              <w:rPr>
                <w:rFonts w:hint="eastAsia" w:ascii="宋体" w:hAnsi="宋体" w:eastAsia="宋体" w:cs="宋体"/>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★6、供应商所投产品具有智能识别视频监控终端系统软件著作权登记证书</w:t>
            </w:r>
            <w:r>
              <w:rPr>
                <w:rFonts w:hint="eastAsia" w:ascii="宋体" w:hAnsi="宋体" w:eastAsia="宋体" w:cs="宋体"/>
                <w:b/>
                <w:bCs/>
                <w:color w:val="auto"/>
                <w:kern w:val="0"/>
                <w:sz w:val="24"/>
                <w:szCs w:val="24"/>
                <w:highlight w:val="none"/>
                <w:lang w:val="en-US" w:eastAsia="zh-CN" w:bidi="ar"/>
              </w:rPr>
              <w:t>(供应商须提供加盖鲜章的证明材料予以证明)</w:t>
            </w:r>
            <w:r>
              <w:rPr>
                <w:rFonts w:hint="eastAsia" w:ascii="宋体" w:hAnsi="宋体" w:eastAsia="宋体" w:cs="宋体"/>
                <w:color w:val="auto"/>
                <w:kern w:val="0"/>
                <w:sz w:val="24"/>
                <w:szCs w:val="24"/>
                <w:highlight w:val="none"/>
                <w:lang w:val="en-US" w:eastAsia="zh-CN" w:bidi="ar"/>
              </w:rPr>
              <w:t>。</w:t>
            </w:r>
          </w:p>
        </w:tc>
        <w:tc>
          <w:tcPr>
            <w:tcW w:w="801"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项</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t>22</w:t>
            </w:r>
          </w:p>
        </w:tc>
        <w:tc>
          <w:tcPr>
            <w:tcW w:w="840" w:type="dxa"/>
            <w:tcBorders>
              <w:top w:val="single" w:color="000000" w:sz="4" w:space="0"/>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spacing w:before="0" w:beforeAutospacing="0" w:after="160" w:afterAutospacing="0" w:line="240" w:lineRule="auto"/>
              <w:ind w:left="0" w:right="0"/>
              <w:jc w:val="center"/>
              <w:textAlignment w:val="center"/>
              <w:rPr>
                <w:rFonts w:hint="eastAsia" w:ascii="宋体" w:hAnsi="宋体" w:eastAsia="宋体" w:cs="宋体"/>
                <w:color w:val="auto"/>
                <w:kern w:val="0"/>
                <w:sz w:val="24"/>
                <w:szCs w:val="24"/>
                <w:highlight w:val="none"/>
                <w:lang w:val="en-US"/>
              </w:rPr>
            </w:pPr>
          </w:p>
        </w:tc>
      </w:tr>
    </w:tbl>
    <w:p>
      <w:pPr>
        <w:spacing w:after="0" w:line="360" w:lineRule="auto"/>
        <w:ind w:firstLine="420" w:firstLineChars="200"/>
        <w:rPr>
          <w:color w:val="auto"/>
          <w:highlight w:val="none"/>
        </w:rPr>
      </w:pPr>
    </w:p>
    <w:p>
      <w:pPr>
        <w:pStyle w:val="2"/>
        <w:rPr>
          <w:rFonts w:ascii="宋体" w:hAnsi="宋体" w:cs="宋体"/>
          <w:b/>
          <w:bCs/>
          <w:color w:val="auto"/>
          <w:szCs w:val="32"/>
          <w:highlight w:val="none"/>
        </w:rPr>
      </w:pPr>
    </w:p>
    <w:p>
      <w:pPr>
        <w:rPr>
          <w:rFonts w:hint="eastAsia" w:ascii="宋体" w:hAnsi="宋体" w:cs="宋体"/>
          <w:b/>
          <w:bCs/>
          <w:color w:val="auto"/>
          <w:sz w:val="24"/>
          <w:highlight w:val="none"/>
        </w:rPr>
      </w:pPr>
      <w:r>
        <w:rPr>
          <w:rFonts w:hint="eastAsia" w:ascii="宋体" w:hAnsi="宋体" w:cs="宋体"/>
          <w:b/>
          <w:bCs/>
          <w:color w:val="auto"/>
          <w:sz w:val="24"/>
          <w:highlight w:val="none"/>
        </w:rPr>
        <w:br w:type="page"/>
      </w:r>
    </w:p>
    <w:p>
      <w:pPr>
        <w:spacing w:after="0"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三、商务要求</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1、交货时间：合同签订后60日内完成安装、调试。</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2、交货地点：采购人指定地点。</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3、质保期限：验收合格后一年。</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4、付款方式：合同签订后</w:t>
      </w:r>
      <w:r>
        <w:rPr>
          <w:rFonts w:ascii="宋体" w:hAnsi="宋体" w:cs="宋体"/>
          <w:color w:val="auto"/>
          <w:sz w:val="24"/>
          <w:szCs w:val="32"/>
          <w:highlight w:val="none"/>
        </w:rPr>
        <w:t>1</w:t>
      </w:r>
      <w:r>
        <w:rPr>
          <w:rFonts w:hint="eastAsia" w:ascii="宋体" w:hAnsi="宋体" w:cs="宋体"/>
          <w:color w:val="auto"/>
          <w:sz w:val="24"/>
          <w:szCs w:val="32"/>
          <w:highlight w:val="none"/>
        </w:rPr>
        <w:t>月内支付合同总额30%；安装完成验收合格后支付合同总额65%；质保期满一年后支付剩余价款。</w:t>
      </w:r>
    </w:p>
    <w:p>
      <w:pPr>
        <w:spacing w:after="0" w:line="360" w:lineRule="auto"/>
        <w:ind w:firstLine="358" w:firstLineChars="200"/>
        <w:rPr>
          <w:rFonts w:ascii="宋体" w:hAnsi="宋体" w:cs="宋体"/>
          <w:color w:val="auto"/>
          <w:sz w:val="24"/>
          <w:szCs w:val="32"/>
          <w:highlight w:val="none"/>
        </w:rPr>
      </w:pPr>
      <w:r>
        <w:rPr>
          <w:color w:val="auto"/>
          <w:spacing w:val="-10"/>
          <w:w w:val="95"/>
          <w:highlight w:val="none"/>
        </w:rPr>
        <w:t>▲</w:t>
      </w:r>
      <w:r>
        <w:rPr>
          <w:rFonts w:hint="eastAsia" w:ascii="宋体" w:hAnsi="宋体" w:cs="宋体"/>
          <w:color w:val="auto"/>
          <w:sz w:val="24"/>
          <w:szCs w:val="32"/>
          <w:highlight w:val="none"/>
        </w:rPr>
        <w:t>5、本次项目采集的数据必须接入四川省水库动态监管预警系统平台</w:t>
      </w:r>
      <w:r>
        <w:rPr>
          <w:rFonts w:hint="eastAsia" w:ascii="宋体" w:hAnsi="宋体" w:cs="宋体"/>
          <w:b/>
          <w:bCs/>
          <w:color w:val="auto"/>
          <w:sz w:val="24"/>
          <w:szCs w:val="32"/>
          <w:highlight w:val="none"/>
        </w:rPr>
        <w:t>（若数据未接入四川省水库动态监管预警系统平台，验收不予通过，由此引起的责任及损失由供应商承担，提供承诺函）。</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6、包装、运输及保管、保险</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6.1货物为原厂制造商未启封全新包装，序列号、包装箱号与出厂批号一致，并可追索查阅。包装须符合同等相关标准，因包装不良造成的损失由供应商负责。</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6.2供应商负责将本项目内容的设备材料运送到现场进行安装调试，过程中的全部运输，包括装卸车、货物现场的搬运均</w:t>
      </w:r>
      <w:r>
        <w:rPr>
          <w:rFonts w:hint="eastAsia" w:ascii="宋体" w:hAnsi="宋体" w:cs="宋体"/>
          <w:color w:val="auto"/>
          <w:sz w:val="24"/>
          <w:szCs w:val="32"/>
          <w:highlight w:val="none"/>
          <w:lang w:val="en-US" w:eastAsia="zh-CN"/>
        </w:rPr>
        <w:t>由</w:t>
      </w:r>
      <w:r>
        <w:rPr>
          <w:rFonts w:hint="eastAsia" w:ascii="宋体" w:hAnsi="宋体" w:cs="宋体"/>
          <w:color w:val="auto"/>
          <w:sz w:val="24"/>
          <w:szCs w:val="32"/>
          <w:highlight w:val="none"/>
        </w:rPr>
        <w:t>供应商负责。</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6.3货物在现场的保管由供应商负责，直至项目安装、验收完毕。</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6.4货物在验收合格前的保险由供应商负责，供应商负责其派出的现场服务人员人身意外保险。</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7、售后服务：</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7.1 成交供应商负责产品安装、调试，直至采购人能正常使用，所需的一切材料、备件、专业工具均由成交供应商负责提供。成交供应商应向采购人提供产品安装、维修所需的专用工具和仪器。</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▲7.2质保期内出现质量问题，供应商在接到通知后12小时内响应到场，24小时内完成维修或更换，并承担修理调换的费用；质保期后一年内维修，只收取材料成本费。</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7.3检修维护期内，供应商应在汛期前期对所有供应设备进行巡检，对其准确性进行校准。</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7.4供应商须指派专人负责与项目业主联系售后服务事宜。</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▲7.5磋商要求中的软件必须为正版软件，质保期内进行软件免费升级。</w:t>
      </w:r>
    </w:p>
    <w:p>
      <w:pPr>
        <w:spacing w:after="0" w:line="360" w:lineRule="auto"/>
        <w:ind w:firstLine="480" w:firstLineChars="200"/>
        <w:rPr>
          <w:rFonts w:ascii="宋体" w:hAnsi="宋体" w:cs="宋体"/>
          <w:color w:val="auto"/>
          <w:sz w:val="24"/>
          <w:szCs w:val="32"/>
          <w:highlight w:val="none"/>
        </w:rPr>
        <w:sectPr>
          <w:pgSz w:w="11850" w:h="16790"/>
          <w:pgMar w:top="1440" w:right="1083" w:bottom="1440" w:left="1083" w:header="850" w:footer="992" w:gutter="0"/>
          <w:cols w:space="720" w:num="1"/>
        </w:sectPr>
      </w:pPr>
    </w:p>
    <w:p>
      <w:pPr>
        <w:pStyle w:val="2"/>
        <w:rPr>
          <w:color w:val="auto"/>
          <w:highlight w:val="none"/>
        </w:rPr>
      </w:pPr>
    </w:p>
    <w:p>
      <w:pPr>
        <w:pStyle w:val="3"/>
        <w:spacing w:before="0" w:after="0" w:line="360" w:lineRule="auto"/>
        <w:jc w:val="center"/>
        <w:rPr>
          <w:rFonts w:ascii="宋体" w:hAnsi="宋体" w:cs="宋体"/>
          <w:color w:val="auto"/>
          <w:sz w:val="36"/>
          <w:szCs w:val="36"/>
          <w:highlight w:val="none"/>
        </w:rPr>
      </w:pPr>
      <w:r>
        <w:rPr>
          <w:rFonts w:hint="eastAsia" w:ascii="宋体" w:hAnsi="宋体" w:cs="宋体"/>
          <w:color w:val="auto"/>
          <w:sz w:val="36"/>
          <w:szCs w:val="36"/>
          <w:highlight w:val="none"/>
        </w:rPr>
        <w:t>第七章  磋商内容、磋商过程中可实质性变动的内容</w:t>
      </w:r>
      <w:bookmarkEnd w:id="42"/>
    </w:p>
    <w:p>
      <w:pPr>
        <w:keepNext/>
        <w:spacing w:after="0" w:line="360" w:lineRule="auto"/>
        <w:ind w:firstLine="240" w:firstLineChars="100"/>
        <w:outlineLvl w:val="1"/>
        <w:rPr>
          <w:rFonts w:ascii="宋体" w:hAnsi="宋体" w:cs="宋体"/>
          <w:b/>
          <w:bCs/>
          <w:color w:val="auto"/>
          <w:sz w:val="24"/>
          <w:highlight w:val="none"/>
        </w:rPr>
      </w:pPr>
      <w:r>
        <w:rPr>
          <w:rFonts w:hint="eastAsia" w:ascii="宋体" w:hAnsi="宋体" w:cs="宋体"/>
          <w:b/>
          <w:bCs/>
          <w:color w:val="auto"/>
          <w:sz w:val="24"/>
          <w:highlight w:val="none"/>
        </w:rPr>
        <w:t xml:space="preserve"> </w:t>
      </w:r>
    </w:p>
    <w:p>
      <w:pPr>
        <w:keepNext/>
        <w:spacing w:after="0" w:line="360" w:lineRule="auto"/>
        <w:ind w:firstLine="720" w:firstLineChars="300"/>
        <w:outlineLvl w:val="1"/>
        <w:rPr>
          <w:rFonts w:ascii="宋体" w:hAnsi="宋体" w:cs="宋体"/>
          <w:color w:val="auto"/>
          <w:sz w:val="24"/>
          <w:highlight w:val="none"/>
        </w:rPr>
      </w:pPr>
      <w:r>
        <w:rPr>
          <w:rFonts w:hint="eastAsia" w:ascii="宋体" w:hAnsi="宋体" w:cs="宋体"/>
          <w:color w:val="auto"/>
          <w:sz w:val="24"/>
          <w:highlight w:val="none"/>
        </w:rPr>
        <w:t>针对本项目磋商文件第六章、第九章所包含的技术、服务要求以及合同草案条款，在磋商过程中，磋商小组在获得采购人代表确认的前提下，可以根据磋商情况实质性变动相关内容。磋商小组多磋商文件作出的实质性变动是磋商文件的有效组成部分，磋商小组会及时以书面形式通知所有参加磋商的供应商。</w:t>
      </w:r>
    </w:p>
    <w:p>
      <w:pPr>
        <w:widowControl/>
        <w:spacing w:after="0" w:line="240" w:lineRule="auto"/>
        <w:jc w:val="left"/>
        <w:rPr>
          <w:rFonts w:ascii="宋体" w:hAnsi="宋体" w:cs="宋体"/>
          <w:b/>
          <w:bCs/>
          <w:color w:val="auto"/>
          <w:kern w:val="44"/>
          <w:sz w:val="36"/>
          <w:szCs w:val="36"/>
          <w:highlight w:val="none"/>
        </w:rPr>
      </w:pPr>
    </w:p>
    <w:p>
      <w:pPr>
        <w:widowControl/>
        <w:spacing w:after="0" w:line="240" w:lineRule="auto"/>
        <w:jc w:val="left"/>
        <w:rPr>
          <w:rFonts w:ascii="宋体" w:hAnsi="宋体" w:cs="宋体"/>
          <w:b/>
          <w:bCs/>
          <w:color w:val="auto"/>
          <w:kern w:val="44"/>
          <w:sz w:val="36"/>
          <w:szCs w:val="36"/>
          <w:highlight w:val="none"/>
        </w:rPr>
      </w:pPr>
      <w:r>
        <w:rPr>
          <w:rFonts w:hint="eastAsia" w:ascii="宋体" w:hAnsi="宋体" w:cs="宋体"/>
          <w:color w:val="auto"/>
          <w:sz w:val="36"/>
          <w:szCs w:val="36"/>
          <w:highlight w:val="none"/>
        </w:rPr>
        <w:br w:type="page"/>
      </w:r>
    </w:p>
    <w:p>
      <w:pPr>
        <w:pStyle w:val="3"/>
        <w:spacing w:before="0" w:after="0" w:line="360" w:lineRule="auto"/>
        <w:jc w:val="center"/>
        <w:rPr>
          <w:rFonts w:ascii="宋体" w:hAnsi="宋体" w:cs="宋体"/>
          <w:color w:val="auto"/>
          <w:sz w:val="36"/>
          <w:szCs w:val="36"/>
          <w:highlight w:val="none"/>
        </w:rPr>
      </w:pPr>
      <w:bookmarkStart w:id="43" w:name="_Toc73912829"/>
      <w:r>
        <w:rPr>
          <w:rFonts w:hint="eastAsia" w:ascii="宋体" w:hAnsi="宋体" w:cs="宋体"/>
          <w:color w:val="auto"/>
          <w:sz w:val="36"/>
          <w:szCs w:val="36"/>
          <w:highlight w:val="none"/>
        </w:rPr>
        <w:t>第八章  评审办法</w:t>
      </w:r>
      <w:bookmarkEnd w:id="41"/>
      <w:bookmarkEnd w:id="43"/>
      <w:bookmarkStart w:id="44" w:name="_Hlt101846155"/>
      <w:bookmarkEnd w:id="44"/>
      <w:bookmarkStart w:id="45" w:name="_Toc183582280"/>
      <w:bookmarkStart w:id="46" w:name="_Toc217446097"/>
      <w:bookmarkStart w:id="47" w:name="_Toc183682415"/>
      <w:bookmarkStart w:id="48" w:name="_Toc208849007"/>
    </w:p>
    <w:bookmarkEnd w:id="45"/>
    <w:bookmarkEnd w:id="46"/>
    <w:bookmarkEnd w:id="47"/>
    <w:bookmarkEnd w:id="48"/>
    <w:p>
      <w:pPr>
        <w:keepNext/>
        <w:spacing w:after="0" w:line="360" w:lineRule="auto"/>
        <w:ind w:firstLine="480" w:firstLineChars="200"/>
        <w:outlineLvl w:val="1"/>
        <w:rPr>
          <w:rFonts w:ascii="宋体" w:hAnsi="宋体" w:cs="宋体"/>
          <w:b/>
          <w:bCs/>
          <w:color w:val="auto"/>
          <w:sz w:val="24"/>
          <w:highlight w:val="none"/>
        </w:rPr>
      </w:pPr>
      <w:bookmarkStart w:id="49" w:name="_Toc23042"/>
      <w:r>
        <w:rPr>
          <w:rFonts w:hint="eastAsia" w:ascii="宋体" w:hAnsi="宋体" w:cs="宋体"/>
          <w:b/>
          <w:bCs/>
          <w:color w:val="auto"/>
          <w:sz w:val="24"/>
          <w:highlight w:val="none"/>
        </w:rPr>
        <w:t>1.总则</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1.1 根据《中华人民共和国政府采购法》、《中华人民共和国政府采购法实施条例》、《政府采购竞争性磋商采购方式管理暂行办法》等法律制度，结合本采购项目特点制定本磋商方法。</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1.2 磋商工作由采购代理机构负责组织，具体磋商由采购代理机构依法组建的磋商小组负责。</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1.3 磋商工作应遵循公平、公正、科学及择优的原则，并以相同的磋商程序和标准对待所有的供应商。</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1.4 磋商小组按照磋商文件规定的磋商程序、评分方法和标准进行评审，并独立履行下列职责：</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（一）熟悉和理解磋商文件，确定磋商文件内容是否违反国家有关强制性规定或者磋商文件存在歧义、重大缺陷，根据需要书面要求采购人、采购代理机构对磋商文件作出解释；</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（二）审查供应商响应文件是否满足磋商文件要求，并作出公正评价；</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（三）根据需要要求供应商对响应文件中含义不明确、同类问题表述不一致或者有明显文字和计算错误的内容等作出必要的澄清、说明或者更正；</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（四）推荐成交供应商，或者受采购人委托确定成交供应商；</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（五）起草评审报告并进行签署；</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（六）向采购人/采购代理机构、财政部门或者其他监督部门报告非法干预评审工作的行为；</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（七）法律、法规和规章规定的其他职责。</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1.5磋商过程独立、保密。供应商非法干预磋商过程的，其响应文件作无效处理。</w:t>
      </w:r>
    </w:p>
    <w:p>
      <w:pPr>
        <w:keepNext/>
        <w:spacing w:after="0" w:line="360" w:lineRule="auto"/>
        <w:ind w:firstLine="480" w:firstLineChars="200"/>
        <w:outlineLvl w:val="1"/>
        <w:rPr>
          <w:rFonts w:ascii="宋体" w:hAnsi="宋体" w:cs="宋体"/>
          <w:b/>
          <w:bCs/>
          <w:color w:val="auto"/>
          <w:sz w:val="24"/>
          <w:highlight w:val="none"/>
        </w:rPr>
      </w:pPr>
      <w:r>
        <w:rPr>
          <w:rFonts w:hint="eastAsia" w:ascii="宋体" w:hAnsi="宋体" w:cs="宋体"/>
          <w:b/>
          <w:bCs/>
          <w:color w:val="auto"/>
          <w:sz w:val="24"/>
          <w:highlight w:val="none"/>
        </w:rPr>
        <w:t>2.磋商程序</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2.1审查磋商文件和停止评审。</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2.1.2 本磋商文件有下列情形之一的，磋商小组应当停止评审：</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（1）磋商文件的规定存在歧义、重大缺陷的；</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（2）磋商文件明显以不合理条件对供应商实行差别待遇或者歧视待遇的；</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（3）采购项目属于国家规定的优先、强制采购范围，但是磋商文件未依法体现优先、强制采购相关规定的；</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（4）采购项目属于政府采购促进中小企业发展的范围，但是磋商文件未依法体现促进中小企业发展相关规定的；</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（5）磋商文件将供应商的资格条件列为评分因素的；</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（6）磋商文件载明的成交原则不合法的；</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（7）磋商文件有违反国家其他有关强制性规定的情形。</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2.1.3 出现本条2.1.2规定应当停止评审情形的，磋商小组应当向采购组织单位书面说明情况。除本条规定的情形外，磋商小组不得以任何方式和理由停止评审。</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2.2资格性审查。</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2.2.1本项目需要磋商小组进行资格性检查。</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磋商小组应依据法律法规和磋商文件的规定，对响应文件是否按照规定要求提供资格性证明材料、是否属于禁止参加磋商的供应商等进行审查，以确定供应商是否具备磋商资格。</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2.2.2资格性审查结束后，磋商小组应当出具资格性审查报告，没有通过资格审查的供应商，磋商小组应当在资格审查报告中说明原因。</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2.2.3采购人或者采购代理机构宣布未通过资格性审查的供应商名单时，应当告知供应商未通过审查的原因。</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2.3 通过资格性审查的供应商不足3家的（本章2.3.1的情况除外），终止本次采购活动，并发布终止采购活动公告。</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2.3.1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2.4磋商。</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2.4.2每轮磋商开始前，磋商小组应根据磋商文件的规定，并结合各供应商的响应文件拟定磋商内容。</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2.4.3在磋商过程中，磋商小组可以根据磋商文件和磋商情况实质性变动磋商文件的技术、服务要求以及合同草案条款，但不得变动磋商文件中的其他内容。实质性变动的内容，须经采购人代表书面确认。</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2.4.4对磋商文件作出的实质性变动是磋商文件的有效组成部分，磋商小组应当及时以书面形式同时通知所有参加磋商的供应商。</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pPr>
        <w:autoSpaceDE w:val="0"/>
        <w:autoSpaceDN w:val="0"/>
        <w:adjustRightInd w:val="0"/>
        <w:snapToGrid w:val="0"/>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2.4.6磋商过程中，磋商小组对响应文件的有效性、完整性和响应程度进行审查，审查中发现供应商响应文件属于下列情况之一的，应按照无效响应文件处理：</w:t>
      </w:r>
    </w:p>
    <w:p>
      <w:pPr>
        <w:autoSpaceDE w:val="0"/>
        <w:autoSpaceDN w:val="0"/>
        <w:adjustRightInd w:val="0"/>
        <w:snapToGrid w:val="0"/>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（1）响应文件正副本数量不足的；</w:t>
      </w:r>
    </w:p>
    <w:p>
      <w:pPr>
        <w:autoSpaceDE w:val="0"/>
        <w:autoSpaceDN w:val="0"/>
        <w:adjustRightInd w:val="0"/>
        <w:snapToGrid w:val="0"/>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（2）响应文件组成明显不符合磋商文件的规定要求，影响评审委员会评判的；</w:t>
      </w:r>
    </w:p>
    <w:p>
      <w:pPr>
        <w:autoSpaceDE w:val="0"/>
        <w:autoSpaceDN w:val="0"/>
        <w:adjustRightInd w:val="0"/>
        <w:snapToGrid w:val="0"/>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（3）响应文件的语言、计量单位、知识产权、响应有效期等不符合磋商文件的规定，影响磋商小组评判的；</w:t>
      </w:r>
    </w:p>
    <w:p>
      <w:pPr>
        <w:autoSpaceDE w:val="0"/>
        <w:autoSpaceDN w:val="0"/>
        <w:adjustRightInd w:val="0"/>
        <w:snapToGrid w:val="0"/>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（4）经最终磋商后，供应商的响应文件仍不能完全响应磋商文件的实质性要求的；</w:t>
      </w:r>
    </w:p>
    <w:p>
      <w:pPr>
        <w:autoSpaceDE w:val="0"/>
        <w:autoSpaceDN w:val="0"/>
        <w:adjustRightInd w:val="0"/>
        <w:snapToGrid w:val="0"/>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 xml:space="preserve"> (5) 未载明或者载明的采购项目服务时间、方式、数量及其他政府采购合同实质性内容与本竞争性磋商文件要求不一致，且采购单位无法接受的。</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 xml:space="preserve"> （6）属于竞争性磋商文件中无效响应情形的。</w:t>
      </w:r>
    </w:p>
    <w:p>
      <w:pPr>
        <w:autoSpaceDE w:val="0"/>
        <w:autoSpaceDN w:val="0"/>
        <w:adjustRightInd w:val="0"/>
        <w:snapToGrid w:val="0"/>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但磋商小组对响应文件签署、盖章等进行审查过程中，有下列情形的，磋商小组应当评定为不影响整个响应文件有效性和采购活动公平竞争，并通过响应文件的有效性审查：</w:t>
      </w:r>
    </w:p>
    <w:p>
      <w:pPr>
        <w:autoSpaceDE w:val="0"/>
        <w:autoSpaceDN w:val="0"/>
        <w:adjustRightInd w:val="0"/>
        <w:snapToGrid w:val="0"/>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 xml:space="preserve"> （1）响应文件存在个别地方（总数不能超过2个）没有法定代表人/单位负责人签字，但有法定代表人/单位负责人的私人印章或者有效授权代理人签字的；</w:t>
      </w:r>
    </w:p>
    <w:p>
      <w:pPr>
        <w:autoSpaceDE w:val="0"/>
        <w:autoSpaceDN w:val="0"/>
        <w:adjustRightInd w:val="0"/>
        <w:snapToGrid w:val="0"/>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 xml:space="preserve"> （2）响应文件除磋商文件明确要求加盖单位(法人)公章的以外，其他地方以相关专用章加盖的；</w:t>
      </w:r>
    </w:p>
    <w:p>
      <w:pPr>
        <w:autoSpaceDE w:val="0"/>
        <w:autoSpaceDN w:val="0"/>
        <w:adjustRightInd w:val="0"/>
        <w:snapToGrid w:val="0"/>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 xml:space="preserve"> （3）以骑缝章的形式代替响应文件内容逐页盖章的（但是骑缝章模糊不清，印章名称无法辨认的除外）。</w:t>
      </w:r>
    </w:p>
    <w:p>
      <w:pPr>
        <w:autoSpaceDE w:val="0"/>
        <w:autoSpaceDN w:val="0"/>
        <w:adjustRightInd w:val="0"/>
        <w:snapToGrid w:val="0"/>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2.4.7磋商过程中，磋商的任何一方不得透露与磋商有关的其他供应商的技术资料、价格和其他信息。</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2.4.8磋商过程中，磋商小组发现或者知晓供应商存在违法、违纪行为的，磋商小组应当将该供应商响应文件作无效处理，不允许其提交最后报价。</w:t>
      </w:r>
    </w:p>
    <w:p>
      <w:pPr>
        <w:keepNext/>
        <w:spacing w:after="0" w:line="360" w:lineRule="auto"/>
        <w:ind w:firstLine="480" w:firstLineChars="200"/>
        <w:outlineLvl w:val="1"/>
        <w:rPr>
          <w:rFonts w:ascii="宋体" w:hAnsi="宋体" w:cs="宋体"/>
          <w:color w:val="auto"/>
          <w:sz w:val="24"/>
          <w:highlight w:val="none"/>
        </w:rPr>
      </w:pPr>
      <w:r>
        <w:rPr>
          <w:rFonts w:hint="eastAsia" w:ascii="宋体" w:hAnsi="宋体" w:cs="宋体"/>
          <w:color w:val="auto"/>
          <w:sz w:val="24"/>
          <w:highlight w:val="none"/>
        </w:rPr>
        <w:t>2.4.9磋商完成后，磋商小组应出具磋商情况记录表，磋商情况记录表需包含磋商内容、磋商意见、实质性变动内容等。</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2.5报价。</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2.5.1本次磋商采购采用现场报价，响应文件报价不作为评审的依据，以现场报价为准），参与报价的供应商按磋商小组要求进行报价。报价超过竞争性磋商文件规定的政府采购预算（或最高限价）或者相关报价不符合磋商文件其他的报价规定的，应按照无效响应文件处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2.5.2磋商文件能够详细列明采购标的的技术、服务要求的，磋商结束后，磋商小组应当要求所有实质性响应的供应商在规定时间内提交最后报价，提交最后报价的供应商不得少于3家（本章2.3.1和2.5.3的情况除外）。或磋商文件不能详细列明采购标的的技术、服务要求，需经磋商由供应商提供最终设计方案或解决方案的，磋商结束后，磋商小组应当按照少数服从多数的原则投票推荐3家以上（本章2.3.1和2.5.3的情况除外）供应商的设计方案或者解决方案，并要求其在规定时间内提交最后报价。</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2.5.3符合《政府采购竞争性磋商采购方式管理暂行办法财库》〔2014〕214号第三条第四项情形的，提交最后报价的供应商可以为2家。</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2.5.5供应商最后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2.5.6报价如果出现下列不一致的，可按以下原则进行修改：</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（一）</w:t>
      </w:r>
      <w:r>
        <w:rPr>
          <w:rFonts w:hint="eastAsia" w:ascii="宋体" w:hAnsi="宋体" w:cs="宋体"/>
          <w:color w:val="auto"/>
          <w:kern w:val="0"/>
          <w:sz w:val="24"/>
          <w:highlight w:val="none"/>
        </w:rPr>
        <w:t>大写金额和小写金额不一致的，以大写金额为准</w:t>
      </w:r>
      <w:r>
        <w:rPr>
          <w:rFonts w:hint="eastAsia" w:ascii="宋体" w:hAnsi="宋体" w:cs="宋体"/>
          <w:color w:val="auto"/>
          <w:sz w:val="24"/>
          <w:highlight w:val="none"/>
        </w:rPr>
        <w:t>，但大写金额文字存在错误的，应当先对大写金额的文字错误进行澄清、说明或者更正，再行修正。</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（二）</w:t>
      </w:r>
      <w:r>
        <w:rPr>
          <w:rFonts w:hint="eastAsia" w:ascii="宋体" w:hAnsi="宋体" w:cs="宋体"/>
          <w:color w:val="auto"/>
          <w:kern w:val="0"/>
          <w:sz w:val="24"/>
          <w:highlight w:val="none"/>
        </w:rPr>
        <w:t>总价金额与按单价汇总金额不一致的，以单价金额计算结果为准，</w:t>
      </w:r>
      <w:r>
        <w:rPr>
          <w:rFonts w:hint="eastAsia" w:ascii="宋体" w:hAnsi="宋体" w:cs="宋体"/>
          <w:color w:val="auto"/>
          <w:sz w:val="24"/>
          <w:highlight w:val="none"/>
        </w:rPr>
        <w:t>但</w:t>
      </w:r>
      <w:r>
        <w:rPr>
          <w:rFonts w:hint="eastAsia" w:ascii="宋体" w:hAnsi="宋体" w:cs="宋体"/>
          <w:color w:val="auto"/>
          <w:kern w:val="0"/>
          <w:sz w:val="24"/>
          <w:highlight w:val="none"/>
        </w:rPr>
        <w:t>单价或者单价汇总金额存在数字或者</w:t>
      </w:r>
      <w:r>
        <w:rPr>
          <w:rFonts w:hint="eastAsia" w:ascii="宋体" w:hAnsi="宋体" w:cs="宋体"/>
          <w:color w:val="auto"/>
          <w:sz w:val="24"/>
          <w:highlight w:val="none"/>
        </w:rPr>
        <w:t>文字错误的，应当先对</w:t>
      </w:r>
      <w:r>
        <w:rPr>
          <w:rFonts w:hint="eastAsia" w:ascii="宋体" w:hAnsi="宋体" w:cs="宋体"/>
          <w:color w:val="auto"/>
          <w:kern w:val="0"/>
          <w:sz w:val="24"/>
          <w:highlight w:val="none"/>
        </w:rPr>
        <w:t>数字或者</w:t>
      </w:r>
      <w:r>
        <w:rPr>
          <w:rFonts w:hint="eastAsia" w:ascii="宋体" w:hAnsi="宋体" w:cs="宋体"/>
          <w:color w:val="auto"/>
          <w:sz w:val="24"/>
          <w:highlight w:val="none"/>
        </w:rPr>
        <w:t>文字错误进行澄清、说明或者更正，再行修正。</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（三）单价金额小数点</w:t>
      </w:r>
      <w:r>
        <w:rPr>
          <w:rFonts w:hint="eastAsia" w:ascii="宋体" w:hAnsi="宋体" w:cs="宋体"/>
          <w:color w:val="auto"/>
          <w:kern w:val="0"/>
          <w:sz w:val="24"/>
          <w:highlight w:val="none"/>
        </w:rPr>
        <w:t>或者百分比有明显错位的</w:t>
      </w:r>
      <w:r>
        <w:rPr>
          <w:rFonts w:hint="eastAsia" w:ascii="宋体" w:hAnsi="宋体" w:cs="宋体"/>
          <w:color w:val="auto"/>
          <w:sz w:val="24"/>
          <w:highlight w:val="none"/>
        </w:rPr>
        <w:t>，以总价为准，修正单价。</w:t>
      </w:r>
    </w:p>
    <w:p>
      <w:pPr>
        <w:spacing w:after="0" w:line="360" w:lineRule="auto"/>
        <w:ind w:firstLine="240" w:firstLineChars="100"/>
        <w:jc w:val="left"/>
        <w:rPr>
          <w:rFonts w:ascii="宋体" w:hAnsi="宋体" w:cs="宋体"/>
          <w:color w:val="auto"/>
          <w:kern w:val="0"/>
          <w:sz w:val="24"/>
          <w:highlight w:val="none"/>
        </w:rPr>
      </w:pPr>
      <w:r>
        <w:rPr>
          <w:rFonts w:hint="eastAsia" w:ascii="宋体" w:hAnsi="宋体" w:cs="宋体"/>
          <w:color w:val="auto"/>
          <w:kern w:val="0"/>
          <w:sz w:val="24"/>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不得未经澄清、说明或者更正，直接将供应商响应文件作为无效处理。对不同文字文本响应文件的解释发生异议的，以中文文本为准。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2.6比较与评价。由磋商小组采用综合评分法对提交最后报价的供应商的响应文件和最后报价进行综合评分，具体要求详见本章综合评分部分。</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w:t>
      </w:r>
      <w:r>
        <w:rPr>
          <w:rFonts w:hint="eastAsia" w:ascii="宋体" w:hAnsi="宋体" w:cs="宋体"/>
          <w:b/>
          <w:bCs/>
          <w:color w:val="auto"/>
          <w:sz w:val="24"/>
          <w:highlight w:val="none"/>
        </w:rPr>
        <w:t>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r>
        <w:rPr>
          <w:rFonts w:hint="eastAsia" w:ascii="宋体" w:hAnsi="宋体" w:cs="宋体"/>
          <w:color w:val="auto"/>
          <w:sz w:val="24"/>
          <w:highlight w:val="none"/>
        </w:rPr>
        <w:t>。）</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2.8磋商小组复核。磋商小组评分汇总结束后，磋商小组应当进行评审复核，对拟推荐为成交候选供应商的、报价最低的、供应商资格审查未通过的、供应商响应文件作无效处理的重点复核。</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2.9采购组织单位现场复核评审结果。</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（1）资格性审查认定错误的；</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（2）分值汇总计算错误的；</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（3）分项评分超出评分标准范围的；</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（4）客观评分不一致的。</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采购代理机构复核过程中，磋商小组成员不得离开评审现场。</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2.9.2有下列情形之一的，不得现场修改评审结果：</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（1）磋商小组已经出具磋商报告并且离开评审现场的；</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（2）采购代理机构现场复核时，复核工作人员数量不足的；</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（3）采购代理机构现场复核时，没有采购监督人员现场监督的；</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（4）采购代理机构现场复核内容超出规定范围的；</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（5）采购代理机构未提供书面建议的。</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2.10编写磋商报告。磋商小组推荐成交候选供应商后，应向采购代理机构出具磋商报告。磋商报告应当包括以下主要内容：</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（1）邀请供应商参加采购活动的具体方式和相关情况；</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（2）响应文件开启日期和地点；</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（3）获取磋商文件的供应商名单和磋商小组成员名单；</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（4）评审情况记录和说明，包括对供应商的资格审查情况、供应商响应文件审查情况、磋商情况、报价情况等；</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（5）提出的成交候选供应商的排序名单及理由。</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2.12供应商澄清、说明</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2.13终止磋商采购活动。</w:t>
      </w:r>
    </w:p>
    <w:p>
      <w:pPr>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出现下列情形之一的，采购人或者采购代理机构应当终止竞争性磋商采购活动，发布项目终止公告并说明原因，重新开展采购活动：</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（1）因情况变化，不再符合规定的竞争性磋商采购方式适用情形的；</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（2）出现影响采购公正的违法、违规行为的；</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（3）除本章2.3.1和2.5.3的情况外，在采购过程中符合要求的供应商或者报价未超过采购预算的供应商不足3家的。</w:t>
      </w:r>
    </w:p>
    <w:p>
      <w:pPr>
        <w:spacing w:after="0" w:line="360" w:lineRule="auto"/>
        <w:ind w:firstLine="480" w:firstLineChars="200"/>
        <w:rPr>
          <w:rFonts w:ascii="宋体" w:hAnsi="宋体" w:cs="宋体"/>
          <w:b/>
          <w:bCs/>
          <w:color w:val="auto"/>
          <w:sz w:val="24"/>
          <w:highlight w:val="none"/>
        </w:rPr>
      </w:pPr>
      <w:r>
        <w:rPr>
          <w:rFonts w:hint="eastAsia" w:ascii="宋体" w:hAnsi="宋体" w:cs="宋体"/>
          <w:b/>
          <w:bCs/>
          <w:color w:val="auto"/>
          <w:sz w:val="24"/>
          <w:highlight w:val="none"/>
        </w:rPr>
        <w:t>3.综合评分</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3.1本次综合评分的因素详见综合评分明细表。</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3.3综合评分明细表</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3.3.1综合评分明细表的制定以科学合理、降低评委会自由裁量权为原则。</w:t>
      </w:r>
    </w:p>
    <w:p>
      <w:pPr>
        <w:widowControl/>
        <w:spacing w:after="0" w:line="360" w:lineRule="auto"/>
        <w:ind w:firstLine="240" w:firstLineChars="100"/>
        <w:jc w:val="left"/>
        <w:rPr>
          <w:rFonts w:ascii="宋体" w:hAnsi="宋体" w:cs="宋体"/>
          <w:color w:val="auto"/>
          <w:sz w:val="24"/>
          <w:highlight w:val="none"/>
        </w:rPr>
      </w:pPr>
      <w:r>
        <w:rPr>
          <w:rFonts w:hint="eastAsia" w:ascii="宋体" w:hAnsi="宋体" w:cs="宋体"/>
          <w:color w:val="auto"/>
          <w:sz w:val="24"/>
          <w:highlight w:val="none"/>
        </w:rPr>
        <w:t>3.3.2 综合评分明细表按须知表中的相关要求进行价格调整，再参与价格分评审。</w:t>
      </w:r>
    </w:p>
    <w:p>
      <w:pPr>
        <w:widowControl/>
        <w:spacing w:after="0" w:line="360" w:lineRule="auto"/>
        <w:ind w:firstLine="240" w:firstLineChars="100"/>
        <w:jc w:val="left"/>
        <w:rPr>
          <w:rFonts w:ascii="宋体" w:hAnsi="宋体" w:cs="宋体"/>
          <w:color w:val="auto"/>
          <w:sz w:val="24"/>
          <w:highlight w:val="none"/>
        </w:rPr>
      </w:pPr>
      <w:r>
        <w:rPr>
          <w:rFonts w:hint="eastAsia" w:ascii="宋体" w:hAnsi="宋体" w:cs="宋体"/>
          <w:color w:val="auto"/>
          <w:sz w:val="24"/>
          <w:highlight w:val="none"/>
        </w:rPr>
        <w:t>3.3.3综合评分明细表</w:t>
      </w:r>
    </w:p>
    <w:tbl>
      <w:tblPr>
        <w:tblStyle w:val="34"/>
        <w:tblW w:w="9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28"/>
        <w:gridCol w:w="971"/>
        <w:gridCol w:w="5683"/>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blHeader/>
          <w:jc w:val="center"/>
        </w:trPr>
        <w:tc>
          <w:tcPr>
            <w:tcW w:w="6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
              <w:jc w:val="center"/>
              <w:textAlignment w:val="auto"/>
              <w:rPr>
                <w:rFonts w:hint="default" w:ascii="宋体" w:hAnsi="宋体" w:cs="宋体"/>
                <w:b/>
                <w:bCs/>
                <w:color w:val="auto"/>
                <w:sz w:val="24"/>
                <w:highlight w:val="none"/>
              </w:rPr>
            </w:pPr>
            <w:r>
              <w:rPr>
                <w:rFonts w:hint="eastAsia" w:ascii="宋体" w:hAnsi="宋体" w:cs="宋体"/>
                <w:b/>
                <w:bCs/>
                <w:color w:val="auto"/>
                <w:sz w:val="24"/>
                <w:highlight w:val="none"/>
              </w:rPr>
              <w:t>序号</w:t>
            </w:r>
          </w:p>
        </w:tc>
        <w:tc>
          <w:tcPr>
            <w:tcW w:w="122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
              <w:jc w:val="center"/>
              <w:textAlignment w:val="auto"/>
              <w:rPr>
                <w:rFonts w:hint="default" w:ascii="宋体" w:hAnsi="宋体" w:cs="宋体"/>
                <w:b/>
                <w:bCs/>
                <w:color w:val="auto"/>
                <w:sz w:val="24"/>
                <w:highlight w:val="none"/>
              </w:rPr>
            </w:pPr>
            <w:r>
              <w:rPr>
                <w:rFonts w:hint="eastAsia" w:ascii="宋体" w:hAnsi="宋体" w:cs="宋体"/>
                <w:b/>
                <w:bCs/>
                <w:color w:val="auto"/>
                <w:sz w:val="24"/>
                <w:highlight w:val="none"/>
              </w:rPr>
              <w:t>评分因素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
              <w:jc w:val="center"/>
              <w:textAlignment w:val="auto"/>
              <w:rPr>
                <w:rFonts w:hint="default" w:ascii="宋体" w:hAnsi="宋体" w:cs="宋体"/>
                <w:b/>
                <w:bCs/>
                <w:color w:val="auto"/>
                <w:sz w:val="24"/>
                <w:highlight w:val="none"/>
              </w:rPr>
            </w:pPr>
            <w:r>
              <w:rPr>
                <w:rFonts w:hint="eastAsia" w:ascii="宋体" w:hAnsi="宋体" w:cs="宋体"/>
                <w:b/>
                <w:bCs/>
                <w:color w:val="auto"/>
                <w:sz w:val="24"/>
                <w:highlight w:val="none"/>
              </w:rPr>
              <w:t>及权重</w:t>
            </w:r>
          </w:p>
        </w:tc>
        <w:tc>
          <w:tcPr>
            <w:tcW w:w="971"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
              <w:jc w:val="center"/>
              <w:textAlignment w:val="auto"/>
              <w:rPr>
                <w:rFonts w:hint="default" w:ascii="宋体" w:hAnsi="宋体" w:cs="宋体"/>
                <w:b/>
                <w:bCs/>
                <w:color w:val="auto"/>
                <w:sz w:val="24"/>
                <w:highlight w:val="none"/>
              </w:rPr>
            </w:pPr>
            <w:r>
              <w:rPr>
                <w:rFonts w:hint="eastAsia" w:ascii="宋体" w:hAnsi="宋体" w:cs="宋体"/>
                <w:b/>
                <w:bCs/>
                <w:color w:val="auto"/>
                <w:sz w:val="24"/>
                <w:highlight w:val="none"/>
              </w:rPr>
              <w:t>分值</w:t>
            </w:r>
          </w:p>
        </w:tc>
        <w:tc>
          <w:tcPr>
            <w:tcW w:w="56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8"/>
              <w:jc w:val="center"/>
              <w:textAlignment w:val="auto"/>
              <w:rPr>
                <w:rFonts w:hint="default" w:ascii="宋体" w:hAnsi="宋体" w:cs="宋体"/>
                <w:b/>
                <w:bCs/>
                <w:color w:val="auto"/>
                <w:sz w:val="24"/>
                <w:highlight w:val="none"/>
              </w:rPr>
            </w:pPr>
            <w:r>
              <w:rPr>
                <w:rFonts w:hint="eastAsia" w:ascii="宋体" w:hAnsi="宋体" w:cs="宋体"/>
                <w:b/>
                <w:bCs/>
                <w:color w:val="auto"/>
                <w:sz w:val="24"/>
                <w:highlight w:val="none"/>
              </w:rPr>
              <w:t>评分标准</w:t>
            </w:r>
          </w:p>
        </w:tc>
        <w:tc>
          <w:tcPr>
            <w:tcW w:w="121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cs="宋体"/>
                <w:b/>
                <w:bCs/>
                <w:color w:val="auto"/>
                <w:sz w:val="24"/>
                <w:highlight w:val="none"/>
              </w:rPr>
            </w:pPr>
            <w:r>
              <w:rPr>
                <w:rFonts w:hint="eastAsia" w:ascii="宋体" w:hAnsi="宋体" w:cs="宋体"/>
                <w:b/>
                <w:bCs/>
                <w:color w:val="auto"/>
                <w:sz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0" w:type="dxa"/>
            <w:vAlign w:val="center"/>
          </w:tcPr>
          <w:p>
            <w:pPr>
              <w:keepNext w:val="0"/>
              <w:keepLines w:val="0"/>
              <w:suppressLineNumbers w:val="0"/>
              <w:spacing w:before="0" w:beforeAutospacing="0" w:afterAutospacing="0" w:line="360" w:lineRule="auto"/>
              <w:ind w:left="0" w:right="0" w:firstLine="28"/>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1228" w:type="dxa"/>
            <w:vAlign w:val="center"/>
          </w:tcPr>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lang w:val="zh-CN"/>
              </w:rPr>
            </w:pPr>
            <w:r>
              <w:rPr>
                <w:rFonts w:hint="eastAsia" w:ascii="宋体" w:hAnsi="宋体" w:cs="宋体"/>
                <w:color w:val="auto"/>
                <w:sz w:val="24"/>
                <w:highlight w:val="none"/>
                <w:lang w:val="zh-CN"/>
              </w:rPr>
              <w:t>报价30%</w:t>
            </w:r>
          </w:p>
        </w:tc>
        <w:tc>
          <w:tcPr>
            <w:tcW w:w="971" w:type="dxa"/>
            <w:vAlign w:val="center"/>
          </w:tcPr>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lang w:val="zh-CN"/>
              </w:rPr>
            </w:pPr>
            <w:r>
              <w:rPr>
                <w:rFonts w:hint="eastAsia" w:ascii="宋体" w:hAnsi="宋体" w:cs="宋体"/>
                <w:color w:val="auto"/>
                <w:sz w:val="24"/>
                <w:highlight w:val="none"/>
                <w:lang w:val="zh-CN"/>
              </w:rPr>
              <w:t>30分</w:t>
            </w:r>
          </w:p>
        </w:tc>
        <w:tc>
          <w:tcPr>
            <w:tcW w:w="56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120" w:firstLineChars="50"/>
              <w:jc w:val="left"/>
              <w:textAlignment w:val="auto"/>
              <w:rPr>
                <w:rFonts w:hint="default" w:ascii="宋体" w:hAnsi="宋体" w:cs="宋体"/>
                <w:color w:val="auto"/>
                <w:sz w:val="24"/>
                <w:highlight w:val="none"/>
                <w:lang w:val="zh-CN"/>
              </w:rPr>
            </w:pPr>
            <w:r>
              <w:rPr>
                <w:rFonts w:hint="eastAsia" w:ascii="宋体" w:hAnsi="宋体" w:cs="宋体"/>
                <w:color w:val="auto"/>
                <w:sz w:val="24"/>
                <w:highlight w:val="none"/>
                <w:lang w:val="zh-CN"/>
              </w:rPr>
              <w:t>满足磋商文件要求且最后报价最低的供应商的价格为基准价，其价格分为满分。其他供应商的价格分统一按照下列公式计算：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120" w:firstLineChars="50"/>
              <w:jc w:val="left"/>
              <w:textAlignment w:val="auto"/>
              <w:rPr>
                <w:rFonts w:hint="default" w:ascii="宋体" w:hAnsi="宋体" w:cs="宋体"/>
                <w:color w:val="auto"/>
                <w:sz w:val="24"/>
                <w:highlight w:val="none"/>
                <w:lang w:val="zh-CN"/>
              </w:rPr>
            </w:pPr>
            <w:r>
              <w:rPr>
                <w:rFonts w:hint="eastAsia" w:ascii="宋体" w:hAnsi="宋体" w:cs="宋体"/>
                <w:color w:val="auto"/>
                <w:sz w:val="24"/>
                <w:highlight w:val="none"/>
                <w:lang w:val="zh-CN"/>
              </w:rPr>
              <w:t>报价得分=(基准价／磋商报价)×30分×100%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120" w:firstLineChars="50"/>
              <w:jc w:val="left"/>
              <w:textAlignment w:val="auto"/>
              <w:rPr>
                <w:rFonts w:hint="eastAsia" w:ascii="宋体" w:hAnsi="宋体" w:cs="宋体"/>
                <w:b/>
                <w:bCs/>
                <w:color w:val="auto"/>
                <w:sz w:val="24"/>
                <w:highlight w:val="none"/>
                <w:lang w:val="zh-CN"/>
              </w:rPr>
            </w:pPr>
            <w:r>
              <w:rPr>
                <w:rFonts w:hint="eastAsia" w:ascii="宋体" w:hAnsi="宋体" w:cs="宋体"/>
                <w:b/>
                <w:bCs/>
                <w:color w:val="auto"/>
                <w:sz w:val="24"/>
                <w:highlight w:val="none"/>
                <w:lang w:val="zh-CN"/>
              </w:rPr>
              <w:t>注：1.小微企业（监狱企业、残疾人福利企业视同小微企业）：根据《政府采购促进中小企业发展管理办法》（财库〔2020〕46号）的规定执行，对小型和微型企业产品的价格给予10%的价格扣除，用扣除后的价格参与评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120" w:firstLineChars="50"/>
              <w:jc w:val="left"/>
              <w:textAlignment w:val="auto"/>
              <w:rPr>
                <w:rFonts w:hint="eastAsia" w:ascii="宋体" w:hAnsi="宋体" w:cs="宋体"/>
                <w:b/>
                <w:bCs/>
                <w:color w:val="auto"/>
                <w:sz w:val="24"/>
                <w:highlight w:val="none"/>
                <w:lang w:val="zh-CN"/>
              </w:rPr>
            </w:pPr>
            <w:r>
              <w:rPr>
                <w:rFonts w:hint="eastAsia" w:ascii="宋体" w:hAnsi="宋体" w:cs="宋体"/>
                <w:b/>
                <w:bCs/>
                <w:color w:val="auto"/>
                <w:sz w:val="24"/>
                <w:highlight w:val="none"/>
                <w:lang w:val="zh-CN"/>
              </w:rPr>
              <w:t>2.失信企业扣分：对记入诚信档案且在有效期内的失信供应商，在参加政府采购活动中直接从总分中扣除5分/次予以惩戒，供应商失信行为惩戒实行无限制累加制，直到总分 100 分扣完为止。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120" w:firstLineChars="50"/>
              <w:jc w:val="left"/>
              <w:textAlignment w:val="auto"/>
              <w:rPr>
                <w:rFonts w:hint="eastAsia" w:ascii="宋体" w:hAnsi="宋体" w:cs="宋体"/>
                <w:b/>
                <w:bCs/>
                <w:color w:val="auto"/>
                <w:sz w:val="24"/>
                <w:highlight w:val="none"/>
                <w:lang w:val="zh-CN"/>
              </w:rPr>
            </w:pPr>
            <w:r>
              <w:rPr>
                <w:rFonts w:hint="eastAsia" w:ascii="宋体" w:hAnsi="宋体" w:cs="宋体"/>
                <w:b/>
                <w:bCs/>
                <w:color w:val="auto"/>
                <w:sz w:val="24"/>
                <w:highlight w:val="none"/>
                <w:lang w:val="zh-CN"/>
              </w:rPr>
              <w:t>3.参加政府采购活动的供应商应提供中小企业应提供《中小企业声明函》；残疾人福利性企业应提供《残疾人福利性单位声明函》。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120" w:firstLineChars="50"/>
              <w:jc w:val="left"/>
              <w:textAlignment w:val="auto"/>
              <w:rPr>
                <w:rFonts w:hint="eastAsia" w:ascii="宋体" w:hAnsi="宋体" w:cs="宋体"/>
                <w:b/>
                <w:bCs/>
                <w:color w:val="auto"/>
                <w:sz w:val="24"/>
                <w:highlight w:val="none"/>
                <w:lang w:val="zh-CN"/>
              </w:rPr>
            </w:pPr>
            <w:r>
              <w:rPr>
                <w:rFonts w:hint="eastAsia" w:ascii="宋体" w:hAnsi="宋体" w:cs="宋体"/>
                <w:b/>
                <w:bCs/>
                <w:color w:val="auto"/>
                <w:sz w:val="24"/>
                <w:highlight w:val="none"/>
                <w:lang w:val="zh-CN"/>
              </w:rPr>
              <w:t>4.供应商为监狱企业的，提供由省级以上监狱管理局、戒毒管理局出具的供应商属于监狱企业的证明文件复印件。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120" w:firstLineChars="50"/>
              <w:jc w:val="left"/>
              <w:textAlignment w:val="auto"/>
              <w:rPr>
                <w:rFonts w:hint="default" w:ascii="宋体" w:hAnsi="宋体" w:cs="宋体"/>
                <w:color w:val="auto"/>
                <w:sz w:val="24"/>
                <w:highlight w:val="none"/>
                <w:lang w:val="zh-CN"/>
              </w:rPr>
            </w:pPr>
            <w:r>
              <w:rPr>
                <w:rFonts w:hint="eastAsia" w:ascii="宋体" w:hAnsi="宋体" w:cs="宋体"/>
                <w:b/>
                <w:bCs/>
                <w:color w:val="auto"/>
                <w:sz w:val="24"/>
                <w:highlight w:val="none"/>
                <w:lang w:val="zh-CN"/>
              </w:rPr>
              <w:t>注：残疾人福利性单位属于小型、微型企业的，不重复享受政策。</w:t>
            </w:r>
          </w:p>
        </w:tc>
        <w:tc>
          <w:tcPr>
            <w:tcW w:w="1216" w:type="dxa"/>
            <w:vAlign w:val="center"/>
          </w:tcPr>
          <w:p>
            <w:pPr>
              <w:pStyle w:val="73"/>
              <w:keepNext w:val="0"/>
              <w:keepLines w:val="0"/>
              <w:suppressLineNumbers w:val="0"/>
              <w:wordWrap/>
              <w:snapToGrid/>
              <w:spacing w:before="0" w:beforeAutospacing="0" w:afterAutospacing="0" w:line="360" w:lineRule="auto"/>
              <w:ind w:left="0" w:right="0"/>
              <w:jc w:val="center"/>
              <w:rPr>
                <w:rFonts w:hint="default" w:cs="宋体"/>
                <w:color w:val="auto"/>
                <w:highlight w:val="none"/>
              </w:rPr>
            </w:pPr>
            <w:r>
              <w:rPr>
                <w:rFonts w:hint="eastAsia" w:cs="宋体"/>
                <w:color w:val="auto"/>
                <w:highlight w:val="none"/>
              </w:rPr>
              <w:t>共同评分</w:t>
            </w:r>
          </w:p>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lang w:val="zh-CN"/>
              </w:rPr>
            </w:pPr>
            <w:r>
              <w:rPr>
                <w:rFonts w:hint="eastAsia" w:ascii="宋体" w:hAnsi="宋体" w:cs="宋体"/>
                <w:color w:val="auto"/>
                <w:sz w:val="24"/>
                <w:highlight w:val="none"/>
              </w:rPr>
              <w:t>因素</w:t>
            </w:r>
          </w:p>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0" w:type="dxa"/>
            <w:vAlign w:val="center"/>
          </w:tcPr>
          <w:p>
            <w:pPr>
              <w:keepNext w:val="0"/>
              <w:keepLines w:val="0"/>
              <w:suppressLineNumbers w:val="0"/>
              <w:spacing w:before="0" w:beforeAutospacing="0" w:afterAutospacing="0" w:line="360" w:lineRule="auto"/>
              <w:ind w:left="0" w:right="0" w:firstLine="28"/>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1228" w:type="dxa"/>
            <w:vAlign w:val="center"/>
          </w:tcPr>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lang w:val="zh-CN"/>
              </w:rPr>
            </w:pPr>
            <w:r>
              <w:rPr>
                <w:rFonts w:hint="eastAsia" w:ascii="宋体" w:hAnsi="宋体" w:cs="宋体"/>
                <w:color w:val="auto"/>
                <w:sz w:val="24"/>
                <w:highlight w:val="none"/>
                <w:lang w:val="zh-CN"/>
              </w:rPr>
              <w:t>技术指标</w:t>
            </w:r>
          </w:p>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lang w:val="zh-CN"/>
              </w:rPr>
            </w:pPr>
            <w:r>
              <w:rPr>
                <w:rFonts w:hint="eastAsia" w:ascii="宋体" w:hAnsi="宋体" w:cs="宋体"/>
                <w:color w:val="auto"/>
                <w:sz w:val="24"/>
                <w:highlight w:val="none"/>
                <w:lang w:val="zh-CN"/>
              </w:rPr>
              <w:t>和配置</w:t>
            </w:r>
            <w:r>
              <w:rPr>
                <w:rFonts w:hint="eastAsia" w:ascii="宋体" w:hAnsi="宋体" w:cs="宋体"/>
                <w:color w:val="auto"/>
                <w:sz w:val="24"/>
                <w:highlight w:val="none"/>
                <w:lang w:val="en-US" w:eastAsia="zh-CN"/>
              </w:rPr>
              <w:t>9.5</w:t>
            </w:r>
            <w:r>
              <w:rPr>
                <w:rFonts w:hint="eastAsia" w:ascii="宋体" w:hAnsi="宋体" w:cs="宋体"/>
                <w:color w:val="auto"/>
                <w:sz w:val="24"/>
                <w:highlight w:val="none"/>
                <w:lang w:val="zh-CN"/>
              </w:rPr>
              <w:t>%</w:t>
            </w:r>
          </w:p>
        </w:tc>
        <w:tc>
          <w:tcPr>
            <w:tcW w:w="971" w:type="dxa"/>
            <w:vAlign w:val="center"/>
          </w:tcPr>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lang w:val="zh-CN"/>
              </w:rPr>
            </w:pPr>
            <w:r>
              <w:rPr>
                <w:rFonts w:hint="eastAsia" w:ascii="宋体" w:hAnsi="宋体" w:cs="宋体"/>
                <w:color w:val="auto"/>
                <w:sz w:val="24"/>
                <w:highlight w:val="none"/>
                <w:lang w:val="en-US" w:eastAsia="zh-CN"/>
              </w:rPr>
              <w:t>9.5</w:t>
            </w:r>
            <w:r>
              <w:rPr>
                <w:rFonts w:hint="eastAsia" w:ascii="宋体" w:hAnsi="宋体" w:cs="宋体"/>
                <w:color w:val="auto"/>
                <w:sz w:val="24"/>
                <w:highlight w:val="none"/>
                <w:lang w:val="zh-CN"/>
              </w:rPr>
              <w:t>分</w:t>
            </w:r>
          </w:p>
        </w:tc>
        <w:tc>
          <w:tcPr>
            <w:tcW w:w="56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120" w:firstLineChars="50"/>
              <w:jc w:val="left"/>
              <w:textAlignment w:val="auto"/>
              <w:rPr>
                <w:rFonts w:hint="eastAsia" w:ascii="宋体" w:hAnsi="宋体" w:cs="宋体"/>
                <w:color w:val="auto"/>
                <w:sz w:val="24"/>
                <w:highlight w:val="none"/>
                <w:lang w:val="zh-CN" w:eastAsia="zh-CN"/>
              </w:rPr>
            </w:pPr>
            <w:r>
              <w:rPr>
                <w:rFonts w:hint="eastAsia" w:ascii="宋体" w:hAnsi="宋体" w:cs="宋体"/>
                <w:color w:val="auto"/>
                <w:sz w:val="24"/>
                <w:highlight w:val="none"/>
                <w:lang w:val="zh-CN" w:eastAsia="zh-CN"/>
              </w:rPr>
              <w:t>完全符合磋商文件</w:t>
            </w:r>
            <w:r>
              <w:rPr>
                <w:rFonts w:hint="eastAsia" w:ascii="宋体" w:hAnsi="宋体" w:cs="宋体"/>
                <w:color w:val="auto"/>
                <w:sz w:val="24"/>
                <w:highlight w:val="none"/>
                <w:lang w:val="en-US" w:eastAsia="zh-CN"/>
              </w:rPr>
              <w:t>第六章采购项目技术、服务及其他商务要求的“二、设备清单及技术参数表”中</w:t>
            </w:r>
            <w:r>
              <w:rPr>
                <w:rFonts w:hint="eastAsia" w:ascii="宋体" w:hAnsi="宋体" w:cs="宋体"/>
                <w:color w:val="auto"/>
                <w:sz w:val="24"/>
                <w:highlight w:val="none"/>
                <w:lang w:val="zh-CN" w:eastAsia="zh-CN"/>
              </w:rPr>
              <w:t>要求没有负偏离得</w:t>
            </w:r>
            <w:r>
              <w:rPr>
                <w:rFonts w:hint="eastAsia" w:ascii="宋体" w:hAnsi="宋体" w:cs="宋体"/>
                <w:color w:val="auto"/>
                <w:sz w:val="24"/>
                <w:highlight w:val="none"/>
                <w:lang w:val="en-US" w:eastAsia="zh-CN"/>
              </w:rPr>
              <w:t>9.5</w:t>
            </w:r>
            <w:r>
              <w:rPr>
                <w:rFonts w:hint="eastAsia" w:ascii="宋体" w:hAnsi="宋体" w:cs="宋体"/>
                <w:color w:val="auto"/>
                <w:sz w:val="24"/>
                <w:highlight w:val="none"/>
                <w:lang w:val="zh-CN" w:eastAsia="zh-CN"/>
              </w:rPr>
              <w:t>分；</w:t>
            </w:r>
            <w:r>
              <w:rPr>
                <w:rFonts w:hint="eastAsia" w:ascii="宋体" w:hAnsi="宋体" w:cs="宋体"/>
                <w:color w:val="auto"/>
                <w:sz w:val="24"/>
                <w:highlight w:val="none"/>
                <w:lang w:val="en-US" w:eastAsia="zh-CN"/>
              </w:rPr>
              <w:t>与</w:t>
            </w:r>
            <w:r>
              <w:rPr>
                <w:rFonts w:hint="eastAsia" w:ascii="宋体" w:hAnsi="宋体" w:cs="宋体"/>
                <w:color w:val="auto"/>
                <w:sz w:val="24"/>
                <w:highlight w:val="none"/>
                <w:lang w:val="zh-CN" w:eastAsia="zh-CN"/>
              </w:rPr>
              <w:t>标注“</w:t>
            </w:r>
            <w:r>
              <w:rPr>
                <w:rFonts w:hint="eastAsia" w:ascii="宋体" w:hAnsi="宋体" w:cs="宋体"/>
                <w:color w:val="auto"/>
                <w:sz w:val="24"/>
                <w:highlight w:val="none"/>
                <w:lang w:val="en-US" w:eastAsia="zh-CN"/>
              </w:rPr>
              <w:t>★</w:t>
            </w:r>
            <w:r>
              <w:rPr>
                <w:rFonts w:hint="eastAsia" w:ascii="宋体" w:hAnsi="宋体" w:cs="宋体"/>
                <w:color w:val="auto"/>
                <w:sz w:val="24"/>
                <w:highlight w:val="none"/>
                <w:lang w:val="zh-CN" w:eastAsia="zh-CN"/>
              </w:rPr>
              <w:t>”的要求（共</w:t>
            </w:r>
            <w:r>
              <w:rPr>
                <w:rFonts w:hint="eastAsia" w:ascii="宋体" w:hAnsi="宋体" w:cs="宋体"/>
                <w:color w:val="auto"/>
                <w:sz w:val="24"/>
                <w:highlight w:val="none"/>
                <w:lang w:val="en-US" w:eastAsia="zh-CN"/>
              </w:rPr>
              <w:t>5</w:t>
            </w:r>
            <w:r>
              <w:rPr>
                <w:rFonts w:hint="eastAsia" w:ascii="宋体" w:hAnsi="宋体" w:cs="宋体"/>
                <w:color w:val="auto"/>
                <w:sz w:val="24"/>
                <w:highlight w:val="none"/>
                <w:lang w:val="zh-CN" w:eastAsia="zh-CN"/>
              </w:rPr>
              <w:t>项）有负偏离的，一项扣</w:t>
            </w:r>
            <w:r>
              <w:rPr>
                <w:rFonts w:hint="eastAsia" w:ascii="宋体" w:hAnsi="宋体" w:cs="宋体"/>
                <w:color w:val="auto"/>
                <w:sz w:val="24"/>
                <w:highlight w:val="none"/>
                <w:lang w:val="en-US" w:eastAsia="zh-CN"/>
              </w:rPr>
              <w:t>0.6</w:t>
            </w:r>
            <w:r>
              <w:rPr>
                <w:rFonts w:hint="eastAsia" w:ascii="宋体" w:hAnsi="宋体" w:cs="宋体"/>
                <w:color w:val="auto"/>
                <w:sz w:val="24"/>
                <w:highlight w:val="none"/>
                <w:lang w:val="zh-CN" w:eastAsia="zh-CN"/>
              </w:rPr>
              <w:t>分，最多扣</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val="zh-CN" w:eastAsia="zh-CN"/>
              </w:rPr>
              <w:t>分；与</w:t>
            </w:r>
            <w:r>
              <w:rPr>
                <w:rFonts w:hint="eastAsia" w:ascii="宋体" w:hAnsi="宋体" w:cs="宋体"/>
                <w:color w:val="auto"/>
                <w:sz w:val="24"/>
                <w:highlight w:val="none"/>
                <w:lang w:val="en-US" w:eastAsia="zh-CN"/>
              </w:rPr>
              <w:t>未</w:t>
            </w:r>
            <w:r>
              <w:rPr>
                <w:rFonts w:hint="eastAsia" w:ascii="宋体" w:hAnsi="宋体" w:cs="宋体"/>
                <w:color w:val="auto"/>
                <w:sz w:val="24"/>
                <w:highlight w:val="none"/>
                <w:lang w:val="zh-CN" w:eastAsia="zh-CN"/>
              </w:rPr>
              <w:t>标注“</w:t>
            </w:r>
            <w:r>
              <w:rPr>
                <w:rFonts w:hint="eastAsia" w:ascii="宋体" w:hAnsi="宋体" w:cs="宋体"/>
                <w:color w:val="auto"/>
                <w:sz w:val="24"/>
                <w:highlight w:val="none"/>
                <w:lang w:val="en-US" w:eastAsia="zh-CN"/>
              </w:rPr>
              <w:t>★</w:t>
            </w:r>
            <w:r>
              <w:rPr>
                <w:rFonts w:hint="eastAsia" w:ascii="宋体" w:hAnsi="宋体" w:cs="宋体"/>
                <w:color w:val="auto"/>
                <w:sz w:val="24"/>
                <w:highlight w:val="none"/>
                <w:lang w:val="zh-CN" w:eastAsia="zh-CN"/>
              </w:rPr>
              <w:t>”的要求（共65项）有负偏离的，一项扣0.1分，最多扣</w:t>
            </w:r>
            <w:r>
              <w:rPr>
                <w:rFonts w:hint="eastAsia" w:ascii="宋体" w:hAnsi="宋体" w:cs="宋体"/>
                <w:color w:val="auto"/>
                <w:sz w:val="24"/>
                <w:highlight w:val="none"/>
                <w:lang w:val="en-US" w:eastAsia="zh-CN"/>
              </w:rPr>
              <w:t>6.5</w:t>
            </w:r>
            <w:r>
              <w:rPr>
                <w:rFonts w:hint="eastAsia" w:ascii="宋体" w:hAnsi="宋体" w:cs="宋体"/>
                <w:color w:val="auto"/>
                <w:sz w:val="24"/>
                <w:highlight w:val="none"/>
                <w:lang w:val="zh-CN" w:eastAsia="zh-CN"/>
              </w:rPr>
              <w:t>分；本项扣完为止。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120" w:firstLineChars="50"/>
              <w:jc w:val="left"/>
              <w:textAlignment w:val="auto"/>
              <w:rPr>
                <w:rFonts w:hint="default" w:ascii="宋体" w:hAnsi="宋体" w:cs="宋体"/>
                <w:color w:val="auto"/>
                <w:sz w:val="24"/>
                <w:highlight w:val="none"/>
                <w:lang w:val="zh-CN"/>
              </w:rPr>
            </w:pPr>
            <w:r>
              <w:rPr>
                <w:rFonts w:hint="eastAsia" w:ascii="宋体" w:hAnsi="宋体" w:cs="宋体"/>
                <w:color w:val="auto"/>
                <w:sz w:val="24"/>
                <w:highlight w:val="none"/>
                <w:lang w:val="zh-CN" w:eastAsia="zh-CN"/>
              </w:rPr>
              <w:t>注：磋商文件有具体要求的，以磋商文件要求提供的证明材料为准，不提供或不满足视为负偏离；磋商文件无具体要求的，以</w:t>
            </w:r>
            <w:r>
              <w:rPr>
                <w:rFonts w:hint="eastAsia" w:ascii="宋体" w:hAnsi="宋体" w:cs="宋体"/>
                <w:color w:val="auto"/>
                <w:sz w:val="24"/>
                <w:highlight w:val="none"/>
                <w:lang w:val="en-US" w:eastAsia="zh-CN"/>
              </w:rPr>
              <w:t>供应商</w:t>
            </w:r>
            <w:r>
              <w:rPr>
                <w:rFonts w:hint="eastAsia" w:ascii="宋体" w:hAnsi="宋体" w:cs="宋体"/>
                <w:color w:val="auto"/>
                <w:sz w:val="24"/>
                <w:highlight w:val="none"/>
                <w:lang w:val="zh-CN" w:eastAsia="zh-CN"/>
              </w:rPr>
              <w:t>在</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lang w:val="zh-CN" w:eastAsia="zh-CN"/>
              </w:rPr>
              <w:t>文件中的</w:t>
            </w:r>
            <w:r>
              <w:rPr>
                <w:rFonts w:hint="eastAsia" w:ascii="宋体" w:hAnsi="宋体" w:cs="宋体"/>
                <w:color w:val="auto"/>
                <w:sz w:val="24"/>
                <w:highlight w:val="none"/>
                <w:lang w:val="en-US" w:eastAsia="zh-CN"/>
              </w:rPr>
              <w:t>响应</w:t>
            </w:r>
            <w:r>
              <w:rPr>
                <w:rFonts w:hint="eastAsia" w:ascii="宋体" w:hAnsi="宋体" w:cs="宋体"/>
                <w:color w:val="auto"/>
                <w:sz w:val="24"/>
                <w:highlight w:val="none"/>
                <w:lang w:val="zh-CN" w:eastAsia="zh-CN"/>
              </w:rPr>
              <w:t>产品技术参数表响应为准，不响应或不满足视为负偏离。</w:t>
            </w:r>
          </w:p>
        </w:tc>
        <w:tc>
          <w:tcPr>
            <w:tcW w:w="1216" w:type="dxa"/>
            <w:vAlign w:val="center"/>
          </w:tcPr>
          <w:p>
            <w:pPr>
              <w:pStyle w:val="73"/>
              <w:keepNext w:val="0"/>
              <w:keepLines w:val="0"/>
              <w:suppressLineNumbers w:val="0"/>
              <w:wordWrap/>
              <w:snapToGrid/>
              <w:spacing w:before="0" w:beforeAutospacing="0" w:afterAutospacing="0" w:line="360" w:lineRule="auto"/>
              <w:ind w:left="0" w:right="0"/>
              <w:jc w:val="center"/>
              <w:rPr>
                <w:rFonts w:hint="default" w:cs="宋体"/>
                <w:color w:val="auto"/>
                <w:highlight w:val="none"/>
              </w:rPr>
            </w:pPr>
            <w:r>
              <w:rPr>
                <w:rFonts w:hint="eastAsia" w:cs="宋体"/>
                <w:color w:val="auto"/>
                <w:highlight w:val="none"/>
              </w:rPr>
              <w:t>技术类</w:t>
            </w:r>
          </w:p>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lang w:val="zh-CN"/>
              </w:rPr>
            </w:pPr>
            <w:r>
              <w:rPr>
                <w:rFonts w:hint="eastAsia" w:ascii="宋体" w:hAnsi="宋体" w:cs="宋体"/>
                <w:color w:val="auto"/>
                <w:sz w:val="24"/>
                <w:highlight w:val="none"/>
              </w:rPr>
              <w:t>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0" w:type="dxa"/>
            <w:vMerge w:val="restart"/>
            <w:vAlign w:val="center"/>
          </w:tcPr>
          <w:p>
            <w:pPr>
              <w:keepNext w:val="0"/>
              <w:keepLines w:val="0"/>
              <w:suppressLineNumbers w:val="0"/>
              <w:spacing w:before="0" w:beforeAutospacing="0" w:afterAutospacing="0" w:line="360" w:lineRule="auto"/>
              <w:ind w:left="0" w:right="0" w:firstLine="28"/>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3</w:t>
            </w:r>
          </w:p>
        </w:tc>
        <w:tc>
          <w:tcPr>
            <w:tcW w:w="1228" w:type="dxa"/>
            <w:vMerge w:val="restart"/>
            <w:vAlign w:val="center"/>
          </w:tcPr>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服务方案</w:t>
            </w:r>
            <w:r>
              <w:rPr>
                <w:rFonts w:hint="eastAsia" w:ascii="宋体" w:hAnsi="宋体" w:cs="宋体"/>
                <w:color w:val="auto"/>
                <w:sz w:val="24"/>
                <w:highlight w:val="none"/>
                <w:lang w:val="en-US" w:eastAsia="zh-CN"/>
              </w:rPr>
              <w:t>52</w:t>
            </w:r>
            <w:r>
              <w:rPr>
                <w:rFonts w:hint="eastAsia" w:ascii="宋体" w:hAnsi="宋体" w:cs="宋体"/>
                <w:color w:val="auto"/>
                <w:sz w:val="24"/>
                <w:highlight w:val="none"/>
              </w:rPr>
              <w:t>%</w:t>
            </w:r>
          </w:p>
        </w:tc>
        <w:tc>
          <w:tcPr>
            <w:tcW w:w="971" w:type="dxa"/>
            <w:vAlign w:val="center"/>
          </w:tcPr>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lang w:val="zh-CN"/>
              </w:rPr>
              <w:t>项目实施方案</w:t>
            </w:r>
          </w:p>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lang w:val="en-US" w:eastAsia="zh-CN"/>
              </w:rPr>
              <w:t>24</w:t>
            </w:r>
            <w:r>
              <w:rPr>
                <w:rFonts w:hint="eastAsia" w:ascii="宋体" w:hAnsi="宋体" w:cs="宋体"/>
                <w:color w:val="auto"/>
                <w:sz w:val="24"/>
                <w:highlight w:val="none"/>
              </w:rPr>
              <w:t>分</w:t>
            </w:r>
          </w:p>
        </w:tc>
        <w:tc>
          <w:tcPr>
            <w:tcW w:w="56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120" w:firstLineChars="50"/>
              <w:jc w:val="left"/>
              <w:textAlignment w:val="auto"/>
              <w:rPr>
                <w:rFonts w:hint="default" w:ascii="宋体" w:hAnsi="宋体" w:cs="宋体"/>
                <w:color w:val="auto"/>
                <w:sz w:val="24"/>
                <w:highlight w:val="none"/>
                <w:lang w:val="zh-CN"/>
              </w:rPr>
            </w:pPr>
            <w:r>
              <w:rPr>
                <w:rFonts w:hint="eastAsia" w:ascii="宋体" w:hAnsi="宋体" w:cs="宋体"/>
                <w:color w:val="auto"/>
                <w:sz w:val="24"/>
                <w:highlight w:val="none"/>
              </w:rPr>
              <w:t>根据供应商提供的项目实施方案进行综合评审</w:t>
            </w:r>
            <w:r>
              <w:rPr>
                <w:rFonts w:hint="eastAsia" w:ascii="宋体" w:hAnsi="宋体" w:cs="宋体"/>
                <w:color w:val="auto"/>
                <w:sz w:val="24"/>
                <w:highlight w:val="none"/>
                <w:lang w:val="zh-CN"/>
              </w:rPr>
              <w:t>，方案包括：①系统架构；②数据接收处理；③应用系统设计及功能；④施工部署与保障措施；⑤进度计划及保障措施；</w:t>
            </w:r>
            <w:r>
              <w:rPr>
                <w:rFonts w:hint="eastAsia" w:ascii="宋体" w:hAnsi="宋体" w:cs="宋体"/>
                <w:color w:val="auto"/>
                <w:sz w:val="24"/>
                <w:highlight w:val="none"/>
              </w:rPr>
              <w:t>⑥</w:t>
            </w:r>
            <w:r>
              <w:rPr>
                <w:rFonts w:hint="eastAsia" w:ascii="宋体" w:hAnsi="宋体" w:cs="宋体"/>
                <w:color w:val="auto"/>
                <w:sz w:val="24"/>
                <w:highlight w:val="none"/>
                <w:lang w:val="zh-CN"/>
              </w:rPr>
              <w:t>技术服务。方案包含以上内容且完整合理的得</w:t>
            </w:r>
            <w:r>
              <w:rPr>
                <w:rFonts w:hint="eastAsia" w:ascii="宋体" w:hAnsi="宋体" w:cs="宋体"/>
                <w:color w:val="auto"/>
                <w:sz w:val="24"/>
                <w:highlight w:val="none"/>
                <w:lang w:val="en-US" w:eastAsia="zh-CN"/>
              </w:rPr>
              <w:t>24</w:t>
            </w:r>
            <w:r>
              <w:rPr>
                <w:rFonts w:hint="eastAsia" w:ascii="宋体" w:hAnsi="宋体" w:cs="宋体"/>
                <w:color w:val="auto"/>
                <w:sz w:val="24"/>
                <w:highlight w:val="none"/>
                <w:lang w:val="zh-CN"/>
              </w:rPr>
              <w:t>分；每有一项缺失的扣</w:t>
            </w:r>
            <w:r>
              <w:rPr>
                <w:rFonts w:hint="eastAsia" w:ascii="宋体" w:hAnsi="宋体" w:cs="宋体"/>
                <w:color w:val="auto"/>
                <w:sz w:val="24"/>
                <w:highlight w:val="none"/>
                <w:lang w:val="en-US" w:eastAsia="zh-CN"/>
              </w:rPr>
              <w:t>4</w:t>
            </w:r>
            <w:r>
              <w:rPr>
                <w:rFonts w:hint="eastAsia" w:ascii="宋体" w:hAnsi="宋体" w:cs="宋体"/>
                <w:color w:val="auto"/>
                <w:sz w:val="24"/>
                <w:highlight w:val="none"/>
                <w:lang w:val="zh-CN"/>
              </w:rPr>
              <w:t>分，每有一项缺陷的扣</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val="zh-CN"/>
              </w:rPr>
              <w:t>分。“缺陷”是指：描述有歧义或逻辑有漏洞或夸大描述或方案内容与实际需求不相符或方案内容体现不齐全或与项目需求结合不够紧密。</w:t>
            </w:r>
          </w:p>
        </w:tc>
        <w:tc>
          <w:tcPr>
            <w:tcW w:w="1216" w:type="dxa"/>
            <w:vMerge w:val="restart"/>
            <w:vAlign w:val="center"/>
          </w:tcPr>
          <w:p>
            <w:pPr>
              <w:pStyle w:val="73"/>
              <w:keepNext w:val="0"/>
              <w:keepLines w:val="0"/>
              <w:suppressLineNumbers w:val="0"/>
              <w:wordWrap/>
              <w:snapToGrid/>
              <w:spacing w:before="0" w:beforeAutospacing="0" w:afterAutospacing="0" w:line="360" w:lineRule="auto"/>
              <w:ind w:left="0" w:right="0"/>
              <w:jc w:val="center"/>
              <w:rPr>
                <w:rFonts w:hint="default" w:cs="宋体"/>
                <w:color w:val="auto"/>
                <w:highlight w:val="none"/>
              </w:rPr>
            </w:pPr>
            <w:r>
              <w:rPr>
                <w:rFonts w:hint="eastAsia" w:cs="宋体"/>
                <w:color w:val="auto"/>
                <w:highlight w:val="none"/>
              </w:rPr>
              <w:t>技术类</w:t>
            </w:r>
          </w:p>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660" w:type="dxa"/>
            <w:vMerge w:val="continue"/>
            <w:vAlign w:val="center"/>
          </w:tcPr>
          <w:p>
            <w:pPr>
              <w:keepNext w:val="0"/>
              <w:keepLines w:val="0"/>
              <w:suppressLineNumbers w:val="0"/>
              <w:spacing w:before="0" w:beforeAutospacing="0" w:afterAutospacing="0" w:line="360" w:lineRule="auto"/>
              <w:ind w:left="0" w:right="0" w:firstLine="28"/>
              <w:jc w:val="center"/>
              <w:rPr>
                <w:rFonts w:hint="default" w:ascii="宋体" w:hAnsi="宋体" w:cs="宋体"/>
                <w:color w:val="auto"/>
                <w:sz w:val="24"/>
                <w:highlight w:val="none"/>
              </w:rPr>
            </w:pPr>
          </w:p>
        </w:tc>
        <w:tc>
          <w:tcPr>
            <w:tcW w:w="1228" w:type="dxa"/>
            <w:vMerge w:val="continue"/>
            <w:vAlign w:val="center"/>
          </w:tcPr>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lang w:val="zh-CN"/>
              </w:rPr>
            </w:pPr>
          </w:p>
        </w:tc>
        <w:tc>
          <w:tcPr>
            <w:tcW w:w="971" w:type="dxa"/>
            <w:vAlign w:val="center"/>
          </w:tcPr>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质量保障方案</w:t>
            </w:r>
          </w:p>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lang w:val="en-US" w:eastAsia="zh-CN"/>
              </w:rPr>
              <w:t>16</w:t>
            </w:r>
            <w:r>
              <w:rPr>
                <w:rFonts w:hint="eastAsia" w:ascii="宋体" w:hAnsi="宋体" w:cs="宋体"/>
                <w:color w:val="auto"/>
                <w:sz w:val="24"/>
                <w:highlight w:val="none"/>
              </w:rPr>
              <w:t>分</w:t>
            </w:r>
          </w:p>
        </w:tc>
        <w:tc>
          <w:tcPr>
            <w:tcW w:w="56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120" w:firstLineChars="50"/>
              <w:jc w:val="left"/>
              <w:textAlignment w:val="auto"/>
              <w:rPr>
                <w:rFonts w:hint="default" w:ascii="宋体" w:hAnsi="宋体" w:cs="宋体"/>
                <w:color w:val="auto"/>
                <w:sz w:val="24"/>
                <w:highlight w:val="none"/>
                <w:lang w:val="zh-CN"/>
              </w:rPr>
            </w:pPr>
            <w:r>
              <w:rPr>
                <w:rFonts w:hint="eastAsia" w:ascii="宋体" w:hAnsi="宋体" w:cs="宋体"/>
                <w:color w:val="auto"/>
                <w:sz w:val="24"/>
                <w:highlight w:val="none"/>
              </w:rPr>
              <w:t>根据供应商提供的质量保障方案进行综合评审，方案包括：①质量保障目标②质量管理制度③质量控制技术措施</w:t>
            </w:r>
            <w:r>
              <w:rPr>
                <w:rFonts w:hint="eastAsia" w:ascii="宋体" w:hAnsi="宋体" w:eastAsia="宋体" w:cs="宋体"/>
                <w:color w:val="auto"/>
                <w:sz w:val="24"/>
                <w:highlight w:val="none"/>
              </w:rPr>
              <w:t>④</w:t>
            </w:r>
            <w:r>
              <w:rPr>
                <w:rFonts w:hint="eastAsia" w:ascii="宋体" w:hAnsi="宋体" w:eastAsia="宋体" w:cs="宋体"/>
                <w:color w:val="auto"/>
                <w:sz w:val="24"/>
                <w:highlight w:val="none"/>
                <w:lang w:val="en-US" w:eastAsia="zh-CN"/>
              </w:rPr>
              <w:t>质量保证体系</w:t>
            </w:r>
            <w:r>
              <w:rPr>
                <w:rFonts w:hint="eastAsia" w:ascii="宋体" w:hAnsi="宋体" w:cs="宋体"/>
                <w:color w:val="auto"/>
                <w:sz w:val="24"/>
                <w:highlight w:val="none"/>
              </w:rPr>
              <w:t>进行阐述。</w:t>
            </w:r>
            <w:r>
              <w:rPr>
                <w:rFonts w:hint="eastAsia" w:ascii="宋体" w:hAnsi="宋体" w:cs="宋体"/>
                <w:color w:val="auto"/>
                <w:sz w:val="24"/>
                <w:highlight w:val="none"/>
                <w:lang w:val="zh-CN"/>
              </w:rPr>
              <w:t>方案包含以上内容且完整合理的得</w:t>
            </w:r>
            <w:r>
              <w:rPr>
                <w:rFonts w:hint="eastAsia" w:ascii="宋体" w:hAnsi="宋体" w:cs="宋体"/>
                <w:color w:val="auto"/>
                <w:sz w:val="24"/>
                <w:highlight w:val="none"/>
                <w:lang w:val="en-US" w:eastAsia="zh-CN"/>
              </w:rPr>
              <w:t>16</w:t>
            </w:r>
            <w:r>
              <w:rPr>
                <w:rFonts w:hint="eastAsia" w:ascii="宋体" w:hAnsi="宋体" w:cs="宋体"/>
                <w:color w:val="auto"/>
                <w:sz w:val="24"/>
                <w:highlight w:val="none"/>
                <w:lang w:val="zh-CN"/>
              </w:rPr>
              <w:t>分；每有一项缺失的扣</w:t>
            </w:r>
            <w:r>
              <w:rPr>
                <w:rFonts w:hint="eastAsia" w:ascii="宋体" w:hAnsi="宋体" w:cs="宋体"/>
                <w:color w:val="auto"/>
                <w:sz w:val="24"/>
                <w:highlight w:val="none"/>
                <w:lang w:val="en-US" w:eastAsia="zh-CN"/>
              </w:rPr>
              <w:t>4</w:t>
            </w:r>
            <w:r>
              <w:rPr>
                <w:rFonts w:hint="eastAsia" w:ascii="宋体" w:hAnsi="宋体" w:cs="宋体"/>
                <w:color w:val="auto"/>
                <w:sz w:val="24"/>
                <w:highlight w:val="none"/>
                <w:lang w:val="zh-CN"/>
              </w:rPr>
              <w:t>分，每有一项缺陷的扣</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val="zh-CN"/>
              </w:rPr>
              <w:t>分。“缺陷”是指：描述有歧义或逻辑有漏洞或夸大描述或方案内容与实际需求不相符或方案内容体现不齐全或与项目需求结合不够紧密。</w:t>
            </w:r>
          </w:p>
        </w:tc>
        <w:tc>
          <w:tcPr>
            <w:tcW w:w="1216" w:type="dxa"/>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0" w:type="dxa"/>
            <w:vMerge w:val="continue"/>
            <w:vAlign w:val="center"/>
          </w:tcPr>
          <w:p>
            <w:pPr>
              <w:keepNext w:val="0"/>
              <w:keepLines w:val="0"/>
              <w:suppressLineNumbers w:val="0"/>
              <w:spacing w:before="0" w:beforeAutospacing="0" w:afterAutospacing="0" w:line="360" w:lineRule="auto"/>
              <w:ind w:left="0" w:right="0" w:firstLine="28"/>
              <w:jc w:val="center"/>
              <w:rPr>
                <w:rFonts w:hint="default" w:ascii="宋体" w:hAnsi="宋体" w:cs="宋体"/>
                <w:color w:val="auto"/>
                <w:sz w:val="24"/>
                <w:highlight w:val="none"/>
              </w:rPr>
            </w:pPr>
          </w:p>
        </w:tc>
        <w:tc>
          <w:tcPr>
            <w:tcW w:w="1228" w:type="dxa"/>
            <w:vMerge w:val="continue"/>
            <w:vAlign w:val="center"/>
          </w:tcPr>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lang w:val="zh-CN"/>
              </w:rPr>
            </w:pPr>
          </w:p>
        </w:tc>
        <w:tc>
          <w:tcPr>
            <w:tcW w:w="971" w:type="dxa"/>
            <w:vAlign w:val="center"/>
          </w:tcPr>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售后服务方案</w:t>
            </w:r>
            <w:r>
              <w:rPr>
                <w:rFonts w:hint="eastAsia" w:ascii="宋体" w:hAnsi="宋体" w:cs="宋体"/>
                <w:color w:val="auto"/>
                <w:sz w:val="24"/>
                <w:highlight w:val="none"/>
                <w:lang w:val="en-US" w:eastAsia="zh-CN"/>
              </w:rPr>
              <w:t>12</w:t>
            </w:r>
            <w:r>
              <w:rPr>
                <w:rFonts w:hint="eastAsia" w:ascii="宋体" w:hAnsi="宋体" w:cs="宋体"/>
                <w:color w:val="auto"/>
                <w:sz w:val="24"/>
                <w:highlight w:val="none"/>
              </w:rPr>
              <w:t>分</w:t>
            </w:r>
          </w:p>
        </w:tc>
        <w:tc>
          <w:tcPr>
            <w:tcW w:w="56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120" w:firstLineChars="50"/>
              <w:jc w:val="left"/>
              <w:textAlignment w:val="auto"/>
              <w:rPr>
                <w:rFonts w:hint="default" w:ascii="宋体" w:hAnsi="宋体" w:cs="宋体"/>
                <w:color w:val="auto"/>
                <w:sz w:val="24"/>
                <w:highlight w:val="none"/>
                <w:lang w:val="zh-CN"/>
              </w:rPr>
            </w:pPr>
            <w:r>
              <w:rPr>
                <w:rFonts w:hint="eastAsia" w:ascii="宋体" w:hAnsi="宋体" w:cs="宋体"/>
                <w:color w:val="auto"/>
                <w:sz w:val="24"/>
                <w:highlight w:val="none"/>
              </w:rPr>
              <w:t>1.根据供应商提供的售后服务方案进行综合评审，方案包括：</w:t>
            </w:r>
            <w:r>
              <w:rPr>
                <w:rFonts w:hint="eastAsia" w:ascii="宋体" w:hAnsi="宋体" w:cs="宋体"/>
                <w:color w:val="auto"/>
                <w:sz w:val="24"/>
                <w:highlight w:val="none"/>
                <w:lang w:val="zh-CN"/>
              </w:rPr>
              <w:t>①响应电话及响应时间；②售后服务人员及工程车辆安排；③售后保障措施</w:t>
            </w:r>
            <w:r>
              <w:rPr>
                <w:rFonts w:hint="eastAsia" w:ascii="宋体" w:hAnsi="宋体" w:cs="宋体"/>
                <w:color w:val="auto"/>
                <w:sz w:val="24"/>
                <w:highlight w:val="none"/>
              </w:rPr>
              <w:t>及</w:t>
            </w:r>
            <w:r>
              <w:rPr>
                <w:rFonts w:hint="eastAsia" w:ascii="宋体" w:hAnsi="宋体" w:cs="宋体"/>
                <w:color w:val="auto"/>
                <w:sz w:val="24"/>
                <w:highlight w:val="none"/>
                <w:lang w:val="zh-CN"/>
              </w:rPr>
              <w:t>培训措施；④备品备件仓库。方案包含以上内容且完整合理的得</w:t>
            </w:r>
            <w:r>
              <w:rPr>
                <w:rFonts w:hint="eastAsia" w:ascii="宋体" w:hAnsi="宋体" w:cs="宋体"/>
                <w:color w:val="auto"/>
                <w:sz w:val="24"/>
                <w:highlight w:val="none"/>
                <w:lang w:val="en-US" w:eastAsia="zh-CN"/>
              </w:rPr>
              <w:t>12</w:t>
            </w:r>
            <w:r>
              <w:rPr>
                <w:rFonts w:hint="eastAsia" w:ascii="宋体" w:hAnsi="宋体" w:cs="宋体"/>
                <w:color w:val="auto"/>
                <w:sz w:val="24"/>
                <w:highlight w:val="none"/>
                <w:lang w:val="zh-CN"/>
              </w:rPr>
              <w:t>分；每有一项缺失的扣</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val="zh-CN"/>
              </w:rPr>
              <w:t>分，每有一项缺陷的扣</w:t>
            </w:r>
            <w:r>
              <w:rPr>
                <w:rFonts w:hint="eastAsia" w:ascii="宋体" w:hAnsi="宋体" w:cs="宋体"/>
                <w:color w:val="auto"/>
                <w:sz w:val="24"/>
                <w:highlight w:val="none"/>
                <w:lang w:val="en-US" w:eastAsia="zh-CN"/>
              </w:rPr>
              <w:t>1.5</w:t>
            </w:r>
            <w:r>
              <w:rPr>
                <w:rFonts w:hint="eastAsia" w:ascii="宋体" w:hAnsi="宋体" w:cs="宋体"/>
                <w:color w:val="auto"/>
                <w:sz w:val="24"/>
                <w:highlight w:val="none"/>
                <w:lang w:val="zh-CN"/>
              </w:rPr>
              <w:t>分。“缺陷”是指：描述有歧义或逻辑有漏洞或夸大描述或方案内容与实际需求不相符或方案内容体现不齐全或与项目需求结合不够紧密。</w:t>
            </w:r>
          </w:p>
        </w:tc>
        <w:tc>
          <w:tcPr>
            <w:tcW w:w="1216" w:type="dxa"/>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dxa"/>
            <w:vMerge w:val="restart"/>
            <w:vAlign w:val="center"/>
          </w:tcPr>
          <w:p>
            <w:pPr>
              <w:keepNext w:val="0"/>
              <w:keepLines w:val="0"/>
              <w:suppressLineNumbers w:val="0"/>
              <w:spacing w:before="0" w:beforeAutospacing="0" w:afterAutospacing="0" w:line="360" w:lineRule="auto"/>
              <w:ind w:left="0" w:right="0" w:firstLine="28"/>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4</w:t>
            </w:r>
          </w:p>
        </w:tc>
        <w:tc>
          <w:tcPr>
            <w:tcW w:w="1228" w:type="dxa"/>
            <w:vMerge w:val="restart"/>
            <w:vAlign w:val="center"/>
          </w:tcPr>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lang w:val="zh-CN"/>
              </w:rPr>
            </w:pPr>
            <w:r>
              <w:rPr>
                <w:rFonts w:hint="eastAsia" w:ascii="宋体" w:hAnsi="宋体" w:cs="宋体"/>
                <w:color w:val="auto"/>
                <w:sz w:val="24"/>
                <w:highlight w:val="none"/>
                <w:lang w:val="zh-CN"/>
              </w:rPr>
              <w:t>履约能力</w:t>
            </w:r>
            <w:r>
              <w:rPr>
                <w:rFonts w:hint="eastAsia" w:ascii="宋体" w:hAnsi="宋体" w:cs="宋体"/>
                <w:color w:val="auto"/>
                <w:sz w:val="24"/>
                <w:highlight w:val="none"/>
                <w:lang w:val="en-US" w:eastAsia="zh-CN"/>
              </w:rPr>
              <w:t>6.5</w:t>
            </w:r>
            <w:r>
              <w:rPr>
                <w:rFonts w:hint="eastAsia" w:ascii="宋体" w:hAnsi="宋体" w:cs="宋体"/>
                <w:color w:val="auto"/>
                <w:sz w:val="24"/>
                <w:highlight w:val="none"/>
                <w:lang w:val="zh-CN"/>
              </w:rPr>
              <w:t>%</w:t>
            </w:r>
          </w:p>
        </w:tc>
        <w:tc>
          <w:tcPr>
            <w:tcW w:w="971" w:type="dxa"/>
            <w:vAlign w:val="center"/>
          </w:tcPr>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人员配置</w:t>
            </w:r>
          </w:p>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分</w:t>
            </w:r>
          </w:p>
        </w:tc>
        <w:tc>
          <w:tcPr>
            <w:tcW w:w="56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120" w:firstLineChars="50"/>
              <w:jc w:val="left"/>
              <w:textAlignment w:val="auto"/>
              <w:rPr>
                <w:rFonts w:hint="eastAsia" w:ascii="宋体" w:hAnsi="宋体" w:cs="宋体"/>
                <w:color w:val="auto"/>
                <w:sz w:val="24"/>
                <w:highlight w:val="none"/>
                <w:lang w:val="zh-CN"/>
              </w:rPr>
            </w:pPr>
            <w:r>
              <w:rPr>
                <w:rFonts w:hint="eastAsia" w:ascii="宋体" w:hAnsi="宋体" w:cs="宋体"/>
                <w:color w:val="auto"/>
                <w:sz w:val="24"/>
                <w:highlight w:val="none"/>
              </w:rPr>
              <w:t>1.项目经理：拟投入</w:t>
            </w:r>
            <w:r>
              <w:rPr>
                <w:rFonts w:hint="eastAsia" w:ascii="宋体" w:hAnsi="宋体" w:cs="宋体"/>
                <w:color w:val="auto"/>
                <w:sz w:val="24"/>
                <w:highlight w:val="none"/>
                <w:lang w:val="zh-CN"/>
              </w:rPr>
              <w:t>本项目的项目经理</w:t>
            </w:r>
            <w:r>
              <w:rPr>
                <w:rFonts w:hint="eastAsia" w:ascii="宋体" w:hAnsi="宋体" w:cs="宋体"/>
                <w:color w:val="auto"/>
                <w:sz w:val="24"/>
                <w:highlight w:val="none"/>
                <w:lang w:val="en-US" w:eastAsia="zh-CN"/>
              </w:rPr>
              <w:t>具有</w:t>
            </w:r>
            <w:r>
              <w:rPr>
                <w:rFonts w:hint="eastAsia" w:ascii="宋体" w:hAnsi="宋体" w:cs="宋体"/>
                <w:color w:val="auto"/>
                <w:sz w:val="24"/>
                <w:highlight w:val="none"/>
                <w:lang w:val="zh-CN"/>
              </w:rPr>
              <w:t>水利</w:t>
            </w:r>
            <w:r>
              <w:rPr>
                <w:rFonts w:hint="eastAsia" w:ascii="宋体" w:hAnsi="宋体" w:cs="宋体"/>
                <w:color w:val="auto"/>
                <w:sz w:val="24"/>
                <w:highlight w:val="none"/>
                <w:lang w:val="en-US" w:eastAsia="zh-CN"/>
              </w:rPr>
              <w:t>类专业</w:t>
            </w:r>
            <w:r>
              <w:rPr>
                <w:rFonts w:hint="eastAsia" w:ascii="宋体" w:hAnsi="宋体" w:cs="宋体"/>
                <w:color w:val="auto"/>
                <w:sz w:val="24"/>
                <w:highlight w:val="none"/>
                <w:lang w:val="zh-CN"/>
              </w:rPr>
              <w:t>高级工程师</w:t>
            </w:r>
            <w:r>
              <w:rPr>
                <w:rFonts w:hint="eastAsia" w:ascii="宋体" w:hAnsi="宋体" w:cs="宋体"/>
                <w:color w:val="auto"/>
                <w:sz w:val="24"/>
                <w:highlight w:val="none"/>
                <w:lang w:val="en-US" w:eastAsia="zh-CN"/>
              </w:rPr>
              <w:t>及以上</w:t>
            </w:r>
            <w:r>
              <w:rPr>
                <w:rFonts w:hint="eastAsia" w:ascii="宋体" w:hAnsi="宋体" w:cs="宋体"/>
                <w:color w:val="auto"/>
                <w:sz w:val="24"/>
                <w:highlight w:val="none"/>
                <w:lang w:val="zh-CN"/>
              </w:rPr>
              <w:t>职称证书</w:t>
            </w:r>
            <w:r>
              <w:rPr>
                <w:rFonts w:hint="eastAsia" w:ascii="宋体" w:hAnsi="宋体" w:cs="宋体"/>
                <w:color w:val="auto"/>
                <w:sz w:val="24"/>
                <w:highlight w:val="none"/>
              </w:rPr>
              <w:t>的得</w:t>
            </w:r>
            <w:r>
              <w:rPr>
                <w:rFonts w:hint="eastAsia" w:ascii="宋体" w:hAnsi="宋体" w:cs="宋体"/>
                <w:color w:val="auto"/>
                <w:sz w:val="24"/>
                <w:highlight w:val="none"/>
                <w:lang w:val="en-US" w:eastAsia="zh-CN"/>
              </w:rPr>
              <w:t>1</w:t>
            </w:r>
            <w:r>
              <w:rPr>
                <w:rFonts w:hint="eastAsia" w:ascii="宋体" w:hAnsi="宋体" w:cs="宋体"/>
                <w:color w:val="auto"/>
                <w:sz w:val="24"/>
                <w:highlight w:val="none"/>
                <w:lang w:val="zh-CN"/>
              </w:rPr>
              <w:t>分，</w:t>
            </w:r>
            <w:r>
              <w:rPr>
                <w:rFonts w:hint="eastAsia" w:ascii="宋体" w:hAnsi="宋体" w:cs="宋体"/>
                <w:color w:val="auto"/>
                <w:sz w:val="24"/>
                <w:highlight w:val="none"/>
                <w:lang w:val="en-US" w:eastAsia="zh-CN"/>
              </w:rPr>
              <w:t>本项最高得1分，</w:t>
            </w:r>
            <w:r>
              <w:rPr>
                <w:rFonts w:hint="eastAsia" w:ascii="宋体" w:hAnsi="宋体" w:cs="宋体"/>
                <w:color w:val="auto"/>
                <w:sz w:val="24"/>
                <w:highlight w:val="none"/>
                <w:lang w:val="zh-CN"/>
              </w:rPr>
              <w:t>不提供不得分。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120" w:firstLineChars="50"/>
              <w:jc w:val="left"/>
              <w:textAlignment w:val="auto"/>
              <w:rPr>
                <w:rFonts w:hint="eastAsia" w:ascii="宋体" w:hAnsi="宋体" w:cs="宋体"/>
                <w:color w:val="auto"/>
                <w:sz w:val="24"/>
                <w:highlight w:val="none"/>
                <w:lang w:val="zh-CN"/>
              </w:rPr>
            </w:pPr>
            <w:r>
              <w:rPr>
                <w:rFonts w:hint="eastAsia" w:ascii="宋体" w:hAnsi="宋体" w:cs="宋体"/>
                <w:color w:val="auto"/>
                <w:sz w:val="24"/>
                <w:highlight w:val="none"/>
              </w:rPr>
              <w:t>2.技术负责人：拟投入</w:t>
            </w:r>
            <w:r>
              <w:rPr>
                <w:rFonts w:hint="eastAsia" w:ascii="宋体" w:hAnsi="宋体" w:cs="宋体"/>
                <w:color w:val="auto"/>
                <w:sz w:val="24"/>
                <w:highlight w:val="none"/>
                <w:lang w:val="zh-CN"/>
              </w:rPr>
              <w:t>本项目的技术负责人具有水利</w:t>
            </w:r>
            <w:r>
              <w:rPr>
                <w:rFonts w:hint="eastAsia" w:ascii="宋体" w:hAnsi="宋体" w:cs="宋体"/>
                <w:color w:val="auto"/>
                <w:sz w:val="24"/>
                <w:highlight w:val="none"/>
                <w:lang w:val="en-US" w:eastAsia="zh-CN"/>
              </w:rPr>
              <w:t>水电类专业</w:t>
            </w:r>
            <w:r>
              <w:rPr>
                <w:rFonts w:hint="eastAsia" w:ascii="宋体" w:hAnsi="宋体" w:cs="宋体"/>
                <w:color w:val="auto"/>
                <w:sz w:val="24"/>
                <w:highlight w:val="none"/>
                <w:lang w:val="zh-CN"/>
              </w:rPr>
              <w:t>高级工程师</w:t>
            </w:r>
            <w:r>
              <w:rPr>
                <w:rFonts w:hint="eastAsia" w:ascii="宋体" w:hAnsi="宋体" w:cs="宋体"/>
                <w:color w:val="auto"/>
                <w:sz w:val="24"/>
                <w:highlight w:val="none"/>
                <w:lang w:val="en-US" w:eastAsia="zh-CN"/>
              </w:rPr>
              <w:t>及以上</w:t>
            </w:r>
            <w:r>
              <w:rPr>
                <w:rFonts w:hint="eastAsia" w:ascii="宋体" w:hAnsi="宋体" w:cs="宋体"/>
                <w:color w:val="auto"/>
                <w:sz w:val="24"/>
                <w:highlight w:val="none"/>
                <w:lang w:val="zh-CN"/>
              </w:rPr>
              <w:t>职称证书的得</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val="zh-CN"/>
              </w:rPr>
              <w:t>分，本项最高得</w:t>
            </w:r>
            <w:r>
              <w:rPr>
                <w:rFonts w:hint="eastAsia" w:ascii="宋体" w:hAnsi="宋体" w:cs="宋体"/>
                <w:color w:val="auto"/>
                <w:sz w:val="24"/>
                <w:highlight w:val="none"/>
                <w:lang w:val="en-US" w:eastAsia="zh-CN"/>
              </w:rPr>
              <w:t>2</w:t>
            </w:r>
            <w:r>
              <w:rPr>
                <w:rFonts w:hint="eastAsia" w:ascii="宋体" w:hAnsi="宋体" w:cs="宋体"/>
                <w:color w:val="auto"/>
                <w:sz w:val="24"/>
                <w:highlight w:val="none"/>
                <w:lang w:val="zh-CN"/>
              </w:rPr>
              <w:t>分，不提供不得分。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120" w:firstLineChars="50"/>
              <w:jc w:val="left"/>
              <w:textAlignment w:val="auto"/>
              <w:rPr>
                <w:rFonts w:hint="default" w:ascii="宋体" w:hAnsi="宋体" w:cs="宋体"/>
                <w:color w:val="auto"/>
                <w:sz w:val="24"/>
                <w:highlight w:val="none"/>
                <w:lang w:val="zh-CN"/>
              </w:rPr>
            </w:pPr>
            <w:r>
              <w:rPr>
                <w:rFonts w:hint="eastAsia" w:ascii="宋体" w:hAnsi="宋体" w:cs="宋体"/>
                <w:color w:val="auto"/>
                <w:sz w:val="24"/>
                <w:highlight w:val="none"/>
              </w:rPr>
              <w:t>注：人员不重复计分，提供相关证书复印件并加盖供应商鲜章。</w:t>
            </w:r>
          </w:p>
        </w:tc>
        <w:tc>
          <w:tcPr>
            <w:tcW w:w="1216" w:type="dxa"/>
            <w:vMerge w:val="restart"/>
            <w:vAlign w:val="center"/>
          </w:tcPr>
          <w:p>
            <w:pPr>
              <w:pStyle w:val="73"/>
              <w:keepNext w:val="0"/>
              <w:keepLines w:val="0"/>
              <w:suppressLineNumbers w:val="0"/>
              <w:wordWrap/>
              <w:snapToGrid/>
              <w:spacing w:before="0" w:beforeAutospacing="0" w:afterAutospacing="0" w:line="360" w:lineRule="auto"/>
              <w:ind w:left="0" w:right="0"/>
              <w:jc w:val="center"/>
              <w:rPr>
                <w:rFonts w:hint="default" w:cs="宋体"/>
                <w:color w:val="auto"/>
                <w:highlight w:val="none"/>
              </w:rPr>
            </w:pPr>
            <w:r>
              <w:rPr>
                <w:rFonts w:hint="eastAsia" w:cs="宋体"/>
                <w:color w:val="auto"/>
                <w:highlight w:val="none"/>
              </w:rPr>
              <w:t>共同评分</w:t>
            </w:r>
          </w:p>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lang w:val="zh-CN"/>
              </w:rPr>
            </w:pPr>
            <w:r>
              <w:rPr>
                <w:rFonts w:hint="eastAsia" w:ascii="宋体" w:hAnsi="宋体" w:cs="宋体"/>
                <w:color w:val="auto"/>
                <w:sz w:val="24"/>
                <w:highlight w:val="none"/>
              </w:rPr>
              <w:t>因素</w:t>
            </w:r>
          </w:p>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dxa"/>
            <w:vMerge w:val="continue"/>
            <w:vAlign w:val="center"/>
          </w:tcPr>
          <w:p>
            <w:pPr>
              <w:keepNext w:val="0"/>
              <w:keepLines w:val="0"/>
              <w:suppressLineNumbers w:val="0"/>
              <w:spacing w:before="0" w:beforeAutospacing="0" w:afterAutospacing="0" w:line="360" w:lineRule="auto"/>
              <w:ind w:left="0" w:right="0" w:firstLine="28"/>
              <w:jc w:val="center"/>
              <w:rPr>
                <w:rFonts w:hint="default" w:ascii="宋体" w:hAnsi="宋体" w:cs="宋体"/>
                <w:color w:val="auto"/>
                <w:sz w:val="24"/>
                <w:highlight w:val="none"/>
              </w:rPr>
            </w:pPr>
          </w:p>
        </w:tc>
        <w:tc>
          <w:tcPr>
            <w:tcW w:w="1228" w:type="dxa"/>
            <w:vMerge w:val="continue"/>
            <w:vAlign w:val="center"/>
          </w:tcPr>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lang w:val="zh-CN"/>
              </w:rPr>
            </w:pPr>
          </w:p>
        </w:tc>
        <w:tc>
          <w:tcPr>
            <w:tcW w:w="971" w:type="dxa"/>
            <w:vAlign w:val="center"/>
          </w:tcPr>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企业资信</w:t>
            </w:r>
          </w:p>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lang w:val="en-US" w:eastAsia="zh-CN"/>
              </w:rPr>
              <w:t>1.5</w:t>
            </w:r>
            <w:r>
              <w:rPr>
                <w:rFonts w:hint="eastAsia" w:ascii="宋体" w:hAnsi="宋体" w:cs="宋体"/>
                <w:color w:val="auto"/>
                <w:sz w:val="24"/>
                <w:highlight w:val="none"/>
              </w:rPr>
              <w:t>分</w:t>
            </w:r>
          </w:p>
        </w:tc>
        <w:tc>
          <w:tcPr>
            <w:tcW w:w="56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120" w:firstLineChars="50"/>
              <w:jc w:val="left"/>
              <w:textAlignment w:val="auto"/>
              <w:rPr>
                <w:rFonts w:hint="default" w:ascii="宋体" w:hAnsi="宋体" w:cs="宋体"/>
                <w:color w:val="auto"/>
                <w:sz w:val="24"/>
                <w:highlight w:val="none"/>
              </w:rPr>
            </w:pPr>
            <w:r>
              <w:rPr>
                <w:rFonts w:hint="eastAsia" w:ascii="宋体" w:hAnsi="宋体" w:cs="宋体"/>
                <w:color w:val="auto"/>
                <w:sz w:val="24"/>
                <w:highlight w:val="none"/>
              </w:rPr>
              <w:t>1、供应商</w:t>
            </w:r>
            <w:r>
              <w:rPr>
                <w:rFonts w:hint="eastAsia" w:ascii="宋体" w:hAnsi="宋体" w:cs="宋体"/>
                <w:color w:val="auto"/>
                <w:sz w:val="24"/>
                <w:highlight w:val="none"/>
                <w:lang w:val="en-US" w:eastAsia="zh-CN"/>
              </w:rPr>
              <w:t>具有有效的</w:t>
            </w:r>
            <w:r>
              <w:rPr>
                <w:rFonts w:hint="eastAsia" w:ascii="宋体" w:hAnsi="宋体" w:cs="宋体"/>
                <w:color w:val="auto"/>
                <w:sz w:val="24"/>
                <w:highlight w:val="none"/>
              </w:rPr>
              <w:t>质量体系认证、环境管理体系认证、职业健康安全管理体系认证，每提供一个得</w:t>
            </w:r>
            <w:r>
              <w:rPr>
                <w:rFonts w:hint="eastAsia" w:ascii="宋体" w:hAnsi="宋体" w:cs="宋体"/>
                <w:color w:val="auto"/>
                <w:sz w:val="24"/>
                <w:highlight w:val="none"/>
                <w:lang w:val="en-US" w:eastAsia="zh-CN"/>
              </w:rPr>
              <w:t>0.5</w:t>
            </w:r>
            <w:r>
              <w:rPr>
                <w:rFonts w:hint="eastAsia" w:ascii="宋体" w:hAnsi="宋体" w:cs="宋体"/>
                <w:color w:val="auto"/>
                <w:sz w:val="24"/>
                <w:highlight w:val="none"/>
              </w:rPr>
              <w:t>分，最高得</w:t>
            </w:r>
            <w:r>
              <w:rPr>
                <w:rFonts w:hint="eastAsia" w:ascii="宋体" w:hAnsi="宋体" w:cs="宋体"/>
                <w:color w:val="auto"/>
                <w:sz w:val="24"/>
                <w:highlight w:val="none"/>
                <w:lang w:val="en-US" w:eastAsia="zh-CN"/>
              </w:rPr>
              <w:t>1.5</w:t>
            </w:r>
            <w:r>
              <w:rPr>
                <w:rFonts w:hint="eastAsia" w:ascii="宋体" w:hAnsi="宋体" w:cs="宋体"/>
                <w:color w:val="auto"/>
                <w:sz w:val="24"/>
                <w:highlight w:val="none"/>
              </w:rPr>
              <w:t>分（提供证书复印件</w:t>
            </w:r>
            <w:r>
              <w:rPr>
                <w:rFonts w:hint="eastAsia" w:ascii="宋体" w:hAnsi="宋体" w:cs="宋体"/>
                <w:color w:val="auto"/>
                <w:sz w:val="24"/>
                <w:highlight w:val="none"/>
                <w:lang w:val="en-US" w:eastAsia="zh-CN"/>
              </w:rPr>
              <w:t>加盖单位鲜章</w:t>
            </w:r>
            <w:r>
              <w:rPr>
                <w:rFonts w:hint="eastAsia" w:ascii="宋体" w:hAnsi="宋体" w:cs="宋体"/>
                <w:color w:val="auto"/>
                <w:sz w:val="24"/>
                <w:highlight w:val="none"/>
              </w:rPr>
              <w:t>，未提供不得分）。</w:t>
            </w:r>
          </w:p>
        </w:tc>
        <w:tc>
          <w:tcPr>
            <w:tcW w:w="1216" w:type="dxa"/>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dxa"/>
            <w:vMerge w:val="continue"/>
            <w:vAlign w:val="center"/>
          </w:tcPr>
          <w:p>
            <w:pPr>
              <w:keepNext w:val="0"/>
              <w:keepLines w:val="0"/>
              <w:suppressLineNumbers w:val="0"/>
              <w:spacing w:before="0" w:beforeAutospacing="0" w:afterAutospacing="0" w:line="360" w:lineRule="auto"/>
              <w:ind w:left="0" w:right="0" w:firstLine="28"/>
              <w:jc w:val="center"/>
              <w:rPr>
                <w:rFonts w:hint="default" w:ascii="宋体" w:hAnsi="宋体" w:cs="宋体"/>
                <w:color w:val="auto"/>
                <w:sz w:val="24"/>
                <w:highlight w:val="none"/>
              </w:rPr>
            </w:pPr>
          </w:p>
        </w:tc>
        <w:tc>
          <w:tcPr>
            <w:tcW w:w="1228" w:type="dxa"/>
            <w:vMerge w:val="continue"/>
            <w:vAlign w:val="center"/>
          </w:tcPr>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lang w:val="zh-CN"/>
              </w:rPr>
            </w:pPr>
          </w:p>
        </w:tc>
        <w:tc>
          <w:tcPr>
            <w:tcW w:w="971" w:type="dxa"/>
            <w:vAlign w:val="center"/>
          </w:tcPr>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类似项目业绩</w:t>
            </w:r>
          </w:p>
          <w:p>
            <w:pPr>
              <w:keepNext w:val="0"/>
              <w:keepLines w:val="0"/>
              <w:suppressLineNumbers w:val="0"/>
              <w:spacing w:before="0" w:beforeAutospacing="0" w:afterAutospacing="0" w:line="24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w:t>
            </w:r>
          </w:p>
        </w:tc>
        <w:tc>
          <w:tcPr>
            <w:tcW w:w="5683"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120" w:firstLineChars="50"/>
              <w:jc w:val="left"/>
              <w:textAlignment w:val="auto"/>
              <w:rPr>
                <w:rFonts w:hint="default" w:ascii="宋体" w:hAnsi="宋体" w:cs="宋体"/>
                <w:color w:val="auto"/>
                <w:sz w:val="24"/>
                <w:highlight w:val="none"/>
                <w:lang w:val="zh-CN"/>
              </w:rPr>
            </w:pPr>
            <w:r>
              <w:rPr>
                <w:rFonts w:hint="eastAsia" w:ascii="宋体" w:hAnsi="宋体" w:cs="宋体"/>
                <w:color w:val="auto"/>
                <w:sz w:val="24"/>
                <w:highlight w:val="none"/>
              </w:rPr>
              <w:t>供应商近三年</w:t>
            </w:r>
            <w:r>
              <w:rPr>
                <w:rFonts w:hint="eastAsia" w:ascii="宋体" w:hAnsi="宋体" w:cs="宋体"/>
                <w:color w:val="auto"/>
                <w:sz w:val="24"/>
                <w:highlight w:val="none"/>
                <w:lang w:val="zh-CN"/>
              </w:rPr>
              <w:t>以来（</w:t>
            </w:r>
            <w:r>
              <w:rPr>
                <w:rFonts w:hint="eastAsia" w:ascii="宋体" w:hAnsi="宋体" w:cs="宋体"/>
                <w:color w:val="auto"/>
                <w:sz w:val="24"/>
                <w:highlight w:val="none"/>
              </w:rPr>
              <w:t>2018年至今）具有一个类似项目业绩得</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分，本项最多得</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w:t>
            </w:r>
          </w:p>
        </w:tc>
        <w:tc>
          <w:tcPr>
            <w:tcW w:w="1216" w:type="dxa"/>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dxa"/>
            <w:vAlign w:val="center"/>
          </w:tcPr>
          <w:p>
            <w:pPr>
              <w:pStyle w:val="73"/>
              <w:keepNext w:val="0"/>
              <w:keepLines w:val="0"/>
              <w:suppressLineNumbers w:val="0"/>
              <w:wordWrap/>
              <w:snapToGrid/>
              <w:spacing w:before="0" w:beforeAutospacing="0" w:afterAutospacing="0" w:line="360" w:lineRule="auto"/>
              <w:ind w:left="0" w:right="0"/>
              <w:jc w:val="center"/>
              <w:rPr>
                <w:rFonts w:hint="default" w:cs="宋体"/>
                <w:color w:val="auto"/>
                <w:highlight w:val="none"/>
              </w:rPr>
            </w:pPr>
            <w:r>
              <w:rPr>
                <w:rFonts w:hint="eastAsia" w:cs="宋体"/>
                <w:color w:val="auto"/>
                <w:highlight w:val="none"/>
              </w:rPr>
              <w:t>5</w:t>
            </w:r>
          </w:p>
        </w:tc>
        <w:tc>
          <w:tcPr>
            <w:tcW w:w="1228" w:type="dxa"/>
            <w:vAlign w:val="center"/>
          </w:tcPr>
          <w:p>
            <w:pPr>
              <w:keepNext w:val="0"/>
              <w:keepLines w:val="0"/>
              <w:suppressLineNumbers w:val="0"/>
              <w:spacing w:before="0" w:beforeAutospacing="0" w:afterAutospacing="0" w:line="360" w:lineRule="auto"/>
              <w:ind w:left="0" w:right="0"/>
              <w:jc w:val="center"/>
              <w:rPr>
                <w:rFonts w:hint="default" w:ascii="宋体" w:hAnsi="宋体" w:cs="宋体"/>
                <w:snapToGrid w:val="0"/>
                <w:color w:val="auto"/>
                <w:sz w:val="24"/>
                <w:highlight w:val="none"/>
              </w:rPr>
            </w:pPr>
            <w:r>
              <w:rPr>
                <w:rFonts w:hint="eastAsia" w:ascii="宋体" w:hAnsi="宋体" w:cs="宋体"/>
                <w:snapToGrid w:val="0"/>
                <w:color w:val="auto"/>
                <w:sz w:val="24"/>
                <w:highlight w:val="none"/>
              </w:rPr>
              <w:t>节能、环境</w:t>
            </w:r>
          </w:p>
          <w:p>
            <w:pPr>
              <w:keepNext w:val="0"/>
              <w:keepLines w:val="0"/>
              <w:suppressLineNumbers w:val="0"/>
              <w:spacing w:before="0" w:beforeAutospacing="0" w:afterAutospacing="0" w:line="360" w:lineRule="auto"/>
              <w:ind w:left="0" w:right="0"/>
              <w:jc w:val="center"/>
              <w:rPr>
                <w:rFonts w:hint="default" w:ascii="宋体" w:hAnsi="宋体" w:cs="宋体"/>
                <w:snapToGrid w:val="0"/>
                <w:color w:val="auto"/>
                <w:sz w:val="24"/>
                <w:highlight w:val="none"/>
              </w:rPr>
            </w:pPr>
            <w:r>
              <w:rPr>
                <w:rFonts w:hint="eastAsia" w:ascii="宋体" w:hAnsi="宋体" w:cs="宋体"/>
                <w:snapToGrid w:val="0"/>
                <w:color w:val="auto"/>
                <w:sz w:val="24"/>
                <w:highlight w:val="none"/>
              </w:rPr>
              <w:t>标志、无线局域网产品</w:t>
            </w:r>
          </w:p>
          <w:p>
            <w:pPr>
              <w:keepNext w:val="0"/>
              <w:keepLines w:val="0"/>
              <w:suppressLineNumbers w:val="0"/>
              <w:spacing w:before="0" w:beforeAutospacing="0" w:afterAutospacing="0" w:line="360" w:lineRule="auto"/>
              <w:ind w:left="0" w:right="0"/>
              <w:jc w:val="center"/>
              <w:rPr>
                <w:rFonts w:hint="default" w:ascii="宋体" w:hAnsi="宋体" w:cs="宋体"/>
                <w:color w:val="auto"/>
                <w:sz w:val="24"/>
                <w:highlight w:val="none"/>
                <w:lang w:val="zh-CN"/>
              </w:rPr>
            </w:pPr>
            <w:r>
              <w:rPr>
                <w:rFonts w:hint="eastAsia" w:ascii="宋体" w:hAnsi="宋体" w:cs="宋体"/>
                <w:snapToGrid w:val="0"/>
                <w:color w:val="auto"/>
                <w:sz w:val="24"/>
                <w:highlight w:val="none"/>
              </w:rPr>
              <w:t>2%</w:t>
            </w:r>
          </w:p>
        </w:tc>
        <w:tc>
          <w:tcPr>
            <w:tcW w:w="971" w:type="dxa"/>
            <w:vAlign w:val="center"/>
          </w:tcPr>
          <w:p>
            <w:pPr>
              <w:keepNext w:val="0"/>
              <w:keepLines w:val="0"/>
              <w:suppressLineNumbers w:val="0"/>
              <w:spacing w:before="0" w:beforeAutospacing="0" w:afterAutospacing="0" w:line="360" w:lineRule="auto"/>
              <w:ind w:left="0" w:right="0" w:firstLine="28"/>
              <w:jc w:val="center"/>
              <w:rPr>
                <w:rFonts w:hint="default" w:ascii="宋体" w:hAnsi="宋体" w:cs="宋体"/>
                <w:color w:val="auto"/>
                <w:sz w:val="24"/>
                <w:highlight w:val="none"/>
                <w:lang w:val="zh-CN"/>
              </w:rPr>
            </w:pPr>
            <w:r>
              <w:rPr>
                <w:rFonts w:hint="eastAsia" w:ascii="宋体" w:hAnsi="宋体" w:cs="宋体"/>
                <w:snapToGrid w:val="0"/>
                <w:color w:val="auto"/>
                <w:sz w:val="24"/>
                <w:highlight w:val="none"/>
              </w:rPr>
              <w:t>2分</w:t>
            </w:r>
          </w:p>
        </w:tc>
        <w:tc>
          <w:tcPr>
            <w:tcW w:w="5683" w:type="dxa"/>
            <w:vAlign w:val="center"/>
          </w:tcPr>
          <w:p>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left="0" w:right="0" w:firstLine="120" w:firstLineChars="50"/>
              <w:textAlignment w:val="auto"/>
              <w:rPr>
                <w:rFonts w:hint="default" w:cs="宋体"/>
                <w:snapToGrid/>
                <w:color w:val="auto"/>
                <w:highlight w:val="none"/>
              </w:rPr>
            </w:pPr>
            <w:r>
              <w:rPr>
                <w:rFonts w:hint="eastAsia" w:cs="宋体"/>
                <w:snapToGrid/>
                <w:color w:val="auto"/>
                <w:highlight w:val="none"/>
              </w:rPr>
              <w:t>供应商所响应的产品中每有一项属于节能产品政府采购品目清单中优先采购范围的得0.5分；每有一项属于环境标志产品政府采购品目清单中优先采购范围的得0.5分；每有一项为无线局域网产品政府采购清单中的产品的得0.5分。本项最多得2分。</w:t>
            </w:r>
          </w:p>
          <w:p>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left="0" w:right="0" w:firstLine="120" w:firstLineChars="50"/>
              <w:textAlignment w:val="auto"/>
              <w:rPr>
                <w:rFonts w:hint="default" w:cs="宋体"/>
                <w:snapToGrid/>
                <w:color w:val="auto"/>
                <w:highlight w:val="none"/>
              </w:rPr>
            </w:pPr>
            <w:r>
              <w:rPr>
                <w:rFonts w:hint="eastAsia" w:cs="宋体"/>
                <w:snapToGrid/>
                <w:color w:val="auto"/>
                <w:highlight w:val="none"/>
              </w:rPr>
              <w:t>说明：</w:t>
            </w:r>
          </w:p>
          <w:p>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left="0" w:right="0" w:firstLine="120" w:firstLineChars="50"/>
              <w:textAlignment w:val="auto"/>
              <w:rPr>
                <w:rFonts w:hint="default" w:cs="宋体"/>
                <w:snapToGrid/>
                <w:color w:val="auto"/>
                <w:highlight w:val="none"/>
              </w:rPr>
            </w:pPr>
            <w:r>
              <w:rPr>
                <w:rFonts w:hint="eastAsia" w:cs="宋体"/>
                <w:snapToGrid/>
                <w:color w:val="auto"/>
                <w:highlight w:val="none"/>
              </w:rPr>
              <w:t>1、可重复计分；</w:t>
            </w:r>
          </w:p>
          <w:p>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left="0" w:right="0" w:firstLine="120" w:firstLineChars="50"/>
              <w:textAlignment w:val="auto"/>
              <w:rPr>
                <w:rFonts w:hint="default" w:cs="宋体"/>
                <w:snapToGrid/>
                <w:color w:val="auto"/>
                <w:highlight w:val="none"/>
              </w:rPr>
            </w:pPr>
            <w:r>
              <w:rPr>
                <w:rFonts w:hint="eastAsia" w:cs="宋体"/>
                <w:snapToGrid/>
                <w:color w:val="auto"/>
                <w:highlight w:val="none"/>
              </w:rPr>
              <w:t>2、本项目采购的产品中属于节能产品或环境标志产品政府采购品目清单中强制采购范围的，不属于本项评分范围。</w:t>
            </w:r>
          </w:p>
          <w:p>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left="0" w:right="0" w:firstLine="120" w:firstLineChars="50"/>
              <w:textAlignment w:val="auto"/>
              <w:rPr>
                <w:rFonts w:hint="default" w:cs="宋体"/>
                <w:snapToGrid/>
                <w:color w:val="auto"/>
                <w:highlight w:val="none"/>
              </w:rPr>
            </w:pPr>
            <w:r>
              <w:rPr>
                <w:rFonts w:hint="eastAsia" w:cs="宋体"/>
                <w:snapToGrid/>
                <w:color w:val="auto"/>
                <w:highlight w:val="none"/>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left="0" w:right="0" w:firstLine="120" w:firstLineChars="50"/>
              <w:textAlignment w:val="auto"/>
              <w:rPr>
                <w:rFonts w:hint="default" w:cs="宋体"/>
                <w:snapToGrid/>
                <w:color w:val="auto"/>
                <w:highlight w:val="none"/>
              </w:rPr>
            </w:pPr>
            <w:r>
              <w:rPr>
                <w:rFonts w:hint="eastAsia" w:cs="宋体"/>
                <w:snapToGrid/>
                <w:color w:val="auto"/>
                <w:highlight w:val="none"/>
              </w:rPr>
              <w:t>4、供应商所投产品属于优先采购范围内的无线局域网产品的，需提供《中国政府采购网》公布的无线局域网产品政府采购清单封面及对应页且在有效期内并加盖供应商单位公章（鲜章）。</w:t>
            </w:r>
          </w:p>
          <w:p>
            <w:pPr>
              <w:pStyle w:val="73"/>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00" w:lineRule="exact"/>
              <w:ind w:left="0" w:right="0" w:firstLine="120" w:firstLineChars="50"/>
              <w:textAlignment w:val="auto"/>
              <w:rPr>
                <w:rFonts w:hint="default" w:cs="宋体"/>
                <w:snapToGrid/>
                <w:color w:val="auto"/>
                <w:highlight w:val="none"/>
                <w:lang w:val="zh-CN"/>
              </w:rPr>
            </w:pPr>
            <w:r>
              <w:rPr>
                <w:rFonts w:hint="eastAsia" w:cs="宋体"/>
                <w:snapToGrid/>
                <w:color w:val="auto"/>
                <w:highlight w:val="none"/>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1216" w:type="dxa"/>
            <w:vAlign w:val="center"/>
          </w:tcPr>
          <w:p>
            <w:pPr>
              <w:pStyle w:val="73"/>
              <w:keepNext w:val="0"/>
              <w:keepLines w:val="0"/>
              <w:suppressLineNumbers w:val="0"/>
              <w:wordWrap/>
              <w:snapToGrid/>
              <w:spacing w:before="0" w:beforeAutospacing="0" w:afterAutospacing="0" w:line="360" w:lineRule="auto"/>
              <w:ind w:left="0" w:right="0"/>
              <w:jc w:val="center"/>
              <w:rPr>
                <w:rFonts w:hint="default" w:cs="宋体"/>
                <w:color w:val="auto"/>
                <w:highlight w:val="none"/>
              </w:rPr>
            </w:pPr>
            <w:r>
              <w:rPr>
                <w:rFonts w:hint="eastAsia" w:cs="宋体"/>
                <w:color w:val="auto"/>
                <w:highlight w:val="none"/>
              </w:rPr>
              <w:t>共同评分</w:t>
            </w:r>
          </w:p>
          <w:p>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lang w:val="zh-CN"/>
              </w:rPr>
            </w:pPr>
            <w:r>
              <w:rPr>
                <w:rFonts w:hint="eastAsia" w:ascii="宋体" w:hAnsi="宋体" w:cs="宋体"/>
                <w:color w:val="auto"/>
                <w:sz w:val="24"/>
                <w:highlight w:val="none"/>
              </w:rPr>
              <w:t>因素</w:t>
            </w:r>
          </w:p>
        </w:tc>
      </w:tr>
    </w:tbl>
    <w:p>
      <w:pPr>
        <w:spacing w:after="0" w:line="240" w:lineRule="auto"/>
        <w:rPr>
          <w:rFonts w:ascii="宋体" w:hAnsi="宋体" w:cs="宋体"/>
          <w:color w:val="auto"/>
          <w:sz w:val="24"/>
          <w:highlight w:val="none"/>
        </w:rPr>
      </w:pPr>
      <w:r>
        <w:rPr>
          <w:rFonts w:hint="eastAsia" w:ascii="宋体" w:hAnsi="宋体" w:cs="宋体"/>
          <w:color w:val="auto"/>
          <w:sz w:val="24"/>
          <w:highlight w:val="none"/>
        </w:rPr>
        <w:t>注：评分的取值按四舍五入法，保留小数点后两位。</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3.3.4评审得分＝（A1＋A2＋……＋An）/NA＋（B1＋B2＋……＋Bn）/ NB＋（C1＋C2＋……＋Cn）/ NC＋（D1＋D2＋……＋Dn）/ ND</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分别为评审委员会每个成员的打分（共同评分类），ND为评审委员会人数。</w:t>
      </w:r>
    </w:p>
    <w:p>
      <w:pPr>
        <w:spacing w:after="0" w:line="360" w:lineRule="auto"/>
        <w:ind w:firstLine="240" w:firstLineChars="100"/>
        <w:rPr>
          <w:rFonts w:ascii="宋体" w:hAnsi="宋体" w:cs="宋体"/>
          <w:b/>
          <w:bCs/>
          <w:color w:val="auto"/>
          <w:sz w:val="24"/>
          <w:highlight w:val="none"/>
        </w:rPr>
      </w:pPr>
      <w:r>
        <w:rPr>
          <w:rFonts w:hint="eastAsia" w:ascii="宋体" w:hAnsi="宋体" w:cs="宋体"/>
          <w:b/>
          <w:bCs/>
          <w:color w:val="auto"/>
          <w:sz w:val="24"/>
          <w:highlight w:val="none"/>
        </w:rPr>
        <w:t>4.磋商纪律及注意事项</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4.1磋商小组内部讨论的情况和意见必须保密，任何人不得以任何形式透露给供应商或与供应商有关的单位或个人。</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4.2在磋商过程中，供应商不得以任何形式对磋商小组成员进行旨在影响谈判结果的私下接触，否则将取消其参与磋商的资格。</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4.3对各供应商的商业秘密，磋商小组成员应予以保密，不得泄露给其他供应商。</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4.4 磋商小组独立评判，推荐成交候选人，并写出书面报告。</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4.5 磋商小组可根据需要对供应商进行实地考察。</w:t>
      </w:r>
    </w:p>
    <w:p>
      <w:pPr>
        <w:spacing w:after="0" w:line="360" w:lineRule="auto"/>
        <w:ind w:firstLine="240" w:firstLineChars="100"/>
        <w:rPr>
          <w:rFonts w:ascii="宋体" w:hAnsi="宋体" w:cs="宋体"/>
          <w:b/>
          <w:bCs/>
          <w:color w:val="auto"/>
          <w:sz w:val="24"/>
          <w:highlight w:val="none"/>
        </w:rPr>
      </w:pPr>
      <w:r>
        <w:rPr>
          <w:rFonts w:hint="eastAsia" w:ascii="宋体" w:hAnsi="宋体" w:cs="宋体"/>
          <w:b/>
          <w:bCs/>
          <w:color w:val="auto"/>
          <w:sz w:val="24"/>
          <w:highlight w:val="none"/>
        </w:rPr>
        <w:t>5.磋商小组在政府采购活动中承担以下义务：</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（一）遵守评审工作纪律；</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（二）按照客观、公正、审慎的原则，根据磋商文件规定的评审程序、评审方法和评审标准进行独立评审；</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（三）不得泄露评审文件、评审情况和在评审过程中获悉的商业秘密；</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（四）及时向监督部门报告评审过程中发现的采购人、采购代理机构向评审专家做倾向性、误导性的解释或者说明，以及供应商行贿、提供虚假材料或者串通等违法行为；</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（五）发现磋商文件内容违反国家有关强制性规定或者磋商文件存在歧义、重大缺陷导致评审工作无法进行时，停止评审并向采购人或者采购代理机构书面说明情况；</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（六）及时向监督部门举报在评审过程中受到非法干预的情况；</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（七）配合答复处理供应商的询问、质疑和投诉等事项；</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（八）法律、法规和规章规定的其他义务。</w:t>
      </w:r>
    </w:p>
    <w:p>
      <w:pPr>
        <w:spacing w:after="0" w:line="360" w:lineRule="auto"/>
        <w:ind w:firstLine="240" w:firstLineChars="100"/>
        <w:rPr>
          <w:rFonts w:ascii="宋体" w:hAnsi="宋体" w:cs="宋体"/>
          <w:b/>
          <w:bCs/>
          <w:color w:val="auto"/>
          <w:sz w:val="24"/>
          <w:highlight w:val="none"/>
        </w:rPr>
      </w:pPr>
      <w:r>
        <w:rPr>
          <w:rFonts w:hint="eastAsia" w:ascii="宋体" w:hAnsi="宋体" w:cs="宋体"/>
          <w:b/>
          <w:bCs/>
          <w:color w:val="auto"/>
          <w:sz w:val="24"/>
          <w:highlight w:val="none"/>
        </w:rPr>
        <w:t>6.评审专家在政府采购活动中应当遵守以下工作纪律：</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（一）不得参加与自己有《中华人民共和国政府采购法实施条例》第九条规定的利害关系的政府采购项目的评审活动。发现参加了与自己有利害关系的评审活动，须主动提出回避，退出评审；</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（二）评审前，应当将通讯工具或者相关电子设备交由采购代理机构统一保管；</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（三）评审过程中，不得与外界联系，因发生不可预见情况，确实需要与外界联系的，应当在监督人员监督之下办理；</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（五）在评审过程中和评审结束后，不得记录、复制或带走任何评审资料，不得向外界透露评审内容；</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（六）评审现场服从采购代理机构工作人员的管理，接受现场监督人员的合法监督；</w:t>
      </w:r>
    </w:p>
    <w:p>
      <w:pPr>
        <w:spacing w:after="0"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（七）遵守有关廉洁自律规定，不得私下接触供应商，不得收受供应商及有关业务单位和个人的财物或好处，不得接受采购代理机构的请托。</w:t>
      </w:r>
    </w:p>
    <w:p>
      <w:pPr>
        <w:pStyle w:val="3"/>
        <w:spacing w:before="0" w:after="0" w:line="360" w:lineRule="auto"/>
        <w:jc w:val="center"/>
        <w:rPr>
          <w:rFonts w:ascii="宋体" w:hAnsi="宋体" w:cs="宋体"/>
          <w:color w:val="auto"/>
          <w:sz w:val="36"/>
          <w:szCs w:val="36"/>
          <w:highlight w:val="none"/>
        </w:rPr>
      </w:pPr>
      <w:r>
        <w:rPr>
          <w:rFonts w:hint="eastAsia" w:ascii="宋体" w:hAnsi="宋体" w:cs="宋体"/>
          <w:color w:val="auto"/>
          <w:sz w:val="24"/>
          <w:szCs w:val="24"/>
          <w:highlight w:val="none"/>
        </w:rPr>
        <w:br w:type="page"/>
      </w:r>
      <w:bookmarkEnd w:id="49"/>
      <w:bookmarkStart w:id="50" w:name="_Toc73912830"/>
      <w:r>
        <w:rPr>
          <w:rFonts w:hint="eastAsia" w:ascii="宋体" w:hAnsi="宋体" w:cs="宋体"/>
          <w:color w:val="auto"/>
          <w:sz w:val="36"/>
          <w:szCs w:val="36"/>
          <w:highlight w:val="none"/>
        </w:rPr>
        <w:t>第九章  政府采购合同</w:t>
      </w:r>
      <w:bookmarkEnd w:id="50"/>
    </w:p>
    <w:p>
      <w:pPr>
        <w:pStyle w:val="31"/>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政府采购合同（草拟稿，最终以实际签订版本为准）</w:t>
      </w:r>
    </w:p>
    <w:bookmarkEnd w:id="40"/>
    <w:p>
      <w:pPr>
        <w:pStyle w:val="61"/>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合同编号：XXX                                         </w:t>
      </w:r>
    </w:p>
    <w:p>
      <w:pPr>
        <w:pStyle w:val="61"/>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签订地点：XXX                                         </w:t>
      </w:r>
    </w:p>
    <w:p>
      <w:pPr>
        <w:pStyle w:val="61"/>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签订时间：XXX年XXX月XXX日                                         </w:t>
      </w:r>
    </w:p>
    <w:p>
      <w:pPr>
        <w:pStyle w:val="61"/>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采购人（甲方）：XXX                                          </w:t>
      </w:r>
    </w:p>
    <w:p>
      <w:pPr>
        <w:pStyle w:val="61"/>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供应商（乙方）：XXX                                          </w:t>
      </w:r>
    </w:p>
    <w:p>
      <w:pPr>
        <w:spacing w:after="0" w:line="360" w:lineRule="auto"/>
        <w:ind w:firstLine="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pStyle w:val="61"/>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根据《中华人民共和国政府采购法》、《中华人民共和国</w:t>
      </w:r>
      <w:r>
        <w:rPr>
          <w:rFonts w:hint="eastAsia" w:ascii="宋体" w:hAnsi="宋体" w:eastAsia="宋体" w:cs="宋体"/>
          <w:color w:val="auto"/>
          <w:sz w:val="24"/>
          <w:szCs w:val="24"/>
          <w:highlight w:val="none"/>
          <w:lang w:val="en-US" w:eastAsia="zh-CN"/>
        </w:rPr>
        <w:t>民法典</w:t>
      </w:r>
      <w:r>
        <w:rPr>
          <w:rFonts w:hint="eastAsia" w:ascii="宋体" w:hAnsi="宋体" w:eastAsia="宋体" w:cs="宋体"/>
          <w:color w:val="auto"/>
          <w:sz w:val="24"/>
          <w:szCs w:val="24"/>
          <w:highlight w:val="none"/>
        </w:rPr>
        <w:t>》及XXX采购项目（项目编号：XXX）的《磋商文件》、乙方的《响应文件》及《成交通知书》，甲、乙双方同意签订本合同。详细技术说明及其他有关合同项目的特定信息由合同附件予以说明，合同附件及本项目的磋商文件、响应文件、《成交通知书》等均为本合同不可分割的部分。双方同意共同遵守如下条款：</w:t>
      </w:r>
    </w:p>
    <w:p>
      <w:pPr>
        <w:pStyle w:val="67"/>
        <w:numPr>
          <w:ilvl w:val="0"/>
          <w:numId w:val="9"/>
        </w:numPr>
        <w:tabs>
          <w:tab w:val="left" w:pos="720"/>
        </w:tabs>
        <w:spacing w:after="0" w:line="360" w:lineRule="auto"/>
        <w:ind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合同货物</w:t>
      </w:r>
    </w:p>
    <w:tbl>
      <w:tblPr>
        <w:tblStyle w:val="34"/>
        <w:tblW w:w="907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94"/>
        <w:gridCol w:w="766"/>
        <w:gridCol w:w="635"/>
        <w:gridCol w:w="558"/>
        <w:gridCol w:w="1118"/>
        <w:gridCol w:w="933"/>
        <w:gridCol w:w="963"/>
        <w:gridCol w:w="979"/>
        <w:gridCol w:w="507"/>
        <w:gridCol w:w="507"/>
        <w:gridCol w:w="507"/>
        <w:gridCol w:w="50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1094" w:type="dxa"/>
            <w:vMerge w:val="restart"/>
            <w:tcBorders>
              <w:top w:val="single" w:color="auto" w:sz="4" w:space="0"/>
              <w:left w:val="single" w:color="auto" w:sz="4" w:space="0"/>
              <w:bottom w:val="nil"/>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货物</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品名</w:t>
            </w:r>
          </w:p>
        </w:tc>
        <w:tc>
          <w:tcPr>
            <w:tcW w:w="766" w:type="dxa"/>
            <w:vMerge w:val="restart"/>
            <w:tcBorders>
              <w:top w:val="single" w:color="auto" w:sz="4" w:space="0"/>
              <w:left w:val="nil"/>
              <w:bottom w:val="nil"/>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规格</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型号</w:t>
            </w:r>
          </w:p>
        </w:tc>
        <w:tc>
          <w:tcPr>
            <w:tcW w:w="635" w:type="dxa"/>
            <w:vMerge w:val="restart"/>
            <w:tcBorders>
              <w:top w:val="single" w:color="auto" w:sz="4" w:space="0"/>
              <w:left w:val="nil"/>
              <w:bottom w:val="nil"/>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单位</w:t>
            </w:r>
          </w:p>
        </w:tc>
        <w:tc>
          <w:tcPr>
            <w:tcW w:w="558" w:type="dxa"/>
            <w:vMerge w:val="restart"/>
            <w:tcBorders>
              <w:top w:val="single" w:color="auto" w:sz="4" w:space="0"/>
              <w:left w:val="nil"/>
              <w:bottom w:val="nil"/>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数量</w:t>
            </w:r>
          </w:p>
        </w:tc>
        <w:tc>
          <w:tcPr>
            <w:tcW w:w="1118" w:type="dxa"/>
            <w:vMerge w:val="restart"/>
            <w:tcBorders>
              <w:top w:val="single" w:color="auto" w:sz="4" w:space="0"/>
              <w:left w:val="nil"/>
              <w:bottom w:val="nil"/>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单价</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（元）</w:t>
            </w:r>
          </w:p>
        </w:tc>
        <w:tc>
          <w:tcPr>
            <w:tcW w:w="933" w:type="dxa"/>
            <w:vMerge w:val="restart"/>
            <w:tcBorders>
              <w:top w:val="single" w:color="auto" w:sz="4" w:space="0"/>
              <w:left w:val="nil"/>
              <w:bottom w:val="nil"/>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总价</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（元）</w:t>
            </w:r>
          </w:p>
        </w:tc>
        <w:tc>
          <w:tcPr>
            <w:tcW w:w="963" w:type="dxa"/>
            <w:vMerge w:val="restart"/>
            <w:tcBorders>
              <w:top w:val="single" w:color="auto" w:sz="4" w:space="0"/>
              <w:left w:val="nil"/>
              <w:bottom w:val="nil"/>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随机</w:t>
            </w:r>
          </w:p>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配件</w:t>
            </w:r>
          </w:p>
        </w:tc>
        <w:tc>
          <w:tcPr>
            <w:tcW w:w="979" w:type="dxa"/>
            <w:vMerge w:val="restart"/>
            <w:tcBorders>
              <w:top w:val="single" w:color="auto" w:sz="4" w:space="0"/>
              <w:left w:val="nil"/>
              <w:bottom w:val="nil"/>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交货期</w:t>
            </w:r>
          </w:p>
        </w:tc>
        <w:tc>
          <w:tcPr>
            <w:tcW w:w="2030" w:type="dxa"/>
            <w:gridSpan w:val="4"/>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资金来源（万元）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94" w:type="dxa"/>
            <w:vMerge w:val="continue"/>
            <w:tcBorders>
              <w:top w:val="single" w:color="auto" w:sz="4" w:space="0"/>
              <w:left w:val="single" w:color="auto" w:sz="4" w:space="0"/>
              <w:bottom w:val="nil"/>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p>
        </w:tc>
        <w:tc>
          <w:tcPr>
            <w:tcW w:w="766" w:type="dxa"/>
            <w:vMerge w:val="continue"/>
            <w:tcBorders>
              <w:top w:val="single" w:color="auto" w:sz="4" w:space="0"/>
              <w:left w:val="nil"/>
              <w:bottom w:val="nil"/>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p>
        </w:tc>
        <w:tc>
          <w:tcPr>
            <w:tcW w:w="635" w:type="dxa"/>
            <w:vMerge w:val="continue"/>
            <w:tcBorders>
              <w:top w:val="single" w:color="auto" w:sz="4" w:space="0"/>
              <w:left w:val="nil"/>
              <w:bottom w:val="nil"/>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p>
        </w:tc>
        <w:tc>
          <w:tcPr>
            <w:tcW w:w="558" w:type="dxa"/>
            <w:vMerge w:val="continue"/>
            <w:tcBorders>
              <w:top w:val="single" w:color="auto" w:sz="4" w:space="0"/>
              <w:left w:val="nil"/>
              <w:bottom w:val="nil"/>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p>
        </w:tc>
        <w:tc>
          <w:tcPr>
            <w:tcW w:w="1118" w:type="dxa"/>
            <w:vMerge w:val="continue"/>
            <w:tcBorders>
              <w:top w:val="single" w:color="auto" w:sz="4" w:space="0"/>
              <w:left w:val="nil"/>
              <w:bottom w:val="nil"/>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p>
        </w:tc>
        <w:tc>
          <w:tcPr>
            <w:tcW w:w="933" w:type="dxa"/>
            <w:vMerge w:val="continue"/>
            <w:tcBorders>
              <w:top w:val="single" w:color="auto" w:sz="4" w:space="0"/>
              <w:left w:val="nil"/>
              <w:bottom w:val="nil"/>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p>
        </w:tc>
        <w:tc>
          <w:tcPr>
            <w:tcW w:w="963" w:type="dxa"/>
            <w:vMerge w:val="continue"/>
            <w:tcBorders>
              <w:top w:val="single" w:color="auto" w:sz="4" w:space="0"/>
              <w:left w:val="nil"/>
              <w:bottom w:val="nil"/>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p>
        </w:tc>
        <w:tc>
          <w:tcPr>
            <w:tcW w:w="979" w:type="dxa"/>
            <w:vMerge w:val="continue"/>
            <w:tcBorders>
              <w:top w:val="single" w:color="auto" w:sz="4" w:space="0"/>
              <w:left w:val="nil"/>
              <w:bottom w:val="nil"/>
              <w:right w:val="single" w:color="auto" w:sz="4" w:space="0"/>
            </w:tcBorders>
            <w:vAlign w:val="center"/>
          </w:tcPr>
          <w:p>
            <w:pPr>
              <w:keepNext w:val="0"/>
              <w:keepLines w:val="0"/>
              <w:widowControl/>
              <w:suppressLineNumbers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p>
        </w:tc>
        <w:tc>
          <w:tcPr>
            <w:tcW w:w="507"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预算内</w:t>
            </w:r>
          </w:p>
        </w:tc>
        <w:tc>
          <w:tcPr>
            <w:tcW w:w="507"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预算外</w:t>
            </w:r>
          </w:p>
        </w:tc>
        <w:tc>
          <w:tcPr>
            <w:tcW w:w="507"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自</w:t>
            </w:r>
          </w:p>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筹</w:t>
            </w:r>
          </w:p>
        </w:tc>
        <w:tc>
          <w:tcPr>
            <w:tcW w:w="509" w:type="dxa"/>
            <w:tcBorders>
              <w:top w:val="single" w:color="auto" w:sz="4" w:space="0"/>
              <w:left w:val="nil"/>
              <w:bottom w:val="single" w:color="auto" w:sz="4" w:space="0"/>
              <w:right w:val="single" w:color="auto" w:sz="4" w:space="0"/>
            </w:tcBorders>
            <w:vAlign w:val="center"/>
          </w:tcPr>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其</w:t>
            </w:r>
          </w:p>
          <w:p>
            <w:pPr>
              <w:keepNext w:val="0"/>
              <w:keepLines w:val="0"/>
              <w:suppressLineNumbers w:val="0"/>
              <w:autoSpaceDE w:val="0"/>
              <w:autoSpaceDN w:val="0"/>
              <w:adjustRightInd w:val="0"/>
              <w:spacing w:before="0" w:beforeAutospacing="0" w:after="0" w:afterAutospacing="0" w:line="240" w:lineRule="auto"/>
              <w:ind w:left="0" w:right="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6" w:hRule="atLeast"/>
        </w:trPr>
        <w:tc>
          <w:tcPr>
            <w:tcW w:w="10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6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35"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58"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118"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6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7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07"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p>
        </w:tc>
        <w:tc>
          <w:tcPr>
            <w:tcW w:w="507"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p>
        </w:tc>
        <w:tc>
          <w:tcPr>
            <w:tcW w:w="507"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p>
        </w:tc>
        <w:tc>
          <w:tcPr>
            <w:tcW w:w="50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6" w:hRule="atLeast"/>
        </w:trPr>
        <w:tc>
          <w:tcPr>
            <w:tcW w:w="109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766"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635"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58"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1118"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3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63"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979" w:type="dxa"/>
            <w:tcBorders>
              <w:top w:val="single" w:color="auto" w:sz="4" w:space="0"/>
              <w:left w:val="nil"/>
              <w:bottom w:val="single" w:color="auto" w:sz="4" w:space="0"/>
              <w:right w:val="single" w:color="auto" w:sz="4" w:space="0"/>
            </w:tcBorders>
            <w:vAlign w:val="center"/>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w:t>
            </w:r>
          </w:p>
        </w:tc>
        <w:tc>
          <w:tcPr>
            <w:tcW w:w="507"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p>
        </w:tc>
        <w:tc>
          <w:tcPr>
            <w:tcW w:w="507"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p>
        </w:tc>
        <w:tc>
          <w:tcPr>
            <w:tcW w:w="507"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p>
        </w:tc>
        <w:tc>
          <w:tcPr>
            <w:tcW w:w="509" w:type="dxa"/>
            <w:tcBorders>
              <w:top w:val="single" w:color="auto" w:sz="4" w:space="0"/>
              <w:left w:val="nil"/>
              <w:bottom w:val="single" w:color="auto" w:sz="4" w:space="0"/>
              <w:right w:val="single" w:color="auto" w:sz="4" w:space="0"/>
            </w:tcBorders>
          </w:tcPr>
          <w:p>
            <w:pPr>
              <w:keepNext w:val="0"/>
              <w:keepLines w:val="0"/>
              <w:suppressLineNumbers w:val="0"/>
              <w:spacing w:before="0" w:beforeAutospacing="0" w:afterAutospacing="0" w:line="360" w:lineRule="auto"/>
              <w:ind w:left="0" w:right="0"/>
              <w:jc w:val="center"/>
              <w:rPr>
                <w:rFonts w:hint="eastAsia" w:ascii="宋体" w:hAnsi="宋体" w:eastAsia="宋体" w:cs="宋体"/>
                <w:color w:val="auto"/>
                <w:sz w:val="24"/>
                <w:szCs w:val="24"/>
                <w:highlight w:val="none"/>
              </w:rPr>
            </w:pPr>
          </w:p>
        </w:tc>
      </w:tr>
    </w:tbl>
    <w:p>
      <w:pPr>
        <w:pStyle w:val="67"/>
        <w:numPr>
          <w:ilvl w:val="0"/>
          <w:numId w:val="9"/>
        </w:numPr>
        <w:tabs>
          <w:tab w:val="left" w:pos="720"/>
        </w:tabs>
        <w:spacing w:after="0" w:line="360" w:lineRule="auto"/>
        <w:ind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合同总价</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总价为人民币大写：XXX元，即RMB￥XXX元；该合同总价已包括货物设计、材料、制造、包装、运输、安装、调试、检测、验收合格交付使用之前及保修期内保修服务与备用物件等所有其他有关各项的含税费用。本合同执行期间合同总价不变，甲方无须另向乙方支付本合同规定之外的其他任何费用。</w:t>
      </w:r>
    </w:p>
    <w:p>
      <w:pPr>
        <w:tabs>
          <w:tab w:val="left" w:pos="720"/>
        </w:tabs>
        <w:spacing w:after="0" w:line="360" w:lineRule="auto"/>
        <w:ind w:left="42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三、质量要求</w:t>
      </w:r>
      <w:r>
        <w:rPr>
          <w:rFonts w:hint="eastAsia" w:ascii="宋体" w:hAnsi="宋体" w:eastAsia="宋体" w:cs="宋体"/>
          <w:b/>
          <w:bCs/>
          <w:color w:val="auto"/>
          <w:sz w:val="24"/>
          <w:szCs w:val="24"/>
          <w:highlight w:val="none"/>
        </w:rPr>
        <w:tab/>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1.乙方须提供全新的货物（含零部件、配件等），表面无划伤、无碰撞痕迹，且权属清楚，不得侵害他人的知识产权。</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2.货物必须符合或优于国家（行业）XXX标准，以及本项目中标通知书的质量要求和技术指标与出厂标准。</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3.货物制造质量出现问题，乙方应负责三包（包修、包换、包退），费用由乙方负担，甲方有权到乙方生产场地检查货物质量和生产进度。</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4.货物到现场后，竣工验收之前由乙方负责保管，出现质量问题由乙方负责。但甲方应协助乙方妥善保管好安装后的设施设备。</w:t>
      </w:r>
    </w:p>
    <w:p>
      <w:pPr>
        <w:tabs>
          <w:tab w:val="left" w:pos="720"/>
        </w:tabs>
        <w:spacing w:after="0" w:line="360" w:lineRule="auto"/>
        <w:ind w:left="42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四、交货及验收</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1.乙方交货期限为合同签订生效后的XXX日内，在合同签订生效之日起（XXX）天内交货到甲方指定地点，随即在XXX日内全部完成安装调试验收合格交付使用 (如由于采购人的原因造成合同延迟签订或验收的，时间顺延)。交货验收时须提供产品质检部门从同类产品中抽样检查合格的检测报告。</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2.验收由甲方组织，乙方配合进行：</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验收标准：按国家有关规定以及甲方中标通知书的质量要求和技术指标、乙方的投标文件及承诺与本合同约定标准进行验收；甲乙双方如对质量要求和技术指标的约定标准有相互抵触或异议的事项，由甲方在中标通知书及投标文件中按质量要求和技术指标比较优胜的原则确定该项的约定标准进行验收；</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(4)如质量验收合格，双方签署质量验收报告。</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3.货物安装调试完毕后XXX日内，甲方无故不进行验收工作并已使用货物的，视同验收合格。</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4.乙方应将所提供货物的装箱清单、配件、随机工具、用户使用手册、原厂保修卡等资料交付给甲方；乙方不能完整交付货物及本款规定的单证和工具的，必须负责补齐，否则视为未按合同约定交货。</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5.如货物经乙方XXX次维修仍不能达到合同约定的质量标准，甲方有权退货，并视作乙方不能交付货物且须支付违约赔偿金给甲方，甲方还可依法追究乙方的违约责任。</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其他未尽事宜按照根据财政部关于进一步加强政府采购需求和履约验收管理的指导意见》（财库〔2016〕205号）的要求及参考《四川省政府采购项目需求论证和履约验收管理办法》（川财采〔2015〕32号）文件的要求进行。 </w:t>
      </w:r>
    </w:p>
    <w:p>
      <w:pPr>
        <w:tabs>
          <w:tab w:val="left" w:pos="720"/>
        </w:tabs>
        <w:spacing w:after="0" w:line="360" w:lineRule="auto"/>
        <w:ind w:left="42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五、付款方式</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合同签订后1月内支付合同总额30%；安装完成验收合格后支付合同总额65%；质保期满一年后支付剩余价款。</w:t>
      </w:r>
    </w:p>
    <w:p>
      <w:pPr>
        <w:tabs>
          <w:tab w:val="left" w:pos="720"/>
        </w:tabs>
        <w:spacing w:after="0" w:line="360" w:lineRule="auto"/>
        <w:ind w:left="42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六、售后服务</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lang w:val="en-US" w:eastAsia="zh-CN"/>
        </w:rPr>
        <w:t>1.</w:t>
      </w:r>
      <w:r>
        <w:rPr>
          <w:rFonts w:hint="eastAsia" w:ascii="宋体" w:hAnsi="宋体" w:cs="宋体"/>
          <w:color w:val="auto"/>
          <w:sz w:val="24"/>
          <w:szCs w:val="32"/>
          <w:highlight w:val="none"/>
        </w:rPr>
        <w:t>成交供应商负责产品安装、调试，直至采购人能正常使用，所需的一切材料、备件、专业工具均由成交供应商负责提供。成交供应商应向采购人提供产品安装、维修所需的专用工具和仪器。</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2</w:t>
      </w:r>
      <w:r>
        <w:rPr>
          <w:rFonts w:hint="eastAsia" w:ascii="宋体" w:hAnsi="宋体" w:cs="宋体"/>
          <w:color w:val="auto"/>
          <w:sz w:val="24"/>
          <w:szCs w:val="32"/>
          <w:highlight w:val="none"/>
          <w:lang w:val="en-US" w:eastAsia="zh-CN"/>
        </w:rPr>
        <w:t>.</w:t>
      </w:r>
      <w:r>
        <w:rPr>
          <w:rFonts w:hint="eastAsia" w:ascii="宋体" w:hAnsi="宋体" w:cs="宋体"/>
          <w:color w:val="auto"/>
          <w:sz w:val="24"/>
          <w:szCs w:val="32"/>
          <w:highlight w:val="none"/>
        </w:rPr>
        <w:t>质保期内出现质量问题，供应商在接到通知后12小时内响应到场，24小时内完成维修或更换，并承担修理调换的费用；质保期后一年内维修，只收取材料成本费。</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3</w:t>
      </w:r>
      <w:r>
        <w:rPr>
          <w:rFonts w:hint="eastAsia" w:ascii="宋体" w:hAnsi="宋体" w:cs="宋体"/>
          <w:color w:val="auto"/>
          <w:sz w:val="24"/>
          <w:szCs w:val="32"/>
          <w:highlight w:val="none"/>
          <w:lang w:val="en-US" w:eastAsia="zh-CN"/>
        </w:rPr>
        <w:t>.</w:t>
      </w:r>
      <w:r>
        <w:rPr>
          <w:rFonts w:hint="eastAsia" w:ascii="宋体" w:hAnsi="宋体" w:cs="宋体"/>
          <w:color w:val="auto"/>
          <w:sz w:val="24"/>
          <w:szCs w:val="32"/>
          <w:highlight w:val="none"/>
        </w:rPr>
        <w:t>检修维护期内，供应商应在汛期前期对所有供应设备进行巡检，对其准确性进行校准。</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4</w:t>
      </w:r>
      <w:r>
        <w:rPr>
          <w:rFonts w:hint="eastAsia" w:ascii="宋体" w:hAnsi="宋体" w:cs="宋体"/>
          <w:color w:val="auto"/>
          <w:sz w:val="24"/>
          <w:szCs w:val="32"/>
          <w:highlight w:val="none"/>
          <w:lang w:val="en-US" w:eastAsia="zh-CN"/>
        </w:rPr>
        <w:t>.</w:t>
      </w:r>
      <w:r>
        <w:rPr>
          <w:rFonts w:hint="eastAsia" w:ascii="宋体" w:hAnsi="宋体" w:cs="宋体"/>
          <w:color w:val="auto"/>
          <w:sz w:val="24"/>
          <w:szCs w:val="32"/>
          <w:highlight w:val="none"/>
        </w:rPr>
        <w:t>供应商须指派专人负责与项目业主联系售后服务事宜。</w:t>
      </w:r>
    </w:p>
    <w:p>
      <w:pPr>
        <w:spacing w:after="0" w:line="360" w:lineRule="auto"/>
        <w:ind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5</w:t>
      </w:r>
      <w:r>
        <w:rPr>
          <w:rFonts w:hint="eastAsia" w:ascii="宋体" w:hAnsi="宋体" w:cs="宋体"/>
          <w:color w:val="auto"/>
          <w:sz w:val="24"/>
          <w:szCs w:val="32"/>
          <w:highlight w:val="none"/>
          <w:lang w:val="en-US" w:eastAsia="zh-CN"/>
        </w:rPr>
        <w:t>.</w:t>
      </w:r>
      <w:r>
        <w:rPr>
          <w:rFonts w:hint="eastAsia" w:ascii="宋体" w:hAnsi="宋体" w:cs="宋体"/>
          <w:color w:val="auto"/>
          <w:sz w:val="24"/>
          <w:szCs w:val="32"/>
          <w:highlight w:val="none"/>
        </w:rPr>
        <w:t>磋商要求中的软件必须为正版软件，质保期内进行软件免费升级。</w:t>
      </w:r>
    </w:p>
    <w:p>
      <w:pPr>
        <w:tabs>
          <w:tab w:val="left" w:pos="720"/>
        </w:tabs>
        <w:spacing w:after="0" w:line="360" w:lineRule="auto"/>
        <w:ind w:left="42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七、违约责任</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1.甲方违约责任</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（1）甲方无正当理由拒收货物的，甲方应偿付合同总价百分之XXX的违约金；</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（2）甲方逾期支付货款的，除应及时付足货款外，应向乙方偿付欠款总额万分之XXX/天的违约金；逾期付款超过XXX天的，乙方有权终止合同；</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甲方偿付的违约金不足以弥补乙方损失的，还应按乙方损失尚未弥补的部分，支付赔偿金给乙方。</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2.乙方违约责任</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不能交付货物或逾期交付货物而违约的，除应及时交足货物外，应向甲方偿付逾期交货部分货款总额的万分之XXX/天的违约金；逾期交货超过XX天，甲方有权终止合同，乙方则应按合同总价的百分之XXX的款额向甲方偿付赔偿金，并须全额退还甲方已经付给乙方的货款及其利息。</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（5）乙方偿付的违约金不足以弥补甲方损失的，还应按甲方损失尚未弥补的部分，支付赔偿金给甲方。</w:t>
      </w:r>
    </w:p>
    <w:p>
      <w:pPr>
        <w:tabs>
          <w:tab w:val="left" w:pos="720"/>
        </w:tabs>
        <w:spacing w:after="0" w:line="360" w:lineRule="auto"/>
        <w:ind w:left="42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八、争议解决办法</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1.因货物的质量问题发生争议，由质量技术监督部门或其指定的质量鉴定机构进行质量鉴定。货物符合标准的，鉴定费由甲方承担；货物不符合质量标准的，鉴定费由乙方承担。</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2.合同履行期间,若双方发生争议，可协商或由有关部门调解解决，协商或调解不成的，由当事人依法维护其合法权益。</w:t>
      </w:r>
    </w:p>
    <w:p>
      <w:pPr>
        <w:tabs>
          <w:tab w:val="left" w:pos="720"/>
        </w:tabs>
        <w:spacing w:after="0" w:line="360" w:lineRule="auto"/>
        <w:ind w:left="42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九、其他</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1.如有未尽事宜，由双方依法订立补充合同。</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2.本合同双方应加盖骑缝章。</w:t>
      </w:r>
    </w:p>
    <w:p>
      <w:pPr>
        <w:pStyle w:val="10"/>
        <w:spacing w:after="0" w:line="360" w:lineRule="auto"/>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3.本合同一式四份，自双方签章并经代理机构审核编号后生效。甲方、乙方、政府采购管理部门、采购代理机构各一份。</w:t>
      </w:r>
    </w:p>
    <w:p>
      <w:pPr>
        <w:pStyle w:val="83"/>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甲方：   （盖单位公章）   </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乙方：   （盖单位公章）</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法定代表人（授权代表）：            法定代表人（授权代表）：</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                         地    址：</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                         开户银行：</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                             账号：</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                         电    话：</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                         传    真：</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签约日期：XX年XX月XX日 </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签约日期：XX年XX月XX日</w:t>
      </w:r>
    </w:p>
    <w:p>
      <w:pPr>
        <w:pStyle w:val="2"/>
        <w:rPr>
          <w:rFonts w:hint="eastAsia"/>
          <w:color w:val="auto"/>
          <w:highlight w:val="none"/>
        </w:rPr>
      </w:pPr>
    </w:p>
    <w:p>
      <w:pPr>
        <w:pStyle w:val="61"/>
        <w:ind w:firstLine="422"/>
        <w:rPr>
          <w:rFonts w:ascii="宋体" w:hAnsi="宋体"/>
          <w:b/>
          <w:bCs/>
          <w:color w:val="auto"/>
          <w:sz w:val="21"/>
          <w:szCs w:val="21"/>
          <w:highlight w:val="none"/>
        </w:rPr>
      </w:pPr>
      <w:r>
        <w:rPr>
          <w:rFonts w:hint="eastAsia" w:ascii="宋体" w:hAnsi="宋体"/>
          <w:b/>
          <w:bCs/>
          <w:color w:val="auto"/>
          <w:sz w:val="21"/>
          <w:szCs w:val="21"/>
          <w:highlight w:val="none"/>
        </w:rPr>
        <w:t xml:space="preserve"> </w:t>
      </w:r>
    </w:p>
    <w:p>
      <w:pPr>
        <w:spacing w:line="400" w:lineRule="exact"/>
        <w:rPr>
          <w:rFonts w:ascii="宋体" w:hAnsi="宋体"/>
          <w:color w:val="auto"/>
          <w:szCs w:val="21"/>
          <w:highlight w:val="none"/>
        </w:rPr>
      </w:pPr>
    </w:p>
    <w:p>
      <w:pPr>
        <w:rPr>
          <w:color w:val="auto"/>
          <w:highlight w:val="none"/>
        </w:rPr>
      </w:pPr>
      <w:r>
        <w:rPr>
          <w:color w:val="auto"/>
          <w:highlight w:val="none"/>
        </w:rPr>
        <w:br w:type="page"/>
      </w:r>
    </w:p>
    <w:p>
      <w:pPr>
        <w:pStyle w:val="33"/>
        <w:ind w:firstLine="210"/>
        <w:rPr>
          <w:color w:val="auto"/>
          <w:highlight w:val="none"/>
        </w:rPr>
      </w:pPr>
    </w:p>
    <w:p>
      <w:pPr>
        <w:spacing w:line="360" w:lineRule="auto"/>
        <w:rPr>
          <w:rFonts w:ascii="宋体" w:hAnsi="宋体" w:cs="宋体"/>
          <w:b/>
          <w:bCs/>
          <w:color w:val="auto"/>
          <w:highlight w:val="none"/>
        </w:rPr>
      </w:pPr>
      <w:r>
        <w:rPr>
          <w:rFonts w:hint="eastAsia" w:ascii="宋体" w:hAnsi="宋体" w:cs="宋体"/>
          <w:b/>
          <w:bCs/>
          <w:color w:val="auto"/>
          <w:highlight w:val="none"/>
        </w:rPr>
        <w:t>附件</w:t>
      </w:r>
      <w:r>
        <w:rPr>
          <w:rFonts w:hint="eastAsia" w:ascii="宋体" w:hAnsi="宋体" w:cs="宋体"/>
          <w:b/>
          <w:bCs/>
          <w:color w:val="auto"/>
          <w:highlight w:val="none"/>
          <w:lang w:val="en-US" w:eastAsia="zh-CN"/>
        </w:rPr>
        <w:t>二</w:t>
      </w:r>
      <w:r>
        <w:rPr>
          <w:rFonts w:hint="eastAsia" w:ascii="宋体" w:hAnsi="宋体" w:cs="宋体"/>
          <w:b/>
          <w:bCs/>
          <w:color w:val="auto"/>
          <w:highlight w:val="none"/>
        </w:rPr>
        <w:t>：四川省财政厅关于推进四川省政府采购供应商信用融资工作的通知</w:t>
      </w:r>
    </w:p>
    <w:p>
      <w:pPr>
        <w:rPr>
          <w:rFonts w:ascii="宋体" w:hAnsi="宋体" w:cs="宋体"/>
          <w:color w:val="auto"/>
          <w:sz w:val="18"/>
          <w:szCs w:val="18"/>
          <w:highlight w:val="none"/>
        </w:rPr>
      </w:pPr>
      <w:r>
        <w:rPr>
          <w:rFonts w:hint="eastAsia" w:ascii="宋体" w:hAnsi="宋体" w:cs="宋体"/>
          <w:color w:val="auto"/>
          <w:sz w:val="18"/>
          <w:szCs w:val="18"/>
          <w:highlight w:val="none"/>
        </w:rPr>
        <w:drawing>
          <wp:inline distT="0" distB="0" distL="114300" distR="114300">
            <wp:extent cx="5838825" cy="1713865"/>
            <wp:effectExtent l="0" t="0" r="9525" b="63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2"/>
                    <a:stretch>
                      <a:fillRect/>
                    </a:stretch>
                  </pic:blipFill>
                  <pic:spPr>
                    <a:xfrm>
                      <a:off x="0" y="0"/>
                      <a:ext cx="5838825" cy="1713865"/>
                    </a:xfrm>
                    <a:prstGeom prst="rect">
                      <a:avLst/>
                    </a:prstGeom>
                    <a:noFill/>
                    <a:ln>
                      <a:noFill/>
                    </a:ln>
                  </pic:spPr>
                </pic:pic>
              </a:graphicData>
            </a:graphic>
          </wp:inline>
        </w:drawing>
      </w:r>
    </w:p>
    <w:p>
      <w:pPr>
        <w:widowControl/>
        <w:shd w:val="clear" w:color="auto" w:fill="FFFFFF"/>
        <w:spacing w:before="100" w:beforeAutospacing="1" w:line="480" w:lineRule="auto"/>
        <w:jc w:val="left"/>
        <w:rPr>
          <w:rFonts w:ascii="宋体" w:hAnsi="宋体" w:cs="宋体"/>
          <w:color w:val="auto"/>
          <w:sz w:val="24"/>
          <w:highlight w:val="none"/>
        </w:rPr>
      </w:pPr>
      <w:r>
        <w:rPr>
          <w:rFonts w:hint="eastAsia" w:ascii="宋体" w:hAnsi="宋体" w:cs="宋体"/>
          <w:color w:val="auto"/>
          <w:sz w:val="32"/>
          <w:szCs w:val="32"/>
          <w:highlight w:val="none"/>
        </w:rPr>
        <w:t xml:space="preserve">  </w:t>
      </w:r>
      <w:r>
        <w:rPr>
          <w:rFonts w:hint="eastAsia" w:ascii="宋体" w:hAnsi="宋体" w:cs="宋体"/>
          <w:color w:val="auto"/>
          <w:sz w:val="24"/>
          <w:highlight w:val="none"/>
        </w:rPr>
        <w:t>各市（州）、扩权县（市）财政局，各省直机关、事业单位、团体组织，各金融机构，各采购代理机构，各政府采购供应商：</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为贯彻落实党的十九大精神、国务院“放管服”改革决策部署、省委十一届三次全会“大力推进创新驱动发展战略”精神，助力解决政府采购中标、成交供应商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一、融资概念</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widowControl/>
        <w:shd w:val="clear" w:color="auto" w:fill="FFFFFF"/>
        <w:spacing w:line="580" w:lineRule="atLeast"/>
        <w:ind w:left="634"/>
        <w:jc w:val="left"/>
        <w:rPr>
          <w:rFonts w:ascii="宋体" w:hAnsi="宋体" w:cs="宋体"/>
          <w:color w:val="auto"/>
          <w:sz w:val="24"/>
          <w:highlight w:val="none"/>
        </w:rPr>
      </w:pPr>
      <w:r>
        <w:rPr>
          <w:rFonts w:hint="eastAsia" w:ascii="宋体" w:hAnsi="宋体" w:cs="宋体"/>
          <w:color w:val="auto"/>
          <w:sz w:val="24"/>
          <w:highlight w:val="none"/>
        </w:rPr>
        <w:t>二、基本原则</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（一）财政引导，市场运行</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财政部门推进“政采贷”，银行和供应商按照自愿原则参与。供应商自愿选择是否申请“政采贷”，银行依据其内部审查制度和决策程序决定是否为供应商提供融资，自担风险。</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（二）建立机制，服务银企</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财政部门与银行建立“政采贷”工作机制，推动政府采购政策功能和金融资源的有机结合，拓宽银行的融资业务，助力解决政府采购中标、成交供应商资金不足、融资难、融资贵的困难，促进企业健康发展。</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（三）优质优惠，加强扶持</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三、基本条件</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（一）银行暨“政采贷”金融产品</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1、征集。</w:t>
      </w:r>
      <w:r>
        <w:rPr>
          <w:rFonts w:hint="eastAsia" w:ascii="宋体" w:hAnsi="宋体" w:cs="宋体"/>
          <w:color w:val="auto"/>
          <w:sz w:val="24"/>
          <w:highlight w:val="none"/>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申请材料应当包括银行基本情况、“政采贷”产品名称、申请贷款条件、申请贷款方式、申请贷款程序、贷款审查流程、贷款额度、发放贷款时间、收款方式及其他优质服务和优惠承诺等。</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银行提供的“政采贷”产品应当满足“无抵押担保、程序简便、利率优惠、放款及时”的基本条件以及本通知其他相关规定。</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银行申请材料中应当载明其自愿提供“政采贷”产品，自担风险，不得要求或者变相要求财政部门和采购人为其提供风险担保、承诺。</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2、公示。</w:t>
      </w:r>
      <w:r>
        <w:rPr>
          <w:rFonts w:hint="eastAsia" w:ascii="宋体" w:hAnsi="宋体" w:cs="宋体"/>
          <w:color w:val="auto"/>
          <w:sz w:val="24"/>
          <w:highlight w:val="none"/>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（二）供应商</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政府采购供应商向银行申请“政采贷”，应当满足下列基本条件：</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1、</w:t>
      </w:r>
      <w:r>
        <w:rPr>
          <w:rFonts w:hint="eastAsia" w:ascii="宋体" w:hAnsi="宋体" w:cs="宋体"/>
          <w:color w:val="auto"/>
          <w:sz w:val="24"/>
          <w:highlight w:val="none"/>
        </w:rPr>
        <w:t>具有依法承担民事责任的能力；</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2、</w:t>
      </w:r>
      <w:r>
        <w:rPr>
          <w:rFonts w:hint="eastAsia" w:ascii="宋体" w:hAnsi="宋体" w:cs="宋体"/>
          <w:color w:val="auto"/>
          <w:sz w:val="24"/>
          <w:highlight w:val="none"/>
        </w:rPr>
        <w:t>具有依法履行政府采购合同的能力；</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3、</w:t>
      </w:r>
      <w:r>
        <w:rPr>
          <w:rFonts w:hint="eastAsia" w:ascii="宋体" w:hAnsi="宋体" w:cs="宋体"/>
          <w:color w:val="auto"/>
          <w:sz w:val="24"/>
          <w:highlight w:val="none"/>
        </w:rPr>
        <w:t>参加的政府采购活动未被财政部门依法暂停、责令重新开展或者认定中标、成交无效；</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4、</w:t>
      </w:r>
      <w:r>
        <w:rPr>
          <w:rFonts w:hint="eastAsia" w:ascii="宋体" w:hAnsi="宋体" w:cs="宋体"/>
          <w:color w:val="auto"/>
          <w:sz w:val="24"/>
          <w:highlight w:val="none"/>
        </w:rPr>
        <w:t>无《政府采购法》第二十二条第一款第（五）项所称的重大违法记录；</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5、</w:t>
      </w:r>
      <w:r>
        <w:rPr>
          <w:rFonts w:hint="eastAsia" w:ascii="宋体" w:hAnsi="宋体" w:cs="宋体"/>
          <w:color w:val="auto"/>
          <w:sz w:val="24"/>
          <w:highlight w:val="none"/>
        </w:rPr>
        <w:t>未被法院、市场监管、税务、银行等部门单位纳入失信名单且在有效期内；</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6、</w:t>
      </w:r>
      <w:r>
        <w:rPr>
          <w:rFonts w:hint="eastAsia" w:ascii="宋体" w:hAnsi="宋体" w:cs="宋体"/>
          <w:color w:val="auto"/>
          <w:sz w:val="24"/>
          <w:highlight w:val="none"/>
        </w:rPr>
        <w:t>在一定期限内的（银行可以具体确定）政府采购合同履约过程中或者其他经营活动履约过程中，无不依法履约被有关行政部门行政处罚的或者产生法律纠纷被法院、仲裁机构判决、裁决败诉的；</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7、</w:t>
      </w:r>
      <w:r>
        <w:rPr>
          <w:rFonts w:hint="eastAsia" w:ascii="宋体" w:hAnsi="宋体" w:cs="宋体"/>
          <w:color w:val="auto"/>
          <w:sz w:val="24"/>
          <w:highlight w:val="none"/>
        </w:rPr>
        <w:t>其他银行要求的不属于提供财产抵押或第三方担保的条件。</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四、构建平台</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四川省财政厅将在四川政府采购网统一构建四川省“政采贷”信息化服务平台，推进四川省“政采贷”工作信息化建设。</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五、财金互动</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各级财政部门应当按照《四川省政府采购促进中小企业发展的若干规定》（川财采[2016]35号）等有关规定，对金融机构向小微企业提供“政采贷”贷款产生的损失，纳入财政金融互动政策范围给予风险补贴。</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六、基本流程</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（一）意向申请</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（二）正式申请</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widowControl/>
        <w:shd w:val="clear" w:color="auto" w:fill="FFFFFF"/>
        <w:spacing w:line="580" w:lineRule="atLeast"/>
        <w:ind w:firstLine="622"/>
        <w:jc w:val="left"/>
        <w:rPr>
          <w:rFonts w:ascii="宋体" w:hAnsi="宋体" w:cs="宋体"/>
          <w:color w:val="auto"/>
          <w:sz w:val="24"/>
          <w:highlight w:val="none"/>
        </w:rPr>
      </w:pPr>
      <w:r>
        <w:rPr>
          <w:rFonts w:hint="eastAsia" w:ascii="宋体" w:hAnsi="宋体" w:cs="宋体"/>
          <w:b/>
          <w:bCs/>
          <w:color w:val="auto"/>
          <w:sz w:val="24"/>
          <w:highlight w:val="none"/>
        </w:rPr>
        <w:t>（三）贷款审查</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（四）信息报送</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（五）资金支付</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政府采购资金支付过程中，银行需要查询采购资金支付进程有关信息的，财政部门和采购人应当支持。</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七、职责要求</w:t>
      </w:r>
    </w:p>
    <w:p>
      <w:pPr>
        <w:widowControl/>
        <w:shd w:val="clear" w:color="auto" w:fill="FFFFFF"/>
        <w:spacing w:line="580" w:lineRule="atLeast"/>
        <w:ind w:firstLine="622"/>
        <w:jc w:val="left"/>
        <w:rPr>
          <w:rFonts w:ascii="宋体" w:hAnsi="宋体" w:cs="宋体"/>
          <w:color w:val="auto"/>
          <w:sz w:val="24"/>
          <w:highlight w:val="none"/>
        </w:rPr>
      </w:pPr>
      <w:r>
        <w:rPr>
          <w:rFonts w:hint="eastAsia" w:ascii="宋体" w:hAnsi="宋体" w:cs="宋体"/>
          <w:b/>
          <w:bCs/>
          <w:color w:val="auto"/>
          <w:sz w:val="24"/>
          <w:highlight w:val="none"/>
        </w:rPr>
        <w:t>（一）</w:t>
      </w:r>
      <w:r>
        <w:rPr>
          <w:rFonts w:hint="eastAsia" w:ascii="宋体" w:hAnsi="宋体" w:cs="宋体"/>
          <w:color w:val="auto"/>
          <w:sz w:val="24"/>
          <w:highlight w:val="none"/>
        </w:rPr>
        <w:t xml:space="preserve">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 </w:t>
      </w:r>
    </w:p>
    <w:p>
      <w:pPr>
        <w:widowControl/>
        <w:shd w:val="clear" w:color="auto" w:fill="FFFFFF"/>
        <w:spacing w:line="580" w:lineRule="atLeast"/>
        <w:ind w:firstLine="622"/>
        <w:jc w:val="left"/>
        <w:rPr>
          <w:rFonts w:ascii="宋体" w:hAnsi="宋体" w:cs="宋体"/>
          <w:color w:val="auto"/>
          <w:sz w:val="24"/>
          <w:highlight w:val="none"/>
        </w:rPr>
      </w:pPr>
      <w:r>
        <w:rPr>
          <w:rFonts w:hint="eastAsia" w:ascii="宋体" w:hAnsi="宋体" w:cs="宋体"/>
          <w:b/>
          <w:bCs/>
          <w:color w:val="auto"/>
          <w:sz w:val="24"/>
          <w:highlight w:val="none"/>
        </w:rPr>
        <w:t>（二）</w:t>
      </w:r>
      <w:r>
        <w:rPr>
          <w:rFonts w:hint="eastAsia" w:ascii="宋体" w:hAnsi="宋体" w:cs="宋体"/>
          <w:color w:val="auto"/>
          <w:sz w:val="24"/>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（三）</w:t>
      </w:r>
      <w:r>
        <w:rPr>
          <w:rFonts w:hint="eastAsia" w:ascii="宋体" w:hAnsi="宋体" w:cs="宋体"/>
          <w:color w:val="auto"/>
          <w:sz w:val="24"/>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widowControl/>
        <w:shd w:val="clear" w:color="auto" w:fill="FFFFFF"/>
        <w:spacing w:line="580" w:lineRule="atLeast"/>
        <w:ind w:firstLine="622"/>
        <w:jc w:val="left"/>
        <w:rPr>
          <w:rFonts w:ascii="宋体" w:hAnsi="宋体" w:cs="宋体"/>
          <w:color w:val="auto"/>
          <w:sz w:val="24"/>
          <w:highlight w:val="none"/>
        </w:rPr>
      </w:pPr>
      <w:r>
        <w:rPr>
          <w:rFonts w:hint="eastAsia" w:ascii="宋体" w:hAnsi="宋体" w:cs="宋体"/>
          <w:b/>
          <w:bCs/>
          <w:color w:val="auto"/>
          <w:sz w:val="24"/>
          <w:highlight w:val="none"/>
        </w:rPr>
        <w:t>（四）</w:t>
      </w:r>
      <w:r>
        <w:rPr>
          <w:rFonts w:hint="eastAsia" w:ascii="宋体" w:hAnsi="宋体" w:cs="宋体"/>
          <w:color w:val="auto"/>
          <w:sz w:val="24"/>
          <w:highlight w:val="none"/>
        </w:rPr>
        <w:t>采购代理机构在组织实施政府采购活动中，应当采取有效方式，向供应商宣传“政采贷”政策。银行需要借用采购代理机构的场所直接向供应商介绍其“政采贷”产品的，采购代理机构应当支持。</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（五）</w:t>
      </w:r>
      <w:r>
        <w:rPr>
          <w:rFonts w:hint="eastAsia" w:ascii="宋体" w:hAnsi="宋体" w:cs="宋体"/>
          <w:color w:val="auto"/>
          <w:sz w:val="24"/>
          <w:highlight w:val="none"/>
        </w:rPr>
        <w:t>供应商应当依法参加政府采购活动，公平竞争，诚实守信，严格按照政府采购合同履约，严格按照借款合同偿还债务。</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（六）</w:t>
      </w:r>
      <w:r>
        <w:rPr>
          <w:rFonts w:hint="eastAsia" w:ascii="宋体" w:hAnsi="宋体" w:cs="宋体"/>
          <w:color w:val="auto"/>
          <w:sz w:val="24"/>
          <w:highlight w:val="none"/>
        </w:rPr>
        <w:t>财政部门、采购人、采购代理机构及其他有关单位和个人不得违规干预供应商选择“政采贷”银行及其产品，也不得违规干预银行向供应商进行贷款。</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（七）</w:t>
      </w:r>
      <w:r>
        <w:rPr>
          <w:rFonts w:hint="eastAsia" w:ascii="宋体" w:hAnsi="宋体" w:cs="宋体"/>
          <w:color w:val="auto"/>
          <w:sz w:val="24"/>
          <w:highlight w:val="none"/>
        </w:rPr>
        <w:t>相关单位和个人在开展“政采贷”工作过程中，发现新问题、新情况或者有意见建议的，请及时向四川省财政厅反馈。</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八、违规处理</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（一）银行违规处理</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（二）供应商违规处理</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b/>
          <w:bCs/>
          <w:color w:val="auto"/>
          <w:sz w:val="24"/>
          <w:highlight w:val="none"/>
        </w:rPr>
        <w:t>（三）其他违规处理</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widowControl/>
        <w:shd w:val="clear" w:color="auto" w:fill="FFFFFF"/>
        <w:spacing w:line="580" w:lineRule="atLeast"/>
        <w:ind w:firstLine="628"/>
        <w:jc w:val="left"/>
        <w:rPr>
          <w:rFonts w:ascii="宋体" w:hAnsi="宋体" w:cs="宋体"/>
          <w:color w:val="auto"/>
          <w:sz w:val="24"/>
          <w:highlight w:val="none"/>
        </w:rPr>
      </w:pPr>
      <w:r>
        <w:rPr>
          <w:rFonts w:hint="eastAsia" w:ascii="宋体" w:hAnsi="宋体" w:cs="宋体"/>
          <w:color w:val="auto"/>
          <w:sz w:val="24"/>
          <w:highlight w:val="none"/>
        </w:rPr>
        <w:t> 附件：四川省“政采贷”信息统计表</w:t>
      </w:r>
    </w:p>
    <w:p>
      <w:pPr>
        <w:widowControl/>
        <w:shd w:val="clear" w:color="auto" w:fill="FFFFFF"/>
        <w:spacing w:before="100" w:beforeAutospacing="1" w:after="240" w:line="720" w:lineRule="auto"/>
        <w:jc w:val="right"/>
        <w:rPr>
          <w:rFonts w:ascii="宋体" w:hAnsi="宋体" w:cs="宋体"/>
          <w:color w:val="auto"/>
          <w:sz w:val="18"/>
          <w:szCs w:val="18"/>
          <w:highlight w:val="none"/>
        </w:rPr>
      </w:pPr>
      <w:r>
        <w:rPr>
          <w:rFonts w:hint="eastAsia" w:ascii="宋体" w:hAnsi="宋体" w:cs="宋体"/>
          <w:color w:val="auto"/>
          <w:sz w:val="18"/>
          <w:szCs w:val="18"/>
          <w:highlight w:val="none"/>
        </w:rPr>
        <w:drawing>
          <wp:inline distT="0" distB="0" distL="114300" distR="114300">
            <wp:extent cx="1181735" cy="1085215"/>
            <wp:effectExtent l="0" t="0" r="18415" b="6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3"/>
                    <a:stretch>
                      <a:fillRect/>
                    </a:stretch>
                  </pic:blipFill>
                  <pic:spPr>
                    <a:xfrm>
                      <a:off x="0" y="0"/>
                      <a:ext cx="1181735" cy="1085215"/>
                    </a:xfrm>
                    <a:prstGeom prst="rect">
                      <a:avLst/>
                    </a:prstGeom>
                    <a:noFill/>
                    <a:ln>
                      <a:noFill/>
                    </a:ln>
                  </pic:spPr>
                </pic:pic>
              </a:graphicData>
            </a:graphic>
          </wp:inline>
        </w:drawing>
      </w:r>
    </w:p>
    <w:p>
      <w:pPr>
        <w:pStyle w:val="33"/>
        <w:ind w:firstLine="210"/>
        <w:rPr>
          <w:rFonts w:ascii="宋体" w:hAnsi="宋体" w:cs="宋体"/>
          <w:color w:val="auto"/>
          <w:highlight w:val="none"/>
        </w:rPr>
      </w:pPr>
    </w:p>
    <w:p>
      <w:pPr>
        <w:rPr>
          <w:rFonts w:ascii="宋体" w:hAnsi="宋体" w:cs="宋体"/>
          <w:b/>
          <w:bCs/>
          <w:color w:val="auto"/>
          <w:highlight w:val="none"/>
        </w:rPr>
      </w:pPr>
      <w:r>
        <w:rPr>
          <w:rFonts w:hint="eastAsia" w:ascii="宋体" w:hAnsi="宋体" w:cs="宋体"/>
          <w:b/>
          <w:bCs/>
          <w:color w:val="auto"/>
          <w:highlight w:val="none"/>
        </w:rPr>
        <w:br w:type="page"/>
      </w:r>
    </w:p>
    <w:p>
      <w:pPr>
        <w:spacing w:line="360" w:lineRule="auto"/>
        <w:rPr>
          <w:rFonts w:ascii="宋体" w:hAnsi="宋体" w:cs="宋体"/>
          <w:b/>
          <w:bCs/>
          <w:color w:val="auto"/>
          <w:highlight w:val="none"/>
        </w:rPr>
      </w:pPr>
      <w:r>
        <w:rPr>
          <w:rFonts w:hint="eastAsia" w:ascii="宋体" w:hAnsi="宋体" w:cs="宋体"/>
          <w:b/>
          <w:bCs/>
          <w:color w:val="auto"/>
          <w:highlight w:val="none"/>
        </w:rPr>
        <w:t>附件</w:t>
      </w:r>
      <w:r>
        <w:rPr>
          <w:rFonts w:hint="eastAsia" w:ascii="宋体" w:hAnsi="宋体" w:cs="宋体"/>
          <w:b/>
          <w:bCs/>
          <w:color w:val="auto"/>
          <w:highlight w:val="none"/>
          <w:lang w:val="en-US" w:eastAsia="zh-CN"/>
        </w:rPr>
        <w:t>三</w:t>
      </w:r>
      <w:r>
        <w:rPr>
          <w:rFonts w:hint="eastAsia" w:ascii="宋体" w:hAnsi="宋体" w:cs="宋体"/>
          <w:b/>
          <w:bCs/>
          <w:color w:val="auto"/>
          <w:highlight w:val="none"/>
        </w:rPr>
        <w:t>：</w:t>
      </w:r>
    </w:p>
    <w:p>
      <w:pPr>
        <w:pStyle w:val="2"/>
        <w:rPr>
          <w:rFonts w:ascii="宋体" w:hAnsi="宋体" w:cs="宋体"/>
          <w:color w:val="auto"/>
          <w:highlight w:val="none"/>
        </w:rPr>
      </w:pPr>
      <w:r>
        <w:rPr>
          <w:rFonts w:hint="eastAsia" w:ascii="宋体" w:hAnsi="宋体" w:cs="宋体"/>
          <w:color w:val="auto"/>
          <w:highlight w:val="none"/>
        </w:rPr>
        <w:drawing>
          <wp:inline distT="0" distB="0" distL="0" distR="0">
            <wp:extent cx="5971540" cy="7998460"/>
            <wp:effectExtent l="0" t="0" r="1016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r>
        <w:rPr>
          <w:rFonts w:hint="eastAsia" w:ascii="宋体" w:hAnsi="宋体" w:cs="宋体"/>
          <w:color w:val="auto"/>
          <w:highlight w:val="none"/>
        </w:rPr>
        <w:drawing>
          <wp:inline distT="0" distB="0" distL="0" distR="0">
            <wp:extent cx="5910580" cy="8364220"/>
            <wp:effectExtent l="0" t="0" r="1397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r>
        <w:rPr>
          <w:rFonts w:hint="eastAsia" w:ascii="宋体" w:hAnsi="宋体" w:cs="宋体"/>
          <w:color w:val="auto"/>
          <w:highlight w:val="none"/>
        </w:rPr>
        <w:drawing>
          <wp:inline distT="0" distB="0" distL="0" distR="0">
            <wp:extent cx="5930900" cy="7664450"/>
            <wp:effectExtent l="0" t="0" r="12700"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r>
        <w:rPr>
          <w:rFonts w:hint="eastAsia" w:ascii="宋体" w:hAnsi="宋体" w:cs="宋体"/>
          <w:color w:val="auto"/>
          <w:highlight w:val="none"/>
        </w:rPr>
        <w:drawing>
          <wp:inline distT="0" distB="0" distL="0" distR="0">
            <wp:extent cx="5882640" cy="8324850"/>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r>
        <w:rPr>
          <w:rFonts w:hint="eastAsia" w:ascii="宋体" w:hAnsi="宋体" w:cs="宋体"/>
          <w:color w:val="auto"/>
          <w:highlight w:val="none"/>
        </w:rPr>
        <w:drawing>
          <wp:inline distT="0" distB="0" distL="0" distR="0">
            <wp:extent cx="5859780" cy="7603490"/>
            <wp:effectExtent l="0" t="0" r="7620" b="165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r>
        <w:rPr>
          <w:rFonts w:hint="eastAsia" w:ascii="宋体" w:hAnsi="宋体" w:cs="宋体"/>
          <w:color w:val="auto"/>
          <w:highlight w:val="none"/>
        </w:rPr>
        <w:drawing>
          <wp:inline distT="0" distB="0" distL="0" distR="0">
            <wp:extent cx="5875655" cy="8314690"/>
            <wp:effectExtent l="0" t="0" r="10795"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r>
        <w:rPr>
          <w:rFonts w:hint="eastAsia" w:ascii="宋体" w:hAnsi="宋体" w:cs="宋体"/>
          <w:color w:val="auto"/>
          <w:highlight w:val="none"/>
        </w:rPr>
        <w:drawing>
          <wp:inline distT="0" distB="0" distL="0" distR="0">
            <wp:extent cx="5970905" cy="8053705"/>
            <wp:effectExtent l="0" t="0" r="1079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r>
        <w:rPr>
          <w:rFonts w:hint="eastAsia" w:ascii="宋体" w:hAnsi="宋体" w:cs="宋体"/>
          <w:color w:val="auto"/>
          <w:highlight w:val="none"/>
        </w:rPr>
        <w:drawing>
          <wp:inline distT="0" distB="0" distL="0" distR="0">
            <wp:extent cx="5920105" cy="8364220"/>
            <wp:effectExtent l="0" t="0" r="4445" b="177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r>
        <w:rPr>
          <w:rFonts w:hint="eastAsia" w:ascii="宋体" w:hAnsi="宋体" w:cs="宋体"/>
          <w:color w:val="auto"/>
          <w:highlight w:val="none"/>
        </w:rPr>
        <w:drawing>
          <wp:inline distT="0" distB="0" distL="0" distR="0">
            <wp:extent cx="5868035" cy="7672705"/>
            <wp:effectExtent l="0" t="0" r="1841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r>
        <w:rPr>
          <w:rFonts w:hint="eastAsia" w:ascii="宋体" w:hAnsi="宋体" w:cs="宋体"/>
          <w:color w:val="auto"/>
          <w:highlight w:val="none"/>
        </w:rPr>
        <w:drawing>
          <wp:inline distT="0" distB="0" distL="0" distR="0">
            <wp:extent cx="5899785" cy="8348980"/>
            <wp:effectExtent l="0" t="0" r="5715"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r>
        <w:rPr>
          <w:rFonts w:hint="eastAsia" w:ascii="宋体" w:hAnsi="宋体" w:cs="宋体"/>
          <w:color w:val="auto"/>
          <w:highlight w:val="none"/>
        </w:rPr>
        <w:drawing>
          <wp:inline distT="0" distB="0" distL="0" distR="0">
            <wp:extent cx="5923280" cy="7786370"/>
            <wp:effectExtent l="0" t="0" r="127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r>
        <w:rPr>
          <w:rFonts w:hint="eastAsia" w:ascii="宋体" w:hAnsi="宋体" w:cs="宋体"/>
          <w:color w:val="auto"/>
          <w:highlight w:val="none"/>
        </w:rPr>
        <w:drawing>
          <wp:inline distT="0" distB="0" distL="0" distR="0">
            <wp:extent cx="5899785" cy="8335010"/>
            <wp:effectExtent l="0" t="0" r="5715"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r>
        <w:rPr>
          <w:rFonts w:hint="eastAsia" w:ascii="宋体" w:hAnsi="宋体" w:cs="宋体"/>
          <w:color w:val="auto"/>
          <w:highlight w:val="none"/>
        </w:rPr>
        <w:drawing>
          <wp:inline distT="0" distB="0" distL="0" distR="0">
            <wp:extent cx="6010910" cy="7740015"/>
            <wp:effectExtent l="0" t="0" r="8890" b="133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r>
        <w:rPr>
          <w:rFonts w:hint="eastAsia" w:ascii="宋体" w:hAnsi="宋体" w:cs="宋体"/>
          <w:color w:val="auto"/>
          <w:highlight w:val="none"/>
        </w:rPr>
        <w:drawing>
          <wp:inline distT="0" distB="0" distL="0" distR="0">
            <wp:extent cx="5899785" cy="8348980"/>
            <wp:effectExtent l="0" t="0" r="5715" b="139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r>
        <w:rPr>
          <w:rFonts w:hint="eastAsia" w:ascii="宋体" w:hAnsi="宋体" w:cs="宋体"/>
          <w:color w:val="auto"/>
          <w:highlight w:val="none"/>
        </w:rPr>
        <w:drawing>
          <wp:inline distT="0" distB="0" distL="0" distR="0">
            <wp:extent cx="5970905" cy="7463790"/>
            <wp:effectExtent l="0" t="0" r="10795"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footerReference r:id="rId19" w:type="default"/>
      <w:footerReference r:id="rId20" w:type="even"/>
      <w:pgSz w:w="11906" w:h="16838"/>
      <w:pgMar w:top="720" w:right="1274" w:bottom="720" w:left="1276" w:header="851" w:footer="992" w:gutter="0"/>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jc w:val="center"/>
      <w:rPr>
        <w:rStyle w:val="38"/>
      </w:rPr>
    </w:pPr>
    <w:r>
      <w:fldChar w:fldCharType="begin"/>
    </w:r>
    <w:r>
      <w:rPr>
        <w:rStyle w:val="38"/>
      </w:rPr>
      <w:instrText xml:space="preserve">PAGE  </w:instrText>
    </w:r>
    <w:r>
      <w:fldChar w:fldCharType="separate"/>
    </w:r>
    <w:r>
      <w:rPr>
        <w:rStyle w:val="38"/>
      </w:rPr>
      <w:t>3</w:t>
    </w:r>
    <w:r>
      <w:fldChar w:fldCharType="end"/>
    </w:r>
  </w:p>
  <w:p>
    <w:pPr>
      <w:pStyle w:val="2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Style w:val="38"/>
                            </w:rPr>
                          </w:pPr>
                          <w:r>
                            <w:fldChar w:fldCharType="begin"/>
                          </w:r>
                          <w:r>
                            <w:rPr>
                              <w:rStyle w:val="38"/>
                            </w:rPr>
                            <w:instrText xml:space="preserve">PAGE  </w:instrText>
                          </w:r>
                          <w:r>
                            <w:fldChar w:fldCharType="separate"/>
                          </w:r>
                          <w:r>
                            <w:rPr>
                              <w:rStyle w:val="38"/>
                            </w:rP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21"/>
                      <w:rPr>
                        <w:rStyle w:val="38"/>
                      </w:rPr>
                    </w:pPr>
                    <w:r>
                      <w:fldChar w:fldCharType="begin"/>
                    </w:r>
                    <w:r>
                      <w:rPr>
                        <w:rStyle w:val="38"/>
                      </w:rPr>
                      <w:instrText xml:space="preserve">PAGE  </w:instrText>
                    </w:r>
                    <w:r>
                      <w:fldChar w:fldCharType="separate"/>
                    </w:r>
                    <w:r>
                      <w:rPr>
                        <w:rStyle w:val="38"/>
                      </w:rPr>
                      <w:t>59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Style w:val="38"/>
                            </w:rPr>
                          </w:pPr>
                          <w:r>
                            <w:fldChar w:fldCharType="begin"/>
                          </w:r>
                          <w:r>
                            <w:rPr>
                              <w:rStyle w:val="38"/>
                            </w:rPr>
                            <w:instrText xml:space="preserve">PAGE  </w:instrText>
                          </w:r>
                          <w:r>
                            <w:fldChar w:fldCharType="separate"/>
                          </w:r>
                          <w:r>
                            <w:rPr>
                              <w:rStyle w:val="38"/>
                            </w:rP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21"/>
                      <w:rPr>
                        <w:rStyle w:val="38"/>
                      </w:rPr>
                    </w:pPr>
                    <w:r>
                      <w:fldChar w:fldCharType="begin"/>
                    </w:r>
                    <w:r>
                      <w:rPr>
                        <w:rStyle w:val="38"/>
                      </w:rPr>
                      <w:instrText xml:space="preserve">PAGE  </w:instrText>
                    </w:r>
                    <w:r>
                      <w:fldChar w:fldCharType="separate"/>
                    </w:r>
                    <w:r>
                      <w:rPr>
                        <w:rStyle w:val="38"/>
                      </w:rPr>
                      <w:t>58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8"/>
      </w:rPr>
    </w:pPr>
    <w:r>
      <w:fldChar w:fldCharType="begin"/>
    </w:r>
    <w:r>
      <w:rPr>
        <w:rStyle w:val="38"/>
      </w:rPr>
      <w:instrText xml:space="preserve">PAGE  </w:instrText>
    </w:r>
    <w:r>
      <w:fldChar w:fldCharType="separate"/>
    </w:r>
    <w:r>
      <w:rPr>
        <w:rStyle w:val="38"/>
      </w:rPr>
      <w:t>2</w:t>
    </w:r>
    <w:r>
      <w:fldChar w:fldCharType="end"/>
    </w:r>
  </w:p>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jc w:val="center"/>
                            <w:rPr>
                              <w:rStyle w:val="38"/>
                            </w:rPr>
                          </w:pPr>
                          <w:r>
                            <w:fldChar w:fldCharType="begin"/>
                          </w:r>
                          <w:r>
                            <w:rPr>
                              <w:rStyle w:val="38"/>
                            </w:rPr>
                            <w:instrText xml:space="preserve">PAGE  </w:instrText>
                          </w:r>
                          <w:r>
                            <w:fldChar w:fldCharType="separate"/>
                          </w:r>
                          <w:r>
                            <w:rPr>
                              <w:rStyle w:val="38"/>
                            </w:rP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1"/>
                      <w:jc w:val="center"/>
                      <w:rPr>
                        <w:rStyle w:val="38"/>
                      </w:rPr>
                    </w:pPr>
                    <w:r>
                      <w:fldChar w:fldCharType="begin"/>
                    </w:r>
                    <w:r>
                      <w:rPr>
                        <w:rStyle w:val="38"/>
                      </w:rPr>
                      <w:instrText xml:space="preserve">PAGE  </w:instrText>
                    </w:r>
                    <w:r>
                      <w:fldChar w:fldCharType="separate"/>
                    </w:r>
                    <w:r>
                      <w:rPr>
                        <w:rStyle w:val="38"/>
                      </w:rPr>
                      <w:t>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Style w:val="38"/>
                            </w:rPr>
                          </w:pPr>
                          <w:r>
                            <w:fldChar w:fldCharType="begin"/>
                          </w:r>
                          <w:r>
                            <w:rPr>
                              <w:rStyle w:val="38"/>
                            </w:rPr>
                            <w:instrText xml:space="preserve">PAGE  </w:instrText>
                          </w:r>
                          <w:r>
                            <w:fldChar w:fldCharType="separate"/>
                          </w:r>
                          <w:r>
                            <w:rPr>
                              <w:rStyle w:val="38"/>
                            </w:rP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21"/>
                      <w:rPr>
                        <w:rStyle w:val="38"/>
                      </w:rPr>
                    </w:pPr>
                    <w:r>
                      <w:fldChar w:fldCharType="begin"/>
                    </w:r>
                    <w:r>
                      <w:rPr>
                        <w:rStyle w:val="38"/>
                      </w:rPr>
                      <w:instrText xml:space="preserve">PAGE  </w:instrText>
                    </w:r>
                    <w:r>
                      <w:fldChar w:fldCharType="separate"/>
                    </w:r>
                    <w:r>
                      <w:rPr>
                        <w:rStyle w:val="38"/>
                      </w:rPr>
                      <w:t>40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jc w:val="center"/>
                            <w:rPr>
                              <w:rStyle w:val="38"/>
                            </w:rPr>
                          </w:pPr>
                          <w:r>
                            <w:fldChar w:fldCharType="begin"/>
                          </w:r>
                          <w:r>
                            <w:rPr>
                              <w:rStyle w:val="38"/>
                            </w:rPr>
                            <w:instrText xml:space="preserve">PAGE  </w:instrText>
                          </w:r>
                          <w:r>
                            <w:fldChar w:fldCharType="separate"/>
                          </w:r>
                          <w:r>
                            <w:rPr>
                              <w:rStyle w:val="38"/>
                            </w:rP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21"/>
                      <w:jc w:val="center"/>
                      <w:rPr>
                        <w:rStyle w:val="38"/>
                      </w:rPr>
                    </w:pPr>
                    <w:r>
                      <w:fldChar w:fldCharType="begin"/>
                    </w:r>
                    <w:r>
                      <w:rPr>
                        <w:rStyle w:val="38"/>
                      </w:rPr>
                      <w:instrText xml:space="preserve">PAGE  </w:instrText>
                    </w:r>
                    <w:r>
                      <w:fldChar w:fldCharType="separate"/>
                    </w:r>
                    <w:r>
                      <w:rPr>
                        <w:rStyle w:val="38"/>
                      </w:rPr>
                      <w:t>39</w:t>
                    </w:r>
                    <w:r>
                      <w:fldChar w:fldCharType="end"/>
                    </w:r>
                  </w:p>
                </w:txbxContent>
              </v:textbox>
            </v:shape>
          </w:pict>
        </mc:Fallback>
      </mc:AlternateContent>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r>
      <w:drawing>
        <wp:inline distT="0" distB="0" distL="0" distR="0">
          <wp:extent cx="1771650" cy="247650"/>
          <wp:effectExtent l="0" t="0" r="0" b="0"/>
          <wp:docPr id="29" name="图片 29" descr="C:\Users\ADMINI~1\AppData\Local\Temp\ksohtml72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1\AppData\Local\Temp\ksohtml7252\wps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71650" cy="247650"/>
                  </a:xfrm>
                  <a:prstGeom prst="rect">
                    <a:avLst/>
                  </a:prstGeom>
                  <a:noFill/>
                  <a:ln>
                    <a:noFill/>
                  </a:ln>
                </pic:spPr>
              </pic:pic>
            </a:graphicData>
          </a:graphic>
        </wp:inline>
      </w:drawing>
    </w:r>
    <w:r>
      <w:rPr>
        <w:rFonts w:hint="eastAsia" w:ascii="宋体" w:hAnsi="宋体"/>
      </w:rPr>
      <w:t xml:space="preserve">                                                   </w:t>
    </w:r>
    <w:r>
      <w:rPr>
        <w:rFonts w:hint="eastAsia" w:ascii="黑体" w:hAnsi="黑体" w:eastAsia="黑体"/>
        <w:sz w:val="16"/>
        <w:szCs w:val="16"/>
      </w:rPr>
      <w:t>公开 透明 公平 诚信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drawing>
        <wp:inline distT="0" distB="0" distL="0" distR="0">
          <wp:extent cx="1771650" cy="247650"/>
          <wp:effectExtent l="0" t="0" r="0" b="0"/>
          <wp:docPr id="28" name="图片 28" descr="C:\Users\ADMINI~1\AppData\Local\Temp\ksohtml72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1\AppData\Local\Temp\ksohtml7252\wps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71650" cy="247650"/>
                  </a:xfrm>
                  <a:prstGeom prst="rect">
                    <a:avLst/>
                  </a:prstGeom>
                  <a:noFill/>
                  <a:ln>
                    <a:noFill/>
                  </a:ln>
                </pic:spPr>
              </pic:pic>
            </a:graphicData>
          </a:graphic>
        </wp:inline>
      </w:drawing>
    </w:r>
    <w:r>
      <w:rPr>
        <w:rFonts w:hint="eastAsia" w:ascii="宋体" w:hAnsi="宋体"/>
      </w:rPr>
      <w:t xml:space="preserve">                                                   </w:t>
    </w:r>
    <w:r>
      <w:rPr>
        <w:rFonts w:hint="eastAsia" w:ascii="黑体" w:hAnsi="黑体" w:eastAsia="黑体"/>
        <w:sz w:val="16"/>
        <w:szCs w:val="16"/>
      </w:rPr>
      <w:t>公开 透明 公平 诚信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both"/>
    </w:pPr>
    <w:r>
      <w:drawing>
        <wp:inline distT="0" distB="0" distL="0" distR="0">
          <wp:extent cx="1771650" cy="247650"/>
          <wp:effectExtent l="0" t="0" r="0" b="0"/>
          <wp:docPr id="2" name="图片 2" descr="C:\Users\ADMINI~1\AppData\Local\Temp\ksohtml72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ksohtml7252\wps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71650" cy="247650"/>
                  </a:xfrm>
                  <a:prstGeom prst="rect">
                    <a:avLst/>
                  </a:prstGeom>
                  <a:noFill/>
                  <a:ln>
                    <a:noFill/>
                  </a:ln>
                </pic:spPr>
              </pic:pic>
            </a:graphicData>
          </a:graphic>
        </wp:inline>
      </w:drawing>
    </w:r>
    <w:r>
      <w:rPr>
        <w:rFonts w:hint="eastAsia" w:ascii="宋体" w:hAnsi="宋体"/>
      </w:rPr>
      <w:t xml:space="preserve">                                                            </w:t>
    </w:r>
    <w:r>
      <w:rPr>
        <w:rFonts w:hint="eastAsia" w:ascii="黑体" w:hAnsi="黑体" w:eastAsia="黑体"/>
        <w:sz w:val="16"/>
        <w:szCs w:val="16"/>
      </w:rPr>
      <w:t>公开 透明 公平 诚信</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tab/>
    </w:r>
    <w:r>
      <w:drawing>
        <wp:inline distT="0" distB="0" distL="0" distR="0">
          <wp:extent cx="1771650" cy="247650"/>
          <wp:effectExtent l="0" t="0" r="0" b="0"/>
          <wp:docPr id="31" name="图片 31" descr="C:\Users\ADMINI~1\AppData\Local\Temp\ksohtml72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1\AppData\Local\Temp\ksohtml7252\wps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71650" cy="247650"/>
                  </a:xfrm>
                  <a:prstGeom prst="rect">
                    <a:avLst/>
                  </a:prstGeom>
                  <a:noFill/>
                  <a:ln>
                    <a:noFill/>
                  </a:ln>
                </pic:spPr>
              </pic:pic>
            </a:graphicData>
          </a:graphic>
        </wp:inline>
      </w:drawing>
    </w:r>
    <w:r>
      <w:rPr>
        <w:rFonts w:hint="eastAsia" w:ascii="宋体" w:hAnsi="宋体"/>
      </w:rPr>
      <w:t xml:space="preserve">                                                        </w:t>
    </w:r>
    <w:r>
      <w:rPr>
        <w:rFonts w:hint="eastAsia" w:ascii="黑体" w:hAnsi="黑体" w:eastAsia="黑体"/>
        <w:sz w:val="16"/>
        <w:szCs w:val="16"/>
      </w:rPr>
      <w:t>公开 透明 公平 诚信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both"/>
    </w:pPr>
    <w:r>
      <w:drawing>
        <wp:inline distT="0" distB="0" distL="0" distR="0">
          <wp:extent cx="1771650" cy="247650"/>
          <wp:effectExtent l="0" t="0" r="0" b="0"/>
          <wp:docPr id="30" name="图片 30" descr="C:\Users\ADMINI~1\AppData\Local\Temp\ksohtml72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1\AppData\Local\Temp\ksohtml7252\wps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71650" cy="247650"/>
                  </a:xfrm>
                  <a:prstGeom prst="rect">
                    <a:avLst/>
                  </a:prstGeom>
                  <a:noFill/>
                  <a:ln>
                    <a:noFill/>
                  </a:ln>
                </pic:spPr>
              </pic:pic>
            </a:graphicData>
          </a:graphic>
        </wp:inline>
      </w:drawing>
    </w:r>
    <w:r>
      <w:rPr>
        <w:rFonts w:hint="eastAsia" w:ascii="宋体" w:hAnsi="宋体"/>
      </w:rPr>
      <w:t xml:space="preserve">                                                        </w:t>
    </w:r>
    <w:r>
      <w:rPr>
        <w:rFonts w:hint="eastAsia" w:ascii="黑体" w:hAnsi="黑体" w:eastAsia="黑体"/>
        <w:sz w:val="16"/>
        <w:szCs w:val="16"/>
      </w:rPr>
      <w:t>公开 透明 公平 诚信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5732C"/>
    <w:multiLevelType w:val="singleLevel"/>
    <w:tmpl w:val="8155732C"/>
    <w:lvl w:ilvl="0" w:tentative="0">
      <w:start w:val="6"/>
      <w:numFmt w:val="chineseCounting"/>
      <w:suff w:val="nothing"/>
      <w:lvlText w:val="%1、"/>
      <w:lvlJc w:val="left"/>
      <w:rPr>
        <w:rFonts w:hint="eastAsia"/>
      </w:rPr>
    </w:lvl>
  </w:abstractNum>
  <w:abstractNum w:abstractNumId="1">
    <w:nsid w:val="ADBE2F1F"/>
    <w:multiLevelType w:val="singleLevel"/>
    <w:tmpl w:val="ADBE2F1F"/>
    <w:lvl w:ilvl="0" w:tentative="0">
      <w:start w:val="4"/>
      <w:numFmt w:val="chineseCounting"/>
      <w:suff w:val="space"/>
      <w:lvlText w:val="第%1章"/>
      <w:lvlJc w:val="left"/>
      <w:rPr>
        <w:rFonts w:hint="eastAsia"/>
      </w:rPr>
    </w:lvl>
  </w:abstractNum>
  <w:abstractNum w:abstractNumId="2">
    <w:nsid w:val="C3A08345"/>
    <w:multiLevelType w:val="singleLevel"/>
    <w:tmpl w:val="C3A08345"/>
    <w:lvl w:ilvl="0" w:tentative="0">
      <w:start w:val="6"/>
      <w:numFmt w:val="decimal"/>
      <w:lvlText w:val="%1."/>
      <w:lvlJc w:val="left"/>
      <w:pPr>
        <w:tabs>
          <w:tab w:val="left" w:pos="312"/>
        </w:tabs>
      </w:pPr>
    </w:lvl>
  </w:abstractNum>
  <w:abstractNum w:abstractNumId="3">
    <w:nsid w:val="0AB123C8"/>
    <w:multiLevelType w:val="singleLevel"/>
    <w:tmpl w:val="0AB123C8"/>
    <w:lvl w:ilvl="0" w:tentative="0">
      <w:start w:val="1"/>
      <w:numFmt w:val="chineseCounting"/>
      <w:suff w:val="nothing"/>
      <w:lvlText w:val="%1、"/>
      <w:lvlJc w:val="left"/>
      <w:rPr>
        <w:rFonts w:hint="eastAsia"/>
      </w:rPr>
    </w:lvl>
  </w:abstractNum>
  <w:abstractNum w:abstractNumId="4">
    <w:nsid w:val="348167CD"/>
    <w:multiLevelType w:val="multilevel"/>
    <w:tmpl w:val="348167CD"/>
    <w:lvl w:ilvl="0" w:tentative="0">
      <w:start w:val="1"/>
      <w:numFmt w:val="japaneseCounting"/>
      <w:lvlText w:val="%1、"/>
      <w:lvlJc w:val="left"/>
      <w:pPr>
        <w:ind w:left="872" w:hanging="45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5">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10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6">
    <w:nsid w:val="587D89C6"/>
    <w:multiLevelType w:val="singleLevel"/>
    <w:tmpl w:val="587D89C6"/>
    <w:lvl w:ilvl="0" w:tentative="0">
      <w:start w:val="1"/>
      <w:numFmt w:val="decimal"/>
      <w:suff w:val="nothing"/>
      <w:lvlText w:val="%1、"/>
      <w:lvlJc w:val="left"/>
    </w:lvl>
  </w:abstractNum>
  <w:abstractNum w:abstractNumId="7">
    <w:nsid w:val="58807131"/>
    <w:multiLevelType w:val="singleLevel"/>
    <w:tmpl w:val="58807131"/>
    <w:lvl w:ilvl="0" w:tentative="0">
      <w:start w:val="1"/>
      <w:numFmt w:val="decimal"/>
      <w:suff w:val="nothing"/>
      <w:lvlText w:val="%1、"/>
      <w:lvlJc w:val="left"/>
    </w:lvl>
  </w:abstractNum>
  <w:abstractNum w:abstractNumId="8">
    <w:nsid w:val="59C07086"/>
    <w:multiLevelType w:val="multilevel"/>
    <w:tmpl w:val="59C07086"/>
    <w:lvl w:ilvl="0" w:tentative="0">
      <w:start w:val="1"/>
      <w:numFmt w:val="decimal"/>
      <w:suff w:val="nothing"/>
      <w:lvlText w:val="%1、"/>
      <w:lvlJc w:val="left"/>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pStyle w:val="6"/>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num w:numId="1">
    <w:abstractNumId w:val="8"/>
  </w:num>
  <w:num w:numId="2">
    <w:abstractNumId w:val="5"/>
  </w:num>
  <w:num w:numId="3">
    <w:abstractNumId w:val="3"/>
  </w:num>
  <w:num w:numId="4">
    <w:abstractNumId w:val="0"/>
  </w:num>
  <w:num w:numId="5">
    <w:abstractNumId w:val="2"/>
  </w:num>
  <w:num w:numId="6">
    <w:abstractNumId w:val="7"/>
  </w:num>
  <w:num w:numId="7">
    <w:abstractNumId w:val="6"/>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199C"/>
    <w:rsid w:val="0001226E"/>
    <w:rsid w:val="0001262E"/>
    <w:rsid w:val="00012C36"/>
    <w:rsid w:val="00017150"/>
    <w:rsid w:val="00022E18"/>
    <w:rsid w:val="00026152"/>
    <w:rsid w:val="00031B04"/>
    <w:rsid w:val="00034908"/>
    <w:rsid w:val="00036751"/>
    <w:rsid w:val="00036EEF"/>
    <w:rsid w:val="00044F1A"/>
    <w:rsid w:val="00051966"/>
    <w:rsid w:val="0005583F"/>
    <w:rsid w:val="000558AA"/>
    <w:rsid w:val="00060755"/>
    <w:rsid w:val="00060BF7"/>
    <w:rsid w:val="00062AA7"/>
    <w:rsid w:val="0006385A"/>
    <w:rsid w:val="00063B2E"/>
    <w:rsid w:val="0006572F"/>
    <w:rsid w:val="000705EB"/>
    <w:rsid w:val="00072E9C"/>
    <w:rsid w:val="00075C5E"/>
    <w:rsid w:val="000760E2"/>
    <w:rsid w:val="00084E2E"/>
    <w:rsid w:val="00085D82"/>
    <w:rsid w:val="0008757B"/>
    <w:rsid w:val="00090339"/>
    <w:rsid w:val="00090B42"/>
    <w:rsid w:val="0009100F"/>
    <w:rsid w:val="000912B1"/>
    <w:rsid w:val="00091BAB"/>
    <w:rsid w:val="00093327"/>
    <w:rsid w:val="00093620"/>
    <w:rsid w:val="00095107"/>
    <w:rsid w:val="000965E1"/>
    <w:rsid w:val="000A133D"/>
    <w:rsid w:val="000A1509"/>
    <w:rsid w:val="000A246A"/>
    <w:rsid w:val="000A2840"/>
    <w:rsid w:val="000A2A8E"/>
    <w:rsid w:val="000A3DA2"/>
    <w:rsid w:val="000A5AC1"/>
    <w:rsid w:val="000A6D45"/>
    <w:rsid w:val="000A70F2"/>
    <w:rsid w:val="000B36E8"/>
    <w:rsid w:val="000B4220"/>
    <w:rsid w:val="000C038C"/>
    <w:rsid w:val="000C297C"/>
    <w:rsid w:val="000C44EF"/>
    <w:rsid w:val="000C5ABD"/>
    <w:rsid w:val="000C6FE5"/>
    <w:rsid w:val="000D22E0"/>
    <w:rsid w:val="000D2B0E"/>
    <w:rsid w:val="000D717B"/>
    <w:rsid w:val="000E06D5"/>
    <w:rsid w:val="000F1224"/>
    <w:rsid w:val="000F7505"/>
    <w:rsid w:val="00100590"/>
    <w:rsid w:val="001040AB"/>
    <w:rsid w:val="001043AF"/>
    <w:rsid w:val="00105C93"/>
    <w:rsid w:val="001068FD"/>
    <w:rsid w:val="001069C1"/>
    <w:rsid w:val="00107A0B"/>
    <w:rsid w:val="00114138"/>
    <w:rsid w:val="0011592E"/>
    <w:rsid w:val="001169EC"/>
    <w:rsid w:val="00120063"/>
    <w:rsid w:val="001300AD"/>
    <w:rsid w:val="001324D0"/>
    <w:rsid w:val="00136C6E"/>
    <w:rsid w:val="0014031B"/>
    <w:rsid w:val="00140525"/>
    <w:rsid w:val="001406AF"/>
    <w:rsid w:val="0014129A"/>
    <w:rsid w:val="001437C2"/>
    <w:rsid w:val="00143C97"/>
    <w:rsid w:val="001440A3"/>
    <w:rsid w:val="001453C0"/>
    <w:rsid w:val="001506A0"/>
    <w:rsid w:val="0015270D"/>
    <w:rsid w:val="001567DA"/>
    <w:rsid w:val="001634E8"/>
    <w:rsid w:val="001635E5"/>
    <w:rsid w:val="0016546D"/>
    <w:rsid w:val="00167BED"/>
    <w:rsid w:val="001706BF"/>
    <w:rsid w:val="00170FCA"/>
    <w:rsid w:val="0017673A"/>
    <w:rsid w:val="00176F15"/>
    <w:rsid w:val="00177C67"/>
    <w:rsid w:val="00181D0E"/>
    <w:rsid w:val="00190666"/>
    <w:rsid w:val="00191066"/>
    <w:rsid w:val="0019289D"/>
    <w:rsid w:val="00194D30"/>
    <w:rsid w:val="00194FCB"/>
    <w:rsid w:val="00197444"/>
    <w:rsid w:val="0019755D"/>
    <w:rsid w:val="001A2D0B"/>
    <w:rsid w:val="001A34F3"/>
    <w:rsid w:val="001A39D8"/>
    <w:rsid w:val="001A6079"/>
    <w:rsid w:val="001A6131"/>
    <w:rsid w:val="001A6996"/>
    <w:rsid w:val="001B171B"/>
    <w:rsid w:val="001B1735"/>
    <w:rsid w:val="001B3EC5"/>
    <w:rsid w:val="001B62A4"/>
    <w:rsid w:val="001B66A5"/>
    <w:rsid w:val="001B6CE3"/>
    <w:rsid w:val="001C03A0"/>
    <w:rsid w:val="001C2626"/>
    <w:rsid w:val="001C6ECA"/>
    <w:rsid w:val="001D39C4"/>
    <w:rsid w:val="001D3E1F"/>
    <w:rsid w:val="001D4748"/>
    <w:rsid w:val="001D4C75"/>
    <w:rsid w:val="001E4CD3"/>
    <w:rsid w:val="001E69D8"/>
    <w:rsid w:val="001E7DDD"/>
    <w:rsid w:val="001F126B"/>
    <w:rsid w:val="001F1980"/>
    <w:rsid w:val="001F1BA6"/>
    <w:rsid w:val="001F521E"/>
    <w:rsid w:val="001F7393"/>
    <w:rsid w:val="001F76E7"/>
    <w:rsid w:val="0020039F"/>
    <w:rsid w:val="00202A19"/>
    <w:rsid w:val="00202FBF"/>
    <w:rsid w:val="00203942"/>
    <w:rsid w:val="00203A74"/>
    <w:rsid w:val="002120E1"/>
    <w:rsid w:val="002129B6"/>
    <w:rsid w:val="0021461E"/>
    <w:rsid w:val="00216109"/>
    <w:rsid w:val="00217312"/>
    <w:rsid w:val="0022001E"/>
    <w:rsid w:val="002224CC"/>
    <w:rsid w:val="00225D67"/>
    <w:rsid w:val="00227213"/>
    <w:rsid w:val="00227396"/>
    <w:rsid w:val="002313A7"/>
    <w:rsid w:val="00232F9A"/>
    <w:rsid w:val="002345F1"/>
    <w:rsid w:val="00234CA2"/>
    <w:rsid w:val="0023577B"/>
    <w:rsid w:val="00237A7C"/>
    <w:rsid w:val="00262ACE"/>
    <w:rsid w:val="002636ED"/>
    <w:rsid w:val="002648FE"/>
    <w:rsid w:val="00266675"/>
    <w:rsid w:val="002703ED"/>
    <w:rsid w:val="002703F8"/>
    <w:rsid w:val="00275EC7"/>
    <w:rsid w:val="00283CB8"/>
    <w:rsid w:val="002967CE"/>
    <w:rsid w:val="00297306"/>
    <w:rsid w:val="00297E79"/>
    <w:rsid w:val="002A3283"/>
    <w:rsid w:val="002A70C2"/>
    <w:rsid w:val="002B0245"/>
    <w:rsid w:val="002B0731"/>
    <w:rsid w:val="002B1E39"/>
    <w:rsid w:val="002B2897"/>
    <w:rsid w:val="002B3F90"/>
    <w:rsid w:val="002B734E"/>
    <w:rsid w:val="002C195F"/>
    <w:rsid w:val="002C1D66"/>
    <w:rsid w:val="002C48FA"/>
    <w:rsid w:val="002D042C"/>
    <w:rsid w:val="002D4ECA"/>
    <w:rsid w:val="002D52B6"/>
    <w:rsid w:val="002E328B"/>
    <w:rsid w:val="002E4062"/>
    <w:rsid w:val="002E649C"/>
    <w:rsid w:val="00301A28"/>
    <w:rsid w:val="003026FD"/>
    <w:rsid w:val="003028D5"/>
    <w:rsid w:val="0030347A"/>
    <w:rsid w:val="00304395"/>
    <w:rsid w:val="00306CA5"/>
    <w:rsid w:val="003070DB"/>
    <w:rsid w:val="003073D8"/>
    <w:rsid w:val="00307829"/>
    <w:rsid w:val="00307A20"/>
    <w:rsid w:val="003115B9"/>
    <w:rsid w:val="00313703"/>
    <w:rsid w:val="00314A71"/>
    <w:rsid w:val="00316B01"/>
    <w:rsid w:val="00316EB4"/>
    <w:rsid w:val="003226A5"/>
    <w:rsid w:val="0032327E"/>
    <w:rsid w:val="0032420A"/>
    <w:rsid w:val="00325209"/>
    <w:rsid w:val="003300C6"/>
    <w:rsid w:val="003300EE"/>
    <w:rsid w:val="0033060A"/>
    <w:rsid w:val="00330FC4"/>
    <w:rsid w:val="00331608"/>
    <w:rsid w:val="00332D89"/>
    <w:rsid w:val="003354C8"/>
    <w:rsid w:val="00336716"/>
    <w:rsid w:val="00340159"/>
    <w:rsid w:val="003451B3"/>
    <w:rsid w:val="003462A7"/>
    <w:rsid w:val="00346B52"/>
    <w:rsid w:val="00347D55"/>
    <w:rsid w:val="00351DDE"/>
    <w:rsid w:val="00354F55"/>
    <w:rsid w:val="00361FF8"/>
    <w:rsid w:val="00363398"/>
    <w:rsid w:val="0036414E"/>
    <w:rsid w:val="003651A1"/>
    <w:rsid w:val="00366AAD"/>
    <w:rsid w:val="00367B8E"/>
    <w:rsid w:val="00370B3A"/>
    <w:rsid w:val="00372A5D"/>
    <w:rsid w:val="003733EE"/>
    <w:rsid w:val="003738E0"/>
    <w:rsid w:val="003739B7"/>
    <w:rsid w:val="00374A00"/>
    <w:rsid w:val="003759E8"/>
    <w:rsid w:val="00376884"/>
    <w:rsid w:val="003818B6"/>
    <w:rsid w:val="00394D48"/>
    <w:rsid w:val="00397B1B"/>
    <w:rsid w:val="00397CB0"/>
    <w:rsid w:val="003A079A"/>
    <w:rsid w:val="003A30C2"/>
    <w:rsid w:val="003A32A6"/>
    <w:rsid w:val="003A3336"/>
    <w:rsid w:val="003A6A7E"/>
    <w:rsid w:val="003B11F4"/>
    <w:rsid w:val="003C1555"/>
    <w:rsid w:val="003C6641"/>
    <w:rsid w:val="003C76C3"/>
    <w:rsid w:val="003D09DE"/>
    <w:rsid w:val="003D2186"/>
    <w:rsid w:val="003D3C37"/>
    <w:rsid w:val="003E03F4"/>
    <w:rsid w:val="003E0BB3"/>
    <w:rsid w:val="003E15DF"/>
    <w:rsid w:val="003E1ABC"/>
    <w:rsid w:val="003F07BA"/>
    <w:rsid w:val="003F68AD"/>
    <w:rsid w:val="00405E3F"/>
    <w:rsid w:val="00411EAE"/>
    <w:rsid w:val="00414662"/>
    <w:rsid w:val="00414E18"/>
    <w:rsid w:val="00415F60"/>
    <w:rsid w:val="00416ED9"/>
    <w:rsid w:val="00417E87"/>
    <w:rsid w:val="004316F4"/>
    <w:rsid w:val="00431D6C"/>
    <w:rsid w:val="00434342"/>
    <w:rsid w:val="00436FFA"/>
    <w:rsid w:val="00437316"/>
    <w:rsid w:val="00437902"/>
    <w:rsid w:val="00445E84"/>
    <w:rsid w:val="004476A3"/>
    <w:rsid w:val="00447BA7"/>
    <w:rsid w:val="00450051"/>
    <w:rsid w:val="0045177D"/>
    <w:rsid w:val="004521B2"/>
    <w:rsid w:val="004557B0"/>
    <w:rsid w:val="00460537"/>
    <w:rsid w:val="004741F2"/>
    <w:rsid w:val="0047571F"/>
    <w:rsid w:val="00482AB7"/>
    <w:rsid w:val="004836E9"/>
    <w:rsid w:val="00493260"/>
    <w:rsid w:val="00493894"/>
    <w:rsid w:val="00494396"/>
    <w:rsid w:val="004A0508"/>
    <w:rsid w:val="004A30DB"/>
    <w:rsid w:val="004A5D0C"/>
    <w:rsid w:val="004A69C4"/>
    <w:rsid w:val="004B0037"/>
    <w:rsid w:val="004B30A1"/>
    <w:rsid w:val="004B4A5A"/>
    <w:rsid w:val="004C42FC"/>
    <w:rsid w:val="004D1262"/>
    <w:rsid w:val="004D13CF"/>
    <w:rsid w:val="004D1906"/>
    <w:rsid w:val="004D288D"/>
    <w:rsid w:val="004D2ED7"/>
    <w:rsid w:val="004D3115"/>
    <w:rsid w:val="004D491F"/>
    <w:rsid w:val="004E26F0"/>
    <w:rsid w:val="004E4B68"/>
    <w:rsid w:val="004E4E93"/>
    <w:rsid w:val="004F037A"/>
    <w:rsid w:val="004F258F"/>
    <w:rsid w:val="004F5CFF"/>
    <w:rsid w:val="00503A89"/>
    <w:rsid w:val="00503DB5"/>
    <w:rsid w:val="0050640E"/>
    <w:rsid w:val="005068F8"/>
    <w:rsid w:val="00506C10"/>
    <w:rsid w:val="00507FA7"/>
    <w:rsid w:val="00512FBE"/>
    <w:rsid w:val="00513636"/>
    <w:rsid w:val="00514469"/>
    <w:rsid w:val="00516CD7"/>
    <w:rsid w:val="005212C2"/>
    <w:rsid w:val="0052133F"/>
    <w:rsid w:val="00521724"/>
    <w:rsid w:val="00521906"/>
    <w:rsid w:val="00522C34"/>
    <w:rsid w:val="0052371A"/>
    <w:rsid w:val="005307ED"/>
    <w:rsid w:val="00534D59"/>
    <w:rsid w:val="00535A0F"/>
    <w:rsid w:val="005414A8"/>
    <w:rsid w:val="00542838"/>
    <w:rsid w:val="00550215"/>
    <w:rsid w:val="00550AED"/>
    <w:rsid w:val="00551D4E"/>
    <w:rsid w:val="00553CAF"/>
    <w:rsid w:val="00556240"/>
    <w:rsid w:val="005568FE"/>
    <w:rsid w:val="00561BDA"/>
    <w:rsid w:val="00562C92"/>
    <w:rsid w:val="0056515B"/>
    <w:rsid w:val="005717CE"/>
    <w:rsid w:val="00572247"/>
    <w:rsid w:val="005724DC"/>
    <w:rsid w:val="00572826"/>
    <w:rsid w:val="005756B7"/>
    <w:rsid w:val="00575FAE"/>
    <w:rsid w:val="00576A9F"/>
    <w:rsid w:val="00580755"/>
    <w:rsid w:val="00583F6C"/>
    <w:rsid w:val="00584A71"/>
    <w:rsid w:val="00586BFF"/>
    <w:rsid w:val="00587EDE"/>
    <w:rsid w:val="005915B1"/>
    <w:rsid w:val="005929D6"/>
    <w:rsid w:val="0059308F"/>
    <w:rsid w:val="00593607"/>
    <w:rsid w:val="00594789"/>
    <w:rsid w:val="00594AC4"/>
    <w:rsid w:val="005962C4"/>
    <w:rsid w:val="005A2C8E"/>
    <w:rsid w:val="005A3B30"/>
    <w:rsid w:val="005A5D20"/>
    <w:rsid w:val="005A6B70"/>
    <w:rsid w:val="005A7E31"/>
    <w:rsid w:val="005B2A38"/>
    <w:rsid w:val="005B383D"/>
    <w:rsid w:val="005B5331"/>
    <w:rsid w:val="005B547C"/>
    <w:rsid w:val="005C1739"/>
    <w:rsid w:val="005C461A"/>
    <w:rsid w:val="005C5F85"/>
    <w:rsid w:val="005C6399"/>
    <w:rsid w:val="005C679A"/>
    <w:rsid w:val="005C7DD5"/>
    <w:rsid w:val="005D07BF"/>
    <w:rsid w:val="005D2247"/>
    <w:rsid w:val="005D2D57"/>
    <w:rsid w:val="005D3A0A"/>
    <w:rsid w:val="005D7308"/>
    <w:rsid w:val="005E112B"/>
    <w:rsid w:val="005E15C7"/>
    <w:rsid w:val="005E25EC"/>
    <w:rsid w:val="005E4EBE"/>
    <w:rsid w:val="005E602F"/>
    <w:rsid w:val="005E6359"/>
    <w:rsid w:val="005E709D"/>
    <w:rsid w:val="005F6D60"/>
    <w:rsid w:val="006005C1"/>
    <w:rsid w:val="0060236E"/>
    <w:rsid w:val="0060494D"/>
    <w:rsid w:val="00605736"/>
    <w:rsid w:val="006076C7"/>
    <w:rsid w:val="00613F2B"/>
    <w:rsid w:val="00614A60"/>
    <w:rsid w:val="00614DC0"/>
    <w:rsid w:val="00615BA3"/>
    <w:rsid w:val="00615BEE"/>
    <w:rsid w:val="0061709A"/>
    <w:rsid w:val="00621550"/>
    <w:rsid w:val="006243C6"/>
    <w:rsid w:val="00627859"/>
    <w:rsid w:val="006310EB"/>
    <w:rsid w:val="00632B8B"/>
    <w:rsid w:val="00633309"/>
    <w:rsid w:val="00634B10"/>
    <w:rsid w:val="006363E3"/>
    <w:rsid w:val="00636410"/>
    <w:rsid w:val="00640A83"/>
    <w:rsid w:val="0064197F"/>
    <w:rsid w:val="0065034A"/>
    <w:rsid w:val="00650AD0"/>
    <w:rsid w:val="00653EF4"/>
    <w:rsid w:val="006568FB"/>
    <w:rsid w:val="0066396F"/>
    <w:rsid w:val="0066536E"/>
    <w:rsid w:val="00665C6C"/>
    <w:rsid w:val="00670317"/>
    <w:rsid w:val="00670C5C"/>
    <w:rsid w:val="006728A0"/>
    <w:rsid w:val="00672C40"/>
    <w:rsid w:val="00680D58"/>
    <w:rsid w:val="006821B1"/>
    <w:rsid w:val="0068412C"/>
    <w:rsid w:val="00685341"/>
    <w:rsid w:val="006853DD"/>
    <w:rsid w:val="00690CCA"/>
    <w:rsid w:val="006940AD"/>
    <w:rsid w:val="00695F95"/>
    <w:rsid w:val="00696FA3"/>
    <w:rsid w:val="00697C2D"/>
    <w:rsid w:val="006A0A85"/>
    <w:rsid w:val="006A4F7D"/>
    <w:rsid w:val="006A5099"/>
    <w:rsid w:val="006A64E7"/>
    <w:rsid w:val="006B1BDD"/>
    <w:rsid w:val="006B4813"/>
    <w:rsid w:val="006B72C5"/>
    <w:rsid w:val="006B7484"/>
    <w:rsid w:val="006C34CB"/>
    <w:rsid w:val="006C5A79"/>
    <w:rsid w:val="006D76E4"/>
    <w:rsid w:val="006E0A2F"/>
    <w:rsid w:val="006E0B95"/>
    <w:rsid w:val="006E2549"/>
    <w:rsid w:val="006E4C50"/>
    <w:rsid w:val="006E57A0"/>
    <w:rsid w:val="006E6822"/>
    <w:rsid w:val="006F1ACB"/>
    <w:rsid w:val="006F2FC8"/>
    <w:rsid w:val="006F52E3"/>
    <w:rsid w:val="006F5B4B"/>
    <w:rsid w:val="006F6F3F"/>
    <w:rsid w:val="007014F1"/>
    <w:rsid w:val="00702FC0"/>
    <w:rsid w:val="00704120"/>
    <w:rsid w:val="00704D34"/>
    <w:rsid w:val="00706260"/>
    <w:rsid w:val="0070720E"/>
    <w:rsid w:val="00707412"/>
    <w:rsid w:val="007171DF"/>
    <w:rsid w:val="007173C5"/>
    <w:rsid w:val="0071749F"/>
    <w:rsid w:val="00720623"/>
    <w:rsid w:val="00721BDE"/>
    <w:rsid w:val="00722565"/>
    <w:rsid w:val="007228FD"/>
    <w:rsid w:val="00727510"/>
    <w:rsid w:val="00727E31"/>
    <w:rsid w:val="00731235"/>
    <w:rsid w:val="00732B25"/>
    <w:rsid w:val="007343BC"/>
    <w:rsid w:val="00737C32"/>
    <w:rsid w:val="00742246"/>
    <w:rsid w:val="0075240E"/>
    <w:rsid w:val="00757214"/>
    <w:rsid w:val="00757FC3"/>
    <w:rsid w:val="00760C67"/>
    <w:rsid w:val="00764E89"/>
    <w:rsid w:val="007716C1"/>
    <w:rsid w:val="00771E82"/>
    <w:rsid w:val="00774AB9"/>
    <w:rsid w:val="00775E7A"/>
    <w:rsid w:val="00776BF1"/>
    <w:rsid w:val="0078341B"/>
    <w:rsid w:val="007925B1"/>
    <w:rsid w:val="007935F3"/>
    <w:rsid w:val="0079593C"/>
    <w:rsid w:val="007A18B5"/>
    <w:rsid w:val="007A5D3E"/>
    <w:rsid w:val="007A683D"/>
    <w:rsid w:val="007A6B50"/>
    <w:rsid w:val="007A6B90"/>
    <w:rsid w:val="007B008A"/>
    <w:rsid w:val="007B6747"/>
    <w:rsid w:val="007C4FFF"/>
    <w:rsid w:val="007C62A2"/>
    <w:rsid w:val="007C7FFE"/>
    <w:rsid w:val="007D0FB9"/>
    <w:rsid w:val="007D1567"/>
    <w:rsid w:val="007D4C01"/>
    <w:rsid w:val="007D7C0B"/>
    <w:rsid w:val="007E2E12"/>
    <w:rsid w:val="007E4426"/>
    <w:rsid w:val="007E5745"/>
    <w:rsid w:val="007E61D1"/>
    <w:rsid w:val="007F2892"/>
    <w:rsid w:val="007F4A47"/>
    <w:rsid w:val="007F4B05"/>
    <w:rsid w:val="007F5172"/>
    <w:rsid w:val="00800D11"/>
    <w:rsid w:val="00804334"/>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0F51"/>
    <w:rsid w:val="00835F45"/>
    <w:rsid w:val="00840853"/>
    <w:rsid w:val="0084215B"/>
    <w:rsid w:val="0084260F"/>
    <w:rsid w:val="00842B97"/>
    <w:rsid w:val="00850BCA"/>
    <w:rsid w:val="00850CA7"/>
    <w:rsid w:val="00851FCF"/>
    <w:rsid w:val="00852BD7"/>
    <w:rsid w:val="00855FB8"/>
    <w:rsid w:val="00856530"/>
    <w:rsid w:val="00860720"/>
    <w:rsid w:val="00863B65"/>
    <w:rsid w:val="00863FD7"/>
    <w:rsid w:val="00864238"/>
    <w:rsid w:val="00873C23"/>
    <w:rsid w:val="00876DBD"/>
    <w:rsid w:val="0088578D"/>
    <w:rsid w:val="00885B24"/>
    <w:rsid w:val="008915CC"/>
    <w:rsid w:val="0089237C"/>
    <w:rsid w:val="008934C6"/>
    <w:rsid w:val="00893DAE"/>
    <w:rsid w:val="008A0B0C"/>
    <w:rsid w:val="008A2AF9"/>
    <w:rsid w:val="008A3E70"/>
    <w:rsid w:val="008B1E46"/>
    <w:rsid w:val="008B5C9C"/>
    <w:rsid w:val="008B61A4"/>
    <w:rsid w:val="008C059C"/>
    <w:rsid w:val="008D1ECA"/>
    <w:rsid w:val="008D6A9F"/>
    <w:rsid w:val="008E02F9"/>
    <w:rsid w:val="008E349C"/>
    <w:rsid w:val="008E36B3"/>
    <w:rsid w:val="008E489D"/>
    <w:rsid w:val="008E4AB1"/>
    <w:rsid w:val="008E5771"/>
    <w:rsid w:val="008F0FFB"/>
    <w:rsid w:val="008F1DDF"/>
    <w:rsid w:val="008F665D"/>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B05"/>
    <w:rsid w:val="00916F97"/>
    <w:rsid w:val="00924045"/>
    <w:rsid w:val="009251C5"/>
    <w:rsid w:val="009257B9"/>
    <w:rsid w:val="00925A35"/>
    <w:rsid w:val="00931E9C"/>
    <w:rsid w:val="009326CC"/>
    <w:rsid w:val="00935B9F"/>
    <w:rsid w:val="00940945"/>
    <w:rsid w:val="0094114F"/>
    <w:rsid w:val="0094344D"/>
    <w:rsid w:val="00944128"/>
    <w:rsid w:val="00944604"/>
    <w:rsid w:val="00944F84"/>
    <w:rsid w:val="00947BCD"/>
    <w:rsid w:val="00953456"/>
    <w:rsid w:val="0095491F"/>
    <w:rsid w:val="00957A6B"/>
    <w:rsid w:val="009611BF"/>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6FE"/>
    <w:rsid w:val="009979FD"/>
    <w:rsid w:val="00997B29"/>
    <w:rsid w:val="009A0A72"/>
    <w:rsid w:val="009A0B08"/>
    <w:rsid w:val="009A38FC"/>
    <w:rsid w:val="009A3D29"/>
    <w:rsid w:val="009B1577"/>
    <w:rsid w:val="009B3F19"/>
    <w:rsid w:val="009B62F2"/>
    <w:rsid w:val="009B6D5B"/>
    <w:rsid w:val="009B7BA3"/>
    <w:rsid w:val="009C165E"/>
    <w:rsid w:val="009C23E6"/>
    <w:rsid w:val="009C524C"/>
    <w:rsid w:val="009C613A"/>
    <w:rsid w:val="009C6271"/>
    <w:rsid w:val="009C7795"/>
    <w:rsid w:val="009D1FD5"/>
    <w:rsid w:val="009D5489"/>
    <w:rsid w:val="009D60C2"/>
    <w:rsid w:val="009E31BE"/>
    <w:rsid w:val="009E4BD4"/>
    <w:rsid w:val="009E5664"/>
    <w:rsid w:val="009E66AF"/>
    <w:rsid w:val="009F0956"/>
    <w:rsid w:val="009F0D87"/>
    <w:rsid w:val="009F2BDF"/>
    <w:rsid w:val="009F4AFF"/>
    <w:rsid w:val="009F72AD"/>
    <w:rsid w:val="00A00504"/>
    <w:rsid w:val="00A01D50"/>
    <w:rsid w:val="00A02ADE"/>
    <w:rsid w:val="00A0428C"/>
    <w:rsid w:val="00A0608C"/>
    <w:rsid w:val="00A12EDC"/>
    <w:rsid w:val="00A14C10"/>
    <w:rsid w:val="00A15F01"/>
    <w:rsid w:val="00A20D61"/>
    <w:rsid w:val="00A214F2"/>
    <w:rsid w:val="00A23584"/>
    <w:rsid w:val="00A30A91"/>
    <w:rsid w:val="00A30D68"/>
    <w:rsid w:val="00A3404F"/>
    <w:rsid w:val="00A34123"/>
    <w:rsid w:val="00A41976"/>
    <w:rsid w:val="00A43E09"/>
    <w:rsid w:val="00A44B42"/>
    <w:rsid w:val="00A44C13"/>
    <w:rsid w:val="00A51597"/>
    <w:rsid w:val="00A52300"/>
    <w:rsid w:val="00A53201"/>
    <w:rsid w:val="00A55B4C"/>
    <w:rsid w:val="00A56826"/>
    <w:rsid w:val="00A57FAB"/>
    <w:rsid w:val="00A61AC1"/>
    <w:rsid w:val="00A63261"/>
    <w:rsid w:val="00A632E6"/>
    <w:rsid w:val="00A64A7B"/>
    <w:rsid w:val="00A65329"/>
    <w:rsid w:val="00A66FE3"/>
    <w:rsid w:val="00A72A4A"/>
    <w:rsid w:val="00A73275"/>
    <w:rsid w:val="00A73AA3"/>
    <w:rsid w:val="00A73B70"/>
    <w:rsid w:val="00A73C7A"/>
    <w:rsid w:val="00A75066"/>
    <w:rsid w:val="00A77BAE"/>
    <w:rsid w:val="00A82873"/>
    <w:rsid w:val="00A82D03"/>
    <w:rsid w:val="00A86910"/>
    <w:rsid w:val="00A95415"/>
    <w:rsid w:val="00A96DDE"/>
    <w:rsid w:val="00AA07C9"/>
    <w:rsid w:val="00AA1C81"/>
    <w:rsid w:val="00AA20E1"/>
    <w:rsid w:val="00AA3393"/>
    <w:rsid w:val="00AA6433"/>
    <w:rsid w:val="00AB0302"/>
    <w:rsid w:val="00AB40B8"/>
    <w:rsid w:val="00AB7BF3"/>
    <w:rsid w:val="00AC1900"/>
    <w:rsid w:val="00AC3CD1"/>
    <w:rsid w:val="00AC3E85"/>
    <w:rsid w:val="00AC5321"/>
    <w:rsid w:val="00AC6736"/>
    <w:rsid w:val="00AD0386"/>
    <w:rsid w:val="00AD0A60"/>
    <w:rsid w:val="00AD35B6"/>
    <w:rsid w:val="00AD40EC"/>
    <w:rsid w:val="00AD76EC"/>
    <w:rsid w:val="00AD7D41"/>
    <w:rsid w:val="00AE0F63"/>
    <w:rsid w:val="00AE310B"/>
    <w:rsid w:val="00AE3136"/>
    <w:rsid w:val="00AE5163"/>
    <w:rsid w:val="00AE55DC"/>
    <w:rsid w:val="00AF220B"/>
    <w:rsid w:val="00AF36EF"/>
    <w:rsid w:val="00AF5EB2"/>
    <w:rsid w:val="00B122D1"/>
    <w:rsid w:val="00B150CC"/>
    <w:rsid w:val="00B15BC4"/>
    <w:rsid w:val="00B2007F"/>
    <w:rsid w:val="00B21360"/>
    <w:rsid w:val="00B238C8"/>
    <w:rsid w:val="00B243DE"/>
    <w:rsid w:val="00B253EC"/>
    <w:rsid w:val="00B26D4A"/>
    <w:rsid w:val="00B27E55"/>
    <w:rsid w:val="00B30B38"/>
    <w:rsid w:val="00B4327E"/>
    <w:rsid w:val="00B50900"/>
    <w:rsid w:val="00B5278E"/>
    <w:rsid w:val="00B52A1D"/>
    <w:rsid w:val="00B54097"/>
    <w:rsid w:val="00B55FA0"/>
    <w:rsid w:val="00B57B8A"/>
    <w:rsid w:val="00B67AD7"/>
    <w:rsid w:val="00B738FB"/>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0826"/>
    <w:rsid w:val="00BB3849"/>
    <w:rsid w:val="00BB5969"/>
    <w:rsid w:val="00BC1700"/>
    <w:rsid w:val="00BC2510"/>
    <w:rsid w:val="00BC3689"/>
    <w:rsid w:val="00BC5BF2"/>
    <w:rsid w:val="00BC5FFF"/>
    <w:rsid w:val="00BC613E"/>
    <w:rsid w:val="00BD577F"/>
    <w:rsid w:val="00BE0138"/>
    <w:rsid w:val="00BE71D3"/>
    <w:rsid w:val="00BF1AA7"/>
    <w:rsid w:val="00BF1C57"/>
    <w:rsid w:val="00BF4179"/>
    <w:rsid w:val="00BF596E"/>
    <w:rsid w:val="00C00746"/>
    <w:rsid w:val="00C017FA"/>
    <w:rsid w:val="00C01ECC"/>
    <w:rsid w:val="00C027CC"/>
    <w:rsid w:val="00C049EB"/>
    <w:rsid w:val="00C06829"/>
    <w:rsid w:val="00C076EC"/>
    <w:rsid w:val="00C079D9"/>
    <w:rsid w:val="00C100AD"/>
    <w:rsid w:val="00C1509D"/>
    <w:rsid w:val="00C16C1B"/>
    <w:rsid w:val="00C177A5"/>
    <w:rsid w:val="00C21D6F"/>
    <w:rsid w:val="00C234D2"/>
    <w:rsid w:val="00C2388F"/>
    <w:rsid w:val="00C24F10"/>
    <w:rsid w:val="00C251CE"/>
    <w:rsid w:val="00C26293"/>
    <w:rsid w:val="00C27400"/>
    <w:rsid w:val="00C31163"/>
    <w:rsid w:val="00C351E4"/>
    <w:rsid w:val="00C35DF4"/>
    <w:rsid w:val="00C36C73"/>
    <w:rsid w:val="00C37EAD"/>
    <w:rsid w:val="00C421B6"/>
    <w:rsid w:val="00C45703"/>
    <w:rsid w:val="00C5022C"/>
    <w:rsid w:val="00C508C1"/>
    <w:rsid w:val="00C51E55"/>
    <w:rsid w:val="00C52CC6"/>
    <w:rsid w:val="00C54028"/>
    <w:rsid w:val="00C54267"/>
    <w:rsid w:val="00C573F3"/>
    <w:rsid w:val="00C63A38"/>
    <w:rsid w:val="00C63D4F"/>
    <w:rsid w:val="00C71858"/>
    <w:rsid w:val="00C72D09"/>
    <w:rsid w:val="00C749BA"/>
    <w:rsid w:val="00C770D0"/>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D4766"/>
    <w:rsid w:val="00CE02A4"/>
    <w:rsid w:val="00CE1B22"/>
    <w:rsid w:val="00CE4310"/>
    <w:rsid w:val="00CE4D93"/>
    <w:rsid w:val="00CE6CCF"/>
    <w:rsid w:val="00CF14CB"/>
    <w:rsid w:val="00CF1560"/>
    <w:rsid w:val="00CF27A1"/>
    <w:rsid w:val="00CF3CD2"/>
    <w:rsid w:val="00CF4580"/>
    <w:rsid w:val="00D000EC"/>
    <w:rsid w:val="00D01A9B"/>
    <w:rsid w:val="00D04761"/>
    <w:rsid w:val="00D05321"/>
    <w:rsid w:val="00D12E04"/>
    <w:rsid w:val="00D13549"/>
    <w:rsid w:val="00D1590C"/>
    <w:rsid w:val="00D161C7"/>
    <w:rsid w:val="00D175EB"/>
    <w:rsid w:val="00D205DD"/>
    <w:rsid w:val="00D2353A"/>
    <w:rsid w:val="00D26E6D"/>
    <w:rsid w:val="00D2749D"/>
    <w:rsid w:val="00D316C7"/>
    <w:rsid w:val="00D3319D"/>
    <w:rsid w:val="00D35E79"/>
    <w:rsid w:val="00D42338"/>
    <w:rsid w:val="00D42F50"/>
    <w:rsid w:val="00D453B3"/>
    <w:rsid w:val="00D457E7"/>
    <w:rsid w:val="00D52173"/>
    <w:rsid w:val="00D52A47"/>
    <w:rsid w:val="00D53546"/>
    <w:rsid w:val="00D55027"/>
    <w:rsid w:val="00D551CA"/>
    <w:rsid w:val="00D614AD"/>
    <w:rsid w:val="00D63995"/>
    <w:rsid w:val="00D67157"/>
    <w:rsid w:val="00D70335"/>
    <w:rsid w:val="00D7091B"/>
    <w:rsid w:val="00D731CA"/>
    <w:rsid w:val="00D73B4C"/>
    <w:rsid w:val="00D7441E"/>
    <w:rsid w:val="00D76165"/>
    <w:rsid w:val="00D773C7"/>
    <w:rsid w:val="00D805D4"/>
    <w:rsid w:val="00D80944"/>
    <w:rsid w:val="00D80E0A"/>
    <w:rsid w:val="00D82776"/>
    <w:rsid w:val="00D846B8"/>
    <w:rsid w:val="00D868C4"/>
    <w:rsid w:val="00D87BCF"/>
    <w:rsid w:val="00D90F59"/>
    <w:rsid w:val="00D9143C"/>
    <w:rsid w:val="00D91D78"/>
    <w:rsid w:val="00D977CB"/>
    <w:rsid w:val="00DA1E5D"/>
    <w:rsid w:val="00DA22FB"/>
    <w:rsid w:val="00DA4A29"/>
    <w:rsid w:val="00DA51BA"/>
    <w:rsid w:val="00DA6C14"/>
    <w:rsid w:val="00DA71C9"/>
    <w:rsid w:val="00DC09C7"/>
    <w:rsid w:val="00DC103C"/>
    <w:rsid w:val="00DC1A76"/>
    <w:rsid w:val="00DC38DC"/>
    <w:rsid w:val="00DC4D8C"/>
    <w:rsid w:val="00DD4C4F"/>
    <w:rsid w:val="00DD5BDA"/>
    <w:rsid w:val="00DD773B"/>
    <w:rsid w:val="00DE25B3"/>
    <w:rsid w:val="00DE3088"/>
    <w:rsid w:val="00DE3B1C"/>
    <w:rsid w:val="00DE40E4"/>
    <w:rsid w:val="00DE44FF"/>
    <w:rsid w:val="00DE4D28"/>
    <w:rsid w:val="00DE5C62"/>
    <w:rsid w:val="00DF6339"/>
    <w:rsid w:val="00DF634F"/>
    <w:rsid w:val="00E01326"/>
    <w:rsid w:val="00E01F8E"/>
    <w:rsid w:val="00E04587"/>
    <w:rsid w:val="00E04E6B"/>
    <w:rsid w:val="00E04F29"/>
    <w:rsid w:val="00E04FAA"/>
    <w:rsid w:val="00E05FC4"/>
    <w:rsid w:val="00E10006"/>
    <w:rsid w:val="00E100A1"/>
    <w:rsid w:val="00E14F06"/>
    <w:rsid w:val="00E16E9A"/>
    <w:rsid w:val="00E17D3C"/>
    <w:rsid w:val="00E219AE"/>
    <w:rsid w:val="00E21EEB"/>
    <w:rsid w:val="00E2284A"/>
    <w:rsid w:val="00E22F39"/>
    <w:rsid w:val="00E24FAF"/>
    <w:rsid w:val="00E275F6"/>
    <w:rsid w:val="00E310A1"/>
    <w:rsid w:val="00E35AE6"/>
    <w:rsid w:val="00E36411"/>
    <w:rsid w:val="00E36E25"/>
    <w:rsid w:val="00E44350"/>
    <w:rsid w:val="00E46283"/>
    <w:rsid w:val="00E47B16"/>
    <w:rsid w:val="00E51527"/>
    <w:rsid w:val="00E51D6C"/>
    <w:rsid w:val="00E51E5E"/>
    <w:rsid w:val="00E52017"/>
    <w:rsid w:val="00E55CA7"/>
    <w:rsid w:val="00E55E19"/>
    <w:rsid w:val="00E61C9F"/>
    <w:rsid w:val="00E62188"/>
    <w:rsid w:val="00E6303A"/>
    <w:rsid w:val="00E64F68"/>
    <w:rsid w:val="00E67189"/>
    <w:rsid w:val="00E67D91"/>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3DFF"/>
    <w:rsid w:val="00EA4F56"/>
    <w:rsid w:val="00EB54DE"/>
    <w:rsid w:val="00EB6418"/>
    <w:rsid w:val="00EB68DE"/>
    <w:rsid w:val="00EB6A49"/>
    <w:rsid w:val="00EB77BF"/>
    <w:rsid w:val="00EC166C"/>
    <w:rsid w:val="00EC4AC3"/>
    <w:rsid w:val="00ED46D0"/>
    <w:rsid w:val="00ED4D98"/>
    <w:rsid w:val="00ED661A"/>
    <w:rsid w:val="00EE0EE7"/>
    <w:rsid w:val="00EE2410"/>
    <w:rsid w:val="00EE602D"/>
    <w:rsid w:val="00EF577B"/>
    <w:rsid w:val="00F148EA"/>
    <w:rsid w:val="00F24379"/>
    <w:rsid w:val="00F24508"/>
    <w:rsid w:val="00F2458F"/>
    <w:rsid w:val="00F269E0"/>
    <w:rsid w:val="00F26FBC"/>
    <w:rsid w:val="00F275DE"/>
    <w:rsid w:val="00F279C4"/>
    <w:rsid w:val="00F308BA"/>
    <w:rsid w:val="00F32C53"/>
    <w:rsid w:val="00F3326A"/>
    <w:rsid w:val="00F3333D"/>
    <w:rsid w:val="00F34D39"/>
    <w:rsid w:val="00F42037"/>
    <w:rsid w:val="00F42830"/>
    <w:rsid w:val="00F43258"/>
    <w:rsid w:val="00F43C59"/>
    <w:rsid w:val="00F51FDE"/>
    <w:rsid w:val="00F529B1"/>
    <w:rsid w:val="00F55083"/>
    <w:rsid w:val="00F60555"/>
    <w:rsid w:val="00F63291"/>
    <w:rsid w:val="00F6393F"/>
    <w:rsid w:val="00F64880"/>
    <w:rsid w:val="00F67E3B"/>
    <w:rsid w:val="00F74358"/>
    <w:rsid w:val="00F74FE4"/>
    <w:rsid w:val="00F75689"/>
    <w:rsid w:val="00F75C07"/>
    <w:rsid w:val="00F75D5E"/>
    <w:rsid w:val="00F77320"/>
    <w:rsid w:val="00F81882"/>
    <w:rsid w:val="00F85BBF"/>
    <w:rsid w:val="00F91DC6"/>
    <w:rsid w:val="00F93F50"/>
    <w:rsid w:val="00F94479"/>
    <w:rsid w:val="00F94BCF"/>
    <w:rsid w:val="00F95A37"/>
    <w:rsid w:val="00F95AC4"/>
    <w:rsid w:val="00FA3199"/>
    <w:rsid w:val="00FA3562"/>
    <w:rsid w:val="00FA3653"/>
    <w:rsid w:val="00FA4264"/>
    <w:rsid w:val="00FB0145"/>
    <w:rsid w:val="00FB01D1"/>
    <w:rsid w:val="00FB6C34"/>
    <w:rsid w:val="00FB7E82"/>
    <w:rsid w:val="00FC0553"/>
    <w:rsid w:val="00FC0FBF"/>
    <w:rsid w:val="00FC1AB5"/>
    <w:rsid w:val="00FC2AD1"/>
    <w:rsid w:val="00FC3E7F"/>
    <w:rsid w:val="00FC4006"/>
    <w:rsid w:val="00FC51D7"/>
    <w:rsid w:val="00FC5976"/>
    <w:rsid w:val="00FC5AC5"/>
    <w:rsid w:val="00FC6E32"/>
    <w:rsid w:val="00FD14A7"/>
    <w:rsid w:val="00FD2977"/>
    <w:rsid w:val="00FD32A4"/>
    <w:rsid w:val="00FD70DB"/>
    <w:rsid w:val="00FD787E"/>
    <w:rsid w:val="00FE0947"/>
    <w:rsid w:val="00FE3057"/>
    <w:rsid w:val="00FE31E8"/>
    <w:rsid w:val="00FE45BA"/>
    <w:rsid w:val="00FE5A31"/>
    <w:rsid w:val="00FE6AA7"/>
    <w:rsid w:val="00FE6B0B"/>
    <w:rsid w:val="00FF1086"/>
    <w:rsid w:val="00FF1FF8"/>
    <w:rsid w:val="00FF4CFC"/>
    <w:rsid w:val="00FF658A"/>
    <w:rsid w:val="00FF78B2"/>
    <w:rsid w:val="00FF7B67"/>
    <w:rsid w:val="010C15E7"/>
    <w:rsid w:val="011A1C3B"/>
    <w:rsid w:val="01270413"/>
    <w:rsid w:val="016B3CA6"/>
    <w:rsid w:val="01CD7511"/>
    <w:rsid w:val="01FE5B00"/>
    <w:rsid w:val="022E6D4C"/>
    <w:rsid w:val="02317836"/>
    <w:rsid w:val="02430B2B"/>
    <w:rsid w:val="02653EC1"/>
    <w:rsid w:val="02A72977"/>
    <w:rsid w:val="02E836CB"/>
    <w:rsid w:val="03386882"/>
    <w:rsid w:val="03465405"/>
    <w:rsid w:val="03AF6C1D"/>
    <w:rsid w:val="03C93DE4"/>
    <w:rsid w:val="03CF276F"/>
    <w:rsid w:val="03FE7515"/>
    <w:rsid w:val="04104985"/>
    <w:rsid w:val="04B812D7"/>
    <w:rsid w:val="04D50B21"/>
    <w:rsid w:val="05052E25"/>
    <w:rsid w:val="05177E16"/>
    <w:rsid w:val="05DD0FD8"/>
    <w:rsid w:val="062126EF"/>
    <w:rsid w:val="066104EC"/>
    <w:rsid w:val="0662250D"/>
    <w:rsid w:val="069756C9"/>
    <w:rsid w:val="06EA41D2"/>
    <w:rsid w:val="06F82B78"/>
    <w:rsid w:val="072E42E3"/>
    <w:rsid w:val="07D729CE"/>
    <w:rsid w:val="07EF1F6E"/>
    <w:rsid w:val="08404482"/>
    <w:rsid w:val="0968446C"/>
    <w:rsid w:val="09880AD8"/>
    <w:rsid w:val="0A0B6525"/>
    <w:rsid w:val="0A0C02AE"/>
    <w:rsid w:val="0AA5328F"/>
    <w:rsid w:val="0B134589"/>
    <w:rsid w:val="0B4716D2"/>
    <w:rsid w:val="0B7E48FD"/>
    <w:rsid w:val="0BFB0153"/>
    <w:rsid w:val="0C2D260D"/>
    <w:rsid w:val="0C2E138F"/>
    <w:rsid w:val="0CA00E3D"/>
    <w:rsid w:val="0CFC2EE8"/>
    <w:rsid w:val="0D417D41"/>
    <w:rsid w:val="0E2F068D"/>
    <w:rsid w:val="0E545AFA"/>
    <w:rsid w:val="0E6506F5"/>
    <w:rsid w:val="0E7B6916"/>
    <w:rsid w:val="0EB47F78"/>
    <w:rsid w:val="0F1D3E7F"/>
    <w:rsid w:val="0F416241"/>
    <w:rsid w:val="0F4628FA"/>
    <w:rsid w:val="0F594D76"/>
    <w:rsid w:val="0F9B2B5E"/>
    <w:rsid w:val="0FB34829"/>
    <w:rsid w:val="0FD13773"/>
    <w:rsid w:val="0FF24AF1"/>
    <w:rsid w:val="105B51DC"/>
    <w:rsid w:val="10B02E63"/>
    <w:rsid w:val="10C14D02"/>
    <w:rsid w:val="11204055"/>
    <w:rsid w:val="1186624C"/>
    <w:rsid w:val="11C22947"/>
    <w:rsid w:val="11C96F3F"/>
    <w:rsid w:val="12E26741"/>
    <w:rsid w:val="12F121FA"/>
    <w:rsid w:val="1308440F"/>
    <w:rsid w:val="13404493"/>
    <w:rsid w:val="135607B7"/>
    <w:rsid w:val="13623B54"/>
    <w:rsid w:val="13913B65"/>
    <w:rsid w:val="13B6593C"/>
    <w:rsid w:val="13BB5EEE"/>
    <w:rsid w:val="13EA3D7B"/>
    <w:rsid w:val="143E78AD"/>
    <w:rsid w:val="14537884"/>
    <w:rsid w:val="14593BBF"/>
    <w:rsid w:val="14B538EB"/>
    <w:rsid w:val="14D56C28"/>
    <w:rsid w:val="151C338A"/>
    <w:rsid w:val="1565002B"/>
    <w:rsid w:val="157C507E"/>
    <w:rsid w:val="158730B6"/>
    <w:rsid w:val="15B378D8"/>
    <w:rsid w:val="15E45DCF"/>
    <w:rsid w:val="164973BC"/>
    <w:rsid w:val="164F3FE1"/>
    <w:rsid w:val="16D229E9"/>
    <w:rsid w:val="173D66F2"/>
    <w:rsid w:val="17430389"/>
    <w:rsid w:val="174E5B57"/>
    <w:rsid w:val="175C0959"/>
    <w:rsid w:val="177941D0"/>
    <w:rsid w:val="17DC532F"/>
    <w:rsid w:val="17EF566D"/>
    <w:rsid w:val="18056EA1"/>
    <w:rsid w:val="18500900"/>
    <w:rsid w:val="18800267"/>
    <w:rsid w:val="18A40B00"/>
    <w:rsid w:val="18E32688"/>
    <w:rsid w:val="19201D08"/>
    <w:rsid w:val="19731B79"/>
    <w:rsid w:val="198122A9"/>
    <w:rsid w:val="19CB6985"/>
    <w:rsid w:val="1A024AC4"/>
    <w:rsid w:val="1A2E5272"/>
    <w:rsid w:val="1A303037"/>
    <w:rsid w:val="1AA57B5F"/>
    <w:rsid w:val="1B260840"/>
    <w:rsid w:val="1B4D1584"/>
    <w:rsid w:val="1B8E24F5"/>
    <w:rsid w:val="1BC059B5"/>
    <w:rsid w:val="1BE761D2"/>
    <w:rsid w:val="1BF33AF1"/>
    <w:rsid w:val="1C2407D2"/>
    <w:rsid w:val="1C2A2AFB"/>
    <w:rsid w:val="1C392717"/>
    <w:rsid w:val="1C757AF5"/>
    <w:rsid w:val="1CD323A0"/>
    <w:rsid w:val="1D314742"/>
    <w:rsid w:val="1DB73C31"/>
    <w:rsid w:val="1DE34AC1"/>
    <w:rsid w:val="1E5006DD"/>
    <w:rsid w:val="1E5B0364"/>
    <w:rsid w:val="1E626810"/>
    <w:rsid w:val="1E7C1444"/>
    <w:rsid w:val="1E824DE0"/>
    <w:rsid w:val="1EDC1D4C"/>
    <w:rsid w:val="1EE44777"/>
    <w:rsid w:val="1EEE2BD2"/>
    <w:rsid w:val="1EF03A45"/>
    <w:rsid w:val="1F013C7C"/>
    <w:rsid w:val="1F3A1F0D"/>
    <w:rsid w:val="1F515A41"/>
    <w:rsid w:val="20205FAE"/>
    <w:rsid w:val="207F54C3"/>
    <w:rsid w:val="208E2D86"/>
    <w:rsid w:val="20A41BDD"/>
    <w:rsid w:val="20F70F28"/>
    <w:rsid w:val="2115350B"/>
    <w:rsid w:val="21354379"/>
    <w:rsid w:val="21432F64"/>
    <w:rsid w:val="21C4373E"/>
    <w:rsid w:val="21D218F6"/>
    <w:rsid w:val="21EE38EF"/>
    <w:rsid w:val="223B4504"/>
    <w:rsid w:val="224A72AF"/>
    <w:rsid w:val="22547760"/>
    <w:rsid w:val="22723839"/>
    <w:rsid w:val="229A3FC2"/>
    <w:rsid w:val="230B6C59"/>
    <w:rsid w:val="23C823BC"/>
    <w:rsid w:val="23F70B9D"/>
    <w:rsid w:val="24057464"/>
    <w:rsid w:val="245F2570"/>
    <w:rsid w:val="24A12498"/>
    <w:rsid w:val="24A42D4D"/>
    <w:rsid w:val="24C81BE9"/>
    <w:rsid w:val="24D34D10"/>
    <w:rsid w:val="24F46692"/>
    <w:rsid w:val="257E1190"/>
    <w:rsid w:val="258052BF"/>
    <w:rsid w:val="25D57113"/>
    <w:rsid w:val="260605C1"/>
    <w:rsid w:val="26122061"/>
    <w:rsid w:val="26D60601"/>
    <w:rsid w:val="26E51EF5"/>
    <w:rsid w:val="26F13299"/>
    <w:rsid w:val="26FE01DA"/>
    <w:rsid w:val="270822A2"/>
    <w:rsid w:val="27C6584F"/>
    <w:rsid w:val="27F16203"/>
    <w:rsid w:val="28012834"/>
    <w:rsid w:val="28017784"/>
    <w:rsid w:val="287F157E"/>
    <w:rsid w:val="289A6423"/>
    <w:rsid w:val="28D41922"/>
    <w:rsid w:val="28DD78F7"/>
    <w:rsid w:val="29256893"/>
    <w:rsid w:val="292665F3"/>
    <w:rsid w:val="292B72E0"/>
    <w:rsid w:val="298F6BD6"/>
    <w:rsid w:val="29CC726F"/>
    <w:rsid w:val="29D5537D"/>
    <w:rsid w:val="2AB76246"/>
    <w:rsid w:val="2AD02892"/>
    <w:rsid w:val="2AED414D"/>
    <w:rsid w:val="2B7A199A"/>
    <w:rsid w:val="2B812B85"/>
    <w:rsid w:val="2BB97180"/>
    <w:rsid w:val="2C5274BD"/>
    <w:rsid w:val="2C5300D5"/>
    <w:rsid w:val="2C880AB1"/>
    <w:rsid w:val="2D0D28E2"/>
    <w:rsid w:val="2D26577B"/>
    <w:rsid w:val="2D2864D4"/>
    <w:rsid w:val="2D6405B3"/>
    <w:rsid w:val="2D760EEF"/>
    <w:rsid w:val="2D8E6FFB"/>
    <w:rsid w:val="2DAA40C0"/>
    <w:rsid w:val="2DD32383"/>
    <w:rsid w:val="2DE50909"/>
    <w:rsid w:val="2E3E17D4"/>
    <w:rsid w:val="2E480042"/>
    <w:rsid w:val="2E917FC7"/>
    <w:rsid w:val="2EA22E05"/>
    <w:rsid w:val="2EA93A54"/>
    <w:rsid w:val="2EB1759E"/>
    <w:rsid w:val="2EBB33A4"/>
    <w:rsid w:val="2EE72320"/>
    <w:rsid w:val="2EE8455C"/>
    <w:rsid w:val="2F89205E"/>
    <w:rsid w:val="2F8F3B3E"/>
    <w:rsid w:val="2FC414F3"/>
    <w:rsid w:val="2FE60929"/>
    <w:rsid w:val="2FF058D0"/>
    <w:rsid w:val="302F585C"/>
    <w:rsid w:val="30521466"/>
    <w:rsid w:val="30680E94"/>
    <w:rsid w:val="309243EC"/>
    <w:rsid w:val="30B57A38"/>
    <w:rsid w:val="30D70117"/>
    <w:rsid w:val="30E42F09"/>
    <w:rsid w:val="31274B61"/>
    <w:rsid w:val="314B29C9"/>
    <w:rsid w:val="31922776"/>
    <w:rsid w:val="31B441AF"/>
    <w:rsid w:val="31B45E1C"/>
    <w:rsid w:val="31FD248B"/>
    <w:rsid w:val="32A81084"/>
    <w:rsid w:val="32B067C4"/>
    <w:rsid w:val="32CC38FF"/>
    <w:rsid w:val="32D70991"/>
    <w:rsid w:val="3362102F"/>
    <w:rsid w:val="33B2679E"/>
    <w:rsid w:val="33DC14FA"/>
    <w:rsid w:val="3446017D"/>
    <w:rsid w:val="344F66EA"/>
    <w:rsid w:val="34F34C56"/>
    <w:rsid w:val="35600022"/>
    <w:rsid w:val="357A5788"/>
    <w:rsid w:val="360308BC"/>
    <w:rsid w:val="36147632"/>
    <w:rsid w:val="36530971"/>
    <w:rsid w:val="36561BAE"/>
    <w:rsid w:val="36610C56"/>
    <w:rsid w:val="366B1FF1"/>
    <w:rsid w:val="366B24CA"/>
    <w:rsid w:val="37024026"/>
    <w:rsid w:val="37133678"/>
    <w:rsid w:val="3743015F"/>
    <w:rsid w:val="3751048E"/>
    <w:rsid w:val="375511E5"/>
    <w:rsid w:val="3758600C"/>
    <w:rsid w:val="376916D4"/>
    <w:rsid w:val="376E6E4C"/>
    <w:rsid w:val="38095396"/>
    <w:rsid w:val="38335DA3"/>
    <w:rsid w:val="385666E5"/>
    <w:rsid w:val="38DB70E7"/>
    <w:rsid w:val="392A7F5E"/>
    <w:rsid w:val="393C1940"/>
    <w:rsid w:val="3A9C0079"/>
    <w:rsid w:val="3AD16F1E"/>
    <w:rsid w:val="3ADB7BFE"/>
    <w:rsid w:val="3B192EFF"/>
    <w:rsid w:val="3B5E1FA1"/>
    <w:rsid w:val="3BC55099"/>
    <w:rsid w:val="3BCE25E6"/>
    <w:rsid w:val="3C1B106D"/>
    <w:rsid w:val="3C5853F3"/>
    <w:rsid w:val="3C7D5846"/>
    <w:rsid w:val="3CB95B5A"/>
    <w:rsid w:val="3CBC2745"/>
    <w:rsid w:val="3CEA2ACF"/>
    <w:rsid w:val="3D0C77C5"/>
    <w:rsid w:val="3D48523F"/>
    <w:rsid w:val="3D865024"/>
    <w:rsid w:val="3D8B06B4"/>
    <w:rsid w:val="3DC46A40"/>
    <w:rsid w:val="3E1D310E"/>
    <w:rsid w:val="3F3618F0"/>
    <w:rsid w:val="3F542700"/>
    <w:rsid w:val="3FC14E74"/>
    <w:rsid w:val="40275E65"/>
    <w:rsid w:val="404A6865"/>
    <w:rsid w:val="40651CB5"/>
    <w:rsid w:val="40731D0B"/>
    <w:rsid w:val="40AF4D86"/>
    <w:rsid w:val="40BD25B1"/>
    <w:rsid w:val="41540A99"/>
    <w:rsid w:val="41A2447B"/>
    <w:rsid w:val="41B63174"/>
    <w:rsid w:val="41BC1F10"/>
    <w:rsid w:val="42032A8D"/>
    <w:rsid w:val="424B3AFB"/>
    <w:rsid w:val="429A1214"/>
    <w:rsid w:val="42E250CC"/>
    <w:rsid w:val="434B5241"/>
    <w:rsid w:val="43765341"/>
    <w:rsid w:val="43890447"/>
    <w:rsid w:val="43BD3D40"/>
    <w:rsid w:val="43D229DB"/>
    <w:rsid w:val="443E0BB9"/>
    <w:rsid w:val="44F443D1"/>
    <w:rsid w:val="45E505B7"/>
    <w:rsid w:val="45E60474"/>
    <w:rsid w:val="46886E13"/>
    <w:rsid w:val="46C1077C"/>
    <w:rsid w:val="46CE0949"/>
    <w:rsid w:val="46FC50E0"/>
    <w:rsid w:val="470701F6"/>
    <w:rsid w:val="476756F9"/>
    <w:rsid w:val="47756B56"/>
    <w:rsid w:val="478F3EA7"/>
    <w:rsid w:val="47AD3F78"/>
    <w:rsid w:val="47B94823"/>
    <w:rsid w:val="482723B9"/>
    <w:rsid w:val="482B5C12"/>
    <w:rsid w:val="485D5162"/>
    <w:rsid w:val="492C3528"/>
    <w:rsid w:val="49B4651F"/>
    <w:rsid w:val="49D066E0"/>
    <w:rsid w:val="49D639C4"/>
    <w:rsid w:val="49E329B9"/>
    <w:rsid w:val="4A1323D0"/>
    <w:rsid w:val="4A9C1DE8"/>
    <w:rsid w:val="4AED1B3A"/>
    <w:rsid w:val="4BF670EE"/>
    <w:rsid w:val="4CA272B1"/>
    <w:rsid w:val="4CE0722E"/>
    <w:rsid w:val="4CE6400E"/>
    <w:rsid w:val="4CF906E8"/>
    <w:rsid w:val="4D1B2533"/>
    <w:rsid w:val="4D3F6637"/>
    <w:rsid w:val="4D5670A7"/>
    <w:rsid w:val="4D5D1F52"/>
    <w:rsid w:val="4DBC63C0"/>
    <w:rsid w:val="4E540763"/>
    <w:rsid w:val="4E72442D"/>
    <w:rsid w:val="4EB0364A"/>
    <w:rsid w:val="4EDA2568"/>
    <w:rsid w:val="4EDE476B"/>
    <w:rsid w:val="4EF23AD2"/>
    <w:rsid w:val="4F5D7111"/>
    <w:rsid w:val="4F7B3104"/>
    <w:rsid w:val="4F8E36B5"/>
    <w:rsid w:val="4FA45F82"/>
    <w:rsid w:val="4FC20AA7"/>
    <w:rsid w:val="4FE80B78"/>
    <w:rsid w:val="4FF026F6"/>
    <w:rsid w:val="50385FA5"/>
    <w:rsid w:val="50454546"/>
    <w:rsid w:val="505F1EFD"/>
    <w:rsid w:val="50690367"/>
    <w:rsid w:val="50737521"/>
    <w:rsid w:val="50B70587"/>
    <w:rsid w:val="50F2027E"/>
    <w:rsid w:val="513D1102"/>
    <w:rsid w:val="519A03E7"/>
    <w:rsid w:val="51C26FB3"/>
    <w:rsid w:val="521024B8"/>
    <w:rsid w:val="522B595D"/>
    <w:rsid w:val="523978C1"/>
    <w:rsid w:val="52DD0A68"/>
    <w:rsid w:val="52EC7E76"/>
    <w:rsid w:val="5345588D"/>
    <w:rsid w:val="539D6E9C"/>
    <w:rsid w:val="53AC64F8"/>
    <w:rsid w:val="53B034DF"/>
    <w:rsid w:val="544725CF"/>
    <w:rsid w:val="544A680F"/>
    <w:rsid w:val="54D9289A"/>
    <w:rsid w:val="54DB6E7F"/>
    <w:rsid w:val="54DE0F4F"/>
    <w:rsid w:val="54E40E7F"/>
    <w:rsid w:val="54E53259"/>
    <w:rsid w:val="54E97D97"/>
    <w:rsid w:val="55A77A68"/>
    <w:rsid w:val="55B769EE"/>
    <w:rsid w:val="55C80AB5"/>
    <w:rsid w:val="560B1770"/>
    <w:rsid w:val="563D07A6"/>
    <w:rsid w:val="568527A9"/>
    <w:rsid w:val="575F7ED8"/>
    <w:rsid w:val="57787D9B"/>
    <w:rsid w:val="577C1E80"/>
    <w:rsid w:val="57906E2F"/>
    <w:rsid w:val="579E6879"/>
    <w:rsid w:val="57BC1663"/>
    <w:rsid w:val="57F34C18"/>
    <w:rsid w:val="588C0AAD"/>
    <w:rsid w:val="58AA3B72"/>
    <w:rsid w:val="58F05AD9"/>
    <w:rsid w:val="59036554"/>
    <w:rsid w:val="5911664D"/>
    <w:rsid w:val="59200143"/>
    <w:rsid w:val="59ED747D"/>
    <w:rsid w:val="5A5E4223"/>
    <w:rsid w:val="5A6F6844"/>
    <w:rsid w:val="5A812E59"/>
    <w:rsid w:val="5A977B58"/>
    <w:rsid w:val="5A995DAB"/>
    <w:rsid w:val="5ABA7460"/>
    <w:rsid w:val="5AC46452"/>
    <w:rsid w:val="5AD20BC0"/>
    <w:rsid w:val="5AF779F8"/>
    <w:rsid w:val="5B080608"/>
    <w:rsid w:val="5B1C6AFA"/>
    <w:rsid w:val="5B615B1B"/>
    <w:rsid w:val="5B9C24F1"/>
    <w:rsid w:val="5B9E50D3"/>
    <w:rsid w:val="5BB46CAC"/>
    <w:rsid w:val="5BD242CB"/>
    <w:rsid w:val="5C105F94"/>
    <w:rsid w:val="5C251D7A"/>
    <w:rsid w:val="5CB21F64"/>
    <w:rsid w:val="5CBF064C"/>
    <w:rsid w:val="5CFA1CEF"/>
    <w:rsid w:val="5D0E1DBA"/>
    <w:rsid w:val="5D2C49EA"/>
    <w:rsid w:val="5D6D5743"/>
    <w:rsid w:val="5DB73653"/>
    <w:rsid w:val="5DC368B7"/>
    <w:rsid w:val="5DE44F8E"/>
    <w:rsid w:val="5E2F576D"/>
    <w:rsid w:val="5E4274C8"/>
    <w:rsid w:val="5E841822"/>
    <w:rsid w:val="5EC82C37"/>
    <w:rsid w:val="5EF210D2"/>
    <w:rsid w:val="5F042BD4"/>
    <w:rsid w:val="5F230F76"/>
    <w:rsid w:val="5F233790"/>
    <w:rsid w:val="5F2447E2"/>
    <w:rsid w:val="5FC85777"/>
    <w:rsid w:val="602A170A"/>
    <w:rsid w:val="60437933"/>
    <w:rsid w:val="605A28BD"/>
    <w:rsid w:val="60700D8F"/>
    <w:rsid w:val="610B183C"/>
    <w:rsid w:val="61613AC5"/>
    <w:rsid w:val="61D640C8"/>
    <w:rsid w:val="61E473B3"/>
    <w:rsid w:val="621D5FD0"/>
    <w:rsid w:val="625351F3"/>
    <w:rsid w:val="62553A9B"/>
    <w:rsid w:val="62686D66"/>
    <w:rsid w:val="62A954D2"/>
    <w:rsid w:val="632E2264"/>
    <w:rsid w:val="63855F1F"/>
    <w:rsid w:val="63D66D3A"/>
    <w:rsid w:val="640E5E28"/>
    <w:rsid w:val="642D00F8"/>
    <w:rsid w:val="6445786C"/>
    <w:rsid w:val="64722C0D"/>
    <w:rsid w:val="65341877"/>
    <w:rsid w:val="657910F5"/>
    <w:rsid w:val="65C02314"/>
    <w:rsid w:val="65CB0101"/>
    <w:rsid w:val="65FA5B9B"/>
    <w:rsid w:val="65FB251D"/>
    <w:rsid w:val="66581945"/>
    <w:rsid w:val="66B54665"/>
    <w:rsid w:val="67557264"/>
    <w:rsid w:val="67A13825"/>
    <w:rsid w:val="67AC14B0"/>
    <w:rsid w:val="67DE30A0"/>
    <w:rsid w:val="68517281"/>
    <w:rsid w:val="68567627"/>
    <w:rsid w:val="68DD2045"/>
    <w:rsid w:val="68E55339"/>
    <w:rsid w:val="690B2C4D"/>
    <w:rsid w:val="69247457"/>
    <w:rsid w:val="695D612D"/>
    <w:rsid w:val="698A4060"/>
    <w:rsid w:val="69BA7752"/>
    <w:rsid w:val="69CB7457"/>
    <w:rsid w:val="69E14866"/>
    <w:rsid w:val="69E15EC2"/>
    <w:rsid w:val="6A1A6766"/>
    <w:rsid w:val="6A3B5037"/>
    <w:rsid w:val="6A5C296D"/>
    <w:rsid w:val="6A6A1E0D"/>
    <w:rsid w:val="6A9F19A0"/>
    <w:rsid w:val="6AFE4F7D"/>
    <w:rsid w:val="6B7867DE"/>
    <w:rsid w:val="6BA90006"/>
    <w:rsid w:val="6BF65381"/>
    <w:rsid w:val="6BF8470A"/>
    <w:rsid w:val="6C011291"/>
    <w:rsid w:val="6C161E18"/>
    <w:rsid w:val="6C3F148F"/>
    <w:rsid w:val="6CA83FEC"/>
    <w:rsid w:val="6CAF7339"/>
    <w:rsid w:val="6CBB08C6"/>
    <w:rsid w:val="6D2A351D"/>
    <w:rsid w:val="6D2C5AA6"/>
    <w:rsid w:val="6D2E3EEB"/>
    <w:rsid w:val="6D4631E1"/>
    <w:rsid w:val="6D526542"/>
    <w:rsid w:val="6D950280"/>
    <w:rsid w:val="6DB50892"/>
    <w:rsid w:val="6E3431D3"/>
    <w:rsid w:val="6E815E20"/>
    <w:rsid w:val="6EC35D97"/>
    <w:rsid w:val="6EC86813"/>
    <w:rsid w:val="6EE87C44"/>
    <w:rsid w:val="6F292CD2"/>
    <w:rsid w:val="6F827E1F"/>
    <w:rsid w:val="6FBE33DD"/>
    <w:rsid w:val="70695629"/>
    <w:rsid w:val="70B16458"/>
    <w:rsid w:val="70EC6C4D"/>
    <w:rsid w:val="71C9438B"/>
    <w:rsid w:val="71EB232F"/>
    <w:rsid w:val="71F22395"/>
    <w:rsid w:val="72437EB5"/>
    <w:rsid w:val="72E03AF4"/>
    <w:rsid w:val="732F3A9D"/>
    <w:rsid w:val="73310943"/>
    <w:rsid w:val="734E45BF"/>
    <w:rsid w:val="736E713E"/>
    <w:rsid w:val="736F6F40"/>
    <w:rsid w:val="73821076"/>
    <w:rsid w:val="73AA2969"/>
    <w:rsid w:val="73B22405"/>
    <w:rsid w:val="73CF1F2D"/>
    <w:rsid w:val="73FC1BEE"/>
    <w:rsid w:val="741C7C7A"/>
    <w:rsid w:val="747D0FD1"/>
    <w:rsid w:val="74822716"/>
    <w:rsid w:val="74A77D79"/>
    <w:rsid w:val="74BB2C8C"/>
    <w:rsid w:val="74EE2280"/>
    <w:rsid w:val="750D3D28"/>
    <w:rsid w:val="7539035B"/>
    <w:rsid w:val="756176A1"/>
    <w:rsid w:val="75C5459B"/>
    <w:rsid w:val="75E5551F"/>
    <w:rsid w:val="765866EF"/>
    <w:rsid w:val="766429FA"/>
    <w:rsid w:val="767F7384"/>
    <w:rsid w:val="76D45B66"/>
    <w:rsid w:val="76FE2417"/>
    <w:rsid w:val="771E653D"/>
    <w:rsid w:val="77222009"/>
    <w:rsid w:val="77586BA9"/>
    <w:rsid w:val="7763578D"/>
    <w:rsid w:val="77A0655C"/>
    <w:rsid w:val="77C57700"/>
    <w:rsid w:val="788E700F"/>
    <w:rsid w:val="78F9488D"/>
    <w:rsid w:val="794006DB"/>
    <w:rsid w:val="79411044"/>
    <w:rsid w:val="7958468D"/>
    <w:rsid w:val="79D85CE8"/>
    <w:rsid w:val="7A1E0BB7"/>
    <w:rsid w:val="7A322C02"/>
    <w:rsid w:val="7AB97850"/>
    <w:rsid w:val="7AC411D6"/>
    <w:rsid w:val="7AF65F04"/>
    <w:rsid w:val="7B052BD7"/>
    <w:rsid w:val="7B072853"/>
    <w:rsid w:val="7B5B2FAF"/>
    <w:rsid w:val="7B640C18"/>
    <w:rsid w:val="7B6C5582"/>
    <w:rsid w:val="7BA10F88"/>
    <w:rsid w:val="7BB90BF8"/>
    <w:rsid w:val="7BD93A58"/>
    <w:rsid w:val="7BF60874"/>
    <w:rsid w:val="7C4201D4"/>
    <w:rsid w:val="7C815E42"/>
    <w:rsid w:val="7CA44252"/>
    <w:rsid w:val="7CB56E8E"/>
    <w:rsid w:val="7DA40457"/>
    <w:rsid w:val="7DB479EE"/>
    <w:rsid w:val="7DCD6635"/>
    <w:rsid w:val="7DE5443E"/>
    <w:rsid w:val="7E9C1324"/>
    <w:rsid w:val="7E9F7603"/>
    <w:rsid w:val="7EB14057"/>
    <w:rsid w:val="7EE36967"/>
    <w:rsid w:val="7F017977"/>
    <w:rsid w:val="7F4108E0"/>
    <w:rsid w:val="7F4D390F"/>
    <w:rsid w:val="7F8A3EF9"/>
    <w:rsid w:val="7F9663C3"/>
    <w:rsid w:val="7FA345E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nhideWhenUsed="0" w:uiPriority="0" w:semiHidden="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qFormat="1" w:unhideWhenUsed="0" w:uiPriority="0" w:semiHidden="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iPriority="0" w:name="Body Text Indent 2"/>
    <w:lsdException w:uiPriority="0" w:name="Body Text Indent 3"/>
    <w:lsdException w:qFormat="1" w:uiPriority="99"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99" w:semiHidden="0" w:name="Plain Text"/>
    <w:lsdException w:uiPriority="0" w:name="E-mail Signature"/>
    <w:lsdException w:qFormat="1" w:unhideWhenUsed="0" w:uiPriority="0"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uiPriority="0" w:name="HTML Preformatted"/>
    <w:lsdException w:qFormat="1" w:uiPriority="0" w:name="HTML Sample"/>
    <w:lsdException w:qFormat="1" w:uiPriority="0" w:name="HTML Typewriter"/>
    <w:lsdException w:qFormat="1"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59"/>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93"/>
    <w:qFormat/>
    <w:uiPriority w:val="99"/>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paragraph" w:styleId="6">
    <w:name w:val="heading 4"/>
    <w:basedOn w:val="1"/>
    <w:next w:val="1"/>
    <w:qFormat/>
    <w:uiPriority w:val="0"/>
    <w:pPr>
      <w:keepNext/>
      <w:keepLines/>
      <w:numPr>
        <w:ilvl w:val="3"/>
        <w:numId w:val="1"/>
      </w:numPr>
      <w:tabs>
        <w:tab w:val="left" w:pos="851"/>
        <w:tab w:val="clear" w:pos="1680"/>
      </w:tabs>
      <w:spacing w:before="240" w:after="240" w:line="500" w:lineRule="atLeast"/>
      <w:outlineLvl w:val="3"/>
    </w:pPr>
    <w:rPr>
      <w:rFonts w:ascii="黑体" w:hAnsi="Arial" w:eastAsia="黑体"/>
      <w:sz w:val="28"/>
      <w:szCs w:val="20"/>
    </w:rPr>
  </w:style>
  <w:style w:type="paragraph" w:styleId="7">
    <w:name w:val="heading 5"/>
    <w:basedOn w:val="1"/>
    <w:next w:val="1"/>
    <w:qFormat/>
    <w:uiPriority w:val="1"/>
    <w:pPr>
      <w:jc w:val="center"/>
      <w:outlineLvl w:val="4"/>
    </w:pPr>
    <w:rPr>
      <w:rFonts w:ascii="仿宋" w:hAnsi="仿宋" w:eastAsia="仿宋" w:cs="仿宋"/>
      <w:b/>
      <w:bCs/>
      <w:sz w:val="28"/>
      <w:szCs w:val="28"/>
      <w:lang w:val="zh-CN" w:bidi="zh-CN"/>
    </w:rPr>
  </w:style>
  <w:style w:type="paragraph" w:styleId="8">
    <w:name w:val="heading 6"/>
    <w:basedOn w:val="1"/>
    <w:next w:val="1"/>
    <w:qFormat/>
    <w:uiPriority w:val="1"/>
    <w:pPr>
      <w:spacing w:before="1"/>
      <w:ind w:left="692"/>
      <w:outlineLvl w:val="5"/>
    </w:pPr>
    <w:rPr>
      <w:rFonts w:ascii="仿宋" w:hAnsi="仿宋" w:eastAsia="仿宋" w:cs="仿宋"/>
      <w:b/>
      <w:bCs/>
      <w:sz w:val="24"/>
      <w:lang w:val="zh-CN" w:bidi="zh-CN"/>
    </w:rPr>
  </w:style>
  <w:style w:type="character" w:default="1" w:styleId="36">
    <w:name w:val="Default Paragraph Font"/>
    <w:semiHidden/>
    <w:unhideWhenUsed/>
    <w:qFormat/>
    <w:uiPriority w:val="1"/>
  </w:style>
  <w:style w:type="table" w:default="1" w:styleId="3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111"/>
    <w:unhideWhenUsed/>
    <w:qFormat/>
    <w:uiPriority w:val="99"/>
    <w:pPr>
      <w:spacing w:after="120"/>
    </w:pPr>
  </w:style>
  <w:style w:type="paragraph" w:styleId="9">
    <w:name w:val="toc 7"/>
    <w:basedOn w:val="1"/>
    <w:next w:val="1"/>
    <w:qFormat/>
    <w:uiPriority w:val="0"/>
    <w:pPr>
      <w:ind w:left="2520" w:leftChars="1200"/>
    </w:pPr>
  </w:style>
  <w:style w:type="paragraph" w:styleId="10">
    <w:name w:val="Normal Indent"/>
    <w:basedOn w:val="1"/>
    <w:qFormat/>
    <w:uiPriority w:val="99"/>
    <w:pPr>
      <w:ind w:firstLine="200" w:firstLineChars="200"/>
    </w:pPr>
  </w:style>
  <w:style w:type="paragraph" w:styleId="11">
    <w:name w:val="Document Map"/>
    <w:basedOn w:val="1"/>
    <w:link w:val="54"/>
    <w:qFormat/>
    <w:uiPriority w:val="0"/>
    <w:rPr>
      <w:rFonts w:ascii="宋体"/>
      <w:sz w:val="18"/>
      <w:szCs w:val="18"/>
    </w:rPr>
  </w:style>
  <w:style w:type="paragraph" w:styleId="12">
    <w:name w:val="annotation text"/>
    <w:basedOn w:val="1"/>
    <w:link w:val="52"/>
    <w:qFormat/>
    <w:uiPriority w:val="0"/>
    <w:pPr>
      <w:jc w:val="left"/>
    </w:pPr>
  </w:style>
  <w:style w:type="paragraph" w:styleId="13">
    <w:name w:val="Body Text Indent"/>
    <w:basedOn w:val="1"/>
    <w:qFormat/>
    <w:uiPriority w:val="0"/>
    <w:pPr>
      <w:ind w:firstLine="630"/>
    </w:pPr>
    <w:rPr>
      <w:sz w:val="32"/>
      <w:szCs w:val="20"/>
    </w:rPr>
  </w:style>
  <w:style w:type="paragraph" w:styleId="14">
    <w:name w:val="Block Text"/>
    <w:basedOn w:val="1"/>
    <w:semiHidden/>
    <w:unhideWhenUsed/>
    <w:qFormat/>
    <w:uiPriority w:val="99"/>
    <w:pPr>
      <w:spacing w:before="100" w:beforeAutospacing="1" w:after="120" w:line="240" w:lineRule="auto"/>
      <w:ind w:left="1440" w:leftChars="700" w:right="1440" w:rightChars="700"/>
    </w:pPr>
    <w:rPr>
      <w:rFonts w:cs="宋体"/>
      <w:szCs w:val="21"/>
    </w:rPr>
  </w:style>
  <w:style w:type="paragraph" w:styleId="15">
    <w:name w:val="toc 5"/>
    <w:basedOn w:val="1"/>
    <w:next w:val="1"/>
    <w:qFormat/>
    <w:uiPriority w:val="0"/>
    <w:pPr>
      <w:ind w:left="1680" w:leftChars="800"/>
    </w:pPr>
  </w:style>
  <w:style w:type="paragraph" w:styleId="16">
    <w:name w:val="toc 3"/>
    <w:basedOn w:val="1"/>
    <w:next w:val="1"/>
    <w:qFormat/>
    <w:uiPriority w:val="0"/>
    <w:pPr>
      <w:ind w:left="840" w:leftChars="400"/>
    </w:pPr>
  </w:style>
  <w:style w:type="paragraph" w:styleId="17">
    <w:name w:val="Plain Text"/>
    <w:basedOn w:val="1"/>
    <w:link w:val="99"/>
    <w:unhideWhenUsed/>
    <w:qFormat/>
    <w:uiPriority w:val="99"/>
    <w:pPr>
      <w:spacing w:before="100" w:beforeAutospacing="1" w:line="256" w:lineRule="auto"/>
    </w:pPr>
    <w:rPr>
      <w:rFonts w:ascii="宋体" w:hAnsi="Courier New"/>
      <w:szCs w:val="21"/>
    </w:rPr>
  </w:style>
  <w:style w:type="paragraph" w:styleId="18">
    <w:name w:val="toc 8"/>
    <w:basedOn w:val="1"/>
    <w:next w:val="1"/>
    <w:qFormat/>
    <w:uiPriority w:val="0"/>
    <w:pPr>
      <w:ind w:left="2940" w:leftChars="1400"/>
    </w:pPr>
  </w:style>
  <w:style w:type="paragraph" w:styleId="19">
    <w:name w:val="Body Text Indent 2"/>
    <w:basedOn w:val="1"/>
    <w:link w:val="95"/>
    <w:semiHidden/>
    <w:unhideWhenUsed/>
    <w:qFormat/>
    <w:uiPriority w:val="0"/>
    <w:pPr>
      <w:spacing w:after="120" w:line="480" w:lineRule="auto"/>
      <w:ind w:left="420" w:leftChars="200"/>
    </w:pPr>
  </w:style>
  <w:style w:type="paragraph" w:styleId="20">
    <w:name w:val="Balloon Text"/>
    <w:basedOn w:val="1"/>
    <w:link w:val="51"/>
    <w:qFormat/>
    <w:uiPriority w:val="0"/>
    <w:rPr>
      <w:sz w:val="18"/>
      <w:szCs w:val="18"/>
    </w:rPr>
  </w:style>
  <w:style w:type="paragraph" w:styleId="21">
    <w:name w:val="footer"/>
    <w:basedOn w:val="1"/>
    <w:link w:val="66"/>
    <w:qFormat/>
    <w:uiPriority w:val="99"/>
    <w:pPr>
      <w:tabs>
        <w:tab w:val="center" w:pos="4153"/>
        <w:tab w:val="right" w:pos="8306"/>
      </w:tabs>
      <w:snapToGrid w:val="0"/>
      <w:jc w:val="left"/>
    </w:pPr>
    <w:rPr>
      <w:sz w:val="18"/>
      <w:szCs w:val="20"/>
    </w:rPr>
  </w:style>
  <w:style w:type="paragraph" w:styleId="22">
    <w:name w:val="header"/>
    <w:basedOn w:val="1"/>
    <w:link w:val="72"/>
    <w:qFormat/>
    <w:uiPriority w:val="99"/>
    <w:pPr>
      <w:pBdr>
        <w:bottom w:val="single" w:color="auto" w:sz="6" w:space="1"/>
      </w:pBdr>
      <w:tabs>
        <w:tab w:val="center" w:pos="4153"/>
        <w:tab w:val="right" w:pos="8306"/>
      </w:tabs>
      <w:snapToGrid w:val="0"/>
      <w:jc w:val="center"/>
    </w:pPr>
    <w:rPr>
      <w:sz w:val="18"/>
      <w:szCs w:val="20"/>
    </w:rPr>
  </w:style>
  <w:style w:type="paragraph" w:styleId="23">
    <w:name w:val="toc 1"/>
    <w:basedOn w:val="1"/>
    <w:next w:val="1"/>
    <w:qFormat/>
    <w:uiPriority w:val="39"/>
  </w:style>
  <w:style w:type="paragraph" w:styleId="24">
    <w:name w:val="toc 4"/>
    <w:basedOn w:val="1"/>
    <w:next w:val="1"/>
    <w:qFormat/>
    <w:uiPriority w:val="0"/>
    <w:pPr>
      <w:ind w:left="1260" w:leftChars="600"/>
    </w:pPr>
  </w:style>
  <w:style w:type="paragraph" w:styleId="25">
    <w:name w:val="Subtitle"/>
    <w:basedOn w:val="1"/>
    <w:next w:val="1"/>
    <w:qFormat/>
    <w:uiPriority w:val="0"/>
    <w:pPr>
      <w:spacing w:line="312" w:lineRule="auto"/>
      <w:jc w:val="left"/>
      <w:outlineLvl w:val="1"/>
    </w:pPr>
    <w:rPr>
      <w:rFonts w:ascii="Cambria" w:hAnsi="Cambria"/>
      <w:b/>
      <w:bCs/>
      <w:kern w:val="28"/>
      <w:szCs w:val="32"/>
    </w:rPr>
  </w:style>
  <w:style w:type="paragraph" w:styleId="26">
    <w:name w:val="toc 6"/>
    <w:basedOn w:val="1"/>
    <w:next w:val="1"/>
    <w:qFormat/>
    <w:uiPriority w:val="0"/>
    <w:pPr>
      <w:ind w:left="2100" w:leftChars="1000"/>
    </w:pPr>
  </w:style>
  <w:style w:type="paragraph" w:styleId="27">
    <w:name w:val="table of figures"/>
    <w:basedOn w:val="1"/>
    <w:next w:val="1"/>
    <w:qFormat/>
    <w:uiPriority w:val="0"/>
    <w:pPr>
      <w:ind w:left="200" w:leftChars="200" w:hanging="200" w:hangingChars="200"/>
    </w:pPr>
    <w:rPr>
      <w:rFonts w:ascii="Times New Roman" w:hAnsi="Times New Roman"/>
    </w:rPr>
  </w:style>
  <w:style w:type="paragraph" w:styleId="28">
    <w:name w:val="toc 2"/>
    <w:basedOn w:val="1"/>
    <w:next w:val="1"/>
    <w:qFormat/>
    <w:uiPriority w:val="0"/>
    <w:pPr>
      <w:ind w:left="420" w:leftChars="200"/>
    </w:pPr>
  </w:style>
  <w:style w:type="paragraph" w:styleId="29">
    <w:name w:val="toc 9"/>
    <w:basedOn w:val="1"/>
    <w:next w:val="1"/>
    <w:qFormat/>
    <w:uiPriority w:val="0"/>
    <w:pPr>
      <w:ind w:left="3360" w:leftChars="1600"/>
    </w:pPr>
  </w:style>
  <w:style w:type="paragraph" w:styleId="30">
    <w:name w:val="Normal (Web)"/>
    <w:basedOn w:val="1"/>
    <w:qFormat/>
    <w:uiPriority w:val="0"/>
    <w:pPr>
      <w:widowControl/>
      <w:spacing w:before="100" w:beforeAutospacing="1" w:after="100" w:afterAutospacing="1"/>
      <w:jc w:val="left"/>
    </w:pPr>
    <w:rPr>
      <w:rFonts w:ascii="宋体"/>
      <w:kern w:val="0"/>
      <w:sz w:val="18"/>
      <w:szCs w:val="18"/>
    </w:rPr>
  </w:style>
  <w:style w:type="paragraph" w:styleId="31">
    <w:name w:val="Title"/>
    <w:basedOn w:val="1"/>
    <w:next w:val="1"/>
    <w:link w:val="82"/>
    <w:qFormat/>
    <w:uiPriority w:val="99"/>
    <w:pPr>
      <w:spacing w:before="240" w:after="60" w:line="240" w:lineRule="auto"/>
      <w:jc w:val="center"/>
      <w:outlineLvl w:val="0"/>
    </w:pPr>
    <w:rPr>
      <w:rFonts w:ascii="等线 Light" w:hAnsi="等线 Light" w:eastAsia="等线"/>
      <w:b/>
      <w:bCs/>
      <w:sz w:val="32"/>
      <w:szCs w:val="32"/>
    </w:rPr>
  </w:style>
  <w:style w:type="paragraph" w:styleId="32">
    <w:name w:val="annotation subject"/>
    <w:basedOn w:val="12"/>
    <w:next w:val="12"/>
    <w:link w:val="58"/>
    <w:qFormat/>
    <w:uiPriority w:val="0"/>
    <w:rPr>
      <w:b/>
      <w:bCs/>
    </w:rPr>
  </w:style>
  <w:style w:type="paragraph" w:styleId="33">
    <w:name w:val="Body Text First Indent"/>
    <w:basedOn w:val="2"/>
    <w:qFormat/>
    <w:uiPriority w:val="0"/>
    <w:pPr>
      <w:ind w:firstLine="420" w:firstLineChars="100"/>
    </w:pPr>
  </w:style>
  <w:style w:type="table" w:styleId="35">
    <w:name w:val="Table Grid"/>
    <w:basedOn w:val="3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0"/>
    <w:rPr>
      <w:b/>
    </w:rPr>
  </w:style>
  <w:style w:type="character" w:styleId="38">
    <w:name w:val="page number"/>
    <w:qFormat/>
    <w:uiPriority w:val="0"/>
  </w:style>
  <w:style w:type="character" w:styleId="39">
    <w:name w:val="FollowedHyperlink"/>
    <w:basedOn w:val="36"/>
    <w:semiHidden/>
    <w:unhideWhenUsed/>
    <w:qFormat/>
    <w:uiPriority w:val="0"/>
    <w:rPr>
      <w:color w:val="954F72" w:themeColor="followedHyperlink"/>
      <w:u w:val="single"/>
      <w14:textFill>
        <w14:solidFill>
          <w14:schemeClr w14:val="folHlink"/>
        </w14:solidFill>
      </w14:textFill>
    </w:rPr>
  </w:style>
  <w:style w:type="character" w:styleId="40">
    <w:name w:val="Emphasis"/>
    <w:basedOn w:val="36"/>
    <w:qFormat/>
    <w:uiPriority w:val="0"/>
    <w:rPr>
      <w:b/>
    </w:rPr>
  </w:style>
  <w:style w:type="character" w:styleId="41">
    <w:name w:val="HTML Definition"/>
    <w:basedOn w:val="36"/>
    <w:semiHidden/>
    <w:unhideWhenUsed/>
    <w:qFormat/>
    <w:uiPriority w:val="0"/>
  </w:style>
  <w:style w:type="character" w:styleId="42">
    <w:name w:val="HTML Typewriter"/>
    <w:basedOn w:val="36"/>
    <w:semiHidden/>
    <w:unhideWhenUsed/>
    <w:qFormat/>
    <w:uiPriority w:val="0"/>
    <w:rPr>
      <w:rFonts w:hint="default" w:ascii="monospace" w:hAnsi="monospace" w:eastAsia="monospace" w:cs="monospace"/>
      <w:sz w:val="20"/>
    </w:rPr>
  </w:style>
  <w:style w:type="character" w:styleId="43">
    <w:name w:val="HTML Acronym"/>
    <w:basedOn w:val="36"/>
    <w:semiHidden/>
    <w:unhideWhenUsed/>
    <w:qFormat/>
    <w:uiPriority w:val="0"/>
  </w:style>
  <w:style w:type="character" w:styleId="44">
    <w:name w:val="HTML Variable"/>
    <w:basedOn w:val="36"/>
    <w:semiHidden/>
    <w:unhideWhenUsed/>
    <w:qFormat/>
    <w:uiPriority w:val="0"/>
  </w:style>
  <w:style w:type="character" w:styleId="45">
    <w:name w:val="Hyperlink"/>
    <w:basedOn w:val="36"/>
    <w:unhideWhenUsed/>
    <w:qFormat/>
    <w:uiPriority w:val="99"/>
    <w:rPr>
      <w:color w:val="0563C1" w:themeColor="hyperlink"/>
      <w:u w:val="single"/>
      <w14:textFill>
        <w14:solidFill>
          <w14:schemeClr w14:val="hlink"/>
        </w14:solidFill>
      </w14:textFill>
    </w:rPr>
  </w:style>
  <w:style w:type="character" w:styleId="46">
    <w:name w:val="HTML Code"/>
    <w:basedOn w:val="36"/>
    <w:semiHidden/>
    <w:unhideWhenUsed/>
    <w:qFormat/>
    <w:uiPriority w:val="0"/>
    <w:rPr>
      <w:rFonts w:ascii="monospace" w:hAnsi="monospace" w:eastAsia="monospace" w:cs="monospace"/>
      <w:sz w:val="20"/>
    </w:rPr>
  </w:style>
  <w:style w:type="character" w:styleId="47">
    <w:name w:val="annotation reference"/>
    <w:qFormat/>
    <w:uiPriority w:val="99"/>
    <w:rPr>
      <w:sz w:val="21"/>
      <w:szCs w:val="21"/>
    </w:rPr>
  </w:style>
  <w:style w:type="character" w:styleId="48">
    <w:name w:val="HTML Cite"/>
    <w:basedOn w:val="36"/>
    <w:semiHidden/>
    <w:unhideWhenUsed/>
    <w:qFormat/>
    <w:uiPriority w:val="0"/>
  </w:style>
  <w:style w:type="character" w:styleId="49">
    <w:name w:val="HTML Keyboard"/>
    <w:basedOn w:val="36"/>
    <w:semiHidden/>
    <w:unhideWhenUsed/>
    <w:qFormat/>
    <w:uiPriority w:val="0"/>
    <w:rPr>
      <w:rFonts w:hint="default" w:ascii="monospace" w:hAnsi="monospace" w:eastAsia="monospace" w:cs="monospace"/>
      <w:sz w:val="20"/>
    </w:rPr>
  </w:style>
  <w:style w:type="character" w:styleId="50">
    <w:name w:val="HTML Sample"/>
    <w:basedOn w:val="36"/>
    <w:semiHidden/>
    <w:unhideWhenUsed/>
    <w:qFormat/>
    <w:uiPriority w:val="0"/>
    <w:rPr>
      <w:rFonts w:hint="default" w:ascii="monospace" w:hAnsi="monospace" w:eastAsia="monospace" w:cs="monospace"/>
    </w:rPr>
  </w:style>
  <w:style w:type="character" w:customStyle="1" w:styleId="51">
    <w:name w:val="批注框文本 字符"/>
    <w:link w:val="20"/>
    <w:qFormat/>
    <w:uiPriority w:val="0"/>
    <w:rPr>
      <w:kern w:val="2"/>
      <w:sz w:val="18"/>
      <w:szCs w:val="18"/>
    </w:rPr>
  </w:style>
  <w:style w:type="character" w:customStyle="1" w:styleId="52">
    <w:name w:val="批注文字 字符"/>
    <w:link w:val="12"/>
    <w:qFormat/>
    <w:uiPriority w:val="0"/>
    <w:rPr>
      <w:kern w:val="2"/>
      <w:sz w:val="21"/>
      <w:szCs w:val="24"/>
    </w:rPr>
  </w:style>
  <w:style w:type="character" w:customStyle="1" w:styleId="53">
    <w:name w:val="font91"/>
    <w:qFormat/>
    <w:uiPriority w:val="0"/>
    <w:rPr>
      <w:rFonts w:hint="eastAsia" w:ascii="宋体" w:hAnsi="宋体" w:eastAsia="宋体" w:cs="宋体"/>
      <w:color w:val="FF0000"/>
      <w:sz w:val="21"/>
      <w:szCs w:val="21"/>
      <w:u w:val="single"/>
    </w:rPr>
  </w:style>
  <w:style w:type="character" w:customStyle="1" w:styleId="54">
    <w:name w:val="文档结构图 字符"/>
    <w:link w:val="11"/>
    <w:qFormat/>
    <w:uiPriority w:val="0"/>
    <w:rPr>
      <w:rFonts w:ascii="宋体"/>
      <w:kern w:val="2"/>
      <w:sz w:val="18"/>
      <w:szCs w:val="18"/>
    </w:rPr>
  </w:style>
  <w:style w:type="character" w:customStyle="1" w:styleId="55">
    <w:name w:val="font101"/>
    <w:qFormat/>
    <w:uiPriority w:val="0"/>
    <w:rPr>
      <w:rFonts w:hint="eastAsia" w:ascii="宋体" w:hAnsi="宋体" w:eastAsia="宋体" w:cs="宋体"/>
      <w:color w:val="000000"/>
      <w:sz w:val="21"/>
      <w:szCs w:val="21"/>
      <w:u w:val="single"/>
    </w:rPr>
  </w:style>
  <w:style w:type="character" w:customStyle="1" w:styleId="56">
    <w:name w:val="font111"/>
    <w:qFormat/>
    <w:uiPriority w:val="0"/>
    <w:rPr>
      <w:rFonts w:hint="default" w:ascii="Eʩ" w:hAnsi="Eʩ" w:eastAsia="Eʩ" w:cs="Eʩ"/>
      <w:color w:val="000000"/>
      <w:sz w:val="21"/>
      <w:szCs w:val="21"/>
      <w:u w:val="single"/>
    </w:rPr>
  </w:style>
  <w:style w:type="character" w:customStyle="1" w:styleId="57">
    <w:name w:val="font31"/>
    <w:basedOn w:val="36"/>
    <w:qFormat/>
    <w:uiPriority w:val="0"/>
    <w:rPr>
      <w:rFonts w:hint="eastAsia" w:ascii="宋体" w:hAnsi="宋体" w:eastAsia="宋体" w:cs="宋体"/>
      <w:color w:val="000000"/>
      <w:sz w:val="21"/>
      <w:szCs w:val="21"/>
      <w:u w:val="none"/>
    </w:rPr>
  </w:style>
  <w:style w:type="character" w:customStyle="1" w:styleId="58">
    <w:name w:val="批注主题 字符"/>
    <w:link w:val="32"/>
    <w:qFormat/>
    <w:uiPriority w:val="0"/>
    <w:rPr>
      <w:b/>
      <w:bCs/>
      <w:kern w:val="2"/>
      <w:sz w:val="21"/>
      <w:szCs w:val="24"/>
    </w:rPr>
  </w:style>
  <w:style w:type="character" w:customStyle="1" w:styleId="59">
    <w:name w:val="标题 1 字符"/>
    <w:link w:val="3"/>
    <w:qFormat/>
    <w:uiPriority w:val="0"/>
    <w:rPr>
      <w:b/>
      <w:bCs/>
      <w:kern w:val="44"/>
      <w:sz w:val="44"/>
      <w:szCs w:val="44"/>
    </w:rPr>
  </w:style>
  <w:style w:type="paragraph" w:customStyle="1" w:styleId="60">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61">
    <w:name w:val="样式 首行缩进:  2 字符"/>
    <w:basedOn w:val="1"/>
    <w:qFormat/>
    <w:uiPriority w:val="0"/>
    <w:pPr>
      <w:spacing w:line="400" w:lineRule="exact"/>
      <w:ind w:firstLine="200" w:firstLineChars="200"/>
    </w:pPr>
    <w:rPr>
      <w:rFonts w:cs="宋体"/>
      <w:sz w:val="24"/>
    </w:rPr>
  </w:style>
  <w:style w:type="paragraph" w:customStyle="1" w:styleId="62">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63">
    <w:name w:val="正文首行缩进两字符"/>
    <w:basedOn w:val="1"/>
    <w:qFormat/>
    <w:uiPriority w:val="0"/>
    <w:pPr>
      <w:spacing w:line="360" w:lineRule="auto"/>
      <w:ind w:firstLine="200" w:firstLineChars="200"/>
    </w:pPr>
  </w:style>
  <w:style w:type="character" w:customStyle="1" w:styleId="64">
    <w:name w:val="批注文字 Char1"/>
    <w:basedOn w:val="36"/>
    <w:qFormat/>
    <w:uiPriority w:val="0"/>
    <w:rPr>
      <w:rFonts w:ascii="Times New Roman" w:hAnsi="Times New Roman" w:eastAsia="宋体" w:cs="Times New Roman"/>
      <w:szCs w:val="24"/>
    </w:rPr>
  </w:style>
  <w:style w:type="paragraph" w:customStyle="1" w:styleId="65">
    <w:name w:val="修订1"/>
    <w:hidden/>
    <w:unhideWhenUsed/>
    <w:qFormat/>
    <w:uiPriority w:val="99"/>
    <w:rPr>
      <w:rFonts w:ascii="Calibri" w:hAnsi="Calibri" w:eastAsia="宋体" w:cs="Times New Roman"/>
      <w:kern w:val="2"/>
      <w:sz w:val="21"/>
      <w:szCs w:val="24"/>
      <w:lang w:val="en-US" w:eastAsia="zh-CN" w:bidi="ar-SA"/>
    </w:rPr>
  </w:style>
  <w:style w:type="character" w:customStyle="1" w:styleId="66">
    <w:name w:val="页脚 字符"/>
    <w:link w:val="21"/>
    <w:qFormat/>
    <w:uiPriority w:val="99"/>
    <w:rPr>
      <w:kern w:val="2"/>
      <w:sz w:val="18"/>
    </w:rPr>
  </w:style>
  <w:style w:type="paragraph" w:styleId="67">
    <w:name w:val="List Paragraph"/>
    <w:basedOn w:val="1"/>
    <w:unhideWhenUsed/>
    <w:qFormat/>
    <w:uiPriority w:val="99"/>
    <w:pPr>
      <w:ind w:firstLine="420" w:firstLineChars="200"/>
    </w:pPr>
  </w:style>
  <w:style w:type="paragraph" w:customStyle="1" w:styleId="68">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69">
    <w:name w:val="正文文本 字符"/>
    <w:basedOn w:val="36"/>
    <w:link w:val="2"/>
    <w:qFormat/>
    <w:uiPriority w:val="99"/>
    <w:rPr>
      <w:kern w:val="2"/>
      <w:sz w:val="21"/>
      <w:szCs w:val="24"/>
    </w:rPr>
  </w:style>
  <w:style w:type="paragraph" w:customStyle="1" w:styleId="70">
    <w:name w:val="修订2"/>
    <w:hidden/>
    <w:semiHidden/>
    <w:qFormat/>
    <w:uiPriority w:val="99"/>
    <w:rPr>
      <w:rFonts w:ascii="Calibri" w:hAnsi="Calibri" w:eastAsia="宋体" w:cs="Times New Roman"/>
      <w:kern w:val="2"/>
      <w:sz w:val="21"/>
      <w:szCs w:val="24"/>
      <w:lang w:val="en-US" w:eastAsia="zh-CN" w:bidi="ar-SA"/>
    </w:rPr>
  </w:style>
  <w:style w:type="paragraph" w:customStyle="1" w:styleId="71">
    <w:name w:val="00、封面正文(与其他内容无关的格式)"/>
    <w:basedOn w:val="1"/>
    <w:qFormat/>
    <w:uiPriority w:val="0"/>
    <w:pPr>
      <w:tabs>
        <w:tab w:val="left" w:pos="0"/>
      </w:tabs>
      <w:adjustRightInd w:val="0"/>
      <w:snapToGrid w:val="0"/>
      <w:spacing w:after="0" w:line="440" w:lineRule="exact"/>
      <w:jc w:val="left"/>
    </w:pPr>
    <w:rPr>
      <w:rFonts w:ascii="宋体" w:hAnsi="宋体" w:cstheme="minorBidi"/>
      <w:sz w:val="24"/>
    </w:rPr>
  </w:style>
  <w:style w:type="character" w:customStyle="1" w:styleId="72">
    <w:name w:val="页眉 字符"/>
    <w:basedOn w:val="36"/>
    <w:link w:val="22"/>
    <w:qFormat/>
    <w:uiPriority w:val="99"/>
    <w:rPr>
      <w:kern w:val="2"/>
      <w:sz w:val="18"/>
    </w:rPr>
  </w:style>
  <w:style w:type="paragraph" w:customStyle="1" w:styleId="73">
    <w:name w:val="01、普通正文"/>
    <w:basedOn w:val="1"/>
    <w:link w:val="74"/>
    <w:qFormat/>
    <w:uiPriority w:val="0"/>
    <w:pPr>
      <w:tabs>
        <w:tab w:val="left" w:pos="0"/>
      </w:tabs>
      <w:wordWrap w:val="0"/>
      <w:topLinePunct/>
      <w:adjustRightInd w:val="0"/>
      <w:snapToGrid w:val="0"/>
      <w:spacing w:after="0" w:line="440" w:lineRule="exact"/>
      <w:jc w:val="left"/>
    </w:pPr>
    <w:rPr>
      <w:rFonts w:ascii="宋体" w:hAnsi="宋体" w:cstheme="minorBidi"/>
      <w:snapToGrid w:val="0"/>
      <w:sz w:val="24"/>
    </w:rPr>
  </w:style>
  <w:style w:type="character" w:customStyle="1" w:styleId="74">
    <w:name w:val="01、普通正文 Char"/>
    <w:link w:val="73"/>
    <w:qFormat/>
    <w:uiPriority w:val="0"/>
    <w:rPr>
      <w:rFonts w:ascii="宋体" w:hAnsi="宋体" w:cstheme="minorBidi"/>
      <w:snapToGrid w:val="0"/>
      <w:kern w:val="2"/>
      <w:sz w:val="24"/>
      <w:szCs w:val="24"/>
    </w:rPr>
  </w:style>
  <w:style w:type="paragraph" w:customStyle="1" w:styleId="75">
    <w:name w:val="13、表格内居中正文"/>
    <w:basedOn w:val="1"/>
    <w:qFormat/>
    <w:uiPriority w:val="0"/>
    <w:pPr>
      <w:tabs>
        <w:tab w:val="left" w:pos="0"/>
      </w:tabs>
      <w:wordWrap w:val="0"/>
      <w:topLinePunct/>
      <w:adjustRightInd w:val="0"/>
      <w:snapToGrid w:val="0"/>
      <w:spacing w:after="0" w:line="360" w:lineRule="exact"/>
      <w:jc w:val="center"/>
    </w:pPr>
    <w:rPr>
      <w:rFonts w:ascii="宋体" w:hAnsi="宋体" w:cstheme="minorBidi"/>
    </w:rPr>
  </w:style>
  <w:style w:type="paragraph" w:customStyle="1" w:styleId="76">
    <w:name w:val="12、表格内左对齐正文"/>
    <w:basedOn w:val="1"/>
    <w:link w:val="79"/>
    <w:qFormat/>
    <w:uiPriority w:val="0"/>
    <w:pPr>
      <w:tabs>
        <w:tab w:val="left" w:pos="0"/>
      </w:tabs>
      <w:wordWrap w:val="0"/>
      <w:topLinePunct/>
      <w:adjustRightInd w:val="0"/>
      <w:snapToGrid w:val="0"/>
      <w:spacing w:after="0" w:line="360" w:lineRule="exact"/>
      <w:ind w:left="48" w:leftChars="20"/>
      <w:jc w:val="left"/>
    </w:pPr>
    <w:rPr>
      <w:rFonts w:ascii="宋体" w:hAnsi="宋体" w:cstheme="minorBidi"/>
      <w:snapToGrid w:val="0"/>
    </w:rPr>
  </w:style>
  <w:style w:type="paragraph" w:customStyle="1" w:styleId="77">
    <w:name w:val="04“一、”正文二级标题"/>
    <w:basedOn w:val="73"/>
    <w:link w:val="78"/>
    <w:qFormat/>
    <w:uiPriority w:val="0"/>
    <w:pPr>
      <w:ind w:firstLine="803" w:firstLineChars="200"/>
    </w:pPr>
  </w:style>
  <w:style w:type="character" w:customStyle="1" w:styleId="78">
    <w:name w:val="04“一、”正文二级标题 Char"/>
    <w:link w:val="77"/>
    <w:qFormat/>
    <w:uiPriority w:val="0"/>
    <w:rPr>
      <w:rFonts w:ascii="宋体" w:hAnsi="宋体" w:cstheme="minorBidi"/>
      <w:snapToGrid w:val="0"/>
      <w:kern w:val="2"/>
      <w:sz w:val="24"/>
      <w:szCs w:val="24"/>
    </w:rPr>
  </w:style>
  <w:style w:type="character" w:customStyle="1" w:styleId="79">
    <w:name w:val="12、表格内左对齐正文 Char"/>
    <w:link w:val="76"/>
    <w:qFormat/>
    <w:uiPriority w:val="0"/>
    <w:rPr>
      <w:rFonts w:ascii="宋体" w:hAnsi="宋体" w:cstheme="minorBidi"/>
      <w:snapToGrid w:val="0"/>
      <w:kern w:val="2"/>
      <w:sz w:val="21"/>
      <w:szCs w:val="24"/>
    </w:rPr>
  </w:style>
  <w:style w:type="paragraph" w:customStyle="1" w:styleId="80">
    <w:name w:val="15、“一、”二级标题"/>
    <w:basedOn w:val="1"/>
    <w:qFormat/>
    <w:uiPriority w:val="0"/>
    <w:pPr>
      <w:wordWrap w:val="0"/>
      <w:topLinePunct/>
      <w:adjustRightInd w:val="0"/>
      <w:snapToGrid w:val="0"/>
      <w:spacing w:before="100" w:beforeAutospacing="1" w:after="100" w:afterAutospacing="1" w:line="440" w:lineRule="exact"/>
      <w:ind w:left="840" w:hanging="420"/>
      <w:jc w:val="left"/>
      <w:outlineLvl w:val="1"/>
    </w:pPr>
    <w:rPr>
      <w:rFonts w:ascii="宋体" w:hAnsi="宋体"/>
      <w:b/>
      <w:bCs/>
      <w:sz w:val="24"/>
    </w:rPr>
  </w:style>
  <w:style w:type="table" w:customStyle="1" w:styleId="81">
    <w:name w:val="网格型1"/>
    <w:basedOn w:val="34"/>
    <w:qFormat/>
    <w:uiPriority w:val="0"/>
    <w:rPr>
      <w:rFonts w:ascii="等线" w:hAnsi="等线" w:eastAsia="等线"/>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2">
    <w:name w:val="标题 字符"/>
    <w:basedOn w:val="36"/>
    <w:link w:val="31"/>
    <w:qFormat/>
    <w:uiPriority w:val="99"/>
    <w:rPr>
      <w:rFonts w:ascii="等线 Light" w:hAnsi="等线 Light" w:eastAsia="等线"/>
      <w:b/>
      <w:bCs/>
      <w:kern w:val="2"/>
      <w:sz w:val="32"/>
      <w:szCs w:val="32"/>
    </w:rPr>
  </w:style>
  <w:style w:type="paragraph" w:customStyle="1" w:styleId="83">
    <w:name w:val="列出段落1"/>
    <w:basedOn w:val="1"/>
    <w:qFormat/>
    <w:uiPriority w:val="0"/>
    <w:pPr>
      <w:spacing w:after="0" w:line="240" w:lineRule="auto"/>
      <w:ind w:firstLine="420" w:firstLineChars="200"/>
    </w:pPr>
    <w:rPr>
      <w:rFonts w:ascii="Times New Roman" w:hAnsi="Times New Roman"/>
      <w:szCs w:val="21"/>
    </w:rPr>
  </w:style>
  <w:style w:type="paragraph" w:customStyle="1" w:styleId="84">
    <w:name w:val="14、“第一章”一级标题"/>
    <w:basedOn w:val="73"/>
    <w:qFormat/>
    <w:uiPriority w:val="0"/>
    <w:pPr>
      <w:spacing w:before="50" w:beforeLines="50" w:after="50" w:afterLines="50" w:line="240" w:lineRule="auto"/>
      <w:jc w:val="center"/>
      <w:outlineLvl w:val="0"/>
    </w:pPr>
    <w:rPr>
      <w:b/>
      <w:sz w:val="36"/>
    </w:rPr>
  </w:style>
  <w:style w:type="paragraph" w:customStyle="1" w:styleId="85">
    <w:name w:val="16、“(一)”三级标题"/>
    <w:basedOn w:val="73"/>
    <w:qFormat/>
    <w:uiPriority w:val="0"/>
    <w:pPr>
      <w:ind w:firstLine="803" w:firstLineChars="200"/>
      <w:outlineLvl w:val="2"/>
    </w:pPr>
    <w:rPr>
      <w:b/>
    </w:rPr>
  </w:style>
  <w:style w:type="paragraph" w:customStyle="1" w:styleId="86">
    <w:name w:val="17“1.”四级标题"/>
    <w:basedOn w:val="1"/>
    <w:qFormat/>
    <w:uiPriority w:val="0"/>
    <w:pPr>
      <w:tabs>
        <w:tab w:val="left" w:pos="0"/>
      </w:tabs>
      <w:wordWrap w:val="0"/>
      <w:topLinePunct/>
      <w:adjustRightInd w:val="0"/>
      <w:snapToGrid w:val="0"/>
      <w:spacing w:after="0" w:line="440" w:lineRule="exact"/>
      <w:ind w:firstLine="803" w:firstLineChars="200"/>
      <w:jc w:val="left"/>
    </w:pPr>
    <w:rPr>
      <w:rFonts w:ascii="宋体" w:hAnsi="宋体" w:cstheme="minorBidi"/>
      <w:sz w:val="24"/>
    </w:rPr>
  </w:style>
  <w:style w:type="paragraph" w:customStyle="1" w:styleId="87">
    <w:name w:val="18、“1.1”五级标题"/>
    <w:basedOn w:val="86"/>
    <w:qFormat/>
    <w:uiPriority w:val="0"/>
  </w:style>
  <w:style w:type="paragraph" w:customStyle="1" w:styleId="88">
    <w:name w:val="19、“(1)”六级标题"/>
    <w:basedOn w:val="86"/>
    <w:qFormat/>
    <w:uiPriority w:val="0"/>
  </w:style>
  <w:style w:type="character" w:customStyle="1" w:styleId="89">
    <w:name w:val="15"/>
    <w:basedOn w:val="36"/>
    <w:qFormat/>
    <w:uiPriority w:val="0"/>
    <w:rPr>
      <w:rFonts w:hint="eastAsia" w:ascii="宋体" w:hAnsi="宋体" w:eastAsia="宋体"/>
      <w:sz w:val="21"/>
      <w:szCs w:val="21"/>
    </w:rPr>
  </w:style>
  <w:style w:type="paragraph" w:customStyle="1" w:styleId="90">
    <w:name w:val="21、第三章“(一)”三级标题"/>
    <w:basedOn w:val="73"/>
    <w:qFormat/>
    <w:uiPriority w:val="0"/>
    <w:pPr>
      <w:pageBreakBefore/>
      <w:tabs>
        <w:tab w:val="clear" w:pos="0"/>
      </w:tabs>
      <w:spacing w:beforeLines="50" w:afterLines="50"/>
      <w:jc w:val="center"/>
      <w:outlineLvl w:val="2"/>
    </w:pPr>
    <w:rPr>
      <w:rFonts w:cs="Times New Roman"/>
      <w:b/>
      <w:bCs/>
      <w:snapToGrid/>
      <w:sz w:val="28"/>
      <w:szCs w:val="28"/>
    </w:rPr>
  </w:style>
  <w:style w:type="paragraph" w:customStyle="1" w:styleId="91">
    <w:name w:val="03、“注：”正文(加粗，首行缩进2字符)"/>
    <w:basedOn w:val="73"/>
    <w:qFormat/>
    <w:uiPriority w:val="0"/>
    <w:pPr>
      <w:tabs>
        <w:tab w:val="clear" w:pos="0"/>
      </w:tabs>
      <w:ind w:firstLine="480" w:firstLineChars="200"/>
    </w:pPr>
    <w:rPr>
      <w:rFonts w:cs="Times New Roman"/>
      <w:b/>
      <w:bCs/>
      <w:snapToGrid/>
    </w:rPr>
  </w:style>
  <w:style w:type="character" w:customStyle="1" w:styleId="92">
    <w:name w:val="未处理的提及1"/>
    <w:basedOn w:val="36"/>
    <w:semiHidden/>
    <w:unhideWhenUsed/>
    <w:qFormat/>
    <w:uiPriority w:val="99"/>
    <w:rPr>
      <w:color w:val="605E5C"/>
      <w:shd w:val="clear" w:color="auto" w:fill="E1DFDD"/>
    </w:rPr>
  </w:style>
  <w:style w:type="character" w:customStyle="1" w:styleId="93">
    <w:name w:val="标题 2 字符"/>
    <w:basedOn w:val="36"/>
    <w:link w:val="4"/>
    <w:qFormat/>
    <w:uiPriority w:val="99"/>
    <w:rPr>
      <w:rFonts w:ascii="Arial" w:hAnsi="Arial" w:eastAsia="黑体"/>
      <w:b/>
      <w:bCs/>
      <w:kern w:val="2"/>
      <w:sz w:val="32"/>
      <w:szCs w:val="32"/>
    </w:rPr>
  </w:style>
  <w:style w:type="paragraph" w:customStyle="1" w:styleId="94">
    <w:name w:val="正文2"/>
    <w:qFormat/>
    <w:uiPriority w:val="0"/>
    <w:pPr>
      <w:jc w:val="both"/>
    </w:pPr>
    <w:rPr>
      <w:rFonts w:ascii="Times New Roman" w:hAnsi="Times New Roman" w:eastAsia="宋体" w:cs="Times New Roman"/>
      <w:kern w:val="2"/>
      <w:sz w:val="21"/>
      <w:szCs w:val="21"/>
      <w:lang w:val="en-US" w:eastAsia="zh-CN" w:bidi="ar-SA"/>
    </w:rPr>
  </w:style>
  <w:style w:type="character" w:customStyle="1" w:styleId="95">
    <w:name w:val="正文文本缩进 2 字符"/>
    <w:basedOn w:val="36"/>
    <w:link w:val="19"/>
    <w:semiHidden/>
    <w:qFormat/>
    <w:uiPriority w:val="0"/>
    <w:rPr>
      <w:rFonts w:ascii="Calibri" w:hAnsi="Calibri"/>
      <w:kern w:val="2"/>
      <w:sz w:val="21"/>
      <w:szCs w:val="24"/>
    </w:rPr>
  </w:style>
  <w:style w:type="paragraph" w:customStyle="1" w:styleId="96">
    <w:name w:val="GW-正文"/>
    <w:basedOn w:val="1"/>
    <w:qFormat/>
    <w:uiPriority w:val="0"/>
    <w:pPr>
      <w:spacing w:after="0" w:line="360" w:lineRule="auto"/>
      <w:ind w:firstLine="200" w:firstLineChars="200"/>
    </w:pPr>
    <w:rPr>
      <w:rFonts w:ascii="Times New Roman" w:hAnsi="Times New Roman" w:eastAsia="仿宋_GB2312"/>
      <w:sz w:val="24"/>
    </w:rPr>
  </w:style>
  <w:style w:type="character" w:customStyle="1" w:styleId="97">
    <w:name w:val="16"/>
    <w:basedOn w:val="36"/>
    <w:qFormat/>
    <w:uiPriority w:val="0"/>
    <w:rPr>
      <w:rFonts w:hint="eastAsia" w:ascii="宋体" w:hAnsi="宋体" w:eastAsia="宋体"/>
      <w:sz w:val="21"/>
      <w:szCs w:val="21"/>
    </w:rPr>
  </w:style>
  <w:style w:type="paragraph" w:customStyle="1" w:styleId="98">
    <w:name w:val="正文3"/>
    <w:qFormat/>
    <w:uiPriority w:val="0"/>
    <w:pPr>
      <w:jc w:val="both"/>
    </w:pPr>
    <w:rPr>
      <w:rFonts w:ascii="Calibri" w:hAnsi="Calibri" w:eastAsia="宋体" w:cs="Calibri"/>
      <w:kern w:val="2"/>
      <w:sz w:val="21"/>
      <w:szCs w:val="21"/>
      <w:lang w:val="en-US" w:eastAsia="zh-CN" w:bidi="ar-SA"/>
    </w:rPr>
  </w:style>
  <w:style w:type="character" w:customStyle="1" w:styleId="99">
    <w:name w:val="纯文本 字符"/>
    <w:basedOn w:val="36"/>
    <w:link w:val="17"/>
    <w:qFormat/>
    <w:uiPriority w:val="99"/>
    <w:rPr>
      <w:rFonts w:ascii="宋体" w:hAnsi="Courier New"/>
      <w:kern w:val="2"/>
      <w:sz w:val="21"/>
      <w:szCs w:val="21"/>
    </w:rPr>
  </w:style>
  <w:style w:type="paragraph" w:customStyle="1" w:styleId="100">
    <w:name w:val="_Style 2"/>
    <w:basedOn w:val="1"/>
    <w:qFormat/>
    <w:uiPriority w:val="0"/>
    <w:pPr>
      <w:spacing w:before="100" w:beforeAutospacing="1" w:line="256" w:lineRule="auto"/>
      <w:ind w:firstLine="420" w:firstLineChars="200"/>
    </w:pPr>
    <w:rPr>
      <w:sz w:val="18"/>
      <w:szCs w:val="18"/>
    </w:rPr>
  </w:style>
  <w:style w:type="paragraph" w:customStyle="1" w:styleId="101">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2">
    <w:name w:val="标题 5（有编号）（绿盟科技）"/>
    <w:basedOn w:val="1"/>
    <w:next w:val="103"/>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103">
    <w:name w:val="正文（绿盟科技）"/>
    <w:qFormat/>
    <w:uiPriority w:val="0"/>
    <w:pPr>
      <w:spacing w:line="300" w:lineRule="auto"/>
    </w:pPr>
    <w:rPr>
      <w:rFonts w:ascii="Arial" w:hAnsi="Arial" w:eastAsia="宋体" w:cs="Times New Roman"/>
      <w:sz w:val="21"/>
      <w:szCs w:val="21"/>
      <w:lang w:val="en-US" w:eastAsia="zh-CN" w:bidi="ar-SA"/>
    </w:rPr>
  </w:style>
  <w:style w:type="character" w:customStyle="1" w:styleId="104">
    <w:name w:val="hover1"/>
    <w:basedOn w:val="36"/>
    <w:qFormat/>
    <w:uiPriority w:val="0"/>
    <w:rPr>
      <w:color w:val="2590EB"/>
    </w:rPr>
  </w:style>
  <w:style w:type="character" w:customStyle="1" w:styleId="105">
    <w:name w:val="hover2"/>
    <w:basedOn w:val="36"/>
    <w:qFormat/>
    <w:uiPriority w:val="0"/>
    <w:rPr>
      <w:color w:val="2590EB"/>
    </w:rPr>
  </w:style>
  <w:style w:type="character" w:customStyle="1" w:styleId="106">
    <w:name w:val="hover3"/>
    <w:basedOn w:val="36"/>
    <w:qFormat/>
    <w:uiPriority w:val="0"/>
  </w:style>
  <w:style w:type="character" w:customStyle="1" w:styleId="107">
    <w:name w:val="mini-outputtext1"/>
    <w:basedOn w:val="36"/>
    <w:qFormat/>
    <w:uiPriority w:val="0"/>
  </w:style>
  <w:style w:type="paragraph" w:customStyle="1" w:styleId="108">
    <w:name w:val="表格"/>
    <w:basedOn w:val="1"/>
    <w:qFormat/>
    <w:uiPriority w:val="0"/>
    <w:pPr>
      <w:spacing w:line="240" w:lineRule="auto"/>
      <w:jc w:val="center"/>
    </w:pPr>
    <w:rPr>
      <w:rFonts w:ascii="Times New Roman" w:hAnsi="Times New Roman"/>
    </w:rPr>
  </w:style>
  <w:style w:type="paragraph" w:customStyle="1" w:styleId="109">
    <w:name w:val="CD正文"/>
    <w:basedOn w:val="1"/>
    <w:qFormat/>
    <w:uiPriority w:val="99"/>
    <w:pPr>
      <w:spacing w:line="360" w:lineRule="auto"/>
      <w:ind w:firstLine="493"/>
    </w:pPr>
    <w:rPr>
      <w:sz w:val="30"/>
      <w:szCs w:val="30"/>
    </w:rPr>
  </w:style>
  <w:style w:type="paragraph" w:customStyle="1" w:styleId="110">
    <w:name w:val="Table Paragraph"/>
    <w:basedOn w:val="1"/>
    <w:qFormat/>
    <w:uiPriority w:val="1"/>
    <w:rPr>
      <w:rFonts w:ascii="仿宋" w:hAnsi="仿宋" w:eastAsia="仿宋" w:cs="仿宋"/>
      <w:lang w:val="zh-CN" w:bidi="zh-CN"/>
    </w:rPr>
  </w:style>
  <w:style w:type="character" w:customStyle="1" w:styleId="111">
    <w:name w:val="正文文本 Char"/>
    <w:basedOn w:val="36"/>
    <w:link w:val="2"/>
    <w:qFormat/>
    <w:uiPriority w:val="0"/>
    <w:rPr>
      <w:rFonts w:hint="default" w:ascii="Calibri" w:hAnsi="Calibri" w:cs="Calibr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theme" Target="theme/theme1.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5.xml"/><Relationship Id="rId16" Type="http://schemas.openxmlformats.org/officeDocument/2006/relationships/header" Target="header4.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9CC9DE-AD9C-4825-8262-CB03957E76B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97</Pages>
  <Words>41592</Words>
  <Characters>43981</Characters>
  <Lines>340</Lines>
  <Paragraphs>95</Paragraphs>
  <TotalTime>96</TotalTime>
  <ScaleCrop>false</ScaleCrop>
  <LinksUpToDate>false</LinksUpToDate>
  <CharactersWithSpaces>44943</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2021-04-29T02:33:00Z</dcterms:created>
  <dc:creator>s</dc:creator>
  <cp:lastModifiedBy>大脸猫</cp:lastModifiedBy>
  <dcterms:modified xsi:type="dcterms:W3CDTF">2021-11-03T07:16:03Z</dcterms:modified>
  <dc:title>招标编号：xxxx [xxxx] xx号</dc:title>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B59768DAB5B243C9B363639F6EAF9C95</vt:lpwstr>
  </property>
</Properties>
</file>