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ind w:firstLine="482" w:firstLineChars="200"/>
        <w:rPr>
          <w:rFonts w:hAnsi="宋体"/>
          <w:b/>
          <w:color w:val="auto"/>
          <w:sz w:val="24"/>
          <w:szCs w:val="24"/>
          <w:highlight w:val="none"/>
        </w:rPr>
      </w:pPr>
    </w:p>
    <w:p>
      <w:pPr>
        <w:snapToGrid w:val="0"/>
        <w:spacing w:line="360" w:lineRule="auto"/>
        <w:ind w:firstLine="482" w:firstLineChars="200"/>
        <w:jc w:val="right"/>
        <w:rPr>
          <w:rFonts w:ascii="Times New Roman"/>
          <w:b/>
          <w:color w:val="auto"/>
          <w:kern w:val="2"/>
          <w:sz w:val="24"/>
          <w:szCs w:val="24"/>
          <w:highlight w:val="none"/>
        </w:rPr>
      </w:pPr>
      <w:r>
        <w:rPr>
          <w:rFonts w:hint="eastAsia" w:hAnsi="宋体" w:cs="宋体"/>
          <w:b/>
          <w:color w:val="auto"/>
          <w:sz w:val="24"/>
          <w:szCs w:val="24"/>
          <w:highlight w:val="none"/>
          <w:lang w:val="en-US" w:eastAsia="zh-CN"/>
        </w:rPr>
        <w:t xml:space="preserve"> </w:t>
      </w:r>
      <w:r>
        <w:rPr>
          <w:rFonts w:hint="eastAsia" w:hAnsi="宋体" w:cs="宋体"/>
          <w:b/>
          <w:color w:val="auto"/>
          <w:sz w:val="24"/>
          <w:szCs w:val="24"/>
          <w:highlight w:val="none"/>
        </w:rPr>
        <w:t xml:space="preserve">   </w:t>
      </w:r>
      <w:r>
        <w:rPr>
          <w:rFonts w:hint="eastAsia" w:hAnsi="宋体" w:cs="宋体"/>
          <w:b/>
          <w:color w:val="auto"/>
          <w:sz w:val="24"/>
          <w:szCs w:val="24"/>
          <w:highlight w:val="none"/>
          <w:lang w:val="zh-CN"/>
        </w:rPr>
        <w:t>采购项目编号：以四川政府采购网发布的编号为准</w:t>
      </w:r>
    </w:p>
    <w:p>
      <w:pPr>
        <w:snapToGrid w:val="0"/>
        <w:spacing w:line="360" w:lineRule="auto"/>
        <w:ind w:firstLine="482" w:firstLineChars="200"/>
        <w:rPr>
          <w:rFonts w:ascii="Times New Roman"/>
          <w:b/>
          <w:color w:val="auto"/>
          <w:kern w:val="2"/>
          <w:sz w:val="24"/>
          <w:szCs w:val="24"/>
          <w:highlight w:val="none"/>
        </w:rPr>
      </w:pPr>
    </w:p>
    <w:p>
      <w:pPr>
        <w:pStyle w:val="2"/>
        <w:rPr>
          <w:rFonts w:ascii="Times New Roman"/>
          <w:b/>
          <w:color w:val="auto"/>
          <w:kern w:val="2"/>
          <w:sz w:val="24"/>
          <w:szCs w:val="24"/>
          <w:highlight w:val="none"/>
        </w:rPr>
      </w:pPr>
    </w:p>
    <w:p>
      <w:pPr>
        <w:pStyle w:val="11"/>
        <w:rPr>
          <w:color w:val="auto"/>
          <w:highlight w:val="none"/>
        </w:rPr>
      </w:pPr>
    </w:p>
    <w:p>
      <w:pPr>
        <w:snapToGrid w:val="0"/>
        <w:spacing w:line="360" w:lineRule="auto"/>
        <w:ind w:firstLine="482" w:firstLineChars="200"/>
        <w:jc w:val="center"/>
        <w:rPr>
          <w:rFonts w:hAnsi="宋体"/>
          <w:b/>
          <w:color w:val="auto"/>
          <w:sz w:val="24"/>
          <w:szCs w:val="24"/>
          <w:highlight w:val="none"/>
        </w:rPr>
      </w:pPr>
      <w:r>
        <w:rPr>
          <w:rFonts w:hint="eastAsia" w:hAnsi="宋体"/>
          <w:b/>
          <w:color w:val="auto"/>
          <w:sz w:val="24"/>
          <w:szCs w:val="24"/>
          <w:highlight w:val="none"/>
        </w:rPr>
        <w:drawing>
          <wp:inline distT="0" distB="0" distL="114300" distR="114300">
            <wp:extent cx="2940685" cy="2347595"/>
            <wp:effectExtent l="0" t="0" r="12065"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2940685" cy="2347595"/>
                    </a:xfrm>
                    <a:prstGeom prst="rect">
                      <a:avLst/>
                    </a:prstGeom>
                    <a:noFill/>
                    <a:ln>
                      <a:noFill/>
                    </a:ln>
                  </pic:spPr>
                </pic:pic>
              </a:graphicData>
            </a:graphic>
          </wp:inline>
        </w:drawing>
      </w:r>
    </w:p>
    <w:p>
      <w:pPr>
        <w:snapToGrid w:val="0"/>
        <w:spacing w:line="360" w:lineRule="auto"/>
        <w:ind w:firstLine="482" w:firstLineChars="200"/>
        <w:rPr>
          <w:rFonts w:ascii="Times New Roman"/>
          <w:b/>
          <w:color w:val="auto"/>
          <w:kern w:val="2"/>
          <w:sz w:val="24"/>
          <w:szCs w:val="24"/>
          <w:highlight w:val="none"/>
        </w:rPr>
      </w:pPr>
    </w:p>
    <w:p>
      <w:pPr>
        <w:pStyle w:val="2"/>
        <w:rPr>
          <w:rFonts w:ascii="Times New Roman"/>
          <w:b/>
          <w:color w:val="auto"/>
          <w:kern w:val="2"/>
          <w:sz w:val="24"/>
          <w:szCs w:val="24"/>
          <w:highlight w:val="none"/>
        </w:rPr>
      </w:pPr>
    </w:p>
    <w:p>
      <w:pPr>
        <w:autoSpaceDE w:val="0"/>
        <w:autoSpaceDN w:val="0"/>
        <w:adjustRightInd w:val="0"/>
        <w:jc w:val="center"/>
        <w:rPr>
          <w:rFonts w:hAnsi="宋体" w:cs="宋体"/>
          <w:b/>
          <w:color w:val="auto"/>
          <w:sz w:val="24"/>
          <w:szCs w:val="24"/>
          <w:highlight w:val="none"/>
          <w:lang w:val="zh-CN"/>
        </w:rPr>
      </w:pPr>
    </w:p>
    <w:p>
      <w:pPr>
        <w:snapToGrid w:val="0"/>
        <w:spacing w:line="360" w:lineRule="auto"/>
        <w:ind w:firstLine="482" w:firstLineChars="200"/>
        <w:rPr>
          <w:rFonts w:ascii="Times New Roman"/>
          <w:b/>
          <w:color w:val="auto"/>
          <w:kern w:val="2"/>
          <w:sz w:val="24"/>
          <w:szCs w:val="24"/>
          <w:highlight w:val="none"/>
          <w:lang w:val="zh-CN"/>
        </w:rPr>
      </w:pPr>
    </w:p>
    <w:p>
      <w:pPr>
        <w:autoSpaceDE w:val="0"/>
        <w:autoSpaceDN w:val="0"/>
        <w:adjustRightInd w:val="0"/>
        <w:jc w:val="center"/>
        <w:rPr>
          <w:rFonts w:hint="eastAsia" w:hAnsi="宋体" w:cs="宋体"/>
          <w:b/>
          <w:bCs/>
          <w:color w:val="auto"/>
          <w:sz w:val="28"/>
          <w:szCs w:val="28"/>
          <w:highlight w:val="none"/>
        </w:rPr>
      </w:pPr>
      <w:r>
        <w:rPr>
          <w:rFonts w:hint="eastAsia" w:hAnsi="宋体" w:cs="宋体"/>
          <w:b/>
          <w:bCs/>
          <w:color w:val="auto"/>
          <w:sz w:val="28"/>
          <w:szCs w:val="28"/>
          <w:highlight w:val="none"/>
        </w:rPr>
        <w:t>2021年路灯维护材料采购</w:t>
      </w:r>
    </w:p>
    <w:p>
      <w:pPr>
        <w:autoSpaceDE w:val="0"/>
        <w:autoSpaceDN w:val="0"/>
        <w:adjustRightInd w:val="0"/>
        <w:jc w:val="center"/>
        <w:rPr>
          <w:rFonts w:hint="eastAsia" w:hAnsi="宋体" w:cs="宋体"/>
          <w:b/>
          <w:bCs/>
          <w:color w:val="auto"/>
          <w:sz w:val="28"/>
          <w:szCs w:val="28"/>
          <w:highlight w:val="none"/>
        </w:rPr>
      </w:pPr>
    </w:p>
    <w:p>
      <w:pPr>
        <w:autoSpaceDE w:val="0"/>
        <w:autoSpaceDN w:val="0"/>
        <w:adjustRightInd w:val="0"/>
        <w:jc w:val="center"/>
        <w:rPr>
          <w:rFonts w:hAnsi="宋体" w:cs="宋体"/>
          <w:b/>
          <w:bCs/>
          <w:color w:val="auto"/>
          <w:sz w:val="28"/>
          <w:szCs w:val="28"/>
          <w:highlight w:val="none"/>
        </w:rPr>
      </w:pPr>
      <w:r>
        <w:rPr>
          <w:rFonts w:hint="eastAsia" w:hAnsi="宋体" w:cs="宋体"/>
          <w:b/>
          <w:bCs/>
          <w:color w:val="auto"/>
          <w:sz w:val="28"/>
          <w:szCs w:val="28"/>
          <w:highlight w:val="none"/>
          <w:lang w:eastAsia="zh-CN"/>
        </w:rPr>
        <w:t>招标文件</w:t>
      </w:r>
    </w:p>
    <w:p>
      <w:pPr>
        <w:adjustRightInd w:val="0"/>
        <w:snapToGrid w:val="0"/>
        <w:spacing w:line="360" w:lineRule="auto"/>
        <w:jc w:val="center"/>
        <w:rPr>
          <w:rFonts w:hAnsi="宋体" w:cs="宋体"/>
          <w:b/>
          <w:color w:val="auto"/>
          <w:sz w:val="28"/>
          <w:szCs w:val="28"/>
          <w:highlight w:val="none"/>
          <w:lang w:val="zh-CN"/>
        </w:rPr>
      </w:pPr>
    </w:p>
    <w:p>
      <w:pPr>
        <w:adjustRightInd w:val="0"/>
        <w:snapToGrid w:val="0"/>
        <w:spacing w:line="360" w:lineRule="auto"/>
        <w:jc w:val="center"/>
        <w:rPr>
          <w:rFonts w:hint="eastAsia" w:hAnsi="宋体" w:cs="宋体"/>
          <w:b/>
          <w:color w:val="auto"/>
          <w:sz w:val="28"/>
          <w:szCs w:val="28"/>
          <w:highlight w:val="none"/>
          <w:lang w:val="zh-CN"/>
        </w:rPr>
      </w:pPr>
      <w:r>
        <w:rPr>
          <w:rFonts w:hint="eastAsia" w:hAnsi="宋体" w:cs="宋体"/>
          <w:b/>
          <w:color w:val="auto"/>
          <w:sz w:val="28"/>
          <w:szCs w:val="28"/>
          <w:highlight w:val="none"/>
          <w:lang w:val="zh-CN"/>
        </w:rPr>
        <w:t>中国•四川•成都</w:t>
      </w:r>
    </w:p>
    <w:p>
      <w:pPr>
        <w:adjustRightInd w:val="0"/>
        <w:snapToGrid w:val="0"/>
        <w:spacing w:line="360" w:lineRule="auto"/>
        <w:jc w:val="center"/>
        <w:rPr>
          <w:rFonts w:hAnsi="宋体" w:cs="宋体"/>
          <w:b/>
          <w:color w:val="auto"/>
          <w:sz w:val="28"/>
          <w:szCs w:val="28"/>
          <w:highlight w:val="none"/>
          <w:lang w:val="zh-CN"/>
        </w:rPr>
      </w:pPr>
      <w:r>
        <w:rPr>
          <w:rFonts w:hint="eastAsia" w:hAnsi="宋体" w:cs="宋体"/>
          <w:b/>
          <w:color w:val="auto"/>
          <w:sz w:val="28"/>
          <w:szCs w:val="28"/>
          <w:highlight w:val="none"/>
          <w:lang w:val="zh-CN"/>
        </w:rPr>
        <w:t>成都云辉工程项目管理有限公司（编制）</w:t>
      </w:r>
    </w:p>
    <w:p>
      <w:pPr>
        <w:adjustRightInd w:val="0"/>
        <w:snapToGrid w:val="0"/>
        <w:spacing w:line="360" w:lineRule="auto"/>
        <w:jc w:val="center"/>
        <w:rPr>
          <w:rFonts w:hAnsi="宋体" w:cs="宋体"/>
          <w:b/>
          <w:color w:val="auto"/>
          <w:sz w:val="28"/>
          <w:szCs w:val="28"/>
          <w:highlight w:val="none"/>
          <w:lang w:val="zh-CN"/>
        </w:rPr>
      </w:pPr>
      <w:r>
        <w:rPr>
          <w:rFonts w:hint="eastAsia" w:hAnsi="宋体" w:cs="宋体"/>
          <w:b/>
          <w:color w:val="auto"/>
          <w:sz w:val="28"/>
          <w:szCs w:val="28"/>
          <w:highlight w:val="none"/>
          <w:lang w:val="zh-CN"/>
        </w:rPr>
        <w:t>成都市龙泉驿区市政设施管理服务中心（审定）</w:t>
      </w:r>
    </w:p>
    <w:p>
      <w:pPr>
        <w:adjustRightInd w:val="0"/>
        <w:snapToGrid w:val="0"/>
        <w:spacing w:line="360" w:lineRule="auto"/>
        <w:jc w:val="center"/>
        <w:rPr>
          <w:rFonts w:hAnsi="宋体" w:cs="宋体"/>
          <w:b/>
          <w:color w:val="auto"/>
          <w:sz w:val="28"/>
          <w:szCs w:val="28"/>
          <w:highlight w:val="none"/>
          <w:lang w:val="zh-CN"/>
        </w:rPr>
      </w:pPr>
      <w:r>
        <w:rPr>
          <w:rFonts w:hint="eastAsia" w:hAnsi="宋体" w:cs="宋体"/>
          <w:b/>
          <w:color w:val="auto"/>
          <w:sz w:val="28"/>
          <w:szCs w:val="28"/>
          <w:highlight w:val="none"/>
          <w:lang w:val="zh-CN"/>
        </w:rPr>
        <w:t>二〇二一年八月</w:t>
      </w:r>
    </w:p>
    <w:p>
      <w:pPr>
        <w:jc w:val="right"/>
        <w:rPr>
          <w:rFonts w:ascii="宋体" w:hAnsi="宋体" w:cs="仿宋"/>
          <w:b/>
          <w:color w:val="auto"/>
          <w:sz w:val="30"/>
          <w:szCs w:val="30"/>
          <w:highlight w:val="none"/>
        </w:rPr>
      </w:pPr>
      <w:r>
        <w:rPr>
          <w:rFonts w:hint="eastAsia" w:ascii="宋体" w:hAnsi="宋体" w:cs="仿宋"/>
          <w:b/>
          <w:color w:val="auto"/>
          <w:sz w:val="30"/>
          <w:szCs w:val="30"/>
          <w:highlight w:val="none"/>
        </w:rPr>
        <w:t xml:space="preserve">                   </w:t>
      </w:r>
    </w:p>
    <w:p>
      <w:pPr>
        <w:jc w:val="center"/>
        <w:rPr>
          <w:rFonts w:hint="eastAsia" w:ascii="宋体" w:hAnsi="宋体" w:cs="仿宋"/>
          <w:b/>
          <w:color w:val="auto"/>
          <w:sz w:val="30"/>
          <w:szCs w:val="30"/>
          <w:highlight w:val="none"/>
          <w:lang w:val="en-US" w:eastAsia="zh-CN"/>
        </w:rPr>
      </w:pPr>
      <w:r>
        <w:rPr>
          <w:rFonts w:hint="eastAsia" w:ascii="宋体" w:hAnsi="宋体" w:cs="仿宋"/>
          <w:b/>
          <w:color w:val="auto"/>
          <w:sz w:val="30"/>
          <w:szCs w:val="30"/>
          <w:highlight w:val="none"/>
          <w:lang w:val="en-US" w:eastAsia="zh-CN"/>
        </w:rPr>
        <w:t xml:space="preserve">     </w:t>
      </w:r>
      <w:bookmarkStart w:id="0" w:name="_Hlt101233737"/>
      <w:bookmarkEnd w:id="0"/>
      <w:bookmarkStart w:id="1" w:name="_Hlt101843627"/>
      <w:bookmarkEnd w:id="1"/>
    </w:p>
    <w:p>
      <w:pPr>
        <w:jc w:val="center"/>
        <w:rPr>
          <w:rFonts w:hint="eastAsia" w:ascii="宋体" w:hAnsi="宋体" w:cs="仿宋"/>
          <w:b/>
          <w:color w:val="auto"/>
          <w:sz w:val="30"/>
          <w:szCs w:val="30"/>
          <w:highlight w:val="none"/>
          <w:lang w:val="en-US" w:eastAsia="zh-CN"/>
        </w:rPr>
      </w:pPr>
    </w:p>
    <w:p>
      <w:pPr>
        <w:jc w:val="center"/>
        <w:rPr>
          <w:rFonts w:hint="eastAsia" w:ascii="宋体" w:hAnsi="宋体" w:cs="仿宋"/>
          <w:b/>
          <w:color w:val="auto"/>
          <w:sz w:val="30"/>
          <w:szCs w:val="30"/>
          <w:highlight w:val="none"/>
          <w:lang w:val="en-US" w:eastAsia="zh-CN"/>
        </w:rPr>
      </w:pPr>
    </w:p>
    <w:p>
      <w:pPr>
        <w:jc w:val="center"/>
        <w:rPr>
          <w:rFonts w:hint="eastAsia" w:ascii="宋体" w:hAnsi="宋体" w:cs="仿宋"/>
          <w:b/>
          <w:color w:val="auto"/>
          <w:sz w:val="30"/>
          <w:szCs w:val="30"/>
          <w:highlight w:val="none"/>
          <w:lang w:val="en-US" w:eastAsia="zh-CN"/>
        </w:rPr>
      </w:pPr>
    </w:p>
    <w:p>
      <w:pPr>
        <w:jc w:val="both"/>
        <w:rPr>
          <w:rFonts w:hint="eastAsia" w:ascii="宋体" w:hAnsi="宋体" w:cs="仿宋"/>
          <w:b/>
          <w:color w:val="auto"/>
          <w:sz w:val="30"/>
          <w:szCs w:val="30"/>
          <w:highlight w:val="none"/>
          <w:lang w:val="en-US" w:eastAsia="zh-CN"/>
        </w:rPr>
      </w:pPr>
    </w:p>
    <w:p>
      <w:pPr>
        <w:jc w:val="center"/>
        <w:rPr>
          <w:rFonts w:hint="eastAsia" w:ascii="宋体" w:hAnsi="宋体" w:cs="仿宋"/>
          <w:b/>
          <w:color w:val="auto"/>
          <w:sz w:val="30"/>
          <w:szCs w:val="30"/>
          <w:highlight w:val="none"/>
          <w:lang w:val="en-US" w:eastAsia="zh-CN"/>
        </w:rPr>
        <w:sectPr>
          <w:headerReference r:id="rId3" w:type="default"/>
          <w:footerReference r:id="rId4" w:type="default"/>
          <w:pgSz w:w="11907" w:h="16840"/>
          <w:pgMar w:top="1440" w:right="1474" w:bottom="1440" w:left="1474" w:header="851" w:footer="992" w:gutter="0"/>
          <w:pgNumType w:fmt="decimal" w:start="0"/>
          <w:cols w:space="720" w:num="1"/>
          <w:docGrid w:linePitch="312" w:charSpace="0"/>
        </w:sectPr>
      </w:pPr>
    </w:p>
    <w:p>
      <w:pPr>
        <w:pStyle w:val="2"/>
        <w:rPr>
          <w:rFonts w:hint="eastAsia"/>
          <w:color w:val="auto"/>
          <w:highlight w:val="none"/>
          <w:lang w:val="en-US" w:eastAsia="zh-CN"/>
        </w:rPr>
      </w:pPr>
    </w:p>
    <w:p>
      <w:pPr>
        <w:jc w:val="center"/>
        <w:rPr>
          <w:rFonts w:ascii="宋体" w:hAnsi="宋体" w:cs="仿宋"/>
          <w:b/>
          <w:bCs/>
          <w:color w:val="auto"/>
          <w:sz w:val="36"/>
          <w:szCs w:val="36"/>
          <w:highlight w:val="none"/>
        </w:rPr>
      </w:pPr>
      <w:r>
        <w:rPr>
          <w:rFonts w:hint="eastAsia" w:ascii="宋体" w:hAnsi="宋体" w:cs="仿宋"/>
          <w:b/>
          <w:bCs/>
          <w:color w:val="auto"/>
          <w:sz w:val="36"/>
          <w:szCs w:val="36"/>
          <w:highlight w:val="none"/>
        </w:rPr>
        <w:t>目    录</w:t>
      </w:r>
    </w:p>
    <w:p>
      <w:pPr>
        <w:jc w:val="center"/>
        <w:rPr>
          <w:rFonts w:ascii="宋体" w:hAnsi="宋体" w:cs="仿宋"/>
          <w:b/>
          <w:bCs/>
          <w:color w:val="auto"/>
          <w:sz w:val="36"/>
          <w:szCs w:val="36"/>
          <w:highlight w:val="none"/>
        </w:rPr>
      </w:pPr>
    </w:p>
    <w:p>
      <w:pPr>
        <w:pStyle w:val="54"/>
        <w:tabs>
          <w:tab w:val="right" w:leader="middleDot" w:pos="8959"/>
        </w:tabs>
        <w:spacing w:line="480" w:lineRule="auto"/>
        <w:rPr>
          <w:rFonts w:ascii="宋体" w:hAnsi="宋体" w:cs="仿宋"/>
          <w:color w:val="auto"/>
          <w:sz w:val="24"/>
          <w:highlight w:val="none"/>
        </w:rPr>
      </w:pPr>
      <w:r>
        <w:rPr>
          <w:rFonts w:hint="eastAsia" w:ascii="宋体" w:hAnsi="宋体" w:cs="仿宋"/>
          <w:color w:val="auto"/>
          <w:sz w:val="28"/>
          <w:szCs w:val="28"/>
          <w:highlight w:val="none"/>
        </w:rPr>
        <w:fldChar w:fldCharType="begin"/>
      </w:r>
      <w:r>
        <w:rPr>
          <w:rFonts w:hint="eastAsia" w:ascii="宋体" w:hAnsi="宋体" w:cs="仿宋"/>
          <w:color w:val="auto"/>
          <w:sz w:val="28"/>
          <w:szCs w:val="28"/>
          <w:highlight w:val="none"/>
        </w:rPr>
        <w:instrText xml:space="preserve">TOC \o "1-1" \h \u </w:instrText>
      </w:r>
      <w:r>
        <w:rPr>
          <w:rFonts w:hint="eastAsia" w:ascii="宋体" w:hAnsi="宋体" w:cs="仿宋"/>
          <w:color w:val="auto"/>
          <w:sz w:val="28"/>
          <w:szCs w:val="28"/>
          <w:highlight w:val="none"/>
        </w:rPr>
        <w:fldChar w:fldCharType="separate"/>
      </w:r>
      <w:r>
        <w:rPr>
          <w:color w:val="auto"/>
          <w:highlight w:val="none"/>
        </w:rPr>
        <w:fldChar w:fldCharType="begin"/>
      </w:r>
      <w:r>
        <w:rPr>
          <w:color w:val="auto"/>
          <w:highlight w:val="none"/>
        </w:rPr>
        <w:instrText xml:space="preserve"> HYPERLINK \l "_Toc6066" </w:instrText>
      </w:r>
      <w:r>
        <w:rPr>
          <w:color w:val="auto"/>
          <w:highlight w:val="none"/>
        </w:rPr>
        <w:fldChar w:fldCharType="separate"/>
      </w:r>
      <w:r>
        <w:rPr>
          <w:rFonts w:hint="eastAsia" w:ascii="宋体" w:hAnsi="宋体" w:cs="仿宋"/>
          <w:color w:val="auto"/>
          <w:sz w:val="24"/>
          <w:highlight w:val="none"/>
        </w:rPr>
        <w:t>第一章  投标</w:t>
      </w:r>
      <w:bookmarkStart w:id="2" w:name="_Hlt493498728"/>
      <w:bookmarkStart w:id="3" w:name="_Hlt493498729"/>
      <w:r>
        <w:rPr>
          <w:rFonts w:hint="eastAsia" w:ascii="宋体" w:hAnsi="宋体" w:cs="仿宋"/>
          <w:color w:val="auto"/>
          <w:sz w:val="24"/>
          <w:highlight w:val="none"/>
        </w:rPr>
        <w:t>邀</w:t>
      </w:r>
      <w:bookmarkEnd w:id="2"/>
      <w:bookmarkEnd w:id="3"/>
      <w:r>
        <w:rPr>
          <w:rFonts w:hint="eastAsia" w:ascii="宋体" w:hAnsi="宋体" w:cs="仿宋"/>
          <w:color w:val="auto"/>
          <w:sz w:val="24"/>
          <w:highlight w:val="none"/>
        </w:rPr>
        <w:t>请</w:t>
      </w:r>
      <w:r>
        <w:rPr>
          <w:rFonts w:hint="eastAsia" w:ascii="宋体" w:hAnsi="宋体" w:cs="仿宋"/>
          <w:color w:val="auto"/>
          <w:sz w:val="24"/>
          <w:highlight w:val="none"/>
        </w:rPr>
        <w:tab/>
      </w:r>
      <w:r>
        <w:rPr>
          <w:rFonts w:hint="eastAsia" w:ascii="宋体" w:hAnsi="宋体" w:cs="仿宋"/>
          <w:color w:val="auto"/>
          <w:sz w:val="24"/>
          <w:highlight w:val="none"/>
        </w:rPr>
        <w:fldChar w:fldCharType="begin"/>
      </w:r>
      <w:r>
        <w:rPr>
          <w:rFonts w:hint="eastAsia" w:ascii="宋体" w:hAnsi="宋体" w:cs="仿宋"/>
          <w:color w:val="auto"/>
          <w:sz w:val="24"/>
          <w:highlight w:val="none"/>
        </w:rPr>
        <w:instrText xml:space="preserve"> PAGEREF _Toc6066 </w:instrText>
      </w:r>
      <w:r>
        <w:rPr>
          <w:rFonts w:hint="eastAsia" w:ascii="宋体" w:hAnsi="宋体" w:cs="仿宋"/>
          <w:color w:val="auto"/>
          <w:sz w:val="24"/>
          <w:highlight w:val="none"/>
        </w:rPr>
        <w:fldChar w:fldCharType="separate"/>
      </w:r>
      <w:r>
        <w:rPr>
          <w:rFonts w:hint="eastAsia" w:ascii="宋体" w:hAnsi="宋体" w:cs="仿宋"/>
          <w:color w:val="auto"/>
          <w:sz w:val="24"/>
          <w:highlight w:val="none"/>
        </w:rPr>
        <w:t>2</w:t>
      </w:r>
      <w:r>
        <w:rPr>
          <w:rFonts w:hint="eastAsia" w:ascii="宋体" w:hAnsi="宋体" w:cs="仿宋"/>
          <w:color w:val="auto"/>
          <w:sz w:val="24"/>
          <w:highlight w:val="none"/>
        </w:rPr>
        <w:fldChar w:fldCharType="end"/>
      </w:r>
      <w:r>
        <w:rPr>
          <w:rFonts w:hint="eastAsia" w:ascii="宋体" w:hAnsi="宋体" w:cs="仿宋"/>
          <w:color w:val="auto"/>
          <w:sz w:val="24"/>
          <w:highlight w:val="none"/>
        </w:rPr>
        <w:fldChar w:fldCharType="end"/>
      </w:r>
    </w:p>
    <w:p>
      <w:pPr>
        <w:pStyle w:val="54"/>
        <w:tabs>
          <w:tab w:val="right" w:leader="middleDot" w:pos="8959"/>
        </w:tabs>
        <w:spacing w:line="480" w:lineRule="auto"/>
        <w:rPr>
          <w:rFonts w:ascii="宋体" w:hAnsi="宋体" w:cs="仿宋"/>
          <w:color w:val="auto"/>
          <w:sz w:val="24"/>
          <w:highlight w:val="none"/>
        </w:rPr>
      </w:pPr>
      <w:r>
        <w:rPr>
          <w:color w:val="auto"/>
          <w:highlight w:val="none"/>
        </w:rPr>
        <w:fldChar w:fldCharType="begin"/>
      </w:r>
      <w:r>
        <w:rPr>
          <w:color w:val="auto"/>
          <w:highlight w:val="none"/>
        </w:rPr>
        <w:instrText xml:space="preserve"> HYPERLINK \l "_Toc12420" </w:instrText>
      </w:r>
      <w:r>
        <w:rPr>
          <w:color w:val="auto"/>
          <w:highlight w:val="none"/>
        </w:rPr>
        <w:fldChar w:fldCharType="separate"/>
      </w:r>
      <w:r>
        <w:rPr>
          <w:rFonts w:hint="eastAsia" w:ascii="宋体" w:hAnsi="宋体" w:cs="仿宋"/>
          <w:color w:val="auto"/>
          <w:sz w:val="24"/>
          <w:highlight w:val="none"/>
        </w:rPr>
        <w:t>第二章  投标人须知</w:t>
      </w:r>
      <w:r>
        <w:rPr>
          <w:rFonts w:hint="eastAsia" w:ascii="宋体" w:hAnsi="宋体" w:cs="仿宋"/>
          <w:color w:val="auto"/>
          <w:sz w:val="24"/>
          <w:highlight w:val="none"/>
        </w:rPr>
        <w:tab/>
      </w:r>
      <w:r>
        <w:rPr>
          <w:rFonts w:hint="eastAsia" w:ascii="宋体" w:hAnsi="宋体" w:cs="仿宋"/>
          <w:color w:val="auto"/>
          <w:sz w:val="24"/>
          <w:highlight w:val="none"/>
        </w:rPr>
        <w:fldChar w:fldCharType="begin"/>
      </w:r>
      <w:r>
        <w:rPr>
          <w:rFonts w:hint="eastAsia" w:ascii="宋体" w:hAnsi="宋体" w:cs="仿宋"/>
          <w:color w:val="auto"/>
          <w:sz w:val="24"/>
          <w:highlight w:val="none"/>
        </w:rPr>
        <w:instrText xml:space="preserve"> PAGEREF _Toc12420 </w:instrText>
      </w:r>
      <w:r>
        <w:rPr>
          <w:rFonts w:hint="eastAsia" w:ascii="宋体" w:hAnsi="宋体" w:cs="仿宋"/>
          <w:color w:val="auto"/>
          <w:sz w:val="24"/>
          <w:highlight w:val="none"/>
        </w:rPr>
        <w:fldChar w:fldCharType="separate"/>
      </w:r>
      <w:r>
        <w:rPr>
          <w:rFonts w:hint="eastAsia" w:ascii="宋体" w:hAnsi="宋体" w:cs="仿宋"/>
          <w:color w:val="auto"/>
          <w:sz w:val="24"/>
          <w:highlight w:val="none"/>
        </w:rPr>
        <w:t>6</w:t>
      </w:r>
      <w:r>
        <w:rPr>
          <w:rFonts w:hint="eastAsia" w:ascii="宋体" w:hAnsi="宋体" w:cs="仿宋"/>
          <w:color w:val="auto"/>
          <w:sz w:val="24"/>
          <w:highlight w:val="none"/>
        </w:rPr>
        <w:fldChar w:fldCharType="end"/>
      </w:r>
      <w:r>
        <w:rPr>
          <w:rFonts w:hint="eastAsia" w:ascii="宋体" w:hAnsi="宋体" w:cs="仿宋"/>
          <w:color w:val="auto"/>
          <w:sz w:val="24"/>
          <w:highlight w:val="none"/>
        </w:rPr>
        <w:fldChar w:fldCharType="end"/>
      </w:r>
    </w:p>
    <w:p>
      <w:pPr>
        <w:pStyle w:val="54"/>
        <w:tabs>
          <w:tab w:val="right" w:leader="middleDot" w:pos="8959"/>
        </w:tabs>
        <w:spacing w:line="480" w:lineRule="auto"/>
        <w:rPr>
          <w:rFonts w:ascii="宋体" w:hAnsi="宋体" w:cs="仿宋"/>
          <w:color w:val="auto"/>
          <w:sz w:val="24"/>
          <w:highlight w:val="none"/>
        </w:rPr>
      </w:pPr>
      <w:r>
        <w:rPr>
          <w:color w:val="auto"/>
          <w:highlight w:val="none"/>
        </w:rPr>
        <w:fldChar w:fldCharType="begin"/>
      </w:r>
      <w:r>
        <w:rPr>
          <w:color w:val="auto"/>
          <w:highlight w:val="none"/>
        </w:rPr>
        <w:instrText xml:space="preserve"> HYPERLINK \l "_Toc24369" </w:instrText>
      </w:r>
      <w:r>
        <w:rPr>
          <w:color w:val="auto"/>
          <w:highlight w:val="none"/>
        </w:rPr>
        <w:fldChar w:fldCharType="separate"/>
      </w:r>
      <w:r>
        <w:rPr>
          <w:rFonts w:hint="eastAsia" w:ascii="宋体" w:hAnsi="宋体" w:cs="仿宋"/>
          <w:color w:val="auto"/>
          <w:sz w:val="24"/>
          <w:highlight w:val="none"/>
        </w:rPr>
        <w:t>第三章  投标文件格式</w:t>
      </w:r>
      <w:r>
        <w:rPr>
          <w:rFonts w:hint="eastAsia" w:ascii="宋体" w:hAnsi="宋体" w:cs="仿宋"/>
          <w:color w:val="auto"/>
          <w:sz w:val="24"/>
          <w:highlight w:val="none"/>
        </w:rPr>
        <w:tab/>
      </w:r>
      <w:r>
        <w:rPr>
          <w:rFonts w:hint="eastAsia" w:ascii="宋体" w:hAnsi="宋体" w:cs="仿宋"/>
          <w:color w:val="auto"/>
          <w:sz w:val="24"/>
          <w:highlight w:val="none"/>
        </w:rPr>
        <w:fldChar w:fldCharType="begin"/>
      </w:r>
      <w:r>
        <w:rPr>
          <w:rFonts w:hint="eastAsia" w:ascii="宋体" w:hAnsi="宋体" w:cs="仿宋"/>
          <w:color w:val="auto"/>
          <w:sz w:val="24"/>
          <w:highlight w:val="none"/>
        </w:rPr>
        <w:instrText xml:space="preserve"> PAGEREF _Toc24369 </w:instrText>
      </w:r>
      <w:r>
        <w:rPr>
          <w:rFonts w:hint="eastAsia" w:ascii="宋体" w:hAnsi="宋体" w:cs="仿宋"/>
          <w:color w:val="auto"/>
          <w:sz w:val="24"/>
          <w:highlight w:val="none"/>
        </w:rPr>
        <w:fldChar w:fldCharType="separate"/>
      </w:r>
      <w:r>
        <w:rPr>
          <w:rFonts w:hint="eastAsia" w:ascii="宋体" w:hAnsi="宋体" w:cs="仿宋"/>
          <w:color w:val="auto"/>
          <w:sz w:val="24"/>
          <w:highlight w:val="none"/>
        </w:rPr>
        <w:t>23</w:t>
      </w:r>
      <w:r>
        <w:rPr>
          <w:rFonts w:hint="eastAsia" w:ascii="宋体" w:hAnsi="宋体" w:cs="仿宋"/>
          <w:color w:val="auto"/>
          <w:sz w:val="24"/>
          <w:highlight w:val="none"/>
        </w:rPr>
        <w:fldChar w:fldCharType="end"/>
      </w:r>
      <w:r>
        <w:rPr>
          <w:rFonts w:hint="eastAsia" w:ascii="宋体" w:hAnsi="宋体" w:cs="仿宋"/>
          <w:color w:val="auto"/>
          <w:sz w:val="24"/>
          <w:highlight w:val="none"/>
        </w:rPr>
        <w:fldChar w:fldCharType="end"/>
      </w:r>
    </w:p>
    <w:p>
      <w:pPr>
        <w:pStyle w:val="54"/>
        <w:tabs>
          <w:tab w:val="right" w:leader="middleDot" w:pos="8959"/>
        </w:tabs>
        <w:spacing w:line="480" w:lineRule="auto"/>
        <w:rPr>
          <w:rFonts w:ascii="宋体" w:hAnsi="宋体" w:cs="仿宋"/>
          <w:color w:val="auto"/>
          <w:sz w:val="24"/>
          <w:highlight w:val="none"/>
        </w:rPr>
      </w:pPr>
      <w:r>
        <w:rPr>
          <w:color w:val="auto"/>
          <w:highlight w:val="none"/>
        </w:rPr>
        <w:fldChar w:fldCharType="begin"/>
      </w:r>
      <w:r>
        <w:rPr>
          <w:color w:val="auto"/>
          <w:highlight w:val="none"/>
        </w:rPr>
        <w:instrText xml:space="preserve"> HYPERLINK \l "_Toc28654" </w:instrText>
      </w:r>
      <w:r>
        <w:rPr>
          <w:color w:val="auto"/>
          <w:highlight w:val="none"/>
        </w:rPr>
        <w:fldChar w:fldCharType="separate"/>
      </w:r>
      <w:r>
        <w:rPr>
          <w:rFonts w:hint="eastAsia" w:ascii="宋体" w:hAnsi="宋体" w:cs="仿宋"/>
          <w:color w:val="auto"/>
          <w:sz w:val="24"/>
          <w:highlight w:val="none"/>
        </w:rPr>
        <w:t>第四章  投标人和投标产品的资格、资质性及其他类似效力要求</w:t>
      </w:r>
      <w:r>
        <w:rPr>
          <w:rFonts w:hint="eastAsia" w:ascii="宋体" w:hAnsi="宋体" w:cs="仿宋"/>
          <w:color w:val="auto"/>
          <w:sz w:val="24"/>
          <w:highlight w:val="none"/>
        </w:rPr>
        <w:tab/>
      </w:r>
      <w:r>
        <w:rPr>
          <w:rFonts w:hint="eastAsia" w:ascii="宋体" w:hAnsi="宋体" w:cs="仿宋"/>
          <w:color w:val="auto"/>
          <w:sz w:val="24"/>
          <w:highlight w:val="none"/>
        </w:rPr>
        <w:fldChar w:fldCharType="begin"/>
      </w:r>
      <w:r>
        <w:rPr>
          <w:rFonts w:hint="eastAsia" w:ascii="宋体" w:hAnsi="宋体" w:cs="仿宋"/>
          <w:color w:val="auto"/>
          <w:sz w:val="24"/>
          <w:highlight w:val="none"/>
        </w:rPr>
        <w:instrText xml:space="preserve"> PAGEREF _Toc28654 </w:instrText>
      </w:r>
      <w:r>
        <w:rPr>
          <w:rFonts w:hint="eastAsia" w:ascii="宋体" w:hAnsi="宋体" w:cs="仿宋"/>
          <w:color w:val="auto"/>
          <w:sz w:val="24"/>
          <w:highlight w:val="none"/>
        </w:rPr>
        <w:fldChar w:fldCharType="separate"/>
      </w:r>
      <w:r>
        <w:rPr>
          <w:rFonts w:hint="eastAsia" w:ascii="宋体" w:hAnsi="宋体" w:cs="仿宋"/>
          <w:color w:val="auto"/>
          <w:sz w:val="24"/>
          <w:highlight w:val="none"/>
        </w:rPr>
        <w:t>41</w:t>
      </w:r>
      <w:r>
        <w:rPr>
          <w:rFonts w:hint="eastAsia" w:ascii="宋体" w:hAnsi="宋体" w:cs="仿宋"/>
          <w:color w:val="auto"/>
          <w:sz w:val="24"/>
          <w:highlight w:val="none"/>
        </w:rPr>
        <w:fldChar w:fldCharType="end"/>
      </w:r>
      <w:r>
        <w:rPr>
          <w:rFonts w:hint="eastAsia" w:ascii="宋体" w:hAnsi="宋体" w:cs="仿宋"/>
          <w:color w:val="auto"/>
          <w:sz w:val="24"/>
          <w:highlight w:val="none"/>
        </w:rPr>
        <w:fldChar w:fldCharType="end"/>
      </w:r>
    </w:p>
    <w:p>
      <w:pPr>
        <w:pStyle w:val="54"/>
        <w:tabs>
          <w:tab w:val="right" w:leader="middleDot" w:pos="8959"/>
        </w:tabs>
        <w:spacing w:line="480" w:lineRule="auto"/>
        <w:rPr>
          <w:rFonts w:ascii="宋体" w:hAnsi="宋体" w:cs="仿宋"/>
          <w:color w:val="auto"/>
          <w:sz w:val="24"/>
          <w:highlight w:val="none"/>
        </w:rPr>
      </w:pPr>
      <w:r>
        <w:rPr>
          <w:color w:val="auto"/>
          <w:highlight w:val="none"/>
        </w:rPr>
        <w:fldChar w:fldCharType="begin"/>
      </w:r>
      <w:r>
        <w:rPr>
          <w:color w:val="auto"/>
          <w:highlight w:val="none"/>
        </w:rPr>
        <w:instrText xml:space="preserve"> HYPERLINK \l "_Toc3806" </w:instrText>
      </w:r>
      <w:r>
        <w:rPr>
          <w:color w:val="auto"/>
          <w:highlight w:val="none"/>
        </w:rPr>
        <w:fldChar w:fldCharType="separate"/>
      </w:r>
      <w:r>
        <w:rPr>
          <w:rFonts w:hint="eastAsia" w:ascii="宋体" w:hAnsi="宋体" w:cs="仿宋"/>
          <w:color w:val="auto"/>
          <w:sz w:val="24"/>
          <w:highlight w:val="none"/>
        </w:rPr>
        <w:t>第五章  投标人应当提供的资格、资质性及其他类似效力要求的相关证明材料</w:t>
      </w:r>
      <w:r>
        <w:rPr>
          <w:rFonts w:hint="eastAsia" w:ascii="宋体" w:hAnsi="宋体" w:cs="仿宋"/>
          <w:color w:val="auto"/>
          <w:sz w:val="24"/>
          <w:highlight w:val="none"/>
        </w:rPr>
        <w:tab/>
      </w:r>
      <w:r>
        <w:rPr>
          <w:rFonts w:hint="eastAsia" w:ascii="宋体" w:hAnsi="宋体" w:cs="仿宋"/>
          <w:color w:val="auto"/>
          <w:sz w:val="24"/>
          <w:highlight w:val="none"/>
        </w:rPr>
        <w:fldChar w:fldCharType="begin"/>
      </w:r>
      <w:r>
        <w:rPr>
          <w:rFonts w:hint="eastAsia" w:ascii="宋体" w:hAnsi="宋体" w:cs="仿宋"/>
          <w:color w:val="auto"/>
          <w:sz w:val="24"/>
          <w:highlight w:val="none"/>
        </w:rPr>
        <w:instrText xml:space="preserve"> PAGEREF _Toc3806 </w:instrText>
      </w:r>
      <w:r>
        <w:rPr>
          <w:rFonts w:hint="eastAsia" w:ascii="宋体" w:hAnsi="宋体" w:cs="仿宋"/>
          <w:color w:val="auto"/>
          <w:sz w:val="24"/>
          <w:highlight w:val="none"/>
        </w:rPr>
        <w:fldChar w:fldCharType="separate"/>
      </w:r>
      <w:r>
        <w:rPr>
          <w:rFonts w:hint="eastAsia" w:ascii="宋体" w:hAnsi="宋体" w:cs="仿宋"/>
          <w:color w:val="auto"/>
          <w:sz w:val="24"/>
          <w:highlight w:val="none"/>
        </w:rPr>
        <w:t>47</w:t>
      </w:r>
      <w:r>
        <w:rPr>
          <w:rFonts w:hint="eastAsia" w:ascii="宋体" w:hAnsi="宋体" w:cs="仿宋"/>
          <w:color w:val="auto"/>
          <w:sz w:val="24"/>
          <w:highlight w:val="none"/>
        </w:rPr>
        <w:fldChar w:fldCharType="end"/>
      </w:r>
      <w:r>
        <w:rPr>
          <w:rFonts w:hint="eastAsia" w:ascii="宋体" w:hAnsi="宋体" w:cs="仿宋"/>
          <w:color w:val="auto"/>
          <w:sz w:val="24"/>
          <w:highlight w:val="none"/>
        </w:rPr>
        <w:fldChar w:fldCharType="end"/>
      </w:r>
    </w:p>
    <w:p>
      <w:pPr>
        <w:pStyle w:val="54"/>
        <w:tabs>
          <w:tab w:val="right" w:leader="middleDot" w:pos="8959"/>
        </w:tabs>
        <w:spacing w:line="480" w:lineRule="auto"/>
        <w:rPr>
          <w:rFonts w:ascii="宋体" w:hAnsi="宋体" w:cs="仿宋"/>
          <w:color w:val="auto"/>
          <w:sz w:val="24"/>
          <w:highlight w:val="none"/>
        </w:rPr>
      </w:pPr>
      <w:r>
        <w:rPr>
          <w:color w:val="auto"/>
          <w:highlight w:val="none"/>
        </w:rPr>
        <w:fldChar w:fldCharType="begin"/>
      </w:r>
      <w:r>
        <w:rPr>
          <w:color w:val="auto"/>
          <w:highlight w:val="none"/>
        </w:rPr>
        <w:instrText xml:space="preserve"> HYPERLINK \l "_Toc2122" </w:instrText>
      </w:r>
      <w:r>
        <w:rPr>
          <w:color w:val="auto"/>
          <w:highlight w:val="none"/>
        </w:rPr>
        <w:fldChar w:fldCharType="separate"/>
      </w:r>
      <w:r>
        <w:rPr>
          <w:rFonts w:hint="eastAsia" w:ascii="宋体" w:hAnsi="宋体" w:cs="仿宋"/>
          <w:color w:val="auto"/>
          <w:sz w:val="24"/>
          <w:highlight w:val="none"/>
        </w:rPr>
        <w:t>第六章  招标项目技术、服务、商务及其他要求</w:t>
      </w:r>
      <w:r>
        <w:rPr>
          <w:rFonts w:hint="eastAsia" w:ascii="宋体" w:hAnsi="宋体" w:cs="仿宋"/>
          <w:color w:val="auto"/>
          <w:sz w:val="24"/>
          <w:highlight w:val="none"/>
        </w:rPr>
        <w:tab/>
      </w:r>
      <w:r>
        <w:rPr>
          <w:rFonts w:hint="eastAsia" w:ascii="宋体" w:hAnsi="宋体" w:cs="仿宋"/>
          <w:color w:val="auto"/>
          <w:sz w:val="24"/>
          <w:highlight w:val="none"/>
        </w:rPr>
        <w:fldChar w:fldCharType="begin"/>
      </w:r>
      <w:r>
        <w:rPr>
          <w:rFonts w:hint="eastAsia" w:ascii="宋体" w:hAnsi="宋体" w:cs="仿宋"/>
          <w:color w:val="auto"/>
          <w:sz w:val="24"/>
          <w:highlight w:val="none"/>
        </w:rPr>
        <w:instrText xml:space="preserve"> PAGEREF _Toc2122 </w:instrText>
      </w:r>
      <w:r>
        <w:rPr>
          <w:rFonts w:hint="eastAsia" w:ascii="宋体" w:hAnsi="宋体" w:cs="仿宋"/>
          <w:color w:val="auto"/>
          <w:sz w:val="24"/>
          <w:highlight w:val="none"/>
        </w:rPr>
        <w:fldChar w:fldCharType="separate"/>
      </w:r>
      <w:r>
        <w:rPr>
          <w:rFonts w:hint="eastAsia" w:ascii="宋体" w:hAnsi="宋体" w:cs="仿宋"/>
          <w:color w:val="auto"/>
          <w:sz w:val="24"/>
          <w:highlight w:val="none"/>
        </w:rPr>
        <w:t>49</w:t>
      </w:r>
      <w:r>
        <w:rPr>
          <w:rFonts w:hint="eastAsia" w:ascii="宋体" w:hAnsi="宋体" w:cs="仿宋"/>
          <w:color w:val="auto"/>
          <w:sz w:val="24"/>
          <w:highlight w:val="none"/>
        </w:rPr>
        <w:fldChar w:fldCharType="end"/>
      </w:r>
      <w:r>
        <w:rPr>
          <w:rFonts w:hint="eastAsia" w:ascii="宋体" w:hAnsi="宋体" w:cs="仿宋"/>
          <w:color w:val="auto"/>
          <w:sz w:val="24"/>
          <w:highlight w:val="none"/>
        </w:rPr>
        <w:fldChar w:fldCharType="end"/>
      </w:r>
    </w:p>
    <w:p>
      <w:pPr>
        <w:pStyle w:val="54"/>
        <w:tabs>
          <w:tab w:val="right" w:leader="middleDot" w:pos="8959"/>
        </w:tabs>
        <w:spacing w:line="480" w:lineRule="auto"/>
        <w:rPr>
          <w:rFonts w:hint="eastAsia" w:ascii="宋体" w:hAnsi="宋体" w:eastAsia="宋体" w:cs="仿宋"/>
          <w:color w:val="auto"/>
          <w:sz w:val="24"/>
          <w:highlight w:val="none"/>
          <w:lang w:val="en-US" w:eastAsia="zh-CN"/>
        </w:rPr>
      </w:pPr>
      <w:r>
        <w:rPr>
          <w:color w:val="auto"/>
          <w:highlight w:val="none"/>
        </w:rPr>
        <w:fldChar w:fldCharType="begin"/>
      </w:r>
      <w:r>
        <w:rPr>
          <w:color w:val="auto"/>
          <w:highlight w:val="none"/>
        </w:rPr>
        <w:instrText xml:space="preserve"> HYPERLINK \l "_Toc31810" </w:instrText>
      </w:r>
      <w:r>
        <w:rPr>
          <w:color w:val="auto"/>
          <w:highlight w:val="none"/>
        </w:rPr>
        <w:fldChar w:fldCharType="separate"/>
      </w:r>
      <w:r>
        <w:rPr>
          <w:rFonts w:hint="eastAsia" w:ascii="宋体" w:hAnsi="宋体" w:cs="仿宋"/>
          <w:color w:val="auto"/>
          <w:sz w:val="24"/>
          <w:highlight w:val="none"/>
        </w:rPr>
        <w:t>第七章  评标办法</w:t>
      </w:r>
      <w:r>
        <w:rPr>
          <w:rFonts w:hint="eastAsia" w:ascii="宋体" w:hAnsi="宋体" w:cs="仿宋"/>
          <w:color w:val="auto"/>
          <w:sz w:val="24"/>
          <w:highlight w:val="none"/>
        </w:rPr>
        <w:tab/>
      </w:r>
      <w:r>
        <w:rPr>
          <w:rFonts w:hint="eastAsia" w:ascii="宋体" w:hAnsi="宋体" w:cs="仿宋"/>
          <w:color w:val="auto"/>
          <w:sz w:val="24"/>
          <w:highlight w:val="none"/>
          <w:lang w:val="en-US" w:eastAsia="zh-CN"/>
        </w:rPr>
        <w:t>6</w:t>
      </w:r>
      <w:r>
        <w:rPr>
          <w:rFonts w:hint="eastAsia" w:ascii="宋体" w:hAnsi="宋体" w:cs="仿宋"/>
          <w:color w:val="auto"/>
          <w:sz w:val="24"/>
          <w:highlight w:val="none"/>
        </w:rPr>
        <w:fldChar w:fldCharType="end"/>
      </w:r>
      <w:r>
        <w:rPr>
          <w:rFonts w:hint="eastAsia" w:ascii="宋体" w:hAnsi="宋体" w:cs="仿宋"/>
          <w:color w:val="auto"/>
          <w:sz w:val="24"/>
          <w:highlight w:val="none"/>
          <w:lang w:val="en-US" w:eastAsia="zh-CN"/>
        </w:rPr>
        <w:t>1</w:t>
      </w:r>
    </w:p>
    <w:p>
      <w:pPr>
        <w:pStyle w:val="54"/>
        <w:tabs>
          <w:tab w:val="right" w:leader="middleDot" w:pos="8959"/>
        </w:tabs>
        <w:spacing w:line="480" w:lineRule="auto"/>
        <w:rPr>
          <w:rFonts w:hint="eastAsia" w:ascii="宋体" w:hAnsi="宋体" w:eastAsia="宋体" w:cs="仿宋"/>
          <w:color w:val="auto"/>
          <w:sz w:val="28"/>
          <w:szCs w:val="28"/>
          <w:highlight w:val="none"/>
          <w:lang w:val="en-US" w:eastAsia="zh-CN"/>
        </w:rPr>
      </w:pPr>
      <w:r>
        <w:rPr>
          <w:color w:val="auto"/>
          <w:highlight w:val="none"/>
        </w:rPr>
        <w:fldChar w:fldCharType="begin"/>
      </w:r>
      <w:r>
        <w:rPr>
          <w:color w:val="auto"/>
          <w:highlight w:val="none"/>
        </w:rPr>
        <w:instrText xml:space="preserve"> HYPERLINK \l "_Toc5845" </w:instrText>
      </w:r>
      <w:r>
        <w:rPr>
          <w:color w:val="auto"/>
          <w:highlight w:val="none"/>
        </w:rPr>
        <w:fldChar w:fldCharType="separate"/>
      </w:r>
      <w:r>
        <w:rPr>
          <w:rFonts w:hint="eastAsia" w:ascii="宋体" w:hAnsi="宋体" w:cs="仿宋"/>
          <w:color w:val="auto"/>
          <w:sz w:val="24"/>
          <w:highlight w:val="none"/>
        </w:rPr>
        <w:t>第八章  合同主要条款</w:t>
      </w:r>
      <w:r>
        <w:rPr>
          <w:rFonts w:hint="eastAsia" w:ascii="宋体" w:hAnsi="宋体" w:cs="仿宋"/>
          <w:color w:val="auto"/>
          <w:sz w:val="24"/>
          <w:highlight w:val="none"/>
        </w:rPr>
        <w:tab/>
      </w:r>
      <w:r>
        <w:rPr>
          <w:rFonts w:hint="eastAsia" w:ascii="宋体" w:hAnsi="宋体" w:cs="仿宋"/>
          <w:color w:val="auto"/>
          <w:sz w:val="24"/>
          <w:highlight w:val="none"/>
          <w:lang w:val="en-US" w:eastAsia="zh-CN"/>
        </w:rPr>
        <w:t>7</w:t>
      </w:r>
      <w:r>
        <w:rPr>
          <w:rFonts w:hint="eastAsia" w:ascii="宋体" w:hAnsi="宋体" w:cs="仿宋"/>
          <w:color w:val="auto"/>
          <w:sz w:val="24"/>
          <w:highlight w:val="none"/>
        </w:rPr>
        <w:fldChar w:fldCharType="end"/>
      </w:r>
      <w:r>
        <w:rPr>
          <w:rFonts w:hint="eastAsia" w:ascii="宋体" w:hAnsi="宋体" w:cs="仿宋"/>
          <w:color w:val="auto"/>
          <w:sz w:val="24"/>
          <w:highlight w:val="none"/>
          <w:lang w:val="en-US" w:eastAsia="zh-CN"/>
        </w:rPr>
        <w:t>6</w:t>
      </w:r>
    </w:p>
    <w:p>
      <w:pPr>
        <w:spacing w:line="480" w:lineRule="auto"/>
        <w:rPr>
          <w:rFonts w:ascii="宋体" w:hAnsi="宋体" w:cs="仿宋"/>
          <w:color w:val="auto"/>
          <w:sz w:val="28"/>
          <w:szCs w:val="28"/>
          <w:highlight w:val="none"/>
        </w:rPr>
        <w:sectPr>
          <w:footerReference r:id="rId5" w:type="default"/>
          <w:pgSz w:w="11907" w:h="16840"/>
          <w:pgMar w:top="1440" w:right="1474" w:bottom="1440" w:left="1474" w:header="851" w:footer="992" w:gutter="0"/>
          <w:pgNumType w:fmt="decimal" w:start="1"/>
          <w:cols w:space="720" w:num="1"/>
          <w:docGrid w:linePitch="312" w:charSpace="0"/>
        </w:sectPr>
      </w:pPr>
      <w:r>
        <w:rPr>
          <w:rFonts w:hint="eastAsia" w:ascii="宋体" w:hAnsi="宋体" w:cs="仿宋"/>
          <w:color w:val="auto"/>
          <w:sz w:val="28"/>
          <w:szCs w:val="28"/>
          <w:highlight w:val="none"/>
        </w:rPr>
        <w:fldChar w:fldCharType="end"/>
      </w:r>
      <w:bookmarkStart w:id="4" w:name="_Toc6066"/>
      <w:bookmarkStart w:id="5" w:name="_Toc24584"/>
      <w:bookmarkStart w:id="213" w:name="_GoBack"/>
      <w:bookmarkEnd w:id="213"/>
    </w:p>
    <w:p>
      <w:pPr>
        <w:pStyle w:val="3"/>
        <w:spacing w:line="240" w:lineRule="atLeast"/>
        <w:jc w:val="center"/>
        <w:rPr>
          <w:rFonts w:ascii="宋体" w:hAnsi="宋体" w:cs="仿宋"/>
          <w:color w:val="auto"/>
          <w:sz w:val="36"/>
          <w:szCs w:val="36"/>
          <w:highlight w:val="none"/>
        </w:rPr>
      </w:pPr>
      <w:r>
        <w:rPr>
          <w:rFonts w:hint="eastAsia" w:ascii="宋体" w:hAnsi="宋体" w:cs="仿宋"/>
          <w:color w:val="auto"/>
          <w:sz w:val="36"/>
          <w:szCs w:val="36"/>
          <w:highlight w:val="none"/>
        </w:rPr>
        <w:t>第一章  投标邀请</w:t>
      </w:r>
      <w:bookmarkEnd w:id="4"/>
      <w:bookmarkEnd w:id="5"/>
    </w:p>
    <w:p>
      <w:pPr>
        <w:spacing w:line="360" w:lineRule="auto"/>
        <w:jc w:val="center"/>
        <w:rPr>
          <w:rFonts w:hint="eastAsia" w:ascii="宋体" w:hAnsi="宋体" w:cs="仿宋"/>
          <w:color w:val="auto"/>
          <w:sz w:val="24"/>
          <w:highlight w:val="none"/>
        </w:rPr>
      </w:pPr>
      <w:r>
        <w:rPr>
          <w:rFonts w:hint="eastAsia" w:ascii="宋体" w:hAnsi="宋体" w:cs="仿宋"/>
          <w:bCs/>
          <w:color w:val="auto"/>
          <w:sz w:val="24"/>
          <w:highlight w:val="none"/>
        </w:rPr>
        <w:t xml:space="preserve">     </w:t>
      </w:r>
      <w:r>
        <w:rPr>
          <w:rFonts w:hint="eastAsia" w:ascii="宋体" w:hAnsi="宋体" w:cs="仿宋"/>
          <w:bCs/>
          <w:color w:val="auto"/>
          <w:sz w:val="24"/>
          <w:highlight w:val="none"/>
          <w:u w:val="single"/>
          <w:lang w:eastAsia="zh-CN"/>
        </w:rPr>
        <w:t>成都云辉工程项目管理有限公司</w:t>
      </w:r>
      <w:r>
        <w:rPr>
          <w:rFonts w:hint="eastAsia" w:ascii="宋体" w:hAnsi="宋体" w:cs="仿宋"/>
          <w:color w:val="auto"/>
          <w:sz w:val="24"/>
          <w:highlight w:val="none"/>
        </w:rPr>
        <w:t>受</w:t>
      </w:r>
      <w:bookmarkStart w:id="6" w:name="_Hlk534967299"/>
      <w:r>
        <w:rPr>
          <w:rFonts w:hint="eastAsia" w:ascii="宋体" w:hAnsi="宋体" w:cs="仿宋"/>
          <w:color w:val="auto"/>
          <w:sz w:val="24"/>
          <w:highlight w:val="none"/>
          <w:u w:val="single"/>
        </w:rPr>
        <w:t xml:space="preserve"> </w:t>
      </w:r>
      <w:bookmarkEnd w:id="6"/>
      <w:r>
        <w:rPr>
          <w:rFonts w:hint="eastAsia" w:ascii="宋体" w:hAnsi="宋体" w:cs="仿宋"/>
          <w:color w:val="auto"/>
          <w:sz w:val="24"/>
          <w:highlight w:val="none"/>
          <w:u w:val="single"/>
          <w:lang w:eastAsia="zh-CN"/>
        </w:rPr>
        <w:t>成都市龙泉驿区市政设施管理服务中心</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委</w:t>
      </w:r>
    </w:p>
    <w:p>
      <w:pPr>
        <w:spacing w:line="360" w:lineRule="auto"/>
        <w:jc w:val="both"/>
        <w:rPr>
          <w:rFonts w:ascii="宋体" w:hAnsi="宋体" w:cs="仿宋"/>
          <w:color w:val="auto"/>
          <w:sz w:val="24"/>
          <w:highlight w:val="none"/>
        </w:rPr>
      </w:pPr>
      <w:r>
        <w:rPr>
          <w:rFonts w:hint="eastAsia" w:ascii="宋体" w:hAnsi="宋体" w:cs="仿宋"/>
          <w:color w:val="auto"/>
          <w:sz w:val="24"/>
          <w:highlight w:val="none"/>
        </w:rPr>
        <w:t>托，拟对</w:t>
      </w:r>
      <w:r>
        <w:rPr>
          <w:rFonts w:hint="eastAsia" w:ascii="宋体" w:hAnsi="宋体" w:cs="仿宋"/>
          <w:color w:val="auto"/>
          <w:sz w:val="24"/>
          <w:highlight w:val="none"/>
          <w:u w:val="single"/>
          <w:lang w:eastAsia="zh-CN"/>
        </w:rPr>
        <w:t>2021年路灯维护材料采购</w:t>
      </w:r>
      <w:r>
        <w:rPr>
          <w:rFonts w:hint="eastAsia" w:ascii="宋体" w:hAnsi="宋体" w:cs="仿宋"/>
          <w:color w:val="auto"/>
          <w:sz w:val="24"/>
          <w:highlight w:val="none"/>
        </w:rPr>
        <w:t>进行国内</w:t>
      </w:r>
      <w:r>
        <w:rPr>
          <w:rFonts w:hint="eastAsia" w:ascii="宋体" w:hAnsi="宋体" w:cs="仿宋"/>
          <w:b/>
          <w:color w:val="auto"/>
          <w:sz w:val="24"/>
          <w:highlight w:val="none"/>
        </w:rPr>
        <w:t>公开招标</w:t>
      </w:r>
      <w:r>
        <w:rPr>
          <w:rFonts w:hint="eastAsia" w:ascii="宋体" w:hAnsi="宋体" w:cs="仿宋"/>
          <w:color w:val="auto"/>
          <w:sz w:val="24"/>
          <w:highlight w:val="none"/>
        </w:rPr>
        <w:t>，</w:t>
      </w:r>
      <w:r>
        <w:rPr>
          <w:rFonts w:hint="eastAsia" w:ascii="宋体" w:hAnsi="宋体" w:cs="仿宋"/>
          <w:color w:val="auto"/>
          <w:sz w:val="24"/>
          <w:szCs w:val="28"/>
          <w:highlight w:val="none"/>
        </w:rPr>
        <w:t>兹邀请符合本次招标要求的投标人参加</w:t>
      </w:r>
      <w:r>
        <w:rPr>
          <w:rFonts w:hint="eastAsia" w:ascii="宋体" w:hAnsi="宋体" w:cs="仿宋"/>
          <w:color w:val="auto"/>
          <w:sz w:val="24"/>
          <w:highlight w:val="none"/>
        </w:rPr>
        <w:t>投标</w:t>
      </w:r>
      <w:r>
        <w:rPr>
          <w:rFonts w:hint="eastAsia" w:ascii="宋体" w:hAnsi="宋体" w:cs="仿宋"/>
          <w:color w:val="auto"/>
          <w:sz w:val="24"/>
          <w:szCs w:val="28"/>
          <w:highlight w:val="none"/>
        </w:rPr>
        <w:t>。</w:t>
      </w:r>
    </w:p>
    <w:p>
      <w:pPr>
        <w:spacing w:line="360" w:lineRule="auto"/>
        <w:ind w:firstLine="482" w:firstLineChars="200"/>
        <w:rPr>
          <w:rFonts w:ascii="宋体" w:hAnsi="宋体" w:cs="仿宋"/>
          <w:color w:val="auto"/>
          <w:kern w:val="0"/>
          <w:sz w:val="24"/>
          <w:highlight w:val="none"/>
        </w:rPr>
      </w:pPr>
      <w:r>
        <w:rPr>
          <w:rFonts w:hint="eastAsia" w:ascii="宋体" w:hAnsi="宋体" w:cs="仿宋"/>
          <w:b/>
          <w:color w:val="auto"/>
          <w:sz w:val="24"/>
          <w:highlight w:val="none"/>
        </w:rPr>
        <w:t>一、招标编号：</w:t>
      </w:r>
      <w:r>
        <w:rPr>
          <w:rFonts w:hint="eastAsia" w:hAnsi="宋体" w:cs="宋体"/>
          <w:b/>
          <w:color w:val="auto"/>
          <w:sz w:val="24"/>
          <w:szCs w:val="24"/>
          <w:highlight w:val="none"/>
          <w:lang w:val="zh-CN"/>
        </w:rPr>
        <w:t>以四川政府采购网发布的编号为准</w:t>
      </w:r>
      <w:r>
        <w:rPr>
          <w:rFonts w:hint="eastAsia" w:ascii="宋体" w:hAnsi="宋体" w:cs="仿宋"/>
          <w:b/>
          <w:color w:val="auto"/>
          <w:sz w:val="24"/>
          <w:highlight w:val="none"/>
          <w:lang w:val="en-US" w:eastAsia="zh-CN"/>
        </w:rPr>
        <w:t xml:space="preserve"> </w:t>
      </w:r>
    </w:p>
    <w:p>
      <w:pPr>
        <w:spacing w:line="360" w:lineRule="auto"/>
        <w:ind w:firstLine="482" w:firstLineChars="200"/>
        <w:rPr>
          <w:rFonts w:ascii="宋体" w:hAnsi="宋体" w:cs="仿宋"/>
          <w:b/>
          <w:color w:val="auto"/>
          <w:sz w:val="24"/>
          <w:szCs w:val="32"/>
          <w:highlight w:val="none"/>
        </w:rPr>
      </w:pPr>
      <w:r>
        <w:rPr>
          <w:rFonts w:hint="eastAsia" w:ascii="宋体" w:hAnsi="宋体" w:cs="仿宋"/>
          <w:b/>
          <w:bCs/>
          <w:color w:val="auto"/>
          <w:sz w:val="24"/>
          <w:highlight w:val="none"/>
        </w:rPr>
        <w:t>二、</w:t>
      </w:r>
      <w:r>
        <w:rPr>
          <w:rFonts w:hint="eastAsia" w:ascii="宋体" w:hAnsi="宋体" w:cs="仿宋"/>
          <w:b/>
          <w:color w:val="auto"/>
          <w:sz w:val="24"/>
          <w:highlight w:val="none"/>
        </w:rPr>
        <w:t>项目名称：</w:t>
      </w:r>
      <w:r>
        <w:rPr>
          <w:rFonts w:hint="eastAsia" w:ascii="宋体" w:hAnsi="宋体" w:cs="仿宋"/>
          <w:color w:val="auto"/>
          <w:sz w:val="24"/>
          <w:highlight w:val="none"/>
          <w:u w:val="single"/>
          <w:lang w:eastAsia="zh-CN"/>
        </w:rPr>
        <w:t>2021年路灯维护材料采购</w:t>
      </w:r>
      <w:r>
        <w:rPr>
          <w:rFonts w:hint="eastAsia" w:ascii="宋体" w:hAnsi="宋体" w:cs="仿宋"/>
          <w:b/>
          <w:color w:val="auto"/>
          <w:sz w:val="24"/>
          <w:szCs w:val="32"/>
          <w:highlight w:val="none"/>
        </w:rPr>
        <w:t>。</w:t>
      </w:r>
    </w:p>
    <w:p>
      <w:pPr>
        <w:spacing w:line="360" w:lineRule="auto"/>
        <w:ind w:right="31" w:rightChars="15" w:firstLine="482" w:firstLineChars="200"/>
        <w:rPr>
          <w:rFonts w:hint="eastAsia" w:ascii="宋体" w:hAnsi="宋体" w:eastAsia="宋体" w:cs="仿宋"/>
          <w:b/>
          <w:bCs/>
          <w:color w:val="auto"/>
          <w:sz w:val="24"/>
          <w:highlight w:val="none"/>
          <w:lang w:eastAsia="zh-CN"/>
        </w:rPr>
      </w:pPr>
      <w:r>
        <w:rPr>
          <w:rFonts w:hint="eastAsia" w:ascii="宋体" w:hAnsi="宋体" w:cs="仿宋"/>
          <w:b/>
          <w:color w:val="auto"/>
          <w:sz w:val="24"/>
          <w:szCs w:val="28"/>
          <w:highlight w:val="none"/>
        </w:rPr>
        <w:t>三、资金来源：</w:t>
      </w:r>
      <w:r>
        <w:rPr>
          <w:rFonts w:hint="eastAsia" w:ascii="宋体" w:hAnsi="宋体" w:cs="仿宋"/>
          <w:b/>
          <w:bCs/>
          <w:color w:val="auto"/>
          <w:sz w:val="24"/>
          <w:highlight w:val="none"/>
        </w:rPr>
        <w:t>财政资金；采购预算金额：人民币2481600元</w:t>
      </w:r>
      <w:r>
        <w:rPr>
          <w:rFonts w:hint="eastAsia" w:ascii="宋体" w:hAnsi="宋体" w:cs="仿宋"/>
          <w:b/>
          <w:bCs/>
          <w:color w:val="auto"/>
          <w:sz w:val="24"/>
          <w:highlight w:val="none"/>
          <w:lang w:eastAsia="zh-CN"/>
        </w:rPr>
        <w:t>，</w:t>
      </w:r>
      <w:r>
        <w:rPr>
          <w:rFonts w:hint="eastAsia" w:ascii="宋体" w:hAnsi="宋体" w:cs="仿宋"/>
          <w:b/>
          <w:bCs/>
          <w:color w:val="auto"/>
          <w:sz w:val="24"/>
          <w:highlight w:val="none"/>
          <w:lang w:val="en-US" w:eastAsia="zh-CN"/>
        </w:rPr>
        <w:t>1包最高限价为1488000元，2包最高限价为498000元，3包最高限价为495600元。</w:t>
      </w:r>
      <w:r>
        <w:rPr>
          <w:rFonts w:hint="eastAsia" w:ascii="宋体" w:hAnsi="宋体" w:cs="仿宋"/>
          <w:b/>
          <w:bCs/>
          <w:color w:val="auto"/>
          <w:sz w:val="24"/>
          <w:highlight w:val="none"/>
          <w:lang w:val="zh-CN" w:eastAsia="zh-CN"/>
        </w:rPr>
        <w:t>投标报价超过本项目最高限价的作无效投标处理。</w:t>
      </w:r>
    </w:p>
    <w:p>
      <w:pPr>
        <w:spacing w:line="360" w:lineRule="auto"/>
        <w:ind w:right="31" w:rightChars="15" w:firstLine="482" w:firstLineChars="200"/>
        <w:rPr>
          <w:rFonts w:ascii="宋体" w:hAnsi="宋体" w:cs="仿宋"/>
          <w:color w:val="auto"/>
          <w:sz w:val="24"/>
          <w:highlight w:val="none"/>
        </w:rPr>
      </w:pPr>
      <w:r>
        <w:rPr>
          <w:rFonts w:hint="eastAsia" w:ascii="宋体" w:hAnsi="宋体" w:cs="仿宋"/>
          <w:b/>
          <w:color w:val="auto"/>
          <w:sz w:val="24"/>
          <w:highlight w:val="none"/>
        </w:rPr>
        <w:t>四</w:t>
      </w:r>
      <w:r>
        <w:rPr>
          <w:rFonts w:hint="eastAsia" w:ascii="宋体" w:hAnsi="宋体" w:cs="仿宋"/>
          <w:b/>
          <w:bCs/>
          <w:color w:val="auto"/>
          <w:sz w:val="24"/>
          <w:highlight w:val="none"/>
        </w:rPr>
        <w:t>、采购内容</w:t>
      </w:r>
      <w:r>
        <w:rPr>
          <w:rFonts w:hint="eastAsia" w:ascii="宋体" w:hAnsi="宋体" w:cs="仿宋"/>
          <w:b/>
          <w:color w:val="auto"/>
          <w:sz w:val="24"/>
          <w:highlight w:val="none"/>
        </w:rPr>
        <w:t>：</w:t>
      </w:r>
    </w:p>
    <w:p>
      <w:pPr>
        <w:tabs>
          <w:tab w:val="left" w:pos="1134"/>
        </w:tabs>
        <w:spacing w:line="360" w:lineRule="auto"/>
        <w:ind w:firstLine="480" w:firstLineChars="200"/>
        <w:jc w:val="left"/>
        <w:rPr>
          <w:rFonts w:hint="eastAsia" w:ascii="宋体" w:hAnsi="宋体" w:cs="仿宋"/>
          <w:color w:val="auto"/>
          <w:sz w:val="24"/>
          <w:highlight w:val="none"/>
          <w:u w:val="single"/>
          <w:lang w:eastAsia="zh-CN"/>
        </w:rPr>
      </w:pPr>
      <w:r>
        <w:rPr>
          <w:rFonts w:hint="eastAsia" w:ascii="宋体" w:hAnsi="宋体" w:cs="仿宋"/>
          <w:color w:val="auto"/>
          <w:sz w:val="24"/>
          <w:highlight w:val="none"/>
        </w:rPr>
        <w:t>本项目采购内容为</w:t>
      </w:r>
      <w:r>
        <w:rPr>
          <w:rFonts w:hint="eastAsia" w:ascii="宋体" w:hAnsi="宋体" w:cs="仿宋"/>
          <w:color w:val="auto"/>
          <w:sz w:val="24"/>
          <w:highlight w:val="none"/>
          <w:u w:val="single"/>
          <w:lang w:eastAsia="zh-CN"/>
        </w:rPr>
        <w:t>2021年路灯维护材料采购。</w:t>
      </w:r>
    </w:p>
    <w:p>
      <w:pPr>
        <w:tabs>
          <w:tab w:val="left" w:pos="1134"/>
        </w:tabs>
        <w:spacing w:line="360" w:lineRule="auto"/>
        <w:ind w:firstLine="480" w:firstLineChars="200"/>
        <w:jc w:val="left"/>
        <w:rPr>
          <w:rFonts w:hint="default" w:ascii="宋体" w:hAnsi="宋体" w:cs="仿宋"/>
          <w:color w:val="auto"/>
          <w:sz w:val="24"/>
          <w:highlight w:val="none"/>
          <w:lang w:val="en-US" w:eastAsia="zh-CN"/>
        </w:rPr>
      </w:pPr>
      <w:r>
        <w:rPr>
          <w:rFonts w:hint="eastAsia" w:ascii="宋体" w:hAnsi="宋体" w:cs="仿宋"/>
          <w:color w:val="auto"/>
          <w:sz w:val="24"/>
          <w:highlight w:val="none"/>
          <w:lang w:val="en-US" w:eastAsia="zh-CN"/>
        </w:rPr>
        <w:t>本项目共计3个包，1包：电缆采购；2包：电器采购；3包：路灯远程控制器采购。</w:t>
      </w:r>
    </w:p>
    <w:p>
      <w:pPr>
        <w:spacing w:line="360" w:lineRule="auto"/>
        <w:ind w:firstLine="480"/>
        <w:rPr>
          <w:rFonts w:ascii="宋体" w:hAnsi="宋体" w:cs="仿宋"/>
          <w:color w:val="auto"/>
          <w:sz w:val="24"/>
          <w:highlight w:val="none"/>
        </w:rPr>
      </w:pPr>
      <w:r>
        <w:rPr>
          <w:rFonts w:hint="eastAsia" w:ascii="宋体" w:hAnsi="宋体" w:cs="仿宋"/>
          <w:color w:val="auto"/>
          <w:sz w:val="24"/>
          <w:highlight w:val="none"/>
        </w:rPr>
        <w:t>凡获取招标文件的投标人，对招标内容进行投标的，必须制作投标文件和开标一览表，并响应招标文件的要求。</w:t>
      </w:r>
    </w:p>
    <w:p>
      <w:pPr>
        <w:spacing w:afterLines="50" w:line="360" w:lineRule="auto"/>
        <w:ind w:firstLine="480" w:firstLineChars="200"/>
        <w:rPr>
          <w:rFonts w:ascii="宋体" w:hAnsi="宋体" w:cs="仿宋"/>
          <w:color w:val="auto"/>
          <w:sz w:val="24"/>
          <w:szCs w:val="28"/>
          <w:highlight w:val="none"/>
        </w:rPr>
      </w:pPr>
      <w:r>
        <w:rPr>
          <w:rFonts w:hint="eastAsia" w:ascii="宋体" w:hAnsi="宋体" w:cs="仿宋"/>
          <w:color w:val="auto"/>
          <w:sz w:val="24"/>
          <w:szCs w:val="28"/>
          <w:highlight w:val="none"/>
        </w:rPr>
        <w:t>（具体详见招标文件第六章）。</w:t>
      </w:r>
    </w:p>
    <w:p>
      <w:pPr>
        <w:spacing w:afterLines="50" w:line="360" w:lineRule="auto"/>
        <w:ind w:firstLine="482" w:firstLineChars="200"/>
        <w:rPr>
          <w:rFonts w:ascii="宋体" w:hAnsi="宋体" w:cs="仿宋"/>
          <w:b/>
          <w:bCs/>
          <w:color w:val="auto"/>
          <w:sz w:val="24"/>
          <w:highlight w:val="none"/>
        </w:rPr>
      </w:pPr>
      <w:r>
        <w:rPr>
          <w:rFonts w:hint="eastAsia" w:ascii="宋体" w:hAnsi="宋体" w:cs="仿宋"/>
          <w:b/>
          <w:bCs/>
          <w:color w:val="auto"/>
          <w:sz w:val="24"/>
          <w:highlight w:val="none"/>
        </w:rPr>
        <w:t>五、投标人参加本次政府采购活动，应当在提交投标文件前具备下列条件：</w:t>
      </w:r>
    </w:p>
    <w:p>
      <w:pPr>
        <w:pStyle w:val="56"/>
        <w:ind w:firstLine="480"/>
        <w:rPr>
          <w:rFonts w:hAnsi="宋体" w:cs="仿宋"/>
          <w:color w:val="auto"/>
          <w:sz w:val="24"/>
          <w:highlight w:val="none"/>
        </w:rPr>
      </w:pPr>
      <w:r>
        <w:rPr>
          <w:rFonts w:hint="eastAsia" w:hAnsi="宋体" w:cs="仿宋"/>
          <w:color w:val="auto"/>
          <w:sz w:val="24"/>
          <w:highlight w:val="none"/>
        </w:rPr>
        <w:t>1.具有独立承担民事责任的能力；</w:t>
      </w:r>
    </w:p>
    <w:p>
      <w:pPr>
        <w:pStyle w:val="56"/>
        <w:ind w:firstLine="480"/>
        <w:rPr>
          <w:rFonts w:hAnsi="宋体" w:cs="仿宋"/>
          <w:color w:val="auto"/>
          <w:sz w:val="24"/>
          <w:highlight w:val="none"/>
        </w:rPr>
      </w:pPr>
      <w:r>
        <w:rPr>
          <w:rFonts w:hint="eastAsia" w:hAnsi="宋体" w:cs="仿宋"/>
          <w:color w:val="auto"/>
          <w:sz w:val="24"/>
          <w:highlight w:val="none"/>
        </w:rPr>
        <w:t>2.具有良好的商业信誉和健全的财务会计制度；</w:t>
      </w:r>
    </w:p>
    <w:p>
      <w:pPr>
        <w:pStyle w:val="56"/>
        <w:ind w:firstLine="480"/>
        <w:rPr>
          <w:rFonts w:hAnsi="宋体" w:cs="仿宋"/>
          <w:color w:val="auto"/>
          <w:sz w:val="24"/>
          <w:highlight w:val="none"/>
        </w:rPr>
      </w:pPr>
      <w:r>
        <w:rPr>
          <w:rFonts w:hint="eastAsia" w:hAnsi="宋体" w:cs="仿宋"/>
          <w:color w:val="auto"/>
          <w:sz w:val="24"/>
          <w:highlight w:val="none"/>
        </w:rPr>
        <w:t>3.具有履行合同所必须的设备和专业技术能力；</w:t>
      </w:r>
    </w:p>
    <w:p>
      <w:pPr>
        <w:tabs>
          <w:tab w:val="left" w:pos="7665"/>
        </w:tabs>
        <w:spacing w:line="360" w:lineRule="auto"/>
        <w:ind w:firstLine="480" w:firstLineChars="200"/>
        <w:rPr>
          <w:rFonts w:ascii="宋体" w:hAnsi="宋体" w:cs="仿宋"/>
          <w:color w:val="auto"/>
          <w:sz w:val="24"/>
          <w:highlight w:val="none"/>
        </w:rPr>
      </w:pPr>
      <w:r>
        <w:rPr>
          <w:rFonts w:hint="eastAsia" w:ascii="宋体" w:hAnsi="宋体" w:cs="仿宋"/>
          <w:color w:val="auto"/>
          <w:sz w:val="24"/>
          <w:highlight w:val="none"/>
        </w:rPr>
        <w:t>4.具有依法缴纳税收和社会保障资金的良好记录；</w:t>
      </w:r>
    </w:p>
    <w:p>
      <w:pPr>
        <w:tabs>
          <w:tab w:val="left" w:pos="7665"/>
        </w:tabs>
        <w:spacing w:line="360" w:lineRule="auto"/>
        <w:ind w:firstLine="480" w:firstLineChars="200"/>
        <w:rPr>
          <w:rFonts w:ascii="宋体" w:hAnsi="宋体" w:cs="仿宋"/>
          <w:color w:val="auto"/>
          <w:sz w:val="24"/>
          <w:highlight w:val="none"/>
        </w:rPr>
      </w:pPr>
      <w:r>
        <w:rPr>
          <w:rFonts w:hint="eastAsia" w:ascii="宋体" w:hAnsi="宋体" w:cs="仿宋"/>
          <w:color w:val="auto"/>
          <w:sz w:val="24"/>
          <w:highlight w:val="none"/>
        </w:rPr>
        <w:t>5.参加政府采购活动前三年内，在经营活动中没有重大违法记录；</w:t>
      </w:r>
    </w:p>
    <w:p>
      <w:pPr>
        <w:pStyle w:val="56"/>
        <w:ind w:firstLine="480"/>
        <w:rPr>
          <w:rFonts w:hAnsi="宋体" w:cs="仿宋"/>
          <w:color w:val="auto"/>
          <w:sz w:val="24"/>
          <w:highlight w:val="none"/>
        </w:rPr>
      </w:pPr>
      <w:r>
        <w:rPr>
          <w:rFonts w:hint="eastAsia" w:hAnsi="宋体" w:cs="仿宋"/>
          <w:color w:val="auto"/>
          <w:sz w:val="24"/>
          <w:highlight w:val="none"/>
        </w:rPr>
        <w:t>6.符合法律、行政法规规定的其他条件；</w:t>
      </w:r>
    </w:p>
    <w:p>
      <w:pPr>
        <w:pStyle w:val="56"/>
        <w:ind w:firstLine="720" w:firstLineChars="300"/>
        <w:rPr>
          <w:rFonts w:hint="eastAsia"/>
          <w:color w:val="auto"/>
          <w:sz w:val="24"/>
          <w:highlight w:val="none"/>
        </w:rPr>
      </w:pPr>
      <w:bookmarkStart w:id="7" w:name="_Hlk534967603"/>
      <w:r>
        <w:rPr>
          <w:rFonts w:hint="eastAsia"/>
          <w:color w:val="auto"/>
          <w:sz w:val="24"/>
          <w:highlight w:val="none"/>
        </w:rPr>
        <w:t>（1）</w:t>
      </w:r>
      <w:r>
        <w:rPr>
          <w:rFonts w:hint="eastAsia"/>
          <w:color w:val="auto"/>
          <w:sz w:val="24"/>
          <w:highlight w:val="none"/>
          <w:lang w:eastAsia="zh-CN"/>
        </w:rPr>
        <w:t>投标人</w:t>
      </w:r>
      <w:r>
        <w:rPr>
          <w:rFonts w:hint="eastAsia"/>
          <w:color w:val="auto"/>
          <w:sz w:val="24"/>
          <w:highlight w:val="none"/>
        </w:rPr>
        <w:t>及其现任法定代表人、主要负责人在参加本项目政府采购活动前三年无行贿犯罪记录；</w:t>
      </w:r>
    </w:p>
    <w:p>
      <w:pPr>
        <w:pStyle w:val="56"/>
        <w:ind w:firstLine="720" w:firstLineChars="300"/>
        <w:rPr>
          <w:rFonts w:hint="eastAsia"/>
          <w:color w:val="auto"/>
          <w:sz w:val="24"/>
          <w:highlight w:val="none"/>
        </w:rPr>
      </w:pPr>
      <w:r>
        <w:rPr>
          <w:rFonts w:hint="eastAsia"/>
          <w:color w:val="auto"/>
          <w:sz w:val="24"/>
          <w:highlight w:val="none"/>
        </w:rPr>
        <w:t>（2）</w:t>
      </w:r>
      <w:r>
        <w:rPr>
          <w:rFonts w:hint="eastAsia"/>
          <w:color w:val="auto"/>
          <w:sz w:val="24"/>
          <w:highlight w:val="none"/>
          <w:lang w:eastAsia="zh-CN"/>
        </w:rPr>
        <w:t>投标人</w:t>
      </w:r>
      <w:r>
        <w:rPr>
          <w:rFonts w:hint="eastAsia"/>
          <w:color w:val="auto"/>
          <w:sz w:val="24"/>
          <w:highlight w:val="none"/>
        </w:rPr>
        <w:t>须提供“截至磋商截止日未被列入失信被执行人、重大税收违法案件当事人名单、政府采购严重违法失信行为记录名单的承诺函”；</w:t>
      </w:r>
    </w:p>
    <w:p>
      <w:pPr>
        <w:pStyle w:val="56"/>
        <w:ind w:firstLine="480"/>
        <w:rPr>
          <w:rFonts w:hint="eastAsia"/>
          <w:color w:val="auto"/>
          <w:sz w:val="24"/>
          <w:highlight w:val="none"/>
        </w:rPr>
      </w:pPr>
      <w:r>
        <w:rPr>
          <w:rFonts w:hint="eastAsia"/>
          <w:color w:val="auto"/>
          <w:sz w:val="24"/>
          <w:highlight w:val="none"/>
        </w:rPr>
        <w:t>注：采购人或采购代理机构将于本项目磋商截止日在‘信用中国’网站、‘中国政府采购网’网站等渠道对供应商进行信用记录查询，并将查询记录存档。凡被列入失信被执行人、重大税收违法案件当事人名单、政府采购严重违法失信行为记录名单的，视为存在不良信用记录，参与本项目的将被拒绝。</w:t>
      </w:r>
    </w:p>
    <w:p>
      <w:pPr>
        <w:pStyle w:val="56"/>
        <w:ind w:firstLine="480"/>
        <w:rPr>
          <w:rFonts w:hint="eastAsia"/>
          <w:color w:val="auto"/>
          <w:sz w:val="24"/>
          <w:highlight w:val="none"/>
        </w:rPr>
      </w:pPr>
      <w:r>
        <w:rPr>
          <w:rFonts w:hint="eastAsia"/>
          <w:color w:val="auto"/>
          <w:sz w:val="24"/>
          <w:highlight w:val="none"/>
        </w:rPr>
        <w:t>（3）参加本次招标采购活动，不存在与单位负责人为同一人或者存在直接控股、管理关系的其他供应商参与同一合同项下的政府采购活动的行为；</w:t>
      </w:r>
    </w:p>
    <w:p>
      <w:pPr>
        <w:pStyle w:val="56"/>
        <w:ind w:firstLine="480"/>
        <w:rPr>
          <w:rFonts w:hint="eastAsia"/>
          <w:color w:val="auto"/>
          <w:sz w:val="24"/>
          <w:highlight w:val="none"/>
        </w:rPr>
      </w:pPr>
      <w:r>
        <w:rPr>
          <w:rFonts w:hint="eastAsia"/>
          <w:color w:val="auto"/>
          <w:sz w:val="24"/>
          <w:highlight w:val="none"/>
        </w:rPr>
        <w:t>（4）参加本次招标采购活动，不存在和其他供应商在同一合同项下的采购项目中，同时委托同一个自然人、同一家庭的人员、同一单位的人员作为代理人的行为；</w:t>
      </w:r>
    </w:p>
    <w:p>
      <w:pPr>
        <w:pStyle w:val="56"/>
        <w:ind w:firstLine="480"/>
        <w:rPr>
          <w:rFonts w:hint="eastAsia" w:eastAsia="宋体"/>
          <w:color w:val="auto"/>
          <w:sz w:val="24"/>
          <w:highlight w:val="none"/>
          <w:lang w:eastAsia="zh-CN"/>
        </w:rPr>
      </w:pPr>
      <w:r>
        <w:rPr>
          <w:rFonts w:hint="eastAsia"/>
          <w:color w:val="auto"/>
          <w:sz w:val="24"/>
          <w:highlight w:val="none"/>
        </w:rPr>
        <w:t>（5）参加本次采购活动，未对本次采购项目提供过整体设计、规范编制或者项目管理、监理、检测等服务</w:t>
      </w:r>
      <w:r>
        <w:rPr>
          <w:rFonts w:hint="eastAsia"/>
          <w:color w:val="auto"/>
          <w:sz w:val="24"/>
          <w:highlight w:val="none"/>
          <w:lang w:eastAsia="zh-CN"/>
        </w:rPr>
        <w:t>。</w:t>
      </w:r>
    </w:p>
    <w:p>
      <w:pPr>
        <w:pStyle w:val="56"/>
        <w:ind w:firstLine="480"/>
        <w:rPr>
          <w:rFonts w:hint="eastAsia"/>
          <w:color w:val="auto"/>
          <w:sz w:val="24"/>
          <w:highlight w:val="none"/>
        </w:rPr>
      </w:pPr>
      <w:r>
        <w:rPr>
          <w:rFonts w:hint="eastAsia"/>
          <w:color w:val="auto"/>
          <w:sz w:val="24"/>
          <w:highlight w:val="none"/>
        </w:rPr>
        <w:t>（</w:t>
      </w:r>
      <w:r>
        <w:rPr>
          <w:rFonts w:hint="eastAsia"/>
          <w:color w:val="auto"/>
          <w:sz w:val="24"/>
          <w:highlight w:val="none"/>
          <w:lang w:val="en-US" w:eastAsia="zh-CN"/>
        </w:rPr>
        <w:t>6</w:t>
      </w:r>
      <w:r>
        <w:rPr>
          <w:rFonts w:hint="eastAsia"/>
          <w:color w:val="auto"/>
          <w:sz w:val="24"/>
          <w:highlight w:val="none"/>
        </w:rPr>
        <w:t>）</w:t>
      </w:r>
      <w:r>
        <w:rPr>
          <w:rFonts w:hint="eastAsia"/>
          <w:color w:val="auto"/>
          <w:sz w:val="24"/>
          <w:highlight w:val="none"/>
          <w:lang w:eastAsia="zh-CN"/>
        </w:rPr>
        <w:t>投标人</w:t>
      </w:r>
      <w:r>
        <w:rPr>
          <w:rFonts w:hint="eastAsia"/>
          <w:color w:val="auto"/>
          <w:sz w:val="24"/>
          <w:highlight w:val="none"/>
        </w:rPr>
        <w:t>对是否存在受到财政部门或有关部门认定的失信行为（有效期内）以及认定次数进行承诺。</w:t>
      </w:r>
    </w:p>
    <w:p>
      <w:pPr>
        <w:pStyle w:val="56"/>
        <w:jc w:val="left"/>
        <w:rPr>
          <w:rFonts w:hint="eastAsia"/>
          <w:color w:val="auto"/>
          <w:sz w:val="24"/>
          <w:highlight w:val="none"/>
          <w:lang w:eastAsia="zh-CN"/>
        </w:rPr>
      </w:pPr>
      <w:r>
        <w:rPr>
          <w:rFonts w:hint="eastAsia"/>
          <w:color w:val="auto"/>
          <w:sz w:val="24"/>
          <w:highlight w:val="none"/>
        </w:rPr>
        <w:t>7.采购人根据采购项目提出的特殊条件</w:t>
      </w:r>
      <w:r>
        <w:rPr>
          <w:rFonts w:hint="eastAsia"/>
          <w:color w:val="auto"/>
          <w:sz w:val="24"/>
          <w:highlight w:val="none"/>
          <w:lang w:eastAsia="zh-CN"/>
        </w:rPr>
        <w:t>：</w:t>
      </w:r>
    </w:p>
    <w:p>
      <w:pPr>
        <w:pStyle w:val="56"/>
        <w:jc w:val="left"/>
        <w:rPr>
          <w:rFonts w:hint="default"/>
          <w:color w:val="auto"/>
          <w:sz w:val="24"/>
          <w:highlight w:val="none"/>
          <w:lang w:val="en-US" w:eastAsia="zh-CN"/>
        </w:rPr>
      </w:pPr>
      <w:r>
        <w:rPr>
          <w:rFonts w:hint="eastAsia"/>
          <w:color w:val="auto"/>
          <w:sz w:val="24"/>
          <w:highlight w:val="none"/>
          <w:lang w:val="en-US" w:eastAsia="zh-CN"/>
        </w:rPr>
        <w:t xml:space="preserve">  （1）1包：电缆采购；/</w:t>
      </w:r>
    </w:p>
    <w:p>
      <w:pPr>
        <w:pStyle w:val="56"/>
        <w:jc w:val="left"/>
        <w:rPr>
          <w:rFonts w:hint="default"/>
          <w:color w:val="auto"/>
          <w:sz w:val="24"/>
          <w:highlight w:val="none"/>
          <w:lang w:val="en-US" w:eastAsia="zh-CN"/>
        </w:rPr>
      </w:pPr>
      <w:r>
        <w:rPr>
          <w:rFonts w:hint="eastAsia"/>
          <w:color w:val="auto"/>
          <w:sz w:val="24"/>
          <w:highlight w:val="none"/>
          <w:lang w:val="en-US" w:eastAsia="zh-CN"/>
        </w:rPr>
        <w:t xml:space="preserve">  （2）2包：电器采购；/</w:t>
      </w:r>
    </w:p>
    <w:p>
      <w:pPr>
        <w:pStyle w:val="56"/>
        <w:jc w:val="left"/>
        <w:rPr>
          <w:rFonts w:hint="eastAsia"/>
          <w:color w:val="auto"/>
          <w:sz w:val="24"/>
          <w:highlight w:val="none"/>
          <w:lang w:val="en-US" w:eastAsia="zh-CN"/>
        </w:rPr>
      </w:pPr>
      <w:r>
        <w:rPr>
          <w:rFonts w:hint="eastAsia"/>
          <w:color w:val="auto"/>
          <w:sz w:val="24"/>
          <w:highlight w:val="none"/>
          <w:lang w:val="en-US" w:eastAsia="zh-CN"/>
        </w:rPr>
        <w:t xml:space="preserve">  （3）3包：路灯远程控制器采购；</w:t>
      </w:r>
    </w:p>
    <w:p>
      <w:pPr>
        <w:pStyle w:val="56"/>
        <w:ind w:firstLine="1200" w:firstLineChars="500"/>
        <w:jc w:val="left"/>
        <w:rPr>
          <w:rFonts w:hint="eastAsia"/>
          <w:color w:val="auto"/>
          <w:sz w:val="24"/>
          <w:highlight w:val="none"/>
          <w:lang w:val="en-US" w:eastAsia="zh-CN"/>
        </w:rPr>
      </w:pPr>
      <w:r>
        <w:rPr>
          <w:rFonts w:hint="eastAsia"/>
          <w:color w:val="auto"/>
          <w:sz w:val="24"/>
          <w:highlight w:val="none"/>
          <w:lang w:val="en-US" w:eastAsia="zh-CN"/>
        </w:rPr>
        <w:t>投标人须具有承装（修、试）电力设施许可证五级（或以上）资质；</w:t>
      </w:r>
    </w:p>
    <w:p>
      <w:pPr>
        <w:pStyle w:val="56"/>
        <w:ind w:firstLine="1200" w:firstLineChars="500"/>
        <w:jc w:val="left"/>
        <w:rPr>
          <w:rFonts w:hint="eastAsia"/>
          <w:color w:val="auto"/>
          <w:sz w:val="24"/>
          <w:highlight w:val="none"/>
          <w:lang w:val="en-US" w:eastAsia="zh-CN"/>
        </w:rPr>
      </w:pPr>
      <w:r>
        <w:rPr>
          <w:rFonts w:hint="eastAsia"/>
          <w:color w:val="auto"/>
          <w:sz w:val="24"/>
          <w:highlight w:val="none"/>
          <w:lang w:val="en-US" w:eastAsia="zh-CN"/>
        </w:rPr>
        <w:t>投标人须具有电子与智能化专业承包二级或二级以上资质；</w:t>
      </w:r>
    </w:p>
    <w:p>
      <w:pPr>
        <w:pStyle w:val="56"/>
        <w:numPr>
          <w:ilvl w:val="0"/>
          <w:numId w:val="1"/>
        </w:numPr>
        <w:rPr>
          <w:rFonts w:hint="eastAsia"/>
          <w:color w:val="auto"/>
          <w:sz w:val="24"/>
          <w:highlight w:val="none"/>
        </w:rPr>
      </w:pPr>
      <w:r>
        <w:rPr>
          <w:rFonts w:hint="eastAsia"/>
          <w:color w:val="auto"/>
          <w:sz w:val="24"/>
          <w:highlight w:val="none"/>
        </w:rPr>
        <w:t>本项目</w:t>
      </w:r>
      <w:r>
        <w:rPr>
          <w:rFonts w:hint="eastAsia"/>
          <w:color w:val="auto"/>
          <w:sz w:val="24"/>
          <w:highlight w:val="none"/>
          <w:lang w:eastAsia="zh-CN"/>
        </w:rPr>
        <w:t>不</w:t>
      </w:r>
      <w:r>
        <w:rPr>
          <w:rFonts w:hint="eastAsia"/>
          <w:color w:val="auto"/>
          <w:sz w:val="24"/>
          <w:highlight w:val="none"/>
        </w:rPr>
        <w:t>接受联合体参与采购活动。</w:t>
      </w:r>
    </w:p>
    <w:p>
      <w:pPr>
        <w:pStyle w:val="56"/>
        <w:numPr>
          <w:ilvl w:val="0"/>
          <w:numId w:val="1"/>
        </w:numPr>
        <w:rPr>
          <w:rFonts w:hint="eastAsia"/>
          <w:color w:val="auto"/>
          <w:sz w:val="24"/>
          <w:highlight w:val="none"/>
        </w:rPr>
      </w:pPr>
      <w:r>
        <w:rPr>
          <w:rFonts w:hint="eastAsia"/>
          <w:color w:val="auto"/>
          <w:sz w:val="24"/>
          <w:highlight w:val="none"/>
        </w:rPr>
        <w:t>本项目</w:t>
      </w:r>
      <w:r>
        <w:rPr>
          <w:rFonts w:hint="eastAsia"/>
          <w:color w:val="auto"/>
          <w:sz w:val="24"/>
          <w:highlight w:val="none"/>
          <w:lang w:eastAsia="zh-CN"/>
        </w:rPr>
        <w:t>专门面向中小企业采购。</w:t>
      </w:r>
    </w:p>
    <w:p>
      <w:pPr>
        <w:pStyle w:val="56"/>
        <w:ind w:firstLine="480"/>
        <w:rPr>
          <w:rFonts w:hAnsi="宋体" w:cs="仿宋"/>
          <w:color w:val="auto"/>
          <w:sz w:val="24"/>
          <w:highlight w:val="none"/>
        </w:rPr>
      </w:pPr>
      <w:r>
        <w:rPr>
          <w:rFonts w:hint="eastAsia" w:hAnsi="宋体" w:cs="仿宋"/>
          <w:color w:val="auto"/>
          <w:sz w:val="24"/>
          <w:highlight w:val="none"/>
        </w:rPr>
        <w:t>本项目投标投标人的资格条件在开标结束后进行审查。供应商应在投标文件中按招标文件的规定和要求附上所有的资格证明文件，若提供的资格证明文件无效、不全或不实，将导致其投标或中标资格被取消。</w:t>
      </w:r>
    </w:p>
    <w:bookmarkEnd w:id="7"/>
    <w:p>
      <w:pPr>
        <w:pStyle w:val="56"/>
        <w:ind w:firstLine="602" w:firstLineChars="250"/>
        <w:rPr>
          <w:rFonts w:hAnsi="宋体" w:cs="仿宋"/>
          <w:color w:val="auto"/>
          <w:sz w:val="24"/>
          <w:highlight w:val="none"/>
        </w:rPr>
      </w:pPr>
      <w:r>
        <w:rPr>
          <w:rFonts w:hint="eastAsia" w:hAnsi="宋体" w:cs="仿宋"/>
          <w:b/>
          <w:color w:val="auto"/>
          <w:sz w:val="24"/>
          <w:highlight w:val="none"/>
        </w:rPr>
        <w:t>资格条件要求详见本文件第四章，资格条件证明材料详见本文件第五章。</w:t>
      </w:r>
    </w:p>
    <w:p>
      <w:pPr>
        <w:pStyle w:val="56"/>
        <w:ind w:firstLine="0" w:firstLineChars="0"/>
        <w:rPr>
          <w:rFonts w:hAnsi="宋体" w:cs="仿宋"/>
          <w:b/>
          <w:color w:val="auto"/>
          <w:sz w:val="24"/>
          <w:highlight w:val="none"/>
        </w:rPr>
      </w:pPr>
      <w:r>
        <w:rPr>
          <w:rFonts w:hint="eastAsia" w:hAnsi="宋体" w:cs="仿宋"/>
          <w:b/>
          <w:color w:val="auto"/>
          <w:sz w:val="24"/>
          <w:highlight w:val="none"/>
        </w:rPr>
        <w:t xml:space="preserve">    六、拒绝参加本次采购活动的投标人</w:t>
      </w:r>
    </w:p>
    <w:p>
      <w:pPr>
        <w:pStyle w:val="56"/>
        <w:ind w:firstLine="0" w:firstLineChars="0"/>
        <w:rPr>
          <w:rFonts w:hAnsi="宋体" w:cs="仿宋"/>
          <w:color w:val="auto"/>
          <w:kern w:val="2"/>
          <w:sz w:val="24"/>
          <w:szCs w:val="24"/>
          <w:highlight w:val="none"/>
        </w:rPr>
      </w:pPr>
      <w:r>
        <w:rPr>
          <w:rFonts w:hint="eastAsia" w:hAnsi="宋体" w:cs="仿宋"/>
          <w:color w:val="auto"/>
          <w:sz w:val="24"/>
          <w:highlight w:val="none"/>
        </w:rPr>
        <w:t xml:space="preserve">    </w:t>
      </w:r>
      <w:bookmarkStart w:id="8" w:name="_Hlk534967710"/>
      <w:r>
        <w:rPr>
          <w:rFonts w:hint="eastAsia" w:hAnsi="宋体" w:cs="仿宋"/>
          <w:color w:val="auto"/>
          <w:kern w:val="2"/>
          <w:sz w:val="24"/>
          <w:szCs w:val="24"/>
          <w:highlight w:val="none"/>
        </w:rPr>
        <w:t>根据《关于在政府采购活动中查询及使用信用记录有关问题的通知》（财库〔2016〕125号）的要求，采购代理机构将通过“信用中国”网站（www.creditchina.gov.cn）、“中国政府采购网”网站（www.ccgp.gov.cn）渠道查询投标人在投标截止之日前的信用记录并保存信用记录结果网页截图，拒绝列入失信被执行人、重大税收违法案件当事人名单、政府采购严重违法失信行为记录名单中的投标人参加本项目的采购活动</w:t>
      </w:r>
      <w:bookmarkEnd w:id="8"/>
      <w:r>
        <w:rPr>
          <w:rFonts w:hint="eastAsia" w:hAnsi="宋体" w:cs="仿宋"/>
          <w:color w:val="auto"/>
          <w:kern w:val="2"/>
          <w:sz w:val="24"/>
          <w:szCs w:val="24"/>
          <w:highlight w:val="none"/>
        </w:rPr>
        <w:t>。</w:t>
      </w:r>
    </w:p>
    <w:p>
      <w:pPr>
        <w:spacing w:after="50" w:line="360" w:lineRule="auto"/>
        <w:ind w:firstLine="482" w:firstLineChars="200"/>
        <w:rPr>
          <w:rFonts w:ascii="宋体" w:hAnsi="宋体" w:cs="仿宋"/>
          <w:b/>
          <w:color w:val="auto"/>
          <w:sz w:val="24"/>
          <w:highlight w:val="yellow"/>
        </w:rPr>
      </w:pPr>
      <w:r>
        <w:rPr>
          <w:rFonts w:hint="eastAsia" w:ascii="宋体" w:hAnsi="宋体" w:cs="仿宋"/>
          <w:b/>
          <w:color w:val="auto"/>
          <w:sz w:val="24"/>
          <w:highlight w:val="yellow"/>
        </w:rPr>
        <w:t>七、招标文件获取时间、地点、方式：</w:t>
      </w:r>
    </w:p>
    <w:p>
      <w:pPr>
        <w:spacing w:line="360" w:lineRule="auto"/>
        <w:ind w:firstLine="480" w:firstLineChars="200"/>
        <w:rPr>
          <w:rFonts w:hint="eastAsia" w:ascii="宋体" w:hAnsi="宋体" w:eastAsia="宋体" w:cs="仿宋"/>
          <w:color w:val="auto"/>
          <w:sz w:val="24"/>
          <w:highlight w:val="yellow"/>
          <w:lang w:eastAsia="zh-CN"/>
        </w:rPr>
      </w:pPr>
      <w:r>
        <w:rPr>
          <w:rFonts w:hint="eastAsia" w:ascii="宋体" w:hAnsi="宋体" w:cs="仿宋"/>
          <w:color w:val="auto"/>
          <w:sz w:val="24"/>
          <w:highlight w:val="yellow"/>
        </w:rPr>
        <w:t>1、获取时间：招标文件自</w:t>
      </w:r>
      <w:r>
        <w:rPr>
          <w:rFonts w:hint="eastAsia" w:ascii="宋体" w:hAnsi="宋体" w:cs="仿宋"/>
          <w:color w:val="auto"/>
          <w:sz w:val="24"/>
          <w:highlight w:val="yellow"/>
          <w:lang w:val="en-US" w:eastAsia="zh-CN"/>
        </w:rPr>
        <w:t>2021</w:t>
      </w:r>
      <w:r>
        <w:rPr>
          <w:rFonts w:hint="eastAsia" w:ascii="宋体" w:hAnsi="宋体" w:cs="仿宋"/>
          <w:color w:val="auto"/>
          <w:sz w:val="24"/>
          <w:highlight w:val="yellow"/>
        </w:rPr>
        <w:t>年</w:t>
      </w:r>
      <w:r>
        <w:rPr>
          <w:rFonts w:hint="eastAsia" w:ascii="宋体" w:hAnsi="宋体" w:cs="仿宋"/>
          <w:color w:val="auto"/>
          <w:sz w:val="24"/>
          <w:highlight w:val="yellow"/>
          <w:lang w:val="en-US" w:eastAsia="zh-CN"/>
        </w:rPr>
        <w:t>9</w:t>
      </w:r>
      <w:r>
        <w:rPr>
          <w:rFonts w:hint="eastAsia" w:ascii="宋体" w:hAnsi="宋体" w:cs="仿宋"/>
          <w:color w:val="auto"/>
          <w:sz w:val="24"/>
          <w:highlight w:val="yellow"/>
        </w:rPr>
        <w:t>月</w:t>
      </w:r>
      <w:r>
        <w:rPr>
          <w:rFonts w:hint="eastAsia" w:ascii="宋体" w:hAnsi="宋体" w:cs="仿宋"/>
          <w:color w:val="auto"/>
          <w:sz w:val="24"/>
          <w:highlight w:val="yellow"/>
          <w:lang w:val="en-US" w:eastAsia="zh-CN"/>
        </w:rPr>
        <w:t>1</w:t>
      </w:r>
      <w:r>
        <w:rPr>
          <w:rFonts w:hint="eastAsia" w:ascii="宋体" w:hAnsi="宋体" w:cs="仿宋"/>
          <w:color w:val="auto"/>
          <w:sz w:val="24"/>
          <w:highlight w:val="yellow"/>
        </w:rPr>
        <w:t>日至20</w:t>
      </w:r>
      <w:r>
        <w:rPr>
          <w:rFonts w:hint="eastAsia" w:ascii="宋体" w:hAnsi="宋体" w:cs="仿宋"/>
          <w:color w:val="auto"/>
          <w:sz w:val="24"/>
          <w:highlight w:val="yellow"/>
          <w:lang w:val="en-US" w:eastAsia="zh-CN"/>
        </w:rPr>
        <w:t>21</w:t>
      </w:r>
      <w:r>
        <w:rPr>
          <w:rFonts w:hint="eastAsia" w:ascii="宋体" w:hAnsi="宋体" w:cs="仿宋"/>
          <w:color w:val="auto"/>
          <w:sz w:val="24"/>
          <w:highlight w:val="yellow"/>
        </w:rPr>
        <w:t>年</w:t>
      </w:r>
      <w:r>
        <w:rPr>
          <w:rFonts w:hint="eastAsia" w:ascii="宋体" w:hAnsi="宋体" w:cs="仿宋"/>
          <w:color w:val="auto"/>
          <w:sz w:val="24"/>
          <w:highlight w:val="yellow"/>
          <w:lang w:val="en-US" w:eastAsia="zh-CN"/>
        </w:rPr>
        <w:t>9</w:t>
      </w:r>
      <w:r>
        <w:rPr>
          <w:rFonts w:hint="eastAsia" w:ascii="宋体" w:hAnsi="宋体" w:cs="仿宋"/>
          <w:color w:val="auto"/>
          <w:sz w:val="24"/>
          <w:highlight w:val="yellow"/>
        </w:rPr>
        <w:t>月</w:t>
      </w:r>
      <w:r>
        <w:rPr>
          <w:rFonts w:hint="eastAsia" w:ascii="宋体" w:hAnsi="宋体" w:cs="仿宋"/>
          <w:color w:val="auto"/>
          <w:sz w:val="24"/>
          <w:highlight w:val="yellow"/>
          <w:lang w:val="en-US" w:eastAsia="zh-CN"/>
        </w:rPr>
        <w:t>7</w:t>
      </w:r>
      <w:r>
        <w:rPr>
          <w:rFonts w:hint="eastAsia" w:ascii="宋体" w:hAnsi="宋体" w:cs="仿宋"/>
          <w:color w:val="auto"/>
          <w:sz w:val="24"/>
          <w:highlight w:val="yellow"/>
        </w:rPr>
        <w:t>日09</w:t>
      </w:r>
      <w:r>
        <w:rPr>
          <w:rFonts w:hint="eastAsia" w:ascii="宋体" w:hAnsi="宋体" w:cs="仿宋"/>
          <w:color w:val="auto"/>
          <w:sz w:val="24"/>
          <w:highlight w:val="yellow"/>
          <w:lang w:eastAsia="zh-CN"/>
        </w:rPr>
        <w:t>：</w:t>
      </w:r>
      <w:r>
        <w:rPr>
          <w:rFonts w:hint="eastAsia" w:ascii="宋体" w:hAnsi="宋体" w:cs="仿宋"/>
          <w:color w:val="auto"/>
          <w:sz w:val="24"/>
          <w:highlight w:val="yellow"/>
          <w:lang w:val="en-US" w:eastAsia="zh-CN"/>
        </w:rPr>
        <w:t>3</w:t>
      </w:r>
      <w:r>
        <w:rPr>
          <w:rFonts w:hint="eastAsia" w:ascii="宋体" w:hAnsi="宋体" w:cs="仿宋"/>
          <w:color w:val="auto"/>
          <w:sz w:val="24"/>
          <w:highlight w:val="yellow"/>
        </w:rPr>
        <w:t>0-12:00,14:00-17:00</w:t>
      </w:r>
      <w:r>
        <w:rPr>
          <w:rFonts w:hint="eastAsia" w:ascii="宋体" w:hAnsi="宋体" w:cs="仿宋"/>
          <w:color w:val="auto"/>
          <w:sz w:val="24"/>
          <w:highlight w:val="yellow"/>
          <w:lang w:eastAsia="zh-CN"/>
        </w:rPr>
        <w:t>（法定节假日除外）</w:t>
      </w:r>
    </w:p>
    <w:p>
      <w:pPr>
        <w:spacing w:line="360" w:lineRule="auto"/>
        <w:ind w:firstLine="480" w:firstLineChars="200"/>
        <w:rPr>
          <w:rFonts w:ascii="宋体" w:hAnsi="宋体" w:cs="仿宋"/>
          <w:color w:val="auto"/>
          <w:sz w:val="24"/>
          <w:highlight w:val="yellow"/>
        </w:rPr>
      </w:pPr>
      <w:r>
        <w:rPr>
          <w:rFonts w:hint="eastAsia" w:ascii="宋体" w:hAnsi="宋体" w:cs="仿宋"/>
          <w:color w:val="auto"/>
          <w:sz w:val="24"/>
          <w:highlight w:val="yellow"/>
        </w:rPr>
        <w:t>2、获取地点：</w:t>
      </w:r>
      <w:r>
        <w:rPr>
          <w:rFonts w:hint="eastAsia" w:ascii="宋体" w:hAnsi="宋体" w:cs="仿宋"/>
          <w:color w:val="auto"/>
          <w:sz w:val="24"/>
          <w:highlight w:val="yellow"/>
          <w:u w:val="single"/>
        </w:rPr>
        <w:t>成都市龙泉驿区桃都大道吾悦广场写字楼2008室（成都云辉工程项目管理有限公司）</w:t>
      </w:r>
      <w:r>
        <w:rPr>
          <w:rFonts w:hint="eastAsia" w:ascii="宋体" w:hAnsi="宋体" w:cs="仿宋"/>
          <w:color w:val="auto"/>
          <w:sz w:val="24"/>
          <w:highlight w:val="yellow"/>
        </w:rPr>
        <w:t>。</w:t>
      </w:r>
    </w:p>
    <w:p>
      <w:pPr>
        <w:spacing w:line="360" w:lineRule="auto"/>
        <w:ind w:firstLine="480" w:firstLineChars="200"/>
        <w:rPr>
          <w:rFonts w:ascii="宋体" w:hAnsi="宋体" w:cs="仿宋"/>
          <w:b/>
          <w:color w:val="auto"/>
          <w:sz w:val="24"/>
          <w:highlight w:val="yellow"/>
        </w:rPr>
      </w:pPr>
      <w:r>
        <w:rPr>
          <w:rFonts w:hint="eastAsia" w:ascii="宋体" w:hAnsi="宋体" w:cs="仿宋"/>
          <w:color w:val="auto"/>
          <w:sz w:val="24"/>
          <w:highlight w:val="yellow"/>
        </w:rPr>
        <w:t>3、</w:t>
      </w:r>
      <w:r>
        <w:rPr>
          <w:rFonts w:hint="eastAsia" w:ascii="宋体" w:hAnsi="宋体" w:cs="仿宋"/>
          <w:b/>
          <w:color w:val="auto"/>
          <w:sz w:val="24"/>
          <w:highlight w:val="yellow"/>
        </w:rPr>
        <w:t>获取方式：现场获取。</w:t>
      </w:r>
    </w:p>
    <w:p>
      <w:pPr>
        <w:spacing w:line="360" w:lineRule="auto"/>
        <w:ind w:firstLine="480" w:firstLineChars="200"/>
        <w:rPr>
          <w:rFonts w:hint="eastAsia" w:ascii="宋体" w:hAnsi="宋体" w:cs="仿宋"/>
          <w:color w:val="auto"/>
          <w:sz w:val="24"/>
          <w:highlight w:val="yellow"/>
        </w:rPr>
      </w:pPr>
      <w:r>
        <w:rPr>
          <w:rFonts w:hint="eastAsia" w:ascii="宋体" w:hAnsi="宋体" w:cs="仿宋"/>
          <w:color w:val="auto"/>
          <w:sz w:val="24"/>
          <w:highlight w:val="yellow"/>
        </w:rPr>
        <w:t>（</w:t>
      </w:r>
      <w:r>
        <w:rPr>
          <w:rFonts w:hint="eastAsia" w:ascii="宋体" w:hAnsi="宋体" w:cs="仿宋"/>
          <w:color w:val="auto"/>
          <w:sz w:val="24"/>
          <w:highlight w:val="yellow"/>
          <w:lang w:val="en-US" w:eastAsia="zh-CN"/>
        </w:rPr>
        <w:t>1</w:t>
      </w:r>
      <w:r>
        <w:rPr>
          <w:rFonts w:hint="eastAsia" w:ascii="宋体" w:hAnsi="宋体" w:cs="仿宋"/>
          <w:color w:val="auto"/>
          <w:sz w:val="24"/>
          <w:highlight w:val="yellow"/>
        </w:rPr>
        <w:t>）现场获取 供应商为法人或者其他组织的提供以下资料：</w:t>
      </w:r>
    </w:p>
    <w:p>
      <w:pPr>
        <w:spacing w:line="360" w:lineRule="auto"/>
        <w:ind w:firstLine="480" w:firstLineChars="200"/>
        <w:rPr>
          <w:rFonts w:hint="eastAsia" w:ascii="宋体" w:hAnsi="宋体" w:cs="仿宋"/>
          <w:color w:val="auto"/>
          <w:sz w:val="24"/>
          <w:highlight w:val="yellow"/>
        </w:rPr>
      </w:pPr>
      <w:r>
        <w:rPr>
          <w:rFonts w:hint="eastAsia" w:ascii="宋体" w:hAnsi="宋体" w:cs="仿宋"/>
          <w:color w:val="auto"/>
          <w:sz w:val="24"/>
          <w:highlight w:val="yellow"/>
        </w:rPr>
        <w:t xml:space="preserve"> 1.针对本项目的单位介绍信并加盖公章，介绍信须注明项目名称、项目编号、联系人及联系电话、电子邮箱；</w:t>
      </w:r>
    </w:p>
    <w:p>
      <w:pPr>
        <w:spacing w:line="360" w:lineRule="auto"/>
        <w:ind w:firstLine="480" w:firstLineChars="200"/>
        <w:rPr>
          <w:rFonts w:hint="eastAsia" w:ascii="宋体" w:hAnsi="宋体" w:cs="仿宋"/>
          <w:color w:val="auto"/>
          <w:sz w:val="24"/>
          <w:highlight w:val="yellow"/>
        </w:rPr>
      </w:pPr>
      <w:r>
        <w:rPr>
          <w:rFonts w:hint="eastAsia" w:ascii="宋体" w:hAnsi="宋体" w:cs="仿宋"/>
          <w:color w:val="auto"/>
          <w:sz w:val="24"/>
          <w:highlight w:val="yellow"/>
        </w:rPr>
        <w:t xml:space="preserve">2.经办人身份证复印件并加盖公章； </w:t>
      </w:r>
    </w:p>
    <w:p>
      <w:pPr>
        <w:spacing w:line="360" w:lineRule="auto"/>
        <w:ind w:firstLine="480" w:firstLineChars="200"/>
        <w:rPr>
          <w:rFonts w:ascii="宋体" w:hAnsi="宋体" w:cs="仿宋"/>
          <w:color w:val="auto"/>
          <w:sz w:val="24"/>
          <w:highlight w:val="yellow"/>
        </w:rPr>
      </w:pPr>
      <w:r>
        <w:rPr>
          <w:rFonts w:hint="eastAsia" w:ascii="宋体" w:hAnsi="宋体" w:cs="仿宋"/>
          <w:color w:val="auto"/>
          <w:sz w:val="24"/>
          <w:highlight w:val="yellow"/>
        </w:rPr>
        <w:t>3.报名登记表。 供应商为自然人的，只需提供本人身份证明及报名登记表；并将相应材料给采购代理机构留存。</w:t>
      </w:r>
    </w:p>
    <w:p>
      <w:pPr>
        <w:spacing w:afterLines="50" w:line="360" w:lineRule="auto"/>
        <w:ind w:firstLine="482" w:firstLineChars="200"/>
        <w:rPr>
          <w:rFonts w:ascii="宋体" w:hAnsi="宋体" w:cs="仿宋"/>
          <w:b/>
          <w:color w:val="auto"/>
          <w:sz w:val="24"/>
          <w:highlight w:val="none"/>
        </w:rPr>
      </w:pPr>
      <w:r>
        <w:rPr>
          <w:rFonts w:hint="eastAsia" w:ascii="宋体" w:hAnsi="宋体" w:cs="仿宋"/>
          <w:b/>
          <w:color w:val="auto"/>
          <w:sz w:val="24"/>
          <w:szCs w:val="28"/>
          <w:highlight w:val="none"/>
        </w:rPr>
        <w:t>八、</w:t>
      </w:r>
      <w:r>
        <w:rPr>
          <w:rFonts w:hint="eastAsia" w:ascii="宋体" w:hAnsi="宋体" w:cs="仿宋"/>
          <w:b/>
          <w:color w:val="auto"/>
          <w:sz w:val="24"/>
          <w:highlight w:val="none"/>
        </w:rPr>
        <w:t>投标截止时间和开标时间：</w:t>
      </w:r>
      <w:bookmarkStart w:id="9" w:name="_Hlk534967765"/>
      <w:r>
        <w:rPr>
          <w:rFonts w:hint="eastAsia" w:ascii="宋体" w:hAnsi="宋体" w:cs="仿宋"/>
          <w:b/>
          <w:bCs/>
          <w:color w:val="auto"/>
          <w:sz w:val="24"/>
          <w:highlight w:val="none"/>
        </w:rPr>
        <w:t>202</w:t>
      </w:r>
      <w:r>
        <w:rPr>
          <w:rFonts w:hint="eastAsia" w:ascii="宋体" w:hAnsi="宋体" w:cs="仿宋"/>
          <w:b/>
          <w:bCs/>
          <w:color w:val="auto"/>
          <w:sz w:val="24"/>
          <w:highlight w:val="none"/>
          <w:lang w:val="en-US" w:eastAsia="zh-CN"/>
        </w:rPr>
        <w:t>1</w:t>
      </w:r>
      <w:r>
        <w:rPr>
          <w:rFonts w:hint="eastAsia" w:ascii="宋体" w:hAnsi="宋体" w:cs="仿宋"/>
          <w:b/>
          <w:bCs/>
          <w:color w:val="auto"/>
          <w:sz w:val="24"/>
          <w:highlight w:val="none"/>
        </w:rPr>
        <w:t>年</w:t>
      </w:r>
      <w:r>
        <w:rPr>
          <w:rFonts w:hint="eastAsia" w:ascii="宋体" w:hAnsi="宋体" w:cs="仿宋"/>
          <w:b/>
          <w:bCs/>
          <w:color w:val="auto"/>
          <w:sz w:val="24"/>
          <w:highlight w:val="none"/>
          <w:lang w:val="en-US" w:eastAsia="zh-CN"/>
        </w:rPr>
        <w:t xml:space="preserve"> 9 </w:t>
      </w:r>
      <w:r>
        <w:rPr>
          <w:rFonts w:hint="eastAsia" w:ascii="宋体" w:hAnsi="宋体" w:cs="仿宋"/>
          <w:b/>
          <w:bCs/>
          <w:color w:val="auto"/>
          <w:sz w:val="24"/>
          <w:highlight w:val="none"/>
        </w:rPr>
        <w:t>月</w:t>
      </w:r>
      <w:r>
        <w:rPr>
          <w:rFonts w:hint="eastAsia" w:ascii="宋体" w:hAnsi="宋体" w:cs="仿宋"/>
          <w:b/>
          <w:bCs/>
          <w:color w:val="auto"/>
          <w:sz w:val="24"/>
          <w:highlight w:val="none"/>
          <w:lang w:val="en-US" w:eastAsia="zh-CN"/>
        </w:rPr>
        <w:t xml:space="preserve"> 24</w:t>
      </w:r>
      <w:r>
        <w:rPr>
          <w:rFonts w:hint="eastAsia" w:ascii="宋体" w:hAnsi="宋体" w:cs="仿宋"/>
          <w:b/>
          <w:bCs/>
          <w:color w:val="auto"/>
          <w:sz w:val="24"/>
          <w:highlight w:val="none"/>
        </w:rPr>
        <w:t xml:space="preserve">日 </w:t>
      </w:r>
      <w:r>
        <w:rPr>
          <w:rFonts w:hint="eastAsia" w:ascii="宋体" w:hAnsi="宋体" w:cs="仿宋"/>
          <w:b/>
          <w:bCs/>
          <w:color w:val="auto"/>
          <w:sz w:val="24"/>
          <w:highlight w:val="none"/>
        </w:rPr>
        <w:t xml:space="preserve">10 </w:t>
      </w:r>
      <w:r>
        <w:rPr>
          <w:rFonts w:hint="eastAsia" w:ascii="宋体" w:hAnsi="宋体" w:cs="仿宋"/>
          <w:b/>
          <w:bCs/>
          <w:color w:val="auto"/>
          <w:sz w:val="24"/>
          <w:highlight w:val="none"/>
        </w:rPr>
        <w:t xml:space="preserve">: </w:t>
      </w:r>
      <w:r>
        <w:rPr>
          <w:rFonts w:hint="eastAsia" w:ascii="宋体" w:hAnsi="宋体" w:cs="仿宋"/>
          <w:b/>
          <w:bCs/>
          <w:color w:val="auto"/>
          <w:sz w:val="24"/>
          <w:highlight w:val="none"/>
          <w:lang w:val="en-US" w:eastAsia="zh-CN"/>
        </w:rPr>
        <w:t>0</w:t>
      </w:r>
      <w:r>
        <w:rPr>
          <w:rFonts w:hint="eastAsia" w:ascii="宋体" w:hAnsi="宋体" w:cs="仿宋"/>
          <w:b/>
          <w:bCs/>
          <w:color w:val="auto"/>
          <w:sz w:val="24"/>
          <w:highlight w:val="none"/>
        </w:rPr>
        <w:t>0</w:t>
      </w:r>
      <w:bookmarkEnd w:id="9"/>
      <w:r>
        <w:rPr>
          <w:rFonts w:hint="eastAsia" w:ascii="宋体" w:hAnsi="宋体" w:cs="仿宋"/>
          <w:b/>
          <w:bCs/>
          <w:color w:val="auto"/>
          <w:sz w:val="24"/>
          <w:highlight w:val="none"/>
        </w:rPr>
        <w:t>（北京时间）。</w:t>
      </w:r>
    </w:p>
    <w:p>
      <w:pPr>
        <w:pStyle w:val="10"/>
        <w:spacing w:afterLines="50" w:line="360" w:lineRule="auto"/>
        <w:ind w:firstLine="480"/>
        <w:rPr>
          <w:rFonts w:hint="eastAsia" w:ascii="宋体" w:hAnsi="宋体" w:cs="仿宋"/>
          <w:b/>
          <w:bCs/>
          <w:color w:val="auto"/>
          <w:sz w:val="24"/>
          <w:highlight w:val="none"/>
          <w:u w:val="single"/>
          <w:lang w:eastAsia="zh-CN"/>
        </w:rPr>
      </w:pPr>
      <w:r>
        <w:rPr>
          <w:rFonts w:hint="eastAsia" w:ascii="宋体" w:hAnsi="宋体" w:cs="仿宋"/>
          <w:color w:val="auto"/>
          <w:sz w:val="24"/>
          <w:szCs w:val="28"/>
          <w:highlight w:val="none"/>
        </w:rPr>
        <w:t>投标文件必须在投标截止时间前送达开标地点。逾期送达或没有密封的投标文件不予接收。本次招标不接受邮寄的投标文件。</w:t>
      </w:r>
      <w:r>
        <w:rPr>
          <w:rFonts w:hint="eastAsia" w:ascii="宋体" w:hAnsi="宋体" w:cs="仿宋"/>
          <w:b/>
          <w:bCs/>
          <w:color w:val="auto"/>
          <w:sz w:val="24"/>
          <w:highlight w:val="none"/>
          <w:u w:val="single"/>
          <w:lang w:eastAsia="zh-CN"/>
        </w:rPr>
        <w:t>（文件接收时间：</w:t>
      </w:r>
      <w:bookmarkStart w:id="10" w:name="_Hlk534967782"/>
      <w:r>
        <w:rPr>
          <w:rFonts w:hint="eastAsia" w:ascii="宋体" w:hAnsi="宋体" w:cs="仿宋"/>
          <w:b/>
          <w:bCs/>
          <w:color w:val="auto"/>
          <w:sz w:val="24"/>
          <w:highlight w:val="none"/>
          <w:u w:val="single"/>
          <w:lang w:eastAsia="zh-CN"/>
        </w:rPr>
        <w:t>20</w:t>
      </w:r>
      <w:r>
        <w:rPr>
          <w:rFonts w:hint="eastAsia" w:ascii="宋体" w:hAnsi="宋体" w:cs="仿宋"/>
          <w:b/>
          <w:bCs/>
          <w:color w:val="auto"/>
          <w:sz w:val="24"/>
          <w:highlight w:val="none"/>
          <w:u w:val="single"/>
          <w:lang w:val="en-US" w:eastAsia="zh-CN"/>
        </w:rPr>
        <w:t>21</w:t>
      </w:r>
      <w:r>
        <w:rPr>
          <w:rFonts w:hint="eastAsia" w:ascii="宋体" w:hAnsi="宋体" w:cs="仿宋"/>
          <w:b/>
          <w:bCs/>
          <w:color w:val="auto"/>
          <w:sz w:val="24"/>
          <w:highlight w:val="none"/>
          <w:u w:val="single"/>
          <w:lang w:eastAsia="zh-CN"/>
        </w:rPr>
        <w:t>年</w:t>
      </w:r>
      <w:r>
        <w:rPr>
          <w:rFonts w:hint="eastAsia" w:ascii="宋体" w:hAnsi="宋体" w:cs="仿宋"/>
          <w:b/>
          <w:bCs/>
          <w:color w:val="auto"/>
          <w:sz w:val="24"/>
          <w:highlight w:val="none"/>
          <w:u w:val="single"/>
          <w:lang w:val="en-US" w:eastAsia="zh-CN"/>
        </w:rPr>
        <w:t xml:space="preserve">9 </w:t>
      </w:r>
      <w:r>
        <w:rPr>
          <w:rFonts w:hint="eastAsia" w:ascii="宋体" w:hAnsi="宋体" w:cs="仿宋"/>
          <w:b/>
          <w:bCs/>
          <w:color w:val="auto"/>
          <w:sz w:val="24"/>
          <w:highlight w:val="none"/>
          <w:u w:val="single"/>
          <w:lang w:eastAsia="zh-CN"/>
        </w:rPr>
        <w:t>月</w:t>
      </w:r>
      <w:r>
        <w:rPr>
          <w:rFonts w:hint="eastAsia" w:ascii="宋体" w:hAnsi="宋体" w:cs="仿宋"/>
          <w:b/>
          <w:bCs/>
          <w:color w:val="auto"/>
          <w:sz w:val="24"/>
          <w:highlight w:val="none"/>
          <w:u w:val="single"/>
          <w:lang w:val="en-US" w:eastAsia="zh-CN"/>
        </w:rPr>
        <w:t xml:space="preserve"> 24 </w:t>
      </w:r>
      <w:r>
        <w:rPr>
          <w:rFonts w:hint="eastAsia" w:ascii="宋体" w:hAnsi="宋体" w:cs="仿宋"/>
          <w:b/>
          <w:bCs/>
          <w:color w:val="auto"/>
          <w:sz w:val="24"/>
          <w:highlight w:val="none"/>
          <w:u w:val="single"/>
          <w:lang w:eastAsia="zh-CN"/>
        </w:rPr>
        <w:t xml:space="preserve">日 </w:t>
      </w:r>
      <w:r>
        <w:rPr>
          <w:rFonts w:hint="eastAsia" w:ascii="宋体" w:hAnsi="宋体" w:cs="仿宋"/>
          <w:b/>
          <w:bCs/>
          <w:color w:val="auto"/>
          <w:sz w:val="24"/>
          <w:highlight w:val="none"/>
          <w:u w:val="single"/>
          <w:lang w:val="en-US" w:eastAsia="zh-CN"/>
        </w:rPr>
        <w:t>09</w:t>
      </w:r>
      <w:r>
        <w:rPr>
          <w:rFonts w:hint="eastAsia" w:ascii="宋体" w:hAnsi="宋体" w:cs="仿宋"/>
          <w:b/>
          <w:bCs/>
          <w:color w:val="auto"/>
          <w:sz w:val="24"/>
          <w:highlight w:val="none"/>
          <w:u w:val="single"/>
          <w:lang w:eastAsia="zh-CN"/>
        </w:rPr>
        <w:t xml:space="preserve"> : </w:t>
      </w:r>
      <w:r>
        <w:rPr>
          <w:rFonts w:hint="eastAsia" w:ascii="宋体" w:hAnsi="宋体" w:cs="仿宋"/>
          <w:b/>
          <w:bCs/>
          <w:color w:val="auto"/>
          <w:sz w:val="24"/>
          <w:highlight w:val="none"/>
          <w:u w:val="single"/>
          <w:lang w:val="en-US" w:eastAsia="zh-CN"/>
        </w:rPr>
        <w:t>30</w:t>
      </w:r>
      <w:r>
        <w:rPr>
          <w:rFonts w:hint="eastAsia" w:ascii="宋体" w:hAnsi="宋体" w:cs="仿宋"/>
          <w:b/>
          <w:bCs/>
          <w:color w:val="auto"/>
          <w:sz w:val="24"/>
          <w:highlight w:val="none"/>
          <w:u w:val="single"/>
          <w:lang w:eastAsia="zh-CN"/>
        </w:rPr>
        <w:t xml:space="preserve"> </w:t>
      </w:r>
      <w:bookmarkEnd w:id="10"/>
      <w:r>
        <w:rPr>
          <w:rFonts w:hint="eastAsia" w:ascii="宋体" w:hAnsi="宋体" w:cs="仿宋"/>
          <w:b/>
          <w:bCs/>
          <w:color w:val="auto"/>
          <w:sz w:val="24"/>
          <w:highlight w:val="none"/>
          <w:u w:val="single"/>
          <w:lang w:eastAsia="zh-CN"/>
        </w:rPr>
        <w:t>-2020年</w:t>
      </w:r>
      <w:r>
        <w:rPr>
          <w:rFonts w:hint="eastAsia" w:ascii="宋体" w:hAnsi="宋体" w:cs="仿宋"/>
          <w:b/>
          <w:bCs/>
          <w:color w:val="auto"/>
          <w:sz w:val="24"/>
          <w:highlight w:val="none"/>
          <w:u w:val="single"/>
          <w:lang w:val="en-US" w:eastAsia="zh-CN"/>
        </w:rPr>
        <w:t xml:space="preserve">9 </w:t>
      </w:r>
      <w:r>
        <w:rPr>
          <w:rFonts w:hint="eastAsia" w:ascii="宋体" w:hAnsi="宋体" w:cs="仿宋"/>
          <w:b/>
          <w:bCs/>
          <w:color w:val="auto"/>
          <w:sz w:val="24"/>
          <w:highlight w:val="none"/>
          <w:u w:val="single"/>
          <w:lang w:eastAsia="zh-CN"/>
        </w:rPr>
        <w:t>月</w:t>
      </w:r>
      <w:r>
        <w:rPr>
          <w:rFonts w:hint="eastAsia" w:ascii="宋体" w:hAnsi="宋体" w:cs="仿宋"/>
          <w:b/>
          <w:bCs/>
          <w:color w:val="auto"/>
          <w:sz w:val="24"/>
          <w:highlight w:val="none"/>
          <w:u w:val="single"/>
          <w:lang w:val="en-US" w:eastAsia="zh-CN"/>
        </w:rPr>
        <w:t>24</w:t>
      </w:r>
      <w:r>
        <w:rPr>
          <w:rFonts w:hint="eastAsia" w:ascii="宋体" w:hAnsi="宋体" w:cs="仿宋"/>
          <w:b/>
          <w:bCs/>
          <w:color w:val="auto"/>
          <w:sz w:val="24"/>
          <w:highlight w:val="none"/>
          <w:u w:val="single"/>
          <w:lang w:eastAsia="zh-CN"/>
        </w:rPr>
        <w:t xml:space="preserve">日 </w:t>
      </w:r>
      <w:r>
        <w:rPr>
          <w:rFonts w:hint="eastAsia" w:ascii="宋体" w:hAnsi="宋体" w:cs="仿宋"/>
          <w:b/>
          <w:bCs/>
          <w:color w:val="auto"/>
          <w:sz w:val="24"/>
          <w:highlight w:val="none"/>
          <w:u w:val="single"/>
          <w:lang w:val="en-US" w:eastAsia="zh-CN"/>
        </w:rPr>
        <w:t>10</w:t>
      </w:r>
      <w:r>
        <w:rPr>
          <w:rFonts w:hint="eastAsia" w:ascii="宋体" w:hAnsi="宋体" w:cs="仿宋"/>
          <w:b/>
          <w:bCs/>
          <w:color w:val="auto"/>
          <w:sz w:val="24"/>
          <w:highlight w:val="none"/>
          <w:u w:val="single"/>
          <w:lang w:eastAsia="zh-CN"/>
        </w:rPr>
        <w:t xml:space="preserve"> : </w:t>
      </w:r>
      <w:r>
        <w:rPr>
          <w:rFonts w:hint="eastAsia" w:ascii="宋体" w:hAnsi="宋体" w:cs="仿宋"/>
          <w:b/>
          <w:bCs/>
          <w:color w:val="auto"/>
          <w:sz w:val="24"/>
          <w:highlight w:val="none"/>
          <w:u w:val="single"/>
          <w:lang w:val="en-US" w:eastAsia="zh-CN"/>
        </w:rPr>
        <w:t>00</w:t>
      </w:r>
      <w:r>
        <w:rPr>
          <w:rFonts w:hint="eastAsia" w:ascii="宋体" w:hAnsi="宋体" w:cs="仿宋"/>
          <w:b/>
          <w:bCs/>
          <w:color w:val="auto"/>
          <w:sz w:val="24"/>
          <w:highlight w:val="none"/>
          <w:u w:val="single"/>
          <w:lang w:eastAsia="zh-CN"/>
        </w:rPr>
        <w:t xml:space="preserve"> </w:t>
      </w:r>
      <w:r>
        <w:rPr>
          <w:rFonts w:hint="eastAsia" w:ascii="宋体" w:hAnsi="宋体" w:cs="仿宋"/>
          <w:b/>
          <w:bCs/>
          <w:color w:val="auto"/>
          <w:sz w:val="24"/>
          <w:highlight w:val="none"/>
          <w:u w:val="single"/>
          <w:lang w:eastAsia="zh-CN"/>
        </w:rPr>
        <w:t>投标文件递交截止时间）</w:t>
      </w:r>
    </w:p>
    <w:p>
      <w:pPr>
        <w:pStyle w:val="10"/>
        <w:spacing w:afterLines="50" w:line="360" w:lineRule="auto"/>
        <w:ind w:firstLine="480"/>
        <w:rPr>
          <w:rFonts w:ascii="宋体" w:hAnsi="宋体" w:cs="仿宋"/>
          <w:b/>
          <w:bCs/>
          <w:color w:val="auto"/>
          <w:sz w:val="24"/>
          <w:highlight w:val="none"/>
        </w:rPr>
      </w:pPr>
      <w:r>
        <w:rPr>
          <w:rFonts w:hint="eastAsia" w:ascii="宋体" w:hAnsi="宋体" w:cs="仿宋"/>
          <w:b/>
          <w:bCs/>
          <w:color w:val="auto"/>
          <w:sz w:val="24"/>
          <w:highlight w:val="none"/>
        </w:rPr>
        <w:t>注：为减少人员聚集；现场递交投标文件的单位，只能委派一名工作人员递交并参加现场开标，且服从疫情期间的相关管理要求（疫情解除则本条不适用）。</w:t>
      </w:r>
    </w:p>
    <w:p>
      <w:pPr>
        <w:pStyle w:val="2"/>
        <w:ind w:firstLine="482" w:firstLineChars="200"/>
        <w:rPr>
          <w:rFonts w:hint="eastAsia" w:ascii="宋体" w:hAnsi="宋体" w:cs="宋体"/>
          <w:b/>
          <w:color w:val="auto"/>
          <w:sz w:val="24"/>
          <w:highlight w:val="none"/>
        </w:rPr>
      </w:pPr>
      <w:r>
        <w:rPr>
          <w:rFonts w:hint="eastAsia" w:ascii="宋体" w:hAnsi="宋体" w:cs="宋体"/>
          <w:b/>
          <w:color w:val="auto"/>
          <w:sz w:val="24"/>
          <w:highlight w:val="none"/>
          <w:lang w:eastAsia="zh-CN"/>
        </w:rPr>
        <w:t>九</w:t>
      </w:r>
      <w:r>
        <w:rPr>
          <w:rFonts w:hint="eastAsia" w:ascii="宋体" w:hAnsi="宋体" w:cs="宋体"/>
          <w:b/>
          <w:color w:val="auto"/>
          <w:sz w:val="24"/>
          <w:highlight w:val="none"/>
        </w:rPr>
        <w:t>、供应商信用融资</w:t>
      </w:r>
    </w:p>
    <w:p>
      <w:pPr>
        <w:spacing w:after="50" w:line="360" w:lineRule="auto"/>
        <w:ind w:firstLine="487" w:firstLineChars="203"/>
        <w:rPr>
          <w:rFonts w:hint="eastAsia" w:ascii="宋体" w:hAnsi="宋体" w:cs="仿宋"/>
          <w:color w:val="auto"/>
          <w:sz w:val="24"/>
          <w:highlight w:val="none"/>
          <w:lang w:val="zh-CN"/>
        </w:rPr>
      </w:pPr>
      <w:r>
        <w:rPr>
          <w:rFonts w:hint="eastAsia" w:ascii="宋体" w:hAnsi="宋体" w:cs="仿宋"/>
          <w:color w:val="auto"/>
          <w:sz w:val="24"/>
          <w:highlight w:val="none"/>
          <w:lang w:val="zh-CN"/>
        </w:rPr>
        <w:t>参加本次招标活动中标的中小企业无需提供财产抵押或第三方担保，凭借政府采购合同可向融资机构申请融资。具体内容详见《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详见附件）</w:t>
      </w:r>
    </w:p>
    <w:p>
      <w:pPr>
        <w:spacing w:after="50" w:line="360" w:lineRule="auto"/>
        <w:ind w:firstLine="489" w:firstLineChars="203"/>
        <w:rPr>
          <w:rFonts w:ascii="宋体" w:hAnsi="宋体" w:cs="仿宋"/>
          <w:color w:val="auto"/>
          <w:sz w:val="24"/>
          <w:szCs w:val="28"/>
          <w:highlight w:val="none"/>
        </w:rPr>
      </w:pPr>
      <w:r>
        <w:rPr>
          <w:rFonts w:hint="eastAsia" w:ascii="宋体" w:hAnsi="宋体" w:cs="仿宋"/>
          <w:b/>
          <w:color w:val="auto"/>
          <w:sz w:val="24"/>
          <w:szCs w:val="28"/>
          <w:highlight w:val="none"/>
          <w:lang w:eastAsia="zh-CN"/>
        </w:rPr>
        <w:t>十</w:t>
      </w:r>
      <w:r>
        <w:rPr>
          <w:rFonts w:hint="eastAsia" w:ascii="宋体" w:hAnsi="宋体" w:cs="仿宋"/>
          <w:b/>
          <w:color w:val="auto"/>
          <w:sz w:val="24"/>
          <w:szCs w:val="28"/>
          <w:highlight w:val="none"/>
        </w:rPr>
        <w:t>、</w:t>
      </w:r>
      <w:r>
        <w:rPr>
          <w:rFonts w:hint="eastAsia" w:ascii="宋体" w:hAnsi="宋体" w:cs="仿宋"/>
          <w:color w:val="auto"/>
          <w:sz w:val="24"/>
          <w:szCs w:val="28"/>
          <w:highlight w:val="none"/>
        </w:rPr>
        <w:t>开标地点：</w:t>
      </w:r>
      <w:r>
        <w:rPr>
          <w:rFonts w:hint="eastAsia" w:ascii="宋体" w:hAnsi="宋体" w:cs="仿宋"/>
          <w:color w:val="auto"/>
          <w:sz w:val="24"/>
          <w:highlight w:val="none"/>
          <w:u w:val="single"/>
        </w:rPr>
        <w:t>成都市龙泉驿区桃都大道吾悦广场写字楼2008室（成都云辉工程项目管理有限公司）</w:t>
      </w:r>
      <w:r>
        <w:rPr>
          <w:rFonts w:hint="eastAsia" w:ascii="宋体" w:hAnsi="宋体" w:cs="仿宋"/>
          <w:color w:val="auto"/>
          <w:sz w:val="24"/>
          <w:szCs w:val="28"/>
          <w:highlight w:val="none"/>
        </w:rPr>
        <w:t>。</w:t>
      </w:r>
    </w:p>
    <w:p>
      <w:pPr>
        <w:pStyle w:val="56"/>
        <w:ind w:firstLine="482"/>
        <w:rPr>
          <w:rFonts w:hAnsi="宋体" w:cs="仿宋"/>
          <w:color w:val="auto"/>
          <w:sz w:val="24"/>
          <w:highlight w:val="none"/>
        </w:rPr>
      </w:pPr>
      <w:r>
        <w:rPr>
          <w:rFonts w:hint="eastAsia" w:hAnsi="宋体" w:cs="仿宋"/>
          <w:b/>
          <w:color w:val="auto"/>
          <w:sz w:val="24"/>
          <w:highlight w:val="none"/>
        </w:rPr>
        <w:t>十</w:t>
      </w:r>
      <w:r>
        <w:rPr>
          <w:rFonts w:hint="eastAsia" w:hAnsi="宋体" w:cs="仿宋"/>
          <w:b/>
          <w:color w:val="auto"/>
          <w:sz w:val="24"/>
          <w:highlight w:val="none"/>
          <w:lang w:eastAsia="zh-CN"/>
        </w:rPr>
        <w:t>一</w:t>
      </w:r>
      <w:r>
        <w:rPr>
          <w:rFonts w:hint="eastAsia" w:hAnsi="宋体" w:cs="仿宋"/>
          <w:b/>
          <w:color w:val="auto"/>
          <w:sz w:val="24"/>
          <w:highlight w:val="none"/>
        </w:rPr>
        <w:t>、</w:t>
      </w:r>
      <w:r>
        <w:rPr>
          <w:rFonts w:hint="eastAsia" w:hAnsi="宋体" w:cs="仿宋"/>
          <w:color w:val="auto"/>
          <w:sz w:val="24"/>
          <w:highlight w:val="none"/>
        </w:rPr>
        <w:t>本投标邀请在四川政府采购网上以公告形式发布。</w:t>
      </w:r>
    </w:p>
    <w:p>
      <w:pPr>
        <w:pStyle w:val="56"/>
        <w:ind w:firstLine="482"/>
        <w:rPr>
          <w:rFonts w:hint="eastAsia" w:hAnsi="宋体" w:cs="仿宋"/>
          <w:b/>
          <w:color w:val="auto"/>
          <w:sz w:val="24"/>
          <w:highlight w:val="none"/>
        </w:rPr>
      </w:pPr>
      <w:r>
        <w:rPr>
          <w:rFonts w:hint="eastAsia" w:hAnsi="宋体" w:cs="仿宋"/>
          <w:b/>
          <w:color w:val="auto"/>
          <w:sz w:val="24"/>
          <w:highlight w:val="none"/>
        </w:rPr>
        <w:t>十</w:t>
      </w:r>
      <w:r>
        <w:rPr>
          <w:rFonts w:hint="eastAsia" w:hAnsi="宋体" w:cs="仿宋"/>
          <w:b/>
          <w:color w:val="auto"/>
          <w:sz w:val="24"/>
          <w:highlight w:val="none"/>
          <w:lang w:eastAsia="zh-CN"/>
        </w:rPr>
        <w:t>二</w:t>
      </w:r>
      <w:r>
        <w:rPr>
          <w:rFonts w:hint="eastAsia" w:hAnsi="宋体" w:cs="仿宋"/>
          <w:b/>
          <w:color w:val="auto"/>
          <w:sz w:val="24"/>
          <w:highlight w:val="none"/>
        </w:rPr>
        <w:t>、联系方式</w:t>
      </w:r>
      <w:bookmarkStart w:id="11" w:name="_Hlk534967844"/>
    </w:p>
    <w:p>
      <w:pPr>
        <w:pStyle w:val="56"/>
        <w:ind w:firstLine="1265" w:firstLineChars="525"/>
        <w:rPr>
          <w:rFonts w:hAnsi="宋体" w:cs="仿宋"/>
          <w:b/>
          <w:bCs/>
          <w:color w:val="auto"/>
          <w:sz w:val="24"/>
          <w:highlight w:val="none"/>
          <w:u w:val="single"/>
        </w:rPr>
      </w:pPr>
      <w:r>
        <w:rPr>
          <w:rFonts w:hint="eastAsia" w:hAnsi="宋体" w:cs="仿宋"/>
          <w:b/>
          <w:color w:val="auto"/>
          <w:sz w:val="24"/>
          <w:highlight w:val="none"/>
        </w:rPr>
        <w:t>采 购 人：</w:t>
      </w:r>
      <w:r>
        <w:rPr>
          <w:rFonts w:hint="eastAsia" w:hAnsi="宋体" w:cs="仿宋"/>
          <w:b/>
          <w:bCs/>
          <w:color w:val="auto"/>
          <w:sz w:val="24"/>
          <w:highlight w:val="none"/>
          <w:u w:val="single"/>
          <w:lang w:eastAsia="zh-CN"/>
        </w:rPr>
        <w:t>成都市龙泉驿区市政设施管理服务中心</w:t>
      </w:r>
      <w:r>
        <w:rPr>
          <w:rFonts w:hint="eastAsia" w:hAnsi="宋体" w:cs="仿宋"/>
          <w:b/>
          <w:bCs/>
          <w:color w:val="auto"/>
          <w:sz w:val="24"/>
          <w:highlight w:val="none"/>
          <w:u w:val="single"/>
        </w:rPr>
        <w:t xml:space="preserve"> </w:t>
      </w:r>
    </w:p>
    <w:p>
      <w:pPr>
        <w:pStyle w:val="56"/>
        <w:ind w:firstLine="1260" w:firstLineChars="525"/>
        <w:rPr>
          <w:rFonts w:hint="default" w:hAnsi="宋体" w:eastAsia="宋体" w:cs="仿宋"/>
          <w:bCs/>
          <w:color w:val="auto"/>
          <w:sz w:val="24"/>
          <w:highlight w:val="none"/>
          <w:lang w:val="en-US" w:eastAsia="zh-CN"/>
        </w:rPr>
      </w:pPr>
      <w:r>
        <w:rPr>
          <w:rFonts w:hint="eastAsia" w:hAnsi="宋体" w:cs="仿宋"/>
          <w:bCs/>
          <w:color w:val="auto"/>
          <w:sz w:val="24"/>
          <w:highlight w:val="none"/>
        </w:rPr>
        <w:t>地    址：</w:t>
      </w:r>
      <w:r>
        <w:rPr>
          <w:rFonts w:hint="eastAsia" w:hAnsi="宋体" w:cs="仿宋"/>
          <w:bCs/>
          <w:color w:val="auto"/>
          <w:sz w:val="24"/>
          <w:highlight w:val="none"/>
          <w:lang w:val="en-US" w:eastAsia="zh-CN"/>
        </w:rPr>
        <w:t>13881925626</w:t>
      </w:r>
    </w:p>
    <w:p>
      <w:pPr>
        <w:pStyle w:val="56"/>
        <w:ind w:firstLine="1260" w:firstLineChars="525"/>
        <w:rPr>
          <w:rFonts w:hint="eastAsia" w:hAnsi="宋体" w:eastAsia="宋体" w:cs="仿宋"/>
          <w:color w:val="auto"/>
          <w:sz w:val="24"/>
          <w:highlight w:val="none"/>
          <w:lang w:eastAsia="zh-CN"/>
        </w:rPr>
      </w:pPr>
      <w:r>
        <w:rPr>
          <w:rFonts w:hint="eastAsia" w:hAnsi="宋体" w:cs="仿宋"/>
          <w:color w:val="auto"/>
          <w:sz w:val="24"/>
          <w:highlight w:val="none"/>
        </w:rPr>
        <w:t>联 系 人：</w:t>
      </w:r>
      <w:r>
        <w:rPr>
          <w:rFonts w:hint="eastAsia" w:hAnsi="宋体" w:cs="仿宋"/>
          <w:color w:val="auto"/>
          <w:sz w:val="24"/>
          <w:highlight w:val="none"/>
          <w:lang w:eastAsia="zh-CN"/>
        </w:rPr>
        <w:t>赖先生</w:t>
      </w:r>
    </w:p>
    <w:p>
      <w:pPr>
        <w:pStyle w:val="56"/>
        <w:ind w:firstLine="1260" w:firstLineChars="525"/>
        <w:rPr>
          <w:rFonts w:ascii="宋体" w:hAnsi="宋体" w:eastAsia="宋体" w:cs="宋体"/>
          <w:sz w:val="24"/>
          <w:szCs w:val="24"/>
        </w:rPr>
      </w:pPr>
      <w:r>
        <w:rPr>
          <w:rFonts w:hint="eastAsia" w:hAnsi="宋体" w:cs="仿宋"/>
          <w:color w:val="auto"/>
          <w:sz w:val="24"/>
          <w:highlight w:val="none"/>
        </w:rPr>
        <w:t>联系电话：</w:t>
      </w:r>
      <w:bookmarkEnd w:id="11"/>
      <w:r>
        <w:rPr>
          <w:rFonts w:ascii="宋体" w:hAnsi="宋体" w:eastAsia="宋体" w:cs="宋体"/>
          <w:sz w:val="24"/>
          <w:szCs w:val="24"/>
        </w:rPr>
        <w:t>成都市龙泉驿区大面镇大华街264号</w:t>
      </w:r>
    </w:p>
    <w:p>
      <w:pPr>
        <w:pStyle w:val="56"/>
        <w:ind w:firstLine="1265" w:firstLineChars="525"/>
        <w:rPr>
          <w:rFonts w:hint="eastAsia" w:hAnsi="宋体" w:eastAsia="宋体" w:cs="仿宋"/>
          <w:b/>
          <w:color w:val="auto"/>
          <w:sz w:val="24"/>
          <w:highlight w:val="none"/>
          <w:lang w:eastAsia="zh-CN"/>
        </w:rPr>
      </w:pPr>
      <w:r>
        <w:rPr>
          <w:rFonts w:hint="eastAsia" w:hAnsi="宋体" w:cs="仿宋"/>
          <w:b/>
          <w:color w:val="auto"/>
          <w:sz w:val="24"/>
          <w:highlight w:val="none"/>
        </w:rPr>
        <w:t>采购代理机构：</w:t>
      </w:r>
      <w:r>
        <w:rPr>
          <w:rFonts w:hint="eastAsia" w:hAnsi="宋体" w:cs="仿宋"/>
          <w:b/>
          <w:bCs/>
          <w:color w:val="auto"/>
          <w:sz w:val="24"/>
          <w:highlight w:val="none"/>
          <w:lang w:eastAsia="zh-CN"/>
        </w:rPr>
        <w:t>成都云辉工程项目管理有限公司</w:t>
      </w:r>
    </w:p>
    <w:p>
      <w:pPr>
        <w:pStyle w:val="56"/>
        <w:ind w:firstLine="1260" w:firstLineChars="525"/>
        <w:rPr>
          <w:rFonts w:hint="eastAsia" w:hAnsi="宋体" w:cs="仿宋"/>
          <w:color w:val="auto"/>
          <w:sz w:val="24"/>
          <w:highlight w:val="none"/>
          <w:u w:val="none"/>
        </w:rPr>
      </w:pPr>
      <w:r>
        <w:rPr>
          <w:rFonts w:hint="eastAsia" w:hAnsi="宋体" w:cs="仿宋"/>
          <w:color w:val="auto"/>
          <w:sz w:val="24"/>
          <w:highlight w:val="none"/>
          <w:u w:val="none"/>
        </w:rPr>
        <w:t>地址：成都市龙泉驿区桃都大道吾悦广场写字楼2008室</w:t>
      </w:r>
    </w:p>
    <w:p>
      <w:pPr>
        <w:pStyle w:val="56"/>
        <w:ind w:firstLine="1260" w:firstLineChars="525"/>
        <w:rPr>
          <w:rFonts w:hint="eastAsia" w:hAnsi="宋体" w:eastAsia="宋体" w:cs="仿宋"/>
          <w:color w:val="auto"/>
          <w:sz w:val="24"/>
          <w:highlight w:val="none"/>
          <w:u w:val="none"/>
          <w:lang w:eastAsia="zh-CN"/>
        </w:rPr>
      </w:pPr>
      <w:r>
        <w:rPr>
          <w:rFonts w:hint="eastAsia" w:hAnsi="宋体" w:cs="仿宋"/>
          <w:color w:val="auto"/>
          <w:sz w:val="24"/>
          <w:highlight w:val="none"/>
          <w:u w:val="none"/>
        </w:rPr>
        <w:t>邮编：</w:t>
      </w:r>
      <w:r>
        <w:rPr>
          <w:rFonts w:hint="eastAsia" w:hAnsi="宋体" w:cs="仿宋"/>
          <w:color w:val="auto"/>
          <w:sz w:val="24"/>
          <w:highlight w:val="none"/>
          <w:u w:val="none"/>
          <w:lang w:eastAsia="zh-CN"/>
        </w:rPr>
        <w:t>610100</w:t>
      </w:r>
    </w:p>
    <w:p>
      <w:pPr>
        <w:pStyle w:val="56"/>
        <w:ind w:firstLine="1260" w:firstLineChars="525"/>
        <w:rPr>
          <w:rFonts w:hint="eastAsia" w:hAnsi="宋体" w:eastAsia="宋体" w:cs="仿宋"/>
          <w:color w:val="auto"/>
          <w:sz w:val="24"/>
          <w:highlight w:val="none"/>
          <w:u w:val="none"/>
          <w:lang w:eastAsia="zh-CN"/>
        </w:rPr>
      </w:pPr>
      <w:r>
        <w:rPr>
          <w:rFonts w:hint="eastAsia" w:hAnsi="宋体" w:cs="仿宋"/>
          <w:color w:val="auto"/>
          <w:sz w:val="24"/>
          <w:highlight w:val="none"/>
          <w:u w:val="none"/>
        </w:rPr>
        <w:t>联系人：</w:t>
      </w:r>
      <w:r>
        <w:rPr>
          <w:rFonts w:hint="eastAsia" w:hAnsi="宋体" w:cs="仿宋"/>
          <w:color w:val="auto"/>
          <w:sz w:val="24"/>
          <w:highlight w:val="none"/>
          <w:u w:val="none"/>
          <w:lang w:eastAsia="zh-CN"/>
        </w:rPr>
        <w:t>叶女士</w:t>
      </w:r>
    </w:p>
    <w:p>
      <w:pPr>
        <w:pStyle w:val="56"/>
        <w:ind w:firstLine="1260" w:firstLineChars="525"/>
        <w:rPr>
          <w:rFonts w:hint="eastAsia" w:hAnsi="宋体" w:eastAsia="宋体" w:cs="仿宋"/>
          <w:color w:val="auto"/>
          <w:sz w:val="24"/>
          <w:highlight w:val="none"/>
          <w:u w:val="none"/>
          <w:lang w:eastAsia="zh-CN"/>
        </w:rPr>
      </w:pPr>
      <w:r>
        <w:rPr>
          <w:rFonts w:hint="eastAsia" w:hAnsi="宋体" w:cs="仿宋"/>
          <w:color w:val="auto"/>
          <w:sz w:val="24"/>
          <w:highlight w:val="none"/>
          <w:u w:val="none"/>
        </w:rPr>
        <w:t>电话</w:t>
      </w:r>
      <w:r>
        <w:rPr>
          <w:rFonts w:hint="eastAsia" w:hAnsi="宋体" w:cs="仿宋"/>
          <w:color w:val="auto"/>
          <w:sz w:val="24"/>
          <w:highlight w:val="none"/>
          <w:u w:val="none"/>
          <w:lang w:eastAsia="zh-CN"/>
        </w:rPr>
        <w:t xml:space="preserve">：028-84834650   </w:t>
      </w:r>
    </w:p>
    <w:p>
      <w:pPr>
        <w:pStyle w:val="19"/>
        <w:spacing w:after="50" w:afterAutospacing="0" w:line="420" w:lineRule="exact"/>
        <w:ind w:firstLine="5640" w:firstLineChars="2350"/>
        <w:jc w:val="right"/>
        <w:rPr>
          <w:rFonts w:hAnsi="宋体" w:cs="仿宋"/>
          <w:color w:val="auto"/>
          <w:sz w:val="24"/>
          <w:szCs w:val="24"/>
          <w:highlight w:val="none"/>
        </w:rPr>
      </w:pPr>
      <w:r>
        <w:rPr>
          <w:rFonts w:hint="eastAsia" w:hAnsi="宋体" w:cs="仿宋"/>
          <w:color w:val="auto"/>
          <w:sz w:val="24"/>
          <w:szCs w:val="24"/>
          <w:highlight w:val="none"/>
        </w:rPr>
        <w:t>2020年</w:t>
      </w:r>
      <w:r>
        <w:rPr>
          <w:rFonts w:hint="eastAsia" w:hAnsi="宋体" w:cs="仿宋"/>
          <w:color w:val="auto"/>
          <w:sz w:val="24"/>
          <w:highlight w:val="none"/>
          <w:u w:val="single"/>
        </w:rPr>
        <w:t>8</w:t>
      </w:r>
      <w:r>
        <w:rPr>
          <w:rFonts w:hint="eastAsia" w:hAnsi="宋体" w:cs="仿宋"/>
          <w:color w:val="auto"/>
          <w:sz w:val="24"/>
          <w:szCs w:val="24"/>
          <w:highlight w:val="none"/>
        </w:rPr>
        <w:t>月</w:t>
      </w:r>
    </w:p>
    <w:p>
      <w:pPr>
        <w:pStyle w:val="19"/>
        <w:spacing w:after="50" w:afterAutospacing="0" w:line="420" w:lineRule="exact"/>
        <w:rPr>
          <w:rFonts w:hAnsi="宋体" w:cs="仿宋"/>
          <w:color w:val="auto"/>
          <w:sz w:val="36"/>
          <w:szCs w:val="36"/>
          <w:highlight w:val="none"/>
        </w:rPr>
        <w:sectPr>
          <w:footerReference r:id="rId6" w:type="default"/>
          <w:pgSz w:w="11907" w:h="16840"/>
          <w:pgMar w:top="1440" w:right="1474" w:bottom="1440" w:left="1474" w:header="851" w:footer="992" w:gutter="0"/>
          <w:pgNumType w:fmt="decimal" w:start="2"/>
          <w:cols w:space="720" w:num="1"/>
          <w:docGrid w:linePitch="312" w:charSpace="0"/>
        </w:sectPr>
      </w:pPr>
      <w:bookmarkStart w:id="12" w:name="_Toc12420"/>
      <w:bookmarkStart w:id="13" w:name="_Toc12497"/>
      <w:bookmarkStart w:id="14" w:name="_Toc213397009"/>
      <w:bookmarkStart w:id="15" w:name="_Toc217446031"/>
      <w:bookmarkStart w:id="16" w:name="_Toc213396759"/>
      <w:bookmarkStart w:id="17" w:name="_Toc213396945"/>
      <w:bookmarkStart w:id="18" w:name="_Toc213496267"/>
    </w:p>
    <w:p>
      <w:pPr>
        <w:pStyle w:val="3"/>
        <w:spacing w:before="0" w:after="0" w:line="360" w:lineRule="auto"/>
        <w:jc w:val="center"/>
        <w:rPr>
          <w:rFonts w:ascii="宋体" w:hAnsi="宋体" w:cs="仿宋"/>
          <w:color w:val="auto"/>
          <w:sz w:val="36"/>
          <w:szCs w:val="36"/>
          <w:highlight w:val="none"/>
        </w:rPr>
      </w:pPr>
      <w:r>
        <w:rPr>
          <w:rFonts w:hint="eastAsia" w:ascii="宋体" w:hAnsi="宋体" w:cs="仿宋"/>
          <w:color w:val="auto"/>
          <w:sz w:val="36"/>
          <w:szCs w:val="36"/>
          <w:highlight w:val="none"/>
        </w:rPr>
        <w:t>第二章  投标人须知</w:t>
      </w:r>
      <w:bookmarkEnd w:id="12"/>
      <w:bookmarkEnd w:id="13"/>
    </w:p>
    <w:p>
      <w:pPr>
        <w:pStyle w:val="4"/>
        <w:spacing w:line="240" w:lineRule="atLeast"/>
        <w:jc w:val="center"/>
        <w:rPr>
          <w:rFonts w:ascii="宋体" w:hAnsi="宋体" w:eastAsia="宋体" w:cs="仿宋"/>
          <w:color w:val="auto"/>
          <w:highlight w:val="none"/>
        </w:rPr>
      </w:pPr>
      <w:r>
        <w:rPr>
          <w:rFonts w:hint="eastAsia" w:ascii="宋体" w:hAnsi="宋体" w:eastAsia="宋体" w:cs="仿宋"/>
          <w:color w:val="auto"/>
          <w:highlight w:val="none"/>
        </w:rPr>
        <w:t>一、投标人须知附表</w:t>
      </w:r>
    </w:p>
    <w:bookmarkEnd w:id="14"/>
    <w:bookmarkEnd w:id="15"/>
    <w:bookmarkEnd w:id="16"/>
    <w:bookmarkEnd w:id="17"/>
    <w:bookmarkEnd w:id="18"/>
    <w:tbl>
      <w:tblPr>
        <w:tblStyle w:val="22"/>
        <w:tblW w:w="9119"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02"/>
        <w:gridCol w:w="2448"/>
        <w:gridCol w:w="5869"/>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38" w:hRule="atLeast"/>
          <w:jc w:val="center"/>
        </w:trPr>
        <w:tc>
          <w:tcPr>
            <w:tcW w:w="802" w:type="dxa"/>
            <w:vAlign w:val="center"/>
          </w:tcPr>
          <w:p>
            <w:pPr>
              <w:pStyle w:val="60"/>
              <w:spacing w:line="360" w:lineRule="auto"/>
              <w:ind w:left="9"/>
              <w:jc w:val="center"/>
              <w:rPr>
                <w:rFonts w:cs="仿宋"/>
                <w:color w:val="auto"/>
                <w:kern w:val="2"/>
                <w:sz w:val="24"/>
                <w:szCs w:val="24"/>
                <w:highlight w:val="none"/>
              </w:rPr>
            </w:pPr>
            <w:r>
              <w:rPr>
                <w:rFonts w:hint="eastAsia" w:cs="仿宋"/>
                <w:color w:val="auto"/>
                <w:kern w:val="2"/>
                <w:sz w:val="24"/>
                <w:szCs w:val="24"/>
                <w:highlight w:val="none"/>
              </w:rPr>
              <w:t xml:space="preserve">序号 </w:t>
            </w:r>
          </w:p>
        </w:tc>
        <w:tc>
          <w:tcPr>
            <w:tcW w:w="2448" w:type="dxa"/>
            <w:vAlign w:val="center"/>
          </w:tcPr>
          <w:p>
            <w:pPr>
              <w:pStyle w:val="60"/>
              <w:spacing w:line="360" w:lineRule="auto"/>
              <w:ind w:left="38"/>
              <w:jc w:val="center"/>
              <w:rPr>
                <w:rFonts w:cs="仿宋"/>
                <w:color w:val="auto"/>
                <w:kern w:val="2"/>
                <w:sz w:val="24"/>
                <w:szCs w:val="24"/>
                <w:highlight w:val="none"/>
              </w:rPr>
            </w:pPr>
            <w:r>
              <w:rPr>
                <w:rFonts w:hint="eastAsia" w:cs="仿宋"/>
                <w:color w:val="auto"/>
                <w:kern w:val="2"/>
                <w:sz w:val="24"/>
                <w:szCs w:val="24"/>
                <w:highlight w:val="none"/>
              </w:rPr>
              <w:t>条款名称</w:t>
            </w:r>
          </w:p>
        </w:tc>
        <w:tc>
          <w:tcPr>
            <w:tcW w:w="5869" w:type="dxa"/>
            <w:vAlign w:val="center"/>
          </w:tcPr>
          <w:p>
            <w:pPr>
              <w:pStyle w:val="60"/>
              <w:spacing w:line="360" w:lineRule="auto"/>
              <w:jc w:val="center"/>
              <w:rPr>
                <w:rFonts w:cs="仿宋"/>
                <w:color w:val="auto"/>
                <w:kern w:val="2"/>
                <w:sz w:val="24"/>
                <w:szCs w:val="24"/>
                <w:highlight w:val="none"/>
              </w:rPr>
            </w:pPr>
            <w:r>
              <w:rPr>
                <w:rFonts w:hint="eastAsia" w:cs="仿宋"/>
                <w:color w:val="auto"/>
                <w:kern w:val="2"/>
                <w:sz w:val="24"/>
                <w:szCs w:val="24"/>
                <w:highlight w:val="none"/>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20" w:hRule="atLeast"/>
          <w:tblHeader/>
          <w:jc w:val="center"/>
        </w:trPr>
        <w:tc>
          <w:tcPr>
            <w:tcW w:w="802" w:type="dxa"/>
            <w:vAlign w:val="center"/>
          </w:tcPr>
          <w:p>
            <w:pPr>
              <w:pStyle w:val="60"/>
              <w:spacing w:line="360" w:lineRule="auto"/>
              <w:ind w:left="9"/>
              <w:jc w:val="center"/>
              <w:rPr>
                <w:rFonts w:cs="仿宋"/>
                <w:color w:val="auto"/>
                <w:kern w:val="2"/>
                <w:sz w:val="24"/>
                <w:szCs w:val="24"/>
                <w:highlight w:val="none"/>
              </w:rPr>
            </w:pPr>
            <w:r>
              <w:rPr>
                <w:rFonts w:hint="eastAsia" w:cs="仿宋"/>
                <w:color w:val="auto"/>
                <w:kern w:val="2"/>
                <w:sz w:val="24"/>
                <w:szCs w:val="24"/>
                <w:highlight w:val="none"/>
              </w:rPr>
              <w:t>1</w:t>
            </w:r>
          </w:p>
        </w:tc>
        <w:tc>
          <w:tcPr>
            <w:tcW w:w="2448" w:type="dxa"/>
            <w:vAlign w:val="center"/>
          </w:tcPr>
          <w:p>
            <w:pPr>
              <w:pStyle w:val="60"/>
              <w:spacing w:line="360" w:lineRule="auto"/>
              <w:jc w:val="center"/>
              <w:rPr>
                <w:rFonts w:cs="仿宋"/>
                <w:color w:val="auto"/>
                <w:kern w:val="2"/>
                <w:sz w:val="24"/>
                <w:szCs w:val="24"/>
                <w:highlight w:val="none"/>
              </w:rPr>
            </w:pPr>
            <w:r>
              <w:rPr>
                <w:rFonts w:hint="eastAsia" w:cs="仿宋"/>
                <w:color w:val="auto"/>
                <w:kern w:val="2"/>
                <w:sz w:val="24"/>
                <w:szCs w:val="24"/>
                <w:highlight w:val="none"/>
              </w:rPr>
              <w:t>采购人</w:t>
            </w:r>
          </w:p>
        </w:tc>
        <w:tc>
          <w:tcPr>
            <w:tcW w:w="5869" w:type="dxa"/>
            <w:vAlign w:val="center"/>
          </w:tcPr>
          <w:p>
            <w:pPr>
              <w:pStyle w:val="60"/>
              <w:spacing w:line="360" w:lineRule="auto"/>
              <w:jc w:val="left"/>
              <w:rPr>
                <w:rFonts w:hint="eastAsia" w:eastAsia="宋体" w:cs="仿宋"/>
                <w:color w:val="auto"/>
                <w:kern w:val="2"/>
                <w:sz w:val="24"/>
                <w:szCs w:val="24"/>
                <w:highlight w:val="none"/>
                <w:lang w:eastAsia="zh-CN"/>
              </w:rPr>
            </w:pPr>
            <w:r>
              <w:rPr>
                <w:rFonts w:hint="eastAsia" w:cs="仿宋"/>
                <w:color w:val="auto"/>
                <w:kern w:val="2"/>
                <w:sz w:val="24"/>
                <w:szCs w:val="24"/>
                <w:highlight w:val="none"/>
                <w:lang w:eastAsia="zh-CN"/>
              </w:rPr>
              <w:t>成都市龙泉驿区市政设施管理服务中心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20" w:hRule="atLeast"/>
          <w:tblHeader/>
          <w:jc w:val="center"/>
        </w:trPr>
        <w:tc>
          <w:tcPr>
            <w:tcW w:w="802" w:type="dxa"/>
            <w:vAlign w:val="center"/>
          </w:tcPr>
          <w:p>
            <w:pPr>
              <w:pStyle w:val="60"/>
              <w:spacing w:line="360" w:lineRule="auto"/>
              <w:ind w:left="9"/>
              <w:jc w:val="center"/>
              <w:rPr>
                <w:rFonts w:cs="仿宋"/>
                <w:color w:val="auto"/>
                <w:kern w:val="2"/>
                <w:sz w:val="24"/>
                <w:szCs w:val="24"/>
                <w:highlight w:val="none"/>
              </w:rPr>
            </w:pPr>
            <w:r>
              <w:rPr>
                <w:rFonts w:hint="eastAsia" w:cs="仿宋"/>
                <w:color w:val="auto"/>
                <w:kern w:val="2"/>
                <w:sz w:val="24"/>
                <w:szCs w:val="24"/>
                <w:highlight w:val="none"/>
              </w:rPr>
              <w:t>2</w:t>
            </w:r>
          </w:p>
        </w:tc>
        <w:tc>
          <w:tcPr>
            <w:tcW w:w="2448" w:type="dxa"/>
            <w:vAlign w:val="center"/>
          </w:tcPr>
          <w:p>
            <w:pPr>
              <w:pStyle w:val="60"/>
              <w:spacing w:line="360" w:lineRule="auto"/>
              <w:jc w:val="center"/>
              <w:rPr>
                <w:rFonts w:cs="仿宋"/>
                <w:color w:val="auto"/>
                <w:kern w:val="2"/>
                <w:sz w:val="24"/>
                <w:szCs w:val="24"/>
                <w:highlight w:val="none"/>
              </w:rPr>
            </w:pPr>
            <w:r>
              <w:rPr>
                <w:rFonts w:hint="eastAsia" w:cs="仿宋"/>
                <w:color w:val="auto"/>
                <w:kern w:val="2"/>
                <w:sz w:val="24"/>
                <w:szCs w:val="24"/>
                <w:highlight w:val="none"/>
              </w:rPr>
              <w:t>采购代理机构</w:t>
            </w:r>
          </w:p>
        </w:tc>
        <w:tc>
          <w:tcPr>
            <w:tcW w:w="5869" w:type="dxa"/>
            <w:vAlign w:val="center"/>
          </w:tcPr>
          <w:p>
            <w:pPr>
              <w:pStyle w:val="60"/>
              <w:spacing w:line="360" w:lineRule="auto"/>
              <w:jc w:val="left"/>
              <w:rPr>
                <w:rFonts w:hint="eastAsia" w:eastAsia="宋体" w:cs="仿宋"/>
                <w:color w:val="auto"/>
                <w:kern w:val="2"/>
                <w:sz w:val="24"/>
                <w:szCs w:val="24"/>
                <w:highlight w:val="none"/>
                <w:lang w:eastAsia="zh-CN"/>
              </w:rPr>
            </w:pPr>
            <w:r>
              <w:rPr>
                <w:rFonts w:hint="eastAsia" w:cs="仿宋"/>
                <w:color w:val="auto"/>
                <w:kern w:val="2"/>
                <w:sz w:val="24"/>
                <w:szCs w:val="24"/>
                <w:highlight w:val="none"/>
                <w:lang w:eastAsia="zh-CN"/>
              </w:rPr>
              <w:t>成都云辉工程项目管理有限公司</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20" w:hRule="atLeast"/>
          <w:tblHeader/>
          <w:jc w:val="center"/>
        </w:trPr>
        <w:tc>
          <w:tcPr>
            <w:tcW w:w="802" w:type="dxa"/>
            <w:vAlign w:val="center"/>
          </w:tcPr>
          <w:p>
            <w:pPr>
              <w:pStyle w:val="60"/>
              <w:spacing w:line="360" w:lineRule="auto"/>
              <w:ind w:left="9"/>
              <w:jc w:val="center"/>
              <w:rPr>
                <w:rFonts w:cs="仿宋"/>
                <w:color w:val="auto"/>
                <w:kern w:val="2"/>
                <w:sz w:val="24"/>
                <w:szCs w:val="24"/>
                <w:highlight w:val="none"/>
              </w:rPr>
            </w:pPr>
            <w:r>
              <w:rPr>
                <w:rFonts w:hint="eastAsia" w:cs="仿宋"/>
                <w:color w:val="auto"/>
                <w:kern w:val="2"/>
                <w:sz w:val="24"/>
                <w:szCs w:val="24"/>
                <w:highlight w:val="none"/>
              </w:rPr>
              <w:t>3</w:t>
            </w:r>
          </w:p>
        </w:tc>
        <w:tc>
          <w:tcPr>
            <w:tcW w:w="2448" w:type="dxa"/>
            <w:vAlign w:val="center"/>
          </w:tcPr>
          <w:p>
            <w:pPr>
              <w:pStyle w:val="60"/>
              <w:spacing w:line="360" w:lineRule="auto"/>
              <w:ind w:left="38"/>
              <w:jc w:val="center"/>
              <w:rPr>
                <w:rFonts w:cs="仿宋"/>
                <w:color w:val="auto"/>
                <w:kern w:val="2"/>
                <w:sz w:val="24"/>
                <w:szCs w:val="24"/>
                <w:highlight w:val="none"/>
              </w:rPr>
            </w:pPr>
            <w:r>
              <w:rPr>
                <w:rFonts w:hint="eastAsia" w:cs="仿宋"/>
                <w:color w:val="auto"/>
                <w:kern w:val="2"/>
                <w:sz w:val="24"/>
                <w:szCs w:val="24"/>
                <w:highlight w:val="none"/>
              </w:rPr>
              <w:t>项目名称</w:t>
            </w:r>
          </w:p>
        </w:tc>
        <w:tc>
          <w:tcPr>
            <w:tcW w:w="5869" w:type="dxa"/>
            <w:vAlign w:val="center"/>
          </w:tcPr>
          <w:p>
            <w:pPr>
              <w:pStyle w:val="60"/>
              <w:spacing w:line="360" w:lineRule="auto"/>
              <w:jc w:val="left"/>
              <w:rPr>
                <w:rFonts w:hint="eastAsia" w:eastAsia="宋体" w:cs="仿宋"/>
                <w:color w:val="auto"/>
                <w:kern w:val="2"/>
                <w:sz w:val="24"/>
                <w:szCs w:val="24"/>
                <w:highlight w:val="none"/>
                <w:lang w:eastAsia="zh-CN"/>
              </w:rPr>
            </w:pPr>
            <w:r>
              <w:rPr>
                <w:rFonts w:hint="eastAsia" w:cs="仿宋"/>
                <w:color w:val="auto"/>
                <w:kern w:val="2"/>
                <w:sz w:val="24"/>
                <w:szCs w:val="24"/>
                <w:highlight w:val="none"/>
                <w:lang w:eastAsia="zh-CN"/>
              </w:rPr>
              <w:t>2021年路灯维护材料采购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63" w:hRule="atLeast"/>
          <w:tblHeader/>
          <w:jc w:val="center"/>
        </w:trPr>
        <w:tc>
          <w:tcPr>
            <w:tcW w:w="802" w:type="dxa"/>
            <w:vAlign w:val="center"/>
          </w:tcPr>
          <w:p>
            <w:pPr>
              <w:pStyle w:val="60"/>
              <w:spacing w:line="360" w:lineRule="auto"/>
              <w:ind w:left="9"/>
              <w:jc w:val="center"/>
              <w:rPr>
                <w:rFonts w:cs="仿宋"/>
                <w:color w:val="auto"/>
                <w:kern w:val="2"/>
                <w:sz w:val="24"/>
                <w:szCs w:val="24"/>
                <w:highlight w:val="none"/>
              </w:rPr>
            </w:pPr>
            <w:r>
              <w:rPr>
                <w:rFonts w:hint="eastAsia" w:cs="仿宋"/>
                <w:color w:val="auto"/>
                <w:kern w:val="2"/>
                <w:sz w:val="24"/>
                <w:szCs w:val="24"/>
                <w:highlight w:val="none"/>
              </w:rPr>
              <w:t>4</w:t>
            </w:r>
          </w:p>
        </w:tc>
        <w:tc>
          <w:tcPr>
            <w:tcW w:w="2448" w:type="dxa"/>
            <w:vAlign w:val="center"/>
          </w:tcPr>
          <w:p>
            <w:pPr>
              <w:pStyle w:val="60"/>
              <w:spacing w:line="360" w:lineRule="auto"/>
              <w:ind w:left="38"/>
              <w:jc w:val="center"/>
              <w:rPr>
                <w:rFonts w:cs="仿宋"/>
                <w:color w:val="auto"/>
                <w:kern w:val="2"/>
                <w:sz w:val="24"/>
                <w:szCs w:val="24"/>
                <w:highlight w:val="none"/>
              </w:rPr>
            </w:pPr>
            <w:r>
              <w:rPr>
                <w:rFonts w:hint="eastAsia" w:cs="仿宋"/>
                <w:color w:val="auto"/>
                <w:kern w:val="2"/>
                <w:sz w:val="24"/>
                <w:szCs w:val="24"/>
                <w:highlight w:val="none"/>
              </w:rPr>
              <w:t>招标编号</w:t>
            </w:r>
          </w:p>
        </w:tc>
        <w:tc>
          <w:tcPr>
            <w:tcW w:w="5869" w:type="dxa"/>
            <w:vAlign w:val="center"/>
          </w:tcPr>
          <w:p>
            <w:pPr>
              <w:pStyle w:val="60"/>
              <w:spacing w:line="360" w:lineRule="auto"/>
              <w:jc w:val="left"/>
              <w:rPr>
                <w:rFonts w:cs="仿宋"/>
                <w:color w:val="auto"/>
                <w:kern w:val="2"/>
                <w:sz w:val="24"/>
                <w:szCs w:val="24"/>
                <w:highlight w:val="none"/>
              </w:rPr>
            </w:pPr>
            <w:r>
              <w:rPr>
                <w:rFonts w:hint="eastAsia" w:cs="仿宋"/>
                <w:b/>
                <w:color w:val="auto"/>
                <w:sz w:val="24"/>
                <w:szCs w:val="24"/>
                <w:highlight w:val="none"/>
                <w:lang w:val="en-US" w:eastAsia="zh-CN"/>
              </w:rPr>
              <w:t>以四川政府采购网发的编号为准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24" w:hRule="atLeast"/>
          <w:tblHeader/>
          <w:jc w:val="center"/>
        </w:trPr>
        <w:tc>
          <w:tcPr>
            <w:tcW w:w="802" w:type="dxa"/>
            <w:vAlign w:val="center"/>
          </w:tcPr>
          <w:p>
            <w:pPr>
              <w:pStyle w:val="60"/>
              <w:spacing w:line="360" w:lineRule="auto"/>
              <w:ind w:left="9"/>
              <w:jc w:val="center"/>
              <w:rPr>
                <w:rFonts w:cs="仿宋"/>
                <w:color w:val="auto"/>
                <w:kern w:val="2"/>
                <w:sz w:val="24"/>
                <w:szCs w:val="24"/>
                <w:highlight w:val="none"/>
              </w:rPr>
            </w:pPr>
            <w:r>
              <w:rPr>
                <w:rFonts w:hint="eastAsia" w:cs="仿宋"/>
                <w:color w:val="auto"/>
                <w:kern w:val="2"/>
                <w:sz w:val="24"/>
                <w:szCs w:val="24"/>
                <w:highlight w:val="none"/>
              </w:rPr>
              <w:t>5</w:t>
            </w:r>
          </w:p>
        </w:tc>
        <w:tc>
          <w:tcPr>
            <w:tcW w:w="2448" w:type="dxa"/>
            <w:vAlign w:val="center"/>
          </w:tcPr>
          <w:p>
            <w:pPr>
              <w:pStyle w:val="60"/>
              <w:spacing w:line="360" w:lineRule="auto"/>
              <w:ind w:left="38"/>
              <w:jc w:val="center"/>
              <w:rPr>
                <w:rFonts w:cs="仿宋"/>
                <w:b/>
                <w:color w:val="auto"/>
                <w:kern w:val="2"/>
                <w:sz w:val="24"/>
                <w:szCs w:val="24"/>
                <w:highlight w:val="none"/>
              </w:rPr>
            </w:pPr>
            <w:r>
              <w:rPr>
                <w:rFonts w:hint="eastAsia" w:cs="仿宋"/>
                <w:b/>
                <w:color w:val="auto"/>
                <w:kern w:val="2"/>
                <w:sz w:val="24"/>
                <w:szCs w:val="24"/>
                <w:highlight w:val="none"/>
                <w:lang w:eastAsia="zh-CN"/>
              </w:rPr>
              <w:t>履约</w:t>
            </w:r>
            <w:r>
              <w:rPr>
                <w:rFonts w:hint="eastAsia" w:cs="仿宋"/>
                <w:b/>
                <w:color w:val="auto"/>
                <w:kern w:val="2"/>
                <w:sz w:val="24"/>
                <w:szCs w:val="24"/>
                <w:highlight w:val="none"/>
              </w:rPr>
              <w:t>期限</w:t>
            </w:r>
          </w:p>
          <w:p>
            <w:pPr>
              <w:pStyle w:val="60"/>
              <w:spacing w:line="360" w:lineRule="auto"/>
              <w:ind w:left="38"/>
              <w:jc w:val="center"/>
              <w:rPr>
                <w:rFonts w:cs="仿宋"/>
                <w:b/>
                <w:color w:val="auto"/>
                <w:kern w:val="2"/>
                <w:sz w:val="24"/>
                <w:szCs w:val="24"/>
                <w:highlight w:val="none"/>
              </w:rPr>
            </w:pPr>
            <w:r>
              <w:rPr>
                <w:rFonts w:hint="eastAsia" w:cs="仿宋"/>
                <w:b/>
                <w:color w:val="auto"/>
                <w:kern w:val="2"/>
                <w:sz w:val="24"/>
                <w:szCs w:val="24"/>
                <w:highlight w:val="none"/>
              </w:rPr>
              <w:t>（实质性要求）</w:t>
            </w:r>
          </w:p>
        </w:tc>
        <w:tc>
          <w:tcPr>
            <w:tcW w:w="5869" w:type="dxa"/>
            <w:vAlign w:val="center"/>
          </w:tcPr>
          <w:p>
            <w:pPr>
              <w:pStyle w:val="60"/>
              <w:spacing w:line="360" w:lineRule="auto"/>
              <w:jc w:val="left"/>
              <w:rPr>
                <w:rFonts w:cs="仿宋"/>
                <w:color w:val="auto"/>
                <w:kern w:val="2"/>
                <w:sz w:val="24"/>
                <w:szCs w:val="24"/>
                <w:highlight w:val="none"/>
              </w:rPr>
            </w:pPr>
            <w:r>
              <w:rPr>
                <w:rFonts w:hint="eastAsia" w:cs="仿宋"/>
                <w:color w:val="auto"/>
                <w:kern w:val="2"/>
                <w:sz w:val="24"/>
                <w:szCs w:val="24"/>
                <w:highlight w:val="none"/>
              </w:rPr>
              <w:t>30日内完成供货</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20" w:hRule="atLeast"/>
          <w:tblHeader/>
          <w:jc w:val="center"/>
        </w:trPr>
        <w:tc>
          <w:tcPr>
            <w:tcW w:w="802" w:type="dxa"/>
            <w:vAlign w:val="center"/>
          </w:tcPr>
          <w:p>
            <w:pPr>
              <w:pStyle w:val="60"/>
              <w:spacing w:line="360" w:lineRule="auto"/>
              <w:ind w:left="9"/>
              <w:jc w:val="center"/>
              <w:rPr>
                <w:rFonts w:cs="仿宋"/>
                <w:color w:val="auto"/>
                <w:kern w:val="2"/>
                <w:sz w:val="24"/>
                <w:szCs w:val="24"/>
                <w:highlight w:val="none"/>
              </w:rPr>
            </w:pPr>
            <w:r>
              <w:rPr>
                <w:rFonts w:hint="eastAsia" w:cs="仿宋"/>
                <w:color w:val="auto"/>
                <w:kern w:val="2"/>
                <w:sz w:val="24"/>
                <w:szCs w:val="24"/>
                <w:highlight w:val="none"/>
              </w:rPr>
              <w:t>6</w:t>
            </w:r>
          </w:p>
        </w:tc>
        <w:tc>
          <w:tcPr>
            <w:tcW w:w="2448" w:type="dxa"/>
            <w:vAlign w:val="center"/>
          </w:tcPr>
          <w:p>
            <w:pPr>
              <w:pStyle w:val="60"/>
              <w:spacing w:line="360" w:lineRule="auto"/>
              <w:ind w:left="38"/>
              <w:jc w:val="center"/>
              <w:rPr>
                <w:rFonts w:cs="仿宋"/>
                <w:color w:val="auto"/>
                <w:kern w:val="2"/>
                <w:sz w:val="24"/>
                <w:szCs w:val="24"/>
                <w:highlight w:val="none"/>
              </w:rPr>
            </w:pPr>
            <w:r>
              <w:rPr>
                <w:rFonts w:hint="eastAsia" w:cs="仿宋"/>
                <w:color w:val="auto"/>
                <w:kern w:val="2"/>
                <w:sz w:val="24"/>
                <w:szCs w:val="24"/>
                <w:highlight w:val="none"/>
              </w:rPr>
              <w:t>采购方式</w:t>
            </w:r>
          </w:p>
        </w:tc>
        <w:tc>
          <w:tcPr>
            <w:tcW w:w="5869" w:type="dxa"/>
            <w:vAlign w:val="center"/>
          </w:tcPr>
          <w:p>
            <w:pPr>
              <w:pStyle w:val="60"/>
              <w:spacing w:line="360" w:lineRule="auto"/>
              <w:jc w:val="left"/>
              <w:rPr>
                <w:rFonts w:cs="仿宋"/>
                <w:color w:val="auto"/>
                <w:kern w:val="2"/>
                <w:sz w:val="24"/>
                <w:szCs w:val="24"/>
                <w:highlight w:val="none"/>
              </w:rPr>
            </w:pPr>
            <w:r>
              <w:rPr>
                <w:rFonts w:hint="eastAsia" w:cs="仿宋"/>
                <w:color w:val="auto"/>
                <w:kern w:val="2"/>
                <w:sz w:val="24"/>
                <w:szCs w:val="24"/>
                <w:highlight w:val="none"/>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20" w:hRule="atLeast"/>
          <w:tblHeader/>
          <w:jc w:val="center"/>
        </w:trPr>
        <w:tc>
          <w:tcPr>
            <w:tcW w:w="802" w:type="dxa"/>
            <w:vAlign w:val="center"/>
          </w:tcPr>
          <w:p>
            <w:pPr>
              <w:pStyle w:val="60"/>
              <w:spacing w:line="360" w:lineRule="auto"/>
              <w:ind w:left="9"/>
              <w:jc w:val="center"/>
              <w:rPr>
                <w:rFonts w:cs="仿宋"/>
                <w:color w:val="auto"/>
                <w:kern w:val="2"/>
                <w:sz w:val="24"/>
                <w:szCs w:val="24"/>
                <w:highlight w:val="none"/>
              </w:rPr>
            </w:pPr>
            <w:r>
              <w:rPr>
                <w:rFonts w:hint="eastAsia" w:cs="仿宋"/>
                <w:color w:val="auto"/>
                <w:kern w:val="2"/>
                <w:sz w:val="24"/>
                <w:szCs w:val="24"/>
                <w:highlight w:val="none"/>
              </w:rPr>
              <w:t>7</w:t>
            </w:r>
          </w:p>
        </w:tc>
        <w:tc>
          <w:tcPr>
            <w:tcW w:w="2448" w:type="dxa"/>
            <w:vAlign w:val="center"/>
          </w:tcPr>
          <w:p>
            <w:pPr>
              <w:pStyle w:val="60"/>
              <w:spacing w:line="360" w:lineRule="auto"/>
              <w:ind w:left="38"/>
              <w:jc w:val="center"/>
              <w:rPr>
                <w:rFonts w:cs="仿宋"/>
                <w:color w:val="auto"/>
                <w:kern w:val="2"/>
                <w:sz w:val="24"/>
                <w:szCs w:val="24"/>
                <w:highlight w:val="none"/>
              </w:rPr>
            </w:pPr>
            <w:r>
              <w:rPr>
                <w:rFonts w:hint="eastAsia" w:cs="仿宋"/>
                <w:color w:val="auto"/>
                <w:kern w:val="2"/>
                <w:sz w:val="24"/>
                <w:szCs w:val="24"/>
                <w:highlight w:val="none"/>
              </w:rPr>
              <w:t>评分办法</w:t>
            </w:r>
          </w:p>
        </w:tc>
        <w:tc>
          <w:tcPr>
            <w:tcW w:w="5869" w:type="dxa"/>
            <w:vAlign w:val="center"/>
          </w:tcPr>
          <w:p>
            <w:pPr>
              <w:pStyle w:val="60"/>
              <w:spacing w:line="360" w:lineRule="auto"/>
              <w:jc w:val="both"/>
              <w:rPr>
                <w:rFonts w:cs="仿宋"/>
                <w:color w:val="auto"/>
                <w:kern w:val="2"/>
                <w:sz w:val="24"/>
                <w:szCs w:val="24"/>
                <w:highlight w:val="none"/>
              </w:rPr>
            </w:pPr>
            <w:r>
              <w:rPr>
                <w:rFonts w:hint="eastAsia" w:cs="仿宋"/>
                <w:color w:val="auto"/>
                <w:kern w:val="2"/>
                <w:sz w:val="24"/>
                <w:szCs w:val="24"/>
                <w:highlight w:val="none"/>
              </w:rPr>
              <w:t>综合评分法</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24" w:hRule="atLeast"/>
          <w:jc w:val="center"/>
        </w:trPr>
        <w:tc>
          <w:tcPr>
            <w:tcW w:w="802" w:type="dxa"/>
            <w:vMerge w:val="restart"/>
            <w:vAlign w:val="center"/>
          </w:tcPr>
          <w:p>
            <w:pPr>
              <w:spacing w:line="360" w:lineRule="auto"/>
              <w:jc w:val="center"/>
              <w:rPr>
                <w:rFonts w:ascii="宋体" w:hAnsi="宋体" w:cs="仿宋"/>
                <w:color w:val="auto"/>
                <w:sz w:val="24"/>
                <w:szCs w:val="24"/>
                <w:highlight w:val="none"/>
              </w:rPr>
            </w:pPr>
            <w:r>
              <w:rPr>
                <w:rFonts w:hint="eastAsia" w:ascii="宋体" w:hAnsi="宋体" w:cs="仿宋"/>
                <w:color w:val="auto"/>
                <w:sz w:val="24"/>
                <w:szCs w:val="24"/>
                <w:highlight w:val="none"/>
              </w:rPr>
              <w:t>8</w:t>
            </w:r>
          </w:p>
        </w:tc>
        <w:tc>
          <w:tcPr>
            <w:tcW w:w="2448" w:type="dxa"/>
            <w:tcBorders>
              <w:bottom w:val="single" w:color="auto" w:sz="4" w:space="0"/>
            </w:tcBorders>
            <w:vAlign w:val="center"/>
          </w:tcPr>
          <w:p>
            <w:pPr>
              <w:pStyle w:val="60"/>
              <w:spacing w:line="360" w:lineRule="auto"/>
              <w:ind w:left="38"/>
              <w:jc w:val="center"/>
              <w:rPr>
                <w:rFonts w:cs="仿宋"/>
                <w:b/>
                <w:color w:val="auto"/>
                <w:kern w:val="2"/>
                <w:sz w:val="24"/>
                <w:szCs w:val="24"/>
                <w:highlight w:val="none"/>
              </w:rPr>
            </w:pPr>
            <w:r>
              <w:rPr>
                <w:rFonts w:hint="eastAsia" w:cs="仿宋"/>
                <w:b/>
                <w:color w:val="auto"/>
                <w:kern w:val="2"/>
                <w:sz w:val="24"/>
                <w:szCs w:val="24"/>
                <w:highlight w:val="none"/>
              </w:rPr>
              <w:t>采购预算</w:t>
            </w:r>
          </w:p>
          <w:p>
            <w:pPr>
              <w:pStyle w:val="60"/>
              <w:spacing w:line="360" w:lineRule="auto"/>
              <w:ind w:left="38"/>
              <w:jc w:val="center"/>
              <w:rPr>
                <w:rFonts w:cs="仿宋"/>
                <w:b/>
                <w:color w:val="auto"/>
                <w:kern w:val="2"/>
                <w:sz w:val="24"/>
                <w:szCs w:val="24"/>
                <w:highlight w:val="none"/>
              </w:rPr>
            </w:pPr>
            <w:r>
              <w:rPr>
                <w:rFonts w:hint="eastAsia" w:cs="仿宋"/>
                <w:b/>
                <w:color w:val="auto"/>
                <w:sz w:val="24"/>
                <w:szCs w:val="24"/>
                <w:highlight w:val="none"/>
              </w:rPr>
              <w:t>（实质性要求）</w:t>
            </w:r>
          </w:p>
        </w:tc>
        <w:tc>
          <w:tcPr>
            <w:tcW w:w="5869" w:type="dxa"/>
            <w:tcBorders>
              <w:bottom w:val="single" w:color="auto" w:sz="4" w:space="0"/>
            </w:tcBorders>
            <w:vAlign w:val="center"/>
          </w:tcPr>
          <w:p>
            <w:pPr>
              <w:pStyle w:val="60"/>
              <w:spacing w:line="360" w:lineRule="auto"/>
              <w:rPr>
                <w:rFonts w:cs="仿宋"/>
                <w:color w:val="auto"/>
                <w:sz w:val="24"/>
                <w:szCs w:val="24"/>
                <w:highlight w:val="none"/>
                <w:lang w:val="zh-CN"/>
              </w:rPr>
            </w:pPr>
            <w:r>
              <w:rPr>
                <w:rFonts w:hint="eastAsia" w:cs="仿宋"/>
                <w:color w:val="auto"/>
                <w:sz w:val="24"/>
                <w:szCs w:val="24"/>
                <w:highlight w:val="none"/>
                <w:lang w:val="zh-CN"/>
              </w:rPr>
              <w:t>采购预算</w:t>
            </w:r>
            <w:r>
              <w:rPr>
                <w:rFonts w:hint="eastAsia" w:ascii="宋体" w:hAnsi="宋体" w:eastAsia="宋体" w:cs="仿宋"/>
                <w:color w:val="auto"/>
                <w:sz w:val="24"/>
                <w:szCs w:val="24"/>
                <w:highlight w:val="none"/>
                <w:lang w:val="zh-CN"/>
              </w:rPr>
              <w:t>金额：人民币2481600元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28" w:hRule="atLeast"/>
          <w:jc w:val="center"/>
        </w:trPr>
        <w:tc>
          <w:tcPr>
            <w:tcW w:w="802" w:type="dxa"/>
            <w:vMerge w:val="continue"/>
            <w:vAlign w:val="center"/>
          </w:tcPr>
          <w:p>
            <w:pPr>
              <w:spacing w:line="360" w:lineRule="auto"/>
              <w:jc w:val="center"/>
              <w:rPr>
                <w:rFonts w:ascii="宋体" w:hAnsi="宋体" w:cs="仿宋"/>
                <w:color w:val="auto"/>
                <w:sz w:val="24"/>
                <w:szCs w:val="24"/>
                <w:highlight w:val="none"/>
              </w:rPr>
            </w:pPr>
          </w:p>
        </w:tc>
        <w:tc>
          <w:tcPr>
            <w:tcW w:w="2448" w:type="dxa"/>
            <w:tcBorders>
              <w:top w:val="single" w:color="auto" w:sz="4" w:space="0"/>
            </w:tcBorders>
            <w:vAlign w:val="center"/>
          </w:tcPr>
          <w:p>
            <w:pPr>
              <w:pStyle w:val="60"/>
              <w:spacing w:line="360" w:lineRule="auto"/>
              <w:jc w:val="center"/>
              <w:rPr>
                <w:rFonts w:cs="仿宋"/>
                <w:b/>
                <w:color w:val="auto"/>
                <w:kern w:val="2"/>
                <w:sz w:val="24"/>
                <w:szCs w:val="24"/>
                <w:highlight w:val="none"/>
              </w:rPr>
            </w:pPr>
            <w:r>
              <w:rPr>
                <w:rFonts w:hint="eastAsia" w:cs="仿宋"/>
                <w:b/>
                <w:color w:val="auto"/>
                <w:kern w:val="2"/>
                <w:sz w:val="24"/>
                <w:szCs w:val="24"/>
                <w:highlight w:val="none"/>
              </w:rPr>
              <w:t>最高限价</w:t>
            </w:r>
          </w:p>
          <w:p>
            <w:pPr>
              <w:pStyle w:val="60"/>
              <w:spacing w:line="360" w:lineRule="auto"/>
              <w:jc w:val="center"/>
              <w:rPr>
                <w:rFonts w:hint="eastAsia" w:ascii="宋体" w:hAnsi="宋体" w:eastAsia="宋体" w:cs="仿宋"/>
                <w:color w:val="auto"/>
                <w:kern w:val="2"/>
                <w:sz w:val="24"/>
                <w:szCs w:val="24"/>
                <w:highlight w:val="none"/>
                <w:lang w:val="en-US" w:eastAsia="zh-CN" w:bidi="ar-SA"/>
              </w:rPr>
            </w:pPr>
            <w:r>
              <w:rPr>
                <w:rFonts w:hint="eastAsia" w:cs="仿宋"/>
                <w:b/>
                <w:color w:val="auto"/>
                <w:sz w:val="24"/>
                <w:szCs w:val="24"/>
                <w:highlight w:val="none"/>
              </w:rPr>
              <w:t>（实质性要求）</w:t>
            </w:r>
          </w:p>
        </w:tc>
        <w:tc>
          <w:tcPr>
            <w:tcW w:w="5869" w:type="dxa"/>
            <w:tcBorders>
              <w:top w:val="single" w:color="auto" w:sz="4" w:space="0"/>
            </w:tcBorders>
            <w:vAlign w:val="center"/>
          </w:tcPr>
          <w:p>
            <w:pPr>
              <w:pStyle w:val="60"/>
              <w:spacing w:line="360" w:lineRule="auto"/>
              <w:rPr>
                <w:rFonts w:hint="eastAsia" w:ascii="宋体" w:hAnsi="宋体" w:eastAsia="宋体" w:cs="仿宋"/>
                <w:color w:val="auto"/>
                <w:sz w:val="24"/>
                <w:szCs w:val="24"/>
                <w:highlight w:val="none"/>
                <w:lang w:val="zh-CN" w:eastAsia="zh-CN" w:bidi="ar-SA"/>
              </w:rPr>
            </w:pPr>
            <w:r>
              <w:rPr>
                <w:rFonts w:hint="eastAsia" w:cs="仿宋"/>
                <w:color w:val="auto"/>
                <w:sz w:val="24"/>
                <w:szCs w:val="24"/>
                <w:highlight w:val="none"/>
                <w:lang w:val="zh-CN"/>
              </w:rPr>
              <w:t>1包最高限价为1488000元，2包最高限价为498000元，3包最高限价为495600元。投标报价超过本项目最高限价的作无效投标处理。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24" w:hRule="atLeast"/>
          <w:jc w:val="center"/>
        </w:trPr>
        <w:tc>
          <w:tcPr>
            <w:tcW w:w="802" w:type="dxa"/>
            <w:vMerge w:val="continue"/>
            <w:vAlign w:val="center"/>
          </w:tcPr>
          <w:p>
            <w:pPr>
              <w:spacing w:line="360" w:lineRule="auto"/>
              <w:jc w:val="center"/>
              <w:rPr>
                <w:rFonts w:ascii="宋体" w:hAnsi="宋体" w:cs="仿宋"/>
                <w:color w:val="auto"/>
                <w:sz w:val="24"/>
                <w:szCs w:val="24"/>
                <w:highlight w:val="none"/>
              </w:rPr>
            </w:pPr>
          </w:p>
        </w:tc>
        <w:tc>
          <w:tcPr>
            <w:tcW w:w="2448" w:type="dxa"/>
            <w:tcBorders>
              <w:top w:val="single" w:color="auto" w:sz="4" w:space="0"/>
            </w:tcBorders>
            <w:vAlign w:val="center"/>
          </w:tcPr>
          <w:p>
            <w:pPr>
              <w:pStyle w:val="60"/>
              <w:spacing w:line="360" w:lineRule="auto"/>
              <w:jc w:val="center"/>
              <w:rPr>
                <w:rFonts w:hint="eastAsia" w:cs="仿宋"/>
                <w:b/>
                <w:color w:val="auto"/>
                <w:kern w:val="2"/>
                <w:sz w:val="24"/>
                <w:szCs w:val="24"/>
                <w:highlight w:val="none"/>
                <w:lang w:eastAsia="zh-CN"/>
              </w:rPr>
            </w:pPr>
            <w:r>
              <w:rPr>
                <w:rFonts w:hint="eastAsia" w:cs="仿宋"/>
                <w:b/>
                <w:color w:val="auto"/>
                <w:kern w:val="2"/>
                <w:sz w:val="24"/>
                <w:szCs w:val="24"/>
                <w:highlight w:val="none"/>
                <w:lang w:eastAsia="zh-CN"/>
              </w:rPr>
              <w:t>定向采购</w:t>
            </w:r>
          </w:p>
          <w:p>
            <w:pPr>
              <w:pStyle w:val="60"/>
              <w:spacing w:line="360" w:lineRule="auto"/>
              <w:jc w:val="center"/>
              <w:rPr>
                <w:rFonts w:hint="eastAsia" w:cs="仿宋"/>
                <w:b/>
                <w:color w:val="auto"/>
                <w:kern w:val="2"/>
                <w:sz w:val="24"/>
                <w:szCs w:val="24"/>
                <w:highlight w:val="none"/>
                <w:lang w:eastAsia="zh-CN"/>
              </w:rPr>
            </w:pPr>
            <w:r>
              <w:rPr>
                <w:rFonts w:hint="eastAsia" w:cs="仿宋"/>
                <w:b/>
                <w:color w:val="auto"/>
                <w:sz w:val="24"/>
                <w:szCs w:val="24"/>
                <w:highlight w:val="none"/>
              </w:rPr>
              <w:t>（实质性要求）</w:t>
            </w:r>
          </w:p>
        </w:tc>
        <w:tc>
          <w:tcPr>
            <w:tcW w:w="5869" w:type="dxa"/>
            <w:tcBorders>
              <w:top w:val="single" w:color="auto" w:sz="4" w:space="0"/>
            </w:tcBorders>
            <w:vAlign w:val="center"/>
          </w:tcPr>
          <w:p>
            <w:pPr>
              <w:pStyle w:val="60"/>
              <w:spacing w:line="360" w:lineRule="auto"/>
              <w:rPr>
                <w:rFonts w:cs="仿宋"/>
                <w:color w:val="auto"/>
                <w:sz w:val="24"/>
                <w:szCs w:val="24"/>
                <w:highlight w:val="none"/>
                <w:lang w:val="zh-CN"/>
              </w:rPr>
            </w:pPr>
            <w:r>
              <w:rPr>
                <w:rFonts w:hint="eastAsia" w:cs="仿宋"/>
                <w:color w:val="auto"/>
                <w:sz w:val="24"/>
                <w:szCs w:val="24"/>
                <w:highlight w:val="none"/>
                <w:lang w:val="zh-CN"/>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33" w:hRule="atLeast"/>
          <w:jc w:val="center"/>
        </w:trPr>
        <w:tc>
          <w:tcPr>
            <w:tcW w:w="802" w:type="dxa"/>
            <w:vAlign w:val="center"/>
          </w:tcPr>
          <w:p>
            <w:pPr>
              <w:spacing w:line="360" w:lineRule="auto"/>
              <w:jc w:val="center"/>
              <w:rPr>
                <w:rFonts w:ascii="宋体" w:hAnsi="宋体" w:cs="仿宋"/>
                <w:color w:val="auto"/>
                <w:sz w:val="24"/>
                <w:szCs w:val="24"/>
                <w:highlight w:val="none"/>
              </w:rPr>
            </w:pPr>
            <w:r>
              <w:rPr>
                <w:rFonts w:hint="eastAsia" w:ascii="宋体" w:hAnsi="宋体" w:cs="仿宋"/>
                <w:color w:val="auto"/>
                <w:sz w:val="24"/>
                <w:szCs w:val="24"/>
                <w:highlight w:val="none"/>
              </w:rPr>
              <w:t>9</w:t>
            </w:r>
          </w:p>
        </w:tc>
        <w:tc>
          <w:tcPr>
            <w:tcW w:w="2448" w:type="dxa"/>
            <w:vAlign w:val="center"/>
          </w:tcPr>
          <w:p>
            <w:pPr>
              <w:pStyle w:val="60"/>
              <w:spacing w:line="360" w:lineRule="auto"/>
              <w:ind w:left="38"/>
              <w:jc w:val="center"/>
              <w:rPr>
                <w:rFonts w:cs="仿宋"/>
                <w:b/>
                <w:color w:val="auto"/>
                <w:kern w:val="2"/>
                <w:sz w:val="24"/>
                <w:szCs w:val="24"/>
                <w:highlight w:val="none"/>
              </w:rPr>
            </w:pPr>
            <w:r>
              <w:rPr>
                <w:rFonts w:hint="eastAsia" w:cs="仿宋"/>
                <w:b/>
                <w:color w:val="auto"/>
                <w:kern w:val="2"/>
                <w:sz w:val="24"/>
                <w:szCs w:val="24"/>
                <w:highlight w:val="none"/>
              </w:rPr>
              <w:t>低于成本价不正当</w:t>
            </w:r>
          </w:p>
          <w:p>
            <w:pPr>
              <w:pStyle w:val="60"/>
              <w:spacing w:line="360" w:lineRule="auto"/>
              <w:ind w:left="38"/>
              <w:jc w:val="center"/>
              <w:rPr>
                <w:rFonts w:cs="仿宋"/>
                <w:b/>
                <w:color w:val="auto"/>
                <w:kern w:val="2"/>
                <w:sz w:val="24"/>
                <w:szCs w:val="24"/>
                <w:highlight w:val="none"/>
              </w:rPr>
            </w:pPr>
            <w:r>
              <w:rPr>
                <w:rFonts w:hint="eastAsia" w:cs="仿宋"/>
                <w:b/>
                <w:color w:val="auto"/>
                <w:kern w:val="2"/>
                <w:sz w:val="24"/>
                <w:szCs w:val="24"/>
                <w:highlight w:val="none"/>
              </w:rPr>
              <w:t>竞争预防措施</w:t>
            </w:r>
          </w:p>
          <w:p>
            <w:pPr>
              <w:pStyle w:val="60"/>
              <w:spacing w:line="360" w:lineRule="auto"/>
              <w:ind w:left="38"/>
              <w:jc w:val="center"/>
              <w:rPr>
                <w:rFonts w:cs="仿宋"/>
                <w:color w:val="auto"/>
                <w:kern w:val="2"/>
                <w:sz w:val="24"/>
                <w:szCs w:val="24"/>
                <w:highlight w:val="none"/>
              </w:rPr>
            </w:pPr>
            <w:r>
              <w:rPr>
                <w:rFonts w:hint="eastAsia" w:cs="仿宋"/>
                <w:b/>
                <w:color w:val="auto"/>
                <w:sz w:val="24"/>
                <w:szCs w:val="24"/>
                <w:highlight w:val="none"/>
              </w:rPr>
              <w:t>（实质性要求）</w:t>
            </w:r>
          </w:p>
        </w:tc>
        <w:tc>
          <w:tcPr>
            <w:tcW w:w="5869" w:type="dxa"/>
            <w:vAlign w:val="center"/>
          </w:tcPr>
          <w:p>
            <w:pPr>
              <w:pStyle w:val="60"/>
              <w:spacing w:line="360" w:lineRule="auto"/>
              <w:jc w:val="both"/>
              <w:rPr>
                <w:rFonts w:cs="仿宋"/>
                <w:color w:val="auto"/>
                <w:sz w:val="24"/>
                <w:szCs w:val="24"/>
                <w:highlight w:val="none"/>
              </w:rPr>
            </w:pPr>
            <w:r>
              <w:rPr>
                <w:rFonts w:hint="eastAsia" w:cs="仿宋"/>
                <w:color w:val="auto"/>
                <w:sz w:val="24"/>
                <w:szCs w:val="24"/>
                <w:highlight w:val="none"/>
              </w:rPr>
              <w:t>评标委员会认为投标人的报价明显低于其他通过符合性审查投标人的报价，有可能影响产品质量或者不能诚信履约的，应当要求其在评标现场合理的时间内提供书面说明，并提交相关证明材料；投标人书面说明应当按照国家财务会计制度的规定要求，逐项就投标人提供的货物、工程和服务的主营业务成本（应根据投标人企业类型予以区别）、税金及附加、销售费用、管理费用、财务费用等成本构成事项详细陈述。投标人不能证明其报价合理性的，评标委员会应当将其作为无效投标处理。</w:t>
            </w:r>
          </w:p>
          <w:p>
            <w:pPr>
              <w:pStyle w:val="60"/>
              <w:spacing w:line="360" w:lineRule="auto"/>
              <w:rPr>
                <w:rFonts w:cs="仿宋"/>
                <w:color w:val="auto"/>
                <w:kern w:val="2"/>
                <w:sz w:val="24"/>
                <w:szCs w:val="24"/>
                <w:highlight w:val="none"/>
              </w:rPr>
            </w:pPr>
            <w:r>
              <w:rPr>
                <w:rFonts w:hint="eastAsia" w:cs="仿宋"/>
                <w:color w:val="auto"/>
                <w:kern w:val="2"/>
                <w:sz w:val="24"/>
                <w:szCs w:val="24"/>
                <w:highlight w:val="none"/>
              </w:rPr>
              <w:t>投标人书面说明应当签字确认或者加盖公章，否则无效。书面说明的签字确认，投标人为法人的，由其法定代表人/单位负责人或者代理人签字确认；投标人为其他组织的，由其主要负责人或者代理人签字确认；投标人为自然人的，由其本人或者代理人签字确认。</w:t>
            </w:r>
          </w:p>
          <w:p>
            <w:pPr>
              <w:pStyle w:val="60"/>
              <w:spacing w:line="360" w:lineRule="auto"/>
              <w:jc w:val="both"/>
              <w:rPr>
                <w:rFonts w:cs="仿宋"/>
                <w:color w:val="auto"/>
                <w:kern w:val="2"/>
                <w:sz w:val="24"/>
                <w:szCs w:val="24"/>
                <w:highlight w:val="none"/>
              </w:rPr>
            </w:pPr>
            <w:r>
              <w:rPr>
                <w:rFonts w:hint="eastAsia" w:cs="仿宋"/>
                <w:color w:val="auto"/>
                <w:kern w:val="2"/>
                <w:sz w:val="24"/>
                <w:szCs w:val="24"/>
                <w:highlight w:val="none"/>
              </w:rPr>
              <w:t>投标人提供书面说明后，评标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投标文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11" w:hRule="atLeast"/>
          <w:jc w:val="center"/>
        </w:trPr>
        <w:tc>
          <w:tcPr>
            <w:tcW w:w="802" w:type="dxa"/>
            <w:vMerge w:val="restart"/>
            <w:vAlign w:val="center"/>
          </w:tcPr>
          <w:p>
            <w:pPr>
              <w:spacing w:line="360" w:lineRule="auto"/>
              <w:jc w:val="center"/>
              <w:rPr>
                <w:rFonts w:ascii="宋体" w:hAnsi="宋体" w:cs="仿宋"/>
                <w:color w:val="auto"/>
                <w:sz w:val="24"/>
                <w:szCs w:val="24"/>
                <w:highlight w:val="none"/>
              </w:rPr>
            </w:pPr>
            <w:r>
              <w:rPr>
                <w:rFonts w:hint="eastAsia" w:ascii="宋体" w:hAnsi="宋体" w:cs="仿宋"/>
                <w:color w:val="auto"/>
                <w:sz w:val="24"/>
                <w:szCs w:val="24"/>
                <w:highlight w:val="none"/>
              </w:rPr>
              <w:t>10</w:t>
            </w:r>
          </w:p>
        </w:tc>
        <w:tc>
          <w:tcPr>
            <w:tcW w:w="2448" w:type="dxa"/>
            <w:vAlign w:val="center"/>
          </w:tcPr>
          <w:p>
            <w:pPr>
              <w:pStyle w:val="60"/>
              <w:spacing w:line="360" w:lineRule="auto"/>
              <w:ind w:left="38"/>
              <w:jc w:val="center"/>
              <w:rPr>
                <w:rFonts w:cs="仿宋"/>
                <w:b/>
                <w:color w:val="auto"/>
                <w:kern w:val="2"/>
                <w:sz w:val="24"/>
                <w:szCs w:val="24"/>
                <w:highlight w:val="none"/>
              </w:rPr>
            </w:pPr>
            <w:r>
              <w:rPr>
                <w:rFonts w:hint="eastAsia" w:cs="仿宋"/>
                <w:b/>
                <w:color w:val="auto"/>
                <w:kern w:val="2"/>
                <w:sz w:val="24"/>
                <w:szCs w:val="24"/>
                <w:highlight w:val="none"/>
              </w:rPr>
              <w:t>小微企业（监狱企业、残疾人福利性单位</w:t>
            </w:r>
            <w:r>
              <w:rPr>
                <w:rFonts w:hint="eastAsia" w:cs="仿宋"/>
                <w:b/>
                <w:color w:val="auto"/>
                <w:sz w:val="24"/>
                <w:szCs w:val="24"/>
                <w:highlight w:val="none"/>
              </w:rPr>
              <w:t>视同小微企业</w:t>
            </w:r>
            <w:r>
              <w:rPr>
                <w:rFonts w:hint="eastAsia" w:cs="仿宋"/>
                <w:b/>
                <w:color w:val="auto"/>
                <w:kern w:val="2"/>
                <w:sz w:val="24"/>
                <w:szCs w:val="24"/>
                <w:highlight w:val="none"/>
              </w:rPr>
              <w:t>）价格扣除</w:t>
            </w:r>
            <w:r>
              <w:rPr>
                <w:rFonts w:hint="eastAsia" w:cs="仿宋"/>
                <w:b/>
                <w:color w:val="auto"/>
                <w:sz w:val="24"/>
                <w:szCs w:val="24"/>
                <w:highlight w:val="none"/>
              </w:rPr>
              <w:t>（实质性要求）</w:t>
            </w:r>
          </w:p>
        </w:tc>
        <w:tc>
          <w:tcPr>
            <w:tcW w:w="5869" w:type="dxa"/>
            <w:vAlign w:val="center"/>
          </w:tcPr>
          <w:p>
            <w:pPr>
              <w:pStyle w:val="60"/>
              <w:spacing w:line="360" w:lineRule="auto"/>
              <w:rPr>
                <w:rFonts w:hint="eastAsia" w:cs="仿宋"/>
                <w:color w:val="auto"/>
                <w:sz w:val="24"/>
                <w:szCs w:val="24"/>
                <w:highlight w:val="none"/>
              </w:rPr>
            </w:pPr>
            <w:r>
              <w:rPr>
                <w:rFonts w:hint="eastAsia" w:cs="仿宋"/>
                <w:color w:val="auto"/>
                <w:sz w:val="24"/>
                <w:szCs w:val="24"/>
                <w:highlight w:val="none"/>
              </w:rPr>
              <w:t>本项目专门面向中小企业，</w:t>
            </w:r>
            <w:r>
              <w:rPr>
                <w:rFonts w:hint="eastAsia" w:cs="仿宋"/>
                <w:color w:val="auto"/>
                <w:sz w:val="24"/>
                <w:szCs w:val="24"/>
                <w:highlight w:val="none"/>
                <w:lang w:eastAsia="zh-CN"/>
              </w:rPr>
              <w:t>评审时</w:t>
            </w:r>
            <w:r>
              <w:rPr>
                <w:rFonts w:hint="eastAsia" w:cs="仿宋"/>
                <w:color w:val="auto"/>
                <w:sz w:val="24"/>
                <w:szCs w:val="24"/>
                <w:highlight w:val="none"/>
              </w:rPr>
              <w:t>不进行价格扣除。</w:t>
            </w:r>
          </w:p>
          <w:p>
            <w:pPr>
              <w:pStyle w:val="60"/>
              <w:spacing w:line="360" w:lineRule="auto"/>
              <w:rPr>
                <w:rFonts w:cs="仿宋"/>
                <w:color w:val="auto"/>
                <w:sz w:val="24"/>
                <w:szCs w:val="24"/>
                <w:highlight w:val="none"/>
              </w:rPr>
            </w:pPr>
            <w:r>
              <w:rPr>
                <w:rFonts w:hint="eastAsia" w:cs="仿宋"/>
                <w:color w:val="auto"/>
                <w:sz w:val="24"/>
                <w:szCs w:val="24"/>
                <w:highlight w:val="none"/>
              </w:rPr>
              <w:t>注：中小企业划分标准依据《工业和信息化部、国家统计局、国家发展和改革委员会、财政部关于印发中小企业划型标准规定的通知》（工信部联企业〔2011〕300号）规定。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755" w:hRule="atLeast"/>
          <w:jc w:val="center"/>
        </w:trPr>
        <w:tc>
          <w:tcPr>
            <w:tcW w:w="802" w:type="dxa"/>
            <w:vMerge w:val="continue"/>
            <w:vAlign w:val="center"/>
          </w:tcPr>
          <w:p>
            <w:pPr>
              <w:spacing w:line="360" w:lineRule="auto"/>
              <w:jc w:val="center"/>
              <w:rPr>
                <w:rFonts w:hint="eastAsia" w:ascii="宋体" w:hAnsi="宋体" w:cs="仿宋"/>
                <w:color w:val="auto"/>
                <w:sz w:val="24"/>
                <w:szCs w:val="24"/>
                <w:highlight w:val="none"/>
              </w:rPr>
            </w:pPr>
          </w:p>
        </w:tc>
        <w:tc>
          <w:tcPr>
            <w:tcW w:w="2448" w:type="dxa"/>
            <w:vAlign w:val="center"/>
          </w:tcPr>
          <w:p>
            <w:pPr>
              <w:pStyle w:val="60"/>
              <w:spacing w:line="360" w:lineRule="auto"/>
              <w:ind w:left="38"/>
              <w:jc w:val="center"/>
              <w:rPr>
                <w:rFonts w:hint="eastAsia" w:cs="仿宋"/>
                <w:b/>
                <w:color w:val="auto"/>
                <w:kern w:val="2"/>
                <w:sz w:val="24"/>
                <w:szCs w:val="24"/>
                <w:highlight w:val="none"/>
              </w:rPr>
            </w:pPr>
            <w:r>
              <w:rPr>
                <w:rFonts w:hint="eastAsia" w:cs="仿宋"/>
                <w:b/>
                <w:color w:val="auto"/>
                <w:kern w:val="2"/>
                <w:sz w:val="24"/>
                <w:szCs w:val="24"/>
                <w:highlight w:val="none"/>
              </w:rPr>
              <w:t>失信单位要求</w:t>
            </w:r>
          </w:p>
        </w:tc>
        <w:tc>
          <w:tcPr>
            <w:tcW w:w="5869" w:type="dxa"/>
            <w:vAlign w:val="center"/>
          </w:tcPr>
          <w:p>
            <w:pPr>
              <w:pStyle w:val="60"/>
              <w:spacing w:line="360" w:lineRule="auto"/>
              <w:rPr>
                <w:rFonts w:hint="eastAsia" w:cs="仿宋"/>
                <w:color w:val="auto"/>
                <w:sz w:val="24"/>
                <w:szCs w:val="24"/>
                <w:highlight w:val="none"/>
              </w:rPr>
            </w:pPr>
            <w:r>
              <w:rPr>
                <w:rFonts w:hint="eastAsia" w:cs="仿宋"/>
                <w:color w:val="auto"/>
                <w:sz w:val="24"/>
                <w:szCs w:val="24"/>
                <w:highlight w:val="none"/>
              </w:rPr>
              <w:t xml:space="preserve">本项目禁止失信单位参与投标。 </w:t>
            </w:r>
          </w:p>
          <w:p>
            <w:pPr>
              <w:pStyle w:val="60"/>
              <w:spacing w:line="360" w:lineRule="auto"/>
              <w:rPr>
                <w:rFonts w:hint="eastAsia" w:cs="仿宋"/>
                <w:color w:val="auto"/>
                <w:sz w:val="24"/>
                <w:szCs w:val="24"/>
                <w:highlight w:val="none"/>
              </w:rPr>
            </w:pPr>
            <w:r>
              <w:rPr>
                <w:rFonts w:hint="eastAsia" w:cs="仿宋"/>
                <w:color w:val="auto"/>
                <w:sz w:val="24"/>
                <w:szCs w:val="24"/>
                <w:highlight w:val="none"/>
              </w:rPr>
              <w:t>严格执行《四川省公共资源交易领域严重失信联合惩戒实施办法》（川发改信用规〔2019〕405 号）、《关于对政府采购领域严重违法失信主体 开展联合惩戒的合作备忘录》（发改财金〔2018〕1614 号）等相关规定。“信用中国”网站(www. credi tchina. gov. cn)中列入失信被执行 人和重大税收违法案件当事人名的供应商和“中国政府采购网”(www. ccgp. gov. cn)政府采购严重违法失信行为记录名单中被财政部门禁止参加政府采购活动的供应商参加本项目将作无效响应处理。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69" w:hRule="atLeast"/>
          <w:jc w:val="center"/>
        </w:trPr>
        <w:tc>
          <w:tcPr>
            <w:tcW w:w="802" w:type="dxa"/>
            <w:vAlign w:val="center"/>
          </w:tcPr>
          <w:p>
            <w:pPr>
              <w:spacing w:line="360" w:lineRule="auto"/>
              <w:jc w:val="center"/>
              <w:rPr>
                <w:rFonts w:ascii="宋体" w:hAnsi="宋体" w:cs="仿宋"/>
                <w:color w:val="auto"/>
                <w:sz w:val="24"/>
                <w:szCs w:val="24"/>
                <w:highlight w:val="none"/>
              </w:rPr>
            </w:pPr>
            <w:r>
              <w:rPr>
                <w:rFonts w:hint="eastAsia" w:ascii="宋体" w:hAnsi="宋体" w:cs="仿宋"/>
                <w:color w:val="auto"/>
                <w:sz w:val="24"/>
                <w:szCs w:val="24"/>
                <w:highlight w:val="none"/>
              </w:rPr>
              <w:t>11</w:t>
            </w:r>
          </w:p>
        </w:tc>
        <w:tc>
          <w:tcPr>
            <w:tcW w:w="2448" w:type="dxa"/>
            <w:vAlign w:val="center"/>
          </w:tcPr>
          <w:p>
            <w:pPr>
              <w:spacing w:line="360" w:lineRule="auto"/>
              <w:ind w:left="105" w:leftChars="50" w:right="105" w:rightChars="50"/>
              <w:jc w:val="center"/>
              <w:rPr>
                <w:rFonts w:ascii="宋体" w:hAnsi="宋体" w:cs="仿宋"/>
                <w:b/>
                <w:color w:val="auto"/>
                <w:kern w:val="0"/>
                <w:sz w:val="24"/>
                <w:szCs w:val="24"/>
                <w:highlight w:val="none"/>
              </w:rPr>
            </w:pPr>
            <w:r>
              <w:rPr>
                <w:rFonts w:hint="eastAsia" w:ascii="宋体" w:hAnsi="宋体" w:cs="仿宋"/>
                <w:b/>
                <w:color w:val="auto"/>
                <w:kern w:val="0"/>
                <w:sz w:val="24"/>
                <w:szCs w:val="24"/>
                <w:highlight w:val="none"/>
                <w:lang w:val="zh-CN"/>
              </w:rPr>
              <w:t>节能、环保及无线局域网产品政府采购政策（如有）</w:t>
            </w:r>
          </w:p>
        </w:tc>
        <w:tc>
          <w:tcPr>
            <w:tcW w:w="5869" w:type="dxa"/>
            <w:vAlign w:val="center"/>
          </w:tcPr>
          <w:p>
            <w:pPr>
              <w:spacing w:line="360" w:lineRule="auto"/>
              <w:ind w:left="105" w:leftChars="50" w:right="105" w:rightChars="50"/>
              <w:jc w:val="left"/>
              <w:rPr>
                <w:rFonts w:ascii="宋体" w:hAnsi="宋体" w:cs="仿宋"/>
                <w:color w:val="auto"/>
                <w:kern w:val="0"/>
                <w:sz w:val="24"/>
                <w:szCs w:val="24"/>
                <w:highlight w:val="none"/>
              </w:rPr>
            </w:pPr>
            <w:r>
              <w:rPr>
                <w:rFonts w:hint="eastAsia" w:ascii="宋体" w:hAnsi="宋体" w:cs="仿宋"/>
                <w:color w:val="auto"/>
                <w:kern w:val="0"/>
                <w:sz w:val="24"/>
                <w:szCs w:val="24"/>
                <w:highlight w:val="none"/>
                <w:lang w:val="en-US" w:eastAsia="zh-CN"/>
              </w:rPr>
              <w:t xml:space="preserve">一、节能、环保产品 </w:t>
            </w:r>
          </w:p>
          <w:p>
            <w:pPr>
              <w:spacing w:line="360" w:lineRule="auto"/>
              <w:ind w:left="105" w:leftChars="50" w:right="105" w:rightChars="50"/>
              <w:jc w:val="left"/>
              <w:rPr>
                <w:rFonts w:ascii="宋体" w:hAnsi="宋体" w:cs="仿宋"/>
                <w:color w:val="auto"/>
                <w:kern w:val="0"/>
                <w:sz w:val="24"/>
                <w:szCs w:val="24"/>
                <w:highlight w:val="none"/>
              </w:rPr>
            </w:pPr>
            <w:r>
              <w:rPr>
                <w:rFonts w:hint="eastAsia" w:ascii="宋体" w:hAnsi="宋体" w:cs="仿宋"/>
                <w:color w:val="auto"/>
                <w:kern w:val="0"/>
                <w:sz w:val="24"/>
                <w:szCs w:val="24"/>
                <w:highlight w:val="none"/>
                <w:lang w:val="en-US" w:eastAsia="zh-CN"/>
              </w:rPr>
              <w:t xml:space="preserve">严格执行《财政部 发展改革委 生态环境部 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 </w:t>
            </w:r>
          </w:p>
          <w:p>
            <w:pPr>
              <w:spacing w:line="360" w:lineRule="auto"/>
              <w:ind w:left="105" w:leftChars="50" w:right="105" w:rightChars="50"/>
              <w:jc w:val="left"/>
              <w:rPr>
                <w:rFonts w:ascii="宋体" w:hAnsi="宋体" w:cs="仿宋"/>
                <w:color w:val="auto"/>
                <w:kern w:val="0"/>
                <w:sz w:val="24"/>
                <w:szCs w:val="24"/>
                <w:highlight w:val="none"/>
              </w:rPr>
            </w:pPr>
            <w:r>
              <w:rPr>
                <w:rFonts w:hint="eastAsia" w:ascii="宋体" w:hAnsi="宋体" w:cs="仿宋"/>
                <w:color w:val="auto"/>
                <w:kern w:val="0"/>
                <w:sz w:val="24"/>
                <w:szCs w:val="24"/>
                <w:highlight w:val="none"/>
                <w:lang w:val="en-US" w:eastAsia="zh-CN"/>
              </w:rPr>
              <w:t xml:space="preserve">认证机构名录的公告（2019 年第 16 号），本次投标产品类别属于政府强制采购产品类别的，须按照要求提供依据国家确定的认证机构出具的、处于有效期之内的节能产品或环境标志产品认证证书，否则投标无效；属于政府优先采购产品类别的，须按照要求提供依据国家确定的认证机构出具 </w:t>
            </w:r>
          </w:p>
          <w:p>
            <w:pPr>
              <w:spacing w:line="360" w:lineRule="auto"/>
              <w:ind w:left="105" w:leftChars="50" w:right="105" w:rightChars="50"/>
              <w:jc w:val="left"/>
              <w:rPr>
                <w:rFonts w:ascii="宋体" w:hAnsi="宋体" w:cs="仿宋"/>
                <w:color w:val="auto"/>
                <w:kern w:val="0"/>
                <w:sz w:val="24"/>
                <w:szCs w:val="24"/>
                <w:highlight w:val="none"/>
              </w:rPr>
            </w:pPr>
            <w:r>
              <w:rPr>
                <w:rFonts w:hint="eastAsia" w:ascii="宋体" w:hAnsi="宋体" w:cs="仿宋"/>
                <w:color w:val="auto"/>
                <w:kern w:val="0"/>
                <w:sz w:val="24"/>
                <w:szCs w:val="24"/>
                <w:highlight w:val="none"/>
                <w:lang w:val="en-US" w:eastAsia="zh-CN"/>
              </w:rPr>
              <w:t>的、处于有效期之内的节能产品或环境标志产品认证证书，否则不予认定。</w:t>
            </w:r>
          </w:p>
          <w:p>
            <w:pPr>
              <w:spacing w:line="360" w:lineRule="auto"/>
              <w:ind w:left="105" w:leftChars="50" w:right="105" w:rightChars="50"/>
              <w:jc w:val="left"/>
              <w:rPr>
                <w:rFonts w:ascii="宋体" w:hAnsi="宋体" w:cs="仿宋"/>
                <w:color w:val="auto"/>
                <w:kern w:val="0"/>
                <w:sz w:val="24"/>
                <w:szCs w:val="24"/>
                <w:highlight w:val="none"/>
              </w:rPr>
            </w:pPr>
            <w:r>
              <w:rPr>
                <w:rFonts w:hint="eastAsia" w:ascii="宋体" w:hAnsi="宋体" w:cs="仿宋"/>
                <w:color w:val="auto"/>
                <w:kern w:val="0"/>
                <w:sz w:val="24"/>
                <w:szCs w:val="24"/>
                <w:highlight w:val="none"/>
                <w:lang w:val="en-US" w:eastAsia="zh-CN"/>
              </w:rPr>
              <w:t xml:space="preserve">二、无线局域网产品政府采购政策： </w:t>
            </w:r>
          </w:p>
          <w:p>
            <w:pPr>
              <w:spacing w:line="360" w:lineRule="auto"/>
              <w:ind w:left="105" w:leftChars="50" w:right="105" w:rightChars="50"/>
              <w:jc w:val="left"/>
              <w:rPr>
                <w:rFonts w:ascii="宋体" w:hAnsi="宋体" w:cs="仿宋"/>
                <w:color w:val="auto"/>
                <w:kern w:val="0"/>
                <w:sz w:val="24"/>
                <w:szCs w:val="24"/>
                <w:highlight w:val="none"/>
              </w:rPr>
            </w:pPr>
            <w:r>
              <w:rPr>
                <w:rFonts w:hint="eastAsia" w:ascii="宋体" w:hAnsi="宋体" w:cs="仿宋"/>
                <w:color w:val="auto"/>
                <w:kern w:val="0"/>
                <w:sz w:val="24"/>
                <w:szCs w:val="24"/>
                <w:highlight w:val="none"/>
                <w:lang w:val="en-US" w:eastAsia="zh-CN"/>
              </w:rPr>
              <w:t>对认定为政府采购无线局域网产品的的实行优先采购。供应商须在投标文件中提供有效的《无线局域网认证产品政府采购清单》及相关证明资料（包括提供投标产品所在清单页复印件并加盖单位公章），否则不予认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35" w:hRule="atLeast"/>
          <w:jc w:val="center"/>
        </w:trPr>
        <w:tc>
          <w:tcPr>
            <w:tcW w:w="802" w:type="dxa"/>
            <w:vAlign w:val="center"/>
          </w:tcPr>
          <w:p>
            <w:pPr>
              <w:spacing w:line="360" w:lineRule="auto"/>
              <w:jc w:val="center"/>
              <w:rPr>
                <w:rFonts w:ascii="宋体" w:hAnsi="宋体" w:cs="仿宋"/>
                <w:color w:val="auto"/>
                <w:sz w:val="24"/>
                <w:szCs w:val="24"/>
                <w:highlight w:val="none"/>
              </w:rPr>
            </w:pPr>
            <w:r>
              <w:rPr>
                <w:rFonts w:hint="eastAsia" w:ascii="宋体" w:hAnsi="宋体" w:cs="仿宋"/>
                <w:color w:val="auto"/>
                <w:sz w:val="24"/>
                <w:szCs w:val="24"/>
                <w:highlight w:val="none"/>
              </w:rPr>
              <w:t>12</w:t>
            </w:r>
          </w:p>
        </w:tc>
        <w:tc>
          <w:tcPr>
            <w:tcW w:w="2448" w:type="dxa"/>
            <w:vAlign w:val="center"/>
          </w:tcPr>
          <w:p>
            <w:pPr>
              <w:pStyle w:val="60"/>
              <w:spacing w:line="360" w:lineRule="auto"/>
              <w:ind w:left="96"/>
              <w:jc w:val="center"/>
              <w:rPr>
                <w:rFonts w:cs="仿宋"/>
                <w:b/>
                <w:color w:val="auto"/>
                <w:sz w:val="24"/>
                <w:szCs w:val="24"/>
                <w:highlight w:val="none"/>
                <w:lang w:val="zh-CN"/>
              </w:rPr>
            </w:pPr>
            <w:r>
              <w:rPr>
                <w:rFonts w:hint="eastAsia" w:cs="仿宋"/>
                <w:b/>
                <w:color w:val="auto"/>
                <w:sz w:val="24"/>
                <w:szCs w:val="24"/>
                <w:highlight w:val="none"/>
                <w:lang w:val="zh-CN"/>
              </w:rPr>
              <w:t>投标保证金</w:t>
            </w:r>
          </w:p>
        </w:tc>
        <w:tc>
          <w:tcPr>
            <w:tcW w:w="5869" w:type="dxa"/>
            <w:vAlign w:val="center"/>
          </w:tcPr>
          <w:p>
            <w:pPr>
              <w:pStyle w:val="60"/>
              <w:tabs>
                <w:tab w:val="center" w:pos="2918"/>
              </w:tabs>
              <w:spacing w:line="360" w:lineRule="auto"/>
              <w:jc w:val="both"/>
              <w:rPr>
                <w:rFonts w:cs="仿宋"/>
                <w:b/>
                <w:color w:val="auto"/>
                <w:sz w:val="24"/>
                <w:szCs w:val="24"/>
                <w:highlight w:val="none"/>
                <w:lang w:val="zh-CN"/>
              </w:rPr>
            </w:pPr>
            <w:r>
              <w:rPr>
                <w:rFonts w:hint="eastAsia" w:cs="仿宋"/>
                <w:b/>
                <w:color w:val="auto"/>
                <w:sz w:val="24"/>
                <w:szCs w:val="24"/>
                <w:highlight w:val="none"/>
                <w:lang w:val="zh-CN"/>
              </w:rPr>
              <w:t>本项目不收取投标保证金</w:t>
            </w:r>
            <w:r>
              <w:rPr>
                <w:rFonts w:hint="eastAsia" w:cs="仿宋"/>
                <w:b/>
                <w:color w:val="auto"/>
                <w:sz w:val="24"/>
                <w:szCs w:val="24"/>
                <w:highlight w:val="none"/>
                <w:lang w:val="zh-CN"/>
              </w:rPr>
              <w:tab/>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2" w:hRule="atLeast"/>
          <w:jc w:val="center"/>
        </w:trPr>
        <w:tc>
          <w:tcPr>
            <w:tcW w:w="802" w:type="dxa"/>
            <w:vAlign w:val="center"/>
          </w:tcPr>
          <w:p>
            <w:pPr>
              <w:spacing w:line="360" w:lineRule="auto"/>
              <w:jc w:val="center"/>
              <w:rPr>
                <w:rFonts w:ascii="宋体" w:hAnsi="宋体" w:cs="仿宋"/>
                <w:color w:val="auto"/>
                <w:sz w:val="24"/>
                <w:szCs w:val="24"/>
                <w:highlight w:val="none"/>
              </w:rPr>
            </w:pPr>
            <w:r>
              <w:rPr>
                <w:rFonts w:hint="eastAsia" w:ascii="宋体" w:hAnsi="宋体" w:cs="仿宋"/>
                <w:color w:val="auto"/>
                <w:sz w:val="24"/>
                <w:szCs w:val="24"/>
                <w:highlight w:val="none"/>
              </w:rPr>
              <w:t>13</w:t>
            </w:r>
          </w:p>
        </w:tc>
        <w:tc>
          <w:tcPr>
            <w:tcW w:w="2448" w:type="dxa"/>
            <w:vAlign w:val="center"/>
          </w:tcPr>
          <w:p>
            <w:pPr>
              <w:pStyle w:val="60"/>
              <w:spacing w:line="360" w:lineRule="auto"/>
              <w:ind w:left="96"/>
              <w:jc w:val="center"/>
              <w:rPr>
                <w:rFonts w:cs="仿宋"/>
                <w:color w:val="auto"/>
                <w:sz w:val="24"/>
                <w:szCs w:val="24"/>
                <w:highlight w:val="none"/>
                <w:lang w:val="zh-CN"/>
              </w:rPr>
            </w:pPr>
            <w:r>
              <w:rPr>
                <w:rFonts w:hint="eastAsia" w:cs="仿宋"/>
                <w:b/>
                <w:bCs/>
                <w:color w:val="auto"/>
                <w:sz w:val="24"/>
                <w:szCs w:val="24"/>
                <w:highlight w:val="none"/>
                <w:lang w:val="zh-CN"/>
              </w:rPr>
              <w:t>履约保证金</w:t>
            </w:r>
          </w:p>
        </w:tc>
        <w:tc>
          <w:tcPr>
            <w:tcW w:w="5869" w:type="dxa"/>
            <w:vAlign w:val="center"/>
          </w:tcPr>
          <w:p>
            <w:pPr>
              <w:pStyle w:val="60"/>
              <w:spacing w:line="360" w:lineRule="auto"/>
              <w:rPr>
                <w:rFonts w:cs="仿宋"/>
                <w:color w:val="auto"/>
                <w:sz w:val="24"/>
                <w:szCs w:val="24"/>
                <w:highlight w:val="none"/>
              </w:rPr>
            </w:pPr>
            <w:r>
              <w:rPr>
                <w:rFonts w:hint="eastAsia" w:cs="仿宋"/>
                <w:b/>
                <w:color w:val="auto"/>
                <w:sz w:val="24"/>
                <w:szCs w:val="24"/>
                <w:highlight w:val="none"/>
                <w:lang w:val="zh-CN"/>
              </w:rPr>
              <w:t>本项目不收取履约保证金</w:t>
            </w:r>
            <w:r>
              <w:rPr>
                <w:rFonts w:hint="eastAsia" w:cs="仿宋"/>
                <w:b/>
                <w:color w:val="auto"/>
                <w:sz w:val="24"/>
                <w:szCs w:val="24"/>
                <w:highlight w:val="none"/>
                <w:lang w:val="zh-CN"/>
              </w:rPr>
              <w:tab/>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5" w:hRule="atLeast"/>
          <w:jc w:val="center"/>
        </w:trPr>
        <w:tc>
          <w:tcPr>
            <w:tcW w:w="802" w:type="dxa"/>
            <w:vAlign w:val="center"/>
          </w:tcPr>
          <w:p>
            <w:pPr>
              <w:spacing w:line="360" w:lineRule="auto"/>
              <w:jc w:val="center"/>
              <w:rPr>
                <w:rFonts w:ascii="宋体" w:hAnsi="宋体" w:cs="仿宋"/>
                <w:color w:val="auto"/>
                <w:sz w:val="24"/>
                <w:szCs w:val="24"/>
                <w:highlight w:val="none"/>
              </w:rPr>
            </w:pPr>
            <w:r>
              <w:rPr>
                <w:rFonts w:hint="eastAsia" w:ascii="宋体" w:hAnsi="宋体" w:cs="仿宋"/>
                <w:color w:val="auto"/>
                <w:sz w:val="24"/>
                <w:szCs w:val="24"/>
                <w:highlight w:val="none"/>
              </w:rPr>
              <w:t>14</w:t>
            </w:r>
          </w:p>
        </w:tc>
        <w:tc>
          <w:tcPr>
            <w:tcW w:w="2448" w:type="dxa"/>
            <w:vAlign w:val="center"/>
          </w:tcPr>
          <w:p>
            <w:pPr>
              <w:pStyle w:val="60"/>
              <w:spacing w:line="360" w:lineRule="auto"/>
              <w:ind w:left="96"/>
              <w:jc w:val="center"/>
              <w:rPr>
                <w:rFonts w:cs="仿宋"/>
                <w:b/>
                <w:color w:val="auto"/>
                <w:sz w:val="24"/>
                <w:szCs w:val="24"/>
                <w:highlight w:val="none"/>
                <w:lang w:val="zh-CN"/>
              </w:rPr>
            </w:pPr>
            <w:r>
              <w:rPr>
                <w:rFonts w:hint="eastAsia" w:cs="仿宋"/>
                <w:b/>
                <w:color w:val="auto"/>
                <w:sz w:val="24"/>
                <w:szCs w:val="24"/>
                <w:highlight w:val="none"/>
                <w:lang w:val="zh-CN"/>
              </w:rPr>
              <w:t>联合体投标</w:t>
            </w:r>
          </w:p>
          <w:p>
            <w:pPr>
              <w:pStyle w:val="60"/>
              <w:spacing w:line="360" w:lineRule="auto"/>
              <w:ind w:left="96"/>
              <w:jc w:val="center"/>
              <w:rPr>
                <w:rFonts w:cs="仿宋"/>
                <w:b/>
                <w:color w:val="auto"/>
                <w:sz w:val="24"/>
                <w:szCs w:val="24"/>
                <w:highlight w:val="none"/>
                <w:lang w:val="zh-CN"/>
              </w:rPr>
            </w:pPr>
            <w:r>
              <w:rPr>
                <w:rFonts w:hint="eastAsia" w:cs="仿宋"/>
                <w:b/>
                <w:color w:val="auto"/>
                <w:sz w:val="24"/>
                <w:szCs w:val="24"/>
                <w:highlight w:val="none"/>
                <w:lang w:val="zh-CN"/>
              </w:rPr>
              <w:t>(实质性要求)</w:t>
            </w:r>
          </w:p>
        </w:tc>
        <w:tc>
          <w:tcPr>
            <w:tcW w:w="5869" w:type="dxa"/>
            <w:vAlign w:val="center"/>
          </w:tcPr>
          <w:p>
            <w:pPr>
              <w:pStyle w:val="60"/>
              <w:spacing w:line="360" w:lineRule="auto"/>
              <w:rPr>
                <w:rFonts w:hint="eastAsia" w:eastAsia="宋体" w:cs="仿宋"/>
                <w:color w:val="auto"/>
                <w:sz w:val="24"/>
                <w:szCs w:val="24"/>
                <w:highlight w:val="none"/>
                <w:lang w:eastAsia="zh-CN"/>
              </w:rPr>
            </w:pPr>
            <w:r>
              <w:rPr>
                <w:rFonts w:hint="eastAsia" w:cs="仿宋"/>
                <w:color w:val="auto"/>
                <w:sz w:val="24"/>
                <w:szCs w:val="24"/>
                <w:highlight w:val="none"/>
              </w:rPr>
              <w:t>A：不接受</w:t>
            </w:r>
            <w:r>
              <w:rPr>
                <w:rFonts w:hint="eastAsia" w:ascii="MS Mincho" w:hAnsi="MS Mincho" w:cs="MS Mincho"/>
                <w:color w:val="auto"/>
                <w:sz w:val="24"/>
                <w:szCs w:val="24"/>
                <w:highlight w:val="none"/>
                <w:lang w:eastAsia="zh-CN"/>
              </w:rPr>
              <w:t>☑</w:t>
            </w:r>
          </w:p>
          <w:p>
            <w:pPr>
              <w:pStyle w:val="60"/>
              <w:spacing w:line="360" w:lineRule="auto"/>
              <w:rPr>
                <w:rFonts w:hint="eastAsia" w:eastAsia="宋体" w:cs="仿宋"/>
                <w:color w:val="auto"/>
                <w:sz w:val="24"/>
                <w:szCs w:val="24"/>
                <w:highlight w:val="none"/>
                <w:lang w:eastAsia="zh-CN"/>
              </w:rPr>
            </w:pPr>
            <w:r>
              <w:rPr>
                <w:rFonts w:hint="eastAsia" w:cs="仿宋"/>
                <w:color w:val="auto"/>
                <w:sz w:val="24"/>
                <w:szCs w:val="24"/>
                <w:highlight w:val="none"/>
              </w:rPr>
              <w:t>B：接  受</w:t>
            </w:r>
            <w:r>
              <w:rPr>
                <w:rFonts w:hint="eastAsia" w:cs="仿宋"/>
                <w:color w:val="auto"/>
                <w:sz w:val="24"/>
                <w:szCs w:val="24"/>
                <w:highlight w:val="none"/>
                <w:lang w:eastAsia="zh-CN"/>
              </w:rPr>
              <w:t>□</w:t>
            </w:r>
          </w:p>
          <w:p>
            <w:pPr>
              <w:pStyle w:val="60"/>
              <w:spacing w:line="360" w:lineRule="auto"/>
              <w:rPr>
                <w:rFonts w:cs="仿宋"/>
                <w:color w:val="auto"/>
                <w:sz w:val="24"/>
                <w:szCs w:val="24"/>
                <w:highlight w:val="none"/>
              </w:rPr>
            </w:pPr>
            <w:r>
              <w:rPr>
                <w:rFonts w:hint="eastAsia" w:cs="仿宋"/>
                <w:color w:val="auto"/>
                <w:sz w:val="24"/>
                <w:szCs w:val="24"/>
                <w:highlight w:val="none"/>
              </w:rPr>
              <w:t>联合体投标的，应满足以下要求：(1)联合体各方应按招标文件提供的格式签订联合体协议书，明确联合体牵头人和各方权利义务；(2)联合体各方不得再以自己名义单独或参加其他联合体在同一标段投标,企业集团母、子公司不得分别组成联合体投标；（3）联合体成员单位不超过2家；(4)购买招标文件、缴纳投标保证金、递交投标文件由牵头人负责，牵头人的行为直接约束联合体。</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24" w:hRule="atLeast"/>
          <w:jc w:val="center"/>
        </w:trPr>
        <w:tc>
          <w:tcPr>
            <w:tcW w:w="802" w:type="dxa"/>
            <w:vAlign w:val="center"/>
          </w:tcPr>
          <w:p>
            <w:pPr>
              <w:spacing w:line="360" w:lineRule="auto"/>
              <w:jc w:val="center"/>
              <w:rPr>
                <w:rFonts w:ascii="宋体" w:hAnsi="宋体" w:cs="仿宋"/>
                <w:color w:val="auto"/>
                <w:sz w:val="24"/>
                <w:szCs w:val="24"/>
                <w:highlight w:val="none"/>
              </w:rPr>
            </w:pPr>
            <w:r>
              <w:rPr>
                <w:rFonts w:hint="eastAsia" w:ascii="宋体" w:hAnsi="宋体" w:cs="仿宋"/>
                <w:color w:val="auto"/>
                <w:sz w:val="24"/>
                <w:szCs w:val="24"/>
                <w:highlight w:val="none"/>
              </w:rPr>
              <w:t>15</w:t>
            </w:r>
          </w:p>
        </w:tc>
        <w:tc>
          <w:tcPr>
            <w:tcW w:w="2448" w:type="dxa"/>
            <w:vAlign w:val="center"/>
          </w:tcPr>
          <w:p>
            <w:pPr>
              <w:pStyle w:val="60"/>
              <w:spacing w:line="360" w:lineRule="auto"/>
              <w:ind w:left="96"/>
              <w:jc w:val="center"/>
              <w:rPr>
                <w:rFonts w:cs="仿宋"/>
                <w:color w:val="auto"/>
                <w:sz w:val="24"/>
                <w:szCs w:val="24"/>
                <w:highlight w:val="none"/>
                <w:lang w:val="zh-CN"/>
              </w:rPr>
            </w:pPr>
            <w:r>
              <w:rPr>
                <w:rFonts w:hint="eastAsia" w:cs="仿宋"/>
                <w:color w:val="auto"/>
                <w:sz w:val="24"/>
                <w:szCs w:val="24"/>
                <w:highlight w:val="none"/>
                <w:lang w:val="zh-CN"/>
              </w:rPr>
              <w:t>投标截止时间和开标时间</w:t>
            </w:r>
          </w:p>
        </w:tc>
        <w:tc>
          <w:tcPr>
            <w:tcW w:w="5869" w:type="dxa"/>
            <w:vAlign w:val="center"/>
          </w:tcPr>
          <w:p>
            <w:pPr>
              <w:pStyle w:val="60"/>
              <w:spacing w:line="360" w:lineRule="auto"/>
              <w:rPr>
                <w:rFonts w:hint="default" w:eastAsia="宋体" w:cs="仿宋"/>
                <w:color w:val="auto"/>
                <w:sz w:val="24"/>
                <w:szCs w:val="24"/>
                <w:highlight w:val="none"/>
                <w:lang w:val="en-US" w:eastAsia="zh-CN"/>
              </w:rPr>
            </w:pPr>
            <w:r>
              <w:rPr>
                <w:rFonts w:hint="eastAsia" w:cs="仿宋"/>
                <w:color w:val="auto"/>
                <w:sz w:val="24"/>
                <w:szCs w:val="24"/>
                <w:highlight w:val="none"/>
              </w:rPr>
              <w:t>20</w:t>
            </w:r>
            <w:r>
              <w:rPr>
                <w:rFonts w:hint="eastAsia" w:cs="仿宋"/>
                <w:color w:val="auto"/>
                <w:sz w:val="24"/>
                <w:szCs w:val="24"/>
                <w:highlight w:val="none"/>
                <w:lang w:val="en-US" w:eastAsia="zh-CN"/>
              </w:rPr>
              <w:t>21</w:t>
            </w:r>
            <w:r>
              <w:rPr>
                <w:rFonts w:hint="eastAsia" w:cs="仿宋"/>
                <w:color w:val="auto"/>
                <w:sz w:val="24"/>
                <w:szCs w:val="24"/>
                <w:highlight w:val="none"/>
              </w:rPr>
              <w:t>年</w:t>
            </w:r>
            <w:r>
              <w:rPr>
                <w:rFonts w:hint="eastAsia" w:cs="仿宋"/>
                <w:color w:val="auto"/>
                <w:sz w:val="24"/>
                <w:szCs w:val="24"/>
                <w:highlight w:val="none"/>
                <w:u w:val="single"/>
                <w:lang w:val="en-US" w:eastAsia="zh-CN"/>
              </w:rPr>
              <w:t xml:space="preserve"> 9 </w:t>
            </w:r>
            <w:r>
              <w:rPr>
                <w:rFonts w:hint="eastAsia" w:cs="仿宋"/>
                <w:color w:val="auto"/>
                <w:sz w:val="24"/>
                <w:szCs w:val="24"/>
                <w:highlight w:val="none"/>
              </w:rPr>
              <w:t>月</w:t>
            </w:r>
            <w:r>
              <w:rPr>
                <w:rFonts w:hint="eastAsia" w:cs="仿宋"/>
                <w:color w:val="auto"/>
                <w:sz w:val="24"/>
                <w:szCs w:val="24"/>
                <w:highlight w:val="none"/>
                <w:u w:val="single"/>
                <w:lang w:val="en-US" w:eastAsia="zh-CN"/>
              </w:rPr>
              <w:t xml:space="preserve"> 24 </w:t>
            </w:r>
            <w:r>
              <w:rPr>
                <w:rFonts w:hint="eastAsia" w:cs="仿宋"/>
                <w:color w:val="auto"/>
                <w:sz w:val="24"/>
                <w:szCs w:val="24"/>
                <w:highlight w:val="none"/>
              </w:rPr>
              <w:t>日</w:t>
            </w:r>
            <w:r>
              <w:rPr>
                <w:rFonts w:hint="eastAsia" w:cs="仿宋"/>
                <w:color w:val="auto"/>
                <w:sz w:val="24"/>
                <w:szCs w:val="24"/>
                <w:highlight w:val="none"/>
                <w:u w:val="single"/>
              </w:rPr>
              <w:t>10</w:t>
            </w:r>
            <w:r>
              <w:rPr>
                <w:rFonts w:hint="eastAsia" w:cs="仿宋"/>
                <w:color w:val="auto"/>
                <w:sz w:val="24"/>
                <w:szCs w:val="24"/>
                <w:highlight w:val="none"/>
              </w:rPr>
              <w:t>：</w:t>
            </w:r>
            <w:r>
              <w:rPr>
                <w:rFonts w:hint="eastAsia" w:cs="仿宋"/>
                <w:color w:val="auto"/>
                <w:sz w:val="24"/>
                <w:szCs w:val="24"/>
                <w:highlight w:val="none"/>
                <w:u w:val="single"/>
                <w:lang w:val="en-US" w:eastAsia="zh-CN"/>
              </w:rPr>
              <w:t>00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20" w:hRule="atLeast"/>
          <w:jc w:val="center"/>
        </w:trPr>
        <w:tc>
          <w:tcPr>
            <w:tcW w:w="802" w:type="dxa"/>
            <w:vAlign w:val="center"/>
          </w:tcPr>
          <w:p>
            <w:pPr>
              <w:spacing w:line="360" w:lineRule="auto"/>
              <w:jc w:val="center"/>
              <w:rPr>
                <w:rFonts w:ascii="宋体" w:hAnsi="宋体" w:cs="仿宋"/>
                <w:color w:val="auto"/>
                <w:sz w:val="24"/>
                <w:szCs w:val="24"/>
                <w:highlight w:val="none"/>
              </w:rPr>
            </w:pPr>
            <w:r>
              <w:rPr>
                <w:rFonts w:hint="eastAsia" w:ascii="宋体" w:hAnsi="宋体" w:cs="仿宋"/>
                <w:color w:val="auto"/>
                <w:sz w:val="24"/>
                <w:szCs w:val="24"/>
                <w:highlight w:val="none"/>
              </w:rPr>
              <w:t>16</w:t>
            </w:r>
          </w:p>
        </w:tc>
        <w:tc>
          <w:tcPr>
            <w:tcW w:w="2448" w:type="dxa"/>
            <w:vAlign w:val="center"/>
          </w:tcPr>
          <w:p>
            <w:pPr>
              <w:pStyle w:val="60"/>
              <w:spacing w:line="360" w:lineRule="auto"/>
              <w:ind w:left="96"/>
              <w:jc w:val="center"/>
              <w:rPr>
                <w:rFonts w:cs="仿宋"/>
                <w:color w:val="auto"/>
                <w:sz w:val="24"/>
                <w:szCs w:val="24"/>
                <w:highlight w:val="none"/>
                <w:lang w:val="zh-CN"/>
              </w:rPr>
            </w:pPr>
            <w:r>
              <w:rPr>
                <w:rFonts w:hint="eastAsia" w:cs="仿宋"/>
                <w:color w:val="auto"/>
                <w:sz w:val="24"/>
                <w:szCs w:val="24"/>
                <w:highlight w:val="none"/>
                <w:lang w:val="zh-CN"/>
              </w:rPr>
              <w:t>投标有效期</w:t>
            </w:r>
          </w:p>
        </w:tc>
        <w:tc>
          <w:tcPr>
            <w:tcW w:w="5869" w:type="dxa"/>
            <w:vAlign w:val="center"/>
          </w:tcPr>
          <w:p>
            <w:pPr>
              <w:pStyle w:val="60"/>
              <w:spacing w:line="360" w:lineRule="auto"/>
              <w:rPr>
                <w:rFonts w:cs="仿宋"/>
                <w:color w:val="auto"/>
                <w:sz w:val="24"/>
                <w:szCs w:val="24"/>
                <w:highlight w:val="none"/>
              </w:rPr>
            </w:pPr>
            <w:r>
              <w:rPr>
                <w:rFonts w:hint="eastAsia" w:cs="仿宋"/>
                <w:color w:val="auto"/>
                <w:sz w:val="24"/>
                <w:szCs w:val="24"/>
                <w:highlight w:val="none"/>
              </w:rPr>
              <w:t>投标截止之日起90日历天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24" w:hRule="atLeast"/>
          <w:jc w:val="center"/>
        </w:trPr>
        <w:tc>
          <w:tcPr>
            <w:tcW w:w="802" w:type="dxa"/>
            <w:vAlign w:val="center"/>
          </w:tcPr>
          <w:p>
            <w:pPr>
              <w:spacing w:line="360" w:lineRule="auto"/>
              <w:jc w:val="center"/>
              <w:rPr>
                <w:rFonts w:ascii="宋体" w:hAnsi="宋体" w:cs="仿宋"/>
                <w:color w:val="auto"/>
                <w:sz w:val="24"/>
                <w:szCs w:val="24"/>
                <w:highlight w:val="none"/>
              </w:rPr>
            </w:pPr>
            <w:r>
              <w:rPr>
                <w:rFonts w:hint="eastAsia" w:ascii="宋体" w:hAnsi="宋体" w:cs="仿宋"/>
                <w:color w:val="auto"/>
                <w:sz w:val="24"/>
                <w:szCs w:val="24"/>
                <w:highlight w:val="none"/>
              </w:rPr>
              <w:t>17</w:t>
            </w:r>
          </w:p>
        </w:tc>
        <w:tc>
          <w:tcPr>
            <w:tcW w:w="2448" w:type="dxa"/>
            <w:vAlign w:val="center"/>
          </w:tcPr>
          <w:p>
            <w:pPr>
              <w:pStyle w:val="60"/>
              <w:spacing w:line="360" w:lineRule="auto"/>
              <w:ind w:left="96"/>
              <w:jc w:val="center"/>
              <w:rPr>
                <w:rFonts w:cs="仿宋"/>
                <w:color w:val="auto"/>
                <w:sz w:val="24"/>
                <w:szCs w:val="24"/>
                <w:highlight w:val="none"/>
                <w:lang w:val="zh-CN"/>
              </w:rPr>
            </w:pPr>
            <w:r>
              <w:rPr>
                <w:rFonts w:hint="eastAsia" w:cs="仿宋"/>
                <w:color w:val="auto"/>
                <w:sz w:val="24"/>
                <w:szCs w:val="24"/>
                <w:highlight w:val="none"/>
                <w:lang w:val="zh-CN"/>
              </w:rPr>
              <w:t>投标文件份数</w:t>
            </w:r>
          </w:p>
        </w:tc>
        <w:tc>
          <w:tcPr>
            <w:tcW w:w="5869" w:type="dxa"/>
            <w:vAlign w:val="center"/>
          </w:tcPr>
          <w:p>
            <w:pPr>
              <w:pStyle w:val="60"/>
              <w:spacing w:line="360" w:lineRule="auto"/>
              <w:rPr>
                <w:rFonts w:cs="仿宋"/>
                <w:color w:val="auto"/>
                <w:sz w:val="24"/>
                <w:szCs w:val="24"/>
                <w:highlight w:val="none"/>
              </w:rPr>
            </w:pPr>
            <w:r>
              <w:rPr>
                <w:rFonts w:hint="eastAsia" w:cs="仿宋"/>
                <w:color w:val="auto"/>
                <w:sz w:val="24"/>
                <w:szCs w:val="24"/>
                <w:highlight w:val="none"/>
              </w:rPr>
              <w:t>正本</w:t>
            </w:r>
            <w:r>
              <w:rPr>
                <w:rFonts w:hint="eastAsia" w:cs="仿宋"/>
                <w:color w:val="auto"/>
                <w:sz w:val="24"/>
                <w:szCs w:val="24"/>
                <w:highlight w:val="none"/>
                <w:u w:val="single"/>
              </w:rPr>
              <w:t>1</w:t>
            </w:r>
            <w:r>
              <w:rPr>
                <w:rFonts w:hint="eastAsia" w:cs="仿宋"/>
                <w:color w:val="auto"/>
                <w:sz w:val="24"/>
                <w:szCs w:val="24"/>
                <w:highlight w:val="none"/>
              </w:rPr>
              <w:t>份、副本</w:t>
            </w:r>
            <w:r>
              <w:rPr>
                <w:rFonts w:hint="eastAsia" w:cs="仿宋"/>
                <w:color w:val="auto"/>
                <w:sz w:val="24"/>
                <w:szCs w:val="24"/>
                <w:highlight w:val="none"/>
                <w:u w:val="single"/>
              </w:rPr>
              <w:t>2</w:t>
            </w:r>
            <w:r>
              <w:rPr>
                <w:rFonts w:hint="eastAsia" w:cs="仿宋"/>
                <w:color w:val="auto"/>
                <w:sz w:val="24"/>
                <w:szCs w:val="24"/>
                <w:highlight w:val="none"/>
              </w:rPr>
              <w:t>份，以及用于开标唱标单独提交的《开标一览表》（原件</w:t>
            </w:r>
            <w:r>
              <w:rPr>
                <w:rFonts w:hint="eastAsia" w:cs="仿宋"/>
                <w:color w:val="auto"/>
                <w:sz w:val="24"/>
                <w:szCs w:val="24"/>
                <w:highlight w:val="none"/>
                <w:u w:val="single"/>
              </w:rPr>
              <w:t>1</w:t>
            </w:r>
            <w:r>
              <w:rPr>
                <w:rFonts w:hint="eastAsia" w:cs="仿宋"/>
                <w:color w:val="auto"/>
                <w:sz w:val="24"/>
                <w:szCs w:val="24"/>
                <w:highlight w:val="none"/>
              </w:rPr>
              <w:t>份），电子文档（U盘）</w:t>
            </w:r>
            <w:r>
              <w:rPr>
                <w:rFonts w:hint="eastAsia" w:cs="仿宋"/>
                <w:color w:val="auto"/>
                <w:sz w:val="24"/>
                <w:szCs w:val="24"/>
                <w:highlight w:val="none"/>
                <w:u w:val="single"/>
              </w:rPr>
              <w:t>1</w:t>
            </w:r>
            <w:r>
              <w:rPr>
                <w:rFonts w:hint="eastAsia" w:cs="仿宋"/>
                <w:color w:val="auto"/>
                <w:sz w:val="24"/>
                <w:szCs w:val="24"/>
                <w:highlight w:val="none"/>
              </w:rPr>
              <w:t>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24" w:hRule="atLeast"/>
          <w:jc w:val="center"/>
        </w:trPr>
        <w:tc>
          <w:tcPr>
            <w:tcW w:w="802" w:type="dxa"/>
            <w:tcBorders>
              <w:top w:val="single" w:color="auto" w:sz="4" w:space="0"/>
              <w:bottom w:val="single" w:color="auto" w:sz="4" w:space="0"/>
            </w:tcBorders>
            <w:vAlign w:val="center"/>
          </w:tcPr>
          <w:p>
            <w:pPr>
              <w:spacing w:line="360" w:lineRule="auto"/>
              <w:jc w:val="center"/>
              <w:rPr>
                <w:rFonts w:ascii="宋体" w:hAnsi="宋体" w:cs="仿宋"/>
                <w:color w:val="auto"/>
                <w:sz w:val="24"/>
                <w:szCs w:val="24"/>
                <w:highlight w:val="none"/>
              </w:rPr>
            </w:pPr>
            <w:r>
              <w:rPr>
                <w:rFonts w:hint="eastAsia" w:ascii="宋体" w:hAnsi="宋体" w:cs="仿宋"/>
                <w:color w:val="auto"/>
                <w:sz w:val="24"/>
                <w:szCs w:val="24"/>
                <w:highlight w:val="none"/>
              </w:rPr>
              <w:t>18</w:t>
            </w:r>
          </w:p>
        </w:tc>
        <w:tc>
          <w:tcPr>
            <w:tcW w:w="2448" w:type="dxa"/>
            <w:tcBorders>
              <w:top w:val="single" w:color="auto" w:sz="4" w:space="0"/>
              <w:bottom w:val="single" w:color="auto" w:sz="4" w:space="0"/>
            </w:tcBorders>
            <w:vAlign w:val="center"/>
          </w:tcPr>
          <w:p>
            <w:pPr>
              <w:pStyle w:val="60"/>
              <w:spacing w:line="360" w:lineRule="auto"/>
              <w:jc w:val="center"/>
              <w:rPr>
                <w:rFonts w:cs="仿宋"/>
                <w:color w:val="auto"/>
                <w:kern w:val="2"/>
                <w:sz w:val="24"/>
                <w:szCs w:val="24"/>
                <w:highlight w:val="none"/>
              </w:rPr>
            </w:pPr>
            <w:r>
              <w:rPr>
                <w:rFonts w:hint="eastAsia" w:cs="仿宋"/>
                <w:b/>
                <w:bCs/>
                <w:color w:val="auto"/>
                <w:kern w:val="2"/>
                <w:sz w:val="24"/>
                <w:szCs w:val="24"/>
                <w:highlight w:val="none"/>
              </w:rPr>
              <w:t>采购项目具体事项/采购文件内容咨询</w:t>
            </w:r>
          </w:p>
        </w:tc>
        <w:tc>
          <w:tcPr>
            <w:tcW w:w="5869" w:type="dxa"/>
            <w:tcBorders>
              <w:top w:val="single" w:color="auto" w:sz="4" w:space="0"/>
              <w:bottom w:val="single" w:color="auto" w:sz="4" w:space="0"/>
            </w:tcBorders>
            <w:vAlign w:val="center"/>
          </w:tcPr>
          <w:p>
            <w:pPr>
              <w:spacing w:line="360" w:lineRule="auto"/>
              <w:jc w:val="left"/>
              <w:rPr>
                <w:rFonts w:ascii="宋体" w:hAnsi="宋体" w:cs="仿宋"/>
                <w:color w:val="auto"/>
                <w:sz w:val="24"/>
                <w:szCs w:val="24"/>
                <w:highlight w:val="none"/>
              </w:rPr>
            </w:pPr>
            <w:r>
              <w:rPr>
                <w:rFonts w:hint="eastAsia" w:ascii="宋体" w:hAnsi="宋体" w:cs="仿宋"/>
                <w:color w:val="auto"/>
                <w:sz w:val="24"/>
                <w:szCs w:val="24"/>
                <w:highlight w:val="none"/>
              </w:rPr>
              <w:t>联系人：</w:t>
            </w:r>
            <w:r>
              <w:rPr>
                <w:rFonts w:hint="eastAsia" w:ascii="宋体" w:hAnsi="宋体" w:cs="仿宋"/>
                <w:color w:val="auto"/>
                <w:sz w:val="24"/>
                <w:szCs w:val="24"/>
                <w:highlight w:val="none"/>
                <w:u w:val="single"/>
                <w:lang w:eastAsia="zh-CN"/>
              </w:rPr>
              <w:t>叶女士</w:t>
            </w:r>
            <w:r>
              <w:rPr>
                <w:rFonts w:hint="eastAsia" w:ascii="宋体" w:hAnsi="宋体" w:cs="仿宋"/>
                <w:color w:val="auto"/>
                <w:sz w:val="24"/>
                <w:szCs w:val="24"/>
                <w:highlight w:val="none"/>
              </w:rPr>
              <w:t xml:space="preserve">      联系电话：</w:t>
            </w:r>
            <w:r>
              <w:rPr>
                <w:rFonts w:hint="eastAsia" w:ascii="宋体" w:hAnsi="宋体" w:cs="仿宋"/>
                <w:color w:val="auto"/>
                <w:sz w:val="24"/>
                <w:szCs w:val="24"/>
                <w:highlight w:val="none"/>
                <w:lang w:eastAsia="zh-CN"/>
              </w:rPr>
              <w:t>028-84834650</w:t>
            </w:r>
            <w:r>
              <w:rPr>
                <w:rFonts w:hint="eastAsia" w:ascii="宋体" w:hAnsi="宋体" w:cs="仿宋"/>
                <w:color w:val="auto"/>
                <w:sz w:val="24"/>
                <w:szCs w:val="24"/>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2" w:hRule="atLeast"/>
          <w:jc w:val="center"/>
        </w:trPr>
        <w:tc>
          <w:tcPr>
            <w:tcW w:w="802" w:type="dxa"/>
            <w:tcBorders>
              <w:top w:val="single" w:color="auto" w:sz="4" w:space="0"/>
              <w:bottom w:val="single" w:color="auto" w:sz="4" w:space="0"/>
            </w:tcBorders>
            <w:vAlign w:val="center"/>
          </w:tcPr>
          <w:p>
            <w:pPr>
              <w:spacing w:line="360" w:lineRule="auto"/>
              <w:jc w:val="center"/>
              <w:rPr>
                <w:rFonts w:ascii="宋体" w:hAnsi="宋体" w:cs="仿宋"/>
                <w:color w:val="auto"/>
                <w:sz w:val="24"/>
                <w:szCs w:val="24"/>
                <w:highlight w:val="none"/>
              </w:rPr>
            </w:pPr>
            <w:r>
              <w:rPr>
                <w:rFonts w:hint="eastAsia" w:ascii="宋体" w:hAnsi="宋体" w:cs="仿宋"/>
                <w:color w:val="auto"/>
                <w:sz w:val="24"/>
                <w:szCs w:val="24"/>
                <w:highlight w:val="none"/>
              </w:rPr>
              <w:t>19</w:t>
            </w:r>
          </w:p>
        </w:tc>
        <w:tc>
          <w:tcPr>
            <w:tcW w:w="2448" w:type="dxa"/>
            <w:tcBorders>
              <w:top w:val="single" w:color="auto" w:sz="4" w:space="0"/>
              <w:bottom w:val="single" w:color="auto" w:sz="4" w:space="0"/>
            </w:tcBorders>
            <w:vAlign w:val="center"/>
          </w:tcPr>
          <w:p>
            <w:pPr>
              <w:pStyle w:val="60"/>
              <w:spacing w:line="360" w:lineRule="auto"/>
              <w:jc w:val="center"/>
              <w:rPr>
                <w:rFonts w:cs="仿宋"/>
                <w:color w:val="auto"/>
                <w:kern w:val="2"/>
                <w:sz w:val="24"/>
                <w:szCs w:val="24"/>
                <w:highlight w:val="none"/>
              </w:rPr>
            </w:pPr>
            <w:r>
              <w:rPr>
                <w:rFonts w:hint="eastAsia" w:cs="仿宋"/>
                <w:color w:val="auto"/>
                <w:kern w:val="2"/>
                <w:sz w:val="24"/>
                <w:szCs w:val="24"/>
                <w:highlight w:val="none"/>
              </w:rPr>
              <w:t>开标、评标工作咨询</w:t>
            </w:r>
          </w:p>
        </w:tc>
        <w:tc>
          <w:tcPr>
            <w:tcW w:w="5869" w:type="dxa"/>
            <w:tcBorders>
              <w:top w:val="single" w:color="auto" w:sz="4" w:space="0"/>
              <w:bottom w:val="single" w:color="auto" w:sz="4" w:space="0"/>
            </w:tcBorders>
            <w:vAlign w:val="center"/>
          </w:tcPr>
          <w:p>
            <w:pPr>
              <w:spacing w:line="360" w:lineRule="auto"/>
              <w:jc w:val="left"/>
              <w:rPr>
                <w:rFonts w:ascii="宋体" w:hAnsi="宋体" w:cs="仿宋"/>
                <w:color w:val="auto"/>
                <w:sz w:val="24"/>
                <w:szCs w:val="24"/>
                <w:highlight w:val="none"/>
              </w:rPr>
            </w:pPr>
            <w:r>
              <w:rPr>
                <w:rFonts w:hint="eastAsia" w:ascii="宋体" w:hAnsi="宋体" w:cs="仿宋"/>
                <w:color w:val="auto"/>
                <w:sz w:val="24"/>
                <w:szCs w:val="24"/>
                <w:highlight w:val="none"/>
              </w:rPr>
              <w:t>联系人：</w:t>
            </w:r>
            <w:r>
              <w:rPr>
                <w:rFonts w:hint="eastAsia" w:ascii="宋体" w:hAnsi="宋体" w:cs="仿宋"/>
                <w:color w:val="auto"/>
                <w:sz w:val="24"/>
                <w:szCs w:val="24"/>
                <w:highlight w:val="none"/>
                <w:u w:val="single"/>
                <w:lang w:eastAsia="zh-CN"/>
              </w:rPr>
              <w:t>叶女士</w:t>
            </w:r>
            <w:r>
              <w:rPr>
                <w:rFonts w:hint="eastAsia" w:ascii="宋体" w:hAnsi="宋体" w:cs="仿宋"/>
                <w:color w:val="auto"/>
                <w:sz w:val="24"/>
                <w:szCs w:val="24"/>
                <w:highlight w:val="none"/>
              </w:rPr>
              <w:t xml:space="preserve">     联系电话：</w:t>
            </w:r>
            <w:r>
              <w:rPr>
                <w:rFonts w:hint="eastAsia" w:ascii="宋体" w:hAnsi="宋体" w:cs="仿宋"/>
                <w:color w:val="auto"/>
                <w:sz w:val="24"/>
                <w:szCs w:val="24"/>
                <w:highlight w:val="none"/>
                <w:lang w:eastAsia="zh-CN"/>
              </w:rPr>
              <w:t>028-84834650</w:t>
            </w:r>
            <w:r>
              <w:rPr>
                <w:rFonts w:hint="eastAsia" w:ascii="宋体" w:hAnsi="宋体" w:cs="仿宋"/>
                <w:color w:val="auto"/>
                <w:sz w:val="24"/>
                <w:szCs w:val="24"/>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21" w:hRule="atLeast"/>
          <w:jc w:val="center"/>
        </w:trPr>
        <w:tc>
          <w:tcPr>
            <w:tcW w:w="802" w:type="dxa"/>
            <w:tcBorders>
              <w:top w:val="single" w:color="auto" w:sz="4" w:space="0"/>
              <w:bottom w:val="single" w:color="auto" w:sz="4" w:space="0"/>
            </w:tcBorders>
            <w:vAlign w:val="center"/>
          </w:tcPr>
          <w:p>
            <w:pPr>
              <w:spacing w:line="360" w:lineRule="auto"/>
              <w:jc w:val="center"/>
              <w:rPr>
                <w:rFonts w:ascii="宋体" w:hAnsi="宋体" w:cs="仿宋"/>
                <w:color w:val="auto"/>
                <w:sz w:val="24"/>
                <w:szCs w:val="24"/>
                <w:highlight w:val="none"/>
              </w:rPr>
            </w:pPr>
            <w:r>
              <w:rPr>
                <w:rFonts w:hint="eastAsia" w:ascii="宋体" w:hAnsi="宋体" w:cs="仿宋"/>
                <w:color w:val="auto"/>
                <w:sz w:val="24"/>
                <w:szCs w:val="24"/>
                <w:highlight w:val="none"/>
              </w:rPr>
              <w:t>20</w:t>
            </w:r>
          </w:p>
        </w:tc>
        <w:tc>
          <w:tcPr>
            <w:tcW w:w="2448" w:type="dxa"/>
            <w:tcBorders>
              <w:top w:val="single" w:color="auto" w:sz="4" w:space="0"/>
              <w:bottom w:val="single" w:color="auto" w:sz="4" w:space="0"/>
            </w:tcBorders>
            <w:vAlign w:val="center"/>
          </w:tcPr>
          <w:p>
            <w:pPr>
              <w:pStyle w:val="60"/>
              <w:spacing w:line="360" w:lineRule="auto"/>
              <w:jc w:val="center"/>
              <w:rPr>
                <w:rFonts w:cs="仿宋"/>
                <w:color w:val="auto"/>
                <w:sz w:val="24"/>
                <w:szCs w:val="24"/>
                <w:highlight w:val="none"/>
              </w:rPr>
            </w:pPr>
            <w:r>
              <w:rPr>
                <w:rFonts w:hint="eastAsia" w:cs="仿宋"/>
                <w:color w:val="auto"/>
                <w:sz w:val="24"/>
                <w:szCs w:val="24"/>
                <w:highlight w:val="none"/>
              </w:rPr>
              <w:t>评标情况公告</w:t>
            </w:r>
          </w:p>
        </w:tc>
        <w:tc>
          <w:tcPr>
            <w:tcW w:w="5869" w:type="dxa"/>
            <w:tcBorders>
              <w:top w:val="single" w:color="auto" w:sz="4" w:space="0"/>
              <w:bottom w:val="single" w:color="auto" w:sz="4" w:space="0"/>
            </w:tcBorders>
            <w:vAlign w:val="center"/>
          </w:tcPr>
          <w:p>
            <w:pPr>
              <w:pStyle w:val="60"/>
              <w:spacing w:line="360" w:lineRule="auto"/>
              <w:rPr>
                <w:rFonts w:cs="仿宋"/>
                <w:color w:val="auto"/>
                <w:sz w:val="24"/>
                <w:szCs w:val="24"/>
                <w:highlight w:val="none"/>
              </w:rPr>
            </w:pPr>
            <w:r>
              <w:rPr>
                <w:rFonts w:hint="eastAsia" w:cs="仿宋"/>
                <w:color w:val="auto"/>
                <w:sz w:val="24"/>
                <w:szCs w:val="24"/>
                <w:highlight w:val="none"/>
              </w:rPr>
              <w:t>所有投标人投标文件资格性、符合性检查情况、采用综合评分法时的总得分和分项汇总得分情况、评标结果等将在四川政府采购网上采购结果公告栏中予以公告。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30" w:hRule="atLeast"/>
          <w:jc w:val="center"/>
        </w:trPr>
        <w:tc>
          <w:tcPr>
            <w:tcW w:w="802" w:type="dxa"/>
            <w:tcBorders>
              <w:top w:val="single" w:color="auto" w:sz="4" w:space="0"/>
            </w:tcBorders>
            <w:vAlign w:val="center"/>
          </w:tcPr>
          <w:p>
            <w:pPr>
              <w:spacing w:line="360" w:lineRule="auto"/>
              <w:jc w:val="center"/>
              <w:rPr>
                <w:rFonts w:ascii="宋体" w:hAnsi="宋体" w:cs="仿宋"/>
                <w:color w:val="auto"/>
                <w:sz w:val="24"/>
                <w:szCs w:val="24"/>
                <w:highlight w:val="none"/>
              </w:rPr>
            </w:pPr>
            <w:r>
              <w:rPr>
                <w:rFonts w:hint="eastAsia" w:ascii="宋体" w:hAnsi="宋体" w:cs="仿宋"/>
                <w:color w:val="auto"/>
                <w:sz w:val="24"/>
                <w:szCs w:val="24"/>
                <w:highlight w:val="none"/>
              </w:rPr>
              <w:t>21</w:t>
            </w:r>
          </w:p>
        </w:tc>
        <w:tc>
          <w:tcPr>
            <w:tcW w:w="2448" w:type="dxa"/>
            <w:tcBorders>
              <w:top w:val="single" w:color="auto" w:sz="4" w:space="0"/>
            </w:tcBorders>
            <w:vAlign w:val="center"/>
          </w:tcPr>
          <w:p>
            <w:pPr>
              <w:spacing w:line="360" w:lineRule="auto"/>
              <w:ind w:left="105" w:leftChars="50" w:right="105" w:rightChars="50"/>
              <w:jc w:val="center"/>
              <w:rPr>
                <w:rFonts w:ascii="宋体" w:hAnsi="宋体" w:cs="仿宋"/>
                <w:color w:val="auto"/>
                <w:sz w:val="24"/>
                <w:szCs w:val="24"/>
                <w:highlight w:val="none"/>
              </w:rPr>
            </w:pPr>
            <w:r>
              <w:rPr>
                <w:rFonts w:hint="eastAsia" w:ascii="宋体" w:hAnsi="宋体" w:cs="仿宋"/>
                <w:color w:val="auto"/>
                <w:sz w:val="24"/>
                <w:szCs w:val="24"/>
                <w:highlight w:val="none"/>
              </w:rPr>
              <w:t>中标通知书领取</w:t>
            </w:r>
          </w:p>
        </w:tc>
        <w:tc>
          <w:tcPr>
            <w:tcW w:w="5869" w:type="dxa"/>
            <w:tcBorders>
              <w:top w:val="single" w:color="auto" w:sz="4" w:space="0"/>
            </w:tcBorders>
            <w:vAlign w:val="center"/>
          </w:tcPr>
          <w:p>
            <w:pPr>
              <w:tabs>
                <w:tab w:val="left" w:pos="7665"/>
              </w:tabs>
              <w:spacing w:line="360" w:lineRule="auto"/>
              <w:rPr>
                <w:rFonts w:ascii="宋体" w:hAnsi="宋体" w:cs="仿宋"/>
                <w:color w:val="auto"/>
                <w:sz w:val="24"/>
                <w:szCs w:val="24"/>
                <w:highlight w:val="none"/>
              </w:rPr>
            </w:pPr>
            <w:r>
              <w:rPr>
                <w:rFonts w:hint="eastAsia" w:ascii="宋体" w:hAnsi="宋体" w:cs="仿宋"/>
                <w:color w:val="auto"/>
                <w:sz w:val="24"/>
                <w:szCs w:val="24"/>
                <w:highlight w:val="none"/>
              </w:rPr>
              <w:t>中标公告在四川政府采购网上公告后，请中标人凭有效身份证明证件到</w:t>
            </w:r>
            <w:r>
              <w:rPr>
                <w:rFonts w:hint="eastAsia" w:ascii="宋体" w:hAnsi="宋体" w:cs="仿宋"/>
                <w:color w:val="auto"/>
                <w:sz w:val="24"/>
                <w:szCs w:val="24"/>
                <w:highlight w:val="none"/>
                <w:lang w:val="zh-CN"/>
              </w:rPr>
              <w:t>采购代理机构</w:t>
            </w:r>
            <w:r>
              <w:rPr>
                <w:rFonts w:hint="eastAsia" w:ascii="宋体" w:hAnsi="宋体" w:cs="仿宋"/>
                <w:color w:val="auto"/>
                <w:sz w:val="24"/>
                <w:szCs w:val="24"/>
                <w:highlight w:val="none"/>
              </w:rPr>
              <w:t>领取中标通知书。</w:t>
            </w:r>
          </w:p>
          <w:p>
            <w:pPr>
              <w:spacing w:line="360" w:lineRule="auto"/>
              <w:rPr>
                <w:rFonts w:ascii="宋体" w:hAnsi="宋体" w:cs="仿宋"/>
                <w:color w:val="auto"/>
                <w:sz w:val="24"/>
                <w:szCs w:val="24"/>
                <w:highlight w:val="none"/>
                <w:lang w:val="zh-CN"/>
              </w:rPr>
            </w:pPr>
            <w:r>
              <w:rPr>
                <w:rFonts w:hint="eastAsia" w:ascii="宋体" w:hAnsi="宋体" w:cs="仿宋"/>
                <w:color w:val="auto"/>
                <w:sz w:val="24"/>
                <w:szCs w:val="24"/>
                <w:highlight w:val="none"/>
                <w:lang w:val="zh-CN"/>
              </w:rPr>
              <w:t>联系人：</w:t>
            </w:r>
            <w:r>
              <w:rPr>
                <w:rFonts w:hint="eastAsia" w:ascii="宋体" w:hAnsi="宋体" w:cs="仿宋"/>
                <w:color w:val="auto"/>
                <w:sz w:val="24"/>
                <w:szCs w:val="24"/>
                <w:highlight w:val="none"/>
                <w:u w:val="single"/>
                <w:lang w:val="zh-CN"/>
              </w:rPr>
              <w:t xml:space="preserve"> </w:t>
            </w:r>
            <w:r>
              <w:rPr>
                <w:rFonts w:hint="eastAsia" w:ascii="宋体" w:hAnsi="宋体" w:cs="仿宋"/>
                <w:color w:val="auto"/>
                <w:sz w:val="24"/>
                <w:szCs w:val="24"/>
                <w:highlight w:val="none"/>
                <w:u w:val="single"/>
                <w:lang w:eastAsia="zh-CN"/>
              </w:rPr>
              <w:t>叶女士</w:t>
            </w:r>
            <w:r>
              <w:rPr>
                <w:rFonts w:hint="eastAsia" w:ascii="宋体" w:hAnsi="宋体" w:cs="仿宋"/>
                <w:color w:val="auto"/>
                <w:sz w:val="24"/>
                <w:szCs w:val="24"/>
                <w:highlight w:val="none"/>
                <w:lang w:val="zh-CN"/>
              </w:rPr>
              <w:t>。</w:t>
            </w:r>
          </w:p>
          <w:p>
            <w:pPr>
              <w:spacing w:line="360" w:lineRule="auto"/>
              <w:rPr>
                <w:rFonts w:ascii="宋体" w:hAnsi="宋体" w:cs="仿宋"/>
                <w:color w:val="auto"/>
                <w:sz w:val="24"/>
                <w:szCs w:val="24"/>
                <w:highlight w:val="none"/>
                <w:lang w:val="zh-CN"/>
              </w:rPr>
            </w:pPr>
            <w:r>
              <w:rPr>
                <w:rFonts w:hint="eastAsia" w:ascii="宋体" w:hAnsi="宋体" w:cs="仿宋"/>
                <w:color w:val="auto"/>
                <w:sz w:val="24"/>
                <w:szCs w:val="24"/>
                <w:highlight w:val="none"/>
                <w:lang w:val="zh-CN"/>
              </w:rPr>
              <w:t>联系电话：</w:t>
            </w:r>
            <w:r>
              <w:rPr>
                <w:rFonts w:hint="eastAsia" w:ascii="宋体" w:hAnsi="宋体" w:cs="仿宋"/>
                <w:color w:val="auto"/>
                <w:sz w:val="24"/>
                <w:szCs w:val="24"/>
                <w:highlight w:val="none"/>
                <w:lang w:eastAsia="zh-CN"/>
              </w:rPr>
              <w:t>028-84834650</w:t>
            </w:r>
            <w:r>
              <w:rPr>
                <w:rFonts w:hint="eastAsia" w:ascii="宋体" w:hAnsi="宋体" w:cs="仿宋"/>
                <w:color w:val="auto"/>
                <w:sz w:val="24"/>
                <w:szCs w:val="24"/>
                <w:highlight w:val="none"/>
              </w:rPr>
              <w:t>。</w:t>
            </w:r>
          </w:p>
          <w:p>
            <w:pPr>
              <w:spacing w:line="360" w:lineRule="auto"/>
              <w:rPr>
                <w:rFonts w:ascii="宋体" w:hAnsi="宋体" w:cs="仿宋"/>
                <w:color w:val="auto"/>
                <w:sz w:val="24"/>
                <w:szCs w:val="24"/>
                <w:highlight w:val="none"/>
                <w:lang w:val="zh-CN"/>
              </w:rPr>
            </w:pPr>
            <w:r>
              <w:rPr>
                <w:rFonts w:hint="eastAsia" w:ascii="宋体" w:hAnsi="宋体" w:cs="仿宋"/>
                <w:color w:val="auto"/>
                <w:sz w:val="24"/>
                <w:szCs w:val="24"/>
                <w:highlight w:val="none"/>
                <w:lang w:val="zh-CN"/>
              </w:rPr>
              <w:t>地址：成都市龙泉驿区桃都大道吾悦广场写字楼2008室。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43" w:hRule="atLeast"/>
          <w:jc w:val="center"/>
        </w:trPr>
        <w:tc>
          <w:tcPr>
            <w:tcW w:w="802" w:type="dxa"/>
            <w:tcBorders>
              <w:top w:val="single" w:color="auto" w:sz="4" w:space="0"/>
            </w:tcBorders>
            <w:vAlign w:val="center"/>
          </w:tcPr>
          <w:p>
            <w:pPr>
              <w:spacing w:line="360" w:lineRule="auto"/>
              <w:jc w:val="center"/>
              <w:rPr>
                <w:rFonts w:ascii="宋体" w:hAnsi="宋体" w:cs="仿宋"/>
                <w:color w:val="auto"/>
                <w:sz w:val="24"/>
                <w:szCs w:val="24"/>
                <w:highlight w:val="none"/>
              </w:rPr>
            </w:pPr>
            <w:r>
              <w:rPr>
                <w:rFonts w:hint="eastAsia" w:ascii="宋体" w:hAnsi="宋体" w:cs="仿宋"/>
                <w:color w:val="auto"/>
                <w:sz w:val="24"/>
                <w:szCs w:val="24"/>
                <w:highlight w:val="none"/>
              </w:rPr>
              <w:t>22</w:t>
            </w:r>
          </w:p>
        </w:tc>
        <w:tc>
          <w:tcPr>
            <w:tcW w:w="2448" w:type="dxa"/>
            <w:tcBorders>
              <w:top w:val="single" w:color="auto" w:sz="4" w:space="0"/>
            </w:tcBorders>
            <w:vAlign w:val="center"/>
          </w:tcPr>
          <w:p>
            <w:pPr>
              <w:pStyle w:val="60"/>
              <w:spacing w:line="360" w:lineRule="auto"/>
              <w:jc w:val="center"/>
              <w:rPr>
                <w:rFonts w:cs="仿宋"/>
                <w:color w:val="auto"/>
                <w:kern w:val="2"/>
                <w:sz w:val="24"/>
                <w:szCs w:val="24"/>
                <w:highlight w:val="none"/>
              </w:rPr>
            </w:pPr>
            <w:r>
              <w:rPr>
                <w:rFonts w:hint="eastAsia" w:cs="仿宋"/>
                <w:color w:val="auto"/>
                <w:kern w:val="2"/>
                <w:sz w:val="24"/>
                <w:szCs w:val="24"/>
                <w:highlight w:val="none"/>
              </w:rPr>
              <w:t>投标人询问</w:t>
            </w:r>
          </w:p>
        </w:tc>
        <w:tc>
          <w:tcPr>
            <w:tcW w:w="5869" w:type="dxa"/>
            <w:tcBorders>
              <w:top w:val="single" w:color="auto" w:sz="4" w:space="0"/>
            </w:tcBorders>
          </w:tcPr>
          <w:p>
            <w:pPr>
              <w:spacing w:line="360" w:lineRule="auto"/>
              <w:rPr>
                <w:rFonts w:ascii="宋体" w:hAnsi="宋体" w:cs="仿宋"/>
                <w:color w:val="auto"/>
                <w:sz w:val="24"/>
                <w:szCs w:val="24"/>
                <w:highlight w:val="none"/>
                <w:lang w:val="zh-CN"/>
              </w:rPr>
            </w:pPr>
            <w:r>
              <w:rPr>
                <w:rFonts w:hint="eastAsia" w:ascii="宋体" w:hAnsi="宋体" w:cs="仿宋"/>
                <w:color w:val="auto"/>
                <w:sz w:val="24"/>
                <w:szCs w:val="24"/>
                <w:highlight w:val="none"/>
              </w:rPr>
              <w:t>根据《中华人民共和国财政部令第94号--政府采购质疑和投诉办法》、委托代理协议约定，投标人询问由</w:t>
            </w:r>
            <w:r>
              <w:rPr>
                <w:rFonts w:hint="eastAsia" w:ascii="宋体" w:hAnsi="宋体" w:cs="仿宋"/>
                <w:color w:val="auto"/>
                <w:sz w:val="24"/>
                <w:szCs w:val="24"/>
                <w:highlight w:val="none"/>
                <w:lang w:val="zh-CN"/>
              </w:rPr>
              <w:t>采购代理机构负责答复。</w:t>
            </w:r>
          </w:p>
          <w:p>
            <w:pPr>
              <w:spacing w:line="360" w:lineRule="auto"/>
              <w:rPr>
                <w:rFonts w:ascii="宋体" w:hAnsi="宋体" w:cs="仿宋"/>
                <w:b/>
                <w:bCs/>
                <w:color w:val="auto"/>
                <w:sz w:val="24"/>
                <w:szCs w:val="24"/>
                <w:highlight w:val="none"/>
                <w:lang w:val="zh-CN"/>
              </w:rPr>
            </w:pPr>
            <w:r>
              <w:rPr>
                <w:rFonts w:hint="eastAsia" w:ascii="宋体" w:hAnsi="宋体" w:cs="仿宋"/>
                <w:b/>
                <w:bCs/>
                <w:color w:val="auto"/>
                <w:sz w:val="24"/>
                <w:szCs w:val="24"/>
                <w:highlight w:val="none"/>
                <w:lang w:val="zh-CN"/>
              </w:rPr>
              <w:t>联系人：</w:t>
            </w:r>
            <w:r>
              <w:rPr>
                <w:rFonts w:hint="eastAsia" w:ascii="宋体" w:hAnsi="宋体" w:cs="仿宋"/>
                <w:b/>
                <w:bCs/>
                <w:color w:val="auto"/>
                <w:sz w:val="24"/>
                <w:szCs w:val="24"/>
                <w:highlight w:val="none"/>
                <w:u w:val="single"/>
                <w:lang w:val="zh-CN"/>
              </w:rPr>
              <w:t xml:space="preserve"> </w:t>
            </w:r>
            <w:r>
              <w:rPr>
                <w:rFonts w:hint="eastAsia" w:ascii="宋体" w:hAnsi="宋体" w:cs="仿宋"/>
                <w:color w:val="auto"/>
                <w:sz w:val="24"/>
                <w:szCs w:val="24"/>
                <w:highlight w:val="none"/>
                <w:u w:val="single"/>
                <w:lang w:eastAsia="zh-CN"/>
              </w:rPr>
              <w:t>叶女士</w:t>
            </w:r>
            <w:r>
              <w:rPr>
                <w:rFonts w:hint="eastAsia" w:ascii="宋体" w:hAnsi="宋体" w:cs="仿宋"/>
                <w:b/>
                <w:bCs/>
                <w:color w:val="auto"/>
                <w:sz w:val="24"/>
                <w:szCs w:val="24"/>
                <w:highlight w:val="none"/>
                <w:lang w:val="zh-CN"/>
              </w:rPr>
              <w:t>。</w:t>
            </w:r>
          </w:p>
          <w:p>
            <w:pPr>
              <w:spacing w:line="360" w:lineRule="auto"/>
              <w:rPr>
                <w:rFonts w:ascii="宋体" w:hAnsi="宋体" w:cs="仿宋"/>
                <w:b/>
                <w:bCs/>
                <w:color w:val="auto"/>
                <w:sz w:val="24"/>
                <w:szCs w:val="24"/>
                <w:highlight w:val="none"/>
                <w:lang w:val="zh-CN"/>
              </w:rPr>
            </w:pPr>
            <w:r>
              <w:rPr>
                <w:rFonts w:hint="eastAsia" w:ascii="宋体" w:hAnsi="宋体" w:cs="仿宋"/>
                <w:b/>
                <w:bCs/>
                <w:color w:val="auto"/>
                <w:sz w:val="24"/>
                <w:szCs w:val="24"/>
                <w:highlight w:val="none"/>
                <w:lang w:val="zh-CN"/>
              </w:rPr>
              <w:t>联系电话：</w:t>
            </w:r>
            <w:r>
              <w:rPr>
                <w:rFonts w:hint="eastAsia" w:ascii="宋体" w:hAnsi="宋体" w:cs="仿宋"/>
                <w:color w:val="auto"/>
                <w:sz w:val="24"/>
                <w:szCs w:val="24"/>
                <w:highlight w:val="none"/>
                <w:lang w:eastAsia="zh-CN"/>
              </w:rPr>
              <w:t>028-84834650</w:t>
            </w:r>
            <w:r>
              <w:rPr>
                <w:rFonts w:hint="eastAsia" w:ascii="宋体" w:hAnsi="宋体" w:cs="仿宋"/>
                <w:b/>
                <w:bCs/>
                <w:color w:val="auto"/>
                <w:sz w:val="24"/>
                <w:szCs w:val="24"/>
                <w:highlight w:val="none"/>
                <w:lang w:val="zh-CN"/>
              </w:rPr>
              <w:t>。</w:t>
            </w:r>
          </w:p>
          <w:p>
            <w:pPr>
              <w:spacing w:line="360" w:lineRule="auto"/>
              <w:rPr>
                <w:rFonts w:ascii="宋体" w:hAnsi="宋体" w:cs="仿宋"/>
                <w:color w:val="auto"/>
                <w:sz w:val="24"/>
                <w:szCs w:val="24"/>
                <w:highlight w:val="none"/>
              </w:rPr>
            </w:pPr>
            <w:r>
              <w:rPr>
                <w:rFonts w:hint="eastAsia" w:ascii="宋体" w:hAnsi="宋体" w:cs="仿宋"/>
                <w:color w:val="auto"/>
                <w:sz w:val="24"/>
                <w:szCs w:val="24"/>
                <w:highlight w:val="none"/>
                <w:lang w:val="zh-CN"/>
              </w:rPr>
              <w:t>地址：成都市龙泉驿区桃都大道吾悦广场写字楼2008室。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973" w:hRule="atLeast"/>
          <w:jc w:val="center"/>
        </w:trPr>
        <w:tc>
          <w:tcPr>
            <w:tcW w:w="802" w:type="dxa"/>
            <w:vAlign w:val="center"/>
          </w:tcPr>
          <w:p>
            <w:pPr>
              <w:spacing w:line="360" w:lineRule="auto"/>
              <w:jc w:val="center"/>
              <w:rPr>
                <w:rFonts w:ascii="宋体" w:hAnsi="宋体" w:cs="仿宋"/>
                <w:color w:val="auto"/>
                <w:sz w:val="24"/>
                <w:szCs w:val="24"/>
                <w:highlight w:val="none"/>
              </w:rPr>
            </w:pPr>
            <w:r>
              <w:rPr>
                <w:rFonts w:hint="eastAsia" w:ascii="宋体" w:hAnsi="宋体" w:cs="仿宋"/>
                <w:color w:val="auto"/>
                <w:sz w:val="24"/>
                <w:szCs w:val="24"/>
                <w:highlight w:val="none"/>
              </w:rPr>
              <w:t>23</w:t>
            </w:r>
          </w:p>
        </w:tc>
        <w:tc>
          <w:tcPr>
            <w:tcW w:w="2448" w:type="dxa"/>
            <w:vAlign w:val="center"/>
          </w:tcPr>
          <w:p>
            <w:pPr>
              <w:pStyle w:val="60"/>
              <w:spacing w:line="360" w:lineRule="auto"/>
              <w:jc w:val="center"/>
              <w:rPr>
                <w:rFonts w:cs="仿宋"/>
                <w:color w:val="auto"/>
                <w:kern w:val="2"/>
                <w:sz w:val="24"/>
                <w:szCs w:val="24"/>
                <w:highlight w:val="none"/>
              </w:rPr>
            </w:pPr>
            <w:r>
              <w:rPr>
                <w:rFonts w:hint="eastAsia" w:cs="仿宋"/>
                <w:color w:val="auto"/>
                <w:kern w:val="2"/>
                <w:sz w:val="24"/>
                <w:szCs w:val="24"/>
                <w:highlight w:val="none"/>
              </w:rPr>
              <w:t>投标人质疑</w:t>
            </w:r>
          </w:p>
        </w:tc>
        <w:tc>
          <w:tcPr>
            <w:tcW w:w="5869" w:type="dxa"/>
            <w:vAlign w:val="center"/>
          </w:tcPr>
          <w:p>
            <w:pPr>
              <w:spacing w:line="360" w:lineRule="auto"/>
              <w:ind w:right="105" w:rightChars="50"/>
              <w:jc w:val="left"/>
              <w:rPr>
                <w:rFonts w:ascii="宋体" w:hAnsi="宋体" w:cs="仿宋"/>
                <w:color w:val="auto"/>
                <w:sz w:val="24"/>
                <w:szCs w:val="24"/>
                <w:highlight w:val="none"/>
              </w:rPr>
            </w:pPr>
            <w:r>
              <w:rPr>
                <w:rFonts w:hint="eastAsia" w:ascii="宋体" w:hAnsi="宋体" w:cs="仿宋"/>
                <w:color w:val="auto"/>
                <w:sz w:val="24"/>
                <w:szCs w:val="24"/>
                <w:highlight w:val="none"/>
              </w:rPr>
              <w:t>根据《中华人民共和国财政部令第94号--政府采购质疑和投诉办法》、委托代理协议约定，投标人质疑由</w:t>
            </w:r>
            <w:r>
              <w:rPr>
                <w:rFonts w:hint="eastAsia" w:ascii="宋体" w:hAnsi="宋体" w:cs="仿宋"/>
                <w:color w:val="auto"/>
                <w:sz w:val="24"/>
                <w:szCs w:val="24"/>
                <w:highlight w:val="none"/>
                <w:lang w:val="zh-CN"/>
              </w:rPr>
              <w:t>采购代理机构负责答复。</w:t>
            </w:r>
            <w:r>
              <w:rPr>
                <w:rFonts w:hint="eastAsia" w:ascii="宋体" w:hAnsi="宋体" w:cs="仿宋"/>
                <w:b/>
                <w:color w:val="auto"/>
                <w:sz w:val="24"/>
                <w:szCs w:val="24"/>
                <w:highlight w:val="none"/>
              </w:rPr>
              <w:t>质疑必须以书面形式提出(可扫描、邮递等方式)，以其他形式提出的质疑均不接受和回复。</w:t>
            </w:r>
          </w:p>
          <w:p>
            <w:pPr>
              <w:spacing w:line="360" w:lineRule="auto"/>
              <w:ind w:right="105" w:rightChars="50"/>
              <w:jc w:val="left"/>
              <w:rPr>
                <w:rFonts w:hint="eastAsia" w:ascii="宋体" w:hAnsi="宋体" w:cs="仿宋"/>
                <w:color w:val="auto"/>
                <w:sz w:val="24"/>
                <w:szCs w:val="24"/>
                <w:highlight w:val="none"/>
                <w:lang w:val="zh-CN"/>
              </w:rPr>
            </w:pPr>
            <w:r>
              <w:rPr>
                <w:rFonts w:hint="eastAsia" w:ascii="宋体" w:hAnsi="宋体" w:cs="仿宋"/>
                <w:color w:val="auto"/>
                <w:sz w:val="24"/>
                <w:szCs w:val="24"/>
                <w:highlight w:val="none"/>
                <w:lang w:val="zh-CN"/>
              </w:rPr>
              <w:t xml:space="preserve">联系人： </w:t>
            </w:r>
            <w:r>
              <w:rPr>
                <w:rFonts w:hint="eastAsia" w:ascii="宋体" w:hAnsi="宋体" w:cs="仿宋"/>
                <w:color w:val="auto"/>
                <w:sz w:val="24"/>
                <w:szCs w:val="24"/>
                <w:highlight w:val="none"/>
                <w:lang w:val="zh-CN" w:eastAsia="zh-CN"/>
              </w:rPr>
              <w:t>叶女士</w:t>
            </w:r>
            <w:r>
              <w:rPr>
                <w:rFonts w:hint="eastAsia" w:ascii="宋体" w:hAnsi="宋体" w:cs="仿宋"/>
                <w:color w:val="auto"/>
                <w:sz w:val="24"/>
                <w:szCs w:val="24"/>
                <w:highlight w:val="none"/>
                <w:lang w:val="zh-CN"/>
              </w:rPr>
              <w:t>。</w:t>
            </w:r>
          </w:p>
          <w:p>
            <w:pPr>
              <w:spacing w:line="360" w:lineRule="auto"/>
              <w:ind w:right="105" w:rightChars="50"/>
              <w:jc w:val="left"/>
              <w:rPr>
                <w:rFonts w:hint="eastAsia" w:ascii="宋体" w:hAnsi="宋体" w:cs="仿宋"/>
                <w:color w:val="auto"/>
                <w:sz w:val="24"/>
                <w:szCs w:val="24"/>
                <w:highlight w:val="none"/>
                <w:lang w:val="zh-CN"/>
              </w:rPr>
            </w:pPr>
            <w:r>
              <w:rPr>
                <w:rFonts w:hint="eastAsia" w:ascii="宋体" w:hAnsi="宋体" w:cs="仿宋"/>
                <w:color w:val="auto"/>
                <w:sz w:val="24"/>
                <w:szCs w:val="24"/>
                <w:highlight w:val="none"/>
                <w:lang w:val="zh-CN"/>
              </w:rPr>
              <w:t>联系电话：028-84834650。</w:t>
            </w:r>
          </w:p>
          <w:p>
            <w:pPr>
              <w:spacing w:line="360" w:lineRule="auto"/>
              <w:ind w:right="105" w:rightChars="50"/>
              <w:jc w:val="left"/>
              <w:rPr>
                <w:rFonts w:hint="eastAsia" w:ascii="宋体" w:hAnsi="宋体" w:cs="仿宋"/>
                <w:color w:val="auto"/>
                <w:sz w:val="24"/>
                <w:szCs w:val="24"/>
                <w:highlight w:val="none"/>
                <w:lang w:val="zh-CN"/>
              </w:rPr>
            </w:pPr>
            <w:r>
              <w:rPr>
                <w:rFonts w:hint="eastAsia" w:ascii="宋体" w:hAnsi="宋体" w:cs="仿宋"/>
                <w:color w:val="auto"/>
                <w:sz w:val="24"/>
                <w:szCs w:val="24"/>
                <w:highlight w:val="none"/>
                <w:lang w:val="zh-CN"/>
              </w:rPr>
              <w:t>地址：成都市龙泉驿区桃都大道吾悦广场写字楼2008室。</w:t>
            </w:r>
          </w:p>
          <w:p>
            <w:pPr>
              <w:spacing w:line="360" w:lineRule="auto"/>
              <w:ind w:right="105" w:rightChars="50"/>
              <w:jc w:val="left"/>
              <w:rPr>
                <w:rFonts w:ascii="宋体" w:hAnsi="宋体" w:cs="仿宋"/>
                <w:color w:val="auto"/>
                <w:sz w:val="24"/>
                <w:szCs w:val="24"/>
                <w:highlight w:val="none"/>
                <w:lang w:val="zh-CN"/>
              </w:rPr>
            </w:pPr>
            <w:r>
              <w:rPr>
                <w:rFonts w:hint="eastAsia" w:ascii="宋体" w:hAnsi="宋体" w:cs="仿宋"/>
                <w:color w:val="auto"/>
                <w:sz w:val="24"/>
                <w:szCs w:val="24"/>
                <w:highlight w:val="none"/>
                <w:lang w:val="zh-CN"/>
              </w:rPr>
              <w:t>注：</w:t>
            </w:r>
          </w:p>
          <w:p>
            <w:pPr>
              <w:spacing w:line="360" w:lineRule="auto"/>
              <w:ind w:right="105" w:rightChars="50"/>
              <w:jc w:val="left"/>
              <w:rPr>
                <w:rFonts w:ascii="宋体" w:hAnsi="宋体" w:cs="仿宋"/>
                <w:color w:val="auto"/>
                <w:sz w:val="24"/>
                <w:szCs w:val="24"/>
                <w:highlight w:val="none"/>
                <w:lang w:val="zh-CN"/>
              </w:rPr>
            </w:pPr>
            <w:r>
              <w:rPr>
                <w:rFonts w:hint="eastAsia" w:ascii="宋体" w:hAnsi="宋体" w:cs="仿宋"/>
                <w:color w:val="auto"/>
                <w:sz w:val="24"/>
                <w:szCs w:val="24"/>
                <w:highlight w:val="none"/>
                <w:lang w:val="zh-CN"/>
              </w:rPr>
              <w:t>1.根据《中华人民共和国政府采购法》</w:t>
            </w:r>
            <w:r>
              <w:rPr>
                <w:rFonts w:hint="eastAsia" w:ascii="宋体" w:hAnsi="宋体" w:cs="仿宋"/>
                <w:color w:val="auto"/>
                <w:sz w:val="24"/>
                <w:szCs w:val="24"/>
                <w:highlight w:val="none"/>
              </w:rPr>
              <w:t>和《中华人民共和国财政部令第94号--政府采购质疑和投诉办法》</w:t>
            </w:r>
            <w:r>
              <w:rPr>
                <w:rFonts w:hint="eastAsia" w:ascii="宋体" w:hAnsi="宋体" w:cs="仿宋"/>
                <w:color w:val="auto"/>
                <w:sz w:val="24"/>
                <w:szCs w:val="24"/>
                <w:highlight w:val="none"/>
                <w:lang w:val="zh-CN"/>
              </w:rPr>
              <w:t>的规定，投标人质疑不得超出采购文件、采购过程、采购结果的范围。</w:t>
            </w:r>
          </w:p>
          <w:p>
            <w:pPr>
              <w:spacing w:line="360" w:lineRule="auto"/>
              <w:ind w:right="105" w:rightChars="50"/>
              <w:jc w:val="left"/>
              <w:rPr>
                <w:rFonts w:ascii="宋体" w:hAnsi="宋体" w:cs="仿宋"/>
                <w:color w:val="auto"/>
                <w:sz w:val="24"/>
                <w:szCs w:val="24"/>
                <w:highlight w:val="none"/>
              </w:rPr>
            </w:pPr>
            <w:r>
              <w:rPr>
                <w:rFonts w:hint="eastAsia" w:ascii="宋体" w:hAnsi="宋体" w:cs="仿宋"/>
                <w:color w:val="auto"/>
                <w:sz w:val="24"/>
                <w:szCs w:val="24"/>
                <w:highlight w:val="none"/>
              </w:rPr>
              <w:t>2.投标人应当在法定质疑期内一次性提出针对同一采购程序环节的质疑。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451" w:hRule="atLeast"/>
          <w:jc w:val="center"/>
        </w:trPr>
        <w:tc>
          <w:tcPr>
            <w:tcW w:w="802" w:type="dxa"/>
            <w:vAlign w:val="center"/>
          </w:tcPr>
          <w:p>
            <w:pPr>
              <w:spacing w:line="360" w:lineRule="auto"/>
              <w:jc w:val="center"/>
              <w:rPr>
                <w:rFonts w:ascii="宋体" w:hAnsi="宋体" w:cs="仿宋"/>
                <w:color w:val="auto"/>
                <w:sz w:val="24"/>
                <w:szCs w:val="24"/>
                <w:highlight w:val="none"/>
              </w:rPr>
            </w:pPr>
            <w:r>
              <w:rPr>
                <w:rFonts w:hint="eastAsia" w:ascii="宋体" w:hAnsi="宋体" w:cs="仿宋"/>
                <w:color w:val="auto"/>
                <w:sz w:val="24"/>
                <w:szCs w:val="24"/>
                <w:highlight w:val="none"/>
              </w:rPr>
              <w:t>24</w:t>
            </w:r>
          </w:p>
        </w:tc>
        <w:tc>
          <w:tcPr>
            <w:tcW w:w="2448" w:type="dxa"/>
            <w:vAlign w:val="center"/>
          </w:tcPr>
          <w:p>
            <w:pPr>
              <w:pStyle w:val="60"/>
              <w:spacing w:line="360" w:lineRule="auto"/>
              <w:jc w:val="center"/>
              <w:rPr>
                <w:rFonts w:cs="仿宋"/>
                <w:color w:val="auto"/>
                <w:kern w:val="2"/>
                <w:sz w:val="24"/>
                <w:szCs w:val="24"/>
                <w:highlight w:val="none"/>
              </w:rPr>
            </w:pPr>
            <w:r>
              <w:rPr>
                <w:rFonts w:hint="eastAsia" w:cs="仿宋"/>
                <w:color w:val="auto"/>
                <w:kern w:val="2"/>
                <w:sz w:val="24"/>
                <w:szCs w:val="24"/>
                <w:highlight w:val="none"/>
              </w:rPr>
              <w:t>投标人投诉</w:t>
            </w:r>
          </w:p>
        </w:tc>
        <w:tc>
          <w:tcPr>
            <w:tcW w:w="5869" w:type="dxa"/>
          </w:tcPr>
          <w:p>
            <w:pPr>
              <w:spacing w:line="360" w:lineRule="auto"/>
              <w:ind w:right="105"/>
              <w:rPr>
                <w:rFonts w:ascii="宋体" w:hAnsi="宋体" w:cs="仿宋"/>
                <w:color w:val="auto"/>
                <w:sz w:val="24"/>
                <w:szCs w:val="24"/>
                <w:highlight w:val="none"/>
              </w:rPr>
            </w:pPr>
            <w:r>
              <w:rPr>
                <w:rFonts w:hint="eastAsia" w:ascii="宋体" w:hAnsi="宋体" w:cs="仿宋"/>
                <w:color w:val="auto"/>
                <w:sz w:val="24"/>
                <w:szCs w:val="24"/>
                <w:highlight w:val="none"/>
              </w:rPr>
              <w:t>投诉受理单位：本采购项目同级财政部门，即</w:t>
            </w:r>
            <w:r>
              <w:rPr>
                <w:rFonts w:hint="eastAsia" w:ascii="宋体" w:hAnsi="宋体" w:cs="仿宋"/>
                <w:color w:val="auto"/>
                <w:sz w:val="24"/>
                <w:szCs w:val="24"/>
                <w:highlight w:val="none"/>
                <w:u w:val="single"/>
              </w:rPr>
              <w:t xml:space="preserve"> 成都市龙泉驿区财政局 </w:t>
            </w:r>
            <w:r>
              <w:rPr>
                <w:rFonts w:hint="eastAsia" w:ascii="宋体" w:hAnsi="宋体" w:cs="仿宋"/>
                <w:color w:val="auto"/>
                <w:sz w:val="24"/>
                <w:szCs w:val="24"/>
                <w:highlight w:val="none"/>
                <w:lang w:val="zh-CN"/>
              </w:rPr>
              <w:t>。</w:t>
            </w:r>
            <w:r>
              <w:rPr>
                <w:rFonts w:hint="eastAsia" w:ascii="宋体" w:hAnsi="宋体" w:cs="仿宋"/>
                <w:color w:val="auto"/>
                <w:sz w:val="24"/>
                <w:szCs w:val="24"/>
                <w:highlight w:val="none"/>
              </w:rPr>
              <w:t xml:space="preserve"> </w:t>
            </w:r>
          </w:p>
          <w:p>
            <w:pPr>
              <w:spacing w:line="360" w:lineRule="auto"/>
              <w:ind w:right="105"/>
              <w:rPr>
                <w:rFonts w:ascii="宋体" w:hAnsi="宋体" w:cs="仿宋"/>
                <w:color w:val="auto"/>
                <w:sz w:val="24"/>
                <w:szCs w:val="24"/>
                <w:highlight w:val="none"/>
              </w:rPr>
            </w:pPr>
            <w:r>
              <w:rPr>
                <w:rFonts w:hint="eastAsia" w:ascii="宋体" w:hAnsi="宋体" w:cs="仿宋"/>
                <w:color w:val="auto"/>
                <w:sz w:val="24"/>
                <w:szCs w:val="24"/>
                <w:highlight w:val="none"/>
              </w:rPr>
              <w:t>电话：：</w:t>
            </w:r>
            <w:r>
              <w:rPr>
                <w:rFonts w:ascii="宋体" w:hAnsi="宋体" w:cs="仿宋"/>
                <w:color w:val="auto"/>
                <w:sz w:val="24"/>
                <w:szCs w:val="24"/>
                <w:highlight w:val="none"/>
              </w:rPr>
              <w:t>028-84636986</w:t>
            </w:r>
            <w:r>
              <w:rPr>
                <w:rFonts w:hint="eastAsia" w:ascii="宋体" w:hAnsi="宋体" w:cs="仿宋"/>
                <w:color w:val="auto"/>
                <w:sz w:val="24"/>
                <w:szCs w:val="24"/>
                <w:highlight w:val="none"/>
              </w:rPr>
              <w:t>。</w:t>
            </w:r>
          </w:p>
          <w:p>
            <w:pPr>
              <w:pStyle w:val="2"/>
              <w:rPr>
                <w:color w:val="auto"/>
                <w:sz w:val="24"/>
                <w:szCs w:val="24"/>
                <w:highlight w:val="none"/>
              </w:rPr>
            </w:pPr>
            <w:r>
              <w:rPr>
                <w:rFonts w:hint="eastAsia"/>
                <w:color w:val="auto"/>
                <w:sz w:val="24"/>
                <w:szCs w:val="24"/>
                <w:highlight w:val="none"/>
              </w:rPr>
              <w:t>联系人：</w:t>
            </w:r>
            <w:r>
              <w:rPr>
                <w:rFonts w:hint="eastAsia"/>
                <w:color w:val="auto"/>
                <w:sz w:val="24"/>
                <w:szCs w:val="24"/>
                <w:highlight w:val="none"/>
                <w:lang w:eastAsia="zh-CN"/>
              </w:rPr>
              <w:t>李</w:t>
            </w:r>
            <w:r>
              <w:rPr>
                <w:rFonts w:hint="eastAsia"/>
                <w:color w:val="auto"/>
                <w:sz w:val="24"/>
                <w:szCs w:val="24"/>
                <w:highlight w:val="none"/>
              </w:rPr>
              <w:t>老师</w:t>
            </w:r>
          </w:p>
          <w:p>
            <w:pPr>
              <w:spacing w:line="360" w:lineRule="auto"/>
              <w:ind w:right="105"/>
              <w:rPr>
                <w:rFonts w:ascii="宋体" w:hAnsi="宋体" w:cs="仿宋"/>
                <w:color w:val="auto"/>
                <w:sz w:val="24"/>
                <w:szCs w:val="24"/>
                <w:highlight w:val="none"/>
              </w:rPr>
            </w:pPr>
            <w:r>
              <w:rPr>
                <w:rFonts w:hint="eastAsia" w:ascii="宋体" w:hAnsi="宋体" w:cs="仿宋"/>
                <w:color w:val="auto"/>
                <w:sz w:val="24"/>
                <w:szCs w:val="24"/>
                <w:highlight w:val="none"/>
                <w:lang w:val="zh-CN"/>
              </w:rPr>
              <w:t>地</w:t>
            </w:r>
            <w:r>
              <w:rPr>
                <w:rFonts w:hint="eastAsia" w:ascii="宋体" w:hAnsi="宋体" w:cs="仿宋"/>
                <w:color w:val="auto"/>
                <w:sz w:val="24"/>
                <w:szCs w:val="24"/>
                <w:highlight w:val="none"/>
              </w:rPr>
              <w:t>址：成都市龙泉驿区中街</w:t>
            </w:r>
            <w:r>
              <w:rPr>
                <w:rFonts w:ascii="宋体" w:hAnsi="宋体" w:cs="仿宋"/>
                <w:color w:val="auto"/>
                <w:sz w:val="24"/>
                <w:szCs w:val="24"/>
                <w:highlight w:val="none"/>
              </w:rPr>
              <w:t xml:space="preserve">117 </w:t>
            </w:r>
            <w:r>
              <w:rPr>
                <w:rFonts w:hint="eastAsia" w:ascii="宋体" w:hAnsi="宋体" w:cs="仿宋"/>
                <w:color w:val="auto"/>
                <w:sz w:val="24"/>
                <w:szCs w:val="24"/>
                <w:highlight w:val="none"/>
              </w:rPr>
              <w:t xml:space="preserve">号六楼。 </w:t>
            </w:r>
          </w:p>
          <w:p>
            <w:pPr>
              <w:spacing w:line="360" w:lineRule="auto"/>
              <w:ind w:right="105"/>
              <w:rPr>
                <w:rFonts w:ascii="宋体" w:hAnsi="宋体" w:cs="仿宋"/>
                <w:color w:val="auto"/>
                <w:sz w:val="24"/>
                <w:szCs w:val="24"/>
                <w:highlight w:val="none"/>
              </w:rPr>
            </w:pPr>
            <w:r>
              <w:rPr>
                <w:rFonts w:hint="eastAsia" w:ascii="宋体" w:hAnsi="宋体" w:cs="仿宋"/>
                <w:color w:val="auto"/>
                <w:sz w:val="24"/>
                <w:szCs w:val="24"/>
                <w:highlight w:val="none"/>
              </w:rPr>
              <w:t>注：根据《中华人民共和国政府采购法实施条例》和《中华人民共和国财政部令第94号--政府采购质疑和投诉办法》的规定，供应商投诉事项不得超出已质疑事项的范围。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15" w:hRule="atLeast"/>
          <w:jc w:val="center"/>
        </w:trPr>
        <w:tc>
          <w:tcPr>
            <w:tcW w:w="802" w:type="dxa"/>
            <w:vAlign w:val="center"/>
          </w:tcPr>
          <w:p>
            <w:pPr>
              <w:spacing w:line="360" w:lineRule="auto"/>
              <w:jc w:val="center"/>
              <w:rPr>
                <w:rFonts w:ascii="宋体" w:hAnsi="宋体" w:cs="仿宋"/>
                <w:color w:val="auto"/>
                <w:sz w:val="24"/>
                <w:szCs w:val="24"/>
                <w:highlight w:val="none"/>
              </w:rPr>
            </w:pPr>
            <w:r>
              <w:rPr>
                <w:rFonts w:hint="eastAsia" w:ascii="宋体" w:hAnsi="宋体" w:cs="仿宋"/>
                <w:color w:val="auto"/>
                <w:sz w:val="24"/>
                <w:szCs w:val="24"/>
                <w:highlight w:val="none"/>
              </w:rPr>
              <w:t>25</w:t>
            </w:r>
          </w:p>
        </w:tc>
        <w:tc>
          <w:tcPr>
            <w:tcW w:w="2448" w:type="dxa"/>
            <w:tcBorders>
              <w:right w:val="single" w:color="auto" w:sz="4" w:space="0"/>
            </w:tcBorders>
            <w:vAlign w:val="center"/>
          </w:tcPr>
          <w:p>
            <w:pPr>
              <w:spacing w:line="360" w:lineRule="auto"/>
              <w:ind w:firstLine="120" w:firstLineChars="50"/>
              <w:jc w:val="center"/>
              <w:rPr>
                <w:rFonts w:ascii="宋体" w:hAnsi="宋体" w:cs="仿宋"/>
                <w:color w:val="auto"/>
                <w:sz w:val="24"/>
                <w:szCs w:val="24"/>
                <w:highlight w:val="none"/>
              </w:rPr>
            </w:pPr>
            <w:r>
              <w:rPr>
                <w:rFonts w:hint="eastAsia" w:ascii="宋体" w:hAnsi="宋体" w:cs="仿宋"/>
                <w:color w:val="auto"/>
                <w:sz w:val="24"/>
                <w:szCs w:val="24"/>
                <w:highlight w:val="none"/>
              </w:rPr>
              <w:t>政府采购合同</w:t>
            </w:r>
          </w:p>
          <w:p>
            <w:pPr>
              <w:spacing w:line="360" w:lineRule="auto"/>
              <w:ind w:firstLine="120" w:firstLineChars="50"/>
              <w:jc w:val="center"/>
              <w:rPr>
                <w:rFonts w:ascii="宋体" w:hAnsi="宋体" w:cs="仿宋"/>
                <w:color w:val="auto"/>
                <w:sz w:val="24"/>
                <w:szCs w:val="24"/>
                <w:highlight w:val="none"/>
              </w:rPr>
            </w:pPr>
            <w:r>
              <w:rPr>
                <w:rFonts w:hint="eastAsia" w:ascii="宋体" w:hAnsi="宋体" w:cs="仿宋"/>
                <w:color w:val="auto"/>
                <w:sz w:val="24"/>
                <w:szCs w:val="24"/>
                <w:highlight w:val="none"/>
              </w:rPr>
              <w:t>公告备案</w:t>
            </w:r>
          </w:p>
        </w:tc>
        <w:tc>
          <w:tcPr>
            <w:tcW w:w="5869" w:type="dxa"/>
            <w:tcBorders>
              <w:left w:val="single" w:color="auto" w:sz="4" w:space="0"/>
            </w:tcBorders>
          </w:tcPr>
          <w:p>
            <w:pPr>
              <w:spacing w:line="360" w:lineRule="auto"/>
              <w:rPr>
                <w:rFonts w:ascii="宋体" w:hAnsi="宋体" w:cs="仿宋"/>
                <w:color w:val="auto"/>
                <w:sz w:val="24"/>
                <w:szCs w:val="24"/>
                <w:highlight w:val="none"/>
              </w:rPr>
            </w:pPr>
            <w:r>
              <w:rPr>
                <w:rFonts w:hint="eastAsia" w:ascii="宋体" w:hAnsi="宋体" w:cs="仿宋"/>
                <w:color w:val="auto"/>
                <w:sz w:val="24"/>
                <w:szCs w:val="24"/>
                <w:highlight w:val="none"/>
              </w:rPr>
              <w:t>政府采购合同签订之日起2个工作日内，采购人应将政府采购合同在四川政府采购网公告；政府采购合同签订之日起7个工作日内，政府采购合同将向本采购项目同级财政部门备案</w:t>
            </w:r>
            <w:r>
              <w:rPr>
                <w:rFonts w:hint="eastAsia" w:ascii="宋体" w:hAnsi="宋体" w:cs="仿宋"/>
                <w:color w:val="auto"/>
                <w:sz w:val="24"/>
                <w:szCs w:val="24"/>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28" w:hRule="atLeast"/>
          <w:jc w:val="center"/>
        </w:trPr>
        <w:tc>
          <w:tcPr>
            <w:tcW w:w="802" w:type="dxa"/>
            <w:vAlign w:val="center"/>
          </w:tcPr>
          <w:p>
            <w:pPr>
              <w:spacing w:line="360" w:lineRule="auto"/>
              <w:jc w:val="center"/>
              <w:rPr>
                <w:rFonts w:ascii="宋体" w:hAnsi="宋体" w:cs="仿宋"/>
                <w:color w:val="auto"/>
                <w:sz w:val="24"/>
                <w:szCs w:val="24"/>
                <w:highlight w:val="none"/>
              </w:rPr>
            </w:pPr>
            <w:r>
              <w:rPr>
                <w:rFonts w:hint="eastAsia" w:ascii="宋体" w:hAnsi="宋体" w:cs="仿宋"/>
                <w:color w:val="auto"/>
                <w:sz w:val="24"/>
                <w:szCs w:val="24"/>
                <w:highlight w:val="none"/>
              </w:rPr>
              <w:t>26</w:t>
            </w:r>
          </w:p>
        </w:tc>
        <w:tc>
          <w:tcPr>
            <w:tcW w:w="2448" w:type="dxa"/>
            <w:tcBorders>
              <w:right w:val="single" w:color="auto" w:sz="4" w:space="0"/>
            </w:tcBorders>
            <w:vAlign w:val="center"/>
          </w:tcPr>
          <w:p>
            <w:pPr>
              <w:pStyle w:val="60"/>
              <w:spacing w:line="360" w:lineRule="auto"/>
              <w:ind w:left="96"/>
              <w:jc w:val="center"/>
              <w:rPr>
                <w:rFonts w:cs="仿宋"/>
                <w:color w:val="auto"/>
                <w:sz w:val="24"/>
                <w:szCs w:val="24"/>
                <w:highlight w:val="none"/>
              </w:rPr>
            </w:pPr>
            <w:r>
              <w:rPr>
                <w:rFonts w:hint="eastAsia" w:cs="仿宋"/>
                <w:color w:val="auto"/>
                <w:sz w:val="24"/>
                <w:szCs w:val="24"/>
                <w:highlight w:val="none"/>
                <w:lang w:val="zh-CN"/>
              </w:rPr>
              <w:t>招标代理服务费</w:t>
            </w:r>
          </w:p>
        </w:tc>
        <w:tc>
          <w:tcPr>
            <w:tcW w:w="5869" w:type="dxa"/>
            <w:tcBorders>
              <w:left w:val="single" w:color="auto" w:sz="4" w:space="0"/>
            </w:tcBorders>
            <w:vAlign w:val="center"/>
          </w:tcPr>
          <w:p>
            <w:pPr>
              <w:pStyle w:val="60"/>
              <w:spacing w:line="360" w:lineRule="auto"/>
              <w:rPr>
                <w:rFonts w:cs="仿宋"/>
                <w:color w:val="auto"/>
                <w:sz w:val="24"/>
                <w:szCs w:val="24"/>
                <w:highlight w:val="none"/>
                <w:lang w:val="zh-CN"/>
              </w:rPr>
            </w:pPr>
            <w:r>
              <w:rPr>
                <w:rFonts w:hint="eastAsia" w:cs="仿宋"/>
                <w:color w:val="auto"/>
                <w:sz w:val="24"/>
                <w:szCs w:val="24"/>
                <w:highlight w:val="none"/>
                <w:lang w:val="zh-CN"/>
              </w:rPr>
              <w:t xml:space="preserve"> 参照《国家计委关于印发〈招标代理服务费收费标准管理暂行办法〉的通知》（计价格[2002]1980号）标准收取，由中标（成交）供应商领取中标（成交）通知书前一次性付清。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24" w:hRule="atLeast"/>
          <w:jc w:val="center"/>
        </w:trPr>
        <w:tc>
          <w:tcPr>
            <w:tcW w:w="802" w:type="dxa"/>
            <w:vAlign w:val="center"/>
          </w:tcPr>
          <w:p>
            <w:pPr>
              <w:spacing w:line="360" w:lineRule="auto"/>
              <w:jc w:val="center"/>
              <w:rPr>
                <w:rFonts w:hint="default" w:ascii="宋体" w:hAnsi="宋体" w:eastAsia="宋体" w:cs="仿宋"/>
                <w:color w:val="auto"/>
                <w:sz w:val="24"/>
                <w:szCs w:val="24"/>
                <w:highlight w:val="none"/>
                <w:lang w:val="en-US" w:eastAsia="zh-CN"/>
              </w:rPr>
            </w:pPr>
            <w:r>
              <w:rPr>
                <w:rFonts w:hint="eastAsia" w:ascii="宋体" w:hAnsi="宋体" w:cs="仿宋"/>
                <w:color w:val="auto"/>
                <w:sz w:val="24"/>
                <w:szCs w:val="24"/>
                <w:highlight w:val="none"/>
                <w:lang w:val="en-US" w:eastAsia="zh-CN"/>
              </w:rPr>
              <w:t>27</w:t>
            </w:r>
          </w:p>
        </w:tc>
        <w:tc>
          <w:tcPr>
            <w:tcW w:w="2448" w:type="dxa"/>
            <w:tcBorders>
              <w:right w:val="single" w:color="auto" w:sz="4" w:space="0"/>
            </w:tcBorders>
            <w:vAlign w:val="center"/>
          </w:tcPr>
          <w:p>
            <w:pPr>
              <w:spacing w:line="360" w:lineRule="auto"/>
              <w:jc w:val="center"/>
              <w:rPr>
                <w:rFonts w:ascii="宋体" w:hAnsi="宋体" w:cs="仿宋"/>
                <w:color w:val="auto"/>
                <w:sz w:val="24"/>
                <w:szCs w:val="24"/>
                <w:highlight w:val="none"/>
              </w:rPr>
            </w:pPr>
            <w:r>
              <w:rPr>
                <w:rFonts w:hint="eastAsia" w:ascii="宋体" w:hAnsi="宋体" w:cs="仿宋"/>
                <w:color w:val="auto"/>
                <w:sz w:val="24"/>
                <w:szCs w:val="24"/>
                <w:highlight w:val="none"/>
              </w:rPr>
              <w:t>其他要求</w:t>
            </w:r>
          </w:p>
        </w:tc>
        <w:tc>
          <w:tcPr>
            <w:tcW w:w="5869" w:type="dxa"/>
            <w:tcBorders>
              <w:left w:val="single" w:color="auto" w:sz="4" w:space="0"/>
            </w:tcBorders>
            <w:vAlign w:val="center"/>
          </w:tcPr>
          <w:p>
            <w:pPr>
              <w:spacing w:line="360" w:lineRule="auto"/>
              <w:rPr>
                <w:rFonts w:ascii="宋体" w:hAnsi="宋体" w:cs="仿宋"/>
                <w:color w:val="auto"/>
                <w:sz w:val="24"/>
                <w:szCs w:val="24"/>
                <w:highlight w:val="none"/>
              </w:rPr>
            </w:pPr>
            <w:r>
              <w:rPr>
                <w:rFonts w:hint="eastAsia" w:ascii="宋体" w:hAnsi="宋体" w:cs="仿宋"/>
                <w:color w:val="auto"/>
                <w:sz w:val="24"/>
                <w:szCs w:val="24"/>
                <w:highlight w:val="none"/>
              </w:rPr>
              <w:t>中标人在合同签订之后三个工作日内，将签订的合同（一份原件）送采购代理机构。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451" w:hRule="atLeast"/>
          <w:jc w:val="center"/>
        </w:trPr>
        <w:tc>
          <w:tcPr>
            <w:tcW w:w="802" w:type="dxa"/>
            <w:vAlign w:val="center"/>
          </w:tcPr>
          <w:p>
            <w:pPr>
              <w:pStyle w:val="60"/>
              <w:spacing w:line="360" w:lineRule="auto"/>
              <w:ind w:left="9"/>
              <w:jc w:val="center"/>
              <w:rPr>
                <w:rFonts w:hint="default" w:eastAsia="宋体" w:cs="仿宋"/>
                <w:color w:val="auto"/>
                <w:sz w:val="24"/>
                <w:szCs w:val="24"/>
                <w:highlight w:val="none"/>
                <w:lang w:val="en-US" w:eastAsia="zh-CN"/>
              </w:rPr>
            </w:pPr>
            <w:r>
              <w:rPr>
                <w:rFonts w:hint="eastAsia" w:cs="仿宋"/>
                <w:color w:val="auto"/>
                <w:sz w:val="24"/>
                <w:szCs w:val="24"/>
                <w:highlight w:val="none"/>
                <w:lang w:val="en-US" w:eastAsia="zh-CN"/>
              </w:rPr>
              <w:t>28</w:t>
            </w:r>
          </w:p>
        </w:tc>
        <w:tc>
          <w:tcPr>
            <w:tcW w:w="2448" w:type="dxa"/>
            <w:tcBorders>
              <w:right w:val="single" w:color="auto" w:sz="4" w:space="0"/>
            </w:tcBorders>
            <w:vAlign w:val="center"/>
          </w:tcPr>
          <w:p>
            <w:pPr>
              <w:spacing w:line="360" w:lineRule="auto"/>
              <w:jc w:val="center"/>
              <w:rPr>
                <w:rFonts w:hint="eastAsia" w:ascii="宋体" w:hAnsi="宋体" w:eastAsia="宋体" w:cs="仿宋"/>
                <w:color w:val="auto"/>
                <w:sz w:val="24"/>
                <w:szCs w:val="24"/>
                <w:highlight w:val="none"/>
                <w:lang w:eastAsia="zh-CN"/>
              </w:rPr>
            </w:pPr>
            <w:r>
              <w:rPr>
                <w:rFonts w:hint="eastAsia" w:ascii="宋体" w:hAnsi="宋体" w:cs="仿宋"/>
                <w:color w:val="auto"/>
                <w:sz w:val="24"/>
                <w:szCs w:val="24"/>
                <w:highlight w:val="none"/>
                <w:lang w:eastAsia="zh-CN"/>
              </w:rPr>
              <w:t>信用融资政策</w:t>
            </w:r>
          </w:p>
        </w:tc>
        <w:tc>
          <w:tcPr>
            <w:tcW w:w="5869" w:type="dxa"/>
            <w:tcBorders>
              <w:left w:val="single" w:color="auto" w:sz="4" w:space="0"/>
            </w:tcBorders>
            <w:vAlign w:val="center"/>
          </w:tcPr>
          <w:p>
            <w:pPr>
              <w:pStyle w:val="2"/>
              <w:rPr>
                <w:rFonts w:ascii="宋体" w:hAnsi="宋体" w:cs="仿宋"/>
                <w:color w:val="auto"/>
                <w:sz w:val="24"/>
                <w:szCs w:val="24"/>
                <w:highlight w:val="none"/>
              </w:rPr>
            </w:pPr>
            <w:r>
              <w:rPr>
                <w:rFonts w:hint="eastAsia" w:ascii="宋体" w:hAnsi="宋体" w:cs="仿宋"/>
                <w:color w:val="auto"/>
                <w:sz w:val="24"/>
                <w:szCs w:val="24"/>
                <w:highlight w:val="none"/>
                <w:lang w:val="zh-CN"/>
              </w:rPr>
              <w:t>参加本次招标活动中标的中小企业无需提供财产抵押或第三方担保，凭借政府采购合同可向融资机构申请融资。具体内容详见《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详见附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81" w:hRule="atLeast"/>
          <w:jc w:val="center"/>
        </w:trPr>
        <w:tc>
          <w:tcPr>
            <w:tcW w:w="802" w:type="dxa"/>
            <w:vAlign w:val="center"/>
          </w:tcPr>
          <w:p>
            <w:pPr>
              <w:pStyle w:val="60"/>
              <w:spacing w:line="360" w:lineRule="auto"/>
              <w:ind w:left="9"/>
              <w:jc w:val="center"/>
              <w:rPr>
                <w:rFonts w:hint="default" w:cs="仿宋"/>
                <w:color w:val="auto"/>
                <w:sz w:val="24"/>
                <w:szCs w:val="24"/>
                <w:highlight w:val="none"/>
                <w:lang w:val="en-US" w:eastAsia="zh-CN"/>
              </w:rPr>
            </w:pPr>
            <w:r>
              <w:rPr>
                <w:rFonts w:hint="eastAsia" w:cs="仿宋"/>
                <w:color w:val="auto"/>
                <w:sz w:val="24"/>
                <w:szCs w:val="24"/>
                <w:highlight w:val="none"/>
                <w:lang w:val="en-US" w:eastAsia="zh-CN"/>
              </w:rPr>
              <w:t>29</w:t>
            </w:r>
          </w:p>
        </w:tc>
        <w:tc>
          <w:tcPr>
            <w:tcW w:w="2448" w:type="dxa"/>
            <w:tcBorders>
              <w:right w:val="single" w:color="auto" w:sz="4" w:space="0"/>
            </w:tcBorders>
            <w:vAlign w:val="center"/>
          </w:tcPr>
          <w:p>
            <w:pPr>
              <w:spacing w:line="360" w:lineRule="auto"/>
              <w:jc w:val="center"/>
              <w:rPr>
                <w:rFonts w:hint="eastAsia" w:ascii="宋体" w:hAnsi="宋体" w:cs="仿宋"/>
                <w:color w:val="auto"/>
                <w:sz w:val="24"/>
                <w:szCs w:val="24"/>
                <w:highlight w:val="none"/>
                <w:lang w:eastAsia="zh-CN"/>
              </w:rPr>
            </w:pPr>
            <w:r>
              <w:rPr>
                <w:rFonts w:hint="eastAsia" w:ascii="宋体" w:hAnsi="宋体" w:cs="仿宋"/>
                <w:color w:val="auto"/>
                <w:sz w:val="24"/>
                <w:szCs w:val="24"/>
                <w:highlight w:val="none"/>
                <w:lang w:eastAsia="zh-CN"/>
              </w:rPr>
              <w:t>核心产品</w:t>
            </w:r>
          </w:p>
        </w:tc>
        <w:tc>
          <w:tcPr>
            <w:tcW w:w="5869" w:type="dxa"/>
            <w:tcBorders>
              <w:left w:val="single" w:color="auto" w:sz="4" w:space="0"/>
            </w:tcBorders>
            <w:vAlign w:val="center"/>
          </w:tcPr>
          <w:p>
            <w:pPr>
              <w:pStyle w:val="2"/>
              <w:rPr>
                <w:rFonts w:hint="eastAsia" w:ascii="宋体" w:hAnsi="宋体" w:cs="仿宋"/>
                <w:color w:val="auto"/>
                <w:sz w:val="24"/>
                <w:szCs w:val="24"/>
                <w:highlight w:val="none"/>
                <w:lang w:val="zh-CN"/>
              </w:rPr>
            </w:pPr>
            <w:r>
              <w:rPr>
                <w:rFonts w:hint="eastAsia" w:ascii="宋体" w:hAnsi="宋体" w:cs="仿宋"/>
                <w:color w:val="auto"/>
                <w:sz w:val="24"/>
                <w:szCs w:val="24"/>
                <w:highlight w:val="none"/>
                <w:lang w:val="zh-CN"/>
              </w:rPr>
              <w:t xml:space="preserve">   1包：VV22  0.6/1KV  5*25mm² 铜芯电力电缆</w:t>
            </w:r>
          </w:p>
          <w:p>
            <w:pPr>
              <w:pStyle w:val="2"/>
              <w:rPr>
                <w:rFonts w:hint="eastAsia" w:ascii="宋体" w:hAnsi="宋体" w:cs="仿宋"/>
                <w:color w:val="auto"/>
                <w:sz w:val="24"/>
                <w:szCs w:val="24"/>
                <w:highlight w:val="none"/>
                <w:lang w:val="zh-CN"/>
              </w:rPr>
            </w:pPr>
            <w:r>
              <w:rPr>
                <w:rFonts w:hint="eastAsia" w:ascii="宋体" w:hAnsi="宋体" w:cs="仿宋"/>
                <w:color w:val="auto"/>
                <w:sz w:val="24"/>
                <w:szCs w:val="24"/>
                <w:highlight w:val="none"/>
                <w:lang w:val="zh-CN"/>
              </w:rPr>
              <w:t xml:space="preserve">   2包：250w高压钠灯镇流器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58" w:hRule="atLeast"/>
          <w:jc w:val="center"/>
        </w:trPr>
        <w:tc>
          <w:tcPr>
            <w:tcW w:w="802" w:type="dxa"/>
            <w:vAlign w:val="center"/>
          </w:tcPr>
          <w:p>
            <w:pPr>
              <w:pStyle w:val="60"/>
              <w:spacing w:line="360" w:lineRule="auto"/>
              <w:ind w:left="9"/>
              <w:jc w:val="center"/>
              <w:rPr>
                <w:rFonts w:hint="default" w:cs="仿宋"/>
                <w:color w:val="auto"/>
                <w:sz w:val="24"/>
                <w:szCs w:val="24"/>
                <w:highlight w:val="none"/>
                <w:lang w:val="en-US" w:eastAsia="zh-CN"/>
              </w:rPr>
            </w:pPr>
            <w:r>
              <w:rPr>
                <w:rFonts w:hint="eastAsia" w:cs="仿宋"/>
                <w:color w:val="auto"/>
                <w:sz w:val="24"/>
                <w:szCs w:val="24"/>
                <w:highlight w:val="none"/>
                <w:lang w:val="en-US" w:eastAsia="zh-CN"/>
              </w:rPr>
              <w:t>30</w:t>
            </w:r>
          </w:p>
        </w:tc>
        <w:tc>
          <w:tcPr>
            <w:tcW w:w="2448" w:type="dxa"/>
            <w:tcBorders>
              <w:right w:val="single" w:color="auto" w:sz="4" w:space="0"/>
            </w:tcBorders>
            <w:vAlign w:val="center"/>
          </w:tcPr>
          <w:p>
            <w:pPr>
              <w:spacing w:line="360" w:lineRule="auto"/>
              <w:jc w:val="center"/>
              <w:rPr>
                <w:rFonts w:hint="eastAsia" w:ascii="宋体" w:hAnsi="宋体" w:cs="仿宋"/>
                <w:color w:val="auto"/>
                <w:sz w:val="24"/>
                <w:szCs w:val="24"/>
                <w:highlight w:val="none"/>
                <w:lang w:eastAsia="zh-CN"/>
              </w:rPr>
            </w:pPr>
            <w:r>
              <w:rPr>
                <w:rFonts w:hint="eastAsia" w:ascii="宋体" w:hAnsi="宋体" w:cs="仿宋"/>
                <w:color w:val="auto"/>
                <w:sz w:val="24"/>
                <w:szCs w:val="24"/>
                <w:highlight w:val="none"/>
                <w:lang w:eastAsia="zh-CN"/>
              </w:rPr>
              <w:t>备注</w:t>
            </w:r>
          </w:p>
        </w:tc>
        <w:tc>
          <w:tcPr>
            <w:tcW w:w="5869" w:type="dxa"/>
            <w:tcBorders>
              <w:left w:val="single" w:color="auto" w:sz="4" w:space="0"/>
            </w:tcBorders>
            <w:vAlign w:val="center"/>
          </w:tcPr>
          <w:p>
            <w:pPr>
              <w:pStyle w:val="2"/>
              <w:rPr>
                <w:rFonts w:hint="eastAsia" w:ascii="宋体" w:hAnsi="宋体" w:eastAsia="宋体" w:cs="仿宋"/>
                <w:color w:val="auto"/>
                <w:sz w:val="24"/>
                <w:szCs w:val="24"/>
                <w:highlight w:val="none"/>
                <w:shd w:val="clear" w:color="auto" w:fill="FFFFFF"/>
                <w:lang w:eastAsia="zh-CN"/>
              </w:rPr>
            </w:pPr>
            <w:r>
              <w:rPr>
                <w:rFonts w:hint="eastAsia" w:ascii="宋体" w:hAnsi="宋体" w:eastAsia="宋体" w:cs="仿宋"/>
                <w:color w:val="auto"/>
                <w:sz w:val="24"/>
                <w:szCs w:val="24"/>
                <w:highlight w:val="none"/>
                <w:shd w:val="clear" w:color="auto" w:fill="FFFFFF"/>
              </w:rPr>
              <w:t>若</w:t>
            </w:r>
            <w:r>
              <w:rPr>
                <w:rFonts w:hint="eastAsia" w:ascii="宋体" w:hAnsi="宋体" w:eastAsia="宋体" w:cs="仿宋"/>
                <w:color w:val="auto"/>
                <w:sz w:val="24"/>
                <w:szCs w:val="24"/>
                <w:highlight w:val="none"/>
                <w:shd w:val="clear" w:color="auto" w:fill="FFFFFF"/>
                <w:lang w:eastAsia="zh-CN"/>
              </w:rPr>
              <w:t>招标</w:t>
            </w:r>
            <w:r>
              <w:rPr>
                <w:rFonts w:hint="eastAsia" w:ascii="宋体" w:hAnsi="宋体" w:eastAsia="宋体" w:cs="仿宋"/>
                <w:color w:val="auto"/>
                <w:sz w:val="24"/>
                <w:szCs w:val="24"/>
                <w:highlight w:val="none"/>
                <w:shd w:val="clear" w:color="auto" w:fill="FFFFFF"/>
              </w:rPr>
              <w:t>文件中其他内容与须知附表内容不一致的，以须知附表为准。</w:t>
            </w:r>
          </w:p>
        </w:tc>
      </w:tr>
    </w:tbl>
    <w:p>
      <w:pPr>
        <w:rPr>
          <w:rFonts w:ascii="宋体" w:hAnsi="宋体" w:cs="仿宋"/>
          <w:color w:val="auto"/>
          <w:highlight w:val="none"/>
        </w:rPr>
      </w:pPr>
    </w:p>
    <w:p>
      <w:pPr>
        <w:rPr>
          <w:rFonts w:ascii="宋体" w:hAnsi="宋体" w:cs="仿宋"/>
          <w:color w:val="auto"/>
          <w:highlight w:val="none"/>
        </w:rPr>
      </w:pPr>
      <w:r>
        <w:rPr>
          <w:rFonts w:hint="eastAsia" w:ascii="宋体" w:hAnsi="宋体" w:cs="仿宋"/>
          <w:color w:val="auto"/>
          <w:highlight w:val="none"/>
        </w:rPr>
        <w:br w:type="page"/>
      </w:r>
    </w:p>
    <w:p>
      <w:pPr>
        <w:pStyle w:val="4"/>
        <w:spacing w:line="400" w:lineRule="exact"/>
        <w:jc w:val="center"/>
        <w:rPr>
          <w:rFonts w:ascii="宋体" w:hAnsi="宋体" w:eastAsia="宋体" w:cs="仿宋"/>
          <w:bCs w:val="0"/>
          <w:color w:val="auto"/>
          <w:highlight w:val="none"/>
        </w:rPr>
      </w:pPr>
      <w:r>
        <w:rPr>
          <w:rFonts w:hint="eastAsia" w:ascii="宋体" w:hAnsi="宋体" w:eastAsia="宋体" w:cs="仿宋"/>
          <w:bCs w:val="0"/>
          <w:color w:val="auto"/>
          <w:highlight w:val="none"/>
        </w:rPr>
        <w:t>二、总  则</w:t>
      </w:r>
    </w:p>
    <w:p>
      <w:pPr>
        <w:pStyle w:val="5"/>
        <w:spacing w:before="0" w:after="0" w:line="400" w:lineRule="exact"/>
        <w:ind w:firstLine="482" w:firstLineChars="200"/>
        <w:rPr>
          <w:rFonts w:ascii="宋体" w:hAnsi="宋体" w:cs="仿宋"/>
          <w:color w:val="auto"/>
          <w:sz w:val="24"/>
          <w:szCs w:val="24"/>
          <w:highlight w:val="none"/>
        </w:rPr>
      </w:pPr>
      <w:bookmarkStart w:id="19" w:name="_Toc183682342"/>
      <w:bookmarkStart w:id="20" w:name="_Toc183582205"/>
      <w:bookmarkStart w:id="21" w:name="_Toc217446034"/>
      <w:r>
        <w:rPr>
          <w:rFonts w:hint="eastAsia" w:ascii="宋体" w:hAnsi="宋体" w:cs="仿宋"/>
          <w:color w:val="auto"/>
          <w:sz w:val="24"/>
          <w:szCs w:val="24"/>
          <w:highlight w:val="none"/>
        </w:rPr>
        <w:t>1.</w:t>
      </w:r>
      <w:bookmarkEnd w:id="19"/>
      <w:bookmarkEnd w:id="20"/>
      <w:r>
        <w:rPr>
          <w:rFonts w:hint="eastAsia" w:ascii="宋体" w:hAnsi="宋体" w:cs="仿宋"/>
          <w:color w:val="auto"/>
          <w:sz w:val="24"/>
          <w:szCs w:val="24"/>
          <w:highlight w:val="none"/>
        </w:rPr>
        <w:t xml:space="preserve"> 适用范围</w:t>
      </w:r>
      <w:bookmarkEnd w:id="21"/>
    </w:p>
    <w:p>
      <w:pPr>
        <w:tabs>
          <w:tab w:val="left" w:pos="7665"/>
        </w:tabs>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1.1 本招标文件仅适用于本次招标采购项目。</w:t>
      </w:r>
    </w:p>
    <w:p>
      <w:pPr>
        <w:pStyle w:val="5"/>
        <w:spacing w:before="0" w:after="0" w:line="400" w:lineRule="exact"/>
        <w:ind w:firstLine="482" w:firstLineChars="200"/>
        <w:rPr>
          <w:rFonts w:ascii="宋体" w:hAnsi="宋体" w:cs="仿宋"/>
          <w:color w:val="auto"/>
          <w:sz w:val="24"/>
          <w:highlight w:val="none"/>
        </w:rPr>
      </w:pPr>
      <w:bookmarkStart w:id="22" w:name="_Toc183682343"/>
      <w:bookmarkStart w:id="23" w:name="_Toc183582206"/>
      <w:bookmarkStart w:id="24" w:name="_Toc217446035"/>
      <w:r>
        <w:rPr>
          <w:rFonts w:hint="eastAsia" w:ascii="宋体" w:hAnsi="宋体" w:cs="仿宋"/>
          <w:color w:val="auto"/>
          <w:sz w:val="24"/>
          <w:highlight w:val="none"/>
        </w:rPr>
        <w:t xml:space="preserve">2. </w:t>
      </w:r>
      <w:bookmarkEnd w:id="22"/>
      <w:bookmarkEnd w:id="23"/>
      <w:r>
        <w:rPr>
          <w:rFonts w:hint="eastAsia" w:ascii="宋体" w:hAnsi="宋体" w:cs="仿宋"/>
          <w:color w:val="auto"/>
          <w:sz w:val="24"/>
          <w:highlight w:val="none"/>
        </w:rPr>
        <w:t>有关</w:t>
      </w:r>
      <w:r>
        <w:rPr>
          <w:rFonts w:hint="eastAsia" w:ascii="宋体" w:hAnsi="宋体" w:cs="仿宋"/>
          <w:color w:val="auto"/>
          <w:sz w:val="24"/>
          <w:szCs w:val="24"/>
          <w:highlight w:val="none"/>
        </w:rPr>
        <w:t>定义</w:t>
      </w:r>
      <w:bookmarkEnd w:id="24"/>
    </w:p>
    <w:p>
      <w:pPr>
        <w:tabs>
          <w:tab w:val="left" w:pos="7665"/>
        </w:tabs>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2.1 “采购人”系指依法进行政府采购的国家机关、事业单位、团体组织。本次招标的采购人是</w:t>
      </w:r>
      <w:bookmarkStart w:id="25" w:name="_Hlk534969043"/>
      <w:r>
        <w:rPr>
          <w:rFonts w:hint="eastAsia" w:ascii="宋体" w:hAnsi="宋体" w:cs="仿宋"/>
          <w:color w:val="auto"/>
          <w:sz w:val="24"/>
          <w:highlight w:val="none"/>
          <w:u w:val="single"/>
        </w:rPr>
        <w:t xml:space="preserve"> </w:t>
      </w:r>
      <w:r>
        <w:rPr>
          <w:rFonts w:hint="eastAsia" w:ascii="宋体" w:hAnsi="宋体" w:cs="仿宋"/>
          <w:b/>
          <w:bCs/>
          <w:color w:val="auto"/>
          <w:sz w:val="24"/>
          <w:highlight w:val="none"/>
          <w:u w:val="single"/>
          <w:lang w:eastAsia="zh-CN"/>
        </w:rPr>
        <w:t>成都市龙泉驿区市政设施管理服务中心</w:t>
      </w:r>
      <w:r>
        <w:rPr>
          <w:rFonts w:hint="eastAsia" w:ascii="宋体" w:hAnsi="宋体" w:cs="仿宋"/>
          <w:b/>
          <w:bCs/>
          <w:color w:val="auto"/>
          <w:sz w:val="24"/>
          <w:highlight w:val="none"/>
          <w:u w:val="single"/>
        </w:rPr>
        <w:t xml:space="preserve"> </w:t>
      </w:r>
      <w:bookmarkEnd w:id="25"/>
      <w:r>
        <w:rPr>
          <w:rFonts w:hint="eastAsia" w:ascii="宋体" w:hAnsi="宋体" w:cs="仿宋"/>
          <w:color w:val="auto"/>
          <w:sz w:val="24"/>
          <w:highlight w:val="none"/>
        </w:rPr>
        <w:t>。</w:t>
      </w:r>
    </w:p>
    <w:p>
      <w:pPr>
        <w:tabs>
          <w:tab w:val="left" w:pos="7665"/>
        </w:tabs>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2.2 “采购代理机构” 系指根据采购人的委托依法办理招标事宜的采购机构。本次招标的采购代理机构是</w:t>
      </w:r>
      <w:r>
        <w:rPr>
          <w:rFonts w:hint="eastAsia" w:ascii="宋体" w:hAnsi="宋体" w:cs="仿宋"/>
          <w:b/>
          <w:bCs/>
          <w:color w:val="auto"/>
          <w:sz w:val="24"/>
          <w:highlight w:val="none"/>
          <w:u w:val="single"/>
          <w:lang w:eastAsia="zh-CN"/>
        </w:rPr>
        <w:t>成都云辉工程项目管理有限公司</w:t>
      </w:r>
      <w:r>
        <w:rPr>
          <w:rFonts w:hint="eastAsia" w:ascii="宋体" w:hAnsi="宋体" w:cs="仿宋"/>
          <w:color w:val="auto"/>
          <w:sz w:val="24"/>
          <w:highlight w:val="none"/>
        </w:rPr>
        <w:t>。</w:t>
      </w:r>
    </w:p>
    <w:p>
      <w:pPr>
        <w:tabs>
          <w:tab w:val="left" w:pos="7665"/>
        </w:tabs>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2.3 “招标采购单位”系指“采购人”和“采购代理机构”的统称。</w:t>
      </w:r>
    </w:p>
    <w:p>
      <w:pPr>
        <w:tabs>
          <w:tab w:val="left" w:pos="7665"/>
        </w:tabs>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2.4 “投标人”系指购买了招标文件拟参加投标和向采购人提供货物及相应服务的投标人。</w:t>
      </w:r>
    </w:p>
    <w:p>
      <w:pPr>
        <w:pStyle w:val="5"/>
        <w:spacing w:before="0" w:after="0" w:line="400" w:lineRule="exact"/>
        <w:ind w:firstLine="482" w:firstLineChars="200"/>
        <w:rPr>
          <w:rFonts w:ascii="宋体" w:hAnsi="宋体" w:cs="仿宋"/>
          <w:color w:val="auto"/>
          <w:sz w:val="24"/>
          <w:highlight w:val="none"/>
        </w:rPr>
      </w:pPr>
      <w:bookmarkStart w:id="26" w:name="_Toc217446036"/>
      <w:bookmarkStart w:id="27" w:name="_Toc183682344"/>
      <w:bookmarkStart w:id="28" w:name="_Toc183582207"/>
      <w:bookmarkStart w:id="29" w:name="_Toc217390843"/>
      <w:r>
        <w:rPr>
          <w:rFonts w:hint="eastAsia" w:ascii="宋体" w:hAnsi="宋体" w:cs="仿宋"/>
          <w:color w:val="auto"/>
          <w:sz w:val="24"/>
          <w:highlight w:val="none"/>
        </w:rPr>
        <w:t>3. 合格的投标人</w:t>
      </w:r>
      <w:bookmarkEnd w:id="26"/>
      <w:bookmarkEnd w:id="27"/>
      <w:bookmarkEnd w:id="28"/>
      <w:bookmarkEnd w:id="29"/>
      <w:r>
        <w:rPr>
          <w:rFonts w:hint="eastAsia" w:ascii="宋体" w:hAnsi="宋体" w:cs="仿宋"/>
          <w:color w:val="auto"/>
          <w:sz w:val="24"/>
          <w:szCs w:val="24"/>
          <w:highlight w:val="none"/>
        </w:rPr>
        <w:t>（实质性要求）</w:t>
      </w:r>
    </w:p>
    <w:p>
      <w:pPr>
        <w:tabs>
          <w:tab w:val="left" w:pos="7665"/>
        </w:tabs>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合格的投标人应具备以下条件：</w:t>
      </w:r>
    </w:p>
    <w:p>
      <w:pPr>
        <w:tabs>
          <w:tab w:val="left" w:pos="7665"/>
        </w:tabs>
        <w:spacing w:line="400" w:lineRule="exact"/>
        <w:ind w:firstLine="480" w:firstLineChars="200"/>
        <w:rPr>
          <w:rFonts w:ascii="宋体" w:hAnsi="宋体" w:cs="仿宋"/>
          <w:color w:val="auto"/>
          <w:spacing w:val="-4"/>
          <w:sz w:val="24"/>
          <w:highlight w:val="none"/>
        </w:rPr>
      </w:pPr>
      <w:r>
        <w:rPr>
          <w:rFonts w:hint="eastAsia" w:ascii="宋体" w:hAnsi="宋体" w:cs="仿宋"/>
          <w:color w:val="auto"/>
          <w:sz w:val="24"/>
          <w:highlight w:val="none"/>
        </w:rPr>
        <w:t>（1）本招标文件规定的投标人资格条件</w:t>
      </w:r>
      <w:r>
        <w:rPr>
          <w:rFonts w:hint="eastAsia" w:ascii="宋体" w:hAnsi="宋体" w:cs="仿宋"/>
          <w:color w:val="auto"/>
          <w:spacing w:val="-4"/>
          <w:sz w:val="24"/>
          <w:highlight w:val="none"/>
        </w:rPr>
        <w:t>；</w:t>
      </w:r>
    </w:p>
    <w:p>
      <w:pPr>
        <w:tabs>
          <w:tab w:val="left" w:pos="7665"/>
        </w:tabs>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（2）遵守国家有关的法律、法规、规章和其他政策制度；</w:t>
      </w:r>
    </w:p>
    <w:p>
      <w:pPr>
        <w:tabs>
          <w:tab w:val="left" w:pos="7665"/>
        </w:tabs>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（3）向采购代理机构购买了招标文件。</w:t>
      </w:r>
    </w:p>
    <w:p>
      <w:pPr>
        <w:pStyle w:val="5"/>
        <w:spacing w:before="0" w:after="0" w:line="400" w:lineRule="exact"/>
        <w:ind w:firstLine="482" w:firstLineChars="200"/>
        <w:rPr>
          <w:rFonts w:ascii="宋体" w:hAnsi="宋体" w:cs="仿宋"/>
          <w:color w:val="auto"/>
          <w:sz w:val="24"/>
          <w:highlight w:val="none"/>
        </w:rPr>
      </w:pPr>
      <w:bookmarkStart w:id="30" w:name="_Toc217446037"/>
      <w:bookmarkStart w:id="31" w:name="_Toc183582208"/>
      <w:bookmarkStart w:id="32" w:name="_Toc183682345"/>
      <w:r>
        <w:rPr>
          <w:rFonts w:hint="eastAsia" w:ascii="宋体" w:hAnsi="宋体" w:cs="仿宋"/>
          <w:color w:val="auto"/>
          <w:sz w:val="24"/>
          <w:highlight w:val="none"/>
        </w:rPr>
        <w:t>4. 投标费用</w:t>
      </w:r>
      <w:bookmarkEnd w:id="30"/>
      <w:bookmarkEnd w:id="31"/>
      <w:bookmarkEnd w:id="32"/>
      <w:r>
        <w:rPr>
          <w:rFonts w:hint="eastAsia" w:ascii="宋体" w:hAnsi="宋体" w:cs="仿宋"/>
          <w:color w:val="auto"/>
          <w:sz w:val="24"/>
          <w:szCs w:val="24"/>
          <w:highlight w:val="none"/>
        </w:rPr>
        <w:t>（实质性要求）</w:t>
      </w:r>
    </w:p>
    <w:p>
      <w:pPr>
        <w:tabs>
          <w:tab w:val="left" w:pos="7665"/>
        </w:tabs>
        <w:spacing w:line="400" w:lineRule="exact"/>
        <w:ind w:firstLine="480"/>
        <w:rPr>
          <w:rFonts w:ascii="宋体" w:hAnsi="宋体" w:cs="仿宋"/>
          <w:color w:val="auto"/>
          <w:sz w:val="24"/>
          <w:highlight w:val="none"/>
        </w:rPr>
      </w:pPr>
      <w:r>
        <w:rPr>
          <w:rFonts w:hint="eastAsia" w:ascii="宋体" w:hAnsi="宋体" w:cs="仿宋"/>
          <w:color w:val="auto"/>
          <w:sz w:val="24"/>
          <w:highlight w:val="none"/>
        </w:rPr>
        <w:t>投标人参加投标的有关费用由投标人自行承担。</w:t>
      </w:r>
    </w:p>
    <w:p>
      <w:pPr>
        <w:pStyle w:val="5"/>
        <w:spacing w:before="0" w:after="0" w:line="400" w:lineRule="exact"/>
        <w:ind w:firstLine="482" w:firstLineChars="200"/>
        <w:rPr>
          <w:rFonts w:ascii="宋体" w:hAnsi="宋体" w:cs="仿宋"/>
          <w:color w:val="auto"/>
          <w:sz w:val="24"/>
          <w:highlight w:val="none"/>
        </w:rPr>
      </w:pPr>
      <w:r>
        <w:rPr>
          <w:rFonts w:hint="eastAsia" w:ascii="宋体" w:hAnsi="宋体" w:cs="仿宋"/>
          <w:color w:val="auto"/>
          <w:sz w:val="24"/>
          <w:highlight w:val="none"/>
        </w:rPr>
        <w:t>5. 充分、公平竞争保障措施</w:t>
      </w:r>
      <w:r>
        <w:rPr>
          <w:rFonts w:hint="eastAsia" w:ascii="宋体" w:hAnsi="宋体" w:cs="仿宋"/>
          <w:color w:val="auto"/>
          <w:sz w:val="24"/>
          <w:szCs w:val="24"/>
          <w:highlight w:val="none"/>
        </w:rPr>
        <w:t>（实质性要求）</w:t>
      </w:r>
    </w:p>
    <w:p>
      <w:pPr>
        <w:pStyle w:val="57"/>
        <w:spacing w:line="460" w:lineRule="exact"/>
        <w:ind w:left="1" w:firstLine="482" w:firstLineChars="200"/>
        <w:rPr>
          <w:rFonts w:hAnsi="宋体" w:cs="仿宋"/>
          <w:color w:val="auto"/>
          <w:sz w:val="24"/>
          <w:highlight w:val="none"/>
        </w:rPr>
      </w:pPr>
      <w:r>
        <w:rPr>
          <w:rFonts w:hint="eastAsia" w:hAnsi="宋体" w:cs="仿宋"/>
          <w:b/>
          <w:color w:val="auto"/>
          <w:sz w:val="24"/>
          <w:highlight w:val="none"/>
        </w:rPr>
        <w:t>5.1利害关系投标人处理。</w:t>
      </w:r>
      <w:r>
        <w:rPr>
          <w:rFonts w:hint="eastAsia" w:hAnsi="宋体" w:cs="仿宋"/>
          <w:color w:val="auto"/>
          <w:sz w:val="24"/>
          <w:highlight w:val="none"/>
        </w:rPr>
        <w:t>单位负责人为同一人或者存在直接控股、管理关系的不同投标人不得参加同一合同项下的政府采购活动。采购项目实行资格预审的，单位负责人为同一人或者存在直接控股、管理关系的不同投标人可以参加资格预审，但只能由投标人确定其中一家符合条件的投标人参加后续的政府采购活动，否则，其投标文件作为无效处理。</w:t>
      </w:r>
    </w:p>
    <w:p>
      <w:pPr>
        <w:pStyle w:val="57"/>
        <w:spacing w:line="400" w:lineRule="exact"/>
        <w:ind w:left="1" w:firstLine="482" w:firstLineChars="200"/>
        <w:rPr>
          <w:rFonts w:hAnsi="宋体" w:cs="仿宋"/>
          <w:color w:val="auto"/>
          <w:sz w:val="24"/>
          <w:highlight w:val="none"/>
        </w:rPr>
      </w:pPr>
      <w:r>
        <w:rPr>
          <w:rFonts w:hint="eastAsia" w:hAnsi="宋体" w:cs="仿宋"/>
          <w:b/>
          <w:color w:val="auto"/>
          <w:sz w:val="24"/>
          <w:highlight w:val="none"/>
        </w:rPr>
        <w:t>5.2 前期参与投标人处理。</w:t>
      </w:r>
      <w:r>
        <w:rPr>
          <w:rFonts w:hint="eastAsia" w:hAnsi="宋体" w:cs="仿宋"/>
          <w:color w:val="auto"/>
          <w:sz w:val="24"/>
          <w:highlight w:val="none"/>
        </w:rPr>
        <w:t>为采购项目提供整体设计、规范编制或者项目管理、监理、检测等服务的投标人，不得再参加该采购项目的其他采购活动。投标人为采购人、采购代理机构在确定采购需求、编制采购文件过程中提供咨询论证，其提供的咨询论证意见成为采购文件中规定的投标人资格条件、技术服务商务要求、评标因素和标准、政府采购合同等实质性内容条款的，视同为采购项目提供规范编制。</w:t>
      </w:r>
    </w:p>
    <w:p>
      <w:pPr>
        <w:pStyle w:val="57"/>
        <w:spacing w:line="400" w:lineRule="exact"/>
        <w:ind w:left="1" w:firstLine="482" w:firstLineChars="200"/>
        <w:rPr>
          <w:rFonts w:hAnsi="宋体" w:cs="仿宋"/>
          <w:color w:val="auto"/>
          <w:sz w:val="24"/>
          <w:highlight w:val="none"/>
        </w:rPr>
      </w:pPr>
      <w:r>
        <w:rPr>
          <w:rFonts w:hint="eastAsia" w:hAnsi="宋体" w:cs="仿宋"/>
          <w:b/>
          <w:color w:val="auto"/>
          <w:sz w:val="24"/>
          <w:highlight w:val="none"/>
        </w:rPr>
        <w:t>5.3 利害关系代理人处理。</w:t>
      </w:r>
      <w:r>
        <w:rPr>
          <w:rFonts w:hint="eastAsia" w:hAnsi="宋体" w:cs="仿宋"/>
          <w:color w:val="auto"/>
          <w:sz w:val="24"/>
          <w:highlight w:val="none"/>
        </w:rPr>
        <w:t>2家以上的投标人不得在同一合同项下的采购项目中，同时委托同一个自然人、同一家庭的人员、同一单位的人员作为其代理人，否则，其投标文件作为无效处理。</w:t>
      </w:r>
    </w:p>
    <w:p>
      <w:pPr>
        <w:pStyle w:val="4"/>
        <w:spacing w:line="400" w:lineRule="exact"/>
        <w:jc w:val="center"/>
        <w:rPr>
          <w:rFonts w:ascii="宋体" w:hAnsi="宋体" w:eastAsia="宋体" w:cs="仿宋"/>
          <w:bCs w:val="0"/>
          <w:color w:val="auto"/>
          <w:highlight w:val="none"/>
        </w:rPr>
      </w:pPr>
      <w:bookmarkStart w:id="33" w:name="_Toc217446038"/>
      <w:bookmarkStart w:id="34" w:name="_Toc183682346"/>
      <w:bookmarkStart w:id="35" w:name="_Toc77400779"/>
      <w:bookmarkStart w:id="36" w:name="_Toc183582209"/>
      <w:bookmarkStart w:id="37" w:name="_Toc89075875"/>
      <w:r>
        <w:rPr>
          <w:rFonts w:hint="eastAsia" w:ascii="宋体" w:hAnsi="宋体" w:eastAsia="宋体" w:cs="仿宋"/>
          <w:bCs w:val="0"/>
          <w:color w:val="auto"/>
          <w:highlight w:val="none"/>
        </w:rPr>
        <w:t>三、招标文件</w:t>
      </w:r>
      <w:bookmarkEnd w:id="33"/>
      <w:bookmarkEnd w:id="34"/>
      <w:bookmarkEnd w:id="35"/>
      <w:bookmarkEnd w:id="36"/>
      <w:bookmarkEnd w:id="37"/>
    </w:p>
    <w:p>
      <w:pPr>
        <w:pStyle w:val="5"/>
        <w:spacing w:before="0" w:after="0" w:line="400" w:lineRule="exact"/>
        <w:ind w:firstLine="482" w:firstLineChars="200"/>
        <w:rPr>
          <w:rFonts w:ascii="宋体" w:hAnsi="宋体" w:cs="仿宋"/>
          <w:color w:val="auto"/>
          <w:sz w:val="24"/>
          <w:highlight w:val="none"/>
        </w:rPr>
      </w:pPr>
      <w:bookmarkStart w:id="38" w:name="_Toc183582210"/>
      <w:bookmarkStart w:id="39" w:name="_Toc217446039"/>
      <w:bookmarkStart w:id="40" w:name="_Toc183682347"/>
      <w:r>
        <w:rPr>
          <w:rFonts w:hint="eastAsia" w:ascii="宋体" w:hAnsi="宋体" w:cs="仿宋"/>
          <w:color w:val="auto"/>
          <w:sz w:val="24"/>
          <w:highlight w:val="none"/>
        </w:rPr>
        <w:t>6．招标文件的构成</w:t>
      </w:r>
      <w:bookmarkEnd w:id="38"/>
      <w:bookmarkEnd w:id="39"/>
      <w:bookmarkEnd w:id="40"/>
    </w:p>
    <w:p>
      <w:pPr>
        <w:tabs>
          <w:tab w:val="left" w:pos="7665"/>
        </w:tabs>
        <w:spacing w:line="400" w:lineRule="exact"/>
        <w:ind w:firstLine="480" w:firstLineChars="200"/>
        <w:rPr>
          <w:rFonts w:hAnsi="宋体" w:cs="仿宋"/>
          <w:color w:val="auto"/>
          <w:highlight w:val="none"/>
        </w:rPr>
      </w:pPr>
      <w:r>
        <w:rPr>
          <w:rFonts w:hint="eastAsia" w:ascii="宋体" w:hAnsi="宋体" w:cs="仿宋"/>
          <w:color w:val="auto"/>
          <w:kern w:val="0"/>
          <w:sz w:val="24"/>
          <w:szCs w:val="22"/>
          <w:highlight w:val="none"/>
        </w:rPr>
        <w:t>招标文件是投标人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宋体" w:hAnsi="宋体" w:cs="仿宋"/>
          <w:color w:val="auto"/>
          <w:sz w:val="24"/>
          <w:highlight w:val="none"/>
        </w:rPr>
      </w:pPr>
      <w:r>
        <w:rPr>
          <w:rFonts w:hint="eastAsia" w:ascii="宋体" w:hAnsi="宋体" w:cs="仿宋"/>
          <w:color w:val="auto"/>
          <w:kern w:val="0"/>
          <w:sz w:val="24"/>
          <w:szCs w:val="22"/>
          <w:highlight w:val="none"/>
        </w:rPr>
        <w:t>（一）投标</w:t>
      </w:r>
      <w:r>
        <w:rPr>
          <w:rFonts w:hint="eastAsia" w:ascii="宋体" w:hAnsi="宋体" w:cs="仿宋"/>
          <w:color w:val="auto"/>
          <w:sz w:val="24"/>
          <w:highlight w:val="none"/>
        </w:rPr>
        <w:t>邀请；</w:t>
      </w:r>
    </w:p>
    <w:p>
      <w:pPr>
        <w:tabs>
          <w:tab w:val="left" w:pos="720"/>
        </w:tabs>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（二）投标人须知；</w:t>
      </w:r>
    </w:p>
    <w:p>
      <w:pPr>
        <w:tabs>
          <w:tab w:val="left" w:pos="720"/>
        </w:tabs>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（三）投标文件格式；</w:t>
      </w:r>
    </w:p>
    <w:p>
      <w:pPr>
        <w:tabs>
          <w:tab w:val="left" w:pos="720"/>
        </w:tabs>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（四）投标人和投标产品的资格、资质性及其他类似效力要求；</w:t>
      </w:r>
    </w:p>
    <w:p>
      <w:pPr>
        <w:tabs>
          <w:tab w:val="left" w:pos="720"/>
        </w:tabs>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（五）投标人应当提供的资格、资质性及其他类似效力要求的相关证明材料；</w:t>
      </w:r>
    </w:p>
    <w:p>
      <w:pPr>
        <w:tabs>
          <w:tab w:val="left" w:pos="720"/>
        </w:tabs>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（六）招标项目技术、商务及其他要求；</w:t>
      </w:r>
    </w:p>
    <w:p>
      <w:pPr>
        <w:tabs>
          <w:tab w:val="left" w:pos="720"/>
        </w:tabs>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（七）评标办法；</w:t>
      </w:r>
    </w:p>
    <w:p>
      <w:pPr>
        <w:tabs>
          <w:tab w:val="left" w:pos="720"/>
        </w:tabs>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（八）合同主要条款。</w:t>
      </w:r>
    </w:p>
    <w:p>
      <w:pPr>
        <w:pStyle w:val="5"/>
        <w:spacing w:before="0" w:after="0" w:line="400" w:lineRule="exact"/>
        <w:ind w:firstLine="482" w:firstLineChars="200"/>
        <w:rPr>
          <w:rFonts w:ascii="宋体" w:hAnsi="宋体" w:cs="仿宋"/>
          <w:color w:val="auto"/>
          <w:sz w:val="24"/>
          <w:highlight w:val="none"/>
        </w:rPr>
      </w:pPr>
      <w:bookmarkStart w:id="41" w:name="_Toc183582211"/>
      <w:bookmarkStart w:id="42" w:name="_Toc183682348"/>
      <w:bookmarkStart w:id="43" w:name="_Toc217446040"/>
      <w:r>
        <w:rPr>
          <w:rFonts w:hint="eastAsia" w:ascii="宋体" w:hAnsi="宋体" w:cs="仿宋"/>
          <w:color w:val="auto"/>
          <w:sz w:val="24"/>
          <w:highlight w:val="none"/>
        </w:rPr>
        <w:t>7. 招标文件的澄清</w:t>
      </w:r>
      <w:bookmarkEnd w:id="41"/>
      <w:bookmarkEnd w:id="42"/>
      <w:r>
        <w:rPr>
          <w:rFonts w:hint="eastAsia" w:ascii="宋体" w:hAnsi="宋体" w:cs="仿宋"/>
          <w:color w:val="auto"/>
          <w:sz w:val="24"/>
          <w:highlight w:val="none"/>
        </w:rPr>
        <w:t>和修改</w:t>
      </w:r>
      <w:bookmarkEnd w:id="43"/>
    </w:p>
    <w:p>
      <w:pPr>
        <w:tabs>
          <w:tab w:val="left" w:pos="7665"/>
        </w:tabs>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7.1 招标采购单位可以依法对招标文件进行澄清或者修改。</w:t>
      </w:r>
    </w:p>
    <w:p>
      <w:pPr>
        <w:tabs>
          <w:tab w:val="left" w:pos="7665"/>
        </w:tabs>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7.2 招标采购单位对已发出的招标文件进行澄清或者修改，应当以书面形式将澄清或者修改的内容通知所有购买了招标文件的投标人，同时在四川政府采购网上发布更正公告。该澄清或者修改的内容为招标文件的组成部分，澄清或者修改的内容可能影响投标文件、资格预审申请文件编制的，采购人或者采购代理机构发布公告并书面通知投标人的时间，应当在投标截止时间至少15日前、提交资格预审申请文件截止时间至少3日前；不足上述时间的，应当顺延提交投标文件、资格预审申请文件的截止时间。</w:t>
      </w:r>
    </w:p>
    <w:p>
      <w:pPr>
        <w:tabs>
          <w:tab w:val="left" w:pos="7665"/>
        </w:tabs>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7.3 投标人应于投标文件递交截止时间之前在《四川政府采购网》查询本项目的更正公告，以保证其对招标文件做出正确的响应。投标人未按要求下载相关文件，或由于未及时关注更正公告的信息造成的后果，其责任由投标人自行负责。</w:t>
      </w:r>
    </w:p>
    <w:p>
      <w:pPr>
        <w:tabs>
          <w:tab w:val="left" w:pos="7665"/>
        </w:tabs>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更正公告通过投标人报名时备注的电子邮箱发送至所有购买招标文件的投标人，投标人在收到相应更正公告后，以书面形式给予确认，该更正公告作为招标文件的组成部分，具有约束作用。如投标人未给予书面回复，则视为收到并认可该更正公告的内容。</w:t>
      </w:r>
    </w:p>
    <w:p>
      <w:pPr>
        <w:tabs>
          <w:tab w:val="left" w:pos="7665"/>
        </w:tabs>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7.4 投标人认为需要对招标文件进行澄清或者修改的，可以以书面形式向招标采购单位构提出申请，但招标采购单位可以决定是否采纳投标人的申请事项。</w:t>
      </w:r>
    </w:p>
    <w:p>
      <w:pPr>
        <w:pStyle w:val="5"/>
        <w:spacing w:before="0" w:after="0" w:line="400" w:lineRule="exact"/>
        <w:ind w:firstLine="482" w:firstLineChars="200"/>
        <w:rPr>
          <w:rFonts w:ascii="宋体" w:hAnsi="宋体" w:cs="仿宋"/>
          <w:color w:val="auto"/>
          <w:sz w:val="24"/>
          <w:highlight w:val="none"/>
        </w:rPr>
      </w:pPr>
      <w:bookmarkStart w:id="44" w:name="_Toc208848971"/>
      <w:bookmarkStart w:id="45" w:name="_Toc217446041"/>
      <w:r>
        <w:rPr>
          <w:rFonts w:hint="eastAsia" w:ascii="宋体" w:hAnsi="宋体" w:cs="仿宋"/>
          <w:color w:val="auto"/>
          <w:sz w:val="24"/>
          <w:highlight w:val="none"/>
        </w:rPr>
        <w:t>8. 答疑会和现场考察</w:t>
      </w:r>
      <w:bookmarkEnd w:id="44"/>
      <w:bookmarkEnd w:id="45"/>
    </w:p>
    <w:p>
      <w:pPr>
        <w:tabs>
          <w:tab w:val="left" w:pos="7665"/>
        </w:tabs>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现场考察或标前答疑会时间：本项目不组织。</w:t>
      </w:r>
    </w:p>
    <w:p>
      <w:pPr>
        <w:tabs>
          <w:tab w:val="left" w:pos="7665"/>
        </w:tabs>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现场考察或标前答疑会地点：本项目不组织。</w:t>
      </w:r>
    </w:p>
    <w:p>
      <w:pPr>
        <w:tabs>
          <w:tab w:val="left" w:pos="7665"/>
        </w:tabs>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8.2 投标人考察现场所发生的一切费用由投标人自己承担。</w:t>
      </w:r>
    </w:p>
    <w:p>
      <w:pPr>
        <w:pStyle w:val="4"/>
        <w:spacing w:line="400" w:lineRule="exact"/>
        <w:jc w:val="center"/>
        <w:rPr>
          <w:rFonts w:ascii="宋体" w:hAnsi="宋体" w:eastAsia="宋体" w:cs="仿宋"/>
          <w:bCs w:val="0"/>
          <w:color w:val="auto"/>
          <w:highlight w:val="none"/>
        </w:rPr>
      </w:pPr>
      <w:bookmarkStart w:id="46" w:name="_Toc183582214"/>
      <w:bookmarkStart w:id="47" w:name="_Toc217446042"/>
      <w:bookmarkStart w:id="48" w:name="_Toc89075876"/>
      <w:bookmarkStart w:id="49" w:name="_Toc183682351"/>
      <w:bookmarkStart w:id="50" w:name="_Toc77400780"/>
      <w:r>
        <w:rPr>
          <w:rFonts w:hint="eastAsia" w:ascii="宋体" w:hAnsi="宋体" w:eastAsia="宋体" w:cs="仿宋"/>
          <w:bCs w:val="0"/>
          <w:color w:val="auto"/>
          <w:highlight w:val="none"/>
        </w:rPr>
        <w:t>四、投标文件</w:t>
      </w:r>
      <w:bookmarkEnd w:id="46"/>
      <w:bookmarkEnd w:id="47"/>
      <w:bookmarkEnd w:id="48"/>
      <w:bookmarkEnd w:id="49"/>
      <w:bookmarkEnd w:id="50"/>
    </w:p>
    <w:p>
      <w:pPr>
        <w:pStyle w:val="5"/>
        <w:spacing w:before="0" w:after="0" w:line="400" w:lineRule="exact"/>
        <w:ind w:firstLine="482" w:firstLineChars="200"/>
        <w:rPr>
          <w:rFonts w:ascii="宋体" w:hAnsi="宋体" w:cs="仿宋"/>
          <w:bCs w:val="0"/>
          <w:color w:val="auto"/>
          <w:sz w:val="24"/>
          <w:highlight w:val="none"/>
        </w:rPr>
      </w:pPr>
      <w:bookmarkStart w:id="51" w:name="_Toc183582215"/>
      <w:bookmarkStart w:id="52" w:name="_Toc217446043"/>
      <w:bookmarkStart w:id="53" w:name="_Toc183682352"/>
      <w:r>
        <w:rPr>
          <w:rFonts w:hint="eastAsia" w:ascii="宋体" w:hAnsi="宋体" w:cs="仿宋"/>
          <w:bCs w:val="0"/>
          <w:color w:val="auto"/>
          <w:sz w:val="24"/>
          <w:highlight w:val="none"/>
        </w:rPr>
        <w:t>9．投标文件的语言</w:t>
      </w:r>
      <w:bookmarkEnd w:id="51"/>
      <w:bookmarkEnd w:id="52"/>
      <w:bookmarkEnd w:id="53"/>
      <w:r>
        <w:rPr>
          <w:rFonts w:hint="eastAsia" w:ascii="宋体" w:hAnsi="宋体" w:cs="仿宋"/>
          <w:color w:val="auto"/>
          <w:sz w:val="24"/>
          <w:szCs w:val="24"/>
          <w:highlight w:val="none"/>
        </w:rPr>
        <w:t>（实质性要求）</w:t>
      </w:r>
    </w:p>
    <w:p>
      <w:pPr>
        <w:tabs>
          <w:tab w:val="left" w:pos="1134"/>
        </w:tabs>
        <w:spacing w:line="400" w:lineRule="exact"/>
        <w:ind w:firstLine="480" w:firstLineChars="200"/>
        <w:jc w:val="left"/>
        <w:rPr>
          <w:rFonts w:ascii="宋体" w:hAnsi="宋体" w:cs="仿宋"/>
          <w:color w:val="auto"/>
          <w:sz w:val="24"/>
          <w:highlight w:val="none"/>
        </w:rPr>
      </w:pPr>
      <w:bookmarkStart w:id="54" w:name="_Toc183582216"/>
      <w:bookmarkStart w:id="55" w:name="_Toc183682353"/>
      <w:bookmarkStart w:id="56" w:name="_Toc217446044"/>
      <w:r>
        <w:rPr>
          <w:rFonts w:hint="eastAsia" w:ascii="宋体" w:hAnsi="宋体" w:cs="仿宋"/>
          <w:color w:val="auto"/>
          <w:sz w:val="24"/>
          <w:highlight w:val="none"/>
        </w:rPr>
        <w:t>9.1 投标人提交的投标文件以及投标人与招标采购单位就有关投标的所有来往书面文件均须使用中文。投标文件中如附有外文资料，主要部分对应翻译成中文并加盖投标人公章后附在相关外文资料后面。</w:t>
      </w:r>
    </w:p>
    <w:p>
      <w:pPr>
        <w:tabs>
          <w:tab w:val="left" w:pos="1134"/>
        </w:tabs>
        <w:spacing w:line="400" w:lineRule="exact"/>
        <w:ind w:firstLine="480" w:firstLineChars="200"/>
        <w:jc w:val="left"/>
        <w:rPr>
          <w:rFonts w:ascii="宋体" w:hAnsi="宋体" w:cs="仿宋"/>
          <w:color w:val="auto"/>
          <w:sz w:val="24"/>
          <w:highlight w:val="none"/>
        </w:rPr>
      </w:pPr>
      <w:r>
        <w:rPr>
          <w:rFonts w:hint="eastAsia" w:ascii="宋体" w:hAnsi="宋体" w:cs="仿宋"/>
          <w:color w:val="auto"/>
          <w:sz w:val="24"/>
          <w:highlight w:val="none"/>
        </w:rPr>
        <w:t>9.2 翻译的中文资料与外文资料如果出现差异和矛盾时，以中文为准。涉嫌虚假响应的按照相关法律法规处理。</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9.3 如因未翻译而造成的废标，由投标人承担。</w:t>
      </w:r>
    </w:p>
    <w:p>
      <w:pPr>
        <w:pStyle w:val="5"/>
        <w:spacing w:before="0" w:after="0" w:line="400" w:lineRule="exact"/>
        <w:ind w:firstLine="482" w:firstLineChars="200"/>
        <w:rPr>
          <w:rFonts w:ascii="宋体" w:hAnsi="宋体" w:cs="仿宋"/>
          <w:color w:val="auto"/>
          <w:sz w:val="24"/>
          <w:highlight w:val="none"/>
        </w:rPr>
      </w:pPr>
      <w:r>
        <w:rPr>
          <w:rFonts w:hint="eastAsia" w:ascii="宋体" w:hAnsi="宋体" w:cs="仿宋"/>
          <w:color w:val="auto"/>
          <w:sz w:val="24"/>
          <w:highlight w:val="none"/>
        </w:rPr>
        <w:t>10．计量单位</w:t>
      </w:r>
      <w:bookmarkEnd w:id="54"/>
      <w:bookmarkEnd w:id="55"/>
      <w:bookmarkEnd w:id="56"/>
      <w:r>
        <w:rPr>
          <w:rFonts w:hint="eastAsia" w:ascii="宋体" w:hAnsi="宋体" w:cs="仿宋"/>
          <w:color w:val="auto"/>
          <w:sz w:val="24"/>
          <w:szCs w:val="24"/>
          <w:highlight w:val="none"/>
        </w:rPr>
        <w:t>（实质性要求）</w:t>
      </w:r>
    </w:p>
    <w:p>
      <w:pPr>
        <w:spacing w:line="400" w:lineRule="exact"/>
        <w:ind w:firstLine="470" w:firstLineChars="196"/>
        <w:rPr>
          <w:rFonts w:ascii="宋体" w:hAnsi="宋体" w:cs="仿宋"/>
          <w:color w:val="auto"/>
          <w:sz w:val="24"/>
          <w:highlight w:val="none"/>
        </w:rPr>
      </w:pPr>
      <w:r>
        <w:rPr>
          <w:rFonts w:hint="eastAsia" w:ascii="宋体" w:hAnsi="宋体" w:cs="仿宋"/>
          <w:color w:val="auto"/>
          <w:sz w:val="24"/>
          <w:highlight w:val="none"/>
        </w:rPr>
        <w:t>除招标文件中另有规定外，本次采购项目所有合同项下的投标均采用国家法定的计量单位。</w:t>
      </w:r>
    </w:p>
    <w:p>
      <w:pPr>
        <w:pStyle w:val="5"/>
        <w:spacing w:before="0" w:after="0" w:line="400" w:lineRule="exact"/>
        <w:ind w:firstLine="482" w:firstLineChars="200"/>
        <w:rPr>
          <w:rFonts w:ascii="宋体" w:hAnsi="宋体" w:cs="仿宋"/>
          <w:color w:val="auto"/>
          <w:sz w:val="24"/>
          <w:highlight w:val="none"/>
        </w:rPr>
      </w:pPr>
      <w:bookmarkStart w:id="57" w:name="_Toc217446045"/>
      <w:r>
        <w:rPr>
          <w:rFonts w:hint="eastAsia" w:ascii="宋体" w:hAnsi="宋体" w:cs="仿宋"/>
          <w:color w:val="auto"/>
          <w:sz w:val="24"/>
          <w:highlight w:val="none"/>
        </w:rPr>
        <w:t>11. 投标货币</w:t>
      </w:r>
      <w:bookmarkEnd w:id="57"/>
      <w:r>
        <w:rPr>
          <w:rFonts w:hint="eastAsia" w:ascii="宋体" w:hAnsi="宋体" w:cs="仿宋"/>
          <w:color w:val="auto"/>
          <w:sz w:val="24"/>
          <w:highlight w:val="none"/>
        </w:rPr>
        <w:t>（实质性要求）</w:t>
      </w:r>
    </w:p>
    <w:p>
      <w:pPr>
        <w:spacing w:line="400" w:lineRule="exact"/>
        <w:ind w:firstLine="470" w:firstLineChars="196"/>
        <w:rPr>
          <w:rFonts w:ascii="宋体" w:hAnsi="宋体" w:cs="仿宋"/>
          <w:color w:val="auto"/>
          <w:sz w:val="24"/>
          <w:highlight w:val="none"/>
        </w:rPr>
      </w:pPr>
      <w:r>
        <w:rPr>
          <w:rFonts w:hint="eastAsia" w:ascii="宋体" w:hAnsi="宋体" w:cs="仿宋"/>
          <w:color w:val="auto"/>
          <w:sz w:val="24"/>
          <w:highlight w:val="none"/>
        </w:rPr>
        <w:t>本次招标项目的投标均以人民币报价。</w:t>
      </w:r>
    </w:p>
    <w:p>
      <w:pPr>
        <w:pStyle w:val="5"/>
        <w:spacing w:before="0" w:after="0" w:line="400" w:lineRule="exact"/>
        <w:ind w:firstLine="482" w:firstLineChars="200"/>
        <w:rPr>
          <w:rFonts w:hint="eastAsia" w:ascii="宋体" w:hAnsi="宋体" w:eastAsia="宋体" w:cs="仿宋"/>
          <w:color w:val="auto"/>
          <w:sz w:val="24"/>
          <w:highlight w:val="none"/>
          <w:lang w:eastAsia="zh-CN"/>
        </w:rPr>
      </w:pPr>
      <w:bookmarkStart w:id="58" w:name="_Toc217446046"/>
      <w:r>
        <w:rPr>
          <w:rFonts w:hint="eastAsia" w:ascii="宋体" w:hAnsi="宋体" w:cs="仿宋"/>
          <w:color w:val="auto"/>
          <w:sz w:val="24"/>
          <w:highlight w:val="none"/>
        </w:rPr>
        <w:t>12. 联合体投标</w:t>
      </w:r>
      <w:bookmarkEnd w:id="58"/>
      <w:r>
        <w:rPr>
          <w:rFonts w:hint="eastAsia" w:ascii="宋体" w:hAnsi="宋体" w:cs="仿宋"/>
          <w:color w:val="auto"/>
          <w:sz w:val="24"/>
          <w:highlight w:val="none"/>
          <w:lang w:eastAsia="zh-CN"/>
        </w:rPr>
        <w:t>（本项目不允许联合体投标）</w:t>
      </w:r>
    </w:p>
    <w:p>
      <w:pPr>
        <w:pStyle w:val="5"/>
        <w:spacing w:before="0" w:after="0" w:line="400" w:lineRule="exact"/>
        <w:ind w:firstLine="482" w:firstLineChars="200"/>
        <w:rPr>
          <w:rFonts w:ascii="宋体" w:hAnsi="宋体" w:cs="仿宋"/>
          <w:color w:val="auto"/>
          <w:sz w:val="24"/>
          <w:highlight w:val="none"/>
        </w:rPr>
      </w:pPr>
      <w:bookmarkStart w:id="59" w:name="_Toc217446047"/>
      <w:bookmarkStart w:id="60" w:name="_Toc308164797"/>
      <w:r>
        <w:rPr>
          <w:rFonts w:hint="eastAsia" w:ascii="宋体" w:hAnsi="宋体" w:cs="仿宋"/>
          <w:color w:val="auto"/>
          <w:sz w:val="24"/>
          <w:highlight w:val="none"/>
        </w:rPr>
        <w:t>13. 知识产权</w:t>
      </w:r>
      <w:bookmarkEnd w:id="59"/>
      <w:bookmarkEnd w:id="60"/>
      <w:r>
        <w:rPr>
          <w:rFonts w:hint="eastAsia" w:ascii="宋体" w:hAnsi="宋体" w:cs="仿宋"/>
          <w:color w:val="auto"/>
          <w:sz w:val="24"/>
          <w:highlight w:val="none"/>
        </w:rPr>
        <w:t>（如有）</w:t>
      </w:r>
    </w:p>
    <w:p>
      <w:pPr>
        <w:pStyle w:val="10"/>
        <w:spacing w:line="400" w:lineRule="exact"/>
        <w:ind w:firstLine="480" w:firstLineChars="200"/>
        <w:rPr>
          <w:rFonts w:ascii="宋体" w:hAnsi="宋体" w:cs="仿宋"/>
          <w:color w:val="auto"/>
          <w:sz w:val="24"/>
          <w:szCs w:val="24"/>
          <w:highlight w:val="none"/>
        </w:rPr>
      </w:pPr>
      <w:r>
        <w:rPr>
          <w:rFonts w:hint="eastAsia" w:ascii="宋体" w:hAnsi="宋体" w:cs="仿宋"/>
          <w:color w:val="auto"/>
          <w:sz w:val="24"/>
          <w:szCs w:val="24"/>
          <w:highlight w:val="none"/>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0"/>
        <w:spacing w:line="400" w:lineRule="exact"/>
        <w:ind w:firstLine="480" w:firstLineChars="200"/>
        <w:rPr>
          <w:rFonts w:ascii="宋体" w:hAnsi="宋体" w:cs="仿宋"/>
          <w:color w:val="auto"/>
          <w:sz w:val="24"/>
          <w:szCs w:val="24"/>
          <w:highlight w:val="none"/>
        </w:rPr>
      </w:pPr>
      <w:r>
        <w:rPr>
          <w:rFonts w:hint="eastAsia" w:ascii="宋体" w:hAnsi="宋体" w:cs="仿宋"/>
          <w:color w:val="auto"/>
          <w:sz w:val="24"/>
          <w:szCs w:val="24"/>
          <w:highlight w:val="none"/>
        </w:rPr>
        <w:t>13.2 采购人享有本项目实施过程中产生的知识成果及知识产权。</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13.3 投标人如欲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宋体" w:hAnsi="宋体" w:cs="仿宋"/>
          <w:color w:val="auto"/>
          <w:sz w:val="24"/>
          <w:highlight w:val="none"/>
        </w:rPr>
      </w:pPr>
      <w:r>
        <w:rPr>
          <w:rFonts w:hint="eastAsia" w:ascii="宋体" w:hAnsi="宋体" w:cs="仿宋"/>
          <w:color w:val="auto"/>
          <w:sz w:val="24"/>
          <w:highlight w:val="none"/>
        </w:rPr>
        <w:t xml:space="preserve">13.4 如采用投标人所不拥有的知识产权，则在投标报价中必须包括合法获取该知识产权的相关费用。 </w:t>
      </w:r>
    </w:p>
    <w:p>
      <w:pPr>
        <w:pStyle w:val="5"/>
        <w:spacing w:before="0" w:after="0" w:line="400" w:lineRule="exact"/>
        <w:ind w:firstLine="482" w:firstLineChars="200"/>
        <w:rPr>
          <w:rFonts w:ascii="宋体" w:hAnsi="宋体" w:cs="仿宋"/>
          <w:color w:val="auto"/>
          <w:sz w:val="24"/>
          <w:highlight w:val="none"/>
        </w:rPr>
      </w:pPr>
      <w:bookmarkStart w:id="61" w:name="_Toc217446048"/>
      <w:bookmarkStart w:id="62" w:name="_Toc308164798"/>
      <w:bookmarkStart w:id="63" w:name="_Toc183682354"/>
      <w:bookmarkStart w:id="64" w:name="_Toc183582217"/>
      <w:r>
        <w:rPr>
          <w:rFonts w:hint="eastAsia" w:ascii="宋体" w:hAnsi="宋体" w:cs="仿宋"/>
          <w:color w:val="auto"/>
          <w:sz w:val="24"/>
          <w:highlight w:val="none"/>
        </w:rPr>
        <w:t>14．投标文件的组成</w:t>
      </w:r>
      <w:bookmarkEnd w:id="61"/>
      <w:bookmarkEnd w:id="62"/>
      <w:bookmarkEnd w:id="63"/>
      <w:bookmarkEnd w:id="64"/>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投标人应按照招标文件的规定和要求编制投标文件。投标人编写的投标文件应至少包括下列两部分文件：</w:t>
      </w:r>
    </w:p>
    <w:p>
      <w:pPr>
        <w:spacing w:line="400" w:lineRule="exact"/>
        <w:ind w:firstLine="482" w:firstLineChars="200"/>
        <w:rPr>
          <w:rFonts w:ascii="宋体" w:hAnsi="宋体" w:cs="仿宋"/>
          <w:b/>
          <w:color w:val="auto"/>
          <w:sz w:val="24"/>
          <w:highlight w:val="none"/>
        </w:rPr>
      </w:pPr>
      <w:r>
        <w:rPr>
          <w:rFonts w:hint="eastAsia" w:ascii="宋体" w:hAnsi="宋体" w:cs="仿宋"/>
          <w:b/>
          <w:color w:val="auto"/>
          <w:sz w:val="24"/>
          <w:highlight w:val="none"/>
        </w:rPr>
        <w:t>文件一：资格性投标文件（用于资格审查）</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严格按照第四、五章要求提供相关资格、资质性及其他类似效力要求的相关证明材料。</w:t>
      </w:r>
    </w:p>
    <w:p>
      <w:pPr>
        <w:spacing w:line="400" w:lineRule="exact"/>
        <w:ind w:firstLine="482" w:firstLineChars="200"/>
        <w:rPr>
          <w:rFonts w:ascii="宋体" w:hAnsi="宋体" w:cs="仿宋"/>
          <w:b/>
          <w:color w:val="auto"/>
          <w:sz w:val="24"/>
          <w:highlight w:val="none"/>
        </w:rPr>
      </w:pPr>
      <w:r>
        <w:rPr>
          <w:rFonts w:hint="eastAsia" w:ascii="宋体" w:hAnsi="宋体" w:cs="仿宋"/>
          <w:b/>
          <w:color w:val="auto"/>
          <w:sz w:val="24"/>
          <w:highlight w:val="none"/>
        </w:rPr>
        <w:t>文件二：其它响应性投标文件（用于资格审查以外的评标）</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严格按照招标文件要求提供以下五个方面的相关材料：</w:t>
      </w:r>
    </w:p>
    <w:p>
      <w:pPr>
        <w:spacing w:line="400" w:lineRule="exact"/>
        <w:ind w:firstLine="482" w:firstLineChars="200"/>
        <w:rPr>
          <w:rFonts w:ascii="宋体" w:hAnsi="宋体" w:cs="仿宋"/>
          <w:color w:val="auto"/>
          <w:sz w:val="24"/>
          <w:highlight w:val="none"/>
        </w:rPr>
      </w:pPr>
      <w:r>
        <w:rPr>
          <w:rFonts w:hint="eastAsia" w:ascii="宋体" w:hAnsi="宋体" w:cs="仿宋"/>
          <w:b/>
          <w:color w:val="auto"/>
          <w:sz w:val="24"/>
          <w:highlight w:val="none"/>
        </w:rPr>
        <w:t>（一）报价部分。</w:t>
      </w:r>
      <w:r>
        <w:rPr>
          <w:rFonts w:hint="eastAsia" w:ascii="宋体" w:hAnsi="宋体" w:cs="仿宋"/>
          <w:bCs/>
          <w:color w:val="auto"/>
          <w:sz w:val="24"/>
          <w:highlight w:val="none"/>
        </w:rPr>
        <w:t>投标人</w:t>
      </w:r>
      <w:r>
        <w:rPr>
          <w:rFonts w:hint="eastAsia" w:ascii="宋体" w:hAnsi="宋体" w:cs="仿宋"/>
          <w:color w:val="auto"/>
          <w:sz w:val="24"/>
          <w:highlight w:val="none"/>
        </w:rPr>
        <w:t>按照招标文件要求填写的“开标一览表”及“报价明细表”。 本次招标报价要求：</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（1）投标人的报价是投标人响应招标项目要求的全部工作内容的价格体现，包括投标人完成本项目所需的一切费用</w:t>
      </w:r>
      <w:r>
        <w:rPr>
          <w:rFonts w:hint="eastAsia" w:ascii="宋体" w:hAnsi="宋体" w:cs="仿宋"/>
          <w:b/>
          <w:color w:val="auto"/>
          <w:sz w:val="24"/>
          <w:highlight w:val="none"/>
        </w:rPr>
        <w:t>（实质性要求）</w:t>
      </w:r>
      <w:r>
        <w:rPr>
          <w:rFonts w:hint="eastAsia" w:ascii="宋体" w:hAnsi="宋体" w:cs="仿宋"/>
          <w:color w:val="auto"/>
          <w:sz w:val="24"/>
          <w:highlight w:val="none"/>
        </w:rPr>
        <w:t>。</w:t>
      </w:r>
    </w:p>
    <w:p>
      <w:pPr>
        <w:spacing w:line="400" w:lineRule="exact"/>
        <w:ind w:left="2" w:firstLine="480" w:firstLineChars="200"/>
        <w:rPr>
          <w:rFonts w:ascii="宋体" w:hAnsi="宋体" w:cs="仿宋"/>
          <w:color w:val="auto"/>
          <w:sz w:val="24"/>
          <w:highlight w:val="none"/>
        </w:rPr>
      </w:pPr>
      <w:r>
        <w:rPr>
          <w:rFonts w:hint="eastAsia" w:ascii="宋体" w:hAnsi="宋体" w:cs="仿宋"/>
          <w:color w:val="auto"/>
          <w:sz w:val="24"/>
          <w:highlight w:val="none"/>
        </w:rPr>
        <w:t>（2）投标人每项服务只允许有一个报价，并且在合同履行过程中是固定不变的，任何有选择或可调整的报价将不予接受，并按无效投标处理</w:t>
      </w:r>
      <w:r>
        <w:rPr>
          <w:rFonts w:hint="eastAsia" w:ascii="宋体" w:hAnsi="宋体" w:cs="仿宋"/>
          <w:b/>
          <w:color w:val="auto"/>
          <w:sz w:val="24"/>
          <w:highlight w:val="none"/>
        </w:rPr>
        <w:t>（实质性要求）</w:t>
      </w:r>
      <w:r>
        <w:rPr>
          <w:rFonts w:hint="eastAsia" w:ascii="宋体" w:hAnsi="宋体" w:cs="仿宋"/>
          <w:color w:val="auto"/>
          <w:sz w:val="24"/>
          <w:highlight w:val="none"/>
        </w:rPr>
        <w:t>。</w:t>
      </w:r>
    </w:p>
    <w:p>
      <w:pPr>
        <w:spacing w:line="400" w:lineRule="exact"/>
        <w:ind w:firstLine="482" w:firstLineChars="200"/>
        <w:rPr>
          <w:rFonts w:ascii="宋体" w:hAnsi="宋体" w:cs="仿宋"/>
          <w:color w:val="auto"/>
          <w:sz w:val="24"/>
          <w:highlight w:val="none"/>
        </w:rPr>
      </w:pPr>
      <w:r>
        <w:rPr>
          <w:rFonts w:hint="eastAsia" w:ascii="宋体" w:hAnsi="宋体" w:cs="仿宋"/>
          <w:b/>
          <w:color w:val="auto"/>
          <w:sz w:val="24"/>
          <w:highlight w:val="none"/>
        </w:rPr>
        <w:t>（二）服务部分。</w:t>
      </w:r>
      <w:r>
        <w:rPr>
          <w:rFonts w:hint="eastAsia" w:ascii="宋体" w:hAnsi="宋体" w:cs="仿宋"/>
          <w:color w:val="auto"/>
          <w:sz w:val="24"/>
          <w:highlight w:val="none"/>
        </w:rPr>
        <w:t>投标人按照招标文件要求做出的技术应答，主要是针对招标项目的服务指标、参数和服务要求做出的实质性响应和满足。</w:t>
      </w:r>
    </w:p>
    <w:p>
      <w:pPr>
        <w:spacing w:line="400" w:lineRule="exact"/>
        <w:ind w:firstLine="480" w:firstLineChars="200"/>
        <w:rPr>
          <w:rFonts w:ascii="宋体" w:hAnsi="宋体" w:cs="仿宋"/>
          <w:b/>
          <w:color w:val="auto"/>
          <w:sz w:val="24"/>
          <w:highlight w:val="none"/>
        </w:rPr>
      </w:pPr>
      <w:r>
        <w:rPr>
          <w:rFonts w:hint="eastAsia" w:ascii="宋体" w:hAnsi="宋体" w:cs="仿宋"/>
          <w:color w:val="auto"/>
          <w:sz w:val="24"/>
          <w:highlight w:val="none"/>
        </w:rPr>
        <w:t>（4）投标人认为需要提供的文件和资料。</w:t>
      </w:r>
    </w:p>
    <w:p>
      <w:pPr>
        <w:spacing w:line="400" w:lineRule="exact"/>
        <w:ind w:firstLine="482" w:firstLineChars="200"/>
        <w:rPr>
          <w:rFonts w:hint="eastAsia" w:ascii="宋体" w:hAnsi="宋体" w:eastAsia="宋体" w:cs="仿宋"/>
          <w:color w:val="auto"/>
          <w:sz w:val="24"/>
          <w:highlight w:val="none"/>
          <w:lang w:eastAsia="zh-CN"/>
        </w:rPr>
      </w:pPr>
      <w:r>
        <w:rPr>
          <w:rFonts w:hint="eastAsia" w:ascii="宋体" w:hAnsi="宋体" w:cs="仿宋"/>
          <w:b/>
          <w:color w:val="auto"/>
          <w:sz w:val="24"/>
          <w:highlight w:val="none"/>
        </w:rPr>
        <w:t>（三）商务部分。</w:t>
      </w:r>
      <w:r>
        <w:rPr>
          <w:rFonts w:hint="eastAsia" w:ascii="宋体" w:hAnsi="宋体" w:cs="仿宋"/>
          <w:color w:val="auto"/>
          <w:sz w:val="24"/>
          <w:highlight w:val="none"/>
        </w:rPr>
        <w:t>投标人按照招标文件要求提供的有关文件及优惠承诺。包括以下内容：</w:t>
      </w:r>
      <w:r>
        <w:rPr>
          <w:rFonts w:hint="eastAsia" w:ascii="宋体" w:hAnsi="宋体" w:cs="仿宋"/>
          <w:color w:val="auto"/>
          <w:sz w:val="24"/>
          <w:highlight w:val="none"/>
          <w:lang w:eastAsia="zh-CN"/>
        </w:rPr>
        <w:t>（如涉及）</w:t>
      </w:r>
    </w:p>
    <w:p>
      <w:pPr>
        <w:spacing w:line="240" w:lineRule="auto"/>
        <w:ind w:firstLine="480" w:firstLineChars="200"/>
        <w:rPr>
          <w:rFonts w:ascii="宋体" w:hAnsi="宋体" w:cs="仿宋"/>
          <w:color w:val="auto"/>
          <w:sz w:val="24"/>
          <w:highlight w:val="none"/>
        </w:rPr>
      </w:pPr>
      <w:r>
        <w:rPr>
          <w:rFonts w:hint="eastAsia" w:ascii="宋体" w:hAnsi="宋体" w:cs="仿宋"/>
          <w:color w:val="auto"/>
          <w:sz w:val="24"/>
          <w:highlight w:val="none"/>
          <w:lang w:val="en-US" w:eastAsia="zh-CN"/>
        </w:rPr>
        <w:t xml:space="preserve">（1）投标函； </w:t>
      </w:r>
    </w:p>
    <w:p>
      <w:pPr>
        <w:spacing w:line="240" w:lineRule="auto"/>
        <w:ind w:firstLine="480" w:firstLineChars="200"/>
        <w:rPr>
          <w:rFonts w:ascii="宋体" w:hAnsi="宋体" w:cs="仿宋"/>
          <w:color w:val="auto"/>
          <w:sz w:val="24"/>
          <w:highlight w:val="none"/>
        </w:rPr>
      </w:pPr>
      <w:r>
        <w:rPr>
          <w:rFonts w:hint="eastAsia" w:ascii="宋体" w:hAnsi="宋体" w:cs="仿宋"/>
          <w:color w:val="auto"/>
          <w:sz w:val="24"/>
          <w:highlight w:val="none"/>
          <w:lang w:val="en-US" w:eastAsia="zh-CN"/>
        </w:rPr>
        <w:t xml:space="preserve">（2）承诺及声明函； </w:t>
      </w:r>
    </w:p>
    <w:p>
      <w:pPr>
        <w:spacing w:line="240" w:lineRule="auto"/>
        <w:ind w:firstLine="480" w:firstLineChars="200"/>
        <w:rPr>
          <w:rFonts w:ascii="宋体" w:hAnsi="宋体" w:cs="仿宋"/>
          <w:color w:val="auto"/>
          <w:sz w:val="24"/>
          <w:highlight w:val="none"/>
        </w:rPr>
      </w:pPr>
      <w:r>
        <w:rPr>
          <w:rFonts w:hint="eastAsia" w:ascii="宋体" w:hAnsi="宋体" w:cs="仿宋"/>
          <w:color w:val="auto"/>
          <w:sz w:val="24"/>
          <w:highlight w:val="none"/>
          <w:lang w:val="en-US" w:eastAsia="zh-CN"/>
        </w:rPr>
        <w:t xml:space="preserve">（3）商务应答表； </w:t>
      </w:r>
    </w:p>
    <w:p>
      <w:pPr>
        <w:spacing w:line="240" w:lineRule="auto"/>
        <w:ind w:firstLine="480" w:firstLineChars="200"/>
        <w:rPr>
          <w:rFonts w:ascii="宋体" w:hAnsi="宋体" w:cs="仿宋"/>
          <w:color w:val="auto"/>
          <w:sz w:val="24"/>
          <w:highlight w:val="none"/>
        </w:rPr>
      </w:pPr>
      <w:r>
        <w:rPr>
          <w:rFonts w:hint="eastAsia" w:ascii="宋体" w:hAnsi="宋体" w:cs="仿宋"/>
          <w:color w:val="auto"/>
          <w:sz w:val="24"/>
          <w:highlight w:val="none"/>
          <w:lang w:val="en-US" w:eastAsia="zh-CN"/>
        </w:rPr>
        <w:t xml:space="preserve">（4）供应商基本情况表； </w:t>
      </w:r>
    </w:p>
    <w:p>
      <w:pPr>
        <w:spacing w:line="240" w:lineRule="auto"/>
        <w:ind w:firstLine="480" w:firstLineChars="200"/>
        <w:rPr>
          <w:rFonts w:ascii="宋体" w:hAnsi="宋体" w:cs="仿宋"/>
          <w:color w:val="auto"/>
          <w:sz w:val="24"/>
          <w:highlight w:val="none"/>
        </w:rPr>
      </w:pPr>
      <w:r>
        <w:rPr>
          <w:rFonts w:hint="eastAsia" w:ascii="宋体" w:hAnsi="宋体" w:cs="仿宋"/>
          <w:color w:val="auto"/>
          <w:sz w:val="24"/>
          <w:highlight w:val="none"/>
          <w:lang w:val="en-US" w:eastAsia="zh-CN"/>
        </w:rPr>
        <w:t xml:space="preserve">（5）供应商类似项目业绩一览表； </w:t>
      </w:r>
    </w:p>
    <w:p>
      <w:pPr>
        <w:spacing w:line="240" w:lineRule="auto"/>
        <w:ind w:firstLine="480" w:firstLineChars="200"/>
        <w:rPr>
          <w:rFonts w:ascii="宋体" w:hAnsi="宋体" w:cs="仿宋"/>
          <w:color w:val="auto"/>
          <w:sz w:val="24"/>
          <w:highlight w:val="none"/>
        </w:rPr>
      </w:pPr>
      <w:r>
        <w:rPr>
          <w:rFonts w:hint="eastAsia" w:ascii="宋体" w:hAnsi="宋体" w:cs="仿宋"/>
          <w:color w:val="auto"/>
          <w:sz w:val="24"/>
          <w:highlight w:val="none"/>
          <w:lang w:val="en-US" w:eastAsia="zh-CN"/>
        </w:rPr>
        <w:t xml:space="preserve">（6）供应商本项目管理、技术、服务人员情况表； </w:t>
      </w:r>
    </w:p>
    <w:p>
      <w:pPr>
        <w:spacing w:line="240" w:lineRule="auto"/>
        <w:ind w:firstLine="480" w:firstLineChars="200"/>
        <w:rPr>
          <w:rFonts w:ascii="宋体" w:hAnsi="宋体" w:cs="仿宋"/>
          <w:color w:val="auto"/>
          <w:sz w:val="24"/>
          <w:highlight w:val="none"/>
        </w:rPr>
      </w:pPr>
      <w:r>
        <w:rPr>
          <w:rFonts w:hint="eastAsia" w:ascii="宋体" w:hAnsi="宋体" w:cs="仿宋"/>
          <w:color w:val="auto"/>
          <w:sz w:val="24"/>
          <w:highlight w:val="none"/>
          <w:lang w:val="en-US" w:eastAsia="zh-CN"/>
        </w:rPr>
        <w:t xml:space="preserve">（7）中小企业声明函（服务）； </w:t>
      </w:r>
    </w:p>
    <w:p>
      <w:pPr>
        <w:spacing w:line="240" w:lineRule="auto"/>
        <w:ind w:firstLine="480" w:firstLineChars="200"/>
        <w:rPr>
          <w:rFonts w:ascii="宋体" w:hAnsi="宋体" w:cs="仿宋"/>
          <w:color w:val="auto"/>
          <w:sz w:val="24"/>
          <w:highlight w:val="none"/>
        </w:rPr>
      </w:pPr>
      <w:r>
        <w:rPr>
          <w:rFonts w:hint="eastAsia" w:ascii="宋体" w:hAnsi="宋体" w:cs="仿宋"/>
          <w:color w:val="auto"/>
          <w:sz w:val="24"/>
          <w:highlight w:val="none"/>
          <w:lang w:val="en-US" w:eastAsia="zh-CN"/>
        </w:rPr>
        <w:t xml:space="preserve">（8）残疾人福利性单位声明函（如涉及）； </w:t>
      </w:r>
    </w:p>
    <w:p>
      <w:pPr>
        <w:spacing w:line="240" w:lineRule="auto"/>
        <w:ind w:firstLine="480" w:firstLineChars="200"/>
        <w:rPr>
          <w:rFonts w:hint="eastAsia" w:ascii="宋体" w:hAnsi="宋体" w:cs="仿宋"/>
          <w:color w:val="auto"/>
          <w:sz w:val="24"/>
          <w:highlight w:val="none"/>
          <w:lang w:val="en-US" w:eastAsia="zh-CN"/>
        </w:rPr>
      </w:pPr>
      <w:r>
        <w:rPr>
          <w:rFonts w:hint="eastAsia" w:ascii="宋体" w:hAnsi="宋体" w:cs="仿宋"/>
          <w:color w:val="auto"/>
          <w:sz w:val="24"/>
          <w:highlight w:val="none"/>
          <w:lang w:val="en-US" w:eastAsia="zh-CN"/>
        </w:rPr>
        <w:t xml:space="preserve">（9）监狱企业的证明文件（如涉及）； </w:t>
      </w:r>
    </w:p>
    <w:p>
      <w:pPr>
        <w:pStyle w:val="2"/>
        <w:spacing w:line="240" w:lineRule="auto"/>
        <w:rPr>
          <w:rFonts w:hint="default"/>
          <w:color w:val="auto"/>
          <w:highlight w:val="none"/>
          <w:lang w:val="en-US"/>
        </w:rPr>
      </w:pPr>
      <w:r>
        <w:rPr>
          <w:rFonts w:hint="eastAsia" w:ascii="宋体" w:hAnsi="宋体" w:cs="仿宋"/>
          <w:color w:val="auto"/>
          <w:sz w:val="24"/>
          <w:highlight w:val="none"/>
          <w:lang w:val="en-US" w:eastAsia="zh-CN"/>
        </w:rPr>
        <w:t xml:space="preserve">    （10）招标代理服务费承诺函</w:t>
      </w:r>
    </w:p>
    <w:p>
      <w:pPr>
        <w:spacing w:line="240" w:lineRule="auto"/>
        <w:ind w:firstLine="480" w:firstLineChars="200"/>
        <w:rPr>
          <w:rFonts w:ascii="宋体" w:hAnsi="宋体" w:cs="仿宋"/>
          <w:color w:val="auto"/>
          <w:sz w:val="24"/>
          <w:highlight w:val="none"/>
        </w:rPr>
      </w:pPr>
      <w:r>
        <w:rPr>
          <w:rFonts w:hint="eastAsia" w:ascii="宋体" w:hAnsi="宋体" w:cs="仿宋"/>
          <w:color w:val="auto"/>
          <w:sz w:val="24"/>
          <w:highlight w:val="none"/>
          <w:lang w:val="en-US" w:eastAsia="zh-CN"/>
        </w:rPr>
        <w:t>（11）其他供应商认为应当提供的文件和资料。</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lang w:val="en-US" w:eastAsia="zh-CN"/>
        </w:rPr>
        <w:t>注：供应商承诺给予招标采购单位的各种优惠条件(如有，优惠条件事项不能包括采购项目本身所包含的采购事项。供应商不能以“赠送、赠予”等任何名义提供货物和服务以规避招标文件的约束。否则，供应商提供的投标文件将作为无效投标处理，即使中标也将取消中标资格)；</w:t>
      </w:r>
    </w:p>
    <w:p>
      <w:pPr>
        <w:spacing w:line="400" w:lineRule="exact"/>
        <w:ind w:left="479" w:leftChars="228" w:firstLine="0" w:firstLineChars="0"/>
        <w:rPr>
          <w:rFonts w:ascii="宋体" w:hAnsi="宋体" w:cs="仿宋"/>
          <w:color w:val="auto"/>
          <w:sz w:val="24"/>
          <w:highlight w:val="none"/>
        </w:rPr>
      </w:pPr>
      <w:r>
        <w:rPr>
          <w:rFonts w:hint="eastAsia" w:ascii="宋体" w:hAnsi="宋体" w:cs="仿宋"/>
          <w:b/>
          <w:color w:val="auto"/>
          <w:sz w:val="24"/>
          <w:highlight w:val="none"/>
        </w:rPr>
        <w:t>（四）售后服务。</w:t>
      </w:r>
      <w:r>
        <w:rPr>
          <w:rFonts w:hint="eastAsia" w:ascii="宋体" w:hAnsi="宋体" w:cs="仿宋"/>
          <w:color w:val="auto"/>
          <w:sz w:val="24"/>
          <w:highlight w:val="none"/>
        </w:rPr>
        <w:t>投标人按照招标文件中售后服务要求作出的积极响应和承诺。</w:t>
      </w:r>
      <w:r>
        <w:rPr>
          <w:rFonts w:hint="eastAsia" w:ascii="宋体" w:hAnsi="宋体" w:cs="仿宋"/>
          <w:b/>
          <w:bCs/>
          <w:color w:val="auto"/>
          <w:sz w:val="24"/>
          <w:highlight w:val="none"/>
        </w:rPr>
        <w:t>（五）其他部分。</w:t>
      </w:r>
      <w:r>
        <w:rPr>
          <w:rFonts w:hint="eastAsia" w:ascii="宋体" w:hAnsi="宋体" w:cs="仿宋"/>
          <w:bCs/>
          <w:color w:val="auto"/>
          <w:sz w:val="24"/>
          <w:highlight w:val="none"/>
        </w:rPr>
        <w:t>投标人按照招标文件要求作出的其他应答和承诺。</w:t>
      </w:r>
    </w:p>
    <w:p>
      <w:pPr>
        <w:pStyle w:val="5"/>
        <w:tabs>
          <w:tab w:val="left" w:pos="3480"/>
        </w:tabs>
        <w:spacing w:before="0" w:after="0" w:line="400" w:lineRule="exact"/>
        <w:ind w:firstLine="482" w:firstLineChars="200"/>
        <w:rPr>
          <w:rFonts w:ascii="宋体" w:hAnsi="宋体" w:cs="仿宋"/>
          <w:color w:val="auto"/>
          <w:sz w:val="24"/>
          <w:highlight w:val="none"/>
        </w:rPr>
      </w:pPr>
      <w:bookmarkStart w:id="65" w:name="_Toc183582218"/>
      <w:bookmarkStart w:id="66" w:name="_Toc183682355"/>
      <w:bookmarkStart w:id="67" w:name="_Toc308164799"/>
      <w:bookmarkStart w:id="68" w:name="_Toc217446049"/>
      <w:r>
        <w:rPr>
          <w:rFonts w:hint="eastAsia" w:ascii="宋体" w:hAnsi="宋体" w:cs="仿宋"/>
          <w:color w:val="auto"/>
          <w:sz w:val="24"/>
          <w:highlight w:val="none"/>
        </w:rPr>
        <w:t>15．投标文件格式</w:t>
      </w:r>
      <w:bookmarkEnd w:id="65"/>
      <w:bookmarkEnd w:id="66"/>
      <w:bookmarkEnd w:id="67"/>
      <w:bookmarkEnd w:id="68"/>
    </w:p>
    <w:p>
      <w:pPr>
        <w:tabs>
          <w:tab w:val="left" w:pos="7665"/>
        </w:tabs>
        <w:spacing w:line="400" w:lineRule="exact"/>
        <w:ind w:left="13" w:leftChars="6" w:firstLine="480" w:firstLineChars="200"/>
        <w:rPr>
          <w:rFonts w:ascii="宋体" w:hAnsi="宋体" w:cs="仿宋"/>
          <w:color w:val="auto"/>
          <w:sz w:val="24"/>
          <w:highlight w:val="none"/>
        </w:rPr>
      </w:pPr>
      <w:r>
        <w:rPr>
          <w:rFonts w:hint="eastAsia" w:ascii="宋体" w:hAnsi="宋体" w:cs="仿宋"/>
          <w:color w:val="auto"/>
          <w:sz w:val="24"/>
          <w:highlight w:val="none"/>
        </w:rPr>
        <w:t>15.1 投标人应执行招标文件第三章的规定要求。第三章格式中“注”的内容，投标人可自行决定是否保留在投标文件中。</w:t>
      </w:r>
    </w:p>
    <w:p>
      <w:pPr>
        <w:tabs>
          <w:tab w:val="left" w:pos="7665"/>
        </w:tabs>
        <w:spacing w:line="400" w:lineRule="exact"/>
        <w:ind w:left="13" w:leftChars="6" w:firstLine="480" w:firstLineChars="200"/>
        <w:rPr>
          <w:rFonts w:ascii="宋体" w:hAnsi="宋体" w:cs="仿宋"/>
          <w:color w:val="auto"/>
          <w:sz w:val="24"/>
          <w:highlight w:val="none"/>
        </w:rPr>
      </w:pPr>
      <w:r>
        <w:rPr>
          <w:rFonts w:hint="eastAsia" w:ascii="宋体" w:hAnsi="宋体" w:cs="仿宋"/>
          <w:color w:val="auto"/>
          <w:sz w:val="24"/>
          <w:highlight w:val="none"/>
        </w:rPr>
        <w:t>15.2 对于没有格式要求的投标文件由投标人自行编写。</w:t>
      </w:r>
    </w:p>
    <w:p>
      <w:pPr>
        <w:pStyle w:val="5"/>
        <w:spacing w:before="0" w:after="0" w:line="400" w:lineRule="exact"/>
        <w:ind w:firstLine="482" w:firstLineChars="200"/>
        <w:rPr>
          <w:rFonts w:ascii="宋体" w:hAnsi="宋体" w:cs="仿宋"/>
          <w:color w:val="auto"/>
          <w:sz w:val="24"/>
          <w:highlight w:val="none"/>
        </w:rPr>
      </w:pPr>
      <w:bookmarkStart w:id="69" w:name="_Toc308164800"/>
      <w:bookmarkStart w:id="70" w:name="_Toc217446050"/>
      <w:bookmarkStart w:id="71" w:name="_Toc183582223"/>
      <w:bookmarkStart w:id="72" w:name="_Toc183682360"/>
      <w:r>
        <w:rPr>
          <w:rFonts w:hint="eastAsia" w:ascii="宋体" w:hAnsi="宋体" w:cs="仿宋"/>
          <w:bCs w:val="0"/>
          <w:color w:val="auto"/>
          <w:sz w:val="24"/>
          <w:highlight w:val="none"/>
        </w:rPr>
        <w:t>16．投标保证金</w:t>
      </w:r>
      <w:bookmarkEnd w:id="69"/>
      <w:bookmarkEnd w:id="70"/>
      <w:bookmarkEnd w:id="71"/>
      <w:bookmarkEnd w:id="72"/>
      <w:r>
        <w:rPr>
          <w:rFonts w:hint="eastAsia" w:ascii="宋体" w:hAnsi="宋体" w:cs="仿宋"/>
          <w:bCs w:val="0"/>
          <w:color w:val="auto"/>
          <w:sz w:val="24"/>
          <w:highlight w:val="none"/>
        </w:rPr>
        <w:t>（本项目不收取）</w:t>
      </w:r>
    </w:p>
    <w:p>
      <w:pPr>
        <w:pStyle w:val="5"/>
        <w:spacing w:before="0" w:after="0" w:line="400" w:lineRule="exact"/>
        <w:ind w:firstLine="482" w:firstLineChars="200"/>
        <w:rPr>
          <w:rFonts w:ascii="宋体" w:hAnsi="宋体" w:cs="仿宋"/>
          <w:bCs w:val="0"/>
          <w:color w:val="auto"/>
          <w:sz w:val="24"/>
          <w:highlight w:val="none"/>
        </w:rPr>
      </w:pPr>
      <w:bookmarkStart w:id="73" w:name="_Toc308164801"/>
      <w:bookmarkStart w:id="74" w:name="_Toc183582224"/>
      <w:bookmarkStart w:id="75" w:name="_Toc183682361"/>
      <w:bookmarkStart w:id="76" w:name="_Toc217446051"/>
      <w:r>
        <w:rPr>
          <w:rFonts w:hint="eastAsia" w:ascii="宋体" w:hAnsi="宋体" w:cs="仿宋"/>
          <w:bCs w:val="0"/>
          <w:color w:val="auto"/>
          <w:sz w:val="24"/>
          <w:highlight w:val="none"/>
        </w:rPr>
        <w:t>17．投标有效期</w:t>
      </w:r>
      <w:bookmarkEnd w:id="73"/>
      <w:bookmarkEnd w:id="74"/>
      <w:bookmarkEnd w:id="75"/>
      <w:bookmarkEnd w:id="76"/>
      <w:r>
        <w:rPr>
          <w:rFonts w:hint="eastAsia" w:ascii="宋体" w:hAnsi="宋体" w:cs="仿宋"/>
          <w:color w:val="auto"/>
          <w:sz w:val="24"/>
          <w:szCs w:val="24"/>
          <w:highlight w:val="none"/>
        </w:rPr>
        <w:t>（实质性要求）</w:t>
      </w:r>
    </w:p>
    <w:p>
      <w:pPr>
        <w:tabs>
          <w:tab w:val="left" w:pos="7665"/>
        </w:tabs>
        <w:spacing w:line="400" w:lineRule="exact"/>
        <w:ind w:left="13" w:leftChars="6" w:firstLine="480" w:firstLineChars="200"/>
        <w:rPr>
          <w:rFonts w:ascii="宋体" w:hAnsi="宋体" w:cs="仿宋"/>
          <w:color w:val="auto"/>
          <w:sz w:val="24"/>
          <w:highlight w:val="none"/>
        </w:rPr>
      </w:pPr>
      <w:r>
        <w:rPr>
          <w:rFonts w:hint="eastAsia" w:ascii="宋体" w:hAnsi="宋体" w:cs="仿宋"/>
          <w:color w:val="auto"/>
          <w:sz w:val="24"/>
          <w:highlight w:val="none"/>
        </w:rPr>
        <w:t>17.1</w:t>
      </w:r>
      <w:r>
        <w:rPr>
          <w:rFonts w:hint="eastAsia" w:ascii="宋体" w:hAnsi="宋体" w:cs="仿宋"/>
          <w:b/>
          <w:color w:val="auto"/>
          <w:sz w:val="24"/>
          <w:highlight w:val="none"/>
        </w:rPr>
        <w:t>本项目投标有效期为投标截止之日起90天</w:t>
      </w:r>
      <w:r>
        <w:rPr>
          <w:rFonts w:hint="eastAsia" w:ascii="宋体" w:hAnsi="宋体" w:cs="仿宋"/>
          <w:color w:val="auto"/>
          <w:sz w:val="24"/>
          <w:highlight w:val="none"/>
        </w:rPr>
        <w:t>（投标有效期从提交投标文件的截至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宋体" w:hAnsi="宋体" w:cs="仿宋"/>
          <w:color w:val="auto"/>
          <w:sz w:val="24"/>
          <w:highlight w:val="none"/>
        </w:rPr>
      </w:pPr>
      <w:r>
        <w:rPr>
          <w:rFonts w:hint="eastAsia" w:ascii="宋体" w:hAnsi="宋体" w:cs="仿宋"/>
          <w:color w:val="auto"/>
          <w:sz w:val="24"/>
          <w:highlight w:val="none"/>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宋体" w:hAnsi="宋体" w:cs="仿宋"/>
          <w:color w:val="auto"/>
          <w:sz w:val="24"/>
          <w:highlight w:val="none"/>
        </w:rPr>
      </w:pPr>
      <w:r>
        <w:rPr>
          <w:rFonts w:hint="eastAsia" w:ascii="宋体" w:hAnsi="宋体" w:cs="仿宋"/>
          <w:color w:val="auto"/>
          <w:sz w:val="24"/>
          <w:highlight w:val="none"/>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
        <w:spacing w:before="0" w:after="0" w:line="400" w:lineRule="exact"/>
        <w:ind w:firstLine="482" w:firstLineChars="200"/>
        <w:rPr>
          <w:rFonts w:ascii="宋体" w:hAnsi="宋体" w:cs="仿宋"/>
          <w:bCs w:val="0"/>
          <w:color w:val="auto"/>
          <w:sz w:val="24"/>
          <w:highlight w:val="none"/>
        </w:rPr>
      </w:pPr>
      <w:bookmarkStart w:id="77" w:name="_Toc217446052"/>
      <w:bookmarkStart w:id="78" w:name="_Toc183682362"/>
      <w:bookmarkStart w:id="79" w:name="_Toc183582225"/>
      <w:bookmarkStart w:id="80" w:name="_Toc308164802"/>
      <w:r>
        <w:rPr>
          <w:rFonts w:hint="eastAsia" w:ascii="宋体" w:hAnsi="宋体" w:cs="仿宋"/>
          <w:bCs w:val="0"/>
          <w:color w:val="auto"/>
          <w:sz w:val="24"/>
          <w:highlight w:val="none"/>
        </w:rPr>
        <w:t>18．投标文件的印制和签署</w:t>
      </w:r>
      <w:bookmarkEnd w:id="77"/>
      <w:bookmarkEnd w:id="78"/>
      <w:bookmarkEnd w:id="79"/>
      <w:bookmarkEnd w:id="80"/>
    </w:p>
    <w:p>
      <w:pPr>
        <w:tabs>
          <w:tab w:val="left" w:pos="1080"/>
        </w:tabs>
        <w:spacing w:line="400" w:lineRule="exact"/>
        <w:ind w:firstLine="460" w:firstLineChars="192"/>
        <w:rPr>
          <w:rFonts w:ascii="宋体" w:hAnsi="宋体" w:cs="仿宋"/>
          <w:color w:val="auto"/>
          <w:sz w:val="24"/>
          <w:highlight w:val="none"/>
        </w:rPr>
      </w:pPr>
      <w:r>
        <w:rPr>
          <w:rFonts w:hint="eastAsia" w:ascii="宋体" w:hAnsi="宋体" w:cs="仿宋"/>
          <w:color w:val="auto"/>
          <w:sz w:val="24"/>
          <w:highlight w:val="none"/>
        </w:rPr>
        <w:t>18.1投标文件分为“资格性投标文件”和“其他响应性投标文件”两部分，且该两部分应分册装订。“资格性投标文件”用于采购人或采购代理机构对本项目的资格审查，“其它响应性投标文件”用于评标委员会针对本项目资格审查以外的评审。</w:t>
      </w:r>
    </w:p>
    <w:p>
      <w:pPr>
        <w:tabs>
          <w:tab w:val="left" w:pos="1080"/>
        </w:tabs>
        <w:spacing w:line="400" w:lineRule="exact"/>
        <w:ind w:firstLine="460" w:firstLineChars="192"/>
        <w:rPr>
          <w:rFonts w:ascii="宋体" w:hAnsi="宋体" w:cs="仿宋"/>
          <w:color w:val="auto"/>
          <w:sz w:val="24"/>
          <w:highlight w:val="none"/>
        </w:rPr>
      </w:pPr>
      <w:r>
        <w:rPr>
          <w:rFonts w:hint="eastAsia" w:ascii="宋体" w:hAnsi="宋体" w:cs="仿宋"/>
          <w:color w:val="auto"/>
          <w:sz w:val="24"/>
          <w:highlight w:val="none"/>
        </w:rPr>
        <w:t>18.2 投标人应按18.1准备两部分投标文件，每部分含正本壹份、副本贰份和相应的电子文档壹份，以及用于开标唱标单独密封提交的“开标一览表”（壹份）。投标文件的正本和副本应在其封面右上角清楚地标明“正本”或“副本”字样。若正本和副本有不一致的内容，以正本书面投标文件为准。</w:t>
      </w:r>
    </w:p>
    <w:p>
      <w:pPr>
        <w:tabs>
          <w:tab w:val="left" w:pos="1080"/>
        </w:tabs>
        <w:spacing w:line="400" w:lineRule="exact"/>
        <w:ind w:firstLine="460" w:firstLineChars="192"/>
        <w:rPr>
          <w:rFonts w:ascii="宋体" w:hAnsi="宋体" w:cs="仿宋"/>
          <w:color w:val="auto"/>
          <w:sz w:val="24"/>
          <w:highlight w:val="none"/>
        </w:rPr>
      </w:pPr>
      <w:r>
        <w:rPr>
          <w:rFonts w:hint="eastAsia" w:ascii="宋体" w:hAnsi="宋体" w:cs="仿宋"/>
          <w:color w:val="auto"/>
          <w:sz w:val="24"/>
          <w:highlight w:val="none"/>
        </w:rPr>
        <w:t>18.3“开标一览表”除单独密封提交外，还应编制于其他响应性投标文件正副本内，如有遗漏，将视为无效投标</w:t>
      </w:r>
      <w:r>
        <w:rPr>
          <w:rFonts w:hint="eastAsia" w:ascii="宋体" w:hAnsi="宋体" w:cs="仿宋"/>
          <w:b/>
          <w:color w:val="auto"/>
          <w:sz w:val="24"/>
          <w:highlight w:val="none"/>
        </w:rPr>
        <w:t>（实质性要求）</w:t>
      </w:r>
      <w:r>
        <w:rPr>
          <w:rFonts w:hint="eastAsia" w:ascii="宋体" w:hAnsi="宋体" w:cs="仿宋"/>
          <w:color w:val="auto"/>
          <w:sz w:val="24"/>
          <w:highlight w:val="none"/>
        </w:rPr>
        <w:t>。</w:t>
      </w:r>
    </w:p>
    <w:p>
      <w:pPr>
        <w:tabs>
          <w:tab w:val="left" w:pos="1095"/>
        </w:tabs>
        <w:spacing w:line="400" w:lineRule="exact"/>
        <w:ind w:firstLine="460" w:firstLineChars="192"/>
        <w:rPr>
          <w:rFonts w:ascii="宋体" w:hAnsi="宋体" w:cs="仿宋"/>
          <w:color w:val="auto"/>
          <w:sz w:val="24"/>
          <w:highlight w:val="none"/>
        </w:rPr>
      </w:pPr>
      <w:r>
        <w:rPr>
          <w:rFonts w:hint="eastAsia" w:ascii="宋体" w:hAnsi="宋体" w:cs="仿宋"/>
          <w:color w:val="auto"/>
          <w:sz w:val="24"/>
          <w:highlight w:val="none"/>
        </w:rPr>
        <w:t>18.4 投标文件的正本和副本均需打印或用不褪色、不变质的墨水书写，并由投标人的法定代表人或其授权代表在规定签章处签字或盖章。投标文件副本可采用正本的复印件，电子文档采用U盘制作。用于开标唱标单独提交的“开标一览表”应为原件。</w:t>
      </w:r>
    </w:p>
    <w:p>
      <w:pPr>
        <w:tabs>
          <w:tab w:val="left" w:pos="1095"/>
        </w:tabs>
        <w:spacing w:line="400" w:lineRule="exact"/>
        <w:ind w:firstLine="460" w:firstLineChars="192"/>
        <w:rPr>
          <w:rFonts w:ascii="宋体" w:hAnsi="宋体" w:cs="仿宋"/>
          <w:color w:val="auto"/>
          <w:sz w:val="24"/>
          <w:highlight w:val="none"/>
        </w:rPr>
      </w:pPr>
      <w:r>
        <w:rPr>
          <w:rFonts w:hint="eastAsia" w:ascii="宋体" w:hAnsi="宋体" w:cs="仿宋"/>
          <w:color w:val="auto"/>
          <w:sz w:val="24"/>
          <w:highlight w:val="none"/>
        </w:rPr>
        <w:t>18.5 投标文件的打印和书写应清楚工整，任何行间插字、涂改或增删，必须由投标人的法定代表人（单位负责人）或其授权代表签字。</w:t>
      </w:r>
    </w:p>
    <w:p>
      <w:pPr>
        <w:tabs>
          <w:tab w:val="left" w:pos="1080"/>
        </w:tabs>
        <w:spacing w:line="400" w:lineRule="exact"/>
        <w:ind w:firstLine="460" w:firstLineChars="192"/>
        <w:rPr>
          <w:rFonts w:ascii="宋体" w:hAnsi="宋体" w:cs="仿宋"/>
          <w:color w:val="auto"/>
          <w:sz w:val="24"/>
          <w:highlight w:val="none"/>
        </w:rPr>
      </w:pPr>
      <w:r>
        <w:rPr>
          <w:rFonts w:hint="eastAsia" w:ascii="宋体" w:hAnsi="宋体" w:cs="仿宋"/>
          <w:color w:val="auto"/>
          <w:sz w:val="24"/>
          <w:highlight w:val="none"/>
        </w:rPr>
        <w:t>18.6 投标文件正本和副本应当采取胶装方式装订成册，不得散装或者合页装订。</w:t>
      </w:r>
    </w:p>
    <w:p>
      <w:pPr>
        <w:tabs>
          <w:tab w:val="left" w:pos="1080"/>
        </w:tabs>
        <w:spacing w:line="400" w:lineRule="exact"/>
        <w:ind w:firstLine="460" w:firstLineChars="192"/>
        <w:rPr>
          <w:rFonts w:ascii="宋体" w:hAnsi="宋体" w:cs="仿宋"/>
          <w:color w:val="auto"/>
          <w:sz w:val="24"/>
          <w:highlight w:val="none"/>
        </w:rPr>
      </w:pPr>
      <w:r>
        <w:rPr>
          <w:rFonts w:hint="eastAsia" w:ascii="宋体" w:hAnsi="宋体" w:cs="仿宋"/>
          <w:color w:val="auto"/>
          <w:sz w:val="24"/>
          <w:highlight w:val="none"/>
        </w:rPr>
        <w:t>18.7 投标文件应根据招标文件的要求制作，签署、盖章和内容应完整。</w:t>
      </w:r>
    </w:p>
    <w:p>
      <w:pPr>
        <w:tabs>
          <w:tab w:val="left" w:pos="1080"/>
        </w:tabs>
        <w:spacing w:line="400" w:lineRule="exact"/>
        <w:ind w:firstLine="460" w:firstLineChars="192"/>
        <w:rPr>
          <w:rFonts w:ascii="宋体" w:hAnsi="宋体" w:cs="仿宋"/>
          <w:color w:val="auto"/>
          <w:sz w:val="24"/>
          <w:highlight w:val="none"/>
        </w:rPr>
      </w:pPr>
      <w:r>
        <w:rPr>
          <w:rFonts w:hint="eastAsia" w:ascii="宋体" w:hAnsi="宋体" w:cs="仿宋"/>
          <w:color w:val="auto"/>
          <w:sz w:val="24"/>
          <w:highlight w:val="none"/>
        </w:rPr>
        <w:t>18.8 投标文件统一用A4幅面纸印制，逐页编码。</w:t>
      </w:r>
    </w:p>
    <w:p>
      <w:pPr>
        <w:tabs>
          <w:tab w:val="left" w:pos="1080"/>
        </w:tabs>
        <w:spacing w:line="400" w:lineRule="exact"/>
        <w:ind w:firstLine="460" w:firstLineChars="192"/>
        <w:rPr>
          <w:rFonts w:ascii="宋体" w:hAnsi="宋体" w:cs="仿宋"/>
          <w:color w:val="auto"/>
          <w:sz w:val="24"/>
          <w:highlight w:val="none"/>
        </w:rPr>
      </w:pPr>
      <w:r>
        <w:rPr>
          <w:rFonts w:hint="eastAsia" w:ascii="宋体" w:hAnsi="宋体" w:cs="仿宋"/>
          <w:color w:val="auto"/>
          <w:sz w:val="24"/>
          <w:highlight w:val="none"/>
        </w:rPr>
        <w:t>18.9 本次招标要求的复印件是指对图文进行复制后的文件，包括扫描、复印、影印等方式复制的材料。</w:t>
      </w:r>
    </w:p>
    <w:p>
      <w:pPr>
        <w:pStyle w:val="5"/>
        <w:spacing w:before="0" w:after="0" w:line="400" w:lineRule="exact"/>
        <w:ind w:firstLine="482" w:firstLineChars="200"/>
        <w:rPr>
          <w:rFonts w:ascii="宋体" w:hAnsi="宋体" w:cs="仿宋"/>
          <w:color w:val="auto"/>
          <w:sz w:val="24"/>
          <w:szCs w:val="24"/>
          <w:highlight w:val="none"/>
        </w:rPr>
      </w:pPr>
      <w:bookmarkStart w:id="81" w:name="_Toc89075877"/>
      <w:bookmarkStart w:id="82" w:name="_Toc183582226"/>
      <w:bookmarkStart w:id="83" w:name="_Toc77400781"/>
      <w:bookmarkStart w:id="84" w:name="_Toc183682363"/>
      <w:bookmarkStart w:id="85" w:name="_Toc217446053"/>
      <w:bookmarkStart w:id="86" w:name="_Toc308164803"/>
      <w:r>
        <w:rPr>
          <w:rFonts w:hint="eastAsia" w:ascii="宋体" w:hAnsi="宋体" w:cs="仿宋"/>
          <w:bCs w:val="0"/>
          <w:color w:val="auto"/>
          <w:sz w:val="24"/>
          <w:szCs w:val="24"/>
          <w:highlight w:val="none"/>
        </w:rPr>
        <w:t>19.</w:t>
      </w:r>
      <w:r>
        <w:rPr>
          <w:rFonts w:hint="eastAsia" w:ascii="宋体" w:hAnsi="宋体" w:cs="仿宋"/>
          <w:color w:val="auto"/>
          <w:sz w:val="24"/>
          <w:szCs w:val="24"/>
          <w:highlight w:val="none"/>
        </w:rPr>
        <w:t>投标文件的密封和标</w:t>
      </w:r>
      <w:bookmarkEnd w:id="81"/>
      <w:bookmarkEnd w:id="82"/>
      <w:bookmarkEnd w:id="83"/>
      <w:bookmarkEnd w:id="84"/>
      <w:r>
        <w:rPr>
          <w:rFonts w:hint="eastAsia" w:ascii="宋体" w:hAnsi="宋体" w:cs="仿宋"/>
          <w:color w:val="auto"/>
          <w:sz w:val="24"/>
          <w:szCs w:val="24"/>
          <w:highlight w:val="none"/>
        </w:rPr>
        <w:t>注</w:t>
      </w:r>
      <w:bookmarkEnd w:id="85"/>
      <w:bookmarkEnd w:id="86"/>
    </w:p>
    <w:p>
      <w:pPr>
        <w:tabs>
          <w:tab w:val="left" w:pos="1080"/>
        </w:tabs>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19.1 投标人应在投标文件正本和所有副本的封面上注明“资格性投标文件/其他响应性投标文件、正本/副本、投标人名称、招标编号、项目名称及分包号（如有分包）”。</w:t>
      </w:r>
    </w:p>
    <w:p>
      <w:pPr>
        <w:tabs>
          <w:tab w:val="left" w:pos="1080"/>
        </w:tabs>
        <w:spacing w:line="400" w:lineRule="exact"/>
        <w:ind w:firstLine="460" w:firstLineChars="192"/>
        <w:rPr>
          <w:rFonts w:ascii="宋体" w:hAnsi="宋体" w:cs="仿宋"/>
          <w:color w:val="auto"/>
          <w:sz w:val="24"/>
          <w:highlight w:val="none"/>
        </w:rPr>
      </w:pPr>
      <w:r>
        <w:rPr>
          <w:rFonts w:hint="eastAsia" w:ascii="宋体" w:hAnsi="宋体" w:cs="仿宋"/>
          <w:color w:val="auto"/>
          <w:sz w:val="24"/>
          <w:highlight w:val="none"/>
        </w:rPr>
        <w:t>19.2 投标文件包括资格性投标文件正本及副本、其他响应性投标文件正本及副本、电子文档和用于开标唱标单独提交的“开标一览表”。投标文件应当密封，其中，“开标一览表”单独密封。</w:t>
      </w:r>
    </w:p>
    <w:p>
      <w:pPr>
        <w:tabs>
          <w:tab w:val="left" w:pos="1080"/>
        </w:tabs>
        <w:spacing w:line="400" w:lineRule="exact"/>
        <w:ind w:firstLine="460" w:firstLineChars="192"/>
        <w:rPr>
          <w:rFonts w:ascii="宋体" w:hAnsi="宋体" w:cs="仿宋"/>
          <w:color w:val="auto"/>
          <w:sz w:val="24"/>
          <w:highlight w:val="none"/>
        </w:rPr>
      </w:pPr>
      <w:r>
        <w:rPr>
          <w:rFonts w:hint="eastAsia" w:ascii="宋体" w:hAnsi="宋体" w:cs="仿宋"/>
          <w:color w:val="auto"/>
          <w:sz w:val="24"/>
          <w:highlight w:val="none"/>
        </w:rPr>
        <w:t>19.3 投标文件的密封袋上应当注明资格性投标文件/其他响应性投标文件/开标一览表/电子文档、投标人名称、招标编号、项目名称及分包号（如有分包）。</w:t>
      </w:r>
    </w:p>
    <w:p>
      <w:pPr>
        <w:pStyle w:val="5"/>
        <w:spacing w:before="0" w:after="0" w:line="400" w:lineRule="exact"/>
        <w:ind w:firstLine="482" w:firstLineChars="200"/>
        <w:rPr>
          <w:rFonts w:ascii="宋体" w:hAnsi="宋体" w:cs="仿宋"/>
          <w:bCs w:val="0"/>
          <w:color w:val="auto"/>
          <w:sz w:val="24"/>
          <w:szCs w:val="24"/>
          <w:highlight w:val="none"/>
        </w:rPr>
      </w:pPr>
      <w:bookmarkStart w:id="87" w:name="_Toc183582227"/>
      <w:bookmarkStart w:id="88" w:name="_Toc183682364"/>
      <w:bookmarkStart w:id="89" w:name="_Toc217446054"/>
      <w:bookmarkStart w:id="90" w:name="_Toc308164804"/>
      <w:r>
        <w:rPr>
          <w:rFonts w:hint="eastAsia" w:ascii="宋体" w:hAnsi="宋体" w:cs="仿宋"/>
          <w:bCs w:val="0"/>
          <w:color w:val="auto"/>
          <w:sz w:val="24"/>
          <w:szCs w:val="24"/>
          <w:highlight w:val="none"/>
        </w:rPr>
        <w:t>20</w:t>
      </w:r>
      <w:r>
        <w:rPr>
          <w:rFonts w:hint="eastAsia" w:ascii="宋体" w:hAnsi="宋体" w:cs="仿宋"/>
          <w:bCs w:val="0"/>
          <w:color w:val="auto"/>
          <w:sz w:val="28"/>
          <w:szCs w:val="28"/>
          <w:highlight w:val="none"/>
        </w:rPr>
        <w:t>．</w:t>
      </w:r>
      <w:r>
        <w:rPr>
          <w:rFonts w:hint="eastAsia" w:ascii="宋体" w:hAnsi="宋体" w:cs="仿宋"/>
          <w:bCs w:val="0"/>
          <w:color w:val="auto"/>
          <w:sz w:val="24"/>
          <w:szCs w:val="24"/>
          <w:highlight w:val="none"/>
        </w:rPr>
        <w:t>投标文件的</w:t>
      </w:r>
      <w:bookmarkEnd w:id="87"/>
      <w:bookmarkEnd w:id="88"/>
      <w:r>
        <w:rPr>
          <w:rFonts w:hint="eastAsia" w:ascii="宋体" w:hAnsi="宋体" w:cs="仿宋"/>
          <w:bCs w:val="0"/>
          <w:color w:val="auto"/>
          <w:sz w:val="24"/>
          <w:szCs w:val="24"/>
          <w:highlight w:val="none"/>
        </w:rPr>
        <w:t>递交</w:t>
      </w:r>
      <w:bookmarkEnd w:id="89"/>
      <w:bookmarkEnd w:id="90"/>
    </w:p>
    <w:p>
      <w:pPr>
        <w:tabs>
          <w:tab w:val="left" w:pos="1095"/>
        </w:tabs>
        <w:spacing w:line="400" w:lineRule="exact"/>
        <w:ind w:firstLine="460" w:firstLineChars="192"/>
        <w:rPr>
          <w:rFonts w:ascii="宋体" w:hAnsi="宋体" w:cs="仿宋"/>
          <w:color w:val="auto"/>
          <w:sz w:val="24"/>
          <w:highlight w:val="none"/>
        </w:rPr>
      </w:pPr>
      <w:r>
        <w:rPr>
          <w:rFonts w:hint="eastAsia" w:ascii="宋体" w:hAnsi="宋体" w:cs="仿宋"/>
          <w:color w:val="auto"/>
          <w:sz w:val="24"/>
          <w:highlight w:val="none"/>
        </w:rPr>
        <w:t xml:space="preserve">20.1 投标人应在招标文件规定的投标截止时间前，将投标文件按招标文件的规定密封后送达开标地点。投标截止时间以后送达的投标文件将不予接收，招标采购单位将告知投标人不予接收的原因。 </w:t>
      </w:r>
    </w:p>
    <w:p>
      <w:pPr>
        <w:tabs>
          <w:tab w:val="left" w:pos="1095"/>
        </w:tabs>
        <w:spacing w:line="400" w:lineRule="exact"/>
        <w:ind w:firstLine="460" w:firstLineChars="192"/>
        <w:rPr>
          <w:rFonts w:ascii="宋体" w:hAnsi="宋体" w:cs="仿宋"/>
          <w:color w:val="auto"/>
          <w:sz w:val="24"/>
          <w:highlight w:val="none"/>
        </w:rPr>
      </w:pPr>
      <w:r>
        <w:rPr>
          <w:rFonts w:hint="eastAsia" w:ascii="宋体" w:hAnsi="宋体" w:cs="仿宋"/>
          <w:color w:val="auto"/>
          <w:sz w:val="24"/>
          <w:highlight w:val="none"/>
        </w:rPr>
        <w:t>20.2递交投标文件时，报名投标人名称和分包号（如有分包）应当与投标投标人名称和分包号（如有分包）一致。但是，投标文件实质内容报名投标人名称和分包号（如有分包）一致，只是封面文字错误的，可以在评标过程中当面予以澄清，以有效的澄清材料作为认定投标文件是否有效的依据。</w:t>
      </w:r>
    </w:p>
    <w:p>
      <w:pPr>
        <w:tabs>
          <w:tab w:val="left" w:pos="1095"/>
        </w:tabs>
        <w:spacing w:line="400" w:lineRule="exact"/>
        <w:ind w:firstLine="460" w:firstLineChars="192"/>
        <w:rPr>
          <w:rFonts w:ascii="宋体" w:hAnsi="宋体" w:cs="仿宋"/>
          <w:color w:val="auto"/>
          <w:sz w:val="24"/>
          <w:highlight w:val="none"/>
        </w:rPr>
      </w:pPr>
      <w:r>
        <w:rPr>
          <w:rFonts w:hint="eastAsia" w:ascii="宋体" w:hAnsi="宋体" w:cs="仿宋"/>
          <w:color w:val="auto"/>
          <w:sz w:val="24"/>
          <w:highlight w:val="none"/>
        </w:rPr>
        <w:t>20.3本次招标不接收邮寄的投标文件。</w:t>
      </w:r>
    </w:p>
    <w:p>
      <w:pPr>
        <w:pStyle w:val="5"/>
        <w:spacing w:before="0" w:after="0" w:line="400" w:lineRule="exact"/>
        <w:ind w:firstLine="482" w:firstLineChars="200"/>
        <w:rPr>
          <w:rFonts w:ascii="宋体" w:hAnsi="宋体" w:cs="仿宋"/>
          <w:bCs w:val="0"/>
          <w:color w:val="auto"/>
          <w:sz w:val="24"/>
          <w:szCs w:val="24"/>
          <w:highlight w:val="none"/>
        </w:rPr>
      </w:pPr>
      <w:bookmarkStart w:id="91" w:name="_Toc183582228"/>
      <w:bookmarkStart w:id="92" w:name="_Toc183682365"/>
      <w:bookmarkStart w:id="93" w:name="_Toc217446055"/>
      <w:r>
        <w:rPr>
          <w:rFonts w:hint="eastAsia" w:ascii="宋体" w:hAnsi="宋体" w:cs="仿宋"/>
          <w:bCs w:val="0"/>
          <w:color w:val="auto"/>
          <w:sz w:val="24"/>
          <w:szCs w:val="24"/>
          <w:highlight w:val="none"/>
        </w:rPr>
        <w:t>21．投标文件的修改和撤</w:t>
      </w:r>
      <w:bookmarkEnd w:id="91"/>
      <w:bookmarkEnd w:id="92"/>
      <w:r>
        <w:rPr>
          <w:rFonts w:hint="eastAsia" w:ascii="宋体" w:hAnsi="宋体" w:cs="仿宋"/>
          <w:bCs w:val="0"/>
          <w:color w:val="auto"/>
          <w:sz w:val="24"/>
          <w:szCs w:val="24"/>
          <w:highlight w:val="none"/>
        </w:rPr>
        <w:t>回</w:t>
      </w:r>
      <w:bookmarkEnd w:id="93"/>
    </w:p>
    <w:p>
      <w:pPr>
        <w:spacing w:line="400" w:lineRule="exact"/>
        <w:ind w:firstLine="470" w:firstLineChars="196"/>
        <w:rPr>
          <w:rFonts w:ascii="宋体" w:hAnsi="宋体" w:cs="仿宋"/>
          <w:color w:val="auto"/>
          <w:sz w:val="24"/>
          <w:highlight w:val="none"/>
        </w:rPr>
      </w:pPr>
      <w:r>
        <w:rPr>
          <w:rFonts w:hint="eastAsia" w:ascii="宋体" w:hAnsi="宋体" w:cs="仿宋"/>
          <w:color w:val="auto"/>
          <w:sz w:val="24"/>
          <w:highlight w:val="none"/>
        </w:rPr>
        <w:t>21.1 投标人在递交了投标文件后，可以修改或撤回其投标文件，但必须在规定的投标截止时间前，以书面形式通知采购代理机构。</w:t>
      </w:r>
    </w:p>
    <w:p>
      <w:pPr>
        <w:spacing w:line="400" w:lineRule="exact"/>
        <w:ind w:firstLine="470" w:firstLineChars="196"/>
        <w:rPr>
          <w:rFonts w:ascii="宋体" w:hAnsi="宋体" w:cs="仿宋"/>
          <w:color w:val="auto"/>
          <w:sz w:val="24"/>
          <w:highlight w:val="none"/>
        </w:rPr>
      </w:pPr>
      <w:r>
        <w:rPr>
          <w:rFonts w:hint="eastAsia" w:ascii="宋体" w:hAnsi="宋体" w:cs="仿宋"/>
          <w:color w:val="auto"/>
          <w:sz w:val="24"/>
          <w:highlight w:val="none"/>
        </w:rPr>
        <w:t>21.2 投标人的修改书或撤回通知书，应由其法定代表人或授权代表签署并盖单位印章。修改书应按投标须知第19条规定进行密封和标注，并在密封袋上标注“修改”字样。</w:t>
      </w:r>
    </w:p>
    <w:p>
      <w:pPr>
        <w:spacing w:line="400" w:lineRule="exact"/>
        <w:ind w:firstLine="480"/>
        <w:rPr>
          <w:rFonts w:ascii="宋体" w:hAnsi="宋体" w:cs="仿宋"/>
          <w:color w:val="auto"/>
          <w:sz w:val="24"/>
          <w:highlight w:val="none"/>
        </w:rPr>
      </w:pPr>
      <w:r>
        <w:rPr>
          <w:rFonts w:hint="eastAsia" w:ascii="宋体" w:hAnsi="宋体" w:cs="仿宋"/>
          <w:color w:val="auto"/>
          <w:sz w:val="24"/>
          <w:highlight w:val="none"/>
        </w:rPr>
        <w:t>21.3 在投标截止时间之后，投标人不得对其递交的投标文件做任何修改，撤回投标的，将按照有关规定进行相应处理。</w:t>
      </w:r>
    </w:p>
    <w:p>
      <w:pPr>
        <w:pStyle w:val="4"/>
        <w:spacing w:line="400" w:lineRule="exact"/>
        <w:jc w:val="center"/>
        <w:rPr>
          <w:rFonts w:ascii="宋体" w:hAnsi="宋体" w:eastAsia="宋体" w:cs="仿宋"/>
          <w:color w:val="auto"/>
          <w:highlight w:val="none"/>
        </w:rPr>
      </w:pPr>
      <w:bookmarkStart w:id="94" w:name="_Toc217446056"/>
      <w:bookmarkStart w:id="95" w:name="_Toc183682368"/>
      <w:bookmarkStart w:id="96" w:name="_Toc89075878"/>
      <w:bookmarkStart w:id="97" w:name="_Toc183582231"/>
      <w:bookmarkStart w:id="98" w:name="_Toc308164805"/>
      <w:bookmarkStart w:id="99" w:name="_Toc77400782"/>
      <w:r>
        <w:rPr>
          <w:rFonts w:hint="eastAsia" w:ascii="宋体" w:hAnsi="宋体" w:eastAsia="宋体" w:cs="仿宋"/>
          <w:color w:val="auto"/>
          <w:highlight w:val="none"/>
        </w:rPr>
        <w:t>五、开标和中标</w:t>
      </w:r>
      <w:bookmarkEnd w:id="94"/>
      <w:bookmarkEnd w:id="95"/>
      <w:bookmarkEnd w:id="96"/>
      <w:bookmarkEnd w:id="97"/>
      <w:bookmarkEnd w:id="98"/>
      <w:bookmarkEnd w:id="99"/>
    </w:p>
    <w:p>
      <w:pPr>
        <w:pStyle w:val="5"/>
        <w:spacing w:before="0" w:after="0" w:line="400" w:lineRule="exact"/>
        <w:ind w:firstLine="482" w:firstLineChars="200"/>
        <w:rPr>
          <w:rFonts w:ascii="宋体" w:hAnsi="宋体" w:cs="仿宋"/>
          <w:bCs w:val="0"/>
          <w:color w:val="auto"/>
          <w:sz w:val="24"/>
          <w:highlight w:val="none"/>
        </w:rPr>
      </w:pPr>
      <w:bookmarkStart w:id="100" w:name="_Toc308164806"/>
      <w:bookmarkStart w:id="101" w:name="_Toc217446057"/>
      <w:bookmarkStart w:id="102" w:name="_Toc183582232"/>
      <w:bookmarkStart w:id="103" w:name="_Toc183682369"/>
      <w:r>
        <w:rPr>
          <w:rFonts w:hint="eastAsia" w:ascii="宋体" w:hAnsi="宋体" w:cs="仿宋"/>
          <w:bCs w:val="0"/>
          <w:color w:val="auto"/>
          <w:sz w:val="24"/>
          <w:highlight w:val="none"/>
        </w:rPr>
        <w:t>22．开标</w:t>
      </w:r>
      <w:bookmarkEnd w:id="100"/>
      <w:bookmarkEnd w:id="101"/>
      <w:bookmarkEnd w:id="102"/>
      <w:bookmarkEnd w:id="103"/>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22.1 开标在招标文件规定的时间和地点公开进行，采购人、投标人应派代表参加并签到以证明其出席。开标由采购代理机构主持，邀请投标人参加。评标委员会成员不参加开标活动。</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22.2 开标时，可根据具体情况邀请有关监督管理部门对开标活动进行现场监督。</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22.3 开标时，由投标人或者其推选的代表检查其自己递交的投标文件的密封情况，经确认无误后，由招标工作人员将投标人单独递交的“开标一览表”当众拆封，并由唱标人员按照招标文件规定的内容进行宣读。</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22.4 投标文件中相关内容与“开标一览表”不一致的，以“开标一览表”为准。对不同文字文本投标文件的解释发生异议的，以中文文本为准。</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22.5 所有投标唱标完毕，如投标人代表对宣读的“开标一览表”上的内容有异议的，应在获得开标会主持人同意后当场提出。如确实属于唱标人员宣读错了的，经现场监督人员核实后，当场予以更正。</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22.6 投标人未参加开标的，视同认可开标结果。</w:t>
      </w:r>
    </w:p>
    <w:p>
      <w:pPr>
        <w:pStyle w:val="5"/>
        <w:spacing w:before="0" w:after="0" w:line="400" w:lineRule="exact"/>
        <w:ind w:firstLine="482" w:firstLineChars="200"/>
        <w:rPr>
          <w:rFonts w:ascii="宋体" w:hAnsi="宋体" w:cs="仿宋"/>
          <w:color w:val="auto"/>
          <w:sz w:val="24"/>
          <w:highlight w:val="none"/>
        </w:rPr>
      </w:pPr>
      <w:bookmarkStart w:id="104" w:name="_Toc308164807"/>
      <w:bookmarkStart w:id="105" w:name="_Toc217446058"/>
      <w:r>
        <w:rPr>
          <w:rFonts w:hint="eastAsia" w:ascii="宋体" w:hAnsi="宋体" w:cs="仿宋"/>
          <w:color w:val="auto"/>
          <w:sz w:val="24"/>
          <w:highlight w:val="none"/>
        </w:rPr>
        <w:t>23. 开标程序</w:t>
      </w:r>
      <w:bookmarkEnd w:id="104"/>
      <w:bookmarkEnd w:id="105"/>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23.1 开标会主持人按照招标文件规定的开标时间宣布开标，按照规定要求主持开标会。开标将按以下程序进行：</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（1）宣布开标会开始。当众宣布参加开标会主持人、唱标人、会议记录人以及根据情况邀请的现场监督人等工作人员，根据“投标人签到表”宣布参加投标的投标人名单。</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（2）根据投标人或者其推选的代表对投标文件密封的检查结果，当众宣布投标文件的密封情况。</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开标唱标。主持人宣布开标后，由现场工作人员按任意顺序对投标人的投标文件当众进行拆封，由唱标人员宣读投标人名称、投标价格（价格折扣）、或招标文件允许提供的备选投标方案和投标文件的其他主要内容。未宣读的投标价格（价格折扣）或招标文件允许提供的备选投标方案等实质内容，评标时不予承认。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pPr>
        <w:pStyle w:val="5"/>
        <w:spacing w:before="0" w:after="0" w:line="400" w:lineRule="exact"/>
        <w:ind w:firstLine="482" w:firstLineChars="200"/>
        <w:rPr>
          <w:rFonts w:ascii="宋体" w:hAnsi="宋体" w:cs="仿宋"/>
          <w:color w:val="auto"/>
          <w:sz w:val="24"/>
          <w:highlight w:val="none"/>
        </w:rPr>
      </w:pPr>
      <w:bookmarkStart w:id="106" w:name="_Toc183582238"/>
      <w:bookmarkStart w:id="107" w:name="_Toc183682375"/>
      <w:bookmarkStart w:id="108" w:name="_Toc217446063"/>
      <w:bookmarkStart w:id="109" w:name="_Toc308164809"/>
      <w:r>
        <w:rPr>
          <w:rFonts w:hint="eastAsia" w:ascii="宋体" w:hAnsi="宋体" w:cs="仿宋"/>
          <w:color w:val="auto"/>
          <w:sz w:val="24"/>
          <w:highlight w:val="none"/>
        </w:rPr>
        <w:t>24．开评标过程存档</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开标和评标过程进行全过程电子监控，并将电子监控资料存储介质留存归档。</w:t>
      </w:r>
    </w:p>
    <w:p>
      <w:pPr>
        <w:spacing w:line="400" w:lineRule="exact"/>
        <w:ind w:firstLine="482" w:firstLineChars="200"/>
        <w:rPr>
          <w:rFonts w:ascii="宋体" w:hAnsi="宋体" w:cs="仿宋"/>
          <w:b/>
          <w:bCs/>
          <w:color w:val="auto"/>
          <w:sz w:val="24"/>
          <w:szCs w:val="32"/>
          <w:highlight w:val="none"/>
        </w:rPr>
      </w:pPr>
      <w:r>
        <w:rPr>
          <w:rFonts w:hint="eastAsia" w:ascii="宋体" w:hAnsi="宋体" w:cs="仿宋"/>
          <w:b/>
          <w:bCs/>
          <w:color w:val="auto"/>
          <w:sz w:val="24"/>
          <w:szCs w:val="32"/>
          <w:highlight w:val="none"/>
        </w:rPr>
        <w:t>25.资格审查</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采购人或者采购代理机构依据法律法规和本招标文件的规定，对投标文件是否按照规定要求提供资格性证明材料、是否按照规定交纳投标保证金、是否属于禁止参加投标的投标人等进行审查，以确定投标投标人是否具备投标资格。</w:t>
      </w:r>
    </w:p>
    <w:p>
      <w:pPr>
        <w:pStyle w:val="5"/>
        <w:spacing w:before="0" w:after="0" w:line="400" w:lineRule="exact"/>
        <w:ind w:firstLine="482" w:firstLineChars="200"/>
        <w:rPr>
          <w:rFonts w:ascii="宋体" w:hAnsi="宋体" w:cs="仿宋"/>
          <w:color w:val="auto"/>
          <w:sz w:val="24"/>
          <w:highlight w:val="none"/>
        </w:rPr>
      </w:pPr>
      <w:r>
        <w:rPr>
          <w:rFonts w:hint="eastAsia" w:ascii="宋体" w:hAnsi="宋体" w:cs="仿宋"/>
          <w:color w:val="auto"/>
          <w:sz w:val="24"/>
          <w:highlight w:val="none"/>
        </w:rPr>
        <w:t>26.评标情况公告</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所有投标人投标文件资格性、符合性检查情况、采用综合评分法时的总得分和分项汇总得分情况、评标结果等将在四川政府采购网上采购结果公告栏中予以公告。</w:t>
      </w:r>
    </w:p>
    <w:p>
      <w:pPr>
        <w:pStyle w:val="5"/>
        <w:spacing w:before="0" w:after="0" w:line="400" w:lineRule="exact"/>
        <w:ind w:firstLine="482" w:firstLineChars="200"/>
        <w:rPr>
          <w:rFonts w:ascii="宋体" w:hAnsi="宋体" w:cs="仿宋"/>
          <w:bCs w:val="0"/>
          <w:color w:val="auto"/>
          <w:sz w:val="24"/>
          <w:szCs w:val="24"/>
          <w:highlight w:val="none"/>
        </w:rPr>
      </w:pPr>
      <w:r>
        <w:rPr>
          <w:rFonts w:hint="eastAsia" w:ascii="宋体" w:hAnsi="宋体" w:cs="仿宋"/>
          <w:bCs w:val="0"/>
          <w:color w:val="auto"/>
          <w:sz w:val="24"/>
          <w:szCs w:val="24"/>
          <w:highlight w:val="none"/>
        </w:rPr>
        <w:t>27.中标通知</w:t>
      </w:r>
      <w:bookmarkEnd w:id="106"/>
      <w:bookmarkEnd w:id="107"/>
      <w:r>
        <w:rPr>
          <w:rFonts w:hint="eastAsia" w:ascii="宋体" w:hAnsi="宋体" w:cs="仿宋"/>
          <w:bCs w:val="0"/>
          <w:color w:val="auto"/>
          <w:sz w:val="24"/>
          <w:szCs w:val="24"/>
          <w:highlight w:val="none"/>
        </w:rPr>
        <w:t>书</w:t>
      </w:r>
      <w:bookmarkEnd w:id="108"/>
      <w:bookmarkEnd w:id="109"/>
    </w:p>
    <w:p>
      <w:pPr>
        <w:tabs>
          <w:tab w:val="left" w:pos="7665"/>
        </w:tabs>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27</w:t>
      </w:r>
      <w:r>
        <w:rPr>
          <w:rFonts w:hint="eastAsia" w:ascii="宋体" w:hAnsi="宋体" w:cs="仿宋"/>
          <w:bCs/>
          <w:color w:val="auto"/>
          <w:sz w:val="24"/>
          <w:highlight w:val="none"/>
        </w:rPr>
        <w:t>.</w:t>
      </w:r>
      <w:r>
        <w:rPr>
          <w:rFonts w:hint="eastAsia" w:ascii="宋体" w:hAnsi="宋体" w:cs="仿宋"/>
          <w:color w:val="auto"/>
          <w:sz w:val="24"/>
          <w:highlight w:val="none"/>
        </w:rPr>
        <w:t>1 中标通知书为签订政府采购合同的依据之一，是合同的有效组成部分。</w:t>
      </w:r>
    </w:p>
    <w:p>
      <w:pPr>
        <w:tabs>
          <w:tab w:val="left" w:pos="7665"/>
        </w:tabs>
        <w:spacing w:line="400" w:lineRule="exact"/>
        <w:ind w:firstLine="480"/>
        <w:rPr>
          <w:rFonts w:ascii="宋体" w:hAnsi="宋体" w:cs="仿宋"/>
          <w:color w:val="auto"/>
          <w:sz w:val="24"/>
          <w:highlight w:val="none"/>
        </w:rPr>
      </w:pPr>
      <w:r>
        <w:rPr>
          <w:rFonts w:hint="eastAsia" w:ascii="宋体" w:hAnsi="宋体" w:cs="仿宋"/>
          <w:color w:val="auto"/>
          <w:sz w:val="24"/>
          <w:highlight w:val="none"/>
        </w:rPr>
        <w:t>27.2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宋体" w:hAnsi="宋体" w:cs="仿宋"/>
          <w:color w:val="auto"/>
          <w:sz w:val="24"/>
          <w:highlight w:val="none"/>
        </w:rPr>
      </w:pPr>
      <w:r>
        <w:rPr>
          <w:rFonts w:hint="eastAsia" w:ascii="宋体" w:hAnsi="宋体" w:cs="仿宋"/>
          <w:color w:val="auto"/>
          <w:sz w:val="24"/>
          <w:highlight w:val="none"/>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退回），依法重新确定中标人或者重新开展采购活动。</w:t>
      </w:r>
    </w:p>
    <w:p>
      <w:pPr>
        <w:tabs>
          <w:tab w:val="left" w:pos="7665"/>
        </w:tabs>
        <w:spacing w:line="400" w:lineRule="exact"/>
        <w:ind w:firstLine="480"/>
        <w:rPr>
          <w:rFonts w:ascii="宋体" w:hAnsi="宋体" w:cs="仿宋"/>
          <w:color w:val="auto"/>
          <w:sz w:val="24"/>
          <w:highlight w:val="none"/>
        </w:rPr>
      </w:pPr>
      <w:r>
        <w:rPr>
          <w:rFonts w:hint="eastAsia" w:ascii="宋体" w:hAnsi="宋体" w:cs="仿宋"/>
          <w:color w:val="auto"/>
          <w:sz w:val="24"/>
          <w:highlight w:val="none"/>
        </w:rPr>
        <w:t>27.4中标公告发出后，中标人自行领取中标通知书的，可凭有效身份证明证件到采购代理机构办理。（详见须知附表中联系方式）</w:t>
      </w:r>
    </w:p>
    <w:p>
      <w:pPr>
        <w:pStyle w:val="4"/>
        <w:spacing w:line="400" w:lineRule="exact"/>
        <w:jc w:val="center"/>
        <w:rPr>
          <w:rFonts w:ascii="宋体" w:hAnsi="宋体" w:eastAsia="宋体" w:cs="仿宋"/>
          <w:color w:val="auto"/>
          <w:szCs w:val="28"/>
          <w:highlight w:val="none"/>
        </w:rPr>
      </w:pPr>
      <w:bookmarkStart w:id="110" w:name="_Toc308164810"/>
      <w:bookmarkStart w:id="111" w:name="_Toc217446064"/>
      <w:bookmarkStart w:id="112" w:name="_Toc183582240"/>
      <w:bookmarkStart w:id="113" w:name="_Toc183682377"/>
      <w:r>
        <w:rPr>
          <w:rFonts w:hint="eastAsia" w:ascii="宋体" w:hAnsi="宋体" w:eastAsia="宋体" w:cs="仿宋"/>
          <w:color w:val="auto"/>
          <w:szCs w:val="28"/>
          <w:highlight w:val="none"/>
        </w:rPr>
        <w:t>六、签订及履行合同和验收</w:t>
      </w:r>
      <w:bookmarkEnd w:id="110"/>
      <w:bookmarkEnd w:id="111"/>
    </w:p>
    <w:p>
      <w:pPr>
        <w:pStyle w:val="5"/>
        <w:spacing w:before="0" w:after="0" w:line="400" w:lineRule="exact"/>
        <w:ind w:firstLine="482" w:firstLineChars="200"/>
        <w:rPr>
          <w:rFonts w:ascii="宋体" w:hAnsi="宋体" w:cs="仿宋"/>
          <w:b w:val="0"/>
          <w:color w:val="auto"/>
          <w:sz w:val="24"/>
          <w:szCs w:val="24"/>
          <w:highlight w:val="none"/>
        </w:rPr>
      </w:pPr>
      <w:bookmarkStart w:id="114" w:name="_Toc308164811"/>
      <w:bookmarkStart w:id="115" w:name="_Toc217446065"/>
      <w:r>
        <w:rPr>
          <w:rFonts w:hint="eastAsia" w:ascii="宋体" w:hAnsi="宋体" w:cs="仿宋"/>
          <w:color w:val="auto"/>
          <w:sz w:val="24"/>
          <w:highlight w:val="none"/>
        </w:rPr>
        <w:t>28.</w:t>
      </w:r>
      <w:r>
        <w:rPr>
          <w:rFonts w:hint="eastAsia" w:ascii="宋体" w:hAnsi="宋体" w:cs="仿宋"/>
          <w:b w:val="0"/>
          <w:color w:val="auto"/>
          <w:sz w:val="24"/>
          <w:highlight w:val="none"/>
        </w:rPr>
        <w:t xml:space="preserve"> </w:t>
      </w:r>
      <w:r>
        <w:rPr>
          <w:rFonts w:hint="eastAsia" w:ascii="宋体" w:hAnsi="宋体" w:cs="仿宋"/>
          <w:color w:val="auto"/>
          <w:sz w:val="24"/>
          <w:szCs w:val="24"/>
          <w:highlight w:val="none"/>
        </w:rPr>
        <w:t>签订合同</w:t>
      </w:r>
      <w:bookmarkEnd w:id="114"/>
      <w:bookmarkEnd w:id="115"/>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28.1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宋体" w:hAnsi="宋体" w:cs="仿宋"/>
          <w:color w:val="auto"/>
          <w:sz w:val="24"/>
          <w:highlight w:val="none"/>
        </w:rPr>
      </w:pPr>
      <w:r>
        <w:rPr>
          <w:rFonts w:hint="eastAsia" w:ascii="宋体" w:hAnsi="宋体" w:cs="仿宋"/>
          <w:color w:val="auto"/>
          <w:sz w:val="24"/>
          <w:highlight w:val="none"/>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宋体" w:hAnsi="宋体" w:cs="仿宋"/>
          <w:color w:val="auto"/>
          <w:sz w:val="24"/>
          <w:highlight w:val="none"/>
        </w:rPr>
      </w:pPr>
      <w:r>
        <w:rPr>
          <w:rFonts w:hint="eastAsia" w:ascii="宋体" w:hAnsi="宋体" w:cs="仿宋"/>
          <w:color w:val="auto"/>
          <w:sz w:val="24"/>
          <w:highlight w:val="none"/>
        </w:rPr>
        <w:t>28.3 中标人拒绝与采购人签订合同的，采购人可以按照评审报告推荐的中标候选人名单排序，确定下一候选人为中标人，也可以重新开展政府采购活动。</w:t>
      </w:r>
    </w:p>
    <w:p>
      <w:pPr>
        <w:spacing w:line="400" w:lineRule="exact"/>
        <w:ind w:firstLine="420" w:firstLineChars="175"/>
        <w:rPr>
          <w:rFonts w:ascii="宋体" w:hAnsi="宋体" w:cs="仿宋"/>
          <w:color w:val="auto"/>
          <w:sz w:val="24"/>
          <w:highlight w:val="none"/>
        </w:rPr>
      </w:pPr>
      <w:r>
        <w:rPr>
          <w:rFonts w:hint="eastAsia" w:ascii="宋体" w:hAnsi="宋体" w:cs="仿宋"/>
          <w:color w:val="auto"/>
          <w:sz w:val="24"/>
          <w:highlight w:val="none"/>
        </w:rPr>
        <w:t>28.4 中标人在合同签订之后三个工作日内，将签订的合同（一式壹份）送采购代理机构。中标人应及时到采购代理机构办理。（详见须知附表中联系方式）</w:t>
      </w:r>
    </w:p>
    <w:p>
      <w:pPr>
        <w:pStyle w:val="4"/>
        <w:spacing w:before="0" w:after="0" w:line="400" w:lineRule="exact"/>
        <w:ind w:firstLine="482" w:firstLineChars="200"/>
        <w:rPr>
          <w:rFonts w:ascii="宋体" w:hAnsi="宋体" w:eastAsia="宋体" w:cs="仿宋"/>
          <w:color w:val="auto"/>
          <w:sz w:val="24"/>
          <w:szCs w:val="24"/>
          <w:highlight w:val="none"/>
        </w:rPr>
      </w:pPr>
      <w:r>
        <w:rPr>
          <w:rFonts w:hint="eastAsia" w:ascii="宋体" w:hAnsi="宋体" w:eastAsia="宋体" w:cs="仿宋"/>
          <w:color w:val="auto"/>
          <w:sz w:val="24"/>
          <w:szCs w:val="24"/>
          <w:highlight w:val="none"/>
        </w:rPr>
        <w:t>29. 合同分包（实质性要求）</w:t>
      </w:r>
    </w:p>
    <w:p>
      <w:pPr>
        <w:spacing w:line="400" w:lineRule="exact"/>
        <w:ind w:firstLine="480" w:firstLineChars="200"/>
        <w:rPr>
          <w:rFonts w:hint="eastAsia" w:ascii="宋体" w:hAnsi="宋体" w:eastAsia="宋体" w:cs="仿宋"/>
          <w:color w:val="auto"/>
          <w:sz w:val="24"/>
          <w:highlight w:val="none"/>
          <w:lang w:eastAsia="zh-CN"/>
        </w:rPr>
      </w:pPr>
      <w:r>
        <w:rPr>
          <w:rFonts w:hint="eastAsia" w:ascii="宋体" w:hAnsi="宋体" w:cs="仿宋"/>
          <w:color w:val="auto"/>
          <w:sz w:val="24"/>
          <w:highlight w:val="none"/>
          <w:lang w:eastAsia="zh-CN"/>
        </w:rPr>
        <w:t>本项目不允许分包</w:t>
      </w:r>
    </w:p>
    <w:p>
      <w:pPr>
        <w:pStyle w:val="4"/>
        <w:spacing w:before="0" w:after="0" w:line="400" w:lineRule="exact"/>
        <w:ind w:firstLine="482" w:firstLineChars="200"/>
        <w:rPr>
          <w:rFonts w:ascii="宋体" w:hAnsi="宋体" w:eastAsia="宋体" w:cs="仿宋"/>
          <w:color w:val="auto"/>
          <w:sz w:val="24"/>
          <w:szCs w:val="24"/>
          <w:highlight w:val="none"/>
        </w:rPr>
      </w:pPr>
      <w:r>
        <w:rPr>
          <w:rFonts w:hint="eastAsia" w:ascii="宋体" w:hAnsi="宋体" w:eastAsia="宋体" w:cs="仿宋"/>
          <w:color w:val="auto"/>
          <w:sz w:val="24"/>
          <w:szCs w:val="24"/>
          <w:highlight w:val="none"/>
        </w:rPr>
        <w:t>30.合同转包（实质性要求）</w:t>
      </w:r>
    </w:p>
    <w:p>
      <w:pPr>
        <w:spacing w:line="400" w:lineRule="exact"/>
        <w:ind w:firstLine="540" w:firstLineChars="225"/>
        <w:rPr>
          <w:rFonts w:ascii="宋体" w:hAnsi="宋体" w:cs="仿宋"/>
          <w:color w:val="auto"/>
          <w:sz w:val="24"/>
          <w:highlight w:val="none"/>
        </w:rPr>
      </w:pPr>
      <w:r>
        <w:rPr>
          <w:rFonts w:hint="eastAsia" w:ascii="宋体" w:hAnsi="宋体" w:cs="仿宋"/>
          <w:color w:val="auto"/>
          <w:sz w:val="24"/>
          <w:highlight w:val="none"/>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宋体" w:hAnsi="宋体" w:cs="仿宋"/>
          <w:color w:val="auto"/>
          <w:sz w:val="24"/>
          <w:highlight w:val="none"/>
        </w:rPr>
      </w:pPr>
      <w:r>
        <w:rPr>
          <w:rFonts w:hint="eastAsia" w:ascii="宋体" w:hAnsi="宋体" w:cs="仿宋"/>
          <w:color w:val="auto"/>
          <w:sz w:val="24"/>
          <w:highlight w:val="none"/>
        </w:rPr>
        <w:t>中标人转包的，视同拒绝履行政府采购合同义务，将依法追究法律责任。</w:t>
      </w:r>
    </w:p>
    <w:p>
      <w:pPr>
        <w:pStyle w:val="4"/>
        <w:spacing w:before="0" w:after="0" w:line="400" w:lineRule="exact"/>
        <w:ind w:firstLine="482" w:firstLineChars="200"/>
        <w:rPr>
          <w:rFonts w:ascii="宋体" w:hAnsi="宋体" w:eastAsia="宋体" w:cs="仿宋"/>
          <w:color w:val="auto"/>
          <w:sz w:val="24"/>
          <w:szCs w:val="24"/>
          <w:highlight w:val="none"/>
        </w:rPr>
      </w:pPr>
      <w:bookmarkStart w:id="116" w:name="_Toc217446066"/>
      <w:r>
        <w:rPr>
          <w:rFonts w:hint="eastAsia" w:ascii="宋体" w:hAnsi="宋体" w:eastAsia="宋体" w:cs="仿宋"/>
          <w:color w:val="auto"/>
          <w:sz w:val="24"/>
          <w:szCs w:val="24"/>
          <w:highlight w:val="none"/>
        </w:rPr>
        <w:t>31.</w:t>
      </w:r>
      <w:bookmarkEnd w:id="116"/>
      <w:r>
        <w:rPr>
          <w:rFonts w:hint="eastAsia" w:ascii="宋体" w:hAnsi="宋体" w:eastAsia="宋体" w:cs="仿宋"/>
          <w:color w:val="auto"/>
          <w:sz w:val="24"/>
          <w:szCs w:val="24"/>
          <w:highlight w:val="none"/>
        </w:rPr>
        <w:t xml:space="preserve"> 补充合同</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 xml:space="preserve">采购合同履行过程中，采购人需要追加与合同标的相同的货物或者服务的，在不改变合同其他条款的前提下，可以与中标人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5"/>
        <w:spacing w:before="0" w:after="0" w:line="400" w:lineRule="exact"/>
        <w:ind w:firstLine="482" w:firstLineChars="200"/>
        <w:rPr>
          <w:rFonts w:hint="eastAsia" w:ascii="宋体" w:hAnsi="宋体" w:eastAsia="宋体" w:cs="仿宋"/>
          <w:b w:val="0"/>
          <w:color w:val="auto"/>
          <w:sz w:val="24"/>
          <w:szCs w:val="24"/>
          <w:highlight w:val="none"/>
          <w:lang w:val="en-US" w:eastAsia="zh-CN"/>
        </w:rPr>
      </w:pPr>
      <w:bookmarkStart w:id="117" w:name="_Toc308164812"/>
      <w:bookmarkStart w:id="118" w:name="_Toc217446068"/>
      <w:r>
        <w:rPr>
          <w:rFonts w:hint="eastAsia" w:ascii="宋体" w:hAnsi="宋体" w:cs="仿宋"/>
          <w:color w:val="auto"/>
          <w:sz w:val="24"/>
          <w:szCs w:val="24"/>
          <w:highlight w:val="none"/>
        </w:rPr>
        <w:t>32</w:t>
      </w:r>
      <w:r>
        <w:rPr>
          <w:rFonts w:hint="eastAsia" w:ascii="宋体" w:hAnsi="宋体" w:cs="仿宋"/>
          <w:b w:val="0"/>
          <w:color w:val="auto"/>
          <w:sz w:val="24"/>
          <w:szCs w:val="24"/>
          <w:highlight w:val="none"/>
        </w:rPr>
        <w:t xml:space="preserve">. </w:t>
      </w:r>
      <w:r>
        <w:rPr>
          <w:rFonts w:hint="eastAsia" w:ascii="宋体" w:hAnsi="宋体" w:cs="仿宋"/>
          <w:color w:val="auto"/>
          <w:sz w:val="24"/>
          <w:szCs w:val="24"/>
          <w:highlight w:val="none"/>
        </w:rPr>
        <w:t>履约保证金</w:t>
      </w:r>
      <w:bookmarkEnd w:id="117"/>
      <w:bookmarkEnd w:id="118"/>
      <w:r>
        <w:rPr>
          <w:rFonts w:hint="eastAsia" w:ascii="宋体" w:hAnsi="宋体" w:cs="仿宋"/>
          <w:color w:val="auto"/>
          <w:sz w:val="24"/>
          <w:szCs w:val="24"/>
          <w:highlight w:val="none"/>
          <w:lang w:eastAsia="zh-CN"/>
        </w:rPr>
        <w:t>（本项目不收取</w:t>
      </w:r>
      <w:r>
        <w:rPr>
          <w:rFonts w:hint="eastAsia" w:ascii="宋体" w:hAnsi="宋体" w:cs="仿宋"/>
          <w:color w:val="auto"/>
          <w:sz w:val="24"/>
          <w:szCs w:val="24"/>
          <w:highlight w:val="none"/>
          <w:lang w:val="en-US" w:eastAsia="zh-CN"/>
        </w:rPr>
        <w:t>）</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32.1 如招标文件规定须交纳履约保证金，中标人应在合同签订之前交纳招标文件规定数额的履约保证金。</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32.2 如果中标人在规定的合同签订时间内，没有按照招标文件的规定交纳履约保证金，且又无正当理由的，将视为放弃中标。</w:t>
      </w:r>
    </w:p>
    <w:p>
      <w:pPr>
        <w:pStyle w:val="5"/>
        <w:spacing w:before="0" w:after="0" w:line="400" w:lineRule="exact"/>
        <w:ind w:firstLine="482" w:firstLineChars="200"/>
        <w:rPr>
          <w:rFonts w:ascii="宋体" w:hAnsi="宋体" w:cs="仿宋"/>
          <w:color w:val="auto"/>
          <w:sz w:val="24"/>
          <w:szCs w:val="24"/>
          <w:highlight w:val="none"/>
        </w:rPr>
      </w:pPr>
      <w:bookmarkStart w:id="119" w:name="_Toc308164813"/>
      <w:bookmarkStart w:id="120" w:name="_Toc217446069"/>
      <w:r>
        <w:rPr>
          <w:rFonts w:hint="eastAsia" w:ascii="宋体" w:hAnsi="宋体" w:cs="仿宋"/>
          <w:color w:val="auto"/>
          <w:sz w:val="24"/>
          <w:szCs w:val="24"/>
          <w:highlight w:val="none"/>
        </w:rPr>
        <w:t>33.合同公告</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pStyle w:val="5"/>
        <w:spacing w:before="0" w:after="0" w:line="400" w:lineRule="exact"/>
        <w:ind w:firstLine="482" w:firstLineChars="200"/>
        <w:rPr>
          <w:rFonts w:ascii="宋体" w:hAnsi="宋体" w:cs="仿宋"/>
          <w:color w:val="auto"/>
          <w:sz w:val="24"/>
          <w:szCs w:val="24"/>
          <w:highlight w:val="none"/>
        </w:rPr>
      </w:pPr>
      <w:r>
        <w:rPr>
          <w:rFonts w:hint="eastAsia" w:ascii="宋体" w:hAnsi="宋体" w:cs="仿宋"/>
          <w:color w:val="auto"/>
          <w:sz w:val="24"/>
          <w:szCs w:val="24"/>
          <w:highlight w:val="none"/>
        </w:rPr>
        <w:t>34、合同备案</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采购人应当将政府采购合同副本自签订（双方当事人均已签字盖章）之日起七个工作日内通过四川政府采购网报同级财政部门备案。</w:t>
      </w:r>
    </w:p>
    <w:p>
      <w:pPr>
        <w:pStyle w:val="5"/>
        <w:spacing w:before="0" w:after="0" w:line="400" w:lineRule="exact"/>
        <w:ind w:firstLine="482" w:firstLineChars="200"/>
        <w:rPr>
          <w:rFonts w:ascii="宋体" w:hAnsi="宋体" w:cs="仿宋"/>
          <w:b w:val="0"/>
          <w:color w:val="auto"/>
          <w:sz w:val="24"/>
          <w:szCs w:val="24"/>
          <w:highlight w:val="none"/>
        </w:rPr>
      </w:pPr>
      <w:r>
        <w:rPr>
          <w:rFonts w:hint="eastAsia" w:ascii="宋体" w:hAnsi="宋体" w:cs="仿宋"/>
          <w:color w:val="auto"/>
          <w:sz w:val="24"/>
          <w:szCs w:val="24"/>
          <w:highlight w:val="none"/>
        </w:rPr>
        <w:t>35. 履行合同</w:t>
      </w:r>
      <w:bookmarkEnd w:id="119"/>
      <w:bookmarkEnd w:id="120"/>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35.1 中标人与采购人签订合同后，合同双方应严格执行合同条款，履行合同规定的义务，保证合同的顺利完成。</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35.2 在合同履行过程中，如发生合同纠纷，合同双方应按照《合同法》的有关规定进行处理。</w:t>
      </w:r>
    </w:p>
    <w:p>
      <w:pPr>
        <w:pStyle w:val="5"/>
        <w:spacing w:before="0" w:after="0" w:line="400" w:lineRule="exact"/>
        <w:ind w:firstLine="482" w:firstLineChars="200"/>
        <w:rPr>
          <w:rFonts w:ascii="宋体" w:hAnsi="宋体" w:cs="仿宋"/>
          <w:b w:val="0"/>
          <w:color w:val="auto"/>
          <w:sz w:val="24"/>
          <w:szCs w:val="24"/>
          <w:highlight w:val="none"/>
        </w:rPr>
      </w:pPr>
      <w:bookmarkStart w:id="121" w:name="_Toc308164814"/>
      <w:bookmarkStart w:id="122" w:name="_Toc217446070"/>
      <w:r>
        <w:rPr>
          <w:rFonts w:hint="eastAsia" w:ascii="宋体" w:hAnsi="宋体" w:cs="仿宋"/>
          <w:color w:val="auto"/>
          <w:sz w:val="24"/>
          <w:szCs w:val="24"/>
          <w:highlight w:val="none"/>
        </w:rPr>
        <w:t>36. 验收</w:t>
      </w:r>
      <w:bookmarkEnd w:id="121"/>
      <w:bookmarkEnd w:id="122"/>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36.1本项目采购人及其委托的采购代理机构将严格按照政府采购相关法律法规以及</w:t>
      </w:r>
      <w:r>
        <w:rPr>
          <w:rFonts w:hint="eastAsia" w:ascii="宋体" w:hAnsi="宋体" w:cs="仿宋"/>
          <w:bCs/>
          <w:color w:val="auto"/>
          <w:sz w:val="24"/>
          <w:highlight w:val="none"/>
        </w:rPr>
        <w:t>严格按照《关于进一步加强政府采购需求和履约验收管理的指导意见》（财库〔2016〕205号）的要求进行验收。</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36.2 验收结果合格的，中标人凭验收报告办理相关手续；验收结果不合格的，履约保证金将不予退还，也将不予支付采购资金，还可能会报告本项目同级财政部门按照政府采购法律法规及《四川省公共资源交易领域严重失信联合惩戒实施办法》（川发改信用规〔2019〕405 号）、《关于对政府采购领域严重违法失信主体开展联合惩戒的合作备忘录》（发改财金〔2018〕1614 号）等相关规定给予行政处罚或者以失信行为记入诚信档案。</w:t>
      </w:r>
      <w:bookmarkStart w:id="123" w:name="_Toc217446071"/>
    </w:p>
    <w:p>
      <w:pPr>
        <w:pStyle w:val="5"/>
        <w:spacing w:before="0" w:after="0" w:line="400" w:lineRule="exact"/>
        <w:ind w:firstLine="482" w:firstLineChars="200"/>
        <w:rPr>
          <w:rFonts w:ascii="宋体" w:hAnsi="宋体" w:cs="仿宋"/>
          <w:color w:val="auto"/>
          <w:sz w:val="24"/>
          <w:szCs w:val="24"/>
          <w:highlight w:val="none"/>
        </w:rPr>
      </w:pPr>
      <w:bookmarkStart w:id="124" w:name="_Toc308164818"/>
      <w:bookmarkStart w:id="125" w:name="_Toc217446077"/>
      <w:r>
        <w:rPr>
          <w:rFonts w:hint="eastAsia" w:ascii="宋体" w:hAnsi="宋体" w:cs="仿宋"/>
          <w:color w:val="auto"/>
          <w:sz w:val="24"/>
          <w:szCs w:val="24"/>
          <w:highlight w:val="none"/>
        </w:rPr>
        <w:t>37.资金支付</w:t>
      </w:r>
      <w:bookmarkEnd w:id="124"/>
      <w:bookmarkEnd w:id="125"/>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采购人将按照政府采购合同规定，及时向中标人支付采购资金。本项目采购资金付款详见第六章商务要求中付款方式。</w:t>
      </w:r>
    </w:p>
    <w:bookmarkEnd w:id="112"/>
    <w:bookmarkEnd w:id="113"/>
    <w:bookmarkEnd w:id="123"/>
    <w:p>
      <w:pPr>
        <w:pStyle w:val="4"/>
        <w:spacing w:line="400" w:lineRule="exact"/>
        <w:jc w:val="center"/>
        <w:rPr>
          <w:rFonts w:ascii="宋体" w:hAnsi="宋体" w:eastAsia="宋体" w:cs="仿宋"/>
          <w:color w:val="auto"/>
          <w:szCs w:val="28"/>
          <w:highlight w:val="none"/>
        </w:rPr>
      </w:pPr>
      <w:bookmarkStart w:id="126" w:name="_Toc308164815"/>
      <w:bookmarkStart w:id="127" w:name="_Toc217446074"/>
      <w:bookmarkStart w:id="128" w:name="_Toc183582243"/>
      <w:bookmarkStart w:id="129" w:name="_Toc183682380"/>
      <w:r>
        <w:rPr>
          <w:rFonts w:hint="eastAsia" w:ascii="宋体" w:hAnsi="宋体" w:eastAsia="宋体" w:cs="仿宋"/>
          <w:color w:val="auto"/>
          <w:szCs w:val="28"/>
          <w:highlight w:val="none"/>
        </w:rPr>
        <w:t>七、投标纪律要求</w:t>
      </w:r>
      <w:bookmarkEnd w:id="126"/>
      <w:bookmarkEnd w:id="127"/>
    </w:p>
    <w:p>
      <w:pPr>
        <w:pStyle w:val="5"/>
        <w:spacing w:before="0" w:after="0" w:line="400" w:lineRule="exact"/>
        <w:ind w:firstLine="482" w:firstLineChars="200"/>
        <w:rPr>
          <w:rFonts w:ascii="宋体" w:hAnsi="宋体" w:cs="仿宋"/>
          <w:bCs w:val="0"/>
          <w:color w:val="auto"/>
          <w:sz w:val="24"/>
          <w:szCs w:val="24"/>
          <w:highlight w:val="none"/>
        </w:rPr>
      </w:pPr>
      <w:bookmarkStart w:id="130" w:name="_Toc308164816"/>
      <w:bookmarkStart w:id="131" w:name="_Toc217446075"/>
      <w:r>
        <w:rPr>
          <w:rFonts w:hint="eastAsia" w:ascii="宋体" w:hAnsi="宋体" w:cs="仿宋"/>
          <w:color w:val="auto"/>
          <w:sz w:val="24"/>
          <w:highlight w:val="none"/>
        </w:rPr>
        <w:t xml:space="preserve">38. </w:t>
      </w:r>
      <w:r>
        <w:rPr>
          <w:rFonts w:hint="eastAsia" w:ascii="宋体" w:hAnsi="宋体" w:cs="仿宋"/>
          <w:bCs w:val="0"/>
          <w:color w:val="auto"/>
          <w:sz w:val="24"/>
          <w:szCs w:val="24"/>
          <w:highlight w:val="none"/>
        </w:rPr>
        <w:t>投标人</w:t>
      </w:r>
      <w:bookmarkEnd w:id="130"/>
      <w:bookmarkEnd w:id="131"/>
      <w:r>
        <w:rPr>
          <w:rFonts w:hint="eastAsia" w:ascii="宋体" w:hAnsi="宋体" w:cs="仿宋"/>
          <w:bCs w:val="0"/>
          <w:color w:val="auto"/>
          <w:sz w:val="24"/>
          <w:szCs w:val="24"/>
          <w:highlight w:val="none"/>
        </w:rPr>
        <w:t>纪律要求</w:t>
      </w:r>
    </w:p>
    <w:p>
      <w:pPr>
        <w:pStyle w:val="7"/>
        <w:spacing w:line="400" w:lineRule="exact"/>
        <w:ind w:firstLine="480"/>
        <w:rPr>
          <w:rFonts w:ascii="宋体" w:hAnsi="宋体" w:cs="仿宋"/>
          <w:color w:val="auto"/>
          <w:sz w:val="24"/>
          <w:highlight w:val="none"/>
        </w:rPr>
      </w:pPr>
      <w:r>
        <w:rPr>
          <w:rFonts w:hint="eastAsia" w:ascii="宋体" w:hAnsi="宋体" w:cs="仿宋"/>
          <w:color w:val="auto"/>
          <w:sz w:val="24"/>
          <w:highlight w:val="none"/>
        </w:rPr>
        <w:t>投标人应当遵循公平竞争的原则，不得恶意串通，不得妨碍其他投标人的竞争行为，不得损害采购人或者其他投标人的合法权益。</w:t>
      </w:r>
    </w:p>
    <w:p>
      <w:pPr>
        <w:pStyle w:val="7"/>
        <w:spacing w:line="400" w:lineRule="exact"/>
        <w:ind w:firstLine="480"/>
        <w:rPr>
          <w:rFonts w:ascii="宋体" w:hAnsi="宋体" w:cs="仿宋"/>
          <w:color w:val="auto"/>
          <w:sz w:val="24"/>
          <w:highlight w:val="none"/>
        </w:rPr>
      </w:pPr>
      <w:r>
        <w:rPr>
          <w:rFonts w:hint="eastAsia" w:ascii="宋体" w:hAnsi="宋体" w:cs="仿宋"/>
          <w:color w:val="auto"/>
          <w:sz w:val="24"/>
          <w:highlight w:val="none"/>
        </w:rPr>
        <w:t>在评标过程中发现投标人有上述情形的，评标委员会应当认定其投标无效，并书面报告本级财政部门。</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38.1 投标人参加本项目投标不得有下列情形：</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（1）提供虚假材料谋取中标；</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（2）采取不正当手段诋毁、排挤其他投标人；</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（3）与招标采购单位、其他投标人恶意串通；</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（4）向招标采购单位、评标委员会成员行贿或者提供其他不正当利益；</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（5）在招标过程中与招标采购单位进行协商谈判；</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（6）中标或者成交后无正当理由拒不与采购人签订政府采购合同；</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（7）未按照采购文件确定的事项签订政府采购合同；</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（8）将政府采购合同转包或者违规分包；</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（9）提供假冒伪劣产品；</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（10）擅自变更、中止或者终止政府采购合同；</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（11）拒绝有关部门的监督检查或者向监督检查部门提供虚假情况；</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（12）法律法规规定的其他情形。</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投标人有上述情形的，按照规定追究法律责任，具备（1）-（10）条情形之一的，同时将取消中标资格或者认定中标无效。</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38.2 投标人有下列情形之一的，视为投标人串通投标，其投标无效：</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（1）不同投标人的投标文件由同一单位或者个人编制；</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（2）不同投标人委托同一单位或者个人办理投标事宜；</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（3）不同投标人的投标文件载明的项目管理成员或者联系人员为同一人；</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（4）不同投标人的投标文件异常一致或者投标报价呈规律性差异；</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（5）不同投标人的投标文件相互混装；</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（6）不同投标人的投标保证金从同一单位或者个人的账户转出。</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38.3 投标人存在下列情况之一的，投标无效:</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（1）未按照招标文件的规定提交投标保证金的；</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（2）投标文件未按招标文件要求签署、盖章的；</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（3）不具备招标文件中规定的资格要求的；</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（4）报价超过招标文件中规定的预算金额或者最高限价的；</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（5）投标文件含有采购人不能接受的附加条件的；</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（6）法律、法规和招标文件规定的其他无效情形。</w:t>
      </w:r>
    </w:p>
    <w:p>
      <w:pPr>
        <w:pStyle w:val="4"/>
        <w:spacing w:line="400" w:lineRule="exact"/>
        <w:jc w:val="center"/>
        <w:rPr>
          <w:rFonts w:ascii="宋体" w:hAnsi="宋体" w:eastAsia="宋体" w:cs="仿宋"/>
          <w:bCs w:val="0"/>
          <w:color w:val="auto"/>
          <w:szCs w:val="28"/>
          <w:highlight w:val="none"/>
        </w:rPr>
      </w:pPr>
      <w:bookmarkStart w:id="132" w:name="_Toc308164819"/>
      <w:bookmarkStart w:id="133" w:name="_Toc217446078"/>
      <w:r>
        <w:rPr>
          <w:rFonts w:hint="eastAsia" w:ascii="宋体" w:hAnsi="宋体" w:eastAsia="宋体" w:cs="仿宋"/>
          <w:bCs w:val="0"/>
          <w:color w:val="auto"/>
          <w:szCs w:val="28"/>
          <w:highlight w:val="none"/>
        </w:rPr>
        <w:t>八、询问、质疑和投诉</w:t>
      </w:r>
      <w:bookmarkEnd w:id="132"/>
      <w:bookmarkEnd w:id="133"/>
      <w:bookmarkStart w:id="134" w:name="_Toc217446079"/>
    </w:p>
    <w:bookmarkEnd w:id="134"/>
    <w:p>
      <w:pPr>
        <w:widowControl/>
        <w:spacing w:line="400" w:lineRule="atLeast"/>
        <w:ind w:firstLine="472" w:firstLineChars="196"/>
        <w:jc w:val="left"/>
        <w:outlineLvl w:val="1"/>
        <w:rPr>
          <w:rFonts w:ascii="宋体" w:hAnsi="宋体" w:cs="仿宋"/>
          <w:color w:val="auto"/>
          <w:sz w:val="24"/>
          <w:highlight w:val="none"/>
        </w:rPr>
      </w:pPr>
      <w:r>
        <w:rPr>
          <w:rFonts w:hint="eastAsia" w:ascii="宋体" w:hAnsi="宋体" w:cs="仿宋"/>
          <w:b/>
          <w:color w:val="auto"/>
          <w:sz w:val="24"/>
          <w:highlight w:val="none"/>
        </w:rPr>
        <w:t>3</w:t>
      </w:r>
      <w:bookmarkEnd w:id="128"/>
      <w:bookmarkEnd w:id="129"/>
      <w:r>
        <w:rPr>
          <w:rFonts w:hint="eastAsia" w:ascii="宋体" w:hAnsi="宋体" w:cs="仿宋"/>
          <w:b/>
          <w:color w:val="auto"/>
          <w:sz w:val="24"/>
          <w:highlight w:val="none"/>
        </w:rPr>
        <w:t>9．</w:t>
      </w:r>
      <w:r>
        <w:rPr>
          <w:rFonts w:hint="eastAsia" w:ascii="宋体" w:hAnsi="宋体" w:cs="仿宋"/>
          <w:color w:val="auto"/>
          <w:sz w:val="24"/>
          <w:highlight w:val="none"/>
        </w:rPr>
        <w:t>询问、质疑、投诉的接收和处理严格按照《中华人共和国政府采购法》、《中华人民共和国政府采购法实施条例》、《政府采购货物和服务招标投标管理办法》、《</w:t>
      </w:r>
      <w:bookmarkStart w:id="135" w:name="_Hlk534971347"/>
      <w:r>
        <w:rPr>
          <w:rFonts w:hint="eastAsia" w:ascii="宋体" w:hAnsi="宋体" w:cs="仿宋"/>
          <w:color w:val="auto"/>
          <w:sz w:val="24"/>
          <w:highlight w:val="none"/>
        </w:rPr>
        <w:t>中华人民共和国财政部令第94号--政府采购质疑和投诉办法</w:t>
      </w:r>
      <w:bookmarkEnd w:id="135"/>
      <w:r>
        <w:rPr>
          <w:rFonts w:hint="eastAsia" w:ascii="宋体" w:hAnsi="宋体" w:cs="仿宋"/>
          <w:color w:val="auto"/>
          <w:sz w:val="24"/>
          <w:highlight w:val="none"/>
        </w:rPr>
        <w:t>》、《财政部关于加强政府采购供应商投诉受理审查工作的通知》和《四川省政府采购供应商投诉处理工作规程》的规定办理（详细规定请在四川政府采购网政策法规模块查询）。</w:t>
      </w:r>
    </w:p>
    <w:p>
      <w:pPr>
        <w:pStyle w:val="4"/>
        <w:spacing w:line="400" w:lineRule="exact"/>
        <w:jc w:val="center"/>
        <w:rPr>
          <w:rFonts w:ascii="宋体" w:hAnsi="宋体" w:eastAsia="宋体" w:cs="仿宋"/>
          <w:bCs w:val="0"/>
          <w:color w:val="auto"/>
          <w:szCs w:val="28"/>
          <w:highlight w:val="none"/>
        </w:rPr>
      </w:pPr>
      <w:r>
        <w:rPr>
          <w:rFonts w:hint="eastAsia" w:ascii="宋体" w:hAnsi="宋体" w:eastAsia="宋体" w:cs="仿宋"/>
          <w:bCs w:val="0"/>
          <w:color w:val="auto"/>
          <w:szCs w:val="28"/>
          <w:highlight w:val="none"/>
        </w:rPr>
        <w:t>九、其他</w:t>
      </w:r>
    </w:p>
    <w:p>
      <w:pPr>
        <w:widowControl/>
        <w:spacing w:line="400" w:lineRule="atLeast"/>
        <w:ind w:firstLine="482" w:firstLineChars="200"/>
        <w:jc w:val="left"/>
        <w:outlineLvl w:val="1"/>
        <w:rPr>
          <w:rFonts w:ascii="宋体" w:hAnsi="宋体" w:cs="仿宋"/>
          <w:b/>
          <w:color w:val="auto"/>
          <w:sz w:val="24"/>
          <w:highlight w:val="none"/>
        </w:rPr>
      </w:pPr>
      <w:r>
        <w:rPr>
          <w:rFonts w:hint="eastAsia" w:ascii="宋体" w:hAnsi="宋体" w:cs="仿宋"/>
          <w:b/>
          <w:color w:val="auto"/>
          <w:sz w:val="24"/>
          <w:highlight w:val="none"/>
        </w:rPr>
        <w:t>40.</w:t>
      </w:r>
      <w:r>
        <w:rPr>
          <w:rFonts w:hint="eastAsia" w:ascii="宋体" w:hAnsi="宋体" w:cs="仿宋"/>
          <w:color w:val="auto"/>
          <w:sz w:val="24"/>
          <w:highlight w:val="none"/>
        </w:rPr>
        <w:t>本招标文件中所引相关法律制度规定，在政府采购中有变化的，按照变化后的相关法律制度规定执行。</w:t>
      </w:r>
      <w:bookmarkStart w:id="136" w:name="_Toc217446083"/>
    </w:p>
    <w:p>
      <w:pPr>
        <w:pStyle w:val="3"/>
        <w:jc w:val="center"/>
        <w:rPr>
          <w:rFonts w:ascii="宋体" w:hAnsi="宋体" w:cs="仿宋"/>
          <w:color w:val="auto"/>
          <w:sz w:val="36"/>
          <w:szCs w:val="36"/>
          <w:highlight w:val="none"/>
        </w:rPr>
        <w:sectPr>
          <w:pgSz w:w="11907" w:h="16840"/>
          <w:pgMar w:top="1440" w:right="1474" w:bottom="1440" w:left="1474" w:header="851" w:footer="992" w:gutter="0"/>
          <w:pgNumType w:fmt="decimal"/>
          <w:cols w:space="720" w:num="1"/>
          <w:docGrid w:linePitch="312" w:charSpace="0"/>
        </w:sectPr>
      </w:pPr>
      <w:bookmarkStart w:id="137" w:name="_Toc24369"/>
      <w:bookmarkStart w:id="138" w:name="_Toc1368"/>
    </w:p>
    <w:p>
      <w:pPr>
        <w:pStyle w:val="3"/>
        <w:jc w:val="center"/>
        <w:rPr>
          <w:rFonts w:ascii="宋体" w:hAnsi="宋体" w:cs="仿宋"/>
          <w:color w:val="auto"/>
          <w:sz w:val="36"/>
          <w:szCs w:val="36"/>
          <w:highlight w:val="none"/>
        </w:rPr>
      </w:pPr>
      <w:r>
        <w:rPr>
          <w:rFonts w:hint="eastAsia" w:ascii="宋体" w:hAnsi="宋体" w:cs="仿宋"/>
          <w:color w:val="auto"/>
          <w:sz w:val="36"/>
          <w:szCs w:val="36"/>
          <w:highlight w:val="none"/>
        </w:rPr>
        <w:t>第三章  投标文件格式</w:t>
      </w:r>
      <w:bookmarkEnd w:id="137"/>
      <w:bookmarkEnd w:id="138"/>
      <w:bookmarkStart w:id="139" w:name="_Toc217446082"/>
      <w:bookmarkStart w:id="140" w:name="_Toc308164821"/>
    </w:p>
    <w:p>
      <w:pPr>
        <w:tabs>
          <w:tab w:val="left" w:pos="900"/>
        </w:tabs>
        <w:spacing w:line="360" w:lineRule="auto"/>
        <w:jc w:val="center"/>
        <w:rPr>
          <w:rFonts w:ascii="宋体" w:hAnsi="宋体" w:cs="仿宋"/>
          <w:b/>
          <w:color w:val="auto"/>
          <w:sz w:val="32"/>
          <w:highlight w:val="none"/>
        </w:rPr>
      </w:pPr>
      <w:r>
        <w:rPr>
          <w:rFonts w:hint="eastAsia" w:ascii="宋体" w:hAnsi="宋体" w:cs="仿宋"/>
          <w:b/>
          <w:color w:val="auto"/>
          <w:sz w:val="32"/>
          <w:highlight w:val="none"/>
        </w:rPr>
        <w:t>第一部分     “资格性投标文件”格式</w:t>
      </w:r>
    </w:p>
    <w:p>
      <w:pPr>
        <w:spacing w:line="360" w:lineRule="auto"/>
        <w:rPr>
          <w:rFonts w:ascii="宋体" w:hAnsi="宋体" w:cs="仿宋"/>
          <w:b/>
          <w:color w:val="auto"/>
          <w:sz w:val="32"/>
          <w:szCs w:val="32"/>
          <w:highlight w:val="none"/>
        </w:rPr>
      </w:pPr>
      <w:r>
        <w:rPr>
          <w:rFonts w:hint="eastAsia" w:ascii="宋体" w:hAnsi="宋体" w:cs="仿宋"/>
          <w:b/>
          <w:color w:val="auto"/>
          <w:sz w:val="32"/>
          <w:szCs w:val="32"/>
          <w:highlight w:val="none"/>
        </w:rPr>
        <w:t>格式1-1</w:t>
      </w:r>
    </w:p>
    <w:p>
      <w:pPr>
        <w:spacing w:line="360" w:lineRule="auto"/>
        <w:rPr>
          <w:rFonts w:ascii="宋体" w:hAnsi="宋体" w:cs="仿宋"/>
          <w:b/>
          <w:color w:val="auto"/>
          <w:sz w:val="32"/>
          <w:szCs w:val="32"/>
          <w:highlight w:val="none"/>
        </w:rPr>
      </w:pPr>
      <w:r>
        <w:rPr>
          <w:rFonts w:hint="eastAsia" w:ascii="宋体" w:hAnsi="宋体" w:cs="仿宋"/>
          <w:b/>
          <w:color w:val="auto"/>
          <w:sz w:val="32"/>
          <w:szCs w:val="32"/>
          <w:highlight w:val="none"/>
        </w:rPr>
        <w:t>封面：</w:t>
      </w:r>
    </w:p>
    <w:p>
      <w:pPr>
        <w:spacing w:line="360" w:lineRule="auto"/>
        <w:jc w:val="right"/>
        <w:rPr>
          <w:rFonts w:ascii="宋体" w:hAnsi="宋体" w:cs="仿宋"/>
          <w:b/>
          <w:color w:val="auto"/>
          <w:sz w:val="36"/>
          <w:highlight w:val="none"/>
        </w:rPr>
      </w:pPr>
      <w:r>
        <w:rPr>
          <w:rFonts w:hint="eastAsia" w:ascii="宋体" w:hAnsi="宋体" w:cs="仿宋"/>
          <w:b/>
          <w:color w:val="auto"/>
          <w:sz w:val="36"/>
          <w:highlight w:val="none"/>
        </w:rPr>
        <w:t>（正本/副本）</w:t>
      </w:r>
    </w:p>
    <w:p>
      <w:pPr>
        <w:spacing w:line="360" w:lineRule="auto"/>
        <w:rPr>
          <w:rFonts w:ascii="宋体" w:hAnsi="宋体" w:cs="仿宋"/>
          <w:b/>
          <w:color w:val="auto"/>
          <w:sz w:val="32"/>
          <w:szCs w:val="32"/>
          <w:highlight w:val="none"/>
        </w:rPr>
      </w:pPr>
    </w:p>
    <w:p>
      <w:pPr>
        <w:spacing w:line="360" w:lineRule="auto"/>
        <w:rPr>
          <w:rFonts w:ascii="宋体" w:hAnsi="宋体" w:cs="仿宋"/>
          <w:b/>
          <w:color w:val="auto"/>
          <w:sz w:val="32"/>
          <w:szCs w:val="32"/>
          <w:highlight w:val="none"/>
        </w:rPr>
      </w:pPr>
    </w:p>
    <w:p>
      <w:pPr>
        <w:spacing w:line="360" w:lineRule="auto"/>
        <w:jc w:val="center"/>
        <w:rPr>
          <w:rFonts w:ascii="宋体" w:hAnsi="宋体" w:cs="仿宋"/>
          <w:b/>
          <w:color w:val="auto"/>
          <w:sz w:val="72"/>
          <w:highlight w:val="none"/>
        </w:rPr>
      </w:pPr>
      <w:r>
        <w:rPr>
          <w:rFonts w:hint="eastAsia" w:ascii="宋体" w:hAnsi="宋体" w:cs="仿宋"/>
          <w:b/>
          <w:color w:val="auto"/>
          <w:sz w:val="40"/>
          <w:szCs w:val="48"/>
          <w:highlight w:val="none"/>
          <w:u w:val="single"/>
        </w:rPr>
        <w:t xml:space="preserve">                      </w:t>
      </w:r>
      <w:r>
        <w:rPr>
          <w:rFonts w:hint="eastAsia" w:ascii="宋体" w:hAnsi="宋体" w:cs="仿宋"/>
          <w:b/>
          <w:color w:val="auto"/>
          <w:sz w:val="40"/>
          <w:szCs w:val="48"/>
          <w:highlight w:val="none"/>
        </w:rPr>
        <w:t>项目</w:t>
      </w:r>
    </w:p>
    <w:p>
      <w:pPr>
        <w:spacing w:line="360" w:lineRule="auto"/>
        <w:rPr>
          <w:rFonts w:ascii="宋体" w:hAnsi="宋体" w:cs="仿宋"/>
          <w:b/>
          <w:color w:val="auto"/>
          <w:sz w:val="52"/>
          <w:szCs w:val="52"/>
          <w:highlight w:val="none"/>
        </w:rPr>
      </w:pPr>
    </w:p>
    <w:p>
      <w:pPr>
        <w:spacing w:line="360" w:lineRule="auto"/>
        <w:jc w:val="center"/>
        <w:rPr>
          <w:rFonts w:ascii="宋体" w:hAnsi="宋体" w:cs="仿宋"/>
          <w:b/>
          <w:color w:val="auto"/>
          <w:sz w:val="32"/>
          <w:szCs w:val="32"/>
          <w:highlight w:val="none"/>
        </w:rPr>
      </w:pPr>
      <w:r>
        <w:rPr>
          <w:rFonts w:hint="eastAsia" w:ascii="宋体" w:hAnsi="宋体" w:cs="仿宋"/>
          <w:b/>
          <w:color w:val="auto"/>
          <w:sz w:val="52"/>
          <w:szCs w:val="52"/>
          <w:highlight w:val="none"/>
        </w:rPr>
        <w:t>资格性投标文件</w:t>
      </w:r>
    </w:p>
    <w:p>
      <w:pPr>
        <w:spacing w:line="360" w:lineRule="auto"/>
        <w:rPr>
          <w:rFonts w:ascii="宋体" w:hAnsi="宋体" w:cs="仿宋"/>
          <w:b/>
          <w:color w:val="auto"/>
          <w:sz w:val="36"/>
          <w:highlight w:val="none"/>
        </w:rPr>
      </w:pPr>
    </w:p>
    <w:p>
      <w:pPr>
        <w:spacing w:line="360" w:lineRule="auto"/>
        <w:rPr>
          <w:rFonts w:ascii="宋体" w:hAnsi="宋体" w:cs="仿宋"/>
          <w:b/>
          <w:color w:val="auto"/>
          <w:sz w:val="36"/>
          <w:highlight w:val="none"/>
        </w:rPr>
      </w:pPr>
    </w:p>
    <w:p>
      <w:pPr>
        <w:spacing w:line="360" w:lineRule="auto"/>
        <w:ind w:firstLine="643" w:firstLineChars="200"/>
        <w:jc w:val="left"/>
        <w:rPr>
          <w:rFonts w:ascii="宋体" w:hAnsi="宋体" w:cs="仿宋"/>
          <w:b/>
          <w:color w:val="auto"/>
          <w:sz w:val="32"/>
          <w:highlight w:val="none"/>
          <w:u w:val="single"/>
        </w:rPr>
      </w:pPr>
      <w:bookmarkStart w:id="141" w:name="_Hlk534971390"/>
      <w:r>
        <w:rPr>
          <w:rFonts w:hint="eastAsia" w:ascii="宋体" w:hAnsi="宋体" w:cs="仿宋"/>
          <w:b/>
          <w:color w:val="auto"/>
          <w:sz w:val="32"/>
          <w:highlight w:val="none"/>
        </w:rPr>
        <w:t>投标人名称：</w:t>
      </w:r>
      <w:r>
        <w:rPr>
          <w:rFonts w:hint="eastAsia" w:ascii="宋体" w:hAnsi="宋体" w:cs="仿宋"/>
          <w:b/>
          <w:color w:val="auto"/>
          <w:sz w:val="32"/>
          <w:highlight w:val="none"/>
          <w:u w:val="single"/>
        </w:rPr>
        <w:t xml:space="preserve">                                 </w:t>
      </w:r>
    </w:p>
    <w:p>
      <w:pPr>
        <w:spacing w:line="360" w:lineRule="auto"/>
        <w:ind w:firstLine="643" w:firstLineChars="200"/>
        <w:jc w:val="left"/>
        <w:rPr>
          <w:rFonts w:ascii="宋体" w:hAnsi="宋体" w:cs="仿宋"/>
          <w:b/>
          <w:color w:val="auto"/>
          <w:sz w:val="32"/>
          <w:highlight w:val="none"/>
          <w:u w:val="single"/>
        </w:rPr>
      </w:pPr>
      <w:r>
        <w:rPr>
          <w:rFonts w:hint="eastAsia" w:ascii="宋体" w:hAnsi="宋体" w:cs="仿宋"/>
          <w:b/>
          <w:color w:val="auto"/>
          <w:sz w:val="32"/>
          <w:highlight w:val="none"/>
        </w:rPr>
        <w:t>招 标 编号：</w:t>
      </w:r>
      <w:r>
        <w:rPr>
          <w:rFonts w:hint="eastAsia" w:ascii="宋体" w:hAnsi="宋体" w:cs="仿宋"/>
          <w:b/>
          <w:color w:val="auto"/>
          <w:sz w:val="32"/>
          <w:highlight w:val="none"/>
          <w:u w:val="single"/>
        </w:rPr>
        <w:t xml:space="preserve">                                 </w:t>
      </w:r>
    </w:p>
    <w:bookmarkEnd w:id="141"/>
    <w:p>
      <w:pPr>
        <w:spacing w:line="360" w:lineRule="auto"/>
        <w:ind w:firstLine="790" w:firstLineChars="246"/>
        <w:jc w:val="center"/>
        <w:rPr>
          <w:rFonts w:ascii="宋体" w:hAnsi="宋体" w:cs="仿宋"/>
          <w:b/>
          <w:color w:val="auto"/>
          <w:sz w:val="32"/>
          <w:highlight w:val="none"/>
        </w:rPr>
      </w:pPr>
    </w:p>
    <w:p>
      <w:pPr>
        <w:pStyle w:val="2"/>
        <w:rPr>
          <w:rFonts w:ascii="宋体" w:hAnsi="宋体" w:cs="仿宋"/>
          <w:color w:val="auto"/>
          <w:highlight w:val="none"/>
        </w:rPr>
      </w:pPr>
    </w:p>
    <w:p>
      <w:pPr>
        <w:spacing w:line="360" w:lineRule="auto"/>
        <w:jc w:val="center"/>
        <w:rPr>
          <w:rFonts w:ascii="宋体" w:hAnsi="宋体" w:cs="仿宋"/>
          <w:b/>
          <w:color w:val="auto"/>
          <w:sz w:val="32"/>
          <w:highlight w:val="none"/>
        </w:rPr>
      </w:pPr>
      <w:r>
        <w:rPr>
          <w:rFonts w:hint="eastAsia" w:ascii="宋体" w:hAnsi="宋体" w:cs="仿宋"/>
          <w:b/>
          <w:color w:val="auto"/>
          <w:sz w:val="32"/>
          <w:highlight w:val="none"/>
        </w:rPr>
        <w:t>投标日期：</w:t>
      </w:r>
      <w:r>
        <w:rPr>
          <w:rFonts w:hint="eastAsia" w:ascii="宋体" w:hAnsi="宋体" w:cs="仿宋"/>
          <w:b/>
          <w:color w:val="auto"/>
          <w:sz w:val="32"/>
          <w:highlight w:val="none"/>
          <w:u w:val="single"/>
        </w:rPr>
        <w:t xml:space="preserve">    </w:t>
      </w:r>
      <w:r>
        <w:rPr>
          <w:rFonts w:hint="eastAsia" w:ascii="宋体" w:hAnsi="宋体" w:cs="仿宋"/>
          <w:b/>
          <w:color w:val="auto"/>
          <w:sz w:val="32"/>
          <w:highlight w:val="none"/>
        </w:rPr>
        <w:t>年</w:t>
      </w:r>
      <w:r>
        <w:rPr>
          <w:rFonts w:hint="eastAsia" w:ascii="宋体" w:hAnsi="宋体" w:cs="仿宋"/>
          <w:b/>
          <w:color w:val="auto"/>
          <w:sz w:val="32"/>
          <w:highlight w:val="none"/>
          <w:u w:val="single"/>
        </w:rPr>
        <w:t xml:space="preserve">   </w:t>
      </w:r>
      <w:r>
        <w:rPr>
          <w:rFonts w:hint="eastAsia" w:ascii="宋体" w:hAnsi="宋体" w:cs="仿宋"/>
          <w:b/>
          <w:color w:val="auto"/>
          <w:sz w:val="32"/>
          <w:highlight w:val="none"/>
        </w:rPr>
        <w:t>月</w:t>
      </w:r>
      <w:r>
        <w:rPr>
          <w:rFonts w:hint="eastAsia" w:ascii="宋体" w:hAnsi="宋体" w:cs="仿宋"/>
          <w:b/>
          <w:color w:val="auto"/>
          <w:sz w:val="32"/>
          <w:highlight w:val="none"/>
          <w:u w:val="single"/>
        </w:rPr>
        <w:t xml:space="preserve">   </w:t>
      </w:r>
      <w:r>
        <w:rPr>
          <w:rFonts w:hint="eastAsia" w:ascii="宋体" w:hAnsi="宋体" w:cs="仿宋"/>
          <w:b/>
          <w:color w:val="auto"/>
          <w:sz w:val="32"/>
          <w:highlight w:val="none"/>
        </w:rPr>
        <w:t>日</w:t>
      </w:r>
    </w:p>
    <w:p>
      <w:pPr>
        <w:spacing w:line="360" w:lineRule="auto"/>
        <w:rPr>
          <w:rFonts w:ascii="宋体" w:hAnsi="宋体" w:cs="仿宋"/>
          <w:b/>
          <w:color w:val="auto"/>
          <w:sz w:val="32"/>
          <w:szCs w:val="32"/>
          <w:highlight w:val="none"/>
        </w:rPr>
      </w:pPr>
      <w:r>
        <w:rPr>
          <w:rFonts w:hint="eastAsia" w:ascii="宋体" w:hAnsi="宋体" w:cs="仿宋"/>
          <w:b/>
          <w:color w:val="auto"/>
          <w:sz w:val="32"/>
          <w:highlight w:val="none"/>
        </w:rPr>
        <w:br w:type="page"/>
      </w:r>
      <w:r>
        <w:rPr>
          <w:rFonts w:hint="eastAsia" w:ascii="宋体" w:hAnsi="宋体" w:cs="仿宋"/>
          <w:b/>
          <w:color w:val="auto"/>
          <w:sz w:val="32"/>
          <w:szCs w:val="32"/>
          <w:highlight w:val="none"/>
        </w:rPr>
        <w:t>格式1-2</w:t>
      </w:r>
    </w:p>
    <w:p>
      <w:pPr>
        <w:spacing w:line="360" w:lineRule="auto"/>
        <w:ind w:firstLine="790" w:firstLineChars="246"/>
        <w:jc w:val="center"/>
        <w:rPr>
          <w:rFonts w:ascii="宋体" w:hAnsi="宋体" w:cs="仿宋"/>
          <w:b/>
          <w:color w:val="auto"/>
          <w:sz w:val="32"/>
          <w:szCs w:val="32"/>
          <w:highlight w:val="none"/>
        </w:rPr>
      </w:pPr>
      <w:r>
        <w:rPr>
          <w:rFonts w:hint="eastAsia" w:ascii="宋体" w:hAnsi="宋体" w:cs="仿宋"/>
          <w:b/>
          <w:color w:val="auto"/>
          <w:sz w:val="32"/>
          <w:szCs w:val="32"/>
          <w:highlight w:val="none"/>
        </w:rPr>
        <w:t>一、法定代表人/单位负责人授权书</w:t>
      </w:r>
    </w:p>
    <w:p>
      <w:pPr>
        <w:widowControl/>
        <w:spacing w:line="360" w:lineRule="atLeast"/>
        <w:ind w:firstLine="472" w:firstLineChars="196"/>
        <w:jc w:val="left"/>
        <w:outlineLvl w:val="1"/>
        <w:rPr>
          <w:rFonts w:ascii="宋体" w:hAnsi="宋体" w:cs="仿宋"/>
          <w:b/>
          <w:color w:val="auto"/>
          <w:sz w:val="24"/>
          <w:highlight w:val="none"/>
        </w:rPr>
      </w:pPr>
    </w:p>
    <w:p>
      <w:pPr>
        <w:widowControl/>
        <w:spacing w:line="360" w:lineRule="atLeast"/>
        <w:ind w:firstLine="472" w:firstLineChars="196"/>
        <w:jc w:val="left"/>
        <w:outlineLvl w:val="1"/>
        <w:rPr>
          <w:rFonts w:ascii="宋体" w:hAnsi="宋体" w:cs="仿宋"/>
          <w:b/>
          <w:color w:val="auto"/>
          <w:sz w:val="24"/>
          <w:highlight w:val="none"/>
        </w:rPr>
      </w:pPr>
    </w:p>
    <w:p>
      <w:pPr>
        <w:widowControl/>
        <w:spacing w:line="360" w:lineRule="atLeast"/>
        <w:jc w:val="left"/>
        <w:outlineLvl w:val="1"/>
        <w:rPr>
          <w:rFonts w:ascii="宋体" w:hAnsi="宋体" w:cs="仿宋"/>
          <w:color w:val="auto"/>
          <w:sz w:val="24"/>
          <w:highlight w:val="none"/>
        </w:rPr>
      </w:pPr>
      <w:bookmarkStart w:id="142" w:name="_Hlk534971416"/>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（采购代理机构名称）：</w:t>
      </w:r>
    </w:p>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本授权声明：</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（投标人名称）</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（法定代表人/单位负责人姓名、职务）授权</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（被授权人姓名、职务）为我方 “</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 项目（招标编号：</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）投标活动的合法代表，以我方名义全权处理该项目有关投标、签订合同以及执行合同等一切事宜。</w:t>
      </w:r>
    </w:p>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特此声明。</w:t>
      </w:r>
    </w:p>
    <w:p>
      <w:pPr>
        <w:widowControl/>
        <w:spacing w:line="360" w:lineRule="atLeast"/>
        <w:ind w:firstLine="470" w:firstLineChars="196"/>
        <w:jc w:val="left"/>
        <w:outlineLvl w:val="1"/>
        <w:rPr>
          <w:rFonts w:ascii="宋体" w:hAnsi="宋体" w:cs="仿宋"/>
          <w:color w:val="auto"/>
          <w:sz w:val="24"/>
          <w:highlight w:val="none"/>
        </w:rPr>
      </w:pPr>
    </w:p>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法定代表人/单位负责人（委托人）签字：</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p>
    <w:p>
      <w:pPr>
        <w:widowControl/>
        <w:spacing w:line="360" w:lineRule="atLeast"/>
        <w:ind w:firstLine="470" w:firstLineChars="196"/>
        <w:jc w:val="left"/>
        <w:outlineLvl w:val="1"/>
        <w:rPr>
          <w:rFonts w:ascii="宋体" w:hAnsi="宋体" w:cs="仿宋"/>
          <w:color w:val="auto"/>
          <w:sz w:val="24"/>
          <w:highlight w:val="none"/>
        </w:rPr>
      </w:pPr>
    </w:p>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授权代表（被授权人）签字：</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p>
    <w:p>
      <w:pPr>
        <w:widowControl/>
        <w:spacing w:line="360" w:lineRule="atLeast"/>
        <w:ind w:firstLine="470" w:firstLineChars="196"/>
        <w:jc w:val="left"/>
        <w:outlineLvl w:val="1"/>
        <w:rPr>
          <w:rFonts w:ascii="宋体" w:hAnsi="宋体" w:cs="仿宋"/>
          <w:color w:val="auto"/>
          <w:sz w:val="24"/>
          <w:highlight w:val="none"/>
        </w:rPr>
      </w:pPr>
    </w:p>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投标人名称：</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（单位公章）。</w:t>
      </w:r>
    </w:p>
    <w:p>
      <w:pPr>
        <w:widowControl/>
        <w:spacing w:line="360" w:lineRule="atLeast"/>
        <w:ind w:firstLine="470" w:firstLineChars="196"/>
        <w:jc w:val="left"/>
        <w:outlineLvl w:val="1"/>
        <w:rPr>
          <w:rFonts w:ascii="宋体" w:hAnsi="宋体" w:cs="仿宋"/>
          <w:color w:val="auto"/>
          <w:sz w:val="24"/>
          <w:highlight w:val="none"/>
        </w:rPr>
      </w:pPr>
    </w:p>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投标日期：</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p>
    <w:bookmarkEnd w:id="142"/>
    <w:p>
      <w:pPr>
        <w:widowControl/>
        <w:spacing w:line="360" w:lineRule="atLeast"/>
        <w:jc w:val="left"/>
        <w:outlineLvl w:val="1"/>
        <w:rPr>
          <w:rFonts w:ascii="宋体" w:hAnsi="宋体" w:cs="仿宋"/>
          <w:b/>
          <w:color w:val="auto"/>
          <w:sz w:val="24"/>
          <w:highlight w:val="none"/>
        </w:rPr>
      </w:pPr>
      <w:bookmarkStart w:id="143" w:name="_Toc217446084"/>
    </w:p>
    <w:p>
      <w:pPr>
        <w:widowControl/>
        <w:spacing w:line="360" w:lineRule="atLeast"/>
        <w:jc w:val="left"/>
        <w:outlineLvl w:val="1"/>
        <w:rPr>
          <w:rFonts w:ascii="宋体" w:hAnsi="宋体" w:cs="仿宋"/>
          <w:b/>
          <w:color w:val="auto"/>
          <w:sz w:val="24"/>
          <w:highlight w:val="none"/>
        </w:rPr>
      </w:pPr>
    </w:p>
    <w:p>
      <w:pPr>
        <w:widowControl/>
        <w:spacing w:line="360" w:lineRule="atLeast"/>
        <w:jc w:val="left"/>
        <w:outlineLvl w:val="1"/>
        <w:rPr>
          <w:rFonts w:ascii="宋体" w:hAnsi="宋体" w:cs="仿宋"/>
          <w:b/>
          <w:color w:val="auto"/>
          <w:sz w:val="24"/>
          <w:highlight w:val="none"/>
        </w:rPr>
      </w:pPr>
    </w:p>
    <w:p>
      <w:pPr>
        <w:widowControl/>
        <w:spacing w:line="360" w:lineRule="atLeast"/>
        <w:jc w:val="left"/>
        <w:outlineLvl w:val="1"/>
        <w:rPr>
          <w:rFonts w:ascii="宋体" w:hAnsi="宋体" w:cs="仿宋"/>
          <w:b/>
          <w:color w:val="auto"/>
          <w:sz w:val="24"/>
          <w:highlight w:val="none"/>
        </w:rPr>
      </w:pPr>
    </w:p>
    <w:p>
      <w:pPr>
        <w:spacing w:line="400" w:lineRule="exact"/>
        <w:ind w:left="840" w:hanging="840" w:hangingChars="350"/>
        <w:jc w:val="left"/>
        <w:rPr>
          <w:rFonts w:ascii="宋体" w:hAnsi="宋体" w:cs="仿宋"/>
          <w:color w:val="auto"/>
          <w:sz w:val="24"/>
          <w:highlight w:val="none"/>
        </w:rPr>
      </w:pPr>
      <w:r>
        <w:rPr>
          <w:rFonts w:hint="eastAsia" w:ascii="宋体" w:hAnsi="宋体" w:cs="仿宋"/>
          <w:color w:val="auto"/>
          <w:sz w:val="24"/>
          <w:highlight w:val="none"/>
        </w:rPr>
        <w:t>注：</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1、投标人为法人单位时提供“法定代表人授权书”，投标人为其他组织时提供“单位负责人授权书”，投标人为自然人时提供“自然人身份证明材料”。</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2、应附法定代表人身份证明材料复印件和授权代表身份证明材料复印件。</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3、身份证明材料包括居民身份证或户口本或军官证或护照等。</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4、身份证明材料应同时提供其在有效期的材料，如居民身份证正、反面复印件。</w:t>
      </w:r>
    </w:p>
    <w:p>
      <w:pPr>
        <w:spacing w:line="400" w:lineRule="exact"/>
        <w:jc w:val="center"/>
        <w:rPr>
          <w:rFonts w:ascii="宋体" w:hAnsi="宋体" w:cs="仿宋"/>
          <w:color w:val="auto"/>
          <w:sz w:val="24"/>
          <w:highlight w:val="none"/>
        </w:rPr>
      </w:pPr>
      <w:r>
        <w:rPr>
          <w:rFonts w:hint="eastAsia" w:ascii="宋体" w:hAnsi="宋体" w:cs="仿宋"/>
          <w:color w:val="auto"/>
          <w:sz w:val="24"/>
          <w:highlight w:val="none"/>
        </w:rPr>
        <w:br w:type="page"/>
      </w:r>
      <w:r>
        <w:rPr>
          <w:rFonts w:hint="eastAsia" w:ascii="宋体" w:hAnsi="宋体" w:cs="仿宋"/>
          <w:b/>
          <w:color w:val="auto"/>
          <w:sz w:val="32"/>
          <w:szCs w:val="32"/>
          <w:highlight w:val="none"/>
        </w:rPr>
        <w:t>二、法定代表人/单位负责人身份证明</w:t>
      </w:r>
    </w:p>
    <w:p>
      <w:pPr>
        <w:tabs>
          <w:tab w:val="left" w:pos="6300"/>
        </w:tabs>
        <w:spacing w:line="520" w:lineRule="exact"/>
        <w:ind w:firstLine="573"/>
        <w:rPr>
          <w:rFonts w:ascii="宋体" w:hAnsi="宋体" w:cs="仿宋"/>
          <w:color w:val="auto"/>
          <w:sz w:val="24"/>
          <w:highlight w:val="none"/>
          <w:lang w:val="zh-CN"/>
        </w:rPr>
      </w:pPr>
    </w:p>
    <w:p>
      <w:pPr>
        <w:tabs>
          <w:tab w:val="left" w:pos="6300"/>
        </w:tabs>
        <w:spacing w:line="520" w:lineRule="exact"/>
        <w:ind w:firstLine="573"/>
        <w:rPr>
          <w:rFonts w:ascii="宋体" w:hAnsi="宋体" w:cs="仿宋"/>
          <w:color w:val="auto"/>
          <w:sz w:val="24"/>
          <w:highlight w:val="none"/>
          <w:lang w:val="zh-CN"/>
        </w:rPr>
      </w:pPr>
      <w:bookmarkStart w:id="144" w:name="_Hlk534971439"/>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（采购代理机构名称）</w:t>
      </w:r>
      <w:r>
        <w:rPr>
          <w:rFonts w:hint="eastAsia" w:ascii="宋体" w:hAnsi="宋体" w:cs="仿宋"/>
          <w:color w:val="auto"/>
          <w:sz w:val="24"/>
          <w:highlight w:val="none"/>
          <w:lang w:val="zh-CN"/>
        </w:rPr>
        <w:t>：</w:t>
      </w:r>
    </w:p>
    <w:p>
      <w:pPr>
        <w:tabs>
          <w:tab w:val="left" w:pos="6300"/>
        </w:tabs>
        <w:spacing w:line="520" w:lineRule="exact"/>
        <w:ind w:firstLine="573"/>
        <w:rPr>
          <w:rFonts w:ascii="宋体" w:hAnsi="宋体" w:cs="仿宋"/>
          <w:color w:val="auto"/>
          <w:sz w:val="24"/>
          <w:highlight w:val="none"/>
          <w:lang w:val="zh-CN"/>
        </w:rPr>
      </w:pPr>
      <w:r>
        <w:rPr>
          <w:rFonts w:hint="eastAsia" w:ascii="宋体" w:hAnsi="宋体" w:cs="仿宋"/>
          <w:b/>
          <w:color w:val="auto"/>
          <w:sz w:val="32"/>
          <w:highlight w:val="none"/>
          <w:u w:val="single"/>
        </w:rPr>
        <w:t xml:space="preserve">           </w:t>
      </w:r>
      <w:r>
        <w:rPr>
          <w:rFonts w:hint="eastAsia" w:ascii="宋体" w:hAnsi="宋体" w:cs="仿宋"/>
          <w:color w:val="auto"/>
          <w:sz w:val="24"/>
          <w:highlight w:val="none"/>
          <w:u w:val="single"/>
          <w:lang w:val="zh-CN"/>
        </w:rPr>
        <w:t>（法定代表人/单位负责人姓名）</w:t>
      </w:r>
      <w:r>
        <w:rPr>
          <w:rFonts w:hint="eastAsia" w:ascii="宋体" w:hAnsi="宋体" w:cs="仿宋"/>
          <w:color w:val="auto"/>
          <w:sz w:val="24"/>
          <w:highlight w:val="none"/>
          <w:lang w:val="zh-CN"/>
        </w:rPr>
        <w:t>在</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u w:val="single"/>
          <w:lang w:val="zh-CN"/>
        </w:rPr>
        <w:t xml:space="preserve">（投标人名称）  </w:t>
      </w:r>
      <w:r>
        <w:rPr>
          <w:rFonts w:hint="eastAsia" w:ascii="宋体" w:hAnsi="宋体" w:cs="仿宋"/>
          <w:color w:val="auto"/>
          <w:sz w:val="24"/>
          <w:highlight w:val="none"/>
          <w:lang w:val="zh-CN"/>
        </w:rPr>
        <w:t>处任</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u w:val="single"/>
          <w:lang w:val="zh-CN"/>
        </w:rPr>
        <w:t>（职务名称）</w:t>
      </w:r>
      <w:r>
        <w:rPr>
          <w:rFonts w:hint="eastAsia" w:ascii="宋体" w:hAnsi="宋体" w:cs="仿宋"/>
          <w:color w:val="auto"/>
          <w:sz w:val="24"/>
          <w:highlight w:val="none"/>
          <w:lang w:val="zh-CN"/>
        </w:rPr>
        <w:t>职务，是</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u w:val="single"/>
          <w:lang w:val="zh-CN"/>
        </w:rPr>
        <w:t>（投标人名称）</w:t>
      </w:r>
      <w:r>
        <w:rPr>
          <w:rFonts w:hint="eastAsia" w:ascii="宋体" w:hAnsi="宋体" w:cs="仿宋"/>
          <w:color w:val="auto"/>
          <w:sz w:val="24"/>
          <w:highlight w:val="none"/>
          <w:lang w:val="zh-CN"/>
        </w:rPr>
        <w:t>的法定代表人/单位负责人。</w:t>
      </w:r>
    </w:p>
    <w:p>
      <w:pPr>
        <w:tabs>
          <w:tab w:val="left" w:pos="6300"/>
        </w:tabs>
        <w:spacing w:line="520" w:lineRule="exact"/>
        <w:ind w:firstLine="573"/>
        <w:rPr>
          <w:rFonts w:ascii="宋体" w:hAnsi="宋体" w:cs="仿宋"/>
          <w:color w:val="auto"/>
          <w:sz w:val="24"/>
          <w:highlight w:val="none"/>
          <w:lang w:val="zh-CN"/>
        </w:rPr>
      </w:pPr>
      <w:r>
        <w:rPr>
          <w:rFonts w:hint="eastAsia" w:ascii="宋体" w:hAnsi="宋体" w:cs="仿宋"/>
          <w:color w:val="auto"/>
          <w:sz w:val="24"/>
          <w:highlight w:val="none"/>
          <w:lang w:val="zh-CN"/>
        </w:rPr>
        <w:t>法定代表人/单位负责人联系方式：</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lang w:val="zh-CN"/>
        </w:rPr>
        <w:t>。</w:t>
      </w:r>
    </w:p>
    <w:p>
      <w:pPr>
        <w:tabs>
          <w:tab w:val="left" w:pos="6300"/>
        </w:tabs>
        <w:spacing w:line="520" w:lineRule="exact"/>
        <w:ind w:firstLine="573"/>
        <w:rPr>
          <w:rFonts w:ascii="宋体" w:hAnsi="宋体" w:cs="仿宋"/>
          <w:color w:val="auto"/>
          <w:sz w:val="24"/>
          <w:highlight w:val="none"/>
          <w:lang w:val="zh-CN"/>
        </w:rPr>
      </w:pPr>
    </w:p>
    <w:p>
      <w:pPr>
        <w:tabs>
          <w:tab w:val="left" w:pos="6300"/>
        </w:tabs>
        <w:spacing w:line="520" w:lineRule="exact"/>
        <w:ind w:firstLine="573"/>
        <w:rPr>
          <w:rFonts w:ascii="宋体" w:hAnsi="宋体" w:cs="仿宋"/>
          <w:color w:val="auto"/>
          <w:sz w:val="24"/>
          <w:highlight w:val="none"/>
          <w:lang w:val="zh-CN"/>
        </w:rPr>
      </w:pPr>
      <w:r>
        <w:rPr>
          <w:rFonts w:hint="eastAsia" w:ascii="宋体" w:hAnsi="宋体" w:cs="仿宋"/>
          <w:color w:val="auto"/>
          <w:sz w:val="24"/>
          <w:highlight w:val="none"/>
          <w:lang w:val="zh-CN"/>
        </w:rPr>
        <w:t>特此证明。</w:t>
      </w:r>
    </w:p>
    <w:p>
      <w:pPr>
        <w:tabs>
          <w:tab w:val="left" w:pos="6300"/>
        </w:tabs>
        <w:spacing w:line="520" w:lineRule="exact"/>
        <w:rPr>
          <w:rFonts w:ascii="宋体" w:hAnsi="宋体" w:cs="仿宋"/>
          <w:color w:val="auto"/>
          <w:sz w:val="24"/>
          <w:highlight w:val="none"/>
          <w:lang w:val="zh-CN"/>
        </w:rPr>
      </w:pPr>
    </w:p>
    <w:p>
      <w:pPr>
        <w:spacing w:line="520" w:lineRule="exact"/>
        <w:ind w:firstLine="480"/>
        <w:jc w:val="left"/>
        <w:rPr>
          <w:rFonts w:ascii="宋体" w:hAnsi="宋体" w:cs="仿宋"/>
          <w:color w:val="auto"/>
          <w:sz w:val="24"/>
          <w:highlight w:val="none"/>
        </w:rPr>
      </w:pPr>
      <w:r>
        <w:rPr>
          <w:rFonts w:hint="eastAsia" w:ascii="宋体" w:hAnsi="宋体" w:cs="仿宋"/>
          <w:color w:val="auto"/>
          <w:sz w:val="24"/>
          <w:highlight w:val="none"/>
        </w:rPr>
        <w:t>投标人名称（单位公章）：</w:t>
      </w:r>
      <w:r>
        <w:rPr>
          <w:rFonts w:hint="eastAsia" w:ascii="宋体" w:hAnsi="宋体" w:cs="仿宋"/>
          <w:b/>
          <w:color w:val="auto"/>
          <w:sz w:val="32"/>
          <w:highlight w:val="none"/>
          <w:u w:val="single"/>
        </w:rPr>
        <w:t xml:space="preserve">           </w:t>
      </w:r>
    </w:p>
    <w:p>
      <w:pPr>
        <w:spacing w:line="520" w:lineRule="exact"/>
        <w:ind w:firstLine="480"/>
        <w:jc w:val="left"/>
        <w:rPr>
          <w:rFonts w:ascii="宋体" w:hAnsi="宋体" w:cs="仿宋"/>
          <w:color w:val="auto"/>
          <w:sz w:val="24"/>
          <w:highlight w:val="none"/>
        </w:rPr>
      </w:pPr>
      <w:r>
        <w:rPr>
          <w:rFonts w:hint="eastAsia" w:ascii="宋体" w:hAnsi="宋体" w:cs="仿宋"/>
          <w:color w:val="auto"/>
          <w:sz w:val="24"/>
          <w:highlight w:val="none"/>
        </w:rPr>
        <w:t>法定代表人/单位负责人（签字）：</w:t>
      </w:r>
      <w:r>
        <w:rPr>
          <w:rFonts w:hint="eastAsia" w:ascii="宋体" w:hAnsi="宋体" w:cs="仿宋"/>
          <w:b/>
          <w:color w:val="auto"/>
          <w:sz w:val="32"/>
          <w:highlight w:val="none"/>
          <w:u w:val="single"/>
        </w:rPr>
        <w:t xml:space="preserve">           </w:t>
      </w:r>
    </w:p>
    <w:p>
      <w:pPr>
        <w:spacing w:line="520" w:lineRule="exact"/>
        <w:ind w:firstLine="480" w:firstLineChars="200"/>
        <w:rPr>
          <w:rFonts w:ascii="宋体" w:hAnsi="宋体" w:cs="仿宋"/>
          <w:color w:val="auto"/>
          <w:sz w:val="24"/>
          <w:highlight w:val="none"/>
          <w:lang w:val="zh-CN"/>
        </w:rPr>
      </w:pPr>
      <w:r>
        <w:rPr>
          <w:rFonts w:hint="eastAsia" w:ascii="宋体" w:hAnsi="宋体" w:cs="仿宋"/>
          <w:color w:val="auto"/>
          <w:sz w:val="24"/>
          <w:highlight w:val="none"/>
        </w:rPr>
        <w:t>投标日期:</w:t>
      </w:r>
      <w:r>
        <w:rPr>
          <w:rFonts w:hint="eastAsia" w:ascii="宋体" w:hAnsi="宋体" w:cs="仿宋"/>
          <w:b/>
          <w:color w:val="auto"/>
          <w:sz w:val="32"/>
          <w:highlight w:val="none"/>
          <w:u w:val="single"/>
        </w:rPr>
        <w:t xml:space="preserve">           </w:t>
      </w:r>
    </w:p>
    <w:bookmarkEnd w:id="144"/>
    <w:p>
      <w:pPr>
        <w:spacing w:line="520" w:lineRule="exact"/>
        <w:ind w:firstLine="240" w:firstLineChars="100"/>
        <w:rPr>
          <w:rFonts w:ascii="宋体" w:hAnsi="宋体" w:cs="仿宋"/>
          <w:color w:val="auto"/>
          <w:sz w:val="24"/>
          <w:highlight w:val="none"/>
          <w:lang w:val="zh-CN"/>
        </w:rPr>
      </w:pPr>
      <w:r>
        <w:rPr>
          <w:rFonts w:hint="eastAsia" w:ascii="宋体" w:hAnsi="宋体" w:cs="仿宋"/>
          <w:color w:val="auto"/>
          <w:sz w:val="24"/>
          <w:highlight w:val="none"/>
        </w:rPr>
        <w:t xml:space="preserve"> </w:t>
      </w:r>
      <w:r>
        <w:rPr>
          <w:rFonts w:hint="eastAsia" w:ascii="宋体" w:hAnsi="宋体" w:cs="仿宋"/>
          <w:color w:val="auto"/>
          <w:sz w:val="24"/>
          <w:highlight w:val="none"/>
          <w:lang w:val="zh-CN"/>
        </w:rPr>
        <w:t xml:space="preserve"> </w:t>
      </w:r>
    </w:p>
    <w:p>
      <w:pPr>
        <w:tabs>
          <w:tab w:val="left" w:pos="720"/>
          <w:tab w:val="left" w:pos="6300"/>
        </w:tabs>
        <w:spacing w:line="520" w:lineRule="exact"/>
        <w:ind w:firstLine="573"/>
        <w:rPr>
          <w:rFonts w:ascii="宋体" w:hAnsi="宋体" w:cs="仿宋"/>
          <w:b/>
          <w:color w:val="auto"/>
          <w:sz w:val="24"/>
          <w:highlight w:val="none"/>
          <w:lang w:val="zh-CN"/>
        </w:rPr>
      </w:pPr>
      <w:r>
        <w:rPr>
          <w:rFonts w:hint="eastAsia" w:ascii="宋体" w:hAnsi="宋体" w:cs="仿宋"/>
          <w:b/>
          <w:color w:val="auto"/>
          <w:sz w:val="24"/>
          <w:highlight w:val="none"/>
          <w:lang w:val="zh-CN"/>
        </w:rPr>
        <w:t>注：1、法定代表人/单位负责人亲自参加投标时提供此证明，授权代表参加投标时无须提供；</w:t>
      </w:r>
    </w:p>
    <w:p>
      <w:pPr>
        <w:tabs>
          <w:tab w:val="left" w:pos="720"/>
          <w:tab w:val="left" w:pos="6300"/>
        </w:tabs>
        <w:spacing w:line="520" w:lineRule="exact"/>
        <w:ind w:firstLine="573"/>
        <w:rPr>
          <w:rFonts w:ascii="宋体" w:hAnsi="宋体" w:cs="仿宋"/>
          <w:b/>
          <w:color w:val="auto"/>
          <w:sz w:val="24"/>
          <w:highlight w:val="none"/>
          <w:lang w:val="zh-CN"/>
        </w:rPr>
      </w:pPr>
      <w:r>
        <w:rPr>
          <w:rFonts w:hint="eastAsia" w:ascii="宋体" w:hAnsi="宋体" w:cs="仿宋"/>
          <w:b/>
          <w:color w:val="auto"/>
          <w:sz w:val="24"/>
          <w:highlight w:val="none"/>
        </w:rPr>
        <w:t xml:space="preserve">    2、投标人为法人单位时提供“法定代表人身份证明”，投标人为其他组织时提供“单位负责人身份证明”，投标人为自然人时无须提供。</w:t>
      </w:r>
    </w:p>
    <w:p>
      <w:pPr>
        <w:tabs>
          <w:tab w:val="left" w:pos="720"/>
          <w:tab w:val="left" w:pos="6300"/>
        </w:tabs>
        <w:spacing w:line="520" w:lineRule="exact"/>
        <w:ind w:firstLine="573"/>
        <w:rPr>
          <w:rFonts w:ascii="宋体" w:hAnsi="宋体" w:cs="仿宋"/>
          <w:b/>
          <w:color w:val="auto"/>
          <w:sz w:val="24"/>
          <w:highlight w:val="none"/>
        </w:rPr>
      </w:pPr>
      <w:r>
        <w:rPr>
          <w:rFonts w:hint="eastAsia" w:ascii="宋体" w:hAnsi="宋体" w:cs="仿宋"/>
          <w:b/>
          <w:color w:val="auto"/>
          <w:sz w:val="24"/>
          <w:highlight w:val="none"/>
          <w:lang w:val="zh-CN"/>
        </w:rPr>
        <w:t xml:space="preserve">    3、上述证明文件在投标文件中附有法定代表人/单位负责人身份证复印件（身份证两面均应复印）时才能生效,不允许粘贴。</w:t>
      </w:r>
    </w:p>
    <w:p>
      <w:pPr>
        <w:tabs>
          <w:tab w:val="left" w:pos="720"/>
          <w:tab w:val="left" w:pos="6300"/>
        </w:tabs>
        <w:ind w:firstLine="573"/>
        <w:rPr>
          <w:rFonts w:ascii="宋体" w:hAnsi="宋体" w:cs="仿宋"/>
          <w:b/>
          <w:color w:val="auto"/>
          <w:sz w:val="24"/>
          <w:highlight w:val="none"/>
          <w:lang w:val="zh-CN"/>
        </w:rPr>
      </w:pPr>
      <w:r>
        <w:rPr>
          <w:rFonts w:ascii="宋体" w:hAnsi="宋体" w:cs="仿宋"/>
          <w:b/>
          <w:color w:val="auto"/>
          <w:sz w:val="24"/>
          <w:highlight w:val="none"/>
        </w:rPr>
        <w:pict>
          <v:shape id="文本框 11" o:spid="_x0000_s1026" o:spt="202" type="#_x0000_t202" style="position:absolute;left:0pt;margin-left:228.35pt;margin-top:49.45pt;height:115.1pt;width:189.4pt;mso-wrap-distance-bottom:0pt;mso-wrap-distance-left:9pt;mso-wrap-distance-right:9pt;mso-wrap-distance-top:0pt;z-index:25166028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">
            <v:path/>
            <v:fill focussize="0,0"/>
            <v:stroke dashstyle="dash"/>
            <v:imagedata o:title=""/>
            <o:lock v:ext="edit"/>
            <v:textbox>
              <w:txbxContent>
                <w:p>
                  <w:pPr>
                    <w:rPr>
                      <w:rFonts w:ascii="宋体" w:hAnsi="宋体"/>
                      <w:b/>
                      <w:sz w:val="24"/>
                      <w:lang w:val="zh-CN"/>
                    </w:rPr>
                  </w:pPr>
                </w:p>
                <w:p>
                  <w:pPr>
                    <w:rPr>
                      <w:rFonts w:ascii="宋体" w:hAnsi="宋体"/>
                      <w:b/>
                      <w:sz w:val="24"/>
                      <w:lang w:val="zh-CN"/>
                    </w:rPr>
                  </w:pPr>
                </w:p>
                <w:p>
                  <w:pPr>
                    <w:jc w:val="center"/>
                    <w:rPr>
                      <w:rFonts w:ascii="仿宋" w:hAnsi="仿宋" w:eastAsia="仿宋" w:cs="仿宋"/>
                    </w:rPr>
                  </w:pPr>
                  <w:r>
                    <w:rPr>
                      <w:rFonts w:hint="eastAsia" w:ascii="仿宋" w:hAnsi="仿宋" w:eastAsia="仿宋" w:cs="仿宋"/>
                      <w:b/>
                      <w:sz w:val="24"/>
                      <w:lang w:val="zh-CN"/>
                    </w:rPr>
                    <w:t>身份证复印件背面</w:t>
                  </w:r>
                </w:p>
              </w:txbxContent>
            </v:textbox>
            <w10:wrap type="square"/>
          </v:shape>
        </w:pict>
      </w:r>
      <w:r>
        <w:rPr>
          <w:rFonts w:ascii="宋体" w:hAnsi="宋体" w:cs="仿宋"/>
          <w:b/>
          <w:color w:val="auto"/>
          <w:sz w:val="24"/>
          <w:highlight w:val="none"/>
        </w:rPr>
        <w:pict>
          <v:shape id="文本框 12" o:spid="_x0000_s1027" o:spt="202" type="#_x0000_t202" style="position:absolute;left:0pt;margin-left:27.1pt;margin-top:49.45pt;height:115.1pt;width:189.4pt;mso-wrap-distance-bottom:0pt;mso-wrap-distance-left:9pt;mso-wrap-distance-right:9pt;mso-wrap-distance-top:0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">
            <v:path/>
            <v:fill focussize="0,0"/>
            <v:stroke dashstyle="dash"/>
            <v:imagedata o:title=""/>
            <o:lock v:ext="edit"/>
            <v:textbox>
              <w:txbxContent>
                <w:p>
                  <w:pPr>
                    <w:rPr>
                      <w:rFonts w:ascii="宋体" w:hAnsi="宋体"/>
                      <w:b/>
                      <w:sz w:val="24"/>
                      <w:lang w:val="zh-CN"/>
                    </w:rPr>
                  </w:pPr>
                </w:p>
                <w:p>
                  <w:pPr>
                    <w:rPr>
                      <w:rFonts w:ascii="宋体" w:hAnsi="宋体"/>
                      <w:b/>
                      <w:sz w:val="24"/>
                      <w:lang w:val="zh-CN"/>
                    </w:rPr>
                  </w:pPr>
                </w:p>
                <w:p>
                  <w:pPr>
                    <w:jc w:val="center"/>
                    <w:rPr>
                      <w:rFonts w:ascii="仿宋" w:hAnsi="仿宋" w:eastAsia="仿宋" w:cs="仿宋"/>
                    </w:rPr>
                  </w:pPr>
                  <w:r>
                    <w:rPr>
                      <w:rFonts w:hint="eastAsia" w:ascii="仿宋" w:hAnsi="仿宋" w:eastAsia="仿宋" w:cs="仿宋"/>
                      <w:b/>
                      <w:sz w:val="24"/>
                      <w:lang w:val="zh-CN"/>
                    </w:rPr>
                    <w:t>身份证复印件正面</w:t>
                  </w:r>
                </w:p>
              </w:txbxContent>
            </v:textbox>
            <w10:wrap type="square"/>
          </v:shape>
        </w:pict>
      </w:r>
    </w:p>
    <w:p>
      <w:pPr>
        <w:tabs>
          <w:tab w:val="left" w:pos="720"/>
          <w:tab w:val="left" w:pos="6300"/>
        </w:tabs>
        <w:ind w:firstLine="573"/>
        <w:rPr>
          <w:rFonts w:ascii="宋体" w:hAnsi="宋体" w:cs="仿宋"/>
          <w:b/>
          <w:color w:val="auto"/>
          <w:sz w:val="24"/>
          <w:highlight w:val="none"/>
          <w:lang w:val="zh-CN"/>
        </w:rPr>
      </w:pPr>
      <w:r>
        <w:rPr>
          <w:rFonts w:hint="eastAsia" w:ascii="宋体" w:hAnsi="宋体" w:cs="仿宋"/>
          <w:b/>
          <w:color w:val="auto"/>
          <w:sz w:val="24"/>
          <w:highlight w:val="none"/>
          <w:lang w:val="zh-CN"/>
        </w:rPr>
        <w:t>法定代表人/单位负责人身份证样式(仅供参考)：</w:t>
      </w:r>
    </w:p>
    <w:p>
      <w:pPr>
        <w:tabs>
          <w:tab w:val="left" w:pos="720"/>
          <w:tab w:val="left" w:pos="6300"/>
        </w:tabs>
        <w:ind w:firstLine="573"/>
        <w:rPr>
          <w:rFonts w:ascii="宋体" w:hAnsi="宋体" w:cs="仿宋"/>
          <w:b/>
          <w:color w:val="auto"/>
          <w:sz w:val="24"/>
          <w:highlight w:val="none"/>
          <w:lang w:val="zh-CN"/>
        </w:rPr>
      </w:pPr>
    </w:p>
    <w:bookmarkEnd w:id="143"/>
    <w:p>
      <w:pPr>
        <w:widowControl/>
        <w:jc w:val="left"/>
        <w:rPr>
          <w:rFonts w:ascii="宋体" w:hAnsi="宋体" w:cs="仿宋"/>
          <w:b/>
          <w:color w:val="auto"/>
          <w:sz w:val="32"/>
          <w:szCs w:val="32"/>
          <w:highlight w:val="none"/>
        </w:rPr>
      </w:pPr>
      <w:r>
        <w:rPr>
          <w:rFonts w:hint="eastAsia" w:ascii="宋体" w:hAnsi="宋体" w:cs="仿宋"/>
          <w:b/>
          <w:color w:val="auto"/>
          <w:sz w:val="32"/>
          <w:szCs w:val="32"/>
          <w:highlight w:val="none"/>
        </w:rPr>
        <w:br w:type="page"/>
      </w:r>
    </w:p>
    <w:p>
      <w:pPr>
        <w:spacing w:line="360" w:lineRule="auto"/>
        <w:rPr>
          <w:rFonts w:ascii="宋体" w:hAnsi="宋体" w:cs="仿宋"/>
          <w:b/>
          <w:color w:val="auto"/>
          <w:sz w:val="32"/>
          <w:szCs w:val="32"/>
          <w:highlight w:val="none"/>
        </w:rPr>
      </w:pPr>
      <w:r>
        <w:rPr>
          <w:rFonts w:hint="eastAsia" w:ascii="宋体" w:hAnsi="宋体" w:cs="仿宋"/>
          <w:b/>
          <w:color w:val="auto"/>
          <w:sz w:val="32"/>
          <w:szCs w:val="32"/>
          <w:highlight w:val="none"/>
        </w:rPr>
        <w:t>格式1-3</w:t>
      </w:r>
    </w:p>
    <w:p>
      <w:pPr>
        <w:widowControl/>
        <w:spacing w:line="360" w:lineRule="atLeast"/>
        <w:jc w:val="center"/>
        <w:outlineLvl w:val="1"/>
        <w:rPr>
          <w:rFonts w:ascii="宋体" w:hAnsi="宋体" w:cs="仿宋"/>
          <w:b/>
          <w:color w:val="auto"/>
          <w:sz w:val="32"/>
          <w:szCs w:val="32"/>
          <w:highlight w:val="none"/>
        </w:rPr>
      </w:pPr>
      <w:r>
        <w:rPr>
          <w:rFonts w:hint="eastAsia" w:ascii="宋体" w:hAnsi="宋体" w:cs="仿宋"/>
          <w:b/>
          <w:color w:val="auto"/>
          <w:sz w:val="32"/>
          <w:szCs w:val="32"/>
          <w:highlight w:val="none"/>
        </w:rPr>
        <w:t>三、承诺函</w:t>
      </w:r>
    </w:p>
    <w:p>
      <w:pPr>
        <w:widowControl/>
        <w:spacing w:line="360" w:lineRule="atLeast"/>
        <w:jc w:val="center"/>
        <w:outlineLvl w:val="1"/>
        <w:rPr>
          <w:rFonts w:ascii="宋体" w:hAnsi="宋体" w:cs="仿宋"/>
          <w:b/>
          <w:color w:val="auto"/>
          <w:sz w:val="24"/>
          <w:highlight w:val="none"/>
        </w:rPr>
      </w:pPr>
    </w:p>
    <w:p>
      <w:pPr>
        <w:widowControl/>
        <w:spacing w:line="360" w:lineRule="atLeast"/>
        <w:jc w:val="left"/>
        <w:outlineLvl w:val="1"/>
        <w:rPr>
          <w:rFonts w:ascii="宋体" w:hAnsi="宋体" w:cs="仿宋"/>
          <w:color w:val="auto"/>
          <w:sz w:val="24"/>
          <w:highlight w:val="none"/>
        </w:rPr>
      </w:pPr>
      <w:bookmarkStart w:id="145" w:name="_Hlk534971479"/>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bookmarkEnd w:id="145"/>
      <w:r>
        <w:rPr>
          <w:rFonts w:hint="eastAsia" w:ascii="宋体" w:hAnsi="宋体" w:cs="仿宋"/>
          <w:color w:val="auto"/>
          <w:sz w:val="24"/>
          <w:highlight w:val="none"/>
        </w:rPr>
        <w:t>采购代理机构名称）：</w:t>
      </w:r>
    </w:p>
    <w:p>
      <w:pPr>
        <w:widowControl/>
        <w:spacing w:line="360" w:lineRule="atLeast"/>
        <w:ind w:firstLine="480" w:firstLineChars="200"/>
        <w:jc w:val="left"/>
        <w:outlineLvl w:val="1"/>
        <w:rPr>
          <w:rFonts w:ascii="宋体" w:hAnsi="宋体" w:cs="仿宋"/>
          <w:color w:val="auto"/>
          <w:sz w:val="24"/>
          <w:highlight w:val="none"/>
        </w:rPr>
      </w:pPr>
      <w:r>
        <w:rPr>
          <w:rFonts w:hint="eastAsia" w:ascii="宋体" w:hAnsi="宋体" w:cs="仿宋"/>
          <w:color w:val="auto"/>
          <w:sz w:val="24"/>
          <w:highlight w:val="none"/>
        </w:rPr>
        <w:t>我单位作为本次采购项目的投标人，根据招标文件要求，现郑重承诺如下：</w:t>
      </w:r>
    </w:p>
    <w:p>
      <w:pPr>
        <w:widowControl/>
        <w:spacing w:line="360" w:lineRule="atLeast"/>
        <w:ind w:firstLine="480" w:firstLineChars="200"/>
        <w:jc w:val="left"/>
        <w:outlineLvl w:val="1"/>
        <w:rPr>
          <w:rFonts w:ascii="宋体" w:hAnsi="宋体" w:cs="仿宋"/>
          <w:color w:val="auto"/>
          <w:sz w:val="24"/>
          <w:highlight w:val="none"/>
        </w:rPr>
      </w:pPr>
      <w:r>
        <w:rPr>
          <w:rFonts w:hint="eastAsia" w:ascii="宋体" w:hAnsi="宋体" w:cs="仿宋"/>
          <w:color w:val="auto"/>
          <w:sz w:val="24"/>
          <w:highlight w:val="none"/>
        </w:rPr>
        <w:t>一、具备《中华人民共和国政府采购法》第二十二条第一款和本项目规定的条件：</w:t>
      </w:r>
    </w:p>
    <w:p>
      <w:pPr>
        <w:widowControl/>
        <w:spacing w:line="360" w:lineRule="atLeast"/>
        <w:ind w:firstLine="480" w:firstLineChars="200"/>
        <w:jc w:val="left"/>
        <w:outlineLvl w:val="1"/>
        <w:rPr>
          <w:rFonts w:ascii="宋体" w:hAnsi="宋体" w:cs="仿宋"/>
          <w:color w:val="auto"/>
          <w:sz w:val="24"/>
          <w:highlight w:val="none"/>
        </w:rPr>
      </w:pPr>
      <w:r>
        <w:rPr>
          <w:rFonts w:hint="eastAsia" w:ascii="宋体" w:hAnsi="宋体" w:cs="仿宋"/>
          <w:color w:val="auto"/>
          <w:sz w:val="24"/>
          <w:highlight w:val="none"/>
        </w:rPr>
        <w:t>（一）具有独立承担民事责任的能力；</w:t>
      </w:r>
    </w:p>
    <w:p>
      <w:pPr>
        <w:widowControl/>
        <w:spacing w:line="360" w:lineRule="atLeast"/>
        <w:ind w:firstLine="480" w:firstLineChars="200"/>
        <w:jc w:val="left"/>
        <w:outlineLvl w:val="1"/>
        <w:rPr>
          <w:rFonts w:ascii="宋体" w:hAnsi="宋体" w:cs="仿宋"/>
          <w:color w:val="auto"/>
          <w:sz w:val="24"/>
          <w:highlight w:val="none"/>
        </w:rPr>
      </w:pPr>
      <w:r>
        <w:rPr>
          <w:rFonts w:hint="eastAsia" w:ascii="宋体" w:hAnsi="宋体" w:cs="仿宋"/>
          <w:color w:val="auto"/>
          <w:sz w:val="24"/>
          <w:highlight w:val="none"/>
        </w:rPr>
        <w:t>（二）具有良好的商业信誉和健全的财务会计制度；</w:t>
      </w:r>
    </w:p>
    <w:p>
      <w:pPr>
        <w:widowControl/>
        <w:spacing w:line="360" w:lineRule="atLeast"/>
        <w:ind w:firstLine="480" w:firstLineChars="200"/>
        <w:jc w:val="left"/>
        <w:outlineLvl w:val="1"/>
        <w:rPr>
          <w:rFonts w:ascii="宋体" w:hAnsi="宋体" w:cs="仿宋"/>
          <w:color w:val="auto"/>
          <w:sz w:val="24"/>
          <w:highlight w:val="none"/>
        </w:rPr>
      </w:pPr>
      <w:r>
        <w:rPr>
          <w:rFonts w:hint="eastAsia" w:ascii="宋体" w:hAnsi="宋体" w:cs="仿宋"/>
          <w:color w:val="auto"/>
          <w:sz w:val="24"/>
          <w:highlight w:val="none"/>
        </w:rPr>
        <w:t>（三）具有履行合同所必需的设备和专业技术能力；</w:t>
      </w:r>
    </w:p>
    <w:p>
      <w:pPr>
        <w:widowControl/>
        <w:spacing w:line="360" w:lineRule="atLeast"/>
        <w:ind w:firstLine="480" w:firstLineChars="200"/>
        <w:jc w:val="left"/>
        <w:outlineLvl w:val="1"/>
        <w:rPr>
          <w:rFonts w:ascii="宋体" w:hAnsi="宋体" w:cs="仿宋"/>
          <w:color w:val="auto"/>
          <w:sz w:val="24"/>
          <w:highlight w:val="none"/>
        </w:rPr>
      </w:pPr>
      <w:r>
        <w:rPr>
          <w:rFonts w:hint="eastAsia" w:ascii="宋体" w:hAnsi="宋体" w:cs="仿宋"/>
          <w:color w:val="auto"/>
          <w:sz w:val="24"/>
          <w:highlight w:val="none"/>
        </w:rPr>
        <w:t>（四）有依法缴纳税收和社会保障资金的良好记录；</w:t>
      </w:r>
    </w:p>
    <w:p>
      <w:pPr>
        <w:widowControl/>
        <w:spacing w:line="360" w:lineRule="atLeast"/>
        <w:ind w:firstLine="480" w:firstLineChars="200"/>
        <w:jc w:val="left"/>
        <w:outlineLvl w:val="1"/>
        <w:rPr>
          <w:rFonts w:ascii="宋体" w:hAnsi="宋体" w:cs="仿宋"/>
          <w:color w:val="auto"/>
          <w:sz w:val="24"/>
          <w:highlight w:val="none"/>
        </w:rPr>
      </w:pPr>
      <w:r>
        <w:rPr>
          <w:rFonts w:hint="eastAsia" w:ascii="宋体" w:hAnsi="宋体" w:cs="仿宋"/>
          <w:color w:val="auto"/>
          <w:sz w:val="24"/>
          <w:highlight w:val="none"/>
        </w:rPr>
        <w:t>（五）参加政府采购活动前三年内，在经营活动中没有重大违法记录；</w:t>
      </w:r>
    </w:p>
    <w:p>
      <w:pPr>
        <w:widowControl/>
        <w:spacing w:line="360" w:lineRule="atLeast"/>
        <w:ind w:firstLine="480" w:firstLineChars="200"/>
        <w:jc w:val="left"/>
        <w:outlineLvl w:val="1"/>
        <w:rPr>
          <w:rFonts w:ascii="宋体" w:hAnsi="宋体" w:cs="仿宋"/>
          <w:color w:val="auto"/>
          <w:sz w:val="24"/>
          <w:highlight w:val="none"/>
        </w:rPr>
      </w:pPr>
      <w:r>
        <w:rPr>
          <w:rFonts w:hint="eastAsia" w:ascii="宋体" w:hAnsi="宋体" w:cs="仿宋"/>
          <w:color w:val="auto"/>
          <w:sz w:val="24"/>
          <w:highlight w:val="none"/>
        </w:rPr>
        <w:t>（六）法律、行政法规规定的其他条件；</w:t>
      </w:r>
    </w:p>
    <w:p>
      <w:pPr>
        <w:widowControl/>
        <w:spacing w:line="360" w:lineRule="atLeast"/>
        <w:ind w:firstLine="480" w:firstLineChars="200"/>
        <w:jc w:val="left"/>
        <w:outlineLvl w:val="1"/>
        <w:rPr>
          <w:rFonts w:hint="eastAsia" w:ascii="宋体" w:hAnsi="宋体" w:cs="仿宋"/>
          <w:color w:val="auto"/>
          <w:sz w:val="24"/>
          <w:highlight w:val="none"/>
        </w:rPr>
      </w:pPr>
      <w:bookmarkStart w:id="146" w:name="_Hlk534972380"/>
      <w:r>
        <w:rPr>
          <w:rFonts w:hint="eastAsia" w:ascii="宋体" w:hAnsi="宋体" w:cs="仿宋"/>
          <w:color w:val="auto"/>
          <w:sz w:val="24"/>
          <w:highlight w:val="none"/>
        </w:rPr>
        <w:t>（七）我单位及其法定代表人/主要负责人在参加本项目政府采购活动前三年无行贿犯罪记录；</w:t>
      </w:r>
    </w:p>
    <w:p>
      <w:pPr>
        <w:widowControl/>
        <w:spacing w:line="360" w:lineRule="atLeast"/>
        <w:ind w:firstLine="480" w:firstLineChars="200"/>
        <w:jc w:val="left"/>
        <w:outlineLvl w:val="1"/>
        <w:rPr>
          <w:rFonts w:ascii="宋体" w:hAnsi="宋体" w:cs="仿宋"/>
          <w:color w:val="auto"/>
          <w:sz w:val="24"/>
          <w:highlight w:val="none"/>
        </w:rPr>
      </w:pPr>
      <w:r>
        <w:rPr>
          <w:rFonts w:hint="eastAsia" w:ascii="宋体" w:hAnsi="宋体" w:cs="仿宋"/>
          <w:color w:val="auto"/>
          <w:sz w:val="24"/>
          <w:highlight w:val="none"/>
        </w:rPr>
        <w:t>（八）根据采购项目提出的特殊条件。</w:t>
      </w:r>
    </w:p>
    <w:bookmarkEnd w:id="146"/>
    <w:p>
      <w:pPr>
        <w:widowControl/>
        <w:spacing w:line="360" w:lineRule="atLeast"/>
        <w:ind w:firstLine="480" w:firstLineChars="200"/>
        <w:jc w:val="left"/>
        <w:outlineLvl w:val="1"/>
        <w:rPr>
          <w:rFonts w:ascii="宋体" w:hAnsi="宋体" w:cs="仿宋"/>
          <w:color w:val="auto"/>
          <w:sz w:val="24"/>
          <w:highlight w:val="none"/>
        </w:rPr>
      </w:pPr>
      <w:r>
        <w:rPr>
          <w:rFonts w:hint="eastAsia" w:ascii="宋体" w:hAnsi="宋体" w:cs="仿宋"/>
          <w:color w:val="auto"/>
          <w:sz w:val="24"/>
          <w:highlight w:val="none"/>
        </w:rPr>
        <w:t>二、截至投标截止日未被列入失信被执行人、重大税收违法案件当事人名单、政府采购严重违法失信行为记录名单。</w:t>
      </w:r>
    </w:p>
    <w:p>
      <w:pPr>
        <w:widowControl/>
        <w:spacing w:line="360" w:lineRule="atLeast"/>
        <w:ind w:firstLine="480" w:firstLineChars="200"/>
        <w:jc w:val="left"/>
        <w:outlineLvl w:val="1"/>
        <w:rPr>
          <w:rFonts w:ascii="宋体" w:hAnsi="宋体" w:cs="仿宋"/>
          <w:color w:val="auto"/>
          <w:sz w:val="24"/>
          <w:highlight w:val="none"/>
        </w:rPr>
      </w:pPr>
      <w:r>
        <w:rPr>
          <w:rFonts w:hint="eastAsia" w:ascii="宋体" w:hAnsi="宋体" w:cs="仿宋"/>
          <w:color w:val="auto"/>
          <w:sz w:val="24"/>
          <w:highlight w:val="none"/>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outlineLvl w:val="1"/>
        <w:rPr>
          <w:rFonts w:ascii="宋体" w:hAnsi="宋体" w:cs="仿宋"/>
          <w:color w:val="auto"/>
          <w:sz w:val="24"/>
          <w:highlight w:val="none"/>
        </w:rPr>
      </w:pPr>
    </w:p>
    <w:p>
      <w:pPr>
        <w:widowControl/>
        <w:spacing w:line="360" w:lineRule="atLeast"/>
        <w:ind w:firstLine="470" w:firstLineChars="196"/>
        <w:jc w:val="left"/>
        <w:outlineLvl w:val="1"/>
        <w:rPr>
          <w:rFonts w:ascii="宋体" w:hAnsi="宋体" w:cs="仿宋"/>
          <w:color w:val="auto"/>
          <w:sz w:val="24"/>
          <w:highlight w:val="none"/>
        </w:rPr>
      </w:pPr>
      <w:bookmarkStart w:id="147" w:name="_Hlk534971470"/>
      <w:r>
        <w:rPr>
          <w:rFonts w:hint="eastAsia" w:ascii="宋体" w:hAnsi="宋体" w:cs="仿宋"/>
          <w:color w:val="auto"/>
          <w:sz w:val="24"/>
          <w:highlight w:val="none"/>
        </w:rPr>
        <w:t>投标人名称：</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（单位公章）。</w:t>
      </w:r>
    </w:p>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法定代表人/单位负责人或授权代表（签字）：</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p>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投标日期：</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p>
    <w:bookmarkEnd w:id="147"/>
    <w:p>
      <w:pPr>
        <w:spacing w:line="360" w:lineRule="auto"/>
        <w:rPr>
          <w:rFonts w:hint="eastAsia" w:ascii="宋体" w:hAnsi="宋体" w:cs="仿宋"/>
          <w:color w:val="auto"/>
          <w:sz w:val="24"/>
          <w:highlight w:val="none"/>
        </w:rPr>
      </w:pPr>
    </w:p>
    <w:p>
      <w:pPr>
        <w:spacing w:line="360" w:lineRule="auto"/>
        <w:rPr>
          <w:rFonts w:hint="eastAsia" w:ascii="宋体" w:hAnsi="宋体" w:cs="仿宋"/>
          <w:color w:val="auto"/>
          <w:sz w:val="24"/>
          <w:highlight w:val="none"/>
        </w:rPr>
      </w:pPr>
    </w:p>
    <w:p>
      <w:pPr>
        <w:spacing w:line="360" w:lineRule="auto"/>
        <w:rPr>
          <w:rFonts w:hint="eastAsia" w:ascii="宋体" w:hAnsi="宋体" w:cs="仿宋"/>
          <w:color w:val="auto"/>
          <w:sz w:val="24"/>
          <w:highlight w:val="none"/>
        </w:rPr>
      </w:pPr>
    </w:p>
    <w:p>
      <w:pPr>
        <w:spacing w:line="360" w:lineRule="auto"/>
        <w:rPr>
          <w:rFonts w:hint="eastAsia" w:ascii="宋体" w:hAnsi="宋体" w:cs="仿宋"/>
          <w:color w:val="auto"/>
          <w:sz w:val="24"/>
          <w:highlight w:val="none"/>
        </w:rPr>
      </w:pPr>
    </w:p>
    <w:p>
      <w:pPr>
        <w:spacing w:line="360" w:lineRule="auto"/>
        <w:rPr>
          <w:rFonts w:hint="eastAsia" w:ascii="宋体" w:hAnsi="宋体" w:cs="仿宋"/>
          <w:color w:val="auto"/>
          <w:sz w:val="24"/>
          <w:highlight w:val="none"/>
        </w:rPr>
      </w:pPr>
    </w:p>
    <w:p>
      <w:pPr>
        <w:spacing w:line="360" w:lineRule="auto"/>
        <w:rPr>
          <w:rFonts w:hint="eastAsia" w:ascii="宋体" w:hAnsi="宋体" w:cs="仿宋"/>
          <w:color w:val="auto"/>
          <w:sz w:val="24"/>
          <w:highlight w:val="none"/>
        </w:rPr>
      </w:pPr>
    </w:p>
    <w:p>
      <w:pPr>
        <w:spacing w:line="360" w:lineRule="auto"/>
        <w:rPr>
          <w:rFonts w:hint="eastAsia" w:ascii="宋体" w:hAnsi="宋体" w:cs="仿宋"/>
          <w:color w:val="auto"/>
          <w:sz w:val="24"/>
          <w:highlight w:val="none"/>
        </w:rPr>
      </w:pPr>
    </w:p>
    <w:p>
      <w:pPr>
        <w:spacing w:line="360" w:lineRule="auto"/>
        <w:rPr>
          <w:rFonts w:hint="eastAsia" w:ascii="宋体" w:hAnsi="宋体" w:cs="仿宋"/>
          <w:color w:val="auto"/>
          <w:sz w:val="24"/>
          <w:highlight w:val="none"/>
        </w:rPr>
      </w:pPr>
    </w:p>
    <w:p>
      <w:pPr>
        <w:spacing w:line="360" w:lineRule="auto"/>
        <w:rPr>
          <w:rFonts w:hint="eastAsia" w:ascii="宋体" w:hAnsi="宋体" w:cs="仿宋"/>
          <w:color w:val="auto"/>
          <w:sz w:val="24"/>
          <w:highlight w:val="none"/>
        </w:rPr>
      </w:pPr>
    </w:p>
    <w:p>
      <w:pPr>
        <w:spacing w:line="360" w:lineRule="auto"/>
        <w:rPr>
          <w:rFonts w:hint="eastAsia" w:ascii="宋体" w:hAnsi="宋体" w:cs="仿宋"/>
          <w:color w:val="auto"/>
          <w:sz w:val="24"/>
          <w:highlight w:val="none"/>
        </w:rPr>
      </w:pPr>
    </w:p>
    <w:p>
      <w:pPr>
        <w:spacing w:line="360" w:lineRule="auto"/>
        <w:rPr>
          <w:rFonts w:hint="eastAsia" w:ascii="宋体" w:hAnsi="宋体" w:cs="仿宋"/>
          <w:color w:val="auto"/>
          <w:sz w:val="24"/>
          <w:highlight w:val="none"/>
        </w:rPr>
      </w:pPr>
    </w:p>
    <w:p>
      <w:pPr>
        <w:spacing w:line="360" w:lineRule="auto"/>
        <w:rPr>
          <w:rFonts w:hint="default" w:ascii="宋体" w:hAnsi="宋体" w:eastAsia="宋体" w:cs="仿宋"/>
          <w:b/>
          <w:color w:val="auto"/>
          <w:sz w:val="32"/>
          <w:szCs w:val="32"/>
          <w:highlight w:val="none"/>
          <w:lang w:val="en-US" w:eastAsia="zh-CN"/>
        </w:rPr>
      </w:pPr>
      <w:r>
        <w:rPr>
          <w:rFonts w:hint="eastAsia" w:ascii="宋体" w:hAnsi="宋体" w:cs="仿宋"/>
          <w:b/>
          <w:color w:val="auto"/>
          <w:sz w:val="32"/>
          <w:szCs w:val="32"/>
          <w:highlight w:val="none"/>
        </w:rPr>
        <w:t>格式1-</w:t>
      </w:r>
      <w:r>
        <w:rPr>
          <w:rFonts w:hint="eastAsia" w:ascii="宋体" w:hAnsi="宋体" w:cs="仿宋"/>
          <w:b/>
          <w:color w:val="auto"/>
          <w:sz w:val="32"/>
          <w:szCs w:val="32"/>
          <w:highlight w:val="none"/>
          <w:lang w:val="en-US" w:eastAsia="zh-CN"/>
        </w:rPr>
        <w:t>4</w:t>
      </w:r>
    </w:p>
    <w:p>
      <w:pPr>
        <w:spacing w:line="360" w:lineRule="auto"/>
        <w:ind w:firstLine="790" w:firstLineChars="246"/>
        <w:jc w:val="center"/>
        <w:rPr>
          <w:rFonts w:ascii="宋体" w:hAnsi="宋体" w:cs="仿宋"/>
          <w:b/>
          <w:color w:val="auto"/>
          <w:sz w:val="32"/>
          <w:szCs w:val="32"/>
          <w:highlight w:val="none"/>
        </w:rPr>
      </w:pPr>
      <w:r>
        <w:rPr>
          <w:rFonts w:hint="eastAsia" w:ascii="宋体" w:hAnsi="宋体" w:cs="仿宋"/>
          <w:b/>
          <w:color w:val="auto"/>
          <w:sz w:val="32"/>
          <w:szCs w:val="32"/>
          <w:highlight w:val="none"/>
          <w:lang w:eastAsia="zh-CN"/>
        </w:rPr>
        <w:t>四</w:t>
      </w:r>
      <w:r>
        <w:rPr>
          <w:rFonts w:hint="eastAsia" w:ascii="宋体" w:hAnsi="宋体" w:cs="仿宋"/>
          <w:b/>
          <w:color w:val="auto"/>
          <w:sz w:val="32"/>
          <w:szCs w:val="32"/>
          <w:highlight w:val="none"/>
        </w:rPr>
        <w:t>、投标人和投标产品其他资格、资质性及其他类似效力要求的相关证明材料</w:t>
      </w:r>
    </w:p>
    <w:p>
      <w:pPr>
        <w:spacing w:line="360" w:lineRule="auto"/>
        <w:rPr>
          <w:rFonts w:ascii="宋体" w:hAnsi="宋体" w:cs="仿宋"/>
          <w:bCs/>
          <w:color w:val="auto"/>
          <w:sz w:val="24"/>
          <w:highlight w:val="none"/>
        </w:rPr>
      </w:pPr>
      <w:r>
        <w:rPr>
          <w:rFonts w:hint="eastAsia" w:ascii="宋体" w:hAnsi="宋体" w:cs="仿宋"/>
          <w:bCs/>
          <w:color w:val="auto"/>
          <w:sz w:val="24"/>
          <w:highlight w:val="none"/>
        </w:rPr>
        <w:t>注：投标人应按招标文件第五章相关要求提供佐证材料，有格式要求的从其要求，无格式要求的格式自拟。</w:t>
      </w:r>
    </w:p>
    <w:p>
      <w:pPr>
        <w:spacing w:line="360" w:lineRule="auto"/>
        <w:rPr>
          <w:rFonts w:ascii="宋体" w:hAnsi="宋体" w:cs="仿宋"/>
          <w:bCs/>
          <w:color w:val="auto"/>
          <w:sz w:val="24"/>
          <w:highlight w:val="none"/>
        </w:rPr>
      </w:pPr>
    </w:p>
    <w:p>
      <w:pPr>
        <w:tabs>
          <w:tab w:val="left" w:pos="900"/>
        </w:tabs>
        <w:spacing w:line="360" w:lineRule="auto"/>
        <w:jc w:val="center"/>
        <w:rPr>
          <w:rFonts w:ascii="宋体" w:hAnsi="宋体" w:cs="仿宋"/>
          <w:b/>
          <w:color w:val="auto"/>
          <w:sz w:val="32"/>
          <w:highlight w:val="none"/>
        </w:rPr>
      </w:pPr>
      <w:r>
        <w:rPr>
          <w:rFonts w:hint="eastAsia" w:ascii="宋体" w:hAnsi="宋体" w:cs="仿宋"/>
          <w:b/>
          <w:color w:val="auto"/>
          <w:sz w:val="32"/>
          <w:szCs w:val="32"/>
          <w:highlight w:val="none"/>
        </w:rPr>
        <w:br w:type="page"/>
      </w:r>
      <w:r>
        <w:rPr>
          <w:rFonts w:hint="eastAsia" w:ascii="宋体" w:hAnsi="宋体" w:cs="仿宋"/>
          <w:b/>
          <w:color w:val="auto"/>
          <w:sz w:val="32"/>
          <w:highlight w:val="none"/>
        </w:rPr>
        <w:t>第二部分     “其他响应性投标文件”格式</w:t>
      </w:r>
    </w:p>
    <w:p>
      <w:pPr>
        <w:spacing w:line="360" w:lineRule="auto"/>
        <w:rPr>
          <w:rFonts w:ascii="宋体" w:hAnsi="宋体" w:cs="仿宋"/>
          <w:b/>
          <w:color w:val="auto"/>
          <w:sz w:val="32"/>
          <w:szCs w:val="32"/>
          <w:highlight w:val="none"/>
        </w:rPr>
      </w:pPr>
      <w:r>
        <w:rPr>
          <w:rFonts w:hint="eastAsia" w:ascii="宋体" w:hAnsi="宋体" w:cs="仿宋"/>
          <w:b/>
          <w:color w:val="auto"/>
          <w:sz w:val="32"/>
          <w:szCs w:val="32"/>
          <w:highlight w:val="none"/>
        </w:rPr>
        <w:t>格式2-1</w:t>
      </w:r>
    </w:p>
    <w:p>
      <w:pPr>
        <w:spacing w:line="360" w:lineRule="auto"/>
        <w:rPr>
          <w:rFonts w:ascii="宋体" w:hAnsi="宋体" w:cs="仿宋"/>
          <w:b/>
          <w:color w:val="auto"/>
          <w:sz w:val="32"/>
          <w:szCs w:val="32"/>
          <w:highlight w:val="none"/>
        </w:rPr>
      </w:pPr>
      <w:r>
        <w:rPr>
          <w:rFonts w:hint="eastAsia" w:ascii="宋体" w:hAnsi="宋体" w:cs="仿宋"/>
          <w:b/>
          <w:color w:val="auto"/>
          <w:sz w:val="32"/>
          <w:szCs w:val="32"/>
          <w:highlight w:val="none"/>
        </w:rPr>
        <w:t>封面：</w:t>
      </w:r>
    </w:p>
    <w:p>
      <w:pPr>
        <w:spacing w:line="360" w:lineRule="auto"/>
        <w:jc w:val="right"/>
        <w:rPr>
          <w:rFonts w:ascii="宋体" w:hAnsi="宋体" w:cs="仿宋"/>
          <w:b/>
          <w:color w:val="auto"/>
          <w:sz w:val="36"/>
          <w:highlight w:val="none"/>
        </w:rPr>
      </w:pPr>
      <w:r>
        <w:rPr>
          <w:rFonts w:hint="eastAsia" w:ascii="宋体" w:hAnsi="宋体" w:cs="仿宋"/>
          <w:b/>
          <w:color w:val="auto"/>
          <w:sz w:val="36"/>
          <w:highlight w:val="none"/>
        </w:rPr>
        <w:t>（正本/副本）</w:t>
      </w:r>
    </w:p>
    <w:p>
      <w:pPr>
        <w:spacing w:line="360" w:lineRule="auto"/>
        <w:rPr>
          <w:rFonts w:ascii="宋体" w:hAnsi="宋体" w:cs="仿宋"/>
          <w:b/>
          <w:color w:val="auto"/>
          <w:sz w:val="32"/>
          <w:szCs w:val="32"/>
          <w:highlight w:val="none"/>
        </w:rPr>
      </w:pPr>
    </w:p>
    <w:p>
      <w:pPr>
        <w:spacing w:line="360" w:lineRule="auto"/>
        <w:rPr>
          <w:rFonts w:ascii="宋体" w:hAnsi="宋体" w:cs="仿宋"/>
          <w:b/>
          <w:color w:val="auto"/>
          <w:sz w:val="32"/>
          <w:szCs w:val="32"/>
          <w:highlight w:val="none"/>
        </w:rPr>
      </w:pPr>
    </w:p>
    <w:p>
      <w:pPr>
        <w:spacing w:line="360" w:lineRule="auto"/>
        <w:jc w:val="center"/>
        <w:rPr>
          <w:rFonts w:ascii="宋体" w:hAnsi="宋体" w:cs="仿宋"/>
          <w:b/>
          <w:color w:val="auto"/>
          <w:sz w:val="72"/>
          <w:highlight w:val="none"/>
        </w:rPr>
      </w:pPr>
      <w:r>
        <w:rPr>
          <w:rFonts w:hint="eastAsia" w:ascii="宋体" w:hAnsi="宋体" w:cs="仿宋"/>
          <w:b/>
          <w:color w:val="auto"/>
          <w:sz w:val="40"/>
          <w:szCs w:val="48"/>
          <w:highlight w:val="none"/>
          <w:u w:val="single"/>
        </w:rPr>
        <w:t xml:space="preserve">                      </w:t>
      </w:r>
      <w:r>
        <w:rPr>
          <w:rFonts w:hint="eastAsia" w:ascii="宋体" w:hAnsi="宋体" w:cs="仿宋"/>
          <w:b/>
          <w:color w:val="auto"/>
          <w:sz w:val="40"/>
          <w:szCs w:val="48"/>
          <w:highlight w:val="none"/>
        </w:rPr>
        <w:t>项目</w:t>
      </w:r>
    </w:p>
    <w:p>
      <w:pPr>
        <w:spacing w:line="360" w:lineRule="auto"/>
        <w:rPr>
          <w:rFonts w:ascii="宋体" w:hAnsi="宋体" w:cs="仿宋"/>
          <w:b/>
          <w:color w:val="auto"/>
          <w:sz w:val="52"/>
          <w:szCs w:val="52"/>
          <w:highlight w:val="none"/>
        </w:rPr>
      </w:pPr>
    </w:p>
    <w:p>
      <w:pPr>
        <w:spacing w:line="360" w:lineRule="auto"/>
        <w:rPr>
          <w:rFonts w:ascii="宋体" w:hAnsi="宋体" w:cs="仿宋"/>
          <w:b/>
          <w:color w:val="auto"/>
          <w:sz w:val="52"/>
          <w:szCs w:val="52"/>
          <w:highlight w:val="none"/>
        </w:rPr>
      </w:pPr>
    </w:p>
    <w:p>
      <w:pPr>
        <w:spacing w:line="360" w:lineRule="auto"/>
        <w:jc w:val="center"/>
        <w:rPr>
          <w:rFonts w:ascii="宋体" w:hAnsi="宋体" w:cs="仿宋"/>
          <w:b/>
          <w:color w:val="auto"/>
          <w:sz w:val="32"/>
          <w:szCs w:val="32"/>
          <w:highlight w:val="none"/>
        </w:rPr>
      </w:pPr>
      <w:r>
        <w:rPr>
          <w:rFonts w:hint="eastAsia" w:ascii="宋体" w:hAnsi="宋体" w:cs="仿宋"/>
          <w:b/>
          <w:color w:val="auto"/>
          <w:sz w:val="52"/>
          <w:szCs w:val="52"/>
          <w:highlight w:val="none"/>
        </w:rPr>
        <w:t>其他响应性投标文件</w:t>
      </w:r>
    </w:p>
    <w:p>
      <w:pPr>
        <w:spacing w:line="360" w:lineRule="auto"/>
        <w:rPr>
          <w:rFonts w:ascii="宋体" w:hAnsi="宋体" w:cs="仿宋"/>
          <w:b/>
          <w:color w:val="auto"/>
          <w:sz w:val="36"/>
          <w:highlight w:val="none"/>
        </w:rPr>
      </w:pPr>
    </w:p>
    <w:p>
      <w:pPr>
        <w:spacing w:line="360" w:lineRule="auto"/>
        <w:rPr>
          <w:rFonts w:ascii="宋体" w:hAnsi="宋体" w:cs="仿宋"/>
          <w:b/>
          <w:color w:val="auto"/>
          <w:sz w:val="36"/>
          <w:highlight w:val="none"/>
        </w:rPr>
      </w:pPr>
    </w:p>
    <w:p>
      <w:pPr>
        <w:spacing w:line="360" w:lineRule="auto"/>
        <w:rPr>
          <w:rFonts w:ascii="宋体" w:hAnsi="宋体" w:cs="仿宋"/>
          <w:b/>
          <w:color w:val="auto"/>
          <w:sz w:val="36"/>
          <w:highlight w:val="none"/>
        </w:rPr>
      </w:pPr>
    </w:p>
    <w:p>
      <w:pPr>
        <w:spacing w:line="360" w:lineRule="auto"/>
        <w:ind w:firstLine="643" w:firstLineChars="200"/>
        <w:jc w:val="left"/>
        <w:rPr>
          <w:rFonts w:ascii="宋体" w:hAnsi="宋体" w:cs="仿宋"/>
          <w:b/>
          <w:color w:val="auto"/>
          <w:sz w:val="32"/>
          <w:highlight w:val="none"/>
          <w:u w:val="single"/>
        </w:rPr>
      </w:pPr>
      <w:bookmarkStart w:id="148" w:name="_Hlk534971499"/>
      <w:r>
        <w:rPr>
          <w:rFonts w:hint="eastAsia" w:ascii="宋体" w:hAnsi="宋体" w:cs="仿宋"/>
          <w:b/>
          <w:color w:val="auto"/>
          <w:sz w:val="32"/>
          <w:highlight w:val="none"/>
        </w:rPr>
        <w:t>投标人名称：</w:t>
      </w:r>
      <w:r>
        <w:rPr>
          <w:rFonts w:hint="eastAsia" w:ascii="宋体" w:hAnsi="宋体" w:cs="仿宋"/>
          <w:b/>
          <w:color w:val="auto"/>
          <w:sz w:val="32"/>
          <w:highlight w:val="none"/>
          <w:u w:val="single"/>
        </w:rPr>
        <w:t xml:space="preserve">                                 </w:t>
      </w:r>
    </w:p>
    <w:p>
      <w:pPr>
        <w:spacing w:line="360" w:lineRule="auto"/>
        <w:ind w:firstLine="643" w:firstLineChars="200"/>
        <w:jc w:val="left"/>
        <w:rPr>
          <w:rFonts w:ascii="宋体" w:hAnsi="宋体" w:cs="仿宋"/>
          <w:b/>
          <w:color w:val="auto"/>
          <w:sz w:val="32"/>
          <w:highlight w:val="none"/>
          <w:u w:val="single"/>
        </w:rPr>
      </w:pPr>
      <w:r>
        <w:rPr>
          <w:rFonts w:hint="eastAsia" w:ascii="宋体" w:hAnsi="宋体" w:cs="仿宋"/>
          <w:b/>
          <w:color w:val="auto"/>
          <w:sz w:val="32"/>
          <w:highlight w:val="none"/>
        </w:rPr>
        <w:t>招 标 编号：</w:t>
      </w:r>
      <w:r>
        <w:rPr>
          <w:rFonts w:hint="eastAsia" w:ascii="宋体" w:hAnsi="宋体" w:cs="仿宋"/>
          <w:b/>
          <w:color w:val="auto"/>
          <w:sz w:val="32"/>
          <w:highlight w:val="none"/>
          <w:u w:val="single"/>
        </w:rPr>
        <w:t xml:space="preserve">                                 </w:t>
      </w:r>
    </w:p>
    <w:p>
      <w:pPr>
        <w:spacing w:line="360" w:lineRule="auto"/>
        <w:ind w:firstLine="643" w:firstLineChars="200"/>
        <w:jc w:val="left"/>
        <w:rPr>
          <w:rFonts w:ascii="宋体" w:hAnsi="宋体" w:cs="仿宋"/>
          <w:b/>
          <w:color w:val="auto"/>
          <w:sz w:val="32"/>
          <w:highlight w:val="none"/>
          <w:u w:val="single"/>
        </w:rPr>
      </w:pPr>
    </w:p>
    <w:bookmarkEnd w:id="148"/>
    <w:p>
      <w:pPr>
        <w:spacing w:line="360" w:lineRule="auto"/>
        <w:ind w:firstLine="790" w:firstLineChars="246"/>
        <w:jc w:val="center"/>
        <w:rPr>
          <w:rFonts w:ascii="宋体" w:hAnsi="宋体" w:cs="仿宋"/>
          <w:b/>
          <w:color w:val="auto"/>
          <w:sz w:val="32"/>
          <w:highlight w:val="none"/>
        </w:rPr>
      </w:pPr>
    </w:p>
    <w:p>
      <w:pPr>
        <w:spacing w:line="360" w:lineRule="auto"/>
        <w:jc w:val="center"/>
        <w:rPr>
          <w:rFonts w:ascii="宋体" w:hAnsi="宋体" w:cs="仿宋"/>
          <w:b/>
          <w:color w:val="auto"/>
          <w:sz w:val="32"/>
          <w:highlight w:val="none"/>
        </w:rPr>
      </w:pPr>
      <w:r>
        <w:rPr>
          <w:rFonts w:hint="eastAsia" w:ascii="宋体" w:hAnsi="宋体" w:cs="仿宋"/>
          <w:b/>
          <w:color w:val="auto"/>
          <w:sz w:val="32"/>
          <w:highlight w:val="none"/>
        </w:rPr>
        <w:t>投标日期：</w:t>
      </w:r>
      <w:r>
        <w:rPr>
          <w:rFonts w:hint="eastAsia" w:ascii="宋体" w:hAnsi="宋体" w:cs="仿宋"/>
          <w:b/>
          <w:color w:val="auto"/>
          <w:sz w:val="32"/>
          <w:highlight w:val="none"/>
          <w:u w:val="single"/>
        </w:rPr>
        <w:t xml:space="preserve">    </w:t>
      </w:r>
      <w:r>
        <w:rPr>
          <w:rFonts w:hint="eastAsia" w:ascii="宋体" w:hAnsi="宋体" w:cs="仿宋"/>
          <w:b/>
          <w:color w:val="auto"/>
          <w:sz w:val="32"/>
          <w:highlight w:val="none"/>
        </w:rPr>
        <w:t>年</w:t>
      </w:r>
      <w:r>
        <w:rPr>
          <w:rFonts w:hint="eastAsia" w:ascii="宋体" w:hAnsi="宋体" w:cs="仿宋"/>
          <w:b/>
          <w:color w:val="auto"/>
          <w:sz w:val="32"/>
          <w:highlight w:val="none"/>
          <w:u w:val="single"/>
        </w:rPr>
        <w:t xml:space="preserve">   </w:t>
      </w:r>
      <w:r>
        <w:rPr>
          <w:rFonts w:hint="eastAsia" w:ascii="宋体" w:hAnsi="宋体" w:cs="仿宋"/>
          <w:b/>
          <w:color w:val="auto"/>
          <w:sz w:val="32"/>
          <w:highlight w:val="none"/>
        </w:rPr>
        <w:t>月</w:t>
      </w:r>
      <w:r>
        <w:rPr>
          <w:rFonts w:hint="eastAsia" w:ascii="宋体" w:hAnsi="宋体" w:cs="仿宋"/>
          <w:b/>
          <w:color w:val="auto"/>
          <w:sz w:val="32"/>
          <w:highlight w:val="none"/>
          <w:u w:val="single"/>
        </w:rPr>
        <w:t xml:space="preserve">   </w:t>
      </w:r>
      <w:r>
        <w:rPr>
          <w:rFonts w:hint="eastAsia" w:ascii="宋体" w:hAnsi="宋体" w:cs="仿宋"/>
          <w:b/>
          <w:color w:val="auto"/>
          <w:sz w:val="32"/>
          <w:highlight w:val="none"/>
        </w:rPr>
        <w:t>日</w:t>
      </w:r>
    </w:p>
    <w:p>
      <w:pPr>
        <w:spacing w:line="360" w:lineRule="auto"/>
        <w:rPr>
          <w:rFonts w:ascii="宋体" w:hAnsi="宋体" w:cs="仿宋"/>
          <w:b/>
          <w:color w:val="auto"/>
          <w:sz w:val="32"/>
          <w:szCs w:val="32"/>
          <w:highlight w:val="none"/>
        </w:rPr>
      </w:pPr>
      <w:r>
        <w:rPr>
          <w:rFonts w:hint="eastAsia" w:ascii="宋体" w:hAnsi="宋体" w:cs="仿宋"/>
          <w:b/>
          <w:color w:val="auto"/>
          <w:sz w:val="32"/>
          <w:highlight w:val="none"/>
        </w:rPr>
        <w:br w:type="page"/>
      </w:r>
      <w:r>
        <w:rPr>
          <w:rFonts w:hint="eastAsia" w:ascii="宋体" w:hAnsi="宋体" w:cs="仿宋"/>
          <w:b/>
          <w:color w:val="auto"/>
          <w:sz w:val="32"/>
          <w:szCs w:val="32"/>
          <w:highlight w:val="none"/>
        </w:rPr>
        <w:t>格式2-2</w:t>
      </w:r>
    </w:p>
    <w:p>
      <w:pPr>
        <w:widowControl/>
        <w:spacing w:line="360" w:lineRule="atLeast"/>
        <w:jc w:val="center"/>
        <w:outlineLvl w:val="1"/>
        <w:rPr>
          <w:rFonts w:ascii="宋体" w:hAnsi="宋体" w:cs="仿宋"/>
          <w:b/>
          <w:color w:val="auto"/>
          <w:sz w:val="32"/>
          <w:szCs w:val="32"/>
          <w:highlight w:val="none"/>
        </w:rPr>
      </w:pPr>
      <w:r>
        <w:rPr>
          <w:rFonts w:hint="eastAsia" w:ascii="宋体" w:hAnsi="宋体" w:cs="仿宋"/>
          <w:b/>
          <w:color w:val="auto"/>
          <w:sz w:val="32"/>
          <w:szCs w:val="32"/>
          <w:highlight w:val="none"/>
        </w:rPr>
        <w:t>一、投 标 函</w:t>
      </w:r>
      <w:bookmarkEnd w:id="139"/>
      <w:bookmarkEnd w:id="140"/>
      <w:r>
        <w:rPr>
          <w:rFonts w:hint="eastAsia" w:ascii="宋体" w:hAnsi="宋体" w:cs="仿宋"/>
          <w:b/>
          <w:color w:val="auto"/>
          <w:sz w:val="32"/>
          <w:szCs w:val="32"/>
          <w:highlight w:val="none"/>
        </w:rPr>
        <w:t>（实质性要求）</w:t>
      </w:r>
    </w:p>
    <w:p>
      <w:pPr>
        <w:widowControl/>
        <w:spacing w:line="360" w:lineRule="atLeast"/>
        <w:jc w:val="center"/>
        <w:outlineLvl w:val="1"/>
        <w:rPr>
          <w:rFonts w:ascii="宋体" w:hAnsi="宋体" w:cs="仿宋"/>
          <w:b/>
          <w:color w:val="auto"/>
          <w:sz w:val="24"/>
          <w:highlight w:val="none"/>
        </w:rPr>
      </w:pPr>
    </w:p>
    <w:p>
      <w:pPr>
        <w:widowControl/>
        <w:spacing w:line="360" w:lineRule="auto"/>
        <w:jc w:val="left"/>
        <w:outlineLvl w:val="1"/>
        <w:rPr>
          <w:rFonts w:ascii="宋体" w:hAnsi="宋体" w:cs="仿宋"/>
          <w:color w:val="auto"/>
          <w:sz w:val="24"/>
          <w:highlight w:val="none"/>
        </w:rPr>
      </w:pP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（采购代理机构名称）：</w:t>
      </w:r>
    </w:p>
    <w:p>
      <w:pPr>
        <w:widowControl/>
        <w:spacing w:line="360" w:lineRule="auto"/>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我方全面研究了“</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”项目（招标编号：</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）招标文件，决定参加贵单位组织的本项目投标。我方授权</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（姓名、职务）代表我方</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（投标单位名称）全权处理本项目投标的有关事宜。</w:t>
      </w:r>
    </w:p>
    <w:p>
      <w:pPr>
        <w:widowControl/>
        <w:spacing w:line="360" w:lineRule="auto"/>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一、我方自愿按照招标文件规定的各项要求向采购人提供所需</w:t>
      </w:r>
      <w:r>
        <w:rPr>
          <w:rFonts w:hint="eastAsia" w:ascii="宋体" w:hAnsi="宋体" w:cs="仿宋"/>
          <w:color w:val="auto"/>
          <w:sz w:val="24"/>
          <w:highlight w:val="none"/>
          <w:lang w:eastAsia="zh-CN"/>
        </w:rPr>
        <w:t>货物</w:t>
      </w:r>
      <w:r>
        <w:rPr>
          <w:rFonts w:hint="eastAsia" w:ascii="宋体" w:hAnsi="宋体" w:cs="仿宋"/>
          <w:color w:val="auto"/>
          <w:sz w:val="24"/>
          <w:highlight w:val="none"/>
        </w:rPr>
        <w:t>，总投标价见</w:t>
      </w:r>
      <w:bookmarkStart w:id="149" w:name="_Hlk534971575"/>
      <w:r>
        <w:rPr>
          <w:rFonts w:hint="eastAsia" w:ascii="宋体" w:hAnsi="宋体" w:cs="仿宋"/>
          <w:b/>
          <w:color w:val="auto"/>
          <w:sz w:val="24"/>
          <w:highlight w:val="none"/>
        </w:rPr>
        <w:t>开标一览表</w:t>
      </w:r>
      <w:bookmarkEnd w:id="149"/>
      <w:r>
        <w:rPr>
          <w:rFonts w:hint="eastAsia" w:ascii="宋体" w:hAnsi="宋体" w:cs="仿宋"/>
          <w:color w:val="auto"/>
          <w:sz w:val="24"/>
          <w:highlight w:val="none"/>
        </w:rPr>
        <w:t>。</w:t>
      </w:r>
    </w:p>
    <w:p>
      <w:pPr>
        <w:widowControl/>
        <w:spacing w:line="360" w:lineRule="auto"/>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二、一旦我方中标，我方将严格履行政府采购合同规定的责任和义务。</w:t>
      </w:r>
    </w:p>
    <w:p>
      <w:pPr>
        <w:widowControl/>
        <w:spacing w:line="360" w:lineRule="auto"/>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三、我方同意本招标文件依据《四川省公共资源交易领域严重失信联合惩戒实施办法》（川发改信用规〔2019〕405 号）、《关于对政府采购领域严重违法失信主体开展联合惩戒的合作备忘录》（发改财金〔2018〕1614 号）等相关规定对我方可能存在的失信行为进行的惩戒。</w:t>
      </w:r>
    </w:p>
    <w:p>
      <w:pPr>
        <w:widowControl/>
        <w:spacing w:line="360" w:lineRule="auto"/>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四、我方为本项目提交的投标文件正本</w:t>
      </w:r>
      <w:r>
        <w:rPr>
          <w:rFonts w:hint="eastAsia" w:ascii="宋体" w:hAnsi="宋体" w:cs="仿宋"/>
          <w:color w:val="auto"/>
          <w:sz w:val="24"/>
          <w:highlight w:val="none"/>
          <w:u w:val="single"/>
        </w:rPr>
        <w:t>壹</w:t>
      </w:r>
      <w:r>
        <w:rPr>
          <w:rFonts w:hint="eastAsia" w:ascii="宋体" w:hAnsi="宋体" w:cs="仿宋"/>
          <w:color w:val="auto"/>
          <w:sz w:val="24"/>
          <w:highlight w:val="none"/>
        </w:rPr>
        <w:t>份，副本</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份，电子文档</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份，用于开标唱标的“开标一览表”一式</w:t>
      </w:r>
      <w:r>
        <w:rPr>
          <w:rFonts w:hint="eastAsia" w:ascii="宋体" w:hAnsi="宋体" w:cs="仿宋"/>
          <w:color w:val="auto"/>
          <w:sz w:val="24"/>
          <w:highlight w:val="none"/>
          <w:u w:val="single"/>
        </w:rPr>
        <w:t>壹</w:t>
      </w:r>
      <w:r>
        <w:rPr>
          <w:rFonts w:hint="eastAsia" w:ascii="宋体" w:hAnsi="宋体" w:cs="仿宋"/>
          <w:color w:val="auto"/>
          <w:sz w:val="24"/>
          <w:highlight w:val="none"/>
        </w:rPr>
        <w:t>份。</w:t>
      </w:r>
    </w:p>
    <w:p>
      <w:pPr>
        <w:widowControl/>
        <w:spacing w:line="360" w:lineRule="auto"/>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五、我方同意本次招标的投标有效期为投标截止之日起</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天。</w:t>
      </w:r>
    </w:p>
    <w:p>
      <w:pPr>
        <w:widowControl/>
        <w:spacing w:line="360" w:lineRule="auto"/>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六、我方愿意提供贵单位可能另外要求的，与投标有关的文件资料，并保证我方已提供和将要提供的文件资料是真实、准确的。</w:t>
      </w:r>
    </w:p>
    <w:p>
      <w:pPr>
        <w:widowControl/>
        <w:spacing w:line="360" w:lineRule="auto"/>
        <w:ind w:firstLine="470" w:firstLineChars="196"/>
        <w:jc w:val="left"/>
        <w:outlineLvl w:val="1"/>
        <w:rPr>
          <w:rFonts w:ascii="宋体" w:hAnsi="宋体" w:cs="仿宋"/>
          <w:color w:val="auto"/>
          <w:sz w:val="24"/>
          <w:highlight w:val="none"/>
        </w:rPr>
      </w:pPr>
    </w:p>
    <w:p>
      <w:pPr>
        <w:widowControl/>
        <w:spacing w:line="360" w:lineRule="auto"/>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投标人名称：</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（单位公章）。</w:t>
      </w:r>
    </w:p>
    <w:p>
      <w:pPr>
        <w:widowControl/>
        <w:spacing w:line="360" w:lineRule="auto"/>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法定代表人/单位负责人或授权代表（签字）：</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p>
    <w:p>
      <w:pPr>
        <w:widowControl/>
        <w:spacing w:line="360" w:lineRule="auto"/>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通讯地址：</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p>
    <w:p>
      <w:pPr>
        <w:widowControl/>
        <w:spacing w:line="360" w:lineRule="auto"/>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邮政编码：</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p>
    <w:p>
      <w:pPr>
        <w:widowControl/>
        <w:spacing w:line="360" w:lineRule="auto"/>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联系电话：</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p>
    <w:p>
      <w:pPr>
        <w:widowControl/>
        <w:spacing w:line="360" w:lineRule="auto"/>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传    真：</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p>
    <w:p>
      <w:pPr>
        <w:widowControl/>
        <w:spacing w:line="360" w:lineRule="auto"/>
        <w:ind w:firstLine="470" w:firstLineChars="196"/>
        <w:jc w:val="left"/>
        <w:outlineLvl w:val="1"/>
        <w:rPr>
          <w:rFonts w:ascii="宋体" w:hAnsi="宋体" w:cs="仿宋"/>
          <w:color w:val="auto"/>
          <w:sz w:val="24"/>
          <w:highlight w:val="none"/>
        </w:rPr>
      </w:pPr>
      <w:bookmarkStart w:id="150" w:name="_Hlk534971565"/>
      <w:r>
        <w:rPr>
          <w:rFonts w:hint="eastAsia" w:ascii="宋体" w:hAnsi="宋体" w:cs="仿宋"/>
          <w:color w:val="auto"/>
          <w:sz w:val="24"/>
          <w:highlight w:val="none"/>
        </w:rPr>
        <w:t>投标日期</w:t>
      </w:r>
      <w:bookmarkEnd w:id="150"/>
      <w:r>
        <w:rPr>
          <w:rFonts w:hint="eastAsia" w:ascii="宋体" w:hAnsi="宋体" w:cs="仿宋"/>
          <w:color w:val="auto"/>
          <w:sz w:val="24"/>
          <w:highlight w:val="none"/>
        </w:rPr>
        <w:t>：</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p>
    <w:p>
      <w:pPr>
        <w:spacing w:line="360" w:lineRule="auto"/>
        <w:rPr>
          <w:rFonts w:ascii="宋体" w:hAnsi="宋体" w:cs="仿宋"/>
          <w:b/>
          <w:color w:val="auto"/>
          <w:sz w:val="32"/>
          <w:szCs w:val="32"/>
          <w:highlight w:val="none"/>
        </w:rPr>
      </w:pPr>
      <w:bookmarkStart w:id="151" w:name="_Toc308164824"/>
      <w:r>
        <w:rPr>
          <w:rFonts w:hint="eastAsia" w:ascii="宋体" w:hAnsi="宋体" w:cs="仿宋"/>
          <w:b/>
          <w:color w:val="auto"/>
          <w:sz w:val="32"/>
          <w:szCs w:val="32"/>
          <w:highlight w:val="none"/>
        </w:rPr>
        <w:br w:type="page"/>
      </w:r>
      <w:r>
        <w:rPr>
          <w:rFonts w:hint="eastAsia" w:ascii="宋体" w:hAnsi="宋体" w:cs="仿宋"/>
          <w:b/>
          <w:color w:val="auto"/>
          <w:sz w:val="32"/>
          <w:szCs w:val="32"/>
          <w:highlight w:val="none"/>
        </w:rPr>
        <w:t>格式2-3</w:t>
      </w:r>
    </w:p>
    <w:p>
      <w:pPr>
        <w:widowControl/>
        <w:spacing w:line="360" w:lineRule="atLeast"/>
        <w:jc w:val="center"/>
        <w:outlineLvl w:val="1"/>
        <w:rPr>
          <w:rFonts w:ascii="宋体" w:hAnsi="宋体" w:cs="仿宋"/>
          <w:b/>
          <w:color w:val="auto"/>
          <w:sz w:val="32"/>
          <w:szCs w:val="32"/>
          <w:highlight w:val="none"/>
        </w:rPr>
      </w:pPr>
      <w:r>
        <w:rPr>
          <w:rFonts w:hint="eastAsia" w:ascii="宋体" w:hAnsi="宋体" w:cs="仿宋"/>
          <w:b/>
          <w:color w:val="auto"/>
          <w:sz w:val="32"/>
          <w:szCs w:val="32"/>
          <w:highlight w:val="none"/>
        </w:rPr>
        <w:t>二、承诺函（实质性要求）</w:t>
      </w:r>
    </w:p>
    <w:p>
      <w:pPr>
        <w:widowControl/>
        <w:spacing w:line="360" w:lineRule="atLeast"/>
        <w:jc w:val="center"/>
        <w:outlineLvl w:val="1"/>
        <w:rPr>
          <w:rFonts w:ascii="宋体" w:hAnsi="宋体" w:cs="仿宋"/>
          <w:b/>
          <w:color w:val="auto"/>
          <w:sz w:val="24"/>
          <w:highlight w:val="none"/>
        </w:rPr>
      </w:pPr>
    </w:p>
    <w:p>
      <w:pPr>
        <w:widowControl/>
        <w:spacing w:line="360" w:lineRule="auto"/>
        <w:jc w:val="left"/>
        <w:outlineLvl w:val="1"/>
        <w:rPr>
          <w:rFonts w:ascii="宋体" w:hAnsi="宋体" w:cs="仿宋"/>
          <w:color w:val="auto"/>
          <w:sz w:val="24"/>
          <w:highlight w:val="none"/>
        </w:rPr>
      </w:pP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（采购代理机构名称）：</w:t>
      </w:r>
    </w:p>
    <w:p>
      <w:pPr>
        <w:widowControl/>
        <w:spacing w:line="360" w:lineRule="auto"/>
        <w:ind w:firstLine="480" w:firstLineChars="200"/>
        <w:jc w:val="left"/>
        <w:outlineLvl w:val="1"/>
        <w:rPr>
          <w:rFonts w:ascii="宋体" w:hAnsi="宋体" w:cs="仿宋"/>
          <w:color w:val="auto"/>
          <w:sz w:val="24"/>
          <w:highlight w:val="none"/>
        </w:rPr>
      </w:pPr>
      <w:r>
        <w:rPr>
          <w:rFonts w:hint="eastAsia" w:ascii="宋体" w:hAnsi="宋体" w:cs="仿宋"/>
          <w:color w:val="auto"/>
          <w:sz w:val="24"/>
          <w:highlight w:val="none"/>
        </w:rPr>
        <w:t>我单位作为本次采购项目的投标人，根据招标文件要求，现郑重承诺如下：</w:t>
      </w:r>
    </w:p>
    <w:p>
      <w:pPr>
        <w:widowControl/>
        <w:spacing w:line="360" w:lineRule="auto"/>
        <w:ind w:firstLine="480" w:firstLineChars="200"/>
        <w:jc w:val="left"/>
        <w:outlineLvl w:val="1"/>
        <w:rPr>
          <w:rFonts w:ascii="宋体" w:hAnsi="宋体" w:cs="仿宋"/>
          <w:color w:val="auto"/>
          <w:sz w:val="24"/>
          <w:highlight w:val="none"/>
        </w:rPr>
      </w:pPr>
      <w:bookmarkStart w:id="152" w:name="_Hlk534971616"/>
      <w:r>
        <w:rPr>
          <w:rFonts w:hint="eastAsia" w:ascii="宋体" w:hAnsi="宋体" w:cs="仿宋"/>
          <w:color w:val="auto"/>
          <w:sz w:val="24"/>
          <w:highlight w:val="none"/>
        </w:rPr>
        <w:t>一、我方已认真阅读并接受本项目招标文件第二章的全部实质性要求，如对招标文件有异议，已依法进行维权救济，不存在对招标文件有异议的同时又参加投标以求侥幸中标或者为实现其他非法目的的行为。</w:t>
      </w:r>
    </w:p>
    <w:p>
      <w:pPr>
        <w:widowControl/>
        <w:spacing w:line="360" w:lineRule="auto"/>
        <w:ind w:firstLine="480" w:firstLineChars="200"/>
        <w:jc w:val="left"/>
        <w:outlineLvl w:val="1"/>
        <w:rPr>
          <w:rFonts w:ascii="宋体" w:hAnsi="宋体" w:cs="仿宋"/>
          <w:color w:val="auto"/>
          <w:sz w:val="24"/>
          <w:highlight w:val="none"/>
        </w:rPr>
      </w:pPr>
      <w:r>
        <w:rPr>
          <w:rFonts w:hint="eastAsia" w:ascii="宋体" w:hAnsi="宋体" w:cs="仿宋"/>
          <w:color w:val="auto"/>
          <w:sz w:val="24"/>
          <w:highlight w:val="none"/>
        </w:rPr>
        <w:t>二、参加本次招标采购活动，不存在与单位负责人为同一人或者存在直接控股、管理关系的其他投标人参与同一合同项下的政府采购活动的行为。</w:t>
      </w:r>
    </w:p>
    <w:p>
      <w:pPr>
        <w:widowControl/>
        <w:spacing w:line="360" w:lineRule="auto"/>
        <w:ind w:firstLine="480" w:firstLineChars="200"/>
        <w:jc w:val="left"/>
        <w:outlineLvl w:val="1"/>
        <w:rPr>
          <w:rFonts w:ascii="宋体" w:hAnsi="宋体" w:cs="仿宋"/>
          <w:color w:val="auto"/>
          <w:sz w:val="24"/>
          <w:highlight w:val="none"/>
        </w:rPr>
      </w:pPr>
      <w:r>
        <w:rPr>
          <w:rFonts w:hint="eastAsia" w:ascii="宋体" w:hAnsi="宋体" w:cs="仿宋"/>
          <w:color w:val="auto"/>
          <w:sz w:val="24"/>
          <w:highlight w:val="none"/>
        </w:rPr>
        <w:t>三、为采购项目提供整体设计、规范编制或者项目管理、监理、检测等服务的投标人，不得再参加该采购项目的其他采购活动，我方承诺不属于此类禁止参加本项目的投标人。</w:t>
      </w:r>
    </w:p>
    <w:p>
      <w:pPr>
        <w:widowControl/>
        <w:spacing w:line="360" w:lineRule="auto"/>
        <w:ind w:firstLine="480" w:firstLineChars="200"/>
        <w:jc w:val="left"/>
        <w:outlineLvl w:val="1"/>
        <w:rPr>
          <w:rFonts w:ascii="宋体" w:hAnsi="宋体" w:cs="仿宋"/>
          <w:color w:val="auto"/>
          <w:sz w:val="24"/>
          <w:highlight w:val="none"/>
        </w:rPr>
      </w:pPr>
      <w:r>
        <w:rPr>
          <w:rFonts w:hint="eastAsia" w:ascii="宋体" w:hAnsi="宋体" w:cs="仿宋"/>
          <w:color w:val="auto"/>
          <w:sz w:val="24"/>
          <w:highlight w:val="none"/>
        </w:rPr>
        <w:t>四、参加本次招标采购活动，不存在和其他投标人在同一合同项下的采购项目中，同时委托同一个自然人、同一家庭的人员、同一单位的人员作为代理人的行为。</w:t>
      </w:r>
    </w:p>
    <w:p>
      <w:pPr>
        <w:widowControl/>
        <w:spacing w:line="360" w:lineRule="auto"/>
        <w:ind w:firstLine="480" w:firstLineChars="200"/>
        <w:jc w:val="left"/>
        <w:outlineLvl w:val="1"/>
        <w:rPr>
          <w:rFonts w:ascii="宋体" w:hAnsi="宋体" w:cs="仿宋"/>
          <w:color w:val="auto"/>
          <w:sz w:val="24"/>
          <w:highlight w:val="none"/>
        </w:rPr>
      </w:pPr>
      <w:r>
        <w:rPr>
          <w:rFonts w:hint="eastAsia" w:ascii="宋体" w:hAnsi="宋体" w:cs="仿宋"/>
          <w:color w:val="auto"/>
          <w:sz w:val="24"/>
          <w:highlight w:val="none"/>
        </w:rPr>
        <w:t>五、如果有《四川省公共资源交易领域严重失信联合惩戒实施办法》（川发改信用规〔2019〕405 号）、《关于对政府采购领域严重违法失信主体开展联合惩戒的合作备忘录》（发改财金〔2018〕1614 号）等相关规定的失信行为，将在投标文件中全面如实反映。</w:t>
      </w:r>
    </w:p>
    <w:p>
      <w:pPr>
        <w:widowControl/>
        <w:spacing w:line="360" w:lineRule="auto"/>
        <w:ind w:firstLine="480" w:firstLineChars="200"/>
        <w:jc w:val="left"/>
        <w:outlineLvl w:val="1"/>
        <w:rPr>
          <w:rFonts w:ascii="宋体" w:hAnsi="宋体" w:cs="仿宋"/>
          <w:color w:val="auto"/>
          <w:sz w:val="24"/>
          <w:highlight w:val="none"/>
        </w:rPr>
      </w:pPr>
      <w:r>
        <w:rPr>
          <w:rFonts w:hint="eastAsia" w:ascii="宋体" w:hAnsi="宋体" w:cs="仿宋"/>
          <w:color w:val="auto"/>
          <w:sz w:val="24"/>
          <w:highlight w:val="none"/>
        </w:rPr>
        <w:t>六、投标文件中提供的能够给予我方带来优惠、好处的任何材料资料和技术、服务、商务、响应产品等响应承诺情况都是真实的、有效的、合法的。</w:t>
      </w:r>
    </w:p>
    <w:p>
      <w:pPr>
        <w:widowControl/>
        <w:spacing w:line="360" w:lineRule="auto"/>
        <w:ind w:firstLine="480" w:firstLineChars="200"/>
        <w:jc w:val="left"/>
        <w:outlineLvl w:val="1"/>
        <w:rPr>
          <w:rFonts w:ascii="宋体" w:hAnsi="宋体" w:cs="仿宋"/>
          <w:color w:val="auto"/>
          <w:sz w:val="24"/>
          <w:highlight w:val="none"/>
        </w:rPr>
      </w:pPr>
      <w:r>
        <w:rPr>
          <w:rFonts w:hint="eastAsia" w:ascii="宋体" w:hAnsi="宋体" w:cs="仿宋"/>
          <w:color w:val="auto"/>
          <w:sz w:val="24"/>
          <w:highlight w:val="none"/>
        </w:rPr>
        <w:t>七、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widowControl/>
        <w:spacing w:line="360" w:lineRule="auto"/>
        <w:ind w:firstLine="480" w:firstLineChars="200"/>
        <w:jc w:val="left"/>
        <w:outlineLvl w:val="1"/>
        <w:rPr>
          <w:rFonts w:ascii="宋体" w:hAnsi="宋体" w:cs="仿宋"/>
          <w:color w:val="auto"/>
          <w:sz w:val="24"/>
          <w:highlight w:val="none"/>
        </w:rPr>
      </w:pPr>
      <w:r>
        <w:rPr>
          <w:rFonts w:hint="eastAsia" w:ascii="宋体" w:hAnsi="宋体" w:cs="仿宋"/>
          <w:color w:val="auto"/>
          <w:sz w:val="24"/>
          <w:highlight w:val="none"/>
        </w:rPr>
        <w:t>八、国家或行业主管部门对采购产品的技术标准、质量标准和资格资质条件等有强制性规定的，我方承诺符合其要求。</w:t>
      </w:r>
    </w:p>
    <w:p>
      <w:pPr>
        <w:widowControl/>
        <w:spacing w:line="360" w:lineRule="auto"/>
        <w:ind w:firstLine="480" w:firstLineChars="200"/>
        <w:jc w:val="left"/>
        <w:outlineLvl w:val="1"/>
        <w:rPr>
          <w:rFonts w:ascii="宋体" w:hAnsi="宋体" w:cs="仿宋"/>
          <w:color w:val="auto"/>
          <w:sz w:val="24"/>
          <w:highlight w:val="none"/>
        </w:rPr>
      </w:pPr>
      <w:r>
        <w:rPr>
          <w:rFonts w:hint="eastAsia" w:ascii="宋体" w:hAnsi="宋体" w:cs="仿宋"/>
          <w:color w:val="auto"/>
          <w:sz w:val="24"/>
          <w:highlight w:val="none"/>
        </w:rPr>
        <w:t>九、参加本次招标采购活动，我方完全同意招标文件第二章关于“投标费用”、“合同分包”、“合同转包”、“履约保证金”的实质性要求，并承诺严格按照招标文件要求履行。</w:t>
      </w:r>
    </w:p>
    <w:p>
      <w:pPr>
        <w:widowControl/>
        <w:spacing w:line="360" w:lineRule="auto"/>
        <w:ind w:firstLine="480" w:firstLineChars="200"/>
        <w:jc w:val="left"/>
        <w:outlineLvl w:val="1"/>
        <w:rPr>
          <w:rFonts w:ascii="宋体" w:hAnsi="宋体" w:cs="仿宋"/>
          <w:color w:val="auto"/>
          <w:sz w:val="24"/>
          <w:highlight w:val="none"/>
        </w:rPr>
      </w:pPr>
      <w:r>
        <w:rPr>
          <w:rFonts w:hint="eastAsia" w:ascii="宋体" w:hAnsi="宋体" w:cs="仿宋"/>
          <w:color w:val="auto"/>
          <w:sz w:val="24"/>
          <w:highlight w:val="none"/>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bookmarkEnd w:id="152"/>
    <w:p>
      <w:pPr>
        <w:widowControl/>
        <w:spacing w:line="360" w:lineRule="auto"/>
        <w:ind w:firstLine="480" w:firstLineChars="200"/>
        <w:jc w:val="left"/>
        <w:outlineLvl w:val="1"/>
        <w:rPr>
          <w:rFonts w:ascii="宋体" w:hAnsi="宋体" w:cs="仿宋"/>
          <w:color w:val="auto"/>
          <w:sz w:val="24"/>
          <w:highlight w:val="none"/>
        </w:rPr>
      </w:pPr>
      <w:r>
        <w:rPr>
          <w:rFonts w:hint="eastAsia" w:ascii="宋体" w:hAnsi="宋体" w:cs="仿宋"/>
          <w:color w:val="auto"/>
          <w:sz w:val="24"/>
          <w:highlight w:val="none"/>
        </w:rPr>
        <w:t>本单位对上述承诺的内容事项真实性负责。如经查实上述承诺的内容事项存在虚假，我单位愿意接受以提供虚假材料谋取中标追究法律责任。</w:t>
      </w:r>
    </w:p>
    <w:p>
      <w:pPr>
        <w:pStyle w:val="5"/>
        <w:spacing w:before="0" w:after="0" w:line="400" w:lineRule="exact"/>
        <w:ind w:firstLine="482" w:firstLineChars="200"/>
        <w:rPr>
          <w:rFonts w:ascii="宋体" w:hAnsi="宋体" w:cs="仿宋"/>
          <w:color w:val="auto"/>
          <w:sz w:val="24"/>
          <w:highlight w:val="none"/>
        </w:rPr>
      </w:pPr>
      <w:r>
        <w:rPr>
          <w:rFonts w:hint="eastAsia" w:ascii="宋体" w:hAnsi="宋体" w:cs="仿宋"/>
          <w:color w:val="auto"/>
          <w:sz w:val="24"/>
          <w:highlight w:val="none"/>
          <w:lang w:eastAsia="zh-CN"/>
        </w:rPr>
        <w:t>十一、</w:t>
      </w:r>
      <w:r>
        <w:rPr>
          <w:rFonts w:hint="eastAsia" w:ascii="宋体" w:hAnsi="宋体" w:cs="仿宋"/>
          <w:color w:val="auto"/>
          <w:sz w:val="24"/>
          <w:highlight w:val="none"/>
        </w:rPr>
        <w:t xml:space="preserve"> </w:t>
      </w:r>
      <w:r>
        <w:rPr>
          <w:rFonts w:hint="eastAsia" w:ascii="宋体" w:hAnsi="宋体" w:cs="仿宋"/>
          <w:color w:val="auto"/>
          <w:sz w:val="24"/>
          <w:highlight w:val="none"/>
          <w:lang w:eastAsia="zh-CN"/>
        </w:rPr>
        <w:t>完全相应招标文件</w:t>
      </w:r>
      <w:r>
        <w:rPr>
          <w:rFonts w:hint="eastAsia" w:ascii="宋体" w:hAnsi="宋体" w:cs="仿宋"/>
          <w:color w:val="auto"/>
          <w:sz w:val="24"/>
          <w:highlight w:val="none"/>
        </w:rPr>
        <w:t>充分、公平竞争保障措施</w:t>
      </w:r>
    </w:p>
    <w:p>
      <w:pPr>
        <w:pStyle w:val="57"/>
        <w:spacing w:line="460" w:lineRule="exact"/>
        <w:ind w:left="1" w:firstLine="482" w:firstLineChars="200"/>
        <w:rPr>
          <w:rFonts w:hAnsi="宋体" w:cs="仿宋"/>
          <w:color w:val="auto"/>
          <w:sz w:val="24"/>
          <w:highlight w:val="none"/>
        </w:rPr>
      </w:pPr>
      <w:r>
        <w:rPr>
          <w:rFonts w:hint="eastAsia" w:hAnsi="宋体" w:cs="仿宋"/>
          <w:b/>
          <w:color w:val="auto"/>
          <w:sz w:val="24"/>
          <w:highlight w:val="none"/>
          <w:lang w:val="en-US" w:eastAsia="zh-CN"/>
        </w:rPr>
        <w:t>11.</w:t>
      </w:r>
      <w:r>
        <w:rPr>
          <w:rFonts w:hint="eastAsia" w:hAnsi="宋体" w:cs="仿宋"/>
          <w:b/>
          <w:color w:val="auto"/>
          <w:sz w:val="24"/>
          <w:highlight w:val="none"/>
        </w:rPr>
        <w:t>1利害关系投标人处理。</w:t>
      </w:r>
      <w:r>
        <w:rPr>
          <w:rFonts w:hint="eastAsia" w:hAnsi="宋体" w:cs="仿宋"/>
          <w:color w:val="auto"/>
          <w:sz w:val="24"/>
          <w:highlight w:val="none"/>
        </w:rPr>
        <w:t>单位负责人为同一人或者存在直接控股、管理关系的不同投标人不得参加同一合同项下的政府采购活动。采购项目实行资格预审的，单位负责人为同一人或者存在直接控股、管理关系的不同投标人可以参加资格预审，但只能由投标人确定其中一家符合条件的投标人参加后续的政府采购活动，否则，其投标文件作为无效处理。</w:t>
      </w:r>
    </w:p>
    <w:p>
      <w:pPr>
        <w:pStyle w:val="57"/>
        <w:spacing w:line="400" w:lineRule="exact"/>
        <w:ind w:left="1" w:firstLine="482" w:firstLineChars="200"/>
        <w:rPr>
          <w:rFonts w:hAnsi="宋体" w:cs="仿宋"/>
          <w:color w:val="auto"/>
          <w:sz w:val="24"/>
          <w:highlight w:val="none"/>
        </w:rPr>
      </w:pPr>
      <w:r>
        <w:rPr>
          <w:rFonts w:hint="eastAsia" w:hAnsi="宋体" w:cs="仿宋"/>
          <w:b/>
          <w:color w:val="auto"/>
          <w:sz w:val="24"/>
          <w:highlight w:val="none"/>
          <w:lang w:val="en-US" w:eastAsia="zh-CN"/>
        </w:rPr>
        <w:t>11.</w:t>
      </w:r>
      <w:r>
        <w:rPr>
          <w:rFonts w:hint="eastAsia" w:hAnsi="宋体" w:cs="仿宋"/>
          <w:b/>
          <w:color w:val="auto"/>
          <w:sz w:val="24"/>
          <w:highlight w:val="none"/>
        </w:rPr>
        <w:t>2 前期参与投标人处理。</w:t>
      </w:r>
      <w:r>
        <w:rPr>
          <w:rFonts w:hint="eastAsia" w:hAnsi="宋体" w:cs="仿宋"/>
          <w:color w:val="auto"/>
          <w:sz w:val="24"/>
          <w:highlight w:val="none"/>
        </w:rPr>
        <w:t>为采购项目提供整体设计、规范编制或者项目管理、监理、检测等服务的投标人，不得再参加该采购项目的其他采购活动。投标人为采购人、采购代理机构在确定采购需求、编制采购文件过程中提供咨询论证，其提供的咨询论证意见成为采购文件中规定的投标人资格条件、技术服务商务要求、评标因素和标准、政府采购合同等实质性内容条款的，视同为采购项目提供规范编制。</w:t>
      </w:r>
    </w:p>
    <w:p>
      <w:pPr>
        <w:pStyle w:val="57"/>
        <w:spacing w:line="400" w:lineRule="exact"/>
        <w:ind w:left="1" w:firstLine="482" w:firstLineChars="200"/>
        <w:rPr>
          <w:rFonts w:hint="eastAsia" w:hAnsi="宋体" w:cs="仿宋"/>
          <w:color w:val="auto"/>
          <w:sz w:val="24"/>
          <w:highlight w:val="none"/>
        </w:rPr>
      </w:pPr>
      <w:r>
        <w:rPr>
          <w:rFonts w:hint="eastAsia" w:hAnsi="宋体" w:cs="仿宋"/>
          <w:b/>
          <w:color w:val="auto"/>
          <w:sz w:val="24"/>
          <w:highlight w:val="none"/>
          <w:lang w:val="en-US" w:eastAsia="zh-CN"/>
        </w:rPr>
        <w:t>11.</w:t>
      </w:r>
      <w:r>
        <w:rPr>
          <w:rFonts w:hint="eastAsia" w:hAnsi="宋体" w:cs="仿宋"/>
          <w:b/>
          <w:color w:val="auto"/>
          <w:sz w:val="24"/>
          <w:highlight w:val="none"/>
        </w:rPr>
        <w:t>3 利害关系代理人处理。</w:t>
      </w:r>
      <w:r>
        <w:rPr>
          <w:rFonts w:hint="eastAsia" w:hAnsi="宋体" w:cs="仿宋"/>
          <w:color w:val="auto"/>
          <w:sz w:val="24"/>
          <w:highlight w:val="none"/>
        </w:rPr>
        <w:t>2家以上的投标人不得在同一合同项下的采购项目中，同时委托同一个自然人、同一家庭的人员、同一单位的人员作为其代理人，否则，其投标文件作为无效处理。</w:t>
      </w:r>
    </w:p>
    <w:p>
      <w:pPr>
        <w:pStyle w:val="5"/>
        <w:spacing w:before="0" w:after="0" w:line="400" w:lineRule="exact"/>
        <w:ind w:firstLine="482" w:firstLineChars="200"/>
        <w:rPr>
          <w:rFonts w:ascii="宋体" w:hAnsi="宋体" w:cs="仿宋"/>
          <w:color w:val="auto"/>
          <w:sz w:val="24"/>
          <w:highlight w:val="none"/>
        </w:rPr>
      </w:pPr>
      <w:r>
        <w:rPr>
          <w:rFonts w:hint="eastAsia" w:hAnsi="宋体" w:cs="仿宋"/>
          <w:color w:val="auto"/>
          <w:sz w:val="24"/>
          <w:highlight w:val="none"/>
          <w:lang w:eastAsia="zh-CN"/>
        </w:rPr>
        <w:t>十二、</w:t>
      </w:r>
      <w:r>
        <w:rPr>
          <w:rFonts w:hint="eastAsia" w:ascii="宋体" w:hAnsi="宋体" w:cs="仿宋"/>
          <w:color w:val="auto"/>
          <w:sz w:val="24"/>
          <w:highlight w:val="none"/>
          <w:lang w:eastAsia="zh-CN"/>
        </w:rPr>
        <w:t>完全相应招标文件关于</w:t>
      </w:r>
      <w:r>
        <w:rPr>
          <w:rFonts w:hint="eastAsia" w:ascii="宋体" w:hAnsi="宋体" w:cs="仿宋"/>
          <w:color w:val="auto"/>
          <w:sz w:val="24"/>
          <w:highlight w:val="none"/>
        </w:rPr>
        <w:t>联合体投标</w:t>
      </w:r>
      <w:r>
        <w:rPr>
          <w:rFonts w:hint="eastAsia" w:ascii="宋体" w:hAnsi="宋体" w:cs="仿宋"/>
          <w:color w:val="auto"/>
          <w:sz w:val="24"/>
          <w:highlight w:val="none"/>
          <w:lang w:eastAsia="zh-CN"/>
        </w:rPr>
        <w:t>的要求</w:t>
      </w:r>
    </w:p>
    <w:p>
      <w:pPr>
        <w:spacing w:line="400" w:lineRule="exact"/>
        <w:ind w:firstLine="468" w:firstLineChars="195"/>
        <w:rPr>
          <w:rFonts w:ascii="宋体" w:hAnsi="宋体" w:cs="仿宋"/>
          <w:color w:val="auto"/>
          <w:sz w:val="24"/>
          <w:highlight w:val="none"/>
        </w:rPr>
      </w:pPr>
      <w:r>
        <w:rPr>
          <w:rFonts w:hint="eastAsia" w:ascii="宋体" w:hAnsi="宋体" w:cs="仿宋"/>
          <w:color w:val="auto"/>
          <w:sz w:val="24"/>
          <w:highlight w:val="none"/>
        </w:rPr>
        <w:t>12.1 两个以上投标人可以组成一个联合体投标，以一个投标人的身份投标。以联合体形式参加投标的，联合体各方均应当符合《政府采购法》第二十二条第一款规定的条件。采购人根据采购项目的特殊要求规定投标人特定条件的，联合体各方中至少应当有一方符合采购人规定的特定条件。</w:t>
      </w:r>
    </w:p>
    <w:p>
      <w:pPr>
        <w:spacing w:line="400" w:lineRule="exact"/>
        <w:ind w:firstLine="468" w:firstLineChars="195"/>
        <w:rPr>
          <w:rFonts w:ascii="宋体" w:hAnsi="宋体" w:cs="仿宋"/>
          <w:color w:val="auto"/>
          <w:sz w:val="24"/>
          <w:highlight w:val="none"/>
        </w:rPr>
      </w:pPr>
      <w:r>
        <w:rPr>
          <w:rFonts w:hint="eastAsia" w:ascii="宋体" w:hAnsi="宋体" w:cs="仿宋"/>
          <w:color w:val="auto"/>
          <w:sz w:val="24"/>
          <w:highlight w:val="none"/>
        </w:rPr>
        <w:t>12.2 联合体各方之间应当签订联合体协议书，明确约定联合体各方承担的工作和相应的责任，并将共同联合体投标协议连同投标文件一并提交招标采购单位。</w:t>
      </w:r>
    </w:p>
    <w:p>
      <w:pPr>
        <w:spacing w:line="400" w:lineRule="exact"/>
        <w:ind w:firstLine="470" w:firstLineChars="196"/>
        <w:rPr>
          <w:rFonts w:ascii="宋体" w:hAnsi="宋体" w:cs="仿宋"/>
          <w:color w:val="auto"/>
          <w:sz w:val="24"/>
          <w:highlight w:val="none"/>
        </w:rPr>
      </w:pPr>
      <w:r>
        <w:rPr>
          <w:rFonts w:hint="eastAsia" w:ascii="宋体" w:hAnsi="宋体" w:cs="仿宋"/>
          <w:color w:val="auto"/>
          <w:sz w:val="24"/>
          <w:highlight w:val="none"/>
        </w:rPr>
        <w:t>12.3 联合体应当确定其中一个单位为投标的牵头人，负责参加投标的一切事务，并承担投标及履约中应承担的全部责任与义务。</w:t>
      </w:r>
    </w:p>
    <w:p>
      <w:pPr>
        <w:spacing w:line="400" w:lineRule="exact"/>
        <w:ind w:firstLine="470" w:firstLineChars="196"/>
        <w:rPr>
          <w:rFonts w:ascii="宋体" w:hAnsi="宋体" w:cs="仿宋"/>
          <w:color w:val="auto"/>
          <w:sz w:val="24"/>
          <w:highlight w:val="none"/>
        </w:rPr>
      </w:pPr>
      <w:r>
        <w:rPr>
          <w:rFonts w:hint="eastAsia" w:ascii="宋体" w:hAnsi="宋体" w:cs="仿宋"/>
          <w:color w:val="auto"/>
          <w:sz w:val="24"/>
          <w:highlight w:val="none"/>
        </w:rPr>
        <w:t>12.4 联合体各方应当共同与采购人签订采购合同，就采购合同约定的事项对采购人承担连带责任。</w:t>
      </w:r>
    </w:p>
    <w:p>
      <w:pPr>
        <w:spacing w:line="400" w:lineRule="exact"/>
        <w:ind w:firstLine="470" w:firstLineChars="196"/>
        <w:rPr>
          <w:rFonts w:ascii="宋体" w:hAnsi="宋体" w:cs="仿宋"/>
          <w:color w:val="auto"/>
          <w:sz w:val="24"/>
          <w:highlight w:val="none"/>
        </w:rPr>
      </w:pPr>
      <w:r>
        <w:rPr>
          <w:rFonts w:hint="eastAsia" w:ascii="宋体" w:hAnsi="宋体" w:cs="仿宋"/>
          <w:color w:val="auto"/>
          <w:sz w:val="24"/>
          <w:highlight w:val="none"/>
        </w:rPr>
        <w:t>12.5 联合体中有同类资质的投标人按照联合体分工承担相同工作的，应当按照资质等级较低的投标人确定资质等级。</w:t>
      </w:r>
    </w:p>
    <w:p>
      <w:pPr>
        <w:spacing w:line="400" w:lineRule="exact"/>
        <w:ind w:firstLine="470" w:firstLineChars="196"/>
        <w:rPr>
          <w:rFonts w:ascii="宋体" w:hAnsi="宋体" w:cs="仿宋"/>
          <w:color w:val="auto"/>
          <w:sz w:val="24"/>
          <w:highlight w:val="none"/>
        </w:rPr>
      </w:pPr>
      <w:r>
        <w:rPr>
          <w:rFonts w:hint="eastAsia" w:ascii="宋体" w:hAnsi="宋体" w:cs="仿宋"/>
          <w:color w:val="auto"/>
          <w:sz w:val="24"/>
          <w:highlight w:val="none"/>
        </w:rPr>
        <w:t>12.6 以联合体形式参加政府采购活动的，联合体各方不得再单独参加或者与其他投标人另外组成联合体参加同一合同项下的政府采购活动。</w:t>
      </w:r>
    </w:p>
    <w:p>
      <w:pPr>
        <w:pStyle w:val="5"/>
        <w:spacing w:before="0" w:after="0" w:line="400" w:lineRule="exact"/>
        <w:rPr>
          <w:rFonts w:ascii="宋体" w:hAnsi="宋体" w:cs="仿宋"/>
          <w:bCs w:val="0"/>
          <w:color w:val="auto"/>
          <w:sz w:val="24"/>
          <w:highlight w:val="none"/>
        </w:rPr>
      </w:pPr>
      <w:r>
        <w:rPr>
          <w:rFonts w:hint="eastAsia" w:ascii="宋体" w:hAnsi="宋体" w:cs="仿宋"/>
          <w:bCs w:val="0"/>
          <w:color w:val="auto"/>
          <w:sz w:val="24"/>
          <w:highlight w:val="none"/>
          <w:lang w:eastAsia="zh-CN"/>
        </w:rPr>
        <w:t>十三、完全相应招标文件关于</w:t>
      </w:r>
      <w:r>
        <w:rPr>
          <w:rFonts w:hint="eastAsia" w:ascii="宋体" w:hAnsi="宋体" w:cs="仿宋"/>
          <w:bCs w:val="0"/>
          <w:color w:val="auto"/>
          <w:sz w:val="24"/>
          <w:highlight w:val="none"/>
        </w:rPr>
        <w:t>投标有效期</w:t>
      </w:r>
      <w:r>
        <w:rPr>
          <w:rFonts w:hint="eastAsia" w:ascii="宋体" w:hAnsi="宋体" w:cs="仿宋"/>
          <w:bCs w:val="0"/>
          <w:color w:val="auto"/>
          <w:sz w:val="24"/>
          <w:highlight w:val="none"/>
          <w:lang w:eastAsia="zh-CN"/>
        </w:rPr>
        <w:t>的要求</w:t>
      </w:r>
    </w:p>
    <w:p>
      <w:pPr>
        <w:tabs>
          <w:tab w:val="left" w:pos="7665"/>
        </w:tabs>
        <w:spacing w:line="400" w:lineRule="exact"/>
        <w:ind w:left="13" w:leftChars="6" w:firstLine="480" w:firstLineChars="200"/>
        <w:rPr>
          <w:rFonts w:ascii="宋体" w:hAnsi="宋体" w:cs="仿宋"/>
          <w:color w:val="auto"/>
          <w:sz w:val="24"/>
          <w:highlight w:val="none"/>
        </w:rPr>
      </w:pPr>
      <w:r>
        <w:rPr>
          <w:rFonts w:hint="eastAsia" w:ascii="宋体" w:hAnsi="宋体" w:cs="仿宋"/>
          <w:color w:val="auto"/>
          <w:sz w:val="24"/>
          <w:highlight w:val="none"/>
          <w:lang w:val="en-US" w:eastAsia="zh-CN"/>
        </w:rPr>
        <w:t>13</w:t>
      </w:r>
      <w:r>
        <w:rPr>
          <w:rFonts w:hint="eastAsia" w:ascii="宋体" w:hAnsi="宋体" w:cs="仿宋"/>
          <w:color w:val="auto"/>
          <w:sz w:val="24"/>
          <w:highlight w:val="none"/>
        </w:rPr>
        <w:t>.1</w:t>
      </w:r>
      <w:r>
        <w:rPr>
          <w:rFonts w:hint="eastAsia" w:ascii="宋体" w:hAnsi="宋体" w:cs="仿宋"/>
          <w:b/>
          <w:color w:val="auto"/>
          <w:sz w:val="24"/>
          <w:highlight w:val="none"/>
        </w:rPr>
        <w:t>本项目投标有效期为投标截止之日起90天</w:t>
      </w:r>
      <w:r>
        <w:rPr>
          <w:rFonts w:hint="eastAsia" w:ascii="宋体" w:hAnsi="宋体" w:cs="仿宋"/>
          <w:color w:val="auto"/>
          <w:sz w:val="24"/>
          <w:highlight w:val="none"/>
        </w:rPr>
        <w:t>（投标有效期从提交投标文件的截至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宋体" w:hAnsi="宋体" w:cs="仿宋"/>
          <w:color w:val="auto"/>
          <w:sz w:val="24"/>
          <w:highlight w:val="none"/>
        </w:rPr>
      </w:pPr>
      <w:r>
        <w:rPr>
          <w:rFonts w:hint="eastAsia" w:ascii="宋体" w:hAnsi="宋体" w:cs="仿宋"/>
          <w:color w:val="auto"/>
          <w:sz w:val="24"/>
          <w:highlight w:val="none"/>
          <w:lang w:val="en-US" w:eastAsia="zh-CN"/>
        </w:rPr>
        <w:t>13</w:t>
      </w:r>
      <w:r>
        <w:rPr>
          <w:rFonts w:hint="eastAsia" w:ascii="宋体" w:hAnsi="宋体" w:cs="仿宋"/>
          <w:color w:val="auto"/>
          <w:sz w:val="24"/>
          <w:highlight w:val="none"/>
        </w:rPr>
        <w:t xml:space="preserve">.2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宋体" w:hAnsi="宋体" w:cs="仿宋"/>
          <w:color w:val="auto"/>
          <w:sz w:val="24"/>
          <w:highlight w:val="none"/>
        </w:rPr>
      </w:pPr>
      <w:r>
        <w:rPr>
          <w:rFonts w:hint="eastAsia" w:ascii="宋体" w:hAnsi="宋体" w:cs="仿宋"/>
          <w:color w:val="auto"/>
          <w:sz w:val="24"/>
          <w:highlight w:val="none"/>
          <w:lang w:val="en-US" w:eastAsia="zh-CN"/>
        </w:rPr>
        <w:t>13</w:t>
      </w:r>
      <w:r>
        <w:rPr>
          <w:rFonts w:hint="eastAsia" w:ascii="宋体" w:hAnsi="宋体" w:cs="仿宋"/>
          <w:color w:val="auto"/>
          <w:sz w:val="24"/>
          <w:highlight w:val="none"/>
        </w:rPr>
        <w:t>.3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widowControl/>
        <w:spacing w:line="360" w:lineRule="auto"/>
        <w:ind w:firstLine="470" w:firstLineChars="196"/>
        <w:jc w:val="left"/>
        <w:outlineLvl w:val="1"/>
        <w:rPr>
          <w:rFonts w:hint="eastAsia" w:ascii="宋体" w:hAnsi="宋体" w:eastAsia="宋体" w:cs="仿宋"/>
          <w:color w:val="auto"/>
          <w:sz w:val="24"/>
          <w:highlight w:val="none"/>
          <w:lang w:eastAsia="zh-CN"/>
        </w:rPr>
      </w:pPr>
    </w:p>
    <w:p>
      <w:pPr>
        <w:widowControl/>
        <w:spacing w:line="360" w:lineRule="auto"/>
        <w:ind w:firstLine="470" w:firstLineChars="196"/>
        <w:jc w:val="left"/>
        <w:outlineLvl w:val="1"/>
        <w:rPr>
          <w:rFonts w:ascii="宋体" w:hAnsi="宋体" w:cs="仿宋"/>
          <w:color w:val="auto"/>
          <w:sz w:val="24"/>
          <w:highlight w:val="none"/>
        </w:rPr>
      </w:pPr>
      <w:bookmarkStart w:id="153" w:name="_Hlk534971743"/>
      <w:r>
        <w:rPr>
          <w:rFonts w:hint="eastAsia" w:ascii="宋体" w:hAnsi="宋体" w:cs="仿宋"/>
          <w:color w:val="auto"/>
          <w:sz w:val="24"/>
          <w:highlight w:val="none"/>
        </w:rPr>
        <w:t>投标人名称：</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（单位公章）。</w:t>
      </w:r>
    </w:p>
    <w:p>
      <w:pPr>
        <w:widowControl/>
        <w:spacing w:line="360" w:lineRule="auto"/>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法定代表人/单位负责人或授权代表（签字）：</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p>
    <w:p>
      <w:pPr>
        <w:widowControl/>
        <w:spacing w:line="360" w:lineRule="auto"/>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投标日期：</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p>
    <w:bookmarkEnd w:id="153"/>
    <w:p>
      <w:pPr>
        <w:spacing w:line="360" w:lineRule="auto"/>
        <w:rPr>
          <w:rFonts w:ascii="宋体" w:hAnsi="宋体" w:cs="仿宋"/>
          <w:b/>
          <w:color w:val="auto"/>
          <w:sz w:val="32"/>
          <w:szCs w:val="32"/>
          <w:highlight w:val="none"/>
        </w:rPr>
      </w:pPr>
      <w:r>
        <w:rPr>
          <w:rFonts w:hint="eastAsia" w:ascii="宋体" w:hAnsi="宋体" w:cs="仿宋"/>
          <w:b/>
          <w:color w:val="auto"/>
          <w:sz w:val="32"/>
          <w:szCs w:val="32"/>
          <w:highlight w:val="none"/>
        </w:rPr>
        <w:br w:type="page"/>
      </w:r>
      <w:r>
        <w:rPr>
          <w:rFonts w:hint="eastAsia" w:ascii="宋体" w:hAnsi="宋体" w:cs="仿宋"/>
          <w:b/>
          <w:color w:val="auto"/>
          <w:sz w:val="32"/>
          <w:szCs w:val="32"/>
          <w:highlight w:val="none"/>
        </w:rPr>
        <w:t>格式2-4</w:t>
      </w:r>
    </w:p>
    <w:bookmarkEnd w:id="136"/>
    <w:bookmarkEnd w:id="151"/>
    <w:p>
      <w:pPr>
        <w:spacing w:line="400" w:lineRule="exact"/>
        <w:ind w:firstLine="643" w:firstLineChars="200"/>
        <w:jc w:val="center"/>
        <w:rPr>
          <w:rFonts w:ascii="宋体" w:hAnsi="宋体" w:cs="仿宋"/>
          <w:b/>
          <w:color w:val="auto"/>
          <w:sz w:val="32"/>
          <w:szCs w:val="32"/>
          <w:highlight w:val="none"/>
        </w:rPr>
      </w:pPr>
      <w:bookmarkStart w:id="154" w:name="_Toc217446085"/>
      <w:r>
        <w:rPr>
          <w:rFonts w:hint="eastAsia" w:ascii="宋体" w:hAnsi="宋体" w:cs="仿宋"/>
          <w:b/>
          <w:color w:val="auto"/>
          <w:sz w:val="32"/>
          <w:szCs w:val="32"/>
          <w:highlight w:val="none"/>
        </w:rPr>
        <w:t>三、开标一览表</w:t>
      </w:r>
      <w:bookmarkEnd w:id="154"/>
      <w:r>
        <w:rPr>
          <w:rFonts w:hint="eastAsia" w:ascii="宋体" w:hAnsi="宋体" w:cs="仿宋"/>
          <w:b/>
          <w:color w:val="auto"/>
          <w:sz w:val="32"/>
          <w:szCs w:val="32"/>
          <w:highlight w:val="none"/>
        </w:rPr>
        <w:t>（实质性要求）</w:t>
      </w:r>
    </w:p>
    <w:p>
      <w:pPr>
        <w:spacing w:line="480" w:lineRule="exact"/>
        <w:ind w:firstLine="436" w:firstLineChars="182"/>
        <w:rPr>
          <w:rFonts w:ascii="宋体" w:hAnsi="宋体" w:cs="仿宋"/>
          <w:color w:val="auto"/>
          <w:sz w:val="24"/>
          <w:highlight w:val="none"/>
        </w:rPr>
      </w:pPr>
      <w:bookmarkStart w:id="155" w:name="_Hlk534971645"/>
      <w:r>
        <w:rPr>
          <w:rFonts w:hint="eastAsia" w:ascii="宋体" w:hAnsi="宋体" w:cs="仿宋"/>
          <w:color w:val="auto"/>
          <w:sz w:val="24"/>
          <w:highlight w:val="none"/>
        </w:rPr>
        <w:t>项目名称：</w:t>
      </w:r>
      <w:r>
        <w:rPr>
          <w:rFonts w:hint="eastAsia" w:ascii="宋体" w:hAnsi="宋体" w:cs="仿宋"/>
          <w:b/>
          <w:color w:val="auto"/>
          <w:sz w:val="32"/>
          <w:highlight w:val="none"/>
          <w:u w:val="single"/>
        </w:rPr>
        <w:t xml:space="preserve">           </w:t>
      </w:r>
    </w:p>
    <w:p>
      <w:pPr>
        <w:spacing w:line="480" w:lineRule="exact"/>
        <w:ind w:firstLine="436" w:firstLineChars="182"/>
        <w:rPr>
          <w:rFonts w:hint="eastAsia" w:ascii="宋体" w:hAnsi="宋体" w:cs="仿宋"/>
          <w:color w:val="auto"/>
          <w:sz w:val="24"/>
          <w:highlight w:val="none"/>
        </w:rPr>
      </w:pPr>
      <w:r>
        <w:rPr>
          <w:rFonts w:hint="eastAsia" w:ascii="宋体" w:hAnsi="宋体" w:cs="仿宋"/>
          <w:color w:val="auto"/>
          <w:sz w:val="24"/>
          <w:highlight w:val="none"/>
        </w:rPr>
        <w:t>招标编号：</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 xml:space="preserve">  </w:t>
      </w:r>
    </w:p>
    <w:p>
      <w:pPr>
        <w:spacing w:line="480" w:lineRule="exact"/>
        <w:ind w:firstLine="436" w:firstLineChars="182"/>
        <w:rPr>
          <w:rFonts w:ascii="宋体" w:hAnsi="宋体" w:cs="仿宋"/>
          <w:color w:val="auto"/>
          <w:sz w:val="24"/>
          <w:highlight w:val="none"/>
        </w:rPr>
      </w:pPr>
      <w:r>
        <w:rPr>
          <w:rFonts w:hint="eastAsia" w:ascii="宋体" w:hAnsi="宋体" w:cs="仿宋"/>
          <w:color w:val="auto"/>
          <w:sz w:val="24"/>
          <w:highlight w:val="none"/>
        </w:rPr>
        <w:t xml:space="preserve">                 </w:t>
      </w:r>
    </w:p>
    <w:bookmarkEnd w:id="155"/>
    <w:tbl>
      <w:tblPr>
        <w:tblStyle w:val="22"/>
        <w:tblW w:w="8698" w:type="dxa"/>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450"/>
        <w:gridCol w:w="871"/>
        <w:gridCol w:w="912"/>
        <w:gridCol w:w="1890"/>
        <w:gridCol w:w="1890"/>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795" w:type="dxa"/>
            <w:vAlign w:val="center"/>
          </w:tcPr>
          <w:p>
            <w:pPr>
              <w:widowControl/>
              <w:spacing w:line="360" w:lineRule="atLeast"/>
              <w:jc w:val="left"/>
              <w:outlineLvl w:val="1"/>
              <w:rPr>
                <w:rFonts w:hint="eastAsia" w:ascii="宋体" w:hAnsi="宋体" w:eastAsia="宋体" w:cs="仿宋"/>
                <w:color w:val="auto"/>
                <w:sz w:val="24"/>
                <w:highlight w:val="none"/>
              </w:rPr>
            </w:pPr>
            <w:r>
              <w:rPr>
                <w:rFonts w:hint="eastAsia" w:ascii="宋体" w:hAnsi="宋体" w:eastAsia="宋体" w:cs="仿宋"/>
                <w:color w:val="auto"/>
                <w:sz w:val="24"/>
                <w:highlight w:val="none"/>
              </w:rPr>
              <w:t>序号</w:t>
            </w:r>
          </w:p>
        </w:tc>
        <w:tc>
          <w:tcPr>
            <w:tcW w:w="1321" w:type="dxa"/>
            <w:gridSpan w:val="2"/>
            <w:vAlign w:val="center"/>
          </w:tcPr>
          <w:p>
            <w:pPr>
              <w:widowControl/>
              <w:spacing w:line="360" w:lineRule="atLeast"/>
              <w:jc w:val="left"/>
              <w:outlineLvl w:val="1"/>
              <w:rPr>
                <w:rFonts w:hint="eastAsia" w:ascii="宋体" w:hAnsi="宋体" w:eastAsia="宋体" w:cs="仿宋"/>
                <w:color w:val="auto"/>
                <w:sz w:val="24"/>
                <w:highlight w:val="none"/>
                <w:lang w:val="en-US" w:eastAsia="zh-CN"/>
              </w:rPr>
            </w:pPr>
            <w:r>
              <w:rPr>
                <w:rFonts w:hint="eastAsia" w:ascii="宋体" w:hAnsi="宋体" w:eastAsia="宋体" w:cs="仿宋"/>
                <w:color w:val="auto"/>
                <w:sz w:val="24"/>
                <w:highlight w:val="none"/>
                <w:lang w:val="en-US" w:eastAsia="zh-CN"/>
              </w:rPr>
              <w:t>材料名称及规格</w:t>
            </w:r>
          </w:p>
        </w:tc>
        <w:tc>
          <w:tcPr>
            <w:tcW w:w="912" w:type="dxa"/>
            <w:vAlign w:val="center"/>
          </w:tcPr>
          <w:p>
            <w:pPr>
              <w:widowControl/>
              <w:spacing w:line="360" w:lineRule="atLeast"/>
              <w:jc w:val="left"/>
              <w:outlineLvl w:val="1"/>
              <w:rPr>
                <w:rFonts w:hint="eastAsia" w:ascii="宋体" w:hAnsi="宋体" w:eastAsia="宋体" w:cs="仿宋"/>
                <w:color w:val="auto"/>
                <w:sz w:val="24"/>
                <w:highlight w:val="none"/>
                <w:lang w:val="en-US" w:eastAsia="zh-CN"/>
              </w:rPr>
            </w:pPr>
            <w:r>
              <w:rPr>
                <w:rFonts w:hint="eastAsia" w:ascii="宋体" w:hAnsi="宋体" w:eastAsia="宋体" w:cs="仿宋"/>
                <w:color w:val="auto"/>
                <w:sz w:val="24"/>
                <w:highlight w:val="none"/>
                <w:lang w:val="en-US" w:eastAsia="zh-CN"/>
              </w:rPr>
              <w:t>单位</w:t>
            </w:r>
          </w:p>
        </w:tc>
        <w:tc>
          <w:tcPr>
            <w:tcW w:w="1890" w:type="dxa"/>
            <w:vAlign w:val="center"/>
          </w:tcPr>
          <w:p>
            <w:pPr>
              <w:widowControl/>
              <w:spacing w:line="360" w:lineRule="atLeast"/>
              <w:ind w:firstLine="470" w:firstLineChars="196"/>
              <w:jc w:val="left"/>
              <w:outlineLvl w:val="1"/>
              <w:rPr>
                <w:rFonts w:hint="eastAsia" w:ascii="宋体" w:hAnsi="宋体" w:eastAsia="宋体" w:cs="仿宋"/>
                <w:color w:val="auto"/>
                <w:sz w:val="24"/>
                <w:highlight w:val="none"/>
                <w:lang w:val="en-US" w:eastAsia="zh-CN"/>
              </w:rPr>
            </w:pPr>
            <w:r>
              <w:rPr>
                <w:rFonts w:hint="eastAsia" w:ascii="宋体" w:hAnsi="宋体" w:eastAsia="宋体" w:cs="仿宋"/>
                <w:color w:val="auto"/>
                <w:sz w:val="24"/>
                <w:highlight w:val="none"/>
                <w:lang w:val="en-US" w:eastAsia="zh-CN"/>
              </w:rPr>
              <w:t>单价</w:t>
            </w:r>
          </w:p>
        </w:tc>
        <w:tc>
          <w:tcPr>
            <w:tcW w:w="1890" w:type="dxa"/>
            <w:vAlign w:val="center"/>
          </w:tcPr>
          <w:p>
            <w:pPr>
              <w:widowControl/>
              <w:spacing w:line="360" w:lineRule="atLeast"/>
              <w:ind w:firstLine="470" w:firstLineChars="196"/>
              <w:jc w:val="left"/>
              <w:outlineLvl w:val="1"/>
              <w:rPr>
                <w:rFonts w:hint="eastAsia" w:ascii="宋体" w:hAnsi="宋体" w:eastAsia="宋体" w:cs="仿宋"/>
                <w:color w:val="auto"/>
                <w:sz w:val="24"/>
                <w:highlight w:val="none"/>
                <w:lang w:val="en-US" w:eastAsia="zh-CN"/>
              </w:rPr>
            </w:pPr>
            <w:r>
              <w:rPr>
                <w:rFonts w:hint="eastAsia" w:ascii="宋体" w:hAnsi="宋体" w:eastAsia="宋体" w:cs="仿宋"/>
                <w:color w:val="auto"/>
                <w:sz w:val="24"/>
                <w:highlight w:val="none"/>
                <w:lang w:val="en-US" w:eastAsia="zh-CN"/>
              </w:rPr>
              <w:t>数量</w:t>
            </w:r>
          </w:p>
        </w:tc>
        <w:tc>
          <w:tcPr>
            <w:tcW w:w="1890" w:type="dxa"/>
            <w:vAlign w:val="center"/>
          </w:tcPr>
          <w:p>
            <w:pPr>
              <w:widowControl/>
              <w:spacing w:line="360" w:lineRule="atLeast"/>
              <w:jc w:val="left"/>
              <w:outlineLvl w:val="1"/>
              <w:rPr>
                <w:rFonts w:hint="eastAsia" w:ascii="宋体" w:hAnsi="宋体" w:eastAsia="宋体" w:cs="仿宋"/>
                <w:color w:val="auto"/>
                <w:sz w:val="24"/>
                <w:highlight w:val="none"/>
                <w:lang w:val="en-US" w:eastAsia="zh-CN"/>
              </w:rPr>
            </w:pPr>
            <w:r>
              <w:rPr>
                <w:rFonts w:hint="eastAsia" w:ascii="宋体" w:hAnsi="宋体" w:eastAsia="宋体" w:cs="仿宋"/>
                <w:color w:val="auto"/>
                <w:sz w:val="24"/>
                <w:highlight w:val="none"/>
                <w:lang w:val="en-US" w:eastAsia="zh-CN"/>
              </w:rPr>
              <w:t>报价（单位：元）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795" w:type="dxa"/>
            <w:vAlign w:val="center"/>
          </w:tcPr>
          <w:p>
            <w:pPr>
              <w:widowControl/>
              <w:spacing w:line="360" w:lineRule="auto"/>
              <w:jc w:val="center"/>
              <w:rPr>
                <w:rFonts w:ascii="宋体" w:hAnsi="宋体" w:cs="仿宋"/>
                <w:bCs/>
                <w:color w:val="auto"/>
                <w:kern w:val="0"/>
                <w:sz w:val="24"/>
                <w:highlight w:val="none"/>
              </w:rPr>
            </w:pPr>
            <w:r>
              <w:rPr>
                <w:rFonts w:hint="eastAsia" w:ascii="宋体" w:hAnsi="宋体" w:cs="仿宋"/>
                <w:bCs/>
                <w:color w:val="auto"/>
                <w:kern w:val="0"/>
                <w:sz w:val="24"/>
                <w:highlight w:val="none"/>
              </w:rPr>
              <w:t>1</w:t>
            </w:r>
          </w:p>
        </w:tc>
        <w:tc>
          <w:tcPr>
            <w:tcW w:w="1321" w:type="dxa"/>
            <w:gridSpan w:val="2"/>
            <w:vAlign w:val="center"/>
          </w:tcPr>
          <w:p>
            <w:pPr>
              <w:widowControl/>
              <w:spacing w:line="360" w:lineRule="auto"/>
              <w:jc w:val="center"/>
              <w:rPr>
                <w:rFonts w:ascii="宋体" w:hAnsi="宋体" w:cs="仿宋"/>
                <w:bCs/>
                <w:color w:val="auto"/>
                <w:kern w:val="0"/>
                <w:sz w:val="24"/>
                <w:highlight w:val="none"/>
              </w:rPr>
            </w:pPr>
          </w:p>
        </w:tc>
        <w:tc>
          <w:tcPr>
            <w:tcW w:w="912" w:type="dxa"/>
            <w:vAlign w:val="center"/>
          </w:tcPr>
          <w:p>
            <w:pPr>
              <w:spacing w:line="360" w:lineRule="auto"/>
              <w:jc w:val="center"/>
              <w:rPr>
                <w:rFonts w:ascii="宋体" w:hAnsi="宋体" w:cs="仿宋"/>
                <w:bCs/>
                <w:color w:val="auto"/>
                <w:kern w:val="0"/>
                <w:sz w:val="24"/>
                <w:highlight w:val="none"/>
              </w:rPr>
            </w:pPr>
          </w:p>
        </w:tc>
        <w:tc>
          <w:tcPr>
            <w:tcW w:w="1890" w:type="dxa"/>
            <w:vAlign w:val="center"/>
          </w:tcPr>
          <w:p>
            <w:pPr>
              <w:widowControl/>
              <w:spacing w:line="360" w:lineRule="auto"/>
              <w:jc w:val="center"/>
              <w:rPr>
                <w:rFonts w:ascii="宋体" w:hAnsi="宋体" w:cs="仿宋"/>
                <w:bCs/>
                <w:color w:val="auto"/>
                <w:kern w:val="0"/>
                <w:sz w:val="24"/>
                <w:highlight w:val="none"/>
              </w:rPr>
            </w:pPr>
          </w:p>
        </w:tc>
        <w:tc>
          <w:tcPr>
            <w:tcW w:w="1890" w:type="dxa"/>
            <w:vAlign w:val="center"/>
          </w:tcPr>
          <w:p>
            <w:pPr>
              <w:widowControl/>
              <w:spacing w:line="360" w:lineRule="auto"/>
              <w:jc w:val="center"/>
              <w:rPr>
                <w:rFonts w:ascii="宋体" w:hAnsi="宋体" w:cs="仿宋"/>
                <w:bCs/>
                <w:color w:val="auto"/>
                <w:kern w:val="0"/>
                <w:sz w:val="24"/>
                <w:highlight w:val="none"/>
              </w:rPr>
            </w:pPr>
          </w:p>
        </w:tc>
        <w:tc>
          <w:tcPr>
            <w:tcW w:w="1890" w:type="dxa"/>
            <w:vAlign w:val="center"/>
          </w:tcPr>
          <w:p>
            <w:pPr>
              <w:widowControl/>
              <w:spacing w:line="360" w:lineRule="auto"/>
              <w:jc w:val="center"/>
              <w:rPr>
                <w:rFonts w:ascii="宋体" w:hAnsi="宋体" w:cs="仿宋"/>
                <w:bCs/>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795" w:type="dxa"/>
            <w:vAlign w:val="center"/>
          </w:tcPr>
          <w:p>
            <w:pPr>
              <w:widowControl/>
              <w:spacing w:line="360" w:lineRule="auto"/>
              <w:jc w:val="center"/>
              <w:rPr>
                <w:rFonts w:ascii="宋体" w:hAnsi="宋体" w:cs="仿宋"/>
                <w:bCs/>
                <w:color w:val="auto"/>
                <w:kern w:val="0"/>
                <w:sz w:val="24"/>
                <w:highlight w:val="none"/>
              </w:rPr>
            </w:pPr>
            <w:r>
              <w:rPr>
                <w:rFonts w:hint="eastAsia" w:ascii="宋体" w:hAnsi="宋体" w:cs="仿宋"/>
                <w:bCs/>
                <w:color w:val="auto"/>
                <w:kern w:val="0"/>
                <w:sz w:val="24"/>
                <w:highlight w:val="none"/>
              </w:rPr>
              <w:t>2</w:t>
            </w:r>
          </w:p>
        </w:tc>
        <w:tc>
          <w:tcPr>
            <w:tcW w:w="1321" w:type="dxa"/>
            <w:gridSpan w:val="2"/>
            <w:vAlign w:val="center"/>
          </w:tcPr>
          <w:p>
            <w:pPr>
              <w:widowControl/>
              <w:spacing w:line="360" w:lineRule="auto"/>
              <w:jc w:val="center"/>
              <w:rPr>
                <w:rFonts w:ascii="宋体" w:hAnsi="宋体" w:cs="仿宋"/>
                <w:bCs/>
                <w:color w:val="auto"/>
                <w:kern w:val="0"/>
                <w:sz w:val="24"/>
                <w:highlight w:val="none"/>
              </w:rPr>
            </w:pPr>
          </w:p>
        </w:tc>
        <w:tc>
          <w:tcPr>
            <w:tcW w:w="912" w:type="dxa"/>
            <w:vAlign w:val="center"/>
          </w:tcPr>
          <w:p>
            <w:pPr>
              <w:spacing w:line="360" w:lineRule="auto"/>
              <w:jc w:val="center"/>
              <w:rPr>
                <w:rFonts w:ascii="宋体" w:hAnsi="宋体" w:cs="仿宋"/>
                <w:bCs/>
                <w:color w:val="auto"/>
                <w:kern w:val="0"/>
                <w:sz w:val="24"/>
                <w:highlight w:val="none"/>
              </w:rPr>
            </w:pPr>
          </w:p>
        </w:tc>
        <w:tc>
          <w:tcPr>
            <w:tcW w:w="1890" w:type="dxa"/>
            <w:vAlign w:val="center"/>
          </w:tcPr>
          <w:p>
            <w:pPr>
              <w:widowControl/>
              <w:spacing w:line="360" w:lineRule="auto"/>
              <w:jc w:val="center"/>
              <w:rPr>
                <w:rFonts w:ascii="宋体" w:hAnsi="宋体" w:cs="仿宋"/>
                <w:bCs/>
                <w:color w:val="auto"/>
                <w:kern w:val="0"/>
                <w:sz w:val="24"/>
                <w:highlight w:val="none"/>
              </w:rPr>
            </w:pPr>
          </w:p>
        </w:tc>
        <w:tc>
          <w:tcPr>
            <w:tcW w:w="1890" w:type="dxa"/>
            <w:vAlign w:val="center"/>
          </w:tcPr>
          <w:p>
            <w:pPr>
              <w:widowControl/>
              <w:spacing w:line="360" w:lineRule="auto"/>
              <w:jc w:val="center"/>
              <w:rPr>
                <w:rFonts w:ascii="宋体" w:hAnsi="宋体" w:cs="仿宋"/>
                <w:bCs/>
                <w:color w:val="auto"/>
                <w:kern w:val="0"/>
                <w:sz w:val="24"/>
                <w:highlight w:val="none"/>
              </w:rPr>
            </w:pPr>
          </w:p>
        </w:tc>
        <w:tc>
          <w:tcPr>
            <w:tcW w:w="1890" w:type="dxa"/>
            <w:vAlign w:val="center"/>
          </w:tcPr>
          <w:p>
            <w:pPr>
              <w:widowControl/>
              <w:spacing w:line="360" w:lineRule="auto"/>
              <w:jc w:val="center"/>
              <w:rPr>
                <w:rFonts w:ascii="宋体" w:hAnsi="宋体" w:cs="仿宋"/>
                <w:bCs/>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795" w:type="dxa"/>
            <w:vAlign w:val="center"/>
          </w:tcPr>
          <w:p>
            <w:pPr>
              <w:widowControl/>
              <w:spacing w:line="360" w:lineRule="auto"/>
              <w:jc w:val="center"/>
              <w:rPr>
                <w:rFonts w:ascii="宋体" w:hAnsi="宋体" w:cs="仿宋"/>
                <w:bCs/>
                <w:color w:val="auto"/>
                <w:kern w:val="0"/>
                <w:sz w:val="24"/>
                <w:highlight w:val="none"/>
              </w:rPr>
            </w:pPr>
            <w:r>
              <w:rPr>
                <w:rFonts w:hint="eastAsia" w:ascii="宋体" w:hAnsi="宋体" w:cs="仿宋"/>
                <w:bCs/>
                <w:color w:val="auto"/>
                <w:kern w:val="0"/>
                <w:sz w:val="24"/>
                <w:highlight w:val="none"/>
              </w:rPr>
              <w:t>3</w:t>
            </w:r>
          </w:p>
        </w:tc>
        <w:tc>
          <w:tcPr>
            <w:tcW w:w="1321" w:type="dxa"/>
            <w:gridSpan w:val="2"/>
            <w:vAlign w:val="center"/>
          </w:tcPr>
          <w:p>
            <w:pPr>
              <w:widowControl/>
              <w:spacing w:line="360" w:lineRule="auto"/>
              <w:jc w:val="center"/>
              <w:rPr>
                <w:rFonts w:ascii="宋体" w:hAnsi="宋体" w:cs="仿宋"/>
                <w:bCs/>
                <w:color w:val="auto"/>
                <w:kern w:val="0"/>
                <w:sz w:val="24"/>
                <w:highlight w:val="none"/>
              </w:rPr>
            </w:pPr>
          </w:p>
        </w:tc>
        <w:tc>
          <w:tcPr>
            <w:tcW w:w="912" w:type="dxa"/>
            <w:vAlign w:val="center"/>
          </w:tcPr>
          <w:p>
            <w:pPr>
              <w:spacing w:line="360" w:lineRule="auto"/>
              <w:jc w:val="center"/>
              <w:rPr>
                <w:rFonts w:ascii="宋体" w:hAnsi="宋体" w:cs="仿宋"/>
                <w:bCs/>
                <w:color w:val="auto"/>
                <w:kern w:val="0"/>
                <w:sz w:val="24"/>
                <w:highlight w:val="none"/>
              </w:rPr>
            </w:pPr>
          </w:p>
        </w:tc>
        <w:tc>
          <w:tcPr>
            <w:tcW w:w="1890" w:type="dxa"/>
            <w:vAlign w:val="center"/>
          </w:tcPr>
          <w:p>
            <w:pPr>
              <w:widowControl/>
              <w:spacing w:line="360" w:lineRule="auto"/>
              <w:jc w:val="center"/>
              <w:rPr>
                <w:rFonts w:ascii="宋体" w:hAnsi="宋体" w:cs="仿宋"/>
                <w:bCs/>
                <w:color w:val="auto"/>
                <w:kern w:val="0"/>
                <w:sz w:val="24"/>
                <w:highlight w:val="none"/>
              </w:rPr>
            </w:pPr>
          </w:p>
        </w:tc>
        <w:tc>
          <w:tcPr>
            <w:tcW w:w="1890" w:type="dxa"/>
            <w:vAlign w:val="center"/>
          </w:tcPr>
          <w:p>
            <w:pPr>
              <w:widowControl/>
              <w:spacing w:line="360" w:lineRule="auto"/>
              <w:jc w:val="center"/>
              <w:rPr>
                <w:rFonts w:ascii="宋体" w:hAnsi="宋体" w:cs="仿宋"/>
                <w:bCs/>
                <w:color w:val="auto"/>
                <w:kern w:val="0"/>
                <w:sz w:val="24"/>
                <w:highlight w:val="none"/>
              </w:rPr>
            </w:pPr>
          </w:p>
        </w:tc>
        <w:tc>
          <w:tcPr>
            <w:tcW w:w="1890" w:type="dxa"/>
            <w:vAlign w:val="center"/>
          </w:tcPr>
          <w:p>
            <w:pPr>
              <w:widowControl/>
              <w:spacing w:line="360" w:lineRule="auto"/>
              <w:jc w:val="center"/>
              <w:rPr>
                <w:rFonts w:ascii="宋体" w:hAnsi="宋体" w:cs="仿宋"/>
                <w:bCs/>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1245" w:type="dxa"/>
            <w:gridSpan w:val="2"/>
            <w:vAlign w:val="center"/>
          </w:tcPr>
          <w:p>
            <w:pPr>
              <w:widowControl/>
              <w:spacing w:line="360" w:lineRule="auto"/>
              <w:jc w:val="center"/>
              <w:rPr>
                <w:rFonts w:hint="eastAsia" w:ascii="宋体" w:hAnsi="宋体" w:eastAsia="宋体" w:cs="仿宋"/>
                <w:color w:val="auto"/>
                <w:kern w:val="0"/>
                <w:sz w:val="24"/>
                <w:highlight w:val="none"/>
                <w:lang w:eastAsia="zh-CN"/>
              </w:rPr>
            </w:pPr>
            <w:r>
              <w:rPr>
                <w:rFonts w:hint="eastAsia" w:ascii="宋体" w:hAnsi="宋体" w:eastAsia="宋体" w:cs="仿宋"/>
                <w:b/>
                <w:color w:val="auto"/>
                <w:kern w:val="0"/>
                <w:sz w:val="24"/>
                <w:szCs w:val="24"/>
                <w:highlight w:val="none"/>
                <w:lang w:val="en-US" w:eastAsia="zh-CN" w:bidi="ar-SA"/>
              </w:rPr>
              <w:t>总价</w:t>
            </w:r>
          </w:p>
        </w:tc>
        <w:tc>
          <w:tcPr>
            <w:tcW w:w="7453" w:type="dxa"/>
            <w:gridSpan w:val="5"/>
            <w:vAlign w:val="center"/>
          </w:tcPr>
          <w:p>
            <w:pPr>
              <w:widowControl/>
              <w:spacing w:line="360" w:lineRule="auto"/>
              <w:rPr>
                <w:rFonts w:hint="eastAsia" w:ascii="宋体" w:hAnsi="宋体" w:cs="仿宋"/>
                <w:b/>
                <w:color w:val="auto"/>
                <w:sz w:val="24"/>
                <w:highlight w:val="none"/>
              </w:rPr>
            </w:pPr>
            <w:r>
              <w:rPr>
                <w:rFonts w:hint="eastAsia" w:ascii="宋体" w:hAnsi="宋体" w:cs="仿宋"/>
                <w:b/>
                <w:color w:val="auto"/>
                <w:sz w:val="24"/>
                <w:highlight w:val="none"/>
              </w:rPr>
              <w:t>人民币大写：</w:t>
            </w:r>
            <w:r>
              <w:rPr>
                <w:rFonts w:hint="eastAsia" w:ascii="宋体" w:hAnsi="宋体" w:cs="仿宋"/>
                <w:b/>
                <w:color w:val="auto"/>
                <w:sz w:val="24"/>
                <w:highlight w:val="none"/>
                <w:u w:val="single"/>
              </w:rPr>
              <w:t xml:space="preserve">           </w:t>
            </w:r>
            <w:r>
              <w:rPr>
                <w:rFonts w:hint="eastAsia" w:ascii="宋体" w:hAnsi="宋体" w:cs="仿宋"/>
                <w:b/>
                <w:color w:val="auto"/>
                <w:sz w:val="24"/>
                <w:highlight w:val="none"/>
              </w:rPr>
              <w:t>（人民币小写：</w:t>
            </w:r>
            <w:r>
              <w:rPr>
                <w:rFonts w:hint="eastAsia" w:ascii="宋体" w:hAnsi="宋体" w:cs="仿宋"/>
                <w:b/>
                <w:color w:val="auto"/>
                <w:sz w:val="24"/>
                <w:highlight w:val="none"/>
                <w:u w:val="single"/>
              </w:rPr>
              <w:t xml:space="preserve">      </w:t>
            </w:r>
            <w:r>
              <w:rPr>
                <w:rFonts w:hint="eastAsia" w:ascii="宋体" w:hAnsi="宋体" w:cs="仿宋"/>
                <w:b/>
                <w:color w:val="auto"/>
                <w:sz w:val="24"/>
                <w:highlight w:val="none"/>
              </w:rPr>
              <w:t>元）</w:t>
            </w:r>
          </w:p>
        </w:tc>
      </w:tr>
    </w:tbl>
    <w:p>
      <w:pPr>
        <w:widowControl/>
        <w:spacing w:line="360" w:lineRule="atLeast"/>
        <w:jc w:val="left"/>
        <w:outlineLvl w:val="1"/>
        <w:rPr>
          <w:rFonts w:ascii="宋体" w:hAnsi="宋体" w:cs="仿宋"/>
          <w:color w:val="auto"/>
          <w:sz w:val="24"/>
          <w:highlight w:val="none"/>
        </w:rPr>
      </w:pPr>
    </w:p>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注：1. 报价应是最终用户验收合格后的总价，包括培训、税费和招标文件规定的其它费用。不得漏报，否则视为已包含在投标总价中不再单独另行报价，不影响投标有效性。</w:t>
      </w:r>
    </w:p>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2.“开标一览表”为多页的，每页均需由法定代表人/单位负责人或授权代表签字并盖投标人印章。</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3、“开标一览表”以包为单位填写，除了单独密封递交外，投标文件（正副本）也应当提供，如有遗漏，将视为无效投标。</w:t>
      </w:r>
    </w:p>
    <w:p>
      <w:pPr>
        <w:widowControl/>
        <w:spacing w:line="360" w:lineRule="atLeast"/>
        <w:ind w:firstLine="470" w:firstLineChars="196"/>
        <w:jc w:val="left"/>
        <w:outlineLvl w:val="1"/>
        <w:rPr>
          <w:rFonts w:ascii="宋体" w:hAnsi="宋体" w:cs="仿宋"/>
          <w:color w:val="auto"/>
          <w:sz w:val="24"/>
          <w:highlight w:val="none"/>
        </w:rPr>
      </w:pPr>
    </w:p>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投标人名称：</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（单位公章）。</w:t>
      </w:r>
    </w:p>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法定代表人/单位负责人或授权代表（签字）：</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p>
    <w:p>
      <w:pPr>
        <w:widowControl/>
        <w:spacing w:line="360" w:lineRule="atLeast"/>
        <w:ind w:firstLine="470" w:firstLineChars="196"/>
        <w:jc w:val="left"/>
        <w:outlineLvl w:val="1"/>
        <w:rPr>
          <w:rFonts w:ascii="宋体" w:hAnsi="宋体" w:cs="仿宋"/>
          <w:b/>
          <w:color w:val="auto"/>
          <w:sz w:val="24"/>
          <w:highlight w:val="none"/>
        </w:rPr>
        <w:sectPr>
          <w:pgSz w:w="11907" w:h="16840"/>
          <w:pgMar w:top="1440" w:right="1474" w:bottom="1440" w:left="1474" w:header="851" w:footer="992" w:gutter="0"/>
          <w:pgNumType w:fmt="decimal"/>
          <w:cols w:space="720" w:num="1"/>
          <w:docGrid w:linePitch="312" w:charSpace="0"/>
        </w:sectPr>
      </w:pPr>
      <w:r>
        <w:rPr>
          <w:rFonts w:hint="eastAsia" w:ascii="宋体" w:hAnsi="宋体" w:cs="仿宋"/>
          <w:color w:val="auto"/>
          <w:sz w:val="24"/>
          <w:highlight w:val="none"/>
        </w:rPr>
        <w:t>投标日期：</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p>
    <w:p>
      <w:pPr>
        <w:widowControl/>
        <w:spacing w:line="360" w:lineRule="atLeast"/>
        <w:ind w:firstLine="630" w:firstLineChars="196"/>
        <w:jc w:val="left"/>
        <w:outlineLvl w:val="1"/>
        <w:rPr>
          <w:rFonts w:hint="eastAsia" w:ascii="宋体" w:hAnsi="宋体" w:eastAsia="宋体" w:cs="仿宋"/>
          <w:b/>
          <w:color w:val="auto"/>
          <w:sz w:val="32"/>
          <w:szCs w:val="32"/>
          <w:highlight w:val="none"/>
          <w:lang w:val="en-US" w:eastAsia="zh-CN"/>
        </w:rPr>
      </w:pPr>
      <w:bookmarkStart w:id="156" w:name="_Toc217446087"/>
      <w:r>
        <w:rPr>
          <w:rFonts w:hint="eastAsia" w:ascii="宋体" w:hAnsi="宋体" w:cs="仿宋"/>
          <w:b/>
          <w:color w:val="auto"/>
          <w:sz w:val="32"/>
          <w:szCs w:val="32"/>
          <w:highlight w:val="none"/>
        </w:rPr>
        <w:t>格式2-</w:t>
      </w:r>
      <w:r>
        <w:rPr>
          <w:rFonts w:hint="eastAsia" w:ascii="宋体" w:hAnsi="宋体" w:cs="仿宋"/>
          <w:b/>
          <w:color w:val="auto"/>
          <w:sz w:val="32"/>
          <w:szCs w:val="32"/>
          <w:highlight w:val="none"/>
          <w:lang w:val="en-US" w:eastAsia="zh-CN"/>
        </w:rPr>
        <w:t>5</w:t>
      </w:r>
    </w:p>
    <w:p>
      <w:pPr>
        <w:widowControl/>
        <w:spacing w:line="360" w:lineRule="atLeast"/>
        <w:jc w:val="center"/>
        <w:outlineLvl w:val="1"/>
        <w:rPr>
          <w:rFonts w:ascii="宋体" w:hAnsi="宋体" w:cs="仿宋"/>
          <w:b/>
          <w:color w:val="auto"/>
          <w:sz w:val="32"/>
          <w:szCs w:val="32"/>
          <w:highlight w:val="none"/>
        </w:rPr>
      </w:pPr>
      <w:r>
        <w:rPr>
          <w:rFonts w:hint="eastAsia" w:ascii="宋体" w:hAnsi="宋体" w:cs="仿宋"/>
          <w:b/>
          <w:color w:val="auto"/>
          <w:sz w:val="32"/>
          <w:szCs w:val="32"/>
          <w:highlight w:val="none"/>
          <w:lang w:eastAsia="zh-CN"/>
        </w:rPr>
        <w:t>四</w:t>
      </w:r>
      <w:r>
        <w:rPr>
          <w:rFonts w:hint="eastAsia" w:ascii="宋体" w:hAnsi="宋体" w:cs="仿宋"/>
          <w:b/>
          <w:color w:val="auto"/>
          <w:sz w:val="32"/>
          <w:szCs w:val="32"/>
          <w:highlight w:val="none"/>
        </w:rPr>
        <w:t>、商务应答表</w:t>
      </w:r>
      <w:bookmarkEnd w:id="156"/>
    </w:p>
    <w:p>
      <w:pPr>
        <w:spacing w:line="480" w:lineRule="exact"/>
        <w:ind w:firstLine="436" w:firstLineChars="182"/>
        <w:rPr>
          <w:rFonts w:ascii="宋体" w:hAnsi="宋体" w:cs="仿宋"/>
          <w:color w:val="auto"/>
          <w:sz w:val="24"/>
          <w:highlight w:val="none"/>
        </w:rPr>
      </w:pPr>
      <w:bookmarkStart w:id="157" w:name="_Hlk534971837"/>
      <w:r>
        <w:rPr>
          <w:rFonts w:hint="eastAsia" w:ascii="宋体" w:hAnsi="宋体" w:cs="仿宋"/>
          <w:color w:val="auto"/>
          <w:sz w:val="24"/>
          <w:highlight w:val="none"/>
        </w:rPr>
        <w:t>项目名称：</w:t>
      </w:r>
      <w:r>
        <w:rPr>
          <w:rFonts w:hint="eastAsia" w:ascii="宋体" w:hAnsi="宋体" w:cs="仿宋"/>
          <w:b/>
          <w:color w:val="auto"/>
          <w:sz w:val="32"/>
          <w:highlight w:val="none"/>
          <w:u w:val="single"/>
        </w:rPr>
        <w:t xml:space="preserve">           </w:t>
      </w:r>
    </w:p>
    <w:p>
      <w:pPr>
        <w:spacing w:line="480" w:lineRule="exact"/>
        <w:ind w:firstLine="436" w:firstLineChars="182"/>
        <w:rPr>
          <w:rFonts w:ascii="宋体" w:hAnsi="宋体" w:cs="仿宋"/>
          <w:color w:val="auto"/>
          <w:sz w:val="24"/>
          <w:highlight w:val="none"/>
        </w:rPr>
      </w:pPr>
      <w:r>
        <w:rPr>
          <w:rFonts w:hint="eastAsia" w:ascii="宋体" w:hAnsi="宋体" w:cs="仿宋"/>
          <w:color w:val="auto"/>
          <w:sz w:val="24"/>
          <w:highlight w:val="none"/>
        </w:rPr>
        <w:t>招标编号：</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 xml:space="preserve">                  </w:t>
      </w:r>
      <w:bookmarkEnd w:id="157"/>
    </w:p>
    <w:tbl>
      <w:tblPr>
        <w:tblStyle w:val="22"/>
        <w:tblW w:w="8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1838"/>
        <w:gridCol w:w="2941"/>
        <w:gridCol w:w="2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1158" w:type="dxa"/>
            <w:vAlign w:val="center"/>
          </w:tcPr>
          <w:p>
            <w:pPr>
              <w:widowControl/>
              <w:spacing w:line="360" w:lineRule="atLeast"/>
              <w:jc w:val="center"/>
              <w:outlineLvl w:val="1"/>
              <w:rPr>
                <w:rFonts w:ascii="宋体" w:hAnsi="宋体" w:cs="仿宋"/>
                <w:color w:val="auto"/>
                <w:sz w:val="24"/>
                <w:highlight w:val="none"/>
              </w:rPr>
            </w:pPr>
            <w:r>
              <w:rPr>
                <w:rFonts w:hint="eastAsia" w:ascii="宋体" w:hAnsi="宋体" w:cs="仿宋"/>
                <w:color w:val="auto"/>
                <w:sz w:val="24"/>
                <w:highlight w:val="none"/>
              </w:rPr>
              <w:t>序号</w:t>
            </w:r>
          </w:p>
        </w:tc>
        <w:tc>
          <w:tcPr>
            <w:tcW w:w="1838" w:type="dxa"/>
            <w:vAlign w:val="center"/>
          </w:tcPr>
          <w:p>
            <w:pPr>
              <w:widowControl/>
              <w:spacing w:line="360" w:lineRule="atLeast"/>
              <w:jc w:val="center"/>
              <w:outlineLvl w:val="1"/>
              <w:rPr>
                <w:rFonts w:ascii="宋体" w:hAnsi="宋体" w:cs="仿宋"/>
                <w:color w:val="auto"/>
                <w:sz w:val="24"/>
                <w:highlight w:val="none"/>
              </w:rPr>
            </w:pPr>
            <w:r>
              <w:rPr>
                <w:rFonts w:hint="eastAsia" w:ascii="宋体" w:hAnsi="宋体" w:cs="仿宋"/>
                <w:color w:val="auto"/>
                <w:sz w:val="24"/>
                <w:highlight w:val="none"/>
              </w:rPr>
              <w:t>招标要求</w:t>
            </w:r>
          </w:p>
        </w:tc>
        <w:tc>
          <w:tcPr>
            <w:tcW w:w="2941" w:type="dxa"/>
            <w:vAlign w:val="center"/>
          </w:tcPr>
          <w:p>
            <w:pPr>
              <w:widowControl/>
              <w:spacing w:line="360" w:lineRule="atLeast"/>
              <w:jc w:val="center"/>
              <w:outlineLvl w:val="1"/>
              <w:rPr>
                <w:rFonts w:ascii="宋体" w:hAnsi="宋体" w:cs="仿宋"/>
                <w:color w:val="auto"/>
                <w:sz w:val="24"/>
                <w:highlight w:val="none"/>
              </w:rPr>
            </w:pPr>
            <w:r>
              <w:rPr>
                <w:rFonts w:hint="eastAsia" w:ascii="宋体" w:hAnsi="宋体" w:cs="仿宋"/>
                <w:color w:val="auto"/>
                <w:sz w:val="24"/>
                <w:highlight w:val="none"/>
              </w:rPr>
              <w:t>投标应答</w:t>
            </w:r>
          </w:p>
        </w:tc>
        <w:tc>
          <w:tcPr>
            <w:tcW w:w="2941" w:type="dxa"/>
            <w:vAlign w:val="center"/>
          </w:tcPr>
          <w:p>
            <w:pPr>
              <w:widowControl/>
              <w:spacing w:line="360" w:lineRule="atLeast"/>
              <w:jc w:val="center"/>
              <w:outlineLvl w:val="1"/>
              <w:rPr>
                <w:rFonts w:ascii="宋体" w:hAnsi="宋体" w:cs="仿宋"/>
                <w:color w:val="auto"/>
                <w:sz w:val="24"/>
                <w:highlight w:val="none"/>
              </w:rPr>
            </w:pPr>
            <w:r>
              <w:rPr>
                <w:rFonts w:hint="eastAsia" w:ascii="宋体" w:hAnsi="宋体" w:cs="仿宋"/>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jc w:val="center"/>
        </w:trPr>
        <w:tc>
          <w:tcPr>
            <w:tcW w:w="1158" w:type="dxa"/>
          </w:tcPr>
          <w:p>
            <w:pPr>
              <w:widowControl/>
              <w:spacing w:line="360" w:lineRule="atLeast"/>
              <w:ind w:firstLine="470" w:firstLineChars="196"/>
              <w:jc w:val="left"/>
              <w:outlineLvl w:val="1"/>
              <w:rPr>
                <w:rFonts w:ascii="宋体" w:hAnsi="宋体" w:cs="仿宋"/>
                <w:color w:val="auto"/>
                <w:sz w:val="24"/>
                <w:highlight w:val="none"/>
              </w:rPr>
            </w:pPr>
          </w:p>
        </w:tc>
        <w:tc>
          <w:tcPr>
            <w:tcW w:w="1838" w:type="dxa"/>
          </w:tcPr>
          <w:p>
            <w:pPr>
              <w:widowControl/>
              <w:spacing w:line="360" w:lineRule="atLeast"/>
              <w:ind w:firstLine="470" w:firstLineChars="196"/>
              <w:jc w:val="left"/>
              <w:outlineLvl w:val="1"/>
              <w:rPr>
                <w:rFonts w:ascii="宋体" w:hAnsi="宋体" w:cs="仿宋"/>
                <w:color w:val="auto"/>
                <w:sz w:val="24"/>
                <w:highlight w:val="none"/>
              </w:rPr>
            </w:pPr>
          </w:p>
        </w:tc>
        <w:tc>
          <w:tcPr>
            <w:tcW w:w="2941" w:type="dxa"/>
          </w:tcPr>
          <w:p>
            <w:pPr>
              <w:widowControl/>
              <w:spacing w:line="360" w:lineRule="atLeast"/>
              <w:ind w:firstLine="470" w:firstLineChars="196"/>
              <w:jc w:val="left"/>
              <w:outlineLvl w:val="1"/>
              <w:rPr>
                <w:rFonts w:ascii="宋体" w:hAnsi="宋体" w:cs="仿宋"/>
                <w:color w:val="auto"/>
                <w:sz w:val="24"/>
                <w:highlight w:val="none"/>
              </w:rPr>
            </w:pPr>
          </w:p>
        </w:tc>
        <w:tc>
          <w:tcPr>
            <w:tcW w:w="2941" w:type="dxa"/>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jc w:val="center"/>
        </w:trPr>
        <w:tc>
          <w:tcPr>
            <w:tcW w:w="1158" w:type="dxa"/>
          </w:tcPr>
          <w:p>
            <w:pPr>
              <w:widowControl/>
              <w:spacing w:line="360" w:lineRule="atLeast"/>
              <w:ind w:firstLine="470" w:firstLineChars="196"/>
              <w:jc w:val="left"/>
              <w:outlineLvl w:val="1"/>
              <w:rPr>
                <w:rFonts w:ascii="宋体" w:hAnsi="宋体" w:cs="仿宋"/>
                <w:color w:val="auto"/>
                <w:sz w:val="24"/>
                <w:highlight w:val="none"/>
              </w:rPr>
            </w:pPr>
          </w:p>
        </w:tc>
        <w:tc>
          <w:tcPr>
            <w:tcW w:w="1838" w:type="dxa"/>
          </w:tcPr>
          <w:p>
            <w:pPr>
              <w:widowControl/>
              <w:spacing w:line="360" w:lineRule="atLeast"/>
              <w:ind w:firstLine="470" w:firstLineChars="196"/>
              <w:jc w:val="left"/>
              <w:outlineLvl w:val="1"/>
              <w:rPr>
                <w:rFonts w:ascii="宋体" w:hAnsi="宋体" w:cs="仿宋"/>
                <w:color w:val="auto"/>
                <w:sz w:val="24"/>
                <w:highlight w:val="none"/>
              </w:rPr>
            </w:pPr>
          </w:p>
        </w:tc>
        <w:tc>
          <w:tcPr>
            <w:tcW w:w="2941" w:type="dxa"/>
          </w:tcPr>
          <w:p>
            <w:pPr>
              <w:widowControl/>
              <w:spacing w:line="360" w:lineRule="atLeast"/>
              <w:ind w:firstLine="470" w:firstLineChars="196"/>
              <w:jc w:val="left"/>
              <w:outlineLvl w:val="1"/>
              <w:rPr>
                <w:rFonts w:ascii="宋体" w:hAnsi="宋体" w:cs="仿宋"/>
                <w:color w:val="auto"/>
                <w:sz w:val="24"/>
                <w:highlight w:val="none"/>
              </w:rPr>
            </w:pPr>
          </w:p>
        </w:tc>
        <w:tc>
          <w:tcPr>
            <w:tcW w:w="2941" w:type="dxa"/>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jc w:val="center"/>
        </w:trPr>
        <w:tc>
          <w:tcPr>
            <w:tcW w:w="1158" w:type="dxa"/>
          </w:tcPr>
          <w:p>
            <w:pPr>
              <w:widowControl/>
              <w:spacing w:line="360" w:lineRule="atLeast"/>
              <w:ind w:firstLine="470" w:firstLineChars="196"/>
              <w:jc w:val="left"/>
              <w:outlineLvl w:val="1"/>
              <w:rPr>
                <w:rFonts w:ascii="宋体" w:hAnsi="宋体" w:cs="仿宋"/>
                <w:color w:val="auto"/>
                <w:sz w:val="24"/>
                <w:highlight w:val="none"/>
              </w:rPr>
            </w:pPr>
          </w:p>
        </w:tc>
        <w:tc>
          <w:tcPr>
            <w:tcW w:w="1838" w:type="dxa"/>
          </w:tcPr>
          <w:p>
            <w:pPr>
              <w:widowControl/>
              <w:spacing w:line="360" w:lineRule="atLeast"/>
              <w:ind w:firstLine="470" w:firstLineChars="196"/>
              <w:jc w:val="left"/>
              <w:outlineLvl w:val="1"/>
              <w:rPr>
                <w:rFonts w:ascii="宋体" w:hAnsi="宋体" w:cs="仿宋"/>
                <w:color w:val="auto"/>
                <w:sz w:val="24"/>
                <w:highlight w:val="none"/>
              </w:rPr>
            </w:pPr>
          </w:p>
        </w:tc>
        <w:tc>
          <w:tcPr>
            <w:tcW w:w="2941" w:type="dxa"/>
          </w:tcPr>
          <w:p>
            <w:pPr>
              <w:widowControl/>
              <w:spacing w:line="360" w:lineRule="atLeast"/>
              <w:ind w:firstLine="470" w:firstLineChars="196"/>
              <w:jc w:val="left"/>
              <w:outlineLvl w:val="1"/>
              <w:rPr>
                <w:rFonts w:ascii="宋体" w:hAnsi="宋体" w:cs="仿宋"/>
                <w:color w:val="auto"/>
                <w:sz w:val="24"/>
                <w:highlight w:val="none"/>
              </w:rPr>
            </w:pPr>
          </w:p>
        </w:tc>
        <w:tc>
          <w:tcPr>
            <w:tcW w:w="2941" w:type="dxa"/>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1158" w:type="dxa"/>
          </w:tcPr>
          <w:p>
            <w:pPr>
              <w:widowControl/>
              <w:spacing w:line="360" w:lineRule="atLeast"/>
              <w:ind w:firstLine="470" w:firstLineChars="196"/>
              <w:jc w:val="left"/>
              <w:outlineLvl w:val="1"/>
              <w:rPr>
                <w:rFonts w:ascii="宋体" w:hAnsi="宋体" w:cs="仿宋"/>
                <w:color w:val="auto"/>
                <w:sz w:val="24"/>
                <w:highlight w:val="none"/>
              </w:rPr>
            </w:pPr>
          </w:p>
        </w:tc>
        <w:tc>
          <w:tcPr>
            <w:tcW w:w="1838" w:type="dxa"/>
          </w:tcPr>
          <w:p>
            <w:pPr>
              <w:widowControl/>
              <w:spacing w:line="360" w:lineRule="atLeast"/>
              <w:ind w:firstLine="470" w:firstLineChars="196"/>
              <w:jc w:val="left"/>
              <w:outlineLvl w:val="1"/>
              <w:rPr>
                <w:rFonts w:ascii="宋体" w:hAnsi="宋体" w:cs="仿宋"/>
                <w:color w:val="auto"/>
                <w:sz w:val="24"/>
                <w:highlight w:val="none"/>
              </w:rPr>
            </w:pPr>
          </w:p>
        </w:tc>
        <w:tc>
          <w:tcPr>
            <w:tcW w:w="2941" w:type="dxa"/>
          </w:tcPr>
          <w:p>
            <w:pPr>
              <w:widowControl/>
              <w:spacing w:line="360" w:lineRule="atLeast"/>
              <w:ind w:firstLine="470" w:firstLineChars="196"/>
              <w:jc w:val="left"/>
              <w:outlineLvl w:val="1"/>
              <w:rPr>
                <w:rFonts w:ascii="宋体" w:hAnsi="宋体" w:cs="仿宋"/>
                <w:color w:val="auto"/>
                <w:sz w:val="24"/>
                <w:highlight w:val="none"/>
              </w:rPr>
            </w:pPr>
          </w:p>
        </w:tc>
        <w:tc>
          <w:tcPr>
            <w:tcW w:w="2941" w:type="dxa"/>
          </w:tcPr>
          <w:p>
            <w:pPr>
              <w:widowControl/>
              <w:spacing w:line="360" w:lineRule="atLeast"/>
              <w:ind w:firstLine="470" w:firstLineChars="196"/>
              <w:jc w:val="left"/>
              <w:outlineLvl w:val="1"/>
              <w:rPr>
                <w:rFonts w:ascii="宋体" w:hAnsi="宋体" w:cs="仿宋"/>
                <w:color w:val="auto"/>
                <w:sz w:val="24"/>
                <w:highlight w:val="none"/>
              </w:rPr>
            </w:pPr>
          </w:p>
        </w:tc>
      </w:tr>
    </w:tbl>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注：</w:t>
      </w:r>
      <w:bookmarkStart w:id="158" w:name="_Toc485222414"/>
      <w:bookmarkStart w:id="159" w:name="_Toc21274"/>
      <w:bookmarkStart w:id="160" w:name="_Toc2935"/>
      <w:r>
        <w:rPr>
          <w:rFonts w:hint="eastAsia" w:ascii="宋体" w:hAnsi="宋体" w:cs="仿宋"/>
          <w:b/>
          <w:bCs/>
          <w:color w:val="auto"/>
          <w:sz w:val="24"/>
          <w:highlight w:val="none"/>
        </w:rPr>
        <w:t>投标人必须据实填写，不得虚假响应，否则将取消其投标或中标资格，并按有关规定进行处罚。</w:t>
      </w:r>
      <w:bookmarkEnd w:id="158"/>
      <w:bookmarkEnd w:id="159"/>
      <w:bookmarkEnd w:id="160"/>
    </w:p>
    <w:p>
      <w:pPr>
        <w:widowControl/>
        <w:spacing w:line="360" w:lineRule="atLeast"/>
        <w:ind w:firstLine="470" w:firstLineChars="196"/>
        <w:jc w:val="left"/>
        <w:outlineLvl w:val="1"/>
        <w:rPr>
          <w:rFonts w:ascii="宋体" w:hAnsi="宋体" w:cs="仿宋"/>
          <w:color w:val="auto"/>
          <w:sz w:val="24"/>
          <w:highlight w:val="none"/>
        </w:rPr>
      </w:pPr>
    </w:p>
    <w:p>
      <w:pPr>
        <w:widowControl/>
        <w:spacing w:line="360" w:lineRule="atLeast"/>
        <w:ind w:firstLine="470" w:firstLineChars="196"/>
        <w:jc w:val="left"/>
        <w:outlineLvl w:val="1"/>
        <w:rPr>
          <w:rFonts w:ascii="宋体" w:hAnsi="宋体" w:cs="仿宋"/>
          <w:color w:val="auto"/>
          <w:sz w:val="24"/>
          <w:highlight w:val="none"/>
        </w:rPr>
      </w:pPr>
    </w:p>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投标人名称：</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（单位公章）。</w:t>
      </w:r>
    </w:p>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法定代表人/单位负责人或授权代表（签字）：</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p>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 xml:space="preserve">投标日期: </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p>
    <w:p>
      <w:pPr>
        <w:spacing w:line="360" w:lineRule="auto"/>
        <w:rPr>
          <w:rFonts w:hint="eastAsia" w:ascii="宋体" w:hAnsi="宋体" w:eastAsia="宋体" w:cs="仿宋"/>
          <w:b/>
          <w:color w:val="auto"/>
          <w:sz w:val="32"/>
          <w:szCs w:val="32"/>
          <w:highlight w:val="none"/>
          <w:lang w:val="en-US" w:eastAsia="zh-CN"/>
        </w:rPr>
      </w:pPr>
      <w:r>
        <w:rPr>
          <w:rFonts w:hint="eastAsia" w:ascii="宋体" w:hAnsi="宋体" w:cs="仿宋"/>
          <w:color w:val="auto"/>
          <w:sz w:val="24"/>
          <w:highlight w:val="none"/>
        </w:rPr>
        <w:br w:type="page"/>
      </w:r>
      <w:r>
        <w:rPr>
          <w:rFonts w:hint="eastAsia" w:ascii="宋体" w:hAnsi="宋体" w:cs="仿宋"/>
          <w:b/>
          <w:color w:val="auto"/>
          <w:sz w:val="32"/>
          <w:szCs w:val="32"/>
          <w:highlight w:val="none"/>
        </w:rPr>
        <w:t>格式2-</w:t>
      </w:r>
      <w:r>
        <w:rPr>
          <w:rFonts w:hint="eastAsia" w:ascii="宋体" w:hAnsi="宋体" w:cs="仿宋"/>
          <w:b/>
          <w:color w:val="auto"/>
          <w:sz w:val="32"/>
          <w:szCs w:val="32"/>
          <w:highlight w:val="none"/>
          <w:lang w:val="en-US" w:eastAsia="zh-CN"/>
        </w:rPr>
        <w:t>6</w:t>
      </w:r>
    </w:p>
    <w:p>
      <w:pPr>
        <w:widowControl/>
        <w:jc w:val="center"/>
        <w:rPr>
          <w:rFonts w:ascii="宋体" w:hAnsi="宋体" w:cs="仿宋"/>
          <w:b/>
          <w:color w:val="auto"/>
          <w:sz w:val="32"/>
          <w:szCs w:val="32"/>
          <w:highlight w:val="none"/>
        </w:rPr>
      </w:pPr>
      <w:r>
        <w:rPr>
          <w:rFonts w:hint="eastAsia" w:ascii="宋体" w:hAnsi="宋体" w:cs="仿宋"/>
          <w:b/>
          <w:color w:val="auto"/>
          <w:sz w:val="32"/>
          <w:szCs w:val="32"/>
          <w:highlight w:val="none"/>
          <w:lang w:eastAsia="zh-CN"/>
        </w:rPr>
        <w:t>五</w:t>
      </w:r>
      <w:r>
        <w:rPr>
          <w:rFonts w:hint="eastAsia" w:ascii="宋体" w:hAnsi="宋体" w:cs="仿宋"/>
          <w:b/>
          <w:color w:val="auto"/>
          <w:sz w:val="32"/>
          <w:szCs w:val="32"/>
          <w:highlight w:val="none"/>
        </w:rPr>
        <w:t>、商务、技术、服务应答附表</w:t>
      </w:r>
    </w:p>
    <w:p>
      <w:pPr>
        <w:widowControl/>
        <w:jc w:val="center"/>
        <w:rPr>
          <w:rFonts w:ascii="宋体" w:hAnsi="宋体" w:cs="仿宋"/>
          <w:b/>
          <w:color w:val="auto"/>
          <w:sz w:val="32"/>
          <w:szCs w:val="32"/>
          <w:highlight w:val="none"/>
        </w:rPr>
      </w:pPr>
      <w:r>
        <w:rPr>
          <w:rFonts w:hint="eastAsia" w:ascii="宋体" w:hAnsi="宋体" w:cs="仿宋"/>
          <w:b/>
          <w:color w:val="auto"/>
          <w:sz w:val="32"/>
          <w:szCs w:val="32"/>
          <w:highlight w:val="none"/>
        </w:rPr>
        <w:t>（仅用于中标、成交结果公告，此表不作为评审内容）</w:t>
      </w:r>
    </w:p>
    <w:p>
      <w:pPr>
        <w:widowControl/>
        <w:jc w:val="center"/>
        <w:rPr>
          <w:rFonts w:ascii="宋体" w:hAnsi="宋体" w:cs="仿宋"/>
          <w:b/>
          <w:color w:val="auto"/>
          <w:sz w:val="32"/>
          <w:szCs w:val="32"/>
          <w:highlight w:val="none"/>
        </w:rPr>
      </w:pPr>
    </w:p>
    <w:p>
      <w:pPr>
        <w:widowControl/>
        <w:ind w:firstLine="480"/>
        <w:jc w:val="left"/>
        <w:rPr>
          <w:rFonts w:ascii="宋体" w:hAnsi="宋体" w:cs="仿宋"/>
          <w:bCs/>
          <w:color w:val="auto"/>
          <w:sz w:val="24"/>
          <w:highlight w:val="none"/>
        </w:rPr>
      </w:pPr>
      <w:r>
        <w:rPr>
          <w:rFonts w:hint="eastAsia" w:ascii="宋体" w:hAnsi="宋体" w:cs="仿宋"/>
          <w:bCs/>
          <w:color w:val="auto"/>
          <w:sz w:val="24"/>
          <w:highlight w:val="none"/>
        </w:rPr>
        <w:t>根据《中华人民共和国政府采购法实施条例》第四十三条第三款要求，中标、成交结果公告应当公告中标人/成交供应商的相关内容，请投标人根据响应情况如实完善以下内容，结果公告时公布中标人/成交供应商的相关信息。</w:t>
      </w:r>
    </w:p>
    <w:tbl>
      <w:tblPr>
        <w:tblStyle w:val="22"/>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463"/>
        <w:gridCol w:w="1635"/>
        <w:gridCol w:w="1350"/>
        <w:gridCol w:w="30"/>
        <w:gridCol w:w="1529"/>
        <w:gridCol w:w="31"/>
        <w:gridCol w:w="189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215" w:type="dxa"/>
            <w:gridSpan w:val="8"/>
            <w:vAlign w:val="center"/>
          </w:tcPr>
          <w:p>
            <w:pPr>
              <w:widowControl/>
              <w:spacing w:line="360" w:lineRule="atLeast"/>
              <w:jc w:val="center"/>
              <w:outlineLvl w:val="1"/>
              <w:rPr>
                <w:rFonts w:ascii="宋体" w:hAnsi="宋体" w:cs="仿宋"/>
                <w:color w:val="auto"/>
                <w:sz w:val="24"/>
                <w:highlight w:val="none"/>
              </w:rPr>
            </w:pPr>
            <w:r>
              <w:rPr>
                <w:rFonts w:hint="eastAsia" w:ascii="宋体" w:hAnsi="宋体" w:cs="仿宋"/>
                <w:b/>
                <w:bCs/>
                <w:color w:val="auto"/>
                <w:kern w:val="0"/>
                <w:sz w:val="24"/>
                <w:highlight w:val="none"/>
              </w:rPr>
              <w:t>中标人/成交供应商</w:t>
            </w:r>
            <w:r>
              <w:rPr>
                <w:rFonts w:hint="eastAsia" w:ascii="宋体" w:hAnsi="宋体" w:cs="仿宋"/>
                <w:b/>
                <w:color w:val="auto"/>
                <w:kern w:val="0"/>
                <w:sz w:val="24"/>
                <w:highlight w:val="none"/>
              </w:rPr>
              <w:t>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*项目名称</w:t>
            </w:r>
          </w:p>
        </w:tc>
        <w:tc>
          <w:tcPr>
            <w:tcW w:w="6474" w:type="dxa"/>
            <w:gridSpan w:val="6"/>
            <w:vAlign w:val="center"/>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*投标人名称</w:t>
            </w:r>
          </w:p>
        </w:tc>
        <w:tc>
          <w:tcPr>
            <w:tcW w:w="6474" w:type="dxa"/>
            <w:gridSpan w:val="6"/>
            <w:vAlign w:val="center"/>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*注册地址</w:t>
            </w:r>
          </w:p>
        </w:tc>
        <w:tc>
          <w:tcPr>
            <w:tcW w:w="2985" w:type="dxa"/>
            <w:gridSpan w:val="2"/>
            <w:tcBorders>
              <w:right w:val="single" w:color="auto" w:sz="4" w:space="0"/>
            </w:tcBorders>
            <w:vAlign w:val="center"/>
          </w:tcPr>
          <w:p>
            <w:pPr>
              <w:widowControl/>
              <w:spacing w:line="360" w:lineRule="atLeast"/>
              <w:jc w:val="left"/>
              <w:outlineLvl w:val="1"/>
              <w:rPr>
                <w:rFonts w:ascii="宋体" w:hAnsi="宋体" w:cs="仿宋"/>
                <w:color w:val="auto"/>
                <w:sz w:val="24"/>
                <w:highlight w:val="none"/>
              </w:rPr>
            </w:pPr>
          </w:p>
        </w:tc>
        <w:tc>
          <w:tcPr>
            <w:tcW w:w="1590" w:type="dxa"/>
            <w:gridSpan w:val="3"/>
            <w:tcBorders>
              <w:left w:val="single" w:color="auto" w:sz="4" w:space="0"/>
              <w:right w:val="single" w:color="auto" w:sz="4" w:space="0"/>
            </w:tcBorders>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*行政区域</w:t>
            </w:r>
          </w:p>
        </w:tc>
        <w:tc>
          <w:tcPr>
            <w:tcW w:w="1899" w:type="dxa"/>
            <w:tcBorders>
              <w:left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*投标人规模</w:t>
            </w:r>
          </w:p>
        </w:tc>
        <w:tc>
          <w:tcPr>
            <w:tcW w:w="6474" w:type="dxa"/>
            <w:gridSpan w:val="6"/>
            <w:vAlign w:val="center"/>
          </w:tcPr>
          <w:p>
            <w:pPr>
              <w:widowControl/>
              <w:spacing w:line="360" w:lineRule="atLeast"/>
              <w:jc w:val="center"/>
              <w:outlineLvl w:val="1"/>
              <w:rPr>
                <w:rFonts w:ascii="宋体" w:hAnsi="宋体" w:cs="仿宋"/>
                <w:color w:val="auto"/>
                <w:sz w:val="24"/>
                <w:highlight w:val="none"/>
              </w:rPr>
            </w:pPr>
            <w:r>
              <w:rPr>
                <w:rFonts w:hint="eastAsia" w:ascii="宋体" w:hAnsi="宋体" w:cs="仿宋"/>
                <w:color w:val="auto"/>
                <w:szCs w:val="21"/>
                <w:highlight w:val="none"/>
              </w:rPr>
              <w:t>□大型企业   □中型企业   □小微型企业（对应处打“√”）</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41" w:type="dxa"/>
            <w:gridSpan w:val="2"/>
            <w:vMerge w:val="restart"/>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*单位联系方式</w:t>
            </w:r>
          </w:p>
        </w:tc>
        <w:tc>
          <w:tcPr>
            <w:tcW w:w="1635" w:type="dxa"/>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*单位联系人</w:t>
            </w:r>
          </w:p>
        </w:tc>
        <w:tc>
          <w:tcPr>
            <w:tcW w:w="1380" w:type="dxa"/>
            <w:gridSpan w:val="2"/>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529" w:type="dxa"/>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*单位电话</w:t>
            </w:r>
          </w:p>
        </w:tc>
        <w:tc>
          <w:tcPr>
            <w:tcW w:w="1930" w:type="dxa"/>
            <w:gridSpan w:val="2"/>
            <w:vAlign w:val="center"/>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41" w:type="dxa"/>
            <w:gridSpan w:val="2"/>
            <w:vMerge w:val="continue"/>
            <w:vAlign w:val="center"/>
          </w:tcPr>
          <w:p>
            <w:pPr>
              <w:rPr>
                <w:rFonts w:ascii="宋体" w:hAnsi="宋体" w:cs="仿宋"/>
                <w:color w:val="auto"/>
                <w:highlight w:val="none"/>
              </w:rPr>
            </w:pPr>
          </w:p>
        </w:tc>
        <w:tc>
          <w:tcPr>
            <w:tcW w:w="1635" w:type="dxa"/>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*单位邮箱</w:t>
            </w:r>
          </w:p>
        </w:tc>
        <w:tc>
          <w:tcPr>
            <w:tcW w:w="4839" w:type="dxa"/>
            <w:gridSpan w:val="5"/>
            <w:vAlign w:val="center"/>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15" w:type="dxa"/>
            <w:gridSpan w:val="8"/>
            <w:vAlign w:val="center"/>
          </w:tcPr>
          <w:p>
            <w:pPr>
              <w:widowControl/>
              <w:spacing w:line="360" w:lineRule="atLeast"/>
              <w:ind w:firstLine="472" w:firstLineChars="196"/>
              <w:jc w:val="left"/>
              <w:outlineLvl w:val="1"/>
              <w:rPr>
                <w:rFonts w:ascii="宋体" w:hAnsi="宋体" w:cs="仿宋"/>
                <w:color w:val="auto"/>
                <w:sz w:val="24"/>
                <w:highlight w:val="none"/>
              </w:rPr>
            </w:pPr>
            <w:r>
              <w:rPr>
                <w:rFonts w:hint="eastAsia" w:ascii="宋体" w:hAnsi="宋体" w:cs="仿宋"/>
                <w:b/>
                <w:bCs/>
                <w:color w:val="auto"/>
                <w:sz w:val="24"/>
                <w:highlight w:val="none"/>
              </w:rPr>
              <w:t>注：以上*号项信息投标人须如实填写，信息将录入四川省政府采购计划执行系统，若因投标人提供错误信息造成的问题，由其自身承担。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restart"/>
            <w:tcBorders>
              <w:right w:val="single" w:color="auto" w:sz="4" w:space="0"/>
            </w:tcBorders>
            <w:vAlign w:val="center"/>
          </w:tcPr>
          <w:p>
            <w:pPr>
              <w:widowControl/>
              <w:jc w:val="center"/>
              <w:textAlignment w:val="center"/>
              <w:rPr>
                <w:rFonts w:ascii="宋体" w:hAnsi="宋体" w:cs="仿宋"/>
                <w:b/>
                <w:bCs/>
                <w:color w:val="auto"/>
                <w:sz w:val="24"/>
                <w:highlight w:val="none"/>
              </w:rPr>
            </w:pPr>
            <w:r>
              <w:rPr>
                <w:rFonts w:hint="eastAsia" w:ascii="宋体" w:hAnsi="宋体" w:cs="仿宋"/>
                <w:b/>
                <w:color w:val="auto"/>
                <w:kern w:val="0"/>
                <w:sz w:val="24"/>
                <w:highlight w:val="none"/>
              </w:rPr>
              <w:t>投标人应答“招标文件第六章服务要求”的主要内容</w:t>
            </w:r>
          </w:p>
        </w:tc>
        <w:tc>
          <w:tcPr>
            <w:tcW w:w="6937" w:type="dxa"/>
            <w:gridSpan w:val="7"/>
            <w:tcBorders>
              <w:left w:val="single" w:color="auto" w:sz="4" w:space="0"/>
            </w:tcBorders>
            <w:vAlign w:val="center"/>
          </w:tcPr>
          <w:p>
            <w:pPr>
              <w:jc w:val="left"/>
              <w:rPr>
                <w:rFonts w:ascii="宋体" w:hAnsi="宋体" w:cs="仿宋"/>
                <w:b/>
                <w:bCs/>
                <w:color w:val="auto"/>
                <w:sz w:val="24"/>
                <w:highlight w:val="none"/>
              </w:rPr>
            </w:pPr>
            <w:r>
              <w:rPr>
                <w:rFonts w:hint="eastAsia" w:ascii="宋体" w:hAnsi="宋体" w:cs="仿宋"/>
                <w:bCs/>
                <w:color w:val="auto"/>
                <w:sz w:val="24"/>
                <w:highlight w:val="none"/>
              </w:rPr>
              <w:t>1、......</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90" w:hRule="atLeast"/>
        </w:trPr>
        <w:tc>
          <w:tcPr>
            <w:tcW w:w="1278" w:type="dxa"/>
            <w:vMerge w:val="continue"/>
            <w:tcBorders>
              <w:right w:val="single" w:color="auto" w:sz="4" w:space="0"/>
            </w:tcBorders>
            <w:vAlign w:val="center"/>
          </w:tcPr>
          <w:p>
            <w:pPr>
              <w:widowControl/>
              <w:jc w:val="center"/>
              <w:textAlignment w:val="center"/>
              <w:rPr>
                <w:rFonts w:ascii="宋体" w:hAnsi="宋体" w:cs="仿宋"/>
                <w:b/>
                <w:bCs/>
                <w:color w:val="auto"/>
                <w:sz w:val="24"/>
                <w:highlight w:val="none"/>
              </w:rPr>
            </w:pPr>
          </w:p>
        </w:tc>
        <w:tc>
          <w:tcPr>
            <w:tcW w:w="6937" w:type="dxa"/>
            <w:gridSpan w:val="7"/>
            <w:tcBorders>
              <w:left w:val="single" w:color="auto" w:sz="4" w:space="0"/>
            </w:tcBorders>
            <w:vAlign w:val="center"/>
          </w:tcPr>
          <w:p>
            <w:pPr>
              <w:jc w:val="left"/>
              <w:rPr>
                <w:rFonts w:ascii="宋体" w:hAnsi="宋体" w:cs="仿宋"/>
                <w:b/>
                <w:bCs/>
                <w:color w:val="auto"/>
                <w:sz w:val="24"/>
                <w:highlight w:val="none"/>
              </w:rPr>
            </w:pPr>
            <w:r>
              <w:rPr>
                <w:rFonts w:hint="eastAsia" w:ascii="宋体" w:hAnsi="宋体" w:cs="仿宋"/>
                <w:bCs/>
                <w:color w:val="auto"/>
                <w:sz w:val="24"/>
                <w:highlight w:val="none"/>
              </w:rPr>
              <w:t>2、......</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jc w:val="center"/>
              <w:textAlignment w:val="center"/>
              <w:rPr>
                <w:rFonts w:ascii="宋体" w:hAnsi="宋体" w:cs="仿宋"/>
                <w:b/>
                <w:bCs/>
                <w:color w:val="auto"/>
                <w:sz w:val="24"/>
                <w:highlight w:val="none"/>
              </w:rPr>
            </w:pPr>
          </w:p>
        </w:tc>
        <w:tc>
          <w:tcPr>
            <w:tcW w:w="6937" w:type="dxa"/>
            <w:gridSpan w:val="7"/>
            <w:tcBorders>
              <w:left w:val="single" w:color="auto" w:sz="4" w:space="0"/>
            </w:tcBorders>
            <w:vAlign w:val="center"/>
          </w:tcPr>
          <w:p>
            <w:pPr>
              <w:jc w:val="left"/>
              <w:rPr>
                <w:rFonts w:ascii="宋体" w:hAnsi="宋体" w:cs="仿宋"/>
                <w:b/>
                <w:bCs/>
                <w:color w:val="auto"/>
                <w:sz w:val="24"/>
                <w:highlight w:val="none"/>
              </w:rPr>
            </w:pPr>
            <w:r>
              <w:rPr>
                <w:rFonts w:hint="eastAsia" w:ascii="宋体" w:hAnsi="宋体" w:cs="仿宋"/>
                <w:bCs/>
                <w:color w:val="auto"/>
                <w:sz w:val="24"/>
                <w:highlight w:val="none"/>
              </w:rPr>
              <w:t>3、......</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861" w:hRule="atLeast"/>
        </w:trPr>
        <w:tc>
          <w:tcPr>
            <w:tcW w:w="1278" w:type="dxa"/>
            <w:vMerge w:val="continue"/>
            <w:tcBorders>
              <w:right w:val="single" w:color="auto" w:sz="4" w:space="0"/>
            </w:tcBorders>
            <w:vAlign w:val="center"/>
          </w:tcPr>
          <w:p>
            <w:pPr>
              <w:widowControl/>
              <w:jc w:val="center"/>
              <w:textAlignment w:val="center"/>
              <w:rPr>
                <w:rFonts w:ascii="宋体" w:hAnsi="宋体" w:cs="仿宋"/>
                <w:b/>
                <w:bCs/>
                <w:color w:val="auto"/>
                <w:sz w:val="24"/>
                <w:highlight w:val="none"/>
              </w:rPr>
            </w:pPr>
          </w:p>
        </w:tc>
        <w:tc>
          <w:tcPr>
            <w:tcW w:w="6937" w:type="dxa"/>
            <w:gridSpan w:val="7"/>
            <w:tcBorders>
              <w:left w:val="single" w:color="auto" w:sz="4" w:space="0"/>
            </w:tcBorders>
            <w:vAlign w:val="center"/>
          </w:tcPr>
          <w:p>
            <w:pPr>
              <w:jc w:val="left"/>
              <w:rPr>
                <w:rFonts w:ascii="宋体" w:hAnsi="宋体" w:cs="仿宋"/>
                <w:b/>
                <w:bCs/>
                <w:color w:val="auto"/>
                <w:sz w:val="24"/>
                <w:highlight w:val="none"/>
              </w:rPr>
            </w:pPr>
          </w:p>
        </w:tc>
      </w:tr>
    </w:tbl>
    <w:p>
      <w:pPr>
        <w:spacing w:line="360" w:lineRule="auto"/>
        <w:rPr>
          <w:rFonts w:ascii="宋体" w:hAnsi="宋体" w:cs="仿宋"/>
          <w:color w:val="auto"/>
          <w:sz w:val="24"/>
          <w:highlight w:val="none"/>
        </w:rPr>
      </w:pPr>
      <w:r>
        <w:rPr>
          <w:rFonts w:hint="eastAsia" w:ascii="宋体" w:hAnsi="宋体" w:cs="仿宋"/>
          <w:color w:val="auto"/>
          <w:sz w:val="24"/>
          <w:highlight w:val="none"/>
        </w:rPr>
        <w:t>注：</w:t>
      </w:r>
    </w:p>
    <w:p>
      <w:pPr>
        <w:numPr>
          <w:ilvl w:val="0"/>
          <w:numId w:val="2"/>
        </w:numPr>
        <w:rPr>
          <w:rFonts w:ascii="宋体" w:hAnsi="宋体" w:cs="仿宋"/>
          <w:color w:val="auto"/>
          <w:sz w:val="24"/>
          <w:highlight w:val="none"/>
        </w:rPr>
      </w:pPr>
      <w:r>
        <w:rPr>
          <w:rFonts w:hint="eastAsia" w:ascii="宋体" w:hAnsi="宋体" w:cs="仿宋"/>
          <w:color w:val="auto"/>
          <w:sz w:val="24"/>
          <w:highlight w:val="none"/>
        </w:rPr>
        <w:t>投标人需如实完善表格内容。</w:t>
      </w:r>
    </w:p>
    <w:p>
      <w:pPr>
        <w:numPr>
          <w:ilvl w:val="0"/>
          <w:numId w:val="2"/>
        </w:numPr>
        <w:rPr>
          <w:rFonts w:ascii="宋体" w:hAnsi="宋体" w:cs="仿宋"/>
          <w:color w:val="auto"/>
          <w:sz w:val="24"/>
          <w:highlight w:val="none"/>
        </w:rPr>
      </w:pPr>
      <w:r>
        <w:rPr>
          <w:rFonts w:hint="eastAsia" w:ascii="宋体" w:hAnsi="宋体" w:cs="仿宋"/>
          <w:color w:val="auto"/>
          <w:sz w:val="24"/>
          <w:highlight w:val="none"/>
        </w:rPr>
        <w:t>投标人应答的主要内容应与投标文件一致，可以进行简要概括性表述。</w:t>
      </w:r>
    </w:p>
    <w:p>
      <w:pPr>
        <w:numPr>
          <w:ilvl w:val="0"/>
          <w:numId w:val="2"/>
        </w:numPr>
        <w:rPr>
          <w:rFonts w:ascii="宋体" w:hAnsi="宋体" w:cs="仿宋"/>
          <w:color w:val="auto"/>
          <w:sz w:val="24"/>
          <w:highlight w:val="none"/>
        </w:rPr>
      </w:pPr>
      <w:r>
        <w:rPr>
          <w:rFonts w:hint="eastAsia" w:ascii="宋体" w:hAnsi="宋体" w:cs="仿宋"/>
          <w:color w:val="auto"/>
          <w:sz w:val="24"/>
          <w:highlight w:val="none"/>
        </w:rPr>
        <w:t>投标人应答的主要内容仅用于结果公告，投标人自行完善的内容视为不涉及投标人商业秘密。若投标人没有填写或没有递交此表，视为允许采购代理机构将投标人投标文件中所有相关的应答内容进行公告。</w:t>
      </w:r>
    </w:p>
    <w:p>
      <w:pPr>
        <w:widowControl/>
        <w:spacing w:line="360" w:lineRule="atLeast"/>
        <w:ind w:firstLine="470" w:firstLineChars="196"/>
        <w:jc w:val="left"/>
        <w:outlineLvl w:val="1"/>
        <w:rPr>
          <w:rFonts w:ascii="宋体" w:hAnsi="宋体" w:cs="仿宋"/>
          <w:color w:val="auto"/>
          <w:sz w:val="24"/>
          <w:highlight w:val="none"/>
        </w:rPr>
      </w:pPr>
      <w:bookmarkStart w:id="161" w:name="_Hlk534971890"/>
      <w:r>
        <w:rPr>
          <w:rFonts w:hint="eastAsia" w:ascii="宋体" w:hAnsi="宋体" w:cs="仿宋"/>
          <w:color w:val="auto"/>
          <w:sz w:val="24"/>
          <w:highlight w:val="none"/>
        </w:rPr>
        <w:t>投标人名称：</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（单位公章）。</w:t>
      </w:r>
    </w:p>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法定代表人/单位负责人或授权代表（签字）：</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p>
    <w:p>
      <w:pPr>
        <w:widowControl/>
        <w:spacing w:line="360" w:lineRule="atLeast"/>
        <w:ind w:firstLine="470" w:firstLineChars="196"/>
        <w:jc w:val="left"/>
        <w:outlineLvl w:val="1"/>
        <w:rPr>
          <w:rFonts w:ascii="宋体" w:hAnsi="宋体" w:cs="仿宋"/>
          <w:b/>
          <w:color w:val="auto"/>
          <w:sz w:val="24"/>
          <w:highlight w:val="none"/>
        </w:rPr>
      </w:pPr>
      <w:r>
        <w:rPr>
          <w:rFonts w:hint="eastAsia" w:ascii="宋体" w:hAnsi="宋体" w:cs="仿宋"/>
          <w:color w:val="auto"/>
          <w:sz w:val="24"/>
          <w:highlight w:val="none"/>
        </w:rPr>
        <w:t>投标日期:</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p>
    <w:bookmarkEnd w:id="161"/>
    <w:p>
      <w:pPr>
        <w:spacing w:line="360" w:lineRule="auto"/>
        <w:rPr>
          <w:rFonts w:hint="eastAsia" w:ascii="宋体" w:hAnsi="宋体" w:eastAsia="宋体" w:cs="仿宋"/>
          <w:b/>
          <w:color w:val="auto"/>
          <w:sz w:val="32"/>
          <w:szCs w:val="32"/>
          <w:highlight w:val="none"/>
          <w:lang w:val="en-US" w:eastAsia="zh-CN"/>
        </w:rPr>
      </w:pPr>
      <w:bookmarkStart w:id="162" w:name="_Toc217446088"/>
      <w:r>
        <w:rPr>
          <w:rFonts w:hint="eastAsia" w:ascii="宋体" w:hAnsi="宋体" w:cs="仿宋"/>
          <w:b/>
          <w:color w:val="auto"/>
          <w:sz w:val="32"/>
          <w:szCs w:val="32"/>
          <w:highlight w:val="none"/>
        </w:rPr>
        <w:br w:type="page"/>
      </w:r>
      <w:r>
        <w:rPr>
          <w:rFonts w:hint="eastAsia" w:ascii="宋体" w:hAnsi="宋体" w:cs="仿宋"/>
          <w:b/>
          <w:color w:val="auto"/>
          <w:sz w:val="32"/>
          <w:szCs w:val="32"/>
          <w:highlight w:val="none"/>
        </w:rPr>
        <w:t>格式2-</w:t>
      </w:r>
      <w:r>
        <w:rPr>
          <w:rFonts w:hint="eastAsia" w:ascii="宋体" w:hAnsi="宋体" w:cs="仿宋"/>
          <w:b/>
          <w:color w:val="auto"/>
          <w:sz w:val="32"/>
          <w:szCs w:val="32"/>
          <w:highlight w:val="none"/>
          <w:lang w:val="en-US" w:eastAsia="zh-CN"/>
        </w:rPr>
        <w:t>7</w:t>
      </w:r>
    </w:p>
    <w:p>
      <w:pPr>
        <w:widowControl/>
        <w:spacing w:line="360" w:lineRule="atLeast"/>
        <w:jc w:val="center"/>
        <w:outlineLvl w:val="1"/>
        <w:rPr>
          <w:rFonts w:ascii="宋体" w:hAnsi="宋体" w:cs="仿宋"/>
          <w:b/>
          <w:color w:val="auto"/>
          <w:sz w:val="32"/>
          <w:szCs w:val="32"/>
          <w:highlight w:val="none"/>
        </w:rPr>
      </w:pPr>
      <w:r>
        <w:rPr>
          <w:rFonts w:hint="eastAsia" w:ascii="宋体" w:hAnsi="宋体" w:cs="仿宋"/>
          <w:b/>
          <w:color w:val="auto"/>
          <w:sz w:val="32"/>
          <w:szCs w:val="32"/>
          <w:highlight w:val="none"/>
          <w:lang w:eastAsia="zh-CN"/>
        </w:rPr>
        <w:t>六</w:t>
      </w:r>
      <w:r>
        <w:rPr>
          <w:rFonts w:hint="eastAsia" w:ascii="宋体" w:hAnsi="宋体" w:cs="仿宋"/>
          <w:b/>
          <w:color w:val="auto"/>
          <w:sz w:val="32"/>
          <w:szCs w:val="32"/>
          <w:highlight w:val="none"/>
        </w:rPr>
        <w:t>、投标人基本情况表</w:t>
      </w:r>
      <w:bookmarkEnd w:id="162"/>
    </w:p>
    <w:tbl>
      <w:tblPr>
        <w:tblStyle w:val="22"/>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投标人名称</w:t>
            </w:r>
          </w:p>
        </w:tc>
        <w:tc>
          <w:tcPr>
            <w:tcW w:w="6693" w:type="dxa"/>
            <w:gridSpan w:val="7"/>
            <w:vAlign w:val="center"/>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注册地址</w:t>
            </w:r>
          </w:p>
        </w:tc>
        <w:tc>
          <w:tcPr>
            <w:tcW w:w="3443" w:type="dxa"/>
            <w:gridSpan w:val="3"/>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320" w:type="dxa"/>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邮政编码</w:t>
            </w:r>
          </w:p>
        </w:tc>
        <w:tc>
          <w:tcPr>
            <w:tcW w:w="1930" w:type="dxa"/>
            <w:gridSpan w:val="3"/>
            <w:vAlign w:val="center"/>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联系方式</w:t>
            </w:r>
          </w:p>
        </w:tc>
        <w:tc>
          <w:tcPr>
            <w:tcW w:w="957" w:type="dxa"/>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联系人</w:t>
            </w:r>
          </w:p>
        </w:tc>
        <w:tc>
          <w:tcPr>
            <w:tcW w:w="2486" w:type="dxa"/>
            <w:gridSpan w:val="2"/>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320" w:type="dxa"/>
            <w:vAlign w:val="center"/>
          </w:tcPr>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电话</w:t>
            </w:r>
          </w:p>
        </w:tc>
        <w:tc>
          <w:tcPr>
            <w:tcW w:w="1930" w:type="dxa"/>
            <w:gridSpan w:val="3"/>
            <w:vAlign w:val="center"/>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rPr>
                <w:rFonts w:ascii="宋体" w:hAnsi="宋体" w:cs="仿宋"/>
                <w:color w:val="auto"/>
                <w:highlight w:val="none"/>
              </w:rPr>
            </w:pPr>
          </w:p>
        </w:tc>
        <w:tc>
          <w:tcPr>
            <w:tcW w:w="957" w:type="dxa"/>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传真</w:t>
            </w:r>
          </w:p>
        </w:tc>
        <w:tc>
          <w:tcPr>
            <w:tcW w:w="2486" w:type="dxa"/>
            <w:gridSpan w:val="2"/>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320" w:type="dxa"/>
            <w:vAlign w:val="center"/>
          </w:tcPr>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网址</w:t>
            </w:r>
          </w:p>
        </w:tc>
        <w:tc>
          <w:tcPr>
            <w:tcW w:w="1930" w:type="dxa"/>
            <w:gridSpan w:val="3"/>
            <w:vAlign w:val="center"/>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组织结构</w:t>
            </w:r>
          </w:p>
        </w:tc>
        <w:tc>
          <w:tcPr>
            <w:tcW w:w="6693" w:type="dxa"/>
            <w:gridSpan w:val="7"/>
            <w:vAlign w:val="center"/>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法定代表人</w:t>
            </w:r>
          </w:p>
        </w:tc>
        <w:tc>
          <w:tcPr>
            <w:tcW w:w="957" w:type="dxa"/>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姓名</w:t>
            </w:r>
          </w:p>
        </w:tc>
        <w:tc>
          <w:tcPr>
            <w:tcW w:w="1239"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247" w:type="dxa"/>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技术职称</w:t>
            </w:r>
          </w:p>
        </w:tc>
        <w:tc>
          <w:tcPr>
            <w:tcW w:w="1320"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850" w:type="dxa"/>
            <w:gridSpan w:val="2"/>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电话</w:t>
            </w:r>
          </w:p>
        </w:tc>
        <w:tc>
          <w:tcPr>
            <w:tcW w:w="1080" w:type="dxa"/>
            <w:vAlign w:val="center"/>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技术负责人</w:t>
            </w:r>
          </w:p>
        </w:tc>
        <w:tc>
          <w:tcPr>
            <w:tcW w:w="957" w:type="dxa"/>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姓名</w:t>
            </w:r>
          </w:p>
        </w:tc>
        <w:tc>
          <w:tcPr>
            <w:tcW w:w="1239"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247" w:type="dxa"/>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技术职称</w:t>
            </w:r>
          </w:p>
        </w:tc>
        <w:tc>
          <w:tcPr>
            <w:tcW w:w="1320"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850" w:type="dxa"/>
            <w:gridSpan w:val="2"/>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电话</w:t>
            </w:r>
          </w:p>
        </w:tc>
        <w:tc>
          <w:tcPr>
            <w:tcW w:w="1080" w:type="dxa"/>
            <w:vAlign w:val="center"/>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成立时间</w:t>
            </w:r>
          </w:p>
        </w:tc>
        <w:tc>
          <w:tcPr>
            <w:tcW w:w="2196" w:type="dxa"/>
            <w:gridSpan w:val="2"/>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4497" w:type="dxa"/>
            <w:gridSpan w:val="5"/>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企业资质等级</w:t>
            </w:r>
          </w:p>
        </w:tc>
        <w:tc>
          <w:tcPr>
            <w:tcW w:w="2196" w:type="dxa"/>
            <w:gridSpan w:val="2"/>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247" w:type="dxa"/>
            <w:vMerge w:val="restart"/>
            <w:vAlign w:val="center"/>
          </w:tcPr>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其中</w:t>
            </w:r>
          </w:p>
        </w:tc>
        <w:tc>
          <w:tcPr>
            <w:tcW w:w="1478" w:type="dxa"/>
            <w:gridSpan w:val="2"/>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项目经理</w:t>
            </w:r>
          </w:p>
        </w:tc>
        <w:tc>
          <w:tcPr>
            <w:tcW w:w="1772" w:type="dxa"/>
            <w:gridSpan w:val="2"/>
            <w:vAlign w:val="center"/>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营业执照号</w:t>
            </w:r>
          </w:p>
        </w:tc>
        <w:tc>
          <w:tcPr>
            <w:tcW w:w="2196" w:type="dxa"/>
            <w:gridSpan w:val="2"/>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247" w:type="dxa"/>
            <w:vMerge w:val="continue"/>
            <w:vAlign w:val="center"/>
          </w:tcPr>
          <w:p>
            <w:pPr>
              <w:rPr>
                <w:rFonts w:ascii="宋体" w:hAnsi="宋体" w:cs="仿宋"/>
                <w:color w:val="auto"/>
                <w:highlight w:val="none"/>
              </w:rPr>
            </w:pPr>
          </w:p>
        </w:tc>
        <w:tc>
          <w:tcPr>
            <w:tcW w:w="1478" w:type="dxa"/>
            <w:gridSpan w:val="2"/>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高级职称人员</w:t>
            </w:r>
          </w:p>
        </w:tc>
        <w:tc>
          <w:tcPr>
            <w:tcW w:w="1772" w:type="dxa"/>
            <w:gridSpan w:val="2"/>
            <w:vAlign w:val="center"/>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注册资金</w:t>
            </w:r>
          </w:p>
        </w:tc>
        <w:tc>
          <w:tcPr>
            <w:tcW w:w="2196" w:type="dxa"/>
            <w:gridSpan w:val="2"/>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247" w:type="dxa"/>
            <w:vMerge w:val="continue"/>
            <w:vAlign w:val="center"/>
          </w:tcPr>
          <w:p>
            <w:pPr>
              <w:rPr>
                <w:rFonts w:ascii="宋体" w:hAnsi="宋体" w:cs="仿宋"/>
                <w:color w:val="auto"/>
                <w:highlight w:val="none"/>
              </w:rPr>
            </w:pPr>
          </w:p>
        </w:tc>
        <w:tc>
          <w:tcPr>
            <w:tcW w:w="1478" w:type="dxa"/>
            <w:gridSpan w:val="2"/>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中级职称人员</w:t>
            </w:r>
          </w:p>
        </w:tc>
        <w:tc>
          <w:tcPr>
            <w:tcW w:w="1772" w:type="dxa"/>
            <w:gridSpan w:val="2"/>
            <w:vAlign w:val="center"/>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开户银行</w:t>
            </w:r>
          </w:p>
        </w:tc>
        <w:tc>
          <w:tcPr>
            <w:tcW w:w="2196" w:type="dxa"/>
            <w:gridSpan w:val="2"/>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247" w:type="dxa"/>
            <w:vMerge w:val="continue"/>
            <w:vAlign w:val="center"/>
          </w:tcPr>
          <w:p>
            <w:pPr>
              <w:rPr>
                <w:rFonts w:ascii="宋体" w:hAnsi="宋体" w:cs="仿宋"/>
                <w:color w:val="auto"/>
                <w:highlight w:val="none"/>
              </w:rPr>
            </w:pPr>
          </w:p>
        </w:tc>
        <w:tc>
          <w:tcPr>
            <w:tcW w:w="1478" w:type="dxa"/>
            <w:gridSpan w:val="2"/>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初级职称人员</w:t>
            </w:r>
          </w:p>
        </w:tc>
        <w:tc>
          <w:tcPr>
            <w:tcW w:w="1772" w:type="dxa"/>
            <w:gridSpan w:val="2"/>
            <w:vAlign w:val="center"/>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账号</w:t>
            </w:r>
          </w:p>
        </w:tc>
        <w:tc>
          <w:tcPr>
            <w:tcW w:w="2196" w:type="dxa"/>
            <w:gridSpan w:val="2"/>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247" w:type="dxa"/>
            <w:vMerge w:val="continue"/>
            <w:vAlign w:val="center"/>
          </w:tcPr>
          <w:p>
            <w:pPr>
              <w:rPr>
                <w:rFonts w:ascii="宋体" w:hAnsi="宋体" w:cs="仿宋"/>
                <w:color w:val="auto"/>
                <w:highlight w:val="none"/>
              </w:rPr>
            </w:pPr>
          </w:p>
        </w:tc>
        <w:tc>
          <w:tcPr>
            <w:tcW w:w="1478" w:type="dxa"/>
            <w:gridSpan w:val="2"/>
            <w:vAlign w:val="center"/>
          </w:tcPr>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技工</w:t>
            </w:r>
          </w:p>
        </w:tc>
        <w:tc>
          <w:tcPr>
            <w:tcW w:w="1772" w:type="dxa"/>
            <w:gridSpan w:val="2"/>
            <w:vAlign w:val="center"/>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522" w:type="dxa"/>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经营范围</w:t>
            </w:r>
          </w:p>
        </w:tc>
        <w:tc>
          <w:tcPr>
            <w:tcW w:w="6693" w:type="dxa"/>
            <w:gridSpan w:val="7"/>
            <w:vAlign w:val="center"/>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22" w:type="dxa"/>
          </w:tcPr>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备注</w:t>
            </w:r>
          </w:p>
        </w:tc>
        <w:tc>
          <w:tcPr>
            <w:tcW w:w="6693" w:type="dxa"/>
            <w:gridSpan w:val="7"/>
          </w:tcPr>
          <w:p>
            <w:pPr>
              <w:widowControl/>
              <w:spacing w:line="360" w:lineRule="atLeast"/>
              <w:ind w:firstLine="470" w:firstLineChars="196"/>
              <w:jc w:val="left"/>
              <w:outlineLvl w:val="1"/>
              <w:rPr>
                <w:rFonts w:ascii="宋体" w:hAnsi="宋体" w:cs="仿宋"/>
                <w:color w:val="auto"/>
                <w:sz w:val="24"/>
                <w:highlight w:val="none"/>
              </w:rPr>
            </w:pPr>
          </w:p>
        </w:tc>
      </w:tr>
    </w:tbl>
    <w:p>
      <w:pPr>
        <w:widowControl/>
        <w:spacing w:line="360" w:lineRule="atLeast"/>
        <w:ind w:firstLine="470" w:firstLineChars="196"/>
        <w:jc w:val="left"/>
        <w:outlineLvl w:val="1"/>
        <w:rPr>
          <w:rFonts w:ascii="宋体" w:hAnsi="宋体" w:cs="仿宋"/>
          <w:color w:val="auto"/>
          <w:sz w:val="24"/>
          <w:highlight w:val="none"/>
        </w:rPr>
      </w:pPr>
    </w:p>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投标人名称：</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（单位公章）。</w:t>
      </w:r>
    </w:p>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法定代表人/单位负责人或授权代表（签字）：</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p>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 xml:space="preserve">投标日期: </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p>
    <w:p>
      <w:pPr>
        <w:spacing w:line="360" w:lineRule="auto"/>
        <w:rPr>
          <w:rFonts w:hint="eastAsia" w:ascii="宋体" w:hAnsi="宋体" w:eastAsia="宋体" w:cs="仿宋"/>
          <w:b/>
          <w:color w:val="auto"/>
          <w:sz w:val="32"/>
          <w:szCs w:val="32"/>
          <w:highlight w:val="none"/>
          <w:lang w:val="en-US" w:eastAsia="zh-CN"/>
        </w:rPr>
      </w:pPr>
      <w:bookmarkStart w:id="163" w:name="_Toc217446089"/>
      <w:r>
        <w:rPr>
          <w:rFonts w:hint="eastAsia" w:ascii="宋体" w:hAnsi="宋体" w:cs="仿宋"/>
          <w:b/>
          <w:color w:val="auto"/>
          <w:sz w:val="36"/>
          <w:szCs w:val="36"/>
          <w:highlight w:val="none"/>
        </w:rPr>
        <w:br w:type="page"/>
      </w:r>
      <w:r>
        <w:rPr>
          <w:rFonts w:hint="eastAsia" w:ascii="宋体" w:hAnsi="宋体" w:cs="仿宋"/>
          <w:b/>
          <w:color w:val="auto"/>
          <w:sz w:val="32"/>
          <w:szCs w:val="32"/>
          <w:highlight w:val="none"/>
        </w:rPr>
        <w:t>格式2-</w:t>
      </w:r>
      <w:r>
        <w:rPr>
          <w:rFonts w:hint="eastAsia" w:ascii="宋体" w:hAnsi="宋体" w:cs="仿宋"/>
          <w:b/>
          <w:color w:val="auto"/>
          <w:sz w:val="32"/>
          <w:szCs w:val="32"/>
          <w:highlight w:val="none"/>
          <w:lang w:val="en-US" w:eastAsia="zh-CN"/>
        </w:rPr>
        <w:t>8</w:t>
      </w:r>
    </w:p>
    <w:p>
      <w:pPr>
        <w:widowControl/>
        <w:spacing w:line="360" w:lineRule="atLeast"/>
        <w:jc w:val="center"/>
        <w:outlineLvl w:val="1"/>
        <w:rPr>
          <w:rFonts w:ascii="宋体" w:hAnsi="宋体" w:cs="仿宋"/>
          <w:b/>
          <w:color w:val="auto"/>
          <w:sz w:val="32"/>
          <w:szCs w:val="32"/>
          <w:highlight w:val="none"/>
        </w:rPr>
      </w:pPr>
      <w:r>
        <w:rPr>
          <w:rFonts w:hint="eastAsia" w:ascii="宋体" w:hAnsi="宋体" w:cs="仿宋"/>
          <w:b/>
          <w:color w:val="auto"/>
          <w:sz w:val="32"/>
          <w:szCs w:val="32"/>
          <w:highlight w:val="none"/>
          <w:lang w:eastAsia="zh-CN"/>
        </w:rPr>
        <w:t>七</w:t>
      </w:r>
      <w:r>
        <w:rPr>
          <w:rFonts w:hint="eastAsia" w:ascii="宋体" w:hAnsi="宋体" w:cs="仿宋"/>
          <w:b/>
          <w:color w:val="auto"/>
          <w:sz w:val="32"/>
          <w:szCs w:val="32"/>
          <w:highlight w:val="none"/>
        </w:rPr>
        <w:t>、类似项目业绩一览表</w:t>
      </w:r>
      <w:bookmarkEnd w:id="163"/>
    </w:p>
    <w:p>
      <w:pPr>
        <w:widowControl/>
        <w:spacing w:line="360" w:lineRule="atLeast"/>
        <w:ind w:firstLine="472" w:firstLineChars="196"/>
        <w:jc w:val="left"/>
        <w:outlineLvl w:val="1"/>
        <w:rPr>
          <w:rFonts w:ascii="宋体" w:hAnsi="宋体" w:cs="仿宋"/>
          <w:b/>
          <w:color w:val="auto"/>
          <w:sz w:val="24"/>
          <w:highlight w:val="none"/>
        </w:rPr>
      </w:pPr>
    </w:p>
    <w:tbl>
      <w:tblPr>
        <w:tblStyle w:val="22"/>
        <w:tblW w:w="813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847"/>
        <w:gridCol w:w="1694"/>
        <w:gridCol w:w="1553"/>
        <w:gridCol w:w="1366"/>
        <w:gridCol w:w="1506"/>
        <w:gridCol w:w="116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2" w:hRule="atLeast"/>
          <w:jc w:val="center"/>
        </w:trPr>
        <w:tc>
          <w:tcPr>
            <w:tcW w:w="847" w:type="dxa"/>
            <w:tcBorders>
              <w:top w:val="single" w:color="auto" w:sz="4" w:space="0"/>
            </w:tcBorders>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年份</w:t>
            </w:r>
          </w:p>
        </w:tc>
        <w:tc>
          <w:tcPr>
            <w:tcW w:w="1694" w:type="dxa"/>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用户名称</w:t>
            </w:r>
          </w:p>
        </w:tc>
        <w:tc>
          <w:tcPr>
            <w:tcW w:w="1553" w:type="dxa"/>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项目名称</w:t>
            </w:r>
          </w:p>
        </w:tc>
        <w:tc>
          <w:tcPr>
            <w:tcW w:w="1366" w:type="dxa"/>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完成时间</w:t>
            </w:r>
          </w:p>
        </w:tc>
        <w:tc>
          <w:tcPr>
            <w:tcW w:w="1506" w:type="dxa"/>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合同金额</w:t>
            </w:r>
          </w:p>
        </w:tc>
        <w:tc>
          <w:tcPr>
            <w:tcW w:w="1167" w:type="dxa"/>
            <w:tcBorders>
              <w:left w:val="single" w:color="auto" w:sz="4" w:space="0"/>
            </w:tcBorders>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2" w:hRule="atLeast"/>
          <w:jc w:val="center"/>
        </w:trPr>
        <w:tc>
          <w:tcPr>
            <w:tcW w:w="847"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694"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553"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366"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506"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167" w:type="dxa"/>
            <w:tcBorders>
              <w:left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2" w:hRule="atLeast"/>
          <w:jc w:val="center"/>
        </w:trPr>
        <w:tc>
          <w:tcPr>
            <w:tcW w:w="847"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694"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553"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366"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506"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167" w:type="dxa"/>
            <w:tcBorders>
              <w:left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2" w:hRule="atLeast"/>
          <w:jc w:val="center"/>
        </w:trPr>
        <w:tc>
          <w:tcPr>
            <w:tcW w:w="847"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694"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553"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366"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506"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167" w:type="dxa"/>
            <w:tcBorders>
              <w:left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2" w:hRule="atLeast"/>
          <w:jc w:val="center"/>
        </w:trPr>
        <w:tc>
          <w:tcPr>
            <w:tcW w:w="847"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694" w:type="dxa"/>
            <w:tcBorders>
              <w:right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553" w:type="dxa"/>
            <w:tcBorders>
              <w:left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366"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506"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167" w:type="dxa"/>
            <w:tcBorders>
              <w:left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2" w:hRule="atLeast"/>
          <w:jc w:val="center"/>
        </w:trPr>
        <w:tc>
          <w:tcPr>
            <w:tcW w:w="847" w:type="dxa"/>
            <w:tcBorders>
              <w:right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694"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553"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366"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506"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167" w:type="dxa"/>
            <w:tcBorders>
              <w:left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2" w:hRule="atLeast"/>
          <w:jc w:val="center"/>
        </w:trPr>
        <w:tc>
          <w:tcPr>
            <w:tcW w:w="847"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694"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553"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366"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506" w:type="dxa"/>
            <w:tcBorders>
              <w:right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167" w:type="dxa"/>
            <w:tcBorders>
              <w:left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2" w:hRule="atLeast"/>
          <w:jc w:val="center"/>
        </w:trPr>
        <w:tc>
          <w:tcPr>
            <w:tcW w:w="847"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694"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553"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366"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506" w:type="dxa"/>
            <w:tcBorders>
              <w:right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167" w:type="dxa"/>
            <w:tcBorders>
              <w:left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2" w:hRule="atLeast"/>
          <w:jc w:val="center"/>
        </w:trPr>
        <w:tc>
          <w:tcPr>
            <w:tcW w:w="847"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694"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553"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366" w:type="dxa"/>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506" w:type="dxa"/>
            <w:tcBorders>
              <w:right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167" w:type="dxa"/>
            <w:tcBorders>
              <w:left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20" w:hRule="atLeast"/>
          <w:jc w:val="center"/>
        </w:trPr>
        <w:tc>
          <w:tcPr>
            <w:tcW w:w="847" w:type="dxa"/>
            <w:tcBorders>
              <w:bottom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694" w:type="dxa"/>
            <w:tcBorders>
              <w:bottom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553" w:type="dxa"/>
            <w:tcBorders>
              <w:bottom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366" w:type="dxa"/>
            <w:tcBorders>
              <w:bottom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506" w:type="dxa"/>
            <w:tcBorders>
              <w:bottom w:val="single" w:color="auto" w:sz="4" w:space="0"/>
              <w:right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167" w:type="dxa"/>
            <w:tcBorders>
              <w:left w:val="single" w:color="auto" w:sz="4" w:space="0"/>
              <w:bottom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27" w:hRule="atLeast"/>
          <w:jc w:val="center"/>
        </w:trPr>
        <w:tc>
          <w:tcPr>
            <w:tcW w:w="847"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694"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553"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366"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506" w:type="dxa"/>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167"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27" w:hRule="atLeast"/>
          <w:jc w:val="center"/>
        </w:trPr>
        <w:tc>
          <w:tcPr>
            <w:tcW w:w="847"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694"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553"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366"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506" w:type="dxa"/>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167"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9" w:hRule="atLeast"/>
          <w:jc w:val="center"/>
        </w:trPr>
        <w:tc>
          <w:tcPr>
            <w:tcW w:w="847"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694"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553"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366"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506" w:type="dxa"/>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167"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44" w:hRule="atLeast"/>
          <w:jc w:val="center"/>
        </w:trPr>
        <w:tc>
          <w:tcPr>
            <w:tcW w:w="847" w:type="dxa"/>
            <w:tcBorders>
              <w:top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694" w:type="dxa"/>
            <w:tcBorders>
              <w:top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553" w:type="dxa"/>
            <w:tcBorders>
              <w:top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366" w:type="dxa"/>
            <w:tcBorders>
              <w:top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506" w:type="dxa"/>
            <w:tcBorders>
              <w:top w:val="single" w:color="auto" w:sz="4" w:space="0"/>
              <w:right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c>
          <w:tcPr>
            <w:tcW w:w="1167" w:type="dxa"/>
            <w:tcBorders>
              <w:top w:val="single" w:color="auto" w:sz="4" w:space="0"/>
              <w:left w:val="single" w:color="auto" w:sz="4" w:space="0"/>
            </w:tcBorders>
            <w:vAlign w:val="center"/>
          </w:tcPr>
          <w:p>
            <w:pPr>
              <w:widowControl/>
              <w:spacing w:line="360" w:lineRule="atLeast"/>
              <w:ind w:firstLine="470" w:firstLineChars="196"/>
              <w:jc w:val="left"/>
              <w:outlineLvl w:val="1"/>
              <w:rPr>
                <w:rFonts w:ascii="宋体" w:hAnsi="宋体" w:cs="仿宋"/>
                <w:color w:val="auto"/>
                <w:sz w:val="24"/>
                <w:highlight w:val="none"/>
              </w:rPr>
            </w:pPr>
          </w:p>
        </w:tc>
      </w:tr>
    </w:tbl>
    <w:p>
      <w:pPr>
        <w:widowControl/>
        <w:spacing w:line="360" w:lineRule="atLeast"/>
        <w:ind w:firstLine="470" w:firstLineChars="196"/>
        <w:jc w:val="left"/>
        <w:outlineLvl w:val="1"/>
        <w:rPr>
          <w:rFonts w:ascii="宋体" w:hAnsi="宋体" w:cs="仿宋"/>
          <w:color w:val="auto"/>
          <w:sz w:val="24"/>
          <w:highlight w:val="none"/>
        </w:rPr>
      </w:pPr>
    </w:p>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注：以上业绩需提供招标文件要求的有关书面证明材料。</w:t>
      </w:r>
    </w:p>
    <w:p>
      <w:pPr>
        <w:widowControl/>
        <w:spacing w:line="360" w:lineRule="atLeast"/>
        <w:ind w:firstLine="470" w:firstLineChars="196"/>
        <w:jc w:val="left"/>
        <w:outlineLvl w:val="1"/>
        <w:rPr>
          <w:rFonts w:ascii="宋体" w:hAnsi="宋体" w:cs="仿宋"/>
          <w:color w:val="auto"/>
          <w:sz w:val="24"/>
          <w:highlight w:val="none"/>
        </w:rPr>
      </w:pPr>
    </w:p>
    <w:p>
      <w:pPr>
        <w:widowControl/>
        <w:spacing w:line="360" w:lineRule="atLeast"/>
        <w:ind w:firstLine="470" w:firstLineChars="196"/>
        <w:jc w:val="left"/>
        <w:outlineLvl w:val="1"/>
        <w:rPr>
          <w:rFonts w:ascii="宋体" w:hAnsi="宋体" w:cs="仿宋"/>
          <w:color w:val="auto"/>
          <w:sz w:val="24"/>
          <w:highlight w:val="none"/>
        </w:rPr>
      </w:pPr>
    </w:p>
    <w:p>
      <w:pPr>
        <w:widowControl/>
        <w:spacing w:line="360" w:lineRule="atLeast"/>
        <w:ind w:firstLine="470" w:firstLineChars="196"/>
        <w:jc w:val="left"/>
        <w:outlineLvl w:val="1"/>
        <w:rPr>
          <w:rFonts w:ascii="宋体" w:hAnsi="宋体" w:cs="仿宋"/>
          <w:color w:val="auto"/>
          <w:sz w:val="24"/>
          <w:highlight w:val="none"/>
        </w:rPr>
      </w:pPr>
      <w:bookmarkStart w:id="164" w:name="_Hlk534971958"/>
      <w:r>
        <w:rPr>
          <w:rFonts w:hint="eastAsia" w:ascii="宋体" w:hAnsi="宋体" w:cs="仿宋"/>
          <w:color w:val="auto"/>
          <w:sz w:val="24"/>
          <w:highlight w:val="none"/>
        </w:rPr>
        <w:t>投标人名称：</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（单位公章）。</w:t>
      </w:r>
    </w:p>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法定代表人/单位负责人或授权代表（签字）：</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p>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 xml:space="preserve">投标日期: </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p>
    <w:bookmarkEnd w:id="164"/>
    <w:p>
      <w:pPr>
        <w:widowControl/>
        <w:spacing w:line="360" w:lineRule="atLeast"/>
        <w:jc w:val="left"/>
        <w:outlineLvl w:val="1"/>
        <w:rPr>
          <w:rFonts w:ascii="宋体" w:hAnsi="宋体" w:cs="仿宋"/>
          <w:b/>
          <w:color w:val="auto"/>
          <w:sz w:val="24"/>
          <w:highlight w:val="none"/>
        </w:rPr>
      </w:pPr>
      <w:bookmarkStart w:id="165" w:name="_Toc217446090"/>
    </w:p>
    <w:p>
      <w:pPr>
        <w:spacing w:line="360" w:lineRule="auto"/>
        <w:rPr>
          <w:rFonts w:hint="eastAsia" w:ascii="宋体" w:hAnsi="宋体" w:eastAsia="宋体" w:cs="仿宋"/>
          <w:b/>
          <w:color w:val="auto"/>
          <w:sz w:val="32"/>
          <w:szCs w:val="32"/>
          <w:highlight w:val="none"/>
          <w:lang w:val="en-US" w:eastAsia="zh-CN"/>
        </w:rPr>
      </w:pPr>
      <w:r>
        <w:rPr>
          <w:rFonts w:hint="eastAsia" w:ascii="宋体" w:hAnsi="宋体" w:cs="仿宋"/>
          <w:b/>
          <w:color w:val="auto"/>
          <w:sz w:val="32"/>
          <w:szCs w:val="32"/>
          <w:highlight w:val="none"/>
        </w:rPr>
        <w:br w:type="page"/>
      </w:r>
      <w:r>
        <w:rPr>
          <w:rFonts w:hint="eastAsia" w:ascii="宋体" w:hAnsi="宋体" w:cs="仿宋"/>
          <w:b/>
          <w:color w:val="auto"/>
          <w:sz w:val="32"/>
          <w:szCs w:val="32"/>
          <w:highlight w:val="none"/>
        </w:rPr>
        <w:t>格式2-</w:t>
      </w:r>
      <w:r>
        <w:rPr>
          <w:rFonts w:hint="eastAsia" w:ascii="宋体" w:hAnsi="宋体" w:cs="仿宋"/>
          <w:b/>
          <w:color w:val="auto"/>
          <w:sz w:val="32"/>
          <w:szCs w:val="32"/>
          <w:highlight w:val="none"/>
          <w:lang w:val="en-US" w:eastAsia="zh-CN"/>
        </w:rPr>
        <w:t>9</w:t>
      </w:r>
    </w:p>
    <w:p>
      <w:pPr>
        <w:widowControl/>
        <w:spacing w:line="360" w:lineRule="atLeast"/>
        <w:jc w:val="center"/>
        <w:outlineLvl w:val="1"/>
        <w:rPr>
          <w:rFonts w:ascii="宋体" w:hAnsi="宋体" w:cs="仿宋"/>
          <w:b/>
          <w:color w:val="auto"/>
          <w:sz w:val="32"/>
          <w:szCs w:val="32"/>
          <w:highlight w:val="none"/>
        </w:rPr>
      </w:pPr>
      <w:r>
        <w:rPr>
          <w:rFonts w:hint="eastAsia" w:ascii="宋体" w:hAnsi="宋体" w:cs="仿宋"/>
          <w:b/>
          <w:color w:val="auto"/>
          <w:sz w:val="32"/>
          <w:szCs w:val="32"/>
          <w:highlight w:val="none"/>
          <w:lang w:eastAsia="zh-CN"/>
        </w:rPr>
        <w:t>八</w:t>
      </w:r>
      <w:r>
        <w:rPr>
          <w:rFonts w:hint="eastAsia" w:ascii="宋体" w:hAnsi="宋体" w:cs="仿宋"/>
          <w:b/>
          <w:color w:val="auto"/>
          <w:sz w:val="32"/>
          <w:szCs w:val="32"/>
          <w:highlight w:val="none"/>
        </w:rPr>
        <w:t>、服务应答表</w:t>
      </w:r>
      <w:bookmarkEnd w:id="165"/>
    </w:p>
    <w:p>
      <w:pPr>
        <w:spacing w:line="480" w:lineRule="exact"/>
        <w:ind w:firstLine="436" w:firstLineChars="182"/>
        <w:rPr>
          <w:rFonts w:ascii="宋体" w:hAnsi="宋体" w:cs="仿宋"/>
          <w:color w:val="auto"/>
          <w:sz w:val="24"/>
          <w:highlight w:val="none"/>
        </w:rPr>
      </w:pPr>
      <w:bookmarkStart w:id="166" w:name="_Hlk534971966"/>
      <w:r>
        <w:rPr>
          <w:rFonts w:hint="eastAsia" w:ascii="宋体" w:hAnsi="宋体" w:cs="仿宋"/>
          <w:color w:val="auto"/>
          <w:sz w:val="24"/>
          <w:highlight w:val="none"/>
        </w:rPr>
        <w:t>项目名称：</w:t>
      </w:r>
      <w:r>
        <w:rPr>
          <w:rFonts w:hint="eastAsia" w:ascii="宋体" w:hAnsi="宋体" w:cs="仿宋"/>
          <w:b/>
          <w:color w:val="auto"/>
          <w:sz w:val="32"/>
          <w:highlight w:val="none"/>
          <w:u w:val="single"/>
        </w:rPr>
        <w:t xml:space="preserve">           </w:t>
      </w:r>
    </w:p>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招标编号：</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 xml:space="preserve">                 </w:t>
      </w:r>
    </w:p>
    <w:bookmarkEnd w:id="166"/>
    <w:tbl>
      <w:tblPr>
        <w:tblStyle w:val="22"/>
        <w:tblW w:w="8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2279"/>
        <w:gridCol w:w="2657"/>
        <w:gridCol w:w="2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18" w:type="dxa"/>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序号</w:t>
            </w:r>
          </w:p>
        </w:tc>
        <w:tc>
          <w:tcPr>
            <w:tcW w:w="2279" w:type="dxa"/>
            <w:vAlign w:val="center"/>
          </w:tcPr>
          <w:p>
            <w:pPr>
              <w:widowControl/>
              <w:spacing w:line="360" w:lineRule="atLeast"/>
              <w:jc w:val="center"/>
              <w:outlineLvl w:val="1"/>
              <w:rPr>
                <w:rFonts w:ascii="宋体" w:hAnsi="宋体" w:cs="仿宋"/>
                <w:color w:val="auto"/>
                <w:sz w:val="24"/>
                <w:highlight w:val="none"/>
              </w:rPr>
            </w:pPr>
            <w:r>
              <w:rPr>
                <w:rFonts w:hint="eastAsia" w:ascii="宋体" w:hAnsi="宋体" w:cs="仿宋"/>
                <w:color w:val="auto"/>
                <w:sz w:val="24"/>
                <w:highlight w:val="none"/>
              </w:rPr>
              <w:t>招标文件要求</w:t>
            </w:r>
          </w:p>
        </w:tc>
        <w:tc>
          <w:tcPr>
            <w:tcW w:w="2657" w:type="dxa"/>
            <w:vAlign w:val="center"/>
          </w:tcPr>
          <w:p>
            <w:pPr>
              <w:widowControl/>
              <w:spacing w:line="360" w:lineRule="atLeast"/>
              <w:jc w:val="center"/>
              <w:outlineLvl w:val="1"/>
              <w:rPr>
                <w:rFonts w:ascii="宋体" w:hAnsi="宋体" w:cs="仿宋"/>
                <w:color w:val="auto"/>
                <w:sz w:val="24"/>
                <w:highlight w:val="none"/>
              </w:rPr>
            </w:pPr>
            <w:r>
              <w:rPr>
                <w:rFonts w:hint="eastAsia" w:ascii="宋体" w:hAnsi="宋体" w:cs="仿宋"/>
                <w:color w:val="auto"/>
                <w:sz w:val="24"/>
                <w:highlight w:val="none"/>
              </w:rPr>
              <w:t>投标文件应答</w:t>
            </w:r>
          </w:p>
        </w:tc>
        <w:tc>
          <w:tcPr>
            <w:tcW w:w="2961" w:type="dxa"/>
            <w:vAlign w:val="center"/>
          </w:tcPr>
          <w:p>
            <w:pPr>
              <w:widowControl/>
              <w:spacing w:line="360" w:lineRule="atLeast"/>
              <w:jc w:val="center"/>
              <w:outlineLvl w:val="1"/>
              <w:rPr>
                <w:rFonts w:ascii="宋体" w:hAnsi="宋体" w:cs="仿宋"/>
                <w:color w:val="auto"/>
                <w:sz w:val="24"/>
                <w:highlight w:val="none"/>
              </w:rPr>
            </w:pPr>
            <w:r>
              <w:rPr>
                <w:rFonts w:hint="eastAsia" w:ascii="宋体" w:hAnsi="宋体" w:cs="仿宋"/>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18" w:type="dxa"/>
          </w:tcPr>
          <w:p>
            <w:pPr>
              <w:widowControl/>
              <w:spacing w:line="360" w:lineRule="atLeast"/>
              <w:ind w:firstLine="470" w:firstLineChars="196"/>
              <w:jc w:val="left"/>
              <w:outlineLvl w:val="1"/>
              <w:rPr>
                <w:rFonts w:ascii="宋体" w:hAnsi="宋体" w:cs="仿宋"/>
                <w:color w:val="auto"/>
                <w:sz w:val="24"/>
                <w:highlight w:val="none"/>
              </w:rPr>
            </w:pPr>
          </w:p>
        </w:tc>
        <w:tc>
          <w:tcPr>
            <w:tcW w:w="2279" w:type="dxa"/>
          </w:tcPr>
          <w:p>
            <w:pPr>
              <w:widowControl/>
              <w:spacing w:line="360" w:lineRule="atLeast"/>
              <w:ind w:firstLine="470" w:firstLineChars="196"/>
              <w:jc w:val="left"/>
              <w:outlineLvl w:val="1"/>
              <w:rPr>
                <w:rFonts w:ascii="宋体" w:hAnsi="宋体" w:cs="仿宋"/>
                <w:color w:val="auto"/>
                <w:sz w:val="24"/>
                <w:highlight w:val="none"/>
              </w:rPr>
            </w:pPr>
          </w:p>
        </w:tc>
        <w:tc>
          <w:tcPr>
            <w:tcW w:w="2657" w:type="dxa"/>
          </w:tcPr>
          <w:p>
            <w:pPr>
              <w:widowControl/>
              <w:spacing w:line="360" w:lineRule="atLeast"/>
              <w:ind w:firstLine="470" w:firstLineChars="196"/>
              <w:jc w:val="left"/>
              <w:outlineLvl w:val="1"/>
              <w:rPr>
                <w:rFonts w:ascii="宋体" w:hAnsi="宋体" w:cs="仿宋"/>
                <w:color w:val="auto"/>
                <w:sz w:val="24"/>
                <w:highlight w:val="none"/>
              </w:rPr>
            </w:pPr>
          </w:p>
        </w:tc>
        <w:tc>
          <w:tcPr>
            <w:tcW w:w="2961" w:type="dxa"/>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18" w:type="dxa"/>
          </w:tcPr>
          <w:p>
            <w:pPr>
              <w:widowControl/>
              <w:spacing w:line="360" w:lineRule="atLeast"/>
              <w:ind w:firstLine="470" w:firstLineChars="196"/>
              <w:jc w:val="left"/>
              <w:outlineLvl w:val="1"/>
              <w:rPr>
                <w:rFonts w:ascii="宋体" w:hAnsi="宋体" w:cs="仿宋"/>
                <w:color w:val="auto"/>
                <w:sz w:val="24"/>
                <w:highlight w:val="none"/>
              </w:rPr>
            </w:pPr>
          </w:p>
        </w:tc>
        <w:tc>
          <w:tcPr>
            <w:tcW w:w="2279" w:type="dxa"/>
          </w:tcPr>
          <w:p>
            <w:pPr>
              <w:widowControl/>
              <w:spacing w:line="360" w:lineRule="atLeast"/>
              <w:ind w:firstLine="470" w:firstLineChars="196"/>
              <w:jc w:val="left"/>
              <w:outlineLvl w:val="1"/>
              <w:rPr>
                <w:rFonts w:ascii="宋体" w:hAnsi="宋体" w:cs="仿宋"/>
                <w:color w:val="auto"/>
                <w:sz w:val="24"/>
                <w:highlight w:val="none"/>
              </w:rPr>
            </w:pPr>
          </w:p>
        </w:tc>
        <w:tc>
          <w:tcPr>
            <w:tcW w:w="2657" w:type="dxa"/>
          </w:tcPr>
          <w:p>
            <w:pPr>
              <w:widowControl/>
              <w:spacing w:line="360" w:lineRule="atLeast"/>
              <w:ind w:firstLine="470" w:firstLineChars="196"/>
              <w:jc w:val="left"/>
              <w:outlineLvl w:val="1"/>
              <w:rPr>
                <w:rFonts w:ascii="宋体" w:hAnsi="宋体" w:cs="仿宋"/>
                <w:color w:val="auto"/>
                <w:sz w:val="24"/>
                <w:highlight w:val="none"/>
              </w:rPr>
            </w:pPr>
          </w:p>
        </w:tc>
        <w:tc>
          <w:tcPr>
            <w:tcW w:w="2961" w:type="dxa"/>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18" w:type="dxa"/>
          </w:tcPr>
          <w:p>
            <w:pPr>
              <w:widowControl/>
              <w:spacing w:line="360" w:lineRule="atLeast"/>
              <w:ind w:firstLine="470" w:firstLineChars="196"/>
              <w:jc w:val="left"/>
              <w:outlineLvl w:val="1"/>
              <w:rPr>
                <w:rFonts w:ascii="宋体" w:hAnsi="宋体" w:cs="仿宋"/>
                <w:color w:val="auto"/>
                <w:sz w:val="24"/>
                <w:highlight w:val="none"/>
              </w:rPr>
            </w:pPr>
          </w:p>
        </w:tc>
        <w:tc>
          <w:tcPr>
            <w:tcW w:w="2279" w:type="dxa"/>
          </w:tcPr>
          <w:p>
            <w:pPr>
              <w:widowControl/>
              <w:spacing w:line="360" w:lineRule="atLeast"/>
              <w:ind w:firstLine="470" w:firstLineChars="196"/>
              <w:jc w:val="left"/>
              <w:outlineLvl w:val="1"/>
              <w:rPr>
                <w:rFonts w:ascii="宋体" w:hAnsi="宋体" w:cs="仿宋"/>
                <w:color w:val="auto"/>
                <w:sz w:val="24"/>
                <w:highlight w:val="none"/>
              </w:rPr>
            </w:pPr>
          </w:p>
        </w:tc>
        <w:tc>
          <w:tcPr>
            <w:tcW w:w="2657" w:type="dxa"/>
          </w:tcPr>
          <w:p>
            <w:pPr>
              <w:widowControl/>
              <w:spacing w:line="360" w:lineRule="atLeast"/>
              <w:ind w:firstLine="470" w:firstLineChars="196"/>
              <w:jc w:val="left"/>
              <w:outlineLvl w:val="1"/>
              <w:rPr>
                <w:rFonts w:ascii="宋体" w:hAnsi="宋体" w:cs="仿宋"/>
                <w:color w:val="auto"/>
                <w:sz w:val="24"/>
                <w:highlight w:val="none"/>
              </w:rPr>
            </w:pPr>
          </w:p>
        </w:tc>
        <w:tc>
          <w:tcPr>
            <w:tcW w:w="2961" w:type="dxa"/>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18" w:type="dxa"/>
          </w:tcPr>
          <w:p>
            <w:pPr>
              <w:widowControl/>
              <w:spacing w:line="360" w:lineRule="atLeast"/>
              <w:ind w:firstLine="470" w:firstLineChars="196"/>
              <w:jc w:val="left"/>
              <w:outlineLvl w:val="1"/>
              <w:rPr>
                <w:rFonts w:ascii="宋体" w:hAnsi="宋体" w:cs="仿宋"/>
                <w:color w:val="auto"/>
                <w:sz w:val="24"/>
                <w:highlight w:val="none"/>
              </w:rPr>
            </w:pPr>
          </w:p>
        </w:tc>
        <w:tc>
          <w:tcPr>
            <w:tcW w:w="2279" w:type="dxa"/>
          </w:tcPr>
          <w:p>
            <w:pPr>
              <w:widowControl/>
              <w:spacing w:line="360" w:lineRule="atLeast"/>
              <w:ind w:firstLine="470" w:firstLineChars="196"/>
              <w:jc w:val="left"/>
              <w:outlineLvl w:val="1"/>
              <w:rPr>
                <w:rFonts w:ascii="宋体" w:hAnsi="宋体" w:cs="仿宋"/>
                <w:color w:val="auto"/>
                <w:sz w:val="24"/>
                <w:highlight w:val="none"/>
              </w:rPr>
            </w:pPr>
          </w:p>
        </w:tc>
        <w:tc>
          <w:tcPr>
            <w:tcW w:w="2657" w:type="dxa"/>
          </w:tcPr>
          <w:p>
            <w:pPr>
              <w:widowControl/>
              <w:spacing w:line="360" w:lineRule="atLeast"/>
              <w:ind w:firstLine="470" w:firstLineChars="196"/>
              <w:jc w:val="left"/>
              <w:outlineLvl w:val="1"/>
              <w:rPr>
                <w:rFonts w:ascii="宋体" w:hAnsi="宋体" w:cs="仿宋"/>
                <w:color w:val="auto"/>
                <w:sz w:val="24"/>
                <w:highlight w:val="none"/>
              </w:rPr>
            </w:pPr>
          </w:p>
        </w:tc>
        <w:tc>
          <w:tcPr>
            <w:tcW w:w="2961" w:type="dxa"/>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18" w:type="dxa"/>
          </w:tcPr>
          <w:p>
            <w:pPr>
              <w:widowControl/>
              <w:spacing w:line="360" w:lineRule="atLeast"/>
              <w:ind w:firstLine="470" w:firstLineChars="196"/>
              <w:jc w:val="left"/>
              <w:outlineLvl w:val="1"/>
              <w:rPr>
                <w:rFonts w:ascii="宋体" w:hAnsi="宋体" w:cs="仿宋"/>
                <w:color w:val="auto"/>
                <w:sz w:val="24"/>
                <w:highlight w:val="none"/>
              </w:rPr>
            </w:pPr>
          </w:p>
        </w:tc>
        <w:tc>
          <w:tcPr>
            <w:tcW w:w="2279" w:type="dxa"/>
          </w:tcPr>
          <w:p>
            <w:pPr>
              <w:widowControl/>
              <w:spacing w:line="360" w:lineRule="atLeast"/>
              <w:ind w:firstLine="470" w:firstLineChars="196"/>
              <w:jc w:val="left"/>
              <w:outlineLvl w:val="1"/>
              <w:rPr>
                <w:rFonts w:ascii="宋体" w:hAnsi="宋体" w:cs="仿宋"/>
                <w:color w:val="auto"/>
                <w:sz w:val="24"/>
                <w:highlight w:val="none"/>
              </w:rPr>
            </w:pPr>
          </w:p>
        </w:tc>
        <w:tc>
          <w:tcPr>
            <w:tcW w:w="2657" w:type="dxa"/>
          </w:tcPr>
          <w:p>
            <w:pPr>
              <w:widowControl/>
              <w:spacing w:line="360" w:lineRule="atLeast"/>
              <w:ind w:firstLine="470" w:firstLineChars="196"/>
              <w:jc w:val="left"/>
              <w:outlineLvl w:val="1"/>
              <w:rPr>
                <w:rFonts w:ascii="宋体" w:hAnsi="宋体" w:cs="仿宋"/>
                <w:color w:val="auto"/>
                <w:sz w:val="24"/>
                <w:highlight w:val="none"/>
              </w:rPr>
            </w:pPr>
          </w:p>
        </w:tc>
        <w:tc>
          <w:tcPr>
            <w:tcW w:w="2961" w:type="dxa"/>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18" w:type="dxa"/>
          </w:tcPr>
          <w:p>
            <w:pPr>
              <w:widowControl/>
              <w:spacing w:line="360" w:lineRule="atLeast"/>
              <w:ind w:firstLine="470" w:firstLineChars="196"/>
              <w:jc w:val="left"/>
              <w:outlineLvl w:val="1"/>
              <w:rPr>
                <w:rFonts w:ascii="宋体" w:hAnsi="宋体" w:cs="仿宋"/>
                <w:color w:val="auto"/>
                <w:sz w:val="24"/>
                <w:highlight w:val="none"/>
              </w:rPr>
            </w:pPr>
          </w:p>
        </w:tc>
        <w:tc>
          <w:tcPr>
            <w:tcW w:w="2279" w:type="dxa"/>
          </w:tcPr>
          <w:p>
            <w:pPr>
              <w:widowControl/>
              <w:spacing w:line="360" w:lineRule="atLeast"/>
              <w:ind w:firstLine="470" w:firstLineChars="196"/>
              <w:jc w:val="left"/>
              <w:outlineLvl w:val="1"/>
              <w:rPr>
                <w:rFonts w:ascii="宋体" w:hAnsi="宋体" w:cs="仿宋"/>
                <w:color w:val="auto"/>
                <w:sz w:val="24"/>
                <w:highlight w:val="none"/>
              </w:rPr>
            </w:pPr>
          </w:p>
        </w:tc>
        <w:tc>
          <w:tcPr>
            <w:tcW w:w="2657" w:type="dxa"/>
          </w:tcPr>
          <w:p>
            <w:pPr>
              <w:widowControl/>
              <w:spacing w:line="360" w:lineRule="atLeast"/>
              <w:ind w:firstLine="470" w:firstLineChars="196"/>
              <w:jc w:val="left"/>
              <w:outlineLvl w:val="1"/>
              <w:rPr>
                <w:rFonts w:ascii="宋体" w:hAnsi="宋体" w:cs="仿宋"/>
                <w:color w:val="auto"/>
                <w:sz w:val="24"/>
                <w:highlight w:val="none"/>
              </w:rPr>
            </w:pPr>
          </w:p>
        </w:tc>
        <w:tc>
          <w:tcPr>
            <w:tcW w:w="2961" w:type="dxa"/>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18" w:type="dxa"/>
          </w:tcPr>
          <w:p>
            <w:pPr>
              <w:widowControl/>
              <w:spacing w:line="360" w:lineRule="atLeast"/>
              <w:ind w:firstLine="470" w:firstLineChars="196"/>
              <w:jc w:val="left"/>
              <w:outlineLvl w:val="1"/>
              <w:rPr>
                <w:rFonts w:ascii="宋体" w:hAnsi="宋体" w:cs="仿宋"/>
                <w:color w:val="auto"/>
                <w:sz w:val="24"/>
                <w:highlight w:val="none"/>
              </w:rPr>
            </w:pPr>
          </w:p>
        </w:tc>
        <w:tc>
          <w:tcPr>
            <w:tcW w:w="2279" w:type="dxa"/>
          </w:tcPr>
          <w:p>
            <w:pPr>
              <w:widowControl/>
              <w:spacing w:line="360" w:lineRule="atLeast"/>
              <w:ind w:firstLine="470" w:firstLineChars="196"/>
              <w:jc w:val="left"/>
              <w:outlineLvl w:val="1"/>
              <w:rPr>
                <w:rFonts w:ascii="宋体" w:hAnsi="宋体" w:cs="仿宋"/>
                <w:color w:val="auto"/>
                <w:sz w:val="24"/>
                <w:highlight w:val="none"/>
              </w:rPr>
            </w:pPr>
          </w:p>
        </w:tc>
        <w:tc>
          <w:tcPr>
            <w:tcW w:w="2657" w:type="dxa"/>
          </w:tcPr>
          <w:p>
            <w:pPr>
              <w:widowControl/>
              <w:spacing w:line="360" w:lineRule="atLeast"/>
              <w:ind w:firstLine="470" w:firstLineChars="196"/>
              <w:jc w:val="left"/>
              <w:outlineLvl w:val="1"/>
              <w:rPr>
                <w:rFonts w:ascii="宋体" w:hAnsi="宋体" w:cs="仿宋"/>
                <w:color w:val="auto"/>
                <w:sz w:val="24"/>
                <w:highlight w:val="none"/>
              </w:rPr>
            </w:pPr>
          </w:p>
        </w:tc>
        <w:tc>
          <w:tcPr>
            <w:tcW w:w="2961" w:type="dxa"/>
          </w:tcPr>
          <w:p>
            <w:pPr>
              <w:widowControl/>
              <w:spacing w:line="360" w:lineRule="atLeast"/>
              <w:ind w:firstLine="470" w:firstLineChars="196"/>
              <w:jc w:val="left"/>
              <w:outlineLvl w:val="1"/>
              <w:rPr>
                <w:rFonts w:ascii="宋体" w:hAnsi="宋体" w:cs="仿宋"/>
                <w:color w:val="auto"/>
                <w:sz w:val="24"/>
                <w:highlight w:val="none"/>
              </w:rPr>
            </w:pPr>
          </w:p>
        </w:tc>
      </w:tr>
    </w:tbl>
    <w:p>
      <w:pPr>
        <w:spacing w:line="520" w:lineRule="exact"/>
        <w:jc w:val="left"/>
        <w:rPr>
          <w:rFonts w:ascii="宋体" w:hAnsi="宋体" w:cs="仿宋"/>
          <w:color w:val="auto"/>
          <w:sz w:val="24"/>
          <w:highlight w:val="none"/>
        </w:rPr>
      </w:pPr>
      <w:r>
        <w:rPr>
          <w:rFonts w:hint="eastAsia" w:ascii="宋体" w:hAnsi="宋体" w:cs="仿宋"/>
          <w:color w:val="auto"/>
          <w:sz w:val="24"/>
          <w:highlight w:val="none"/>
        </w:rPr>
        <w:t>注：1.以上表格格式行可增减。</w:t>
      </w:r>
    </w:p>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2.按照招标项目技术、服务要求的顺序对应填写。投标人必须据实填写，不得虚假响应，否则将取消其投标或中标资格。若采购人在项目实施中发现投标人虚假响应，则采购人有权单方面中止合同；且有权追索投标人由此给采购人造成的一切损失。</w:t>
      </w:r>
    </w:p>
    <w:p>
      <w:pPr>
        <w:widowControl/>
        <w:spacing w:line="360" w:lineRule="atLeast"/>
        <w:ind w:firstLine="470" w:firstLineChars="196"/>
        <w:jc w:val="left"/>
        <w:outlineLvl w:val="1"/>
        <w:rPr>
          <w:rFonts w:ascii="宋体" w:hAnsi="宋体" w:cs="仿宋"/>
          <w:color w:val="auto"/>
          <w:sz w:val="24"/>
          <w:highlight w:val="none"/>
        </w:rPr>
      </w:pPr>
    </w:p>
    <w:p>
      <w:pPr>
        <w:widowControl/>
        <w:spacing w:line="360" w:lineRule="atLeast"/>
        <w:ind w:firstLine="470" w:firstLineChars="196"/>
        <w:jc w:val="left"/>
        <w:outlineLvl w:val="1"/>
        <w:rPr>
          <w:rFonts w:ascii="宋体" w:hAnsi="宋体" w:cs="仿宋"/>
          <w:color w:val="auto"/>
          <w:sz w:val="24"/>
          <w:highlight w:val="none"/>
        </w:rPr>
      </w:pPr>
      <w:bookmarkStart w:id="167" w:name="_Hlk534972025"/>
      <w:r>
        <w:rPr>
          <w:rFonts w:hint="eastAsia" w:ascii="宋体" w:hAnsi="宋体" w:cs="仿宋"/>
          <w:color w:val="auto"/>
          <w:sz w:val="24"/>
          <w:highlight w:val="none"/>
        </w:rPr>
        <w:t>投标人名称：</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（单位公章）。</w:t>
      </w:r>
    </w:p>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法定代表人/单位负责人或授权代表（签字）：</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p>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 xml:space="preserve">投标日期: </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p>
    <w:bookmarkEnd w:id="167"/>
    <w:p>
      <w:pPr>
        <w:widowControl/>
        <w:spacing w:line="360" w:lineRule="atLeast"/>
        <w:ind w:firstLine="470" w:firstLineChars="196"/>
        <w:jc w:val="left"/>
        <w:outlineLvl w:val="1"/>
        <w:rPr>
          <w:rFonts w:ascii="宋体" w:hAnsi="宋体" w:cs="仿宋"/>
          <w:color w:val="auto"/>
          <w:sz w:val="24"/>
          <w:highlight w:val="none"/>
        </w:rPr>
      </w:pPr>
    </w:p>
    <w:p>
      <w:pPr>
        <w:spacing w:line="360" w:lineRule="auto"/>
        <w:rPr>
          <w:rFonts w:hint="eastAsia" w:ascii="宋体" w:hAnsi="宋体" w:eastAsia="宋体" w:cs="仿宋"/>
          <w:b/>
          <w:color w:val="auto"/>
          <w:sz w:val="32"/>
          <w:szCs w:val="32"/>
          <w:highlight w:val="none"/>
          <w:lang w:val="en-US" w:eastAsia="zh-CN"/>
        </w:rPr>
      </w:pPr>
      <w:bookmarkStart w:id="168" w:name="_Toc217446091"/>
      <w:r>
        <w:rPr>
          <w:rFonts w:hint="eastAsia" w:ascii="宋体" w:hAnsi="宋体" w:cs="仿宋"/>
          <w:b/>
          <w:color w:val="auto"/>
          <w:sz w:val="32"/>
          <w:szCs w:val="32"/>
          <w:highlight w:val="none"/>
        </w:rPr>
        <w:br w:type="page"/>
      </w:r>
      <w:r>
        <w:rPr>
          <w:rFonts w:hint="eastAsia" w:ascii="宋体" w:hAnsi="宋体" w:cs="仿宋"/>
          <w:b/>
          <w:color w:val="auto"/>
          <w:sz w:val="32"/>
          <w:szCs w:val="32"/>
          <w:highlight w:val="none"/>
        </w:rPr>
        <w:t>格式2-1</w:t>
      </w:r>
      <w:r>
        <w:rPr>
          <w:rFonts w:hint="eastAsia" w:ascii="宋体" w:hAnsi="宋体" w:cs="仿宋"/>
          <w:b/>
          <w:color w:val="auto"/>
          <w:sz w:val="32"/>
          <w:szCs w:val="32"/>
          <w:highlight w:val="none"/>
          <w:lang w:val="en-US" w:eastAsia="zh-CN"/>
        </w:rPr>
        <w:t>0</w:t>
      </w:r>
    </w:p>
    <w:p>
      <w:pPr>
        <w:widowControl/>
        <w:spacing w:line="360" w:lineRule="atLeast"/>
        <w:jc w:val="center"/>
        <w:outlineLvl w:val="1"/>
        <w:rPr>
          <w:rFonts w:ascii="宋体" w:hAnsi="宋体" w:cs="仿宋"/>
          <w:b/>
          <w:color w:val="auto"/>
          <w:sz w:val="32"/>
          <w:szCs w:val="32"/>
          <w:highlight w:val="none"/>
        </w:rPr>
      </w:pPr>
      <w:r>
        <w:rPr>
          <w:rFonts w:hint="eastAsia" w:ascii="宋体" w:hAnsi="宋体" w:cs="仿宋"/>
          <w:b/>
          <w:color w:val="auto"/>
          <w:sz w:val="32"/>
          <w:szCs w:val="32"/>
          <w:highlight w:val="none"/>
          <w:lang w:eastAsia="zh-CN"/>
        </w:rPr>
        <w:t>九</w:t>
      </w:r>
      <w:r>
        <w:rPr>
          <w:rFonts w:hint="eastAsia" w:ascii="宋体" w:hAnsi="宋体" w:cs="仿宋"/>
          <w:b/>
          <w:color w:val="auto"/>
          <w:sz w:val="32"/>
          <w:szCs w:val="32"/>
          <w:highlight w:val="none"/>
        </w:rPr>
        <w:t>、投标人本项目管理、技术、服务人员情况表</w:t>
      </w:r>
      <w:bookmarkEnd w:id="168"/>
    </w:p>
    <w:p>
      <w:pPr>
        <w:spacing w:line="480" w:lineRule="exact"/>
        <w:ind w:firstLine="436" w:firstLineChars="182"/>
        <w:rPr>
          <w:rFonts w:ascii="宋体" w:hAnsi="宋体" w:cs="仿宋"/>
          <w:color w:val="auto"/>
          <w:sz w:val="24"/>
          <w:highlight w:val="none"/>
        </w:rPr>
      </w:pPr>
      <w:bookmarkStart w:id="169" w:name="_Hlk534972032"/>
      <w:r>
        <w:rPr>
          <w:rFonts w:hint="eastAsia" w:ascii="宋体" w:hAnsi="宋体" w:cs="仿宋"/>
          <w:color w:val="auto"/>
          <w:sz w:val="24"/>
          <w:highlight w:val="none"/>
        </w:rPr>
        <w:t>项目名称：</w:t>
      </w:r>
      <w:r>
        <w:rPr>
          <w:rFonts w:hint="eastAsia" w:ascii="宋体" w:hAnsi="宋体" w:cs="仿宋"/>
          <w:b/>
          <w:color w:val="auto"/>
          <w:sz w:val="32"/>
          <w:highlight w:val="none"/>
          <w:u w:val="single"/>
        </w:rPr>
        <w:t xml:space="preserve">           </w:t>
      </w:r>
    </w:p>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招标编号：</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 xml:space="preserve">                  </w:t>
      </w:r>
    </w:p>
    <w:bookmarkEnd w:id="169"/>
    <w:tbl>
      <w:tblPr>
        <w:tblStyle w:val="22"/>
        <w:tblW w:w="8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082"/>
        <w:gridCol w:w="1082"/>
        <w:gridCol w:w="1082"/>
        <w:gridCol w:w="1140"/>
        <w:gridCol w:w="1287"/>
        <w:gridCol w:w="1135"/>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1082" w:type="dxa"/>
            <w:vMerge w:val="restart"/>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职务</w:t>
            </w:r>
          </w:p>
        </w:tc>
        <w:tc>
          <w:tcPr>
            <w:tcW w:w="1082" w:type="dxa"/>
            <w:vMerge w:val="restart"/>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姓名</w:t>
            </w:r>
          </w:p>
        </w:tc>
        <w:tc>
          <w:tcPr>
            <w:tcW w:w="1082" w:type="dxa"/>
            <w:vMerge w:val="restart"/>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职称</w:t>
            </w:r>
          </w:p>
        </w:tc>
        <w:tc>
          <w:tcPr>
            <w:tcW w:w="1082" w:type="dxa"/>
            <w:vMerge w:val="restart"/>
            <w:vAlign w:val="center"/>
          </w:tcPr>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常住地</w:t>
            </w:r>
          </w:p>
        </w:tc>
        <w:tc>
          <w:tcPr>
            <w:tcW w:w="4546" w:type="dxa"/>
            <w:gridSpan w:val="4"/>
            <w:vAlign w:val="center"/>
          </w:tcPr>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1082" w:type="dxa"/>
            <w:vMerge w:val="continue"/>
            <w:vAlign w:val="center"/>
          </w:tcPr>
          <w:p>
            <w:pPr>
              <w:rPr>
                <w:rFonts w:ascii="宋体" w:hAnsi="宋体" w:cs="仿宋"/>
                <w:color w:val="auto"/>
                <w:highlight w:val="none"/>
              </w:rPr>
            </w:pPr>
          </w:p>
        </w:tc>
        <w:tc>
          <w:tcPr>
            <w:tcW w:w="1082" w:type="dxa"/>
            <w:vMerge w:val="continue"/>
            <w:vAlign w:val="center"/>
          </w:tcPr>
          <w:p>
            <w:pPr>
              <w:rPr>
                <w:rFonts w:ascii="宋体" w:hAnsi="宋体" w:cs="仿宋"/>
                <w:color w:val="auto"/>
                <w:highlight w:val="none"/>
              </w:rPr>
            </w:pPr>
          </w:p>
        </w:tc>
        <w:tc>
          <w:tcPr>
            <w:tcW w:w="1082" w:type="dxa"/>
            <w:vMerge w:val="continue"/>
            <w:vAlign w:val="center"/>
          </w:tcPr>
          <w:p>
            <w:pPr>
              <w:rPr>
                <w:rFonts w:ascii="宋体" w:hAnsi="宋体" w:cs="仿宋"/>
                <w:color w:val="auto"/>
                <w:highlight w:val="none"/>
              </w:rPr>
            </w:pPr>
          </w:p>
        </w:tc>
        <w:tc>
          <w:tcPr>
            <w:tcW w:w="1082" w:type="dxa"/>
            <w:vMerge w:val="continue"/>
            <w:vAlign w:val="center"/>
          </w:tcPr>
          <w:p>
            <w:pPr>
              <w:rPr>
                <w:rFonts w:ascii="宋体" w:hAnsi="宋体" w:cs="仿宋"/>
                <w:color w:val="auto"/>
                <w:highlight w:val="none"/>
              </w:rPr>
            </w:pPr>
          </w:p>
        </w:tc>
        <w:tc>
          <w:tcPr>
            <w:tcW w:w="1140" w:type="dxa"/>
            <w:vAlign w:val="center"/>
          </w:tcPr>
          <w:p>
            <w:pPr>
              <w:widowControl/>
              <w:spacing w:line="360" w:lineRule="atLeast"/>
              <w:jc w:val="center"/>
              <w:outlineLvl w:val="1"/>
              <w:rPr>
                <w:rFonts w:ascii="宋体" w:hAnsi="宋体" w:cs="仿宋"/>
                <w:color w:val="auto"/>
                <w:sz w:val="24"/>
                <w:highlight w:val="none"/>
              </w:rPr>
            </w:pPr>
            <w:r>
              <w:rPr>
                <w:rFonts w:hint="eastAsia" w:ascii="宋体" w:hAnsi="宋体" w:cs="仿宋"/>
                <w:color w:val="auto"/>
                <w:sz w:val="24"/>
                <w:highlight w:val="none"/>
              </w:rPr>
              <w:t>证书</w:t>
            </w:r>
          </w:p>
          <w:p>
            <w:pPr>
              <w:widowControl/>
              <w:spacing w:line="360" w:lineRule="atLeast"/>
              <w:jc w:val="center"/>
              <w:outlineLvl w:val="1"/>
              <w:rPr>
                <w:rFonts w:ascii="宋体" w:hAnsi="宋体" w:cs="仿宋"/>
                <w:color w:val="auto"/>
                <w:sz w:val="24"/>
                <w:highlight w:val="none"/>
              </w:rPr>
            </w:pPr>
            <w:r>
              <w:rPr>
                <w:rFonts w:hint="eastAsia" w:ascii="宋体" w:hAnsi="宋体" w:cs="仿宋"/>
                <w:color w:val="auto"/>
                <w:sz w:val="24"/>
                <w:highlight w:val="none"/>
              </w:rPr>
              <w:t>名称</w:t>
            </w:r>
          </w:p>
        </w:tc>
        <w:tc>
          <w:tcPr>
            <w:tcW w:w="1287" w:type="dxa"/>
            <w:vAlign w:val="center"/>
          </w:tcPr>
          <w:p>
            <w:pPr>
              <w:widowControl/>
              <w:spacing w:line="360" w:lineRule="atLeast"/>
              <w:jc w:val="center"/>
              <w:outlineLvl w:val="1"/>
              <w:rPr>
                <w:rFonts w:ascii="宋体" w:hAnsi="宋体" w:cs="仿宋"/>
                <w:color w:val="auto"/>
                <w:sz w:val="24"/>
                <w:highlight w:val="none"/>
              </w:rPr>
            </w:pPr>
            <w:r>
              <w:rPr>
                <w:rFonts w:hint="eastAsia" w:ascii="宋体" w:hAnsi="宋体" w:cs="仿宋"/>
                <w:color w:val="auto"/>
                <w:sz w:val="24"/>
                <w:highlight w:val="none"/>
              </w:rPr>
              <w:t>级别</w:t>
            </w:r>
          </w:p>
        </w:tc>
        <w:tc>
          <w:tcPr>
            <w:tcW w:w="1135" w:type="dxa"/>
            <w:vAlign w:val="center"/>
          </w:tcPr>
          <w:p>
            <w:pPr>
              <w:widowControl/>
              <w:spacing w:line="360" w:lineRule="atLeast"/>
              <w:jc w:val="center"/>
              <w:outlineLvl w:val="1"/>
              <w:rPr>
                <w:rFonts w:ascii="宋体" w:hAnsi="宋体" w:cs="仿宋"/>
                <w:color w:val="auto"/>
                <w:sz w:val="24"/>
                <w:highlight w:val="none"/>
              </w:rPr>
            </w:pPr>
            <w:r>
              <w:rPr>
                <w:rFonts w:hint="eastAsia" w:ascii="宋体" w:hAnsi="宋体" w:cs="仿宋"/>
                <w:color w:val="auto"/>
                <w:sz w:val="24"/>
                <w:highlight w:val="none"/>
              </w:rPr>
              <w:t>证号</w:t>
            </w:r>
          </w:p>
        </w:tc>
        <w:tc>
          <w:tcPr>
            <w:tcW w:w="984" w:type="dxa"/>
            <w:vAlign w:val="center"/>
          </w:tcPr>
          <w:p>
            <w:pPr>
              <w:widowControl/>
              <w:spacing w:line="360" w:lineRule="atLeast"/>
              <w:jc w:val="center"/>
              <w:outlineLvl w:val="1"/>
              <w:rPr>
                <w:rFonts w:ascii="宋体" w:hAnsi="宋体" w:cs="仿宋"/>
                <w:color w:val="auto"/>
                <w:sz w:val="24"/>
                <w:highlight w:val="none"/>
              </w:rPr>
            </w:pPr>
            <w:r>
              <w:rPr>
                <w:rFonts w:hint="eastAsia" w:ascii="宋体" w:hAnsi="宋体" w:cs="仿宋"/>
                <w:color w:val="auto"/>
                <w:sz w:val="24"/>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trPr>
        <w:tc>
          <w:tcPr>
            <w:tcW w:w="1082" w:type="dxa"/>
          </w:tcPr>
          <w:p>
            <w:pPr>
              <w:widowControl/>
              <w:spacing w:line="360" w:lineRule="atLeast"/>
              <w:ind w:firstLine="470" w:firstLineChars="196"/>
              <w:jc w:val="left"/>
              <w:outlineLvl w:val="1"/>
              <w:rPr>
                <w:rFonts w:ascii="宋体" w:hAnsi="宋体" w:cs="仿宋"/>
                <w:color w:val="auto"/>
                <w:sz w:val="24"/>
                <w:highlight w:val="none"/>
              </w:rPr>
            </w:pPr>
          </w:p>
        </w:tc>
        <w:tc>
          <w:tcPr>
            <w:tcW w:w="1082" w:type="dxa"/>
          </w:tcPr>
          <w:p>
            <w:pPr>
              <w:widowControl/>
              <w:spacing w:line="360" w:lineRule="atLeast"/>
              <w:ind w:firstLine="470" w:firstLineChars="196"/>
              <w:jc w:val="left"/>
              <w:outlineLvl w:val="1"/>
              <w:rPr>
                <w:rFonts w:ascii="宋体" w:hAnsi="宋体" w:cs="仿宋"/>
                <w:color w:val="auto"/>
                <w:sz w:val="24"/>
                <w:highlight w:val="none"/>
              </w:rPr>
            </w:pPr>
          </w:p>
        </w:tc>
        <w:tc>
          <w:tcPr>
            <w:tcW w:w="1082" w:type="dxa"/>
          </w:tcPr>
          <w:p>
            <w:pPr>
              <w:widowControl/>
              <w:spacing w:line="360" w:lineRule="atLeast"/>
              <w:ind w:firstLine="470" w:firstLineChars="196"/>
              <w:jc w:val="left"/>
              <w:outlineLvl w:val="1"/>
              <w:rPr>
                <w:rFonts w:ascii="宋体" w:hAnsi="宋体" w:cs="仿宋"/>
                <w:color w:val="auto"/>
                <w:sz w:val="24"/>
                <w:highlight w:val="none"/>
              </w:rPr>
            </w:pPr>
          </w:p>
        </w:tc>
        <w:tc>
          <w:tcPr>
            <w:tcW w:w="1082" w:type="dxa"/>
          </w:tcPr>
          <w:p>
            <w:pPr>
              <w:widowControl/>
              <w:spacing w:line="360" w:lineRule="atLeast"/>
              <w:ind w:firstLine="470" w:firstLineChars="196"/>
              <w:jc w:val="left"/>
              <w:outlineLvl w:val="1"/>
              <w:rPr>
                <w:rFonts w:ascii="宋体" w:hAnsi="宋体" w:cs="仿宋"/>
                <w:color w:val="auto"/>
                <w:sz w:val="24"/>
                <w:highlight w:val="none"/>
              </w:rPr>
            </w:pPr>
          </w:p>
        </w:tc>
        <w:tc>
          <w:tcPr>
            <w:tcW w:w="1140" w:type="dxa"/>
          </w:tcPr>
          <w:p>
            <w:pPr>
              <w:widowControl/>
              <w:spacing w:line="360" w:lineRule="atLeast"/>
              <w:ind w:firstLine="470" w:firstLineChars="196"/>
              <w:jc w:val="left"/>
              <w:outlineLvl w:val="1"/>
              <w:rPr>
                <w:rFonts w:ascii="宋体" w:hAnsi="宋体" w:cs="仿宋"/>
                <w:color w:val="auto"/>
                <w:sz w:val="24"/>
                <w:highlight w:val="none"/>
              </w:rPr>
            </w:pPr>
          </w:p>
        </w:tc>
        <w:tc>
          <w:tcPr>
            <w:tcW w:w="1287" w:type="dxa"/>
          </w:tcPr>
          <w:p>
            <w:pPr>
              <w:widowControl/>
              <w:spacing w:line="360" w:lineRule="atLeast"/>
              <w:ind w:firstLine="470" w:firstLineChars="196"/>
              <w:jc w:val="left"/>
              <w:outlineLvl w:val="1"/>
              <w:rPr>
                <w:rFonts w:ascii="宋体" w:hAnsi="宋体" w:cs="仿宋"/>
                <w:color w:val="auto"/>
                <w:sz w:val="24"/>
                <w:highlight w:val="none"/>
              </w:rPr>
            </w:pPr>
          </w:p>
        </w:tc>
        <w:tc>
          <w:tcPr>
            <w:tcW w:w="1135" w:type="dxa"/>
          </w:tcPr>
          <w:p>
            <w:pPr>
              <w:widowControl/>
              <w:spacing w:line="360" w:lineRule="atLeast"/>
              <w:ind w:firstLine="470" w:firstLineChars="196"/>
              <w:jc w:val="left"/>
              <w:outlineLvl w:val="1"/>
              <w:rPr>
                <w:rFonts w:ascii="宋体" w:hAnsi="宋体" w:cs="仿宋"/>
                <w:color w:val="auto"/>
                <w:sz w:val="24"/>
                <w:highlight w:val="none"/>
              </w:rPr>
            </w:pPr>
          </w:p>
        </w:tc>
        <w:tc>
          <w:tcPr>
            <w:tcW w:w="984" w:type="dxa"/>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1082" w:type="dxa"/>
          </w:tcPr>
          <w:p>
            <w:pPr>
              <w:widowControl/>
              <w:spacing w:line="360" w:lineRule="atLeast"/>
              <w:ind w:firstLine="470" w:firstLineChars="196"/>
              <w:jc w:val="left"/>
              <w:outlineLvl w:val="1"/>
              <w:rPr>
                <w:rFonts w:ascii="宋体" w:hAnsi="宋体" w:cs="仿宋"/>
                <w:color w:val="auto"/>
                <w:sz w:val="24"/>
                <w:highlight w:val="none"/>
              </w:rPr>
            </w:pPr>
          </w:p>
        </w:tc>
        <w:tc>
          <w:tcPr>
            <w:tcW w:w="1082" w:type="dxa"/>
          </w:tcPr>
          <w:p>
            <w:pPr>
              <w:widowControl/>
              <w:spacing w:line="360" w:lineRule="atLeast"/>
              <w:ind w:firstLine="470" w:firstLineChars="196"/>
              <w:jc w:val="left"/>
              <w:outlineLvl w:val="1"/>
              <w:rPr>
                <w:rFonts w:ascii="宋体" w:hAnsi="宋体" w:cs="仿宋"/>
                <w:color w:val="auto"/>
                <w:sz w:val="24"/>
                <w:highlight w:val="none"/>
              </w:rPr>
            </w:pPr>
          </w:p>
        </w:tc>
        <w:tc>
          <w:tcPr>
            <w:tcW w:w="1082" w:type="dxa"/>
          </w:tcPr>
          <w:p>
            <w:pPr>
              <w:widowControl/>
              <w:spacing w:line="360" w:lineRule="atLeast"/>
              <w:ind w:firstLine="470" w:firstLineChars="196"/>
              <w:jc w:val="left"/>
              <w:outlineLvl w:val="1"/>
              <w:rPr>
                <w:rFonts w:ascii="宋体" w:hAnsi="宋体" w:cs="仿宋"/>
                <w:color w:val="auto"/>
                <w:sz w:val="24"/>
                <w:highlight w:val="none"/>
              </w:rPr>
            </w:pPr>
          </w:p>
        </w:tc>
        <w:tc>
          <w:tcPr>
            <w:tcW w:w="1082" w:type="dxa"/>
          </w:tcPr>
          <w:p>
            <w:pPr>
              <w:widowControl/>
              <w:spacing w:line="360" w:lineRule="atLeast"/>
              <w:ind w:firstLine="470" w:firstLineChars="196"/>
              <w:jc w:val="left"/>
              <w:outlineLvl w:val="1"/>
              <w:rPr>
                <w:rFonts w:ascii="宋体" w:hAnsi="宋体" w:cs="仿宋"/>
                <w:color w:val="auto"/>
                <w:sz w:val="24"/>
                <w:highlight w:val="none"/>
              </w:rPr>
            </w:pPr>
          </w:p>
        </w:tc>
        <w:tc>
          <w:tcPr>
            <w:tcW w:w="1140" w:type="dxa"/>
          </w:tcPr>
          <w:p>
            <w:pPr>
              <w:widowControl/>
              <w:spacing w:line="360" w:lineRule="atLeast"/>
              <w:ind w:firstLine="470" w:firstLineChars="196"/>
              <w:jc w:val="left"/>
              <w:outlineLvl w:val="1"/>
              <w:rPr>
                <w:rFonts w:ascii="宋体" w:hAnsi="宋体" w:cs="仿宋"/>
                <w:color w:val="auto"/>
                <w:sz w:val="24"/>
                <w:highlight w:val="none"/>
              </w:rPr>
            </w:pPr>
          </w:p>
        </w:tc>
        <w:tc>
          <w:tcPr>
            <w:tcW w:w="1287" w:type="dxa"/>
          </w:tcPr>
          <w:p>
            <w:pPr>
              <w:widowControl/>
              <w:spacing w:line="360" w:lineRule="atLeast"/>
              <w:ind w:firstLine="470" w:firstLineChars="196"/>
              <w:jc w:val="left"/>
              <w:outlineLvl w:val="1"/>
              <w:rPr>
                <w:rFonts w:ascii="宋体" w:hAnsi="宋体" w:cs="仿宋"/>
                <w:color w:val="auto"/>
                <w:sz w:val="24"/>
                <w:highlight w:val="none"/>
              </w:rPr>
            </w:pPr>
          </w:p>
        </w:tc>
        <w:tc>
          <w:tcPr>
            <w:tcW w:w="1135" w:type="dxa"/>
          </w:tcPr>
          <w:p>
            <w:pPr>
              <w:widowControl/>
              <w:spacing w:line="360" w:lineRule="atLeast"/>
              <w:ind w:firstLine="470" w:firstLineChars="196"/>
              <w:jc w:val="left"/>
              <w:outlineLvl w:val="1"/>
              <w:rPr>
                <w:rFonts w:ascii="宋体" w:hAnsi="宋体" w:cs="仿宋"/>
                <w:color w:val="auto"/>
                <w:sz w:val="24"/>
                <w:highlight w:val="none"/>
              </w:rPr>
            </w:pPr>
          </w:p>
        </w:tc>
        <w:tc>
          <w:tcPr>
            <w:tcW w:w="984" w:type="dxa"/>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trPr>
        <w:tc>
          <w:tcPr>
            <w:tcW w:w="1082" w:type="dxa"/>
          </w:tcPr>
          <w:p>
            <w:pPr>
              <w:widowControl/>
              <w:spacing w:line="360" w:lineRule="atLeast"/>
              <w:ind w:firstLine="470" w:firstLineChars="196"/>
              <w:jc w:val="left"/>
              <w:outlineLvl w:val="1"/>
              <w:rPr>
                <w:rFonts w:ascii="宋体" w:hAnsi="宋体" w:cs="仿宋"/>
                <w:color w:val="auto"/>
                <w:sz w:val="24"/>
                <w:highlight w:val="none"/>
              </w:rPr>
            </w:pPr>
          </w:p>
        </w:tc>
        <w:tc>
          <w:tcPr>
            <w:tcW w:w="1082" w:type="dxa"/>
          </w:tcPr>
          <w:p>
            <w:pPr>
              <w:widowControl/>
              <w:spacing w:line="360" w:lineRule="atLeast"/>
              <w:ind w:firstLine="470" w:firstLineChars="196"/>
              <w:jc w:val="left"/>
              <w:outlineLvl w:val="1"/>
              <w:rPr>
                <w:rFonts w:ascii="宋体" w:hAnsi="宋体" w:cs="仿宋"/>
                <w:color w:val="auto"/>
                <w:sz w:val="24"/>
                <w:highlight w:val="none"/>
              </w:rPr>
            </w:pPr>
          </w:p>
        </w:tc>
        <w:tc>
          <w:tcPr>
            <w:tcW w:w="1082" w:type="dxa"/>
          </w:tcPr>
          <w:p>
            <w:pPr>
              <w:widowControl/>
              <w:spacing w:line="360" w:lineRule="atLeast"/>
              <w:ind w:firstLine="470" w:firstLineChars="196"/>
              <w:jc w:val="left"/>
              <w:outlineLvl w:val="1"/>
              <w:rPr>
                <w:rFonts w:ascii="宋体" w:hAnsi="宋体" w:cs="仿宋"/>
                <w:color w:val="auto"/>
                <w:sz w:val="24"/>
                <w:highlight w:val="none"/>
              </w:rPr>
            </w:pPr>
          </w:p>
        </w:tc>
        <w:tc>
          <w:tcPr>
            <w:tcW w:w="1082" w:type="dxa"/>
          </w:tcPr>
          <w:p>
            <w:pPr>
              <w:widowControl/>
              <w:spacing w:line="360" w:lineRule="atLeast"/>
              <w:ind w:firstLine="470" w:firstLineChars="196"/>
              <w:jc w:val="left"/>
              <w:outlineLvl w:val="1"/>
              <w:rPr>
                <w:rFonts w:ascii="宋体" w:hAnsi="宋体" w:cs="仿宋"/>
                <w:color w:val="auto"/>
                <w:sz w:val="24"/>
                <w:highlight w:val="none"/>
              </w:rPr>
            </w:pPr>
          </w:p>
        </w:tc>
        <w:tc>
          <w:tcPr>
            <w:tcW w:w="1140" w:type="dxa"/>
          </w:tcPr>
          <w:p>
            <w:pPr>
              <w:widowControl/>
              <w:spacing w:line="360" w:lineRule="atLeast"/>
              <w:ind w:firstLine="470" w:firstLineChars="196"/>
              <w:jc w:val="left"/>
              <w:outlineLvl w:val="1"/>
              <w:rPr>
                <w:rFonts w:ascii="宋体" w:hAnsi="宋体" w:cs="仿宋"/>
                <w:color w:val="auto"/>
                <w:sz w:val="24"/>
                <w:highlight w:val="none"/>
              </w:rPr>
            </w:pPr>
          </w:p>
        </w:tc>
        <w:tc>
          <w:tcPr>
            <w:tcW w:w="1287" w:type="dxa"/>
          </w:tcPr>
          <w:p>
            <w:pPr>
              <w:widowControl/>
              <w:spacing w:line="360" w:lineRule="atLeast"/>
              <w:ind w:firstLine="470" w:firstLineChars="196"/>
              <w:jc w:val="left"/>
              <w:outlineLvl w:val="1"/>
              <w:rPr>
                <w:rFonts w:ascii="宋体" w:hAnsi="宋体" w:cs="仿宋"/>
                <w:color w:val="auto"/>
                <w:sz w:val="24"/>
                <w:highlight w:val="none"/>
              </w:rPr>
            </w:pPr>
          </w:p>
        </w:tc>
        <w:tc>
          <w:tcPr>
            <w:tcW w:w="1135" w:type="dxa"/>
          </w:tcPr>
          <w:p>
            <w:pPr>
              <w:widowControl/>
              <w:spacing w:line="360" w:lineRule="atLeast"/>
              <w:ind w:firstLine="470" w:firstLineChars="196"/>
              <w:jc w:val="left"/>
              <w:outlineLvl w:val="1"/>
              <w:rPr>
                <w:rFonts w:ascii="宋体" w:hAnsi="宋体" w:cs="仿宋"/>
                <w:color w:val="auto"/>
                <w:sz w:val="24"/>
                <w:highlight w:val="none"/>
              </w:rPr>
            </w:pPr>
          </w:p>
        </w:tc>
        <w:tc>
          <w:tcPr>
            <w:tcW w:w="984" w:type="dxa"/>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1082" w:type="dxa"/>
          </w:tcPr>
          <w:p>
            <w:pPr>
              <w:widowControl/>
              <w:spacing w:line="360" w:lineRule="atLeast"/>
              <w:ind w:firstLine="470" w:firstLineChars="196"/>
              <w:jc w:val="left"/>
              <w:outlineLvl w:val="1"/>
              <w:rPr>
                <w:rFonts w:ascii="宋体" w:hAnsi="宋体" w:cs="仿宋"/>
                <w:color w:val="auto"/>
                <w:sz w:val="24"/>
                <w:highlight w:val="none"/>
              </w:rPr>
            </w:pPr>
          </w:p>
        </w:tc>
        <w:tc>
          <w:tcPr>
            <w:tcW w:w="1082" w:type="dxa"/>
          </w:tcPr>
          <w:p>
            <w:pPr>
              <w:widowControl/>
              <w:spacing w:line="360" w:lineRule="atLeast"/>
              <w:ind w:firstLine="470" w:firstLineChars="196"/>
              <w:jc w:val="left"/>
              <w:outlineLvl w:val="1"/>
              <w:rPr>
                <w:rFonts w:ascii="宋体" w:hAnsi="宋体" w:cs="仿宋"/>
                <w:color w:val="auto"/>
                <w:sz w:val="24"/>
                <w:highlight w:val="none"/>
              </w:rPr>
            </w:pPr>
          </w:p>
        </w:tc>
        <w:tc>
          <w:tcPr>
            <w:tcW w:w="1082" w:type="dxa"/>
          </w:tcPr>
          <w:p>
            <w:pPr>
              <w:widowControl/>
              <w:spacing w:line="360" w:lineRule="atLeast"/>
              <w:ind w:firstLine="470" w:firstLineChars="196"/>
              <w:jc w:val="left"/>
              <w:outlineLvl w:val="1"/>
              <w:rPr>
                <w:rFonts w:ascii="宋体" w:hAnsi="宋体" w:cs="仿宋"/>
                <w:color w:val="auto"/>
                <w:sz w:val="24"/>
                <w:highlight w:val="none"/>
              </w:rPr>
            </w:pPr>
          </w:p>
        </w:tc>
        <w:tc>
          <w:tcPr>
            <w:tcW w:w="1082" w:type="dxa"/>
          </w:tcPr>
          <w:p>
            <w:pPr>
              <w:widowControl/>
              <w:spacing w:line="360" w:lineRule="atLeast"/>
              <w:ind w:firstLine="470" w:firstLineChars="196"/>
              <w:jc w:val="left"/>
              <w:outlineLvl w:val="1"/>
              <w:rPr>
                <w:rFonts w:ascii="宋体" w:hAnsi="宋体" w:cs="仿宋"/>
                <w:color w:val="auto"/>
                <w:sz w:val="24"/>
                <w:highlight w:val="none"/>
              </w:rPr>
            </w:pPr>
          </w:p>
        </w:tc>
        <w:tc>
          <w:tcPr>
            <w:tcW w:w="1140" w:type="dxa"/>
          </w:tcPr>
          <w:p>
            <w:pPr>
              <w:widowControl/>
              <w:spacing w:line="360" w:lineRule="atLeast"/>
              <w:ind w:firstLine="470" w:firstLineChars="196"/>
              <w:jc w:val="left"/>
              <w:outlineLvl w:val="1"/>
              <w:rPr>
                <w:rFonts w:ascii="宋体" w:hAnsi="宋体" w:cs="仿宋"/>
                <w:color w:val="auto"/>
                <w:sz w:val="24"/>
                <w:highlight w:val="none"/>
              </w:rPr>
            </w:pPr>
          </w:p>
        </w:tc>
        <w:tc>
          <w:tcPr>
            <w:tcW w:w="1287" w:type="dxa"/>
          </w:tcPr>
          <w:p>
            <w:pPr>
              <w:widowControl/>
              <w:spacing w:line="360" w:lineRule="atLeast"/>
              <w:ind w:firstLine="470" w:firstLineChars="196"/>
              <w:jc w:val="left"/>
              <w:outlineLvl w:val="1"/>
              <w:rPr>
                <w:rFonts w:ascii="宋体" w:hAnsi="宋体" w:cs="仿宋"/>
                <w:color w:val="auto"/>
                <w:sz w:val="24"/>
                <w:highlight w:val="none"/>
              </w:rPr>
            </w:pPr>
          </w:p>
        </w:tc>
        <w:tc>
          <w:tcPr>
            <w:tcW w:w="1135" w:type="dxa"/>
          </w:tcPr>
          <w:p>
            <w:pPr>
              <w:widowControl/>
              <w:spacing w:line="360" w:lineRule="atLeast"/>
              <w:ind w:firstLine="470" w:firstLineChars="196"/>
              <w:jc w:val="left"/>
              <w:outlineLvl w:val="1"/>
              <w:rPr>
                <w:rFonts w:ascii="宋体" w:hAnsi="宋体" w:cs="仿宋"/>
                <w:color w:val="auto"/>
                <w:sz w:val="24"/>
                <w:highlight w:val="none"/>
              </w:rPr>
            </w:pPr>
          </w:p>
        </w:tc>
        <w:tc>
          <w:tcPr>
            <w:tcW w:w="984" w:type="dxa"/>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trPr>
        <w:tc>
          <w:tcPr>
            <w:tcW w:w="1082" w:type="dxa"/>
          </w:tcPr>
          <w:p>
            <w:pPr>
              <w:widowControl/>
              <w:spacing w:line="360" w:lineRule="atLeast"/>
              <w:ind w:firstLine="470" w:firstLineChars="196"/>
              <w:jc w:val="left"/>
              <w:outlineLvl w:val="1"/>
              <w:rPr>
                <w:rFonts w:ascii="宋体" w:hAnsi="宋体" w:cs="仿宋"/>
                <w:color w:val="auto"/>
                <w:sz w:val="24"/>
                <w:highlight w:val="none"/>
              </w:rPr>
            </w:pPr>
          </w:p>
        </w:tc>
        <w:tc>
          <w:tcPr>
            <w:tcW w:w="1082" w:type="dxa"/>
          </w:tcPr>
          <w:p>
            <w:pPr>
              <w:widowControl/>
              <w:spacing w:line="360" w:lineRule="atLeast"/>
              <w:ind w:firstLine="470" w:firstLineChars="196"/>
              <w:jc w:val="left"/>
              <w:outlineLvl w:val="1"/>
              <w:rPr>
                <w:rFonts w:ascii="宋体" w:hAnsi="宋体" w:cs="仿宋"/>
                <w:color w:val="auto"/>
                <w:sz w:val="24"/>
                <w:highlight w:val="none"/>
              </w:rPr>
            </w:pPr>
          </w:p>
        </w:tc>
        <w:tc>
          <w:tcPr>
            <w:tcW w:w="1082" w:type="dxa"/>
          </w:tcPr>
          <w:p>
            <w:pPr>
              <w:widowControl/>
              <w:spacing w:line="360" w:lineRule="atLeast"/>
              <w:ind w:firstLine="470" w:firstLineChars="196"/>
              <w:jc w:val="left"/>
              <w:outlineLvl w:val="1"/>
              <w:rPr>
                <w:rFonts w:ascii="宋体" w:hAnsi="宋体" w:cs="仿宋"/>
                <w:color w:val="auto"/>
                <w:sz w:val="24"/>
                <w:highlight w:val="none"/>
              </w:rPr>
            </w:pPr>
          </w:p>
        </w:tc>
        <w:tc>
          <w:tcPr>
            <w:tcW w:w="1082" w:type="dxa"/>
          </w:tcPr>
          <w:p>
            <w:pPr>
              <w:widowControl/>
              <w:spacing w:line="360" w:lineRule="atLeast"/>
              <w:ind w:firstLine="470" w:firstLineChars="196"/>
              <w:jc w:val="left"/>
              <w:outlineLvl w:val="1"/>
              <w:rPr>
                <w:rFonts w:ascii="宋体" w:hAnsi="宋体" w:cs="仿宋"/>
                <w:color w:val="auto"/>
                <w:sz w:val="24"/>
                <w:highlight w:val="none"/>
              </w:rPr>
            </w:pPr>
          </w:p>
        </w:tc>
        <w:tc>
          <w:tcPr>
            <w:tcW w:w="1140" w:type="dxa"/>
          </w:tcPr>
          <w:p>
            <w:pPr>
              <w:widowControl/>
              <w:spacing w:line="360" w:lineRule="atLeast"/>
              <w:ind w:firstLine="470" w:firstLineChars="196"/>
              <w:jc w:val="left"/>
              <w:outlineLvl w:val="1"/>
              <w:rPr>
                <w:rFonts w:ascii="宋体" w:hAnsi="宋体" w:cs="仿宋"/>
                <w:color w:val="auto"/>
                <w:sz w:val="24"/>
                <w:highlight w:val="none"/>
              </w:rPr>
            </w:pPr>
          </w:p>
        </w:tc>
        <w:tc>
          <w:tcPr>
            <w:tcW w:w="1287" w:type="dxa"/>
          </w:tcPr>
          <w:p>
            <w:pPr>
              <w:widowControl/>
              <w:spacing w:line="360" w:lineRule="atLeast"/>
              <w:ind w:firstLine="470" w:firstLineChars="196"/>
              <w:jc w:val="left"/>
              <w:outlineLvl w:val="1"/>
              <w:rPr>
                <w:rFonts w:ascii="宋体" w:hAnsi="宋体" w:cs="仿宋"/>
                <w:color w:val="auto"/>
                <w:sz w:val="24"/>
                <w:highlight w:val="none"/>
              </w:rPr>
            </w:pPr>
          </w:p>
        </w:tc>
        <w:tc>
          <w:tcPr>
            <w:tcW w:w="1135" w:type="dxa"/>
          </w:tcPr>
          <w:p>
            <w:pPr>
              <w:widowControl/>
              <w:spacing w:line="360" w:lineRule="atLeast"/>
              <w:ind w:firstLine="470" w:firstLineChars="196"/>
              <w:jc w:val="left"/>
              <w:outlineLvl w:val="1"/>
              <w:rPr>
                <w:rFonts w:ascii="宋体" w:hAnsi="宋体" w:cs="仿宋"/>
                <w:color w:val="auto"/>
                <w:sz w:val="24"/>
                <w:highlight w:val="none"/>
              </w:rPr>
            </w:pPr>
          </w:p>
        </w:tc>
        <w:tc>
          <w:tcPr>
            <w:tcW w:w="984" w:type="dxa"/>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1082" w:type="dxa"/>
          </w:tcPr>
          <w:p>
            <w:pPr>
              <w:widowControl/>
              <w:spacing w:line="360" w:lineRule="atLeast"/>
              <w:ind w:firstLine="470" w:firstLineChars="196"/>
              <w:jc w:val="left"/>
              <w:outlineLvl w:val="1"/>
              <w:rPr>
                <w:rFonts w:ascii="宋体" w:hAnsi="宋体" w:cs="仿宋"/>
                <w:color w:val="auto"/>
                <w:sz w:val="24"/>
                <w:highlight w:val="none"/>
              </w:rPr>
            </w:pPr>
          </w:p>
        </w:tc>
        <w:tc>
          <w:tcPr>
            <w:tcW w:w="1082" w:type="dxa"/>
          </w:tcPr>
          <w:p>
            <w:pPr>
              <w:widowControl/>
              <w:spacing w:line="360" w:lineRule="atLeast"/>
              <w:ind w:firstLine="470" w:firstLineChars="196"/>
              <w:jc w:val="left"/>
              <w:outlineLvl w:val="1"/>
              <w:rPr>
                <w:rFonts w:ascii="宋体" w:hAnsi="宋体" w:cs="仿宋"/>
                <w:color w:val="auto"/>
                <w:sz w:val="24"/>
                <w:highlight w:val="none"/>
              </w:rPr>
            </w:pPr>
          </w:p>
        </w:tc>
        <w:tc>
          <w:tcPr>
            <w:tcW w:w="1082" w:type="dxa"/>
          </w:tcPr>
          <w:p>
            <w:pPr>
              <w:widowControl/>
              <w:spacing w:line="360" w:lineRule="atLeast"/>
              <w:ind w:firstLine="470" w:firstLineChars="196"/>
              <w:jc w:val="left"/>
              <w:outlineLvl w:val="1"/>
              <w:rPr>
                <w:rFonts w:ascii="宋体" w:hAnsi="宋体" w:cs="仿宋"/>
                <w:color w:val="auto"/>
                <w:sz w:val="24"/>
                <w:highlight w:val="none"/>
              </w:rPr>
            </w:pPr>
          </w:p>
        </w:tc>
        <w:tc>
          <w:tcPr>
            <w:tcW w:w="1082" w:type="dxa"/>
          </w:tcPr>
          <w:p>
            <w:pPr>
              <w:widowControl/>
              <w:spacing w:line="360" w:lineRule="atLeast"/>
              <w:ind w:firstLine="470" w:firstLineChars="196"/>
              <w:jc w:val="left"/>
              <w:outlineLvl w:val="1"/>
              <w:rPr>
                <w:rFonts w:ascii="宋体" w:hAnsi="宋体" w:cs="仿宋"/>
                <w:color w:val="auto"/>
                <w:sz w:val="24"/>
                <w:highlight w:val="none"/>
              </w:rPr>
            </w:pPr>
          </w:p>
        </w:tc>
        <w:tc>
          <w:tcPr>
            <w:tcW w:w="1140" w:type="dxa"/>
          </w:tcPr>
          <w:p>
            <w:pPr>
              <w:widowControl/>
              <w:spacing w:line="360" w:lineRule="atLeast"/>
              <w:ind w:firstLine="470" w:firstLineChars="196"/>
              <w:jc w:val="left"/>
              <w:outlineLvl w:val="1"/>
              <w:rPr>
                <w:rFonts w:ascii="宋体" w:hAnsi="宋体" w:cs="仿宋"/>
                <w:color w:val="auto"/>
                <w:sz w:val="24"/>
                <w:highlight w:val="none"/>
              </w:rPr>
            </w:pPr>
          </w:p>
        </w:tc>
        <w:tc>
          <w:tcPr>
            <w:tcW w:w="1287" w:type="dxa"/>
          </w:tcPr>
          <w:p>
            <w:pPr>
              <w:widowControl/>
              <w:spacing w:line="360" w:lineRule="atLeast"/>
              <w:ind w:firstLine="470" w:firstLineChars="196"/>
              <w:jc w:val="left"/>
              <w:outlineLvl w:val="1"/>
              <w:rPr>
                <w:rFonts w:ascii="宋体" w:hAnsi="宋体" w:cs="仿宋"/>
                <w:color w:val="auto"/>
                <w:sz w:val="24"/>
                <w:highlight w:val="none"/>
              </w:rPr>
            </w:pPr>
          </w:p>
        </w:tc>
        <w:tc>
          <w:tcPr>
            <w:tcW w:w="1135" w:type="dxa"/>
          </w:tcPr>
          <w:p>
            <w:pPr>
              <w:widowControl/>
              <w:spacing w:line="360" w:lineRule="atLeast"/>
              <w:ind w:firstLine="470" w:firstLineChars="196"/>
              <w:jc w:val="left"/>
              <w:outlineLvl w:val="1"/>
              <w:rPr>
                <w:rFonts w:ascii="宋体" w:hAnsi="宋体" w:cs="仿宋"/>
                <w:color w:val="auto"/>
                <w:sz w:val="24"/>
                <w:highlight w:val="none"/>
              </w:rPr>
            </w:pPr>
          </w:p>
        </w:tc>
        <w:tc>
          <w:tcPr>
            <w:tcW w:w="984" w:type="dxa"/>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trPr>
        <w:tc>
          <w:tcPr>
            <w:tcW w:w="1082" w:type="dxa"/>
          </w:tcPr>
          <w:p>
            <w:pPr>
              <w:widowControl/>
              <w:spacing w:line="360" w:lineRule="atLeast"/>
              <w:ind w:firstLine="470" w:firstLineChars="196"/>
              <w:jc w:val="left"/>
              <w:outlineLvl w:val="1"/>
              <w:rPr>
                <w:rFonts w:ascii="宋体" w:hAnsi="宋体" w:cs="仿宋"/>
                <w:color w:val="auto"/>
                <w:sz w:val="24"/>
                <w:highlight w:val="none"/>
              </w:rPr>
            </w:pPr>
          </w:p>
        </w:tc>
        <w:tc>
          <w:tcPr>
            <w:tcW w:w="1082" w:type="dxa"/>
          </w:tcPr>
          <w:p>
            <w:pPr>
              <w:widowControl/>
              <w:spacing w:line="360" w:lineRule="atLeast"/>
              <w:ind w:firstLine="470" w:firstLineChars="196"/>
              <w:jc w:val="left"/>
              <w:outlineLvl w:val="1"/>
              <w:rPr>
                <w:rFonts w:ascii="宋体" w:hAnsi="宋体" w:cs="仿宋"/>
                <w:color w:val="auto"/>
                <w:sz w:val="24"/>
                <w:highlight w:val="none"/>
              </w:rPr>
            </w:pPr>
          </w:p>
        </w:tc>
        <w:tc>
          <w:tcPr>
            <w:tcW w:w="1082" w:type="dxa"/>
          </w:tcPr>
          <w:p>
            <w:pPr>
              <w:widowControl/>
              <w:spacing w:line="360" w:lineRule="atLeast"/>
              <w:ind w:firstLine="470" w:firstLineChars="196"/>
              <w:jc w:val="left"/>
              <w:outlineLvl w:val="1"/>
              <w:rPr>
                <w:rFonts w:ascii="宋体" w:hAnsi="宋体" w:cs="仿宋"/>
                <w:color w:val="auto"/>
                <w:sz w:val="24"/>
                <w:highlight w:val="none"/>
              </w:rPr>
            </w:pPr>
          </w:p>
        </w:tc>
        <w:tc>
          <w:tcPr>
            <w:tcW w:w="1082" w:type="dxa"/>
          </w:tcPr>
          <w:p>
            <w:pPr>
              <w:widowControl/>
              <w:spacing w:line="360" w:lineRule="atLeast"/>
              <w:ind w:firstLine="470" w:firstLineChars="196"/>
              <w:jc w:val="left"/>
              <w:outlineLvl w:val="1"/>
              <w:rPr>
                <w:rFonts w:ascii="宋体" w:hAnsi="宋体" w:cs="仿宋"/>
                <w:color w:val="auto"/>
                <w:sz w:val="24"/>
                <w:highlight w:val="none"/>
              </w:rPr>
            </w:pPr>
          </w:p>
        </w:tc>
        <w:tc>
          <w:tcPr>
            <w:tcW w:w="1140" w:type="dxa"/>
          </w:tcPr>
          <w:p>
            <w:pPr>
              <w:widowControl/>
              <w:spacing w:line="360" w:lineRule="atLeast"/>
              <w:ind w:firstLine="470" w:firstLineChars="196"/>
              <w:jc w:val="left"/>
              <w:outlineLvl w:val="1"/>
              <w:rPr>
                <w:rFonts w:ascii="宋体" w:hAnsi="宋体" w:cs="仿宋"/>
                <w:color w:val="auto"/>
                <w:sz w:val="24"/>
                <w:highlight w:val="none"/>
              </w:rPr>
            </w:pPr>
          </w:p>
        </w:tc>
        <w:tc>
          <w:tcPr>
            <w:tcW w:w="1287" w:type="dxa"/>
          </w:tcPr>
          <w:p>
            <w:pPr>
              <w:widowControl/>
              <w:spacing w:line="360" w:lineRule="atLeast"/>
              <w:ind w:firstLine="470" w:firstLineChars="196"/>
              <w:jc w:val="left"/>
              <w:outlineLvl w:val="1"/>
              <w:rPr>
                <w:rFonts w:ascii="宋体" w:hAnsi="宋体" w:cs="仿宋"/>
                <w:color w:val="auto"/>
                <w:sz w:val="24"/>
                <w:highlight w:val="none"/>
              </w:rPr>
            </w:pPr>
          </w:p>
        </w:tc>
        <w:tc>
          <w:tcPr>
            <w:tcW w:w="1135" w:type="dxa"/>
          </w:tcPr>
          <w:p>
            <w:pPr>
              <w:widowControl/>
              <w:spacing w:line="360" w:lineRule="atLeast"/>
              <w:ind w:firstLine="470" w:firstLineChars="196"/>
              <w:jc w:val="left"/>
              <w:outlineLvl w:val="1"/>
              <w:rPr>
                <w:rFonts w:ascii="宋体" w:hAnsi="宋体" w:cs="仿宋"/>
                <w:color w:val="auto"/>
                <w:sz w:val="24"/>
                <w:highlight w:val="none"/>
              </w:rPr>
            </w:pPr>
          </w:p>
        </w:tc>
        <w:tc>
          <w:tcPr>
            <w:tcW w:w="984" w:type="dxa"/>
          </w:tcPr>
          <w:p>
            <w:pPr>
              <w:widowControl/>
              <w:spacing w:line="360" w:lineRule="atLeast"/>
              <w:ind w:firstLine="470" w:firstLineChars="196"/>
              <w:jc w:val="left"/>
              <w:outlineLvl w:val="1"/>
              <w:rPr>
                <w:rFonts w:ascii="宋体" w:hAnsi="宋体"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1082" w:type="dxa"/>
            <w:tcBorders>
              <w:bottom w:val="single" w:color="auto" w:sz="4" w:space="0"/>
            </w:tcBorders>
          </w:tcPr>
          <w:p>
            <w:pPr>
              <w:widowControl/>
              <w:spacing w:line="360" w:lineRule="atLeast"/>
              <w:ind w:firstLine="470" w:firstLineChars="196"/>
              <w:jc w:val="left"/>
              <w:outlineLvl w:val="1"/>
              <w:rPr>
                <w:rFonts w:ascii="宋体" w:hAnsi="宋体" w:cs="仿宋"/>
                <w:color w:val="auto"/>
                <w:sz w:val="24"/>
                <w:highlight w:val="none"/>
              </w:rPr>
            </w:pPr>
          </w:p>
        </w:tc>
        <w:tc>
          <w:tcPr>
            <w:tcW w:w="1082" w:type="dxa"/>
          </w:tcPr>
          <w:p>
            <w:pPr>
              <w:widowControl/>
              <w:spacing w:line="360" w:lineRule="atLeast"/>
              <w:ind w:firstLine="470" w:firstLineChars="196"/>
              <w:jc w:val="left"/>
              <w:outlineLvl w:val="1"/>
              <w:rPr>
                <w:rFonts w:ascii="宋体" w:hAnsi="宋体" w:cs="仿宋"/>
                <w:color w:val="auto"/>
                <w:sz w:val="24"/>
                <w:highlight w:val="none"/>
              </w:rPr>
            </w:pPr>
          </w:p>
        </w:tc>
        <w:tc>
          <w:tcPr>
            <w:tcW w:w="1082" w:type="dxa"/>
          </w:tcPr>
          <w:p>
            <w:pPr>
              <w:widowControl/>
              <w:spacing w:line="360" w:lineRule="atLeast"/>
              <w:ind w:firstLine="470" w:firstLineChars="196"/>
              <w:jc w:val="left"/>
              <w:outlineLvl w:val="1"/>
              <w:rPr>
                <w:rFonts w:ascii="宋体" w:hAnsi="宋体" w:cs="仿宋"/>
                <w:color w:val="auto"/>
                <w:sz w:val="24"/>
                <w:highlight w:val="none"/>
              </w:rPr>
            </w:pPr>
          </w:p>
        </w:tc>
        <w:tc>
          <w:tcPr>
            <w:tcW w:w="1082" w:type="dxa"/>
          </w:tcPr>
          <w:p>
            <w:pPr>
              <w:widowControl/>
              <w:spacing w:line="360" w:lineRule="atLeast"/>
              <w:ind w:firstLine="470" w:firstLineChars="196"/>
              <w:jc w:val="left"/>
              <w:outlineLvl w:val="1"/>
              <w:rPr>
                <w:rFonts w:ascii="宋体" w:hAnsi="宋体" w:cs="仿宋"/>
                <w:color w:val="auto"/>
                <w:sz w:val="24"/>
                <w:highlight w:val="none"/>
              </w:rPr>
            </w:pPr>
          </w:p>
        </w:tc>
        <w:tc>
          <w:tcPr>
            <w:tcW w:w="1140" w:type="dxa"/>
          </w:tcPr>
          <w:p>
            <w:pPr>
              <w:widowControl/>
              <w:spacing w:line="360" w:lineRule="atLeast"/>
              <w:ind w:firstLine="470" w:firstLineChars="196"/>
              <w:jc w:val="left"/>
              <w:outlineLvl w:val="1"/>
              <w:rPr>
                <w:rFonts w:ascii="宋体" w:hAnsi="宋体" w:cs="仿宋"/>
                <w:color w:val="auto"/>
                <w:sz w:val="24"/>
                <w:highlight w:val="none"/>
              </w:rPr>
            </w:pPr>
          </w:p>
        </w:tc>
        <w:tc>
          <w:tcPr>
            <w:tcW w:w="1287" w:type="dxa"/>
          </w:tcPr>
          <w:p>
            <w:pPr>
              <w:widowControl/>
              <w:spacing w:line="360" w:lineRule="atLeast"/>
              <w:ind w:firstLine="470" w:firstLineChars="196"/>
              <w:jc w:val="left"/>
              <w:outlineLvl w:val="1"/>
              <w:rPr>
                <w:rFonts w:ascii="宋体" w:hAnsi="宋体" w:cs="仿宋"/>
                <w:color w:val="auto"/>
                <w:sz w:val="24"/>
                <w:highlight w:val="none"/>
              </w:rPr>
            </w:pPr>
          </w:p>
        </w:tc>
        <w:tc>
          <w:tcPr>
            <w:tcW w:w="1135" w:type="dxa"/>
          </w:tcPr>
          <w:p>
            <w:pPr>
              <w:widowControl/>
              <w:spacing w:line="360" w:lineRule="atLeast"/>
              <w:ind w:firstLine="470" w:firstLineChars="196"/>
              <w:jc w:val="left"/>
              <w:outlineLvl w:val="1"/>
              <w:rPr>
                <w:rFonts w:ascii="宋体" w:hAnsi="宋体" w:cs="仿宋"/>
                <w:color w:val="auto"/>
                <w:sz w:val="24"/>
                <w:highlight w:val="none"/>
              </w:rPr>
            </w:pPr>
          </w:p>
        </w:tc>
        <w:tc>
          <w:tcPr>
            <w:tcW w:w="984" w:type="dxa"/>
          </w:tcPr>
          <w:p>
            <w:pPr>
              <w:widowControl/>
              <w:spacing w:line="360" w:lineRule="atLeast"/>
              <w:ind w:firstLine="470" w:firstLineChars="196"/>
              <w:jc w:val="left"/>
              <w:outlineLvl w:val="1"/>
              <w:rPr>
                <w:rFonts w:ascii="宋体" w:hAnsi="宋体" w:cs="仿宋"/>
                <w:color w:val="auto"/>
                <w:sz w:val="24"/>
                <w:highlight w:val="none"/>
              </w:rPr>
            </w:pPr>
          </w:p>
        </w:tc>
      </w:tr>
    </w:tbl>
    <w:p>
      <w:pPr>
        <w:widowControl/>
        <w:spacing w:line="360" w:lineRule="atLeast"/>
        <w:ind w:firstLine="470" w:firstLineChars="196"/>
        <w:jc w:val="left"/>
        <w:outlineLvl w:val="1"/>
        <w:rPr>
          <w:rFonts w:ascii="宋体" w:hAnsi="宋体" w:cs="仿宋"/>
          <w:color w:val="auto"/>
          <w:sz w:val="24"/>
          <w:highlight w:val="none"/>
        </w:rPr>
      </w:pPr>
    </w:p>
    <w:p>
      <w:pPr>
        <w:widowControl/>
        <w:spacing w:line="360" w:lineRule="atLeast"/>
        <w:ind w:firstLine="470" w:firstLineChars="196"/>
        <w:jc w:val="left"/>
        <w:outlineLvl w:val="1"/>
        <w:rPr>
          <w:rFonts w:ascii="宋体" w:hAnsi="宋体" w:cs="仿宋"/>
          <w:color w:val="auto"/>
          <w:sz w:val="24"/>
          <w:highlight w:val="none"/>
        </w:rPr>
      </w:pPr>
      <w:bookmarkStart w:id="170" w:name="_Hlk534972056"/>
      <w:r>
        <w:rPr>
          <w:rFonts w:hint="eastAsia" w:ascii="宋体" w:hAnsi="宋体" w:cs="仿宋"/>
          <w:color w:val="auto"/>
          <w:sz w:val="24"/>
          <w:highlight w:val="none"/>
        </w:rPr>
        <w:t>投标人名称：</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（单位公章）。</w:t>
      </w:r>
    </w:p>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法定代表人/单位负责人或授权代表（签字）：</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p>
    <w:p>
      <w:pPr>
        <w:widowControl/>
        <w:spacing w:line="360" w:lineRule="atLeast"/>
        <w:ind w:firstLine="470" w:firstLineChars="196"/>
        <w:jc w:val="left"/>
        <w:outlineLvl w:val="1"/>
        <w:rPr>
          <w:rFonts w:ascii="宋体" w:hAnsi="宋体" w:cs="仿宋"/>
          <w:color w:val="auto"/>
          <w:sz w:val="24"/>
          <w:highlight w:val="none"/>
        </w:rPr>
      </w:pPr>
      <w:r>
        <w:rPr>
          <w:rFonts w:hint="eastAsia" w:ascii="宋体" w:hAnsi="宋体" w:cs="仿宋"/>
          <w:color w:val="auto"/>
          <w:sz w:val="24"/>
          <w:highlight w:val="none"/>
        </w:rPr>
        <w:t xml:space="preserve">投标日期: </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bookmarkEnd w:id="170"/>
    </w:p>
    <w:p>
      <w:pPr>
        <w:spacing w:line="360" w:lineRule="auto"/>
        <w:rPr>
          <w:rFonts w:hint="eastAsia" w:ascii="宋体" w:hAnsi="宋体" w:eastAsia="宋体" w:cs="仿宋"/>
          <w:b/>
          <w:color w:val="auto"/>
          <w:sz w:val="32"/>
          <w:szCs w:val="32"/>
          <w:highlight w:val="none"/>
          <w:lang w:val="en-US" w:eastAsia="zh-CN"/>
        </w:rPr>
      </w:pPr>
      <w:r>
        <w:rPr>
          <w:rFonts w:hint="eastAsia" w:ascii="宋体" w:hAnsi="宋体" w:cs="仿宋"/>
          <w:b/>
          <w:color w:val="auto"/>
          <w:sz w:val="24"/>
          <w:highlight w:val="none"/>
        </w:rPr>
        <w:br w:type="page"/>
      </w:r>
      <w:r>
        <w:rPr>
          <w:rFonts w:hint="eastAsia" w:ascii="宋体" w:hAnsi="宋体" w:cs="仿宋"/>
          <w:b/>
          <w:color w:val="auto"/>
          <w:sz w:val="32"/>
          <w:szCs w:val="32"/>
          <w:highlight w:val="none"/>
        </w:rPr>
        <w:t>格式2-1</w:t>
      </w:r>
      <w:r>
        <w:rPr>
          <w:rFonts w:hint="eastAsia" w:ascii="宋体" w:hAnsi="宋体" w:cs="仿宋"/>
          <w:b/>
          <w:color w:val="auto"/>
          <w:sz w:val="32"/>
          <w:szCs w:val="32"/>
          <w:highlight w:val="none"/>
          <w:lang w:val="en-US" w:eastAsia="zh-CN"/>
        </w:rPr>
        <w:t>1</w:t>
      </w:r>
    </w:p>
    <w:p>
      <w:pPr>
        <w:widowControl/>
        <w:numPr>
          <w:ilvl w:val="0"/>
          <w:numId w:val="0"/>
        </w:numPr>
        <w:spacing w:line="360" w:lineRule="atLeast"/>
        <w:jc w:val="center"/>
        <w:outlineLvl w:val="1"/>
        <w:rPr>
          <w:rFonts w:hint="eastAsia" w:ascii="宋体" w:hAnsi="宋体" w:cs="仿宋"/>
          <w:b/>
          <w:color w:val="auto"/>
          <w:sz w:val="32"/>
          <w:szCs w:val="32"/>
          <w:highlight w:val="none"/>
        </w:rPr>
      </w:pPr>
      <w:r>
        <w:rPr>
          <w:rFonts w:hint="eastAsia" w:ascii="宋体" w:hAnsi="宋体" w:cs="仿宋"/>
          <w:b/>
          <w:color w:val="auto"/>
          <w:sz w:val="32"/>
          <w:szCs w:val="32"/>
          <w:highlight w:val="none"/>
          <w:lang w:eastAsia="zh-CN"/>
        </w:rPr>
        <w:t>十一、</w:t>
      </w:r>
      <w:r>
        <w:rPr>
          <w:rFonts w:hint="eastAsia" w:ascii="宋体" w:hAnsi="宋体" w:cs="仿宋"/>
          <w:b/>
          <w:color w:val="auto"/>
          <w:sz w:val="32"/>
          <w:szCs w:val="32"/>
          <w:highlight w:val="none"/>
        </w:rPr>
        <w:t>中小企业声明函</w:t>
      </w:r>
    </w:p>
    <w:p>
      <w:pPr>
        <w:pStyle w:val="2"/>
        <w:numPr>
          <w:ilvl w:val="0"/>
          <w:numId w:val="0"/>
        </w:numPr>
        <w:rPr>
          <w:color w:val="auto"/>
          <w:highlight w:val="none"/>
        </w:rPr>
      </w:pPr>
    </w:p>
    <w:p>
      <w:pPr>
        <w:spacing w:line="400" w:lineRule="exact"/>
        <w:ind w:firstLine="504" w:firstLineChars="200"/>
        <w:rPr>
          <w:rFonts w:ascii="Calibri" w:hAnsi="Calibri" w:cs="宋体"/>
          <w:color w:val="auto"/>
          <w:spacing w:val="6"/>
          <w:kern w:val="2"/>
          <w:sz w:val="24"/>
          <w:szCs w:val="24"/>
          <w:highlight w:val="none"/>
        </w:rPr>
      </w:pPr>
      <w:r>
        <w:rPr>
          <w:rFonts w:hint="eastAsia" w:ascii="Calibri" w:hAnsi="Calibri" w:cs="宋体"/>
          <w:color w:val="auto"/>
          <w:spacing w:val="6"/>
          <w:kern w:val="2"/>
          <w:sz w:val="24"/>
          <w:szCs w:val="24"/>
          <w:highlight w:val="none"/>
        </w:rPr>
        <w:t>本公司（联合体）郑重声明，根据《政府采购促进中小企业发展管理办法》（财库﹝2020﹞46 号）的规定，本公司（联合体）参加</w:t>
      </w:r>
      <w:r>
        <w:rPr>
          <w:rFonts w:hint="eastAsia" w:ascii="Calibri" w:hAnsi="Calibri" w:cs="宋体"/>
          <w:color w:val="auto"/>
          <w:spacing w:val="6"/>
          <w:kern w:val="2"/>
          <w:sz w:val="24"/>
          <w:szCs w:val="24"/>
          <w:highlight w:val="none"/>
          <w:u w:val="single"/>
          <w:lang w:val="en-US" w:eastAsia="zh-CN"/>
        </w:rPr>
        <w:t xml:space="preserve">   </w:t>
      </w:r>
      <w:r>
        <w:rPr>
          <w:rFonts w:hint="eastAsia" w:ascii="Calibri" w:hAnsi="Calibri" w:cs="宋体"/>
          <w:color w:val="auto"/>
          <w:spacing w:val="6"/>
          <w:kern w:val="2"/>
          <w:sz w:val="24"/>
          <w:szCs w:val="24"/>
          <w:highlight w:val="none"/>
          <w:u w:val="single"/>
        </w:rPr>
        <w:t>（单位名称）</w:t>
      </w:r>
      <w:r>
        <w:rPr>
          <w:rFonts w:hint="eastAsia" w:ascii="Calibri" w:hAnsi="Calibri" w:cs="宋体"/>
          <w:color w:val="auto"/>
          <w:spacing w:val="6"/>
          <w:kern w:val="2"/>
          <w:sz w:val="24"/>
          <w:szCs w:val="24"/>
          <w:highlight w:val="none"/>
        </w:rPr>
        <w:t>的</w:t>
      </w:r>
      <w:r>
        <w:rPr>
          <w:rFonts w:hint="eastAsia" w:ascii="Calibri" w:hAnsi="Calibri" w:cs="宋体"/>
          <w:color w:val="auto"/>
          <w:spacing w:val="6"/>
          <w:kern w:val="2"/>
          <w:sz w:val="24"/>
          <w:szCs w:val="24"/>
          <w:highlight w:val="none"/>
          <w:u w:val="single"/>
          <w:lang w:val="en-US" w:eastAsia="zh-CN"/>
        </w:rPr>
        <w:t xml:space="preserve">  </w:t>
      </w:r>
      <w:r>
        <w:rPr>
          <w:rFonts w:hint="eastAsia" w:ascii="Calibri" w:hAnsi="Calibri" w:cs="宋体"/>
          <w:color w:val="auto"/>
          <w:spacing w:val="6"/>
          <w:kern w:val="2"/>
          <w:sz w:val="24"/>
          <w:szCs w:val="24"/>
          <w:highlight w:val="none"/>
          <w:u w:val="single"/>
        </w:rPr>
        <w:t>（项目名称）</w:t>
      </w:r>
      <w:r>
        <w:rPr>
          <w:rFonts w:hint="eastAsia" w:ascii="Calibri" w:hAnsi="Calibri" w:cs="宋体"/>
          <w:color w:val="auto"/>
          <w:spacing w:val="6"/>
          <w:kern w:val="2"/>
          <w:sz w:val="24"/>
          <w:szCs w:val="24"/>
          <w:highlight w:val="none"/>
          <w:u w:val="single"/>
          <w:lang w:val="en-US" w:eastAsia="zh-CN"/>
        </w:rPr>
        <w:t xml:space="preserve">  </w:t>
      </w:r>
      <w:r>
        <w:rPr>
          <w:rFonts w:hint="eastAsia" w:ascii="Calibri" w:hAnsi="Calibri" w:cs="宋体"/>
          <w:color w:val="auto"/>
          <w:spacing w:val="6"/>
          <w:kern w:val="2"/>
          <w:sz w:val="24"/>
          <w:szCs w:val="24"/>
          <w:highlight w:val="none"/>
        </w:rPr>
        <w:t>采购活动，服务全部由符合政策要求的中小企业承接。相关企业（含联合体中的中小企业）的具体情况如下：</w:t>
      </w:r>
    </w:p>
    <w:p>
      <w:pPr>
        <w:spacing w:line="400" w:lineRule="exact"/>
        <w:ind w:firstLine="504" w:firstLineChars="200"/>
        <w:rPr>
          <w:rFonts w:ascii="Calibri" w:hAnsi="Calibri" w:cs="宋体"/>
          <w:color w:val="auto"/>
          <w:spacing w:val="6"/>
          <w:kern w:val="2"/>
          <w:sz w:val="24"/>
          <w:szCs w:val="24"/>
          <w:highlight w:val="none"/>
        </w:rPr>
      </w:pPr>
      <w:r>
        <w:rPr>
          <w:rFonts w:hint="eastAsia" w:ascii="Calibri" w:hAnsi="Calibri" w:cs="宋体"/>
          <w:color w:val="auto"/>
          <w:spacing w:val="6"/>
          <w:kern w:val="2"/>
          <w:sz w:val="24"/>
          <w:szCs w:val="24"/>
          <w:highlight w:val="none"/>
        </w:rPr>
        <w:t xml:space="preserve">1. </w:t>
      </w:r>
      <w:r>
        <w:rPr>
          <w:rFonts w:hint="eastAsia" w:ascii="Calibri" w:hAnsi="Calibri" w:cs="宋体"/>
          <w:color w:val="auto"/>
          <w:spacing w:val="6"/>
          <w:kern w:val="2"/>
          <w:sz w:val="24"/>
          <w:szCs w:val="24"/>
          <w:highlight w:val="none"/>
          <w:u w:val="single"/>
        </w:rPr>
        <w:t xml:space="preserve">         （标的名称）</w:t>
      </w:r>
      <w:r>
        <w:rPr>
          <w:rFonts w:hint="eastAsia" w:ascii="Calibri" w:hAnsi="Calibri" w:cs="宋体"/>
          <w:color w:val="auto"/>
          <w:spacing w:val="6"/>
          <w:kern w:val="2"/>
          <w:sz w:val="24"/>
          <w:szCs w:val="24"/>
          <w:highlight w:val="none"/>
        </w:rPr>
        <w:t>，属于</w:t>
      </w:r>
      <w:r>
        <w:rPr>
          <w:rFonts w:hint="eastAsia" w:ascii="Calibri" w:hAnsi="Calibri" w:cs="宋体"/>
          <w:color w:val="auto"/>
          <w:spacing w:val="6"/>
          <w:kern w:val="2"/>
          <w:sz w:val="24"/>
          <w:szCs w:val="24"/>
          <w:highlight w:val="none"/>
          <w:u w:val="single"/>
        </w:rPr>
        <w:t xml:space="preserve">         （采购文件中明确的所属行业）</w:t>
      </w:r>
      <w:r>
        <w:rPr>
          <w:rFonts w:hint="eastAsia" w:ascii="Calibri" w:hAnsi="Calibri" w:cs="宋体"/>
          <w:color w:val="auto"/>
          <w:spacing w:val="6"/>
          <w:kern w:val="2"/>
          <w:sz w:val="24"/>
          <w:szCs w:val="24"/>
          <w:highlight w:val="none"/>
        </w:rPr>
        <w:t>；承建（承接）企业为</w:t>
      </w:r>
      <w:r>
        <w:rPr>
          <w:rFonts w:hint="eastAsia" w:ascii="Calibri" w:hAnsi="Calibri" w:cs="宋体"/>
          <w:color w:val="auto"/>
          <w:spacing w:val="6"/>
          <w:kern w:val="2"/>
          <w:sz w:val="24"/>
          <w:szCs w:val="24"/>
          <w:highlight w:val="none"/>
          <w:u w:val="single"/>
        </w:rPr>
        <w:t xml:space="preserve">         （企业名称</w:t>
      </w:r>
      <w:r>
        <w:rPr>
          <w:rFonts w:hint="eastAsia" w:ascii="Calibri" w:hAnsi="Calibri" w:cs="宋体"/>
          <w:color w:val="auto"/>
          <w:spacing w:val="6"/>
          <w:kern w:val="2"/>
          <w:sz w:val="24"/>
          <w:szCs w:val="24"/>
          <w:highlight w:val="none"/>
        </w:rPr>
        <w:t>），从业人员</w:t>
      </w:r>
      <w:r>
        <w:rPr>
          <w:rFonts w:hint="eastAsia" w:ascii="Calibri" w:hAnsi="Calibri" w:cs="宋体"/>
          <w:color w:val="auto"/>
          <w:spacing w:val="6"/>
          <w:kern w:val="2"/>
          <w:sz w:val="24"/>
          <w:szCs w:val="24"/>
          <w:highlight w:val="none"/>
          <w:u w:val="single"/>
        </w:rPr>
        <w:t xml:space="preserve">         </w:t>
      </w:r>
      <w:r>
        <w:rPr>
          <w:rFonts w:hint="eastAsia" w:ascii="Calibri" w:hAnsi="Calibri" w:cs="宋体"/>
          <w:color w:val="auto"/>
          <w:spacing w:val="6"/>
          <w:kern w:val="2"/>
          <w:sz w:val="24"/>
          <w:szCs w:val="24"/>
          <w:highlight w:val="none"/>
        </w:rPr>
        <w:t>人，营业收入为</w:t>
      </w:r>
      <w:r>
        <w:rPr>
          <w:rFonts w:hint="eastAsia" w:ascii="Calibri" w:hAnsi="Calibri" w:cs="宋体"/>
          <w:color w:val="auto"/>
          <w:spacing w:val="6"/>
          <w:kern w:val="2"/>
          <w:sz w:val="24"/>
          <w:szCs w:val="24"/>
          <w:highlight w:val="none"/>
          <w:u w:val="single"/>
        </w:rPr>
        <w:t xml:space="preserve">         </w:t>
      </w:r>
      <w:r>
        <w:rPr>
          <w:rFonts w:hint="eastAsia" w:ascii="Calibri" w:hAnsi="Calibri" w:cs="宋体"/>
          <w:color w:val="auto"/>
          <w:spacing w:val="6"/>
          <w:kern w:val="2"/>
          <w:sz w:val="24"/>
          <w:szCs w:val="24"/>
          <w:highlight w:val="none"/>
        </w:rPr>
        <w:t>万元，资产总额为</w:t>
      </w:r>
      <w:r>
        <w:rPr>
          <w:rFonts w:hint="eastAsia" w:ascii="Calibri" w:hAnsi="Calibri" w:cs="宋体"/>
          <w:color w:val="auto"/>
          <w:spacing w:val="6"/>
          <w:kern w:val="2"/>
          <w:sz w:val="24"/>
          <w:szCs w:val="24"/>
          <w:highlight w:val="none"/>
          <w:u w:val="single"/>
        </w:rPr>
        <w:t xml:space="preserve">         </w:t>
      </w:r>
      <w:r>
        <w:rPr>
          <w:rFonts w:hint="eastAsia" w:ascii="Calibri" w:hAnsi="Calibri" w:cs="宋体"/>
          <w:color w:val="auto"/>
          <w:spacing w:val="6"/>
          <w:kern w:val="2"/>
          <w:sz w:val="24"/>
          <w:szCs w:val="24"/>
          <w:highlight w:val="none"/>
        </w:rPr>
        <w:t>万元，属于</w:t>
      </w:r>
      <w:r>
        <w:rPr>
          <w:rFonts w:hint="eastAsia" w:ascii="Calibri" w:hAnsi="Calibri" w:cs="宋体"/>
          <w:color w:val="auto"/>
          <w:spacing w:val="6"/>
          <w:kern w:val="2"/>
          <w:sz w:val="24"/>
          <w:szCs w:val="24"/>
          <w:highlight w:val="none"/>
          <w:u w:val="single"/>
        </w:rPr>
        <w:t xml:space="preserve">         （中型企业、小型企业、微型企业）</w:t>
      </w:r>
      <w:r>
        <w:rPr>
          <w:rFonts w:hint="eastAsia" w:ascii="Calibri" w:hAnsi="Calibri" w:cs="宋体"/>
          <w:color w:val="auto"/>
          <w:spacing w:val="6"/>
          <w:kern w:val="2"/>
          <w:sz w:val="24"/>
          <w:szCs w:val="24"/>
          <w:highlight w:val="none"/>
        </w:rPr>
        <w:t xml:space="preserve">； </w:t>
      </w:r>
    </w:p>
    <w:p>
      <w:pPr>
        <w:spacing w:line="400" w:lineRule="exact"/>
        <w:ind w:firstLine="504" w:firstLineChars="200"/>
        <w:rPr>
          <w:rFonts w:ascii="Calibri" w:hAnsi="Calibri" w:cs="宋体"/>
          <w:color w:val="auto"/>
          <w:spacing w:val="6"/>
          <w:kern w:val="2"/>
          <w:sz w:val="24"/>
          <w:szCs w:val="24"/>
          <w:highlight w:val="none"/>
        </w:rPr>
      </w:pPr>
      <w:r>
        <w:rPr>
          <w:rFonts w:hint="eastAsia" w:ascii="Calibri" w:hAnsi="Calibri" w:cs="宋体"/>
          <w:color w:val="auto"/>
          <w:spacing w:val="6"/>
          <w:kern w:val="2"/>
          <w:sz w:val="24"/>
          <w:szCs w:val="24"/>
          <w:highlight w:val="none"/>
        </w:rPr>
        <w:t xml:space="preserve">2. </w:t>
      </w:r>
      <w:r>
        <w:rPr>
          <w:rFonts w:hint="eastAsia" w:ascii="Calibri" w:hAnsi="Calibri" w:cs="宋体"/>
          <w:color w:val="auto"/>
          <w:spacing w:val="6"/>
          <w:kern w:val="2"/>
          <w:sz w:val="24"/>
          <w:szCs w:val="24"/>
          <w:highlight w:val="none"/>
          <w:u w:val="single"/>
        </w:rPr>
        <w:t xml:space="preserve">         （标的名称）</w:t>
      </w:r>
      <w:r>
        <w:rPr>
          <w:rFonts w:hint="eastAsia" w:ascii="Calibri" w:hAnsi="Calibri" w:cs="宋体"/>
          <w:color w:val="auto"/>
          <w:spacing w:val="6"/>
          <w:kern w:val="2"/>
          <w:sz w:val="24"/>
          <w:szCs w:val="24"/>
          <w:highlight w:val="none"/>
        </w:rPr>
        <w:t>，属于</w:t>
      </w:r>
      <w:r>
        <w:rPr>
          <w:rFonts w:hint="eastAsia" w:ascii="Calibri" w:hAnsi="Calibri" w:cs="宋体"/>
          <w:color w:val="auto"/>
          <w:spacing w:val="6"/>
          <w:kern w:val="2"/>
          <w:sz w:val="24"/>
          <w:szCs w:val="24"/>
          <w:highlight w:val="none"/>
          <w:u w:val="single"/>
        </w:rPr>
        <w:t xml:space="preserve">         </w:t>
      </w:r>
      <w:r>
        <w:rPr>
          <w:rFonts w:hint="eastAsia" w:ascii="Calibri" w:hAnsi="Calibri" w:cs="宋体"/>
          <w:color w:val="auto"/>
          <w:spacing w:val="6"/>
          <w:kern w:val="2"/>
          <w:sz w:val="24"/>
          <w:szCs w:val="24"/>
          <w:highlight w:val="none"/>
        </w:rPr>
        <w:t>（采购文件中明确的所属行业）；承建（承接）企业为</w:t>
      </w:r>
      <w:r>
        <w:rPr>
          <w:rFonts w:hint="eastAsia" w:ascii="Calibri" w:hAnsi="Calibri" w:cs="宋体"/>
          <w:color w:val="auto"/>
          <w:spacing w:val="6"/>
          <w:kern w:val="2"/>
          <w:sz w:val="24"/>
          <w:szCs w:val="24"/>
          <w:highlight w:val="none"/>
          <w:u w:val="single"/>
        </w:rPr>
        <w:t xml:space="preserve">         （企业名称）</w:t>
      </w:r>
      <w:r>
        <w:rPr>
          <w:rFonts w:hint="eastAsia" w:ascii="Calibri" w:hAnsi="Calibri" w:cs="宋体"/>
          <w:color w:val="auto"/>
          <w:spacing w:val="6"/>
          <w:kern w:val="2"/>
          <w:sz w:val="24"/>
          <w:szCs w:val="24"/>
          <w:highlight w:val="none"/>
        </w:rPr>
        <w:t>，从业人员</w:t>
      </w:r>
      <w:r>
        <w:rPr>
          <w:rFonts w:hint="eastAsia" w:ascii="Calibri" w:hAnsi="Calibri" w:cs="宋体"/>
          <w:color w:val="auto"/>
          <w:spacing w:val="6"/>
          <w:kern w:val="2"/>
          <w:sz w:val="24"/>
          <w:szCs w:val="24"/>
          <w:highlight w:val="none"/>
          <w:u w:val="single"/>
        </w:rPr>
        <w:t xml:space="preserve">         </w:t>
      </w:r>
      <w:r>
        <w:rPr>
          <w:rFonts w:hint="eastAsia" w:ascii="Calibri" w:hAnsi="Calibri" w:cs="宋体"/>
          <w:color w:val="auto"/>
          <w:spacing w:val="6"/>
          <w:kern w:val="2"/>
          <w:sz w:val="24"/>
          <w:szCs w:val="24"/>
          <w:highlight w:val="none"/>
        </w:rPr>
        <w:t>人，营业收入为</w:t>
      </w:r>
      <w:r>
        <w:rPr>
          <w:rFonts w:hint="eastAsia" w:ascii="Calibri" w:hAnsi="Calibri" w:cs="宋体"/>
          <w:color w:val="auto"/>
          <w:spacing w:val="6"/>
          <w:kern w:val="2"/>
          <w:sz w:val="24"/>
          <w:szCs w:val="24"/>
          <w:highlight w:val="none"/>
          <w:u w:val="single"/>
        </w:rPr>
        <w:t xml:space="preserve">         </w:t>
      </w:r>
      <w:r>
        <w:rPr>
          <w:rFonts w:hint="eastAsia" w:ascii="Calibri" w:hAnsi="Calibri" w:cs="宋体"/>
          <w:color w:val="auto"/>
          <w:spacing w:val="6"/>
          <w:kern w:val="2"/>
          <w:sz w:val="24"/>
          <w:szCs w:val="24"/>
          <w:highlight w:val="none"/>
        </w:rPr>
        <w:t>万元，资产总额为</w:t>
      </w:r>
      <w:r>
        <w:rPr>
          <w:rFonts w:hint="eastAsia" w:ascii="Calibri" w:hAnsi="Calibri" w:cs="宋体"/>
          <w:color w:val="auto"/>
          <w:spacing w:val="6"/>
          <w:kern w:val="2"/>
          <w:sz w:val="24"/>
          <w:szCs w:val="24"/>
          <w:highlight w:val="none"/>
          <w:u w:val="single"/>
        </w:rPr>
        <w:t xml:space="preserve">         </w:t>
      </w:r>
      <w:r>
        <w:rPr>
          <w:rFonts w:hint="eastAsia" w:ascii="Calibri" w:hAnsi="Calibri" w:cs="宋体"/>
          <w:color w:val="auto"/>
          <w:spacing w:val="6"/>
          <w:kern w:val="2"/>
          <w:sz w:val="24"/>
          <w:szCs w:val="24"/>
          <w:highlight w:val="none"/>
        </w:rPr>
        <w:t>万元，属于</w:t>
      </w:r>
      <w:r>
        <w:rPr>
          <w:rFonts w:hint="eastAsia" w:ascii="Calibri" w:hAnsi="Calibri" w:cs="宋体"/>
          <w:color w:val="auto"/>
          <w:spacing w:val="6"/>
          <w:kern w:val="2"/>
          <w:sz w:val="24"/>
          <w:szCs w:val="24"/>
          <w:highlight w:val="none"/>
          <w:u w:val="single"/>
        </w:rPr>
        <w:t xml:space="preserve">         （中型企业、小型企业、微型企业</w:t>
      </w:r>
      <w:r>
        <w:rPr>
          <w:rFonts w:hint="eastAsia" w:ascii="Calibri" w:hAnsi="Calibri" w:cs="宋体"/>
          <w:color w:val="auto"/>
          <w:spacing w:val="6"/>
          <w:kern w:val="2"/>
          <w:sz w:val="24"/>
          <w:szCs w:val="24"/>
          <w:highlight w:val="none"/>
        </w:rPr>
        <w:t xml:space="preserve">）； </w:t>
      </w:r>
    </w:p>
    <w:p>
      <w:pPr>
        <w:spacing w:line="400" w:lineRule="exact"/>
        <w:ind w:firstLine="504" w:firstLineChars="200"/>
        <w:rPr>
          <w:rFonts w:ascii="Calibri" w:hAnsi="Calibri" w:cs="宋体"/>
          <w:color w:val="auto"/>
          <w:spacing w:val="6"/>
          <w:kern w:val="2"/>
          <w:sz w:val="24"/>
          <w:szCs w:val="24"/>
          <w:highlight w:val="none"/>
        </w:rPr>
      </w:pPr>
      <w:r>
        <w:rPr>
          <w:rFonts w:hint="eastAsia" w:ascii="Calibri" w:hAnsi="Calibri" w:cs="宋体"/>
          <w:color w:val="auto"/>
          <w:spacing w:val="6"/>
          <w:kern w:val="2"/>
          <w:sz w:val="24"/>
          <w:szCs w:val="24"/>
          <w:highlight w:val="none"/>
        </w:rPr>
        <w:t>……</w:t>
      </w:r>
    </w:p>
    <w:p>
      <w:pPr>
        <w:spacing w:line="400" w:lineRule="exact"/>
        <w:ind w:firstLine="504" w:firstLineChars="200"/>
        <w:rPr>
          <w:rFonts w:ascii="Calibri" w:hAnsi="Calibri" w:cs="宋体"/>
          <w:color w:val="auto"/>
          <w:spacing w:val="6"/>
          <w:kern w:val="2"/>
          <w:sz w:val="24"/>
          <w:szCs w:val="24"/>
          <w:highlight w:val="none"/>
        </w:rPr>
      </w:pPr>
      <w:r>
        <w:rPr>
          <w:rFonts w:hint="eastAsia" w:ascii="Calibri" w:hAnsi="Calibri" w:cs="宋体"/>
          <w:color w:val="auto"/>
          <w:spacing w:val="6"/>
          <w:kern w:val="2"/>
          <w:sz w:val="24"/>
          <w:szCs w:val="24"/>
          <w:highlight w:val="none"/>
        </w:rPr>
        <w:t>以上企业，不属于大企业的分支机构，不存在控股股东为大企业的情形，也不存在与大企业的负责人为同一人的情形。</w:t>
      </w:r>
    </w:p>
    <w:p>
      <w:pPr>
        <w:spacing w:line="400" w:lineRule="exact"/>
        <w:ind w:firstLine="504" w:firstLineChars="200"/>
        <w:rPr>
          <w:rFonts w:ascii="Calibri" w:hAnsi="Calibri" w:cs="宋体"/>
          <w:color w:val="auto"/>
          <w:spacing w:val="6"/>
          <w:kern w:val="2"/>
          <w:sz w:val="24"/>
          <w:szCs w:val="24"/>
          <w:highlight w:val="none"/>
        </w:rPr>
      </w:pPr>
      <w:r>
        <w:rPr>
          <w:rFonts w:hint="eastAsia" w:ascii="Calibri" w:hAnsi="Calibri" w:cs="宋体"/>
          <w:color w:val="auto"/>
          <w:spacing w:val="6"/>
          <w:kern w:val="2"/>
          <w:sz w:val="24"/>
          <w:szCs w:val="24"/>
          <w:highlight w:val="none"/>
        </w:rPr>
        <w:t>本企业对上述声明内容的真实性负责。如有虚假，将依法承担相应责任。</w:t>
      </w:r>
    </w:p>
    <w:p>
      <w:pPr>
        <w:pStyle w:val="2"/>
        <w:rPr>
          <w:rFonts w:hint="eastAsia"/>
          <w:color w:val="auto"/>
          <w:highlight w:val="none"/>
        </w:rPr>
      </w:pPr>
    </w:p>
    <w:p>
      <w:pPr>
        <w:spacing w:line="360" w:lineRule="exact"/>
        <w:ind w:firstLine="632" w:firstLineChars="250"/>
        <w:rPr>
          <w:rFonts w:ascii="Calibri" w:hAnsi="Calibri" w:cs="宋体"/>
          <w:b/>
          <w:bCs/>
          <w:color w:val="auto"/>
          <w:spacing w:val="6"/>
          <w:kern w:val="2"/>
          <w:sz w:val="24"/>
          <w:szCs w:val="24"/>
          <w:highlight w:val="none"/>
        </w:rPr>
      </w:pPr>
      <w:r>
        <w:rPr>
          <w:rFonts w:hint="eastAsia" w:ascii="Calibri" w:hAnsi="Calibri" w:cs="宋体"/>
          <w:b/>
          <w:bCs/>
          <w:color w:val="auto"/>
          <w:spacing w:val="6"/>
          <w:kern w:val="2"/>
          <w:sz w:val="24"/>
          <w:szCs w:val="24"/>
          <w:highlight w:val="none"/>
        </w:rPr>
        <w:t>从业人员、营业收入、资产总额填报上一年度数据，无上一年度数据的新成立企业可不填报。</w:t>
      </w:r>
    </w:p>
    <w:p>
      <w:pPr>
        <w:spacing w:line="360" w:lineRule="exact"/>
        <w:ind w:firstLine="632" w:firstLineChars="250"/>
        <w:rPr>
          <w:rFonts w:ascii="Calibri" w:hAnsi="Calibri" w:cs="宋体"/>
          <w:b/>
          <w:bCs/>
          <w:color w:val="auto"/>
          <w:spacing w:val="6"/>
          <w:kern w:val="2"/>
          <w:sz w:val="24"/>
          <w:szCs w:val="24"/>
          <w:highlight w:val="none"/>
        </w:rPr>
      </w:pPr>
      <w:r>
        <w:rPr>
          <w:rFonts w:hint="eastAsia" w:ascii="Calibri" w:hAnsi="Calibri" w:cs="宋体"/>
          <w:b/>
          <w:bCs/>
          <w:color w:val="auto"/>
          <w:spacing w:val="6"/>
          <w:kern w:val="2"/>
          <w:sz w:val="24"/>
          <w:szCs w:val="24"/>
          <w:highlight w:val="none"/>
        </w:rPr>
        <w:t>说明：供应商为监狱企业的，提供由省级以上监狱管理局、戒毒管理局（含新疆生产建设兵团）出具的供应商属于监狱企业的证明文件复印件。监狱企业视同小型、微型企业。如提供虚假中小企业声明函的，则采购人有权取消参加磋商、成交资格，有权终止合同，并报政府采购监管部门。</w:t>
      </w:r>
    </w:p>
    <w:p>
      <w:pPr>
        <w:spacing w:line="360" w:lineRule="exact"/>
        <w:ind w:firstLine="632" w:firstLineChars="250"/>
        <w:rPr>
          <w:rFonts w:hint="eastAsia" w:ascii="Calibri" w:hAnsi="Calibri" w:cs="宋体"/>
          <w:b/>
          <w:color w:val="auto"/>
          <w:spacing w:val="6"/>
          <w:kern w:val="2"/>
          <w:sz w:val="24"/>
          <w:szCs w:val="24"/>
          <w:highlight w:val="none"/>
        </w:rPr>
      </w:pPr>
      <w:r>
        <w:rPr>
          <w:rFonts w:hint="eastAsia" w:ascii="Calibri" w:hAnsi="Calibri" w:cs="宋体"/>
          <w:b/>
          <w:bCs/>
          <w:color w:val="auto"/>
          <w:spacing w:val="6"/>
          <w:kern w:val="2"/>
          <w:sz w:val="24"/>
          <w:szCs w:val="24"/>
          <w:highlight w:val="none"/>
        </w:rPr>
        <w:t>本项目采购标的对应的中小企业划分标准所属行业为</w:t>
      </w:r>
      <w:r>
        <w:rPr>
          <w:rFonts w:hint="eastAsia" w:ascii="Calibri" w:hAnsi="Calibri" w:cs="宋体"/>
          <w:b/>
          <w:bCs/>
          <w:color w:val="auto"/>
          <w:spacing w:val="6"/>
          <w:kern w:val="2"/>
          <w:sz w:val="24"/>
          <w:szCs w:val="24"/>
          <w:highlight w:val="none"/>
          <w:u w:val="single"/>
        </w:rPr>
        <w:t>其他未列明行业</w:t>
      </w:r>
      <w:r>
        <w:rPr>
          <w:rFonts w:hint="eastAsia" w:ascii="Calibri" w:hAnsi="Calibri" w:cs="宋体"/>
          <w:b/>
          <w:color w:val="auto"/>
          <w:spacing w:val="6"/>
          <w:kern w:val="2"/>
          <w:sz w:val="24"/>
          <w:szCs w:val="24"/>
          <w:highlight w:val="none"/>
          <w:u w:val="single"/>
        </w:rPr>
        <w:t>。</w:t>
      </w:r>
    </w:p>
    <w:p>
      <w:pPr>
        <w:spacing w:line="360" w:lineRule="auto"/>
        <w:ind w:firstLine="480" w:firstLineChars="200"/>
        <w:rPr>
          <w:rFonts w:ascii="宋体" w:hAnsi="宋体" w:cs="仿宋"/>
          <w:color w:val="auto"/>
          <w:sz w:val="24"/>
          <w:highlight w:val="none"/>
        </w:rPr>
      </w:pPr>
    </w:p>
    <w:p>
      <w:pPr>
        <w:widowControl/>
        <w:spacing w:line="360" w:lineRule="atLeast"/>
        <w:jc w:val="left"/>
        <w:outlineLvl w:val="1"/>
        <w:rPr>
          <w:rFonts w:ascii="宋体" w:hAnsi="宋体" w:cs="仿宋"/>
          <w:color w:val="auto"/>
          <w:sz w:val="24"/>
          <w:highlight w:val="none"/>
        </w:rPr>
      </w:pPr>
      <w:bookmarkStart w:id="171" w:name="_Hlk534972108"/>
      <w:r>
        <w:rPr>
          <w:rFonts w:hint="eastAsia" w:ascii="宋体" w:hAnsi="宋体" w:cs="仿宋"/>
          <w:color w:val="auto"/>
          <w:sz w:val="24"/>
          <w:highlight w:val="none"/>
        </w:rPr>
        <w:t>投标人名称：</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（单位公章）。</w:t>
      </w:r>
    </w:p>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法定代表人/单位负责人或授权代表（签字）：</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p>
    <w:p>
      <w:pPr>
        <w:spacing w:line="360" w:lineRule="auto"/>
        <w:jc w:val="left"/>
        <w:rPr>
          <w:rFonts w:ascii="宋体" w:hAnsi="宋体" w:cs="仿宋"/>
          <w:color w:val="auto"/>
          <w:sz w:val="24"/>
          <w:highlight w:val="none"/>
        </w:rPr>
      </w:pPr>
      <w:r>
        <w:rPr>
          <w:rFonts w:hint="eastAsia" w:ascii="宋体" w:hAnsi="宋体" w:cs="仿宋"/>
          <w:color w:val="auto"/>
          <w:sz w:val="24"/>
          <w:highlight w:val="none"/>
        </w:rPr>
        <w:t xml:space="preserve">投标日期: </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p>
    <w:bookmarkEnd w:id="171"/>
    <w:p>
      <w:pPr>
        <w:spacing w:line="360" w:lineRule="auto"/>
        <w:rPr>
          <w:rFonts w:hint="eastAsia" w:ascii="宋体" w:hAnsi="宋体" w:cs="仿宋"/>
          <w:color w:val="auto"/>
          <w:sz w:val="24"/>
          <w:highlight w:val="none"/>
        </w:rPr>
      </w:pPr>
      <w:bookmarkStart w:id="172" w:name="_Toc413748654"/>
      <w:bookmarkStart w:id="173" w:name="_Toc417911732"/>
      <w:bookmarkStart w:id="174" w:name="_Toc387658050"/>
      <w:bookmarkStart w:id="175" w:name="_Toc419811733"/>
      <w:bookmarkStart w:id="176" w:name="_Toc387147344"/>
    </w:p>
    <w:bookmarkEnd w:id="172"/>
    <w:bookmarkEnd w:id="173"/>
    <w:bookmarkEnd w:id="174"/>
    <w:bookmarkEnd w:id="175"/>
    <w:bookmarkEnd w:id="176"/>
    <w:p>
      <w:pPr>
        <w:spacing w:line="360" w:lineRule="auto"/>
        <w:rPr>
          <w:rFonts w:hint="default" w:ascii="宋体" w:hAnsi="宋体" w:eastAsia="宋体" w:cs="仿宋"/>
          <w:b/>
          <w:color w:val="auto"/>
          <w:sz w:val="32"/>
          <w:szCs w:val="32"/>
          <w:highlight w:val="none"/>
          <w:lang w:val="en-US" w:eastAsia="zh-CN"/>
        </w:rPr>
      </w:pPr>
      <w:bookmarkStart w:id="177" w:name="_Toc28495"/>
      <w:bookmarkStart w:id="178" w:name="_Toc28654"/>
      <w:r>
        <w:rPr>
          <w:rFonts w:hint="eastAsia" w:ascii="宋体" w:hAnsi="宋体" w:cs="仿宋"/>
          <w:color w:val="auto"/>
          <w:sz w:val="24"/>
          <w:highlight w:val="none"/>
        </w:rPr>
        <w:br w:type="page"/>
      </w:r>
      <w:r>
        <w:rPr>
          <w:rFonts w:hint="eastAsia" w:ascii="宋体" w:hAnsi="宋体" w:cs="仿宋"/>
          <w:b/>
          <w:color w:val="auto"/>
          <w:sz w:val="32"/>
          <w:szCs w:val="32"/>
          <w:highlight w:val="none"/>
        </w:rPr>
        <w:t>格式2-</w:t>
      </w:r>
      <w:r>
        <w:rPr>
          <w:rFonts w:hint="eastAsia" w:ascii="宋体" w:hAnsi="宋体" w:cs="仿宋"/>
          <w:b/>
          <w:color w:val="auto"/>
          <w:sz w:val="32"/>
          <w:szCs w:val="32"/>
          <w:highlight w:val="none"/>
          <w:lang w:val="en-US" w:eastAsia="zh-CN"/>
        </w:rPr>
        <w:t>12</w:t>
      </w:r>
    </w:p>
    <w:p>
      <w:pPr>
        <w:jc w:val="center"/>
        <w:rPr>
          <w:rFonts w:ascii="宋体" w:hAnsi="宋体" w:cs="仿宋"/>
          <w:b/>
          <w:color w:val="auto"/>
          <w:sz w:val="32"/>
          <w:szCs w:val="32"/>
          <w:highlight w:val="none"/>
        </w:rPr>
      </w:pPr>
      <w:r>
        <w:rPr>
          <w:rFonts w:hint="eastAsia" w:ascii="宋体" w:hAnsi="宋体" w:cs="仿宋"/>
          <w:b/>
          <w:color w:val="auto"/>
          <w:sz w:val="32"/>
          <w:szCs w:val="32"/>
          <w:highlight w:val="none"/>
        </w:rPr>
        <w:t>十</w:t>
      </w:r>
      <w:r>
        <w:rPr>
          <w:rFonts w:hint="eastAsia" w:ascii="宋体" w:hAnsi="宋体" w:cs="仿宋"/>
          <w:b/>
          <w:color w:val="auto"/>
          <w:sz w:val="32"/>
          <w:szCs w:val="32"/>
          <w:highlight w:val="none"/>
          <w:lang w:eastAsia="zh-CN"/>
        </w:rPr>
        <w:t>二</w:t>
      </w:r>
      <w:r>
        <w:rPr>
          <w:rFonts w:hint="eastAsia" w:ascii="宋体" w:hAnsi="宋体" w:cs="仿宋"/>
          <w:b/>
          <w:color w:val="auto"/>
          <w:sz w:val="32"/>
          <w:szCs w:val="32"/>
          <w:highlight w:val="none"/>
        </w:rPr>
        <w:t>、</w:t>
      </w:r>
      <w:bookmarkStart w:id="179" w:name="OLE_LINK14"/>
      <w:bookmarkStart w:id="180" w:name="OLE_LINK13"/>
      <w:r>
        <w:rPr>
          <w:rFonts w:hint="eastAsia" w:ascii="宋体" w:hAnsi="宋体" w:cs="仿宋"/>
          <w:b/>
          <w:color w:val="auto"/>
          <w:sz w:val="32"/>
          <w:szCs w:val="32"/>
          <w:highlight w:val="none"/>
        </w:rPr>
        <w:t>残疾人福利性单位声明函</w:t>
      </w:r>
    </w:p>
    <w:bookmarkEnd w:id="179"/>
    <w:bookmarkEnd w:id="180"/>
    <w:p>
      <w:pPr>
        <w:spacing w:line="588" w:lineRule="exact"/>
        <w:rPr>
          <w:rFonts w:ascii="宋体" w:hAnsi="宋体" w:cs="仿宋"/>
          <w:b/>
          <w:color w:val="auto"/>
          <w:spacing w:val="6"/>
          <w:sz w:val="24"/>
          <w:highlight w:val="none"/>
        </w:rPr>
      </w:pPr>
    </w:p>
    <w:p>
      <w:pPr>
        <w:spacing w:line="588" w:lineRule="exact"/>
        <w:ind w:firstLine="504" w:firstLineChars="200"/>
        <w:rPr>
          <w:rFonts w:ascii="宋体" w:hAnsi="宋体" w:cs="仿宋"/>
          <w:color w:val="auto"/>
          <w:spacing w:val="6"/>
          <w:sz w:val="24"/>
          <w:highlight w:val="none"/>
        </w:rPr>
      </w:pPr>
      <w:r>
        <w:rPr>
          <w:rFonts w:hint="eastAsia" w:ascii="宋体" w:hAnsi="宋体" w:cs="仿宋"/>
          <w:color w:val="auto"/>
          <w:spacing w:val="6"/>
          <w:sz w:val="24"/>
          <w:highlight w:val="none"/>
        </w:rPr>
        <w:t>本单位郑重声明，根据《财政部 民政部 中国残疾人联合会关于促进残疾人就业政府采购政策的通知》（财库</w:t>
      </w:r>
      <w:r>
        <w:rPr>
          <w:rFonts w:hint="eastAsia" w:ascii="宋体" w:hAnsi="宋体" w:cs="仿宋"/>
          <w:color w:val="auto"/>
          <w:sz w:val="24"/>
          <w:highlight w:val="none"/>
        </w:rPr>
        <w:t>〔2017〕 141</w:t>
      </w:r>
      <w:r>
        <w:rPr>
          <w:rFonts w:hint="eastAsia" w:ascii="宋体" w:hAnsi="宋体" w:cs="仿宋"/>
          <w:color w:val="auto"/>
          <w:spacing w:val="6"/>
          <w:sz w:val="24"/>
          <w:highlight w:val="none"/>
        </w:rPr>
        <w:t>号）的规定，本单位为符合条件的残疾人福利性单位，且本单位参加</w:t>
      </w:r>
      <w:r>
        <w:rPr>
          <w:rFonts w:hint="eastAsia" w:ascii="宋体" w:hAnsi="宋体" w:cs="仿宋"/>
          <w:color w:val="auto"/>
          <w:spacing w:val="6"/>
          <w:sz w:val="24"/>
          <w:highlight w:val="none"/>
          <w:u w:val="single"/>
        </w:rPr>
        <w:t xml:space="preserve">      </w:t>
      </w:r>
      <w:r>
        <w:rPr>
          <w:rFonts w:hint="eastAsia" w:ascii="宋体" w:hAnsi="宋体" w:cs="仿宋"/>
          <w:color w:val="auto"/>
          <w:spacing w:val="6"/>
          <w:sz w:val="24"/>
          <w:highlight w:val="none"/>
        </w:rPr>
        <w:t>单位的</w:t>
      </w:r>
      <w:r>
        <w:rPr>
          <w:rFonts w:hint="eastAsia" w:ascii="宋体" w:hAnsi="宋体" w:cs="仿宋"/>
          <w:color w:val="auto"/>
          <w:spacing w:val="6"/>
          <w:sz w:val="24"/>
          <w:highlight w:val="none"/>
          <w:u w:val="single"/>
        </w:rPr>
        <w:t xml:space="preserve">      </w:t>
      </w:r>
      <w:r>
        <w:rPr>
          <w:rFonts w:hint="eastAsia" w:ascii="宋体" w:hAnsi="宋体" w:cs="仿宋"/>
          <w:color w:val="auto"/>
          <w:spacing w:val="6"/>
          <w:sz w:val="24"/>
          <w:highlight w:val="none"/>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宋体" w:hAnsi="宋体" w:cs="仿宋"/>
          <w:color w:val="auto"/>
          <w:spacing w:val="6"/>
          <w:sz w:val="24"/>
          <w:highlight w:val="none"/>
        </w:rPr>
      </w:pPr>
      <w:r>
        <w:rPr>
          <w:rFonts w:hint="eastAsia" w:ascii="宋体" w:hAnsi="宋体" w:cs="仿宋"/>
          <w:color w:val="auto"/>
          <w:spacing w:val="6"/>
          <w:sz w:val="24"/>
          <w:highlight w:val="none"/>
        </w:rPr>
        <w:t>本单位对上述声明的真实性负责。如有虚假，将依法承担相应责任。</w:t>
      </w:r>
    </w:p>
    <w:p>
      <w:pPr>
        <w:spacing w:line="588" w:lineRule="exact"/>
        <w:rPr>
          <w:rFonts w:ascii="宋体" w:hAnsi="宋体" w:cs="仿宋"/>
          <w:color w:val="auto"/>
          <w:spacing w:val="6"/>
          <w:sz w:val="24"/>
          <w:highlight w:val="none"/>
        </w:rPr>
      </w:pPr>
    </w:p>
    <w:p>
      <w:pPr>
        <w:widowControl/>
        <w:spacing w:line="360" w:lineRule="atLeast"/>
        <w:jc w:val="left"/>
        <w:outlineLvl w:val="1"/>
        <w:rPr>
          <w:rFonts w:ascii="宋体" w:hAnsi="宋体" w:cs="仿宋"/>
          <w:color w:val="auto"/>
          <w:sz w:val="24"/>
          <w:highlight w:val="none"/>
        </w:rPr>
      </w:pPr>
      <w:bookmarkStart w:id="181" w:name="_Hlk534972136"/>
      <w:r>
        <w:rPr>
          <w:rFonts w:hint="eastAsia" w:ascii="宋体" w:hAnsi="宋体" w:cs="仿宋"/>
          <w:color w:val="auto"/>
          <w:sz w:val="24"/>
          <w:highlight w:val="none"/>
        </w:rPr>
        <w:t>投标人名称：</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（单位公章）。</w:t>
      </w:r>
    </w:p>
    <w:p>
      <w:pPr>
        <w:widowControl/>
        <w:spacing w:line="360" w:lineRule="atLeast"/>
        <w:jc w:val="left"/>
        <w:outlineLvl w:val="1"/>
        <w:rPr>
          <w:rFonts w:ascii="宋体" w:hAnsi="宋体" w:cs="仿宋"/>
          <w:color w:val="auto"/>
          <w:sz w:val="24"/>
          <w:highlight w:val="none"/>
        </w:rPr>
      </w:pPr>
      <w:r>
        <w:rPr>
          <w:rFonts w:hint="eastAsia" w:ascii="宋体" w:hAnsi="宋体" w:cs="仿宋"/>
          <w:color w:val="auto"/>
          <w:sz w:val="24"/>
          <w:highlight w:val="none"/>
        </w:rPr>
        <w:t>法定代表人/单位负责人或授权代表（签字）：</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p>
    <w:p>
      <w:pPr>
        <w:rPr>
          <w:rFonts w:ascii="宋体" w:hAnsi="宋体" w:cs="仿宋"/>
          <w:color w:val="auto"/>
          <w:spacing w:val="6"/>
          <w:sz w:val="24"/>
          <w:highlight w:val="none"/>
        </w:rPr>
      </w:pPr>
      <w:r>
        <w:rPr>
          <w:rFonts w:hint="eastAsia" w:ascii="宋体" w:hAnsi="宋体" w:cs="仿宋"/>
          <w:color w:val="auto"/>
          <w:sz w:val="24"/>
          <w:highlight w:val="none"/>
        </w:rPr>
        <w:t>投标日期:</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p>
    <w:bookmarkEnd w:id="181"/>
    <w:p>
      <w:pPr>
        <w:spacing w:line="360" w:lineRule="auto"/>
        <w:rPr>
          <w:rFonts w:ascii="宋体" w:hAnsi="宋体" w:cs="仿宋"/>
          <w:color w:val="auto"/>
          <w:sz w:val="24"/>
          <w:highlight w:val="none"/>
        </w:rPr>
      </w:pPr>
    </w:p>
    <w:p>
      <w:pPr>
        <w:spacing w:line="360" w:lineRule="auto"/>
        <w:rPr>
          <w:rFonts w:ascii="宋体" w:hAnsi="宋体" w:cs="仿宋"/>
          <w:color w:val="auto"/>
          <w:sz w:val="24"/>
          <w:highlight w:val="none"/>
        </w:rPr>
      </w:pPr>
      <w:r>
        <w:rPr>
          <w:rFonts w:hint="eastAsia" w:ascii="宋体" w:hAnsi="宋体" w:cs="仿宋"/>
          <w:color w:val="auto"/>
          <w:sz w:val="24"/>
          <w:highlight w:val="none"/>
        </w:rPr>
        <w:t>注：</w:t>
      </w:r>
    </w:p>
    <w:p>
      <w:pPr>
        <w:numPr>
          <w:ilvl w:val="0"/>
          <w:numId w:val="3"/>
        </w:numPr>
        <w:spacing w:line="360" w:lineRule="auto"/>
        <w:rPr>
          <w:rFonts w:ascii="宋体" w:hAnsi="宋体" w:cs="仿宋"/>
          <w:color w:val="auto"/>
          <w:sz w:val="24"/>
          <w:highlight w:val="none"/>
        </w:rPr>
      </w:pPr>
      <w:r>
        <w:rPr>
          <w:rFonts w:hint="eastAsia" w:ascii="宋体" w:hAnsi="宋体" w:cs="仿宋"/>
          <w:color w:val="auto"/>
          <w:sz w:val="24"/>
          <w:highlight w:val="none"/>
        </w:rPr>
        <w:t>残疾人福利性单位视同小型、微型企业，享受预留份额、评审中价格扣除等促进中小企业发展的政府采购政策。残疾人福利性单位属于小型、微型企业的，不重复享受政策。</w:t>
      </w:r>
    </w:p>
    <w:p>
      <w:pPr>
        <w:numPr>
          <w:ilvl w:val="0"/>
          <w:numId w:val="3"/>
        </w:numPr>
        <w:spacing w:line="360" w:lineRule="auto"/>
        <w:rPr>
          <w:rFonts w:ascii="宋体" w:hAnsi="宋体" w:cs="仿宋"/>
          <w:color w:val="auto"/>
          <w:sz w:val="24"/>
          <w:highlight w:val="none"/>
        </w:rPr>
      </w:pPr>
      <w:r>
        <w:rPr>
          <w:rFonts w:hint="eastAsia" w:ascii="宋体" w:hAnsi="宋体" w:cs="仿宋"/>
          <w:color w:val="auto"/>
          <w:sz w:val="24"/>
          <w:highlight w:val="none"/>
        </w:rPr>
        <w:t>投标人为非残疾人福利性单位的，可不提供此声明。</w:t>
      </w:r>
    </w:p>
    <w:p>
      <w:pPr>
        <w:rPr>
          <w:rFonts w:ascii="宋体" w:hAnsi="宋体" w:cs="仿宋"/>
          <w:color w:val="auto"/>
          <w:sz w:val="24"/>
          <w:highlight w:val="none"/>
        </w:rPr>
      </w:pPr>
      <w:r>
        <w:rPr>
          <w:rFonts w:hint="eastAsia" w:ascii="宋体" w:hAnsi="宋体" w:cs="仿宋"/>
          <w:color w:val="auto"/>
          <w:sz w:val="24"/>
          <w:highlight w:val="none"/>
        </w:rPr>
        <w:br w:type="page"/>
      </w:r>
    </w:p>
    <w:p>
      <w:pPr>
        <w:pStyle w:val="2"/>
        <w:rPr>
          <w:rFonts w:hint="default" w:ascii="宋体" w:hAnsi="宋体" w:eastAsia="宋体" w:cs="仿宋"/>
          <w:b/>
          <w:color w:val="auto"/>
          <w:sz w:val="32"/>
          <w:szCs w:val="32"/>
          <w:highlight w:val="none"/>
          <w:lang w:val="en-US" w:eastAsia="zh-CN"/>
        </w:rPr>
      </w:pPr>
      <w:r>
        <w:rPr>
          <w:rFonts w:hint="eastAsia" w:ascii="宋体" w:hAnsi="宋体" w:cs="仿宋"/>
          <w:b/>
          <w:color w:val="auto"/>
          <w:sz w:val="32"/>
          <w:szCs w:val="32"/>
          <w:highlight w:val="none"/>
        </w:rPr>
        <w:t>格式2-</w:t>
      </w:r>
      <w:r>
        <w:rPr>
          <w:rFonts w:hint="eastAsia" w:ascii="宋体" w:hAnsi="宋体" w:cs="仿宋"/>
          <w:b/>
          <w:color w:val="auto"/>
          <w:sz w:val="32"/>
          <w:szCs w:val="32"/>
          <w:highlight w:val="none"/>
          <w:lang w:val="en-US" w:eastAsia="zh-CN"/>
        </w:rPr>
        <w:t>13</w:t>
      </w:r>
    </w:p>
    <w:p>
      <w:pPr>
        <w:pStyle w:val="4"/>
        <w:jc w:val="center"/>
        <w:rPr>
          <w:rFonts w:ascii="Times New Roman"/>
          <w:color w:val="auto"/>
          <w:highlight w:val="none"/>
        </w:rPr>
      </w:pPr>
      <w:r>
        <w:rPr>
          <w:rFonts w:hint="eastAsia"/>
          <w:color w:val="auto"/>
          <w:highlight w:val="none"/>
          <w:lang w:eastAsia="zh-CN"/>
        </w:rPr>
        <w:t>十三、</w:t>
      </w:r>
      <w:r>
        <w:rPr>
          <w:color w:val="auto"/>
          <w:highlight w:val="none"/>
        </w:rPr>
        <w:t>监狱企业</w:t>
      </w:r>
    </w:p>
    <w:p>
      <w:pPr>
        <w:adjustRightInd w:val="0"/>
        <w:snapToGrid w:val="0"/>
        <w:spacing w:line="360" w:lineRule="auto"/>
        <w:ind w:firstLine="524" w:firstLineChars="200"/>
        <w:rPr>
          <w:rFonts w:hAnsi="宋体" w:eastAsia="Times New Roman" w:cs="宋体"/>
          <w:color w:val="auto"/>
          <w:spacing w:val="11"/>
          <w:sz w:val="24"/>
          <w:szCs w:val="22"/>
          <w:highlight w:val="none"/>
        </w:rPr>
      </w:pPr>
    </w:p>
    <w:p>
      <w:pPr>
        <w:adjustRightInd w:val="0"/>
        <w:snapToGrid w:val="0"/>
        <w:spacing w:line="360" w:lineRule="auto"/>
        <w:ind w:firstLine="524" w:firstLineChars="200"/>
        <w:rPr>
          <w:rFonts w:hint="eastAsia" w:hAnsi="宋体"/>
          <w:color w:val="auto"/>
          <w:spacing w:val="6"/>
          <w:sz w:val="24"/>
          <w:highlight w:val="none"/>
        </w:rPr>
      </w:pPr>
      <w:r>
        <w:rPr>
          <w:rFonts w:hAnsi="宋体" w:eastAsia="Times New Roman" w:cs="宋体"/>
          <w:color w:val="auto"/>
          <w:spacing w:val="11"/>
          <w:sz w:val="24"/>
          <w:szCs w:val="22"/>
          <w:highlight w:val="none"/>
        </w:rPr>
        <w:t>根</w:t>
      </w:r>
      <w:r>
        <w:rPr>
          <w:rFonts w:hint="eastAsia" w:hAnsi="宋体"/>
          <w:color w:val="auto"/>
          <w:spacing w:val="6"/>
          <w:sz w:val="24"/>
          <w:highlight w:val="none"/>
        </w:rPr>
        <w:t>据《政府采购支持监狱企业发展有关问题的通知》（财库〔2014〕</w:t>
      </w:r>
    </w:p>
    <w:p>
      <w:pPr>
        <w:adjustRightInd w:val="0"/>
        <w:snapToGrid w:val="0"/>
        <w:spacing w:line="360" w:lineRule="auto"/>
        <w:rPr>
          <w:rFonts w:hint="eastAsia" w:hAnsi="宋体"/>
          <w:color w:val="auto"/>
          <w:spacing w:val="6"/>
          <w:sz w:val="24"/>
          <w:highlight w:val="none"/>
        </w:rPr>
      </w:pPr>
      <w:r>
        <w:rPr>
          <w:rFonts w:hint="eastAsia" w:hAnsi="宋体"/>
          <w:color w:val="auto"/>
          <w:spacing w:val="6"/>
          <w:sz w:val="24"/>
          <w:highlight w:val="none"/>
        </w:rPr>
        <w:t>68号）的规定监狱企业参加采购活动的，应提供由省级以上监狱管理局、</w:t>
      </w:r>
    </w:p>
    <w:p>
      <w:pPr>
        <w:adjustRightInd w:val="0"/>
        <w:snapToGrid w:val="0"/>
        <w:spacing w:line="360" w:lineRule="auto"/>
        <w:rPr>
          <w:rFonts w:hint="eastAsia" w:hAnsi="宋体"/>
          <w:color w:val="auto"/>
          <w:spacing w:val="6"/>
          <w:sz w:val="24"/>
          <w:highlight w:val="none"/>
        </w:rPr>
      </w:pPr>
      <w:r>
        <w:rPr>
          <w:rFonts w:hint="eastAsia" w:hAnsi="宋体"/>
          <w:color w:val="auto"/>
          <w:spacing w:val="6"/>
          <w:sz w:val="24"/>
          <w:highlight w:val="none"/>
        </w:rPr>
        <w:t>戒毒管理局(含新疆生产建设兵团)出具的属于监狱企业的证明文件。</w:t>
      </w:r>
    </w:p>
    <w:p>
      <w:pPr>
        <w:adjustRightInd w:val="0"/>
        <w:snapToGrid w:val="0"/>
        <w:spacing w:line="360" w:lineRule="auto"/>
        <w:ind w:firstLine="504" w:firstLineChars="200"/>
        <w:rPr>
          <w:rFonts w:hint="eastAsia" w:hAnsi="宋体"/>
          <w:color w:val="auto"/>
          <w:spacing w:val="6"/>
          <w:sz w:val="24"/>
          <w:highlight w:val="none"/>
        </w:rPr>
      </w:pPr>
      <w:r>
        <w:rPr>
          <w:rFonts w:hint="eastAsia" w:hAnsi="宋体"/>
          <w:color w:val="auto"/>
          <w:spacing w:val="6"/>
          <w:sz w:val="24"/>
          <w:highlight w:val="none"/>
        </w:rPr>
        <w:t>注：</w:t>
      </w:r>
    </w:p>
    <w:p>
      <w:pPr>
        <w:adjustRightInd w:val="0"/>
        <w:snapToGrid w:val="0"/>
        <w:spacing w:line="360" w:lineRule="auto"/>
        <w:ind w:firstLine="504" w:firstLineChars="200"/>
        <w:rPr>
          <w:rFonts w:hint="eastAsia" w:hAnsi="宋体"/>
          <w:color w:val="auto"/>
          <w:spacing w:val="6"/>
          <w:sz w:val="24"/>
          <w:highlight w:val="none"/>
        </w:rPr>
      </w:pPr>
      <w:r>
        <w:rPr>
          <w:rFonts w:hint="eastAsia" w:hAnsi="宋体"/>
          <w:color w:val="auto"/>
          <w:spacing w:val="6"/>
          <w:sz w:val="24"/>
          <w:highlight w:val="none"/>
        </w:rPr>
        <w:t>1、投标人符合《政府采购支持监狱企业发展有关问题的通知》（财库</w:t>
      </w:r>
    </w:p>
    <w:p>
      <w:pPr>
        <w:adjustRightInd w:val="0"/>
        <w:snapToGrid w:val="0"/>
        <w:spacing w:line="360" w:lineRule="auto"/>
        <w:ind w:firstLine="504" w:firstLineChars="200"/>
        <w:rPr>
          <w:rFonts w:hint="eastAsia" w:hAnsi="宋体"/>
          <w:color w:val="auto"/>
          <w:spacing w:val="6"/>
          <w:sz w:val="24"/>
          <w:highlight w:val="none"/>
        </w:rPr>
      </w:pPr>
      <w:r>
        <w:rPr>
          <w:rFonts w:hint="eastAsia" w:hAnsi="宋体"/>
          <w:color w:val="auto"/>
          <w:spacing w:val="6"/>
          <w:sz w:val="24"/>
          <w:highlight w:val="none"/>
        </w:rPr>
        <w:t>〔2014〕68 号）规定的划分标准为监狱企业适用。</w:t>
      </w:r>
    </w:p>
    <w:p>
      <w:pPr>
        <w:numPr>
          <w:ilvl w:val="0"/>
          <w:numId w:val="4"/>
        </w:numPr>
        <w:adjustRightInd w:val="0"/>
        <w:snapToGrid w:val="0"/>
        <w:spacing w:line="360" w:lineRule="auto"/>
        <w:ind w:left="0" w:leftChars="0" w:firstLine="0" w:firstLineChars="0"/>
        <w:rPr>
          <w:rFonts w:hint="eastAsia" w:hAnsi="宋体"/>
          <w:color w:val="auto"/>
          <w:spacing w:val="6"/>
          <w:sz w:val="24"/>
          <w:highlight w:val="none"/>
        </w:rPr>
      </w:pPr>
      <w:r>
        <w:rPr>
          <w:rFonts w:hint="eastAsia" w:hAnsi="宋体"/>
          <w:color w:val="auto"/>
          <w:spacing w:val="6"/>
          <w:sz w:val="24"/>
          <w:highlight w:val="none"/>
        </w:rPr>
        <w:t>在政府采购活动中，监狱企业视同小型、微型企业，享受预留份额、评审中价格扣除等政府采购促进中小企业发展的政府采购政策。</w:t>
      </w:r>
    </w:p>
    <w:p>
      <w:pPr>
        <w:pStyle w:val="2"/>
        <w:rPr>
          <w:rFonts w:hint="eastAsia" w:hAnsi="宋体"/>
          <w:color w:val="auto"/>
          <w:spacing w:val="6"/>
          <w:sz w:val="24"/>
          <w:highlight w:val="none"/>
        </w:rPr>
      </w:pPr>
    </w:p>
    <w:p>
      <w:pPr>
        <w:rPr>
          <w:rFonts w:hint="eastAsia" w:hAnsi="宋体"/>
          <w:color w:val="auto"/>
          <w:spacing w:val="6"/>
          <w:sz w:val="24"/>
          <w:highlight w:val="none"/>
        </w:rPr>
      </w:pPr>
    </w:p>
    <w:p>
      <w:pPr>
        <w:pStyle w:val="2"/>
        <w:rPr>
          <w:rFonts w:hint="eastAsia" w:hAnsi="宋体"/>
          <w:color w:val="auto"/>
          <w:spacing w:val="6"/>
          <w:sz w:val="24"/>
          <w:highlight w:val="none"/>
        </w:rPr>
      </w:pPr>
    </w:p>
    <w:p>
      <w:pPr>
        <w:rPr>
          <w:rFonts w:hint="eastAsia" w:hAnsi="宋体"/>
          <w:color w:val="auto"/>
          <w:spacing w:val="6"/>
          <w:sz w:val="24"/>
          <w:highlight w:val="none"/>
        </w:rPr>
      </w:pPr>
    </w:p>
    <w:p>
      <w:pPr>
        <w:pStyle w:val="2"/>
        <w:rPr>
          <w:rFonts w:hint="eastAsia" w:hAnsi="宋体"/>
          <w:color w:val="auto"/>
          <w:spacing w:val="6"/>
          <w:sz w:val="24"/>
          <w:highlight w:val="none"/>
        </w:rPr>
      </w:pPr>
    </w:p>
    <w:p>
      <w:pPr>
        <w:rPr>
          <w:rFonts w:hint="eastAsia" w:hAnsi="宋体"/>
          <w:color w:val="auto"/>
          <w:spacing w:val="6"/>
          <w:sz w:val="24"/>
          <w:highlight w:val="none"/>
        </w:rPr>
      </w:pPr>
    </w:p>
    <w:p>
      <w:pPr>
        <w:pStyle w:val="2"/>
        <w:rPr>
          <w:rFonts w:hint="eastAsia" w:hAnsi="宋体"/>
          <w:color w:val="auto"/>
          <w:spacing w:val="6"/>
          <w:sz w:val="24"/>
          <w:highlight w:val="none"/>
        </w:rPr>
      </w:pPr>
    </w:p>
    <w:p>
      <w:pPr>
        <w:rPr>
          <w:rFonts w:hint="eastAsia" w:hAnsi="宋体"/>
          <w:color w:val="auto"/>
          <w:spacing w:val="6"/>
          <w:sz w:val="24"/>
          <w:highlight w:val="none"/>
        </w:rPr>
      </w:pPr>
    </w:p>
    <w:p>
      <w:pPr>
        <w:pStyle w:val="2"/>
        <w:rPr>
          <w:rFonts w:hint="eastAsia" w:hAnsi="宋体"/>
          <w:color w:val="auto"/>
          <w:spacing w:val="6"/>
          <w:sz w:val="24"/>
          <w:highlight w:val="none"/>
        </w:rPr>
      </w:pPr>
    </w:p>
    <w:p>
      <w:pPr>
        <w:rPr>
          <w:rFonts w:hint="eastAsia" w:hAnsi="宋体"/>
          <w:color w:val="auto"/>
          <w:spacing w:val="6"/>
          <w:sz w:val="24"/>
          <w:highlight w:val="none"/>
        </w:rPr>
      </w:pPr>
    </w:p>
    <w:p>
      <w:pPr>
        <w:pStyle w:val="2"/>
        <w:rPr>
          <w:rFonts w:hint="eastAsia" w:hAnsi="宋体"/>
          <w:color w:val="auto"/>
          <w:spacing w:val="6"/>
          <w:sz w:val="24"/>
          <w:highlight w:val="none"/>
        </w:rPr>
      </w:pPr>
    </w:p>
    <w:p>
      <w:pPr>
        <w:rPr>
          <w:rFonts w:hint="eastAsia" w:hAnsi="宋体"/>
          <w:color w:val="auto"/>
          <w:spacing w:val="6"/>
          <w:sz w:val="24"/>
          <w:highlight w:val="none"/>
        </w:rPr>
      </w:pPr>
    </w:p>
    <w:p>
      <w:pPr>
        <w:pStyle w:val="2"/>
        <w:rPr>
          <w:rFonts w:hint="eastAsia" w:hAnsi="宋体"/>
          <w:color w:val="auto"/>
          <w:spacing w:val="6"/>
          <w:sz w:val="24"/>
          <w:highlight w:val="none"/>
        </w:rPr>
      </w:pPr>
    </w:p>
    <w:p>
      <w:pPr>
        <w:rPr>
          <w:rFonts w:hint="eastAsia" w:hAnsi="宋体"/>
          <w:color w:val="auto"/>
          <w:spacing w:val="6"/>
          <w:sz w:val="24"/>
          <w:highlight w:val="none"/>
        </w:rPr>
      </w:pPr>
    </w:p>
    <w:p>
      <w:pPr>
        <w:pStyle w:val="2"/>
        <w:rPr>
          <w:rFonts w:hint="eastAsia" w:hAnsi="宋体"/>
          <w:color w:val="auto"/>
          <w:spacing w:val="6"/>
          <w:sz w:val="24"/>
          <w:highlight w:val="none"/>
        </w:rPr>
      </w:pPr>
    </w:p>
    <w:p>
      <w:pPr>
        <w:rPr>
          <w:rFonts w:hint="eastAsia" w:hAnsi="宋体"/>
          <w:color w:val="auto"/>
          <w:spacing w:val="6"/>
          <w:sz w:val="24"/>
          <w:highlight w:val="none"/>
        </w:rPr>
      </w:pPr>
    </w:p>
    <w:p>
      <w:pPr>
        <w:pStyle w:val="2"/>
        <w:rPr>
          <w:rFonts w:hint="eastAsia" w:hAnsi="宋体"/>
          <w:color w:val="auto"/>
          <w:spacing w:val="6"/>
          <w:sz w:val="24"/>
          <w:highlight w:val="none"/>
        </w:rPr>
      </w:pPr>
    </w:p>
    <w:p>
      <w:pPr>
        <w:rPr>
          <w:rFonts w:hint="eastAsia" w:hAnsi="宋体"/>
          <w:color w:val="auto"/>
          <w:spacing w:val="6"/>
          <w:sz w:val="24"/>
          <w:highlight w:val="none"/>
        </w:rPr>
      </w:pPr>
    </w:p>
    <w:p>
      <w:pPr>
        <w:pStyle w:val="2"/>
        <w:rPr>
          <w:rFonts w:hint="eastAsia" w:hAnsi="宋体"/>
          <w:color w:val="auto"/>
          <w:spacing w:val="6"/>
          <w:sz w:val="24"/>
          <w:highlight w:val="none"/>
        </w:rPr>
      </w:pPr>
    </w:p>
    <w:p>
      <w:pPr>
        <w:rPr>
          <w:rFonts w:hint="eastAsia" w:hAnsi="宋体"/>
          <w:color w:val="auto"/>
          <w:spacing w:val="6"/>
          <w:sz w:val="24"/>
          <w:highlight w:val="none"/>
        </w:rPr>
      </w:pPr>
    </w:p>
    <w:p>
      <w:pPr>
        <w:pStyle w:val="11"/>
        <w:rPr>
          <w:rFonts w:hint="eastAsia" w:hAnsi="宋体"/>
          <w:color w:val="auto"/>
          <w:spacing w:val="6"/>
          <w:sz w:val="24"/>
          <w:highlight w:val="none"/>
        </w:rPr>
      </w:pPr>
      <w:r>
        <w:rPr>
          <w:rFonts w:hint="eastAsia" w:hAnsi="宋体" w:cs="仿宋"/>
          <w:b/>
          <w:color w:val="auto"/>
          <w:sz w:val="32"/>
          <w:szCs w:val="32"/>
          <w:highlight w:val="none"/>
          <w:lang w:val="en-US" w:eastAsia="zh-CN"/>
        </w:rPr>
        <w:t>格式2-14</w:t>
      </w:r>
    </w:p>
    <w:p>
      <w:pPr>
        <w:pStyle w:val="4"/>
        <w:jc w:val="center"/>
        <w:rPr>
          <w:rFonts w:hint="eastAsia"/>
          <w:color w:val="auto"/>
          <w:highlight w:val="none"/>
          <w:lang w:val="en-US" w:eastAsia="zh-CN"/>
        </w:rPr>
      </w:pPr>
      <w:r>
        <w:rPr>
          <w:rFonts w:hint="eastAsia"/>
          <w:color w:val="auto"/>
          <w:highlight w:val="none"/>
          <w:lang w:val="en-US" w:eastAsia="zh-CN"/>
        </w:rPr>
        <w:t xml:space="preserve">十四、招标代理服务费承诺函 </w:t>
      </w:r>
    </w:p>
    <w:p>
      <w:pPr>
        <w:adjustRightInd w:val="0"/>
        <w:snapToGrid w:val="0"/>
        <w:spacing w:line="480" w:lineRule="auto"/>
        <w:rPr>
          <w:rFonts w:hint="eastAsia" w:hAnsi="宋体"/>
          <w:color w:val="auto"/>
          <w:spacing w:val="6"/>
          <w:sz w:val="24"/>
          <w:highlight w:val="none"/>
          <w:lang w:val="en-US" w:eastAsia="zh-CN"/>
        </w:rPr>
      </w:pPr>
      <w:r>
        <w:rPr>
          <w:rFonts w:hint="eastAsia" w:hAnsi="宋体"/>
          <w:color w:val="auto"/>
          <w:spacing w:val="6"/>
          <w:sz w:val="24"/>
          <w:highlight w:val="none"/>
          <w:lang w:val="en-US" w:eastAsia="zh-CN"/>
        </w:rPr>
        <w:t xml:space="preserve">成都云辉工程项目管理有限公司： </w:t>
      </w:r>
    </w:p>
    <w:p>
      <w:pPr>
        <w:adjustRightInd w:val="0"/>
        <w:snapToGrid w:val="0"/>
        <w:spacing w:line="480" w:lineRule="auto"/>
        <w:ind w:firstLine="504" w:firstLineChars="200"/>
        <w:rPr>
          <w:rFonts w:hint="eastAsia" w:hAnsi="宋体"/>
          <w:color w:val="auto"/>
          <w:spacing w:val="6"/>
          <w:sz w:val="24"/>
          <w:highlight w:val="none"/>
          <w:lang w:val="en-US" w:eastAsia="zh-CN"/>
        </w:rPr>
      </w:pPr>
      <w:r>
        <w:rPr>
          <w:rFonts w:hint="eastAsia" w:hAnsi="宋体"/>
          <w:color w:val="auto"/>
          <w:spacing w:val="6"/>
          <w:sz w:val="24"/>
          <w:highlight w:val="none"/>
          <w:lang w:val="en-US" w:eastAsia="zh-CN"/>
        </w:rPr>
        <w:t>我公司在贵公司代理的</w:t>
      </w:r>
      <w:r>
        <w:rPr>
          <w:rFonts w:hint="eastAsia" w:hAnsi="宋体"/>
          <w:color w:val="auto"/>
          <w:spacing w:val="6"/>
          <w:sz w:val="24"/>
          <w:highlight w:val="none"/>
          <w:u w:val="single"/>
          <w:lang w:val="en-US" w:eastAsia="zh-CN"/>
        </w:rPr>
        <w:t xml:space="preserve">            </w:t>
      </w:r>
      <w:r>
        <w:rPr>
          <w:rFonts w:hint="eastAsia" w:hAnsi="宋体"/>
          <w:color w:val="auto"/>
          <w:spacing w:val="6"/>
          <w:sz w:val="24"/>
          <w:highlight w:val="none"/>
          <w:lang w:val="en-US" w:eastAsia="zh-CN"/>
        </w:rPr>
        <w:t>项目（项目编号：</w:t>
      </w:r>
      <w:r>
        <w:rPr>
          <w:rFonts w:hint="eastAsia" w:hAnsi="宋体"/>
          <w:color w:val="auto"/>
          <w:spacing w:val="6"/>
          <w:sz w:val="24"/>
          <w:highlight w:val="none"/>
          <w:u w:val="single"/>
          <w:lang w:val="en-US" w:eastAsia="zh-CN"/>
        </w:rPr>
        <w:t xml:space="preserve">           </w:t>
      </w:r>
      <w:r>
        <w:rPr>
          <w:rFonts w:hint="eastAsia" w:hAnsi="宋体"/>
          <w:color w:val="auto"/>
          <w:spacing w:val="6"/>
          <w:sz w:val="24"/>
          <w:highlight w:val="none"/>
          <w:lang w:val="en-US" w:eastAsia="zh-CN"/>
        </w:rPr>
        <w:t>）公开招标中若获中标，我公司保证按照招标文件中招标代理服务费收取标准在领取中标通知书前以支票、银行汇票、电汇、现金或经贵公司认可的一种方式，一次性向贵公司（成都云辉工程项目管理有限公司）支付本采购项目招标代理服务费。</w:t>
      </w:r>
    </w:p>
    <w:p>
      <w:pPr>
        <w:adjustRightInd w:val="0"/>
        <w:snapToGrid w:val="0"/>
        <w:spacing w:line="480" w:lineRule="auto"/>
        <w:ind w:firstLine="506" w:firstLineChars="200"/>
        <w:rPr>
          <w:rFonts w:hint="eastAsia" w:hAnsi="宋体"/>
          <w:b/>
          <w:bCs/>
          <w:color w:val="auto"/>
          <w:spacing w:val="6"/>
          <w:sz w:val="24"/>
          <w:highlight w:val="none"/>
          <w:lang w:val="en-US" w:eastAsia="zh-CN"/>
        </w:rPr>
      </w:pPr>
      <w:r>
        <w:rPr>
          <w:rFonts w:hint="eastAsia" w:hAnsi="宋体"/>
          <w:b/>
          <w:bCs/>
          <w:color w:val="auto"/>
          <w:spacing w:val="6"/>
          <w:sz w:val="24"/>
          <w:highlight w:val="none"/>
          <w:lang w:val="en-US" w:eastAsia="zh-CN"/>
        </w:rPr>
        <w:t xml:space="preserve">特此承诺。 </w:t>
      </w:r>
    </w:p>
    <w:p>
      <w:pPr>
        <w:adjustRightInd w:val="0"/>
        <w:snapToGrid w:val="0"/>
        <w:spacing w:line="360" w:lineRule="auto"/>
        <w:ind w:firstLine="1764" w:firstLineChars="700"/>
        <w:jc w:val="right"/>
        <w:rPr>
          <w:rFonts w:hint="eastAsia" w:hAnsi="宋体"/>
          <w:color w:val="auto"/>
          <w:spacing w:val="6"/>
          <w:sz w:val="24"/>
          <w:highlight w:val="none"/>
          <w:lang w:val="en-US" w:eastAsia="zh-CN"/>
        </w:rPr>
      </w:pPr>
    </w:p>
    <w:p>
      <w:pPr>
        <w:adjustRightInd w:val="0"/>
        <w:snapToGrid w:val="0"/>
        <w:spacing w:line="360" w:lineRule="auto"/>
        <w:ind w:firstLine="1764" w:firstLineChars="700"/>
        <w:jc w:val="right"/>
        <w:rPr>
          <w:rFonts w:hint="eastAsia" w:hAnsi="宋体"/>
          <w:color w:val="auto"/>
          <w:spacing w:val="6"/>
          <w:sz w:val="24"/>
          <w:highlight w:val="none"/>
          <w:lang w:val="en-US" w:eastAsia="zh-CN"/>
        </w:rPr>
      </w:pPr>
    </w:p>
    <w:p>
      <w:pPr>
        <w:adjustRightInd w:val="0"/>
        <w:snapToGrid w:val="0"/>
        <w:spacing w:line="480" w:lineRule="auto"/>
        <w:ind w:firstLine="1764" w:firstLineChars="700"/>
        <w:jc w:val="right"/>
        <w:rPr>
          <w:rFonts w:hint="eastAsia" w:hAnsi="宋体"/>
          <w:color w:val="auto"/>
          <w:spacing w:val="6"/>
          <w:sz w:val="24"/>
          <w:highlight w:val="none"/>
          <w:lang w:val="en-US" w:eastAsia="zh-CN"/>
        </w:rPr>
      </w:pPr>
    </w:p>
    <w:p>
      <w:pPr>
        <w:adjustRightInd w:val="0"/>
        <w:snapToGrid w:val="0"/>
        <w:spacing w:line="480" w:lineRule="auto"/>
        <w:ind w:firstLine="1764" w:firstLineChars="700"/>
        <w:jc w:val="right"/>
        <w:rPr>
          <w:rFonts w:hint="eastAsia" w:hAnsi="宋体"/>
          <w:color w:val="auto"/>
          <w:spacing w:val="6"/>
          <w:sz w:val="24"/>
          <w:highlight w:val="none"/>
          <w:lang w:val="en-US" w:eastAsia="zh-CN"/>
        </w:rPr>
      </w:pPr>
    </w:p>
    <w:p>
      <w:pPr>
        <w:widowControl/>
        <w:spacing w:line="480" w:lineRule="auto"/>
        <w:jc w:val="left"/>
        <w:outlineLvl w:val="1"/>
        <w:rPr>
          <w:rFonts w:ascii="宋体" w:hAnsi="宋体" w:cs="仿宋"/>
          <w:color w:val="auto"/>
          <w:sz w:val="24"/>
          <w:highlight w:val="none"/>
        </w:rPr>
      </w:pPr>
      <w:r>
        <w:rPr>
          <w:rFonts w:hint="eastAsia" w:ascii="宋体" w:hAnsi="宋体" w:cs="仿宋"/>
          <w:color w:val="auto"/>
          <w:sz w:val="24"/>
          <w:highlight w:val="none"/>
        </w:rPr>
        <w:t>投标人名称：</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（单位公章）。</w:t>
      </w:r>
    </w:p>
    <w:p>
      <w:pPr>
        <w:widowControl/>
        <w:spacing w:line="480" w:lineRule="auto"/>
        <w:jc w:val="left"/>
        <w:outlineLvl w:val="1"/>
        <w:rPr>
          <w:rFonts w:ascii="宋体" w:hAnsi="宋体" w:cs="仿宋"/>
          <w:color w:val="auto"/>
          <w:sz w:val="24"/>
          <w:highlight w:val="none"/>
        </w:rPr>
      </w:pPr>
      <w:r>
        <w:rPr>
          <w:rFonts w:hint="eastAsia" w:ascii="宋体" w:hAnsi="宋体" w:cs="仿宋"/>
          <w:color w:val="auto"/>
          <w:sz w:val="24"/>
          <w:highlight w:val="none"/>
        </w:rPr>
        <w:t>法定代表人/单位负责人或授权代表（签字）：</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p>
    <w:p>
      <w:pPr>
        <w:spacing w:line="480" w:lineRule="auto"/>
        <w:rPr>
          <w:rFonts w:ascii="宋体" w:hAnsi="宋体" w:cs="仿宋"/>
          <w:color w:val="auto"/>
          <w:spacing w:val="6"/>
          <w:sz w:val="24"/>
          <w:highlight w:val="none"/>
        </w:rPr>
      </w:pPr>
      <w:r>
        <w:rPr>
          <w:rFonts w:hint="eastAsia" w:ascii="宋体" w:hAnsi="宋体" w:cs="仿宋"/>
          <w:color w:val="auto"/>
          <w:sz w:val="24"/>
          <w:highlight w:val="none"/>
        </w:rPr>
        <w:t>投标日期:</w:t>
      </w:r>
      <w:r>
        <w:rPr>
          <w:rFonts w:hint="eastAsia" w:ascii="宋体" w:hAnsi="宋体" w:cs="仿宋"/>
          <w:b/>
          <w:color w:val="auto"/>
          <w:sz w:val="32"/>
          <w:highlight w:val="none"/>
          <w:u w:val="single"/>
        </w:rPr>
        <w:t xml:space="preserve">           </w:t>
      </w:r>
      <w:r>
        <w:rPr>
          <w:rFonts w:hint="eastAsia" w:ascii="宋体" w:hAnsi="宋体" w:cs="仿宋"/>
          <w:color w:val="auto"/>
          <w:sz w:val="24"/>
          <w:highlight w:val="none"/>
        </w:rPr>
        <w:t>。</w:t>
      </w:r>
    </w:p>
    <w:p>
      <w:pPr>
        <w:pStyle w:val="12"/>
        <w:spacing w:line="480" w:lineRule="auto"/>
        <w:rPr>
          <w:rFonts w:hint="eastAsia"/>
          <w:color w:val="auto"/>
          <w:highlight w:val="none"/>
          <w:lang w:val="en-US" w:eastAsia="zh-CN"/>
        </w:rPr>
      </w:pPr>
    </w:p>
    <w:p>
      <w:pPr>
        <w:pStyle w:val="11"/>
        <w:rPr>
          <w:rFonts w:hint="eastAsia" w:ascii="宋体" w:hAnsi="宋体" w:cs="仿宋"/>
          <w:b/>
          <w:color w:val="auto"/>
          <w:sz w:val="32"/>
          <w:szCs w:val="32"/>
          <w:highlight w:val="none"/>
          <w:lang w:val="en-US" w:eastAsia="zh-CN"/>
        </w:rPr>
      </w:pPr>
    </w:p>
    <w:p>
      <w:pPr>
        <w:pStyle w:val="12"/>
        <w:rPr>
          <w:rFonts w:hint="eastAsia" w:ascii="宋体" w:hAnsi="宋体" w:cs="仿宋"/>
          <w:b/>
          <w:color w:val="auto"/>
          <w:sz w:val="32"/>
          <w:szCs w:val="32"/>
          <w:highlight w:val="none"/>
          <w:lang w:val="en-US" w:eastAsia="zh-CN"/>
        </w:rPr>
      </w:pPr>
    </w:p>
    <w:p>
      <w:pPr>
        <w:rPr>
          <w:rFonts w:hint="eastAsia" w:ascii="宋体" w:hAnsi="宋体" w:cs="仿宋"/>
          <w:b/>
          <w:color w:val="auto"/>
          <w:sz w:val="32"/>
          <w:szCs w:val="32"/>
          <w:highlight w:val="none"/>
          <w:lang w:val="en-US" w:eastAsia="zh-CN"/>
        </w:rPr>
      </w:pPr>
    </w:p>
    <w:p>
      <w:pPr>
        <w:pStyle w:val="2"/>
        <w:rPr>
          <w:rFonts w:hint="eastAsia" w:ascii="宋体" w:hAnsi="宋体" w:cs="仿宋"/>
          <w:b/>
          <w:color w:val="auto"/>
          <w:sz w:val="32"/>
          <w:szCs w:val="32"/>
          <w:highlight w:val="none"/>
          <w:lang w:val="en-US" w:eastAsia="zh-CN"/>
        </w:rPr>
      </w:pPr>
    </w:p>
    <w:p>
      <w:pPr>
        <w:pStyle w:val="11"/>
        <w:rPr>
          <w:rFonts w:hint="eastAsia" w:ascii="宋体" w:hAnsi="宋体" w:cs="仿宋"/>
          <w:b/>
          <w:color w:val="auto"/>
          <w:sz w:val="32"/>
          <w:szCs w:val="32"/>
          <w:highlight w:val="none"/>
          <w:lang w:val="en-US" w:eastAsia="zh-CN"/>
        </w:rPr>
      </w:pPr>
    </w:p>
    <w:p>
      <w:pPr>
        <w:pStyle w:val="11"/>
        <w:rPr>
          <w:rFonts w:hint="default"/>
          <w:color w:val="auto"/>
          <w:highlight w:val="none"/>
          <w:lang w:val="en-US" w:eastAsia="zh-CN"/>
        </w:rPr>
      </w:pPr>
      <w:r>
        <w:rPr>
          <w:rFonts w:hint="eastAsia" w:hAnsi="宋体" w:cs="仿宋"/>
          <w:b/>
          <w:color w:val="auto"/>
          <w:sz w:val="32"/>
          <w:szCs w:val="32"/>
          <w:highlight w:val="none"/>
          <w:lang w:val="en-US" w:eastAsia="zh-CN"/>
        </w:rPr>
        <w:t>格式2-15</w:t>
      </w:r>
    </w:p>
    <w:p>
      <w:pPr>
        <w:pStyle w:val="3"/>
        <w:numPr>
          <w:ilvl w:val="0"/>
          <w:numId w:val="0"/>
        </w:numPr>
        <w:jc w:val="center"/>
        <w:rPr>
          <w:rFonts w:ascii="宋体" w:hAnsi="宋体" w:cs="仿宋"/>
          <w:bCs w:val="0"/>
          <w:color w:val="auto"/>
          <w:kern w:val="2"/>
          <w:sz w:val="32"/>
          <w:szCs w:val="32"/>
          <w:highlight w:val="none"/>
        </w:rPr>
      </w:pPr>
      <w:r>
        <w:rPr>
          <w:rFonts w:hint="eastAsia" w:ascii="宋体" w:hAnsi="宋体" w:cs="仿宋"/>
          <w:bCs w:val="0"/>
          <w:color w:val="auto"/>
          <w:kern w:val="2"/>
          <w:sz w:val="32"/>
          <w:szCs w:val="32"/>
          <w:highlight w:val="none"/>
          <w:lang w:eastAsia="zh-CN"/>
        </w:rPr>
        <w:t>十五、</w:t>
      </w:r>
      <w:r>
        <w:rPr>
          <w:rFonts w:hint="eastAsia" w:ascii="宋体" w:hAnsi="宋体" w:cs="仿宋"/>
          <w:bCs w:val="0"/>
          <w:color w:val="auto"/>
          <w:kern w:val="2"/>
          <w:sz w:val="32"/>
          <w:szCs w:val="32"/>
          <w:highlight w:val="none"/>
        </w:rPr>
        <w:t>投标人认为需要补充的其他证明材料</w:t>
      </w:r>
    </w:p>
    <w:p>
      <w:pPr>
        <w:pStyle w:val="3"/>
        <w:rPr>
          <w:rFonts w:ascii="宋体" w:hAnsi="宋体" w:cs="仿宋"/>
          <w:color w:val="auto"/>
          <w:sz w:val="36"/>
          <w:szCs w:val="36"/>
          <w:highlight w:val="none"/>
        </w:rPr>
      </w:pPr>
      <w:r>
        <w:rPr>
          <w:rFonts w:hint="eastAsia" w:ascii="宋体" w:hAnsi="宋体" w:cs="仿宋"/>
          <w:color w:val="auto"/>
          <w:sz w:val="24"/>
          <w:highlight w:val="none"/>
        </w:rPr>
        <w:br w:type="page"/>
      </w:r>
      <w:r>
        <w:rPr>
          <w:rFonts w:hint="eastAsia" w:ascii="宋体" w:hAnsi="宋体" w:cs="仿宋"/>
          <w:color w:val="auto"/>
          <w:sz w:val="36"/>
          <w:szCs w:val="36"/>
          <w:highlight w:val="none"/>
        </w:rPr>
        <w:t>第四章  投标人和投标产品的资格、资质性及其他类似效力要求</w:t>
      </w:r>
      <w:bookmarkEnd w:id="177"/>
      <w:bookmarkEnd w:id="178"/>
    </w:p>
    <w:p>
      <w:pPr>
        <w:pStyle w:val="4"/>
        <w:spacing w:line="360" w:lineRule="exact"/>
        <w:rPr>
          <w:rFonts w:ascii="宋体" w:hAnsi="宋体" w:eastAsia="宋体" w:cs="仿宋"/>
          <w:color w:val="auto"/>
          <w:sz w:val="24"/>
          <w:szCs w:val="24"/>
          <w:highlight w:val="none"/>
        </w:rPr>
      </w:pPr>
      <w:r>
        <w:rPr>
          <w:rFonts w:hint="eastAsia" w:ascii="宋体" w:hAnsi="宋体" w:eastAsia="宋体" w:cs="仿宋"/>
          <w:color w:val="auto"/>
          <w:sz w:val="24"/>
          <w:szCs w:val="24"/>
          <w:highlight w:val="none"/>
        </w:rPr>
        <w:t>一、投标人资格、资质性及其他类似效力要求</w:t>
      </w:r>
    </w:p>
    <w:p>
      <w:pPr>
        <w:pStyle w:val="56"/>
        <w:spacing w:line="420" w:lineRule="exact"/>
        <w:ind w:firstLine="0" w:firstLineChars="0"/>
        <w:rPr>
          <w:rFonts w:hAnsi="宋体" w:cs="仿宋"/>
          <w:b/>
          <w:bCs/>
          <w:color w:val="auto"/>
          <w:sz w:val="24"/>
          <w:highlight w:val="none"/>
        </w:rPr>
      </w:pPr>
      <w:r>
        <w:rPr>
          <w:rFonts w:hint="eastAsia" w:hAnsi="宋体" w:cs="仿宋"/>
          <w:b/>
          <w:bCs/>
          <w:color w:val="auto"/>
          <w:sz w:val="24"/>
          <w:highlight w:val="none"/>
        </w:rPr>
        <w:t>（一）资格要求：</w:t>
      </w:r>
    </w:p>
    <w:p>
      <w:pPr>
        <w:pStyle w:val="56"/>
        <w:ind w:firstLine="480"/>
        <w:rPr>
          <w:rFonts w:hAnsi="宋体" w:cs="仿宋"/>
          <w:color w:val="auto"/>
          <w:sz w:val="24"/>
          <w:highlight w:val="none"/>
        </w:rPr>
      </w:pPr>
      <w:bookmarkStart w:id="182" w:name="_Hlk534972469"/>
      <w:r>
        <w:rPr>
          <w:rFonts w:hint="eastAsia" w:hAnsi="宋体" w:cs="仿宋"/>
          <w:color w:val="auto"/>
          <w:sz w:val="24"/>
          <w:highlight w:val="none"/>
        </w:rPr>
        <w:t>1.具有独立承担民事责任的能力；</w:t>
      </w:r>
    </w:p>
    <w:p>
      <w:pPr>
        <w:pStyle w:val="56"/>
        <w:ind w:firstLine="480"/>
        <w:rPr>
          <w:rFonts w:hAnsi="宋体" w:cs="仿宋"/>
          <w:color w:val="auto"/>
          <w:sz w:val="24"/>
          <w:highlight w:val="none"/>
        </w:rPr>
      </w:pPr>
      <w:r>
        <w:rPr>
          <w:rFonts w:hint="eastAsia" w:hAnsi="宋体" w:cs="仿宋"/>
          <w:color w:val="auto"/>
          <w:sz w:val="24"/>
          <w:highlight w:val="none"/>
        </w:rPr>
        <w:t>2.具有良好的商业信誉和健全的财务会计制度；</w:t>
      </w:r>
    </w:p>
    <w:p>
      <w:pPr>
        <w:pStyle w:val="56"/>
        <w:ind w:firstLine="480"/>
        <w:rPr>
          <w:rFonts w:hAnsi="宋体" w:cs="仿宋"/>
          <w:color w:val="auto"/>
          <w:sz w:val="24"/>
          <w:highlight w:val="none"/>
        </w:rPr>
      </w:pPr>
      <w:r>
        <w:rPr>
          <w:rFonts w:hint="eastAsia" w:hAnsi="宋体" w:cs="仿宋"/>
          <w:color w:val="auto"/>
          <w:sz w:val="24"/>
          <w:highlight w:val="none"/>
        </w:rPr>
        <w:t>3.具有履行合同所必须的设备和专业技术能力；</w:t>
      </w:r>
    </w:p>
    <w:p>
      <w:pPr>
        <w:tabs>
          <w:tab w:val="left" w:pos="7665"/>
        </w:tabs>
        <w:spacing w:line="360" w:lineRule="auto"/>
        <w:ind w:firstLine="480" w:firstLineChars="200"/>
        <w:rPr>
          <w:rFonts w:ascii="宋体" w:hAnsi="宋体" w:cs="仿宋"/>
          <w:color w:val="auto"/>
          <w:sz w:val="24"/>
          <w:highlight w:val="none"/>
        </w:rPr>
      </w:pPr>
      <w:r>
        <w:rPr>
          <w:rFonts w:hint="eastAsia" w:ascii="宋体" w:hAnsi="宋体" w:cs="仿宋"/>
          <w:color w:val="auto"/>
          <w:sz w:val="24"/>
          <w:highlight w:val="none"/>
        </w:rPr>
        <w:t>4.具有依法缴纳税收和社会保障资金的良好记录；</w:t>
      </w:r>
    </w:p>
    <w:p>
      <w:pPr>
        <w:tabs>
          <w:tab w:val="left" w:pos="7665"/>
        </w:tabs>
        <w:spacing w:line="360" w:lineRule="auto"/>
        <w:ind w:firstLine="480" w:firstLineChars="200"/>
        <w:rPr>
          <w:rFonts w:ascii="宋体" w:hAnsi="宋体" w:cs="仿宋"/>
          <w:color w:val="auto"/>
          <w:sz w:val="24"/>
          <w:highlight w:val="none"/>
        </w:rPr>
      </w:pPr>
      <w:r>
        <w:rPr>
          <w:rFonts w:hint="eastAsia" w:ascii="宋体" w:hAnsi="宋体" w:cs="仿宋"/>
          <w:color w:val="auto"/>
          <w:sz w:val="24"/>
          <w:highlight w:val="none"/>
        </w:rPr>
        <w:t>5.参加政府采购活动前三年内，在经营活动中没有重大违法记录；</w:t>
      </w:r>
    </w:p>
    <w:p>
      <w:pPr>
        <w:pStyle w:val="56"/>
        <w:ind w:firstLine="480"/>
        <w:rPr>
          <w:rFonts w:hAnsi="宋体" w:cs="仿宋"/>
          <w:color w:val="auto"/>
          <w:sz w:val="24"/>
          <w:highlight w:val="none"/>
        </w:rPr>
      </w:pPr>
      <w:r>
        <w:rPr>
          <w:rFonts w:hint="eastAsia" w:hAnsi="宋体" w:cs="仿宋"/>
          <w:color w:val="auto"/>
          <w:sz w:val="24"/>
          <w:highlight w:val="none"/>
        </w:rPr>
        <w:t>6.符合法律、行政法规规定的其他条件；</w:t>
      </w:r>
    </w:p>
    <w:p>
      <w:pPr>
        <w:pStyle w:val="56"/>
        <w:ind w:firstLine="720" w:firstLineChars="300"/>
        <w:rPr>
          <w:rFonts w:hint="eastAsia"/>
          <w:color w:val="auto"/>
          <w:sz w:val="24"/>
          <w:highlight w:val="none"/>
        </w:rPr>
      </w:pPr>
      <w:r>
        <w:rPr>
          <w:rFonts w:hint="eastAsia"/>
          <w:color w:val="auto"/>
          <w:sz w:val="24"/>
          <w:highlight w:val="none"/>
        </w:rPr>
        <w:t>（1）</w:t>
      </w:r>
      <w:r>
        <w:rPr>
          <w:rFonts w:hint="eastAsia"/>
          <w:color w:val="auto"/>
          <w:sz w:val="24"/>
          <w:highlight w:val="none"/>
          <w:lang w:eastAsia="zh-CN"/>
        </w:rPr>
        <w:t>投标人</w:t>
      </w:r>
      <w:r>
        <w:rPr>
          <w:rFonts w:hint="eastAsia"/>
          <w:color w:val="auto"/>
          <w:sz w:val="24"/>
          <w:highlight w:val="none"/>
        </w:rPr>
        <w:t>及其现任法定代表人、主要负责人在参加本项目政府采购活动前三年无行贿犯罪记录；</w:t>
      </w:r>
    </w:p>
    <w:p>
      <w:pPr>
        <w:pStyle w:val="56"/>
        <w:ind w:firstLine="720" w:firstLineChars="300"/>
        <w:rPr>
          <w:rFonts w:hint="eastAsia"/>
          <w:color w:val="auto"/>
          <w:sz w:val="24"/>
          <w:highlight w:val="none"/>
        </w:rPr>
      </w:pPr>
      <w:r>
        <w:rPr>
          <w:rFonts w:hint="eastAsia"/>
          <w:color w:val="auto"/>
          <w:sz w:val="24"/>
          <w:highlight w:val="none"/>
        </w:rPr>
        <w:t>（2）</w:t>
      </w:r>
      <w:r>
        <w:rPr>
          <w:rFonts w:hint="eastAsia"/>
          <w:color w:val="auto"/>
          <w:sz w:val="24"/>
          <w:highlight w:val="none"/>
          <w:lang w:eastAsia="zh-CN"/>
        </w:rPr>
        <w:t>投标人</w:t>
      </w:r>
      <w:r>
        <w:rPr>
          <w:rFonts w:hint="eastAsia"/>
          <w:color w:val="auto"/>
          <w:sz w:val="24"/>
          <w:highlight w:val="none"/>
        </w:rPr>
        <w:t>须提供“截至磋商截止日未被列入失信被执行人、重大税收违法案件当事人名单、政府采购严重违法失信行为记录名单的承诺函”；</w:t>
      </w:r>
    </w:p>
    <w:p>
      <w:pPr>
        <w:pStyle w:val="56"/>
        <w:ind w:firstLine="480"/>
        <w:rPr>
          <w:rFonts w:hint="eastAsia"/>
          <w:color w:val="auto"/>
          <w:sz w:val="24"/>
          <w:highlight w:val="none"/>
        </w:rPr>
      </w:pPr>
      <w:r>
        <w:rPr>
          <w:rFonts w:hint="eastAsia"/>
          <w:color w:val="auto"/>
          <w:sz w:val="24"/>
          <w:highlight w:val="none"/>
        </w:rPr>
        <w:t>注：采购人或采购代理机构将于本项目磋商截止日在‘信用中国’网站、‘中国政府采购网’网站等渠道对供应商进行信用记录查询，并将查询记录存档。凡被列入失信被执行人、重大税收违法案件当事人名单、政府采购严重违法失信行为记录名单的，视为存在不良信用记录，参与本项目的将被拒绝。</w:t>
      </w:r>
    </w:p>
    <w:p>
      <w:pPr>
        <w:pStyle w:val="56"/>
        <w:ind w:firstLine="480"/>
        <w:rPr>
          <w:rFonts w:hint="eastAsia"/>
          <w:color w:val="auto"/>
          <w:sz w:val="24"/>
          <w:highlight w:val="none"/>
        </w:rPr>
      </w:pPr>
      <w:r>
        <w:rPr>
          <w:rFonts w:hint="eastAsia"/>
          <w:color w:val="auto"/>
          <w:sz w:val="24"/>
          <w:highlight w:val="none"/>
        </w:rPr>
        <w:t>（3）参加本次招标采购活动，不存在与单位负责人为同一人或者存在直接控股、管理关系的其他供应商参与同一合同项下的政府采购活动的行为；</w:t>
      </w:r>
    </w:p>
    <w:p>
      <w:pPr>
        <w:pStyle w:val="56"/>
        <w:ind w:firstLine="480"/>
        <w:rPr>
          <w:rFonts w:hint="eastAsia"/>
          <w:color w:val="auto"/>
          <w:sz w:val="24"/>
          <w:highlight w:val="none"/>
        </w:rPr>
      </w:pPr>
      <w:r>
        <w:rPr>
          <w:rFonts w:hint="eastAsia"/>
          <w:color w:val="auto"/>
          <w:sz w:val="24"/>
          <w:highlight w:val="none"/>
        </w:rPr>
        <w:t>（4）参加本次招标采购活动，不存在和其他供应商在同一合同项下的采购项目中，同时委托同一个自然人、同一家庭的人员、同一单位的人员作为代理人的行为；</w:t>
      </w:r>
    </w:p>
    <w:p>
      <w:pPr>
        <w:pStyle w:val="56"/>
        <w:ind w:firstLine="480"/>
        <w:rPr>
          <w:rFonts w:hint="eastAsia" w:eastAsia="宋体"/>
          <w:color w:val="auto"/>
          <w:sz w:val="24"/>
          <w:highlight w:val="none"/>
          <w:lang w:eastAsia="zh-CN"/>
        </w:rPr>
      </w:pPr>
      <w:r>
        <w:rPr>
          <w:rFonts w:hint="eastAsia"/>
          <w:color w:val="auto"/>
          <w:sz w:val="24"/>
          <w:highlight w:val="none"/>
        </w:rPr>
        <w:t>（5）参加本次采购活动，未对本次采购项目提供过整体设计、规范编制或者项目管理、监理、检测等服务</w:t>
      </w:r>
      <w:r>
        <w:rPr>
          <w:rFonts w:hint="eastAsia"/>
          <w:color w:val="auto"/>
          <w:sz w:val="24"/>
          <w:highlight w:val="none"/>
          <w:lang w:eastAsia="zh-CN"/>
        </w:rPr>
        <w:t>。</w:t>
      </w:r>
    </w:p>
    <w:p>
      <w:pPr>
        <w:pStyle w:val="56"/>
        <w:ind w:firstLine="480"/>
        <w:rPr>
          <w:rFonts w:hint="eastAsia"/>
          <w:color w:val="auto"/>
          <w:sz w:val="24"/>
          <w:highlight w:val="none"/>
        </w:rPr>
      </w:pPr>
      <w:r>
        <w:rPr>
          <w:rFonts w:hint="eastAsia"/>
          <w:color w:val="auto"/>
          <w:sz w:val="24"/>
          <w:highlight w:val="none"/>
        </w:rPr>
        <w:t>（</w:t>
      </w:r>
      <w:r>
        <w:rPr>
          <w:rFonts w:hint="eastAsia"/>
          <w:color w:val="auto"/>
          <w:sz w:val="24"/>
          <w:highlight w:val="none"/>
          <w:lang w:val="en-US" w:eastAsia="zh-CN"/>
        </w:rPr>
        <w:t>6</w:t>
      </w:r>
      <w:r>
        <w:rPr>
          <w:rFonts w:hint="eastAsia"/>
          <w:color w:val="auto"/>
          <w:sz w:val="24"/>
          <w:highlight w:val="none"/>
        </w:rPr>
        <w:t>）</w:t>
      </w:r>
      <w:r>
        <w:rPr>
          <w:rFonts w:hint="eastAsia"/>
          <w:color w:val="auto"/>
          <w:sz w:val="24"/>
          <w:highlight w:val="none"/>
          <w:lang w:eastAsia="zh-CN"/>
        </w:rPr>
        <w:t>投标人</w:t>
      </w:r>
      <w:r>
        <w:rPr>
          <w:rFonts w:hint="eastAsia"/>
          <w:color w:val="auto"/>
          <w:sz w:val="24"/>
          <w:highlight w:val="none"/>
        </w:rPr>
        <w:t>对是否存在受到财政部门或有关部门认定的失信行为（有效期内）以及认定次数进行承诺。</w:t>
      </w:r>
    </w:p>
    <w:p>
      <w:pPr>
        <w:pStyle w:val="56"/>
        <w:jc w:val="left"/>
        <w:rPr>
          <w:rFonts w:hint="eastAsia"/>
          <w:color w:val="auto"/>
          <w:sz w:val="24"/>
          <w:highlight w:val="none"/>
          <w:lang w:eastAsia="zh-CN"/>
        </w:rPr>
      </w:pPr>
      <w:r>
        <w:rPr>
          <w:rFonts w:hint="eastAsia"/>
          <w:color w:val="auto"/>
          <w:sz w:val="24"/>
          <w:highlight w:val="none"/>
        </w:rPr>
        <w:t>7.采购人根据采购项目提出的特殊条件</w:t>
      </w:r>
      <w:r>
        <w:rPr>
          <w:rFonts w:hint="eastAsia"/>
          <w:color w:val="auto"/>
          <w:sz w:val="24"/>
          <w:highlight w:val="none"/>
          <w:lang w:eastAsia="zh-CN"/>
        </w:rPr>
        <w:t>：</w:t>
      </w:r>
    </w:p>
    <w:p>
      <w:pPr>
        <w:pStyle w:val="56"/>
        <w:jc w:val="left"/>
        <w:rPr>
          <w:rFonts w:hint="default"/>
          <w:color w:val="auto"/>
          <w:sz w:val="24"/>
          <w:highlight w:val="none"/>
          <w:lang w:val="en-US" w:eastAsia="zh-CN"/>
        </w:rPr>
      </w:pPr>
      <w:r>
        <w:rPr>
          <w:rFonts w:hint="eastAsia"/>
          <w:color w:val="auto"/>
          <w:sz w:val="24"/>
          <w:highlight w:val="none"/>
          <w:lang w:val="en-US" w:eastAsia="zh-CN"/>
        </w:rPr>
        <w:t>(1）1包：电缆采购；/</w:t>
      </w:r>
    </w:p>
    <w:p>
      <w:pPr>
        <w:pStyle w:val="56"/>
        <w:ind w:left="0" w:leftChars="0" w:firstLine="480" w:firstLineChars="200"/>
        <w:jc w:val="left"/>
        <w:rPr>
          <w:rFonts w:hint="default"/>
          <w:color w:val="auto"/>
          <w:sz w:val="24"/>
          <w:highlight w:val="none"/>
          <w:lang w:val="en-US" w:eastAsia="zh-CN"/>
        </w:rPr>
      </w:pPr>
      <w:r>
        <w:rPr>
          <w:rFonts w:hint="eastAsia"/>
          <w:color w:val="auto"/>
          <w:sz w:val="24"/>
          <w:highlight w:val="none"/>
          <w:lang w:val="en-US" w:eastAsia="zh-CN"/>
        </w:rPr>
        <w:t>(2）2包：电器采购；/</w:t>
      </w:r>
    </w:p>
    <w:p>
      <w:pPr>
        <w:pStyle w:val="56"/>
        <w:jc w:val="left"/>
        <w:rPr>
          <w:rFonts w:hint="eastAsia"/>
          <w:color w:val="auto"/>
          <w:sz w:val="24"/>
          <w:highlight w:val="none"/>
          <w:lang w:val="en-US" w:eastAsia="zh-CN"/>
        </w:rPr>
      </w:pPr>
      <w:r>
        <w:rPr>
          <w:rFonts w:hint="eastAsia"/>
          <w:color w:val="auto"/>
          <w:sz w:val="24"/>
          <w:highlight w:val="none"/>
          <w:lang w:val="en-US" w:eastAsia="zh-CN"/>
        </w:rPr>
        <w:t>(3）3包：路灯远程控制器采购；</w:t>
      </w:r>
    </w:p>
    <w:p>
      <w:pPr>
        <w:pStyle w:val="56"/>
        <w:ind w:firstLine="960" w:firstLineChars="400"/>
        <w:jc w:val="left"/>
        <w:rPr>
          <w:rFonts w:hint="eastAsia"/>
          <w:color w:val="auto"/>
          <w:sz w:val="24"/>
          <w:highlight w:val="none"/>
          <w:lang w:val="en-US" w:eastAsia="zh-CN"/>
        </w:rPr>
      </w:pPr>
      <w:r>
        <w:rPr>
          <w:rFonts w:hint="eastAsia"/>
          <w:color w:val="auto"/>
          <w:sz w:val="24"/>
          <w:highlight w:val="none"/>
          <w:lang w:val="en-US" w:eastAsia="zh-CN"/>
        </w:rPr>
        <w:t>投标人须具有承装（修、试）电力设施许可证五级（或以上）资质；</w:t>
      </w:r>
    </w:p>
    <w:p>
      <w:pPr>
        <w:pStyle w:val="56"/>
        <w:ind w:firstLine="960" w:firstLineChars="400"/>
        <w:jc w:val="left"/>
        <w:rPr>
          <w:rFonts w:hint="eastAsia"/>
          <w:color w:val="auto"/>
          <w:sz w:val="24"/>
          <w:highlight w:val="none"/>
          <w:lang w:val="en-US" w:eastAsia="zh-CN"/>
        </w:rPr>
      </w:pPr>
      <w:r>
        <w:rPr>
          <w:rFonts w:hint="eastAsia"/>
          <w:color w:val="auto"/>
          <w:sz w:val="24"/>
          <w:highlight w:val="none"/>
          <w:lang w:val="en-US" w:eastAsia="zh-CN"/>
        </w:rPr>
        <w:t>投标人须具有电子与智能化专业承包二级或二级以上资质；</w:t>
      </w:r>
    </w:p>
    <w:p>
      <w:pPr>
        <w:pStyle w:val="56"/>
        <w:numPr>
          <w:ilvl w:val="0"/>
          <w:numId w:val="0"/>
        </w:numPr>
        <w:ind w:firstLine="480" w:firstLineChars="200"/>
        <w:rPr>
          <w:rFonts w:hint="eastAsia"/>
          <w:color w:val="auto"/>
          <w:sz w:val="24"/>
          <w:highlight w:val="none"/>
        </w:rPr>
      </w:pPr>
      <w:r>
        <w:rPr>
          <w:rFonts w:hint="eastAsia"/>
          <w:color w:val="auto"/>
          <w:sz w:val="24"/>
          <w:highlight w:val="none"/>
          <w:lang w:val="en-US" w:eastAsia="zh-CN"/>
        </w:rPr>
        <w:t>8.</w:t>
      </w:r>
      <w:r>
        <w:rPr>
          <w:rFonts w:hint="eastAsia"/>
          <w:color w:val="auto"/>
          <w:sz w:val="24"/>
          <w:highlight w:val="none"/>
        </w:rPr>
        <w:t>本项目</w:t>
      </w:r>
      <w:r>
        <w:rPr>
          <w:rFonts w:hint="eastAsia"/>
          <w:color w:val="auto"/>
          <w:sz w:val="24"/>
          <w:highlight w:val="none"/>
          <w:lang w:eastAsia="zh-CN"/>
        </w:rPr>
        <w:t>不</w:t>
      </w:r>
      <w:r>
        <w:rPr>
          <w:rFonts w:hint="eastAsia"/>
          <w:color w:val="auto"/>
          <w:sz w:val="24"/>
          <w:highlight w:val="none"/>
        </w:rPr>
        <w:t>接受联合体参与采购活动。</w:t>
      </w:r>
    </w:p>
    <w:p>
      <w:pPr>
        <w:pStyle w:val="56"/>
        <w:numPr>
          <w:ilvl w:val="0"/>
          <w:numId w:val="0"/>
        </w:numPr>
        <w:ind w:firstLine="480" w:firstLineChars="200"/>
        <w:rPr>
          <w:rFonts w:hint="eastAsia"/>
          <w:color w:val="auto"/>
          <w:sz w:val="24"/>
          <w:highlight w:val="none"/>
        </w:rPr>
      </w:pPr>
      <w:r>
        <w:rPr>
          <w:rFonts w:hint="eastAsia"/>
          <w:color w:val="auto"/>
          <w:sz w:val="24"/>
          <w:highlight w:val="none"/>
          <w:lang w:val="en-US" w:eastAsia="zh-CN"/>
        </w:rPr>
        <w:t>9.</w:t>
      </w:r>
      <w:r>
        <w:rPr>
          <w:rFonts w:hint="eastAsia"/>
          <w:color w:val="auto"/>
          <w:sz w:val="24"/>
          <w:highlight w:val="none"/>
        </w:rPr>
        <w:t>本项目</w:t>
      </w:r>
      <w:r>
        <w:rPr>
          <w:rFonts w:hint="eastAsia"/>
          <w:color w:val="auto"/>
          <w:sz w:val="24"/>
          <w:highlight w:val="none"/>
          <w:lang w:eastAsia="zh-CN"/>
        </w:rPr>
        <w:t>专门面向中小企业采购。</w:t>
      </w:r>
    </w:p>
    <w:bookmarkEnd w:id="182"/>
    <w:p>
      <w:pPr>
        <w:pStyle w:val="56"/>
        <w:spacing w:line="420" w:lineRule="exact"/>
        <w:ind w:firstLine="0" w:firstLineChars="0"/>
        <w:rPr>
          <w:rFonts w:hAnsi="宋体" w:cs="仿宋"/>
          <w:b/>
          <w:bCs/>
          <w:color w:val="auto"/>
          <w:sz w:val="24"/>
          <w:highlight w:val="none"/>
        </w:rPr>
      </w:pPr>
      <w:r>
        <w:rPr>
          <w:rFonts w:hint="eastAsia" w:hAnsi="宋体" w:cs="仿宋"/>
          <w:b/>
          <w:bCs/>
          <w:color w:val="auto"/>
          <w:sz w:val="24"/>
          <w:highlight w:val="none"/>
        </w:rPr>
        <w:t>（二）其他类似效力要求：</w:t>
      </w:r>
    </w:p>
    <w:p>
      <w:pPr>
        <w:pStyle w:val="56"/>
        <w:spacing w:line="420" w:lineRule="exact"/>
        <w:ind w:firstLine="0" w:firstLineChars="0"/>
        <w:rPr>
          <w:rFonts w:hAnsi="宋体" w:cs="仿宋"/>
          <w:b/>
          <w:color w:val="auto"/>
          <w:sz w:val="24"/>
          <w:highlight w:val="none"/>
        </w:rPr>
      </w:pPr>
      <w:r>
        <w:rPr>
          <w:rFonts w:hint="eastAsia" w:hAnsi="宋体" w:cs="仿宋"/>
          <w:color w:val="auto"/>
          <w:sz w:val="24"/>
          <w:highlight w:val="none"/>
        </w:rPr>
        <w:t>1.法定代表人/单位负责人身份证明文件或授权参加本次投标活动的授权代表证明材料。</w:t>
      </w:r>
    </w:p>
    <w:p>
      <w:pPr>
        <w:pStyle w:val="56"/>
        <w:spacing w:line="420" w:lineRule="exact"/>
        <w:ind w:firstLine="0" w:firstLineChars="0"/>
        <w:rPr>
          <w:rFonts w:hAnsi="宋体" w:cs="仿宋"/>
          <w:b/>
          <w:color w:val="auto"/>
          <w:sz w:val="24"/>
          <w:highlight w:val="none"/>
        </w:rPr>
      </w:pPr>
      <w:r>
        <w:rPr>
          <w:rFonts w:hint="eastAsia" w:hAnsi="宋体" w:cs="仿宋"/>
          <w:b/>
          <w:color w:val="auto"/>
          <w:sz w:val="24"/>
          <w:highlight w:val="none"/>
        </w:rPr>
        <w:t>注：</w:t>
      </w:r>
    </w:p>
    <w:p>
      <w:pPr>
        <w:pStyle w:val="56"/>
        <w:spacing w:line="420" w:lineRule="exact"/>
        <w:ind w:firstLine="482"/>
        <w:rPr>
          <w:rFonts w:hAnsi="宋体" w:cs="仿宋"/>
          <w:b/>
          <w:color w:val="auto"/>
          <w:sz w:val="24"/>
          <w:highlight w:val="none"/>
        </w:rPr>
      </w:pPr>
      <w:r>
        <w:rPr>
          <w:rFonts w:hint="eastAsia" w:hAnsi="宋体" w:cs="仿宋"/>
          <w:b/>
          <w:color w:val="auto"/>
          <w:sz w:val="24"/>
          <w:highlight w:val="none"/>
        </w:rPr>
        <w:t>1.本项目确定投标人经营活动中重大违法记录中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为准。</w:t>
      </w:r>
    </w:p>
    <w:p>
      <w:pPr>
        <w:pStyle w:val="56"/>
        <w:spacing w:line="420" w:lineRule="exact"/>
        <w:ind w:firstLine="482"/>
        <w:rPr>
          <w:rFonts w:hAnsi="宋体" w:cs="仿宋"/>
          <w:b/>
          <w:color w:val="auto"/>
          <w:sz w:val="24"/>
          <w:highlight w:val="none"/>
        </w:rPr>
      </w:pPr>
      <w:r>
        <w:rPr>
          <w:rFonts w:hint="eastAsia" w:hAnsi="宋体" w:cs="仿宋"/>
          <w:b/>
          <w:color w:val="auto"/>
          <w:sz w:val="24"/>
          <w:highlight w:val="none"/>
        </w:rPr>
        <w:t>2.投标人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3"/>
        <w:jc w:val="center"/>
        <w:rPr>
          <w:rFonts w:ascii="宋体" w:hAnsi="宋体" w:cs="仿宋"/>
          <w:color w:val="auto"/>
          <w:sz w:val="36"/>
          <w:szCs w:val="36"/>
          <w:highlight w:val="none"/>
        </w:rPr>
      </w:pPr>
      <w:bookmarkStart w:id="183" w:name="_Toc1588"/>
      <w:bookmarkStart w:id="184" w:name="_Toc3806"/>
      <w:r>
        <w:rPr>
          <w:rFonts w:hint="eastAsia" w:ascii="宋体" w:hAnsi="宋体" w:cs="仿宋"/>
          <w:color w:val="auto"/>
          <w:sz w:val="36"/>
          <w:szCs w:val="36"/>
          <w:highlight w:val="none"/>
        </w:rPr>
        <w:br w:type="page"/>
      </w:r>
      <w:r>
        <w:rPr>
          <w:rFonts w:hint="eastAsia" w:ascii="宋体" w:hAnsi="宋体" w:cs="仿宋"/>
          <w:color w:val="auto"/>
          <w:sz w:val="36"/>
          <w:szCs w:val="36"/>
          <w:highlight w:val="none"/>
        </w:rPr>
        <w:t>第五章  投标人应当提供的资格、资质性及其他类似效力要求的相关证明材料</w:t>
      </w:r>
      <w:bookmarkEnd w:id="183"/>
      <w:bookmarkEnd w:id="184"/>
    </w:p>
    <w:p>
      <w:pPr>
        <w:pStyle w:val="4"/>
        <w:spacing w:line="360" w:lineRule="exact"/>
        <w:rPr>
          <w:rFonts w:ascii="宋体" w:hAnsi="宋体" w:eastAsia="宋体" w:cs="仿宋"/>
          <w:color w:val="auto"/>
          <w:sz w:val="24"/>
          <w:szCs w:val="24"/>
          <w:highlight w:val="none"/>
        </w:rPr>
      </w:pPr>
      <w:r>
        <w:rPr>
          <w:rFonts w:hint="eastAsia" w:ascii="宋体" w:hAnsi="宋体" w:eastAsia="宋体" w:cs="仿宋"/>
          <w:color w:val="auto"/>
          <w:sz w:val="24"/>
          <w:szCs w:val="24"/>
          <w:highlight w:val="none"/>
        </w:rPr>
        <w:t>一、应当提供的投标人资格、资质性及其他类似效力要求的相关证明材料</w:t>
      </w:r>
    </w:p>
    <w:p>
      <w:pPr>
        <w:rPr>
          <w:rFonts w:ascii="宋体" w:hAnsi="宋体" w:cs="仿宋"/>
          <w:b/>
          <w:bCs/>
          <w:color w:val="auto"/>
          <w:sz w:val="24"/>
          <w:highlight w:val="none"/>
        </w:rPr>
      </w:pPr>
      <w:bookmarkStart w:id="185" w:name="_Hlk534972541"/>
      <w:r>
        <w:rPr>
          <w:rFonts w:hint="eastAsia" w:ascii="宋体" w:hAnsi="宋体" w:cs="仿宋"/>
          <w:b/>
          <w:bCs/>
          <w:color w:val="auto"/>
          <w:sz w:val="24"/>
          <w:highlight w:val="none"/>
        </w:rPr>
        <w:t>（一）资格要求相关证明材料：</w:t>
      </w:r>
    </w:p>
    <w:p>
      <w:pPr>
        <w:pStyle w:val="56"/>
        <w:spacing w:line="420" w:lineRule="exact"/>
        <w:ind w:firstLine="480"/>
        <w:rPr>
          <w:rFonts w:hAnsi="宋体" w:cs="仿宋"/>
          <w:color w:val="auto"/>
          <w:sz w:val="24"/>
          <w:highlight w:val="none"/>
        </w:rPr>
      </w:pPr>
      <w:r>
        <w:rPr>
          <w:rFonts w:hint="eastAsia" w:hAnsi="宋体" w:cs="仿宋"/>
          <w:color w:val="auto"/>
          <w:sz w:val="24"/>
          <w:highlight w:val="none"/>
        </w:rPr>
        <w:t>1.具有独立承担民事责任的能力。（注：①投标人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pStyle w:val="56"/>
        <w:spacing w:line="420" w:lineRule="exact"/>
        <w:ind w:firstLine="480"/>
        <w:rPr>
          <w:rFonts w:hAnsi="宋体" w:cs="仿宋"/>
          <w:color w:val="auto"/>
          <w:sz w:val="24"/>
          <w:highlight w:val="none"/>
        </w:rPr>
      </w:pPr>
      <w:r>
        <w:rPr>
          <w:rFonts w:hint="eastAsia" w:hAnsi="宋体" w:cs="仿宋"/>
          <w:color w:val="auto"/>
          <w:sz w:val="24"/>
          <w:highlight w:val="none"/>
        </w:rPr>
        <w:t>2.具备良好商业信誉的证明材料（提供承诺函，格式详见第三章）；</w:t>
      </w:r>
    </w:p>
    <w:p>
      <w:pPr>
        <w:pStyle w:val="56"/>
        <w:spacing w:line="420" w:lineRule="exact"/>
        <w:ind w:firstLine="480"/>
        <w:rPr>
          <w:rFonts w:hAnsi="宋体" w:cs="仿宋"/>
          <w:color w:val="auto"/>
          <w:sz w:val="24"/>
          <w:highlight w:val="none"/>
        </w:rPr>
      </w:pPr>
      <w:r>
        <w:rPr>
          <w:rFonts w:hint="eastAsia" w:hAnsi="宋体" w:cs="仿宋"/>
          <w:color w:val="auto"/>
          <w:sz w:val="24"/>
          <w:highlight w:val="none"/>
        </w:rPr>
        <w:t>3.具备健全的财务会计制度的证明材料。｛注：①可提供</w:t>
      </w:r>
      <w:r>
        <w:rPr>
          <w:rFonts w:hint="eastAsia" w:hAnsi="宋体" w:cs="仿宋"/>
          <w:color w:val="auto"/>
          <w:sz w:val="24"/>
          <w:highlight w:val="none"/>
          <w:lang w:val="en-US" w:eastAsia="zh-CN"/>
        </w:rPr>
        <w:t>2019</w:t>
      </w:r>
      <w:r>
        <w:rPr>
          <w:rFonts w:hint="eastAsia" w:hAnsi="宋体" w:cs="仿宋"/>
          <w:color w:val="auto"/>
          <w:sz w:val="24"/>
          <w:highlight w:val="none"/>
        </w:rPr>
        <w:t>年度或</w:t>
      </w:r>
      <w:r>
        <w:rPr>
          <w:rFonts w:hint="eastAsia" w:hAnsi="宋体" w:cs="仿宋"/>
          <w:color w:val="auto"/>
          <w:sz w:val="24"/>
          <w:highlight w:val="none"/>
          <w:lang w:val="en-US" w:eastAsia="zh-CN"/>
        </w:rPr>
        <w:t>2020</w:t>
      </w:r>
      <w:r>
        <w:rPr>
          <w:rFonts w:hint="eastAsia" w:hAnsi="宋体" w:cs="仿宋"/>
          <w:color w:val="auto"/>
          <w:sz w:val="24"/>
          <w:highlight w:val="none"/>
        </w:rPr>
        <w:t>年度经审计的财务审计报告复印件（财务审计报告应包含报告及报告中所附的完整内容，同时应提供审计单位有效的营业执照、执业证书及审计人员有效的注册会计师证书），②也可提供</w:t>
      </w:r>
      <w:r>
        <w:rPr>
          <w:rFonts w:hint="eastAsia" w:hAnsi="宋体" w:cs="仿宋"/>
          <w:color w:val="auto"/>
          <w:sz w:val="24"/>
          <w:highlight w:val="none"/>
          <w:lang w:val="en-US" w:eastAsia="zh-CN"/>
        </w:rPr>
        <w:t>2019</w:t>
      </w:r>
      <w:r>
        <w:rPr>
          <w:rFonts w:hint="eastAsia" w:hAnsi="宋体" w:cs="仿宋"/>
          <w:color w:val="auto"/>
          <w:sz w:val="24"/>
          <w:highlight w:val="none"/>
        </w:rPr>
        <w:t>年度或</w:t>
      </w:r>
      <w:r>
        <w:rPr>
          <w:rFonts w:hint="eastAsia" w:hAnsi="宋体" w:cs="仿宋"/>
          <w:color w:val="auto"/>
          <w:sz w:val="24"/>
          <w:highlight w:val="none"/>
          <w:lang w:val="en-US" w:eastAsia="zh-CN"/>
        </w:rPr>
        <w:t>2020</w:t>
      </w:r>
      <w:r>
        <w:rPr>
          <w:rFonts w:hint="eastAsia" w:hAnsi="宋体" w:cs="仿宋"/>
          <w:color w:val="auto"/>
          <w:sz w:val="24"/>
          <w:highlight w:val="none"/>
        </w:rPr>
        <w:t>年度投标人内部的财务报表复印件（至少包含资产负债表和利润表），③也可提供截至投标文件递交截止日一年内银行出具的资信证明（复印件），④投标人注册时间截至投标文件递交截止日不足一年的，也可提供在工商备案的公司章程（复印件）。｝</w:t>
      </w:r>
    </w:p>
    <w:p>
      <w:pPr>
        <w:pStyle w:val="56"/>
        <w:spacing w:line="420" w:lineRule="exact"/>
        <w:ind w:firstLine="480"/>
        <w:rPr>
          <w:rFonts w:hAnsi="宋体" w:cs="仿宋"/>
          <w:color w:val="auto"/>
          <w:sz w:val="24"/>
          <w:highlight w:val="none"/>
        </w:rPr>
      </w:pPr>
      <w:r>
        <w:rPr>
          <w:rFonts w:hint="eastAsia" w:hAnsi="宋体" w:cs="仿宋"/>
          <w:color w:val="auto"/>
          <w:sz w:val="24"/>
          <w:highlight w:val="none"/>
        </w:rPr>
        <w:t>4.具有依法缴纳税收和社会保障资金的良好记录（①可提供</w:t>
      </w:r>
      <w:r>
        <w:rPr>
          <w:rFonts w:hint="eastAsia" w:hAnsi="宋体" w:cs="仿宋"/>
          <w:color w:val="auto"/>
          <w:sz w:val="24"/>
          <w:highlight w:val="none"/>
          <w:lang w:val="en-US" w:eastAsia="zh-CN"/>
        </w:rPr>
        <w:t>2020</w:t>
      </w:r>
      <w:r>
        <w:rPr>
          <w:rFonts w:hint="eastAsia" w:hAnsi="宋体" w:cs="仿宋"/>
          <w:color w:val="auto"/>
          <w:sz w:val="24"/>
          <w:highlight w:val="none"/>
        </w:rPr>
        <w:t>年以来任意3个月依法缴纳税收、社保证明；②也可提供承诺函，格式自拟。）；</w:t>
      </w:r>
    </w:p>
    <w:p>
      <w:pPr>
        <w:pStyle w:val="56"/>
        <w:spacing w:line="420" w:lineRule="exact"/>
        <w:ind w:firstLine="480"/>
        <w:rPr>
          <w:rFonts w:hAnsi="宋体" w:cs="仿宋"/>
          <w:color w:val="auto"/>
          <w:sz w:val="24"/>
          <w:highlight w:val="none"/>
        </w:rPr>
      </w:pPr>
      <w:r>
        <w:rPr>
          <w:rFonts w:hint="eastAsia" w:hAnsi="宋体" w:cs="仿宋"/>
          <w:color w:val="auto"/>
          <w:sz w:val="24"/>
          <w:highlight w:val="none"/>
        </w:rPr>
        <w:t>5.具备履行合同所必需的设备和专业技术能力的证明材料（提供承诺函，格式自拟）；</w:t>
      </w:r>
    </w:p>
    <w:p>
      <w:pPr>
        <w:pStyle w:val="56"/>
        <w:spacing w:line="420" w:lineRule="exact"/>
        <w:ind w:firstLine="480"/>
        <w:rPr>
          <w:rFonts w:hAnsi="宋体" w:cs="仿宋"/>
          <w:color w:val="auto"/>
          <w:sz w:val="24"/>
          <w:highlight w:val="none"/>
        </w:rPr>
      </w:pPr>
      <w:r>
        <w:rPr>
          <w:rFonts w:hint="eastAsia" w:hAnsi="宋体" w:cs="仿宋"/>
          <w:color w:val="auto"/>
          <w:sz w:val="24"/>
          <w:highlight w:val="none"/>
        </w:rPr>
        <w:t>6.参加政府采购活动前3年内在经营活动中没有重大违法记录（提供承诺函，格式自拟）；</w:t>
      </w:r>
    </w:p>
    <w:p>
      <w:pPr>
        <w:pStyle w:val="56"/>
        <w:spacing w:line="420" w:lineRule="exact"/>
        <w:ind w:firstLine="480"/>
        <w:rPr>
          <w:rFonts w:hint="eastAsia" w:hAnsi="宋体" w:cs="仿宋"/>
          <w:color w:val="auto"/>
          <w:sz w:val="24"/>
          <w:highlight w:val="none"/>
        </w:rPr>
      </w:pPr>
      <w:r>
        <w:rPr>
          <w:rFonts w:hint="eastAsia" w:hAnsi="宋体" w:cs="仿宋"/>
          <w:color w:val="auto"/>
          <w:sz w:val="24"/>
          <w:highlight w:val="none"/>
        </w:rPr>
        <w:t>7.具备法律、行政法规规定的其他条件的证明材料（提供承诺函，格式自拟）；</w:t>
      </w:r>
    </w:p>
    <w:p>
      <w:pPr>
        <w:pStyle w:val="56"/>
        <w:ind w:firstLine="720" w:firstLineChars="300"/>
        <w:rPr>
          <w:rFonts w:hint="eastAsia"/>
          <w:color w:val="auto"/>
          <w:sz w:val="24"/>
          <w:highlight w:val="none"/>
        </w:rPr>
      </w:pPr>
      <w:r>
        <w:rPr>
          <w:rFonts w:hint="eastAsia" w:hAnsi="宋体" w:cs="仿宋"/>
          <w:color w:val="auto"/>
          <w:sz w:val="24"/>
          <w:highlight w:val="none"/>
          <w:lang w:val="en-US" w:eastAsia="zh-CN"/>
        </w:rPr>
        <w:t xml:space="preserve"> </w:t>
      </w:r>
      <w:r>
        <w:rPr>
          <w:rFonts w:hint="eastAsia"/>
          <w:color w:val="auto"/>
          <w:sz w:val="24"/>
          <w:highlight w:val="none"/>
        </w:rPr>
        <w:t>（1）</w:t>
      </w:r>
      <w:r>
        <w:rPr>
          <w:rFonts w:hint="eastAsia"/>
          <w:color w:val="auto"/>
          <w:sz w:val="24"/>
          <w:highlight w:val="none"/>
          <w:lang w:eastAsia="zh-CN"/>
        </w:rPr>
        <w:t>提供投标人</w:t>
      </w:r>
      <w:r>
        <w:rPr>
          <w:rFonts w:hint="eastAsia"/>
          <w:color w:val="auto"/>
          <w:sz w:val="24"/>
          <w:highlight w:val="none"/>
        </w:rPr>
        <w:t>及其现任法定代表人、主要负责人在参加本项目政府采购活动前三年无行贿犯罪记录</w:t>
      </w:r>
      <w:r>
        <w:rPr>
          <w:rFonts w:hint="eastAsia"/>
          <w:color w:val="auto"/>
          <w:sz w:val="24"/>
          <w:highlight w:val="none"/>
          <w:lang w:eastAsia="zh-CN"/>
        </w:rPr>
        <w:t>的承诺函</w:t>
      </w:r>
      <w:r>
        <w:rPr>
          <w:rFonts w:hint="eastAsia"/>
          <w:color w:val="auto"/>
          <w:sz w:val="24"/>
          <w:highlight w:val="none"/>
        </w:rPr>
        <w:t>；</w:t>
      </w:r>
    </w:p>
    <w:p>
      <w:pPr>
        <w:pStyle w:val="56"/>
        <w:ind w:firstLine="720" w:firstLineChars="300"/>
        <w:rPr>
          <w:rFonts w:hint="eastAsia"/>
          <w:color w:val="auto"/>
          <w:sz w:val="24"/>
          <w:highlight w:val="none"/>
        </w:rPr>
      </w:pPr>
      <w:r>
        <w:rPr>
          <w:rFonts w:hint="eastAsia"/>
          <w:color w:val="auto"/>
          <w:sz w:val="24"/>
          <w:highlight w:val="none"/>
        </w:rPr>
        <w:t>（2）</w:t>
      </w:r>
      <w:r>
        <w:rPr>
          <w:rFonts w:hint="eastAsia"/>
          <w:color w:val="auto"/>
          <w:sz w:val="24"/>
          <w:highlight w:val="none"/>
          <w:lang w:eastAsia="zh-CN"/>
        </w:rPr>
        <w:t>提供投标人</w:t>
      </w:r>
      <w:r>
        <w:rPr>
          <w:rFonts w:hint="eastAsia"/>
          <w:color w:val="auto"/>
          <w:sz w:val="24"/>
          <w:highlight w:val="none"/>
        </w:rPr>
        <w:t>须提供“截至磋商截止日未被列入失信被执行人、重大税收违法案件当事人名单、政府采购严重违法失信行为记录名单的承诺函”；</w:t>
      </w:r>
    </w:p>
    <w:p>
      <w:pPr>
        <w:pStyle w:val="56"/>
        <w:ind w:firstLine="480"/>
        <w:rPr>
          <w:rFonts w:hint="eastAsia"/>
          <w:color w:val="auto"/>
          <w:sz w:val="24"/>
          <w:highlight w:val="none"/>
        </w:rPr>
      </w:pPr>
      <w:r>
        <w:rPr>
          <w:rFonts w:hint="eastAsia"/>
          <w:color w:val="auto"/>
          <w:sz w:val="24"/>
          <w:highlight w:val="none"/>
        </w:rPr>
        <w:t>（3）</w:t>
      </w:r>
      <w:r>
        <w:rPr>
          <w:rFonts w:hint="eastAsia"/>
          <w:color w:val="auto"/>
          <w:sz w:val="24"/>
          <w:highlight w:val="none"/>
          <w:lang w:eastAsia="zh-CN"/>
        </w:rPr>
        <w:t>提供</w:t>
      </w:r>
      <w:r>
        <w:rPr>
          <w:rFonts w:hint="eastAsia"/>
          <w:color w:val="auto"/>
          <w:sz w:val="24"/>
          <w:highlight w:val="none"/>
        </w:rPr>
        <w:t>参加本次招标采购活动，不存在与单位负责人为同一人或者存在直接控股、管理关系的其他供应商参与同一合同项下的政府采购活动的行为</w:t>
      </w:r>
      <w:r>
        <w:rPr>
          <w:rFonts w:hint="eastAsia"/>
          <w:color w:val="auto"/>
          <w:sz w:val="24"/>
          <w:highlight w:val="none"/>
          <w:lang w:eastAsia="zh-CN"/>
        </w:rPr>
        <w:t>的承诺函</w:t>
      </w:r>
      <w:r>
        <w:rPr>
          <w:rFonts w:hint="eastAsia"/>
          <w:color w:val="auto"/>
          <w:sz w:val="24"/>
          <w:highlight w:val="none"/>
        </w:rPr>
        <w:t>；</w:t>
      </w:r>
    </w:p>
    <w:p>
      <w:pPr>
        <w:pStyle w:val="56"/>
        <w:ind w:firstLine="480"/>
        <w:rPr>
          <w:rFonts w:hint="eastAsia"/>
          <w:color w:val="auto"/>
          <w:sz w:val="24"/>
          <w:highlight w:val="none"/>
        </w:rPr>
      </w:pPr>
      <w:r>
        <w:rPr>
          <w:rFonts w:hint="eastAsia"/>
          <w:color w:val="auto"/>
          <w:sz w:val="24"/>
          <w:highlight w:val="none"/>
        </w:rPr>
        <w:t>（4）</w:t>
      </w:r>
      <w:r>
        <w:rPr>
          <w:rFonts w:hint="eastAsia"/>
          <w:color w:val="auto"/>
          <w:sz w:val="24"/>
          <w:highlight w:val="none"/>
          <w:lang w:eastAsia="zh-CN"/>
        </w:rPr>
        <w:t>提供</w:t>
      </w:r>
      <w:r>
        <w:rPr>
          <w:rFonts w:hint="eastAsia"/>
          <w:color w:val="auto"/>
          <w:sz w:val="24"/>
          <w:highlight w:val="none"/>
        </w:rPr>
        <w:t>参加本次招标采购活动，不存在和其他供应商在同一合同项下的采购项目中，同时委托同一个自然人、同一家庭的人员、同一单位的人员作为代理人的行为</w:t>
      </w:r>
      <w:r>
        <w:rPr>
          <w:rFonts w:hint="eastAsia"/>
          <w:color w:val="auto"/>
          <w:sz w:val="24"/>
          <w:highlight w:val="none"/>
          <w:lang w:eastAsia="zh-CN"/>
        </w:rPr>
        <w:t>的承诺函</w:t>
      </w:r>
      <w:r>
        <w:rPr>
          <w:rFonts w:hint="eastAsia"/>
          <w:color w:val="auto"/>
          <w:sz w:val="24"/>
          <w:highlight w:val="none"/>
        </w:rPr>
        <w:t>；</w:t>
      </w:r>
    </w:p>
    <w:p>
      <w:pPr>
        <w:pStyle w:val="56"/>
        <w:ind w:firstLine="480"/>
        <w:rPr>
          <w:rFonts w:hint="eastAsia" w:eastAsia="宋体"/>
          <w:color w:val="auto"/>
          <w:sz w:val="24"/>
          <w:highlight w:val="none"/>
          <w:lang w:eastAsia="zh-CN"/>
        </w:rPr>
      </w:pPr>
      <w:r>
        <w:rPr>
          <w:rFonts w:hint="eastAsia"/>
          <w:color w:val="auto"/>
          <w:sz w:val="24"/>
          <w:highlight w:val="none"/>
        </w:rPr>
        <w:t>（5）</w:t>
      </w:r>
      <w:r>
        <w:rPr>
          <w:rFonts w:hint="eastAsia"/>
          <w:color w:val="auto"/>
          <w:sz w:val="24"/>
          <w:highlight w:val="none"/>
          <w:lang w:eastAsia="zh-CN"/>
        </w:rPr>
        <w:t>提供</w:t>
      </w:r>
      <w:r>
        <w:rPr>
          <w:rFonts w:hint="eastAsia"/>
          <w:color w:val="auto"/>
          <w:sz w:val="24"/>
          <w:highlight w:val="none"/>
        </w:rPr>
        <w:t>参加本次采购活动，未对本次采购项目提供过整体设计、规范编制或者项目管理、监理、检测等服务</w:t>
      </w:r>
      <w:r>
        <w:rPr>
          <w:rFonts w:hint="eastAsia"/>
          <w:color w:val="auto"/>
          <w:sz w:val="24"/>
          <w:highlight w:val="none"/>
          <w:lang w:eastAsia="zh-CN"/>
        </w:rPr>
        <w:t>的承诺函。</w:t>
      </w:r>
    </w:p>
    <w:p>
      <w:pPr>
        <w:pStyle w:val="56"/>
        <w:ind w:firstLine="480"/>
        <w:rPr>
          <w:rFonts w:hint="eastAsia"/>
          <w:color w:val="auto"/>
          <w:sz w:val="24"/>
          <w:highlight w:val="none"/>
        </w:rPr>
      </w:pPr>
      <w:r>
        <w:rPr>
          <w:rFonts w:hint="eastAsia"/>
          <w:color w:val="auto"/>
          <w:sz w:val="24"/>
          <w:highlight w:val="none"/>
        </w:rPr>
        <w:t>（</w:t>
      </w:r>
      <w:r>
        <w:rPr>
          <w:rFonts w:hint="eastAsia"/>
          <w:color w:val="auto"/>
          <w:sz w:val="24"/>
          <w:highlight w:val="none"/>
          <w:lang w:val="en-US" w:eastAsia="zh-CN"/>
        </w:rPr>
        <w:t>6</w:t>
      </w:r>
      <w:r>
        <w:rPr>
          <w:rFonts w:hint="eastAsia"/>
          <w:color w:val="auto"/>
          <w:sz w:val="24"/>
          <w:highlight w:val="none"/>
        </w:rPr>
        <w:t>）</w:t>
      </w:r>
      <w:r>
        <w:rPr>
          <w:rFonts w:hint="eastAsia"/>
          <w:color w:val="auto"/>
          <w:sz w:val="24"/>
          <w:highlight w:val="none"/>
          <w:lang w:eastAsia="zh-CN"/>
        </w:rPr>
        <w:t>提供投标人</w:t>
      </w:r>
      <w:r>
        <w:rPr>
          <w:rFonts w:hint="eastAsia"/>
          <w:color w:val="auto"/>
          <w:sz w:val="24"/>
          <w:highlight w:val="none"/>
        </w:rPr>
        <w:t>对是否存在受到财政部门或有关部门认定的失信行为（有效期内）以及认定次数进行承诺</w:t>
      </w:r>
      <w:r>
        <w:rPr>
          <w:rFonts w:hint="eastAsia"/>
          <w:color w:val="auto"/>
          <w:sz w:val="24"/>
          <w:highlight w:val="none"/>
          <w:lang w:eastAsia="zh-CN"/>
        </w:rPr>
        <w:t>的承诺函</w:t>
      </w:r>
      <w:r>
        <w:rPr>
          <w:rFonts w:hint="eastAsia"/>
          <w:color w:val="auto"/>
          <w:sz w:val="24"/>
          <w:highlight w:val="none"/>
        </w:rPr>
        <w:t>。</w:t>
      </w:r>
    </w:p>
    <w:p>
      <w:pPr>
        <w:pStyle w:val="56"/>
        <w:jc w:val="left"/>
        <w:rPr>
          <w:rFonts w:hint="eastAsia"/>
          <w:color w:val="auto"/>
          <w:sz w:val="24"/>
          <w:highlight w:val="none"/>
          <w:lang w:eastAsia="zh-CN"/>
        </w:rPr>
      </w:pPr>
      <w:r>
        <w:rPr>
          <w:rFonts w:hint="eastAsia"/>
          <w:color w:val="auto"/>
          <w:sz w:val="24"/>
          <w:highlight w:val="none"/>
          <w:lang w:val="en-US" w:eastAsia="zh-CN"/>
        </w:rPr>
        <w:t>8.</w:t>
      </w:r>
      <w:r>
        <w:rPr>
          <w:rFonts w:hint="eastAsia"/>
          <w:color w:val="auto"/>
          <w:sz w:val="24"/>
          <w:highlight w:val="none"/>
        </w:rPr>
        <w:t>采购人根据采购项目提出的特殊条件</w:t>
      </w:r>
      <w:r>
        <w:rPr>
          <w:rFonts w:hint="eastAsia"/>
          <w:color w:val="auto"/>
          <w:sz w:val="24"/>
          <w:highlight w:val="none"/>
          <w:lang w:eastAsia="zh-CN"/>
        </w:rPr>
        <w:t>：</w:t>
      </w:r>
    </w:p>
    <w:p>
      <w:pPr>
        <w:pStyle w:val="56"/>
        <w:ind w:firstLine="960" w:firstLineChars="400"/>
        <w:jc w:val="left"/>
        <w:rPr>
          <w:rFonts w:hint="eastAsia"/>
          <w:color w:val="auto"/>
          <w:sz w:val="24"/>
          <w:highlight w:val="none"/>
          <w:lang w:eastAsia="zh-CN"/>
        </w:rPr>
      </w:pPr>
      <w:r>
        <w:rPr>
          <w:rFonts w:hint="eastAsia"/>
          <w:color w:val="auto"/>
          <w:sz w:val="24"/>
          <w:highlight w:val="none"/>
          <w:lang w:val="en-US" w:eastAsia="zh-CN"/>
        </w:rPr>
        <w:t>3包：路灯远程控制器采购；提供承装（修、试）电力设施许可证五级（或以上）和电子与智能化专业承包二级或二级以上资质证书复印件。</w:t>
      </w:r>
    </w:p>
    <w:p>
      <w:pPr>
        <w:pStyle w:val="56"/>
        <w:numPr>
          <w:ilvl w:val="0"/>
          <w:numId w:val="5"/>
        </w:numPr>
        <w:spacing w:line="420" w:lineRule="exact"/>
        <w:ind w:firstLine="480"/>
        <w:rPr>
          <w:rFonts w:hint="eastAsia" w:hAnsi="宋体" w:cs="仿宋"/>
          <w:color w:val="auto"/>
          <w:sz w:val="24"/>
          <w:highlight w:val="none"/>
        </w:rPr>
      </w:pPr>
      <w:r>
        <w:rPr>
          <w:rFonts w:hint="eastAsia" w:hAnsi="宋体" w:cs="仿宋"/>
          <w:color w:val="auto"/>
          <w:sz w:val="24"/>
          <w:highlight w:val="none"/>
        </w:rPr>
        <w:t>本项目</w:t>
      </w:r>
      <w:r>
        <w:rPr>
          <w:rFonts w:hint="eastAsia" w:hAnsi="宋体" w:cs="仿宋"/>
          <w:color w:val="auto"/>
          <w:sz w:val="24"/>
          <w:highlight w:val="none"/>
          <w:lang w:eastAsia="zh-CN"/>
        </w:rPr>
        <w:t>不</w:t>
      </w:r>
      <w:r>
        <w:rPr>
          <w:rFonts w:hint="eastAsia" w:hAnsi="宋体" w:cs="仿宋"/>
          <w:color w:val="auto"/>
          <w:sz w:val="24"/>
          <w:highlight w:val="none"/>
        </w:rPr>
        <w:t>接受联合体投标。</w:t>
      </w:r>
    </w:p>
    <w:p>
      <w:pPr>
        <w:pStyle w:val="56"/>
        <w:numPr>
          <w:ilvl w:val="0"/>
          <w:numId w:val="0"/>
        </w:numPr>
        <w:tabs>
          <w:tab w:val="left" w:pos="7271"/>
        </w:tabs>
        <w:spacing w:line="420" w:lineRule="exact"/>
        <w:ind w:firstLine="480" w:firstLineChars="200"/>
        <w:rPr>
          <w:rFonts w:hint="eastAsia" w:hAnsi="宋体" w:cs="仿宋"/>
          <w:color w:val="auto"/>
          <w:sz w:val="24"/>
          <w:highlight w:val="none"/>
          <w:lang w:val="en-US" w:eastAsia="zh-CN"/>
        </w:rPr>
      </w:pPr>
      <w:r>
        <w:rPr>
          <w:rFonts w:hint="eastAsia" w:hAnsi="宋体" w:cs="仿宋"/>
          <w:color w:val="auto"/>
          <w:sz w:val="24"/>
          <w:highlight w:val="none"/>
          <w:lang w:val="en-US" w:eastAsia="zh-CN"/>
        </w:rPr>
        <w:t>10.本项目专门面向中小企业采购。</w:t>
      </w:r>
    </w:p>
    <w:p>
      <w:pPr>
        <w:pStyle w:val="56"/>
        <w:numPr>
          <w:ilvl w:val="0"/>
          <w:numId w:val="0"/>
        </w:numPr>
        <w:tabs>
          <w:tab w:val="left" w:pos="7271"/>
        </w:tabs>
        <w:spacing w:line="420" w:lineRule="exact"/>
        <w:ind w:leftChars="200"/>
        <w:rPr>
          <w:rFonts w:hint="eastAsia" w:hAnsi="宋体" w:cs="仿宋"/>
          <w:color w:val="auto"/>
          <w:sz w:val="24"/>
          <w:highlight w:val="none"/>
          <w:lang w:val="en-US" w:eastAsia="zh-CN"/>
        </w:rPr>
      </w:pPr>
      <w:r>
        <w:rPr>
          <w:rFonts w:hint="eastAsia" w:hAnsi="宋体" w:cs="仿宋"/>
          <w:color w:val="auto"/>
          <w:sz w:val="24"/>
          <w:highlight w:val="none"/>
          <w:lang w:val="en-US" w:eastAsia="zh-CN"/>
        </w:rPr>
        <w:t>中小企业声明函或残疾人福利性单位声明函或监狱企业证明材料。（可提</w:t>
      </w:r>
    </w:p>
    <w:p>
      <w:pPr>
        <w:pStyle w:val="56"/>
        <w:numPr>
          <w:ilvl w:val="0"/>
          <w:numId w:val="0"/>
        </w:numPr>
        <w:tabs>
          <w:tab w:val="left" w:pos="7271"/>
        </w:tabs>
        <w:spacing w:line="420" w:lineRule="exact"/>
        <w:rPr>
          <w:rFonts w:hint="default" w:hAnsi="宋体" w:cs="仿宋"/>
          <w:color w:val="auto"/>
          <w:sz w:val="24"/>
          <w:highlight w:val="none"/>
          <w:lang w:val="en-US" w:eastAsia="zh-CN"/>
        </w:rPr>
      </w:pPr>
      <w:r>
        <w:rPr>
          <w:rFonts w:hint="eastAsia" w:hAnsi="宋体" w:cs="仿宋"/>
          <w:color w:val="auto"/>
          <w:sz w:val="24"/>
          <w:highlight w:val="none"/>
          <w:lang w:val="en-US" w:eastAsia="zh-CN"/>
        </w:rPr>
        <w:t>供承诺函，格式详见第三章）</w:t>
      </w:r>
    </w:p>
    <w:p>
      <w:pPr>
        <w:pStyle w:val="56"/>
        <w:spacing w:line="420" w:lineRule="exact"/>
        <w:ind w:firstLine="480"/>
        <w:rPr>
          <w:rFonts w:hAnsi="宋体" w:cs="仿宋"/>
          <w:color w:val="auto"/>
          <w:sz w:val="24"/>
          <w:highlight w:val="none"/>
        </w:rPr>
      </w:pPr>
      <w:r>
        <w:rPr>
          <w:rFonts w:hint="eastAsia" w:hAnsi="宋体" w:cs="仿宋"/>
          <w:color w:val="auto"/>
          <w:sz w:val="24"/>
          <w:highlight w:val="none"/>
        </w:rPr>
        <w:t>注：采购人或采购代理机构将于本项目投标截止日在‘信用中国’网站、‘中国政府采购网’网站等渠道对投标人进行信用记录查询，并将查询记录存档。凡被列入失信被执行人、重大税收违法案件当事人名单、政府采购严重违法失信行为记录名单的，视为存在不良信用记录，参与本项目的将被拒绝。</w:t>
      </w:r>
    </w:p>
    <w:p>
      <w:pPr>
        <w:spacing w:line="420" w:lineRule="exact"/>
        <w:rPr>
          <w:rFonts w:ascii="宋体" w:hAnsi="宋体" w:cs="仿宋"/>
          <w:b/>
          <w:bCs/>
          <w:color w:val="auto"/>
          <w:sz w:val="24"/>
          <w:highlight w:val="none"/>
        </w:rPr>
      </w:pPr>
      <w:r>
        <w:rPr>
          <w:rFonts w:hint="eastAsia" w:ascii="宋体" w:hAnsi="宋体" w:cs="仿宋"/>
          <w:b/>
          <w:bCs/>
          <w:color w:val="auto"/>
          <w:sz w:val="24"/>
          <w:highlight w:val="none"/>
        </w:rPr>
        <w:t>（二）其他类似效力要求相关证明材料：</w:t>
      </w:r>
    </w:p>
    <w:p>
      <w:pPr>
        <w:spacing w:line="42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1.法定代表人/单位负责人身份证明原件及附件。（法定代表人/单位负责人亲自投标适用）</w:t>
      </w:r>
    </w:p>
    <w:p>
      <w:pPr>
        <w:spacing w:line="42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2.法定代表人/单位负责人授权书原件及附件（授权代表投标适用）。</w:t>
      </w:r>
    </w:p>
    <w:p>
      <w:pPr>
        <w:spacing w:line="420" w:lineRule="exact"/>
        <w:rPr>
          <w:rFonts w:ascii="宋体" w:hAnsi="宋体" w:cs="仿宋"/>
          <w:color w:val="auto"/>
          <w:highlight w:val="none"/>
        </w:rPr>
      </w:pPr>
    </w:p>
    <w:p>
      <w:pPr>
        <w:spacing w:line="420" w:lineRule="exact"/>
        <w:rPr>
          <w:rFonts w:ascii="宋体" w:hAnsi="宋体" w:cs="仿宋"/>
          <w:b/>
          <w:bCs/>
          <w:color w:val="auto"/>
          <w:sz w:val="24"/>
          <w:highlight w:val="none"/>
        </w:rPr>
      </w:pPr>
      <w:r>
        <w:rPr>
          <w:rFonts w:hint="eastAsia" w:ascii="宋体" w:hAnsi="宋体" w:cs="仿宋"/>
          <w:b/>
          <w:bCs/>
          <w:color w:val="auto"/>
          <w:sz w:val="24"/>
          <w:highlight w:val="none"/>
        </w:rPr>
        <w:t>注：以上要求的资料复印件均须加盖投标人的公章（鲜章）。</w:t>
      </w:r>
    </w:p>
    <w:bookmarkEnd w:id="185"/>
    <w:p>
      <w:pPr>
        <w:pStyle w:val="3"/>
        <w:jc w:val="center"/>
        <w:rPr>
          <w:rFonts w:ascii="宋体" w:hAnsi="宋体" w:cs="仿宋"/>
          <w:color w:val="auto"/>
          <w:sz w:val="36"/>
          <w:szCs w:val="36"/>
          <w:highlight w:val="none"/>
        </w:rPr>
        <w:sectPr>
          <w:footerReference r:id="rId7" w:type="default"/>
          <w:pgSz w:w="11906" w:h="16838"/>
          <w:pgMar w:top="1440" w:right="1800" w:bottom="1440" w:left="1800" w:header="851" w:footer="992" w:gutter="0"/>
          <w:pgNumType w:fmt="decimal"/>
          <w:cols w:space="720" w:num="1"/>
          <w:docGrid w:type="lines" w:linePitch="312" w:charSpace="0"/>
        </w:sectPr>
      </w:pPr>
      <w:bookmarkStart w:id="186" w:name="_Toc2122"/>
      <w:bookmarkStart w:id="187" w:name="_Toc217446093"/>
    </w:p>
    <w:p>
      <w:pPr>
        <w:pStyle w:val="3"/>
        <w:numPr>
          <w:ilvl w:val="0"/>
          <w:numId w:val="6"/>
        </w:numPr>
        <w:jc w:val="center"/>
        <w:rPr>
          <w:rFonts w:ascii="宋体" w:hAnsi="宋体" w:cs="仿宋"/>
          <w:color w:val="auto"/>
          <w:sz w:val="36"/>
          <w:szCs w:val="36"/>
          <w:highlight w:val="none"/>
        </w:rPr>
      </w:pPr>
      <w:r>
        <w:rPr>
          <w:rFonts w:hint="eastAsia" w:ascii="宋体" w:hAnsi="宋体" w:cs="仿宋"/>
          <w:color w:val="auto"/>
          <w:sz w:val="36"/>
          <w:szCs w:val="36"/>
          <w:highlight w:val="none"/>
        </w:rPr>
        <w:t xml:space="preserve"> 招标项目技术、服务及其他商务要求</w:t>
      </w:r>
      <w:bookmarkEnd w:id="186"/>
    </w:p>
    <w:bookmarkEnd w:id="187"/>
    <w:p>
      <w:pPr>
        <w:pStyle w:val="4"/>
        <w:numPr>
          <w:ilvl w:val="0"/>
          <w:numId w:val="7"/>
        </w:numPr>
        <w:spacing w:line="360" w:lineRule="exact"/>
        <w:rPr>
          <w:rFonts w:hint="eastAsia" w:ascii="宋体" w:hAnsi="宋体" w:eastAsia="宋体" w:cs="仿宋"/>
          <w:color w:val="auto"/>
          <w:sz w:val="24"/>
          <w:szCs w:val="24"/>
          <w:highlight w:val="none"/>
          <w:lang w:eastAsia="zh-CN"/>
        </w:rPr>
      </w:pPr>
      <w:bookmarkStart w:id="188" w:name="_Toc24786"/>
      <w:bookmarkStart w:id="189" w:name="_Toc31810"/>
      <w:r>
        <w:rPr>
          <w:rFonts w:hint="eastAsia" w:ascii="宋体" w:hAnsi="宋体" w:eastAsia="宋体" w:cs="仿宋"/>
          <w:color w:val="auto"/>
          <w:sz w:val="24"/>
          <w:szCs w:val="24"/>
          <w:highlight w:val="none"/>
          <w:lang w:eastAsia="zh-CN"/>
        </w:rPr>
        <w:t>项目概况</w:t>
      </w:r>
    </w:p>
    <w:p>
      <w:pPr>
        <w:pStyle w:val="56"/>
        <w:ind w:left="0" w:leftChars="0" w:firstLine="0" w:firstLineChars="0"/>
        <w:rPr>
          <w:rFonts w:hint="eastAsia" w:ascii="宋体" w:hAnsi="Times New Roman" w:eastAsia="宋体" w:cs="Times New Roman"/>
          <w:color w:val="auto"/>
          <w:sz w:val="24"/>
          <w:highlight w:val="none"/>
          <w:lang w:val="en-US" w:eastAsia="zh-CN"/>
        </w:rPr>
      </w:pPr>
      <w:r>
        <w:rPr>
          <w:rFonts w:hint="eastAsia" w:ascii="宋体" w:hAnsi="Times New Roman" w:eastAsia="宋体" w:cs="Times New Roman"/>
          <w:color w:val="auto"/>
          <w:sz w:val="24"/>
          <w:highlight w:val="none"/>
          <w:lang w:val="en-US" w:eastAsia="zh-CN"/>
        </w:rPr>
        <w:t>1、项目名称：2021年路灯维护材料采购</w:t>
      </w:r>
    </w:p>
    <w:p>
      <w:pPr>
        <w:pStyle w:val="56"/>
        <w:ind w:left="0" w:leftChars="0" w:firstLine="0" w:firstLineChars="0"/>
        <w:rPr>
          <w:rFonts w:hint="eastAsia" w:ascii="宋体" w:hAnsi="Times New Roman" w:eastAsia="宋体" w:cs="Times New Roman"/>
          <w:color w:val="auto"/>
          <w:sz w:val="24"/>
          <w:highlight w:val="none"/>
          <w:lang w:val="en-US" w:eastAsia="zh-CN"/>
        </w:rPr>
      </w:pPr>
      <w:r>
        <w:rPr>
          <w:rFonts w:hint="eastAsia" w:ascii="宋体" w:hAnsi="Times New Roman" w:eastAsia="宋体" w:cs="Times New Roman"/>
          <w:color w:val="auto"/>
          <w:sz w:val="24"/>
          <w:highlight w:val="none"/>
          <w:lang w:val="en-US" w:eastAsia="zh-CN"/>
        </w:rPr>
        <w:t>2、项目简介：</w:t>
      </w:r>
    </w:p>
    <w:p>
      <w:pPr>
        <w:pStyle w:val="56"/>
        <w:ind w:left="0" w:leftChars="0" w:firstLine="240" w:firstLineChars="100"/>
        <w:rPr>
          <w:rFonts w:hint="eastAsia" w:ascii="宋体" w:hAnsi="Times New Roman" w:eastAsia="宋体" w:cs="Times New Roman"/>
          <w:color w:val="auto"/>
          <w:sz w:val="24"/>
          <w:highlight w:val="none"/>
          <w:lang w:val="en-US" w:eastAsia="zh-CN"/>
        </w:rPr>
      </w:pPr>
      <w:r>
        <w:rPr>
          <w:rFonts w:hint="eastAsia" w:ascii="宋体" w:hAnsi="Times New Roman" w:eastAsia="宋体" w:cs="Times New Roman"/>
          <w:color w:val="auto"/>
          <w:sz w:val="24"/>
          <w:highlight w:val="none"/>
          <w:lang w:val="en-US" w:eastAsia="zh-CN"/>
        </w:rPr>
        <w:t>2.1项目来源与背景：满足城市道路照明设施的日常维护需求</w:t>
      </w:r>
      <w:r>
        <w:rPr>
          <w:rFonts w:hint="eastAsia" w:cs="Times New Roman"/>
          <w:color w:val="auto"/>
          <w:sz w:val="24"/>
          <w:highlight w:val="none"/>
          <w:lang w:val="en-US" w:eastAsia="zh-CN"/>
        </w:rPr>
        <w:t>。</w:t>
      </w:r>
      <w:r>
        <w:rPr>
          <w:rFonts w:hint="eastAsia" w:ascii="宋体" w:hAnsi="Times New Roman" w:eastAsia="宋体" w:cs="Times New Roman"/>
          <w:color w:val="auto"/>
          <w:sz w:val="24"/>
          <w:highlight w:val="none"/>
          <w:lang w:val="en-US" w:eastAsia="zh-CN"/>
        </w:rPr>
        <w:t xml:space="preserve"> </w:t>
      </w:r>
    </w:p>
    <w:p>
      <w:pPr>
        <w:pStyle w:val="56"/>
        <w:ind w:left="0" w:leftChars="0" w:firstLine="240" w:firstLineChars="100"/>
        <w:rPr>
          <w:rFonts w:hint="eastAsia" w:ascii="宋体" w:hAnsi="Times New Roman" w:eastAsia="宋体" w:cs="Times New Roman"/>
          <w:color w:val="auto"/>
          <w:sz w:val="24"/>
          <w:highlight w:val="none"/>
          <w:lang w:val="en-US" w:eastAsia="zh-CN"/>
        </w:rPr>
      </w:pPr>
      <w:r>
        <w:rPr>
          <w:rFonts w:hint="eastAsia" w:ascii="宋体" w:hAnsi="Times New Roman" w:eastAsia="宋体" w:cs="Times New Roman"/>
          <w:color w:val="auto"/>
          <w:sz w:val="24"/>
          <w:highlight w:val="none"/>
          <w:lang w:val="en-US" w:eastAsia="zh-CN"/>
        </w:rPr>
        <w:t>2.2项目推进前期工作情况：已完成了市场询价的前期工作。</w:t>
      </w:r>
    </w:p>
    <w:p>
      <w:pPr>
        <w:pStyle w:val="56"/>
        <w:numPr>
          <w:ilvl w:val="0"/>
          <w:numId w:val="0"/>
        </w:numPr>
        <w:ind w:leftChars="0"/>
        <w:rPr>
          <w:rFonts w:hint="eastAsia" w:ascii="宋体" w:hAnsi="Times New Roman" w:eastAsia="宋体" w:cs="Times New Roman"/>
          <w:color w:val="auto"/>
          <w:sz w:val="24"/>
          <w:highlight w:val="none"/>
          <w:lang w:val="en-US" w:eastAsia="zh-CN"/>
        </w:rPr>
      </w:pPr>
      <w:r>
        <w:rPr>
          <w:rFonts w:hint="eastAsia" w:cs="Times New Roman"/>
          <w:color w:val="auto"/>
          <w:sz w:val="24"/>
          <w:highlight w:val="none"/>
          <w:lang w:val="en-US" w:eastAsia="zh-CN"/>
        </w:rPr>
        <w:t>3、采购</w:t>
      </w:r>
      <w:r>
        <w:rPr>
          <w:rFonts w:hint="eastAsia" w:ascii="宋体" w:hAnsi="Times New Roman" w:eastAsia="宋体" w:cs="Times New Roman"/>
          <w:color w:val="auto"/>
          <w:sz w:val="24"/>
          <w:highlight w:val="none"/>
          <w:lang w:val="en-US" w:eastAsia="zh-CN"/>
        </w:rPr>
        <w:t>内容及</w:t>
      </w:r>
      <w:r>
        <w:rPr>
          <w:rFonts w:hint="eastAsia" w:cs="Times New Roman"/>
          <w:color w:val="auto"/>
          <w:sz w:val="24"/>
          <w:highlight w:val="none"/>
          <w:lang w:val="en-US" w:eastAsia="zh-CN"/>
        </w:rPr>
        <w:t>要求</w:t>
      </w:r>
      <w:r>
        <w:rPr>
          <w:rFonts w:hint="eastAsia" w:ascii="宋体" w:hAnsi="Times New Roman" w:eastAsia="宋体" w:cs="Times New Roman"/>
          <w:color w:val="auto"/>
          <w:sz w:val="24"/>
          <w:highlight w:val="none"/>
          <w:lang w:val="en-US" w:eastAsia="zh-CN"/>
        </w:rPr>
        <w:t>：</w:t>
      </w:r>
    </w:p>
    <w:p>
      <w:pPr>
        <w:pStyle w:val="56"/>
        <w:ind w:left="0" w:leftChars="0" w:firstLine="240" w:firstLineChars="100"/>
        <w:rPr>
          <w:rFonts w:hint="eastAsia" w:cs="Times New Roman"/>
          <w:color w:val="auto"/>
          <w:sz w:val="24"/>
          <w:highlight w:val="none"/>
          <w:lang w:val="en-US" w:eastAsia="zh-CN"/>
        </w:rPr>
      </w:pPr>
      <w:r>
        <w:rPr>
          <w:rFonts w:hint="eastAsia" w:cs="Times New Roman"/>
          <w:color w:val="auto"/>
          <w:sz w:val="24"/>
          <w:highlight w:val="none"/>
          <w:lang w:val="en-US" w:eastAsia="zh-CN"/>
        </w:rPr>
        <w:t>采购内容：1包：电缆采购；2包：电器采购；3包：路灯远程控制器采购。</w:t>
      </w:r>
    </w:p>
    <w:p>
      <w:pPr>
        <w:pStyle w:val="56"/>
        <w:ind w:left="0" w:leftChars="0" w:firstLine="240" w:firstLineChars="100"/>
        <w:rPr>
          <w:rFonts w:hint="eastAsia" w:cs="Times New Roman"/>
          <w:color w:val="auto"/>
          <w:sz w:val="24"/>
          <w:highlight w:val="none"/>
          <w:lang w:val="en-US" w:eastAsia="zh-CN"/>
        </w:rPr>
      </w:pPr>
      <w:r>
        <w:rPr>
          <w:rFonts w:hint="eastAsia" w:cs="Times New Roman"/>
          <w:color w:val="auto"/>
          <w:sz w:val="24"/>
          <w:highlight w:val="none"/>
          <w:lang w:val="en-US" w:eastAsia="zh-CN"/>
        </w:rPr>
        <w:t>采购要求：在规定时间内完成供货、安装和调试。电缆及电器在合同签订后30日内完成供货；远程控制器供货商在合同签订后30日内必须完成供货及远程控制器的安装调试。</w:t>
      </w:r>
    </w:p>
    <w:p>
      <w:pPr>
        <w:pStyle w:val="56"/>
        <w:numPr>
          <w:ilvl w:val="0"/>
          <w:numId w:val="8"/>
        </w:numPr>
        <w:ind w:left="0" w:leftChars="0" w:firstLine="0" w:firstLineChars="0"/>
        <w:rPr>
          <w:rFonts w:hint="eastAsia" w:cs="Times New Roman"/>
          <w:color w:val="auto"/>
          <w:sz w:val="24"/>
          <w:highlight w:val="none"/>
          <w:lang w:val="en-US" w:eastAsia="zh-CN"/>
        </w:rPr>
      </w:pPr>
      <w:r>
        <w:rPr>
          <w:rFonts w:hint="eastAsia" w:cs="Times New Roman"/>
          <w:color w:val="auto"/>
          <w:sz w:val="24"/>
          <w:highlight w:val="none"/>
          <w:lang w:val="en-US" w:eastAsia="zh-CN"/>
        </w:rPr>
        <w:t>核心产品：</w:t>
      </w:r>
    </w:p>
    <w:p>
      <w:pPr>
        <w:pStyle w:val="56"/>
        <w:numPr>
          <w:ilvl w:val="0"/>
          <w:numId w:val="0"/>
        </w:numPr>
        <w:ind w:leftChars="0"/>
        <w:rPr>
          <w:rFonts w:hint="eastAsia" w:cs="Times New Roman"/>
          <w:color w:val="auto"/>
          <w:sz w:val="24"/>
          <w:highlight w:val="none"/>
          <w:lang w:val="en-US" w:eastAsia="zh-CN"/>
        </w:rPr>
      </w:pPr>
      <w:r>
        <w:rPr>
          <w:rFonts w:hint="eastAsia" w:cs="Times New Roman"/>
          <w:color w:val="auto"/>
          <w:sz w:val="24"/>
          <w:highlight w:val="none"/>
          <w:lang w:val="en-US" w:eastAsia="zh-CN"/>
        </w:rPr>
        <w:t xml:space="preserve">   1包：</w:t>
      </w:r>
      <w:r>
        <w:rPr>
          <w:rFonts w:hint="default" w:ascii="Times New Roman" w:hAnsi="Times New Roman" w:eastAsia="宋体" w:cs="Times New Roman"/>
          <w:color w:val="auto"/>
          <w:sz w:val="24"/>
          <w:highlight w:val="none"/>
          <w:lang w:val="en-US" w:eastAsia="zh-CN"/>
        </w:rPr>
        <w:t>VV22  0.6/1KV  5*25mm² 铜芯电力电缆</w:t>
      </w:r>
    </w:p>
    <w:p>
      <w:pPr>
        <w:pStyle w:val="56"/>
        <w:numPr>
          <w:ilvl w:val="0"/>
          <w:numId w:val="0"/>
        </w:numPr>
        <w:ind w:leftChars="0"/>
        <w:rPr>
          <w:rFonts w:hint="eastAsia" w:cs="Times New Roman"/>
          <w:color w:val="auto"/>
          <w:sz w:val="24"/>
          <w:highlight w:val="none"/>
          <w:lang w:val="en-US" w:eastAsia="zh-CN"/>
        </w:rPr>
      </w:pPr>
      <w:r>
        <w:rPr>
          <w:rFonts w:hint="eastAsia" w:cs="Times New Roman"/>
          <w:color w:val="auto"/>
          <w:sz w:val="24"/>
          <w:highlight w:val="none"/>
          <w:lang w:val="en-US" w:eastAsia="zh-CN"/>
        </w:rPr>
        <w:t xml:space="preserve">   2包：250w高压钠灯镇流器</w:t>
      </w:r>
    </w:p>
    <w:p>
      <w:pPr>
        <w:pStyle w:val="4"/>
        <w:numPr>
          <w:ilvl w:val="0"/>
          <w:numId w:val="7"/>
        </w:numPr>
        <w:spacing w:line="360" w:lineRule="exact"/>
        <w:ind w:left="0" w:leftChars="0" w:firstLine="0" w:firstLineChars="0"/>
        <w:rPr>
          <w:rFonts w:hint="eastAsia" w:ascii="宋体" w:hAnsi="宋体" w:eastAsia="宋体" w:cs="仿宋"/>
          <w:color w:val="auto"/>
          <w:sz w:val="24"/>
          <w:szCs w:val="24"/>
          <w:highlight w:val="none"/>
          <w:lang w:val="en-US" w:eastAsia="zh-CN"/>
        </w:rPr>
      </w:pPr>
      <w:r>
        <w:rPr>
          <w:rFonts w:hint="eastAsia" w:ascii="宋体" w:hAnsi="宋体" w:eastAsia="宋体" w:cs="仿宋"/>
          <w:color w:val="auto"/>
          <w:sz w:val="24"/>
          <w:szCs w:val="24"/>
          <w:highlight w:val="none"/>
          <w:lang w:val="en-US" w:eastAsia="zh-CN"/>
        </w:rPr>
        <w:t>项目清单及主要技术参数</w:t>
      </w:r>
    </w:p>
    <w:p>
      <w:pPr>
        <w:pStyle w:val="4"/>
        <w:numPr>
          <w:ilvl w:val="0"/>
          <w:numId w:val="0"/>
        </w:numPr>
        <w:spacing w:line="360" w:lineRule="exact"/>
        <w:ind w:leftChars="0"/>
        <w:rPr>
          <w:rFonts w:hint="eastAsia" w:ascii="宋体" w:hAnsi="宋体" w:eastAsia="宋体" w:cs="仿宋"/>
          <w:color w:val="auto"/>
          <w:sz w:val="24"/>
          <w:szCs w:val="24"/>
          <w:highlight w:val="none"/>
          <w:lang w:val="en-US" w:eastAsia="zh-CN"/>
        </w:rPr>
      </w:pPr>
      <w:r>
        <w:rPr>
          <w:rFonts w:hint="eastAsia" w:ascii="宋体" w:hAnsi="宋体" w:eastAsia="宋体" w:cs="仿宋"/>
          <w:color w:val="auto"/>
          <w:sz w:val="24"/>
          <w:szCs w:val="24"/>
          <w:highlight w:val="none"/>
          <w:lang w:val="en-US" w:eastAsia="zh-CN"/>
        </w:rPr>
        <w:t>（一）1包：电缆采购</w:t>
      </w:r>
    </w:p>
    <w:p>
      <w:pPr>
        <w:rPr>
          <w:rFonts w:hint="default"/>
          <w:color w:val="auto"/>
          <w:highlight w:val="none"/>
          <w:lang w:val="en-US" w:eastAsia="zh-CN"/>
        </w:rPr>
      </w:pPr>
      <w:r>
        <w:rPr>
          <w:rFonts w:hint="eastAsia" w:ascii="宋体" w:hAnsi="宋体" w:cs="仿宋"/>
          <w:color w:val="auto"/>
          <w:sz w:val="24"/>
          <w:szCs w:val="24"/>
          <w:highlight w:val="none"/>
          <w:lang w:val="en-US" w:eastAsia="zh-CN"/>
        </w:rPr>
        <w:t>一</w:t>
      </w:r>
      <w:r>
        <w:rPr>
          <w:rFonts w:hint="eastAsia" w:ascii="宋体" w:hAnsi="宋体" w:eastAsia="宋体" w:cs="仿宋"/>
          <w:color w:val="auto"/>
          <w:sz w:val="24"/>
          <w:szCs w:val="24"/>
          <w:highlight w:val="none"/>
          <w:lang w:val="en-US" w:eastAsia="zh-CN"/>
        </w:rPr>
        <w:t>、技术参数及要求</w:t>
      </w:r>
    </w:p>
    <w:tbl>
      <w:tblPr>
        <w:tblStyle w:val="23"/>
        <w:tblW w:w="9317" w:type="dxa"/>
        <w:tblInd w:w="-2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1892"/>
        <w:gridCol w:w="3034"/>
        <w:gridCol w:w="816"/>
        <w:gridCol w:w="2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848" w:type="dxa"/>
            <w:noWrap w:val="0"/>
            <w:vAlign w:val="center"/>
          </w:tcPr>
          <w:p>
            <w:pPr>
              <w:rPr>
                <w:rFonts w:hint="default"/>
                <w:color w:val="auto"/>
                <w:sz w:val="24"/>
                <w:szCs w:val="24"/>
                <w:highlight w:val="none"/>
                <w:lang w:val="en-US" w:eastAsia="zh-CN"/>
              </w:rPr>
            </w:pPr>
            <w:r>
              <w:rPr>
                <w:rFonts w:hint="default"/>
                <w:color w:val="auto"/>
                <w:sz w:val="24"/>
                <w:szCs w:val="24"/>
                <w:highlight w:val="none"/>
                <w:lang w:val="en-US" w:eastAsia="zh-CN"/>
              </w:rPr>
              <w:t>序号</w:t>
            </w:r>
          </w:p>
        </w:tc>
        <w:tc>
          <w:tcPr>
            <w:tcW w:w="1892" w:type="dxa"/>
            <w:noWrap w:val="0"/>
            <w:vAlign w:val="center"/>
          </w:tcPr>
          <w:p>
            <w:pPr>
              <w:rPr>
                <w:rFonts w:hint="default"/>
                <w:color w:val="auto"/>
                <w:sz w:val="24"/>
                <w:szCs w:val="24"/>
                <w:highlight w:val="none"/>
                <w:lang w:val="en-US" w:eastAsia="zh-CN"/>
              </w:rPr>
            </w:pPr>
            <w:r>
              <w:rPr>
                <w:rFonts w:hint="default"/>
                <w:color w:val="auto"/>
                <w:sz w:val="24"/>
                <w:szCs w:val="24"/>
                <w:highlight w:val="none"/>
                <w:lang w:val="en-US" w:eastAsia="zh-CN"/>
              </w:rPr>
              <w:t>产品名称</w:t>
            </w:r>
          </w:p>
        </w:tc>
        <w:tc>
          <w:tcPr>
            <w:tcW w:w="3038" w:type="dxa"/>
            <w:noWrap w:val="0"/>
            <w:vAlign w:val="center"/>
          </w:tcPr>
          <w:p>
            <w:pPr>
              <w:rPr>
                <w:rFonts w:hint="default"/>
                <w:color w:val="auto"/>
                <w:sz w:val="24"/>
                <w:szCs w:val="24"/>
                <w:highlight w:val="none"/>
                <w:lang w:val="en-US" w:eastAsia="zh-CN"/>
              </w:rPr>
            </w:pPr>
            <w:r>
              <w:rPr>
                <w:rFonts w:hint="default"/>
                <w:color w:val="auto"/>
                <w:sz w:val="24"/>
                <w:szCs w:val="24"/>
                <w:highlight w:val="none"/>
                <w:lang w:val="en-US" w:eastAsia="zh-CN"/>
              </w:rPr>
              <w:t>技术参数</w:t>
            </w:r>
          </w:p>
        </w:tc>
        <w:tc>
          <w:tcPr>
            <w:tcW w:w="804" w:type="dxa"/>
            <w:noWrap w:val="0"/>
            <w:vAlign w:val="center"/>
          </w:tcPr>
          <w:p>
            <w:pPr>
              <w:rPr>
                <w:rFonts w:hint="default"/>
                <w:color w:val="auto"/>
                <w:sz w:val="24"/>
                <w:szCs w:val="24"/>
                <w:highlight w:val="none"/>
                <w:lang w:val="en-US" w:eastAsia="zh-CN"/>
              </w:rPr>
            </w:pPr>
            <w:r>
              <w:rPr>
                <w:rFonts w:hint="default"/>
                <w:color w:val="auto"/>
                <w:sz w:val="24"/>
                <w:szCs w:val="24"/>
                <w:highlight w:val="none"/>
                <w:lang w:val="en-US" w:eastAsia="zh-CN"/>
              </w:rPr>
              <w:t>数量</w:t>
            </w:r>
          </w:p>
        </w:tc>
        <w:tc>
          <w:tcPr>
            <w:tcW w:w="2735" w:type="dxa"/>
            <w:noWrap w:val="0"/>
            <w:vAlign w:val="center"/>
          </w:tcPr>
          <w:p>
            <w:pPr>
              <w:rPr>
                <w:rFonts w:hint="default"/>
                <w:color w:val="auto"/>
                <w:sz w:val="24"/>
                <w:szCs w:val="24"/>
                <w:highlight w:val="none"/>
                <w:lang w:val="en-US" w:eastAsia="zh-CN"/>
              </w:rPr>
            </w:pPr>
            <w:r>
              <w:rPr>
                <w:rFonts w:hint="default"/>
                <w:color w:val="auto"/>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8" w:type="dxa"/>
            <w:noWrap w:val="0"/>
            <w:vAlign w:val="center"/>
          </w:tcPr>
          <w:p>
            <w:pPr>
              <w:rPr>
                <w:rFonts w:hint="default"/>
                <w:color w:val="auto"/>
                <w:sz w:val="24"/>
                <w:szCs w:val="24"/>
                <w:highlight w:val="none"/>
                <w:lang w:val="en-US" w:eastAsia="zh-CN"/>
              </w:rPr>
            </w:pPr>
            <w:r>
              <w:rPr>
                <w:rFonts w:hint="default"/>
                <w:color w:val="auto"/>
                <w:sz w:val="24"/>
                <w:szCs w:val="24"/>
                <w:highlight w:val="none"/>
                <w:lang w:val="en-US" w:eastAsia="zh-CN"/>
              </w:rPr>
              <w:t>1</w:t>
            </w:r>
          </w:p>
        </w:tc>
        <w:tc>
          <w:tcPr>
            <w:tcW w:w="1892" w:type="dxa"/>
            <w:noWrap w:val="0"/>
            <w:vAlign w:val="center"/>
          </w:tcPr>
          <w:p>
            <w:pPr>
              <w:rPr>
                <w:rFonts w:hint="default"/>
                <w:color w:val="auto"/>
                <w:sz w:val="24"/>
                <w:szCs w:val="24"/>
                <w:highlight w:val="none"/>
                <w:lang w:val="en-US" w:eastAsia="zh-CN"/>
              </w:rPr>
            </w:pPr>
            <w:r>
              <w:rPr>
                <w:rFonts w:hint="default"/>
                <w:color w:val="auto"/>
                <w:sz w:val="24"/>
                <w:szCs w:val="24"/>
                <w:highlight w:val="none"/>
                <w:lang w:val="en-US" w:eastAsia="zh-CN"/>
              </w:rPr>
              <w:t>VV22  0.6/1KV  5*25mm² 铜芯电力电缆</w:t>
            </w:r>
          </w:p>
        </w:tc>
        <w:tc>
          <w:tcPr>
            <w:tcW w:w="3038" w:type="dxa"/>
            <w:noWrap w:val="0"/>
            <w:vAlign w:val="top"/>
          </w:tcPr>
          <w:p>
            <w:pPr>
              <w:rPr>
                <w:rFonts w:hint="default"/>
                <w:color w:val="auto"/>
                <w:sz w:val="24"/>
                <w:szCs w:val="24"/>
                <w:highlight w:val="none"/>
                <w:lang w:val="en-US" w:eastAsia="zh-CN"/>
              </w:rPr>
            </w:pPr>
          </w:p>
          <w:p>
            <w:pPr>
              <w:rPr>
                <w:rFonts w:hint="default"/>
                <w:color w:val="auto"/>
                <w:sz w:val="24"/>
                <w:szCs w:val="24"/>
                <w:highlight w:val="none"/>
                <w:lang w:val="en-US" w:eastAsia="zh-CN"/>
              </w:rPr>
            </w:pPr>
          </w:p>
          <w:p>
            <w:pPr>
              <w:rPr>
                <w:rFonts w:hint="default"/>
                <w:color w:val="auto"/>
                <w:sz w:val="24"/>
                <w:szCs w:val="24"/>
                <w:highlight w:val="none"/>
                <w:lang w:val="en-US" w:eastAsia="zh-CN"/>
              </w:rPr>
            </w:pPr>
            <w:r>
              <w:rPr>
                <w:rFonts w:hint="default"/>
                <w:color w:val="auto"/>
                <w:sz w:val="24"/>
                <w:szCs w:val="24"/>
                <w:highlight w:val="none"/>
                <w:lang w:val="en-US" w:eastAsia="zh-CN"/>
              </w:rPr>
              <w:t>1、电缆及其组成部件应满足GB/T12706.1-2020等国家标准及现行最新国家标准</w:t>
            </w:r>
          </w:p>
        </w:tc>
        <w:tc>
          <w:tcPr>
            <w:tcW w:w="804" w:type="dxa"/>
            <w:noWrap w:val="0"/>
            <w:vAlign w:val="center"/>
          </w:tcPr>
          <w:p>
            <w:pPr>
              <w:keepNext w:val="0"/>
              <w:keepLines w:val="0"/>
              <w:widowControl/>
              <w:suppressLineNumbers w:val="0"/>
              <w:jc w:val="center"/>
              <w:textAlignment w:val="center"/>
              <w:rPr>
                <w:rFonts w:hint="default"/>
                <w:color w:val="auto"/>
                <w:sz w:val="24"/>
                <w:szCs w:val="24"/>
                <w:highlight w:val="none"/>
                <w:lang w:val="en-US" w:eastAsia="zh-CN"/>
              </w:rPr>
            </w:pPr>
            <w:r>
              <w:rPr>
                <w:rFonts w:hint="eastAsia" w:ascii="仿宋" w:hAnsi="仿宋" w:eastAsia="仿宋" w:cs="仿宋"/>
                <w:i w:val="0"/>
                <w:iCs w:val="0"/>
                <w:color w:val="auto"/>
                <w:kern w:val="0"/>
                <w:sz w:val="24"/>
                <w:szCs w:val="24"/>
                <w:highlight w:val="none"/>
                <w:u w:val="none"/>
                <w:lang w:val="en-US" w:eastAsia="zh-CN" w:bidi="ar"/>
              </w:rPr>
              <w:t>11000米</w:t>
            </w:r>
          </w:p>
        </w:tc>
        <w:tc>
          <w:tcPr>
            <w:tcW w:w="2735" w:type="dxa"/>
            <w:noWrap w:val="0"/>
            <w:vAlign w:val="top"/>
          </w:tcPr>
          <w:p>
            <w:pPr>
              <w:rPr>
                <w:rFonts w:hint="default"/>
                <w:color w:val="auto"/>
                <w:sz w:val="24"/>
                <w:szCs w:val="24"/>
                <w:highlight w:val="none"/>
                <w:lang w:val="en-US" w:eastAsia="zh-CN"/>
              </w:rPr>
            </w:pPr>
          </w:p>
          <w:p>
            <w:pPr>
              <w:rPr>
                <w:rFonts w:hint="default"/>
                <w:color w:val="auto"/>
                <w:sz w:val="24"/>
                <w:szCs w:val="24"/>
                <w:highlight w:val="none"/>
                <w:lang w:val="en-US" w:eastAsia="zh-CN"/>
              </w:rPr>
            </w:pPr>
            <w:r>
              <w:rPr>
                <w:rFonts w:hint="default"/>
                <w:color w:val="auto"/>
                <w:sz w:val="24"/>
                <w:szCs w:val="24"/>
                <w:highlight w:val="none"/>
                <w:lang w:val="en-US" w:eastAsia="zh-CN"/>
              </w:rPr>
              <w:t>★提供《全国工业产品生产许可证》复印件。（投标人为经销商的，提供产品生产厂商的《全国工业产品生产许可证复印件》）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trPr>
        <w:tc>
          <w:tcPr>
            <w:tcW w:w="848" w:type="dxa"/>
            <w:noWrap w:val="0"/>
            <w:vAlign w:val="center"/>
          </w:tcPr>
          <w:p>
            <w:pPr>
              <w:rPr>
                <w:rFonts w:hint="default"/>
                <w:color w:val="auto"/>
                <w:sz w:val="24"/>
                <w:szCs w:val="24"/>
                <w:highlight w:val="none"/>
                <w:lang w:val="en-US" w:eastAsia="zh-CN"/>
              </w:rPr>
            </w:pPr>
            <w:r>
              <w:rPr>
                <w:rFonts w:hint="default"/>
                <w:color w:val="auto"/>
                <w:sz w:val="24"/>
                <w:szCs w:val="24"/>
                <w:highlight w:val="none"/>
                <w:lang w:val="en-US" w:eastAsia="zh-CN"/>
              </w:rPr>
              <w:t>2</w:t>
            </w:r>
          </w:p>
        </w:tc>
        <w:tc>
          <w:tcPr>
            <w:tcW w:w="1892" w:type="dxa"/>
            <w:noWrap w:val="0"/>
            <w:vAlign w:val="center"/>
          </w:tcPr>
          <w:p>
            <w:pPr>
              <w:rPr>
                <w:rFonts w:hint="default"/>
                <w:color w:val="auto"/>
                <w:sz w:val="24"/>
                <w:szCs w:val="24"/>
                <w:highlight w:val="none"/>
                <w:lang w:val="en-US" w:eastAsia="zh-CN"/>
              </w:rPr>
            </w:pPr>
            <w:r>
              <w:rPr>
                <w:rFonts w:hint="default"/>
                <w:color w:val="auto"/>
                <w:sz w:val="24"/>
                <w:szCs w:val="24"/>
                <w:highlight w:val="none"/>
                <w:lang w:val="en-US" w:eastAsia="zh-CN"/>
              </w:rPr>
              <w:t>VV22  0.6/1KV  5*16mm² 铜芯电力电缆</w:t>
            </w:r>
          </w:p>
        </w:tc>
        <w:tc>
          <w:tcPr>
            <w:tcW w:w="3038" w:type="dxa"/>
            <w:noWrap w:val="0"/>
            <w:vAlign w:val="top"/>
          </w:tcPr>
          <w:p>
            <w:pPr>
              <w:rPr>
                <w:rFonts w:hint="default"/>
                <w:color w:val="auto"/>
                <w:sz w:val="24"/>
                <w:szCs w:val="24"/>
                <w:highlight w:val="none"/>
                <w:lang w:val="en-US" w:eastAsia="zh-CN"/>
              </w:rPr>
            </w:pPr>
          </w:p>
          <w:p>
            <w:pPr>
              <w:rPr>
                <w:rFonts w:hint="default"/>
                <w:color w:val="auto"/>
                <w:sz w:val="24"/>
                <w:szCs w:val="24"/>
                <w:highlight w:val="none"/>
                <w:lang w:val="en-US" w:eastAsia="zh-CN"/>
              </w:rPr>
            </w:pPr>
            <w:r>
              <w:rPr>
                <w:rFonts w:hint="default"/>
                <w:color w:val="auto"/>
                <w:sz w:val="24"/>
                <w:szCs w:val="24"/>
                <w:highlight w:val="none"/>
                <w:lang w:val="en-US" w:eastAsia="zh-CN"/>
              </w:rPr>
              <w:t>1、电缆及其组成部件应满足GB/T12706.1-2020等国家标准及现行最新国家标准</w:t>
            </w:r>
          </w:p>
        </w:tc>
        <w:tc>
          <w:tcPr>
            <w:tcW w:w="804" w:type="dxa"/>
            <w:noWrap w:val="0"/>
            <w:vAlign w:val="center"/>
          </w:tcPr>
          <w:p>
            <w:pPr>
              <w:keepNext w:val="0"/>
              <w:keepLines w:val="0"/>
              <w:widowControl/>
              <w:suppressLineNumbers w:val="0"/>
              <w:jc w:val="center"/>
              <w:textAlignment w:val="center"/>
              <w:rPr>
                <w:rFonts w:hint="default"/>
                <w:color w:val="auto"/>
                <w:sz w:val="24"/>
                <w:szCs w:val="24"/>
                <w:highlight w:val="none"/>
                <w:lang w:val="en-US" w:eastAsia="zh-CN"/>
              </w:rPr>
            </w:pPr>
            <w:r>
              <w:rPr>
                <w:rFonts w:hint="eastAsia" w:ascii="仿宋" w:hAnsi="仿宋" w:eastAsia="仿宋" w:cs="仿宋"/>
                <w:i w:val="0"/>
                <w:iCs w:val="0"/>
                <w:color w:val="auto"/>
                <w:kern w:val="0"/>
                <w:sz w:val="24"/>
                <w:szCs w:val="24"/>
                <w:highlight w:val="none"/>
                <w:u w:val="none"/>
                <w:lang w:val="en-US" w:eastAsia="zh-CN" w:bidi="ar"/>
              </w:rPr>
              <w:t>4000米</w:t>
            </w:r>
          </w:p>
        </w:tc>
        <w:tc>
          <w:tcPr>
            <w:tcW w:w="2735" w:type="dxa"/>
            <w:noWrap w:val="0"/>
            <w:vAlign w:val="top"/>
          </w:tcPr>
          <w:p>
            <w:pPr>
              <w:rPr>
                <w:rFonts w:hint="default"/>
                <w:color w:val="auto"/>
                <w:sz w:val="24"/>
                <w:szCs w:val="24"/>
                <w:highlight w:val="none"/>
                <w:lang w:val="en-US" w:eastAsia="zh-CN"/>
              </w:rPr>
            </w:pPr>
            <w:r>
              <w:rPr>
                <w:rFonts w:hint="default"/>
                <w:color w:val="auto"/>
                <w:sz w:val="24"/>
                <w:szCs w:val="24"/>
                <w:highlight w:val="none"/>
                <w:lang w:val="en-US" w:eastAsia="zh-CN"/>
              </w:rPr>
              <w:t>★提供《全国工业产品生产许可证》复印件。（投标人为经销商的，提供产品生产厂商的《全国工业产品生产许可证复印件》）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848" w:type="dxa"/>
            <w:noWrap w:val="0"/>
            <w:vAlign w:val="center"/>
          </w:tcPr>
          <w:p>
            <w:pPr>
              <w:rPr>
                <w:rFonts w:hint="default"/>
                <w:color w:val="auto"/>
                <w:sz w:val="24"/>
                <w:szCs w:val="24"/>
                <w:highlight w:val="none"/>
                <w:lang w:val="en-US" w:eastAsia="zh-CN"/>
              </w:rPr>
            </w:pPr>
            <w:r>
              <w:rPr>
                <w:rFonts w:hint="default"/>
                <w:color w:val="auto"/>
                <w:sz w:val="24"/>
                <w:szCs w:val="24"/>
                <w:highlight w:val="none"/>
                <w:lang w:val="en-US" w:eastAsia="zh-CN"/>
              </w:rPr>
              <w:t>3</w:t>
            </w:r>
          </w:p>
        </w:tc>
        <w:tc>
          <w:tcPr>
            <w:tcW w:w="1892" w:type="dxa"/>
            <w:noWrap w:val="0"/>
            <w:vAlign w:val="center"/>
          </w:tcPr>
          <w:p>
            <w:pPr>
              <w:rPr>
                <w:rFonts w:hint="default"/>
                <w:color w:val="auto"/>
                <w:sz w:val="24"/>
                <w:szCs w:val="24"/>
                <w:highlight w:val="none"/>
                <w:lang w:val="en-US" w:eastAsia="zh-CN"/>
              </w:rPr>
            </w:pPr>
            <w:r>
              <w:rPr>
                <w:rFonts w:hint="default"/>
                <w:color w:val="auto"/>
                <w:sz w:val="24"/>
                <w:szCs w:val="24"/>
                <w:highlight w:val="none"/>
                <w:lang w:val="en-US" w:eastAsia="zh-CN"/>
              </w:rPr>
              <w:t>2*2.5mm²BVVB铜芯聚氯乙烯绝缘聚氯乙烯护套电缆</w:t>
            </w:r>
          </w:p>
        </w:tc>
        <w:tc>
          <w:tcPr>
            <w:tcW w:w="3038" w:type="dxa"/>
            <w:noWrap w:val="0"/>
            <w:vAlign w:val="top"/>
          </w:tcPr>
          <w:p>
            <w:pPr>
              <w:rPr>
                <w:rFonts w:hint="default"/>
                <w:color w:val="auto"/>
                <w:sz w:val="24"/>
                <w:szCs w:val="24"/>
                <w:highlight w:val="none"/>
                <w:lang w:val="en-US" w:eastAsia="zh-CN"/>
              </w:rPr>
            </w:pPr>
          </w:p>
          <w:p>
            <w:pPr>
              <w:rPr>
                <w:rFonts w:hint="default"/>
                <w:color w:val="auto"/>
                <w:sz w:val="24"/>
                <w:szCs w:val="24"/>
                <w:highlight w:val="none"/>
                <w:lang w:val="en-US" w:eastAsia="zh-CN"/>
              </w:rPr>
            </w:pPr>
            <w:r>
              <w:rPr>
                <w:rFonts w:hint="default"/>
                <w:color w:val="auto"/>
                <w:sz w:val="24"/>
                <w:szCs w:val="24"/>
                <w:highlight w:val="none"/>
                <w:lang w:val="en-US" w:eastAsia="zh-CN"/>
              </w:rPr>
              <w:t>1、电缆及其组成部件应满足JB/T8734.2-2016等国家标准及现行最新国家标准</w:t>
            </w:r>
          </w:p>
        </w:tc>
        <w:tc>
          <w:tcPr>
            <w:tcW w:w="804" w:type="dxa"/>
            <w:noWrap w:val="0"/>
            <w:vAlign w:val="center"/>
          </w:tcPr>
          <w:p>
            <w:pPr>
              <w:keepNext w:val="0"/>
              <w:keepLines w:val="0"/>
              <w:widowControl/>
              <w:suppressLineNumbers w:val="0"/>
              <w:jc w:val="center"/>
              <w:textAlignment w:val="center"/>
              <w:rPr>
                <w:rFonts w:hint="default"/>
                <w:color w:val="auto"/>
                <w:sz w:val="24"/>
                <w:szCs w:val="24"/>
                <w:highlight w:val="none"/>
                <w:lang w:val="en-US" w:eastAsia="zh-CN"/>
              </w:rPr>
            </w:pPr>
            <w:r>
              <w:rPr>
                <w:rFonts w:hint="eastAsia" w:ascii="仿宋" w:hAnsi="仿宋" w:eastAsia="仿宋" w:cs="仿宋"/>
                <w:i w:val="0"/>
                <w:iCs w:val="0"/>
                <w:color w:val="auto"/>
                <w:kern w:val="0"/>
                <w:sz w:val="24"/>
                <w:szCs w:val="24"/>
                <w:highlight w:val="none"/>
                <w:u w:val="none"/>
                <w:lang w:val="en-US" w:eastAsia="zh-CN" w:bidi="ar"/>
              </w:rPr>
              <w:t>10000米</w:t>
            </w:r>
          </w:p>
        </w:tc>
        <w:tc>
          <w:tcPr>
            <w:tcW w:w="2735" w:type="dxa"/>
            <w:noWrap w:val="0"/>
            <w:vAlign w:val="top"/>
          </w:tcPr>
          <w:p>
            <w:pPr>
              <w:rPr>
                <w:rFonts w:hint="default"/>
                <w:color w:val="auto"/>
                <w:sz w:val="24"/>
                <w:szCs w:val="24"/>
                <w:highlight w:val="none"/>
                <w:lang w:val="en-US" w:eastAsia="zh-CN"/>
              </w:rPr>
            </w:pPr>
          </w:p>
          <w:p>
            <w:pPr>
              <w:rPr>
                <w:rFonts w:hint="default"/>
                <w:color w:val="auto"/>
                <w:sz w:val="24"/>
                <w:szCs w:val="24"/>
                <w:highlight w:val="none"/>
                <w:lang w:val="en-US" w:eastAsia="zh-CN"/>
              </w:rPr>
            </w:pPr>
            <w:r>
              <w:rPr>
                <w:rFonts w:hint="default"/>
                <w:color w:val="auto"/>
                <w:sz w:val="24"/>
                <w:szCs w:val="24"/>
                <w:highlight w:val="none"/>
                <w:lang w:val="en-US" w:eastAsia="zh-CN"/>
              </w:rPr>
              <w:t>★提供3C认证证书复印件</w:t>
            </w:r>
          </w:p>
        </w:tc>
      </w:tr>
    </w:tbl>
    <w:p>
      <w:pPr>
        <w:numPr>
          <w:ilvl w:val="0"/>
          <w:numId w:val="0"/>
        </w:numPr>
        <w:jc w:val="both"/>
        <w:rPr>
          <w:rFonts w:hint="eastAsia"/>
          <w:b/>
          <w:bCs/>
          <w:color w:val="auto"/>
          <w:highlight w:val="none"/>
          <w:vertAlign w:val="baseline"/>
          <w:lang w:val="en-US" w:eastAsia="zh-CN"/>
        </w:rPr>
      </w:pPr>
    </w:p>
    <w:p>
      <w:pPr>
        <w:rPr>
          <w:rFonts w:hint="eastAsia" w:ascii="宋体" w:hAnsi="宋体" w:eastAsia="宋体" w:cs="仿宋"/>
          <w:color w:val="auto"/>
          <w:sz w:val="24"/>
          <w:szCs w:val="24"/>
          <w:highlight w:val="none"/>
          <w:lang w:val="en-US" w:eastAsia="zh-CN"/>
        </w:rPr>
      </w:pPr>
      <w:r>
        <w:rPr>
          <w:rFonts w:hint="eastAsia" w:ascii="宋体" w:hAnsi="宋体" w:cs="仿宋"/>
          <w:color w:val="auto"/>
          <w:sz w:val="24"/>
          <w:szCs w:val="24"/>
          <w:highlight w:val="none"/>
          <w:lang w:val="en-US" w:eastAsia="zh-CN"/>
        </w:rPr>
        <w:t>二、</w:t>
      </w:r>
      <w:r>
        <w:rPr>
          <w:rFonts w:hint="eastAsia" w:ascii="宋体" w:hAnsi="宋体" w:eastAsia="宋体" w:cs="仿宋"/>
          <w:color w:val="auto"/>
          <w:sz w:val="24"/>
          <w:szCs w:val="24"/>
          <w:highlight w:val="none"/>
          <w:lang w:val="en-US" w:eastAsia="zh-CN"/>
        </w:rPr>
        <w:t>采购标准</w:t>
      </w:r>
    </w:p>
    <w:p>
      <w:pPr>
        <w:numPr>
          <w:ilvl w:val="0"/>
          <w:numId w:val="0"/>
        </w:numPr>
        <w:jc w:val="center"/>
        <w:rPr>
          <w:rFonts w:hint="eastAsia"/>
          <w:b/>
          <w:bCs/>
          <w:color w:val="auto"/>
          <w:highlight w:val="none"/>
          <w:vertAlign w:val="baseline"/>
          <w:lang w:val="en-US" w:eastAsia="zh-CN"/>
        </w:rPr>
      </w:pPr>
    </w:p>
    <w:p>
      <w:pPr>
        <w:numPr>
          <w:ilvl w:val="0"/>
          <w:numId w:val="0"/>
        </w:numPr>
        <w:spacing w:line="360" w:lineRule="auto"/>
        <w:jc w:val="center"/>
        <w:rPr>
          <w:rFonts w:hint="eastAsia"/>
          <w:b/>
          <w:bCs/>
          <w:color w:val="auto"/>
          <w:sz w:val="24"/>
          <w:szCs w:val="24"/>
          <w:highlight w:val="none"/>
          <w:vertAlign w:val="baseline"/>
          <w:lang w:val="en-US" w:eastAsia="zh-CN"/>
        </w:rPr>
      </w:pPr>
      <w:r>
        <w:rPr>
          <w:rFonts w:hint="eastAsia" w:ascii="宋体" w:hAnsi="宋体" w:eastAsia="宋体" w:cs="宋体"/>
          <w:bCs/>
          <w:color w:val="auto"/>
          <w:sz w:val="24"/>
          <w:szCs w:val="24"/>
          <w:highlight w:val="none"/>
        </w:rPr>
        <w:t>▲</w:t>
      </w:r>
      <w:r>
        <w:rPr>
          <w:rFonts w:hint="eastAsia"/>
          <w:b/>
          <w:bCs/>
          <w:color w:val="auto"/>
          <w:sz w:val="24"/>
          <w:szCs w:val="24"/>
          <w:highlight w:val="none"/>
          <w:vertAlign w:val="baseline"/>
          <w:lang w:val="en-US" w:eastAsia="zh-CN"/>
        </w:rPr>
        <w:t>VV22铜芯聚氯乙烯绝缘聚氯乙烯护套铠装电力电缆</w:t>
      </w:r>
    </w:p>
    <w:p>
      <w:pPr>
        <w:numPr>
          <w:ilvl w:val="0"/>
          <w:numId w:val="0"/>
        </w:numPr>
        <w:spacing w:line="360" w:lineRule="auto"/>
        <w:jc w:val="both"/>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电压：0.6/1KV</w:t>
      </w:r>
    </w:p>
    <w:p>
      <w:pPr>
        <w:numPr>
          <w:ilvl w:val="0"/>
          <w:numId w:val="0"/>
        </w:numPr>
        <w:spacing w:line="360" w:lineRule="auto"/>
        <w:jc w:val="both"/>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执行标准：GB/T12706.1-2020</w:t>
      </w:r>
    </w:p>
    <w:tbl>
      <w:tblPr>
        <w:tblStyle w:val="23"/>
        <w:tblW w:w="8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272"/>
        <w:gridCol w:w="1217"/>
        <w:gridCol w:w="1274"/>
        <w:gridCol w:w="1161"/>
        <w:gridCol w:w="1218"/>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tcPr>
          <w:p>
            <w:pPr>
              <w:numPr>
                <w:ilvl w:val="0"/>
                <w:numId w:val="0"/>
              </w:numPr>
              <w:spacing w:line="360" w:lineRule="auto"/>
              <w:jc w:val="both"/>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标称截面</w:t>
            </w:r>
          </w:p>
        </w:tc>
        <w:tc>
          <w:tcPr>
            <w:tcW w:w="1272" w:type="dxa"/>
          </w:tcPr>
          <w:p>
            <w:pPr>
              <w:numPr>
                <w:ilvl w:val="0"/>
                <w:numId w:val="0"/>
              </w:numPr>
              <w:spacing w:line="360" w:lineRule="auto"/>
              <w:jc w:val="both"/>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绝缘标称厚度（mm）</w:t>
            </w:r>
          </w:p>
        </w:tc>
        <w:tc>
          <w:tcPr>
            <w:tcW w:w="1217" w:type="dxa"/>
          </w:tcPr>
          <w:p>
            <w:pPr>
              <w:numPr>
                <w:ilvl w:val="0"/>
                <w:numId w:val="0"/>
              </w:numPr>
              <w:spacing w:line="360" w:lineRule="auto"/>
              <w:jc w:val="both"/>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护套标称（mm）</w:t>
            </w:r>
          </w:p>
        </w:tc>
        <w:tc>
          <w:tcPr>
            <w:tcW w:w="1274" w:type="dxa"/>
          </w:tcPr>
          <w:p>
            <w:pPr>
              <w:numPr>
                <w:ilvl w:val="0"/>
                <w:numId w:val="0"/>
              </w:numPr>
              <w:spacing w:line="360" w:lineRule="auto"/>
              <w:jc w:val="both"/>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电缆近似外径（mm）</w:t>
            </w:r>
          </w:p>
        </w:tc>
        <w:tc>
          <w:tcPr>
            <w:tcW w:w="1161" w:type="dxa"/>
          </w:tcPr>
          <w:p>
            <w:pPr>
              <w:numPr>
                <w:ilvl w:val="0"/>
                <w:numId w:val="0"/>
              </w:numPr>
              <w:spacing w:line="360" w:lineRule="auto"/>
              <w:jc w:val="both"/>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电缆近似重量（Kg/Km）</w:t>
            </w:r>
          </w:p>
        </w:tc>
        <w:tc>
          <w:tcPr>
            <w:tcW w:w="1218" w:type="dxa"/>
          </w:tcPr>
          <w:p>
            <w:pPr>
              <w:numPr>
                <w:ilvl w:val="0"/>
                <w:numId w:val="0"/>
              </w:numPr>
              <w:spacing w:line="360" w:lineRule="auto"/>
              <w:jc w:val="both"/>
              <w:rPr>
                <w:rFonts w:hint="default"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20</w:t>
            </w:r>
            <w:r>
              <w:rPr>
                <w:rFonts w:ascii="Arial" w:hAnsi="Arial" w:eastAsia="宋体" w:cs="Arial"/>
                <w:i w:val="0"/>
                <w:caps w:val="0"/>
                <w:color w:val="auto"/>
                <w:spacing w:val="0"/>
                <w:sz w:val="24"/>
                <w:szCs w:val="24"/>
                <w:highlight w:val="none"/>
                <w:shd w:val="clear" w:fill="FFFFFF"/>
              </w:rPr>
              <w:t>°</w:t>
            </w:r>
            <w:r>
              <w:rPr>
                <w:rFonts w:hint="eastAsia"/>
                <w:color w:val="auto"/>
                <w:sz w:val="24"/>
                <w:szCs w:val="24"/>
                <w:highlight w:val="none"/>
                <w:vertAlign w:val="baseline"/>
                <w:lang w:val="en-US" w:eastAsia="zh-CN"/>
              </w:rPr>
              <w:t>C</w:t>
            </w:r>
            <w:r>
              <w:rPr>
                <w:rFonts w:hint="eastAsia" w:ascii="Arial" w:hAnsi="Arial" w:eastAsia="宋体" w:cs="Arial"/>
                <w:i w:val="0"/>
                <w:caps w:val="0"/>
                <w:color w:val="auto"/>
                <w:spacing w:val="0"/>
                <w:sz w:val="24"/>
                <w:szCs w:val="24"/>
                <w:highlight w:val="none"/>
                <w:shd w:val="clear" w:fill="FFFFFF"/>
                <w:lang w:val="en-US" w:eastAsia="zh-CN"/>
              </w:rPr>
              <w:t>导体直流电阻（</w:t>
            </w:r>
            <w:r>
              <w:rPr>
                <w:rFonts w:hint="eastAsia" w:ascii="华文宋体" w:hAnsi="华文宋体" w:eastAsia="华文宋体" w:cs="华文宋体"/>
                <w:color w:val="auto"/>
                <w:sz w:val="24"/>
                <w:szCs w:val="24"/>
                <w:highlight w:val="none"/>
                <w:vertAlign w:val="baseline"/>
                <w:lang w:val="en-US" w:eastAsia="zh-CN"/>
              </w:rPr>
              <w:t>Ω</w:t>
            </w:r>
            <w:r>
              <w:rPr>
                <w:rFonts w:hint="eastAsia"/>
                <w:color w:val="auto"/>
                <w:sz w:val="24"/>
                <w:szCs w:val="24"/>
                <w:highlight w:val="none"/>
                <w:vertAlign w:val="baseline"/>
                <w:lang w:val="en-US" w:eastAsia="zh-CN"/>
              </w:rPr>
              <w:t>/Km</w:t>
            </w:r>
            <w:r>
              <w:rPr>
                <w:rFonts w:hint="eastAsia" w:ascii="Arial" w:hAnsi="Arial" w:eastAsia="宋体" w:cs="Arial"/>
                <w:i w:val="0"/>
                <w:caps w:val="0"/>
                <w:color w:val="auto"/>
                <w:spacing w:val="0"/>
                <w:sz w:val="24"/>
                <w:szCs w:val="24"/>
                <w:highlight w:val="none"/>
                <w:shd w:val="clear" w:fill="FFFFFF"/>
                <w:lang w:val="en-US" w:eastAsia="zh-CN"/>
              </w:rPr>
              <w:t>）</w:t>
            </w:r>
          </w:p>
        </w:tc>
        <w:tc>
          <w:tcPr>
            <w:tcW w:w="1658" w:type="dxa"/>
          </w:tcPr>
          <w:p>
            <w:pPr>
              <w:numPr>
                <w:ilvl w:val="0"/>
                <w:numId w:val="0"/>
              </w:numPr>
              <w:spacing w:line="360" w:lineRule="auto"/>
              <w:jc w:val="both"/>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70</w:t>
            </w:r>
            <w:r>
              <w:rPr>
                <w:rFonts w:ascii="Arial" w:hAnsi="Arial" w:eastAsia="宋体" w:cs="Arial"/>
                <w:i w:val="0"/>
                <w:caps w:val="0"/>
                <w:color w:val="auto"/>
                <w:spacing w:val="0"/>
                <w:sz w:val="24"/>
                <w:szCs w:val="24"/>
                <w:highlight w:val="none"/>
                <w:shd w:val="clear" w:fill="FFFFFF"/>
              </w:rPr>
              <w:t>°</w:t>
            </w:r>
            <w:r>
              <w:rPr>
                <w:rFonts w:hint="eastAsia"/>
                <w:color w:val="auto"/>
                <w:sz w:val="24"/>
                <w:szCs w:val="24"/>
                <w:highlight w:val="none"/>
                <w:vertAlign w:val="baseline"/>
                <w:lang w:val="en-US" w:eastAsia="zh-CN"/>
              </w:rPr>
              <w:t>C最小绝缘电阻（M</w:t>
            </w:r>
            <w:r>
              <w:rPr>
                <w:rFonts w:hint="eastAsia" w:ascii="华文宋体" w:hAnsi="华文宋体" w:eastAsia="华文宋体" w:cs="华文宋体"/>
                <w:color w:val="auto"/>
                <w:sz w:val="24"/>
                <w:szCs w:val="24"/>
                <w:highlight w:val="none"/>
                <w:vertAlign w:val="baseline"/>
                <w:lang w:val="en-US" w:eastAsia="zh-CN"/>
              </w:rPr>
              <w:t>Ω</w:t>
            </w:r>
            <w:r>
              <w:rPr>
                <w:rFonts w:hint="eastAsia"/>
                <w:color w:val="auto"/>
                <w:sz w:val="24"/>
                <w:szCs w:val="24"/>
                <w:highlight w:val="none"/>
                <w:vertAlign w:val="baseline"/>
                <w:lang w:val="en-US" w:eastAsia="zh-CN"/>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tcPr>
          <w:p>
            <w:pPr>
              <w:numPr>
                <w:ilvl w:val="0"/>
                <w:numId w:val="0"/>
              </w:numPr>
              <w:spacing w:line="360" w:lineRule="auto"/>
              <w:jc w:val="both"/>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5×25</w:t>
            </w:r>
          </w:p>
        </w:tc>
        <w:tc>
          <w:tcPr>
            <w:tcW w:w="1272" w:type="dxa"/>
          </w:tcPr>
          <w:p>
            <w:pPr>
              <w:numPr>
                <w:ilvl w:val="0"/>
                <w:numId w:val="0"/>
              </w:numPr>
              <w:spacing w:line="360" w:lineRule="auto"/>
              <w:jc w:val="both"/>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1.2</w:t>
            </w:r>
          </w:p>
        </w:tc>
        <w:tc>
          <w:tcPr>
            <w:tcW w:w="1217" w:type="dxa"/>
          </w:tcPr>
          <w:p>
            <w:pPr>
              <w:numPr>
                <w:ilvl w:val="0"/>
                <w:numId w:val="0"/>
              </w:numPr>
              <w:spacing w:line="360" w:lineRule="auto"/>
              <w:jc w:val="both"/>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1.9</w:t>
            </w:r>
          </w:p>
        </w:tc>
        <w:tc>
          <w:tcPr>
            <w:tcW w:w="1274" w:type="dxa"/>
          </w:tcPr>
          <w:p>
            <w:pPr>
              <w:numPr>
                <w:ilvl w:val="0"/>
                <w:numId w:val="0"/>
              </w:numPr>
              <w:spacing w:line="360" w:lineRule="auto"/>
              <w:jc w:val="both"/>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31</w:t>
            </w:r>
          </w:p>
        </w:tc>
        <w:tc>
          <w:tcPr>
            <w:tcW w:w="1161" w:type="dxa"/>
          </w:tcPr>
          <w:p>
            <w:pPr>
              <w:numPr>
                <w:ilvl w:val="0"/>
                <w:numId w:val="0"/>
              </w:numPr>
              <w:spacing w:line="360" w:lineRule="auto"/>
              <w:jc w:val="both"/>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1941</w:t>
            </w:r>
          </w:p>
        </w:tc>
        <w:tc>
          <w:tcPr>
            <w:tcW w:w="1218" w:type="dxa"/>
          </w:tcPr>
          <w:p>
            <w:pPr>
              <w:numPr>
                <w:ilvl w:val="0"/>
                <w:numId w:val="0"/>
              </w:numPr>
              <w:spacing w:line="360" w:lineRule="auto"/>
              <w:jc w:val="both"/>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0.727</w:t>
            </w:r>
          </w:p>
        </w:tc>
        <w:tc>
          <w:tcPr>
            <w:tcW w:w="1658" w:type="dxa"/>
          </w:tcPr>
          <w:p>
            <w:pPr>
              <w:numPr>
                <w:ilvl w:val="0"/>
                <w:numId w:val="0"/>
              </w:numPr>
              <w:spacing w:line="360" w:lineRule="auto"/>
              <w:jc w:val="both"/>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0.0050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tcPr>
          <w:p>
            <w:pPr>
              <w:numPr>
                <w:ilvl w:val="0"/>
                <w:numId w:val="0"/>
              </w:numPr>
              <w:spacing w:line="360" w:lineRule="auto"/>
              <w:jc w:val="both"/>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5×16</w:t>
            </w:r>
          </w:p>
        </w:tc>
        <w:tc>
          <w:tcPr>
            <w:tcW w:w="1272" w:type="dxa"/>
          </w:tcPr>
          <w:p>
            <w:pPr>
              <w:numPr>
                <w:ilvl w:val="0"/>
                <w:numId w:val="0"/>
              </w:numPr>
              <w:spacing w:line="360" w:lineRule="auto"/>
              <w:jc w:val="both"/>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1.0</w:t>
            </w:r>
          </w:p>
        </w:tc>
        <w:tc>
          <w:tcPr>
            <w:tcW w:w="1217" w:type="dxa"/>
          </w:tcPr>
          <w:p>
            <w:pPr>
              <w:numPr>
                <w:ilvl w:val="0"/>
                <w:numId w:val="0"/>
              </w:numPr>
              <w:spacing w:line="360" w:lineRule="auto"/>
              <w:jc w:val="both"/>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1.8</w:t>
            </w:r>
          </w:p>
        </w:tc>
        <w:tc>
          <w:tcPr>
            <w:tcW w:w="1274" w:type="dxa"/>
          </w:tcPr>
          <w:p>
            <w:pPr>
              <w:numPr>
                <w:ilvl w:val="0"/>
                <w:numId w:val="0"/>
              </w:numPr>
              <w:spacing w:line="360" w:lineRule="auto"/>
              <w:jc w:val="both"/>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27</w:t>
            </w:r>
          </w:p>
        </w:tc>
        <w:tc>
          <w:tcPr>
            <w:tcW w:w="1161" w:type="dxa"/>
          </w:tcPr>
          <w:p>
            <w:pPr>
              <w:numPr>
                <w:ilvl w:val="0"/>
                <w:numId w:val="0"/>
              </w:numPr>
              <w:spacing w:line="360" w:lineRule="auto"/>
              <w:jc w:val="both"/>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1331</w:t>
            </w:r>
          </w:p>
        </w:tc>
        <w:tc>
          <w:tcPr>
            <w:tcW w:w="1218" w:type="dxa"/>
          </w:tcPr>
          <w:p>
            <w:pPr>
              <w:numPr>
                <w:ilvl w:val="0"/>
                <w:numId w:val="0"/>
              </w:numPr>
              <w:spacing w:line="360" w:lineRule="auto"/>
              <w:jc w:val="both"/>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1.15</w:t>
            </w:r>
          </w:p>
        </w:tc>
        <w:tc>
          <w:tcPr>
            <w:tcW w:w="1658" w:type="dxa"/>
          </w:tcPr>
          <w:p>
            <w:pPr>
              <w:numPr>
                <w:ilvl w:val="0"/>
                <w:numId w:val="0"/>
              </w:numPr>
              <w:spacing w:line="360" w:lineRule="auto"/>
              <w:jc w:val="both"/>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0.0050</w:t>
            </w:r>
          </w:p>
        </w:tc>
      </w:tr>
    </w:tbl>
    <w:p>
      <w:pPr>
        <w:numPr>
          <w:ilvl w:val="0"/>
          <w:numId w:val="0"/>
        </w:numPr>
        <w:spacing w:line="360" w:lineRule="auto"/>
        <w:jc w:val="both"/>
        <w:rPr>
          <w:rFonts w:hint="default"/>
          <w:color w:val="auto"/>
          <w:sz w:val="24"/>
          <w:szCs w:val="24"/>
          <w:highlight w:val="none"/>
          <w:vertAlign w:val="baseline"/>
          <w:lang w:val="en-US" w:eastAsia="zh-CN"/>
        </w:rPr>
      </w:pPr>
    </w:p>
    <w:p>
      <w:pPr>
        <w:numPr>
          <w:ilvl w:val="0"/>
          <w:numId w:val="0"/>
        </w:numPr>
        <w:spacing w:line="360" w:lineRule="auto"/>
        <w:jc w:val="center"/>
        <w:rPr>
          <w:rFonts w:hint="eastAsia"/>
          <w:b/>
          <w:bCs/>
          <w:color w:val="auto"/>
          <w:sz w:val="24"/>
          <w:szCs w:val="24"/>
          <w:highlight w:val="none"/>
          <w:vertAlign w:val="baseline"/>
          <w:lang w:val="en-US" w:eastAsia="zh-CN"/>
        </w:rPr>
      </w:pPr>
      <w:r>
        <w:rPr>
          <w:rFonts w:hint="eastAsia" w:ascii="宋体" w:hAnsi="宋体" w:eastAsia="宋体" w:cs="宋体"/>
          <w:bCs/>
          <w:color w:val="auto"/>
          <w:sz w:val="24"/>
          <w:szCs w:val="24"/>
          <w:highlight w:val="none"/>
        </w:rPr>
        <w:t>▲</w:t>
      </w:r>
      <w:r>
        <w:rPr>
          <w:rFonts w:hint="eastAsia"/>
          <w:b/>
          <w:bCs/>
          <w:color w:val="auto"/>
          <w:sz w:val="24"/>
          <w:szCs w:val="24"/>
          <w:highlight w:val="none"/>
          <w:vertAlign w:val="baseline"/>
          <w:lang w:val="en-US" w:eastAsia="zh-CN"/>
        </w:rPr>
        <w:t>BVVB铜芯聚氯乙烯绝缘聚氯乙烯护套电缆</w:t>
      </w:r>
    </w:p>
    <w:p>
      <w:pPr>
        <w:numPr>
          <w:ilvl w:val="0"/>
          <w:numId w:val="0"/>
        </w:numPr>
        <w:spacing w:line="360" w:lineRule="auto"/>
        <w:jc w:val="both"/>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电压：300/500V</w:t>
      </w:r>
    </w:p>
    <w:p>
      <w:pPr>
        <w:numPr>
          <w:ilvl w:val="0"/>
          <w:numId w:val="0"/>
        </w:numPr>
        <w:spacing w:line="360" w:lineRule="auto"/>
        <w:jc w:val="both"/>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执行标准：JB/T8734.2-2016</w:t>
      </w:r>
    </w:p>
    <w:tbl>
      <w:tblPr>
        <w:tblStyle w:val="23"/>
        <w:tblW w:w="89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1181"/>
        <w:gridCol w:w="1056"/>
        <w:gridCol w:w="1176"/>
        <w:gridCol w:w="1416"/>
        <w:gridCol w:w="1442"/>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204" w:type="dxa"/>
            <w:vMerge w:val="restart"/>
          </w:tcPr>
          <w:p>
            <w:pPr>
              <w:numPr>
                <w:ilvl w:val="0"/>
                <w:numId w:val="0"/>
              </w:numPr>
              <w:spacing w:line="360" w:lineRule="auto"/>
              <w:jc w:val="center"/>
              <w:rPr>
                <w:rFonts w:hint="eastAsia"/>
                <w:b/>
                <w:bCs/>
                <w:color w:val="auto"/>
                <w:sz w:val="24"/>
                <w:szCs w:val="24"/>
                <w:highlight w:val="none"/>
                <w:vertAlign w:val="baseline"/>
                <w:lang w:val="en-US" w:eastAsia="zh-CN"/>
              </w:rPr>
            </w:pPr>
            <w:r>
              <w:rPr>
                <w:rFonts w:hint="eastAsia"/>
                <w:color w:val="auto"/>
                <w:sz w:val="24"/>
                <w:szCs w:val="24"/>
                <w:highlight w:val="none"/>
                <w:vertAlign w:val="baseline"/>
                <w:lang w:val="en-US" w:eastAsia="zh-CN"/>
              </w:rPr>
              <w:t>标称截面</w:t>
            </w:r>
          </w:p>
        </w:tc>
        <w:tc>
          <w:tcPr>
            <w:tcW w:w="1210" w:type="dxa"/>
            <w:vMerge w:val="restart"/>
          </w:tcPr>
          <w:p>
            <w:pPr>
              <w:numPr>
                <w:ilvl w:val="0"/>
                <w:numId w:val="0"/>
              </w:numPr>
              <w:spacing w:line="360" w:lineRule="auto"/>
              <w:jc w:val="center"/>
              <w:rPr>
                <w:rFonts w:hint="eastAsia"/>
                <w:b/>
                <w:bCs/>
                <w:color w:val="auto"/>
                <w:sz w:val="24"/>
                <w:szCs w:val="24"/>
                <w:highlight w:val="none"/>
                <w:vertAlign w:val="baseline"/>
                <w:lang w:val="en-US" w:eastAsia="zh-CN"/>
              </w:rPr>
            </w:pPr>
            <w:r>
              <w:rPr>
                <w:rFonts w:hint="eastAsia"/>
                <w:color w:val="auto"/>
                <w:sz w:val="24"/>
                <w:szCs w:val="24"/>
                <w:highlight w:val="none"/>
                <w:vertAlign w:val="baseline"/>
                <w:lang w:val="en-US" w:eastAsia="zh-CN"/>
              </w:rPr>
              <w:t>导体根数/线径（mm）</w:t>
            </w:r>
          </w:p>
        </w:tc>
        <w:tc>
          <w:tcPr>
            <w:tcW w:w="2065" w:type="dxa"/>
            <w:gridSpan w:val="2"/>
          </w:tcPr>
          <w:p>
            <w:pPr>
              <w:numPr>
                <w:ilvl w:val="0"/>
                <w:numId w:val="0"/>
              </w:numPr>
              <w:spacing w:line="360" w:lineRule="auto"/>
              <w:jc w:val="center"/>
              <w:rPr>
                <w:rFonts w:hint="default"/>
                <w:b/>
                <w:bCs/>
                <w:color w:val="auto"/>
                <w:sz w:val="24"/>
                <w:szCs w:val="24"/>
                <w:highlight w:val="none"/>
                <w:vertAlign w:val="baseline"/>
                <w:lang w:val="en-US" w:eastAsia="zh-CN"/>
              </w:rPr>
            </w:pPr>
            <w:r>
              <w:rPr>
                <w:rFonts w:hint="eastAsia"/>
                <w:color w:val="auto"/>
                <w:sz w:val="24"/>
                <w:szCs w:val="24"/>
                <w:highlight w:val="none"/>
                <w:vertAlign w:val="baseline"/>
                <w:lang w:val="en-US" w:eastAsia="zh-CN"/>
              </w:rPr>
              <w:t>平均外径（mm）</w:t>
            </w:r>
          </w:p>
        </w:tc>
        <w:tc>
          <w:tcPr>
            <w:tcW w:w="1273" w:type="dxa"/>
            <w:vMerge w:val="restart"/>
          </w:tcPr>
          <w:p>
            <w:pPr>
              <w:numPr>
                <w:ilvl w:val="0"/>
                <w:numId w:val="0"/>
              </w:numPr>
              <w:spacing w:line="360" w:lineRule="auto"/>
              <w:jc w:val="center"/>
              <w:rPr>
                <w:rFonts w:hint="default"/>
                <w:b/>
                <w:bCs/>
                <w:color w:val="auto"/>
                <w:sz w:val="24"/>
                <w:szCs w:val="24"/>
                <w:highlight w:val="none"/>
                <w:vertAlign w:val="baseline"/>
                <w:lang w:val="en-US" w:eastAsia="zh-CN"/>
              </w:rPr>
            </w:pPr>
            <w:r>
              <w:rPr>
                <w:rFonts w:hint="eastAsia"/>
                <w:color w:val="auto"/>
                <w:sz w:val="24"/>
                <w:szCs w:val="24"/>
                <w:highlight w:val="none"/>
                <w:vertAlign w:val="baseline"/>
                <w:lang w:val="en-US" w:eastAsia="zh-CN"/>
              </w:rPr>
              <w:t>参考重量（Kg/Km）</w:t>
            </w:r>
          </w:p>
        </w:tc>
        <w:tc>
          <w:tcPr>
            <w:tcW w:w="1589" w:type="dxa"/>
            <w:vMerge w:val="restart"/>
          </w:tcPr>
          <w:p>
            <w:pPr>
              <w:numPr>
                <w:ilvl w:val="0"/>
                <w:numId w:val="0"/>
              </w:numPr>
              <w:spacing w:line="360" w:lineRule="auto"/>
              <w:jc w:val="center"/>
              <w:rPr>
                <w:rFonts w:hint="eastAsia"/>
                <w:b/>
                <w:bCs/>
                <w:color w:val="auto"/>
                <w:sz w:val="24"/>
                <w:szCs w:val="24"/>
                <w:highlight w:val="none"/>
                <w:vertAlign w:val="baseline"/>
                <w:lang w:val="en-US" w:eastAsia="zh-CN"/>
              </w:rPr>
            </w:pPr>
            <w:r>
              <w:rPr>
                <w:rFonts w:hint="eastAsia"/>
                <w:color w:val="auto"/>
                <w:sz w:val="24"/>
                <w:szCs w:val="24"/>
                <w:highlight w:val="none"/>
                <w:vertAlign w:val="baseline"/>
                <w:lang w:val="en-US" w:eastAsia="zh-CN"/>
              </w:rPr>
              <w:t>20</w:t>
            </w:r>
            <w:r>
              <w:rPr>
                <w:rFonts w:ascii="Arial" w:hAnsi="Arial" w:eastAsia="宋体" w:cs="Arial"/>
                <w:i w:val="0"/>
                <w:caps w:val="0"/>
                <w:color w:val="auto"/>
                <w:spacing w:val="0"/>
                <w:sz w:val="24"/>
                <w:szCs w:val="24"/>
                <w:highlight w:val="none"/>
                <w:shd w:val="clear" w:fill="FFFFFF"/>
              </w:rPr>
              <w:t>°</w:t>
            </w:r>
            <w:r>
              <w:rPr>
                <w:rFonts w:hint="eastAsia"/>
                <w:color w:val="auto"/>
                <w:sz w:val="24"/>
                <w:szCs w:val="24"/>
                <w:highlight w:val="none"/>
                <w:vertAlign w:val="baseline"/>
                <w:lang w:val="en-US" w:eastAsia="zh-CN"/>
              </w:rPr>
              <w:t>C</w:t>
            </w:r>
            <w:r>
              <w:rPr>
                <w:rFonts w:hint="eastAsia" w:ascii="Arial" w:hAnsi="Arial" w:eastAsia="宋体" w:cs="Arial"/>
                <w:i w:val="0"/>
                <w:caps w:val="0"/>
                <w:color w:val="auto"/>
                <w:spacing w:val="0"/>
                <w:sz w:val="24"/>
                <w:szCs w:val="24"/>
                <w:highlight w:val="none"/>
                <w:shd w:val="clear" w:fill="FFFFFF"/>
                <w:lang w:val="en-US" w:eastAsia="zh-CN"/>
              </w:rPr>
              <w:t>导体直流电阻（</w:t>
            </w:r>
            <w:r>
              <w:rPr>
                <w:rFonts w:hint="eastAsia" w:ascii="华文宋体" w:hAnsi="华文宋体" w:eastAsia="华文宋体" w:cs="华文宋体"/>
                <w:color w:val="auto"/>
                <w:sz w:val="24"/>
                <w:szCs w:val="24"/>
                <w:highlight w:val="none"/>
                <w:vertAlign w:val="baseline"/>
                <w:lang w:val="en-US" w:eastAsia="zh-CN"/>
              </w:rPr>
              <w:t>Ω</w:t>
            </w:r>
            <w:r>
              <w:rPr>
                <w:rFonts w:hint="eastAsia"/>
                <w:color w:val="auto"/>
                <w:sz w:val="24"/>
                <w:szCs w:val="24"/>
                <w:highlight w:val="none"/>
                <w:vertAlign w:val="baseline"/>
                <w:lang w:val="en-US" w:eastAsia="zh-CN"/>
              </w:rPr>
              <w:t>/Km</w:t>
            </w:r>
            <w:r>
              <w:rPr>
                <w:rFonts w:hint="eastAsia" w:ascii="Arial" w:hAnsi="Arial" w:eastAsia="宋体" w:cs="Arial"/>
                <w:i w:val="0"/>
                <w:caps w:val="0"/>
                <w:color w:val="auto"/>
                <w:spacing w:val="0"/>
                <w:sz w:val="24"/>
                <w:szCs w:val="24"/>
                <w:highlight w:val="none"/>
                <w:shd w:val="clear" w:fill="FFFFFF"/>
                <w:lang w:val="en-US" w:eastAsia="zh-CN"/>
              </w:rPr>
              <w:t>）</w:t>
            </w:r>
          </w:p>
        </w:tc>
        <w:tc>
          <w:tcPr>
            <w:tcW w:w="1609" w:type="dxa"/>
            <w:vMerge w:val="restart"/>
          </w:tcPr>
          <w:p>
            <w:pPr>
              <w:numPr>
                <w:ilvl w:val="0"/>
                <w:numId w:val="0"/>
              </w:numPr>
              <w:spacing w:line="360" w:lineRule="auto"/>
              <w:jc w:val="center"/>
              <w:rPr>
                <w:rFonts w:hint="eastAsia"/>
                <w:b/>
                <w:bCs/>
                <w:color w:val="auto"/>
                <w:sz w:val="24"/>
                <w:szCs w:val="24"/>
                <w:highlight w:val="none"/>
                <w:vertAlign w:val="baseline"/>
                <w:lang w:val="en-US" w:eastAsia="zh-CN"/>
              </w:rPr>
            </w:pPr>
            <w:r>
              <w:rPr>
                <w:rFonts w:hint="eastAsia"/>
                <w:color w:val="auto"/>
                <w:sz w:val="24"/>
                <w:szCs w:val="24"/>
                <w:highlight w:val="none"/>
                <w:vertAlign w:val="baseline"/>
                <w:lang w:val="en-US" w:eastAsia="zh-CN"/>
              </w:rPr>
              <w:t>70</w:t>
            </w:r>
            <w:r>
              <w:rPr>
                <w:rFonts w:ascii="Arial" w:hAnsi="Arial" w:eastAsia="宋体" w:cs="Arial"/>
                <w:i w:val="0"/>
                <w:caps w:val="0"/>
                <w:color w:val="auto"/>
                <w:spacing w:val="0"/>
                <w:sz w:val="24"/>
                <w:szCs w:val="24"/>
                <w:highlight w:val="none"/>
                <w:shd w:val="clear" w:fill="FFFFFF"/>
              </w:rPr>
              <w:t>°</w:t>
            </w:r>
            <w:r>
              <w:rPr>
                <w:rFonts w:hint="eastAsia"/>
                <w:color w:val="auto"/>
                <w:sz w:val="24"/>
                <w:szCs w:val="24"/>
                <w:highlight w:val="none"/>
                <w:vertAlign w:val="baseline"/>
                <w:lang w:val="en-US" w:eastAsia="zh-CN"/>
              </w:rPr>
              <w:t>C最小绝缘电阻（M</w:t>
            </w:r>
            <w:r>
              <w:rPr>
                <w:rFonts w:hint="eastAsia" w:ascii="华文宋体" w:hAnsi="华文宋体" w:eastAsia="华文宋体" w:cs="华文宋体"/>
                <w:color w:val="auto"/>
                <w:sz w:val="24"/>
                <w:szCs w:val="24"/>
                <w:highlight w:val="none"/>
                <w:vertAlign w:val="baseline"/>
                <w:lang w:val="en-US" w:eastAsia="zh-CN"/>
              </w:rPr>
              <w:t>Ω</w:t>
            </w:r>
            <w:r>
              <w:rPr>
                <w:rFonts w:hint="eastAsia"/>
                <w:color w:val="auto"/>
                <w:sz w:val="24"/>
                <w:szCs w:val="24"/>
                <w:highlight w:val="none"/>
                <w:vertAlign w:val="baseline"/>
                <w:lang w:val="en-US" w:eastAsia="zh-CN"/>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204" w:type="dxa"/>
            <w:vMerge w:val="continue"/>
          </w:tcPr>
          <w:p>
            <w:pPr>
              <w:spacing w:line="360" w:lineRule="auto"/>
              <w:jc w:val="center"/>
              <w:rPr>
                <w:color w:val="auto"/>
                <w:sz w:val="24"/>
                <w:szCs w:val="24"/>
                <w:highlight w:val="none"/>
              </w:rPr>
            </w:pPr>
          </w:p>
        </w:tc>
        <w:tc>
          <w:tcPr>
            <w:tcW w:w="1210" w:type="dxa"/>
            <w:vMerge w:val="continue"/>
          </w:tcPr>
          <w:p>
            <w:pPr>
              <w:spacing w:line="360" w:lineRule="auto"/>
              <w:jc w:val="center"/>
              <w:rPr>
                <w:color w:val="auto"/>
                <w:sz w:val="24"/>
                <w:szCs w:val="24"/>
                <w:highlight w:val="none"/>
              </w:rPr>
            </w:pPr>
          </w:p>
        </w:tc>
        <w:tc>
          <w:tcPr>
            <w:tcW w:w="1000" w:type="dxa"/>
          </w:tcPr>
          <w:p>
            <w:pPr>
              <w:numPr>
                <w:ilvl w:val="0"/>
                <w:numId w:val="0"/>
              </w:numPr>
              <w:spacing w:line="360" w:lineRule="auto"/>
              <w:jc w:val="center"/>
              <w:rPr>
                <w:rFonts w:hint="default"/>
                <w:b/>
                <w:bCs/>
                <w:color w:val="auto"/>
                <w:sz w:val="24"/>
                <w:szCs w:val="24"/>
                <w:highlight w:val="none"/>
                <w:vertAlign w:val="baseline"/>
                <w:lang w:val="en-US" w:eastAsia="zh-CN"/>
              </w:rPr>
            </w:pPr>
            <w:r>
              <w:rPr>
                <w:rFonts w:hint="eastAsia"/>
                <w:color w:val="auto"/>
                <w:sz w:val="24"/>
                <w:szCs w:val="24"/>
                <w:highlight w:val="none"/>
                <w:vertAlign w:val="baseline"/>
                <w:lang w:val="en-US" w:eastAsia="zh-CN"/>
              </w:rPr>
              <w:t>下限</w:t>
            </w:r>
          </w:p>
        </w:tc>
        <w:tc>
          <w:tcPr>
            <w:tcW w:w="1065" w:type="dxa"/>
          </w:tcPr>
          <w:p>
            <w:pPr>
              <w:spacing w:line="360" w:lineRule="auto"/>
              <w:jc w:val="center"/>
              <w:rPr>
                <w:rFonts w:hint="default"/>
                <w:b/>
                <w:bCs/>
                <w:color w:val="auto"/>
                <w:sz w:val="24"/>
                <w:szCs w:val="24"/>
                <w:highlight w:val="none"/>
                <w:vertAlign w:val="baseline"/>
                <w:lang w:val="en-US" w:eastAsia="zh-CN"/>
              </w:rPr>
            </w:pPr>
            <w:r>
              <w:rPr>
                <w:rFonts w:hint="eastAsia"/>
                <w:color w:val="auto"/>
                <w:sz w:val="24"/>
                <w:szCs w:val="24"/>
                <w:highlight w:val="none"/>
                <w:vertAlign w:val="baseline"/>
                <w:lang w:val="en-US" w:eastAsia="zh-CN"/>
              </w:rPr>
              <w:t>上限</w:t>
            </w:r>
          </w:p>
        </w:tc>
        <w:tc>
          <w:tcPr>
            <w:tcW w:w="1273" w:type="dxa"/>
            <w:vMerge w:val="continue"/>
          </w:tcPr>
          <w:p>
            <w:pPr>
              <w:spacing w:line="360" w:lineRule="auto"/>
              <w:jc w:val="center"/>
              <w:rPr>
                <w:rFonts w:hint="eastAsia"/>
                <w:b/>
                <w:bCs/>
                <w:color w:val="auto"/>
                <w:sz w:val="24"/>
                <w:szCs w:val="24"/>
                <w:highlight w:val="none"/>
                <w:vertAlign w:val="baseline"/>
                <w:lang w:val="en-US" w:eastAsia="zh-CN"/>
              </w:rPr>
            </w:pPr>
          </w:p>
        </w:tc>
        <w:tc>
          <w:tcPr>
            <w:tcW w:w="1589" w:type="dxa"/>
            <w:vMerge w:val="continue"/>
          </w:tcPr>
          <w:p>
            <w:pPr>
              <w:spacing w:line="360" w:lineRule="auto"/>
              <w:jc w:val="center"/>
              <w:rPr>
                <w:rFonts w:hint="eastAsia"/>
                <w:b/>
                <w:bCs/>
                <w:color w:val="auto"/>
                <w:sz w:val="24"/>
                <w:szCs w:val="24"/>
                <w:highlight w:val="none"/>
                <w:vertAlign w:val="baseline"/>
                <w:lang w:val="en-US" w:eastAsia="zh-CN"/>
              </w:rPr>
            </w:pPr>
          </w:p>
        </w:tc>
        <w:tc>
          <w:tcPr>
            <w:tcW w:w="1609" w:type="dxa"/>
            <w:vMerge w:val="continue"/>
          </w:tcPr>
          <w:p>
            <w:pPr>
              <w:spacing w:line="360" w:lineRule="auto"/>
              <w:jc w:val="center"/>
              <w:rPr>
                <w:rFonts w:hint="eastAsia"/>
                <w:b/>
                <w:bCs/>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tcPr>
          <w:p>
            <w:pPr>
              <w:numPr>
                <w:ilvl w:val="0"/>
                <w:numId w:val="0"/>
              </w:numPr>
              <w:spacing w:line="360" w:lineRule="auto"/>
              <w:jc w:val="center"/>
              <w:rPr>
                <w:rFonts w:hint="eastAsia"/>
                <w:b/>
                <w:bCs/>
                <w:color w:val="auto"/>
                <w:sz w:val="24"/>
                <w:szCs w:val="24"/>
                <w:highlight w:val="none"/>
                <w:vertAlign w:val="baseline"/>
                <w:lang w:val="en-US" w:eastAsia="zh-CN"/>
              </w:rPr>
            </w:pPr>
            <w:r>
              <w:rPr>
                <w:rFonts w:hint="eastAsia"/>
                <w:color w:val="auto"/>
                <w:sz w:val="24"/>
                <w:szCs w:val="24"/>
                <w:highlight w:val="none"/>
                <w:vertAlign w:val="baseline"/>
                <w:lang w:val="en-US" w:eastAsia="zh-CN"/>
              </w:rPr>
              <w:t>2×2.5</w:t>
            </w:r>
          </w:p>
        </w:tc>
        <w:tc>
          <w:tcPr>
            <w:tcW w:w="1210" w:type="dxa"/>
          </w:tcPr>
          <w:p>
            <w:pPr>
              <w:numPr>
                <w:ilvl w:val="0"/>
                <w:numId w:val="0"/>
              </w:numPr>
              <w:spacing w:line="360" w:lineRule="auto"/>
              <w:jc w:val="center"/>
              <w:rPr>
                <w:rFonts w:hint="default"/>
                <w:b/>
                <w:bCs/>
                <w:color w:val="auto"/>
                <w:sz w:val="24"/>
                <w:szCs w:val="24"/>
                <w:highlight w:val="none"/>
                <w:vertAlign w:val="baseline"/>
                <w:lang w:val="en-US" w:eastAsia="zh-CN"/>
              </w:rPr>
            </w:pPr>
            <w:r>
              <w:rPr>
                <w:rFonts w:hint="eastAsia"/>
                <w:color w:val="auto"/>
                <w:sz w:val="24"/>
                <w:szCs w:val="24"/>
                <w:highlight w:val="none"/>
                <w:vertAlign w:val="baseline"/>
                <w:lang w:val="en-US" w:eastAsia="zh-CN"/>
              </w:rPr>
              <w:t>1/1.78</w:t>
            </w:r>
          </w:p>
        </w:tc>
        <w:tc>
          <w:tcPr>
            <w:tcW w:w="1000" w:type="dxa"/>
          </w:tcPr>
          <w:p>
            <w:pPr>
              <w:numPr>
                <w:ilvl w:val="0"/>
                <w:numId w:val="0"/>
              </w:numPr>
              <w:spacing w:line="360" w:lineRule="auto"/>
              <w:jc w:val="center"/>
              <w:rPr>
                <w:rFonts w:hint="default"/>
                <w:b/>
                <w:bCs/>
                <w:color w:val="auto"/>
                <w:sz w:val="24"/>
                <w:szCs w:val="24"/>
                <w:highlight w:val="none"/>
                <w:vertAlign w:val="baseline"/>
                <w:lang w:val="en-US" w:eastAsia="zh-CN"/>
              </w:rPr>
            </w:pPr>
            <w:r>
              <w:rPr>
                <w:rFonts w:hint="eastAsia"/>
                <w:color w:val="auto"/>
                <w:sz w:val="24"/>
                <w:szCs w:val="24"/>
                <w:highlight w:val="none"/>
                <w:vertAlign w:val="baseline"/>
                <w:lang w:val="en-US" w:eastAsia="zh-CN"/>
              </w:rPr>
              <w:t>5.1×8.4</w:t>
            </w:r>
          </w:p>
        </w:tc>
        <w:tc>
          <w:tcPr>
            <w:tcW w:w="1065" w:type="dxa"/>
          </w:tcPr>
          <w:p>
            <w:pPr>
              <w:numPr>
                <w:ilvl w:val="0"/>
                <w:numId w:val="0"/>
              </w:numPr>
              <w:spacing w:line="360" w:lineRule="auto"/>
              <w:jc w:val="center"/>
              <w:rPr>
                <w:rFonts w:hint="default"/>
                <w:b/>
                <w:bCs/>
                <w:color w:val="auto"/>
                <w:sz w:val="24"/>
                <w:szCs w:val="24"/>
                <w:highlight w:val="none"/>
                <w:vertAlign w:val="baseline"/>
                <w:lang w:val="en-US" w:eastAsia="zh-CN"/>
              </w:rPr>
            </w:pPr>
            <w:r>
              <w:rPr>
                <w:rFonts w:hint="eastAsia"/>
                <w:color w:val="auto"/>
                <w:sz w:val="24"/>
                <w:szCs w:val="24"/>
                <w:highlight w:val="none"/>
                <w:vertAlign w:val="baseline"/>
                <w:lang w:val="en-US" w:eastAsia="zh-CN"/>
              </w:rPr>
              <w:t>6.2×10.1</w:t>
            </w:r>
          </w:p>
        </w:tc>
        <w:tc>
          <w:tcPr>
            <w:tcW w:w="1273" w:type="dxa"/>
          </w:tcPr>
          <w:p>
            <w:pPr>
              <w:numPr>
                <w:ilvl w:val="0"/>
                <w:numId w:val="0"/>
              </w:numPr>
              <w:spacing w:line="360" w:lineRule="auto"/>
              <w:jc w:val="center"/>
              <w:rPr>
                <w:rFonts w:hint="default"/>
                <w:b/>
                <w:bCs/>
                <w:color w:val="auto"/>
                <w:sz w:val="24"/>
                <w:szCs w:val="24"/>
                <w:highlight w:val="none"/>
                <w:vertAlign w:val="baseline"/>
                <w:lang w:val="en-US" w:eastAsia="zh-CN"/>
              </w:rPr>
            </w:pPr>
            <w:r>
              <w:rPr>
                <w:rFonts w:hint="eastAsia"/>
                <w:color w:val="auto"/>
                <w:sz w:val="24"/>
                <w:szCs w:val="24"/>
                <w:highlight w:val="none"/>
                <w:vertAlign w:val="baseline"/>
                <w:lang w:val="en-US" w:eastAsia="zh-CN"/>
              </w:rPr>
              <w:t>93.0</w:t>
            </w:r>
          </w:p>
        </w:tc>
        <w:tc>
          <w:tcPr>
            <w:tcW w:w="1589" w:type="dxa"/>
          </w:tcPr>
          <w:p>
            <w:pPr>
              <w:numPr>
                <w:ilvl w:val="0"/>
                <w:numId w:val="0"/>
              </w:numPr>
              <w:spacing w:line="360" w:lineRule="auto"/>
              <w:jc w:val="center"/>
              <w:rPr>
                <w:rFonts w:hint="default"/>
                <w:b/>
                <w:bCs/>
                <w:color w:val="auto"/>
                <w:sz w:val="24"/>
                <w:szCs w:val="24"/>
                <w:highlight w:val="none"/>
                <w:vertAlign w:val="baseline"/>
                <w:lang w:val="en-US" w:eastAsia="zh-CN"/>
              </w:rPr>
            </w:pPr>
            <w:r>
              <w:rPr>
                <w:rFonts w:hint="eastAsia"/>
                <w:color w:val="auto"/>
                <w:sz w:val="24"/>
                <w:szCs w:val="24"/>
                <w:highlight w:val="none"/>
                <w:vertAlign w:val="baseline"/>
                <w:lang w:val="en-US" w:eastAsia="zh-CN"/>
              </w:rPr>
              <w:t>7.41</w:t>
            </w:r>
          </w:p>
        </w:tc>
        <w:tc>
          <w:tcPr>
            <w:tcW w:w="1609" w:type="dxa"/>
          </w:tcPr>
          <w:p>
            <w:pPr>
              <w:numPr>
                <w:ilvl w:val="0"/>
                <w:numId w:val="0"/>
              </w:numPr>
              <w:spacing w:line="360" w:lineRule="auto"/>
              <w:jc w:val="center"/>
              <w:rPr>
                <w:rFonts w:hint="default"/>
                <w:b/>
                <w:bCs/>
                <w:color w:val="auto"/>
                <w:sz w:val="24"/>
                <w:szCs w:val="24"/>
                <w:highlight w:val="none"/>
                <w:vertAlign w:val="baseline"/>
                <w:lang w:val="en-US" w:eastAsia="zh-CN"/>
              </w:rPr>
            </w:pPr>
            <w:r>
              <w:rPr>
                <w:rFonts w:hint="eastAsia"/>
                <w:color w:val="auto"/>
                <w:sz w:val="24"/>
                <w:szCs w:val="24"/>
                <w:highlight w:val="none"/>
                <w:vertAlign w:val="baseline"/>
                <w:lang w:val="en-US" w:eastAsia="zh-CN"/>
              </w:rPr>
              <w:t>0.010</w:t>
            </w:r>
          </w:p>
        </w:tc>
      </w:tr>
    </w:tbl>
    <w:p>
      <w:pPr>
        <w:numPr>
          <w:ilvl w:val="0"/>
          <w:numId w:val="0"/>
        </w:numPr>
        <w:spacing w:line="360" w:lineRule="auto"/>
        <w:jc w:val="center"/>
        <w:rPr>
          <w:rFonts w:hint="eastAsia"/>
          <w:b/>
          <w:bCs/>
          <w:color w:val="auto"/>
          <w:sz w:val="24"/>
          <w:szCs w:val="24"/>
          <w:highlight w:val="none"/>
          <w:vertAlign w:val="baseline"/>
          <w:lang w:val="en-US" w:eastAsia="zh-CN"/>
        </w:rPr>
      </w:pPr>
    </w:p>
    <w:p>
      <w:pPr>
        <w:numPr>
          <w:ilvl w:val="0"/>
          <w:numId w:val="0"/>
        </w:numPr>
        <w:spacing w:line="360" w:lineRule="auto"/>
        <w:ind w:leftChars="0"/>
        <w:rPr>
          <w:rFonts w:hint="eastAsia"/>
          <w:color w:val="auto"/>
          <w:sz w:val="24"/>
          <w:szCs w:val="24"/>
          <w:highlight w:val="none"/>
          <w:lang w:val="en-US" w:eastAsia="zh-CN"/>
        </w:rPr>
      </w:pPr>
      <w:r>
        <w:rPr>
          <w:rFonts w:hint="eastAsia"/>
          <w:color w:val="auto"/>
          <w:sz w:val="24"/>
          <w:szCs w:val="24"/>
          <w:highlight w:val="none"/>
          <w:lang w:val="en-US" w:eastAsia="zh-CN"/>
        </w:rPr>
        <w:t>2.1、包装完好，抽检的电线绝缘层完整无损，厚度均匀；电缆无压扁、扭曲；耐火、阻燃的电线、电缆外护层有明显标识和制作厂家。</w:t>
      </w:r>
    </w:p>
    <w:p>
      <w:pPr>
        <w:numPr>
          <w:ilvl w:val="0"/>
          <w:numId w:val="0"/>
        </w:numPr>
        <w:spacing w:line="360" w:lineRule="auto"/>
        <w:ind w:leftChars="0"/>
        <w:rPr>
          <w:rFonts w:hint="default"/>
          <w:color w:val="auto"/>
          <w:sz w:val="24"/>
          <w:szCs w:val="24"/>
          <w:highlight w:val="none"/>
          <w:lang w:val="en-US" w:eastAsia="zh-CN"/>
        </w:rPr>
      </w:pPr>
      <w:r>
        <w:rPr>
          <w:rFonts w:hint="eastAsia"/>
          <w:color w:val="auto"/>
          <w:sz w:val="24"/>
          <w:szCs w:val="24"/>
          <w:highlight w:val="none"/>
          <w:lang w:val="en-US" w:eastAsia="zh-CN"/>
        </w:rPr>
        <w:t>2.2、电线电缆进场每批按规定抽样检测，检测实验室由买方指定，检测费用由卖方自行承担。若检测不合格，甲方有权退货并解除合同，乙方应退还甲方支付的全部合同款，并按甲方已支付给乙方的合同款金额向甲方支付20%违约金。由此给甲方造成的损失，乙方应承担赔偿责任。</w:t>
      </w:r>
    </w:p>
    <w:p>
      <w:pPr>
        <w:spacing w:line="360" w:lineRule="auto"/>
        <w:rPr>
          <w:rFonts w:hint="eastAsia" w:eastAsiaTheme="minorEastAsia"/>
          <w:color w:val="auto"/>
          <w:sz w:val="24"/>
          <w:szCs w:val="24"/>
          <w:highlight w:val="none"/>
          <w:lang w:eastAsia="zh-CN"/>
        </w:rPr>
      </w:pPr>
      <w:r>
        <w:rPr>
          <w:rFonts w:hint="eastAsia"/>
          <w:color w:val="auto"/>
          <w:sz w:val="24"/>
          <w:szCs w:val="24"/>
          <w:highlight w:val="none"/>
          <w:lang w:val="en-US" w:eastAsia="zh-CN"/>
        </w:rPr>
        <w:t>2.3、绝缘线芯五芯及以下分色采用颜色标识，全色谱分为红、黄、绿、兰、</w:t>
      </w:r>
      <w:r>
        <w:rPr>
          <w:rFonts w:hint="eastAsia"/>
          <w:color w:val="auto"/>
          <w:sz w:val="24"/>
          <w:szCs w:val="24"/>
          <w:highlight w:val="none"/>
        </w:rPr>
        <w:t>黄绿双色</w:t>
      </w:r>
      <w:r>
        <w:rPr>
          <w:rFonts w:hint="eastAsia"/>
          <w:color w:val="auto"/>
          <w:sz w:val="24"/>
          <w:szCs w:val="24"/>
          <w:highlight w:val="none"/>
          <w:lang w:eastAsia="zh-CN"/>
        </w:rPr>
        <w:t>。</w:t>
      </w:r>
    </w:p>
    <w:p>
      <w:pPr>
        <w:spacing w:line="360" w:lineRule="auto"/>
        <w:rPr>
          <w:rFonts w:hint="eastAsia" w:eastAsiaTheme="minorEastAsia"/>
          <w:color w:val="auto"/>
          <w:sz w:val="24"/>
          <w:szCs w:val="24"/>
          <w:highlight w:val="none"/>
          <w:lang w:eastAsia="zh-CN"/>
        </w:rPr>
      </w:pPr>
      <w:r>
        <w:rPr>
          <w:rFonts w:hint="eastAsia"/>
          <w:color w:val="auto"/>
          <w:sz w:val="24"/>
          <w:szCs w:val="24"/>
          <w:highlight w:val="none"/>
          <w:lang w:val="en-US" w:eastAsia="zh-CN"/>
        </w:rPr>
        <w:t>2.4、</w:t>
      </w:r>
      <w:r>
        <w:rPr>
          <w:rFonts w:hint="eastAsia" w:ascii="宋体" w:hAnsi="宋体" w:eastAsia="宋体" w:cs="宋体"/>
          <w:bCs/>
          <w:color w:val="auto"/>
          <w:sz w:val="24"/>
          <w:szCs w:val="24"/>
          <w:highlight w:val="none"/>
        </w:rPr>
        <w:t>▲</w:t>
      </w:r>
      <w:r>
        <w:rPr>
          <w:rFonts w:hint="eastAsia"/>
          <w:color w:val="auto"/>
          <w:sz w:val="24"/>
          <w:szCs w:val="24"/>
          <w:highlight w:val="none"/>
        </w:rPr>
        <w:t>线</w:t>
      </w:r>
      <w:r>
        <w:rPr>
          <w:rFonts w:hint="eastAsia"/>
          <w:color w:val="auto"/>
          <w:sz w:val="24"/>
          <w:szCs w:val="24"/>
          <w:highlight w:val="none"/>
          <w:lang w:val="en-US" w:eastAsia="zh-CN"/>
        </w:rPr>
        <w:t>芯直</w:t>
      </w:r>
      <w:r>
        <w:rPr>
          <w:rFonts w:hint="eastAsia"/>
          <w:color w:val="auto"/>
          <w:sz w:val="24"/>
          <w:szCs w:val="24"/>
          <w:highlight w:val="none"/>
        </w:rPr>
        <w:t>径误差不大于国家标准直径的1%，</w:t>
      </w:r>
      <w:r>
        <w:rPr>
          <w:rFonts w:hint="eastAsia"/>
          <w:color w:val="auto"/>
          <w:sz w:val="24"/>
          <w:szCs w:val="24"/>
          <w:highlight w:val="none"/>
          <w:lang w:val="en-US" w:eastAsia="zh-CN"/>
        </w:rPr>
        <w:t>线芯单丝直径误差</w:t>
      </w:r>
      <w:r>
        <w:rPr>
          <w:rFonts w:hint="eastAsia"/>
          <w:color w:val="auto"/>
          <w:sz w:val="24"/>
          <w:szCs w:val="24"/>
          <w:highlight w:val="none"/>
        </w:rPr>
        <w:t>不大于国</w:t>
      </w:r>
      <w:r>
        <w:rPr>
          <w:rFonts w:hint="eastAsia"/>
          <w:color w:val="auto"/>
          <w:sz w:val="24"/>
          <w:szCs w:val="24"/>
          <w:highlight w:val="none"/>
          <w:lang w:val="en-US" w:eastAsia="zh-CN"/>
        </w:rPr>
        <w:t>家</w:t>
      </w:r>
      <w:r>
        <w:rPr>
          <w:rFonts w:hint="eastAsia"/>
          <w:color w:val="auto"/>
          <w:sz w:val="24"/>
          <w:szCs w:val="24"/>
          <w:highlight w:val="none"/>
        </w:rPr>
        <w:t>标准1m</w:t>
      </w:r>
      <w:r>
        <w:rPr>
          <w:rFonts w:hint="eastAsia"/>
          <w:color w:val="auto"/>
          <w:sz w:val="24"/>
          <w:szCs w:val="24"/>
          <w:highlight w:val="none"/>
          <w:lang w:val="en-US" w:eastAsia="zh-CN"/>
        </w:rPr>
        <w:t>m，</w:t>
      </w:r>
      <w:r>
        <w:rPr>
          <w:rFonts w:hint="eastAsia"/>
          <w:color w:val="auto"/>
          <w:sz w:val="24"/>
          <w:szCs w:val="24"/>
          <w:highlight w:val="none"/>
        </w:rPr>
        <w:t>绝缘层厚度均匀，符合建筑电气施工质量验收规范</w:t>
      </w:r>
      <w:r>
        <w:rPr>
          <w:rFonts w:hint="eastAsia"/>
          <w:color w:val="auto"/>
          <w:sz w:val="24"/>
          <w:szCs w:val="24"/>
          <w:highlight w:val="none"/>
          <w:lang w:val="en-US" w:eastAsia="zh-CN"/>
        </w:rPr>
        <w:t>G</w:t>
      </w:r>
      <w:r>
        <w:rPr>
          <w:rFonts w:hint="eastAsia"/>
          <w:color w:val="auto"/>
          <w:sz w:val="24"/>
          <w:szCs w:val="24"/>
          <w:highlight w:val="none"/>
        </w:rPr>
        <w:t>B50303-20</w:t>
      </w:r>
      <w:r>
        <w:rPr>
          <w:rFonts w:hint="eastAsia"/>
          <w:color w:val="auto"/>
          <w:sz w:val="24"/>
          <w:szCs w:val="24"/>
          <w:highlight w:val="none"/>
          <w:lang w:val="en-US" w:eastAsia="zh-CN"/>
        </w:rPr>
        <w:t>02第</w:t>
      </w:r>
      <w:r>
        <w:rPr>
          <w:rFonts w:hint="eastAsia"/>
          <w:color w:val="auto"/>
          <w:sz w:val="24"/>
          <w:szCs w:val="24"/>
          <w:highlight w:val="none"/>
        </w:rPr>
        <w:t>3.2.12条相关规定</w:t>
      </w:r>
      <w:r>
        <w:rPr>
          <w:rFonts w:hint="eastAsia"/>
          <w:color w:val="auto"/>
          <w:sz w:val="24"/>
          <w:szCs w:val="24"/>
          <w:highlight w:val="none"/>
          <w:lang w:eastAsia="zh-CN"/>
        </w:rPr>
        <w:t>。</w:t>
      </w:r>
    </w:p>
    <w:p>
      <w:pPr>
        <w:spacing w:line="360" w:lineRule="auto"/>
        <w:rPr>
          <w:rFonts w:hint="eastAsia" w:eastAsiaTheme="minorEastAsia"/>
          <w:color w:val="auto"/>
          <w:sz w:val="24"/>
          <w:szCs w:val="24"/>
          <w:highlight w:val="none"/>
          <w:lang w:eastAsia="zh-CN"/>
        </w:rPr>
      </w:pPr>
      <w:r>
        <w:rPr>
          <w:rFonts w:hint="eastAsia"/>
          <w:color w:val="auto"/>
          <w:sz w:val="24"/>
          <w:szCs w:val="24"/>
          <w:highlight w:val="none"/>
          <w:lang w:val="en-US" w:eastAsia="zh-CN"/>
        </w:rPr>
        <w:t>2.5、</w:t>
      </w:r>
      <w:r>
        <w:rPr>
          <w:rFonts w:hint="eastAsia"/>
          <w:color w:val="auto"/>
          <w:sz w:val="24"/>
          <w:szCs w:val="24"/>
          <w:highlight w:val="none"/>
        </w:rPr>
        <w:t>电线根据施工方需要加工成100米/盘、200米/盘或其他规格</w:t>
      </w:r>
      <w:r>
        <w:rPr>
          <w:rFonts w:hint="eastAsia"/>
          <w:color w:val="auto"/>
          <w:sz w:val="24"/>
          <w:szCs w:val="24"/>
          <w:highlight w:val="none"/>
          <w:lang w:eastAsia="zh-CN"/>
        </w:rPr>
        <w:t>。</w:t>
      </w:r>
    </w:p>
    <w:p>
      <w:pPr>
        <w:spacing w:line="360" w:lineRule="auto"/>
        <w:rPr>
          <w:rFonts w:hint="eastAsia"/>
          <w:color w:val="auto"/>
          <w:sz w:val="24"/>
          <w:szCs w:val="24"/>
          <w:highlight w:val="none"/>
        </w:rPr>
      </w:pPr>
      <w:r>
        <w:rPr>
          <w:rFonts w:hint="eastAsia"/>
          <w:color w:val="auto"/>
          <w:sz w:val="24"/>
          <w:szCs w:val="24"/>
          <w:highlight w:val="none"/>
          <w:lang w:val="en-US" w:eastAsia="zh-CN"/>
        </w:rPr>
        <w:t>2.6、</w:t>
      </w:r>
      <w:r>
        <w:rPr>
          <w:rFonts w:hint="eastAsia" w:ascii="宋体" w:hAnsi="宋体" w:eastAsia="宋体" w:cs="宋体"/>
          <w:bCs/>
          <w:color w:val="auto"/>
          <w:sz w:val="24"/>
          <w:szCs w:val="24"/>
          <w:highlight w:val="none"/>
        </w:rPr>
        <w:t>▲</w:t>
      </w:r>
      <w:r>
        <w:rPr>
          <w:rFonts w:hint="eastAsia"/>
          <w:color w:val="auto"/>
          <w:sz w:val="24"/>
          <w:szCs w:val="24"/>
          <w:highlight w:val="none"/>
        </w:rPr>
        <w:t>4m</w:t>
      </w:r>
      <w:r>
        <w:rPr>
          <w:rFonts w:hint="eastAsia"/>
          <w:color w:val="auto"/>
          <w:sz w:val="24"/>
          <w:szCs w:val="24"/>
          <w:highlight w:val="none"/>
          <w:lang w:val="en-US" w:eastAsia="zh-CN"/>
        </w:rPr>
        <w:t>m</w:t>
      </w:r>
      <w:r>
        <w:rPr>
          <w:rFonts w:hint="eastAsia"/>
          <w:color w:val="auto"/>
          <w:sz w:val="24"/>
          <w:szCs w:val="24"/>
          <w:highlight w:val="none"/>
          <w:vertAlign w:val="superscript"/>
          <w:lang w:val="en-US" w:eastAsia="zh-CN"/>
        </w:rPr>
        <w:t>2</w:t>
      </w:r>
      <w:r>
        <w:rPr>
          <w:rFonts w:hint="eastAsia"/>
          <w:color w:val="auto"/>
          <w:sz w:val="24"/>
          <w:szCs w:val="24"/>
          <w:highlight w:val="none"/>
        </w:rPr>
        <w:t>及以下导线实际长度与包装标注长度误差不超过1</w:t>
      </w:r>
      <w:r>
        <w:rPr>
          <w:rFonts w:hint="eastAsia"/>
          <w:color w:val="auto"/>
          <w:sz w:val="24"/>
          <w:szCs w:val="24"/>
          <w:highlight w:val="none"/>
          <w:lang w:val="en-US" w:eastAsia="zh-CN"/>
        </w:rPr>
        <w:t>%</w:t>
      </w:r>
      <w:r>
        <w:rPr>
          <w:rFonts w:hint="eastAsia"/>
          <w:color w:val="auto"/>
          <w:sz w:val="24"/>
          <w:szCs w:val="24"/>
          <w:highlight w:val="none"/>
        </w:rPr>
        <w:t>且不得是负</w:t>
      </w:r>
      <w:r>
        <w:rPr>
          <w:rFonts w:hint="eastAsia"/>
          <w:color w:val="auto"/>
          <w:sz w:val="24"/>
          <w:szCs w:val="24"/>
          <w:highlight w:val="none"/>
          <w:lang w:val="en-US" w:eastAsia="zh-CN"/>
        </w:rPr>
        <w:t>误</w:t>
      </w:r>
      <w:r>
        <w:rPr>
          <w:rFonts w:hint="eastAsia"/>
          <w:color w:val="auto"/>
          <w:sz w:val="24"/>
          <w:szCs w:val="24"/>
          <w:highlight w:val="none"/>
        </w:rPr>
        <w:t>差，4m</w:t>
      </w:r>
      <w:r>
        <w:rPr>
          <w:rFonts w:hint="eastAsia"/>
          <w:color w:val="auto"/>
          <w:sz w:val="24"/>
          <w:szCs w:val="24"/>
          <w:highlight w:val="none"/>
          <w:lang w:val="en-US" w:eastAsia="zh-CN"/>
        </w:rPr>
        <w:t>m</w:t>
      </w:r>
      <w:r>
        <w:rPr>
          <w:rFonts w:hint="eastAsia"/>
          <w:color w:val="auto"/>
          <w:sz w:val="24"/>
          <w:szCs w:val="24"/>
          <w:highlight w:val="none"/>
          <w:vertAlign w:val="superscript"/>
          <w:lang w:val="en-US" w:eastAsia="zh-CN"/>
        </w:rPr>
        <w:t>2</w:t>
      </w:r>
      <w:r>
        <w:rPr>
          <w:rFonts w:hint="eastAsia"/>
          <w:color w:val="auto"/>
          <w:sz w:val="24"/>
          <w:szCs w:val="24"/>
          <w:highlight w:val="none"/>
        </w:rPr>
        <w:t>以上导线实际长度与包装标注长度必须一致。</w:t>
      </w:r>
    </w:p>
    <w:p>
      <w:pPr>
        <w:spacing w:line="360" w:lineRule="auto"/>
        <w:rPr>
          <w:rFonts w:hint="eastAsia"/>
          <w:color w:val="auto"/>
          <w:sz w:val="24"/>
          <w:szCs w:val="24"/>
          <w:highlight w:val="none"/>
        </w:rPr>
      </w:pPr>
      <w:r>
        <w:rPr>
          <w:rFonts w:hint="eastAsia"/>
          <w:color w:val="auto"/>
          <w:sz w:val="24"/>
          <w:szCs w:val="24"/>
          <w:highlight w:val="none"/>
          <w:lang w:val="en-US" w:eastAsia="zh-CN"/>
        </w:rPr>
        <w:t>2.7、</w:t>
      </w:r>
      <w:r>
        <w:rPr>
          <w:rFonts w:hint="eastAsia"/>
          <w:color w:val="auto"/>
          <w:sz w:val="24"/>
          <w:szCs w:val="24"/>
          <w:highlight w:val="none"/>
        </w:rPr>
        <w:t>每盘电线均应附有合格证</w:t>
      </w:r>
      <w:r>
        <w:rPr>
          <w:rFonts w:hint="eastAsia"/>
          <w:color w:val="auto"/>
          <w:sz w:val="24"/>
          <w:szCs w:val="24"/>
          <w:highlight w:val="none"/>
          <w:lang w:eastAsia="zh-CN"/>
        </w:rPr>
        <w:t>；</w:t>
      </w:r>
      <w:r>
        <w:rPr>
          <w:rFonts w:hint="eastAsia"/>
          <w:color w:val="auto"/>
          <w:sz w:val="24"/>
          <w:szCs w:val="24"/>
          <w:highlight w:val="none"/>
        </w:rPr>
        <w:t>电缆全部盘在电缆盘上，电缆盘上清楚标明厂家、电缆型号规格、电压等级、毛重、生产日期、长度。</w:t>
      </w:r>
    </w:p>
    <w:p>
      <w:pPr>
        <w:spacing w:line="360" w:lineRule="auto"/>
        <w:rPr>
          <w:rFonts w:hint="eastAsia"/>
          <w:color w:val="auto"/>
          <w:sz w:val="24"/>
          <w:szCs w:val="24"/>
          <w:highlight w:val="none"/>
        </w:rPr>
      </w:pPr>
      <w:r>
        <w:rPr>
          <w:rFonts w:hint="eastAsia"/>
          <w:color w:val="auto"/>
          <w:sz w:val="24"/>
          <w:szCs w:val="24"/>
          <w:highlight w:val="none"/>
          <w:lang w:val="en-US" w:eastAsia="zh-CN"/>
        </w:rPr>
        <w:t>2.8、</w:t>
      </w:r>
      <w:r>
        <w:rPr>
          <w:rFonts w:hint="eastAsia"/>
          <w:color w:val="auto"/>
          <w:sz w:val="24"/>
          <w:szCs w:val="24"/>
          <w:highlight w:val="none"/>
        </w:rPr>
        <w:t>成品电缆的护套表面应有生产厂家、电缆型号、额定电压、米数等连续标记，标记应字迹清晰、容易辨认、耐擦。</w:t>
      </w:r>
    </w:p>
    <w:p>
      <w:pPr>
        <w:spacing w:line="360" w:lineRule="auto"/>
        <w:rPr>
          <w:rFonts w:hint="eastAsia"/>
          <w:color w:val="auto"/>
          <w:sz w:val="24"/>
          <w:szCs w:val="24"/>
          <w:highlight w:val="none"/>
        </w:rPr>
      </w:pPr>
      <w:r>
        <w:rPr>
          <w:rFonts w:hint="eastAsia"/>
          <w:color w:val="auto"/>
          <w:sz w:val="24"/>
          <w:szCs w:val="24"/>
          <w:highlight w:val="none"/>
          <w:lang w:val="en-US" w:eastAsia="zh-CN"/>
        </w:rPr>
        <w:t>2.9、</w:t>
      </w:r>
      <w:r>
        <w:rPr>
          <w:rFonts w:hint="eastAsia"/>
          <w:color w:val="auto"/>
          <w:sz w:val="24"/>
          <w:szCs w:val="24"/>
          <w:highlight w:val="none"/>
        </w:rPr>
        <w:t>厂家所选用的原材料必须是国家认可的合格、优质原材料，铜材必须是由国</w:t>
      </w:r>
      <w:r>
        <w:rPr>
          <w:rFonts w:hint="eastAsia"/>
          <w:color w:val="auto"/>
          <w:sz w:val="24"/>
          <w:szCs w:val="24"/>
          <w:highlight w:val="none"/>
          <w:lang w:val="en-US" w:eastAsia="zh-CN"/>
        </w:rPr>
        <w:t>家规</w:t>
      </w:r>
      <w:r>
        <w:rPr>
          <w:rFonts w:hint="eastAsia"/>
          <w:color w:val="auto"/>
          <w:sz w:val="24"/>
          <w:szCs w:val="24"/>
          <w:highlight w:val="none"/>
        </w:rPr>
        <w:t>定的正规</w:t>
      </w:r>
      <w:r>
        <w:rPr>
          <w:rFonts w:hint="eastAsia"/>
          <w:color w:val="auto"/>
          <w:sz w:val="24"/>
          <w:szCs w:val="24"/>
          <w:highlight w:val="none"/>
          <w:lang w:val="en-US" w:eastAsia="zh-CN"/>
        </w:rPr>
        <w:t>渠</w:t>
      </w:r>
      <w:r>
        <w:rPr>
          <w:rFonts w:hint="eastAsia"/>
          <w:color w:val="auto"/>
          <w:sz w:val="24"/>
          <w:szCs w:val="24"/>
          <w:highlight w:val="none"/>
        </w:rPr>
        <w:t>道采购的优质电解</w:t>
      </w:r>
      <w:r>
        <w:rPr>
          <w:rFonts w:hint="eastAsia"/>
          <w:color w:val="auto"/>
          <w:sz w:val="24"/>
          <w:szCs w:val="24"/>
          <w:highlight w:val="none"/>
          <w:lang w:val="en-US" w:eastAsia="zh-CN"/>
        </w:rPr>
        <w:t>铜</w:t>
      </w:r>
      <w:r>
        <w:rPr>
          <w:rFonts w:hint="eastAsia"/>
          <w:color w:val="auto"/>
          <w:sz w:val="24"/>
          <w:szCs w:val="24"/>
          <w:highlight w:val="none"/>
          <w:lang w:eastAsia="zh-CN"/>
        </w:rPr>
        <w:t>，</w:t>
      </w:r>
      <w:r>
        <w:rPr>
          <w:rFonts w:hint="eastAsia"/>
          <w:color w:val="auto"/>
          <w:sz w:val="24"/>
          <w:szCs w:val="24"/>
          <w:highlight w:val="none"/>
          <w:lang w:val="en-US" w:eastAsia="zh-CN"/>
        </w:rPr>
        <w:t>铜材纯度达到99.9%或以上；</w:t>
      </w:r>
      <w:r>
        <w:rPr>
          <w:rFonts w:hint="eastAsia"/>
          <w:color w:val="auto"/>
          <w:sz w:val="24"/>
          <w:szCs w:val="24"/>
          <w:highlight w:val="none"/>
        </w:rPr>
        <w:t>其他绝缘材料</w:t>
      </w:r>
      <w:r>
        <w:rPr>
          <w:rFonts w:hint="eastAsia"/>
          <w:color w:val="auto"/>
          <w:sz w:val="24"/>
          <w:szCs w:val="24"/>
          <w:highlight w:val="none"/>
          <w:lang w:eastAsia="zh-CN"/>
        </w:rPr>
        <w:t>、</w:t>
      </w:r>
      <w:r>
        <w:rPr>
          <w:rFonts w:hint="eastAsia"/>
          <w:color w:val="auto"/>
          <w:sz w:val="24"/>
          <w:szCs w:val="24"/>
          <w:highlight w:val="none"/>
        </w:rPr>
        <w:t>护套材料、填充物等必须使用国家认可的产品。</w:t>
      </w:r>
    </w:p>
    <w:p>
      <w:pPr>
        <w:widowControl/>
        <w:spacing w:line="360" w:lineRule="auto"/>
        <w:ind w:firstLine="0" w:firstLineChars="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三</w:t>
      </w:r>
      <w:r>
        <w:rPr>
          <w:rFonts w:hint="eastAsia" w:ascii="宋体" w:hAnsi="宋体" w:eastAsia="宋体" w:cs="宋体"/>
          <w:color w:val="auto"/>
          <w:sz w:val="24"/>
          <w:szCs w:val="24"/>
          <w:highlight w:val="none"/>
          <w:lang w:eastAsia="zh-CN"/>
        </w:rPr>
        <w:t>、样品要求</w:t>
      </w:r>
    </w:p>
    <w:p>
      <w:pPr>
        <w:widowControl/>
        <w:spacing w:line="360" w:lineRule="auto"/>
        <w:ind w:firstLine="0" w:firstLineChars="0"/>
        <w:rPr>
          <w:rFonts w:hint="eastAsia"/>
          <w:color w:val="auto"/>
          <w:highlight w:val="none"/>
          <w:lang w:eastAsia="zh-CN"/>
        </w:rPr>
      </w:pPr>
      <w:r>
        <w:rPr>
          <w:rFonts w:hint="eastAsia" w:ascii="宋体" w:hAnsi="宋体" w:cs="宋体"/>
          <w:color w:val="auto"/>
          <w:sz w:val="24"/>
          <w:szCs w:val="24"/>
          <w:highlight w:val="none"/>
          <w:lang w:eastAsia="zh-CN"/>
        </w:rPr>
        <w:t>（一）</w:t>
      </w:r>
      <w:r>
        <w:rPr>
          <w:rFonts w:hint="eastAsia" w:ascii="宋体" w:hAnsi="宋体" w:eastAsia="宋体" w:cs="宋体"/>
          <w:color w:val="auto"/>
          <w:sz w:val="24"/>
          <w:szCs w:val="24"/>
          <w:highlight w:val="none"/>
          <w:lang w:eastAsia="zh-CN"/>
        </w:rPr>
        <w:t>送样品目和数量：</w:t>
      </w:r>
    </w:p>
    <w:tbl>
      <w:tblPr>
        <w:tblStyle w:val="2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6999"/>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0" w:type="auto"/>
          </w:tcPr>
          <w:p>
            <w:pPr>
              <w:pStyle w:val="2"/>
              <w:spacing w:line="360" w:lineRule="auto"/>
              <w:rPr>
                <w:rFonts w:hint="eastAsia" w:ascii="宋体" w:hAnsi="宋体" w:cs="宋体" w:eastAsiaTheme="minorEastAsia"/>
                <w:bCs/>
                <w:color w:val="auto"/>
                <w:szCs w:val="24"/>
                <w:highlight w:val="none"/>
                <w:lang w:val="en-US" w:eastAsia="zh-CN"/>
              </w:rPr>
            </w:pPr>
            <w:r>
              <w:rPr>
                <w:rFonts w:hint="eastAsia" w:ascii="宋体" w:hAnsi="宋体" w:cs="宋体"/>
                <w:bCs/>
                <w:color w:val="auto"/>
                <w:szCs w:val="24"/>
                <w:highlight w:val="none"/>
                <w:lang w:val="en-US" w:eastAsia="zh-CN"/>
              </w:rPr>
              <w:t>1</w:t>
            </w:r>
          </w:p>
        </w:tc>
        <w:tc>
          <w:tcPr>
            <w:tcW w:w="6999" w:type="dxa"/>
            <w:vAlign w:val="center"/>
          </w:tcPr>
          <w:p>
            <w:pPr>
              <w:rPr>
                <w:rFonts w:hint="eastAsia" w:ascii="宋体" w:hAnsi="宋体" w:cs="宋体"/>
                <w:bCs/>
                <w:color w:val="auto"/>
                <w:szCs w:val="24"/>
                <w:highlight w:val="none"/>
                <w:vertAlign w:val="baseline"/>
              </w:rPr>
            </w:pPr>
            <w:r>
              <w:rPr>
                <w:rFonts w:hint="default"/>
                <w:color w:val="auto"/>
                <w:sz w:val="24"/>
                <w:szCs w:val="24"/>
                <w:highlight w:val="none"/>
                <w:lang w:val="en-US" w:eastAsia="zh-CN"/>
              </w:rPr>
              <w:t>VV22  0.6/1KV  5*25mm² 铜芯电力电缆</w:t>
            </w:r>
          </w:p>
        </w:tc>
        <w:tc>
          <w:tcPr>
            <w:tcW w:w="0" w:type="auto"/>
          </w:tcPr>
          <w:p>
            <w:pPr>
              <w:spacing w:line="360" w:lineRule="auto"/>
              <w:jc w:val="center"/>
              <w:rPr>
                <w:rFonts w:hint="eastAsia" w:ascii="宋体" w:hAnsi="宋体" w:eastAsia="宋体" w:cs="宋体"/>
                <w:bCs/>
                <w:color w:val="auto"/>
                <w:szCs w:val="24"/>
                <w:highlight w:val="none"/>
                <w:vertAlign w:val="baseline"/>
                <w:lang w:val="en-US" w:eastAsia="zh-CN"/>
              </w:rPr>
            </w:pPr>
            <w:r>
              <w:rPr>
                <w:rFonts w:hint="eastAsia" w:ascii="宋体" w:hAnsi="宋体" w:cs="宋体"/>
                <w:bCs/>
                <w:color w:val="auto"/>
                <w:szCs w:val="24"/>
                <w:highlight w:val="none"/>
              </w:rPr>
              <w:t>1</w:t>
            </w:r>
            <w:r>
              <w:rPr>
                <w:rFonts w:hint="eastAsia" w:ascii="宋体" w:hAnsi="宋体" w:cs="宋体"/>
                <w:bCs/>
                <w:color w:val="auto"/>
                <w:szCs w:val="24"/>
                <w:highlight w:val="none"/>
                <w:lang w:eastAsia="zh-CN"/>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0" w:type="auto"/>
          </w:tcPr>
          <w:p>
            <w:pPr>
              <w:pStyle w:val="2"/>
              <w:spacing w:line="360" w:lineRule="auto"/>
              <w:rPr>
                <w:rFonts w:hint="eastAsia" w:ascii="宋体" w:hAnsi="宋体" w:cs="宋体" w:eastAsiaTheme="minorEastAsia"/>
                <w:bCs/>
                <w:color w:val="auto"/>
                <w:szCs w:val="24"/>
                <w:highlight w:val="none"/>
                <w:lang w:val="en-US" w:eastAsia="zh-CN"/>
              </w:rPr>
            </w:pPr>
            <w:r>
              <w:rPr>
                <w:rFonts w:hint="eastAsia" w:ascii="宋体" w:hAnsi="宋体" w:cs="宋体"/>
                <w:bCs/>
                <w:color w:val="auto"/>
                <w:szCs w:val="24"/>
                <w:highlight w:val="none"/>
                <w:lang w:val="en-US" w:eastAsia="zh-CN"/>
              </w:rPr>
              <w:t>2</w:t>
            </w:r>
          </w:p>
        </w:tc>
        <w:tc>
          <w:tcPr>
            <w:tcW w:w="6999" w:type="dxa"/>
            <w:vAlign w:val="center"/>
          </w:tcPr>
          <w:p>
            <w:pPr>
              <w:rPr>
                <w:rFonts w:hint="eastAsia" w:ascii="宋体" w:hAnsi="宋体" w:cs="宋体"/>
                <w:bCs/>
                <w:color w:val="auto"/>
                <w:szCs w:val="24"/>
                <w:highlight w:val="none"/>
                <w:vertAlign w:val="baseline"/>
              </w:rPr>
            </w:pPr>
            <w:r>
              <w:rPr>
                <w:rFonts w:hint="default"/>
                <w:color w:val="auto"/>
                <w:sz w:val="24"/>
                <w:szCs w:val="24"/>
                <w:highlight w:val="none"/>
                <w:lang w:val="en-US" w:eastAsia="zh-CN"/>
              </w:rPr>
              <w:t>VV22  0.6/1KV  5*16mm² 铜芯电力电缆</w:t>
            </w:r>
          </w:p>
        </w:tc>
        <w:tc>
          <w:tcPr>
            <w:tcW w:w="0" w:type="auto"/>
          </w:tcPr>
          <w:p>
            <w:pPr>
              <w:spacing w:line="360" w:lineRule="auto"/>
              <w:jc w:val="center"/>
              <w:rPr>
                <w:rFonts w:hint="eastAsia" w:ascii="宋体" w:hAnsi="宋体" w:cs="宋体"/>
                <w:bCs/>
                <w:color w:val="auto"/>
                <w:szCs w:val="24"/>
                <w:highlight w:val="none"/>
                <w:vertAlign w:val="baseline"/>
              </w:rPr>
            </w:pPr>
            <w:r>
              <w:rPr>
                <w:rFonts w:hint="eastAsia" w:ascii="宋体" w:hAnsi="宋体" w:cs="宋体"/>
                <w:bCs/>
                <w:color w:val="auto"/>
                <w:szCs w:val="24"/>
                <w:highlight w:val="none"/>
              </w:rPr>
              <w:t>1</w:t>
            </w:r>
            <w:r>
              <w:rPr>
                <w:rFonts w:hint="eastAsia" w:ascii="宋体" w:hAnsi="宋体" w:cs="宋体"/>
                <w:bCs/>
                <w:color w:val="auto"/>
                <w:szCs w:val="24"/>
                <w:highlight w:val="none"/>
                <w:lang w:eastAsia="zh-CN"/>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0" w:type="auto"/>
          </w:tcPr>
          <w:p>
            <w:pPr>
              <w:pStyle w:val="2"/>
              <w:spacing w:line="360" w:lineRule="auto"/>
              <w:rPr>
                <w:rFonts w:hint="eastAsia" w:ascii="宋体" w:hAnsi="宋体" w:cs="宋体" w:eastAsiaTheme="minorEastAsia"/>
                <w:bCs/>
                <w:color w:val="auto"/>
                <w:szCs w:val="24"/>
                <w:highlight w:val="none"/>
                <w:lang w:val="en-US" w:eastAsia="zh-CN"/>
              </w:rPr>
            </w:pPr>
            <w:r>
              <w:rPr>
                <w:rFonts w:hint="eastAsia" w:ascii="宋体" w:hAnsi="宋体" w:cs="宋体"/>
                <w:bCs/>
                <w:color w:val="auto"/>
                <w:szCs w:val="24"/>
                <w:highlight w:val="none"/>
                <w:lang w:val="en-US" w:eastAsia="zh-CN"/>
              </w:rPr>
              <w:t>3</w:t>
            </w:r>
          </w:p>
        </w:tc>
        <w:tc>
          <w:tcPr>
            <w:tcW w:w="6999" w:type="dxa"/>
            <w:vAlign w:val="center"/>
          </w:tcPr>
          <w:p>
            <w:pPr>
              <w:rPr>
                <w:rFonts w:hint="eastAsia" w:ascii="宋体" w:hAnsi="宋体" w:cs="宋体"/>
                <w:bCs/>
                <w:color w:val="auto"/>
                <w:szCs w:val="24"/>
                <w:highlight w:val="none"/>
                <w:vertAlign w:val="baseline"/>
              </w:rPr>
            </w:pPr>
            <w:r>
              <w:rPr>
                <w:rFonts w:hint="default"/>
                <w:color w:val="auto"/>
                <w:sz w:val="24"/>
                <w:szCs w:val="24"/>
                <w:highlight w:val="none"/>
                <w:lang w:val="en-US" w:eastAsia="zh-CN"/>
              </w:rPr>
              <w:t>2*2.5mm²BVVB铜芯聚氯乙烯绝缘聚氯乙烯护套电缆</w:t>
            </w:r>
          </w:p>
        </w:tc>
        <w:tc>
          <w:tcPr>
            <w:tcW w:w="0" w:type="auto"/>
          </w:tcPr>
          <w:p>
            <w:pPr>
              <w:spacing w:line="360" w:lineRule="auto"/>
              <w:jc w:val="center"/>
              <w:rPr>
                <w:rFonts w:hint="eastAsia" w:ascii="宋体" w:hAnsi="宋体" w:cs="宋体" w:eastAsiaTheme="minorEastAsia"/>
                <w:bCs/>
                <w:color w:val="auto"/>
                <w:szCs w:val="24"/>
                <w:highlight w:val="none"/>
                <w:vertAlign w:val="baseline"/>
                <w:lang w:val="en-US" w:eastAsia="zh-CN"/>
              </w:rPr>
            </w:pPr>
            <w:r>
              <w:rPr>
                <w:rFonts w:hint="eastAsia" w:ascii="宋体" w:hAnsi="宋体" w:cs="宋体"/>
                <w:bCs/>
                <w:color w:val="auto"/>
                <w:szCs w:val="24"/>
                <w:highlight w:val="none"/>
              </w:rPr>
              <w:t>1</w:t>
            </w:r>
            <w:r>
              <w:rPr>
                <w:rFonts w:hint="eastAsia" w:ascii="宋体" w:hAnsi="宋体" w:cs="宋体"/>
                <w:bCs/>
                <w:color w:val="auto"/>
                <w:szCs w:val="24"/>
                <w:highlight w:val="none"/>
                <w:lang w:eastAsia="zh-CN"/>
              </w:rPr>
              <w:t>米</w:t>
            </w:r>
          </w:p>
        </w:tc>
      </w:tr>
    </w:tbl>
    <w:p>
      <w:pPr>
        <w:numPr>
          <w:ilvl w:val="0"/>
          <w:numId w:val="9"/>
        </w:numPr>
        <w:spacing w:line="360" w:lineRule="auto"/>
        <w:ind w:left="240" w:hanging="240" w:hangingChars="100"/>
        <w:rPr>
          <w:rFonts w:hint="eastAsia"/>
          <w:color w:val="auto"/>
          <w:sz w:val="24"/>
          <w:szCs w:val="24"/>
          <w:highlight w:val="none"/>
          <w:lang w:val="en-US" w:eastAsia="zh-CN"/>
        </w:rPr>
      </w:pPr>
      <w:r>
        <w:rPr>
          <w:rFonts w:hint="eastAsia"/>
          <w:color w:val="auto"/>
          <w:sz w:val="24"/>
          <w:szCs w:val="24"/>
          <w:highlight w:val="none"/>
          <w:lang w:val="en-US" w:eastAsia="zh-CN"/>
        </w:rPr>
        <w:t xml:space="preserve">、送样时间:投标人应在开标当日开标截至时间前将样品送至送样地点。 </w:t>
      </w:r>
    </w:p>
    <w:p>
      <w:pPr>
        <w:numPr>
          <w:ilvl w:val="0"/>
          <w:numId w:val="9"/>
        </w:numPr>
        <w:spacing w:line="360" w:lineRule="auto"/>
        <w:ind w:left="240" w:hanging="240" w:hangingChars="100"/>
        <w:rPr>
          <w:rFonts w:hint="eastAsia"/>
          <w:color w:val="auto"/>
          <w:sz w:val="24"/>
          <w:szCs w:val="24"/>
          <w:highlight w:val="none"/>
          <w:lang w:val="en-US" w:eastAsia="zh-CN"/>
        </w:rPr>
      </w:pPr>
      <w:r>
        <w:rPr>
          <w:rFonts w:hint="eastAsia"/>
          <w:color w:val="auto"/>
          <w:sz w:val="24"/>
          <w:szCs w:val="24"/>
          <w:highlight w:val="none"/>
          <w:lang w:val="en-US" w:eastAsia="zh-CN"/>
        </w:rPr>
        <w:t>、送样地点</w:t>
      </w:r>
    </w:p>
    <w:p>
      <w:pPr>
        <w:spacing w:line="360" w:lineRule="auto"/>
        <w:ind w:firstLine="240" w:firstLineChars="100"/>
        <w:rPr>
          <w:rFonts w:hint="default"/>
          <w:color w:val="auto"/>
          <w:sz w:val="24"/>
          <w:szCs w:val="24"/>
          <w:highlight w:val="none"/>
          <w:lang w:val="en-US" w:eastAsia="zh-CN"/>
        </w:rPr>
      </w:pPr>
      <w:r>
        <w:rPr>
          <w:rFonts w:hint="eastAsia"/>
          <w:color w:val="auto"/>
          <w:sz w:val="24"/>
          <w:szCs w:val="24"/>
          <w:highlight w:val="none"/>
          <w:lang w:val="en-US" w:eastAsia="zh-CN"/>
        </w:rPr>
        <w:t xml:space="preserve">送样地点：成都市龙泉驿区桃都大道吾悦广场写字楼2008室（成都云辉工程项目管理有限公司） </w:t>
      </w:r>
    </w:p>
    <w:p>
      <w:pPr>
        <w:numPr>
          <w:ilvl w:val="0"/>
          <w:numId w:val="0"/>
        </w:numPr>
        <w:spacing w:line="360" w:lineRule="auto"/>
        <w:ind w:leftChars="0"/>
        <w:rPr>
          <w:rFonts w:hint="eastAsia"/>
          <w:color w:val="auto"/>
          <w:sz w:val="24"/>
          <w:szCs w:val="24"/>
          <w:highlight w:val="none"/>
          <w:lang w:val="en-US" w:eastAsia="zh-CN"/>
        </w:rPr>
      </w:pPr>
      <w:r>
        <w:rPr>
          <w:rFonts w:hint="eastAsia"/>
          <w:color w:val="auto"/>
          <w:sz w:val="24"/>
          <w:szCs w:val="24"/>
          <w:highlight w:val="none"/>
          <w:lang w:val="en-US" w:eastAsia="zh-CN"/>
        </w:rPr>
        <w:t>（四）、样品的接收、保管、编号和退还</w:t>
      </w:r>
    </w:p>
    <w:p>
      <w:pPr>
        <w:numPr>
          <w:ilvl w:val="0"/>
          <w:numId w:val="10"/>
        </w:numPr>
        <w:spacing w:line="360" w:lineRule="auto"/>
        <w:ind w:leftChars="0"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样品由专人负责统一接收、保管、编号和退还。</w:t>
      </w:r>
    </w:p>
    <w:p>
      <w:pPr>
        <w:numPr>
          <w:ilvl w:val="0"/>
          <w:numId w:val="10"/>
        </w:numPr>
        <w:spacing w:line="360" w:lineRule="auto"/>
        <w:ind w:leftChars="0"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 xml:space="preserve">所有供应商提供的样品将在评审结束后由采购人进行封存。 </w:t>
      </w:r>
    </w:p>
    <w:p>
      <w:pPr>
        <w:numPr>
          <w:ilvl w:val="0"/>
          <w:numId w:val="10"/>
        </w:numPr>
        <w:spacing w:line="360" w:lineRule="auto"/>
        <w:ind w:leftChars="0"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样品退还:未中标的供应商提供的样品，应在采购项目中标结果公示后</w:t>
      </w:r>
    </w:p>
    <w:p>
      <w:pPr>
        <w:spacing w:line="360" w:lineRule="auto"/>
        <w:rPr>
          <w:rFonts w:hint="eastAsia"/>
          <w:color w:val="auto"/>
          <w:sz w:val="24"/>
          <w:szCs w:val="24"/>
          <w:highlight w:val="none"/>
          <w:lang w:val="en-US" w:eastAsia="zh-CN"/>
        </w:rPr>
      </w:pPr>
      <w:r>
        <w:rPr>
          <w:rFonts w:hint="eastAsia"/>
          <w:color w:val="auto"/>
          <w:sz w:val="24"/>
          <w:szCs w:val="24"/>
          <w:highlight w:val="none"/>
          <w:lang w:val="en-US" w:eastAsia="zh-CN"/>
        </w:rPr>
        <w:t>及时到采购代理机构处领取;中标供应商的样品应在合同履行并验收完毕后到采购 人处领取。</w:t>
      </w:r>
    </w:p>
    <w:p>
      <w:pPr>
        <w:spacing w:line="360" w:lineRule="auto"/>
        <w:rPr>
          <w:rFonts w:hint="eastAsia"/>
          <w:color w:val="auto"/>
          <w:sz w:val="24"/>
          <w:szCs w:val="24"/>
          <w:highlight w:val="none"/>
          <w:lang w:val="en-US" w:eastAsia="zh-CN"/>
        </w:rPr>
      </w:pPr>
      <w:r>
        <w:rPr>
          <w:rFonts w:hint="eastAsia"/>
          <w:color w:val="auto"/>
          <w:sz w:val="24"/>
          <w:szCs w:val="24"/>
          <w:highlight w:val="none"/>
          <w:lang w:val="en-US" w:eastAsia="zh-CN"/>
        </w:rPr>
        <w:t>（五）、其他</w:t>
      </w:r>
    </w:p>
    <w:p>
      <w:pPr>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1、样品不能有供应商的标识，如有供应商标识，则样品不参与样品评审，对应 样品评审项得分为 0 分。</w:t>
      </w:r>
    </w:p>
    <w:p>
      <w:pPr>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2、样品作为评审打分的依据，未按招标文件要求提供样品的，对应评审项得 0 分，但不影响其投标文件承诺内容的有效性。</w:t>
      </w:r>
    </w:p>
    <w:p>
      <w:pPr>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3、中标供应商提供的样品将由采购人保管，并作为项目验收依据的一部分。中 标供应商最终提供的货物外观质量、制作工艺等不得低于样品的相关标准,且完全满 足合同约定对货物的要求和标准。</w:t>
      </w:r>
    </w:p>
    <w:p>
      <w:pPr>
        <w:pStyle w:val="2"/>
        <w:rPr>
          <w:rFonts w:hint="eastAsia"/>
          <w:color w:val="auto"/>
          <w:highlight w:val="none"/>
          <w:lang w:val="en-US" w:eastAsia="zh-CN"/>
        </w:rPr>
      </w:pPr>
      <w:r>
        <w:rPr>
          <w:rFonts w:hint="eastAsia"/>
          <w:color w:val="auto"/>
          <w:sz w:val="24"/>
          <w:szCs w:val="24"/>
          <w:highlight w:val="none"/>
          <w:lang w:val="en-US" w:eastAsia="zh-CN"/>
        </w:rPr>
        <w:t>四、价格要求</w:t>
      </w:r>
      <w:r>
        <w:rPr>
          <w:rFonts w:hint="eastAsia"/>
          <w:b/>
          <w:bCs/>
          <w:color w:val="auto"/>
          <w:sz w:val="24"/>
          <w:szCs w:val="24"/>
          <w:highlight w:val="none"/>
          <w:lang w:val="en-US" w:eastAsia="zh-CN"/>
        </w:rPr>
        <w:t>（实质性要求）</w:t>
      </w:r>
    </w:p>
    <w:p>
      <w:pPr>
        <w:pStyle w:val="2"/>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材料控制价按照上海金属网电解铜期货铜价74800元/吨询价核定。期货铜价未超过5%的涨跌，按中标价执行。若期货铜价超过5%涨跌后，单价随铜期货价格价格涨跌执行，合同总金额不超过本包预算支付。材料单价根据合同签订之日的期货铜收市价格按比例调整单价和材料数量，最终付款金额不超过中标金额。（提供承诺函，中标后，在采购合同中体现此项要求。）</w:t>
      </w:r>
    </w:p>
    <w:p>
      <w:pPr>
        <w:pStyle w:val="4"/>
        <w:numPr>
          <w:ilvl w:val="0"/>
          <w:numId w:val="0"/>
        </w:numPr>
        <w:spacing w:line="360" w:lineRule="exact"/>
        <w:ind w:leftChars="0"/>
        <w:rPr>
          <w:rFonts w:hint="eastAsia" w:ascii="宋体" w:hAnsi="宋体" w:eastAsia="宋体" w:cs="仿宋"/>
          <w:color w:val="auto"/>
          <w:sz w:val="24"/>
          <w:szCs w:val="24"/>
          <w:highlight w:val="none"/>
          <w:lang w:val="en-US" w:eastAsia="zh-CN"/>
        </w:rPr>
      </w:pPr>
      <w:r>
        <w:rPr>
          <w:rFonts w:hint="eastAsia" w:ascii="宋体" w:hAnsi="宋体" w:eastAsia="宋体" w:cs="仿宋"/>
          <w:color w:val="auto"/>
          <w:sz w:val="24"/>
          <w:szCs w:val="24"/>
          <w:highlight w:val="none"/>
          <w:lang w:val="en-US" w:eastAsia="zh-CN"/>
        </w:rPr>
        <w:t>（二）2包：电器采购</w:t>
      </w:r>
    </w:p>
    <w:p>
      <w:pPr>
        <w:widowControl/>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一、</w:t>
      </w:r>
      <w:r>
        <w:rPr>
          <w:rFonts w:hint="eastAsia" w:ascii="宋体" w:hAnsi="宋体" w:eastAsia="宋体" w:cs="宋体"/>
          <w:color w:val="auto"/>
          <w:sz w:val="24"/>
          <w:szCs w:val="24"/>
          <w:highlight w:val="none"/>
        </w:rPr>
        <w:t>技术参数及要求</w:t>
      </w:r>
    </w:p>
    <w:tbl>
      <w:tblPr>
        <w:tblStyle w:val="22"/>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711"/>
        <w:gridCol w:w="4820"/>
        <w:gridCol w:w="1030"/>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27" w:type="dxa"/>
            <w:vAlign w:val="center"/>
          </w:tcPr>
          <w:p>
            <w:pPr>
              <w:widowControl/>
              <w:ind w:firstLine="0" w:firstLineChars="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序号</w:t>
            </w:r>
          </w:p>
        </w:tc>
        <w:tc>
          <w:tcPr>
            <w:tcW w:w="1711" w:type="dxa"/>
            <w:vAlign w:val="center"/>
          </w:tcPr>
          <w:p>
            <w:pPr>
              <w:widowControl/>
              <w:ind w:firstLine="0" w:firstLineChars="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产品名称</w:t>
            </w:r>
          </w:p>
        </w:tc>
        <w:tc>
          <w:tcPr>
            <w:tcW w:w="4820" w:type="dxa"/>
            <w:vAlign w:val="center"/>
          </w:tcPr>
          <w:p>
            <w:pPr>
              <w:widowControl/>
              <w:ind w:firstLine="0" w:firstLineChars="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技术参数</w:t>
            </w:r>
          </w:p>
        </w:tc>
        <w:tc>
          <w:tcPr>
            <w:tcW w:w="1030" w:type="dxa"/>
            <w:vAlign w:val="center"/>
          </w:tcPr>
          <w:p>
            <w:pPr>
              <w:widowControl/>
              <w:ind w:firstLine="0" w:firstLineChars="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数量</w:t>
            </w:r>
          </w:p>
        </w:tc>
        <w:tc>
          <w:tcPr>
            <w:tcW w:w="1030" w:type="dxa"/>
            <w:vAlign w:val="center"/>
          </w:tcPr>
          <w:p>
            <w:pPr>
              <w:widowControl/>
              <w:ind w:firstLine="0" w:firstLineChars="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jc w:val="center"/>
        </w:trPr>
        <w:tc>
          <w:tcPr>
            <w:tcW w:w="727" w:type="dxa"/>
            <w:vAlign w:val="center"/>
          </w:tcPr>
          <w:p>
            <w:pPr>
              <w:widowControl/>
              <w:ind w:firstLine="0" w:firstLineChars="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1711" w:type="dxa"/>
            <w:vAlign w:val="center"/>
          </w:tcPr>
          <w:p>
            <w:pPr>
              <w:widowControl/>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高光效250瓦高压钠灯灯泡</w:t>
            </w:r>
          </w:p>
        </w:tc>
        <w:tc>
          <w:tcPr>
            <w:tcW w:w="4820" w:type="dxa"/>
            <w:vAlign w:val="center"/>
          </w:tcPr>
          <w:p>
            <w:pPr>
              <w:pStyle w:val="62"/>
              <w:numPr>
                <w:ilvl w:val="0"/>
                <w:numId w:val="0"/>
              </w:num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功率：250W</w:t>
            </w:r>
          </w:p>
          <w:p>
            <w:pPr>
              <w:pStyle w:val="62"/>
              <w:numPr>
                <w:ilvl w:val="0"/>
                <w:numId w:val="0"/>
              </w:num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色温：2000K-2200K</w:t>
            </w:r>
          </w:p>
          <w:p>
            <w:pPr>
              <w:pStyle w:val="62"/>
              <w:numPr>
                <w:ilvl w:val="0"/>
                <w:numId w:val="0"/>
              </w:numP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t>光通量：≥33200LM</w:t>
            </w:r>
          </w:p>
          <w:p>
            <w:pPr>
              <w:pStyle w:val="62"/>
              <w:numPr>
                <w:ilvl w:val="0"/>
                <w:numId w:val="0"/>
              </w:numP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t>光效：≥133LM/W</w:t>
            </w:r>
          </w:p>
          <w:p>
            <w:pPr>
              <w:pStyle w:val="62"/>
              <w:numPr>
                <w:ilvl w:val="0"/>
                <w:numId w:val="0"/>
              </w:numP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t>寿命：≥32000h</w:t>
            </w:r>
          </w:p>
          <w:p>
            <w:pPr>
              <w:pStyle w:val="62"/>
              <w:numPr>
                <w:ilvl w:val="0"/>
                <w:numId w:val="0"/>
              </w:num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灯头：E40</w:t>
            </w:r>
          </w:p>
        </w:tc>
        <w:tc>
          <w:tcPr>
            <w:tcW w:w="1030"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1000支</w:t>
            </w:r>
          </w:p>
        </w:tc>
        <w:tc>
          <w:tcPr>
            <w:tcW w:w="1030" w:type="dxa"/>
            <w:vAlign w:val="center"/>
          </w:tcPr>
          <w:p>
            <w:pPr>
              <w:ind w:firstLine="0" w:firstLineChars="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727" w:type="dxa"/>
            <w:vAlign w:val="center"/>
          </w:tcPr>
          <w:p>
            <w:pPr>
              <w:widowControl/>
              <w:ind w:firstLine="0" w:firstLineChars="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p>
        </w:tc>
        <w:tc>
          <w:tcPr>
            <w:tcW w:w="1711" w:type="dxa"/>
            <w:vAlign w:val="center"/>
          </w:tcPr>
          <w:p>
            <w:pPr>
              <w:widowControl/>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（100~400瓦）钠灯配套触发器</w:t>
            </w:r>
          </w:p>
        </w:tc>
        <w:tc>
          <w:tcPr>
            <w:tcW w:w="4820" w:type="dxa"/>
            <w:vAlign w:val="center"/>
          </w:tcPr>
          <w:p>
            <w:pPr>
              <w:pStyle w:val="62"/>
              <w:numPr>
                <w:ilvl w:val="0"/>
                <w:numId w:val="0"/>
              </w:numP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安全标准：</w:t>
            </w:r>
          </w:p>
          <w:p>
            <w:pPr>
              <w:pStyle w:val="62"/>
              <w:numPr>
                <w:ilvl w:val="0"/>
                <w:numId w:val="0"/>
              </w:num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GB19510.1-200</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;GB19510.2-2005</w:t>
            </w:r>
          </w:p>
          <w:p>
            <w:pPr>
              <w:pStyle w:val="62"/>
              <w:numPr>
                <w:ilvl w:val="0"/>
                <w:numId w:val="0"/>
              </w:num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启动电压：185±15V</w:t>
            </w:r>
          </w:p>
          <w:p>
            <w:pPr>
              <w:pStyle w:val="62"/>
              <w:numPr>
                <w:ilvl w:val="0"/>
                <w:numId w:val="0"/>
              </w:num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关闭电压：≥170V</w:t>
            </w:r>
          </w:p>
          <w:p>
            <w:pPr>
              <w:pStyle w:val="62"/>
              <w:numPr>
                <w:ilvl w:val="0"/>
                <w:numId w:val="0"/>
              </w:num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脉冲电压：4.0-5.0KV</w:t>
            </w:r>
          </w:p>
          <w:p>
            <w:pPr>
              <w:pStyle w:val="62"/>
              <w:numPr>
                <w:ilvl w:val="0"/>
                <w:numId w:val="0"/>
              </w:num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最大工作电流：5A</w:t>
            </w:r>
          </w:p>
          <w:p>
            <w:pPr>
              <w:pStyle w:val="62"/>
              <w:numPr>
                <w:ilvl w:val="0"/>
                <w:numId w:val="0"/>
              </w:num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功率损耗：&lt;3W</w:t>
            </w:r>
          </w:p>
          <w:p>
            <w:pPr>
              <w:pStyle w:val="62"/>
              <w:numPr>
                <w:ilvl w:val="0"/>
                <w:numId w:val="0"/>
              </w:numP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7、环境工作温度：-40~70℃</w:t>
            </w:r>
          </w:p>
        </w:tc>
        <w:tc>
          <w:tcPr>
            <w:tcW w:w="1030"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1500个</w:t>
            </w:r>
          </w:p>
        </w:tc>
        <w:tc>
          <w:tcPr>
            <w:tcW w:w="1030" w:type="dxa"/>
            <w:vAlign w:val="center"/>
          </w:tcPr>
          <w:p>
            <w:pPr>
              <w:ind w:firstLine="0" w:firstLineChars="0"/>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3" w:hRule="atLeast"/>
          <w:jc w:val="center"/>
        </w:trPr>
        <w:tc>
          <w:tcPr>
            <w:tcW w:w="727" w:type="dxa"/>
            <w:vAlign w:val="center"/>
          </w:tcPr>
          <w:p>
            <w:pPr>
              <w:widowControl/>
              <w:ind w:firstLine="0" w:firstLineChars="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p>
        </w:tc>
        <w:tc>
          <w:tcPr>
            <w:tcW w:w="1711" w:type="dxa"/>
            <w:vAlign w:val="center"/>
          </w:tcPr>
          <w:p>
            <w:pPr>
              <w:widowControl/>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32υF钠灯配套电容</w:t>
            </w:r>
          </w:p>
        </w:tc>
        <w:tc>
          <w:tcPr>
            <w:tcW w:w="4820" w:type="dxa"/>
            <w:vAlign w:val="center"/>
          </w:tcPr>
          <w:p>
            <w:pPr>
              <w:pStyle w:val="62"/>
              <w:numPr>
                <w:ilvl w:val="0"/>
                <w:numId w:val="0"/>
              </w:num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安全标准：GB 18489-200</w:t>
            </w:r>
            <w:r>
              <w:rPr>
                <w:rFonts w:hint="eastAsia" w:ascii="宋体" w:hAnsi="宋体" w:eastAsia="宋体" w:cs="宋体"/>
                <w:color w:val="auto"/>
                <w:sz w:val="24"/>
                <w:szCs w:val="24"/>
                <w:highlight w:val="none"/>
                <w:lang w:val="en-US" w:eastAsia="zh-CN"/>
              </w:rPr>
              <w:t>8</w:t>
            </w:r>
          </w:p>
          <w:p>
            <w:pPr>
              <w:pStyle w:val="62"/>
              <w:numPr>
                <w:ilvl w:val="0"/>
                <w:numId w:val="0"/>
              </w:num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性能标准：GB/T 18504-2001</w:t>
            </w:r>
          </w:p>
          <w:p>
            <w:pPr>
              <w:pStyle w:val="62"/>
              <w:numPr>
                <w:ilvl w:val="0"/>
                <w:numId w:val="0"/>
              </w:num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电压电压：220V 50HZ</w:t>
            </w:r>
          </w:p>
          <w:p>
            <w:pPr>
              <w:pStyle w:val="62"/>
              <w:numPr>
                <w:ilvl w:val="0"/>
                <w:numId w:val="0"/>
              </w:num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电容误差量：±5%</w:t>
            </w:r>
          </w:p>
          <w:p>
            <w:pPr>
              <w:pStyle w:val="62"/>
              <w:numPr>
                <w:ilvl w:val="0"/>
                <w:numId w:val="0"/>
              </w:num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寿命：30000h</w:t>
            </w:r>
          </w:p>
          <w:p>
            <w:pPr>
              <w:pStyle w:val="62"/>
              <w:numPr>
                <w:ilvl w:val="0"/>
                <w:numId w:val="0"/>
              </w:num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内置防爆保险装置</w:t>
            </w:r>
          </w:p>
          <w:p>
            <w:pPr>
              <w:pStyle w:val="62"/>
              <w:numPr>
                <w:ilvl w:val="0"/>
                <w:numId w:val="0"/>
              </w:num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尺寸：高：8</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mm</w:t>
            </w:r>
          </w:p>
        </w:tc>
        <w:tc>
          <w:tcPr>
            <w:tcW w:w="1030"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1000个</w:t>
            </w:r>
          </w:p>
        </w:tc>
        <w:tc>
          <w:tcPr>
            <w:tcW w:w="1030" w:type="dxa"/>
            <w:vAlign w:val="center"/>
          </w:tcPr>
          <w:p>
            <w:pPr>
              <w:ind w:firstLine="0" w:firstLineChars="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0" w:hRule="atLeast"/>
          <w:jc w:val="center"/>
        </w:trPr>
        <w:tc>
          <w:tcPr>
            <w:tcW w:w="727" w:type="dxa"/>
            <w:vAlign w:val="center"/>
          </w:tcPr>
          <w:p>
            <w:pPr>
              <w:widowControl/>
              <w:ind w:firstLine="0" w:firstLineChars="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p>
        </w:tc>
        <w:tc>
          <w:tcPr>
            <w:tcW w:w="1711" w:type="dxa"/>
            <w:vAlign w:val="center"/>
          </w:tcPr>
          <w:p>
            <w:pPr>
              <w:widowControl/>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250w高压钠灯镇流器</w:t>
            </w:r>
          </w:p>
        </w:tc>
        <w:tc>
          <w:tcPr>
            <w:tcW w:w="4820" w:type="dxa"/>
            <w:vAlign w:val="center"/>
          </w:tcPr>
          <w:p>
            <w:pPr>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1、功率：250W</w:t>
            </w:r>
          </w:p>
          <w:p>
            <w:pPr>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2、工作电流：3A</w:t>
            </w:r>
          </w:p>
          <w:p>
            <w:pPr>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3、电源电压：220V±8%. 50HZ</w:t>
            </w:r>
          </w:p>
          <w:p>
            <w:pPr>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4、▲最高工作温度：tw=130℃</w:t>
            </w:r>
          </w:p>
          <w:p>
            <w:pPr>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5、▲过温保护温度：170℃</w:t>
            </w:r>
          </w:p>
          <w:p>
            <w:pPr>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6、▲线圈材质：铜</w:t>
            </w:r>
          </w:p>
          <w:p>
            <w:pPr>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7、▲温升：△t≤70K（工作于220V 50Hz）</w:t>
            </w:r>
          </w:p>
          <w:p>
            <w:pPr>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8、▲尺寸：长：1</w:t>
            </w:r>
            <w:r>
              <w:rPr>
                <w:rFonts w:hint="eastAsia" w:ascii="宋体" w:hAnsi="宋体" w:eastAsia="宋体" w:cs="宋体"/>
                <w:color w:val="auto"/>
                <w:sz w:val="24"/>
                <w:szCs w:val="24"/>
                <w:highlight w:val="none"/>
                <w:lang w:val="en-US" w:eastAsia="zh-CN"/>
              </w:rPr>
              <w:t>50</w:t>
            </w:r>
            <w:r>
              <w:rPr>
                <w:rFonts w:hint="eastAsia" w:ascii="宋体" w:hAnsi="宋体" w:eastAsia="宋体" w:cs="宋体"/>
                <w:color w:val="auto"/>
                <w:sz w:val="24"/>
                <w:szCs w:val="24"/>
                <w:highlight w:val="none"/>
              </w:rPr>
              <w:t>mm 宽：75mm 高：64.5mm</w:t>
            </w:r>
          </w:p>
          <w:p>
            <w:pPr>
              <w:pStyle w:val="2"/>
              <w:jc w:val="left"/>
              <w:rPr>
                <w:rFonts w:hint="default" w:eastAsia="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安全标准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GB17625.1-2012;GB/T17743-2017;GB19510.1-2009;GB19510.10-2009</w:t>
            </w:r>
          </w:p>
        </w:tc>
        <w:tc>
          <w:tcPr>
            <w:tcW w:w="1030"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1000只</w:t>
            </w:r>
          </w:p>
        </w:tc>
        <w:tc>
          <w:tcPr>
            <w:tcW w:w="1030" w:type="dxa"/>
            <w:vAlign w:val="center"/>
          </w:tcPr>
          <w:p>
            <w:pPr>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★提供3C认证证书复印件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jc w:val="center"/>
        </w:trPr>
        <w:tc>
          <w:tcPr>
            <w:tcW w:w="727" w:type="dxa"/>
            <w:vAlign w:val="center"/>
          </w:tcPr>
          <w:p>
            <w:pPr>
              <w:widowControl/>
              <w:spacing w:line="240" w:lineRule="auto"/>
              <w:ind w:firstLine="0" w:firstLineChars="0"/>
              <w:rPr>
                <w:rFonts w:hint="eastAsia" w:ascii="宋体" w:hAnsi="宋体" w:eastAsia="宋体" w:cs="宋体"/>
                <w:bCs/>
                <w:color w:val="auto"/>
                <w:kern w:val="2"/>
                <w:sz w:val="24"/>
                <w:szCs w:val="24"/>
                <w:highlight w:val="none"/>
                <w:lang w:val="en-US" w:eastAsia="zh-CN" w:bidi="ar-SA"/>
              </w:rPr>
            </w:pPr>
            <w:bookmarkStart w:id="190" w:name="_Toc18410"/>
            <w:r>
              <w:rPr>
                <w:rFonts w:hint="eastAsia" w:ascii="宋体" w:hAnsi="宋体" w:eastAsia="宋体" w:cs="宋体"/>
                <w:bCs/>
                <w:color w:val="auto"/>
                <w:sz w:val="24"/>
                <w:szCs w:val="24"/>
                <w:highlight w:val="none"/>
                <w:lang w:val="en-US" w:eastAsia="zh-CN"/>
              </w:rPr>
              <w:t>5</w:t>
            </w:r>
          </w:p>
        </w:tc>
        <w:tc>
          <w:tcPr>
            <w:tcW w:w="1711" w:type="dxa"/>
            <w:vAlign w:val="center"/>
          </w:tcPr>
          <w:p>
            <w:pPr>
              <w:widowControl/>
              <w:spacing w:line="240" w:lineRule="auto"/>
              <w:ind w:firstLine="0" w:firstLineChars="0"/>
              <w:textAlignment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23瓦节能灯泡</w:t>
            </w:r>
          </w:p>
        </w:tc>
        <w:tc>
          <w:tcPr>
            <w:tcW w:w="4820" w:type="dxa"/>
            <w:vAlign w:val="center"/>
          </w:tcPr>
          <w:p>
            <w:pPr>
              <w:widowControl/>
              <w:spacing w:line="240" w:lineRule="auto"/>
              <w:ind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1、功率：23W</w:t>
            </w:r>
          </w:p>
          <w:p>
            <w:pPr>
              <w:widowControl/>
              <w:spacing w:line="240" w:lineRule="auto"/>
              <w:ind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2、光通亮：1400LM</w:t>
            </w:r>
          </w:p>
          <w:p>
            <w:pPr>
              <w:widowControl/>
              <w:spacing w:line="240" w:lineRule="auto"/>
              <w:ind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3、光效：</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6</w:t>
            </w:r>
            <w:r>
              <w:rPr>
                <w:rFonts w:hint="eastAsia" w:ascii="宋体" w:hAnsi="宋体" w:eastAsia="宋体" w:cs="宋体"/>
                <w:bCs/>
                <w:color w:val="auto"/>
                <w:sz w:val="24"/>
                <w:szCs w:val="24"/>
                <w:highlight w:val="none"/>
                <w:lang w:val="en-US" w:eastAsia="zh-CN"/>
              </w:rPr>
              <w:t>0</w:t>
            </w:r>
            <w:r>
              <w:rPr>
                <w:rFonts w:hint="eastAsia" w:ascii="宋体" w:hAnsi="宋体" w:eastAsia="宋体" w:cs="宋体"/>
                <w:bCs/>
                <w:color w:val="auto"/>
                <w:sz w:val="24"/>
                <w:szCs w:val="24"/>
                <w:highlight w:val="none"/>
              </w:rPr>
              <w:t>LM/W</w:t>
            </w:r>
          </w:p>
          <w:p>
            <w:pPr>
              <w:widowControl/>
              <w:spacing w:line="240" w:lineRule="auto"/>
              <w:ind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4、显色性：≥80</w:t>
            </w:r>
          </w:p>
          <w:p>
            <w:pPr>
              <w:widowControl/>
              <w:spacing w:line="240" w:lineRule="auto"/>
              <w:ind w:firstLine="0" w:firstLineChars="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rPr>
              <w:t>5、寿命：10000H</w:t>
            </w:r>
          </w:p>
        </w:tc>
        <w:tc>
          <w:tcPr>
            <w:tcW w:w="1030"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3000只</w:t>
            </w:r>
          </w:p>
        </w:tc>
        <w:tc>
          <w:tcPr>
            <w:tcW w:w="1030" w:type="dxa"/>
            <w:vAlign w:val="center"/>
          </w:tcPr>
          <w:p>
            <w:pPr>
              <w:ind w:firstLine="0" w:firstLineChars="0"/>
              <w:jc w:val="center"/>
              <w:rPr>
                <w:rFonts w:hint="eastAsia" w:ascii="宋体" w:hAnsi="宋体" w:eastAsia="宋体" w:cs="宋体"/>
                <w:color w:val="auto"/>
                <w:sz w:val="24"/>
                <w:szCs w:val="24"/>
                <w:highlight w:val="none"/>
              </w:rPr>
            </w:pPr>
          </w:p>
        </w:tc>
      </w:tr>
    </w:tbl>
    <w:p>
      <w:pPr>
        <w:widowControl/>
        <w:ind w:firstLine="0" w:firstLineChars="0"/>
        <w:rPr>
          <w:rFonts w:hint="eastAsia" w:ascii="宋体" w:hAnsi="宋体" w:eastAsia="宋体" w:cs="宋体"/>
          <w:color w:val="auto"/>
          <w:sz w:val="24"/>
          <w:szCs w:val="24"/>
          <w:highlight w:val="none"/>
          <w:lang w:eastAsia="zh-CN"/>
        </w:rPr>
      </w:pPr>
    </w:p>
    <w:p>
      <w:pPr>
        <w:widowControl/>
        <w:spacing w:line="360" w:lineRule="auto"/>
        <w:ind w:firstLine="0" w:firstLine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二、样品要求</w:t>
      </w:r>
      <w:bookmarkEnd w:id="190"/>
    </w:p>
    <w:p>
      <w:pPr>
        <w:widowControl/>
        <w:spacing w:line="360" w:lineRule="auto"/>
        <w:ind w:firstLine="0" w:firstLineChars="0"/>
        <w:rPr>
          <w:rFonts w:hint="eastAsia"/>
          <w:color w:val="auto"/>
          <w:highlight w:val="none"/>
          <w:lang w:eastAsia="zh-CN"/>
        </w:rPr>
      </w:pPr>
      <w:r>
        <w:rPr>
          <w:rFonts w:hint="eastAsia" w:ascii="宋体" w:hAnsi="宋体" w:cs="宋体"/>
          <w:color w:val="auto"/>
          <w:sz w:val="24"/>
          <w:szCs w:val="24"/>
          <w:highlight w:val="none"/>
          <w:lang w:eastAsia="zh-CN"/>
        </w:rPr>
        <w:t>（一）</w:t>
      </w:r>
      <w:r>
        <w:rPr>
          <w:rFonts w:hint="eastAsia" w:ascii="宋体" w:hAnsi="宋体" w:eastAsia="宋体" w:cs="宋体"/>
          <w:color w:val="auto"/>
          <w:sz w:val="24"/>
          <w:szCs w:val="24"/>
          <w:highlight w:val="none"/>
          <w:lang w:eastAsia="zh-CN"/>
        </w:rPr>
        <w:t>送样品目和数量：</w:t>
      </w:r>
    </w:p>
    <w:tbl>
      <w:tblPr>
        <w:tblStyle w:val="23"/>
        <w:tblW w:w="87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6830"/>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0" w:type="auto"/>
            <w:vAlign w:val="center"/>
          </w:tcPr>
          <w:p>
            <w:pPr>
              <w:widowControl/>
              <w:spacing w:line="240" w:lineRule="auto"/>
              <w:ind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w:t>
            </w:r>
          </w:p>
        </w:tc>
        <w:tc>
          <w:tcPr>
            <w:tcW w:w="0" w:type="auto"/>
            <w:vAlign w:val="center"/>
          </w:tcPr>
          <w:p>
            <w:pPr>
              <w:widowControl/>
              <w:spacing w:line="240" w:lineRule="auto"/>
              <w:ind w:firstLine="0" w:firstLineChars="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高光效250瓦高压钠灯灯泡</w:t>
            </w:r>
          </w:p>
        </w:tc>
        <w:tc>
          <w:tcPr>
            <w:tcW w:w="0" w:type="auto"/>
            <w:vAlign w:val="center"/>
          </w:tcPr>
          <w:p>
            <w:pPr>
              <w:widowControl/>
              <w:spacing w:line="240" w:lineRule="auto"/>
              <w:ind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0" w:type="auto"/>
            <w:vAlign w:val="center"/>
          </w:tcPr>
          <w:p>
            <w:pPr>
              <w:widowControl/>
              <w:spacing w:line="240" w:lineRule="auto"/>
              <w:ind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w:t>
            </w:r>
          </w:p>
        </w:tc>
        <w:tc>
          <w:tcPr>
            <w:tcW w:w="0" w:type="auto"/>
            <w:vAlign w:val="center"/>
          </w:tcPr>
          <w:p>
            <w:pPr>
              <w:widowControl/>
              <w:spacing w:line="240" w:lineRule="auto"/>
              <w:ind w:firstLine="0" w:firstLineChars="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（100~400瓦）钠灯配套触发器</w:t>
            </w:r>
          </w:p>
        </w:tc>
        <w:tc>
          <w:tcPr>
            <w:tcW w:w="0" w:type="auto"/>
            <w:vAlign w:val="center"/>
          </w:tcPr>
          <w:p>
            <w:pPr>
              <w:widowControl/>
              <w:spacing w:line="240" w:lineRule="auto"/>
              <w:ind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8" w:hRule="atLeast"/>
        </w:trPr>
        <w:tc>
          <w:tcPr>
            <w:tcW w:w="0" w:type="auto"/>
            <w:vAlign w:val="center"/>
          </w:tcPr>
          <w:p>
            <w:pPr>
              <w:widowControl/>
              <w:spacing w:line="240" w:lineRule="auto"/>
              <w:ind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3</w:t>
            </w:r>
          </w:p>
        </w:tc>
        <w:tc>
          <w:tcPr>
            <w:tcW w:w="0" w:type="auto"/>
            <w:vAlign w:val="center"/>
          </w:tcPr>
          <w:p>
            <w:pPr>
              <w:widowControl/>
              <w:spacing w:line="240" w:lineRule="auto"/>
              <w:ind w:firstLine="0" w:firstLineChars="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250w高压钠灯镇流器</w:t>
            </w:r>
          </w:p>
        </w:tc>
        <w:tc>
          <w:tcPr>
            <w:tcW w:w="0" w:type="auto"/>
            <w:vAlign w:val="center"/>
          </w:tcPr>
          <w:p>
            <w:pPr>
              <w:widowControl/>
              <w:spacing w:line="240" w:lineRule="auto"/>
              <w:ind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只</w:t>
            </w:r>
          </w:p>
        </w:tc>
      </w:tr>
    </w:tbl>
    <w:p>
      <w:pPr>
        <w:numPr>
          <w:ilvl w:val="0"/>
          <w:numId w:val="0"/>
        </w:numPr>
        <w:spacing w:line="360" w:lineRule="auto"/>
        <w:ind w:leftChars="-100" w:firstLine="240" w:firstLineChars="100"/>
        <w:rPr>
          <w:rFonts w:hint="eastAsia"/>
          <w:color w:val="auto"/>
          <w:sz w:val="24"/>
          <w:szCs w:val="24"/>
          <w:highlight w:val="none"/>
          <w:lang w:val="en-US" w:eastAsia="zh-CN"/>
        </w:rPr>
      </w:pPr>
      <w:r>
        <w:rPr>
          <w:rFonts w:hint="eastAsia"/>
          <w:color w:val="auto"/>
          <w:sz w:val="24"/>
          <w:szCs w:val="24"/>
          <w:highlight w:val="none"/>
          <w:lang w:val="en-US" w:eastAsia="zh-CN"/>
        </w:rPr>
        <w:t xml:space="preserve">（二）、送样时间:投标人应在开标当日开标截至时间前将样品送至送样地点。 </w:t>
      </w:r>
    </w:p>
    <w:p>
      <w:pPr>
        <w:numPr>
          <w:ilvl w:val="0"/>
          <w:numId w:val="0"/>
        </w:numPr>
        <w:spacing w:line="360" w:lineRule="auto"/>
        <w:ind w:leftChars="-100" w:firstLine="240" w:firstLineChars="100"/>
        <w:rPr>
          <w:rFonts w:hint="eastAsia"/>
          <w:color w:val="auto"/>
          <w:sz w:val="24"/>
          <w:szCs w:val="24"/>
          <w:highlight w:val="none"/>
          <w:lang w:val="en-US" w:eastAsia="zh-CN"/>
        </w:rPr>
      </w:pPr>
      <w:r>
        <w:rPr>
          <w:rFonts w:hint="eastAsia"/>
          <w:color w:val="auto"/>
          <w:sz w:val="24"/>
          <w:szCs w:val="24"/>
          <w:highlight w:val="none"/>
          <w:lang w:val="en-US" w:eastAsia="zh-CN"/>
        </w:rPr>
        <w:t>（三）、送样地点</w:t>
      </w:r>
    </w:p>
    <w:p>
      <w:pPr>
        <w:spacing w:line="360" w:lineRule="auto"/>
        <w:ind w:firstLine="240" w:firstLineChars="100"/>
        <w:rPr>
          <w:rFonts w:hint="default"/>
          <w:color w:val="auto"/>
          <w:sz w:val="24"/>
          <w:szCs w:val="24"/>
          <w:highlight w:val="none"/>
          <w:lang w:val="en-US" w:eastAsia="zh-CN"/>
        </w:rPr>
      </w:pPr>
      <w:r>
        <w:rPr>
          <w:rFonts w:hint="eastAsia"/>
          <w:color w:val="auto"/>
          <w:sz w:val="24"/>
          <w:szCs w:val="24"/>
          <w:highlight w:val="none"/>
          <w:lang w:val="en-US" w:eastAsia="zh-CN"/>
        </w:rPr>
        <w:t xml:space="preserve">送样地点：成都市龙泉驿区桃都大道吾悦广场写字楼2008室（成都云辉工程项目管理有限公司） </w:t>
      </w:r>
    </w:p>
    <w:p>
      <w:pPr>
        <w:numPr>
          <w:ilvl w:val="0"/>
          <w:numId w:val="0"/>
        </w:numPr>
        <w:spacing w:line="360" w:lineRule="auto"/>
        <w:ind w:leftChars="0"/>
        <w:rPr>
          <w:rFonts w:hint="eastAsia"/>
          <w:color w:val="auto"/>
          <w:sz w:val="24"/>
          <w:szCs w:val="24"/>
          <w:highlight w:val="none"/>
          <w:lang w:val="en-US" w:eastAsia="zh-CN"/>
        </w:rPr>
      </w:pPr>
      <w:r>
        <w:rPr>
          <w:rFonts w:hint="eastAsia"/>
          <w:color w:val="auto"/>
          <w:sz w:val="24"/>
          <w:szCs w:val="24"/>
          <w:highlight w:val="none"/>
          <w:lang w:val="en-US" w:eastAsia="zh-CN"/>
        </w:rPr>
        <w:t>（四）、样品的接收、保管、编号和退还</w:t>
      </w:r>
    </w:p>
    <w:p>
      <w:pPr>
        <w:numPr>
          <w:ilvl w:val="0"/>
          <w:numId w:val="10"/>
        </w:numPr>
        <w:spacing w:line="360" w:lineRule="auto"/>
        <w:ind w:leftChars="0"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样品由专人负责统一接收、保管、编号和退还。</w:t>
      </w:r>
    </w:p>
    <w:p>
      <w:pPr>
        <w:numPr>
          <w:ilvl w:val="0"/>
          <w:numId w:val="10"/>
        </w:numPr>
        <w:spacing w:line="360" w:lineRule="auto"/>
        <w:ind w:leftChars="0"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 xml:space="preserve">所有供应商提供的样品将在评审结束后由采购人进行封存。 </w:t>
      </w:r>
    </w:p>
    <w:p>
      <w:pPr>
        <w:numPr>
          <w:ilvl w:val="0"/>
          <w:numId w:val="10"/>
        </w:numPr>
        <w:spacing w:line="360" w:lineRule="auto"/>
        <w:ind w:leftChars="0"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样品退还:未中标的供应商提供的样品，应在采购项目中标结果公示后</w:t>
      </w:r>
    </w:p>
    <w:p>
      <w:pPr>
        <w:spacing w:line="360" w:lineRule="auto"/>
        <w:rPr>
          <w:rFonts w:hint="eastAsia"/>
          <w:color w:val="auto"/>
          <w:sz w:val="24"/>
          <w:szCs w:val="24"/>
          <w:highlight w:val="none"/>
          <w:lang w:val="en-US" w:eastAsia="zh-CN"/>
        </w:rPr>
      </w:pPr>
      <w:r>
        <w:rPr>
          <w:rFonts w:hint="eastAsia"/>
          <w:color w:val="auto"/>
          <w:sz w:val="24"/>
          <w:szCs w:val="24"/>
          <w:highlight w:val="none"/>
          <w:lang w:val="en-US" w:eastAsia="zh-CN"/>
        </w:rPr>
        <w:t>及时到采购代理机构处领取;中标供应商的样品应在合同履行并验收完毕后到采购 人处领取。</w:t>
      </w:r>
    </w:p>
    <w:p>
      <w:pPr>
        <w:spacing w:line="360" w:lineRule="auto"/>
        <w:rPr>
          <w:rFonts w:hint="eastAsia"/>
          <w:color w:val="auto"/>
          <w:sz w:val="24"/>
          <w:szCs w:val="24"/>
          <w:highlight w:val="none"/>
          <w:lang w:val="en-US" w:eastAsia="zh-CN"/>
        </w:rPr>
      </w:pPr>
      <w:r>
        <w:rPr>
          <w:rFonts w:hint="eastAsia"/>
          <w:color w:val="auto"/>
          <w:sz w:val="24"/>
          <w:szCs w:val="24"/>
          <w:highlight w:val="none"/>
          <w:lang w:val="en-US" w:eastAsia="zh-CN"/>
        </w:rPr>
        <w:t>（五）、其他</w:t>
      </w:r>
    </w:p>
    <w:p>
      <w:pPr>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1、样品不能有供应商的标识，如有供应商标识，则样品不参与样品评审，对应 样品评审项得分为 0 分。</w:t>
      </w:r>
    </w:p>
    <w:p>
      <w:pPr>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2、样品作为评审打分的依据，未按招标文件要求提供样品的，对应评审项得 0 分，但不影响其投标文件承诺内容的有效性。</w:t>
      </w:r>
    </w:p>
    <w:p>
      <w:pPr>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3、中标供应商提供的样品将由采购人保管，并作为项目验收依据的一部分。中 标供应商最终提供的货物外观质量、制作工艺等不得低于样品的相关标准,且完全满 足合同约定对货物的要求和标准。</w:t>
      </w:r>
    </w:p>
    <w:p>
      <w:pPr>
        <w:pStyle w:val="4"/>
        <w:numPr>
          <w:ilvl w:val="0"/>
          <w:numId w:val="0"/>
        </w:numPr>
        <w:spacing w:line="360" w:lineRule="exact"/>
        <w:ind w:leftChars="0"/>
        <w:rPr>
          <w:rFonts w:hint="eastAsia" w:ascii="宋体" w:hAnsi="宋体" w:eastAsia="宋体" w:cs="仿宋"/>
          <w:color w:val="auto"/>
          <w:sz w:val="24"/>
          <w:szCs w:val="24"/>
          <w:highlight w:val="none"/>
          <w:lang w:val="en-US" w:eastAsia="zh-CN"/>
        </w:rPr>
      </w:pPr>
      <w:r>
        <w:rPr>
          <w:rFonts w:hint="eastAsia" w:ascii="宋体" w:hAnsi="宋体" w:eastAsia="宋体" w:cs="仿宋"/>
          <w:color w:val="auto"/>
          <w:sz w:val="24"/>
          <w:szCs w:val="24"/>
          <w:highlight w:val="none"/>
          <w:lang w:val="en-US" w:eastAsia="zh-CN"/>
        </w:rPr>
        <w:t>（三）3包：路灯远程控制器采购</w:t>
      </w:r>
    </w:p>
    <w:p>
      <w:pPr>
        <w:pStyle w:val="11"/>
        <w:spacing w:line="360" w:lineRule="auto"/>
        <w:rPr>
          <w:rFonts w:hint="eastAsia"/>
          <w:color w:val="auto"/>
          <w:sz w:val="24"/>
          <w:szCs w:val="24"/>
          <w:highlight w:val="none"/>
          <w:lang w:eastAsia="zh-CN"/>
        </w:rPr>
      </w:pPr>
      <w:r>
        <w:rPr>
          <w:rFonts w:hint="eastAsia"/>
          <w:color w:val="auto"/>
          <w:sz w:val="24"/>
          <w:szCs w:val="24"/>
          <w:highlight w:val="none"/>
          <w:lang w:val="en-US" w:eastAsia="zh-CN"/>
        </w:rPr>
        <w:t>1、</w:t>
      </w:r>
      <w:r>
        <w:rPr>
          <w:rFonts w:hint="eastAsia"/>
          <w:color w:val="auto"/>
          <w:sz w:val="24"/>
          <w:szCs w:val="24"/>
          <w:highlight w:val="none"/>
          <w:lang w:eastAsia="zh-CN"/>
        </w:rPr>
        <w:t>货物需求及技术要求</w:t>
      </w:r>
    </w:p>
    <w:tbl>
      <w:tblPr>
        <w:tblStyle w:val="22"/>
        <w:tblW w:w="8439" w:type="dxa"/>
        <w:tblInd w:w="0" w:type="dxa"/>
        <w:tblLayout w:type="autofit"/>
        <w:tblCellMar>
          <w:top w:w="0" w:type="dxa"/>
          <w:left w:w="0" w:type="dxa"/>
          <w:bottom w:w="0" w:type="dxa"/>
          <w:right w:w="0" w:type="dxa"/>
        </w:tblCellMar>
      </w:tblPr>
      <w:tblGrid>
        <w:gridCol w:w="730"/>
        <w:gridCol w:w="1851"/>
        <w:gridCol w:w="3754"/>
        <w:gridCol w:w="2104"/>
      </w:tblGrid>
      <w:tr>
        <w:tblPrEx>
          <w:tblCellMar>
            <w:top w:w="0" w:type="dxa"/>
            <w:left w:w="0" w:type="dxa"/>
            <w:bottom w:w="0" w:type="dxa"/>
            <w:right w:w="0" w:type="dxa"/>
          </w:tblCellMar>
        </w:tblPrEx>
        <w:trPr>
          <w:trHeight w:val="581" w:hRule="atLeast"/>
        </w:trPr>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11"/>
              <w:spacing w:line="360" w:lineRule="auto"/>
              <w:jc w:val="center"/>
              <w:rPr>
                <w:rFonts w:hint="eastAsia"/>
                <w:color w:val="auto"/>
                <w:sz w:val="24"/>
                <w:szCs w:val="24"/>
                <w:highlight w:val="none"/>
              </w:rPr>
            </w:pPr>
            <w:r>
              <w:rPr>
                <w:rFonts w:hint="eastAsia"/>
                <w:color w:val="auto"/>
                <w:sz w:val="24"/>
                <w:szCs w:val="24"/>
                <w:highlight w:val="none"/>
                <w:lang w:val="en-US" w:eastAsia="zh-CN"/>
              </w:rPr>
              <w:t>序号</w:t>
            </w:r>
          </w:p>
        </w:tc>
        <w:tc>
          <w:tcPr>
            <w:tcW w:w="18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11"/>
              <w:spacing w:line="360" w:lineRule="auto"/>
              <w:jc w:val="center"/>
              <w:rPr>
                <w:rFonts w:hint="eastAsia"/>
                <w:color w:val="auto"/>
                <w:sz w:val="24"/>
                <w:szCs w:val="24"/>
                <w:highlight w:val="none"/>
              </w:rPr>
            </w:pPr>
            <w:r>
              <w:rPr>
                <w:rFonts w:hint="eastAsia"/>
                <w:color w:val="auto"/>
                <w:sz w:val="24"/>
                <w:szCs w:val="24"/>
                <w:highlight w:val="none"/>
                <w:lang w:val="en-US" w:eastAsia="zh-CN"/>
              </w:rPr>
              <w:t>货物名称</w:t>
            </w:r>
          </w:p>
        </w:tc>
        <w:tc>
          <w:tcPr>
            <w:tcW w:w="37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11"/>
              <w:spacing w:line="360" w:lineRule="auto"/>
              <w:jc w:val="center"/>
              <w:rPr>
                <w:rFonts w:hint="eastAsia"/>
                <w:color w:val="auto"/>
                <w:sz w:val="24"/>
                <w:szCs w:val="24"/>
                <w:highlight w:val="none"/>
              </w:rPr>
            </w:pPr>
            <w:r>
              <w:rPr>
                <w:rFonts w:hint="eastAsia"/>
                <w:color w:val="auto"/>
                <w:sz w:val="24"/>
                <w:szCs w:val="24"/>
                <w:highlight w:val="none"/>
                <w:lang w:val="en-US" w:eastAsia="zh-CN"/>
              </w:rPr>
              <w:t>技术规格</w:t>
            </w:r>
          </w:p>
        </w:tc>
        <w:tc>
          <w:tcPr>
            <w:tcW w:w="21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11"/>
              <w:spacing w:line="360" w:lineRule="auto"/>
              <w:jc w:val="center"/>
              <w:rPr>
                <w:rFonts w:hint="eastAsia"/>
                <w:color w:val="auto"/>
                <w:sz w:val="24"/>
                <w:szCs w:val="24"/>
                <w:highlight w:val="none"/>
              </w:rPr>
            </w:pPr>
            <w:r>
              <w:rPr>
                <w:rFonts w:hint="eastAsia"/>
                <w:color w:val="auto"/>
                <w:sz w:val="24"/>
                <w:szCs w:val="24"/>
                <w:highlight w:val="none"/>
                <w:lang w:val="en-US" w:eastAsia="zh-CN"/>
              </w:rPr>
              <w:t>数量</w:t>
            </w:r>
          </w:p>
        </w:tc>
      </w:tr>
      <w:tr>
        <w:tblPrEx>
          <w:tblCellMar>
            <w:top w:w="0" w:type="dxa"/>
            <w:left w:w="0" w:type="dxa"/>
            <w:bottom w:w="0" w:type="dxa"/>
            <w:right w:w="0" w:type="dxa"/>
          </w:tblCellMar>
        </w:tblPrEx>
        <w:trPr>
          <w:trHeight w:val="1087" w:hRule="atLeast"/>
        </w:trPr>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11"/>
              <w:spacing w:line="360" w:lineRule="auto"/>
              <w:jc w:val="center"/>
              <w:rPr>
                <w:rFonts w:hint="eastAsia"/>
                <w:color w:val="auto"/>
                <w:sz w:val="24"/>
                <w:szCs w:val="24"/>
                <w:highlight w:val="none"/>
                <w:lang w:val="en-US" w:eastAsia="zh-CN"/>
              </w:rPr>
            </w:pPr>
            <w:r>
              <w:rPr>
                <w:rFonts w:hint="eastAsia"/>
                <w:color w:val="auto"/>
                <w:sz w:val="24"/>
                <w:szCs w:val="24"/>
                <w:highlight w:val="none"/>
                <w:lang w:val="en-US" w:eastAsia="zh-CN"/>
              </w:rPr>
              <w:t>1</w:t>
            </w:r>
          </w:p>
        </w:tc>
        <w:tc>
          <w:tcPr>
            <w:tcW w:w="18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11"/>
              <w:spacing w:line="360" w:lineRule="auto"/>
              <w:jc w:val="center"/>
              <w:rPr>
                <w:rFonts w:hint="eastAsia"/>
                <w:color w:val="auto"/>
                <w:sz w:val="24"/>
                <w:szCs w:val="24"/>
                <w:highlight w:val="none"/>
                <w:lang w:val="en-US" w:eastAsia="zh-CN"/>
              </w:rPr>
            </w:pPr>
            <w:r>
              <w:rPr>
                <w:rFonts w:hint="eastAsia"/>
                <w:color w:val="auto"/>
                <w:sz w:val="24"/>
                <w:szCs w:val="24"/>
                <w:highlight w:val="none"/>
                <w:lang w:val="en-US" w:eastAsia="zh-CN"/>
              </w:rPr>
              <w:t>城市照明自动化监控管理终端</w:t>
            </w:r>
          </w:p>
        </w:tc>
        <w:tc>
          <w:tcPr>
            <w:tcW w:w="37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11"/>
              <w:spacing w:line="360" w:lineRule="auto"/>
              <w:jc w:val="center"/>
              <w:rPr>
                <w:rFonts w:hint="eastAsia"/>
                <w:color w:val="auto"/>
                <w:sz w:val="24"/>
                <w:szCs w:val="24"/>
                <w:highlight w:val="none"/>
                <w:lang w:val="en-US" w:eastAsia="zh-CN"/>
              </w:rPr>
            </w:pPr>
            <w:r>
              <w:rPr>
                <w:rFonts w:hint="eastAsia"/>
                <w:color w:val="auto"/>
                <w:sz w:val="24"/>
                <w:szCs w:val="24"/>
                <w:highlight w:val="none"/>
                <w:lang w:val="en-US" w:eastAsia="zh-CN"/>
              </w:rPr>
              <w:t>4G全网通终端</w:t>
            </w:r>
          </w:p>
        </w:tc>
        <w:tc>
          <w:tcPr>
            <w:tcW w:w="21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11"/>
              <w:spacing w:line="360" w:lineRule="auto"/>
              <w:jc w:val="center"/>
              <w:rPr>
                <w:rFonts w:hint="default"/>
                <w:color w:val="auto"/>
                <w:sz w:val="24"/>
                <w:szCs w:val="24"/>
                <w:highlight w:val="none"/>
                <w:lang w:val="en-US" w:eastAsia="zh-CN"/>
              </w:rPr>
            </w:pPr>
            <w:r>
              <w:rPr>
                <w:rFonts w:hint="eastAsia"/>
                <w:color w:val="auto"/>
                <w:sz w:val="24"/>
                <w:szCs w:val="24"/>
                <w:highlight w:val="none"/>
                <w:lang w:val="en-US" w:eastAsia="zh-CN"/>
              </w:rPr>
              <w:t>59</w:t>
            </w:r>
          </w:p>
        </w:tc>
      </w:tr>
    </w:tbl>
    <w:p>
      <w:pPr>
        <w:pStyle w:val="11"/>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2、主要技术指标要求</w:t>
      </w:r>
    </w:p>
    <w:p>
      <w:pPr>
        <w:pStyle w:val="11"/>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2.1、</w:t>
      </w:r>
      <w:r>
        <w:rPr>
          <w:rFonts w:hint="eastAsia"/>
          <w:color w:val="auto"/>
          <w:sz w:val="24"/>
          <w:szCs w:val="24"/>
          <w:highlight w:val="none"/>
          <w:lang w:eastAsia="zh-CN"/>
        </w:rPr>
        <w:t>城市照明自动化监控管理终端技术要求</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lang w:val="en-US" w:eastAsia="zh-CN"/>
        </w:rPr>
        <w:t>2.1.1、</w:t>
      </w:r>
      <w:r>
        <w:rPr>
          <w:rFonts w:hint="eastAsia"/>
          <w:color w:val="auto"/>
          <w:sz w:val="24"/>
          <w:szCs w:val="24"/>
          <w:highlight w:val="none"/>
        </w:rPr>
        <w:t>城市照明自动化监控管理终端硬件设计应满足功能性、可靠性、维护性、易用性、软件兼容性、安全性和电磁兼容性，安全性设计按《信息技术设备的安全》GB4943—2001的有关规定和《信息技术设备抗扰度限值和测量方法》GB/T17618—1998的有关规定。</w:t>
      </w:r>
    </w:p>
    <w:p>
      <w:pPr>
        <w:pStyle w:val="11"/>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2.2.2、本项目设备终端是在原监控平台基础上进行升级扩容，升级扩容后要求所有终端设备的硬件及软件必须与现有的监控平台完全兼容，必须进行无缝对接，投标人提供兼容性承诺函，整个系统升级完善或扩充容量涉及到各种配套设备的技术性能要求必须与原有照明监控平台进行有机连接及整合。注：中标候选人须在中标结果公示期内提交样品设备进行系统兼容性测试，设备兼容性测试不合格的中标人候选人，将被取消中标资格。</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lang w:val="en-US" w:eastAsia="zh-CN"/>
        </w:rPr>
        <w:t>2.2.3、网络及短信息通信同时兼容：终端同时兼容无线GPRS/2G/4G（或CDMA）和SMS通信方式；数据库接口规范：SQL server2012平台</w:t>
      </w:r>
    </w:p>
    <w:p>
      <w:pPr>
        <w:pStyle w:val="11"/>
        <w:spacing w:line="360" w:lineRule="auto"/>
        <w:ind w:firstLine="240" w:firstLineChars="100"/>
        <w:rPr>
          <w:rFonts w:hint="eastAsia"/>
          <w:color w:val="auto"/>
          <w:sz w:val="24"/>
          <w:szCs w:val="24"/>
          <w:highlight w:val="none"/>
        </w:rPr>
      </w:pPr>
      <w:bookmarkStart w:id="191" w:name="_Toc3486"/>
      <w:r>
        <w:rPr>
          <w:rFonts w:hint="eastAsia"/>
          <w:color w:val="auto"/>
          <w:sz w:val="24"/>
          <w:szCs w:val="24"/>
          <w:highlight w:val="none"/>
          <w:lang w:val="en-US" w:eastAsia="zh-CN"/>
        </w:rPr>
        <w:t>2.2、</w:t>
      </w:r>
      <w:r>
        <w:rPr>
          <w:rFonts w:hint="eastAsia"/>
          <w:color w:val="auto"/>
          <w:sz w:val="24"/>
          <w:szCs w:val="24"/>
          <w:highlight w:val="none"/>
        </w:rPr>
        <w:t>城市照明自动化监控管理终端主要技术指标要求</w:t>
      </w:r>
      <w:bookmarkEnd w:id="191"/>
    </w:p>
    <w:p>
      <w:pPr>
        <w:pStyle w:val="11"/>
        <w:spacing w:line="360" w:lineRule="auto"/>
        <w:ind w:firstLine="240" w:firstLineChars="100"/>
        <w:rPr>
          <w:rFonts w:hint="eastAsia"/>
          <w:color w:val="auto"/>
          <w:sz w:val="24"/>
          <w:szCs w:val="24"/>
          <w:highlight w:val="none"/>
        </w:rPr>
      </w:pPr>
      <w:r>
        <w:rPr>
          <w:rFonts w:hint="eastAsia"/>
          <w:color w:val="auto"/>
          <w:sz w:val="24"/>
          <w:szCs w:val="24"/>
          <w:highlight w:val="none"/>
        </w:rPr>
        <w:t>1）</w:t>
      </w:r>
      <w:r>
        <w:rPr>
          <w:rFonts w:hint="eastAsia"/>
          <w:color w:val="auto"/>
          <w:sz w:val="24"/>
          <w:szCs w:val="24"/>
          <w:highlight w:val="none"/>
          <w:lang w:val="en-US" w:eastAsia="zh-CN"/>
        </w:rPr>
        <w:t>通讯方式</w:t>
      </w:r>
      <w:r>
        <w:rPr>
          <w:rFonts w:hint="eastAsia"/>
          <w:color w:val="auto"/>
          <w:sz w:val="24"/>
          <w:szCs w:val="24"/>
          <w:highlight w:val="none"/>
        </w:rPr>
        <w:t>：</w:t>
      </w:r>
      <w:r>
        <w:rPr>
          <w:rFonts w:hint="eastAsia"/>
          <w:color w:val="auto"/>
          <w:sz w:val="24"/>
          <w:szCs w:val="24"/>
          <w:highlight w:val="none"/>
          <w:lang w:val="en-US" w:eastAsia="zh-CN"/>
        </w:rPr>
        <w:t>4G全网通</w:t>
      </w:r>
      <w:r>
        <w:rPr>
          <w:rFonts w:hint="eastAsia"/>
          <w:color w:val="auto"/>
          <w:sz w:val="24"/>
          <w:szCs w:val="24"/>
          <w:highlight w:val="none"/>
        </w:rPr>
        <w:t>；</w:t>
      </w:r>
    </w:p>
    <w:p>
      <w:pPr>
        <w:pStyle w:val="11"/>
        <w:spacing w:line="360" w:lineRule="auto"/>
        <w:ind w:firstLine="240" w:firstLineChars="100"/>
        <w:rPr>
          <w:rFonts w:hint="eastAsia"/>
          <w:color w:val="auto"/>
          <w:sz w:val="24"/>
          <w:szCs w:val="24"/>
          <w:highlight w:val="none"/>
        </w:rPr>
      </w:pPr>
      <w:r>
        <w:rPr>
          <w:rFonts w:hint="eastAsia"/>
          <w:color w:val="auto"/>
          <w:sz w:val="24"/>
          <w:szCs w:val="24"/>
          <w:highlight w:val="none"/>
        </w:rPr>
        <w:t>2）控制输出：4路，容量：AC220　10A；</w:t>
      </w:r>
    </w:p>
    <w:p>
      <w:pPr>
        <w:pStyle w:val="11"/>
        <w:spacing w:line="360" w:lineRule="auto"/>
        <w:ind w:firstLine="240" w:firstLineChars="100"/>
        <w:rPr>
          <w:rFonts w:hint="eastAsia"/>
          <w:color w:val="auto"/>
          <w:sz w:val="24"/>
          <w:szCs w:val="24"/>
          <w:highlight w:val="none"/>
        </w:rPr>
      </w:pPr>
      <w:r>
        <w:rPr>
          <w:rFonts w:hint="eastAsia"/>
          <w:color w:val="auto"/>
          <w:sz w:val="24"/>
          <w:szCs w:val="24"/>
          <w:highlight w:val="none"/>
        </w:rPr>
        <w:t>3）开关量输入：标配16路，可扩展到128路；</w:t>
      </w:r>
    </w:p>
    <w:p>
      <w:pPr>
        <w:pStyle w:val="11"/>
        <w:spacing w:line="360" w:lineRule="auto"/>
        <w:ind w:firstLine="240" w:firstLineChars="100"/>
        <w:rPr>
          <w:rFonts w:hint="eastAsia"/>
          <w:color w:val="auto"/>
          <w:sz w:val="24"/>
          <w:szCs w:val="24"/>
          <w:highlight w:val="none"/>
        </w:rPr>
      </w:pPr>
      <w:r>
        <w:rPr>
          <w:rFonts w:hint="eastAsia"/>
          <w:color w:val="auto"/>
          <w:sz w:val="24"/>
          <w:szCs w:val="24"/>
          <w:highlight w:val="none"/>
        </w:rPr>
        <w:t>4）电压测量:3相输入电压，测量范围：AC0—300V，测量误差≤±0.5%；</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rPr>
        <w:t>★5）电流测量：测量范围AC 0～100mA，当一次电流输入1A时测量精度误差小于等于1%；（提供所投产品由省级以上含省级的国家认可的检测机构出具的具备该功能的检测报告复印件）；</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rPr>
        <w:t>★6）有功功率测量：输入电压230V，输入电流1A时测量误差小于等于1%（提供所投产品由省级以上含省级的国家认可的检测机构出具的具备该功能的检测报告复印件）</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rPr>
        <w:t>★</w:t>
      </w:r>
      <w:r>
        <w:rPr>
          <w:rFonts w:hint="eastAsia"/>
          <w:color w:val="auto"/>
          <w:sz w:val="24"/>
          <w:szCs w:val="24"/>
          <w:highlight w:val="none"/>
          <w:lang w:val="en-US" w:eastAsia="zh-CN"/>
        </w:rPr>
        <w:t>7）</w:t>
      </w:r>
      <w:r>
        <w:rPr>
          <w:rFonts w:hint="eastAsia"/>
          <w:color w:val="auto"/>
          <w:sz w:val="24"/>
          <w:szCs w:val="24"/>
          <w:highlight w:val="none"/>
        </w:rPr>
        <w:t>外壳防护等级：应符合IP55（提供所投产品由省级以上含省级的国家认可的检测机构出具的具备该功能的检测报告复印件）；</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rPr>
        <w:t>★</w:t>
      </w:r>
      <w:r>
        <w:rPr>
          <w:rFonts w:hint="eastAsia"/>
          <w:color w:val="auto"/>
          <w:sz w:val="24"/>
          <w:szCs w:val="24"/>
          <w:highlight w:val="none"/>
          <w:lang w:val="en-US" w:eastAsia="zh-CN"/>
        </w:rPr>
        <w:t>8）</w:t>
      </w:r>
      <w:r>
        <w:rPr>
          <w:rFonts w:hint="eastAsia"/>
          <w:color w:val="auto"/>
          <w:sz w:val="24"/>
          <w:szCs w:val="24"/>
          <w:highlight w:val="none"/>
        </w:rPr>
        <w:t>泄露电流：对地最大泄露电流应不大于3.5mA（提供所投产品由省级以上含省级的国家认可的检测机构出具的具备该功能的检测报告复印件）；</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rPr>
        <w:t>★</w:t>
      </w:r>
      <w:r>
        <w:rPr>
          <w:rFonts w:hint="eastAsia"/>
          <w:color w:val="auto"/>
          <w:sz w:val="24"/>
          <w:szCs w:val="24"/>
          <w:highlight w:val="none"/>
          <w:lang w:val="en-US" w:eastAsia="zh-CN"/>
        </w:rPr>
        <w:t>9）</w:t>
      </w:r>
      <w:r>
        <w:rPr>
          <w:rFonts w:hint="eastAsia"/>
          <w:color w:val="auto"/>
          <w:sz w:val="24"/>
          <w:szCs w:val="24"/>
          <w:highlight w:val="none"/>
        </w:rPr>
        <w:t>手动开关状态：手动开关位置状态改变时，终端主动将状态上报控制中心。（提供所投产品由省级以上含省级的国家认可的检测机构出具的具备该功能的检测报告复印件）；</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rPr>
        <w:t>★</w:t>
      </w:r>
      <w:r>
        <w:rPr>
          <w:rFonts w:hint="eastAsia"/>
          <w:color w:val="auto"/>
          <w:sz w:val="24"/>
          <w:szCs w:val="24"/>
          <w:highlight w:val="none"/>
          <w:lang w:val="en-US" w:eastAsia="zh-CN"/>
        </w:rPr>
        <w:t>10）</w:t>
      </w:r>
      <w:r>
        <w:rPr>
          <w:rFonts w:hint="eastAsia"/>
          <w:color w:val="auto"/>
          <w:sz w:val="24"/>
          <w:szCs w:val="24"/>
          <w:highlight w:val="none"/>
        </w:rPr>
        <w:t>现场状态显示功能：终端LCD液晶屏能够显示终端运行当前状态，（提供所投产品由省级以上含省级的国家认可的检测机构出具的具备该功能的检测报告复印件）；</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rPr>
        <w:t>★</w:t>
      </w:r>
      <w:r>
        <w:rPr>
          <w:rFonts w:hint="eastAsia"/>
          <w:color w:val="auto"/>
          <w:sz w:val="24"/>
          <w:szCs w:val="24"/>
          <w:highlight w:val="none"/>
          <w:lang w:val="en-US" w:eastAsia="zh-CN"/>
        </w:rPr>
        <w:t>11）</w:t>
      </w:r>
      <w:r>
        <w:rPr>
          <w:rFonts w:hint="eastAsia"/>
          <w:color w:val="auto"/>
          <w:sz w:val="24"/>
          <w:szCs w:val="24"/>
          <w:highlight w:val="none"/>
          <w:lang w:eastAsia="zh-CN"/>
        </w:rPr>
        <w:t>缺相报警功能：某相缺相报警。</w:t>
      </w:r>
      <w:r>
        <w:rPr>
          <w:rFonts w:hint="eastAsia"/>
          <w:color w:val="auto"/>
          <w:sz w:val="24"/>
          <w:szCs w:val="24"/>
          <w:highlight w:val="none"/>
          <w:lang w:val="en-US" w:eastAsia="zh-CN"/>
        </w:rPr>
        <w:t>A相或C相</w:t>
      </w:r>
      <w:r>
        <w:rPr>
          <w:rFonts w:hint="eastAsia"/>
          <w:color w:val="auto"/>
          <w:sz w:val="24"/>
          <w:szCs w:val="24"/>
          <w:highlight w:val="none"/>
          <w:lang w:eastAsia="zh-CN"/>
        </w:rPr>
        <w:t>输入电压任何一相发生缺相故障时主动发送缺相报警。</w:t>
      </w:r>
      <w:r>
        <w:rPr>
          <w:rFonts w:hint="eastAsia"/>
          <w:color w:val="auto"/>
          <w:sz w:val="24"/>
          <w:szCs w:val="24"/>
          <w:highlight w:val="none"/>
        </w:rPr>
        <w:t>（提供所投产品由省级以上含省级的国家认可的检测机构出具的具备该功能的检测报告复印件）；</w:t>
      </w:r>
    </w:p>
    <w:p>
      <w:pPr>
        <w:pStyle w:val="11"/>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rPr>
        <w:t>★</w:t>
      </w:r>
      <w:r>
        <w:rPr>
          <w:rFonts w:hint="eastAsia"/>
          <w:color w:val="auto"/>
          <w:sz w:val="24"/>
          <w:szCs w:val="24"/>
          <w:highlight w:val="none"/>
          <w:lang w:val="en-US" w:eastAsia="zh-CN"/>
        </w:rPr>
        <w:t>12）</w:t>
      </w:r>
      <w:r>
        <w:rPr>
          <w:rFonts w:hint="eastAsia"/>
          <w:color w:val="auto"/>
          <w:sz w:val="24"/>
          <w:szCs w:val="24"/>
          <w:highlight w:val="none"/>
          <w:lang w:eastAsia="zh-CN"/>
        </w:rPr>
        <w:t>网络及短信息通信同时兼容：终端采用</w:t>
      </w:r>
      <w:r>
        <w:rPr>
          <w:rFonts w:hint="eastAsia"/>
          <w:color w:val="auto"/>
          <w:sz w:val="24"/>
          <w:szCs w:val="24"/>
          <w:highlight w:val="none"/>
          <w:lang w:val="en-US" w:eastAsia="zh-CN"/>
        </w:rPr>
        <w:t>4G全网通通信方</w:t>
      </w:r>
      <w:r>
        <w:rPr>
          <w:rFonts w:hint="eastAsia"/>
          <w:color w:val="auto"/>
          <w:sz w:val="24"/>
          <w:szCs w:val="24"/>
          <w:highlight w:val="none"/>
          <w:lang w:eastAsia="zh-CN"/>
        </w:rPr>
        <w:t>式，分别通过后台采用</w:t>
      </w:r>
      <w:r>
        <w:rPr>
          <w:rFonts w:hint="eastAsia"/>
          <w:color w:val="auto"/>
          <w:sz w:val="24"/>
          <w:szCs w:val="24"/>
          <w:highlight w:val="none"/>
          <w:lang w:val="en-US" w:eastAsia="zh-CN"/>
        </w:rPr>
        <w:t>4G和SMS通信方式，对终端发送指令，能够同时兼容</w:t>
      </w:r>
      <w:r>
        <w:rPr>
          <w:rFonts w:hint="eastAsia"/>
          <w:color w:val="auto"/>
          <w:sz w:val="24"/>
          <w:szCs w:val="24"/>
          <w:highlight w:val="none"/>
        </w:rPr>
        <w:t>（提供所投产品由省级以上含省级的国家认可的检测机构出具的具备该功能的检测报告复印件）</w:t>
      </w:r>
      <w:r>
        <w:rPr>
          <w:rFonts w:hint="eastAsia"/>
          <w:color w:val="auto"/>
          <w:sz w:val="24"/>
          <w:szCs w:val="24"/>
          <w:highlight w:val="none"/>
          <w:lang w:eastAsia="zh-CN"/>
        </w:rPr>
        <w:t>；</w:t>
      </w:r>
    </w:p>
    <w:p>
      <w:pPr>
        <w:pStyle w:val="11"/>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rPr>
        <w:t>★</w:t>
      </w:r>
      <w:r>
        <w:rPr>
          <w:rFonts w:hint="eastAsia"/>
          <w:color w:val="auto"/>
          <w:sz w:val="24"/>
          <w:szCs w:val="24"/>
          <w:highlight w:val="none"/>
          <w:lang w:val="en-US" w:eastAsia="zh-CN"/>
        </w:rPr>
        <w:t>13）电磁兼容：静电放电8KV电压、电快速瞬变脉冲群±4KV电压、浪涌±4KV电压等复杂用电环境中正常运行</w:t>
      </w:r>
      <w:r>
        <w:rPr>
          <w:rFonts w:hint="eastAsia"/>
          <w:color w:val="auto"/>
          <w:sz w:val="24"/>
          <w:szCs w:val="24"/>
          <w:highlight w:val="none"/>
        </w:rPr>
        <w:t>（提供所投产品由省级以上含省级的国家认可的检测机构出具的具备该功能的检测报告复印件）</w:t>
      </w:r>
      <w:r>
        <w:rPr>
          <w:rFonts w:hint="eastAsia"/>
          <w:color w:val="auto"/>
          <w:sz w:val="24"/>
          <w:szCs w:val="24"/>
          <w:highlight w:val="none"/>
          <w:lang w:val="en-US" w:eastAsia="zh-CN"/>
        </w:rPr>
        <w:t>。</w:t>
      </w:r>
    </w:p>
    <w:p>
      <w:pPr>
        <w:pStyle w:val="11"/>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rPr>
        <w:t>★</w:t>
      </w:r>
      <w:r>
        <w:rPr>
          <w:rFonts w:hint="eastAsia"/>
          <w:color w:val="auto"/>
          <w:sz w:val="24"/>
          <w:szCs w:val="24"/>
          <w:highlight w:val="none"/>
          <w:lang w:val="en-US" w:eastAsia="zh-CN"/>
        </w:rPr>
        <w:t>14）转换开关：具有现场手动转换外控功能</w:t>
      </w:r>
      <w:r>
        <w:rPr>
          <w:rFonts w:hint="eastAsia"/>
          <w:color w:val="auto"/>
          <w:sz w:val="24"/>
          <w:szCs w:val="24"/>
          <w:highlight w:val="none"/>
        </w:rPr>
        <w:t>（提供所投产品由省级以上含省级的国家认可的检测机构出具的具备该功能的检测报告复印件）</w:t>
      </w:r>
      <w:r>
        <w:rPr>
          <w:rFonts w:hint="eastAsia"/>
          <w:color w:val="auto"/>
          <w:sz w:val="24"/>
          <w:szCs w:val="24"/>
          <w:highlight w:val="none"/>
          <w:lang w:val="en-US" w:eastAsia="zh-CN"/>
        </w:rPr>
        <w:t>。</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rPr>
        <w:t>★</w:t>
      </w:r>
      <w:r>
        <w:rPr>
          <w:rFonts w:hint="eastAsia"/>
          <w:color w:val="auto"/>
          <w:sz w:val="24"/>
          <w:szCs w:val="24"/>
          <w:highlight w:val="none"/>
          <w:lang w:val="en-US" w:eastAsia="zh-CN"/>
        </w:rPr>
        <w:t>15）断电保护：线路电压过压、欠压、电流过流时具有断电保护功能</w:t>
      </w:r>
      <w:r>
        <w:rPr>
          <w:rFonts w:hint="eastAsia"/>
          <w:color w:val="auto"/>
          <w:sz w:val="24"/>
          <w:szCs w:val="24"/>
          <w:highlight w:val="none"/>
        </w:rPr>
        <w:t>（提供所投产品由省级以上含省级的国家认可的检测机构出具的具备该功能的检测报告复印件）</w:t>
      </w:r>
      <w:r>
        <w:rPr>
          <w:rFonts w:hint="eastAsia"/>
          <w:color w:val="auto"/>
          <w:sz w:val="24"/>
          <w:szCs w:val="24"/>
          <w:highlight w:val="none"/>
          <w:lang w:val="en-US" w:eastAsia="zh-CN"/>
        </w:rPr>
        <w:t>。</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lang w:val="en-US" w:eastAsia="zh-CN"/>
        </w:rPr>
        <w:t>16</w:t>
      </w:r>
      <w:r>
        <w:rPr>
          <w:rFonts w:hint="eastAsia"/>
          <w:color w:val="auto"/>
          <w:sz w:val="24"/>
          <w:szCs w:val="24"/>
          <w:highlight w:val="none"/>
        </w:rPr>
        <w:t>）静态功耗：≤4VA；</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lang w:val="en-US" w:eastAsia="zh-CN"/>
        </w:rPr>
        <w:t>17</w:t>
      </w:r>
      <w:r>
        <w:rPr>
          <w:rFonts w:hint="eastAsia"/>
          <w:color w:val="auto"/>
          <w:sz w:val="24"/>
          <w:szCs w:val="24"/>
          <w:highlight w:val="none"/>
        </w:rPr>
        <w:t>）动态功耗：≤4VA；</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lang w:val="en-US" w:eastAsia="zh-CN"/>
        </w:rPr>
        <w:t>18</w:t>
      </w:r>
      <w:r>
        <w:rPr>
          <w:rFonts w:hint="eastAsia"/>
          <w:color w:val="auto"/>
          <w:sz w:val="24"/>
          <w:szCs w:val="24"/>
          <w:highlight w:val="none"/>
        </w:rPr>
        <w:t>）现场操作：现场有手动开关，可直接开关灯，且手动开关位置后台能反映；</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rPr>
        <w:t>1</w:t>
      </w:r>
      <w:r>
        <w:rPr>
          <w:rFonts w:hint="eastAsia"/>
          <w:color w:val="auto"/>
          <w:sz w:val="24"/>
          <w:szCs w:val="24"/>
          <w:highlight w:val="none"/>
          <w:lang w:val="en-US" w:eastAsia="zh-CN"/>
        </w:rPr>
        <w:t>9</w:t>
      </w:r>
      <w:r>
        <w:rPr>
          <w:rFonts w:hint="eastAsia"/>
          <w:color w:val="auto"/>
          <w:sz w:val="24"/>
          <w:szCs w:val="24"/>
          <w:highlight w:val="none"/>
        </w:rPr>
        <w:t>）数据存储：现场终端能够自动储存20天以上的连续测量数据；</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lang w:val="en-US" w:eastAsia="zh-CN"/>
        </w:rPr>
        <w:t>20</w:t>
      </w:r>
      <w:r>
        <w:rPr>
          <w:rFonts w:hint="eastAsia"/>
          <w:color w:val="auto"/>
          <w:sz w:val="24"/>
          <w:szCs w:val="24"/>
          <w:highlight w:val="none"/>
        </w:rPr>
        <w:t>）计时精度：累计误差≤±30秒/年；</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lang w:val="en-US" w:eastAsia="zh-CN"/>
        </w:rPr>
        <w:t>21</w:t>
      </w:r>
      <w:r>
        <w:rPr>
          <w:rFonts w:hint="eastAsia"/>
          <w:color w:val="auto"/>
          <w:sz w:val="24"/>
          <w:szCs w:val="24"/>
          <w:highlight w:val="none"/>
        </w:rPr>
        <w:t>）环境温度-50℃～+80℃，湿度小于95%；</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lang w:val="en-US" w:eastAsia="zh-CN"/>
        </w:rPr>
        <w:t>22</w:t>
      </w:r>
      <w:r>
        <w:rPr>
          <w:rFonts w:hint="eastAsia"/>
          <w:color w:val="auto"/>
          <w:sz w:val="24"/>
          <w:szCs w:val="24"/>
          <w:highlight w:val="none"/>
        </w:rPr>
        <w:t>）防护等级：等级IP55防水防尘功能，并有防盗、防雷等安全防范措施；</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lang w:val="en-US" w:eastAsia="zh-CN"/>
        </w:rPr>
        <w:t>23</w:t>
      </w:r>
      <w:r>
        <w:rPr>
          <w:rFonts w:hint="eastAsia"/>
          <w:color w:val="auto"/>
          <w:sz w:val="24"/>
          <w:szCs w:val="24"/>
          <w:highlight w:val="none"/>
        </w:rPr>
        <w:t xml:space="preserve">）已考虑系统的共同性、兼容性，增容性，保证各种设备能独立操作； </w:t>
      </w:r>
    </w:p>
    <w:p>
      <w:pPr>
        <w:pStyle w:val="11"/>
        <w:spacing w:line="360" w:lineRule="auto"/>
        <w:rPr>
          <w:rFonts w:hint="eastAsia"/>
          <w:color w:val="auto"/>
          <w:sz w:val="24"/>
          <w:szCs w:val="24"/>
          <w:highlight w:val="none"/>
        </w:rPr>
      </w:pPr>
      <w:r>
        <w:rPr>
          <w:rFonts w:hint="eastAsia"/>
          <w:color w:val="auto"/>
          <w:sz w:val="24"/>
          <w:szCs w:val="24"/>
          <w:highlight w:val="none"/>
        </w:rPr>
        <w:t xml:space="preserve">  </w:t>
      </w:r>
      <w:bookmarkStart w:id="192" w:name="_Toc24526"/>
      <w:r>
        <w:rPr>
          <w:rFonts w:hint="eastAsia"/>
          <w:color w:val="auto"/>
          <w:sz w:val="24"/>
          <w:szCs w:val="24"/>
          <w:highlight w:val="none"/>
          <w:lang w:val="en-US" w:eastAsia="zh-CN"/>
        </w:rPr>
        <w:t xml:space="preserve"> </w:t>
      </w:r>
      <w:r>
        <w:rPr>
          <w:rFonts w:hint="eastAsia"/>
          <w:color w:val="auto"/>
          <w:sz w:val="24"/>
          <w:szCs w:val="24"/>
          <w:highlight w:val="none"/>
        </w:rPr>
        <w:t>2</w:t>
      </w:r>
      <w:r>
        <w:rPr>
          <w:rFonts w:hint="eastAsia"/>
          <w:color w:val="auto"/>
          <w:sz w:val="24"/>
          <w:szCs w:val="24"/>
          <w:highlight w:val="none"/>
          <w:lang w:eastAsia="zh-CN"/>
        </w:rPr>
        <w:t>.</w:t>
      </w:r>
      <w:r>
        <w:rPr>
          <w:rFonts w:hint="eastAsia"/>
          <w:color w:val="auto"/>
          <w:sz w:val="24"/>
          <w:szCs w:val="24"/>
          <w:highlight w:val="none"/>
          <w:lang w:val="en-US" w:eastAsia="zh-CN"/>
        </w:rPr>
        <w:t>3</w:t>
      </w:r>
      <w:r>
        <w:rPr>
          <w:rFonts w:hint="eastAsia"/>
          <w:color w:val="auto"/>
          <w:sz w:val="24"/>
          <w:szCs w:val="24"/>
          <w:highlight w:val="none"/>
        </w:rPr>
        <w:t>、城市照明自动化监控管理终端</w:t>
      </w:r>
      <w:r>
        <w:rPr>
          <w:rFonts w:hint="eastAsia"/>
          <w:color w:val="auto"/>
          <w:sz w:val="24"/>
          <w:szCs w:val="24"/>
          <w:highlight w:val="none"/>
          <w:lang w:eastAsia="zh-CN"/>
        </w:rPr>
        <w:t>的</w:t>
      </w:r>
      <w:r>
        <w:rPr>
          <w:rFonts w:hint="eastAsia"/>
          <w:color w:val="auto"/>
          <w:sz w:val="24"/>
          <w:szCs w:val="24"/>
          <w:highlight w:val="none"/>
        </w:rPr>
        <w:t>主要功能</w:t>
      </w:r>
      <w:bookmarkEnd w:id="192"/>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rPr>
        <w:t>1)等亮度开关灯控制技术，全年开关灯控制按规律自动运行；</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rPr>
        <w:t>2）遥控功能：遥控所有路灯的开关，由光控、控制中心或值班人员手机实现小概率（如雷雨、天文日食、台风天气、节日、政务等）的遥控开关；</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rPr>
        <w:t>3）遥测功能：遥测各控制点的各项工作参数；</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rPr>
        <w:t>4）遥讯功能：运行状态非正常时可向主控室或其它站报警；</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rPr>
        <w:t>5）控制箱门被撬报警功能；</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rPr>
        <w:t>6）控制时间设置方便灵活：用户可自行设定和修改开、关时间；</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rPr>
        <w:t>7）数据掉电保护功能：在掉电时保持数据不丢失和时钟走时精确；</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rPr>
        <w:t xml:space="preserve">8)状态指示：具有LCD液晶屏显示功能，汉字显示，可直接查看终端北京时间、各回路开关灯时间、遥信量、电压、电流、功率、连接后台唯一编号等，方便维护人员查看，同时可以减少新增控制箱的各类仪表与接线，接线少了也就少了一部份故障; </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rPr>
        <w:t>9)具有缺相检测及停电报警功能；</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rPr>
        <w:t>10)遥信信息设置灵活：可由客户自行设置遥信信息内容；</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rPr>
        <w:t>11)远程升级系统功能；</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rPr>
        <w:t>12）可累计各控制回路开灯时间；</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rPr>
        <w:t>13）具有远程抄表功能，兼容通讯规约</w:t>
      </w:r>
      <w:bookmarkStart w:id="193" w:name="OLE_LINK1"/>
      <w:r>
        <w:rPr>
          <w:rFonts w:hint="eastAsia"/>
          <w:color w:val="auto"/>
          <w:sz w:val="24"/>
          <w:szCs w:val="24"/>
          <w:highlight w:val="none"/>
        </w:rPr>
        <w:t>DL/T 645-1997</w:t>
      </w:r>
      <w:bookmarkEnd w:id="193"/>
      <w:r>
        <w:rPr>
          <w:rFonts w:hint="eastAsia"/>
          <w:color w:val="auto"/>
          <w:sz w:val="24"/>
          <w:szCs w:val="24"/>
          <w:highlight w:val="none"/>
        </w:rPr>
        <w:t>、DL/T 645-2007；</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rPr>
        <w:t>14）监测的路灯照明线路不受距离限制；</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rPr>
        <w:t>15）监测数据黑匣子功能，终端自动存储一个月电力数据；</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rPr>
        <w:t>16) 当终端主动报警时，系统自动发出发出语音报警、自动存盘、显示线路方向，并以短消息将故障信息转移至指定的值班手机；</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rPr>
        <w:t>17）可查看终端每15分钟为节点的历史曲线数据；</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rPr>
        <w:t>18）可累计查看各控制回路交流接触器的闭合次数；</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rPr>
        <w:t>19）可查看终端的实时温度、GPRS信号数据；</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rPr>
        <w:t>20）可查回放终端历史温度、信号曲线数据。</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rPr>
        <w:t>21）监控终端带有焊接式手动开关（且后台可直观显示手动开关位置），可减少控制箱的接线与多接线带来的故障点。</w:t>
      </w:r>
    </w:p>
    <w:p>
      <w:pPr>
        <w:pStyle w:val="11"/>
        <w:spacing w:line="360" w:lineRule="auto"/>
        <w:ind w:firstLine="480" w:firstLineChars="200"/>
        <w:rPr>
          <w:rFonts w:hint="eastAsia"/>
          <w:color w:val="auto"/>
          <w:sz w:val="24"/>
          <w:szCs w:val="24"/>
          <w:highlight w:val="none"/>
        </w:rPr>
      </w:pPr>
      <w:r>
        <w:rPr>
          <w:rFonts w:hint="eastAsia"/>
          <w:color w:val="auto"/>
          <w:sz w:val="24"/>
          <w:szCs w:val="24"/>
          <w:highlight w:val="none"/>
        </w:rPr>
        <w:t>23）监控终端供电电源采用变压器式隔离电源，防止外部电源干扰与浪涌电压。</w:t>
      </w:r>
    </w:p>
    <w:p>
      <w:pPr>
        <w:pStyle w:val="11"/>
        <w:spacing w:line="360" w:lineRule="auto"/>
        <w:ind w:firstLine="480" w:firstLineChars="200"/>
        <w:rPr>
          <w:rFonts w:hint="eastAsia"/>
          <w:color w:val="auto"/>
          <w:highlight w:val="none"/>
          <w:lang w:val="en-US" w:eastAsia="zh-CN"/>
        </w:rPr>
      </w:pPr>
      <w:r>
        <w:rPr>
          <w:rFonts w:hint="eastAsia"/>
          <w:color w:val="auto"/>
          <w:sz w:val="24"/>
          <w:szCs w:val="24"/>
          <w:highlight w:val="none"/>
        </w:rPr>
        <w:t>24）监控终端为集成一体化设计，并强电与弱电相分离，防止强电干扰弱电及芯片增强监控终端可靠性。</w:t>
      </w:r>
    </w:p>
    <w:p>
      <w:pPr>
        <w:pStyle w:val="4"/>
        <w:numPr>
          <w:ilvl w:val="0"/>
          <w:numId w:val="7"/>
        </w:numPr>
        <w:spacing w:line="360" w:lineRule="exact"/>
        <w:ind w:left="0" w:leftChars="0" w:firstLine="0" w:firstLineChars="0"/>
        <w:rPr>
          <w:rFonts w:hint="eastAsia" w:ascii="宋体" w:hAnsi="宋体" w:eastAsia="宋体" w:cs="仿宋"/>
          <w:color w:val="auto"/>
          <w:sz w:val="24"/>
          <w:szCs w:val="24"/>
          <w:highlight w:val="none"/>
          <w:lang w:val="en-US" w:eastAsia="zh-CN"/>
        </w:rPr>
      </w:pPr>
      <w:r>
        <w:rPr>
          <w:rFonts w:hint="eastAsia" w:ascii="宋体" w:hAnsi="宋体" w:eastAsia="宋体" w:cs="仿宋"/>
          <w:color w:val="auto"/>
          <w:sz w:val="24"/>
          <w:szCs w:val="24"/>
          <w:highlight w:val="none"/>
          <w:lang w:val="en-US" w:eastAsia="zh-CN"/>
        </w:rPr>
        <w:t>商务要求：</w:t>
      </w:r>
    </w:p>
    <w:p>
      <w:pPr>
        <w:pStyle w:val="56"/>
        <w:spacing w:line="360" w:lineRule="auto"/>
        <w:ind w:left="0" w:leftChars="0" w:firstLine="240" w:firstLineChars="100"/>
        <w:rPr>
          <w:rFonts w:hint="eastAsia" w:ascii="宋体" w:hAnsi="Times New Roman" w:eastAsia="宋体" w:cs="Times New Roman"/>
          <w:color w:val="auto"/>
          <w:sz w:val="24"/>
          <w:highlight w:val="none"/>
          <w:lang w:val="en-US" w:eastAsia="zh-CN"/>
        </w:rPr>
      </w:pPr>
      <w:r>
        <w:rPr>
          <w:rFonts w:hint="eastAsia" w:ascii="宋体" w:hAnsi="Times New Roman" w:eastAsia="宋体" w:cs="Times New Roman"/>
          <w:color w:val="auto"/>
          <w:sz w:val="24"/>
          <w:highlight w:val="none"/>
          <w:lang w:val="en-US" w:eastAsia="zh-CN"/>
        </w:rPr>
        <w:t>1、</w:t>
      </w:r>
      <w:r>
        <w:rPr>
          <w:rFonts w:hint="eastAsia" w:cs="Times New Roman"/>
          <w:color w:val="auto"/>
          <w:sz w:val="24"/>
          <w:highlight w:val="none"/>
          <w:lang w:val="en-US" w:eastAsia="zh-CN"/>
        </w:rPr>
        <w:t>服务期限</w:t>
      </w:r>
      <w:r>
        <w:rPr>
          <w:rFonts w:hint="eastAsia" w:ascii="宋体" w:hAnsi="Times New Roman" w:eastAsia="宋体" w:cs="Times New Roman"/>
          <w:color w:val="auto"/>
          <w:sz w:val="24"/>
          <w:highlight w:val="none"/>
          <w:lang w:val="en-US" w:eastAsia="zh-CN"/>
        </w:rPr>
        <w:t>：供货合同签订后 30 日历天内交货。</w:t>
      </w:r>
    </w:p>
    <w:p>
      <w:pPr>
        <w:pStyle w:val="56"/>
        <w:spacing w:line="360" w:lineRule="auto"/>
        <w:ind w:left="0" w:leftChars="0" w:firstLine="240" w:firstLineChars="100"/>
        <w:rPr>
          <w:rFonts w:hint="eastAsia" w:ascii="宋体" w:hAnsi="Times New Roman" w:eastAsia="宋体" w:cs="Times New Roman"/>
          <w:color w:val="auto"/>
          <w:sz w:val="24"/>
          <w:highlight w:val="none"/>
          <w:lang w:val="en-US" w:eastAsia="zh-CN"/>
        </w:rPr>
      </w:pPr>
      <w:r>
        <w:rPr>
          <w:rFonts w:hint="eastAsia" w:ascii="宋体" w:hAnsi="Times New Roman" w:eastAsia="宋体" w:cs="Times New Roman"/>
          <w:color w:val="auto"/>
          <w:sz w:val="24"/>
          <w:highlight w:val="none"/>
          <w:lang w:val="en-US" w:eastAsia="zh-CN"/>
        </w:rPr>
        <w:t>2、履约地点：采购人指定地点。</w:t>
      </w:r>
    </w:p>
    <w:p>
      <w:pPr>
        <w:pStyle w:val="56"/>
        <w:spacing w:line="360" w:lineRule="auto"/>
        <w:ind w:left="0" w:leftChars="0" w:firstLine="240" w:firstLineChars="100"/>
        <w:rPr>
          <w:rFonts w:hint="eastAsia" w:cs="Times New Roman"/>
          <w:color w:val="auto"/>
          <w:sz w:val="24"/>
          <w:highlight w:val="none"/>
          <w:lang w:val="en-US" w:eastAsia="zh-CN"/>
        </w:rPr>
      </w:pPr>
      <w:r>
        <w:rPr>
          <w:rFonts w:hint="eastAsia" w:ascii="宋体" w:hAnsi="Times New Roman" w:eastAsia="宋体" w:cs="Times New Roman"/>
          <w:color w:val="auto"/>
          <w:sz w:val="24"/>
          <w:highlight w:val="none"/>
          <w:lang w:val="en-US" w:eastAsia="zh-CN"/>
        </w:rPr>
        <w:t>3、付款方式：</w:t>
      </w:r>
      <w:r>
        <w:rPr>
          <w:rFonts w:ascii="宋体" w:hAnsi="宋体" w:eastAsia="宋体" w:cs="宋体"/>
          <w:sz w:val="24"/>
          <w:szCs w:val="24"/>
        </w:rPr>
        <w:t>合同签订生效后，甲方收到乙方出具的票据凭证等相关资料，并在规定时间内完成相关资金支付审签程序后支付乙方合同总金额30%的预付货款；全部货物验收合格后，甲方收到乙方出具的票据凭证等相关资料，并完成相关资金支付审签程序后支付乙方合同总金额70%的货款；乙方须向甲方出具合法有效完整的完税发票及凭证资料进行支付结算。</w:t>
      </w:r>
    </w:p>
    <w:p>
      <w:pPr>
        <w:pStyle w:val="56"/>
        <w:spacing w:line="360" w:lineRule="auto"/>
        <w:ind w:left="0" w:leftChars="0" w:firstLine="240" w:firstLineChars="100"/>
        <w:rPr>
          <w:rFonts w:hint="default" w:cs="Times New Roman"/>
          <w:color w:val="auto"/>
          <w:sz w:val="24"/>
          <w:highlight w:val="none"/>
          <w:lang w:val="en-US" w:eastAsia="zh-CN"/>
        </w:rPr>
      </w:pPr>
      <w:r>
        <w:rPr>
          <w:rFonts w:hint="eastAsia" w:cs="Times New Roman"/>
          <w:color w:val="auto"/>
          <w:sz w:val="24"/>
          <w:highlight w:val="none"/>
          <w:lang w:val="en-US" w:eastAsia="zh-CN"/>
        </w:rPr>
        <w:t>4、质保期:2年</w:t>
      </w:r>
    </w:p>
    <w:p>
      <w:pPr>
        <w:pStyle w:val="56"/>
        <w:spacing w:line="360" w:lineRule="auto"/>
        <w:ind w:left="0" w:leftChars="0" w:firstLine="240" w:firstLineChars="100"/>
        <w:rPr>
          <w:rFonts w:hint="eastAsia" w:ascii="宋体" w:hAnsi="Times New Roman" w:eastAsia="宋体" w:cs="Times New Roman"/>
          <w:color w:val="auto"/>
          <w:sz w:val="24"/>
          <w:highlight w:val="none"/>
          <w:lang w:val="en-US" w:eastAsia="zh-CN"/>
        </w:rPr>
      </w:pPr>
      <w:r>
        <w:rPr>
          <w:rFonts w:hint="eastAsia" w:cs="Times New Roman"/>
          <w:color w:val="auto"/>
          <w:sz w:val="24"/>
          <w:highlight w:val="none"/>
          <w:lang w:val="en-US" w:eastAsia="zh-CN"/>
        </w:rPr>
        <w:t>5</w:t>
      </w:r>
      <w:r>
        <w:rPr>
          <w:rFonts w:hint="eastAsia" w:ascii="宋体" w:hAnsi="Times New Roman" w:eastAsia="宋体" w:cs="Times New Roman"/>
          <w:color w:val="auto"/>
          <w:sz w:val="24"/>
          <w:highlight w:val="none"/>
          <w:lang w:val="en-US" w:eastAsia="zh-CN"/>
        </w:rPr>
        <w:t xml:space="preserve">、验收及质量要求: </w:t>
      </w:r>
    </w:p>
    <w:p>
      <w:pPr>
        <w:pStyle w:val="56"/>
        <w:spacing w:line="360" w:lineRule="auto"/>
        <w:ind w:left="0" w:leftChars="0" w:firstLine="480" w:firstLineChars="200"/>
        <w:rPr>
          <w:rFonts w:hint="eastAsia" w:ascii="宋体" w:hAnsi="Times New Roman" w:eastAsia="宋体" w:cs="Times New Roman"/>
          <w:color w:val="auto"/>
          <w:sz w:val="24"/>
          <w:highlight w:val="none"/>
          <w:lang w:val="en-US" w:eastAsia="zh-CN"/>
        </w:rPr>
      </w:pPr>
      <w:r>
        <w:rPr>
          <w:rFonts w:hint="eastAsia" w:ascii="宋体" w:hAnsi="Times New Roman" w:eastAsia="宋体" w:cs="Times New Roman"/>
          <w:color w:val="auto"/>
          <w:sz w:val="24"/>
          <w:highlight w:val="none"/>
          <w:lang w:val="en-US" w:eastAsia="zh-CN"/>
        </w:rPr>
        <w:t>(1)货物必须达到国家相关技术标准,符合相关法律法规要求; 本项目采购人将严格按照政府采购相关法律法规以及严格按照《财政部关于进一步加强政府采购需求和履约验收管理的指导意见》(财库〔2016〕205 号)的要求组织验收，成果资料以通过</w:t>
      </w:r>
      <w:r>
        <w:rPr>
          <w:rFonts w:hint="eastAsia" w:cs="Times New Roman"/>
          <w:color w:val="auto"/>
          <w:sz w:val="24"/>
          <w:highlight w:val="none"/>
          <w:lang w:val="en-US" w:eastAsia="zh-CN"/>
        </w:rPr>
        <w:t>采购人</w:t>
      </w:r>
      <w:r>
        <w:rPr>
          <w:rFonts w:hint="eastAsia" w:ascii="宋体" w:hAnsi="Times New Roman" w:eastAsia="宋体" w:cs="Times New Roman"/>
          <w:color w:val="auto"/>
          <w:sz w:val="24"/>
          <w:highlight w:val="none"/>
          <w:lang w:val="en-US" w:eastAsia="zh-CN"/>
        </w:rPr>
        <w:t>审查为验收合格。</w:t>
      </w:r>
    </w:p>
    <w:p>
      <w:pPr>
        <w:pStyle w:val="56"/>
        <w:spacing w:line="360" w:lineRule="auto"/>
        <w:ind w:left="0" w:leftChars="0" w:firstLine="240" w:firstLineChars="100"/>
        <w:rPr>
          <w:rFonts w:hint="eastAsia" w:ascii="宋体" w:hAnsi="Times New Roman" w:eastAsia="宋体" w:cs="Times New Roman"/>
          <w:color w:val="auto"/>
          <w:sz w:val="24"/>
          <w:highlight w:val="none"/>
          <w:lang w:val="en-US" w:eastAsia="zh-CN"/>
        </w:rPr>
      </w:pPr>
      <w:r>
        <w:rPr>
          <w:rFonts w:hint="eastAsia" w:ascii="宋体" w:hAnsi="Times New Roman" w:eastAsia="宋体" w:cs="Times New Roman"/>
          <w:color w:val="auto"/>
          <w:sz w:val="24"/>
          <w:highlight w:val="none"/>
          <w:lang w:val="en-US" w:eastAsia="zh-CN"/>
        </w:rPr>
        <w:t xml:space="preserve"> </w:t>
      </w:r>
      <w:r>
        <w:rPr>
          <w:rFonts w:hint="eastAsia" w:cs="Times New Roman"/>
          <w:color w:val="auto"/>
          <w:sz w:val="24"/>
          <w:highlight w:val="none"/>
          <w:lang w:val="en-US" w:eastAsia="zh-CN"/>
        </w:rPr>
        <w:t xml:space="preserve"> </w:t>
      </w:r>
      <w:r>
        <w:rPr>
          <w:rFonts w:hint="eastAsia" w:ascii="宋体" w:hAnsi="Times New Roman" w:eastAsia="宋体" w:cs="Times New Roman"/>
          <w:color w:val="auto"/>
          <w:sz w:val="24"/>
          <w:highlight w:val="none"/>
          <w:lang w:val="en-US" w:eastAsia="zh-CN"/>
        </w:rPr>
        <w:t xml:space="preserve">(2)符合本项目的采购文件的要求; </w:t>
      </w:r>
    </w:p>
    <w:p>
      <w:pPr>
        <w:pStyle w:val="56"/>
        <w:spacing w:line="360" w:lineRule="auto"/>
        <w:ind w:left="0" w:leftChars="0" w:firstLine="480" w:firstLineChars="200"/>
        <w:rPr>
          <w:rFonts w:hint="eastAsia" w:ascii="宋体" w:hAnsi="Times New Roman" w:eastAsia="宋体" w:cs="Times New Roman"/>
          <w:color w:val="auto"/>
          <w:sz w:val="24"/>
          <w:highlight w:val="none"/>
          <w:lang w:val="en-US" w:eastAsia="zh-CN"/>
        </w:rPr>
      </w:pPr>
      <w:r>
        <w:rPr>
          <w:rFonts w:hint="eastAsia" w:ascii="宋体" w:hAnsi="Times New Roman" w:eastAsia="宋体" w:cs="Times New Roman"/>
          <w:color w:val="auto"/>
          <w:sz w:val="24"/>
          <w:highlight w:val="none"/>
          <w:lang w:val="en-US" w:eastAsia="zh-CN"/>
        </w:rPr>
        <w:t>(3)符合供应商响应文件的要求</w:t>
      </w:r>
    </w:p>
    <w:p>
      <w:pPr>
        <w:jc w:val="center"/>
        <w:rPr>
          <w:rFonts w:hint="eastAsia" w:ascii="宋体" w:hAnsi="宋体" w:cs="仿宋"/>
          <w:color w:val="auto"/>
          <w:sz w:val="36"/>
          <w:szCs w:val="36"/>
          <w:highlight w:val="none"/>
        </w:rPr>
      </w:pPr>
    </w:p>
    <w:p>
      <w:pPr>
        <w:pStyle w:val="2"/>
        <w:rPr>
          <w:rFonts w:hint="eastAsia" w:ascii="宋体" w:hAnsi="宋体" w:cs="仿宋"/>
          <w:color w:val="auto"/>
          <w:sz w:val="36"/>
          <w:szCs w:val="36"/>
          <w:highlight w:val="none"/>
        </w:rPr>
      </w:pPr>
    </w:p>
    <w:p>
      <w:pPr>
        <w:rPr>
          <w:rFonts w:hint="eastAsia" w:ascii="宋体" w:hAnsi="宋体" w:cs="仿宋"/>
          <w:color w:val="auto"/>
          <w:sz w:val="36"/>
          <w:szCs w:val="36"/>
          <w:highlight w:val="none"/>
        </w:rPr>
      </w:pPr>
    </w:p>
    <w:p>
      <w:pPr>
        <w:jc w:val="center"/>
        <w:rPr>
          <w:rFonts w:ascii="宋体" w:hAnsi="宋体" w:cs="仿宋"/>
          <w:color w:val="auto"/>
          <w:sz w:val="36"/>
          <w:szCs w:val="36"/>
          <w:highlight w:val="none"/>
        </w:rPr>
      </w:pPr>
      <w:r>
        <w:rPr>
          <w:rFonts w:hint="eastAsia" w:ascii="宋体" w:hAnsi="宋体" w:cs="仿宋"/>
          <w:color w:val="auto"/>
          <w:sz w:val="36"/>
          <w:szCs w:val="36"/>
          <w:highlight w:val="none"/>
        </w:rPr>
        <w:t>第七章  评标办法</w:t>
      </w:r>
      <w:bookmarkEnd w:id="188"/>
      <w:bookmarkEnd w:id="189"/>
      <w:bookmarkStart w:id="194" w:name="_Hlt101846155"/>
      <w:bookmarkEnd w:id="194"/>
      <w:bookmarkStart w:id="195" w:name="_Toc208849007"/>
      <w:bookmarkStart w:id="196" w:name="_Toc217446097"/>
      <w:bookmarkStart w:id="197" w:name="_Toc183582280"/>
      <w:bookmarkStart w:id="198" w:name="_Toc183682415"/>
    </w:p>
    <w:p>
      <w:pPr>
        <w:pStyle w:val="4"/>
        <w:rPr>
          <w:rFonts w:ascii="宋体" w:hAnsi="宋体" w:eastAsia="宋体" w:cs="仿宋"/>
          <w:color w:val="auto"/>
          <w:sz w:val="24"/>
          <w:szCs w:val="24"/>
          <w:highlight w:val="none"/>
        </w:rPr>
      </w:pPr>
      <w:r>
        <w:rPr>
          <w:rFonts w:hint="eastAsia" w:ascii="宋体" w:hAnsi="宋体" w:eastAsia="宋体" w:cs="仿宋"/>
          <w:color w:val="auto"/>
          <w:sz w:val="24"/>
          <w:szCs w:val="24"/>
          <w:highlight w:val="none"/>
        </w:rPr>
        <w:t>1. 总则</w:t>
      </w:r>
      <w:bookmarkEnd w:id="195"/>
      <w:bookmarkEnd w:id="196"/>
      <w:bookmarkEnd w:id="197"/>
      <w:bookmarkEnd w:id="198"/>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1.2 公开招标采购项目开标结束后，采购人或者采购代理机构应当依法对投标人的资格进行审查。依据法律法规和本招标文件的规定，对投标文件是否按照规定要求提供资格性证明材料、是否按照规定交纳投标保证金，以确定投标投标人是否具备投标资格。</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合格投标人不足三家的，不得评标。</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1.3 评标工作应遵循公平、公正、科学及择优的原则，并以相同的评标程序和标准对待所有的投标人。</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1.4 评标委员会按照招标文件规定的评标方法和标准进行评标，并独立履行下列职责：</w:t>
      </w:r>
    </w:p>
    <w:p>
      <w:pPr>
        <w:spacing w:line="400" w:lineRule="exact"/>
        <w:ind w:firstLine="480" w:firstLineChars="200"/>
        <w:rPr>
          <w:rFonts w:ascii="宋体" w:hAnsi="宋体" w:cs="仿宋"/>
          <w:color w:val="auto"/>
          <w:sz w:val="24"/>
          <w:highlight w:val="none"/>
        </w:rPr>
      </w:pPr>
      <w:bookmarkStart w:id="199" w:name="_Toc217446098"/>
      <w:r>
        <w:rPr>
          <w:rFonts w:hint="eastAsia" w:ascii="宋体" w:hAnsi="宋体" w:cs="仿宋"/>
          <w:color w:val="auto"/>
          <w:sz w:val="24"/>
          <w:highlight w:val="none"/>
        </w:rPr>
        <w:t>（一）熟悉和理解招标文件；</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（二）审查投标人（已通过资格审查）的投标文件是否满足招标文件要求，并作出评价；</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（三）根据需要要求招标采购单位对招标文件作出解释；根据需要要求投标人对投标文件有关事项作出澄清、说明或者更正；</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（四）推荐中标候选投标人，或者受采购人委托确定中标投标人；</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（五）起草评标报告并进行签署；</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（六）向招标采购单位、财政部门或者其他监督部门报告非法干预评标工作的行为；</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（七）法律、法规和规章规定的其他职责。</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1.5 评标过程独立、保密。投标人非法干预评标过程的行为将导致其投标文件作为无效处理。</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1.6 评标委员会评价投标文件的响应性，对于投标人而言，除评标委员会要求其澄清、说明或者更正而提供的资料外，仅依据投标文件本身的内容，不寻求其他外部证据。</w:t>
      </w:r>
    </w:p>
    <w:p>
      <w:pPr>
        <w:pStyle w:val="4"/>
        <w:rPr>
          <w:rFonts w:ascii="宋体" w:hAnsi="宋体" w:eastAsia="宋体" w:cs="仿宋"/>
          <w:color w:val="auto"/>
          <w:sz w:val="24"/>
          <w:szCs w:val="24"/>
          <w:highlight w:val="none"/>
        </w:rPr>
      </w:pPr>
      <w:r>
        <w:rPr>
          <w:rFonts w:hint="eastAsia" w:ascii="宋体" w:hAnsi="宋体" w:eastAsia="宋体" w:cs="仿宋"/>
          <w:color w:val="auto"/>
          <w:sz w:val="24"/>
          <w:szCs w:val="24"/>
          <w:highlight w:val="none"/>
        </w:rPr>
        <w:t>2、 评标</w:t>
      </w:r>
      <w:bookmarkEnd w:id="199"/>
      <w:r>
        <w:rPr>
          <w:rFonts w:hint="eastAsia" w:ascii="宋体" w:hAnsi="宋体" w:eastAsia="宋体" w:cs="仿宋"/>
          <w:color w:val="auto"/>
          <w:sz w:val="24"/>
          <w:szCs w:val="24"/>
          <w:highlight w:val="none"/>
        </w:rPr>
        <w:t>方法</w:t>
      </w:r>
    </w:p>
    <w:p>
      <w:pPr>
        <w:spacing w:line="360" w:lineRule="auto"/>
        <w:ind w:firstLine="480" w:firstLineChars="200"/>
        <w:rPr>
          <w:rFonts w:ascii="宋体" w:hAnsi="宋体" w:cs="仿宋"/>
          <w:color w:val="auto"/>
          <w:sz w:val="24"/>
          <w:highlight w:val="none"/>
        </w:rPr>
      </w:pPr>
      <w:bookmarkStart w:id="200" w:name="_Toc217446103"/>
      <w:bookmarkStart w:id="201" w:name="_Toc217446099"/>
      <w:r>
        <w:rPr>
          <w:rFonts w:hint="eastAsia" w:ascii="宋体" w:hAnsi="宋体" w:cs="仿宋"/>
          <w:color w:val="auto"/>
          <w:sz w:val="24"/>
          <w:highlight w:val="none"/>
        </w:rPr>
        <w:t>2.1本项目评标方法为：</w:t>
      </w:r>
      <w:r>
        <w:rPr>
          <w:rFonts w:hint="eastAsia" w:ascii="宋体" w:hAnsi="宋体" w:cs="仿宋"/>
          <w:b/>
          <w:bCs/>
          <w:color w:val="auto"/>
          <w:sz w:val="24"/>
          <w:highlight w:val="none"/>
        </w:rPr>
        <w:t>综合评分法</w:t>
      </w:r>
      <w:r>
        <w:rPr>
          <w:rFonts w:hint="eastAsia" w:ascii="宋体" w:hAnsi="宋体" w:cs="仿宋"/>
          <w:color w:val="auto"/>
          <w:sz w:val="24"/>
          <w:highlight w:val="none"/>
        </w:rPr>
        <w:t>。</w:t>
      </w:r>
    </w:p>
    <w:p>
      <w:pPr>
        <w:pStyle w:val="4"/>
        <w:rPr>
          <w:rFonts w:ascii="宋体" w:hAnsi="宋体" w:eastAsia="宋体" w:cs="仿宋"/>
          <w:color w:val="auto"/>
          <w:sz w:val="24"/>
          <w:szCs w:val="24"/>
          <w:highlight w:val="none"/>
        </w:rPr>
      </w:pPr>
      <w:r>
        <w:rPr>
          <w:rFonts w:hint="eastAsia" w:ascii="宋体" w:hAnsi="宋体" w:eastAsia="宋体" w:cs="仿宋"/>
          <w:color w:val="auto"/>
          <w:sz w:val="24"/>
          <w:szCs w:val="24"/>
          <w:highlight w:val="none"/>
        </w:rPr>
        <w:t>3、 评标程序</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3.1熟悉和理解招标文件和停止评标。</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3.1.2评标委员会熟悉和理解招标文件以及评标过程中，发现本招标文件有下列情形之一的，评标委员会应当停止评标：</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（1）招标文件的规定存在歧义、重大缺陷的；</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（2）招标文件明显以不合理条件对投标人实行差别待遇或者歧视待遇的；</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（3）采购项目属于国家规定的优先、强制采购范围，但是招标文件未依法体现优先、强制采购相关规定的；</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（4）采购项目属于政府采购促进中小企业发展的范围，但是招标文件未依法体现促进中小企业发展相关规定的；</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（6）招标文件将投标人的资格条件列为评分因素的；</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（7）招标文件有违反国家其他有关强制性规定的情形。</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3.2符合性检查。</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3.2.2投标文件（包括单独递交的开标一览表）有下列情形的，本项目不作为实质性要求进行规定，即不作为符合性审查事项，不得作为无效投标处理：</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（一）正副本数量齐全；</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（二）存在个别地方（不超过2个）没有法定代表人签字，但有法定代表人的私人印章或者有效授权代理人签字的；</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（三）除招标文件明确要求加盖单位(法人)公章的以外，其他地方以相关专用章加盖的；</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（四）以骑缝章的形式代替投标文件内容逐页盖章的（但是骑缝章模糊不清，印章名称无法辨认的除外）；</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（五）其他不影响采购项目实质性要求的情形。</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3.2.3除政府采购法律制度规定的情形外，本项目投标人或者其投标文件有下列情形之一的，作为无效投标处理：</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（一）投标文件正副本数量不足的；</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（二）投标文件组成明显不符合招标文件的规定要求，影响评标委员会评判的；</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（三）投标文件的格式、语言、计量单位、报价货币、知识产权、投标有效期等不符合招标文件的规定，影响评标委员会评判的；</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（四）投标报价不符合招标文件规定的采购预算或限价或其他报价规定的；</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五）技术应答内容完全或者绝大部分复制招标文件规定要求，且无相关证明材料的（主要适用于专用设备和电子信息化建设采购项目，政府采购工程、政府采购协议供货或定点投标人采购、政府采购的货物属于规格标准统一或者订制产品的除外）；</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（六）商务、技术、服务应答内容没有完全响应招标文件的实质性要求的；</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（七）未载明或者载明的招标项目履约时间、方式、数量及其他政府采购合同实质性内容与招标文件要求不一致，且招标采购单位无法接受的。</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（八）没有完全响应招标文件的其他实质性要求或属于招标文件中投标无效情形的。</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3.4复核。评分汇总结束后，评标委员会应当进行复核，特别要对拟推荐为中标候选人的、报价最低的、投标文件被认定为无效的进行重点复核。</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3.5推荐中标候选人。中标候选人应当排序。采用最低评标价法的，评标结果按投标报价由低到高顺序排列。投标报价相同的并列。投标文件满足招标文件全部实质性要求且投标报价最低的投标人为排名第一的中标候选人。报价相同且满足招标文件全部实质性要求的并列，由采购人自主采取随机抽取的方式选择中标人。采用综合评分法的，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排名并列的由采购人自主采取随机抽取的方式选择中标人。</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评标委员会可推荐的中标候选人数量不能满足招标文件规定的数量的，只有在获得采购人书面同意后，可以根据实际情况推荐中标候选人。未获得采购人的书面同意,评标委员会不得在招标文件规定之外推荐中标候选人，否则，采购人可以不予认可。</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3.6出具评标报告。评标委员会推荐中标候选人后，应当向招标采购单位出具评标报告。评标报告应当包括下列内容：</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（一）招标公告刊登的媒体名称、开标日期和地点；</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（二）获取招标文件的投标人名单和评标委员会成员名单；</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（三）评标方法和标准；</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（四）开标记录和评标情况及说明，包括无效投标人名单及原因；</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（五）评标结果和中标候选人排序表；</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（六）评标委员会授标建议；</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（七）报价最高的投标人为中标候选人的，评标委员会应当对其报价的合理性予以特别说明。</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3.7评标争议处理规则。评标委员会在评审过程中，对于符合性审查、对投标人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3.8投标人应当书面澄清、说明或者更正。</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3.8.1在评标过程中，投标人投标文件实质性符合招标文件要求的前提下，评标委员会对投标文件中含义不明确、同类问题表述不一致或者有明显文字和计算错误的内容，应当以书面形式（须由评标委员会全体成员签字）要求投标人作出必要的书面澄清、说明或者更正，并给予投标人必要的反馈时间。</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3.8.2投标人应当书面澄清、说明或者更正，并加盖公章或签字确认（投标人为法人的，应当由其法定代表人/单位负责人或者代理人签字确认；投标人为其他组织的，应当由其主要负责人或者代理人签字确认；投标人为自然人的，应当由其本人或者代理人签字确认），否则无效。澄清、说明或者更正不影响投标文件的效力，有效的澄清、说明或者更正材料，是投标文件的组成部分。</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3.8.3评标委员会要求投标人澄清、说明或者更正，不得超出招标文件的范围，不得以此让投标人实质改变投标文件的内容，不得影响投标人公平竞争。本项目下列内容不得澄清：</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（一）按财政部规定应当在评标时不予承认的投标文件内容事项；</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（二）投标文件中已经明确的内容事项；</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3.8.4 本项目采购过程中，投标文件报价出现前后不一致的，按照下列规定修正：</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（一）投标文件中开标一览表（报价表）内容与投标文件中相应内容不一致的，以开标一览表（报价表）为准；</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（二）大写金额和小写金额不一致的，以大写金额为准；</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（三）单价金额小数点或者百分比有明显错位的，以开标一览表的总价为准，并修改单价；</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（四）总价金额与按单价汇总金额不一致的，以单价金额计算结果为准。</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同时出现两种以上不一致的，按照前款规定的顺序修正。修正后的报价按照本章3.8.1-3.8.3的规定经投标人确认后产生约束力，投标人不确认的，其投标无效。</w:t>
      </w:r>
    </w:p>
    <w:p>
      <w:pPr>
        <w:spacing w:line="400" w:lineRule="exact"/>
        <w:ind w:firstLine="482" w:firstLineChars="200"/>
        <w:rPr>
          <w:rFonts w:ascii="宋体" w:hAnsi="宋体" w:cs="仿宋"/>
          <w:b/>
          <w:color w:val="auto"/>
          <w:sz w:val="24"/>
          <w:highlight w:val="none"/>
        </w:rPr>
      </w:pPr>
      <w:r>
        <w:rPr>
          <w:rFonts w:hint="eastAsia" w:ascii="宋体" w:hAnsi="宋体" w:cs="仿宋"/>
          <w:b/>
          <w:color w:val="auto"/>
          <w:sz w:val="24"/>
          <w:highlight w:val="none"/>
        </w:rPr>
        <w:t>注：评标委员会当积极履行澄清、说明或者更正的职责，不得滥用权力。投标人的投标文件应当要求澄清、说明或者更正的，不得未经澄清、说明或者更正而直接作无效投标处理。</w:t>
      </w:r>
    </w:p>
    <w:p>
      <w:pPr>
        <w:pStyle w:val="60"/>
        <w:spacing w:line="400" w:lineRule="exact"/>
        <w:ind w:firstLine="480" w:firstLineChars="200"/>
        <w:jc w:val="both"/>
        <w:rPr>
          <w:rFonts w:cs="仿宋"/>
          <w:color w:val="auto"/>
          <w:highlight w:val="none"/>
        </w:rPr>
      </w:pPr>
      <w:r>
        <w:rPr>
          <w:rFonts w:hint="eastAsia" w:cs="仿宋"/>
          <w:color w:val="auto"/>
          <w:highlight w:val="none"/>
        </w:rPr>
        <w:t>3.9 低于成本价投标处理。</w:t>
      </w:r>
      <w:bookmarkStart w:id="202" w:name="_Hlk534972659"/>
      <w:r>
        <w:rPr>
          <w:rFonts w:hint="eastAsia" w:cs="仿宋"/>
          <w:color w:val="auto"/>
          <w:highlight w:val="none"/>
        </w:rPr>
        <w:t>在评标过程中，评标委员会认为投标人的报价明显低于其他通过符合性审查投标人的报价，有可能影响产品质量或者不能诚信履约的，应当要求其在评标现场合理的时间内提供书面说明，并提交相关证明材料；投标人书面说明应当按照国家财务会计制度的规定要求，逐项就投标人提供的货物、工程和服务的主营业务成本（应根据投标人企业类型予以区别）、税金及附加、销售费用、管理费用、财务费用等成本构成事项详细陈述。投标人不能证明其报价合理性的，评标委员会应当将其作为无效投标处理。</w:t>
      </w:r>
      <w:bookmarkEnd w:id="202"/>
    </w:p>
    <w:p>
      <w:pPr>
        <w:pStyle w:val="60"/>
        <w:spacing w:line="400" w:lineRule="exact"/>
        <w:ind w:firstLine="480" w:firstLineChars="200"/>
        <w:jc w:val="both"/>
        <w:rPr>
          <w:rFonts w:cs="仿宋"/>
          <w:color w:val="auto"/>
          <w:highlight w:val="none"/>
        </w:rPr>
      </w:pPr>
      <w:r>
        <w:rPr>
          <w:rFonts w:hint="eastAsia" w:cs="仿宋"/>
          <w:color w:val="auto"/>
          <w:highlight w:val="none"/>
        </w:rPr>
        <w:t>投标人书面说明应当签字确认或者加盖公章，否则无效。书面说明的签字确认，投标人为法人的，由其法定代表人/单位负责人或者代理人签字确认；投标人为其他组织的，由其主要负责人或者代理人签字确认；投标人为自然人的，由其本人或者代理人签字确认。</w:t>
      </w:r>
    </w:p>
    <w:p>
      <w:pPr>
        <w:pStyle w:val="60"/>
        <w:spacing w:line="400" w:lineRule="exact"/>
        <w:ind w:firstLine="480" w:firstLineChars="200"/>
        <w:jc w:val="both"/>
        <w:rPr>
          <w:rFonts w:cs="仿宋"/>
          <w:color w:val="auto"/>
          <w:highlight w:val="none"/>
        </w:rPr>
      </w:pPr>
      <w:r>
        <w:rPr>
          <w:rFonts w:hint="eastAsia" w:cs="仿宋"/>
          <w:color w:val="auto"/>
          <w:highlight w:val="none"/>
        </w:rPr>
        <w:t>投标人提供书面说明后，评标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投标文件、响应文件作为无效处理。</w:t>
      </w:r>
    </w:p>
    <w:p>
      <w:pPr>
        <w:pStyle w:val="60"/>
        <w:spacing w:line="400" w:lineRule="exact"/>
        <w:ind w:firstLine="480" w:firstLineChars="200"/>
        <w:jc w:val="both"/>
        <w:rPr>
          <w:rFonts w:cs="仿宋"/>
          <w:color w:val="auto"/>
          <w:highlight w:val="none"/>
        </w:rPr>
      </w:pPr>
      <w:r>
        <w:rPr>
          <w:rFonts w:hint="eastAsia" w:cs="仿宋"/>
          <w:color w:val="auto"/>
          <w:highlight w:val="none"/>
        </w:rPr>
        <w:t>3.10招标采购单位现场复核评标结果。</w:t>
      </w:r>
    </w:p>
    <w:p>
      <w:pPr>
        <w:pStyle w:val="60"/>
        <w:spacing w:line="400" w:lineRule="exact"/>
        <w:ind w:firstLine="480" w:firstLineChars="200"/>
        <w:jc w:val="both"/>
        <w:rPr>
          <w:rFonts w:cs="仿宋"/>
          <w:color w:val="auto"/>
          <w:highlight w:val="none"/>
        </w:rPr>
      </w:pPr>
      <w:r>
        <w:rPr>
          <w:rFonts w:hint="eastAsia" w:cs="仿宋"/>
          <w:color w:val="auto"/>
          <w:highlight w:val="none"/>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60"/>
        <w:spacing w:line="400" w:lineRule="exact"/>
        <w:ind w:firstLine="480" w:firstLineChars="200"/>
        <w:jc w:val="both"/>
        <w:rPr>
          <w:rFonts w:cs="仿宋"/>
          <w:color w:val="auto"/>
          <w:highlight w:val="none"/>
        </w:rPr>
      </w:pPr>
      <w:r>
        <w:rPr>
          <w:rFonts w:hint="eastAsia" w:cs="仿宋"/>
          <w:color w:val="auto"/>
          <w:highlight w:val="none"/>
        </w:rPr>
        <w:t>（一）分值汇总计算错误的；</w:t>
      </w:r>
    </w:p>
    <w:p>
      <w:pPr>
        <w:pStyle w:val="60"/>
        <w:spacing w:line="400" w:lineRule="exact"/>
        <w:ind w:firstLine="480" w:firstLineChars="200"/>
        <w:jc w:val="both"/>
        <w:rPr>
          <w:rFonts w:cs="仿宋"/>
          <w:color w:val="auto"/>
          <w:highlight w:val="none"/>
        </w:rPr>
      </w:pPr>
      <w:r>
        <w:rPr>
          <w:rFonts w:hint="eastAsia" w:cs="仿宋"/>
          <w:color w:val="auto"/>
          <w:highlight w:val="none"/>
        </w:rPr>
        <w:t>（二）分项评分超出评分标准范围的；</w:t>
      </w:r>
    </w:p>
    <w:p>
      <w:pPr>
        <w:pStyle w:val="60"/>
        <w:spacing w:line="400" w:lineRule="exact"/>
        <w:ind w:firstLine="480" w:firstLineChars="200"/>
        <w:jc w:val="both"/>
        <w:rPr>
          <w:rFonts w:cs="仿宋"/>
          <w:color w:val="auto"/>
          <w:highlight w:val="none"/>
        </w:rPr>
      </w:pPr>
      <w:r>
        <w:rPr>
          <w:rFonts w:hint="eastAsia" w:cs="仿宋"/>
          <w:color w:val="auto"/>
          <w:highlight w:val="none"/>
        </w:rPr>
        <w:t>（三）客观评分不一致的；</w:t>
      </w:r>
    </w:p>
    <w:p>
      <w:pPr>
        <w:pStyle w:val="60"/>
        <w:spacing w:line="400" w:lineRule="exact"/>
        <w:ind w:firstLine="480" w:firstLineChars="200"/>
        <w:jc w:val="both"/>
        <w:rPr>
          <w:rFonts w:cs="仿宋"/>
          <w:color w:val="auto"/>
          <w:highlight w:val="none"/>
        </w:rPr>
      </w:pPr>
      <w:r>
        <w:rPr>
          <w:rFonts w:hint="eastAsia" w:cs="仿宋"/>
          <w:color w:val="auto"/>
          <w:highlight w:val="none"/>
        </w:rPr>
        <w:t>（四）经评标委员会认定评分畸高畸低的。</w:t>
      </w:r>
    </w:p>
    <w:p>
      <w:pPr>
        <w:pStyle w:val="60"/>
        <w:spacing w:line="400" w:lineRule="exact"/>
        <w:ind w:firstLine="480" w:firstLineChars="200"/>
        <w:jc w:val="both"/>
        <w:rPr>
          <w:rFonts w:cs="仿宋"/>
          <w:color w:val="auto"/>
          <w:highlight w:val="none"/>
        </w:rPr>
      </w:pPr>
      <w:r>
        <w:rPr>
          <w:rFonts w:hint="eastAsia" w:cs="仿宋"/>
          <w:color w:val="auto"/>
          <w:highlight w:val="none"/>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60"/>
        <w:spacing w:line="400" w:lineRule="exact"/>
        <w:ind w:firstLine="480" w:firstLineChars="200"/>
        <w:jc w:val="both"/>
        <w:rPr>
          <w:rFonts w:cs="仿宋"/>
          <w:color w:val="auto"/>
          <w:highlight w:val="none"/>
        </w:rPr>
      </w:pPr>
      <w:r>
        <w:rPr>
          <w:rFonts w:hint="eastAsia" w:cs="仿宋"/>
          <w:color w:val="auto"/>
          <w:highlight w:val="none"/>
        </w:rPr>
        <w:t>3.10.2有下列情形之一的，不得修改评标结果或者重新评审：</w:t>
      </w:r>
    </w:p>
    <w:p>
      <w:pPr>
        <w:pStyle w:val="60"/>
        <w:spacing w:line="400" w:lineRule="exact"/>
        <w:ind w:firstLine="480" w:firstLineChars="200"/>
        <w:jc w:val="both"/>
        <w:rPr>
          <w:rFonts w:cs="仿宋"/>
          <w:color w:val="auto"/>
          <w:highlight w:val="none"/>
        </w:rPr>
      </w:pPr>
      <w:r>
        <w:rPr>
          <w:rFonts w:hint="eastAsia" w:cs="仿宋"/>
          <w:color w:val="auto"/>
          <w:highlight w:val="none"/>
        </w:rPr>
        <w:t>（一）招标采购单位现场复核时，复核工作人员数量不足的；</w:t>
      </w:r>
    </w:p>
    <w:p>
      <w:pPr>
        <w:pStyle w:val="60"/>
        <w:spacing w:line="400" w:lineRule="exact"/>
        <w:ind w:firstLine="480" w:firstLineChars="200"/>
        <w:jc w:val="both"/>
        <w:rPr>
          <w:rFonts w:cs="仿宋"/>
          <w:color w:val="auto"/>
          <w:highlight w:val="none"/>
        </w:rPr>
      </w:pPr>
      <w:r>
        <w:rPr>
          <w:rFonts w:hint="eastAsia" w:cs="仿宋"/>
          <w:color w:val="auto"/>
          <w:highlight w:val="none"/>
        </w:rPr>
        <w:t>（二）招标采购单位现场复核时，没有采购监督人员现场监督的；</w:t>
      </w:r>
    </w:p>
    <w:p>
      <w:pPr>
        <w:pStyle w:val="60"/>
        <w:spacing w:line="400" w:lineRule="exact"/>
        <w:ind w:firstLine="480" w:firstLineChars="200"/>
        <w:jc w:val="both"/>
        <w:rPr>
          <w:rFonts w:cs="仿宋"/>
          <w:color w:val="auto"/>
          <w:highlight w:val="none"/>
        </w:rPr>
      </w:pPr>
      <w:r>
        <w:rPr>
          <w:rFonts w:hint="eastAsia" w:cs="仿宋"/>
          <w:color w:val="auto"/>
          <w:highlight w:val="none"/>
        </w:rPr>
        <w:t>（三）招标采购单位现场复核内容超出规定范围的；</w:t>
      </w:r>
    </w:p>
    <w:p>
      <w:pPr>
        <w:pStyle w:val="60"/>
        <w:spacing w:line="400" w:lineRule="exact"/>
        <w:ind w:firstLine="480" w:firstLineChars="200"/>
        <w:jc w:val="both"/>
        <w:rPr>
          <w:rFonts w:cs="仿宋"/>
          <w:color w:val="auto"/>
          <w:highlight w:val="none"/>
        </w:rPr>
      </w:pPr>
      <w:r>
        <w:rPr>
          <w:rFonts w:hint="eastAsia" w:cs="仿宋"/>
          <w:color w:val="auto"/>
          <w:highlight w:val="none"/>
        </w:rPr>
        <w:t>（四）招标采购单位未提供书面建议的。</w:t>
      </w:r>
    </w:p>
    <w:p>
      <w:pPr>
        <w:pStyle w:val="4"/>
        <w:rPr>
          <w:rFonts w:ascii="宋体" w:hAnsi="宋体" w:eastAsia="宋体" w:cs="仿宋"/>
          <w:color w:val="auto"/>
          <w:sz w:val="24"/>
          <w:szCs w:val="24"/>
          <w:highlight w:val="none"/>
        </w:rPr>
      </w:pPr>
      <w:r>
        <w:rPr>
          <w:rFonts w:hint="eastAsia" w:ascii="宋体" w:hAnsi="宋体" w:eastAsia="宋体" w:cs="仿宋"/>
          <w:color w:val="auto"/>
          <w:sz w:val="24"/>
          <w:szCs w:val="24"/>
          <w:highlight w:val="none"/>
        </w:rPr>
        <w:t>4. 评标细则及标准</w:t>
      </w:r>
      <w:bookmarkEnd w:id="200"/>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4.1本项目采用综合评分法，评分因素详见综合评分明细表。</w:t>
      </w:r>
    </w:p>
    <w:p>
      <w:pPr>
        <w:pStyle w:val="60"/>
        <w:spacing w:line="400" w:lineRule="exact"/>
        <w:ind w:firstLine="480" w:firstLineChars="200"/>
        <w:jc w:val="both"/>
        <w:rPr>
          <w:rFonts w:cs="仿宋"/>
          <w:color w:val="auto"/>
          <w:highlight w:val="none"/>
        </w:rPr>
      </w:pPr>
      <w:r>
        <w:rPr>
          <w:rFonts w:hint="eastAsia" w:cs="仿宋"/>
          <w:color w:val="auto"/>
          <w:highlight w:val="none"/>
        </w:rPr>
        <w:t>4.2 评标委员会成员应当根据自身专业情况对每个有效投标投标人的投标文件进行独立评分，加权汇总每项评分因素的得分，得出每个有效投标投标人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0"/>
        <w:tabs>
          <w:tab w:val="left" w:pos="600"/>
        </w:tabs>
        <w:spacing w:line="400" w:lineRule="exact"/>
        <w:ind w:firstLine="480" w:firstLineChars="200"/>
        <w:rPr>
          <w:rFonts w:ascii="宋体" w:hAnsi="宋体" w:cs="仿宋"/>
          <w:color w:val="auto"/>
          <w:sz w:val="24"/>
          <w:szCs w:val="24"/>
          <w:highlight w:val="none"/>
        </w:rPr>
      </w:pPr>
      <w:r>
        <w:rPr>
          <w:rFonts w:hint="eastAsia" w:ascii="宋体" w:hAnsi="宋体" w:cs="仿宋"/>
          <w:color w:val="auto"/>
          <w:sz w:val="24"/>
          <w:szCs w:val="24"/>
          <w:highlight w:val="none"/>
        </w:rPr>
        <w:t>4.3综合评分明细表</w:t>
      </w:r>
    </w:p>
    <w:p>
      <w:pPr>
        <w:pStyle w:val="10"/>
        <w:tabs>
          <w:tab w:val="left" w:pos="600"/>
        </w:tabs>
        <w:spacing w:line="400" w:lineRule="exact"/>
        <w:ind w:firstLine="480" w:firstLineChars="200"/>
        <w:rPr>
          <w:rFonts w:ascii="宋体" w:hAnsi="宋体" w:cs="仿宋"/>
          <w:color w:val="auto"/>
          <w:sz w:val="24"/>
          <w:szCs w:val="24"/>
          <w:highlight w:val="none"/>
        </w:rPr>
      </w:pPr>
      <w:r>
        <w:rPr>
          <w:rFonts w:hint="eastAsia" w:ascii="宋体" w:hAnsi="宋体" w:cs="仿宋"/>
          <w:color w:val="auto"/>
          <w:sz w:val="24"/>
          <w:szCs w:val="24"/>
          <w:highlight w:val="none"/>
        </w:rPr>
        <w:t>4.3.1综合评分明细表的制定以科学合理、降低评委会自由裁量权为原则。</w:t>
      </w:r>
    </w:p>
    <w:p>
      <w:pPr>
        <w:widowControl/>
        <w:spacing w:line="400" w:lineRule="exact"/>
        <w:ind w:firstLine="480" w:firstLineChars="200"/>
        <w:jc w:val="left"/>
        <w:rPr>
          <w:rFonts w:ascii="宋体" w:hAnsi="宋体" w:cs="仿宋"/>
          <w:color w:val="auto"/>
          <w:sz w:val="24"/>
          <w:highlight w:val="none"/>
        </w:rPr>
      </w:pPr>
      <w:r>
        <w:rPr>
          <w:rFonts w:hint="eastAsia" w:ascii="宋体" w:hAnsi="宋体" w:cs="仿宋"/>
          <w:color w:val="auto"/>
          <w:sz w:val="24"/>
          <w:highlight w:val="none"/>
        </w:rPr>
        <w:t>4.3.2 综合评分明细表按须知表中的相关要求进行价格调整，再参与价格分评审。</w:t>
      </w:r>
    </w:p>
    <w:p>
      <w:pPr>
        <w:pStyle w:val="2"/>
        <w:rPr>
          <w:rFonts w:hint="eastAsia" w:ascii="宋体" w:hAnsi="宋体" w:cs="仿宋"/>
          <w:color w:val="auto"/>
          <w:sz w:val="24"/>
          <w:highlight w:val="none"/>
        </w:rPr>
      </w:pPr>
      <w:r>
        <w:rPr>
          <w:rFonts w:hint="eastAsia" w:ascii="宋体" w:hAnsi="宋体" w:cs="仿宋"/>
          <w:color w:val="auto"/>
          <w:sz w:val="24"/>
          <w:highlight w:val="none"/>
        </w:rPr>
        <w:t>4.3.3综合评分明细表</w:t>
      </w:r>
      <w:bookmarkStart w:id="203" w:name="_Toc217446059"/>
    </w:p>
    <w:p>
      <w:pPr>
        <w:pStyle w:val="12"/>
        <w:ind w:left="0" w:leftChars="0" w:firstLine="0" w:firstLineChars="0"/>
        <w:rPr>
          <w:rFonts w:hint="eastAsia" w:ascii="宋体" w:hAnsi="宋体" w:cs="仿宋"/>
          <w:color w:val="auto"/>
          <w:sz w:val="24"/>
          <w:highlight w:val="none"/>
          <w:lang w:val="en-US" w:eastAsia="zh-CN"/>
        </w:rPr>
      </w:pPr>
      <w:r>
        <w:rPr>
          <w:rFonts w:hint="eastAsia" w:ascii="宋体" w:hAnsi="宋体" w:cs="仿宋"/>
          <w:color w:val="auto"/>
          <w:sz w:val="24"/>
          <w:highlight w:val="none"/>
          <w:lang w:eastAsia="zh-CN"/>
        </w:rPr>
        <w:t>（</w:t>
      </w:r>
      <w:r>
        <w:rPr>
          <w:rFonts w:hint="eastAsia" w:ascii="宋体" w:hAnsi="宋体" w:cs="仿宋"/>
          <w:color w:val="auto"/>
          <w:sz w:val="24"/>
          <w:highlight w:val="none"/>
          <w:lang w:val="en-US" w:eastAsia="zh-CN"/>
        </w:rPr>
        <w:t>1</w:t>
      </w:r>
      <w:r>
        <w:rPr>
          <w:rFonts w:hint="eastAsia" w:ascii="宋体" w:hAnsi="宋体" w:cs="仿宋"/>
          <w:color w:val="auto"/>
          <w:sz w:val="24"/>
          <w:highlight w:val="none"/>
          <w:lang w:eastAsia="zh-CN"/>
        </w:rPr>
        <w:t>）</w:t>
      </w:r>
      <w:r>
        <w:rPr>
          <w:rFonts w:hint="eastAsia" w:ascii="宋体" w:hAnsi="宋体" w:cs="仿宋"/>
          <w:color w:val="auto"/>
          <w:sz w:val="24"/>
          <w:highlight w:val="none"/>
          <w:lang w:val="en-US" w:eastAsia="zh-CN"/>
        </w:rPr>
        <w:t>1包：电缆采购</w:t>
      </w:r>
      <w:r>
        <w:rPr>
          <w:rFonts w:hint="eastAsia" w:ascii="宋体" w:hAnsi="宋体" w:cs="仿宋"/>
          <w:color w:val="auto"/>
          <w:sz w:val="24"/>
          <w:highlight w:val="none"/>
        </w:rPr>
        <w:t>综合评分明细表</w:t>
      </w:r>
    </w:p>
    <w:tbl>
      <w:tblPr>
        <w:tblStyle w:val="22"/>
        <w:tblpPr w:leftFromText="180" w:rightFromText="180" w:vertAnchor="text" w:horzAnchor="page" w:tblpX="1389" w:tblpY="450"/>
        <w:tblOverlap w:val="never"/>
        <w:tblW w:w="995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6"/>
        <w:gridCol w:w="1164"/>
        <w:gridCol w:w="5996"/>
        <w:gridCol w:w="16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6" w:hRule="atLeast"/>
        </w:trPr>
        <w:tc>
          <w:tcPr>
            <w:tcW w:w="1166" w:type="dxa"/>
            <w:vAlign w:val="center"/>
          </w:tcPr>
          <w:p>
            <w:pPr>
              <w:pStyle w:val="2"/>
              <w:jc w:val="center"/>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评委类型</w:t>
            </w:r>
          </w:p>
        </w:tc>
        <w:tc>
          <w:tcPr>
            <w:tcW w:w="1164" w:type="dxa"/>
            <w:tcMar>
              <w:top w:w="0" w:type="dxa"/>
              <w:left w:w="80" w:type="dxa"/>
              <w:bottom w:w="0" w:type="dxa"/>
              <w:right w:w="0" w:type="dxa"/>
            </w:tcMar>
            <w:vAlign w:val="center"/>
          </w:tcPr>
          <w:p>
            <w:pPr>
              <w:pStyle w:val="2"/>
              <w:jc w:val="center"/>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评审项目</w:t>
            </w:r>
          </w:p>
        </w:tc>
        <w:tc>
          <w:tcPr>
            <w:tcW w:w="5996" w:type="dxa"/>
            <w:tcMar>
              <w:top w:w="0" w:type="dxa"/>
              <w:left w:w="80" w:type="dxa"/>
              <w:bottom w:w="0" w:type="dxa"/>
              <w:right w:w="0" w:type="dxa"/>
            </w:tcMar>
            <w:vAlign w:val="center"/>
          </w:tcPr>
          <w:p>
            <w:pPr>
              <w:pStyle w:val="2"/>
              <w:jc w:val="center"/>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评分标准</w:t>
            </w:r>
          </w:p>
        </w:tc>
        <w:tc>
          <w:tcPr>
            <w:tcW w:w="1632" w:type="dxa"/>
            <w:tcMar>
              <w:top w:w="0" w:type="dxa"/>
              <w:left w:w="80" w:type="dxa"/>
              <w:bottom w:w="0" w:type="dxa"/>
              <w:right w:w="0" w:type="dxa"/>
            </w:tcMar>
            <w:vAlign w:val="center"/>
          </w:tcPr>
          <w:p>
            <w:pPr>
              <w:pStyle w:val="2"/>
              <w:jc w:val="center"/>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分值（</w:t>
            </w:r>
            <w:r>
              <w:rPr>
                <w:rFonts w:hint="eastAsia" w:ascii="宋体" w:hAnsi="宋体" w:eastAsia="宋体" w:cs="仿宋"/>
                <w:color w:val="auto"/>
                <w:sz w:val="24"/>
                <w:highlight w:val="none"/>
                <w:lang w:val="en-US" w:eastAsia="zh-CN"/>
              </w:rPr>
              <w:t>100分</w:t>
            </w:r>
            <w:r>
              <w:rPr>
                <w:rFonts w:hint="eastAsia" w:ascii="宋体" w:hAnsi="宋体" w:eastAsia="宋体" w:cs="仿宋"/>
                <w:color w:val="auto"/>
                <w:sz w:val="24"/>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6" w:hRule="atLeast"/>
        </w:trPr>
        <w:tc>
          <w:tcPr>
            <w:tcW w:w="1166" w:type="dxa"/>
            <w:vAlign w:val="center"/>
          </w:tcPr>
          <w:p>
            <w:pPr>
              <w:pStyle w:val="2"/>
              <w:rPr>
                <w:rFonts w:hint="eastAsia" w:ascii="宋体" w:hAnsi="宋体" w:eastAsia="宋体" w:cs="仿宋"/>
                <w:color w:val="auto"/>
                <w:sz w:val="24"/>
                <w:highlight w:val="none"/>
                <w:lang w:eastAsia="zh-CN"/>
              </w:rPr>
            </w:pPr>
          </w:p>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共同评分因素</w:t>
            </w:r>
          </w:p>
        </w:tc>
        <w:tc>
          <w:tcPr>
            <w:tcW w:w="1164" w:type="dxa"/>
            <w:tcMar>
              <w:top w:w="0" w:type="dxa"/>
              <w:left w:w="80" w:type="dxa"/>
              <w:bottom w:w="0" w:type="dxa"/>
              <w:right w:w="0" w:type="dxa"/>
            </w:tcMar>
            <w:vAlign w:val="center"/>
          </w:tcPr>
          <w:p>
            <w:pPr>
              <w:pStyle w:val="2"/>
              <w:rPr>
                <w:rFonts w:hint="eastAsia" w:ascii="宋体" w:hAnsi="宋体" w:eastAsia="宋体" w:cs="仿宋"/>
                <w:color w:val="auto"/>
                <w:sz w:val="24"/>
                <w:highlight w:val="none"/>
                <w:lang w:val="en-US" w:eastAsia="zh-CN"/>
              </w:rPr>
            </w:pPr>
            <w:r>
              <w:rPr>
                <w:rFonts w:hint="eastAsia" w:ascii="宋体" w:hAnsi="宋体" w:eastAsia="宋体" w:cs="仿宋"/>
                <w:color w:val="auto"/>
                <w:sz w:val="24"/>
                <w:highlight w:val="none"/>
                <w:lang w:eastAsia="zh-CN"/>
              </w:rPr>
              <w:t>报价评审</w:t>
            </w:r>
          </w:p>
        </w:tc>
        <w:tc>
          <w:tcPr>
            <w:tcW w:w="5996" w:type="dxa"/>
            <w:tcMar>
              <w:top w:w="0" w:type="dxa"/>
              <w:left w:w="80" w:type="dxa"/>
              <w:bottom w:w="0" w:type="dxa"/>
              <w:right w:w="0" w:type="dxa"/>
            </w:tcMar>
            <w:vAlign w:val="top"/>
          </w:tcPr>
          <w:p>
            <w:pPr>
              <w:pStyle w:val="2"/>
              <w:rPr>
                <w:rFonts w:hint="default" w:ascii="宋体" w:hAnsi="宋体" w:eastAsia="宋体" w:cs="仿宋"/>
                <w:color w:val="auto"/>
                <w:sz w:val="24"/>
                <w:highlight w:val="none"/>
                <w:lang w:val="en-US" w:eastAsia="zh-CN"/>
              </w:rPr>
            </w:pPr>
            <w:r>
              <w:rPr>
                <w:rFonts w:hint="eastAsia" w:ascii="宋体" w:hAnsi="宋体" w:cs="仿宋"/>
                <w:color w:val="auto"/>
                <w:sz w:val="24"/>
                <w:highlight w:val="none"/>
                <w:lang w:eastAsia="zh-CN"/>
              </w:rPr>
              <w:t>投标报价得分采用低价优先法计算，既满足招标文件要求且投标报价最低的投标报价为评标基准价，其价格分为满分，其他投标人的投标报价得分统一按照下列公式计算：投标报价得分＝（评标基准价/投标报价）×</w:t>
            </w:r>
            <w:r>
              <w:rPr>
                <w:rFonts w:hint="eastAsia" w:ascii="宋体" w:hAnsi="宋体" w:cs="仿宋"/>
                <w:color w:val="auto"/>
                <w:sz w:val="24"/>
                <w:highlight w:val="none"/>
                <w:lang w:val="en-US" w:eastAsia="zh-CN"/>
              </w:rPr>
              <w:t>30</w:t>
            </w:r>
          </w:p>
        </w:tc>
        <w:tc>
          <w:tcPr>
            <w:tcW w:w="1632" w:type="dxa"/>
            <w:tcMar>
              <w:top w:w="0" w:type="dxa"/>
              <w:left w:w="80" w:type="dxa"/>
              <w:bottom w:w="0" w:type="dxa"/>
              <w:right w:w="0" w:type="dxa"/>
            </w:tcMar>
            <w:vAlign w:val="center"/>
          </w:tcPr>
          <w:p>
            <w:pPr>
              <w:pStyle w:val="2"/>
              <w:jc w:val="center"/>
              <w:rPr>
                <w:rFonts w:hint="eastAsia" w:ascii="宋体" w:hAnsi="宋体" w:eastAsia="宋体" w:cs="仿宋"/>
                <w:color w:val="auto"/>
                <w:sz w:val="24"/>
                <w:highlight w:val="none"/>
                <w:lang w:eastAsia="zh-CN"/>
              </w:rPr>
            </w:pPr>
            <w:r>
              <w:rPr>
                <w:rFonts w:hint="eastAsia" w:ascii="宋体" w:hAnsi="宋体" w:cs="仿宋"/>
                <w:color w:val="auto"/>
                <w:sz w:val="24"/>
                <w:highlight w:val="none"/>
                <w:lang w:val="en-US" w:eastAsia="zh-CN"/>
              </w:rPr>
              <w:t>30</w:t>
            </w:r>
            <w:r>
              <w:rPr>
                <w:rFonts w:hint="eastAsia" w:ascii="宋体" w:hAnsi="宋体" w:eastAsia="宋体" w:cs="仿宋"/>
                <w:color w:val="auto"/>
                <w:sz w:val="24"/>
                <w:highlight w:val="none"/>
                <w:lang w:eastAsia="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5" w:hRule="atLeast"/>
        </w:trPr>
        <w:tc>
          <w:tcPr>
            <w:tcW w:w="1166" w:type="dxa"/>
            <w:vMerge w:val="restart"/>
            <w:vAlign w:val="cente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技术类评委</w:t>
            </w:r>
          </w:p>
        </w:tc>
        <w:tc>
          <w:tcPr>
            <w:tcW w:w="1164" w:type="dxa"/>
            <w:tcMar>
              <w:top w:w="0" w:type="dxa"/>
              <w:left w:w="80" w:type="dxa"/>
              <w:bottom w:w="0" w:type="dxa"/>
              <w:right w:w="0" w:type="dxa"/>
            </w:tcMar>
            <w:vAlign w:val="cente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技术参数</w:t>
            </w:r>
          </w:p>
        </w:tc>
        <w:tc>
          <w:tcPr>
            <w:tcW w:w="5996" w:type="dxa"/>
            <w:tcMar>
              <w:top w:w="0" w:type="dxa"/>
              <w:left w:w="80" w:type="dxa"/>
              <w:bottom w:w="0" w:type="dxa"/>
              <w:right w:w="0" w:type="dxa"/>
            </w:tcMar>
            <w:vAlign w:val="cente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投标产品技术参数完全满足招标文件技术要求的，得20分。</w:t>
            </w:r>
          </w:p>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投标产品的技术参数不满足招标文件技术参数及要求的，则在20分的基础上，按以下原则扣分，扣完为止：</w:t>
            </w:r>
          </w:p>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每有一项不满足招标文件中加▲号的技术参数及要求的，扣2分，扣完为止；</w:t>
            </w:r>
          </w:p>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每有一项不满足招标文件中未加▲号的技术参数及要求的，扣1分，扣完为止。</w:t>
            </w:r>
          </w:p>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（说明：提供检验报告或原厂产品彩页或产品功能界面截图证明）</w:t>
            </w:r>
          </w:p>
        </w:tc>
        <w:tc>
          <w:tcPr>
            <w:tcW w:w="1632" w:type="dxa"/>
            <w:tcMar>
              <w:top w:w="0" w:type="dxa"/>
              <w:left w:w="80" w:type="dxa"/>
              <w:bottom w:w="0" w:type="dxa"/>
              <w:right w:w="0" w:type="dxa"/>
            </w:tcMar>
            <w:vAlign w:val="center"/>
          </w:tcPr>
          <w:p>
            <w:pPr>
              <w:pStyle w:val="2"/>
              <w:jc w:val="center"/>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20分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7" w:hRule="atLeast"/>
        </w:trPr>
        <w:tc>
          <w:tcPr>
            <w:tcW w:w="1166" w:type="dxa"/>
            <w:vMerge w:val="continue"/>
            <w:vAlign w:val="center"/>
          </w:tcPr>
          <w:p>
            <w:pPr>
              <w:pStyle w:val="2"/>
              <w:rPr>
                <w:rFonts w:hint="eastAsia" w:ascii="宋体" w:hAnsi="宋体" w:eastAsia="宋体" w:cs="仿宋"/>
                <w:color w:val="auto"/>
                <w:sz w:val="24"/>
                <w:highlight w:val="none"/>
                <w:lang w:eastAsia="zh-CN"/>
              </w:rPr>
            </w:pPr>
          </w:p>
        </w:tc>
        <w:tc>
          <w:tcPr>
            <w:tcW w:w="1164" w:type="dxa"/>
            <w:tcMar>
              <w:top w:w="0" w:type="dxa"/>
              <w:left w:w="80" w:type="dxa"/>
              <w:bottom w:w="0" w:type="dxa"/>
              <w:right w:w="0" w:type="dxa"/>
            </w:tcMar>
            <w:vAlign w:val="cente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售后服务</w:t>
            </w:r>
          </w:p>
        </w:tc>
        <w:tc>
          <w:tcPr>
            <w:tcW w:w="5996" w:type="dxa"/>
            <w:tcMar>
              <w:top w:w="0" w:type="dxa"/>
              <w:left w:w="80" w:type="dxa"/>
              <w:bottom w:w="0" w:type="dxa"/>
              <w:right w:w="0" w:type="dxa"/>
            </w:tcMa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投标人的售后服务方案（至少包含</w:t>
            </w:r>
            <w:r>
              <w:rPr>
                <w:rFonts w:hint="eastAsia" w:ascii="宋体" w:hAnsi="宋体" w:eastAsia="宋体" w:cs="仿宋"/>
                <w:color w:val="auto"/>
                <w:sz w:val="24"/>
                <w:highlight w:val="none"/>
                <w:lang w:val="zh-TW" w:eastAsia="zh-CN"/>
              </w:rPr>
              <w:t>售后服务人员配置、故障响应时间及处理情况、售后质量保障措施、退换货方案、服务承诺</w:t>
            </w:r>
            <w:r>
              <w:rPr>
                <w:rFonts w:hint="eastAsia" w:ascii="宋体" w:hAnsi="宋体" w:eastAsia="宋体" w:cs="仿宋"/>
                <w:color w:val="auto"/>
                <w:sz w:val="24"/>
                <w:highlight w:val="none"/>
                <w:lang w:eastAsia="zh-CN"/>
              </w:rPr>
              <w:t>等内容）进行综合比较评分：方案完善且合理的，得</w:t>
            </w:r>
            <w:r>
              <w:rPr>
                <w:rFonts w:hint="eastAsia" w:ascii="宋体" w:hAnsi="宋体" w:cs="仿宋"/>
                <w:color w:val="auto"/>
                <w:sz w:val="24"/>
                <w:highlight w:val="none"/>
                <w:lang w:val="en-US" w:eastAsia="zh-CN"/>
              </w:rPr>
              <w:t>15</w:t>
            </w:r>
            <w:r>
              <w:rPr>
                <w:rFonts w:hint="eastAsia" w:ascii="宋体" w:hAnsi="宋体" w:eastAsia="宋体" w:cs="仿宋"/>
                <w:color w:val="auto"/>
                <w:sz w:val="24"/>
                <w:highlight w:val="none"/>
                <w:lang w:eastAsia="zh-CN"/>
              </w:rPr>
              <w:t>分，每少一项</w:t>
            </w:r>
            <w:r>
              <w:rPr>
                <w:rFonts w:hint="eastAsia" w:ascii="宋体" w:hAnsi="宋体" w:cs="仿宋"/>
                <w:color w:val="auto"/>
                <w:sz w:val="24"/>
                <w:highlight w:val="none"/>
                <w:lang w:eastAsia="zh-CN"/>
              </w:rPr>
              <w:t>扣</w:t>
            </w:r>
            <w:r>
              <w:rPr>
                <w:rFonts w:hint="eastAsia" w:ascii="宋体" w:hAnsi="宋体" w:cs="仿宋"/>
                <w:color w:val="auto"/>
                <w:sz w:val="24"/>
                <w:highlight w:val="none"/>
                <w:lang w:val="en-US" w:eastAsia="zh-CN"/>
              </w:rPr>
              <w:t>3分，</w:t>
            </w:r>
            <w:r>
              <w:rPr>
                <w:rFonts w:hint="eastAsia" w:ascii="宋体" w:hAnsi="宋体" w:eastAsia="宋体" w:cs="仿宋"/>
                <w:color w:val="auto"/>
                <w:sz w:val="24"/>
                <w:highlight w:val="none"/>
                <w:lang w:eastAsia="zh-CN"/>
              </w:rPr>
              <w:t>某</w:t>
            </w:r>
            <w:r>
              <w:rPr>
                <w:rFonts w:hint="eastAsia" w:ascii="宋体" w:hAnsi="宋体" w:cs="仿宋"/>
                <w:color w:val="auto"/>
                <w:sz w:val="24"/>
                <w:highlight w:val="none"/>
                <w:lang w:eastAsia="zh-CN"/>
              </w:rPr>
              <w:t>项</w:t>
            </w:r>
            <w:r>
              <w:rPr>
                <w:rFonts w:hint="eastAsia" w:ascii="宋体" w:hAnsi="宋体" w:eastAsia="宋体" w:cs="仿宋"/>
                <w:color w:val="auto"/>
                <w:sz w:val="24"/>
                <w:highlight w:val="none"/>
                <w:lang w:eastAsia="zh-CN"/>
              </w:rPr>
              <w:t>不合理扣</w:t>
            </w:r>
            <w:r>
              <w:rPr>
                <w:rFonts w:hint="eastAsia" w:ascii="宋体" w:hAnsi="宋体" w:cs="仿宋"/>
                <w:color w:val="auto"/>
                <w:sz w:val="24"/>
                <w:highlight w:val="none"/>
                <w:lang w:val="en-US" w:eastAsia="zh-CN"/>
              </w:rPr>
              <w:t>1</w:t>
            </w:r>
            <w:r>
              <w:rPr>
                <w:rFonts w:hint="eastAsia" w:ascii="宋体" w:hAnsi="宋体" w:eastAsia="宋体" w:cs="仿宋"/>
                <w:color w:val="auto"/>
                <w:sz w:val="24"/>
                <w:highlight w:val="none"/>
                <w:lang w:eastAsia="zh-CN"/>
              </w:rPr>
              <w:t>分，扣完为止。</w:t>
            </w:r>
          </w:p>
        </w:tc>
        <w:tc>
          <w:tcPr>
            <w:tcW w:w="1632" w:type="dxa"/>
            <w:tcMar>
              <w:top w:w="0" w:type="dxa"/>
              <w:left w:w="80" w:type="dxa"/>
              <w:bottom w:w="0" w:type="dxa"/>
              <w:right w:w="0" w:type="dxa"/>
            </w:tcMar>
            <w:vAlign w:val="center"/>
          </w:tcPr>
          <w:p>
            <w:pPr>
              <w:pStyle w:val="2"/>
              <w:jc w:val="center"/>
              <w:rPr>
                <w:rFonts w:hint="eastAsia" w:ascii="宋体" w:hAnsi="宋体" w:eastAsia="宋体" w:cs="仿宋"/>
                <w:color w:val="auto"/>
                <w:sz w:val="24"/>
                <w:highlight w:val="none"/>
                <w:lang w:eastAsia="zh-CN"/>
              </w:rPr>
            </w:pPr>
            <w:r>
              <w:rPr>
                <w:rFonts w:hint="eastAsia" w:ascii="宋体" w:hAnsi="宋体" w:cs="仿宋"/>
                <w:color w:val="auto"/>
                <w:sz w:val="24"/>
                <w:highlight w:val="none"/>
                <w:lang w:val="en-US" w:eastAsia="zh-CN"/>
              </w:rPr>
              <w:t>15</w:t>
            </w:r>
            <w:r>
              <w:rPr>
                <w:rFonts w:hint="eastAsia" w:ascii="宋体" w:hAnsi="宋体" w:eastAsia="宋体" w:cs="仿宋"/>
                <w:color w:val="auto"/>
                <w:sz w:val="24"/>
                <w:highlight w:val="none"/>
                <w:lang w:eastAsia="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9" w:hRule="atLeast"/>
        </w:trPr>
        <w:tc>
          <w:tcPr>
            <w:tcW w:w="1166" w:type="dxa"/>
            <w:vMerge w:val="continue"/>
            <w:vAlign w:val="center"/>
          </w:tcPr>
          <w:p>
            <w:pPr>
              <w:pStyle w:val="2"/>
              <w:rPr>
                <w:rFonts w:hint="eastAsia" w:ascii="宋体" w:hAnsi="宋体" w:eastAsia="宋体" w:cs="仿宋"/>
                <w:color w:val="auto"/>
                <w:sz w:val="24"/>
                <w:highlight w:val="none"/>
                <w:lang w:eastAsia="zh-CN"/>
              </w:rPr>
            </w:pPr>
          </w:p>
        </w:tc>
        <w:tc>
          <w:tcPr>
            <w:tcW w:w="1164" w:type="dxa"/>
            <w:tcMar>
              <w:top w:w="0" w:type="dxa"/>
              <w:left w:w="80" w:type="dxa"/>
              <w:bottom w:w="0" w:type="dxa"/>
              <w:right w:w="0" w:type="dxa"/>
            </w:tcMar>
            <w:vAlign w:val="cente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样品</w:t>
            </w:r>
          </w:p>
        </w:tc>
        <w:tc>
          <w:tcPr>
            <w:tcW w:w="5996" w:type="dxa"/>
            <w:tcMar>
              <w:top w:w="0" w:type="dxa"/>
              <w:left w:w="80" w:type="dxa"/>
              <w:bottom w:w="0" w:type="dxa"/>
              <w:right w:w="0" w:type="dxa"/>
            </w:tcMar>
            <w:vAlign w:val="cente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凡是出现下列任一情况的该项得分均为0分：（1）未提供样品的；（2）少送样品的；（3）错送样品的。</w:t>
            </w:r>
          </w:p>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根据投标人提供的样品质量、外观、性能等进行综合排名，第一名得12分；第一名以后名次每降低1位，在前一名的得分基础上减4分；第四名及以后不得分，排名可并列。</w:t>
            </w:r>
          </w:p>
        </w:tc>
        <w:tc>
          <w:tcPr>
            <w:tcW w:w="1632" w:type="dxa"/>
            <w:tcMar>
              <w:top w:w="0" w:type="dxa"/>
              <w:left w:w="80" w:type="dxa"/>
              <w:bottom w:w="0" w:type="dxa"/>
              <w:right w:w="0" w:type="dxa"/>
            </w:tcMar>
            <w:vAlign w:val="center"/>
          </w:tcPr>
          <w:p>
            <w:pPr>
              <w:pStyle w:val="2"/>
              <w:jc w:val="center"/>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12分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56" w:hRule="atLeast"/>
        </w:trPr>
        <w:tc>
          <w:tcPr>
            <w:tcW w:w="1166" w:type="dxa"/>
            <w:vMerge w:val="continue"/>
            <w:vAlign w:val="center"/>
          </w:tcPr>
          <w:p>
            <w:pPr>
              <w:pStyle w:val="2"/>
              <w:rPr>
                <w:rFonts w:hint="eastAsia" w:ascii="宋体" w:hAnsi="宋体" w:eastAsia="宋体" w:cs="仿宋"/>
                <w:color w:val="auto"/>
                <w:sz w:val="24"/>
                <w:highlight w:val="none"/>
                <w:lang w:eastAsia="zh-CN"/>
              </w:rPr>
            </w:pPr>
          </w:p>
        </w:tc>
        <w:tc>
          <w:tcPr>
            <w:tcW w:w="1164" w:type="dxa"/>
            <w:tcMar>
              <w:top w:w="0" w:type="dxa"/>
              <w:left w:w="80" w:type="dxa"/>
              <w:bottom w:w="0" w:type="dxa"/>
              <w:right w:w="0" w:type="dxa"/>
            </w:tcMar>
            <w:vAlign w:val="cente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节能、环境标志产品</w:t>
            </w:r>
          </w:p>
          <w:p>
            <w:pPr>
              <w:pStyle w:val="2"/>
              <w:rPr>
                <w:rFonts w:hint="eastAsia" w:ascii="宋体" w:hAnsi="宋体" w:eastAsia="宋体" w:cs="仿宋"/>
                <w:color w:val="auto"/>
                <w:sz w:val="24"/>
                <w:highlight w:val="none"/>
                <w:lang w:eastAsia="zh-CN"/>
              </w:rPr>
            </w:pPr>
          </w:p>
        </w:tc>
        <w:tc>
          <w:tcPr>
            <w:tcW w:w="5996" w:type="dxa"/>
            <w:tcMar>
              <w:top w:w="0" w:type="dxa"/>
              <w:left w:w="80" w:type="dxa"/>
              <w:bottom w:w="0" w:type="dxa"/>
              <w:right w:w="0" w:type="dxa"/>
            </w:tcMa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所投产品中所涉及到的产品中属于“政府采购节能产品、环境标志产品实施品目清单”中实施政府优先采购的，提供国家确定的认证机构出具的、处于有效期内的节能产品或环境标志产品认证证书复印件（或提供中国政府采购网产品获证情况的网页截图）的得</w:t>
            </w:r>
            <w:r>
              <w:rPr>
                <w:rFonts w:hint="eastAsia" w:ascii="宋体" w:hAnsi="宋体" w:cs="仿宋"/>
                <w:color w:val="auto"/>
                <w:sz w:val="24"/>
                <w:highlight w:val="none"/>
                <w:lang w:val="en-US" w:eastAsia="zh-CN"/>
              </w:rPr>
              <w:t>1</w:t>
            </w:r>
            <w:r>
              <w:rPr>
                <w:rFonts w:hint="eastAsia" w:ascii="宋体" w:hAnsi="宋体" w:eastAsia="宋体" w:cs="仿宋"/>
                <w:color w:val="auto"/>
                <w:sz w:val="24"/>
                <w:highlight w:val="none"/>
                <w:lang w:eastAsia="zh-CN"/>
              </w:rPr>
              <w:t>分。</w:t>
            </w:r>
          </w:p>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注:采购产品为 “政府采购节能产品、环境标志产品实施品目清单”中实施政府强制采购的，未获得国家确认的认证机构出具的、处于有效期内的节能产品、环境标志产品认证证书的产品将作无效投标处理。</w:t>
            </w:r>
          </w:p>
        </w:tc>
        <w:tc>
          <w:tcPr>
            <w:tcW w:w="1632" w:type="dxa"/>
            <w:tcMar>
              <w:top w:w="0" w:type="dxa"/>
              <w:left w:w="80" w:type="dxa"/>
              <w:bottom w:w="0" w:type="dxa"/>
              <w:right w:w="0" w:type="dxa"/>
            </w:tcMar>
            <w:vAlign w:val="center"/>
          </w:tcPr>
          <w:p>
            <w:pPr>
              <w:pStyle w:val="2"/>
              <w:jc w:val="center"/>
              <w:rPr>
                <w:rFonts w:hint="eastAsia" w:ascii="宋体" w:hAnsi="宋体" w:eastAsia="宋体" w:cs="仿宋"/>
                <w:color w:val="auto"/>
                <w:sz w:val="24"/>
                <w:highlight w:val="none"/>
                <w:lang w:eastAsia="zh-CN"/>
              </w:rPr>
            </w:pPr>
            <w:r>
              <w:rPr>
                <w:rFonts w:hint="eastAsia" w:ascii="宋体" w:hAnsi="宋体" w:cs="仿宋"/>
                <w:color w:val="auto"/>
                <w:sz w:val="24"/>
                <w:highlight w:val="none"/>
                <w:lang w:val="en-US" w:eastAsia="zh-CN"/>
              </w:rPr>
              <w:t>1</w:t>
            </w:r>
            <w:r>
              <w:rPr>
                <w:rFonts w:hint="eastAsia" w:ascii="宋体" w:hAnsi="宋体" w:eastAsia="宋体" w:cs="仿宋"/>
                <w:color w:val="auto"/>
                <w:sz w:val="24"/>
                <w:highlight w:val="none"/>
                <w:lang w:eastAsia="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43" w:hRule="atLeast"/>
        </w:trPr>
        <w:tc>
          <w:tcPr>
            <w:tcW w:w="1166" w:type="dxa"/>
            <w:vMerge w:val="restart"/>
          </w:tcPr>
          <w:p>
            <w:pPr>
              <w:pStyle w:val="2"/>
              <w:rPr>
                <w:rFonts w:hint="eastAsia" w:ascii="宋体" w:hAnsi="宋体" w:eastAsia="宋体" w:cs="仿宋"/>
                <w:color w:val="auto"/>
                <w:sz w:val="24"/>
                <w:highlight w:val="none"/>
                <w:lang w:eastAsia="zh-CN"/>
              </w:rPr>
            </w:pPr>
          </w:p>
          <w:p>
            <w:pPr>
              <w:pStyle w:val="2"/>
              <w:rPr>
                <w:rFonts w:hint="eastAsia" w:ascii="宋体" w:hAnsi="宋体" w:eastAsia="宋体" w:cs="仿宋"/>
                <w:color w:val="auto"/>
                <w:sz w:val="24"/>
                <w:highlight w:val="none"/>
                <w:lang w:eastAsia="zh-CN"/>
              </w:rPr>
            </w:pPr>
          </w:p>
          <w:p>
            <w:pPr>
              <w:pStyle w:val="2"/>
              <w:rPr>
                <w:rFonts w:hint="eastAsia" w:ascii="宋体" w:hAnsi="宋体" w:eastAsia="宋体" w:cs="仿宋"/>
                <w:color w:val="auto"/>
                <w:sz w:val="24"/>
                <w:highlight w:val="none"/>
                <w:lang w:eastAsia="zh-CN"/>
              </w:rPr>
            </w:pPr>
          </w:p>
          <w:p>
            <w:pPr>
              <w:pStyle w:val="2"/>
              <w:rPr>
                <w:rFonts w:hint="eastAsia" w:ascii="宋体" w:hAnsi="宋体" w:eastAsia="宋体" w:cs="仿宋"/>
                <w:color w:val="auto"/>
                <w:sz w:val="24"/>
                <w:highlight w:val="none"/>
                <w:lang w:eastAsia="zh-CN"/>
              </w:rPr>
            </w:pPr>
          </w:p>
          <w:p>
            <w:pPr>
              <w:pStyle w:val="2"/>
              <w:rPr>
                <w:rFonts w:hint="eastAsia" w:ascii="宋体" w:hAnsi="宋体" w:eastAsia="宋体" w:cs="仿宋"/>
                <w:color w:val="auto"/>
                <w:sz w:val="24"/>
                <w:highlight w:val="none"/>
                <w:lang w:eastAsia="zh-CN"/>
              </w:rPr>
            </w:pPr>
          </w:p>
          <w:p>
            <w:pPr>
              <w:pStyle w:val="2"/>
              <w:rPr>
                <w:rFonts w:hint="eastAsia" w:ascii="宋体" w:hAnsi="宋体" w:eastAsia="宋体" w:cs="仿宋"/>
                <w:color w:val="auto"/>
                <w:sz w:val="24"/>
                <w:highlight w:val="none"/>
                <w:lang w:eastAsia="zh-CN"/>
              </w:rPr>
            </w:pPr>
          </w:p>
          <w:p>
            <w:pPr>
              <w:pStyle w:val="2"/>
              <w:rPr>
                <w:rFonts w:hint="eastAsia" w:ascii="宋体" w:hAnsi="宋体" w:eastAsia="宋体" w:cs="仿宋"/>
                <w:color w:val="auto"/>
                <w:sz w:val="24"/>
                <w:highlight w:val="none"/>
                <w:lang w:eastAsia="zh-CN"/>
              </w:rPr>
            </w:pPr>
          </w:p>
          <w:p>
            <w:pPr>
              <w:pStyle w:val="2"/>
              <w:rPr>
                <w:rFonts w:hint="eastAsia" w:ascii="宋体" w:hAnsi="宋体" w:eastAsia="宋体" w:cs="仿宋"/>
                <w:color w:val="auto"/>
                <w:sz w:val="24"/>
                <w:highlight w:val="none"/>
                <w:lang w:eastAsia="zh-CN"/>
              </w:rPr>
            </w:pPr>
          </w:p>
          <w:p>
            <w:pPr>
              <w:pStyle w:val="2"/>
              <w:rPr>
                <w:rFonts w:hint="eastAsia" w:ascii="宋体" w:hAnsi="宋体" w:eastAsia="宋体" w:cs="仿宋"/>
                <w:color w:val="auto"/>
                <w:sz w:val="24"/>
                <w:highlight w:val="none"/>
                <w:lang w:eastAsia="zh-CN"/>
              </w:rPr>
            </w:pPr>
          </w:p>
          <w:p>
            <w:pPr>
              <w:pStyle w:val="2"/>
              <w:rPr>
                <w:rFonts w:hint="eastAsia" w:ascii="宋体" w:hAnsi="宋体" w:eastAsia="宋体" w:cs="仿宋"/>
                <w:color w:val="auto"/>
                <w:sz w:val="24"/>
                <w:highlight w:val="none"/>
                <w:lang w:eastAsia="zh-CN"/>
              </w:rPr>
            </w:pPr>
          </w:p>
          <w:p>
            <w:pPr>
              <w:pStyle w:val="2"/>
              <w:rPr>
                <w:rFonts w:hint="eastAsia" w:ascii="宋体" w:hAnsi="宋体" w:eastAsia="宋体" w:cs="仿宋"/>
                <w:color w:val="auto"/>
                <w:sz w:val="24"/>
                <w:highlight w:val="none"/>
                <w:lang w:eastAsia="zh-CN"/>
              </w:rPr>
            </w:pPr>
          </w:p>
          <w:p>
            <w:pPr>
              <w:pStyle w:val="2"/>
              <w:rPr>
                <w:rFonts w:hint="eastAsia" w:ascii="宋体" w:hAnsi="宋体" w:eastAsia="宋体" w:cs="仿宋"/>
                <w:color w:val="auto"/>
                <w:sz w:val="24"/>
                <w:highlight w:val="none"/>
                <w:lang w:eastAsia="zh-CN"/>
              </w:rPr>
            </w:pPr>
            <w:r>
              <w:rPr>
                <w:rFonts w:hint="eastAsia" w:ascii="宋体" w:hAnsi="宋体" w:cs="仿宋"/>
                <w:color w:val="auto"/>
                <w:sz w:val="24"/>
                <w:highlight w:val="none"/>
                <w:lang w:eastAsia="zh-CN"/>
              </w:rPr>
              <w:t>共同评分因素</w:t>
            </w:r>
          </w:p>
        </w:tc>
        <w:tc>
          <w:tcPr>
            <w:tcW w:w="1164" w:type="dxa"/>
            <w:vAlign w:val="cente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综合实力</w:t>
            </w:r>
          </w:p>
        </w:tc>
        <w:tc>
          <w:tcPr>
            <w:tcW w:w="5996" w:type="dxa"/>
            <w:tcMar>
              <w:top w:w="0" w:type="dxa"/>
              <w:left w:w="80" w:type="dxa"/>
              <w:bottom w:w="0" w:type="dxa"/>
              <w:right w:w="0" w:type="dxa"/>
            </w:tcMa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投标人为生产厂商的提供质量体系认证证书（有效期内）或投标人为非生产厂商的提供生产厂商质量体系认证证书（有效期内）的，得1分。（说明：提供证书复印件）</w:t>
            </w:r>
          </w:p>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投标人为生产厂商的提供环境质量体系认证证书（有效期内）或投标人为非生产厂商的提供生产厂商环境质量体系认证证书（有效期内）的，得1分。（说明：提供证书复印件）</w:t>
            </w:r>
          </w:p>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投标人为生产厂商的提供职业健康安全管理体系认证证书（有效期内）或投标人为非生产厂商的提供生产厂商职业健康安全管理体系认证证书（有效期内）的，得1分。（说明：提供证书复印件）</w:t>
            </w:r>
          </w:p>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投标产品制造厂家具有检测实验室且拥有国家认可的CNAS检测实验资质的得</w:t>
            </w:r>
            <w:r>
              <w:rPr>
                <w:rFonts w:hint="eastAsia" w:ascii="宋体" w:hAnsi="宋体" w:cs="仿宋"/>
                <w:color w:val="auto"/>
                <w:sz w:val="24"/>
                <w:highlight w:val="none"/>
                <w:lang w:val="en-US" w:eastAsia="zh-CN"/>
              </w:rPr>
              <w:t>3</w:t>
            </w:r>
            <w:r>
              <w:rPr>
                <w:rFonts w:hint="eastAsia" w:ascii="宋体" w:hAnsi="宋体" w:eastAsia="宋体" w:cs="仿宋"/>
                <w:color w:val="auto"/>
                <w:sz w:val="24"/>
                <w:highlight w:val="none"/>
                <w:lang w:eastAsia="zh-CN"/>
              </w:rPr>
              <w:t>分。（说明：提供证书复印件）</w:t>
            </w:r>
          </w:p>
        </w:tc>
        <w:tc>
          <w:tcPr>
            <w:tcW w:w="1632" w:type="dxa"/>
            <w:vAlign w:val="center"/>
          </w:tcPr>
          <w:p>
            <w:pPr>
              <w:pStyle w:val="2"/>
              <w:jc w:val="center"/>
              <w:rPr>
                <w:rFonts w:hint="eastAsia" w:ascii="宋体" w:hAnsi="宋体" w:eastAsia="宋体" w:cs="仿宋"/>
                <w:color w:val="auto"/>
                <w:sz w:val="24"/>
                <w:highlight w:val="none"/>
                <w:lang w:eastAsia="zh-CN"/>
              </w:rPr>
            </w:pPr>
            <w:r>
              <w:rPr>
                <w:rFonts w:hint="eastAsia" w:ascii="宋体" w:hAnsi="宋体" w:cs="仿宋"/>
                <w:color w:val="auto"/>
                <w:sz w:val="24"/>
                <w:highlight w:val="none"/>
                <w:lang w:val="en-US" w:eastAsia="zh-CN"/>
              </w:rPr>
              <w:t>6</w:t>
            </w:r>
            <w:r>
              <w:rPr>
                <w:rFonts w:hint="eastAsia" w:ascii="宋体" w:hAnsi="宋体" w:eastAsia="宋体" w:cs="仿宋"/>
                <w:color w:val="auto"/>
                <w:sz w:val="24"/>
                <w:highlight w:val="none"/>
                <w:lang w:eastAsia="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trPr>
        <w:tc>
          <w:tcPr>
            <w:tcW w:w="1166" w:type="dxa"/>
            <w:vMerge w:val="continue"/>
          </w:tcPr>
          <w:p>
            <w:pPr>
              <w:pStyle w:val="2"/>
              <w:rPr>
                <w:rFonts w:hint="eastAsia" w:ascii="宋体" w:hAnsi="宋体" w:eastAsia="宋体" w:cs="仿宋"/>
                <w:color w:val="auto"/>
                <w:sz w:val="24"/>
                <w:highlight w:val="none"/>
                <w:lang w:eastAsia="zh-CN"/>
              </w:rPr>
            </w:pPr>
          </w:p>
        </w:tc>
        <w:tc>
          <w:tcPr>
            <w:tcW w:w="1164" w:type="dxa"/>
            <w:vAlign w:val="cente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履约能力</w:t>
            </w:r>
          </w:p>
        </w:tc>
        <w:tc>
          <w:tcPr>
            <w:tcW w:w="5996" w:type="dxa"/>
            <w:tcMar>
              <w:top w:w="0" w:type="dxa"/>
              <w:left w:w="80" w:type="dxa"/>
              <w:bottom w:w="0" w:type="dxa"/>
              <w:right w:w="0" w:type="dxa"/>
            </w:tcMar>
            <w:vAlign w:val="cente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1、2017年1月1日以后（含1日）签订类似采购项目的，1个得2分，最多得8分。（说明：提供《中标通知书》或合同复印件，并加盖投标人公章。）</w:t>
            </w:r>
          </w:p>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2、提供投标人所完成项目的业主单位出具的良好履约证明材料，每提供1份得1分，最多得2分。</w:t>
            </w:r>
          </w:p>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3、投标人在项目地设立有仓库、办事处得</w:t>
            </w:r>
            <w:r>
              <w:rPr>
                <w:rFonts w:hint="eastAsia" w:ascii="宋体" w:hAnsi="宋体" w:cs="仿宋"/>
                <w:color w:val="auto"/>
                <w:sz w:val="24"/>
                <w:highlight w:val="none"/>
                <w:lang w:val="en-US" w:eastAsia="zh-CN"/>
              </w:rPr>
              <w:t>3</w:t>
            </w:r>
            <w:r>
              <w:rPr>
                <w:rFonts w:hint="eastAsia" w:ascii="宋体" w:hAnsi="宋体" w:eastAsia="宋体" w:cs="仿宋"/>
                <w:color w:val="auto"/>
                <w:sz w:val="24"/>
                <w:highlight w:val="none"/>
                <w:lang w:eastAsia="zh-CN"/>
              </w:rPr>
              <w:t>分（说明：投标人有仓库、办事处的提供房产证复印件或租赁合同复印件）。</w:t>
            </w:r>
          </w:p>
        </w:tc>
        <w:tc>
          <w:tcPr>
            <w:tcW w:w="1632" w:type="dxa"/>
            <w:vAlign w:val="center"/>
          </w:tcPr>
          <w:p>
            <w:pPr>
              <w:pStyle w:val="2"/>
              <w:jc w:val="center"/>
              <w:rPr>
                <w:rFonts w:hint="eastAsia" w:ascii="宋体" w:hAnsi="宋体" w:eastAsia="宋体" w:cs="仿宋"/>
                <w:color w:val="auto"/>
                <w:sz w:val="24"/>
                <w:highlight w:val="none"/>
                <w:lang w:eastAsia="zh-CN"/>
              </w:rPr>
            </w:pPr>
            <w:r>
              <w:rPr>
                <w:rFonts w:hint="eastAsia" w:ascii="宋体" w:hAnsi="宋体" w:cs="仿宋"/>
                <w:color w:val="auto"/>
                <w:sz w:val="24"/>
                <w:highlight w:val="none"/>
                <w:lang w:val="en-US" w:eastAsia="zh-CN"/>
              </w:rPr>
              <w:t>13</w:t>
            </w:r>
            <w:r>
              <w:rPr>
                <w:rFonts w:hint="eastAsia" w:ascii="宋体" w:hAnsi="宋体" w:eastAsia="宋体" w:cs="仿宋"/>
                <w:color w:val="auto"/>
                <w:sz w:val="24"/>
                <w:highlight w:val="none"/>
                <w:lang w:eastAsia="zh-CN"/>
              </w:rPr>
              <w:t>分</w:t>
            </w:r>
          </w:p>
          <w:p>
            <w:pPr>
              <w:pStyle w:val="2"/>
              <w:jc w:val="center"/>
              <w:rPr>
                <w:rFonts w:hint="eastAsia" w:ascii="宋体" w:hAnsi="宋体" w:eastAsia="宋体" w:cs="仿宋"/>
                <w:color w:val="auto"/>
                <w:sz w:val="24"/>
                <w:highlight w:val="none"/>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83" w:hRule="atLeast"/>
        </w:trPr>
        <w:tc>
          <w:tcPr>
            <w:tcW w:w="1166" w:type="dxa"/>
            <w:vMerge w:val="continue"/>
          </w:tcPr>
          <w:p>
            <w:pPr>
              <w:pStyle w:val="2"/>
              <w:rPr>
                <w:rFonts w:hint="eastAsia" w:ascii="宋体" w:hAnsi="宋体" w:eastAsia="宋体" w:cs="仿宋"/>
                <w:color w:val="auto"/>
                <w:sz w:val="24"/>
                <w:highlight w:val="none"/>
                <w:lang w:eastAsia="zh-CN"/>
              </w:rPr>
            </w:pPr>
          </w:p>
        </w:tc>
        <w:tc>
          <w:tcPr>
            <w:tcW w:w="1164" w:type="dxa"/>
            <w:vAlign w:val="cente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投标文件的规范性</w:t>
            </w:r>
          </w:p>
        </w:tc>
        <w:tc>
          <w:tcPr>
            <w:tcW w:w="5996" w:type="dxa"/>
            <w:tcMar>
              <w:top w:w="0" w:type="dxa"/>
              <w:left w:w="80" w:type="dxa"/>
              <w:bottom w:w="0" w:type="dxa"/>
              <w:right w:w="0" w:type="dxa"/>
            </w:tcMa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投标文件制作规范，没有细微偏差情形的得</w:t>
            </w:r>
            <w:r>
              <w:rPr>
                <w:rFonts w:hint="eastAsia" w:ascii="宋体" w:hAnsi="宋体" w:cs="仿宋"/>
                <w:color w:val="auto"/>
                <w:sz w:val="24"/>
                <w:highlight w:val="none"/>
                <w:lang w:val="en-US" w:eastAsia="zh-CN"/>
              </w:rPr>
              <w:t>2</w:t>
            </w:r>
            <w:r>
              <w:rPr>
                <w:rFonts w:hint="eastAsia" w:ascii="宋体" w:hAnsi="宋体" w:eastAsia="宋体" w:cs="仿宋"/>
                <w:color w:val="auto"/>
                <w:sz w:val="24"/>
                <w:highlight w:val="none"/>
                <w:lang w:eastAsia="zh-CN"/>
              </w:rPr>
              <w:t>分；有一项细微偏差扣0.5分，直至该项分值扣完为止。</w:t>
            </w:r>
          </w:p>
        </w:tc>
        <w:tc>
          <w:tcPr>
            <w:tcW w:w="1632" w:type="dxa"/>
            <w:vAlign w:val="center"/>
          </w:tcPr>
          <w:p>
            <w:pPr>
              <w:pStyle w:val="2"/>
              <w:jc w:val="center"/>
              <w:rPr>
                <w:rFonts w:hint="eastAsia" w:ascii="宋体" w:hAnsi="宋体" w:eastAsia="宋体" w:cs="仿宋"/>
                <w:color w:val="auto"/>
                <w:sz w:val="24"/>
                <w:highlight w:val="none"/>
                <w:lang w:eastAsia="zh-CN"/>
              </w:rPr>
            </w:pPr>
            <w:r>
              <w:rPr>
                <w:rFonts w:hint="eastAsia" w:ascii="宋体" w:hAnsi="宋体" w:cs="仿宋"/>
                <w:color w:val="auto"/>
                <w:sz w:val="24"/>
                <w:highlight w:val="none"/>
                <w:lang w:val="en-US" w:eastAsia="zh-CN"/>
              </w:rPr>
              <w:t>2</w:t>
            </w:r>
            <w:r>
              <w:rPr>
                <w:rFonts w:hint="eastAsia" w:ascii="宋体" w:hAnsi="宋体" w:eastAsia="宋体" w:cs="仿宋"/>
                <w:color w:val="auto"/>
                <w:sz w:val="24"/>
                <w:highlight w:val="none"/>
                <w:lang w:eastAsia="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8" w:hRule="atLeast"/>
        </w:trPr>
        <w:tc>
          <w:tcPr>
            <w:tcW w:w="1166" w:type="dxa"/>
            <w:vMerge w:val="continue"/>
          </w:tcPr>
          <w:p>
            <w:pPr>
              <w:pStyle w:val="2"/>
              <w:rPr>
                <w:rFonts w:hint="eastAsia" w:ascii="宋体" w:hAnsi="宋体" w:eastAsia="宋体" w:cs="仿宋"/>
                <w:color w:val="auto"/>
                <w:sz w:val="24"/>
                <w:highlight w:val="none"/>
                <w:lang w:eastAsia="zh-CN"/>
              </w:rPr>
            </w:pPr>
          </w:p>
        </w:tc>
        <w:tc>
          <w:tcPr>
            <w:tcW w:w="1164" w:type="dxa"/>
            <w:vAlign w:val="cente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不发达地区和少数民族地区</w:t>
            </w:r>
          </w:p>
        </w:tc>
        <w:tc>
          <w:tcPr>
            <w:tcW w:w="5996" w:type="dxa"/>
            <w:tcMar>
              <w:top w:w="0" w:type="dxa"/>
              <w:left w:w="80" w:type="dxa"/>
              <w:bottom w:w="0" w:type="dxa"/>
              <w:right w:w="0" w:type="dxa"/>
            </w:tcMar>
            <w:vAlign w:val="cente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投标人如为不发达地区或少数民族地区的，得1分。（说明：提供声明函或相关证明材料，声明函格式自拟。如有虚假，将依法承担相应责任）</w:t>
            </w:r>
          </w:p>
        </w:tc>
        <w:tc>
          <w:tcPr>
            <w:tcW w:w="1632" w:type="dxa"/>
            <w:vAlign w:val="center"/>
          </w:tcPr>
          <w:p>
            <w:pPr>
              <w:pStyle w:val="2"/>
              <w:jc w:val="center"/>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1分</w:t>
            </w:r>
          </w:p>
        </w:tc>
      </w:tr>
    </w:tbl>
    <w:p>
      <w:pPr>
        <w:rPr>
          <w:rFonts w:hint="eastAsia"/>
          <w:color w:val="auto"/>
          <w:highlight w:val="none"/>
          <w:lang w:eastAsia="zh-CN"/>
        </w:rPr>
      </w:pPr>
    </w:p>
    <w:p>
      <w:pPr>
        <w:rPr>
          <w:rFonts w:hint="eastAsia" w:ascii="宋体" w:hAnsi="宋体" w:eastAsia="宋体" w:cs="仿宋"/>
          <w:color w:val="auto"/>
          <w:sz w:val="24"/>
          <w:highlight w:val="none"/>
          <w:lang w:eastAsia="zh-CN"/>
        </w:rPr>
      </w:pPr>
      <w:r>
        <w:rPr>
          <w:rFonts w:hint="eastAsia" w:ascii="宋体" w:hAnsi="宋体" w:cs="仿宋"/>
          <w:color w:val="auto"/>
          <w:sz w:val="24"/>
          <w:highlight w:val="none"/>
          <w:lang w:eastAsia="zh-CN"/>
        </w:rPr>
        <w:t>（</w:t>
      </w:r>
      <w:r>
        <w:rPr>
          <w:rFonts w:hint="eastAsia" w:ascii="宋体" w:hAnsi="宋体" w:cs="仿宋"/>
          <w:color w:val="auto"/>
          <w:sz w:val="24"/>
          <w:highlight w:val="none"/>
          <w:lang w:val="en-US" w:eastAsia="zh-CN"/>
        </w:rPr>
        <w:t>2</w:t>
      </w:r>
      <w:r>
        <w:rPr>
          <w:rFonts w:hint="eastAsia" w:ascii="宋体" w:hAnsi="宋体" w:cs="仿宋"/>
          <w:color w:val="auto"/>
          <w:sz w:val="24"/>
          <w:highlight w:val="none"/>
          <w:lang w:eastAsia="zh-CN"/>
        </w:rPr>
        <w:t>）</w:t>
      </w:r>
      <w:r>
        <w:rPr>
          <w:rFonts w:hint="eastAsia" w:ascii="宋体" w:hAnsi="宋体" w:eastAsia="宋体" w:cs="仿宋"/>
          <w:color w:val="auto"/>
          <w:sz w:val="24"/>
          <w:highlight w:val="none"/>
          <w:lang w:eastAsia="zh-CN"/>
        </w:rPr>
        <w:t>2包：电器采购</w:t>
      </w:r>
      <w:r>
        <w:rPr>
          <w:rFonts w:hint="eastAsia" w:ascii="宋体" w:hAnsi="宋体" w:cs="仿宋"/>
          <w:color w:val="auto"/>
          <w:sz w:val="24"/>
          <w:highlight w:val="none"/>
        </w:rPr>
        <w:t>综合评分明细表</w:t>
      </w:r>
    </w:p>
    <w:tbl>
      <w:tblPr>
        <w:tblStyle w:val="22"/>
        <w:tblpPr w:leftFromText="180" w:rightFromText="180" w:vertAnchor="text" w:horzAnchor="page" w:tblpX="1389" w:tblpY="450"/>
        <w:tblOverlap w:val="never"/>
        <w:tblW w:w="995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6"/>
        <w:gridCol w:w="1164"/>
        <w:gridCol w:w="5996"/>
        <w:gridCol w:w="16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6" w:hRule="atLeast"/>
        </w:trPr>
        <w:tc>
          <w:tcPr>
            <w:tcW w:w="1166" w:type="dxa"/>
            <w:vAlign w:val="center"/>
          </w:tcPr>
          <w:p>
            <w:pPr>
              <w:pStyle w:val="2"/>
              <w:jc w:val="center"/>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评委类型</w:t>
            </w:r>
          </w:p>
        </w:tc>
        <w:tc>
          <w:tcPr>
            <w:tcW w:w="1164" w:type="dxa"/>
            <w:tcMar>
              <w:top w:w="0" w:type="dxa"/>
              <w:left w:w="80" w:type="dxa"/>
              <w:bottom w:w="0" w:type="dxa"/>
              <w:right w:w="0" w:type="dxa"/>
            </w:tcMar>
            <w:vAlign w:val="center"/>
          </w:tcPr>
          <w:p>
            <w:pPr>
              <w:pStyle w:val="2"/>
              <w:jc w:val="center"/>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评审项目</w:t>
            </w:r>
          </w:p>
        </w:tc>
        <w:tc>
          <w:tcPr>
            <w:tcW w:w="5996" w:type="dxa"/>
            <w:tcMar>
              <w:top w:w="0" w:type="dxa"/>
              <w:left w:w="80" w:type="dxa"/>
              <w:bottom w:w="0" w:type="dxa"/>
              <w:right w:w="0" w:type="dxa"/>
            </w:tcMar>
            <w:vAlign w:val="center"/>
          </w:tcPr>
          <w:p>
            <w:pPr>
              <w:pStyle w:val="2"/>
              <w:jc w:val="center"/>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评分标准</w:t>
            </w:r>
          </w:p>
        </w:tc>
        <w:tc>
          <w:tcPr>
            <w:tcW w:w="1632" w:type="dxa"/>
            <w:tcMar>
              <w:top w:w="0" w:type="dxa"/>
              <w:left w:w="80" w:type="dxa"/>
              <w:bottom w:w="0" w:type="dxa"/>
              <w:right w:w="0" w:type="dxa"/>
            </w:tcMar>
            <w:vAlign w:val="center"/>
          </w:tcPr>
          <w:p>
            <w:pPr>
              <w:pStyle w:val="2"/>
              <w:jc w:val="center"/>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分值（</w:t>
            </w:r>
            <w:r>
              <w:rPr>
                <w:rFonts w:hint="eastAsia" w:ascii="宋体" w:hAnsi="宋体" w:eastAsia="宋体" w:cs="仿宋"/>
                <w:color w:val="auto"/>
                <w:sz w:val="24"/>
                <w:highlight w:val="none"/>
                <w:lang w:val="en-US" w:eastAsia="zh-CN"/>
              </w:rPr>
              <w:t>100分</w:t>
            </w:r>
            <w:r>
              <w:rPr>
                <w:rFonts w:hint="eastAsia" w:ascii="宋体" w:hAnsi="宋体" w:eastAsia="宋体" w:cs="仿宋"/>
                <w:color w:val="auto"/>
                <w:sz w:val="24"/>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6" w:hRule="atLeast"/>
        </w:trPr>
        <w:tc>
          <w:tcPr>
            <w:tcW w:w="1166" w:type="dxa"/>
            <w:vAlign w:val="center"/>
          </w:tcPr>
          <w:p>
            <w:pPr>
              <w:pStyle w:val="2"/>
              <w:rPr>
                <w:rFonts w:hint="eastAsia" w:ascii="宋体" w:hAnsi="宋体" w:eastAsia="宋体" w:cs="仿宋"/>
                <w:color w:val="auto"/>
                <w:sz w:val="24"/>
                <w:highlight w:val="none"/>
                <w:lang w:eastAsia="zh-CN"/>
              </w:rPr>
            </w:pPr>
          </w:p>
          <w:p>
            <w:pPr>
              <w:pStyle w:val="2"/>
              <w:rPr>
                <w:rFonts w:hint="eastAsia" w:ascii="宋体" w:hAnsi="宋体" w:eastAsia="宋体" w:cs="仿宋"/>
                <w:color w:val="auto"/>
                <w:sz w:val="24"/>
                <w:highlight w:val="none"/>
                <w:lang w:eastAsia="zh-CN"/>
              </w:rPr>
            </w:pPr>
          </w:p>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共同评分因素</w:t>
            </w:r>
          </w:p>
        </w:tc>
        <w:tc>
          <w:tcPr>
            <w:tcW w:w="1164" w:type="dxa"/>
            <w:tcMar>
              <w:top w:w="0" w:type="dxa"/>
              <w:left w:w="80" w:type="dxa"/>
              <w:bottom w:w="0" w:type="dxa"/>
              <w:right w:w="0" w:type="dxa"/>
            </w:tcMar>
            <w:vAlign w:val="center"/>
          </w:tcPr>
          <w:p>
            <w:pPr>
              <w:pStyle w:val="2"/>
              <w:rPr>
                <w:rFonts w:hint="eastAsia" w:ascii="宋体" w:hAnsi="宋体" w:eastAsia="宋体" w:cs="仿宋"/>
                <w:color w:val="auto"/>
                <w:sz w:val="24"/>
                <w:highlight w:val="none"/>
                <w:lang w:val="en-US" w:eastAsia="zh-CN"/>
              </w:rPr>
            </w:pPr>
            <w:r>
              <w:rPr>
                <w:rFonts w:hint="eastAsia" w:ascii="宋体" w:hAnsi="宋体" w:eastAsia="宋体" w:cs="仿宋"/>
                <w:color w:val="auto"/>
                <w:sz w:val="24"/>
                <w:highlight w:val="none"/>
                <w:lang w:eastAsia="zh-CN"/>
              </w:rPr>
              <w:t>报价评审</w:t>
            </w:r>
          </w:p>
        </w:tc>
        <w:tc>
          <w:tcPr>
            <w:tcW w:w="5996" w:type="dxa"/>
            <w:tcMar>
              <w:top w:w="0" w:type="dxa"/>
              <w:left w:w="80" w:type="dxa"/>
              <w:bottom w:w="0" w:type="dxa"/>
              <w:right w:w="0" w:type="dxa"/>
            </w:tcMar>
            <w:vAlign w:val="top"/>
          </w:tcPr>
          <w:p>
            <w:pPr>
              <w:pStyle w:val="2"/>
              <w:rPr>
                <w:rFonts w:hint="default" w:ascii="宋体" w:hAnsi="宋体" w:eastAsia="宋体" w:cs="仿宋"/>
                <w:color w:val="auto"/>
                <w:sz w:val="24"/>
                <w:highlight w:val="none"/>
                <w:lang w:val="en-US" w:eastAsia="zh-CN"/>
              </w:rPr>
            </w:pPr>
            <w:r>
              <w:rPr>
                <w:rFonts w:hint="eastAsia" w:ascii="宋体" w:hAnsi="宋体" w:cs="仿宋"/>
                <w:color w:val="auto"/>
                <w:sz w:val="24"/>
                <w:highlight w:val="none"/>
                <w:lang w:eastAsia="zh-CN"/>
              </w:rPr>
              <w:t>投标报价得分采用低价优先法计算，既满足招标文件要求且投标报价最低的投标报价为评标基准价，其价格分为满分，其他投标人的投标报价得分统一按照下列公式计算：投标报价得分＝（评标基准价/投标报价）×</w:t>
            </w:r>
            <w:r>
              <w:rPr>
                <w:rFonts w:hint="eastAsia" w:ascii="宋体" w:hAnsi="宋体" w:cs="仿宋"/>
                <w:color w:val="auto"/>
                <w:sz w:val="24"/>
                <w:highlight w:val="none"/>
                <w:lang w:val="en-US" w:eastAsia="zh-CN"/>
              </w:rPr>
              <w:t>30</w:t>
            </w:r>
          </w:p>
        </w:tc>
        <w:tc>
          <w:tcPr>
            <w:tcW w:w="1632" w:type="dxa"/>
            <w:tcMar>
              <w:top w:w="0" w:type="dxa"/>
              <w:left w:w="80" w:type="dxa"/>
              <w:bottom w:w="0" w:type="dxa"/>
              <w:right w:w="0" w:type="dxa"/>
            </w:tcMar>
            <w:vAlign w:val="center"/>
          </w:tcPr>
          <w:p>
            <w:pPr>
              <w:pStyle w:val="2"/>
              <w:jc w:val="center"/>
              <w:rPr>
                <w:rFonts w:hint="eastAsia" w:ascii="宋体" w:hAnsi="宋体" w:eastAsia="宋体" w:cs="仿宋"/>
                <w:color w:val="auto"/>
                <w:sz w:val="24"/>
                <w:highlight w:val="none"/>
                <w:lang w:eastAsia="zh-CN"/>
              </w:rPr>
            </w:pPr>
            <w:r>
              <w:rPr>
                <w:rFonts w:hint="eastAsia" w:ascii="宋体" w:hAnsi="宋体" w:cs="仿宋"/>
                <w:color w:val="auto"/>
                <w:sz w:val="24"/>
                <w:highlight w:val="none"/>
                <w:lang w:val="en-US" w:eastAsia="zh-CN"/>
              </w:rPr>
              <w:t>30</w:t>
            </w:r>
            <w:r>
              <w:rPr>
                <w:rFonts w:hint="eastAsia" w:ascii="宋体" w:hAnsi="宋体" w:eastAsia="宋体" w:cs="仿宋"/>
                <w:color w:val="auto"/>
                <w:sz w:val="24"/>
                <w:highlight w:val="none"/>
                <w:lang w:eastAsia="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1166" w:type="dxa"/>
            <w:vMerge w:val="restart"/>
            <w:vAlign w:val="cente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技术类评委</w:t>
            </w:r>
          </w:p>
        </w:tc>
        <w:tc>
          <w:tcPr>
            <w:tcW w:w="1164" w:type="dxa"/>
            <w:tcMar>
              <w:top w:w="0" w:type="dxa"/>
              <w:left w:w="80" w:type="dxa"/>
              <w:bottom w:w="0" w:type="dxa"/>
              <w:right w:w="0" w:type="dxa"/>
            </w:tcMar>
            <w:vAlign w:val="cente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技术参数</w:t>
            </w:r>
          </w:p>
        </w:tc>
        <w:tc>
          <w:tcPr>
            <w:tcW w:w="5996" w:type="dxa"/>
            <w:tcMar>
              <w:top w:w="0" w:type="dxa"/>
              <w:left w:w="80" w:type="dxa"/>
              <w:bottom w:w="0" w:type="dxa"/>
              <w:right w:w="0" w:type="dxa"/>
            </w:tcMar>
            <w:vAlign w:val="cente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投标产品技术参数完全满足招标文件技术要求的，得20分。</w:t>
            </w:r>
          </w:p>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投标产品的技术参数不满足招标文件技术参数及要求的，则在20分的基础上，按以下原则扣分，扣完为止：</w:t>
            </w:r>
          </w:p>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每有一项不满足招标文件中加▲号的技术参数及要求的，扣2分，扣完为止；</w:t>
            </w:r>
          </w:p>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每有一项不满足招标文件中未加▲号的技术参数及要求的，扣1分，扣完为止。</w:t>
            </w:r>
          </w:p>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（说明：提供检验报告或原厂产品彩页或产品功能界面截图证明）</w:t>
            </w:r>
          </w:p>
        </w:tc>
        <w:tc>
          <w:tcPr>
            <w:tcW w:w="1632" w:type="dxa"/>
            <w:tcMar>
              <w:top w:w="0" w:type="dxa"/>
              <w:left w:w="80" w:type="dxa"/>
              <w:bottom w:w="0" w:type="dxa"/>
              <w:right w:w="0" w:type="dxa"/>
            </w:tcMar>
            <w:vAlign w:val="center"/>
          </w:tcPr>
          <w:p>
            <w:pPr>
              <w:pStyle w:val="2"/>
              <w:jc w:val="center"/>
              <w:rPr>
                <w:rFonts w:hint="eastAsia" w:ascii="宋体" w:hAnsi="宋体" w:eastAsia="宋体" w:cs="仿宋"/>
                <w:color w:val="auto"/>
                <w:sz w:val="24"/>
                <w:highlight w:val="none"/>
                <w:lang w:eastAsia="zh-CN"/>
              </w:rPr>
            </w:pPr>
            <w:r>
              <w:rPr>
                <w:rFonts w:hint="eastAsia" w:ascii="宋体" w:hAnsi="宋体" w:cs="仿宋"/>
                <w:color w:val="auto"/>
                <w:sz w:val="24"/>
                <w:highlight w:val="none"/>
                <w:lang w:val="en-US" w:eastAsia="zh-CN"/>
              </w:rPr>
              <w:t>20</w:t>
            </w:r>
            <w:r>
              <w:rPr>
                <w:rFonts w:hint="eastAsia" w:ascii="宋体" w:hAnsi="宋体" w:eastAsia="宋体" w:cs="仿宋"/>
                <w:color w:val="auto"/>
                <w:sz w:val="24"/>
                <w:highlight w:val="none"/>
                <w:lang w:eastAsia="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7" w:hRule="atLeast"/>
        </w:trPr>
        <w:tc>
          <w:tcPr>
            <w:tcW w:w="1166" w:type="dxa"/>
            <w:vMerge w:val="continue"/>
            <w:vAlign w:val="center"/>
          </w:tcPr>
          <w:p>
            <w:pPr>
              <w:pStyle w:val="2"/>
              <w:rPr>
                <w:rFonts w:hint="eastAsia" w:ascii="宋体" w:hAnsi="宋体" w:eastAsia="宋体" w:cs="仿宋"/>
                <w:color w:val="auto"/>
                <w:sz w:val="24"/>
                <w:highlight w:val="none"/>
                <w:lang w:eastAsia="zh-CN"/>
              </w:rPr>
            </w:pPr>
          </w:p>
        </w:tc>
        <w:tc>
          <w:tcPr>
            <w:tcW w:w="1164" w:type="dxa"/>
            <w:tcMar>
              <w:top w:w="0" w:type="dxa"/>
              <w:left w:w="80" w:type="dxa"/>
              <w:bottom w:w="0" w:type="dxa"/>
              <w:right w:w="0" w:type="dxa"/>
            </w:tcMar>
            <w:vAlign w:val="cente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售后服务</w:t>
            </w:r>
          </w:p>
        </w:tc>
        <w:tc>
          <w:tcPr>
            <w:tcW w:w="5996" w:type="dxa"/>
            <w:tcMar>
              <w:top w:w="0" w:type="dxa"/>
              <w:left w:w="80" w:type="dxa"/>
              <w:bottom w:w="0" w:type="dxa"/>
              <w:right w:w="0" w:type="dxa"/>
            </w:tcMa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投标人的售后服务方案（至少包含</w:t>
            </w:r>
            <w:r>
              <w:rPr>
                <w:rFonts w:hint="eastAsia" w:ascii="宋体" w:hAnsi="宋体" w:eastAsia="宋体" w:cs="仿宋"/>
                <w:color w:val="auto"/>
                <w:sz w:val="24"/>
                <w:highlight w:val="none"/>
                <w:lang w:val="zh-TW" w:eastAsia="zh-CN"/>
              </w:rPr>
              <w:t>售后服务人员配置、故障响应时间及处理情况、售后质量保障措施、退换货方案、服务承诺</w:t>
            </w:r>
            <w:r>
              <w:rPr>
                <w:rFonts w:hint="eastAsia" w:ascii="宋体" w:hAnsi="宋体" w:eastAsia="宋体" w:cs="仿宋"/>
                <w:color w:val="auto"/>
                <w:sz w:val="24"/>
                <w:highlight w:val="none"/>
                <w:lang w:eastAsia="zh-CN"/>
              </w:rPr>
              <w:t>等内容）进行综合比较评分：方案完善且合理的，得</w:t>
            </w:r>
            <w:r>
              <w:rPr>
                <w:rFonts w:hint="eastAsia" w:ascii="宋体" w:hAnsi="宋体" w:cs="仿宋"/>
                <w:color w:val="auto"/>
                <w:sz w:val="24"/>
                <w:highlight w:val="none"/>
                <w:lang w:val="en-US" w:eastAsia="zh-CN"/>
              </w:rPr>
              <w:t>15</w:t>
            </w:r>
            <w:r>
              <w:rPr>
                <w:rFonts w:hint="eastAsia" w:ascii="宋体" w:hAnsi="宋体" w:eastAsia="宋体" w:cs="仿宋"/>
                <w:color w:val="auto"/>
                <w:sz w:val="24"/>
                <w:highlight w:val="none"/>
                <w:lang w:eastAsia="zh-CN"/>
              </w:rPr>
              <w:t>分，每少一项</w:t>
            </w:r>
            <w:r>
              <w:rPr>
                <w:rFonts w:hint="eastAsia" w:ascii="宋体" w:hAnsi="宋体" w:cs="仿宋"/>
                <w:color w:val="auto"/>
                <w:sz w:val="24"/>
                <w:highlight w:val="none"/>
                <w:lang w:eastAsia="zh-CN"/>
              </w:rPr>
              <w:t>扣</w:t>
            </w:r>
            <w:r>
              <w:rPr>
                <w:rFonts w:hint="eastAsia" w:ascii="宋体" w:hAnsi="宋体" w:cs="仿宋"/>
                <w:color w:val="auto"/>
                <w:sz w:val="24"/>
                <w:highlight w:val="none"/>
                <w:lang w:val="en-US" w:eastAsia="zh-CN"/>
              </w:rPr>
              <w:t>3分，</w:t>
            </w:r>
            <w:r>
              <w:rPr>
                <w:rFonts w:hint="eastAsia" w:ascii="宋体" w:hAnsi="宋体" w:eastAsia="宋体" w:cs="仿宋"/>
                <w:color w:val="auto"/>
                <w:sz w:val="24"/>
                <w:highlight w:val="none"/>
                <w:lang w:eastAsia="zh-CN"/>
              </w:rPr>
              <w:t>某</w:t>
            </w:r>
            <w:r>
              <w:rPr>
                <w:rFonts w:hint="eastAsia" w:ascii="宋体" w:hAnsi="宋体" w:cs="仿宋"/>
                <w:color w:val="auto"/>
                <w:sz w:val="24"/>
                <w:highlight w:val="none"/>
                <w:lang w:eastAsia="zh-CN"/>
              </w:rPr>
              <w:t>项</w:t>
            </w:r>
            <w:r>
              <w:rPr>
                <w:rFonts w:hint="eastAsia" w:ascii="宋体" w:hAnsi="宋体" w:eastAsia="宋体" w:cs="仿宋"/>
                <w:color w:val="auto"/>
                <w:sz w:val="24"/>
                <w:highlight w:val="none"/>
                <w:lang w:eastAsia="zh-CN"/>
              </w:rPr>
              <w:t>不合理扣</w:t>
            </w:r>
            <w:r>
              <w:rPr>
                <w:rFonts w:hint="eastAsia" w:ascii="宋体" w:hAnsi="宋体" w:cs="仿宋"/>
                <w:color w:val="auto"/>
                <w:sz w:val="24"/>
                <w:highlight w:val="none"/>
                <w:lang w:val="en-US" w:eastAsia="zh-CN"/>
              </w:rPr>
              <w:t>1</w:t>
            </w:r>
            <w:r>
              <w:rPr>
                <w:rFonts w:hint="eastAsia" w:ascii="宋体" w:hAnsi="宋体" w:eastAsia="宋体" w:cs="仿宋"/>
                <w:color w:val="auto"/>
                <w:sz w:val="24"/>
                <w:highlight w:val="none"/>
                <w:lang w:eastAsia="zh-CN"/>
              </w:rPr>
              <w:t>分，扣完为止。</w:t>
            </w:r>
          </w:p>
        </w:tc>
        <w:tc>
          <w:tcPr>
            <w:tcW w:w="1632" w:type="dxa"/>
            <w:tcMar>
              <w:top w:w="0" w:type="dxa"/>
              <w:left w:w="80" w:type="dxa"/>
              <w:bottom w:w="0" w:type="dxa"/>
              <w:right w:w="0" w:type="dxa"/>
            </w:tcMar>
            <w:vAlign w:val="center"/>
          </w:tcPr>
          <w:p>
            <w:pPr>
              <w:pStyle w:val="2"/>
              <w:jc w:val="center"/>
              <w:rPr>
                <w:rFonts w:hint="eastAsia" w:ascii="宋体" w:hAnsi="宋体" w:eastAsia="宋体" w:cs="仿宋"/>
                <w:color w:val="auto"/>
                <w:sz w:val="24"/>
                <w:highlight w:val="none"/>
                <w:lang w:eastAsia="zh-CN"/>
              </w:rPr>
            </w:pPr>
            <w:r>
              <w:rPr>
                <w:rFonts w:hint="eastAsia" w:ascii="宋体" w:hAnsi="宋体" w:cs="仿宋"/>
                <w:color w:val="auto"/>
                <w:sz w:val="24"/>
                <w:highlight w:val="none"/>
                <w:lang w:val="en-US" w:eastAsia="zh-CN"/>
              </w:rPr>
              <w:t>15</w:t>
            </w:r>
            <w:r>
              <w:rPr>
                <w:rFonts w:hint="eastAsia" w:ascii="宋体" w:hAnsi="宋体" w:eastAsia="宋体" w:cs="仿宋"/>
                <w:color w:val="auto"/>
                <w:sz w:val="24"/>
                <w:highlight w:val="none"/>
                <w:lang w:eastAsia="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9" w:hRule="atLeast"/>
        </w:trPr>
        <w:tc>
          <w:tcPr>
            <w:tcW w:w="1166" w:type="dxa"/>
            <w:vMerge w:val="continue"/>
            <w:vAlign w:val="center"/>
          </w:tcPr>
          <w:p>
            <w:pPr>
              <w:pStyle w:val="2"/>
              <w:rPr>
                <w:rFonts w:hint="eastAsia" w:ascii="宋体" w:hAnsi="宋体" w:eastAsia="宋体" w:cs="仿宋"/>
                <w:color w:val="auto"/>
                <w:sz w:val="24"/>
                <w:highlight w:val="none"/>
                <w:lang w:eastAsia="zh-CN"/>
              </w:rPr>
            </w:pPr>
          </w:p>
        </w:tc>
        <w:tc>
          <w:tcPr>
            <w:tcW w:w="1164" w:type="dxa"/>
            <w:tcMar>
              <w:top w:w="0" w:type="dxa"/>
              <w:left w:w="80" w:type="dxa"/>
              <w:bottom w:w="0" w:type="dxa"/>
              <w:right w:w="0" w:type="dxa"/>
            </w:tcMar>
            <w:vAlign w:val="cente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样品</w:t>
            </w:r>
          </w:p>
        </w:tc>
        <w:tc>
          <w:tcPr>
            <w:tcW w:w="5996" w:type="dxa"/>
            <w:tcMar>
              <w:top w:w="0" w:type="dxa"/>
              <w:left w:w="80" w:type="dxa"/>
              <w:bottom w:w="0" w:type="dxa"/>
              <w:right w:w="0" w:type="dxa"/>
            </w:tcMar>
            <w:vAlign w:val="cente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凡是出现下列任一情况的该项得分均为0分：（1）未提供样品的；（2）少送样品的；（3）错送样品的。</w:t>
            </w:r>
          </w:p>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根据投标人提供的样品质量、外观、性能等进行综合排名，第一名得12分；第一名以后名次每降低1位，在前一名的得分基础上减4分；第四名及以后不得分，排名可并列。</w:t>
            </w:r>
          </w:p>
        </w:tc>
        <w:tc>
          <w:tcPr>
            <w:tcW w:w="1632" w:type="dxa"/>
            <w:tcMar>
              <w:top w:w="0" w:type="dxa"/>
              <w:left w:w="80" w:type="dxa"/>
              <w:bottom w:w="0" w:type="dxa"/>
              <w:right w:w="0" w:type="dxa"/>
            </w:tcMar>
            <w:vAlign w:val="center"/>
          </w:tcPr>
          <w:p>
            <w:pPr>
              <w:pStyle w:val="2"/>
              <w:jc w:val="center"/>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12分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1" w:hRule="atLeast"/>
        </w:trPr>
        <w:tc>
          <w:tcPr>
            <w:tcW w:w="1166" w:type="dxa"/>
            <w:vMerge w:val="continue"/>
            <w:vAlign w:val="center"/>
          </w:tcPr>
          <w:p>
            <w:pPr>
              <w:pStyle w:val="2"/>
              <w:rPr>
                <w:rFonts w:hint="eastAsia" w:ascii="宋体" w:hAnsi="宋体" w:eastAsia="宋体" w:cs="仿宋"/>
                <w:color w:val="auto"/>
                <w:sz w:val="24"/>
                <w:highlight w:val="none"/>
                <w:lang w:eastAsia="zh-CN"/>
              </w:rPr>
            </w:pPr>
          </w:p>
        </w:tc>
        <w:tc>
          <w:tcPr>
            <w:tcW w:w="1164" w:type="dxa"/>
            <w:tcMar>
              <w:top w:w="0" w:type="dxa"/>
              <w:left w:w="80" w:type="dxa"/>
              <w:bottom w:w="0" w:type="dxa"/>
              <w:right w:w="0" w:type="dxa"/>
            </w:tcMar>
            <w:vAlign w:val="cente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节能、环境标志产品</w:t>
            </w:r>
          </w:p>
          <w:p>
            <w:pPr>
              <w:pStyle w:val="2"/>
              <w:rPr>
                <w:rFonts w:hint="eastAsia" w:ascii="宋体" w:hAnsi="宋体" w:eastAsia="宋体" w:cs="仿宋"/>
                <w:color w:val="auto"/>
                <w:sz w:val="24"/>
                <w:highlight w:val="none"/>
                <w:lang w:eastAsia="zh-CN"/>
              </w:rPr>
            </w:pPr>
          </w:p>
        </w:tc>
        <w:tc>
          <w:tcPr>
            <w:tcW w:w="5996" w:type="dxa"/>
            <w:tcMar>
              <w:top w:w="0" w:type="dxa"/>
              <w:left w:w="80" w:type="dxa"/>
              <w:bottom w:w="0" w:type="dxa"/>
              <w:right w:w="0" w:type="dxa"/>
            </w:tcMa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所投产品中所涉及到的产品中属于“政府采购节能产品、环境标志产品实施品目清单”中实施政府优先采购的，提供国家确定的认证机构出具的、处于有效期内的节能产品或环境标志产品认证证书复印件（或提供中国政府采购网产品获证情况的网页截图）的得</w:t>
            </w:r>
            <w:r>
              <w:rPr>
                <w:rFonts w:hint="eastAsia" w:ascii="宋体" w:hAnsi="宋体" w:cs="仿宋"/>
                <w:color w:val="auto"/>
                <w:sz w:val="24"/>
                <w:highlight w:val="none"/>
                <w:lang w:val="en-US" w:eastAsia="zh-CN"/>
              </w:rPr>
              <w:t>1</w:t>
            </w:r>
            <w:r>
              <w:rPr>
                <w:rFonts w:hint="eastAsia" w:ascii="宋体" w:hAnsi="宋体" w:eastAsia="宋体" w:cs="仿宋"/>
                <w:color w:val="auto"/>
                <w:sz w:val="24"/>
                <w:highlight w:val="none"/>
                <w:lang w:eastAsia="zh-CN"/>
              </w:rPr>
              <w:t>分。</w:t>
            </w:r>
          </w:p>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注:采购产品为 “政府采购节能产品、环境标志产品实施品目清单”中实施政府强制采购的，未获得国家确认的认证机构出具的、处于有效期内的节能产品、环境标志产品认证证书的产品将作无效投标处理。</w:t>
            </w:r>
          </w:p>
        </w:tc>
        <w:tc>
          <w:tcPr>
            <w:tcW w:w="1632" w:type="dxa"/>
            <w:tcMar>
              <w:top w:w="0" w:type="dxa"/>
              <w:left w:w="80" w:type="dxa"/>
              <w:bottom w:w="0" w:type="dxa"/>
              <w:right w:w="0" w:type="dxa"/>
            </w:tcMar>
            <w:vAlign w:val="center"/>
          </w:tcPr>
          <w:p>
            <w:pPr>
              <w:pStyle w:val="2"/>
              <w:jc w:val="center"/>
              <w:rPr>
                <w:rFonts w:hint="eastAsia" w:ascii="宋体" w:hAnsi="宋体" w:eastAsia="宋体" w:cs="仿宋"/>
                <w:color w:val="auto"/>
                <w:sz w:val="24"/>
                <w:highlight w:val="none"/>
                <w:lang w:eastAsia="zh-CN"/>
              </w:rPr>
            </w:pPr>
            <w:r>
              <w:rPr>
                <w:rFonts w:hint="eastAsia" w:ascii="宋体" w:hAnsi="宋体" w:cs="仿宋"/>
                <w:color w:val="auto"/>
                <w:sz w:val="24"/>
                <w:highlight w:val="none"/>
                <w:lang w:val="en-US" w:eastAsia="zh-CN"/>
              </w:rPr>
              <w:t>1</w:t>
            </w:r>
            <w:r>
              <w:rPr>
                <w:rFonts w:hint="eastAsia" w:ascii="宋体" w:hAnsi="宋体" w:eastAsia="宋体" w:cs="仿宋"/>
                <w:color w:val="auto"/>
                <w:sz w:val="24"/>
                <w:highlight w:val="none"/>
                <w:lang w:eastAsia="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18" w:hRule="atLeast"/>
        </w:trPr>
        <w:tc>
          <w:tcPr>
            <w:tcW w:w="1166" w:type="dxa"/>
            <w:vMerge w:val="restart"/>
          </w:tcPr>
          <w:p>
            <w:pPr>
              <w:pStyle w:val="2"/>
              <w:rPr>
                <w:rFonts w:hint="eastAsia" w:ascii="宋体" w:hAnsi="宋体" w:eastAsia="宋体" w:cs="仿宋"/>
                <w:color w:val="auto"/>
                <w:sz w:val="24"/>
                <w:highlight w:val="none"/>
                <w:lang w:eastAsia="zh-CN"/>
              </w:rPr>
            </w:pPr>
          </w:p>
          <w:p>
            <w:pPr>
              <w:pStyle w:val="2"/>
              <w:rPr>
                <w:rFonts w:hint="eastAsia" w:ascii="宋体" w:hAnsi="宋体" w:eastAsia="宋体" w:cs="仿宋"/>
                <w:color w:val="auto"/>
                <w:sz w:val="24"/>
                <w:highlight w:val="none"/>
                <w:lang w:eastAsia="zh-CN"/>
              </w:rPr>
            </w:pPr>
          </w:p>
          <w:p>
            <w:pPr>
              <w:pStyle w:val="2"/>
              <w:rPr>
                <w:rFonts w:hint="eastAsia" w:ascii="宋体" w:hAnsi="宋体" w:eastAsia="宋体" w:cs="仿宋"/>
                <w:color w:val="auto"/>
                <w:sz w:val="24"/>
                <w:highlight w:val="none"/>
                <w:lang w:eastAsia="zh-CN"/>
              </w:rPr>
            </w:pPr>
          </w:p>
          <w:p>
            <w:pPr>
              <w:pStyle w:val="2"/>
              <w:rPr>
                <w:rFonts w:hint="eastAsia" w:ascii="宋体" w:hAnsi="宋体" w:eastAsia="宋体" w:cs="仿宋"/>
                <w:color w:val="auto"/>
                <w:sz w:val="24"/>
                <w:highlight w:val="none"/>
                <w:lang w:eastAsia="zh-CN"/>
              </w:rPr>
            </w:pPr>
          </w:p>
          <w:p>
            <w:pPr>
              <w:pStyle w:val="2"/>
              <w:rPr>
                <w:rFonts w:hint="eastAsia" w:ascii="宋体" w:hAnsi="宋体" w:eastAsia="宋体" w:cs="仿宋"/>
                <w:color w:val="auto"/>
                <w:sz w:val="24"/>
                <w:highlight w:val="none"/>
                <w:lang w:eastAsia="zh-CN"/>
              </w:rPr>
            </w:pPr>
          </w:p>
          <w:p>
            <w:pPr>
              <w:pStyle w:val="2"/>
              <w:rPr>
                <w:rFonts w:hint="eastAsia" w:ascii="宋体" w:hAnsi="宋体" w:eastAsia="宋体" w:cs="仿宋"/>
                <w:color w:val="auto"/>
                <w:sz w:val="24"/>
                <w:highlight w:val="none"/>
                <w:lang w:eastAsia="zh-CN"/>
              </w:rPr>
            </w:pPr>
          </w:p>
          <w:p>
            <w:pPr>
              <w:pStyle w:val="2"/>
              <w:rPr>
                <w:rFonts w:hint="eastAsia" w:ascii="宋体" w:hAnsi="宋体" w:eastAsia="宋体" w:cs="仿宋"/>
                <w:color w:val="auto"/>
                <w:sz w:val="24"/>
                <w:highlight w:val="none"/>
                <w:lang w:eastAsia="zh-CN"/>
              </w:rPr>
            </w:pPr>
          </w:p>
          <w:p>
            <w:pPr>
              <w:pStyle w:val="2"/>
              <w:rPr>
                <w:rFonts w:hint="eastAsia" w:ascii="宋体" w:hAnsi="宋体" w:eastAsia="宋体" w:cs="仿宋"/>
                <w:color w:val="auto"/>
                <w:sz w:val="24"/>
                <w:highlight w:val="none"/>
                <w:lang w:eastAsia="zh-CN"/>
              </w:rPr>
            </w:pPr>
          </w:p>
          <w:p>
            <w:pPr>
              <w:pStyle w:val="2"/>
              <w:rPr>
                <w:rFonts w:hint="eastAsia" w:ascii="宋体" w:hAnsi="宋体" w:eastAsia="宋体" w:cs="仿宋"/>
                <w:color w:val="auto"/>
                <w:sz w:val="24"/>
                <w:highlight w:val="none"/>
                <w:lang w:eastAsia="zh-CN"/>
              </w:rPr>
            </w:pPr>
          </w:p>
          <w:p>
            <w:pPr>
              <w:pStyle w:val="2"/>
              <w:rPr>
                <w:rFonts w:hint="eastAsia" w:ascii="宋体" w:hAnsi="宋体" w:eastAsia="宋体" w:cs="仿宋"/>
                <w:color w:val="auto"/>
                <w:sz w:val="24"/>
                <w:highlight w:val="none"/>
                <w:lang w:eastAsia="zh-CN"/>
              </w:rPr>
            </w:pPr>
          </w:p>
          <w:p>
            <w:pPr>
              <w:pStyle w:val="2"/>
              <w:rPr>
                <w:rFonts w:hint="eastAsia" w:ascii="宋体" w:hAnsi="宋体" w:eastAsia="宋体" w:cs="仿宋"/>
                <w:color w:val="auto"/>
                <w:sz w:val="24"/>
                <w:highlight w:val="none"/>
                <w:lang w:eastAsia="zh-CN"/>
              </w:rPr>
            </w:pPr>
          </w:p>
          <w:p>
            <w:pPr>
              <w:pStyle w:val="2"/>
              <w:rPr>
                <w:rFonts w:hint="eastAsia" w:ascii="宋体" w:hAnsi="宋体" w:eastAsia="宋体" w:cs="仿宋"/>
                <w:color w:val="auto"/>
                <w:sz w:val="24"/>
                <w:highlight w:val="none"/>
                <w:lang w:eastAsia="zh-CN"/>
              </w:rPr>
            </w:pPr>
            <w:r>
              <w:rPr>
                <w:rFonts w:hint="eastAsia" w:ascii="宋体" w:hAnsi="宋体" w:cs="仿宋"/>
                <w:color w:val="auto"/>
                <w:sz w:val="24"/>
                <w:highlight w:val="none"/>
                <w:lang w:eastAsia="zh-CN"/>
              </w:rPr>
              <w:t>共同评分因素</w:t>
            </w:r>
          </w:p>
        </w:tc>
        <w:tc>
          <w:tcPr>
            <w:tcW w:w="1164" w:type="dxa"/>
            <w:vAlign w:val="cente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综合实力</w:t>
            </w:r>
          </w:p>
        </w:tc>
        <w:tc>
          <w:tcPr>
            <w:tcW w:w="5996" w:type="dxa"/>
            <w:tcMar>
              <w:top w:w="0" w:type="dxa"/>
              <w:left w:w="80" w:type="dxa"/>
              <w:bottom w:w="0" w:type="dxa"/>
              <w:right w:w="0" w:type="dxa"/>
            </w:tcMa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投标人为生产厂商的提供质量体系认证证书（有效期内）或投标人为非生产厂商的提供生产厂商质量体系认证证书（有效期内）的，得1分。（说明：提供证书复印件）</w:t>
            </w:r>
          </w:p>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投标人为生产厂商的提供环境质量体系认证证书（有效期内）或投标人为非生产厂商的提供生产厂商环境质量体系认证证书（有效期内）的，得1分。（说明：提供证书复印件）</w:t>
            </w:r>
          </w:p>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投标人为生产厂商的提供职业健康安全管理体系认证证书（有效期内）或投标人为非生产厂商的提供生产厂商职业健康安全管理体系认证证书（有效期内）的，得1分。（说明：提供证书复印件）</w:t>
            </w:r>
          </w:p>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投标产品制造厂家具有检测实验室且拥有国家认可的CNAS检测实验资质的得</w:t>
            </w:r>
            <w:r>
              <w:rPr>
                <w:rFonts w:hint="eastAsia" w:ascii="宋体" w:hAnsi="宋体" w:cs="仿宋"/>
                <w:color w:val="auto"/>
                <w:sz w:val="24"/>
                <w:highlight w:val="none"/>
                <w:lang w:val="en-US" w:eastAsia="zh-CN"/>
              </w:rPr>
              <w:t>3</w:t>
            </w:r>
            <w:r>
              <w:rPr>
                <w:rFonts w:hint="eastAsia" w:ascii="宋体" w:hAnsi="宋体" w:eastAsia="宋体" w:cs="仿宋"/>
                <w:color w:val="auto"/>
                <w:sz w:val="24"/>
                <w:highlight w:val="none"/>
                <w:lang w:eastAsia="zh-CN"/>
              </w:rPr>
              <w:t>分。（说明：提供证书复印件）</w:t>
            </w:r>
          </w:p>
        </w:tc>
        <w:tc>
          <w:tcPr>
            <w:tcW w:w="1632" w:type="dxa"/>
            <w:vAlign w:val="center"/>
          </w:tcPr>
          <w:p>
            <w:pPr>
              <w:pStyle w:val="2"/>
              <w:jc w:val="center"/>
              <w:rPr>
                <w:rFonts w:hint="eastAsia" w:ascii="宋体" w:hAnsi="宋体" w:eastAsia="宋体" w:cs="仿宋"/>
                <w:color w:val="auto"/>
                <w:sz w:val="24"/>
                <w:highlight w:val="none"/>
                <w:lang w:eastAsia="zh-CN"/>
              </w:rPr>
            </w:pPr>
            <w:r>
              <w:rPr>
                <w:rFonts w:hint="eastAsia" w:ascii="宋体" w:hAnsi="宋体" w:cs="仿宋"/>
                <w:color w:val="auto"/>
                <w:sz w:val="24"/>
                <w:highlight w:val="none"/>
                <w:lang w:val="en-US" w:eastAsia="zh-CN"/>
              </w:rPr>
              <w:t>6</w:t>
            </w:r>
            <w:r>
              <w:rPr>
                <w:rFonts w:hint="eastAsia" w:ascii="宋体" w:hAnsi="宋体" w:eastAsia="宋体" w:cs="仿宋"/>
                <w:color w:val="auto"/>
                <w:sz w:val="24"/>
                <w:highlight w:val="none"/>
                <w:lang w:eastAsia="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65" w:hRule="atLeast"/>
        </w:trPr>
        <w:tc>
          <w:tcPr>
            <w:tcW w:w="1166" w:type="dxa"/>
            <w:vMerge w:val="continue"/>
          </w:tcPr>
          <w:p>
            <w:pPr>
              <w:pStyle w:val="2"/>
              <w:rPr>
                <w:rFonts w:hint="eastAsia" w:ascii="宋体" w:hAnsi="宋体" w:eastAsia="宋体" w:cs="仿宋"/>
                <w:color w:val="auto"/>
                <w:sz w:val="24"/>
                <w:highlight w:val="none"/>
                <w:lang w:eastAsia="zh-CN"/>
              </w:rPr>
            </w:pPr>
          </w:p>
        </w:tc>
        <w:tc>
          <w:tcPr>
            <w:tcW w:w="1164" w:type="dxa"/>
            <w:vAlign w:val="cente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履约能力</w:t>
            </w:r>
          </w:p>
        </w:tc>
        <w:tc>
          <w:tcPr>
            <w:tcW w:w="5996" w:type="dxa"/>
            <w:tcMar>
              <w:top w:w="0" w:type="dxa"/>
              <w:left w:w="80" w:type="dxa"/>
              <w:bottom w:w="0" w:type="dxa"/>
              <w:right w:w="0" w:type="dxa"/>
            </w:tcMar>
            <w:vAlign w:val="cente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1、2017年1月1日以后（含1日）签订类似采购项目的，1个得2分，最多得8分。（说明：提供《中标通知书》或合同复印件，并加盖投标人公章。）</w:t>
            </w:r>
          </w:p>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2、提供投标人所完成项目的业主单位出具的良好履约证明材料，每提供1份得1分，最多得2分。</w:t>
            </w:r>
          </w:p>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3、投标人在项目地设立有仓库、办事处得</w:t>
            </w:r>
            <w:r>
              <w:rPr>
                <w:rFonts w:hint="eastAsia" w:ascii="宋体" w:hAnsi="宋体" w:cs="仿宋"/>
                <w:color w:val="auto"/>
                <w:sz w:val="24"/>
                <w:highlight w:val="none"/>
                <w:lang w:val="en-US" w:eastAsia="zh-CN"/>
              </w:rPr>
              <w:t>3</w:t>
            </w:r>
            <w:r>
              <w:rPr>
                <w:rFonts w:hint="eastAsia" w:ascii="宋体" w:hAnsi="宋体" w:eastAsia="宋体" w:cs="仿宋"/>
                <w:color w:val="auto"/>
                <w:sz w:val="24"/>
                <w:highlight w:val="none"/>
                <w:lang w:eastAsia="zh-CN"/>
              </w:rPr>
              <w:t>分（说明：投标人有仓库、办事处的提供房产证复印件或租赁合同复印件）。</w:t>
            </w:r>
          </w:p>
        </w:tc>
        <w:tc>
          <w:tcPr>
            <w:tcW w:w="1632" w:type="dxa"/>
            <w:vAlign w:val="center"/>
          </w:tcPr>
          <w:p>
            <w:pPr>
              <w:pStyle w:val="2"/>
              <w:jc w:val="center"/>
              <w:rPr>
                <w:rFonts w:hint="eastAsia" w:ascii="宋体" w:hAnsi="宋体" w:eastAsia="宋体" w:cs="仿宋"/>
                <w:color w:val="auto"/>
                <w:sz w:val="24"/>
                <w:highlight w:val="none"/>
                <w:lang w:eastAsia="zh-CN"/>
              </w:rPr>
            </w:pPr>
            <w:r>
              <w:rPr>
                <w:rFonts w:hint="eastAsia" w:ascii="宋体" w:hAnsi="宋体" w:cs="仿宋"/>
                <w:color w:val="auto"/>
                <w:sz w:val="24"/>
                <w:highlight w:val="none"/>
                <w:lang w:val="en-US" w:eastAsia="zh-CN"/>
              </w:rPr>
              <w:t>13</w:t>
            </w:r>
            <w:r>
              <w:rPr>
                <w:rFonts w:hint="eastAsia" w:ascii="宋体" w:hAnsi="宋体" w:eastAsia="宋体" w:cs="仿宋"/>
                <w:color w:val="auto"/>
                <w:sz w:val="24"/>
                <w:highlight w:val="none"/>
                <w:lang w:eastAsia="zh-CN"/>
              </w:rPr>
              <w:t>分</w:t>
            </w:r>
          </w:p>
          <w:p>
            <w:pPr>
              <w:pStyle w:val="2"/>
              <w:jc w:val="center"/>
              <w:rPr>
                <w:rFonts w:hint="eastAsia" w:ascii="宋体" w:hAnsi="宋体" w:eastAsia="宋体" w:cs="仿宋"/>
                <w:color w:val="auto"/>
                <w:sz w:val="24"/>
                <w:highlight w:val="none"/>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83" w:hRule="atLeast"/>
        </w:trPr>
        <w:tc>
          <w:tcPr>
            <w:tcW w:w="1166" w:type="dxa"/>
            <w:vMerge w:val="continue"/>
          </w:tcPr>
          <w:p>
            <w:pPr>
              <w:pStyle w:val="2"/>
              <w:rPr>
                <w:rFonts w:hint="eastAsia" w:ascii="宋体" w:hAnsi="宋体" w:eastAsia="宋体" w:cs="仿宋"/>
                <w:color w:val="auto"/>
                <w:sz w:val="24"/>
                <w:highlight w:val="none"/>
                <w:lang w:eastAsia="zh-CN"/>
              </w:rPr>
            </w:pPr>
          </w:p>
        </w:tc>
        <w:tc>
          <w:tcPr>
            <w:tcW w:w="1164" w:type="dxa"/>
            <w:vAlign w:val="cente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投标文件的规范性</w:t>
            </w:r>
          </w:p>
        </w:tc>
        <w:tc>
          <w:tcPr>
            <w:tcW w:w="5996" w:type="dxa"/>
            <w:tcMar>
              <w:top w:w="0" w:type="dxa"/>
              <w:left w:w="80" w:type="dxa"/>
              <w:bottom w:w="0" w:type="dxa"/>
              <w:right w:w="0" w:type="dxa"/>
            </w:tcMa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投标文件制作规范，没有细微偏差情形的得</w:t>
            </w:r>
            <w:r>
              <w:rPr>
                <w:rFonts w:hint="eastAsia" w:ascii="宋体" w:hAnsi="宋体" w:cs="仿宋"/>
                <w:color w:val="auto"/>
                <w:sz w:val="24"/>
                <w:highlight w:val="none"/>
                <w:lang w:val="en-US" w:eastAsia="zh-CN"/>
              </w:rPr>
              <w:t>2</w:t>
            </w:r>
            <w:r>
              <w:rPr>
                <w:rFonts w:hint="eastAsia" w:ascii="宋体" w:hAnsi="宋体" w:eastAsia="宋体" w:cs="仿宋"/>
                <w:color w:val="auto"/>
                <w:sz w:val="24"/>
                <w:highlight w:val="none"/>
                <w:lang w:eastAsia="zh-CN"/>
              </w:rPr>
              <w:t>分；有一项细微偏差扣0.5分，直至该项分值扣完为止。</w:t>
            </w:r>
          </w:p>
        </w:tc>
        <w:tc>
          <w:tcPr>
            <w:tcW w:w="1632" w:type="dxa"/>
            <w:vAlign w:val="center"/>
          </w:tcPr>
          <w:p>
            <w:pPr>
              <w:pStyle w:val="2"/>
              <w:jc w:val="center"/>
              <w:rPr>
                <w:rFonts w:hint="eastAsia" w:ascii="宋体" w:hAnsi="宋体" w:eastAsia="宋体" w:cs="仿宋"/>
                <w:color w:val="auto"/>
                <w:sz w:val="24"/>
                <w:highlight w:val="none"/>
                <w:lang w:eastAsia="zh-CN"/>
              </w:rPr>
            </w:pPr>
            <w:r>
              <w:rPr>
                <w:rFonts w:hint="eastAsia" w:ascii="宋体" w:hAnsi="宋体" w:cs="仿宋"/>
                <w:color w:val="auto"/>
                <w:sz w:val="24"/>
                <w:highlight w:val="none"/>
                <w:lang w:val="en-US" w:eastAsia="zh-CN"/>
              </w:rPr>
              <w:t>2</w:t>
            </w:r>
            <w:r>
              <w:rPr>
                <w:rFonts w:hint="eastAsia" w:ascii="宋体" w:hAnsi="宋体" w:eastAsia="宋体" w:cs="仿宋"/>
                <w:color w:val="auto"/>
                <w:sz w:val="24"/>
                <w:highlight w:val="none"/>
                <w:lang w:eastAsia="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8" w:hRule="atLeast"/>
        </w:trPr>
        <w:tc>
          <w:tcPr>
            <w:tcW w:w="1166" w:type="dxa"/>
            <w:vMerge w:val="continue"/>
          </w:tcPr>
          <w:p>
            <w:pPr>
              <w:pStyle w:val="2"/>
              <w:rPr>
                <w:rFonts w:hint="eastAsia" w:ascii="宋体" w:hAnsi="宋体" w:eastAsia="宋体" w:cs="仿宋"/>
                <w:color w:val="auto"/>
                <w:sz w:val="24"/>
                <w:highlight w:val="none"/>
                <w:lang w:eastAsia="zh-CN"/>
              </w:rPr>
            </w:pPr>
          </w:p>
        </w:tc>
        <w:tc>
          <w:tcPr>
            <w:tcW w:w="1164" w:type="dxa"/>
            <w:vAlign w:val="cente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不发达地区和少数民族地区</w:t>
            </w:r>
          </w:p>
        </w:tc>
        <w:tc>
          <w:tcPr>
            <w:tcW w:w="5996" w:type="dxa"/>
            <w:tcMar>
              <w:top w:w="0" w:type="dxa"/>
              <w:left w:w="80" w:type="dxa"/>
              <w:bottom w:w="0" w:type="dxa"/>
              <w:right w:w="0" w:type="dxa"/>
            </w:tcMar>
            <w:vAlign w:val="center"/>
          </w:tcPr>
          <w:p>
            <w:pPr>
              <w:pStyle w:val="2"/>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投标人如为不发达地区或少数民族地区的，得1分。（说明：提供声明函或相关证明材料，声明函格式自拟。如有虚假，将依法承担相应责任）</w:t>
            </w:r>
          </w:p>
        </w:tc>
        <w:tc>
          <w:tcPr>
            <w:tcW w:w="1632" w:type="dxa"/>
            <w:vAlign w:val="center"/>
          </w:tcPr>
          <w:p>
            <w:pPr>
              <w:pStyle w:val="2"/>
              <w:jc w:val="center"/>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lang w:eastAsia="zh-CN"/>
              </w:rPr>
              <w:t>1分</w:t>
            </w:r>
          </w:p>
        </w:tc>
      </w:tr>
    </w:tbl>
    <w:p>
      <w:pPr>
        <w:pStyle w:val="2"/>
        <w:rPr>
          <w:rFonts w:hint="eastAsia"/>
          <w:color w:val="auto"/>
          <w:highlight w:val="none"/>
          <w:lang w:eastAsia="zh-CN"/>
        </w:rPr>
      </w:pPr>
    </w:p>
    <w:p>
      <w:pPr>
        <w:pStyle w:val="2"/>
        <w:rPr>
          <w:rFonts w:hint="eastAsia" w:ascii="宋体" w:hAnsi="宋体" w:cs="仿宋"/>
          <w:color w:val="auto"/>
          <w:sz w:val="24"/>
          <w:highlight w:val="none"/>
        </w:rPr>
      </w:pPr>
      <w:r>
        <w:rPr>
          <w:rFonts w:hint="eastAsia" w:ascii="宋体" w:hAnsi="宋体" w:cs="仿宋"/>
          <w:color w:val="auto"/>
          <w:sz w:val="24"/>
          <w:highlight w:val="none"/>
          <w:lang w:eastAsia="zh-CN"/>
        </w:rPr>
        <w:t>（</w:t>
      </w:r>
      <w:r>
        <w:rPr>
          <w:rFonts w:hint="eastAsia" w:ascii="宋体" w:hAnsi="宋体" w:cs="仿宋"/>
          <w:color w:val="auto"/>
          <w:sz w:val="24"/>
          <w:highlight w:val="none"/>
          <w:lang w:val="en-US" w:eastAsia="zh-CN"/>
        </w:rPr>
        <w:t>3</w:t>
      </w:r>
      <w:r>
        <w:rPr>
          <w:rFonts w:hint="eastAsia" w:ascii="宋体" w:hAnsi="宋体" w:cs="仿宋"/>
          <w:color w:val="auto"/>
          <w:sz w:val="24"/>
          <w:highlight w:val="none"/>
          <w:lang w:eastAsia="zh-CN"/>
        </w:rPr>
        <w:t>）3包：路灯远程控制器采购</w:t>
      </w:r>
      <w:r>
        <w:rPr>
          <w:rFonts w:hint="eastAsia" w:ascii="宋体" w:hAnsi="宋体" w:cs="仿宋"/>
          <w:color w:val="auto"/>
          <w:sz w:val="24"/>
          <w:highlight w:val="none"/>
        </w:rPr>
        <w:t>综合评分明细表</w:t>
      </w:r>
    </w:p>
    <w:p>
      <w:pPr>
        <w:rPr>
          <w:rFonts w:hint="eastAsia"/>
          <w:color w:val="auto"/>
          <w:highlight w:val="none"/>
          <w:lang w:eastAsia="zh-CN"/>
        </w:rPr>
      </w:pPr>
    </w:p>
    <w:tbl>
      <w:tblPr>
        <w:tblStyle w:val="22"/>
        <w:tblW w:w="10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1198"/>
        <w:gridCol w:w="6020"/>
        <w:gridCol w:w="1070"/>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192" w:type="dxa"/>
            <w:noWrap w:val="0"/>
            <w:vAlign w:val="center"/>
          </w:tcPr>
          <w:p>
            <w:pPr>
              <w:pStyle w:val="2"/>
              <w:jc w:val="center"/>
              <w:rPr>
                <w:rFonts w:hint="eastAsia" w:ascii="宋体" w:hAnsi="宋体" w:cs="仿宋"/>
                <w:color w:val="auto"/>
                <w:sz w:val="24"/>
                <w:highlight w:val="none"/>
                <w:lang w:eastAsia="zh-CN"/>
              </w:rPr>
            </w:pPr>
            <w:r>
              <w:rPr>
                <w:rFonts w:hint="eastAsia" w:ascii="宋体" w:hAnsi="宋体" w:cs="仿宋"/>
                <w:color w:val="auto"/>
                <w:sz w:val="24"/>
                <w:highlight w:val="none"/>
                <w:lang w:eastAsia="zh-CN"/>
              </w:rPr>
              <w:t>评审类型</w:t>
            </w:r>
          </w:p>
        </w:tc>
        <w:tc>
          <w:tcPr>
            <w:tcW w:w="1198" w:type="dxa"/>
            <w:noWrap w:val="0"/>
            <w:vAlign w:val="center"/>
          </w:tcPr>
          <w:p>
            <w:pPr>
              <w:pStyle w:val="2"/>
              <w:jc w:val="center"/>
              <w:rPr>
                <w:rFonts w:hint="eastAsia" w:ascii="宋体" w:hAnsi="宋体" w:cs="仿宋"/>
                <w:color w:val="auto"/>
                <w:sz w:val="24"/>
                <w:highlight w:val="none"/>
                <w:lang w:eastAsia="zh-CN"/>
              </w:rPr>
            </w:pPr>
            <w:r>
              <w:rPr>
                <w:rFonts w:hint="eastAsia" w:ascii="宋体" w:hAnsi="宋体" w:cs="仿宋"/>
                <w:color w:val="auto"/>
                <w:sz w:val="24"/>
                <w:highlight w:val="none"/>
                <w:lang w:eastAsia="zh-CN"/>
              </w:rPr>
              <w:t>评审项目</w:t>
            </w:r>
          </w:p>
        </w:tc>
        <w:tc>
          <w:tcPr>
            <w:tcW w:w="6020" w:type="dxa"/>
            <w:noWrap w:val="0"/>
            <w:vAlign w:val="center"/>
          </w:tcPr>
          <w:p>
            <w:pPr>
              <w:pStyle w:val="2"/>
              <w:jc w:val="center"/>
              <w:rPr>
                <w:rFonts w:hint="eastAsia" w:ascii="宋体" w:hAnsi="宋体" w:cs="仿宋"/>
                <w:color w:val="auto"/>
                <w:sz w:val="24"/>
                <w:highlight w:val="none"/>
                <w:lang w:eastAsia="zh-CN"/>
              </w:rPr>
            </w:pPr>
            <w:r>
              <w:rPr>
                <w:rFonts w:hint="eastAsia" w:ascii="宋体" w:hAnsi="宋体" w:eastAsia="宋体" w:cs="仿宋"/>
                <w:color w:val="auto"/>
                <w:sz w:val="24"/>
                <w:highlight w:val="none"/>
                <w:lang w:eastAsia="zh-CN"/>
              </w:rPr>
              <w:t>评分标准</w:t>
            </w:r>
          </w:p>
        </w:tc>
        <w:tc>
          <w:tcPr>
            <w:tcW w:w="1769" w:type="dxa"/>
            <w:gridSpan w:val="2"/>
            <w:noWrap w:val="0"/>
            <w:vAlign w:val="center"/>
          </w:tcPr>
          <w:p>
            <w:pPr>
              <w:pStyle w:val="2"/>
              <w:jc w:val="both"/>
              <w:rPr>
                <w:rFonts w:hint="eastAsia" w:ascii="宋体" w:hAnsi="宋体" w:cs="仿宋"/>
                <w:color w:val="auto"/>
                <w:sz w:val="24"/>
                <w:highlight w:val="none"/>
                <w:lang w:eastAsia="zh-CN"/>
              </w:rPr>
            </w:pPr>
            <w:r>
              <w:rPr>
                <w:rFonts w:hint="eastAsia" w:ascii="宋体" w:hAnsi="宋体" w:cs="仿宋"/>
                <w:color w:val="auto"/>
                <w:sz w:val="24"/>
                <w:highlight w:val="none"/>
                <w:lang w:eastAsia="zh-CN"/>
              </w:rPr>
              <w:t>分值（100分）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192" w:type="dxa"/>
            <w:noWrap w:val="0"/>
            <w:vAlign w:val="center"/>
          </w:tcPr>
          <w:p>
            <w:pPr>
              <w:pStyle w:val="2"/>
              <w:rPr>
                <w:rFonts w:hint="eastAsia" w:ascii="宋体" w:hAnsi="宋体" w:cs="仿宋"/>
                <w:color w:val="auto"/>
                <w:sz w:val="24"/>
                <w:highlight w:val="none"/>
                <w:lang w:eastAsia="zh-CN"/>
              </w:rPr>
            </w:pPr>
            <w:r>
              <w:rPr>
                <w:rFonts w:hint="eastAsia" w:ascii="宋体" w:hAnsi="宋体" w:cs="仿宋"/>
                <w:color w:val="auto"/>
                <w:sz w:val="24"/>
                <w:highlight w:val="none"/>
                <w:lang w:eastAsia="zh-CN"/>
              </w:rPr>
              <w:t>共同评分因素</w:t>
            </w:r>
          </w:p>
        </w:tc>
        <w:tc>
          <w:tcPr>
            <w:tcW w:w="1198" w:type="dxa"/>
            <w:noWrap w:val="0"/>
            <w:vAlign w:val="center"/>
          </w:tcPr>
          <w:p>
            <w:pPr>
              <w:pStyle w:val="2"/>
              <w:rPr>
                <w:rFonts w:hint="eastAsia" w:ascii="宋体" w:hAnsi="宋体" w:cs="仿宋"/>
                <w:color w:val="auto"/>
                <w:sz w:val="24"/>
                <w:highlight w:val="none"/>
                <w:lang w:eastAsia="zh-CN"/>
              </w:rPr>
            </w:pPr>
            <w:r>
              <w:rPr>
                <w:rFonts w:hint="eastAsia" w:ascii="宋体" w:hAnsi="宋体" w:cs="仿宋"/>
                <w:color w:val="auto"/>
                <w:sz w:val="24"/>
                <w:highlight w:val="none"/>
                <w:lang w:eastAsia="zh-CN"/>
              </w:rPr>
              <w:t>报价评审</w:t>
            </w:r>
          </w:p>
        </w:tc>
        <w:tc>
          <w:tcPr>
            <w:tcW w:w="6020" w:type="dxa"/>
            <w:noWrap w:val="0"/>
            <w:vAlign w:val="top"/>
          </w:tcPr>
          <w:p>
            <w:pPr>
              <w:pStyle w:val="2"/>
              <w:rPr>
                <w:rFonts w:hint="default" w:ascii="宋体" w:hAnsi="宋体" w:cs="仿宋"/>
                <w:color w:val="auto"/>
                <w:sz w:val="24"/>
                <w:highlight w:val="none"/>
                <w:lang w:val="en-US" w:eastAsia="zh-CN"/>
              </w:rPr>
            </w:pPr>
            <w:r>
              <w:rPr>
                <w:rFonts w:hint="eastAsia" w:ascii="宋体" w:hAnsi="宋体" w:cs="仿宋"/>
                <w:color w:val="auto"/>
                <w:sz w:val="24"/>
                <w:highlight w:val="none"/>
                <w:lang w:eastAsia="zh-CN"/>
              </w:rPr>
              <w:t>投标报价得分采用低价优先法计算，既满足招标文件要求且投标报价最低的投标报价为评标基准价，其价格分为满分，其他投标人的投标报价得分统一按照下列公式计算：投标报价得分＝（评标基准价/投标报价）×</w:t>
            </w:r>
            <w:r>
              <w:rPr>
                <w:rFonts w:hint="eastAsia" w:ascii="宋体" w:hAnsi="宋体" w:cs="仿宋"/>
                <w:color w:val="auto"/>
                <w:sz w:val="24"/>
                <w:highlight w:val="none"/>
                <w:lang w:val="en-US" w:eastAsia="zh-CN"/>
              </w:rPr>
              <w:t>30</w:t>
            </w:r>
          </w:p>
        </w:tc>
        <w:tc>
          <w:tcPr>
            <w:tcW w:w="1769" w:type="dxa"/>
            <w:gridSpan w:val="2"/>
            <w:noWrap w:val="0"/>
            <w:vAlign w:val="top"/>
          </w:tcPr>
          <w:p>
            <w:pPr>
              <w:pStyle w:val="2"/>
              <w:jc w:val="center"/>
              <w:rPr>
                <w:rFonts w:hint="eastAsia" w:ascii="宋体" w:hAnsi="宋体" w:cs="仿宋"/>
                <w:color w:val="auto"/>
                <w:sz w:val="24"/>
                <w:highlight w:val="none"/>
                <w:lang w:eastAsia="zh-CN"/>
              </w:rPr>
            </w:pPr>
          </w:p>
          <w:p>
            <w:pPr>
              <w:pStyle w:val="2"/>
              <w:ind w:firstLine="240" w:firstLineChars="100"/>
              <w:jc w:val="center"/>
              <w:rPr>
                <w:rFonts w:hint="eastAsia" w:ascii="宋体" w:hAnsi="宋体" w:cs="仿宋"/>
                <w:color w:val="auto"/>
                <w:sz w:val="24"/>
                <w:highlight w:val="none"/>
                <w:lang w:eastAsia="zh-CN"/>
              </w:rPr>
            </w:pPr>
            <w:r>
              <w:rPr>
                <w:rFonts w:hint="eastAsia" w:ascii="宋体" w:hAnsi="宋体" w:cs="仿宋"/>
                <w:color w:val="auto"/>
                <w:sz w:val="24"/>
                <w:highlight w:val="none"/>
                <w:lang w:val="en-US" w:eastAsia="zh-CN"/>
              </w:rPr>
              <w:t>30</w:t>
            </w:r>
            <w:r>
              <w:rPr>
                <w:rFonts w:hint="eastAsia" w:ascii="宋体" w:hAnsi="宋体" w:cs="仿宋"/>
                <w:color w:val="auto"/>
                <w:sz w:val="24"/>
                <w:highlight w:val="none"/>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jc w:val="center"/>
        </w:trPr>
        <w:tc>
          <w:tcPr>
            <w:tcW w:w="1192" w:type="dxa"/>
            <w:vMerge w:val="restart"/>
            <w:noWrap w:val="0"/>
            <w:vAlign w:val="center"/>
          </w:tcPr>
          <w:p>
            <w:pPr>
              <w:pStyle w:val="2"/>
              <w:rPr>
                <w:rFonts w:hint="eastAsia" w:ascii="宋体" w:hAnsi="宋体" w:cs="仿宋"/>
                <w:color w:val="auto"/>
                <w:sz w:val="24"/>
                <w:highlight w:val="none"/>
                <w:lang w:eastAsia="zh-CN"/>
              </w:rPr>
            </w:pPr>
            <w:r>
              <w:rPr>
                <w:rFonts w:hint="eastAsia" w:ascii="宋体" w:hAnsi="宋体" w:cs="仿宋"/>
                <w:color w:val="auto"/>
                <w:sz w:val="24"/>
                <w:highlight w:val="none"/>
                <w:lang w:eastAsia="zh-CN"/>
              </w:rPr>
              <w:t>技术评分因素</w:t>
            </w:r>
          </w:p>
        </w:tc>
        <w:tc>
          <w:tcPr>
            <w:tcW w:w="1198" w:type="dxa"/>
            <w:noWrap w:val="0"/>
            <w:vAlign w:val="center"/>
          </w:tcPr>
          <w:p>
            <w:pPr>
              <w:pStyle w:val="2"/>
              <w:rPr>
                <w:rFonts w:hint="eastAsia" w:ascii="宋体" w:hAnsi="宋体" w:cs="仿宋"/>
                <w:color w:val="auto"/>
                <w:sz w:val="24"/>
                <w:highlight w:val="none"/>
                <w:lang w:eastAsia="zh-CN"/>
              </w:rPr>
            </w:pPr>
            <w:r>
              <w:rPr>
                <w:rFonts w:hint="eastAsia" w:ascii="宋体" w:hAnsi="宋体" w:cs="仿宋"/>
                <w:color w:val="auto"/>
                <w:sz w:val="24"/>
                <w:highlight w:val="none"/>
                <w:lang w:eastAsia="zh-CN"/>
              </w:rPr>
              <w:t>投标产品的技术质量和性能</w:t>
            </w:r>
          </w:p>
        </w:tc>
        <w:tc>
          <w:tcPr>
            <w:tcW w:w="6020" w:type="dxa"/>
            <w:noWrap w:val="0"/>
            <w:vAlign w:val="top"/>
          </w:tcPr>
          <w:p>
            <w:pPr>
              <w:pStyle w:val="2"/>
              <w:rPr>
                <w:rFonts w:hint="eastAsia" w:ascii="宋体" w:hAnsi="宋体" w:cs="仿宋"/>
                <w:color w:val="auto"/>
                <w:sz w:val="24"/>
                <w:highlight w:val="none"/>
                <w:lang w:eastAsia="zh-CN"/>
              </w:rPr>
            </w:pPr>
            <w:r>
              <w:rPr>
                <w:rFonts w:hint="eastAsia" w:ascii="宋体" w:hAnsi="宋体" w:cs="仿宋"/>
                <w:color w:val="auto"/>
                <w:sz w:val="24"/>
                <w:highlight w:val="none"/>
                <w:lang w:eastAsia="zh-CN"/>
              </w:rPr>
              <w:t>1.投标产品技术参数，功能指标的符合程度</w:t>
            </w:r>
            <w:r>
              <w:rPr>
                <w:rFonts w:hint="eastAsia" w:ascii="宋体" w:hAnsi="宋体" w:cs="仿宋"/>
                <w:color w:val="auto"/>
                <w:sz w:val="24"/>
                <w:highlight w:val="none"/>
                <w:lang w:val="en-US" w:eastAsia="zh-CN"/>
              </w:rPr>
              <w:t>20</w:t>
            </w:r>
            <w:r>
              <w:rPr>
                <w:rFonts w:hint="eastAsia" w:ascii="宋体" w:hAnsi="宋体" w:cs="仿宋"/>
                <w:color w:val="auto"/>
                <w:sz w:val="24"/>
                <w:highlight w:val="none"/>
                <w:lang w:eastAsia="zh-CN"/>
              </w:rPr>
              <w:t>分</w:t>
            </w:r>
          </w:p>
          <w:p>
            <w:pPr>
              <w:pStyle w:val="2"/>
              <w:rPr>
                <w:rFonts w:hint="eastAsia" w:ascii="宋体" w:hAnsi="宋体" w:cs="仿宋"/>
                <w:color w:val="auto"/>
                <w:sz w:val="24"/>
                <w:highlight w:val="none"/>
                <w:lang w:eastAsia="zh-CN"/>
              </w:rPr>
            </w:pPr>
            <w:r>
              <w:rPr>
                <w:rFonts w:hint="eastAsia" w:ascii="宋体" w:hAnsi="宋体" w:cs="仿宋"/>
                <w:color w:val="auto"/>
                <w:sz w:val="24"/>
                <w:highlight w:val="none"/>
                <w:lang w:eastAsia="zh-CN"/>
              </w:rPr>
              <w:t>评委根据采购需求技术参数及功能指标响应情况及投标产品展示情况进行评分。投标人所投产品完全满足招标文件要求的得</w:t>
            </w:r>
            <w:r>
              <w:rPr>
                <w:rFonts w:hint="eastAsia" w:ascii="宋体" w:hAnsi="宋体" w:cs="仿宋"/>
                <w:color w:val="auto"/>
                <w:sz w:val="24"/>
                <w:highlight w:val="none"/>
                <w:lang w:val="en-US" w:eastAsia="zh-CN"/>
              </w:rPr>
              <w:t>20</w:t>
            </w:r>
            <w:r>
              <w:rPr>
                <w:rFonts w:hint="eastAsia" w:ascii="宋体" w:hAnsi="宋体" w:cs="仿宋"/>
                <w:color w:val="auto"/>
                <w:sz w:val="24"/>
                <w:highlight w:val="none"/>
                <w:lang w:eastAsia="zh-CN"/>
              </w:rPr>
              <w:t>分。标书中打★项每有一项负偏离扣2分，其余每有一项负偏离扣1分（本项扣完为止），打★项需提供省级及以上检测机构产品出具的检测报告，否则视为负偏离，打★项累计五项不能按要求提供相应检测报告的，本项不得分。经专家评定负偏离影响实际使用效果的，本项不得分。</w:t>
            </w:r>
          </w:p>
        </w:tc>
        <w:tc>
          <w:tcPr>
            <w:tcW w:w="1769" w:type="dxa"/>
            <w:gridSpan w:val="2"/>
            <w:noWrap w:val="0"/>
            <w:vAlign w:val="top"/>
          </w:tcPr>
          <w:p>
            <w:pPr>
              <w:pStyle w:val="2"/>
              <w:jc w:val="center"/>
              <w:rPr>
                <w:rFonts w:hint="eastAsia" w:ascii="宋体" w:hAnsi="宋体" w:cs="仿宋"/>
                <w:color w:val="auto"/>
                <w:sz w:val="24"/>
                <w:highlight w:val="none"/>
                <w:lang w:val="en-US" w:eastAsia="zh-CN"/>
              </w:rPr>
            </w:pPr>
          </w:p>
          <w:p>
            <w:pPr>
              <w:pStyle w:val="2"/>
              <w:jc w:val="center"/>
              <w:rPr>
                <w:rFonts w:hint="eastAsia" w:ascii="宋体" w:hAnsi="宋体" w:cs="仿宋"/>
                <w:color w:val="auto"/>
                <w:sz w:val="24"/>
                <w:highlight w:val="none"/>
                <w:lang w:val="en-US" w:eastAsia="zh-CN"/>
              </w:rPr>
            </w:pPr>
          </w:p>
          <w:p>
            <w:pPr>
              <w:pStyle w:val="2"/>
              <w:ind w:firstLine="240" w:firstLineChars="100"/>
              <w:jc w:val="center"/>
              <w:rPr>
                <w:rFonts w:hint="eastAsia" w:ascii="宋体" w:hAnsi="宋体" w:cs="仿宋"/>
                <w:color w:val="auto"/>
                <w:sz w:val="24"/>
                <w:highlight w:val="none"/>
                <w:lang w:val="en-US" w:eastAsia="zh-CN"/>
              </w:rPr>
            </w:pPr>
          </w:p>
          <w:p>
            <w:pPr>
              <w:pStyle w:val="2"/>
              <w:ind w:firstLine="240" w:firstLineChars="100"/>
              <w:jc w:val="center"/>
              <w:rPr>
                <w:rFonts w:hint="eastAsia" w:ascii="宋体" w:hAnsi="宋体" w:cs="仿宋"/>
                <w:color w:val="auto"/>
                <w:sz w:val="24"/>
                <w:highlight w:val="none"/>
                <w:lang w:val="en-US" w:eastAsia="zh-CN"/>
              </w:rPr>
            </w:pPr>
            <w:r>
              <w:rPr>
                <w:rFonts w:hint="eastAsia" w:ascii="宋体" w:hAnsi="宋体" w:cs="仿宋"/>
                <w:color w:val="auto"/>
                <w:sz w:val="24"/>
                <w:highlight w:val="none"/>
                <w:lang w:val="en-US" w:eastAsia="zh-CN"/>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jc w:val="center"/>
        </w:trPr>
        <w:tc>
          <w:tcPr>
            <w:tcW w:w="1192" w:type="dxa"/>
            <w:vMerge w:val="continue"/>
            <w:noWrap w:val="0"/>
            <w:vAlign w:val="center"/>
          </w:tcPr>
          <w:p>
            <w:pPr>
              <w:pStyle w:val="2"/>
              <w:rPr>
                <w:rFonts w:hint="eastAsia" w:ascii="宋体" w:hAnsi="宋体" w:cs="仿宋"/>
                <w:color w:val="auto"/>
                <w:sz w:val="24"/>
                <w:highlight w:val="none"/>
                <w:lang w:eastAsia="zh-CN"/>
              </w:rPr>
            </w:pPr>
          </w:p>
        </w:tc>
        <w:tc>
          <w:tcPr>
            <w:tcW w:w="1198" w:type="dxa"/>
            <w:noWrap w:val="0"/>
            <w:vAlign w:val="center"/>
          </w:tcPr>
          <w:p>
            <w:pPr>
              <w:pStyle w:val="2"/>
              <w:rPr>
                <w:rFonts w:hint="eastAsia" w:ascii="宋体" w:hAnsi="宋体" w:cs="仿宋"/>
                <w:color w:val="auto"/>
                <w:sz w:val="24"/>
                <w:highlight w:val="none"/>
                <w:lang w:eastAsia="zh-CN"/>
              </w:rPr>
            </w:pPr>
            <w:r>
              <w:rPr>
                <w:rFonts w:hint="eastAsia" w:ascii="宋体" w:hAnsi="宋体" w:eastAsia="宋体" w:cs="仿宋"/>
                <w:color w:val="auto"/>
                <w:sz w:val="24"/>
                <w:highlight w:val="none"/>
                <w:lang w:eastAsia="zh-CN"/>
              </w:rPr>
              <w:t>售后服务</w:t>
            </w:r>
          </w:p>
        </w:tc>
        <w:tc>
          <w:tcPr>
            <w:tcW w:w="6020" w:type="dxa"/>
            <w:noWrap w:val="0"/>
            <w:vAlign w:val="top"/>
          </w:tcPr>
          <w:p>
            <w:pPr>
              <w:pStyle w:val="2"/>
              <w:rPr>
                <w:rFonts w:hint="eastAsia" w:ascii="宋体" w:hAnsi="宋体" w:cs="仿宋"/>
                <w:color w:val="auto"/>
                <w:sz w:val="24"/>
                <w:highlight w:val="none"/>
                <w:lang w:eastAsia="zh-CN"/>
              </w:rPr>
            </w:pPr>
            <w:r>
              <w:rPr>
                <w:rFonts w:hint="eastAsia" w:ascii="宋体" w:hAnsi="宋体" w:eastAsia="宋体" w:cs="仿宋"/>
                <w:color w:val="auto"/>
                <w:sz w:val="24"/>
                <w:highlight w:val="none"/>
                <w:lang w:eastAsia="zh-CN"/>
              </w:rPr>
              <w:t>投标人的售后服务方案（至少包含</w:t>
            </w:r>
            <w:r>
              <w:rPr>
                <w:rFonts w:hint="eastAsia" w:ascii="宋体" w:hAnsi="宋体" w:eastAsia="宋体" w:cs="仿宋"/>
                <w:color w:val="auto"/>
                <w:sz w:val="24"/>
                <w:highlight w:val="none"/>
                <w:lang w:val="zh-TW" w:eastAsia="zh-CN"/>
              </w:rPr>
              <w:t>售后服务人员配置、故障响应时间及处理情况、售后质量保障措施、退换货方案、服务承诺</w:t>
            </w:r>
            <w:r>
              <w:rPr>
                <w:rFonts w:hint="eastAsia" w:ascii="宋体" w:hAnsi="宋体" w:eastAsia="宋体" w:cs="仿宋"/>
                <w:color w:val="auto"/>
                <w:sz w:val="24"/>
                <w:highlight w:val="none"/>
                <w:lang w:eastAsia="zh-CN"/>
              </w:rPr>
              <w:t>等内容）进行综合比较评分：方案完善且合理的，得</w:t>
            </w:r>
            <w:r>
              <w:rPr>
                <w:rFonts w:hint="eastAsia" w:ascii="宋体" w:hAnsi="宋体" w:cs="仿宋"/>
                <w:color w:val="auto"/>
                <w:sz w:val="24"/>
                <w:highlight w:val="none"/>
                <w:lang w:val="en-US" w:eastAsia="zh-CN"/>
              </w:rPr>
              <w:t>15</w:t>
            </w:r>
            <w:r>
              <w:rPr>
                <w:rFonts w:hint="eastAsia" w:ascii="宋体" w:hAnsi="宋体" w:eastAsia="宋体" w:cs="仿宋"/>
                <w:color w:val="auto"/>
                <w:sz w:val="24"/>
                <w:highlight w:val="none"/>
                <w:lang w:eastAsia="zh-CN"/>
              </w:rPr>
              <w:t>分，每少一项</w:t>
            </w:r>
            <w:r>
              <w:rPr>
                <w:rFonts w:hint="eastAsia" w:ascii="宋体" w:hAnsi="宋体" w:cs="仿宋"/>
                <w:color w:val="auto"/>
                <w:sz w:val="24"/>
                <w:highlight w:val="none"/>
                <w:lang w:eastAsia="zh-CN"/>
              </w:rPr>
              <w:t>扣</w:t>
            </w:r>
            <w:r>
              <w:rPr>
                <w:rFonts w:hint="eastAsia" w:ascii="宋体" w:hAnsi="宋体" w:cs="仿宋"/>
                <w:color w:val="auto"/>
                <w:sz w:val="24"/>
                <w:highlight w:val="none"/>
                <w:lang w:val="en-US" w:eastAsia="zh-CN"/>
              </w:rPr>
              <w:t>3分，</w:t>
            </w:r>
            <w:r>
              <w:rPr>
                <w:rFonts w:hint="eastAsia" w:ascii="宋体" w:hAnsi="宋体" w:eastAsia="宋体" w:cs="仿宋"/>
                <w:color w:val="auto"/>
                <w:sz w:val="24"/>
                <w:highlight w:val="none"/>
                <w:lang w:eastAsia="zh-CN"/>
              </w:rPr>
              <w:t>某</w:t>
            </w:r>
            <w:r>
              <w:rPr>
                <w:rFonts w:hint="eastAsia" w:ascii="宋体" w:hAnsi="宋体" w:cs="仿宋"/>
                <w:color w:val="auto"/>
                <w:sz w:val="24"/>
                <w:highlight w:val="none"/>
                <w:lang w:eastAsia="zh-CN"/>
              </w:rPr>
              <w:t>项</w:t>
            </w:r>
            <w:r>
              <w:rPr>
                <w:rFonts w:hint="eastAsia" w:ascii="宋体" w:hAnsi="宋体" w:eastAsia="宋体" w:cs="仿宋"/>
                <w:color w:val="auto"/>
                <w:sz w:val="24"/>
                <w:highlight w:val="none"/>
                <w:lang w:eastAsia="zh-CN"/>
              </w:rPr>
              <w:t>不合理扣</w:t>
            </w:r>
            <w:r>
              <w:rPr>
                <w:rFonts w:hint="eastAsia" w:ascii="宋体" w:hAnsi="宋体" w:cs="仿宋"/>
                <w:color w:val="auto"/>
                <w:sz w:val="24"/>
                <w:highlight w:val="none"/>
                <w:lang w:val="en-US" w:eastAsia="zh-CN"/>
              </w:rPr>
              <w:t>1</w:t>
            </w:r>
            <w:r>
              <w:rPr>
                <w:rFonts w:hint="eastAsia" w:ascii="宋体" w:hAnsi="宋体" w:eastAsia="宋体" w:cs="仿宋"/>
                <w:color w:val="auto"/>
                <w:sz w:val="24"/>
                <w:highlight w:val="none"/>
                <w:lang w:eastAsia="zh-CN"/>
              </w:rPr>
              <w:t>分，扣完为止。</w:t>
            </w:r>
          </w:p>
        </w:tc>
        <w:tc>
          <w:tcPr>
            <w:tcW w:w="1769" w:type="dxa"/>
            <w:gridSpan w:val="2"/>
            <w:noWrap w:val="0"/>
            <w:vAlign w:val="top"/>
          </w:tcPr>
          <w:p>
            <w:pPr>
              <w:pStyle w:val="2"/>
              <w:ind w:firstLine="240" w:firstLineChars="100"/>
              <w:jc w:val="center"/>
              <w:rPr>
                <w:rFonts w:hint="eastAsia" w:ascii="宋体" w:hAnsi="宋体" w:cs="仿宋"/>
                <w:color w:val="auto"/>
                <w:sz w:val="24"/>
                <w:highlight w:val="none"/>
                <w:lang w:val="en-US" w:eastAsia="zh-CN"/>
              </w:rPr>
            </w:pPr>
          </w:p>
          <w:p>
            <w:pPr>
              <w:pStyle w:val="2"/>
              <w:ind w:firstLine="240" w:firstLineChars="100"/>
              <w:jc w:val="center"/>
              <w:rPr>
                <w:rFonts w:hint="eastAsia" w:ascii="宋体" w:hAnsi="宋体" w:cs="仿宋"/>
                <w:color w:val="auto"/>
                <w:sz w:val="24"/>
                <w:highlight w:val="none"/>
                <w:lang w:val="en-US" w:eastAsia="zh-CN"/>
              </w:rPr>
            </w:pPr>
          </w:p>
          <w:p>
            <w:pPr>
              <w:pStyle w:val="2"/>
              <w:ind w:firstLine="240" w:firstLineChars="100"/>
              <w:jc w:val="center"/>
              <w:rPr>
                <w:rFonts w:hint="default" w:ascii="宋体" w:hAnsi="宋体" w:cs="仿宋"/>
                <w:color w:val="auto"/>
                <w:sz w:val="24"/>
                <w:highlight w:val="none"/>
                <w:lang w:val="en-US" w:eastAsia="zh-CN"/>
              </w:rPr>
            </w:pPr>
            <w:r>
              <w:rPr>
                <w:rFonts w:hint="eastAsia" w:ascii="宋体" w:hAnsi="宋体" w:cs="仿宋"/>
                <w:color w:val="auto"/>
                <w:sz w:val="24"/>
                <w:highlight w:val="none"/>
                <w:lang w:val="en-US" w:eastAsia="zh-CN"/>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92" w:type="dxa"/>
            <w:vMerge w:val="restart"/>
            <w:noWrap w:val="0"/>
            <w:vAlign w:val="center"/>
          </w:tcPr>
          <w:p>
            <w:pPr>
              <w:pStyle w:val="2"/>
              <w:rPr>
                <w:rFonts w:hint="eastAsia" w:ascii="宋体" w:hAnsi="宋体" w:cs="仿宋"/>
                <w:color w:val="auto"/>
                <w:sz w:val="24"/>
                <w:highlight w:val="none"/>
                <w:lang w:eastAsia="zh-CN"/>
              </w:rPr>
            </w:pPr>
            <w:r>
              <w:rPr>
                <w:rFonts w:hint="eastAsia" w:ascii="宋体" w:hAnsi="宋体" w:cs="仿宋"/>
                <w:color w:val="auto"/>
                <w:sz w:val="24"/>
                <w:highlight w:val="none"/>
                <w:lang w:eastAsia="zh-CN"/>
              </w:rPr>
              <w:t>共同评分因素</w:t>
            </w:r>
          </w:p>
        </w:tc>
        <w:tc>
          <w:tcPr>
            <w:tcW w:w="1198" w:type="dxa"/>
            <w:vMerge w:val="restart"/>
            <w:noWrap w:val="0"/>
            <w:vAlign w:val="center"/>
          </w:tcPr>
          <w:p>
            <w:pPr>
              <w:pStyle w:val="2"/>
              <w:rPr>
                <w:rFonts w:hint="eastAsia" w:ascii="宋体" w:hAnsi="宋体" w:cs="仿宋"/>
                <w:color w:val="auto"/>
                <w:sz w:val="24"/>
                <w:highlight w:val="none"/>
                <w:lang w:eastAsia="zh-CN"/>
              </w:rPr>
            </w:pPr>
            <w:r>
              <w:rPr>
                <w:rFonts w:hint="eastAsia" w:ascii="宋体" w:hAnsi="宋体" w:cs="仿宋"/>
                <w:color w:val="auto"/>
                <w:sz w:val="24"/>
                <w:highlight w:val="none"/>
                <w:lang w:eastAsia="zh-CN"/>
              </w:rPr>
              <w:t>企业资质及信誉</w:t>
            </w:r>
          </w:p>
        </w:tc>
        <w:tc>
          <w:tcPr>
            <w:tcW w:w="6020" w:type="dxa"/>
            <w:noWrap w:val="0"/>
            <w:vAlign w:val="center"/>
          </w:tcPr>
          <w:p>
            <w:pPr>
              <w:pStyle w:val="2"/>
              <w:rPr>
                <w:rFonts w:hint="eastAsia" w:ascii="宋体" w:hAnsi="宋体" w:cs="仿宋"/>
                <w:color w:val="auto"/>
                <w:sz w:val="24"/>
                <w:highlight w:val="none"/>
                <w:lang w:eastAsia="zh-CN"/>
              </w:rPr>
            </w:pPr>
            <w:r>
              <w:rPr>
                <w:rFonts w:hint="eastAsia" w:ascii="宋体" w:hAnsi="宋体" w:cs="仿宋"/>
                <w:color w:val="auto"/>
                <w:sz w:val="24"/>
                <w:highlight w:val="none"/>
                <w:lang w:eastAsia="zh-CN"/>
              </w:rPr>
              <w:t>投标人近十年连续获得重合同守信用证书的得2分,投标人近五年连续获得重合同守信用证书的得1分，没有的不得分。</w:t>
            </w:r>
          </w:p>
        </w:tc>
        <w:tc>
          <w:tcPr>
            <w:tcW w:w="1070" w:type="dxa"/>
            <w:noWrap w:val="0"/>
            <w:vAlign w:val="center"/>
          </w:tcPr>
          <w:p>
            <w:pPr>
              <w:pStyle w:val="2"/>
              <w:jc w:val="center"/>
              <w:rPr>
                <w:rFonts w:hint="default" w:ascii="宋体" w:hAnsi="宋体" w:cs="仿宋"/>
                <w:color w:val="auto"/>
                <w:sz w:val="24"/>
                <w:highlight w:val="none"/>
                <w:lang w:val="en-US" w:eastAsia="zh-CN"/>
              </w:rPr>
            </w:pPr>
            <w:r>
              <w:rPr>
                <w:rFonts w:hint="eastAsia" w:ascii="宋体" w:hAnsi="宋体" w:cs="仿宋"/>
                <w:color w:val="auto"/>
                <w:sz w:val="24"/>
                <w:highlight w:val="none"/>
                <w:lang w:val="en-US" w:eastAsia="zh-CN"/>
              </w:rPr>
              <w:t>2分</w:t>
            </w:r>
          </w:p>
        </w:tc>
        <w:tc>
          <w:tcPr>
            <w:tcW w:w="699" w:type="dxa"/>
            <w:vMerge w:val="restart"/>
            <w:noWrap w:val="0"/>
            <w:vAlign w:val="center"/>
          </w:tcPr>
          <w:p>
            <w:pPr>
              <w:pStyle w:val="2"/>
              <w:jc w:val="center"/>
              <w:rPr>
                <w:rFonts w:hint="default" w:ascii="宋体" w:hAnsi="宋体" w:cs="仿宋"/>
                <w:color w:val="auto"/>
                <w:sz w:val="24"/>
                <w:highlight w:val="none"/>
                <w:lang w:val="en-US" w:eastAsia="zh-CN"/>
              </w:rPr>
            </w:pPr>
            <w:r>
              <w:rPr>
                <w:rFonts w:hint="eastAsia" w:ascii="宋体" w:hAnsi="宋体" w:cs="仿宋"/>
                <w:color w:val="auto"/>
                <w:sz w:val="24"/>
                <w:highlight w:val="none"/>
                <w:lang w:val="en-US" w:eastAsia="zh-CN"/>
              </w:rPr>
              <w:t>32分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92" w:type="dxa"/>
            <w:vMerge w:val="continue"/>
            <w:noWrap w:val="0"/>
            <w:vAlign w:val="top"/>
          </w:tcPr>
          <w:p>
            <w:pPr>
              <w:pStyle w:val="2"/>
              <w:rPr>
                <w:rFonts w:hint="eastAsia" w:ascii="宋体" w:hAnsi="宋体" w:cs="仿宋"/>
                <w:color w:val="auto"/>
                <w:sz w:val="24"/>
                <w:highlight w:val="none"/>
                <w:lang w:eastAsia="zh-CN"/>
              </w:rPr>
            </w:pPr>
          </w:p>
        </w:tc>
        <w:tc>
          <w:tcPr>
            <w:tcW w:w="1198" w:type="dxa"/>
            <w:vMerge w:val="continue"/>
            <w:noWrap w:val="0"/>
            <w:vAlign w:val="center"/>
          </w:tcPr>
          <w:p>
            <w:pPr>
              <w:pStyle w:val="2"/>
              <w:rPr>
                <w:rFonts w:hint="eastAsia" w:ascii="宋体" w:hAnsi="宋体" w:cs="仿宋"/>
                <w:color w:val="auto"/>
                <w:sz w:val="24"/>
                <w:highlight w:val="none"/>
                <w:lang w:eastAsia="zh-CN"/>
              </w:rPr>
            </w:pPr>
          </w:p>
        </w:tc>
        <w:tc>
          <w:tcPr>
            <w:tcW w:w="6020" w:type="dxa"/>
            <w:noWrap w:val="0"/>
            <w:vAlign w:val="center"/>
          </w:tcPr>
          <w:p>
            <w:pPr>
              <w:pStyle w:val="2"/>
              <w:rPr>
                <w:rFonts w:hint="eastAsia" w:ascii="宋体" w:hAnsi="宋体" w:cs="仿宋"/>
                <w:color w:val="auto"/>
                <w:sz w:val="24"/>
                <w:highlight w:val="none"/>
                <w:lang w:eastAsia="zh-CN"/>
              </w:rPr>
            </w:pPr>
            <w:r>
              <w:rPr>
                <w:rFonts w:hint="eastAsia" w:ascii="宋体" w:hAnsi="宋体" w:cs="仿宋"/>
                <w:color w:val="auto"/>
                <w:sz w:val="24"/>
                <w:highlight w:val="none"/>
                <w:lang w:eastAsia="zh-CN"/>
              </w:rPr>
              <w:t>具有ISO9001质量保证体系且证书中指明有城市照明系统软件的研发（设计）的得2分（提供复印件加盖投标人公章，原件备查，否则不得分）</w:t>
            </w:r>
          </w:p>
        </w:tc>
        <w:tc>
          <w:tcPr>
            <w:tcW w:w="1070" w:type="dxa"/>
            <w:noWrap w:val="0"/>
            <w:vAlign w:val="center"/>
          </w:tcPr>
          <w:p>
            <w:pPr>
              <w:pStyle w:val="2"/>
              <w:jc w:val="center"/>
              <w:rPr>
                <w:rFonts w:hint="default" w:ascii="宋体" w:hAnsi="宋体" w:cs="仿宋"/>
                <w:color w:val="auto"/>
                <w:sz w:val="24"/>
                <w:highlight w:val="none"/>
                <w:lang w:val="en-US" w:eastAsia="zh-CN"/>
              </w:rPr>
            </w:pPr>
            <w:r>
              <w:rPr>
                <w:rFonts w:hint="eastAsia" w:ascii="宋体" w:hAnsi="宋体" w:cs="仿宋"/>
                <w:color w:val="auto"/>
                <w:sz w:val="24"/>
                <w:highlight w:val="none"/>
                <w:lang w:val="en-US" w:eastAsia="zh-CN"/>
              </w:rPr>
              <w:t>2分</w:t>
            </w:r>
          </w:p>
        </w:tc>
        <w:tc>
          <w:tcPr>
            <w:tcW w:w="699" w:type="dxa"/>
            <w:vMerge w:val="continue"/>
            <w:noWrap w:val="0"/>
            <w:vAlign w:val="center"/>
          </w:tcPr>
          <w:p>
            <w:pPr>
              <w:pStyle w:val="2"/>
              <w:jc w:val="center"/>
              <w:rPr>
                <w:rFonts w:hint="eastAsia" w:ascii="宋体" w:hAnsi="宋体" w:cs="仿宋"/>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92" w:type="dxa"/>
            <w:vMerge w:val="continue"/>
            <w:noWrap w:val="0"/>
            <w:vAlign w:val="top"/>
          </w:tcPr>
          <w:p>
            <w:pPr>
              <w:pStyle w:val="2"/>
              <w:rPr>
                <w:rFonts w:hint="eastAsia" w:ascii="宋体" w:hAnsi="宋体" w:cs="仿宋"/>
                <w:color w:val="auto"/>
                <w:sz w:val="24"/>
                <w:highlight w:val="none"/>
                <w:lang w:eastAsia="zh-CN"/>
              </w:rPr>
            </w:pPr>
          </w:p>
        </w:tc>
        <w:tc>
          <w:tcPr>
            <w:tcW w:w="1198" w:type="dxa"/>
            <w:vMerge w:val="continue"/>
            <w:noWrap w:val="0"/>
            <w:vAlign w:val="center"/>
          </w:tcPr>
          <w:p>
            <w:pPr>
              <w:pStyle w:val="2"/>
              <w:rPr>
                <w:rFonts w:hint="eastAsia" w:ascii="宋体" w:hAnsi="宋体" w:cs="仿宋"/>
                <w:color w:val="auto"/>
                <w:sz w:val="24"/>
                <w:highlight w:val="none"/>
                <w:lang w:eastAsia="zh-CN"/>
              </w:rPr>
            </w:pPr>
          </w:p>
        </w:tc>
        <w:tc>
          <w:tcPr>
            <w:tcW w:w="6020" w:type="dxa"/>
            <w:noWrap w:val="0"/>
            <w:vAlign w:val="center"/>
          </w:tcPr>
          <w:p>
            <w:pPr>
              <w:pStyle w:val="2"/>
              <w:rPr>
                <w:rFonts w:hint="eastAsia" w:ascii="宋体" w:hAnsi="宋体" w:cs="仿宋"/>
                <w:color w:val="auto"/>
                <w:sz w:val="24"/>
                <w:highlight w:val="none"/>
                <w:lang w:eastAsia="zh-CN"/>
              </w:rPr>
            </w:pPr>
            <w:r>
              <w:rPr>
                <w:rFonts w:hint="eastAsia" w:ascii="宋体" w:hAnsi="宋体" w:cs="仿宋"/>
                <w:color w:val="auto"/>
                <w:sz w:val="24"/>
                <w:highlight w:val="none"/>
                <w:lang w:eastAsia="zh-CN"/>
              </w:rPr>
              <w:t>具有ISO14001环境管理体系认证证书中指明有城市照明系统软件的研发（设计）的2分（提供复印件加盖投标人公章，原件备查，否则不得分）</w:t>
            </w:r>
          </w:p>
        </w:tc>
        <w:tc>
          <w:tcPr>
            <w:tcW w:w="1070" w:type="dxa"/>
            <w:noWrap w:val="0"/>
            <w:vAlign w:val="center"/>
          </w:tcPr>
          <w:p>
            <w:pPr>
              <w:pStyle w:val="2"/>
              <w:jc w:val="center"/>
              <w:rPr>
                <w:rFonts w:hint="default" w:ascii="宋体" w:hAnsi="宋体" w:cs="仿宋"/>
                <w:color w:val="auto"/>
                <w:sz w:val="24"/>
                <w:highlight w:val="none"/>
                <w:lang w:val="en-US" w:eastAsia="zh-CN"/>
              </w:rPr>
            </w:pPr>
            <w:r>
              <w:rPr>
                <w:rFonts w:hint="eastAsia" w:ascii="宋体" w:hAnsi="宋体" w:cs="仿宋"/>
                <w:color w:val="auto"/>
                <w:sz w:val="24"/>
                <w:highlight w:val="none"/>
                <w:lang w:val="en-US" w:eastAsia="zh-CN"/>
              </w:rPr>
              <w:t>2分</w:t>
            </w:r>
          </w:p>
        </w:tc>
        <w:tc>
          <w:tcPr>
            <w:tcW w:w="699" w:type="dxa"/>
            <w:vMerge w:val="continue"/>
            <w:noWrap w:val="0"/>
            <w:vAlign w:val="center"/>
          </w:tcPr>
          <w:p>
            <w:pPr>
              <w:pStyle w:val="2"/>
              <w:jc w:val="center"/>
              <w:rPr>
                <w:rFonts w:hint="eastAsia" w:ascii="宋体" w:hAnsi="宋体" w:cs="仿宋"/>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92" w:type="dxa"/>
            <w:vMerge w:val="continue"/>
            <w:noWrap w:val="0"/>
            <w:vAlign w:val="top"/>
          </w:tcPr>
          <w:p>
            <w:pPr>
              <w:pStyle w:val="2"/>
              <w:rPr>
                <w:rFonts w:hint="eastAsia" w:ascii="宋体" w:hAnsi="宋体" w:cs="仿宋"/>
                <w:color w:val="auto"/>
                <w:sz w:val="24"/>
                <w:highlight w:val="none"/>
                <w:lang w:eastAsia="zh-CN"/>
              </w:rPr>
            </w:pPr>
          </w:p>
        </w:tc>
        <w:tc>
          <w:tcPr>
            <w:tcW w:w="1198" w:type="dxa"/>
            <w:vMerge w:val="continue"/>
            <w:noWrap w:val="0"/>
            <w:vAlign w:val="center"/>
          </w:tcPr>
          <w:p>
            <w:pPr>
              <w:pStyle w:val="2"/>
              <w:rPr>
                <w:rFonts w:hint="eastAsia" w:ascii="宋体" w:hAnsi="宋体" w:cs="仿宋"/>
                <w:color w:val="auto"/>
                <w:sz w:val="24"/>
                <w:highlight w:val="none"/>
                <w:lang w:eastAsia="zh-CN"/>
              </w:rPr>
            </w:pPr>
          </w:p>
        </w:tc>
        <w:tc>
          <w:tcPr>
            <w:tcW w:w="6020" w:type="dxa"/>
            <w:noWrap w:val="0"/>
            <w:vAlign w:val="center"/>
          </w:tcPr>
          <w:p>
            <w:pPr>
              <w:pStyle w:val="2"/>
              <w:rPr>
                <w:rFonts w:hint="eastAsia" w:ascii="宋体" w:hAnsi="宋体" w:cs="仿宋"/>
                <w:color w:val="auto"/>
                <w:sz w:val="24"/>
                <w:highlight w:val="none"/>
                <w:lang w:eastAsia="zh-CN"/>
              </w:rPr>
            </w:pPr>
            <w:r>
              <w:rPr>
                <w:rFonts w:hint="eastAsia" w:ascii="宋体" w:hAnsi="宋体" w:cs="仿宋"/>
                <w:color w:val="auto"/>
                <w:sz w:val="24"/>
                <w:highlight w:val="none"/>
                <w:lang w:eastAsia="zh-CN"/>
              </w:rPr>
              <w:t>具有ISO18001职业健康安全管理体系认证证书中指明有城市照明系统软件的研发（设计）的2分（提供复印件加盖投标人公章，原件备查，否则不得分）</w:t>
            </w:r>
          </w:p>
        </w:tc>
        <w:tc>
          <w:tcPr>
            <w:tcW w:w="1070" w:type="dxa"/>
            <w:noWrap w:val="0"/>
            <w:vAlign w:val="center"/>
          </w:tcPr>
          <w:p>
            <w:pPr>
              <w:pStyle w:val="2"/>
              <w:jc w:val="center"/>
              <w:rPr>
                <w:rFonts w:hint="default" w:ascii="宋体" w:hAnsi="宋体" w:cs="仿宋"/>
                <w:color w:val="auto"/>
                <w:sz w:val="24"/>
                <w:highlight w:val="none"/>
                <w:lang w:val="en-US" w:eastAsia="zh-CN"/>
              </w:rPr>
            </w:pPr>
            <w:r>
              <w:rPr>
                <w:rFonts w:hint="eastAsia" w:ascii="宋体" w:hAnsi="宋体" w:cs="仿宋"/>
                <w:color w:val="auto"/>
                <w:sz w:val="24"/>
                <w:highlight w:val="none"/>
                <w:lang w:val="en-US" w:eastAsia="zh-CN"/>
              </w:rPr>
              <w:t>2分</w:t>
            </w:r>
          </w:p>
        </w:tc>
        <w:tc>
          <w:tcPr>
            <w:tcW w:w="699" w:type="dxa"/>
            <w:vMerge w:val="continue"/>
            <w:noWrap w:val="0"/>
            <w:vAlign w:val="center"/>
          </w:tcPr>
          <w:p>
            <w:pPr>
              <w:pStyle w:val="2"/>
              <w:jc w:val="center"/>
              <w:rPr>
                <w:rFonts w:hint="eastAsia" w:ascii="宋体" w:hAnsi="宋体" w:cs="仿宋"/>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92" w:type="dxa"/>
            <w:vMerge w:val="continue"/>
            <w:noWrap w:val="0"/>
            <w:vAlign w:val="top"/>
          </w:tcPr>
          <w:p>
            <w:pPr>
              <w:pStyle w:val="2"/>
              <w:rPr>
                <w:rFonts w:hint="eastAsia" w:ascii="宋体" w:hAnsi="宋体" w:cs="仿宋"/>
                <w:color w:val="auto"/>
                <w:sz w:val="24"/>
                <w:highlight w:val="none"/>
                <w:lang w:eastAsia="zh-CN"/>
              </w:rPr>
            </w:pPr>
          </w:p>
        </w:tc>
        <w:tc>
          <w:tcPr>
            <w:tcW w:w="1198" w:type="dxa"/>
            <w:vMerge w:val="continue"/>
            <w:noWrap w:val="0"/>
            <w:vAlign w:val="center"/>
          </w:tcPr>
          <w:p>
            <w:pPr>
              <w:pStyle w:val="2"/>
              <w:rPr>
                <w:rFonts w:hint="eastAsia" w:ascii="宋体" w:hAnsi="宋体" w:cs="仿宋"/>
                <w:color w:val="auto"/>
                <w:sz w:val="24"/>
                <w:highlight w:val="none"/>
                <w:lang w:eastAsia="zh-CN"/>
              </w:rPr>
            </w:pPr>
          </w:p>
        </w:tc>
        <w:tc>
          <w:tcPr>
            <w:tcW w:w="6020" w:type="dxa"/>
            <w:noWrap w:val="0"/>
            <w:vAlign w:val="center"/>
          </w:tcPr>
          <w:p>
            <w:pPr>
              <w:pStyle w:val="2"/>
              <w:rPr>
                <w:rFonts w:hint="eastAsia" w:ascii="宋体" w:hAnsi="宋体" w:cs="仿宋"/>
                <w:color w:val="auto"/>
                <w:sz w:val="24"/>
                <w:highlight w:val="none"/>
                <w:lang w:eastAsia="zh-CN"/>
              </w:rPr>
            </w:pPr>
            <w:r>
              <w:rPr>
                <w:rFonts w:hint="eastAsia" w:ascii="宋体" w:hAnsi="宋体" w:cs="仿宋"/>
                <w:color w:val="auto"/>
                <w:sz w:val="24"/>
                <w:highlight w:val="none"/>
                <w:lang w:eastAsia="zh-CN"/>
              </w:rPr>
              <w:t>具有ISO20000信息技术服务管理体系认证证书且证书中认证范围包括信息管理软件的得2分（提供复印件加盖投标人公章，原件备查，否则不得分）</w:t>
            </w:r>
          </w:p>
        </w:tc>
        <w:tc>
          <w:tcPr>
            <w:tcW w:w="1070" w:type="dxa"/>
            <w:noWrap w:val="0"/>
            <w:vAlign w:val="center"/>
          </w:tcPr>
          <w:p>
            <w:pPr>
              <w:pStyle w:val="2"/>
              <w:jc w:val="center"/>
              <w:rPr>
                <w:rFonts w:hint="default" w:ascii="宋体" w:hAnsi="宋体" w:cs="仿宋"/>
                <w:color w:val="auto"/>
                <w:sz w:val="24"/>
                <w:highlight w:val="none"/>
                <w:lang w:val="en-US" w:eastAsia="zh-CN"/>
              </w:rPr>
            </w:pPr>
            <w:r>
              <w:rPr>
                <w:rFonts w:hint="eastAsia" w:ascii="宋体" w:hAnsi="宋体" w:cs="仿宋"/>
                <w:color w:val="auto"/>
                <w:sz w:val="24"/>
                <w:highlight w:val="none"/>
                <w:lang w:val="en-US" w:eastAsia="zh-CN"/>
              </w:rPr>
              <w:t>2分</w:t>
            </w:r>
          </w:p>
        </w:tc>
        <w:tc>
          <w:tcPr>
            <w:tcW w:w="699" w:type="dxa"/>
            <w:vMerge w:val="continue"/>
            <w:noWrap w:val="0"/>
            <w:vAlign w:val="center"/>
          </w:tcPr>
          <w:p>
            <w:pPr>
              <w:pStyle w:val="2"/>
              <w:jc w:val="center"/>
              <w:rPr>
                <w:rFonts w:hint="eastAsia" w:ascii="宋体" w:hAnsi="宋体" w:cs="仿宋"/>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92" w:type="dxa"/>
            <w:vMerge w:val="continue"/>
            <w:noWrap w:val="0"/>
            <w:vAlign w:val="top"/>
          </w:tcPr>
          <w:p>
            <w:pPr>
              <w:pStyle w:val="2"/>
              <w:rPr>
                <w:rFonts w:hint="eastAsia" w:ascii="宋体" w:hAnsi="宋体" w:cs="仿宋"/>
                <w:color w:val="auto"/>
                <w:sz w:val="24"/>
                <w:highlight w:val="none"/>
                <w:lang w:eastAsia="zh-CN"/>
              </w:rPr>
            </w:pPr>
          </w:p>
        </w:tc>
        <w:tc>
          <w:tcPr>
            <w:tcW w:w="1198" w:type="dxa"/>
            <w:vMerge w:val="continue"/>
            <w:noWrap w:val="0"/>
            <w:vAlign w:val="top"/>
          </w:tcPr>
          <w:p>
            <w:pPr>
              <w:pStyle w:val="2"/>
              <w:rPr>
                <w:rFonts w:hint="eastAsia" w:ascii="宋体" w:hAnsi="宋体" w:cs="仿宋"/>
                <w:color w:val="auto"/>
                <w:sz w:val="24"/>
                <w:highlight w:val="none"/>
                <w:lang w:eastAsia="zh-CN"/>
              </w:rPr>
            </w:pPr>
          </w:p>
        </w:tc>
        <w:tc>
          <w:tcPr>
            <w:tcW w:w="6020" w:type="dxa"/>
            <w:noWrap w:val="0"/>
            <w:vAlign w:val="center"/>
          </w:tcPr>
          <w:p>
            <w:pPr>
              <w:pStyle w:val="2"/>
              <w:rPr>
                <w:rFonts w:hint="eastAsia" w:ascii="宋体" w:hAnsi="宋体" w:cs="仿宋"/>
                <w:color w:val="auto"/>
                <w:sz w:val="24"/>
                <w:highlight w:val="none"/>
                <w:lang w:eastAsia="zh-CN"/>
              </w:rPr>
            </w:pPr>
            <w:r>
              <w:rPr>
                <w:rFonts w:hint="eastAsia" w:ascii="宋体" w:hAnsi="宋体" w:cs="仿宋"/>
                <w:color w:val="auto"/>
                <w:sz w:val="24"/>
                <w:highlight w:val="none"/>
                <w:lang w:eastAsia="zh-CN"/>
              </w:rPr>
              <w:t>具有ISO27000信息安全管理体系认证证书且证书中认证范围包括信息管理软件的得2分（提供复印件加盖投标人公章，原件备查，否则不得分）</w:t>
            </w:r>
          </w:p>
        </w:tc>
        <w:tc>
          <w:tcPr>
            <w:tcW w:w="1070" w:type="dxa"/>
            <w:noWrap w:val="0"/>
            <w:vAlign w:val="center"/>
          </w:tcPr>
          <w:p>
            <w:pPr>
              <w:pStyle w:val="2"/>
              <w:jc w:val="center"/>
              <w:rPr>
                <w:rFonts w:hint="default" w:ascii="宋体" w:hAnsi="宋体" w:cs="仿宋"/>
                <w:color w:val="auto"/>
                <w:sz w:val="24"/>
                <w:highlight w:val="none"/>
                <w:lang w:val="en-US" w:eastAsia="zh-CN"/>
              </w:rPr>
            </w:pPr>
            <w:r>
              <w:rPr>
                <w:rFonts w:hint="eastAsia" w:ascii="宋体" w:hAnsi="宋体" w:cs="仿宋"/>
                <w:color w:val="auto"/>
                <w:sz w:val="24"/>
                <w:highlight w:val="none"/>
                <w:lang w:val="en-US" w:eastAsia="zh-CN"/>
              </w:rPr>
              <w:t>2分</w:t>
            </w:r>
          </w:p>
        </w:tc>
        <w:tc>
          <w:tcPr>
            <w:tcW w:w="699" w:type="dxa"/>
            <w:vMerge w:val="continue"/>
            <w:noWrap w:val="0"/>
            <w:vAlign w:val="center"/>
          </w:tcPr>
          <w:p>
            <w:pPr>
              <w:pStyle w:val="2"/>
              <w:jc w:val="center"/>
              <w:rPr>
                <w:rFonts w:hint="eastAsia" w:ascii="宋体" w:hAnsi="宋体" w:cs="仿宋"/>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192" w:type="dxa"/>
            <w:vMerge w:val="continue"/>
            <w:noWrap w:val="0"/>
            <w:vAlign w:val="top"/>
          </w:tcPr>
          <w:p>
            <w:pPr>
              <w:pStyle w:val="2"/>
              <w:rPr>
                <w:rFonts w:hint="eastAsia" w:ascii="宋体" w:hAnsi="宋体" w:cs="仿宋"/>
                <w:color w:val="auto"/>
                <w:sz w:val="24"/>
                <w:highlight w:val="none"/>
                <w:lang w:eastAsia="zh-CN"/>
              </w:rPr>
            </w:pPr>
          </w:p>
        </w:tc>
        <w:tc>
          <w:tcPr>
            <w:tcW w:w="1198" w:type="dxa"/>
            <w:vMerge w:val="continue"/>
            <w:noWrap w:val="0"/>
            <w:vAlign w:val="top"/>
          </w:tcPr>
          <w:p>
            <w:pPr>
              <w:pStyle w:val="2"/>
              <w:rPr>
                <w:rFonts w:hint="eastAsia" w:ascii="宋体" w:hAnsi="宋体" w:cs="仿宋"/>
                <w:color w:val="auto"/>
                <w:sz w:val="24"/>
                <w:highlight w:val="none"/>
                <w:lang w:eastAsia="zh-CN"/>
              </w:rPr>
            </w:pPr>
          </w:p>
        </w:tc>
        <w:tc>
          <w:tcPr>
            <w:tcW w:w="6020" w:type="dxa"/>
            <w:noWrap w:val="0"/>
            <w:vAlign w:val="center"/>
          </w:tcPr>
          <w:p>
            <w:pPr>
              <w:pStyle w:val="2"/>
              <w:rPr>
                <w:rFonts w:hint="eastAsia" w:ascii="宋体" w:hAnsi="宋体" w:cs="仿宋"/>
                <w:color w:val="auto"/>
                <w:sz w:val="24"/>
                <w:highlight w:val="none"/>
                <w:lang w:eastAsia="zh-CN"/>
              </w:rPr>
            </w:pPr>
            <w:r>
              <w:rPr>
                <w:rFonts w:hint="eastAsia" w:ascii="宋体" w:hAnsi="宋体" w:cs="仿宋"/>
                <w:color w:val="auto"/>
                <w:sz w:val="24"/>
                <w:highlight w:val="none"/>
                <w:lang w:eastAsia="zh-CN"/>
              </w:rPr>
              <w:t>投标人具有两化融合管理体系评定证书的得2分（提供复印件加盖投标人公章，原件备查，否则不得分）</w:t>
            </w:r>
          </w:p>
        </w:tc>
        <w:tc>
          <w:tcPr>
            <w:tcW w:w="1070" w:type="dxa"/>
            <w:noWrap w:val="0"/>
            <w:vAlign w:val="center"/>
          </w:tcPr>
          <w:p>
            <w:pPr>
              <w:pStyle w:val="2"/>
              <w:jc w:val="center"/>
              <w:rPr>
                <w:rFonts w:hint="default" w:ascii="宋体" w:hAnsi="宋体" w:cs="仿宋"/>
                <w:color w:val="auto"/>
                <w:sz w:val="24"/>
                <w:highlight w:val="none"/>
                <w:lang w:val="en-US" w:eastAsia="zh-CN"/>
              </w:rPr>
            </w:pPr>
            <w:r>
              <w:rPr>
                <w:rFonts w:hint="eastAsia" w:ascii="宋体" w:hAnsi="宋体" w:cs="仿宋"/>
                <w:color w:val="auto"/>
                <w:sz w:val="24"/>
                <w:highlight w:val="none"/>
                <w:lang w:val="en-US" w:eastAsia="zh-CN"/>
              </w:rPr>
              <w:t>2分</w:t>
            </w:r>
          </w:p>
        </w:tc>
        <w:tc>
          <w:tcPr>
            <w:tcW w:w="699" w:type="dxa"/>
            <w:vMerge w:val="continue"/>
            <w:noWrap w:val="0"/>
            <w:vAlign w:val="center"/>
          </w:tcPr>
          <w:p>
            <w:pPr>
              <w:pStyle w:val="2"/>
              <w:jc w:val="center"/>
              <w:rPr>
                <w:rFonts w:hint="eastAsia" w:ascii="宋体" w:hAnsi="宋体" w:cs="仿宋"/>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192" w:type="dxa"/>
            <w:vMerge w:val="continue"/>
            <w:noWrap w:val="0"/>
            <w:vAlign w:val="top"/>
          </w:tcPr>
          <w:p>
            <w:pPr>
              <w:pStyle w:val="2"/>
              <w:rPr>
                <w:rFonts w:hint="eastAsia" w:ascii="宋体" w:hAnsi="宋体" w:cs="仿宋"/>
                <w:color w:val="auto"/>
                <w:sz w:val="24"/>
                <w:highlight w:val="none"/>
                <w:lang w:eastAsia="zh-CN"/>
              </w:rPr>
            </w:pPr>
          </w:p>
        </w:tc>
        <w:tc>
          <w:tcPr>
            <w:tcW w:w="1198" w:type="dxa"/>
            <w:vMerge w:val="continue"/>
            <w:noWrap w:val="0"/>
            <w:vAlign w:val="top"/>
          </w:tcPr>
          <w:p>
            <w:pPr>
              <w:pStyle w:val="2"/>
              <w:rPr>
                <w:rFonts w:hint="eastAsia" w:ascii="宋体" w:hAnsi="宋体" w:cs="仿宋"/>
                <w:color w:val="auto"/>
                <w:sz w:val="24"/>
                <w:highlight w:val="none"/>
                <w:lang w:eastAsia="zh-CN"/>
              </w:rPr>
            </w:pPr>
          </w:p>
        </w:tc>
        <w:tc>
          <w:tcPr>
            <w:tcW w:w="6020" w:type="dxa"/>
            <w:noWrap w:val="0"/>
            <w:vAlign w:val="center"/>
          </w:tcPr>
          <w:p>
            <w:pPr>
              <w:pStyle w:val="2"/>
              <w:rPr>
                <w:rFonts w:hint="eastAsia" w:ascii="宋体" w:hAnsi="宋体" w:cs="仿宋"/>
                <w:color w:val="auto"/>
                <w:sz w:val="24"/>
                <w:highlight w:val="none"/>
                <w:lang w:eastAsia="zh-CN"/>
              </w:rPr>
            </w:pPr>
            <w:r>
              <w:rPr>
                <w:rFonts w:hint="eastAsia" w:ascii="宋体" w:hAnsi="宋体" w:cs="仿宋"/>
                <w:color w:val="auto"/>
                <w:sz w:val="24"/>
                <w:highlight w:val="none"/>
                <w:lang w:eastAsia="zh-CN"/>
              </w:rPr>
              <w:t>投标人获得中国绿色照明AAA级信用企业证书得2分。（提供复印件加盖投标人公章，原件备查，否则不得分）</w:t>
            </w:r>
          </w:p>
        </w:tc>
        <w:tc>
          <w:tcPr>
            <w:tcW w:w="1070" w:type="dxa"/>
            <w:noWrap w:val="0"/>
            <w:vAlign w:val="center"/>
          </w:tcPr>
          <w:p>
            <w:pPr>
              <w:pStyle w:val="2"/>
              <w:jc w:val="center"/>
              <w:rPr>
                <w:rFonts w:hint="default" w:ascii="宋体" w:hAnsi="宋体" w:cs="仿宋"/>
                <w:color w:val="auto"/>
                <w:sz w:val="24"/>
                <w:highlight w:val="none"/>
                <w:lang w:val="en-US" w:eastAsia="zh-CN"/>
              </w:rPr>
            </w:pPr>
            <w:r>
              <w:rPr>
                <w:rFonts w:hint="eastAsia" w:ascii="宋体" w:hAnsi="宋体" w:cs="仿宋"/>
                <w:color w:val="auto"/>
                <w:sz w:val="24"/>
                <w:highlight w:val="none"/>
                <w:lang w:val="en-US" w:eastAsia="zh-CN"/>
              </w:rPr>
              <w:t>2分</w:t>
            </w:r>
          </w:p>
        </w:tc>
        <w:tc>
          <w:tcPr>
            <w:tcW w:w="699" w:type="dxa"/>
            <w:vMerge w:val="continue"/>
            <w:noWrap w:val="0"/>
            <w:vAlign w:val="center"/>
          </w:tcPr>
          <w:p>
            <w:pPr>
              <w:pStyle w:val="2"/>
              <w:jc w:val="center"/>
              <w:rPr>
                <w:rFonts w:hint="eastAsia" w:ascii="宋体" w:hAnsi="宋体" w:cs="仿宋"/>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192" w:type="dxa"/>
            <w:vMerge w:val="continue"/>
            <w:noWrap w:val="0"/>
            <w:vAlign w:val="top"/>
          </w:tcPr>
          <w:p>
            <w:pPr>
              <w:pStyle w:val="2"/>
              <w:rPr>
                <w:rFonts w:hint="eastAsia" w:ascii="宋体" w:hAnsi="宋体" w:cs="仿宋"/>
                <w:color w:val="auto"/>
                <w:sz w:val="24"/>
                <w:highlight w:val="none"/>
                <w:lang w:eastAsia="zh-CN"/>
              </w:rPr>
            </w:pPr>
          </w:p>
        </w:tc>
        <w:tc>
          <w:tcPr>
            <w:tcW w:w="1198" w:type="dxa"/>
            <w:vMerge w:val="continue"/>
            <w:noWrap w:val="0"/>
            <w:vAlign w:val="top"/>
          </w:tcPr>
          <w:p>
            <w:pPr>
              <w:pStyle w:val="2"/>
              <w:rPr>
                <w:rFonts w:hint="eastAsia" w:ascii="宋体" w:hAnsi="宋体" w:cs="仿宋"/>
                <w:color w:val="auto"/>
                <w:sz w:val="24"/>
                <w:highlight w:val="none"/>
                <w:lang w:eastAsia="zh-CN"/>
              </w:rPr>
            </w:pPr>
          </w:p>
        </w:tc>
        <w:tc>
          <w:tcPr>
            <w:tcW w:w="6020" w:type="dxa"/>
            <w:noWrap w:val="0"/>
            <w:vAlign w:val="center"/>
          </w:tcPr>
          <w:p>
            <w:pPr>
              <w:pStyle w:val="2"/>
              <w:rPr>
                <w:rFonts w:hint="eastAsia" w:ascii="宋体" w:hAnsi="宋体" w:cs="仿宋"/>
                <w:color w:val="auto"/>
                <w:sz w:val="24"/>
                <w:highlight w:val="none"/>
                <w:lang w:eastAsia="zh-CN"/>
              </w:rPr>
            </w:pPr>
            <w:r>
              <w:rPr>
                <w:rFonts w:hint="eastAsia" w:ascii="宋体" w:hAnsi="宋体" w:cs="仿宋"/>
                <w:color w:val="auto"/>
                <w:sz w:val="24"/>
                <w:highlight w:val="none"/>
                <w:lang w:eastAsia="zh-CN"/>
              </w:rPr>
              <w:t>投标人具有知识产权管理体系认证证书的得2分（提供复印件加盖投标人公章，原件备查，否则不得分）。</w:t>
            </w:r>
          </w:p>
        </w:tc>
        <w:tc>
          <w:tcPr>
            <w:tcW w:w="1070" w:type="dxa"/>
            <w:noWrap w:val="0"/>
            <w:vAlign w:val="center"/>
          </w:tcPr>
          <w:p>
            <w:pPr>
              <w:pStyle w:val="2"/>
              <w:jc w:val="center"/>
              <w:rPr>
                <w:rFonts w:hint="default" w:ascii="宋体" w:hAnsi="宋体" w:cs="仿宋"/>
                <w:color w:val="auto"/>
                <w:sz w:val="24"/>
                <w:highlight w:val="none"/>
                <w:lang w:val="en-US" w:eastAsia="zh-CN"/>
              </w:rPr>
            </w:pPr>
            <w:r>
              <w:rPr>
                <w:rFonts w:hint="eastAsia" w:ascii="宋体" w:hAnsi="宋体" w:cs="仿宋"/>
                <w:color w:val="auto"/>
                <w:sz w:val="24"/>
                <w:highlight w:val="none"/>
                <w:lang w:val="en-US" w:eastAsia="zh-CN"/>
              </w:rPr>
              <w:t>2分</w:t>
            </w:r>
          </w:p>
        </w:tc>
        <w:tc>
          <w:tcPr>
            <w:tcW w:w="699" w:type="dxa"/>
            <w:vMerge w:val="continue"/>
            <w:noWrap w:val="0"/>
            <w:vAlign w:val="center"/>
          </w:tcPr>
          <w:p>
            <w:pPr>
              <w:pStyle w:val="2"/>
              <w:jc w:val="center"/>
              <w:rPr>
                <w:rFonts w:hint="eastAsia" w:ascii="宋体" w:hAnsi="宋体" w:cs="仿宋"/>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192" w:type="dxa"/>
            <w:vMerge w:val="continue"/>
            <w:noWrap w:val="0"/>
            <w:vAlign w:val="top"/>
          </w:tcPr>
          <w:p>
            <w:pPr>
              <w:pStyle w:val="2"/>
              <w:rPr>
                <w:rFonts w:hint="eastAsia" w:ascii="宋体" w:hAnsi="宋体" w:cs="仿宋"/>
                <w:color w:val="auto"/>
                <w:sz w:val="24"/>
                <w:highlight w:val="none"/>
                <w:lang w:eastAsia="zh-CN"/>
              </w:rPr>
            </w:pPr>
          </w:p>
        </w:tc>
        <w:tc>
          <w:tcPr>
            <w:tcW w:w="1198" w:type="dxa"/>
            <w:noWrap w:val="0"/>
            <w:vAlign w:val="center"/>
          </w:tcPr>
          <w:p>
            <w:pPr>
              <w:pStyle w:val="2"/>
              <w:rPr>
                <w:rFonts w:hint="eastAsia" w:ascii="宋体" w:hAnsi="宋体" w:cs="仿宋"/>
                <w:color w:val="auto"/>
                <w:sz w:val="24"/>
                <w:highlight w:val="none"/>
                <w:lang w:eastAsia="zh-CN"/>
              </w:rPr>
            </w:pPr>
            <w:r>
              <w:rPr>
                <w:rFonts w:hint="eastAsia" w:ascii="宋体" w:hAnsi="宋体" w:cs="仿宋"/>
                <w:color w:val="auto"/>
                <w:sz w:val="24"/>
                <w:highlight w:val="none"/>
                <w:lang w:eastAsia="zh-CN"/>
              </w:rPr>
              <w:t>项目业绩</w:t>
            </w:r>
          </w:p>
        </w:tc>
        <w:tc>
          <w:tcPr>
            <w:tcW w:w="6020" w:type="dxa"/>
            <w:noWrap w:val="0"/>
            <w:vAlign w:val="center"/>
          </w:tcPr>
          <w:p>
            <w:pPr>
              <w:pStyle w:val="2"/>
              <w:rPr>
                <w:rFonts w:hint="eastAsia" w:ascii="宋体" w:hAnsi="宋体" w:cs="仿宋"/>
                <w:color w:val="auto"/>
                <w:sz w:val="24"/>
                <w:highlight w:val="none"/>
                <w:lang w:eastAsia="zh-CN"/>
              </w:rPr>
            </w:pPr>
            <w:r>
              <w:rPr>
                <w:rFonts w:hint="eastAsia" w:ascii="宋体" w:hAnsi="宋体" w:cs="仿宋"/>
                <w:color w:val="auto"/>
                <w:sz w:val="24"/>
                <w:highlight w:val="none"/>
                <w:lang w:eastAsia="zh-CN"/>
              </w:rPr>
              <w:t>近3年内具有一个类似项目业绩，得</w:t>
            </w:r>
            <w:r>
              <w:rPr>
                <w:rFonts w:hint="eastAsia" w:ascii="宋体" w:hAnsi="宋体" w:cs="仿宋"/>
                <w:color w:val="auto"/>
                <w:sz w:val="24"/>
                <w:highlight w:val="none"/>
                <w:lang w:val="en-US" w:eastAsia="zh-CN"/>
              </w:rPr>
              <w:t>2</w:t>
            </w:r>
            <w:r>
              <w:rPr>
                <w:rFonts w:hint="eastAsia" w:ascii="宋体" w:hAnsi="宋体" w:cs="仿宋"/>
                <w:color w:val="auto"/>
                <w:sz w:val="24"/>
                <w:highlight w:val="none"/>
                <w:lang w:eastAsia="zh-CN"/>
              </w:rPr>
              <w:t>分，最高</w:t>
            </w:r>
            <w:r>
              <w:rPr>
                <w:rFonts w:hint="eastAsia" w:ascii="宋体" w:hAnsi="宋体" w:cs="仿宋"/>
                <w:color w:val="auto"/>
                <w:sz w:val="24"/>
                <w:highlight w:val="none"/>
                <w:lang w:val="en-US" w:eastAsia="zh-CN"/>
              </w:rPr>
              <w:t>8</w:t>
            </w:r>
            <w:r>
              <w:rPr>
                <w:rFonts w:hint="eastAsia" w:ascii="宋体" w:hAnsi="宋体" w:cs="仿宋"/>
                <w:color w:val="auto"/>
                <w:sz w:val="24"/>
                <w:highlight w:val="none"/>
                <w:lang w:eastAsia="zh-CN"/>
              </w:rPr>
              <w:t>分。类似业绩指；路灯监控系统采购</w:t>
            </w:r>
          </w:p>
          <w:p>
            <w:pPr>
              <w:pStyle w:val="2"/>
              <w:rPr>
                <w:rFonts w:hint="eastAsia" w:ascii="宋体" w:hAnsi="宋体" w:cs="仿宋"/>
                <w:color w:val="auto"/>
                <w:sz w:val="24"/>
                <w:highlight w:val="none"/>
                <w:lang w:eastAsia="zh-CN"/>
              </w:rPr>
            </w:pPr>
            <w:r>
              <w:rPr>
                <w:rFonts w:hint="eastAsia" w:ascii="宋体" w:hAnsi="宋体" w:cs="仿宋"/>
                <w:color w:val="auto"/>
                <w:sz w:val="24"/>
                <w:highlight w:val="none"/>
                <w:lang w:eastAsia="zh-CN"/>
              </w:rPr>
              <w:t>评审依据：开标时须提供中标通知书、合同复印件加盖投标人公章得分，不提供不得分。</w:t>
            </w:r>
          </w:p>
        </w:tc>
        <w:tc>
          <w:tcPr>
            <w:tcW w:w="1070" w:type="dxa"/>
            <w:noWrap w:val="0"/>
            <w:vAlign w:val="center"/>
          </w:tcPr>
          <w:p>
            <w:pPr>
              <w:pStyle w:val="2"/>
              <w:jc w:val="center"/>
              <w:rPr>
                <w:rFonts w:hint="eastAsia" w:ascii="宋体" w:hAnsi="宋体" w:cs="仿宋"/>
                <w:color w:val="auto"/>
                <w:sz w:val="24"/>
                <w:highlight w:val="none"/>
                <w:lang w:eastAsia="zh-CN"/>
              </w:rPr>
            </w:pPr>
            <w:r>
              <w:rPr>
                <w:rFonts w:hint="eastAsia" w:ascii="宋体" w:hAnsi="宋体" w:cs="仿宋"/>
                <w:color w:val="auto"/>
                <w:sz w:val="24"/>
                <w:highlight w:val="none"/>
                <w:lang w:val="en-US" w:eastAsia="zh-CN"/>
              </w:rPr>
              <w:t>8</w:t>
            </w:r>
            <w:r>
              <w:rPr>
                <w:rFonts w:hint="eastAsia" w:ascii="宋体" w:hAnsi="宋体" w:cs="仿宋"/>
                <w:color w:val="auto"/>
                <w:sz w:val="24"/>
                <w:highlight w:val="none"/>
                <w:lang w:eastAsia="zh-CN"/>
              </w:rPr>
              <w:t>分</w:t>
            </w:r>
          </w:p>
        </w:tc>
        <w:tc>
          <w:tcPr>
            <w:tcW w:w="699" w:type="dxa"/>
            <w:vMerge w:val="continue"/>
            <w:noWrap w:val="0"/>
            <w:vAlign w:val="center"/>
          </w:tcPr>
          <w:p>
            <w:pPr>
              <w:pStyle w:val="2"/>
              <w:jc w:val="center"/>
              <w:rPr>
                <w:rFonts w:hint="eastAsia" w:ascii="宋体" w:hAnsi="宋体" w:cs="仿宋"/>
                <w:color w:val="auto"/>
                <w:sz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192" w:type="dxa"/>
            <w:vMerge w:val="continue"/>
            <w:noWrap w:val="0"/>
            <w:vAlign w:val="top"/>
          </w:tcPr>
          <w:p>
            <w:pPr>
              <w:pStyle w:val="2"/>
              <w:rPr>
                <w:rFonts w:hint="eastAsia" w:ascii="宋体" w:hAnsi="宋体" w:cs="仿宋"/>
                <w:color w:val="auto"/>
                <w:sz w:val="24"/>
                <w:highlight w:val="none"/>
                <w:lang w:eastAsia="zh-CN"/>
              </w:rPr>
            </w:pPr>
          </w:p>
        </w:tc>
        <w:tc>
          <w:tcPr>
            <w:tcW w:w="1198" w:type="dxa"/>
            <w:noWrap w:val="0"/>
            <w:vAlign w:val="center"/>
          </w:tcPr>
          <w:p>
            <w:pPr>
              <w:pStyle w:val="2"/>
              <w:rPr>
                <w:rFonts w:hint="eastAsia" w:ascii="宋体" w:hAnsi="宋体" w:cs="仿宋"/>
                <w:color w:val="auto"/>
                <w:sz w:val="24"/>
                <w:highlight w:val="none"/>
                <w:lang w:eastAsia="zh-CN"/>
              </w:rPr>
            </w:pPr>
            <w:r>
              <w:rPr>
                <w:rFonts w:hint="eastAsia" w:ascii="宋体" w:hAnsi="宋体" w:cs="仿宋"/>
                <w:color w:val="auto"/>
                <w:sz w:val="24"/>
                <w:highlight w:val="none"/>
                <w:lang w:eastAsia="zh-CN"/>
              </w:rPr>
              <w:t>项目获奖</w:t>
            </w:r>
          </w:p>
        </w:tc>
        <w:tc>
          <w:tcPr>
            <w:tcW w:w="6020" w:type="dxa"/>
            <w:noWrap w:val="0"/>
            <w:vAlign w:val="center"/>
          </w:tcPr>
          <w:p>
            <w:pPr>
              <w:pStyle w:val="2"/>
              <w:rPr>
                <w:rFonts w:hint="eastAsia" w:ascii="宋体" w:hAnsi="宋体" w:cs="仿宋"/>
                <w:color w:val="auto"/>
                <w:sz w:val="24"/>
                <w:highlight w:val="none"/>
                <w:lang w:eastAsia="zh-CN"/>
              </w:rPr>
            </w:pPr>
            <w:r>
              <w:rPr>
                <w:rFonts w:hint="eastAsia" w:ascii="宋体" w:hAnsi="宋体" w:cs="仿宋"/>
                <w:color w:val="auto"/>
                <w:sz w:val="24"/>
                <w:highlight w:val="none"/>
                <w:lang w:eastAsia="zh-CN"/>
              </w:rPr>
              <w:t>投标人承建的“城市照明工程”符合建设部科技示范工程要求，每个得1分，最高得</w:t>
            </w:r>
            <w:r>
              <w:rPr>
                <w:rFonts w:hint="eastAsia" w:ascii="宋体" w:hAnsi="宋体" w:cs="仿宋"/>
                <w:color w:val="auto"/>
                <w:sz w:val="24"/>
                <w:highlight w:val="none"/>
                <w:lang w:val="en-US" w:eastAsia="zh-CN"/>
              </w:rPr>
              <w:t>2</w:t>
            </w:r>
            <w:r>
              <w:rPr>
                <w:rFonts w:hint="eastAsia" w:ascii="宋体" w:hAnsi="宋体" w:cs="仿宋"/>
                <w:color w:val="auto"/>
                <w:sz w:val="24"/>
                <w:highlight w:val="none"/>
                <w:lang w:eastAsia="zh-CN"/>
              </w:rPr>
              <w:t>分。（提供中华人民共和国住房和城乡建设部颁发证书复印件并加盖公章，原件备查）</w:t>
            </w:r>
          </w:p>
        </w:tc>
        <w:tc>
          <w:tcPr>
            <w:tcW w:w="1070" w:type="dxa"/>
            <w:noWrap w:val="0"/>
            <w:vAlign w:val="center"/>
          </w:tcPr>
          <w:p>
            <w:pPr>
              <w:pStyle w:val="2"/>
              <w:jc w:val="center"/>
              <w:rPr>
                <w:rFonts w:hint="default" w:ascii="宋体" w:hAnsi="宋体" w:cs="仿宋"/>
                <w:color w:val="auto"/>
                <w:sz w:val="24"/>
                <w:highlight w:val="none"/>
                <w:lang w:val="en-US" w:eastAsia="zh-CN"/>
              </w:rPr>
            </w:pPr>
            <w:r>
              <w:rPr>
                <w:rFonts w:hint="eastAsia" w:ascii="宋体" w:hAnsi="宋体" w:cs="仿宋"/>
                <w:color w:val="auto"/>
                <w:sz w:val="24"/>
                <w:highlight w:val="none"/>
                <w:lang w:val="en-US" w:eastAsia="zh-CN"/>
              </w:rPr>
              <w:t>2分</w:t>
            </w:r>
          </w:p>
        </w:tc>
        <w:tc>
          <w:tcPr>
            <w:tcW w:w="699" w:type="dxa"/>
            <w:vMerge w:val="continue"/>
            <w:noWrap w:val="0"/>
            <w:vAlign w:val="center"/>
          </w:tcPr>
          <w:p>
            <w:pPr>
              <w:pStyle w:val="2"/>
              <w:jc w:val="center"/>
              <w:rPr>
                <w:rFonts w:hint="eastAsia" w:ascii="宋体" w:hAnsi="宋体" w:cs="仿宋"/>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192" w:type="dxa"/>
            <w:vMerge w:val="continue"/>
            <w:noWrap w:val="0"/>
            <w:vAlign w:val="top"/>
          </w:tcPr>
          <w:p>
            <w:pPr>
              <w:pStyle w:val="2"/>
              <w:rPr>
                <w:rFonts w:hint="eastAsia" w:ascii="宋体" w:hAnsi="宋体" w:cs="仿宋"/>
                <w:color w:val="auto"/>
                <w:sz w:val="24"/>
                <w:highlight w:val="none"/>
                <w:lang w:eastAsia="zh-CN"/>
              </w:rPr>
            </w:pPr>
          </w:p>
        </w:tc>
        <w:tc>
          <w:tcPr>
            <w:tcW w:w="1198" w:type="dxa"/>
            <w:vMerge w:val="restart"/>
            <w:noWrap w:val="0"/>
            <w:vAlign w:val="center"/>
          </w:tcPr>
          <w:p>
            <w:pPr>
              <w:pStyle w:val="2"/>
              <w:rPr>
                <w:rFonts w:hint="eastAsia" w:ascii="宋体" w:hAnsi="宋体" w:cs="仿宋"/>
                <w:color w:val="auto"/>
                <w:sz w:val="24"/>
                <w:highlight w:val="none"/>
                <w:lang w:eastAsia="zh-CN"/>
              </w:rPr>
            </w:pPr>
            <w:r>
              <w:rPr>
                <w:rFonts w:hint="eastAsia" w:ascii="宋体" w:hAnsi="宋体" w:cs="仿宋"/>
                <w:color w:val="auto"/>
                <w:sz w:val="24"/>
                <w:highlight w:val="none"/>
                <w:lang w:eastAsia="zh-CN"/>
              </w:rPr>
              <w:t>产品荣誉</w:t>
            </w:r>
          </w:p>
          <w:p>
            <w:pPr>
              <w:pStyle w:val="2"/>
              <w:rPr>
                <w:rFonts w:hint="eastAsia" w:ascii="宋体" w:hAnsi="宋体" w:cs="仿宋"/>
                <w:color w:val="auto"/>
                <w:sz w:val="24"/>
                <w:highlight w:val="none"/>
                <w:lang w:eastAsia="zh-CN"/>
              </w:rPr>
            </w:pPr>
          </w:p>
        </w:tc>
        <w:tc>
          <w:tcPr>
            <w:tcW w:w="6020" w:type="dxa"/>
            <w:noWrap w:val="0"/>
            <w:vAlign w:val="center"/>
          </w:tcPr>
          <w:p>
            <w:pPr>
              <w:pStyle w:val="2"/>
              <w:rPr>
                <w:rFonts w:hint="eastAsia" w:ascii="宋体" w:hAnsi="宋体" w:cs="仿宋"/>
                <w:color w:val="auto"/>
                <w:sz w:val="24"/>
                <w:highlight w:val="none"/>
                <w:lang w:eastAsia="zh-CN"/>
              </w:rPr>
            </w:pPr>
            <w:r>
              <w:rPr>
                <w:rFonts w:hint="eastAsia" w:ascii="宋体" w:hAnsi="宋体" w:cs="仿宋"/>
                <w:color w:val="auto"/>
                <w:sz w:val="24"/>
                <w:highlight w:val="none"/>
                <w:lang w:eastAsia="zh-CN"/>
              </w:rPr>
              <w:t>城市路灯照明自动化监控管理软件获得由国家版权局颁发的计算机软件著作权登记证书的得</w:t>
            </w:r>
            <w:r>
              <w:rPr>
                <w:rFonts w:hint="eastAsia" w:ascii="宋体" w:hAnsi="宋体" w:cs="仿宋"/>
                <w:color w:val="auto"/>
                <w:sz w:val="24"/>
                <w:highlight w:val="none"/>
                <w:lang w:val="en-US" w:eastAsia="zh-CN"/>
              </w:rPr>
              <w:t>2</w:t>
            </w:r>
            <w:r>
              <w:rPr>
                <w:rFonts w:hint="eastAsia" w:ascii="宋体" w:hAnsi="宋体" w:cs="仿宋"/>
                <w:color w:val="auto"/>
                <w:sz w:val="24"/>
                <w:highlight w:val="none"/>
                <w:lang w:eastAsia="zh-CN"/>
              </w:rPr>
              <w:t>分，没有不得分。</w:t>
            </w:r>
          </w:p>
        </w:tc>
        <w:tc>
          <w:tcPr>
            <w:tcW w:w="1070" w:type="dxa"/>
            <w:vMerge w:val="restart"/>
            <w:noWrap w:val="0"/>
            <w:vAlign w:val="center"/>
          </w:tcPr>
          <w:p>
            <w:pPr>
              <w:pStyle w:val="2"/>
              <w:jc w:val="center"/>
              <w:rPr>
                <w:rFonts w:hint="eastAsia" w:ascii="宋体" w:hAnsi="宋体" w:cs="仿宋"/>
                <w:color w:val="auto"/>
                <w:sz w:val="24"/>
                <w:highlight w:val="none"/>
                <w:lang w:eastAsia="zh-CN"/>
              </w:rPr>
            </w:pPr>
            <w:r>
              <w:rPr>
                <w:rFonts w:hint="eastAsia" w:ascii="宋体" w:hAnsi="宋体" w:cs="仿宋"/>
                <w:color w:val="auto"/>
                <w:sz w:val="24"/>
                <w:highlight w:val="none"/>
                <w:lang w:val="en-US" w:eastAsia="zh-CN"/>
              </w:rPr>
              <w:t>4</w:t>
            </w:r>
            <w:r>
              <w:rPr>
                <w:rFonts w:hint="eastAsia" w:ascii="宋体" w:hAnsi="宋体" w:cs="仿宋"/>
                <w:color w:val="auto"/>
                <w:sz w:val="24"/>
                <w:highlight w:val="none"/>
                <w:lang w:eastAsia="zh-CN"/>
              </w:rPr>
              <w:t xml:space="preserve"> 分</w:t>
            </w:r>
          </w:p>
        </w:tc>
        <w:tc>
          <w:tcPr>
            <w:tcW w:w="699" w:type="dxa"/>
            <w:vMerge w:val="continue"/>
            <w:noWrap w:val="0"/>
            <w:vAlign w:val="center"/>
          </w:tcPr>
          <w:p>
            <w:pPr>
              <w:pStyle w:val="2"/>
              <w:jc w:val="center"/>
              <w:rPr>
                <w:rFonts w:hint="eastAsia" w:ascii="宋体" w:hAnsi="宋体" w:cs="仿宋"/>
                <w:color w:val="auto"/>
                <w:sz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192" w:type="dxa"/>
            <w:vMerge w:val="continue"/>
            <w:noWrap w:val="0"/>
            <w:vAlign w:val="top"/>
          </w:tcPr>
          <w:p>
            <w:pPr>
              <w:pStyle w:val="2"/>
              <w:rPr>
                <w:rFonts w:hint="eastAsia" w:ascii="宋体" w:hAnsi="宋体" w:cs="仿宋"/>
                <w:color w:val="auto"/>
                <w:sz w:val="24"/>
                <w:highlight w:val="none"/>
                <w:lang w:eastAsia="zh-CN"/>
              </w:rPr>
            </w:pPr>
          </w:p>
        </w:tc>
        <w:tc>
          <w:tcPr>
            <w:tcW w:w="1198" w:type="dxa"/>
            <w:vMerge w:val="continue"/>
            <w:noWrap w:val="0"/>
            <w:vAlign w:val="top"/>
          </w:tcPr>
          <w:p>
            <w:pPr>
              <w:pStyle w:val="2"/>
              <w:rPr>
                <w:rFonts w:hint="eastAsia" w:ascii="宋体" w:hAnsi="宋体" w:cs="仿宋"/>
                <w:color w:val="auto"/>
                <w:sz w:val="24"/>
                <w:highlight w:val="none"/>
                <w:lang w:eastAsia="zh-CN"/>
              </w:rPr>
            </w:pPr>
          </w:p>
        </w:tc>
        <w:tc>
          <w:tcPr>
            <w:tcW w:w="6020" w:type="dxa"/>
            <w:noWrap w:val="0"/>
            <w:vAlign w:val="center"/>
          </w:tcPr>
          <w:p>
            <w:pPr>
              <w:pStyle w:val="2"/>
              <w:rPr>
                <w:rFonts w:hint="eastAsia" w:ascii="宋体" w:hAnsi="宋体" w:cs="仿宋"/>
                <w:color w:val="auto"/>
                <w:sz w:val="24"/>
                <w:highlight w:val="none"/>
                <w:lang w:eastAsia="zh-CN"/>
              </w:rPr>
            </w:pPr>
            <w:r>
              <w:rPr>
                <w:rFonts w:hint="eastAsia" w:ascii="宋体" w:hAnsi="宋体" w:cs="仿宋"/>
                <w:color w:val="auto"/>
                <w:sz w:val="24"/>
                <w:highlight w:val="none"/>
                <w:lang w:eastAsia="zh-CN"/>
              </w:rPr>
              <w:t>智慧城市照明自动化监控系统获得由公安局颁发的信息系统安全等级保护备案证明的得</w:t>
            </w:r>
            <w:r>
              <w:rPr>
                <w:rFonts w:hint="eastAsia" w:ascii="宋体" w:hAnsi="宋体" w:cs="仿宋"/>
                <w:color w:val="auto"/>
                <w:sz w:val="24"/>
                <w:highlight w:val="none"/>
                <w:lang w:val="en-US" w:eastAsia="zh-CN"/>
              </w:rPr>
              <w:t>2</w:t>
            </w:r>
            <w:r>
              <w:rPr>
                <w:rFonts w:hint="eastAsia" w:ascii="宋体" w:hAnsi="宋体" w:cs="仿宋"/>
                <w:color w:val="auto"/>
                <w:sz w:val="24"/>
                <w:highlight w:val="none"/>
                <w:lang w:eastAsia="zh-CN"/>
              </w:rPr>
              <w:t>分，没有不得分。</w:t>
            </w:r>
          </w:p>
        </w:tc>
        <w:tc>
          <w:tcPr>
            <w:tcW w:w="1070" w:type="dxa"/>
            <w:vMerge w:val="continue"/>
            <w:noWrap w:val="0"/>
            <w:vAlign w:val="center"/>
          </w:tcPr>
          <w:p>
            <w:pPr>
              <w:pStyle w:val="2"/>
              <w:jc w:val="center"/>
              <w:rPr>
                <w:rFonts w:hint="eastAsia" w:ascii="宋体" w:hAnsi="宋体" w:cs="仿宋"/>
                <w:color w:val="auto"/>
                <w:sz w:val="24"/>
                <w:highlight w:val="none"/>
                <w:lang w:eastAsia="zh-CN"/>
              </w:rPr>
            </w:pPr>
          </w:p>
        </w:tc>
        <w:tc>
          <w:tcPr>
            <w:tcW w:w="699" w:type="dxa"/>
            <w:vMerge w:val="continue"/>
            <w:noWrap w:val="0"/>
            <w:vAlign w:val="center"/>
          </w:tcPr>
          <w:p>
            <w:pPr>
              <w:pStyle w:val="2"/>
              <w:jc w:val="center"/>
              <w:rPr>
                <w:rFonts w:hint="eastAsia" w:ascii="宋体" w:hAnsi="宋体" w:cs="仿宋"/>
                <w:color w:val="auto"/>
                <w:sz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92" w:type="dxa"/>
            <w:noWrap w:val="0"/>
            <w:vAlign w:val="top"/>
          </w:tcPr>
          <w:p>
            <w:pPr>
              <w:pStyle w:val="2"/>
              <w:rPr>
                <w:rFonts w:hint="eastAsia" w:ascii="宋体" w:hAnsi="宋体" w:cs="仿宋"/>
                <w:color w:val="auto"/>
                <w:sz w:val="24"/>
                <w:highlight w:val="none"/>
                <w:lang w:eastAsia="zh-CN"/>
              </w:rPr>
            </w:pPr>
          </w:p>
        </w:tc>
        <w:tc>
          <w:tcPr>
            <w:tcW w:w="1198" w:type="dxa"/>
            <w:noWrap w:val="0"/>
            <w:vAlign w:val="center"/>
          </w:tcPr>
          <w:p>
            <w:pPr>
              <w:pStyle w:val="2"/>
              <w:rPr>
                <w:rFonts w:hint="eastAsia" w:ascii="宋体" w:hAnsi="宋体" w:eastAsia="宋体" w:cs="仿宋"/>
                <w:color w:val="auto"/>
                <w:kern w:val="2"/>
                <w:sz w:val="24"/>
                <w:szCs w:val="24"/>
                <w:highlight w:val="none"/>
                <w:lang w:val="en-US" w:eastAsia="zh-CN" w:bidi="ar-SA"/>
              </w:rPr>
            </w:pPr>
            <w:r>
              <w:rPr>
                <w:rFonts w:hint="eastAsia" w:ascii="宋体" w:hAnsi="宋体" w:eastAsia="宋体" w:cs="仿宋"/>
                <w:color w:val="auto"/>
                <w:sz w:val="24"/>
                <w:highlight w:val="none"/>
                <w:lang w:eastAsia="zh-CN"/>
              </w:rPr>
              <w:t>投标文件的规范性</w:t>
            </w:r>
          </w:p>
        </w:tc>
        <w:tc>
          <w:tcPr>
            <w:tcW w:w="6020" w:type="dxa"/>
            <w:noWrap w:val="0"/>
            <w:vAlign w:val="top"/>
          </w:tcPr>
          <w:p>
            <w:pPr>
              <w:pStyle w:val="2"/>
              <w:rPr>
                <w:rFonts w:hint="eastAsia" w:ascii="宋体" w:hAnsi="宋体" w:eastAsia="宋体" w:cs="仿宋"/>
                <w:color w:val="auto"/>
                <w:kern w:val="2"/>
                <w:sz w:val="24"/>
                <w:szCs w:val="24"/>
                <w:highlight w:val="none"/>
                <w:lang w:val="en-US" w:eastAsia="zh-CN" w:bidi="ar-SA"/>
              </w:rPr>
            </w:pPr>
            <w:r>
              <w:rPr>
                <w:rFonts w:hint="eastAsia" w:ascii="宋体" w:hAnsi="宋体" w:eastAsia="宋体" w:cs="仿宋"/>
                <w:color w:val="auto"/>
                <w:sz w:val="24"/>
                <w:highlight w:val="none"/>
                <w:lang w:eastAsia="zh-CN"/>
              </w:rPr>
              <w:t>投标文件制作规范，没有细微偏差情形的得3分；有一项细微偏差扣0.5分，直至该项分值扣完为止。</w:t>
            </w:r>
          </w:p>
        </w:tc>
        <w:tc>
          <w:tcPr>
            <w:tcW w:w="1070" w:type="dxa"/>
            <w:noWrap w:val="0"/>
            <w:vAlign w:val="center"/>
          </w:tcPr>
          <w:p>
            <w:pPr>
              <w:pStyle w:val="2"/>
              <w:jc w:val="center"/>
              <w:rPr>
                <w:rFonts w:hint="eastAsia" w:ascii="宋体" w:hAnsi="宋体" w:eastAsia="宋体" w:cs="仿宋"/>
                <w:color w:val="auto"/>
                <w:kern w:val="2"/>
                <w:sz w:val="24"/>
                <w:szCs w:val="24"/>
                <w:highlight w:val="none"/>
                <w:lang w:val="en-US" w:eastAsia="zh-CN" w:bidi="ar-SA"/>
              </w:rPr>
            </w:pPr>
            <w:r>
              <w:rPr>
                <w:rFonts w:hint="eastAsia" w:ascii="宋体" w:hAnsi="宋体" w:cs="仿宋"/>
                <w:color w:val="auto"/>
                <w:sz w:val="24"/>
                <w:highlight w:val="none"/>
                <w:lang w:val="en-US" w:eastAsia="zh-CN"/>
              </w:rPr>
              <w:t>2</w:t>
            </w:r>
            <w:r>
              <w:rPr>
                <w:rFonts w:hint="eastAsia" w:ascii="宋体" w:hAnsi="宋体" w:eastAsia="宋体" w:cs="仿宋"/>
                <w:color w:val="auto"/>
                <w:sz w:val="24"/>
                <w:highlight w:val="none"/>
                <w:lang w:eastAsia="zh-CN"/>
              </w:rPr>
              <w:t>分</w:t>
            </w:r>
          </w:p>
        </w:tc>
        <w:tc>
          <w:tcPr>
            <w:tcW w:w="699" w:type="dxa"/>
            <w:noWrap w:val="0"/>
            <w:vAlign w:val="center"/>
          </w:tcPr>
          <w:p>
            <w:pPr>
              <w:pStyle w:val="2"/>
              <w:jc w:val="center"/>
              <w:rPr>
                <w:rFonts w:hint="default" w:ascii="宋体" w:hAnsi="宋体" w:cs="仿宋"/>
                <w:color w:val="auto"/>
                <w:sz w:val="24"/>
                <w:highlight w:val="none"/>
                <w:lang w:val="en-US" w:eastAsia="zh-CN"/>
              </w:rPr>
            </w:pPr>
            <w:r>
              <w:rPr>
                <w:rFonts w:hint="eastAsia" w:ascii="宋体" w:hAnsi="宋体" w:cs="仿宋"/>
                <w:color w:val="auto"/>
                <w:sz w:val="24"/>
                <w:highlight w:val="none"/>
                <w:lang w:val="en-US" w:eastAsia="zh-CN"/>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192" w:type="dxa"/>
            <w:noWrap w:val="0"/>
            <w:vAlign w:val="top"/>
          </w:tcPr>
          <w:p>
            <w:pPr>
              <w:pStyle w:val="2"/>
              <w:rPr>
                <w:rFonts w:hint="eastAsia" w:ascii="宋体" w:hAnsi="宋体" w:cs="仿宋"/>
                <w:color w:val="auto"/>
                <w:sz w:val="24"/>
                <w:highlight w:val="none"/>
                <w:lang w:eastAsia="zh-CN"/>
              </w:rPr>
            </w:pPr>
          </w:p>
        </w:tc>
        <w:tc>
          <w:tcPr>
            <w:tcW w:w="1198" w:type="dxa"/>
            <w:noWrap w:val="0"/>
            <w:vAlign w:val="center"/>
          </w:tcPr>
          <w:p>
            <w:pPr>
              <w:pStyle w:val="2"/>
              <w:rPr>
                <w:rFonts w:hint="eastAsia" w:ascii="宋体" w:hAnsi="宋体" w:eastAsia="宋体" w:cs="仿宋"/>
                <w:color w:val="auto"/>
                <w:kern w:val="2"/>
                <w:sz w:val="24"/>
                <w:szCs w:val="24"/>
                <w:highlight w:val="none"/>
                <w:lang w:val="en-US" w:eastAsia="zh-CN" w:bidi="ar-SA"/>
              </w:rPr>
            </w:pPr>
            <w:r>
              <w:rPr>
                <w:rFonts w:hint="eastAsia" w:ascii="宋体" w:hAnsi="宋体" w:eastAsia="宋体" w:cs="仿宋"/>
                <w:color w:val="auto"/>
                <w:sz w:val="24"/>
                <w:highlight w:val="none"/>
                <w:lang w:eastAsia="zh-CN"/>
              </w:rPr>
              <w:t>不发达地区和少数民族地区</w:t>
            </w:r>
          </w:p>
        </w:tc>
        <w:tc>
          <w:tcPr>
            <w:tcW w:w="6020" w:type="dxa"/>
            <w:noWrap w:val="0"/>
            <w:vAlign w:val="center"/>
          </w:tcPr>
          <w:p>
            <w:pPr>
              <w:pStyle w:val="2"/>
              <w:rPr>
                <w:rFonts w:hint="eastAsia" w:ascii="宋体" w:hAnsi="宋体" w:eastAsia="宋体" w:cs="仿宋"/>
                <w:color w:val="auto"/>
                <w:kern w:val="2"/>
                <w:sz w:val="24"/>
                <w:szCs w:val="24"/>
                <w:highlight w:val="none"/>
                <w:lang w:val="en-US" w:eastAsia="zh-CN" w:bidi="ar-SA"/>
              </w:rPr>
            </w:pPr>
            <w:r>
              <w:rPr>
                <w:rFonts w:hint="eastAsia" w:ascii="宋体" w:hAnsi="宋体" w:eastAsia="宋体" w:cs="仿宋"/>
                <w:color w:val="auto"/>
                <w:sz w:val="24"/>
                <w:highlight w:val="none"/>
                <w:lang w:eastAsia="zh-CN"/>
              </w:rPr>
              <w:t>投标人如为不发达地区或少数民族地区的，得1分。（说明：提供声明函或相关证明材料，声明函格式自拟。如有虚假，将依法承担相应责任）</w:t>
            </w:r>
          </w:p>
        </w:tc>
        <w:tc>
          <w:tcPr>
            <w:tcW w:w="1070" w:type="dxa"/>
            <w:noWrap w:val="0"/>
            <w:vAlign w:val="center"/>
          </w:tcPr>
          <w:p>
            <w:pPr>
              <w:pStyle w:val="2"/>
              <w:jc w:val="center"/>
              <w:rPr>
                <w:rFonts w:hint="eastAsia" w:ascii="宋体" w:hAnsi="宋体" w:eastAsia="宋体" w:cs="仿宋"/>
                <w:color w:val="auto"/>
                <w:kern w:val="2"/>
                <w:sz w:val="24"/>
                <w:szCs w:val="24"/>
                <w:highlight w:val="none"/>
                <w:lang w:val="en-US" w:eastAsia="zh-CN" w:bidi="ar-SA"/>
              </w:rPr>
            </w:pPr>
            <w:r>
              <w:rPr>
                <w:rFonts w:hint="eastAsia" w:ascii="宋体" w:hAnsi="宋体" w:eastAsia="宋体" w:cs="仿宋"/>
                <w:color w:val="auto"/>
                <w:sz w:val="24"/>
                <w:highlight w:val="none"/>
                <w:lang w:eastAsia="zh-CN"/>
              </w:rPr>
              <w:t>1分</w:t>
            </w:r>
          </w:p>
        </w:tc>
        <w:tc>
          <w:tcPr>
            <w:tcW w:w="699" w:type="dxa"/>
            <w:noWrap w:val="0"/>
            <w:vAlign w:val="center"/>
          </w:tcPr>
          <w:p>
            <w:pPr>
              <w:pStyle w:val="2"/>
              <w:jc w:val="center"/>
              <w:rPr>
                <w:rFonts w:hint="default" w:ascii="宋体" w:hAnsi="宋体" w:cs="仿宋"/>
                <w:color w:val="auto"/>
                <w:sz w:val="24"/>
                <w:highlight w:val="none"/>
                <w:lang w:val="en-US" w:eastAsia="zh-CN"/>
              </w:rPr>
            </w:pPr>
            <w:r>
              <w:rPr>
                <w:rFonts w:hint="eastAsia" w:ascii="宋体" w:hAnsi="宋体" w:cs="仿宋"/>
                <w:color w:val="auto"/>
                <w:sz w:val="24"/>
                <w:highlight w:val="none"/>
                <w:lang w:val="en-US" w:eastAsia="zh-CN"/>
              </w:rPr>
              <w:t>1分</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仿宋"/>
          <w:color w:val="auto"/>
          <w:sz w:val="24"/>
          <w:highlight w:val="none"/>
        </w:rPr>
      </w:pPr>
      <w:r>
        <w:rPr>
          <w:rFonts w:hint="eastAsia" w:ascii="宋体" w:hAnsi="宋体" w:cs="仿宋"/>
          <w:color w:val="auto"/>
          <w:sz w:val="24"/>
          <w:highlight w:val="none"/>
        </w:rPr>
        <w:t>注：评分的取值按四舍五入法，保留小数点后两位。</w:t>
      </w:r>
      <w:bookmarkEnd w:id="203"/>
    </w:p>
    <w:p>
      <w:pPr>
        <w:pStyle w:val="9"/>
        <w:keepNext w:val="0"/>
        <w:keepLines w:val="0"/>
        <w:pageBreakBefore w:val="0"/>
        <w:widowControl w:val="0"/>
        <w:kinsoku/>
        <w:wordWrap/>
        <w:overflowPunct/>
        <w:topLinePunct w:val="0"/>
        <w:autoSpaceDE/>
        <w:autoSpaceDN/>
        <w:bidi w:val="0"/>
        <w:adjustRightInd/>
        <w:snapToGrid/>
        <w:spacing w:line="360" w:lineRule="auto"/>
        <w:ind w:firstLine="420" w:firstLineChars="175"/>
        <w:textAlignment w:val="auto"/>
        <w:rPr>
          <w:rFonts w:ascii="宋体" w:hAnsi="宋体" w:cs="仿宋"/>
          <w:color w:val="auto"/>
          <w:sz w:val="24"/>
          <w:highlight w:val="none"/>
        </w:rPr>
      </w:pPr>
      <w:bookmarkStart w:id="204" w:name="_Toc217446060"/>
      <w:r>
        <w:rPr>
          <w:rFonts w:hint="eastAsia" w:ascii="宋体" w:hAnsi="宋体" w:cs="仿宋"/>
          <w:color w:val="auto"/>
          <w:sz w:val="24"/>
          <w:highlight w:val="none"/>
        </w:rPr>
        <w:t xml:space="preserve">4.3.4 本次综合评分法由评标委员会各成员独立对通过初审（资格检查和符合性检查）的投标人的投标文件进行评审和打分，    </w:t>
      </w:r>
    </w:p>
    <w:p>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仿宋"/>
          <w:color w:val="auto"/>
          <w:sz w:val="24"/>
          <w:highlight w:val="none"/>
        </w:rPr>
      </w:pPr>
      <w:r>
        <w:rPr>
          <w:rFonts w:hint="eastAsia" w:ascii="宋体" w:hAnsi="宋体" w:cs="仿宋"/>
          <w:color w:val="auto"/>
          <w:sz w:val="24"/>
          <w:highlight w:val="none"/>
        </w:rPr>
        <w:t>评标得分＝（A1＋A2＋……＋An）/N</w:t>
      </w:r>
      <w:r>
        <w:rPr>
          <w:rFonts w:hint="eastAsia" w:ascii="宋体" w:hAnsi="宋体" w:cs="仿宋"/>
          <w:color w:val="auto"/>
          <w:sz w:val="24"/>
          <w:highlight w:val="none"/>
          <w:vertAlign w:val="subscript"/>
        </w:rPr>
        <w:t>A</w:t>
      </w:r>
      <w:r>
        <w:rPr>
          <w:rFonts w:hint="eastAsia" w:ascii="宋体" w:hAnsi="宋体" w:cs="仿宋"/>
          <w:color w:val="auto"/>
          <w:sz w:val="24"/>
          <w:highlight w:val="none"/>
        </w:rPr>
        <w:t>＋（B1＋B2＋……＋Bn）/ N</w:t>
      </w:r>
      <w:r>
        <w:rPr>
          <w:rFonts w:hint="eastAsia" w:ascii="宋体" w:hAnsi="宋体" w:cs="仿宋"/>
          <w:color w:val="auto"/>
          <w:sz w:val="24"/>
          <w:highlight w:val="none"/>
          <w:vertAlign w:val="subscript"/>
        </w:rPr>
        <w:t>B</w:t>
      </w:r>
      <w:r>
        <w:rPr>
          <w:rFonts w:hint="eastAsia" w:ascii="宋体" w:hAnsi="宋体" w:cs="仿宋"/>
          <w:color w:val="auto"/>
          <w:sz w:val="24"/>
          <w:highlight w:val="none"/>
        </w:rPr>
        <w:t>＋（C1＋C2＋……＋Cn）/ N</w:t>
      </w:r>
      <w:r>
        <w:rPr>
          <w:rFonts w:hint="eastAsia" w:ascii="宋体" w:hAnsi="宋体" w:cs="仿宋"/>
          <w:color w:val="auto"/>
          <w:sz w:val="24"/>
          <w:highlight w:val="none"/>
          <w:vertAlign w:val="subscript"/>
        </w:rPr>
        <w:t>C</w:t>
      </w:r>
      <w:r>
        <w:rPr>
          <w:rFonts w:hint="eastAsia" w:ascii="宋体" w:hAnsi="宋体" w:cs="仿宋"/>
          <w:color w:val="auto"/>
          <w:sz w:val="24"/>
          <w:highlight w:val="none"/>
        </w:rPr>
        <w:t>＋（D1＋D2＋……＋Dn）/ N</w:t>
      </w:r>
      <w:r>
        <w:rPr>
          <w:rFonts w:hint="eastAsia" w:ascii="宋体" w:hAnsi="宋体" w:cs="仿宋"/>
          <w:color w:val="auto"/>
          <w:sz w:val="24"/>
          <w:highlight w:val="none"/>
          <w:vertAlign w:val="subscript"/>
        </w:rPr>
        <w:t>D</w:t>
      </w:r>
    </w:p>
    <w:p>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仿宋"/>
          <w:bCs/>
          <w:color w:val="auto"/>
          <w:sz w:val="24"/>
          <w:highlight w:val="none"/>
        </w:rPr>
      </w:pPr>
      <w:r>
        <w:rPr>
          <w:rFonts w:hint="eastAsia" w:ascii="宋体" w:hAnsi="宋体" w:cs="仿宋"/>
          <w:color w:val="auto"/>
          <w:sz w:val="24"/>
          <w:highlight w:val="none"/>
        </w:rPr>
        <w:t>A1、A2……An分别为每个经济类评委（经济类专家）的打分，N</w:t>
      </w:r>
      <w:r>
        <w:rPr>
          <w:rFonts w:hint="eastAsia" w:ascii="宋体" w:hAnsi="宋体" w:cs="仿宋"/>
          <w:color w:val="auto"/>
          <w:sz w:val="24"/>
          <w:highlight w:val="none"/>
          <w:vertAlign w:val="subscript"/>
        </w:rPr>
        <w:t>A</w:t>
      </w:r>
      <w:r>
        <w:rPr>
          <w:rFonts w:hint="eastAsia" w:ascii="宋体" w:hAnsi="宋体" w:cs="仿宋"/>
          <w:color w:val="auto"/>
          <w:sz w:val="24"/>
          <w:highlight w:val="none"/>
        </w:rPr>
        <w:t>为经济类评委（经济类专家）人数；B1、B2＋……Bn 分别为每个技术类评委（技术类专家和采购人代表）的打分，N</w:t>
      </w:r>
      <w:r>
        <w:rPr>
          <w:rFonts w:hint="eastAsia" w:ascii="宋体" w:hAnsi="宋体" w:cs="仿宋"/>
          <w:color w:val="auto"/>
          <w:sz w:val="24"/>
          <w:highlight w:val="none"/>
          <w:vertAlign w:val="subscript"/>
        </w:rPr>
        <w:t>B</w:t>
      </w:r>
      <w:r>
        <w:rPr>
          <w:rFonts w:hint="eastAsia" w:ascii="宋体" w:hAnsi="宋体" w:cs="仿宋"/>
          <w:color w:val="auto"/>
          <w:sz w:val="24"/>
          <w:highlight w:val="none"/>
        </w:rPr>
        <w:t>为技术类评委（技术类专家和采购人代表）人数；C1、C2……Cn 分别为每个政策合同类评委（法律类专家）的打分，N</w:t>
      </w:r>
      <w:r>
        <w:rPr>
          <w:rFonts w:hint="eastAsia" w:ascii="宋体" w:hAnsi="宋体" w:cs="仿宋"/>
          <w:color w:val="auto"/>
          <w:sz w:val="24"/>
          <w:highlight w:val="none"/>
          <w:vertAlign w:val="subscript"/>
        </w:rPr>
        <w:t>C</w:t>
      </w:r>
      <w:r>
        <w:rPr>
          <w:rFonts w:hint="eastAsia" w:ascii="宋体" w:hAnsi="宋体" w:cs="仿宋"/>
          <w:color w:val="auto"/>
          <w:sz w:val="24"/>
          <w:highlight w:val="none"/>
        </w:rPr>
        <w:t>为政策合同类评委（法律类专家）人数；D1、D2……Dn 分别为评审委员会每个成员的打分（共同评分类），N</w:t>
      </w:r>
      <w:r>
        <w:rPr>
          <w:rFonts w:hint="eastAsia" w:ascii="宋体" w:hAnsi="宋体" w:cs="仿宋"/>
          <w:color w:val="auto"/>
          <w:sz w:val="24"/>
          <w:highlight w:val="none"/>
          <w:vertAlign w:val="subscript"/>
        </w:rPr>
        <w:t>D</w:t>
      </w:r>
      <w:r>
        <w:rPr>
          <w:rFonts w:hint="eastAsia" w:ascii="宋体" w:hAnsi="宋体" w:cs="仿宋"/>
          <w:color w:val="auto"/>
          <w:sz w:val="24"/>
          <w:highlight w:val="none"/>
        </w:rPr>
        <w:t>为评标委员会人</w:t>
      </w:r>
      <w:r>
        <w:rPr>
          <w:rFonts w:hint="eastAsia" w:ascii="宋体" w:hAnsi="宋体" w:cs="仿宋"/>
          <w:bCs/>
          <w:color w:val="auto"/>
          <w:sz w:val="24"/>
          <w:highlight w:val="none"/>
        </w:rPr>
        <w:t>数。</w:t>
      </w:r>
    </w:p>
    <w:p>
      <w:pPr>
        <w:pStyle w:val="4"/>
        <w:spacing w:line="400" w:lineRule="exact"/>
        <w:ind w:firstLine="472" w:firstLineChars="196"/>
        <w:rPr>
          <w:rFonts w:ascii="宋体" w:hAnsi="宋体" w:eastAsia="宋体" w:cs="仿宋"/>
          <w:color w:val="auto"/>
          <w:sz w:val="24"/>
          <w:szCs w:val="24"/>
          <w:highlight w:val="none"/>
        </w:rPr>
      </w:pPr>
      <w:r>
        <w:rPr>
          <w:rFonts w:hint="eastAsia" w:ascii="宋体" w:hAnsi="宋体" w:eastAsia="宋体" w:cs="仿宋"/>
          <w:color w:val="auto"/>
          <w:sz w:val="24"/>
          <w:szCs w:val="24"/>
          <w:highlight w:val="none"/>
        </w:rPr>
        <w:t>5、 废 标</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5.1本次政府采购活动中，出现下列情形之一的，予以废标：</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（1）符合专业条件的投标人或者对招标文件作实质响应的投标人不足三家的；</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（2）出现影响采购公正的违法、违规行为的；</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（3）投标人的报价均超过了采购预算，采购人不能支付的；</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（4）因重大变故，采购任务取消的。</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5.2对于评标过程中废标的采购项目，评标委员会应当对招标文件是否存在倾向性和歧视性、是否存在不合理条款进行论证，并出具书面论证意见。</w:t>
      </w:r>
    </w:p>
    <w:p>
      <w:pPr>
        <w:spacing w:line="400" w:lineRule="exact"/>
        <w:rPr>
          <w:rFonts w:ascii="宋体" w:hAnsi="宋体" w:cs="仿宋"/>
          <w:color w:val="auto"/>
          <w:sz w:val="24"/>
          <w:highlight w:val="none"/>
        </w:rPr>
      </w:pPr>
    </w:p>
    <w:p>
      <w:pPr>
        <w:pStyle w:val="4"/>
        <w:spacing w:line="400" w:lineRule="exact"/>
        <w:ind w:firstLine="472" w:firstLineChars="196"/>
        <w:rPr>
          <w:rFonts w:ascii="宋体" w:hAnsi="宋体" w:eastAsia="宋体" w:cs="仿宋"/>
          <w:color w:val="auto"/>
          <w:sz w:val="24"/>
          <w:szCs w:val="24"/>
          <w:highlight w:val="none"/>
        </w:rPr>
      </w:pPr>
      <w:r>
        <w:rPr>
          <w:rFonts w:hint="eastAsia" w:ascii="宋体" w:hAnsi="宋体" w:eastAsia="宋体" w:cs="仿宋"/>
          <w:color w:val="auto"/>
          <w:sz w:val="24"/>
          <w:szCs w:val="24"/>
          <w:highlight w:val="none"/>
        </w:rPr>
        <w:t>6、定标</w:t>
      </w:r>
      <w:bookmarkEnd w:id="204"/>
      <w:bookmarkStart w:id="205" w:name="_Toc217446061"/>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6.1. 定标原则</w:t>
      </w:r>
      <w:bookmarkEnd w:id="205"/>
      <w:r>
        <w:rPr>
          <w:rFonts w:hint="eastAsia" w:ascii="宋体" w:hAnsi="宋体" w:cs="仿宋"/>
          <w:color w:val="auto"/>
          <w:sz w:val="24"/>
          <w:highlight w:val="none"/>
        </w:rPr>
        <w:t>：本项目根据评标委员会推荐的中标候选人名单，按顺序确定中标人。</w:t>
      </w:r>
    </w:p>
    <w:p>
      <w:pPr>
        <w:spacing w:line="400" w:lineRule="exact"/>
        <w:ind w:firstLine="480" w:firstLineChars="200"/>
        <w:rPr>
          <w:rFonts w:ascii="宋体" w:hAnsi="宋体" w:cs="仿宋"/>
          <w:color w:val="auto"/>
          <w:sz w:val="24"/>
          <w:highlight w:val="none"/>
        </w:rPr>
      </w:pPr>
      <w:bookmarkStart w:id="206" w:name="_Toc217446062"/>
      <w:r>
        <w:rPr>
          <w:rFonts w:hint="eastAsia" w:ascii="宋体" w:hAnsi="宋体" w:cs="仿宋"/>
          <w:color w:val="auto"/>
          <w:sz w:val="24"/>
          <w:highlight w:val="none"/>
        </w:rPr>
        <w:t>6.2. 定标程序</w:t>
      </w:r>
      <w:bookmarkEnd w:id="206"/>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6.2.1 评标委员会将评标情况写出书面报告，推荐中标候选人。</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6.2.2 采购代理机构在评标结束后2个工作日内将评标报告送采购人。</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6.2.3 采购人在收到评标报告后5个工作日内，按照评标报告中推荐的中标候选人顺序确定中标人。采用最低评标价法的，评标结果按投标报价由低到高顺序排列。投标报价相同的并列。投标文件满足招标文件全部实质性要求且投标报价最低的投标人为排名第一的中标候选人。报价相同且满足招标文件全部实质性要求的并列，由采购人自主采取随机抽取的方式选择中标人。采用综合评分法的，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排名并列的由采购人自主采取随机抽取的方式选择中标人。</w:t>
      </w:r>
    </w:p>
    <w:p>
      <w:pPr>
        <w:spacing w:line="400" w:lineRule="exact"/>
        <w:ind w:firstLine="482" w:firstLineChars="200"/>
        <w:rPr>
          <w:rFonts w:ascii="宋体" w:hAnsi="宋体" w:cs="仿宋"/>
          <w:b/>
          <w:color w:val="auto"/>
          <w:sz w:val="24"/>
          <w:highlight w:val="none"/>
        </w:rPr>
      </w:pPr>
      <w:r>
        <w:rPr>
          <w:rFonts w:hint="eastAsia" w:ascii="宋体" w:hAnsi="宋体" w:cs="仿宋"/>
          <w:b/>
          <w:color w:val="auto"/>
          <w:sz w:val="24"/>
          <w:highlight w:val="none"/>
        </w:rPr>
        <w:t>注意，采购人按照推荐的中标候选人顺序确定中标人，不能认为采购人只能确定第一中标候选人为中标人，采购人有正当理由的，可以确定后一顺序中标候选人为中标人，依次类推。</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6.2.4 根据采购人确定的中标人，采购代理机构在四川政府采购网上发布中标公告，并自采购人确定中标之日起2个工作日内向中标人发出中标通知书。</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6.2.5 招标采购单位不退回投标人投标文件和其他投标资料。</w:t>
      </w:r>
    </w:p>
    <w:bookmarkEnd w:id="201"/>
    <w:p>
      <w:pPr>
        <w:pStyle w:val="4"/>
        <w:spacing w:line="400" w:lineRule="exact"/>
        <w:ind w:firstLine="482" w:firstLineChars="200"/>
        <w:rPr>
          <w:rFonts w:ascii="宋体" w:hAnsi="宋体" w:eastAsia="宋体" w:cs="仿宋"/>
          <w:bCs w:val="0"/>
          <w:color w:val="auto"/>
          <w:sz w:val="24"/>
          <w:szCs w:val="24"/>
          <w:highlight w:val="none"/>
        </w:rPr>
      </w:pPr>
      <w:bookmarkStart w:id="207" w:name="_Toc183582297"/>
      <w:bookmarkStart w:id="208" w:name="_Toc208849022"/>
      <w:bookmarkStart w:id="209" w:name="_Toc217446105"/>
      <w:bookmarkStart w:id="210" w:name="_Toc183682432"/>
      <w:r>
        <w:rPr>
          <w:rFonts w:hint="eastAsia" w:ascii="宋体" w:hAnsi="宋体" w:eastAsia="宋体" w:cs="仿宋"/>
          <w:bCs w:val="0"/>
          <w:color w:val="auto"/>
          <w:sz w:val="24"/>
          <w:szCs w:val="24"/>
          <w:highlight w:val="none"/>
        </w:rPr>
        <w:t xml:space="preserve">7. </w:t>
      </w:r>
      <w:bookmarkEnd w:id="207"/>
      <w:bookmarkEnd w:id="208"/>
      <w:bookmarkEnd w:id="209"/>
      <w:bookmarkEnd w:id="210"/>
      <w:r>
        <w:rPr>
          <w:rFonts w:hint="eastAsia" w:ascii="宋体" w:hAnsi="宋体" w:eastAsia="宋体" w:cs="仿宋"/>
          <w:color w:val="auto"/>
          <w:sz w:val="24"/>
          <w:szCs w:val="24"/>
          <w:highlight w:val="none"/>
        </w:rPr>
        <w:t>评标专家在</w:t>
      </w:r>
      <w:r>
        <w:rPr>
          <w:rFonts w:hint="eastAsia" w:ascii="宋体" w:hAnsi="宋体" w:eastAsia="宋体" w:cs="仿宋"/>
          <w:color w:val="auto"/>
          <w:sz w:val="24"/>
          <w:highlight w:val="none"/>
        </w:rPr>
        <w:t>政府采购活动</w:t>
      </w:r>
      <w:r>
        <w:rPr>
          <w:rFonts w:hint="eastAsia" w:ascii="宋体" w:hAnsi="宋体" w:eastAsia="宋体" w:cs="仿宋"/>
          <w:color w:val="auto"/>
          <w:sz w:val="24"/>
          <w:szCs w:val="24"/>
          <w:highlight w:val="none"/>
        </w:rPr>
        <w:t>中承担以下义务：</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 xml:space="preserve">（一）遵守评审工作纪律； </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（二）按照客观、公正、审慎的原则，根据采购文件规定的评审程序、评审方法和评审标准进行独立评审；</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（三）不得泄露评审文件、评审情况和在评审过程中获悉的商业秘密；</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（四）及时向监督部门报告评审过程中采购组织单位向评审专家做倾向性、误导性的解释或者说明，投标人行贿、提供虚假材料或者串通、受到的非法干预情况等违法违规行为；</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（五）发现采购文件内容违反国家有关强制性规定或者存在歧义、重大缺陷导致评审工作无法进行时，停止评审并向采购组织单位书面说明情况；</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（六）配合答复处理投标人的询问、质疑和投诉等事项；</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（七）法律、法规和规章规定的其他义务。</w:t>
      </w:r>
    </w:p>
    <w:p>
      <w:pPr>
        <w:pStyle w:val="4"/>
        <w:spacing w:line="400" w:lineRule="exact"/>
        <w:ind w:firstLine="482" w:firstLineChars="200"/>
        <w:rPr>
          <w:rFonts w:ascii="宋体" w:hAnsi="宋体" w:eastAsia="宋体" w:cs="仿宋"/>
          <w:bCs w:val="0"/>
          <w:color w:val="auto"/>
          <w:sz w:val="24"/>
          <w:szCs w:val="24"/>
          <w:highlight w:val="none"/>
        </w:rPr>
      </w:pPr>
      <w:r>
        <w:rPr>
          <w:rFonts w:hint="eastAsia" w:ascii="宋体" w:hAnsi="宋体" w:eastAsia="宋体" w:cs="仿宋"/>
          <w:bCs w:val="0"/>
          <w:color w:val="auto"/>
          <w:sz w:val="24"/>
          <w:szCs w:val="24"/>
          <w:highlight w:val="none"/>
        </w:rPr>
        <w:t>8.评标专家在政府采购活动中应当遵守以下工作纪律：</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（一）遵行《政府采购法》第十二条和《政府采购法实施条例》第九条及财政部关于回避的规定。</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（二）评标前，应当将通讯工具或者相关电子设备交由招标采购单位统一保管。</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（三）评标过程中，不得与外界联系，因发生不可预见情况，确实需要与外界联系的，应当在监督人员监督之下办理。</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四）评标过程中，不得干预或者影响正常评标工作，不得发表倾向性、引导性意见，不得修改或细化招标文件确定的评标程序、评标方法、评标因素和评标标准，不得接受投标人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（五）在评标过程中和评标结束后，不得记录、复制或带走任何评标资料，除因规定的义务外，不得向外界透露评标内容。</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（六）服从评标现场招标采购单位的现场秩序管理，接受评标现场监督人员的合法监督。</w:t>
      </w:r>
    </w:p>
    <w:p>
      <w:pPr>
        <w:spacing w:line="400" w:lineRule="exact"/>
        <w:ind w:firstLine="480" w:firstLineChars="200"/>
        <w:rPr>
          <w:rFonts w:ascii="宋体" w:hAnsi="宋体" w:cs="仿宋"/>
          <w:color w:val="auto"/>
          <w:sz w:val="24"/>
          <w:highlight w:val="none"/>
        </w:rPr>
      </w:pPr>
      <w:r>
        <w:rPr>
          <w:rFonts w:hint="eastAsia" w:ascii="宋体" w:hAnsi="宋体" w:cs="仿宋"/>
          <w:color w:val="auto"/>
          <w:sz w:val="24"/>
          <w:highlight w:val="none"/>
        </w:rPr>
        <w:t>（七）遵守有关廉洁自律规定，不得私下接触投标人，不得收受投标人及有关业务单位和个人的财物或好处，不得接受采购组织单位的请托。</w:t>
      </w:r>
    </w:p>
    <w:p>
      <w:pPr>
        <w:pStyle w:val="58"/>
        <w:ind w:firstLine="720"/>
        <w:jc w:val="center"/>
        <w:rPr>
          <w:rFonts w:hint="eastAsia" w:ascii="宋体" w:hAnsi="宋体" w:cs="仿宋"/>
          <w:b/>
          <w:bCs/>
          <w:color w:val="auto"/>
          <w:sz w:val="32"/>
          <w:szCs w:val="32"/>
          <w:highlight w:val="none"/>
        </w:rPr>
      </w:pPr>
      <w:bookmarkStart w:id="211" w:name="_Toc23042"/>
      <w:bookmarkStart w:id="212" w:name="_Toc5845"/>
      <w:r>
        <w:rPr>
          <w:rFonts w:hint="eastAsia" w:ascii="宋体" w:hAnsi="宋体" w:cs="仿宋"/>
          <w:color w:val="auto"/>
          <w:sz w:val="36"/>
          <w:szCs w:val="36"/>
          <w:highlight w:val="none"/>
        </w:rPr>
        <w:br w:type="page"/>
      </w:r>
      <w:r>
        <w:rPr>
          <w:rFonts w:hint="eastAsia" w:ascii="宋体" w:hAnsi="宋体" w:cs="仿宋"/>
          <w:b/>
          <w:bCs/>
          <w:color w:val="auto"/>
          <w:sz w:val="32"/>
          <w:szCs w:val="32"/>
          <w:highlight w:val="none"/>
        </w:rPr>
        <w:t>第八章  政府采购合同（草案）</w:t>
      </w:r>
      <w:bookmarkEnd w:id="211"/>
      <w:bookmarkEnd w:id="212"/>
    </w:p>
    <w:p>
      <w:pPr>
        <w:autoSpaceDE/>
        <w:autoSpaceDN/>
        <w:snapToGrid/>
        <w:spacing w:before="0" w:after="0" w:line="360" w:lineRule="auto"/>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合同编号：</w:t>
      </w:r>
      <w:r>
        <w:rPr>
          <w:rFonts w:hint="eastAsia" w:ascii="Times New Roman" w:hAnsi="Times New Roman" w:eastAsia="宋体"/>
          <w:b w:val="0"/>
          <w:color w:val="auto"/>
          <w:w w:val="100"/>
          <w:sz w:val="21"/>
          <w:highlight w:val="none"/>
          <w:lang w:eastAsia="zh-CN"/>
        </w:rPr>
        <w:t>XXXX。</w:t>
      </w:r>
    </w:p>
    <w:p>
      <w:pPr>
        <w:autoSpaceDE/>
        <w:autoSpaceDN/>
        <w:snapToGrid/>
        <w:spacing w:before="0" w:after="0" w:line="360" w:lineRule="auto"/>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签订地点：</w:t>
      </w:r>
      <w:r>
        <w:rPr>
          <w:rFonts w:hint="eastAsia" w:ascii="Times New Roman" w:hAnsi="Times New Roman" w:eastAsia="宋体"/>
          <w:b w:val="0"/>
          <w:color w:val="auto"/>
          <w:w w:val="100"/>
          <w:sz w:val="21"/>
          <w:highlight w:val="none"/>
          <w:lang w:eastAsia="zh-CN"/>
        </w:rPr>
        <w:t>XXXX。</w:t>
      </w:r>
    </w:p>
    <w:p>
      <w:pPr>
        <w:autoSpaceDE/>
        <w:autoSpaceDN/>
        <w:snapToGrid/>
        <w:spacing w:before="0" w:after="0" w:line="360" w:lineRule="auto"/>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签订时间：</w:t>
      </w:r>
      <w:r>
        <w:rPr>
          <w:rFonts w:hint="eastAsia" w:ascii="Times New Roman" w:hAnsi="Times New Roman" w:eastAsia="宋体"/>
          <w:b w:val="0"/>
          <w:color w:val="auto"/>
          <w:w w:val="100"/>
          <w:sz w:val="21"/>
          <w:highlight w:val="none"/>
          <w:lang w:eastAsia="zh-CN"/>
        </w:rPr>
        <w:t>XXXX</w:t>
      </w:r>
      <w:r>
        <w:rPr>
          <w:rFonts w:hint="eastAsia" w:ascii="宋体" w:hAnsi="Times New Roman" w:eastAsia="宋体"/>
          <w:b w:val="0"/>
          <w:color w:val="auto"/>
          <w:w w:val="100"/>
          <w:sz w:val="24"/>
          <w:highlight w:val="none"/>
          <w:lang w:eastAsia="zh-CN"/>
        </w:rPr>
        <w:t>年</w:t>
      </w:r>
      <w:r>
        <w:rPr>
          <w:rFonts w:hint="eastAsia" w:ascii="Times New Roman" w:hAnsi="Times New Roman" w:eastAsia="宋体"/>
          <w:b w:val="0"/>
          <w:color w:val="auto"/>
          <w:w w:val="100"/>
          <w:sz w:val="21"/>
          <w:highlight w:val="none"/>
          <w:lang w:eastAsia="zh-CN"/>
        </w:rPr>
        <w:t>XX</w:t>
      </w:r>
      <w:r>
        <w:rPr>
          <w:rFonts w:hint="eastAsia" w:ascii="宋体" w:hAnsi="Times New Roman" w:eastAsia="宋体"/>
          <w:b w:val="0"/>
          <w:color w:val="auto"/>
          <w:w w:val="100"/>
          <w:sz w:val="24"/>
          <w:highlight w:val="none"/>
          <w:lang w:eastAsia="zh-CN"/>
        </w:rPr>
        <w:t>月</w:t>
      </w:r>
      <w:r>
        <w:rPr>
          <w:rFonts w:hint="eastAsia" w:ascii="Times New Roman" w:hAnsi="Times New Roman" w:eastAsia="宋体"/>
          <w:b w:val="0"/>
          <w:color w:val="auto"/>
          <w:w w:val="100"/>
          <w:sz w:val="21"/>
          <w:highlight w:val="none"/>
          <w:lang w:eastAsia="zh-CN"/>
        </w:rPr>
        <w:t>XX</w:t>
      </w:r>
      <w:r>
        <w:rPr>
          <w:rFonts w:hint="eastAsia" w:ascii="宋体" w:hAnsi="Times New Roman" w:eastAsia="宋体"/>
          <w:b w:val="0"/>
          <w:color w:val="auto"/>
          <w:w w:val="100"/>
          <w:sz w:val="24"/>
          <w:highlight w:val="none"/>
          <w:lang w:eastAsia="zh-CN"/>
        </w:rPr>
        <w:t>日。</w:t>
      </w:r>
    </w:p>
    <w:p>
      <w:pPr>
        <w:autoSpaceDE/>
        <w:autoSpaceDN/>
        <w:snapToGrid/>
        <w:spacing w:before="0" w:after="0" w:line="360" w:lineRule="auto"/>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 xml:space="preserve">采购人（甲方）：                              </w:t>
      </w:r>
    </w:p>
    <w:p>
      <w:pPr>
        <w:autoSpaceDE/>
        <w:autoSpaceDN/>
        <w:snapToGrid/>
        <w:spacing w:before="0" w:after="0" w:line="360" w:lineRule="auto"/>
        <w:ind w:left="0" w:firstLine="480"/>
        <w:jc w:val="both"/>
        <w:rPr>
          <w:rFonts w:hint="eastAsia" w:ascii="宋体" w:hAnsi="Times New Roman" w:eastAsia="宋体"/>
          <w:b w:val="0"/>
          <w:color w:val="auto"/>
          <w:w w:val="100"/>
          <w:sz w:val="24"/>
          <w:highlight w:val="none"/>
          <w:lang w:eastAsia="zh-CN"/>
        </w:rPr>
      </w:pPr>
      <w:r>
        <w:rPr>
          <w:rFonts w:hint="eastAsia" w:ascii="Times New Roman" w:hAnsi="Times New Roman" w:eastAsia="宋体"/>
          <w:b w:val="0"/>
          <w:color w:val="auto"/>
          <w:w w:val="100"/>
          <w:sz w:val="24"/>
          <w:highlight w:val="none"/>
          <w:lang w:eastAsia="zh-CN"/>
        </w:rPr>
        <w:t>供应商（乙</w:t>
      </w:r>
      <w:r>
        <w:rPr>
          <w:rFonts w:ascii="Times New Roman" w:hAnsi="Times New Roman" w:eastAsia="宋体"/>
          <w:b w:val="0"/>
          <w:color w:val="auto"/>
          <w:w w:val="100"/>
          <w:sz w:val="24"/>
          <w:highlight w:val="none"/>
        </w:rPr>
        <w:t>方</w:t>
      </w:r>
      <w:r>
        <w:rPr>
          <w:rFonts w:hint="eastAsia" w:ascii="Times New Roman" w:hAnsi="Times New Roman" w:eastAsia="宋体"/>
          <w:b w:val="0"/>
          <w:color w:val="auto"/>
          <w:w w:val="100"/>
          <w:sz w:val="24"/>
          <w:highlight w:val="none"/>
          <w:lang w:eastAsia="zh-CN"/>
        </w:rPr>
        <w:t>）</w:t>
      </w:r>
      <w:r>
        <w:rPr>
          <w:rFonts w:ascii="Times New Roman" w:hAnsi="Times New Roman" w:eastAsia="宋体"/>
          <w:b w:val="0"/>
          <w:color w:val="auto"/>
          <w:w w:val="100"/>
          <w:sz w:val="24"/>
          <w:highlight w:val="none"/>
        </w:rPr>
        <w:t xml:space="preserve">：                          </w:t>
      </w:r>
      <w:r>
        <w:rPr>
          <w:rFonts w:ascii="Times New Roman" w:hAnsi="Times New Roman" w:eastAsia="宋体"/>
          <w:b w:val="0"/>
          <w:color w:val="auto"/>
          <w:w w:val="100"/>
          <w:sz w:val="21"/>
          <w:highlight w:val="none"/>
        </w:rPr>
        <w:t xml:space="preserve"> </w:t>
      </w:r>
      <w:r>
        <w:rPr>
          <w:rFonts w:hint="eastAsia" w:ascii="Times New Roman" w:hAnsi="Times New Roman" w:eastAsia="宋体"/>
          <w:b w:val="0"/>
          <w:color w:val="auto"/>
          <w:w w:val="100"/>
          <w:sz w:val="21"/>
          <w:highlight w:val="none"/>
          <w:lang w:eastAsia="zh-CN"/>
        </w:rPr>
        <w:t xml:space="preserve">                                    </w:t>
      </w:r>
      <w:r>
        <w:rPr>
          <w:rFonts w:ascii="Times New Roman" w:hAnsi="Times New Roman" w:eastAsia="宋体"/>
          <w:b w:val="0"/>
          <w:color w:val="auto"/>
          <w:w w:val="100"/>
          <w:sz w:val="21"/>
          <w:highlight w:val="none"/>
        </w:rPr>
        <w:t xml:space="preserve">  </w:t>
      </w:r>
    </w:p>
    <w:p>
      <w:pPr>
        <w:autoSpaceDE/>
        <w:autoSpaceDN/>
        <w:snapToGrid/>
        <w:spacing w:before="0" w:after="0" w:line="400" w:lineRule="exact"/>
        <w:ind w:firstLine="480" w:firstLineChars="20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根据《中华人民共和国政府采购法》、《中华人民共和国合同法》及</w:t>
      </w:r>
      <w:r>
        <w:rPr>
          <w:rFonts w:hint="eastAsia" w:ascii="Times New Roman" w:hAnsi="Times New Roman" w:eastAsia="宋体"/>
          <w:b w:val="0"/>
          <w:color w:val="auto"/>
          <w:w w:val="100"/>
          <w:sz w:val="24"/>
          <w:highlight w:val="none"/>
          <w:lang w:eastAsia="zh-CN"/>
        </w:rPr>
        <w:t>XXXX</w:t>
      </w:r>
      <w:r>
        <w:rPr>
          <w:rFonts w:hint="eastAsia" w:ascii="宋体" w:hAnsi="Times New Roman" w:eastAsia="宋体"/>
          <w:b w:val="0"/>
          <w:color w:val="auto"/>
          <w:w w:val="100"/>
          <w:sz w:val="24"/>
          <w:highlight w:val="none"/>
          <w:lang w:eastAsia="zh-CN"/>
        </w:rPr>
        <w:t>采购项目（项目编号：</w:t>
      </w:r>
      <w:r>
        <w:rPr>
          <w:rFonts w:hint="eastAsia" w:ascii="Times New Roman" w:hAnsi="Times New Roman" w:eastAsia="宋体"/>
          <w:b w:val="0"/>
          <w:color w:val="auto"/>
          <w:w w:val="100"/>
          <w:sz w:val="24"/>
          <w:highlight w:val="none"/>
          <w:lang w:eastAsia="zh-CN"/>
        </w:rPr>
        <w:t>XX</w:t>
      </w:r>
      <w:r>
        <w:rPr>
          <w:rFonts w:hint="eastAsia" w:ascii="宋体" w:hAnsi="Times New Roman" w:eastAsia="宋体"/>
          <w:b w:val="0"/>
          <w:color w:val="auto"/>
          <w:w w:val="100"/>
          <w:sz w:val="24"/>
          <w:highlight w:val="none"/>
          <w:lang w:eastAsia="zh-CN"/>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keepNext/>
        <w:keepLines/>
        <w:autoSpaceDE/>
        <w:autoSpaceDN/>
        <w:snapToGrid/>
        <w:spacing w:before="260" w:after="260" w:line="400" w:lineRule="exact"/>
        <w:ind w:left="0" w:firstLine="482"/>
        <w:jc w:val="both"/>
        <w:rPr>
          <w:rFonts w:hint="eastAsia" w:ascii="黑体" w:hAnsi="Arial" w:eastAsia="黑体"/>
          <w:b/>
          <w:color w:val="auto"/>
          <w:w w:val="100"/>
          <w:sz w:val="24"/>
          <w:highlight w:val="none"/>
          <w:lang w:eastAsia="zh-CN"/>
        </w:rPr>
      </w:pPr>
      <w:r>
        <w:rPr>
          <w:rFonts w:hint="eastAsia" w:ascii="黑体" w:hAnsi="Arial" w:eastAsia="黑体"/>
          <w:b/>
          <w:color w:val="auto"/>
          <w:w w:val="100"/>
          <w:sz w:val="24"/>
          <w:highlight w:val="none"/>
          <w:lang w:eastAsia="zh-CN"/>
        </w:rPr>
        <w:t>一、合同货物</w:t>
      </w:r>
    </w:p>
    <w:tbl>
      <w:tblPr>
        <w:tblStyle w:val="22"/>
        <w:tblW w:w="9116" w:type="dxa"/>
        <w:tblInd w:w="108" w:type="dxa"/>
        <w:tblLayout w:type="fixed"/>
        <w:tblCellMar>
          <w:top w:w="0" w:type="dxa"/>
          <w:left w:w="0" w:type="dxa"/>
          <w:bottom w:w="0" w:type="dxa"/>
          <w:right w:w="0" w:type="dxa"/>
        </w:tblCellMar>
      </w:tblPr>
      <w:tblGrid>
        <w:gridCol w:w="1850"/>
        <w:gridCol w:w="1232"/>
        <w:gridCol w:w="843"/>
        <w:gridCol w:w="1055"/>
        <w:gridCol w:w="1266"/>
        <w:gridCol w:w="1391"/>
        <w:gridCol w:w="1479"/>
      </w:tblGrid>
      <w:tr>
        <w:tblPrEx>
          <w:tblCellMar>
            <w:top w:w="0" w:type="dxa"/>
            <w:left w:w="0" w:type="dxa"/>
            <w:bottom w:w="0" w:type="dxa"/>
            <w:right w:w="0" w:type="dxa"/>
          </w:tblCellMar>
        </w:tblPrEx>
        <w:trPr>
          <w:trHeight w:val="640" w:hRule="atLeast"/>
        </w:trPr>
        <w:tc>
          <w:tcPr>
            <w:tcW w:w="18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400" w:lineRule="exact"/>
              <w:ind w:left="0" w:firstLine="24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货物品名</w:t>
            </w:r>
          </w:p>
        </w:tc>
        <w:tc>
          <w:tcPr>
            <w:tcW w:w="123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400" w:lineRule="exact"/>
              <w:ind w:left="0" w:firstLine="0"/>
              <w:jc w:val="center"/>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规格</w:t>
            </w:r>
          </w:p>
          <w:p>
            <w:pPr>
              <w:autoSpaceDE/>
              <w:autoSpaceDN/>
              <w:snapToGrid/>
              <w:spacing w:before="0" w:after="0" w:line="400" w:lineRule="exact"/>
              <w:ind w:left="0" w:firstLine="0"/>
              <w:jc w:val="center"/>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型号</w:t>
            </w:r>
          </w:p>
        </w:tc>
        <w:tc>
          <w:tcPr>
            <w:tcW w:w="84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400" w:lineRule="exact"/>
              <w:ind w:left="0" w:firstLine="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单位</w:t>
            </w:r>
          </w:p>
        </w:tc>
        <w:tc>
          <w:tcPr>
            <w:tcW w:w="10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400" w:lineRule="exact"/>
              <w:ind w:left="0" w:firstLine="12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数量</w:t>
            </w:r>
          </w:p>
        </w:tc>
        <w:tc>
          <w:tcPr>
            <w:tcW w:w="126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400" w:lineRule="exact"/>
              <w:ind w:left="0" w:firstLine="120"/>
              <w:jc w:val="center"/>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单价</w:t>
            </w:r>
          </w:p>
          <w:p>
            <w:pPr>
              <w:autoSpaceDE/>
              <w:autoSpaceDN/>
              <w:snapToGrid/>
              <w:spacing w:before="0" w:after="0" w:line="400" w:lineRule="exact"/>
              <w:ind w:left="0" w:firstLine="0"/>
              <w:jc w:val="center"/>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（万元）</w:t>
            </w:r>
          </w:p>
        </w:tc>
        <w:tc>
          <w:tcPr>
            <w:tcW w:w="13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400" w:lineRule="exact"/>
              <w:ind w:left="0" w:firstLine="24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总价</w:t>
            </w:r>
          </w:p>
          <w:p>
            <w:pPr>
              <w:autoSpaceDE/>
              <w:autoSpaceDN/>
              <w:snapToGrid/>
              <w:spacing w:before="0" w:after="0" w:line="400" w:lineRule="exact"/>
              <w:ind w:left="0" w:firstLine="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（万元）</w:t>
            </w:r>
          </w:p>
        </w:tc>
        <w:tc>
          <w:tcPr>
            <w:tcW w:w="147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400" w:lineRule="exact"/>
              <w:ind w:left="0" w:firstLine="12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交货期</w:t>
            </w:r>
          </w:p>
        </w:tc>
      </w:tr>
      <w:tr>
        <w:tblPrEx>
          <w:tblCellMar>
            <w:top w:w="0" w:type="dxa"/>
            <w:left w:w="0" w:type="dxa"/>
            <w:bottom w:w="0" w:type="dxa"/>
            <w:right w:w="0" w:type="dxa"/>
          </w:tblCellMar>
        </w:tblPrEx>
        <w:trPr>
          <w:trHeight w:val="372" w:hRule="atLeast"/>
        </w:trPr>
        <w:tc>
          <w:tcPr>
            <w:tcW w:w="18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400" w:lineRule="exact"/>
              <w:ind w:left="0" w:firstLine="0"/>
              <w:jc w:val="center"/>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 </w:t>
            </w:r>
          </w:p>
        </w:tc>
        <w:tc>
          <w:tcPr>
            <w:tcW w:w="123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400" w:lineRule="exact"/>
              <w:ind w:left="0" w:firstLine="0"/>
              <w:jc w:val="center"/>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 </w:t>
            </w:r>
          </w:p>
        </w:tc>
        <w:tc>
          <w:tcPr>
            <w:tcW w:w="84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400" w:lineRule="exact"/>
              <w:ind w:left="0" w:firstLine="0"/>
              <w:jc w:val="center"/>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 </w:t>
            </w:r>
          </w:p>
        </w:tc>
        <w:tc>
          <w:tcPr>
            <w:tcW w:w="10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400" w:lineRule="exact"/>
              <w:ind w:left="0" w:firstLine="0"/>
              <w:jc w:val="center"/>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 </w:t>
            </w:r>
          </w:p>
        </w:tc>
        <w:tc>
          <w:tcPr>
            <w:tcW w:w="126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400" w:lineRule="exact"/>
              <w:ind w:left="0" w:firstLine="0"/>
              <w:jc w:val="center"/>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 </w:t>
            </w:r>
          </w:p>
        </w:tc>
        <w:tc>
          <w:tcPr>
            <w:tcW w:w="13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400" w:lineRule="exact"/>
              <w:ind w:left="0" w:firstLine="0"/>
              <w:jc w:val="center"/>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 </w:t>
            </w:r>
          </w:p>
        </w:tc>
        <w:tc>
          <w:tcPr>
            <w:tcW w:w="147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400" w:lineRule="exact"/>
              <w:ind w:left="0" w:firstLine="0"/>
              <w:jc w:val="center"/>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 </w:t>
            </w:r>
          </w:p>
        </w:tc>
      </w:tr>
    </w:tbl>
    <w:p>
      <w:pPr>
        <w:keepNext/>
        <w:keepLines/>
        <w:autoSpaceDE/>
        <w:autoSpaceDN/>
        <w:snapToGrid/>
        <w:spacing w:before="260" w:after="260" w:line="400" w:lineRule="exact"/>
        <w:ind w:left="0" w:firstLine="482"/>
        <w:jc w:val="both"/>
        <w:rPr>
          <w:rFonts w:hint="eastAsia" w:ascii="黑体" w:hAnsi="Arial" w:eastAsia="黑体"/>
          <w:b/>
          <w:color w:val="auto"/>
          <w:w w:val="100"/>
          <w:sz w:val="24"/>
          <w:highlight w:val="none"/>
          <w:lang w:eastAsia="zh-CN"/>
        </w:rPr>
      </w:pPr>
      <w:r>
        <w:rPr>
          <w:rFonts w:hint="eastAsia" w:ascii="黑体" w:hAnsi="Arial" w:eastAsia="黑体"/>
          <w:b/>
          <w:color w:val="auto"/>
          <w:w w:val="100"/>
          <w:sz w:val="24"/>
          <w:highlight w:val="none"/>
          <w:lang w:eastAsia="zh-CN"/>
        </w:rPr>
        <w:t>二、合同总价</w:t>
      </w:r>
    </w:p>
    <w:p>
      <w:pPr>
        <w:autoSpaceDE/>
        <w:autoSpaceDN/>
        <w:snapToGrid/>
        <w:spacing w:before="0" w:after="0" w:line="400" w:lineRule="exact"/>
        <w:ind w:left="0" w:firstLine="42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合同总价为人民币大写：</w:t>
      </w:r>
      <w:r>
        <w:rPr>
          <w:rFonts w:hint="eastAsia" w:ascii="宋体" w:hAnsi="Times New Roman" w:eastAsia="宋体"/>
          <w:b w:val="0"/>
          <w:color w:val="auto"/>
          <w:w w:val="100"/>
          <w:sz w:val="24"/>
          <w:highlight w:val="none"/>
          <w:u w:val="single"/>
          <w:lang w:eastAsia="zh-CN"/>
        </w:rPr>
        <w:t xml:space="preserve">                </w:t>
      </w:r>
      <w:r>
        <w:rPr>
          <w:rFonts w:hint="eastAsia" w:ascii="宋体" w:hAnsi="Times New Roman" w:eastAsia="宋体"/>
          <w:b w:val="0"/>
          <w:color w:val="auto"/>
          <w:w w:val="100"/>
          <w:sz w:val="24"/>
          <w:highlight w:val="none"/>
          <w:lang w:eastAsia="zh-CN"/>
        </w:rPr>
        <w:t>元，即RMB￥</w:t>
      </w:r>
      <w:r>
        <w:rPr>
          <w:rFonts w:hint="eastAsia" w:ascii="宋体" w:hAnsi="Times New Roman" w:eastAsia="宋体"/>
          <w:b w:val="0"/>
          <w:color w:val="auto"/>
          <w:w w:val="100"/>
          <w:sz w:val="24"/>
          <w:highlight w:val="none"/>
          <w:u w:val="single"/>
          <w:lang w:eastAsia="zh-CN"/>
        </w:rPr>
        <w:t xml:space="preserve">        </w:t>
      </w:r>
      <w:r>
        <w:rPr>
          <w:rFonts w:hint="eastAsia" w:ascii="宋体" w:hAnsi="Times New Roman" w:eastAsia="宋体"/>
          <w:b w:val="0"/>
          <w:color w:val="auto"/>
          <w:w w:val="100"/>
          <w:sz w:val="24"/>
          <w:highlight w:val="none"/>
          <w:lang w:eastAsia="zh-CN"/>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keepNext/>
        <w:keepLines/>
        <w:autoSpaceDE/>
        <w:autoSpaceDN/>
        <w:snapToGrid/>
        <w:spacing w:before="260" w:after="260" w:line="400" w:lineRule="exact"/>
        <w:ind w:left="0" w:firstLine="482"/>
        <w:jc w:val="both"/>
        <w:rPr>
          <w:rFonts w:hint="eastAsia" w:ascii="黑体" w:hAnsi="Arial" w:eastAsia="黑体"/>
          <w:b/>
          <w:color w:val="auto"/>
          <w:w w:val="100"/>
          <w:sz w:val="24"/>
          <w:highlight w:val="none"/>
          <w:lang w:eastAsia="zh-CN"/>
        </w:rPr>
      </w:pPr>
      <w:r>
        <w:rPr>
          <w:rFonts w:hint="eastAsia" w:ascii="黑体" w:hAnsi="Arial" w:eastAsia="黑体"/>
          <w:b/>
          <w:color w:val="auto"/>
          <w:w w:val="100"/>
          <w:sz w:val="24"/>
          <w:highlight w:val="none"/>
          <w:lang w:eastAsia="zh-CN"/>
        </w:rPr>
        <w:t>三、质量要求</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1、乙方须提供全新的货物（含零部件、配件等），表面无划伤、无碰撞痕迹，且权属清楚，不得侵害他人的知识产权。</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2、货物必须符合或优于国家（行业）</w:t>
      </w:r>
      <w:r>
        <w:rPr>
          <w:rFonts w:hint="eastAsia" w:ascii="宋体" w:hAnsi="Times New Roman" w:eastAsia="宋体"/>
          <w:b w:val="0"/>
          <w:color w:val="auto"/>
          <w:w w:val="100"/>
          <w:sz w:val="24"/>
          <w:highlight w:val="none"/>
          <w:u w:val="single"/>
          <w:lang w:eastAsia="zh-CN"/>
        </w:rPr>
        <w:t xml:space="preserve">          </w:t>
      </w:r>
      <w:r>
        <w:rPr>
          <w:rFonts w:hint="eastAsia" w:ascii="宋体" w:hAnsi="Times New Roman" w:eastAsia="宋体"/>
          <w:b w:val="0"/>
          <w:color w:val="auto"/>
          <w:w w:val="100"/>
          <w:sz w:val="24"/>
          <w:highlight w:val="none"/>
          <w:lang w:eastAsia="zh-CN"/>
        </w:rPr>
        <w:t>标准，以及本项目招标文件的质量要求和技术指标与出厂标准。</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3、乙方须在本合同签订之日起</w:t>
      </w:r>
      <w:r>
        <w:rPr>
          <w:rFonts w:hint="eastAsia" w:ascii="宋体" w:hAnsi="Times New Roman" w:eastAsia="宋体"/>
          <w:b w:val="0"/>
          <w:color w:val="auto"/>
          <w:w w:val="100"/>
          <w:sz w:val="24"/>
          <w:highlight w:val="none"/>
          <w:u w:val="single"/>
          <w:lang w:eastAsia="zh-CN"/>
        </w:rPr>
        <w:t xml:space="preserve">   </w:t>
      </w:r>
      <w:r>
        <w:rPr>
          <w:rFonts w:hint="eastAsia" w:ascii="宋体" w:hAnsi="Times New Roman" w:eastAsia="宋体"/>
          <w:b w:val="0"/>
          <w:color w:val="auto"/>
          <w:w w:val="100"/>
          <w:sz w:val="24"/>
          <w:highlight w:val="none"/>
          <w:lang w:eastAsia="zh-CN"/>
        </w:rPr>
        <w:t>日内送交货物成品样品给甲方确认，在甲方出具样品确认书并封存成品样品外观尺寸后，乙方才能按样生产，并以此样品作为验收样品；每台货物上均应有产品质量检验合格标志。</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4、货物制造质量出现问题，乙方应负责三包（包修、包换、包退），费用由乙方负担，甲方有权到乙方生产场地检查货物质量和生产进度。</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5、货到现场后由于甲方保管不当造成的质量问题，乙方亦应负责修理，但费用由甲方负担。</w:t>
      </w:r>
    </w:p>
    <w:p>
      <w:pPr>
        <w:keepNext/>
        <w:keepLines/>
        <w:autoSpaceDE/>
        <w:autoSpaceDN/>
        <w:snapToGrid/>
        <w:spacing w:before="260" w:after="260" w:line="400" w:lineRule="exact"/>
        <w:ind w:left="0" w:firstLine="482"/>
        <w:jc w:val="both"/>
        <w:rPr>
          <w:rFonts w:hint="eastAsia" w:ascii="黑体" w:hAnsi="Arial" w:eastAsia="黑体"/>
          <w:b/>
          <w:color w:val="auto"/>
          <w:w w:val="100"/>
          <w:sz w:val="24"/>
          <w:highlight w:val="none"/>
          <w:lang w:eastAsia="zh-CN"/>
        </w:rPr>
      </w:pPr>
      <w:r>
        <w:rPr>
          <w:rFonts w:hint="eastAsia" w:ascii="黑体" w:hAnsi="Arial" w:eastAsia="黑体"/>
          <w:b/>
          <w:color w:val="auto"/>
          <w:w w:val="100"/>
          <w:sz w:val="24"/>
          <w:highlight w:val="none"/>
          <w:lang w:eastAsia="zh-CN"/>
        </w:rPr>
        <w:t>四、交货及验收</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1、乙方交货期限为合同签订生效后的</w:t>
      </w:r>
      <w:r>
        <w:rPr>
          <w:rFonts w:hint="eastAsia" w:ascii="Times New Roman" w:hAnsi="Times New Roman" w:eastAsia="宋体"/>
          <w:b w:val="0"/>
          <w:color w:val="auto"/>
          <w:w w:val="100"/>
          <w:sz w:val="24"/>
          <w:highlight w:val="none"/>
          <w:lang w:eastAsia="zh-CN"/>
        </w:rPr>
        <w:t>XX</w:t>
      </w:r>
      <w:r>
        <w:rPr>
          <w:rFonts w:hint="eastAsia" w:ascii="宋体" w:hAnsi="Times New Roman" w:eastAsia="宋体"/>
          <w:b w:val="0"/>
          <w:color w:val="auto"/>
          <w:w w:val="100"/>
          <w:sz w:val="24"/>
          <w:highlight w:val="none"/>
          <w:lang w:eastAsia="zh-CN"/>
        </w:rPr>
        <w:t>日内，在合同签订生效之日起</w:t>
      </w:r>
      <w:r>
        <w:rPr>
          <w:rFonts w:hint="eastAsia" w:ascii="Times New Roman" w:hAnsi="Times New Roman" w:eastAsia="宋体"/>
          <w:b w:val="0"/>
          <w:color w:val="auto"/>
          <w:w w:val="100"/>
          <w:sz w:val="24"/>
          <w:highlight w:val="none"/>
          <w:lang w:eastAsia="zh-CN"/>
        </w:rPr>
        <w:t>XX</w:t>
      </w:r>
      <w:r>
        <w:rPr>
          <w:rFonts w:hint="eastAsia" w:ascii="宋体" w:hAnsi="Times New Roman" w:eastAsia="宋体"/>
          <w:b w:val="0"/>
          <w:color w:val="auto"/>
          <w:w w:val="100"/>
          <w:sz w:val="24"/>
          <w:highlight w:val="none"/>
          <w:lang w:eastAsia="zh-CN"/>
        </w:rPr>
        <w:t>天内交货到甲方指定地点，随即在</w:t>
      </w:r>
      <w:r>
        <w:rPr>
          <w:rFonts w:hint="eastAsia" w:ascii="Times New Roman" w:hAnsi="Times New Roman" w:eastAsia="宋体"/>
          <w:b w:val="0"/>
          <w:color w:val="auto"/>
          <w:w w:val="100"/>
          <w:sz w:val="24"/>
          <w:highlight w:val="none"/>
          <w:lang w:eastAsia="zh-CN"/>
        </w:rPr>
        <w:t>XX</w:t>
      </w:r>
      <w:r>
        <w:rPr>
          <w:rFonts w:hint="eastAsia" w:ascii="宋体" w:hAnsi="Times New Roman" w:eastAsia="宋体"/>
          <w:b w:val="0"/>
          <w:color w:val="auto"/>
          <w:w w:val="100"/>
          <w:sz w:val="24"/>
          <w:highlight w:val="none"/>
          <w:lang w:eastAsia="zh-CN"/>
        </w:rPr>
        <w:t>日内全部完成安装调试验收合格交付使用，并且最迟应在</w:t>
      </w:r>
      <w:r>
        <w:rPr>
          <w:rFonts w:hint="eastAsia" w:ascii="Times New Roman" w:hAnsi="Times New Roman" w:eastAsia="宋体"/>
          <w:b w:val="0"/>
          <w:color w:val="auto"/>
          <w:w w:val="100"/>
          <w:sz w:val="24"/>
          <w:highlight w:val="none"/>
          <w:lang w:eastAsia="zh-CN"/>
        </w:rPr>
        <w:t>XX</w:t>
      </w:r>
      <w:r>
        <w:rPr>
          <w:rFonts w:hint="eastAsia" w:ascii="宋体" w:hAnsi="Times New Roman" w:eastAsia="宋体"/>
          <w:b w:val="0"/>
          <w:color w:val="auto"/>
          <w:w w:val="100"/>
          <w:sz w:val="24"/>
          <w:highlight w:val="none"/>
          <w:lang w:eastAsia="zh-CN"/>
        </w:rPr>
        <w:t>年</w:t>
      </w:r>
      <w:r>
        <w:rPr>
          <w:rFonts w:hint="eastAsia" w:ascii="Times New Roman" w:hAnsi="Times New Roman" w:eastAsia="宋体"/>
          <w:b w:val="0"/>
          <w:color w:val="auto"/>
          <w:w w:val="100"/>
          <w:sz w:val="24"/>
          <w:highlight w:val="none"/>
          <w:lang w:eastAsia="zh-CN"/>
        </w:rPr>
        <w:t>XX</w:t>
      </w:r>
      <w:r>
        <w:rPr>
          <w:rFonts w:hint="eastAsia" w:ascii="宋体" w:hAnsi="Times New Roman" w:eastAsia="宋体"/>
          <w:b w:val="0"/>
          <w:color w:val="auto"/>
          <w:w w:val="100"/>
          <w:sz w:val="24"/>
          <w:highlight w:val="none"/>
          <w:lang w:eastAsia="zh-CN"/>
        </w:rPr>
        <w:t>月</w:t>
      </w:r>
      <w:r>
        <w:rPr>
          <w:rFonts w:hint="eastAsia" w:ascii="Times New Roman" w:hAnsi="Times New Roman" w:eastAsia="宋体"/>
          <w:b w:val="0"/>
          <w:color w:val="auto"/>
          <w:w w:val="100"/>
          <w:sz w:val="24"/>
          <w:highlight w:val="none"/>
          <w:lang w:eastAsia="zh-CN"/>
        </w:rPr>
        <w:t>XX</w:t>
      </w:r>
      <w:r>
        <w:rPr>
          <w:rFonts w:hint="eastAsia" w:ascii="宋体" w:hAnsi="Times New Roman" w:eastAsia="宋体"/>
          <w:b w:val="0"/>
          <w:color w:val="auto"/>
          <w:w w:val="100"/>
          <w:sz w:val="24"/>
          <w:highlight w:val="none"/>
          <w:lang w:eastAsia="zh-CN"/>
        </w:rPr>
        <w:t>日前全部完成安装调试验收合格交付使用(如由于采购人的原因造成合同延迟签订或验收的，时间顺延)。交货验收时须提供产品质检部门从同类产品中抽样检查合格的检测报告。</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2、验收由甲方组织，乙方配合进行：</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(1) 货物在乙方通知安装调试完毕后</w:t>
      </w:r>
      <w:r>
        <w:rPr>
          <w:rFonts w:hint="eastAsia" w:ascii="宋体" w:hAnsi="Times New Roman" w:eastAsia="宋体"/>
          <w:b w:val="0"/>
          <w:color w:val="auto"/>
          <w:w w:val="100"/>
          <w:sz w:val="24"/>
          <w:highlight w:val="none"/>
          <w:u w:val="single"/>
          <w:lang w:eastAsia="zh-CN"/>
        </w:rPr>
        <w:t xml:space="preserve">    </w:t>
      </w:r>
      <w:r>
        <w:rPr>
          <w:rFonts w:hint="eastAsia" w:ascii="宋体" w:hAnsi="Times New Roman" w:eastAsia="宋体"/>
          <w:b w:val="0"/>
          <w:color w:val="auto"/>
          <w:w w:val="100"/>
          <w:sz w:val="24"/>
          <w:highlight w:val="none"/>
          <w:lang w:eastAsia="zh-CN"/>
        </w:rPr>
        <w:t>日内初步验收。初步验收合格后，进入</w:t>
      </w:r>
      <w:r>
        <w:rPr>
          <w:rFonts w:hint="eastAsia" w:ascii="宋体" w:hAnsi="Times New Roman" w:eastAsia="宋体"/>
          <w:b w:val="0"/>
          <w:color w:val="auto"/>
          <w:w w:val="100"/>
          <w:sz w:val="24"/>
          <w:highlight w:val="none"/>
          <w:u w:val="single"/>
          <w:lang w:eastAsia="zh-CN"/>
        </w:rPr>
        <w:t xml:space="preserve">    </w:t>
      </w:r>
      <w:r>
        <w:rPr>
          <w:rFonts w:hint="eastAsia" w:ascii="宋体" w:hAnsi="Times New Roman" w:eastAsia="宋体"/>
          <w:b w:val="0"/>
          <w:color w:val="auto"/>
          <w:w w:val="100"/>
          <w:sz w:val="24"/>
          <w:highlight w:val="none"/>
          <w:lang w:eastAsia="zh-CN"/>
        </w:rPr>
        <w:t>试用期；试用期间发生重大质量问题，修复后试用相应顺延；试用期结束后</w:t>
      </w:r>
      <w:r>
        <w:rPr>
          <w:rFonts w:hint="eastAsia" w:ascii="宋体" w:hAnsi="Times New Roman" w:eastAsia="宋体"/>
          <w:b w:val="0"/>
          <w:color w:val="auto"/>
          <w:w w:val="100"/>
          <w:sz w:val="24"/>
          <w:highlight w:val="none"/>
          <w:u w:val="single"/>
          <w:lang w:eastAsia="zh-CN"/>
        </w:rPr>
        <w:t xml:space="preserve">    </w:t>
      </w:r>
      <w:r>
        <w:rPr>
          <w:rFonts w:hint="eastAsia" w:ascii="宋体" w:hAnsi="Times New Roman" w:eastAsia="宋体"/>
          <w:b w:val="0"/>
          <w:color w:val="auto"/>
          <w:w w:val="100"/>
          <w:sz w:val="24"/>
          <w:highlight w:val="none"/>
          <w:lang w:eastAsia="zh-CN"/>
        </w:rPr>
        <w:t>日内完成最终验收；</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(4) 如质量验收合格，双方签署质量验收报告。</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3、货物安装完成后</w:t>
      </w:r>
      <w:r>
        <w:rPr>
          <w:rFonts w:hint="eastAsia" w:ascii="宋体" w:hAnsi="Times New Roman" w:eastAsia="宋体"/>
          <w:b w:val="0"/>
          <w:color w:val="auto"/>
          <w:w w:val="100"/>
          <w:sz w:val="24"/>
          <w:highlight w:val="none"/>
          <w:u w:val="single"/>
          <w:lang w:eastAsia="zh-CN"/>
        </w:rPr>
        <w:t xml:space="preserve">     </w:t>
      </w:r>
      <w:r>
        <w:rPr>
          <w:rFonts w:hint="eastAsia" w:ascii="宋体" w:hAnsi="Times New Roman" w:eastAsia="宋体"/>
          <w:b w:val="0"/>
          <w:color w:val="auto"/>
          <w:w w:val="100"/>
          <w:sz w:val="24"/>
          <w:highlight w:val="none"/>
          <w:lang w:eastAsia="zh-CN"/>
        </w:rPr>
        <w:t>日内，甲方无故不进行验收工作并已使用货物的，视同已安装调试完成并验收合格。</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4、乙方应将所提供货物的装箱清单、配件、随机工具、用户使用手册、原厂保修卡等资料交付给甲方；乙方不能完整交付货物及本款规定的单证和工具的，必须负责补齐，否则视为未按合同约定交货。</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5、如货物经乙方</w:t>
      </w:r>
      <w:r>
        <w:rPr>
          <w:rFonts w:hint="eastAsia" w:ascii="宋体" w:hAnsi="Times New Roman" w:eastAsia="宋体"/>
          <w:b w:val="0"/>
          <w:color w:val="auto"/>
          <w:w w:val="100"/>
          <w:sz w:val="24"/>
          <w:highlight w:val="none"/>
          <w:u w:val="single"/>
          <w:lang w:eastAsia="zh-CN"/>
        </w:rPr>
        <w:t xml:space="preserve">   </w:t>
      </w:r>
      <w:r>
        <w:rPr>
          <w:rFonts w:hint="eastAsia" w:ascii="宋体" w:hAnsi="Times New Roman" w:eastAsia="宋体"/>
          <w:b w:val="0"/>
          <w:color w:val="auto"/>
          <w:w w:val="100"/>
          <w:sz w:val="24"/>
          <w:highlight w:val="none"/>
          <w:lang w:eastAsia="zh-CN"/>
        </w:rPr>
        <w:t>次维修仍不能达到合同约定的质量标准，甲方有权退货，并视作乙方不能交付货物而须支付违约赔偿金给甲方，甲方还可依法追究乙方的违约责任。 </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6、其他未尽事宜应严格按照</w:t>
      </w:r>
      <w:r>
        <w:rPr>
          <w:rFonts w:hint="eastAsia" w:ascii="宋体" w:hAnsi="宋体" w:cs="仿宋"/>
          <w:bCs/>
          <w:color w:val="auto"/>
          <w:sz w:val="24"/>
          <w:highlight w:val="none"/>
        </w:rPr>
        <w:t>《关于进一步加强政府采购需求和履约验收管理的指导意见》（财库〔2016〕205号）</w:t>
      </w:r>
      <w:r>
        <w:rPr>
          <w:rFonts w:hint="eastAsia" w:ascii="宋体" w:hAnsi="Times New Roman" w:eastAsia="宋体"/>
          <w:b w:val="0"/>
          <w:color w:val="auto"/>
          <w:w w:val="100"/>
          <w:sz w:val="24"/>
          <w:highlight w:val="none"/>
          <w:lang w:eastAsia="zh-CN"/>
        </w:rPr>
        <w:t>的要求进行。</w:t>
      </w:r>
    </w:p>
    <w:p>
      <w:pPr>
        <w:keepNext/>
        <w:keepLines/>
        <w:autoSpaceDE/>
        <w:autoSpaceDN/>
        <w:snapToGrid/>
        <w:spacing w:before="260" w:after="260" w:line="400" w:lineRule="exact"/>
        <w:ind w:left="0" w:firstLine="482"/>
        <w:jc w:val="both"/>
        <w:rPr>
          <w:rFonts w:hint="eastAsia" w:ascii="黑体" w:hAnsi="Arial" w:eastAsia="黑体"/>
          <w:b/>
          <w:color w:val="auto"/>
          <w:w w:val="100"/>
          <w:sz w:val="24"/>
          <w:highlight w:val="none"/>
          <w:lang w:eastAsia="zh-CN"/>
        </w:rPr>
      </w:pPr>
      <w:r>
        <w:rPr>
          <w:rFonts w:hint="eastAsia" w:ascii="黑体" w:hAnsi="Arial" w:eastAsia="黑体"/>
          <w:b/>
          <w:color w:val="auto"/>
          <w:w w:val="100"/>
          <w:sz w:val="24"/>
          <w:highlight w:val="none"/>
          <w:lang w:eastAsia="zh-CN"/>
        </w:rPr>
        <w:t>五、付款方式</w:t>
      </w:r>
    </w:p>
    <w:p>
      <w:pPr>
        <w:pStyle w:val="2"/>
        <w:ind w:firstLine="480" w:firstLineChars="200"/>
        <w:rPr>
          <w:rFonts w:hint="eastAsia"/>
          <w:lang w:eastAsia="zh-CN"/>
        </w:rPr>
      </w:pPr>
      <w:r>
        <w:rPr>
          <w:rFonts w:ascii="宋体" w:hAnsi="宋体" w:eastAsia="宋体" w:cs="宋体"/>
          <w:sz w:val="24"/>
          <w:szCs w:val="24"/>
        </w:rPr>
        <w:t>合同签订生效后，甲方收到乙方出具的票据凭证等相关资料，并在规定时间内完成相关资金支付审签程序后支付乙方合同总金额30%的预付货款；全部货物验收合格后，甲方收到乙方出具的票据凭证等相关资料，并完成相关资金支付审签程序后支付乙方合同总金额70%的货款；乙方须向甲方出具合法有效完整的完税发票及凭证资料进行支付结算。</w:t>
      </w:r>
    </w:p>
    <w:p>
      <w:pPr>
        <w:keepNext/>
        <w:keepLines/>
        <w:autoSpaceDE/>
        <w:autoSpaceDN/>
        <w:snapToGrid/>
        <w:spacing w:before="260" w:after="260" w:line="400" w:lineRule="exact"/>
        <w:ind w:left="0" w:firstLine="482"/>
        <w:jc w:val="both"/>
        <w:rPr>
          <w:rFonts w:hint="eastAsia" w:ascii="黑体" w:hAnsi="Arial" w:eastAsia="黑体"/>
          <w:b/>
          <w:color w:val="auto"/>
          <w:w w:val="100"/>
          <w:sz w:val="24"/>
          <w:highlight w:val="none"/>
          <w:lang w:eastAsia="zh-CN"/>
        </w:rPr>
      </w:pPr>
      <w:r>
        <w:rPr>
          <w:rFonts w:hint="eastAsia" w:ascii="黑体" w:hAnsi="Arial" w:eastAsia="黑体"/>
          <w:b/>
          <w:color w:val="auto"/>
          <w:w w:val="100"/>
          <w:sz w:val="24"/>
          <w:highlight w:val="none"/>
          <w:lang w:eastAsia="zh-CN"/>
        </w:rPr>
        <w:t>六、售后服务</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1、质保期为验收合格后</w:t>
      </w:r>
      <w:r>
        <w:rPr>
          <w:rFonts w:hint="eastAsia" w:ascii="Times New Roman" w:hAnsi="Times New Roman" w:eastAsia="宋体"/>
          <w:b w:val="0"/>
          <w:color w:val="auto"/>
          <w:w w:val="100"/>
          <w:sz w:val="24"/>
          <w:highlight w:val="none"/>
          <w:lang w:eastAsia="zh-CN"/>
        </w:rPr>
        <w:t>XX</w:t>
      </w:r>
      <w:r>
        <w:rPr>
          <w:rFonts w:hint="eastAsia" w:ascii="宋体" w:hAnsi="Times New Roman" w:eastAsia="宋体"/>
          <w:b w:val="0"/>
          <w:color w:val="auto"/>
          <w:w w:val="100"/>
          <w:sz w:val="24"/>
          <w:highlight w:val="none"/>
          <w:lang w:eastAsia="zh-CN"/>
        </w:rPr>
        <w:t>年，质保期内出现质量问题，乙方在接到通知后</w:t>
      </w:r>
      <w:r>
        <w:rPr>
          <w:rFonts w:hint="eastAsia" w:ascii="宋体" w:hAnsi="Times New Roman" w:eastAsia="宋体"/>
          <w:b w:val="0"/>
          <w:color w:val="auto"/>
          <w:w w:val="100"/>
          <w:sz w:val="24"/>
          <w:highlight w:val="none"/>
          <w:u w:val="single"/>
          <w:lang w:eastAsia="zh-CN"/>
        </w:rPr>
        <w:t xml:space="preserve">   </w:t>
      </w:r>
      <w:r>
        <w:rPr>
          <w:rFonts w:hint="eastAsia" w:ascii="宋体" w:hAnsi="Times New Roman" w:eastAsia="宋体"/>
          <w:b w:val="0"/>
          <w:color w:val="auto"/>
          <w:w w:val="100"/>
          <w:sz w:val="24"/>
          <w:highlight w:val="none"/>
          <w:lang w:eastAsia="zh-CN"/>
        </w:rPr>
        <w:t>小时内响应到场，</w:t>
      </w:r>
      <w:r>
        <w:rPr>
          <w:rFonts w:hint="eastAsia" w:ascii="宋体" w:hAnsi="Times New Roman" w:eastAsia="宋体"/>
          <w:b w:val="0"/>
          <w:color w:val="auto"/>
          <w:w w:val="100"/>
          <w:sz w:val="24"/>
          <w:highlight w:val="none"/>
          <w:u w:val="single"/>
          <w:lang w:eastAsia="zh-CN"/>
        </w:rPr>
        <w:t xml:space="preserve">    </w:t>
      </w:r>
      <w:r>
        <w:rPr>
          <w:rFonts w:hint="eastAsia" w:ascii="宋体" w:hAnsi="Times New Roman" w:eastAsia="宋体"/>
          <w:b w:val="0"/>
          <w:color w:val="auto"/>
          <w:w w:val="100"/>
          <w:sz w:val="24"/>
          <w:highlight w:val="none"/>
          <w:lang w:eastAsia="zh-CN"/>
        </w:rPr>
        <w:t>小时内完成维修或更换，并承担修理调换的费用；如货物经乙方</w:t>
      </w:r>
      <w:r>
        <w:rPr>
          <w:rFonts w:hint="eastAsia" w:ascii="宋体" w:hAnsi="Times New Roman" w:eastAsia="宋体"/>
          <w:b w:val="0"/>
          <w:color w:val="auto"/>
          <w:w w:val="100"/>
          <w:sz w:val="24"/>
          <w:highlight w:val="none"/>
          <w:u w:val="single"/>
          <w:lang w:eastAsia="zh-CN"/>
        </w:rPr>
        <w:t xml:space="preserve">   </w:t>
      </w:r>
      <w:r>
        <w:rPr>
          <w:rFonts w:hint="eastAsia" w:ascii="宋体" w:hAnsi="Times New Roman" w:eastAsia="宋体"/>
          <w:b w:val="0"/>
          <w:color w:val="auto"/>
          <w:w w:val="100"/>
          <w:sz w:val="24"/>
          <w:highlight w:val="none"/>
          <w:lang w:eastAsia="zh-CN"/>
        </w:rPr>
        <w:t>次维修仍不能达到本合同约定的质量标准，视作乙方未能按时交货，甲方有权退货并追究乙方的违约责任。货到现场后由于甲方保管不当造成的问题，乙方亦应负责修复，但费用由甲方负担。</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2、乙方须指派专人负责与甲方联系售后服务事宜。 </w:t>
      </w:r>
    </w:p>
    <w:p>
      <w:pPr>
        <w:keepNext/>
        <w:keepLines/>
        <w:autoSpaceDE/>
        <w:autoSpaceDN/>
        <w:snapToGrid/>
        <w:spacing w:before="260" w:after="260" w:line="400" w:lineRule="exact"/>
        <w:ind w:left="0" w:firstLine="482"/>
        <w:jc w:val="both"/>
        <w:rPr>
          <w:rFonts w:hint="eastAsia" w:ascii="黑体" w:hAnsi="Arial" w:eastAsia="黑体"/>
          <w:b/>
          <w:color w:val="auto"/>
          <w:w w:val="100"/>
          <w:sz w:val="24"/>
          <w:highlight w:val="none"/>
          <w:lang w:eastAsia="zh-CN"/>
        </w:rPr>
      </w:pPr>
      <w:r>
        <w:rPr>
          <w:rFonts w:hint="eastAsia" w:ascii="黑体" w:hAnsi="Arial" w:eastAsia="黑体"/>
          <w:b/>
          <w:color w:val="auto"/>
          <w:w w:val="100"/>
          <w:sz w:val="24"/>
          <w:highlight w:val="none"/>
          <w:lang w:eastAsia="zh-CN"/>
        </w:rPr>
        <w:t>七、违约责任</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1、甲方违约责任</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（1） 甲方无正当理由拒收货物的，甲方应偿付合同总价百分之</w:t>
      </w:r>
      <w:r>
        <w:rPr>
          <w:rFonts w:hint="eastAsia" w:ascii="宋体" w:hAnsi="Times New Roman"/>
          <w:b w:val="0"/>
          <w:color w:val="auto"/>
          <w:w w:val="100"/>
          <w:sz w:val="24"/>
          <w:highlight w:val="none"/>
          <w:lang w:eastAsia="zh-CN"/>
        </w:rPr>
        <w:t>十</w:t>
      </w:r>
      <w:r>
        <w:rPr>
          <w:rFonts w:hint="eastAsia" w:ascii="宋体" w:hAnsi="Times New Roman" w:eastAsia="宋体"/>
          <w:b w:val="0"/>
          <w:color w:val="auto"/>
          <w:w w:val="100"/>
          <w:sz w:val="24"/>
          <w:highlight w:val="none"/>
          <w:lang w:eastAsia="zh-CN"/>
        </w:rPr>
        <w:t>的违约金；</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（2） 甲方逾期支付货款的，除应及时付足货款外，应向乙方偿付欠款总额万分之</w:t>
      </w:r>
      <w:r>
        <w:rPr>
          <w:rFonts w:hint="eastAsia" w:ascii="宋体" w:hAnsi="Times New Roman" w:eastAsia="宋体"/>
          <w:b w:val="0"/>
          <w:color w:val="auto"/>
          <w:w w:val="100"/>
          <w:sz w:val="24"/>
          <w:highlight w:val="none"/>
          <w:u w:val="single"/>
          <w:lang w:eastAsia="zh-CN"/>
        </w:rPr>
        <w:t xml:space="preserve">   </w:t>
      </w:r>
      <w:r>
        <w:rPr>
          <w:rFonts w:hint="eastAsia" w:ascii="宋体" w:hAnsi="Times New Roman"/>
          <w:b w:val="0"/>
          <w:color w:val="auto"/>
          <w:w w:val="100"/>
          <w:sz w:val="24"/>
          <w:highlight w:val="none"/>
          <w:u w:val="none"/>
          <w:lang w:eastAsia="zh-CN"/>
        </w:rPr>
        <w:t>十</w:t>
      </w:r>
      <w:r>
        <w:rPr>
          <w:rFonts w:hint="eastAsia" w:ascii="宋体" w:hAnsi="Times New Roman" w:eastAsia="宋体"/>
          <w:b w:val="0"/>
          <w:color w:val="auto"/>
          <w:w w:val="100"/>
          <w:sz w:val="24"/>
          <w:highlight w:val="none"/>
          <w:lang w:eastAsia="zh-CN"/>
        </w:rPr>
        <w:t>/天的违约金；逾期付款超过</w:t>
      </w:r>
      <w:r>
        <w:rPr>
          <w:rFonts w:hint="eastAsia" w:ascii="宋体" w:hAnsi="Times New Roman"/>
          <w:b w:val="0"/>
          <w:color w:val="auto"/>
          <w:w w:val="100"/>
          <w:sz w:val="24"/>
          <w:highlight w:val="none"/>
          <w:lang w:eastAsia="zh-CN"/>
        </w:rPr>
        <w:t>三十</w:t>
      </w:r>
      <w:r>
        <w:rPr>
          <w:rFonts w:hint="eastAsia" w:ascii="宋体" w:hAnsi="Times New Roman" w:eastAsia="宋体"/>
          <w:b w:val="0"/>
          <w:color w:val="auto"/>
          <w:w w:val="100"/>
          <w:sz w:val="24"/>
          <w:highlight w:val="none"/>
          <w:lang w:eastAsia="zh-CN"/>
        </w:rPr>
        <w:t>天的，乙方有权终止合同；</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（3） 甲方偿付的违约金不足以弥补乙方损失的，还应按乙方损失尚未弥补的部分，支付赔偿金给乙方。</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2、乙方违约责任</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（1）乙方交付的货物质量不符合合同规定的，乙方应向甲方支付合同总价的百分之</w:t>
      </w:r>
      <w:r>
        <w:rPr>
          <w:rFonts w:hint="eastAsia" w:ascii="宋体" w:hAnsi="Times New Roman"/>
          <w:b w:val="0"/>
          <w:color w:val="auto"/>
          <w:w w:val="100"/>
          <w:sz w:val="24"/>
          <w:highlight w:val="none"/>
          <w:lang w:eastAsia="zh-CN"/>
        </w:rPr>
        <w:t>十</w:t>
      </w:r>
      <w:r>
        <w:rPr>
          <w:rFonts w:hint="eastAsia" w:ascii="宋体" w:hAnsi="Times New Roman" w:eastAsia="宋体"/>
          <w:b w:val="0"/>
          <w:color w:val="auto"/>
          <w:w w:val="100"/>
          <w:sz w:val="24"/>
          <w:highlight w:val="none"/>
          <w:lang w:eastAsia="zh-CN"/>
        </w:rPr>
        <w:t>的违约金，并须在合同规定的交货时间内更换合格的货物给甲方，否则，视作乙方不能交付货物而违约，按本条本款下述第“（2）”项规定由乙方偿付违约赔偿金给甲方。</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（2）乙方不能交付货物或逾期交付货物而违约的，除应及时交足货物外，应向甲方偿付逾期交货部分货款总额的万分之</w:t>
      </w:r>
      <w:r>
        <w:rPr>
          <w:rFonts w:hint="eastAsia" w:ascii="宋体" w:hAnsi="Times New Roman"/>
          <w:b w:val="0"/>
          <w:color w:val="auto"/>
          <w:w w:val="100"/>
          <w:sz w:val="24"/>
          <w:highlight w:val="none"/>
          <w:lang w:eastAsia="zh-CN"/>
        </w:rPr>
        <w:t>十</w:t>
      </w:r>
      <w:r>
        <w:rPr>
          <w:rFonts w:hint="eastAsia" w:ascii="宋体" w:hAnsi="Times New Roman" w:eastAsia="宋体"/>
          <w:b w:val="0"/>
          <w:color w:val="auto"/>
          <w:w w:val="100"/>
          <w:sz w:val="24"/>
          <w:highlight w:val="none"/>
          <w:lang w:eastAsia="zh-CN"/>
        </w:rPr>
        <w:t>/天的违约金；逾期交货超过</w:t>
      </w:r>
      <w:r>
        <w:rPr>
          <w:rFonts w:hint="eastAsia" w:hAnsi="Times New Roman"/>
          <w:b w:val="0"/>
          <w:color w:val="auto"/>
          <w:w w:val="100"/>
          <w:sz w:val="24"/>
          <w:highlight w:val="none"/>
          <w:lang w:eastAsia="zh-CN"/>
        </w:rPr>
        <w:t>三十</w:t>
      </w:r>
      <w:r>
        <w:rPr>
          <w:rFonts w:hint="eastAsia" w:ascii="宋体" w:hAnsi="Times New Roman" w:eastAsia="宋体"/>
          <w:b w:val="0"/>
          <w:color w:val="auto"/>
          <w:w w:val="100"/>
          <w:sz w:val="24"/>
          <w:highlight w:val="none"/>
          <w:lang w:eastAsia="zh-CN"/>
        </w:rPr>
        <w:t>天，甲方有权终止合同，乙方则应按合同总价的百分之</w:t>
      </w:r>
      <w:r>
        <w:rPr>
          <w:rFonts w:hint="eastAsia" w:ascii="宋体" w:hAnsi="Times New Roman"/>
          <w:b w:val="0"/>
          <w:color w:val="auto"/>
          <w:w w:val="100"/>
          <w:sz w:val="24"/>
          <w:highlight w:val="none"/>
          <w:u w:val="none"/>
          <w:lang w:eastAsia="zh-CN"/>
        </w:rPr>
        <w:t>十</w:t>
      </w:r>
      <w:r>
        <w:rPr>
          <w:rFonts w:hint="eastAsia" w:ascii="宋体" w:hAnsi="Times New Roman" w:eastAsia="宋体"/>
          <w:b w:val="0"/>
          <w:color w:val="auto"/>
          <w:w w:val="100"/>
          <w:sz w:val="24"/>
          <w:highlight w:val="none"/>
          <w:lang w:eastAsia="zh-CN"/>
        </w:rPr>
        <w:t>的款额向甲方偿付赔偿金，并须全额退还甲方已经付给乙方的货款及其利息。</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（3）乙方货物经甲方送交具有法定资格条件的质量技术监督机构检测后，如检测结果认定货物质量不符合本合同规定标准的，则视为乙方没有按时交货而违约，乙方须在</w:t>
      </w:r>
      <w:r>
        <w:rPr>
          <w:rFonts w:hint="eastAsia" w:ascii="宋体" w:hAnsi="Times New Roman"/>
          <w:b w:val="0"/>
          <w:color w:val="auto"/>
          <w:w w:val="100"/>
          <w:sz w:val="24"/>
          <w:highlight w:val="none"/>
          <w:u w:val="none"/>
          <w:lang w:eastAsia="zh-CN"/>
        </w:rPr>
        <w:t>十</w:t>
      </w:r>
      <w:r>
        <w:rPr>
          <w:rFonts w:hint="eastAsia" w:ascii="宋体" w:hAnsi="Times New Roman" w:eastAsia="宋体"/>
          <w:b w:val="0"/>
          <w:color w:val="auto"/>
          <w:w w:val="100"/>
          <w:sz w:val="24"/>
          <w:highlight w:val="none"/>
          <w:lang w:eastAsia="zh-CN"/>
        </w:rPr>
        <w:t>天内无条件更换合格的货物，如逾期不能更换合格的货物，甲方有权终止本合同，乙方应另付合同总价的百分之</w:t>
      </w:r>
      <w:r>
        <w:rPr>
          <w:rFonts w:hint="eastAsia" w:ascii="宋体" w:hAnsi="Times New Roman"/>
          <w:b w:val="0"/>
          <w:color w:val="auto"/>
          <w:w w:val="100"/>
          <w:sz w:val="24"/>
          <w:highlight w:val="none"/>
          <w:u w:val="none"/>
          <w:lang w:eastAsia="zh-CN"/>
        </w:rPr>
        <w:t>五</w:t>
      </w:r>
      <w:r>
        <w:rPr>
          <w:rFonts w:hint="eastAsia" w:ascii="宋体" w:hAnsi="Times New Roman" w:eastAsia="宋体"/>
          <w:b w:val="0"/>
          <w:color w:val="auto"/>
          <w:w w:val="100"/>
          <w:sz w:val="24"/>
          <w:highlight w:val="none"/>
          <w:lang w:eastAsia="zh-CN"/>
        </w:rPr>
        <w:t>的赔偿金给甲方。</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Pr>
          <w:rFonts w:hint="eastAsia" w:ascii="宋体" w:hAnsi="Times New Roman"/>
          <w:b w:val="0"/>
          <w:color w:val="auto"/>
          <w:w w:val="100"/>
          <w:sz w:val="24"/>
          <w:highlight w:val="none"/>
          <w:lang w:eastAsia="zh-CN"/>
        </w:rPr>
        <w:t>十</w:t>
      </w:r>
      <w:r>
        <w:rPr>
          <w:rFonts w:hint="eastAsia" w:ascii="宋体" w:hAnsi="Times New Roman" w:eastAsia="宋体"/>
          <w:b w:val="0"/>
          <w:color w:val="auto"/>
          <w:w w:val="100"/>
          <w:sz w:val="24"/>
          <w:highlight w:val="none"/>
          <w:lang w:eastAsia="zh-CN"/>
        </w:rPr>
        <w:t>向甲方支付违约金并赔偿因此给甲方造成的一切损失。</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（5）乙方偿付的违约金不足以弥补甲方损失的，还应按甲方损失尚未弥补的部分，支付赔偿金给甲方。</w:t>
      </w:r>
    </w:p>
    <w:p>
      <w:pPr>
        <w:keepNext/>
        <w:keepLines/>
        <w:autoSpaceDE/>
        <w:autoSpaceDN/>
        <w:snapToGrid/>
        <w:spacing w:before="260" w:after="260" w:line="400" w:lineRule="exact"/>
        <w:ind w:left="0" w:firstLine="482"/>
        <w:jc w:val="both"/>
        <w:rPr>
          <w:rFonts w:hint="eastAsia" w:ascii="黑体" w:hAnsi="Arial" w:eastAsia="黑体"/>
          <w:b/>
          <w:color w:val="auto"/>
          <w:w w:val="100"/>
          <w:sz w:val="24"/>
          <w:highlight w:val="none"/>
          <w:lang w:eastAsia="zh-CN"/>
        </w:rPr>
      </w:pPr>
      <w:r>
        <w:rPr>
          <w:rFonts w:hint="eastAsia" w:ascii="黑体" w:hAnsi="Arial" w:eastAsia="黑体"/>
          <w:b/>
          <w:color w:val="auto"/>
          <w:w w:val="100"/>
          <w:sz w:val="24"/>
          <w:highlight w:val="none"/>
          <w:lang w:eastAsia="zh-CN"/>
        </w:rPr>
        <w:t>八、争议解决办法</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1、因货物的质量问题发生争议，由质量技术监督部门或其指定的质量鉴定机构进行质量鉴定。货物符合标准的，鉴定费由甲方承担；货物不符合质量标准的，鉴定费由乙方承担。</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2、合同履行期间,若双方发生争议，可协商或由有关部门调解解决，协商或调解不成的，由当事人依法维护其合法权益。</w:t>
      </w:r>
    </w:p>
    <w:p>
      <w:pPr>
        <w:keepNext/>
        <w:keepLines/>
        <w:autoSpaceDE/>
        <w:autoSpaceDN/>
        <w:snapToGrid/>
        <w:spacing w:before="260" w:after="260" w:line="400" w:lineRule="exact"/>
        <w:ind w:left="0" w:firstLine="482"/>
        <w:jc w:val="both"/>
        <w:rPr>
          <w:rFonts w:hint="eastAsia" w:ascii="黑体" w:hAnsi="Arial" w:eastAsia="黑体"/>
          <w:b/>
          <w:color w:val="auto"/>
          <w:w w:val="100"/>
          <w:sz w:val="24"/>
          <w:highlight w:val="none"/>
          <w:lang w:eastAsia="zh-CN"/>
        </w:rPr>
      </w:pPr>
      <w:r>
        <w:rPr>
          <w:rFonts w:hint="eastAsia" w:ascii="黑体" w:hAnsi="Arial" w:eastAsia="黑体"/>
          <w:b/>
          <w:color w:val="auto"/>
          <w:w w:val="100"/>
          <w:sz w:val="24"/>
          <w:highlight w:val="none"/>
          <w:lang w:eastAsia="zh-CN"/>
        </w:rPr>
        <w:t>九、其他</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1、如有未尽事宜，由双方依法订立补充合同。</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2、本合同一式六份，自双方签章之日起生效。甲方三份，乙方、政府采购管理部门、采购代理机构各一份。</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 xml:space="preserve">甲方：   （盖章）   </w:t>
      </w:r>
      <w:r>
        <w:rPr>
          <w:rFonts w:hint="eastAsia" w:ascii="宋体" w:hAnsi="Times New Roman" w:eastAsia="宋体"/>
          <w:b w:val="0"/>
          <w:color w:val="auto"/>
          <w:w w:val="100"/>
          <w:sz w:val="24"/>
          <w:highlight w:val="none"/>
          <w:lang w:eastAsia="zh-CN"/>
        </w:rPr>
        <w:tab/>
      </w:r>
      <w:r>
        <w:rPr>
          <w:rFonts w:hint="eastAsia" w:ascii="宋体" w:hAnsi="Times New Roman" w:eastAsia="宋体"/>
          <w:b w:val="0"/>
          <w:color w:val="auto"/>
          <w:w w:val="100"/>
          <w:sz w:val="24"/>
          <w:highlight w:val="none"/>
          <w:lang w:eastAsia="zh-CN"/>
        </w:rPr>
        <w:tab/>
      </w:r>
      <w:r>
        <w:rPr>
          <w:rFonts w:hint="eastAsia" w:ascii="宋体" w:hAnsi="Times New Roman" w:eastAsia="宋体"/>
          <w:b w:val="0"/>
          <w:color w:val="auto"/>
          <w:w w:val="100"/>
          <w:sz w:val="24"/>
          <w:highlight w:val="none"/>
          <w:lang w:eastAsia="zh-CN"/>
        </w:rPr>
        <w:tab/>
      </w:r>
      <w:r>
        <w:rPr>
          <w:rFonts w:hint="eastAsia" w:ascii="宋体" w:hAnsi="Times New Roman" w:eastAsia="宋体"/>
          <w:b w:val="0"/>
          <w:color w:val="auto"/>
          <w:w w:val="100"/>
          <w:sz w:val="24"/>
          <w:highlight w:val="none"/>
          <w:lang w:eastAsia="zh-CN"/>
        </w:rPr>
        <w:t xml:space="preserve">       乙方：   （盖章）</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法定代表人（授权代表）：            法定代表人（授权代表）：</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地    址：                         地    址：</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开户银行：                         开户银行：</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账号：                             账号：</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电    话：                         电    话：</w:t>
      </w:r>
    </w:p>
    <w:p>
      <w:pPr>
        <w:autoSpaceDE/>
        <w:autoSpaceDN/>
        <w:snapToGrid/>
        <w:spacing w:before="0" w:after="0" w:line="400" w:lineRule="exact"/>
        <w:ind w:left="0" w:firstLine="480"/>
        <w:jc w:val="both"/>
        <w:rPr>
          <w:rFonts w:hint="eastAsia" w:ascii="宋体" w:hAnsi="Times New Roman" w:eastAsia="宋体"/>
          <w:b w:val="0"/>
          <w:color w:val="auto"/>
          <w:w w:val="100"/>
          <w:sz w:val="24"/>
          <w:highlight w:val="none"/>
          <w:lang w:eastAsia="zh-CN"/>
        </w:rPr>
      </w:pPr>
      <w:r>
        <w:rPr>
          <w:rFonts w:hint="eastAsia" w:ascii="宋体" w:hAnsi="Times New Roman" w:eastAsia="宋体"/>
          <w:b w:val="0"/>
          <w:color w:val="auto"/>
          <w:w w:val="100"/>
          <w:sz w:val="24"/>
          <w:highlight w:val="none"/>
          <w:lang w:eastAsia="zh-CN"/>
        </w:rPr>
        <w:t>传    真：                         传    真：</w:t>
      </w:r>
    </w:p>
    <w:p>
      <w:pPr>
        <w:autoSpaceDE/>
        <w:autoSpaceDN/>
        <w:snapToGrid/>
        <w:spacing w:before="0" w:after="0" w:line="400" w:lineRule="exact"/>
        <w:ind w:left="0" w:firstLine="420"/>
        <w:jc w:val="both"/>
        <w:rPr>
          <w:rFonts w:hint="eastAsia" w:ascii="Times New Roman" w:hAnsi="Times New Roman" w:eastAsia="宋体"/>
          <w:b w:val="0"/>
          <w:color w:val="auto"/>
          <w:w w:val="100"/>
          <w:sz w:val="21"/>
          <w:highlight w:val="none"/>
          <w:lang w:eastAsia="zh-CN"/>
        </w:rPr>
      </w:pPr>
      <w:r>
        <w:rPr>
          <w:rFonts w:hint="eastAsia" w:ascii="Times New Roman" w:hAnsi="Times New Roman" w:eastAsia="宋体"/>
          <w:b w:val="0"/>
          <w:color w:val="auto"/>
          <w:w w:val="100"/>
          <w:sz w:val="21"/>
          <w:highlight w:val="none"/>
          <w:lang w:eastAsia="zh-CN"/>
        </w:rPr>
        <w:t xml:space="preserve">签约日期：XX年XX月XX日 </w:t>
      </w:r>
      <w:r>
        <w:rPr>
          <w:rFonts w:hint="eastAsia" w:ascii="Times New Roman" w:hAnsi="Times New Roman" w:eastAsia="宋体"/>
          <w:b w:val="0"/>
          <w:color w:val="auto"/>
          <w:w w:val="100"/>
          <w:sz w:val="21"/>
          <w:highlight w:val="none"/>
          <w:lang w:eastAsia="zh-CN"/>
        </w:rPr>
        <w:tab/>
      </w:r>
      <w:r>
        <w:rPr>
          <w:rFonts w:hint="eastAsia" w:ascii="Times New Roman" w:hAnsi="Times New Roman" w:eastAsia="宋体"/>
          <w:b w:val="0"/>
          <w:color w:val="auto"/>
          <w:w w:val="100"/>
          <w:sz w:val="21"/>
          <w:highlight w:val="none"/>
          <w:lang w:eastAsia="zh-CN"/>
        </w:rPr>
        <w:tab/>
      </w:r>
      <w:r>
        <w:rPr>
          <w:rFonts w:hint="eastAsia" w:ascii="Times New Roman" w:hAnsi="Times New Roman" w:eastAsia="宋体"/>
          <w:b w:val="0"/>
          <w:color w:val="auto"/>
          <w:w w:val="100"/>
          <w:sz w:val="21"/>
          <w:highlight w:val="none"/>
          <w:lang w:eastAsia="zh-CN"/>
        </w:rPr>
        <w:tab/>
      </w:r>
      <w:r>
        <w:rPr>
          <w:rFonts w:hint="eastAsia" w:ascii="Times New Roman" w:hAnsi="Times New Roman" w:eastAsia="宋体"/>
          <w:b w:val="0"/>
          <w:color w:val="auto"/>
          <w:w w:val="100"/>
          <w:sz w:val="21"/>
          <w:highlight w:val="none"/>
          <w:lang w:eastAsia="zh-CN"/>
        </w:rPr>
        <w:t>签约日期：XX年XX月XX日</w:t>
      </w:r>
    </w:p>
    <w:p>
      <w:pPr>
        <w:autoSpaceDE/>
        <w:autoSpaceDN/>
        <w:snapToGrid/>
        <w:spacing w:before="0" w:after="0" w:line="360" w:lineRule="auto"/>
        <w:jc w:val="both"/>
        <w:rPr>
          <w:rFonts w:hint="eastAsia" w:ascii="宋体" w:hAnsi="宋体" w:cs="宋体"/>
          <w:color w:val="auto"/>
          <w:sz w:val="28"/>
          <w:szCs w:val="28"/>
          <w:highlight w:val="none"/>
        </w:rPr>
      </w:pPr>
      <w:r>
        <w:rPr>
          <w:rFonts w:hint="eastAsia" w:ascii="黑体" w:hAnsi="宋体" w:eastAsia="黑体"/>
          <w:b/>
          <w:color w:val="auto"/>
          <w:w w:val="100"/>
          <w:sz w:val="24"/>
          <w:highlight w:val="none"/>
          <w:lang w:eastAsia="zh-CN"/>
        </w:rPr>
        <w:t>（注：此合同主要条款仅为样本，可供参考，具体合同签订条款由甲乙双方自行协商约定）</w:t>
      </w:r>
      <w:r>
        <w:rPr>
          <w:rFonts w:hint="eastAsia" w:ascii="宋体" w:hAnsi="宋体" w:cs="宋体"/>
          <w:color w:val="auto"/>
          <w:sz w:val="28"/>
          <w:szCs w:val="28"/>
          <w:highlight w:val="none"/>
        </w:rPr>
        <w:t xml:space="preserve">   </w:t>
      </w:r>
    </w:p>
    <w:p>
      <w:pPr>
        <w:pStyle w:val="2"/>
        <w:rPr>
          <w:rFonts w:hint="eastAsia"/>
          <w:b/>
          <w:bCs/>
          <w:color w:val="auto"/>
          <w:sz w:val="36"/>
          <w:szCs w:val="36"/>
          <w:highlight w:val="none"/>
        </w:rPr>
      </w:pPr>
      <w:r>
        <w:rPr>
          <w:rFonts w:hint="eastAsia"/>
          <w:b/>
          <w:bCs/>
          <w:color w:val="auto"/>
          <w:sz w:val="36"/>
          <w:szCs w:val="36"/>
          <w:highlight w:val="none"/>
        </w:rPr>
        <w:t>附件</w:t>
      </w:r>
    </w:p>
    <w:p>
      <w:pPr>
        <w:pStyle w:val="17"/>
        <w:rPr>
          <w:color w:val="auto"/>
          <w:highlight w:val="none"/>
        </w:rPr>
      </w:pPr>
      <w:r>
        <w:rPr>
          <w:color w:val="auto"/>
          <w:highlight w:val="none"/>
        </w:rPr>
        <w:drawing>
          <wp:inline distT="0" distB="0" distL="114300" distR="114300">
            <wp:extent cx="5273040" cy="7459980"/>
            <wp:effectExtent l="0" t="0" r="3810" b="7620"/>
            <wp:docPr id="12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18"/>
                    <pic:cNvPicPr>
                      <a:picLocks noChangeAspect="1"/>
                    </pic:cNvPicPr>
                  </pic:nvPicPr>
                  <pic:blipFill>
                    <a:blip r:embed="rId11"/>
                    <a:stretch>
                      <a:fillRect/>
                    </a:stretch>
                  </pic:blipFill>
                  <pic:spPr>
                    <a:xfrm>
                      <a:off x="0" y="0"/>
                      <a:ext cx="5273040" cy="7459980"/>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114300" distR="114300">
            <wp:extent cx="5273040" cy="7459980"/>
            <wp:effectExtent l="0" t="0" r="3810" b="7620"/>
            <wp:docPr id="127"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19"/>
                    <pic:cNvPicPr>
                      <a:picLocks noChangeAspect="1"/>
                    </pic:cNvPicPr>
                  </pic:nvPicPr>
                  <pic:blipFill>
                    <a:blip r:embed="rId12"/>
                    <a:stretch>
                      <a:fillRect/>
                    </a:stretch>
                  </pic:blipFill>
                  <pic:spPr>
                    <a:xfrm>
                      <a:off x="0" y="0"/>
                      <a:ext cx="5273040" cy="7459980"/>
                    </a:xfrm>
                    <a:prstGeom prst="rect">
                      <a:avLst/>
                    </a:prstGeom>
                    <a:noFill/>
                    <a:ln>
                      <a:noFill/>
                    </a:ln>
                  </pic:spPr>
                </pic:pic>
              </a:graphicData>
            </a:graphic>
          </wp:inline>
        </w:drawing>
      </w:r>
      <w:r>
        <w:rPr>
          <w:color w:val="auto"/>
          <w:highlight w:val="none"/>
        </w:rPr>
        <w:drawing>
          <wp:inline distT="0" distB="0" distL="114300" distR="114300">
            <wp:extent cx="5273040" cy="7444740"/>
            <wp:effectExtent l="0" t="0" r="3810" b="3810"/>
            <wp:docPr id="124"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0"/>
                    <pic:cNvPicPr>
                      <a:picLocks noChangeAspect="1"/>
                    </pic:cNvPicPr>
                  </pic:nvPicPr>
                  <pic:blipFill>
                    <a:blip r:embed="rId13"/>
                    <a:stretch>
                      <a:fillRect/>
                    </a:stretch>
                  </pic:blipFill>
                  <pic:spPr>
                    <a:xfrm>
                      <a:off x="0" y="0"/>
                      <a:ext cx="5273040" cy="7444740"/>
                    </a:xfrm>
                    <a:prstGeom prst="rect">
                      <a:avLst/>
                    </a:prstGeom>
                    <a:noFill/>
                    <a:ln>
                      <a:noFill/>
                    </a:ln>
                  </pic:spPr>
                </pic:pic>
              </a:graphicData>
            </a:graphic>
          </wp:inline>
        </w:drawing>
      </w:r>
      <w:r>
        <w:rPr>
          <w:color w:val="auto"/>
          <w:highlight w:val="none"/>
        </w:rPr>
        <w:drawing>
          <wp:inline distT="0" distB="0" distL="114300" distR="114300">
            <wp:extent cx="5273040" cy="7459980"/>
            <wp:effectExtent l="0" t="0" r="3810" b="7620"/>
            <wp:docPr id="125"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1"/>
                    <pic:cNvPicPr>
                      <a:picLocks noChangeAspect="1"/>
                    </pic:cNvPicPr>
                  </pic:nvPicPr>
                  <pic:blipFill>
                    <a:blip r:embed="rId14"/>
                    <a:stretch>
                      <a:fillRect/>
                    </a:stretch>
                  </pic:blipFill>
                  <pic:spPr>
                    <a:xfrm>
                      <a:off x="0" y="0"/>
                      <a:ext cx="5273040" cy="7459980"/>
                    </a:xfrm>
                    <a:prstGeom prst="rect">
                      <a:avLst/>
                    </a:prstGeom>
                    <a:noFill/>
                    <a:ln>
                      <a:noFill/>
                    </a:ln>
                  </pic:spPr>
                </pic:pic>
              </a:graphicData>
            </a:graphic>
          </wp:inline>
        </w:drawing>
      </w:r>
      <w:r>
        <w:rPr>
          <w:color w:val="auto"/>
          <w:highlight w:val="none"/>
        </w:rPr>
        <w:drawing>
          <wp:inline distT="0" distB="0" distL="114300" distR="114300">
            <wp:extent cx="5280660" cy="7459980"/>
            <wp:effectExtent l="0" t="0" r="15240" b="7620"/>
            <wp:docPr id="126"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2"/>
                    <pic:cNvPicPr>
                      <a:picLocks noChangeAspect="1"/>
                    </pic:cNvPicPr>
                  </pic:nvPicPr>
                  <pic:blipFill>
                    <a:blip r:embed="rId15"/>
                    <a:stretch>
                      <a:fillRect/>
                    </a:stretch>
                  </pic:blipFill>
                  <pic:spPr>
                    <a:xfrm>
                      <a:off x="0" y="0"/>
                      <a:ext cx="5280660" cy="7459980"/>
                    </a:xfrm>
                    <a:prstGeom prst="rect">
                      <a:avLst/>
                    </a:prstGeom>
                    <a:noFill/>
                    <a:ln>
                      <a:noFill/>
                    </a:ln>
                  </pic:spPr>
                </pic:pic>
              </a:graphicData>
            </a:graphic>
          </wp:inline>
        </w:drawing>
      </w:r>
      <w:r>
        <w:rPr>
          <w:color w:val="auto"/>
          <w:highlight w:val="none"/>
        </w:rPr>
        <w:drawing>
          <wp:inline distT="0" distB="0" distL="114300" distR="114300">
            <wp:extent cx="5273040" cy="7459980"/>
            <wp:effectExtent l="0" t="0" r="3810" b="762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16"/>
                    <a:stretch>
                      <a:fillRect/>
                    </a:stretch>
                  </pic:blipFill>
                  <pic:spPr>
                    <a:xfrm>
                      <a:off x="0" y="0"/>
                      <a:ext cx="5273040" cy="7459980"/>
                    </a:xfrm>
                    <a:prstGeom prst="rect">
                      <a:avLst/>
                    </a:prstGeom>
                    <a:noFill/>
                    <a:ln>
                      <a:noFill/>
                    </a:ln>
                  </pic:spPr>
                </pic:pic>
              </a:graphicData>
            </a:graphic>
          </wp:inline>
        </w:drawing>
      </w:r>
      <w:r>
        <w:rPr>
          <w:color w:val="auto"/>
          <w:highlight w:val="none"/>
        </w:rPr>
        <w:drawing>
          <wp:inline distT="0" distB="0" distL="114300" distR="114300">
            <wp:extent cx="5280660" cy="7459980"/>
            <wp:effectExtent l="0" t="0" r="15240" b="7620"/>
            <wp:docPr id="129"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4"/>
                    <pic:cNvPicPr>
                      <a:picLocks noChangeAspect="1"/>
                    </pic:cNvPicPr>
                  </pic:nvPicPr>
                  <pic:blipFill>
                    <a:blip r:embed="rId17"/>
                    <a:stretch>
                      <a:fillRect/>
                    </a:stretch>
                  </pic:blipFill>
                  <pic:spPr>
                    <a:xfrm>
                      <a:off x="0" y="0"/>
                      <a:ext cx="5280660" cy="7459980"/>
                    </a:xfrm>
                    <a:prstGeom prst="rect">
                      <a:avLst/>
                    </a:prstGeom>
                    <a:noFill/>
                    <a:ln>
                      <a:noFill/>
                    </a:ln>
                  </pic:spPr>
                </pic:pic>
              </a:graphicData>
            </a:graphic>
          </wp:inline>
        </w:drawing>
      </w:r>
      <w:r>
        <w:rPr>
          <w:color w:val="auto"/>
          <w:highlight w:val="none"/>
        </w:rPr>
        <w:drawing>
          <wp:inline distT="0" distB="0" distL="114300" distR="114300">
            <wp:extent cx="5280660" cy="7459980"/>
            <wp:effectExtent l="0" t="0" r="15240" b="7620"/>
            <wp:docPr id="121"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5"/>
                    <pic:cNvPicPr>
                      <a:picLocks noChangeAspect="1"/>
                    </pic:cNvPicPr>
                  </pic:nvPicPr>
                  <pic:blipFill>
                    <a:blip r:embed="rId18"/>
                    <a:stretch>
                      <a:fillRect/>
                    </a:stretch>
                  </pic:blipFill>
                  <pic:spPr>
                    <a:xfrm>
                      <a:off x="0" y="0"/>
                      <a:ext cx="5280660" cy="7459980"/>
                    </a:xfrm>
                    <a:prstGeom prst="rect">
                      <a:avLst/>
                    </a:prstGeom>
                    <a:noFill/>
                    <a:ln>
                      <a:noFill/>
                    </a:ln>
                  </pic:spPr>
                </pic:pic>
              </a:graphicData>
            </a:graphic>
          </wp:inline>
        </w:drawing>
      </w:r>
      <w:r>
        <w:rPr>
          <w:color w:val="auto"/>
          <w:highlight w:val="none"/>
        </w:rPr>
        <w:drawing>
          <wp:inline distT="0" distB="0" distL="114300" distR="114300">
            <wp:extent cx="5273040" cy="7459980"/>
            <wp:effectExtent l="0" t="0" r="3810" b="7620"/>
            <wp:docPr id="120"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6"/>
                    <pic:cNvPicPr>
                      <a:picLocks noChangeAspect="1"/>
                    </pic:cNvPicPr>
                  </pic:nvPicPr>
                  <pic:blipFill>
                    <a:blip r:embed="rId19"/>
                    <a:stretch>
                      <a:fillRect/>
                    </a:stretch>
                  </pic:blipFill>
                  <pic:spPr>
                    <a:xfrm>
                      <a:off x="0" y="0"/>
                      <a:ext cx="5273040" cy="7459980"/>
                    </a:xfrm>
                    <a:prstGeom prst="rect">
                      <a:avLst/>
                    </a:prstGeom>
                    <a:noFill/>
                    <a:ln>
                      <a:noFill/>
                    </a:ln>
                  </pic:spPr>
                </pic:pic>
              </a:graphicData>
            </a:graphic>
          </wp:inline>
        </w:drawing>
      </w:r>
      <w:r>
        <w:rPr>
          <w:color w:val="auto"/>
          <w:highlight w:val="none"/>
        </w:rPr>
        <w:drawing>
          <wp:inline distT="0" distB="0" distL="114300" distR="114300">
            <wp:extent cx="5273040" cy="7459980"/>
            <wp:effectExtent l="0" t="0" r="3810" b="7620"/>
            <wp:docPr id="122"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7"/>
                    <pic:cNvPicPr>
                      <a:picLocks noChangeAspect="1"/>
                    </pic:cNvPicPr>
                  </pic:nvPicPr>
                  <pic:blipFill>
                    <a:blip r:embed="rId20"/>
                    <a:stretch>
                      <a:fillRect/>
                    </a:stretch>
                  </pic:blipFill>
                  <pic:spPr>
                    <a:xfrm>
                      <a:off x="0" y="0"/>
                      <a:ext cx="5273040" cy="7459980"/>
                    </a:xfrm>
                    <a:prstGeom prst="rect">
                      <a:avLst/>
                    </a:prstGeom>
                    <a:noFill/>
                    <a:ln>
                      <a:noFill/>
                    </a:ln>
                  </pic:spPr>
                </pic:pic>
              </a:graphicData>
            </a:graphic>
          </wp:inline>
        </w:drawing>
      </w:r>
      <w:r>
        <w:rPr>
          <w:color w:val="auto"/>
          <w:highlight w:val="none"/>
        </w:rPr>
        <w:drawing>
          <wp:inline distT="0" distB="0" distL="114300" distR="114300">
            <wp:extent cx="5273040" cy="7459980"/>
            <wp:effectExtent l="0" t="0" r="3810" b="7620"/>
            <wp:docPr id="130"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28"/>
                    <pic:cNvPicPr>
                      <a:picLocks noChangeAspect="1"/>
                    </pic:cNvPicPr>
                  </pic:nvPicPr>
                  <pic:blipFill>
                    <a:blip r:embed="rId21"/>
                    <a:stretch>
                      <a:fillRect/>
                    </a:stretch>
                  </pic:blipFill>
                  <pic:spPr>
                    <a:xfrm>
                      <a:off x="0" y="0"/>
                      <a:ext cx="5273040" cy="7459980"/>
                    </a:xfrm>
                    <a:prstGeom prst="rect">
                      <a:avLst/>
                    </a:prstGeom>
                    <a:noFill/>
                    <a:ln>
                      <a:noFill/>
                    </a:ln>
                  </pic:spPr>
                </pic:pic>
              </a:graphicData>
            </a:graphic>
          </wp:inline>
        </w:drawing>
      </w:r>
      <w:r>
        <w:rPr>
          <w:color w:val="auto"/>
          <w:highlight w:val="none"/>
        </w:rPr>
        <w:drawing>
          <wp:inline distT="0" distB="0" distL="114300" distR="114300">
            <wp:extent cx="5280660" cy="7459980"/>
            <wp:effectExtent l="0" t="0" r="15240" b="7620"/>
            <wp:docPr id="131"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29"/>
                    <pic:cNvPicPr>
                      <a:picLocks noChangeAspect="1"/>
                    </pic:cNvPicPr>
                  </pic:nvPicPr>
                  <pic:blipFill>
                    <a:blip r:embed="rId22"/>
                    <a:stretch>
                      <a:fillRect/>
                    </a:stretch>
                  </pic:blipFill>
                  <pic:spPr>
                    <a:xfrm>
                      <a:off x="0" y="0"/>
                      <a:ext cx="5280660" cy="7459980"/>
                    </a:xfrm>
                    <a:prstGeom prst="rect">
                      <a:avLst/>
                    </a:prstGeom>
                    <a:noFill/>
                    <a:ln>
                      <a:noFill/>
                    </a:ln>
                  </pic:spPr>
                </pic:pic>
              </a:graphicData>
            </a:graphic>
          </wp:inline>
        </w:drawing>
      </w:r>
      <w:r>
        <w:rPr>
          <w:color w:val="auto"/>
          <w:highlight w:val="none"/>
        </w:rPr>
        <w:drawing>
          <wp:inline distT="0" distB="0" distL="114300" distR="114300">
            <wp:extent cx="5273040" cy="7459980"/>
            <wp:effectExtent l="0" t="0" r="3810" b="7620"/>
            <wp:docPr id="132"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0"/>
                    <pic:cNvPicPr>
                      <a:picLocks noChangeAspect="1"/>
                    </pic:cNvPicPr>
                  </pic:nvPicPr>
                  <pic:blipFill>
                    <a:blip r:embed="rId23"/>
                    <a:stretch>
                      <a:fillRect/>
                    </a:stretch>
                  </pic:blipFill>
                  <pic:spPr>
                    <a:xfrm>
                      <a:off x="0" y="0"/>
                      <a:ext cx="5273040" cy="7459980"/>
                    </a:xfrm>
                    <a:prstGeom prst="rect">
                      <a:avLst/>
                    </a:prstGeom>
                    <a:noFill/>
                    <a:ln>
                      <a:noFill/>
                    </a:ln>
                  </pic:spPr>
                </pic:pic>
              </a:graphicData>
            </a:graphic>
          </wp:inline>
        </w:drawing>
      </w:r>
      <w:r>
        <w:rPr>
          <w:color w:val="auto"/>
          <w:highlight w:val="none"/>
        </w:rPr>
        <w:drawing>
          <wp:inline distT="0" distB="0" distL="114300" distR="114300">
            <wp:extent cx="5273040" cy="7459980"/>
            <wp:effectExtent l="0" t="0" r="3810" b="7620"/>
            <wp:docPr id="133"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1"/>
                    <pic:cNvPicPr>
                      <a:picLocks noChangeAspect="1"/>
                    </pic:cNvPicPr>
                  </pic:nvPicPr>
                  <pic:blipFill>
                    <a:blip r:embed="rId24"/>
                    <a:stretch>
                      <a:fillRect/>
                    </a:stretch>
                  </pic:blipFill>
                  <pic:spPr>
                    <a:xfrm>
                      <a:off x="0" y="0"/>
                      <a:ext cx="5273040" cy="7459980"/>
                    </a:xfrm>
                    <a:prstGeom prst="rect">
                      <a:avLst/>
                    </a:prstGeom>
                    <a:noFill/>
                    <a:ln>
                      <a:noFill/>
                    </a:ln>
                  </pic:spPr>
                </pic:pic>
              </a:graphicData>
            </a:graphic>
          </wp:inline>
        </w:drawing>
      </w:r>
      <w:r>
        <w:rPr>
          <w:color w:val="auto"/>
          <w:highlight w:val="none"/>
        </w:rPr>
        <w:drawing>
          <wp:inline distT="0" distB="0" distL="114300" distR="114300">
            <wp:extent cx="5273040" cy="7459980"/>
            <wp:effectExtent l="0" t="0" r="3810" b="7620"/>
            <wp:docPr id="134"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2"/>
                    <pic:cNvPicPr>
                      <a:picLocks noChangeAspect="1"/>
                    </pic:cNvPicPr>
                  </pic:nvPicPr>
                  <pic:blipFill>
                    <a:blip r:embed="rId25"/>
                    <a:stretch>
                      <a:fillRect/>
                    </a:stretch>
                  </pic:blipFill>
                  <pic:spPr>
                    <a:xfrm>
                      <a:off x="0" y="0"/>
                      <a:ext cx="5273040" cy="7459980"/>
                    </a:xfrm>
                    <a:prstGeom prst="rect">
                      <a:avLst/>
                    </a:prstGeom>
                    <a:noFill/>
                    <a:ln>
                      <a:noFill/>
                    </a:ln>
                  </pic:spPr>
                </pic:pic>
              </a:graphicData>
            </a:graphic>
          </wp:inline>
        </w:drawing>
      </w:r>
      <w:r>
        <w:rPr>
          <w:color w:val="auto"/>
          <w:highlight w:val="none"/>
        </w:rPr>
        <w:drawing>
          <wp:inline distT="0" distB="0" distL="114300" distR="114300">
            <wp:extent cx="5459095" cy="8438515"/>
            <wp:effectExtent l="0" t="0" r="8255" b="635"/>
            <wp:docPr id="135" name="图片 133" descr="说明: 说明: 说明: 说明: 说明: 说明: 说明: 说明: C:\Users\yzr\Desktop\QQ截图2020042417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3" descr="说明: 说明: 说明: 说明: 说明: 说明: 说明: 说明: C:\Users\yzr\Desktop\QQ截图20200424174415.png"/>
                    <pic:cNvPicPr>
                      <a:picLocks noChangeAspect="1"/>
                    </pic:cNvPicPr>
                  </pic:nvPicPr>
                  <pic:blipFill>
                    <a:blip r:embed="rId26"/>
                    <a:stretch>
                      <a:fillRect/>
                    </a:stretch>
                  </pic:blipFill>
                  <pic:spPr>
                    <a:xfrm>
                      <a:off x="0" y="0"/>
                      <a:ext cx="5459095" cy="8438515"/>
                    </a:xfrm>
                    <a:prstGeom prst="rect">
                      <a:avLst/>
                    </a:prstGeom>
                    <a:noFill/>
                    <a:ln>
                      <a:noFill/>
                    </a:ln>
                  </pic:spPr>
                </pic:pic>
              </a:graphicData>
            </a:graphic>
          </wp:inline>
        </w:drawing>
      </w:r>
      <w:r>
        <w:rPr>
          <w:color w:val="auto"/>
          <w:highlight w:val="none"/>
        </w:rPr>
        <w:drawing>
          <wp:inline distT="0" distB="0" distL="114300" distR="114300">
            <wp:extent cx="5409565" cy="8415020"/>
            <wp:effectExtent l="0" t="0" r="635" b="5080"/>
            <wp:docPr id="136" name="图片 134" descr="说明: 说明: 说明: 说明: 说明: 说明: 说明: 说明: C:\Users\yzr\Desktop\QQ截图2020042417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4" descr="说明: 说明: 说明: 说明: 说明: 说明: 说明: 说明: C:\Users\yzr\Desktop\QQ截图20200424174424.png"/>
                    <pic:cNvPicPr>
                      <a:picLocks noChangeAspect="1"/>
                    </pic:cNvPicPr>
                  </pic:nvPicPr>
                  <pic:blipFill>
                    <a:blip r:embed="rId27"/>
                    <a:stretch>
                      <a:fillRect/>
                    </a:stretch>
                  </pic:blipFill>
                  <pic:spPr>
                    <a:xfrm>
                      <a:off x="0" y="0"/>
                      <a:ext cx="5409565" cy="8415020"/>
                    </a:xfrm>
                    <a:prstGeom prst="rect">
                      <a:avLst/>
                    </a:prstGeom>
                    <a:noFill/>
                    <a:ln>
                      <a:noFill/>
                    </a:ln>
                  </pic:spPr>
                </pic:pic>
              </a:graphicData>
            </a:graphic>
          </wp:inline>
        </w:drawing>
      </w:r>
      <w:r>
        <w:rPr>
          <w:color w:val="auto"/>
          <w:highlight w:val="none"/>
        </w:rPr>
        <w:drawing>
          <wp:inline distT="0" distB="0" distL="114300" distR="114300">
            <wp:extent cx="5393055" cy="8199120"/>
            <wp:effectExtent l="0" t="0" r="17145" b="11430"/>
            <wp:docPr id="137" name="图片 135" descr="说明: 说明: 说明: 说明: 说明: 说明: 说明: 说明: C:\Users\yzr\Desktop\QQ截图2020042417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5" descr="说明: 说明: 说明: 说明: 说明: 说明: 说明: 说明: C:\Users\yzr\Desktop\QQ截图20200424174431.png"/>
                    <pic:cNvPicPr>
                      <a:picLocks noChangeAspect="1"/>
                    </pic:cNvPicPr>
                  </pic:nvPicPr>
                  <pic:blipFill>
                    <a:blip r:embed="rId28"/>
                    <a:stretch>
                      <a:fillRect/>
                    </a:stretch>
                  </pic:blipFill>
                  <pic:spPr>
                    <a:xfrm>
                      <a:off x="0" y="0"/>
                      <a:ext cx="5393055" cy="8199120"/>
                    </a:xfrm>
                    <a:prstGeom prst="rect">
                      <a:avLst/>
                    </a:prstGeom>
                    <a:noFill/>
                    <a:ln>
                      <a:noFill/>
                    </a:ln>
                  </pic:spPr>
                </pic:pic>
              </a:graphicData>
            </a:graphic>
          </wp:inline>
        </w:drawing>
      </w:r>
      <w:r>
        <w:rPr>
          <w:color w:val="auto"/>
          <w:highlight w:val="none"/>
        </w:rPr>
        <w:drawing>
          <wp:inline distT="0" distB="0" distL="114300" distR="114300">
            <wp:extent cx="5488305" cy="8221345"/>
            <wp:effectExtent l="0" t="0" r="17145" b="8255"/>
            <wp:docPr id="138" name="图片 136" descr="说明: 说明: 说明: 说明: 说明: 说明: 说明: 说明: C:\Users\yzr\Desktop\QQ截图2020042417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6" descr="说明: 说明: 说明: 说明: 说明: 说明: 说明: 说明: C:\Users\yzr\Desktop\QQ截图20200424174438.png"/>
                    <pic:cNvPicPr>
                      <a:picLocks noChangeAspect="1"/>
                    </pic:cNvPicPr>
                  </pic:nvPicPr>
                  <pic:blipFill>
                    <a:blip r:embed="rId29"/>
                    <a:stretch>
                      <a:fillRect/>
                    </a:stretch>
                  </pic:blipFill>
                  <pic:spPr>
                    <a:xfrm>
                      <a:off x="0" y="0"/>
                      <a:ext cx="5488305" cy="8221345"/>
                    </a:xfrm>
                    <a:prstGeom prst="rect">
                      <a:avLst/>
                    </a:prstGeom>
                    <a:noFill/>
                    <a:ln>
                      <a:noFill/>
                    </a:ln>
                  </pic:spPr>
                </pic:pic>
              </a:graphicData>
            </a:graphic>
          </wp:inline>
        </w:drawing>
      </w:r>
    </w:p>
    <w:sectPr>
      <w:footerReference r:id="rId8" w:type="default"/>
      <w:pgSz w:w="11906" w:h="16838"/>
      <w:pgMar w:top="1440" w:right="1803" w:bottom="1440" w:left="1803" w:header="851" w:footer="992" w:gutter="0"/>
      <w:pgNumType w:fmt="decimal"/>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3"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0000000000000000000"/>
    <w:charset w:val="86"/>
    <w:family w:val="auto"/>
    <w:pitch w:val="default"/>
    <w:sig w:usb0="00000000" w:usb1="00000000" w:usb2="00000016" w:usb3="00000000" w:csb0="0004000F" w:csb1="00000000"/>
  </w:font>
  <w:font w:name="Eʩ">
    <w:altName w:val="宋体"/>
    <w:panose1 w:val="00000000000000000000"/>
    <w:charset w:val="00"/>
    <w:family w:val="auto"/>
    <w:pitch w:val="default"/>
    <w:sig w:usb0="00000000" w:usb1="00000000" w:usb2="00000000" w:usb3="00000000" w:csb0="00040001"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MS Mincho">
    <w:panose1 w:val="02020609040205080304"/>
    <w:charset w:val="80"/>
    <w:family w:val="modern"/>
    <w:pitch w:val="default"/>
    <w:sig w:usb0="E00002FF" w:usb1="6AC7FDFB" w:usb2="00000012" w:usb3="00000000" w:csb0="4002009F" w:csb1="DFD70000"/>
  </w:font>
  <w:font w:name="华文宋体">
    <w:altName w:val="宋体"/>
    <w:panose1 w:val="02010600040101010101"/>
    <w:charset w:val="86"/>
    <w:family w:val="auto"/>
    <w:pitch w:val="default"/>
    <w:sig w:usb0="00000000" w:usb1="00000000" w:usb2="00000000" w:usb3="00000000" w:csb0="0004009F" w:csb1="DFD7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double" w:color="auto" w:sz="4" w:space="1"/>
        <w:left w:val="none" w:color="auto" w:sz="0" w:space="4"/>
        <w:bottom w:val="none" w:color="auto" w:sz="0" w:space="1"/>
        <w:right w:val="none" w:color="auto" w:sz="0" w:space="4"/>
      </w:pBdr>
      <w:tabs>
        <w:tab w:val="center" w:pos="4479"/>
        <w:tab w:val="clear" w:pos="4153"/>
      </w:tabs>
      <w:adjustRightInd w:val="0"/>
      <w:rPr>
        <w:rFonts w:hint="eastAsia" w:eastAsia="楷体"/>
        <w:szCs w:val="18"/>
        <w:lang w:eastAsia="zh-CN"/>
      </w:rPr>
    </w:pPr>
    <w:r>
      <w:rPr>
        <w:rFonts w:hint="eastAsia" w:ascii="楷体" w:hAnsi="楷体" w:eastAsia="楷体" w:cs="楷体"/>
        <w:b/>
        <w:bCs/>
        <w:szCs w:val="18"/>
      </w:rPr>
      <w:t>专业采购、用心服务！</w:t>
    </w:r>
    <w:r>
      <w:rPr>
        <w:rFonts w:hint="eastAsia" w:ascii="楷体" w:hAnsi="楷体" w:eastAsia="楷体" w:cs="楷体"/>
        <w:b/>
        <w:bCs/>
        <w:szCs w:val="18"/>
        <w:lang w:eastAsia="zh-CN"/>
      </w:rPr>
      <w:tab/>
    </w: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double" w:color="auto" w:sz="4" w:space="1"/>
        <w:left w:val="none" w:color="auto" w:sz="0" w:space="4"/>
        <w:bottom w:val="none" w:color="auto" w:sz="0" w:space="1"/>
        <w:right w:val="none" w:color="auto" w:sz="0" w:space="4"/>
      </w:pBdr>
      <w:tabs>
        <w:tab w:val="center" w:pos="4479"/>
        <w:tab w:val="clear" w:pos="4153"/>
      </w:tabs>
      <w:adjustRightInd w:val="0"/>
      <w:rPr>
        <w:rFonts w:hint="eastAsia" w:eastAsia="楷体"/>
        <w:szCs w:val="18"/>
        <w:lang w:eastAsia="zh-CN"/>
      </w:rPr>
    </w:pPr>
    <w:r>
      <w:rPr>
        <w:sz w:val="18"/>
      </w:rPr>
      <w:pict>
        <v:shape id="_x0000_s4101" o:spid="_x0000_s4101"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w:r>
    <w:r>
      <w:rPr>
        <w:rFonts w:hint="eastAsia" w:ascii="楷体" w:hAnsi="楷体" w:eastAsia="楷体" w:cs="楷体"/>
        <w:b/>
        <w:bCs/>
        <w:szCs w:val="18"/>
      </w:rPr>
      <w:t>专业采购、用心服务！</w:t>
    </w:r>
    <w:r>
      <w:rPr>
        <w:rFonts w:hint="eastAsia" w:ascii="楷体" w:hAnsi="楷体" w:eastAsia="楷体" w:cs="楷体"/>
        <w:b/>
        <w:bCs/>
        <w:szCs w:val="18"/>
        <w:lang w:eastAsia="zh-CN"/>
      </w:rPr>
      <w:tab/>
    </w:r>
  </w:p>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double" w:color="auto" w:sz="4" w:space="1"/>
        <w:left w:val="none" w:color="auto" w:sz="0" w:space="4"/>
        <w:bottom w:val="none" w:color="auto" w:sz="0" w:space="1"/>
        <w:right w:val="none" w:color="auto" w:sz="0" w:space="4"/>
      </w:pBdr>
      <w:tabs>
        <w:tab w:val="center" w:pos="4153"/>
        <w:tab w:val="right" w:pos="8306"/>
      </w:tabs>
      <w:adjustRightInd w:val="0"/>
      <w:snapToGrid w:val="0"/>
      <w:spacing w:line="240" w:lineRule="auto"/>
      <w:ind w:firstLine="0" w:firstLineChars="0"/>
      <w:jc w:val="left"/>
      <w:rPr>
        <w:rFonts w:ascii="Times New Roman" w:hAnsi="Times New Roman" w:eastAsia="宋体" w:cs="Times New Roman"/>
        <w:b w:val="0"/>
        <w:color w:val="auto"/>
        <w:kern w:val="2"/>
        <w:sz w:val="18"/>
        <w:szCs w:val="18"/>
        <w:lang w:val="zh-CN" w:eastAsia="zh-CN" w:bidi="ar-SA"/>
      </w:rPr>
    </w:pPr>
    <w:r>
      <w:rPr>
        <w:rFonts w:hint="eastAsia" w:ascii="楷体" w:hAnsi="楷体" w:eastAsia="楷体" w:cs="楷体"/>
        <w:b/>
        <w:bCs/>
        <w:color w:val="auto"/>
        <w:kern w:val="2"/>
        <w:sz w:val="18"/>
        <w:szCs w:val="18"/>
        <w:lang w:val="en-US" w:eastAsia="zh-CN" w:bidi="ar-SA"/>
      </w:rPr>
      <w:t>专业采购、用心服务！</w:t>
    </w:r>
  </w:p>
  <w:p>
    <w:pPr>
      <w:pStyle w:val="15"/>
    </w:pPr>
    <w:r>
      <w:pict>
        <v:shape id="文本框 1" o:spid="_x0000_s4098"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31</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文本框 2" o:spid="_x0000_s4097"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45</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double" w:color="auto" w:sz="4" w:space="1"/>
        <w:left w:val="none" w:color="auto" w:sz="0" w:space="4"/>
        <w:bottom w:val="none" w:color="auto" w:sz="0" w:space="1"/>
        <w:right w:val="none" w:color="auto" w:sz="0" w:space="4"/>
      </w:pBdr>
      <w:adjustRightInd w:val="0"/>
      <w:rPr>
        <w:szCs w:val="18"/>
      </w:rPr>
    </w:pPr>
    <w:r>
      <w:rPr>
        <w:rFonts w:hint="eastAsia" w:ascii="楷体" w:hAnsi="楷体" w:eastAsia="楷体" w:cs="楷体"/>
        <w:b/>
        <w:bCs/>
        <w:szCs w:val="18"/>
      </w:rPr>
      <w:t>专业采购、用心服务！</w:t>
    </w:r>
  </w:p>
  <w:p>
    <w:pPr>
      <w:pStyle w:val="15"/>
      <w:jc w:val="center"/>
      <w:rPr>
        <w:b/>
        <w:sz w:val="24"/>
        <w:szCs w:val="24"/>
      </w:rPr>
    </w:pPr>
    <w:r>
      <w:rPr>
        <w:sz w:val="24"/>
      </w:rPr>
      <w:pict>
        <v:shape id="_x0000_s4100" o:spid="_x0000_s4100"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15"/>
                  <w:jc w:val="center"/>
                </w:pPr>
                <w:r>
                  <w:rPr>
                    <w:b/>
                    <w:sz w:val="24"/>
                    <w:szCs w:val="24"/>
                  </w:rPr>
                  <w:fldChar w:fldCharType="begin"/>
                </w:r>
                <w:r>
                  <w:rPr>
                    <w:b/>
                    <w:sz w:val="24"/>
                    <w:szCs w:val="24"/>
                  </w:rPr>
                  <w:instrText xml:space="preserve">PAGE   \* MERGEFORMAT</w:instrText>
                </w:r>
                <w:r>
                  <w:rPr>
                    <w:b/>
                    <w:sz w:val="24"/>
                    <w:szCs w:val="24"/>
                  </w:rPr>
                  <w:fldChar w:fldCharType="separate"/>
                </w:r>
                <w:r>
                  <w:rPr>
                    <w:b/>
                    <w:sz w:val="24"/>
                    <w:szCs w:val="24"/>
                    <w:lang w:val="zh-CN"/>
                  </w:rPr>
                  <w:t>54</w:t>
                </w:r>
                <w:r>
                  <w:rPr>
                    <w:b/>
                    <w:sz w:val="24"/>
                    <w:szCs w:val="24"/>
                  </w:rPr>
                  <w:fldChar w:fldCharType="end"/>
                </w:r>
              </w:p>
            </w:txbxContent>
          </v:textbox>
        </v:shape>
      </w:pict>
    </w:r>
  </w:p>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thinThickSmallGap" w:color="auto" w:sz="12" w:space="1"/>
      </w:pBdr>
      <w:ind w:firstLine="241" w:firstLineChars="100"/>
      <w:jc w:val="left"/>
      <w:rPr>
        <w:rFonts w:ascii="宋体" w:hAnsi="宋体"/>
      </w:rPr>
    </w:pPr>
    <w:r>
      <w:rPr>
        <w:rFonts w:hint="eastAsia" w:ascii="仿宋" w:hAnsi="仿宋" w:eastAsia="仿宋" w:cs="仿宋"/>
        <w:b/>
        <w:bCs/>
        <w:sz w:val="24"/>
        <w:szCs w:val="24"/>
      </w:rPr>
      <w:t xml:space="preserve">    </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 xml:space="preserve">  </w:t>
    </w:r>
    <w:r>
      <w:rPr>
        <w:rFonts w:hint="eastAsia"/>
      </w:rPr>
      <w:drawing>
        <wp:inline distT="0" distB="0" distL="114300" distR="114300">
          <wp:extent cx="2893695" cy="278130"/>
          <wp:effectExtent l="0" t="0" r="1905" b="7620"/>
          <wp:docPr id="4" name="图片 3" descr="f36a2c0915bc48dd184c4c632a78d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f36a2c0915bc48dd184c4c632a78d48"/>
                  <pic:cNvPicPr>
                    <a:picLocks noChangeAspect="1"/>
                  </pic:cNvPicPr>
                </pic:nvPicPr>
                <pic:blipFill>
                  <a:blip r:embed="rId1"/>
                  <a:stretch>
                    <a:fillRect/>
                  </a:stretch>
                </pic:blipFill>
                <pic:spPr>
                  <a:xfrm>
                    <a:off x="0" y="0"/>
                    <a:ext cx="2893695" cy="27813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269C52"/>
    <w:multiLevelType w:val="singleLevel"/>
    <w:tmpl w:val="82269C52"/>
    <w:lvl w:ilvl="0" w:tentative="0">
      <w:start w:val="2"/>
      <w:numFmt w:val="chineseCounting"/>
      <w:suff w:val="nothing"/>
      <w:lvlText w:val="（%1）"/>
      <w:lvlJc w:val="left"/>
      <w:rPr>
        <w:rFonts w:hint="eastAsia"/>
      </w:rPr>
    </w:lvl>
  </w:abstractNum>
  <w:abstractNum w:abstractNumId="1">
    <w:nsid w:val="8B58E071"/>
    <w:multiLevelType w:val="singleLevel"/>
    <w:tmpl w:val="8B58E071"/>
    <w:lvl w:ilvl="0" w:tentative="0">
      <w:start w:val="1"/>
      <w:numFmt w:val="chineseCounting"/>
      <w:suff w:val="nothing"/>
      <w:lvlText w:val="%1、"/>
      <w:lvlJc w:val="left"/>
      <w:rPr>
        <w:rFonts w:hint="eastAsia"/>
      </w:rPr>
    </w:lvl>
  </w:abstractNum>
  <w:abstractNum w:abstractNumId="2">
    <w:nsid w:val="AADC96DD"/>
    <w:multiLevelType w:val="singleLevel"/>
    <w:tmpl w:val="AADC96DD"/>
    <w:lvl w:ilvl="0" w:tentative="0">
      <w:start w:val="6"/>
      <w:numFmt w:val="chineseCounting"/>
      <w:suff w:val="space"/>
      <w:lvlText w:val="第%1章"/>
      <w:lvlJc w:val="left"/>
      <w:rPr>
        <w:rFonts w:hint="eastAsia"/>
      </w:rPr>
    </w:lvl>
  </w:abstractNum>
  <w:abstractNum w:abstractNumId="3">
    <w:nsid w:val="C4E37FEA"/>
    <w:multiLevelType w:val="singleLevel"/>
    <w:tmpl w:val="C4E37FEA"/>
    <w:lvl w:ilvl="0" w:tentative="0">
      <w:start w:val="1"/>
      <w:numFmt w:val="decimal"/>
      <w:suff w:val="nothing"/>
      <w:lvlText w:val="%1、"/>
      <w:lvlJc w:val="left"/>
    </w:lvl>
  </w:abstractNum>
  <w:abstractNum w:abstractNumId="4">
    <w:nsid w:val="CC7DD2FD"/>
    <w:multiLevelType w:val="singleLevel"/>
    <w:tmpl w:val="CC7DD2FD"/>
    <w:lvl w:ilvl="0" w:tentative="0">
      <w:start w:val="4"/>
      <w:numFmt w:val="decimal"/>
      <w:suff w:val="nothing"/>
      <w:lvlText w:val="%1、"/>
      <w:lvlJc w:val="left"/>
    </w:lvl>
  </w:abstractNum>
  <w:abstractNum w:abstractNumId="5">
    <w:nsid w:val="EF7245CD"/>
    <w:multiLevelType w:val="singleLevel"/>
    <w:tmpl w:val="EF7245CD"/>
    <w:lvl w:ilvl="0" w:tentative="0">
      <w:start w:val="9"/>
      <w:numFmt w:val="decimal"/>
      <w:lvlText w:val="%1."/>
      <w:lvlJc w:val="left"/>
      <w:pPr>
        <w:tabs>
          <w:tab w:val="left" w:pos="312"/>
        </w:tabs>
      </w:pPr>
    </w:lvl>
  </w:abstractNum>
  <w:abstractNum w:abstractNumId="6">
    <w:nsid w:val="242593C1"/>
    <w:multiLevelType w:val="singleLevel"/>
    <w:tmpl w:val="242593C1"/>
    <w:lvl w:ilvl="0" w:tentative="0">
      <w:start w:val="8"/>
      <w:numFmt w:val="decimal"/>
      <w:lvlText w:val="%1."/>
      <w:lvlJc w:val="left"/>
      <w:pPr>
        <w:tabs>
          <w:tab w:val="left" w:pos="312"/>
        </w:tabs>
      </w:pPr>
    </w:lvl>
  </w:abstractNum>
  <w:abstractNum w:abstractNumId="7">
    <w:nsid w:val="587D89C6"/>
    <w:multiLevelType w:val="singleLevel"/>
    <w:tmpl w:val="587D89C6"/>
    <w:lvl w:ilvl="0" w:tentative="0">
      <w:start w:val="1"/>
      <w:numFmt w:val="decimal"/>
      <w:suff w:val="nothing"/>
      <w:lvlText w:val="%1、"/>
      <w:lvlJc w:val="left"/>
    </w:lvl>
  </w:abstractNum>
  <w:abstractNum w:abstractNumId="8">
    <w:nsid w:val="59C07086"/>
    <w:multiLevelType w:val="singleLevel"/>
    <w:tmpl w:val="59C07086"/>
    <w:lvl w:ilvl="0" w:tentative="0">
      <w:start w:val="1"/>
      <w:numFmt w:val="decimal"/>
      <w:suff w:val="nothing"/>
      <w:lvlText w:val="%1、"/>
      <w:lvlJc w:val="left"/>
    </w:lvl>
  </w:abstractNum>
  <w:abstractNum w:abstractNumId="9">
    <w:nsid w:val="7935F49C"/>
    <w:multiLevelType w:val="singleLevel"/>
    <w:tmpl w:val="7935F49C"/>
    <w:lvl w:ilvl="0" w:tentative="0">
      <w:start w:val="1"/>
      <w:numFmt w:val="decimal"/>
      <w:suff w:val="nothing"/>
      <w:lvlText w:val="%1、"/>
      <w:lvlJc w:val="left"/>
    </w:lvl>
  </w:abstractNum>
  <w:num w:numId="1">
    <w:abstractNumId w:val="6"/>
  </w:num>
  <w:num w:numId="2">
    <w:abstractNumId w:val="7"/>
  </w:num>
  <w:num w:numId="3">
    <w:abstractNumId w:val="8"/>
  </w:num>
  <w:num w:numId="4">
    <w:abstractNumId w:val="9"/>
  </w:num>
  <w:num w:numId="5">
    <w:abstractNumId w:val="5"/>
  </w:num>
  <w:num w:numId="6">
    <w:abstractNumId w:val="2"/>
  </w:num>
  <w:num w:numId="7">
    <w:abstractNumId w:val="1"/>
  </w:num>
  <w:num w:numId="8">
    <w:abstractNumId w:val="4"/>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319"/>
  <w:displayHorizontalDrawingGridEvery w:val="1"/>
  <w:displayVerticalDrawingGridEvery w:val="1"/>
  <w:noPunctuationKerning w:val="1"/>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A683D"/>
    <w:rsid w:val="000000F2"/>
    <w:rsid w:val="00006730"/>
    <w:rsid w:val="00021683"/>
    <w:rsid w:val="00022E65"/>
    <w:rsid w:val="0002424A"/>
    <w:rsid w:val="00032018"/>
    <w:rsid w:val="00033F13"/>
    <w:rsid w:val="00036EEF"/>
    <w:rsid w:val="000469DE"/>
    <w:rsid w:val="00052F1F"/>
    <w:rsid w:val="00072184"/>
    <w:rsid w:val="000764BE"/>
    <w:rsid w:val="00085894"/>
    <w:rsid w:val="0009110A"/>
    <w:rsid w:val="00097766"/>
    <w:rsid w:val="000A246A"/>
    <w:rsid w:val="000A70F2"/>
    <w:rsid w:val="000B37D8"/>
    <w:rsid w:val="000B3C3E"/>
    <w:rsid w:val="000C297C"/>
    <w:rsid w:val="000C6FE5"/>
    <w:rsid w:val="000D22E0"/>
    <w:rsid w:val="000D5FED"/>
    <w:rsid w:val="000D717B"/>
    <w:rsid w:val="000E0B21"/>
    <w:rsid w:val="000E5075"/>
    <w:rsid w:val="00105B78"/>
    <w:rsid w:val="001068FD"/>
    <w:rsid w:val="00112A3E"/>
    <w:rsid w:val="00113435"/>
    <w:rsid w:val="00113878"/>
    <w:rsid w:val="00114138"/>
    <w:rsid w:val="00120792"/>
    <w:rsid w:val="00123ED3"/>
    <w:rsid w:val="001300AD"/>
    <w:rsid w:val="001324D0"/>
    <w:rsid w:val="00132579"/>
    <w:rsid w:val="00135BAE"/>
    <w:rsid w:val="0014655E"/>
    <w:rsid w:val="00182699"/>
    <w:rsid w:val="001902ED"/>
    <w:rsid w:val="001A32BE"/>
    <w:rsid w:val="001A34F3"/>
    <w:rsid w:val="001A6131"/>
    <w:rsid w:val="001A6B7F"/>
    <w:rsid w:val="001A6D98"/>
    <w:rsid w:val="001B0990"/>
    <w:rsid w:val="001B1735"/>
    <w:rsid w:val="001B1892"/>
    <w:rsid w:val="001B302B"/>
    <w:rsid w:val="001C03A0"/>
    <w:rsid w:val="001C3C50"/>
    <w:rsid w:val="001C6ECA"/>
    <w:rsid w:val="001E723A"/>
    <w:rsid w:val="001E7DDD"/>
    <w:rsid w:val="001F0733"/>
    <w:rsid w:val="001F12BB"/>
    <w:rsid w:val="001F68E3"/>
    <w:rsid w:val="00200661"/>
    <w:rsid w:val="0020535A"/>
    <w:rsid w:val="002120E1"/>
    <w:rsid w:val="002129B6"/>
    <w:rsid w:val="00244C50"/>
    <w:rsid w:val="002514D3"/>
    <w:rsid w:val="00257989"/>
    <w:rsid w:val="002636ED"/>
    <w:rsid w:val="002703ED"/>
    <w:rsid w:val="002718CE"/>
    <w:rsid w:val="00271EB0"/>
    <w:rsid w:val="00273C89"/>
    <w:rsid w:val="00275F06"/>
    <w:rsid w:val="00286FBA"/>
    <w:rsid w:val="00290C5C"/>
    <w:rsid w:val="002B2690"/>
    <w:rsid w:val="002B2897"/>
    <w:rsid w:val="002B3F90"/>
    <w:rsid w:val="002B734E"/>
    <w:rsid w:val="002C1547"/>
    <w:rsid w:val="002D2BF7"/>
    <w:rsid w:val="002D4A54"/>
    <w:rsid w:val="002D64FB"/>
    <w:rsid w:val="0030533A"/>
    <w:rsid w:val="00307920"/>
    <w:rsid w:val="00312FF9"/>
    <w:rsid w:val="00314A71"/>
    <w:rsid w:val="003232BA"/>
    <w:rsid w:val="003259BD"/>
    <w:rsid w:val="003305F8"/>
    <w:rsid w:val="0034181E"/>
    <w:rsid w:val="00344992"/>
    <w:rsid w:val="0035004E"/>
    <w:rsid w:val="0035022B"/>
    <w:rsid w:val="00363398"/>
    <w:rsid w:val="003651A1"/>
    <w:rsid w:val="00371389"/>
    <w:rsid w:val="003738E0"/>
    <w:rsid w:val="003820C8"/>
    <w:rsid w:val="003852C3"/>
    <w:rsid w:val="003922E7"/>
    <w:rsid w:val="003947D1"/>
    <w:rsid w:val="003B01C1"/>
    <w:rsid w:val="003B0DCF"/>
    <w:rsid w:val="003C6641"/>
    <w:rsid w:val="003C6D0D"/>
    <w:rsid w:val="003D0BF9"/>
    <w:rsid w:val="003D2AE1"/>
    <w:rsid w:val="003D7055"/>
    <w:rsid w:val="003E1ABC"/>
    <w:rsid w:val="003E2292"/>
    <w:rsid w:val="003E3FC9"/>
    <w:rsid w:val="003F023B"/>
    <w:rsid w:val="004071DA"/>
    <w:rsid w:val="00411E8A"/>
    <w:rsid w:val="0042393E"/>
    <w:rsid w:val="00423CDA"/>
    <w:rsid w:val="0043432B"/>
    <w:rsid w:val="00445E84"/>
    <w:rsid w:val="00447957"/>
    <w:rsid w:val="00450D9C"/>
    <w:rsid w:val="00460537"/>
    <w:rsid w:val="00473902"/>
    <w:rsid w:val="00483071"/>
    <w:rsid w:val="0048619E"/>
    <w:rsid w:val="00486E43"/>
    <w:rsid w:val="004928E8"/>
    <w:rsid w:val="00495A6E"/>
    <w:rsid w:val="004A7975"/>
    <w:rsid w:val="004B0037"/>
    <w:rsid w:val="004B221E"/>
    <w:rsid w:val="004B2740"/>
    <w:rsid w:val="004B6A4F"/>
    <w:rsid w:val="004C41B5"/>
    <w:rsid w:val="004D1906"/>
    <w:rsid w:val="004D2C15"/>
    <w:rsid w:val="004D48B1"/>
    <w:rsid w:val="004F1C62"/>
    <w:rsid w:val="004F28A6"/>
    <w:rsid w:val="004F456A"/>
    <w:rsid w:val="004F60C8"/>
    <w:rsid w:val="004F6D8B"/>
    <w:rsid w:val="005046F5"/>
    <w:rsid w:val="0051444F"/>
    <w:rsid w:val="00523F60"/>
    <w:rsid w:val="00524514"/>
    <w:rsid w:val="00533F55"/>
    <w:rsid w:val="005343AE"/>
    <w:rsid w:val="0053769C"/>
    <w:rsid w:val="00542512"/>
    <w:rsid w:val="00550AED"/>
    <w:rsid w:val="00551562"/>
    <w:rsid w:val="005717CE"/>
    <w:rsid w:val="00575081"/>
    <w:rsid w:val="005923F9"/>
    <w:rsid w:val="0059366C"/>
    <w:rsid w:val="00593882"/>
    <w:rsid w:val="005A0077"/>
    <w:rsid w:val="005A2C5C"/>
    <w:rsid w:val="005A3B30"/>
    <w:rsid w:val="005B0CDD"/>
    <w:rsid w:val="005B14AC"/>
    <w:rsid w:val="005B2A6A"/>
    <w:rsid w:val="005B5760"/>
    <w:rsid w:val="005C42A1"/>
    <w:rsid w:val="005C5F85"/>
    <w:rsid w:val="005C6FAE"/>
    <w:rsid w:val="005C7DFD"/>
    <w:rsid w:val="005E122B"/>
    <w:rsid w:val="005F0942"/>
    <w:rsid w:val="005F3E07"/>
    <w:rsid w:val="005F4174"/>
    <w:rsid w:val="005F5CA4"/>
    <w:rsid w:val="005F6D08"/>
    <w:rsid w:val="005F7841"/>
    <w:rsid w:val="006028A4"/>
    <w:rsid w:val="006165E3"/>
    <w:rsid w:val="006228E1"/>
    <w:rsid w:val="006243C6"/>
    <w:rsid w:val="006263B8"/>
    <w:rsid w:val="00631EF8"/>
    <w:rsid w:val="00636F16"/>
    <w:rsid w:val="006451FA"/>
    <w:rsid w:val="00661C98"/>
    <w:rsid w:val="006627B7"/>
    <w:rsid w:val="0066676E"/>
    <w:rsid w:val="0066755A"/>
    <w:rsid w:val="006702AD"/>
    <w:rsid w:val="006720E6"/>
    <w:rsid w:val="0067309C"/>
    <w:rsid w:val="00675A9C"/>
    <w:rsid w:val="00685385"/>
    <w:rsid w:val="006853DD"/>
    <w:rsid w:val="006A208E"/>
    <w:rsid w:val="006A3394"/>
    <w:rsid w:val="006A3B09"/>
    <w:rsid w:val="006B7071"/>
    <w:rsid w:val="006B7A5E"/>
    <w:rsid w:val="006C07CC"/>
    <w:rsid w:val="006C20FE"/>
    <w:rsid w:val="006D21F4"/>
    <w:rsid w:val="006E41E3"/>
    <w:rsid w:val="006F1ACB"/>
    <w:rsid w:val="006F2FC8"/>
    <w:rsid w:val="006F55ED"/>
    <w:rsid w:val="006F61FF"/>
    <w:rsid w:val="007000D5"/>
    <w:rsid w:val="007014F1"/>
    <w:rsid w:val="007015AB"/>
    <w:rsid w:val="00701DD9"/>
    <w:rsid w:val="00707412"/>
    <w:rsid w:val="007173DD"/>
    <w:rsid w:val="00723896"/>
    <w:rsid w:val="00734185"/>
    <w:rsid w:val="00741D91"/>
    <w:rsid w:val="0074503C"/>
    <w:rsid w:val="00746B66"/>
    <w:rsid w:val="00785821"/>
    <w:rsid w:val="00797680"/>
    <w:rsid w:val="007A2CAB"/>
    <w:rsid w:val="007A2DB0"/>
    <w:rsid w:val="007A3DB1"/>
    <w:rsid w:val="007A683D"/>
    <w:rsid w:val="007A6B90"/>
    <w:rsid w:val="007D1567"/>
    <w:rsid w:val="007E1E2D"/>
    <w:rsid w:val="007E5C46"/>
    <w:rsid w:val="007F0922"/>
    <w:rsid w:val="007F1522"/>
    <w:rsid w:val="007F369D"/>
    <w:rsid w:val="0080316D"/>
    <w:rsid w:val="008120D6"/>
    <w:rsid w:val="00814FCC"/>
    <w:rsid w:val="00827C4C"/>
    <w:rsid w:val="00835F45"/>
    <w:rsid w:val="008409EF"/>
    <w:rsid w:val="00841309"/>
    <w:rsid w:val="00842B62"/>
    <w:rsid w:val="008473D3"/>
    <w:rsid w:val="00850365"/>
    <w:rsid w:val="00851FAF"/>
    <w:rsid w:val="00870705"/>
    <w:rsid w:val="00870D97"/>
    <w:rsid w:val="008800A2"/>
    <w:rsid w:val="00881511"/>
    <w:rsid w:val="0088578D"/>
    <w:rsid w:val="00891188"/>
    <w:rsid w:val="00893DAE"/>
    <w:rsid w:val="00894B83"/>
    <w:rsid w:val="008A5CCC"/>
    <w:rsid w:val="008B4CF8"/>
    <w:rsid w:val="008B70B7"/>
    <w:rsid w:val="008B73B4"/>
    <w:rsid w:val="008D3A4E"/>
    <w:rsid w:val="008E2FF6"/>
    <w:rsid w:val="008E61C1"/>
    <w:rsid w:val="008F00F2"/>
    <w:rsid w:val="008F3163"/>
    <w:rsid w:val="00902690"/>
    <w:rsid w:val="00902E89"/>
    <w:rsid w:val="009037F5"/>
    <w:rsid w:val="0090419B"/>
    <w:rsid w:val="00904A04"/>
    <w:rsid w:val="009069BA"/>
    <w:rsid w:val="00906E67"/>
    <w:rsid w:val="00907E27"/>
    <w:rsid w:val="00912BFC"/>
    <w:rsid w:val="009145E7"/>
    <w:rsid w:val="009168D9"/>
    <w:rsid w:val="00916F97"/>
    <w:rsid w:val="00924F00"/>
    <w:rsid w:val="00925135"/>
    <w:rsid w:val="0092619F"/>
    <w:rsid w:val="00943D45"/>
    <w:rsid w:val="00950EF9"/>
    <w:rsid w:val="00951ED7"/>
    <w:rsid w:val="00963A8C"/>
    <w:rsid w:val="00965205"/>
    <w:rsid w:val="009665AE"/>
    <w:rsid w:val="0097416A"/>
    <w:rsid w:val="00981D4B"/>
    <w:rsid w:val="00985909"/>
    <w:rsid w:val="00992DFA"/>
    <w:rsid w:val="00995CBA"/>
    <w:rsid w:val="00996F31"/>
    <w:rsid w:val="009979FD"/>
    <w:rsid w:val="009A321F"/>
    <w:rsid w:val="009B3F77"/>
    <w:rsid w:val="009C3F2E"/>
    <w:rsid w:val="009C4F1D"/>
    <w:rsid w:val="009D5790"/>
    <w:rsid w:val="009D5F43"/>
    <w:rsid w:val="009E11AF"/>
    <w:rsid w:val="009E257F"/>
    <w:rsid w:val="009E7295"/>
    <w:rsid w:val="009E75CB"/>
    <w:rsid w:val="009F2BE8"/>
    <w:rsid w:val="009F4374"/>
    <w:rsid w:val="009F5D5D"/>
    <w:rsid w:val="009F6D90"/>
    <w:rsid w:val="00A01E8C"/>
    <w:rsid w:val="00A07A41"/>
    <w:rsid w:val="00A07A7D"/>
    <w:rsid w:val="00A129AB"/>
    <w:rsid w:val="00A1432F"/>
    <w:rsid w:val="00A144EB"/>
    <w:rsid w:val="00A21DE4"/>
    <w:rsid w:val="00A2514C"/>
    <w:rsid w:val="00A43A55"/>
    <w:rsid w:val="00A44B42"/>
    <w:rsid w:val="00A63261"/>
    <w:rsid w:val="00A74305"/>
    <w:rsid w:val="00AA0052"/>
    <w:rsid w:val="00AA2E60"/>
    <w:rsid w:val="00AA7F88"/>
    <w:rsid w:val="00AC6BCF"/>
    <w:rsid w:val="00AD0132"/>
    <w:rsid w:val="00AD0386"/>
    <w:rsid w:val="00AF15BA"/>
    <w:rsid w:val="00AF1C42"/>
    <w:rsid w:val="00AF728A"/>
    <w:rsid w:val="00B049CA"/>
    <w:rsid w:val="00B2007F"/>
    <w:rsid w:val="00B26AB1"/>
    <w:rsid w:val="00B27E55"/>
    <w:rsid w:val="00B315D3"/>
    <w:rsid w:val="00B56743"/>
    <w:rsid w:val="00B714C3"/>
    <w:rsid w:val="00B725C8"/>
    <w:rsid w:val="00B73779"/>
    <w:rsid w:val="00B80536"/>
    <w:rsid w:val="00B90035"/>
    <w:rsid w:val="00B90B32"/>
    <w:rsid w:val="00B97136"/>
    <w:rsid w:val="00BA13CA"/>
    <w:rsid w:val="00BA1AAE"/>
    <w:rsid w:val="00BC1700"/>
    <w:rsid w:val="00BC53BE"/>
    <w:rsid w:val="00BD551A"/>
    <w:rsid w:val="00BE4299"/>
    <w:rsid w:val="00C0042D"/>
    <w:rsid w:val="00C038C8"/>
    <w:rsid w:val="00C049EB"/>
    <w:rsid w:val="00C06829"/>
    <w:rsid w:val="00C17A97"/>
    <w:rsid w:val="00C2710D"/>
    <w:rsid w:val="00C31AD8"/>
    <w:rsid w:val="00C3659D"/>
    <w:rsid w:val="00C3761F"/>
    <w:rsid w:val="00C421B6"/>
    <w:rsid w:val="00C449A2"/>
    <w:rsid w:val="00C508C1"/>
    <w:rsid w:val="00C54267"/>
    <w:rsid w:val="00C5473D"/>
    <w:rsid w:val="00C63B15"/>
    <w:rsid w:val="00C640F5"/>
    <w:rsid w:val="00C90668"/>
    <w:rsid w:val="00C9242E"/>
    <w:rsid w:val="00CA3F92"/>
    <w:rsid w:val="00CA62C2"/>
    <w:rsid w:val="00CB1C5C"/>
    <w:rsid w:val="00CB7BAF"/>
    <w:rsid w:val="00CC5538"/>
    <w:rsid w:val="00CC6613"/>
    <w:rsid w:val="00CC71E6"/>
    <w:rsid w:val="00CD07C3"/>
    <w:rsid w:val="00CE417F"/>
    <w:rsid w:val="00CE4310"/>
    <w:rsid w:val="00CE4557"/>
    <w:rsid w:val="00CE4D93"/>
    <w:rsid w:val="00CF0877"/>
    <w:rsid w:val="00CF27A1"/>
    <w:rsid w:val="00D05321"/>
    <w:rsid w:val="00D07D9F"/>
    <w:rsid w:val="00D101D6"/>
    <w:rsid w:val="00D22C85"/>
    <w:rsid w:val="00D37C31"/>
    <w:rsid w:val="00D41F49"/>
    <w:rsid w:val="00D453B3"/>
    <w:rsid w:val="00D67157"/>
    <w:rsid w:val="00D67F53"/>
    <w:rsid w:val="00D7091B"/>
    <w:rsid w:val="00D73B4C"/>
    <w:rsid w:val="00D7441E"/>
    <w:rsid w:val="00D74EA8"/>
    <w:rsid w:val="00D805D4"/>
    <w:rsid w:val="00DA4A29"/>
    <w:rsid w:val="00DA51BA"/>
    <w:rsid w:val="00DC1A76"/>
    <w:rsid w:val="00DC5510"/>
    <w:rsid w:val="00DD4C4F"/>
    <w:rsid w:val="00DD675F"/>
    <w:rsid w:val="00DD6F44"/>
    <w:rsid w:val="00DF3EF1"/>
    <w:rsid w:val="00DF5F28"/>
    <w:rsid w:val="00DF631F"/>
    <w:rsid w:val="00E00A0F"/>
    <w:rsid w:val="00E01326"/>
    <w:rsid w:val="00E066D0"/>
    <w:rsid w:val="00E06C92"/>
    <w:rsid w:val="00E06E93"/>
    <w:rsid w:val="00E10085"/>
    <w:rsid w:val="00E152C8"/>
    <w:rsid w:val="00E15669"/>
    <w:rsid w:val="00E408A0"/>
    <w:rsid w:val="00E46283"/>
    <w:rsid w:val="00E47E0E"/>
    <w:rsid w:val="00E55CA7"/>
    <w:rsid w:val="00E56B0E"/>
    <w:rsid w:val="00E62C64"/>
    <w:rsid w:val="00E64F68"/>
    <w:rsid w:val="00E66EBB"/>
    <w:rsid w:val="00E83AF9"/>
    <w:rsid w:val="00E8533C"/>
    <w:rsid w:val="00E90DCC"/>
    <w:rsid w:val="00E9611E"/>
    <w:rsid w:val="00EB000E"/>
    <w:rsid w:val="00EB6A49"/>
    <w:rsid w:val="00ED28D6"/>
    <w:rsid w:val="00EE38CD"/>
    <w:rsid w:val="00EE4504"/>
    <w:rsid w:val="00EE4711"/>
    <w:rsid w:val="00EF4CBF"/>
    <w:rsid w:val="00F064A7"/>
    <w:rsid w:val="00F1525C"/>
    <w:rsid w:val="00F25018"/>
    <w:rsid w:val="00F259F4"/>
    <w:rsid w:val="00F26FBC"/>
    <w:rsid w:val="00F34E0A"/>
    <w:rsid w:val="00F502A5"/>
    <w:rsid w:val="00F61041"/>
    <w:rsid w:val="00F65043"/>
    <w:rsid w:val="00F67E3B"/>
    <w:rsid w:val="00F75689"/>
    <w:rsid w:val="00F80ADC"/>
    <w:rsid w:val="00F85109"/>
    <w:rsid w:val="00FB1C30"/>
    <w:rsid w:val="00FB4B0B"/>
    <w:rsid w:val="00FB6DEB"/>
    <w:rsid w:val="00FC5AC5"/>
    <w:rsid w:val="00FD5E91"/>
    <w:rsid w:val="00FE31E8"/>
    <w:rsid w:val="01181710"/>
    <w:rsid w:val="016B3CA6"/>
    <w:rsid w:val="016B7E6B"/>
    <w:rsid w:val="01A04DD5"/>
    <w:rsid w:val="01A0674D"/>
    <w:rsid w:val="01CD7511"/>
    <w:rsid w:val="022269D0"/>
    <w:rsid w:val="023F0F46"/>
    <w:rsid w:val="02430B2B"/>
    <w:rsid w:val="028A2B93"/>
    <w:rsid w:val="02A617F0"/>
    <w:rsid w:val="02F07F78"/>
    <w:rsid w:val="03386882"/>
    <w:rsid w:val="03CF276F"/>
    <w:rsid w:val="04107A7B"/>
    <w:rsid w:val="04E67E25"/>
    <w:rsid w:val="04F505AE"/>
    <w:rsid w:val="05052E25"/>
    <w:rsid w:val="055762FB"/>
    <w:rsid w:val="0562035F"/>
    <w:rsid w:val="05F01FA9"/>
    <w:rsid w:val="064B647D"/>
    <w:rsid w:val="0662250D"/>
    <w:rsid w:val="067E4F6F"/>
    <w:rsid w:val="069756C9"/>
    <w:rsid w:val="06CF06AB"/>
    <w:rsid w:val="06EA41D2"/>
    <w:rsid w:val="06F82B78"/>
    <w:rsid w:val="071764E7"/>
    <w:rsid w:val="072E42E3"/>
    <w:rsid w:val="082D7876"/>
    <w:rsid w:val="08796063"/>
    <w:rsid w:val="08AF2681"/>
    <w:rsid w:val="08B03E1A"/>
    <w:rsid w:val="08C47F48"/>
    <w:rsid w:val="08D3679E"/>
    <w:rsid w:val="09036A2E"/>
    <w:rsid w:val="09676C37"/>
    <w:rsid w:val="0968446C"/>
    <w:rsid w:val="09880AD8"/>
    <w:rsid w:val="09984E95"/>
    <w:rsid w:val="0AA5328F"/>
    <w:rsid w:val="0AD06E1A"/>
    <w:rsid w:val="0ADD7D3A"/>
    <w:rsid w:val="0AE1080B"/>
    <w:rsid w:val="0B134589"/>
    <w:rsid w:val="0B20386D"/>
    <w:rsid w:val="0B58032A"/>
    <w:rsid w:val="0B7A3A23"/>
    <w:rsid w:val="0B7E48FD"/>
    <w:rsid w:val="0BB564E8"/>
    <w:rsid w:val="0BFB0153"/>
    <w:rsid w:val="0C67611B"/>
    <w:rsid w:val="0CF92C66"/>
    <w:rsid w:val="0CFC2EE8"/>
    <w:rsid w:val="0D3E3442"/>
    <w:rsid w:val="0D417D41"/>
    <w:rsid w:val="0D540D11"/>
    <w:rsid w:val="0D7141E1"/>
    <w:rsid w:val="0D8125E1"/>
    <w:rsid w:val="0D980C03"/>
    <w:rsid w:val="0DFD4008"/>
    <w:rsid w:val="0E545AFA"/>
    <w:rsid w:val="0EE02678"/>
    <w:rsid w:val="0F184D1F"/>
    <w:rsid w:val="0F2567FB"/>
    <w:rsid w:val="0F4628FA"/>
    <w:rsid w:val="0F594D76"/>
    <w:rsid w:val="0F9D693C"/>
    <w:rsid w:val="0FB34829"/>
    <w:rsid w:val="104005AB"/>
    <w:rsid w:val="10515BBA"/>
    <w:rsid w:val="105821EB"/>
    <w:rsid w:val="105B51DC"/>
    <w:rsid w:val="106578D6"/>
    <w:rsid w:val="10B02E63"/>
    <w:rsid w:val="10C14D02"/>
    <w:rsid w:val="10FB353A"/>
    <w:rsid w:val="11C22947"/>
    <w:rsid w:val="11C96F3F"/>
    <w:rsid w:val="129D6CDE"/>
    <w:rsid w:val="130612D2"/>
    <w:rsid w:val="1308440F"/>
    <w:rsid w:val="133D5C18"/>
    <w:rsid w:val="13404493"/>
    <w:rsid w:val="135607B7"/>
    <w:rsid w:val="138743BA"/>
    <w:rsid w:val="13BB08A4"/>
    <w:rsid w:val="13C52479"/>
    <w:rsid w:val="13FB7FC5"/>
    <w:rsid w:val="14537884"/>
    <w:rsid w:val="14593BBF"/>
    <w:rsid w:val="14D56C28"/>
    <w:rsid w:val="14E304A7"/>
    <w:rsid w:val="14F66858"/>
    <w:rsid w:val="151C338A"/>
    <w:rsid w:val="15231F91"/>
    <w:rsid w:val="153E6C50"/>
    <w:rsid w:val="1565002B"/>
    <w:rsid w:val="15900690"/>
    <w:rsid w:val="15E52929"/>
    <w:rsid w:val="15F72DC4"/>
    <w:rsid w:val="164973BC"/>
    <w:rsid w:val="1655264F"/>
    <w:rsid w:val="173A45D5"/>
    <w:rsid w:val="173D66F2"/>
    <w:rsid w:val="17430389"/>
    <w:rsid w:val="175C0959"/>
    <w:rsid w:val="177941D0"/>
    <w:rsid w:val="17DC532F"/>
    <w:rsid w:val="184D1891"/>
    <w:rsid w:val="18800267"/>
    <w:rsid w:val="18932E8C"/>
    <w:rsid w:val="18B16A54"/>
    <w:rsid w:val="196336D6"/>
    <w:rsid w:val="19731B79"/>
    <w:rsid w:val="19FF2131"/>
    <w:rsid w:val="1A024AC4"/>
    <w:rsid w:val="1A99179C"/>
    <w:rsid w:val="1AA27132"/>
    <w:rsid w:val="1AA57B5F"/>
    <w:rsid w:val="1AD534BD"/>
    <w:rsid w:val="1B117FE0"/>
    <w:rsid w:val="1B150B6F"/>
    <w:rsid w:val="1B260840"/>
    <w:rsid w:val="1B28220C"/>
    <w:rsid w:val="1B495884"/>
    <w:rsid w:val="1B543CF0"/>
    <w:rsid w:val="1B6D700C"/>
    <w:rsid w:val="1B9A28F0"/>
    <w:rsid w:val="1BE95EF6"/>
    <w:rsid w:val="1C2407D2"/>
    <w:rsid w:val="1C392717"/>
    <w:rsid w:val="1C3F2AF3"/>
    <w:rsid w:val="1C924FB3"/>
    <w:rsid w:val="1CAE6AFB"/>
    <w:rsid w:val="1CBF55D7"/>
    <w:rsid w:val="1D2D56D7"/>
    <w:rsid w:val="1D314742"/>
    <w:rsid w:val="1D5855E9"/>
    <w:rsid w:val="1DD65C05"/>
    <w:rsid w:val="1DE743F9"/>
    <w:rsid w:val="1DF43AA8"/>
    <w:rsid w:val="1E5006DD"/>
    <w:rsid w:val="1E626810"/>
    <w:rsid w:val="1E7C1444"/>
    <w:rsid w:val="1ED80163"/>
    <w:rsid w:val="1EE44777"/>
    <w:rsid w:val="1F021A93"/>
    <w:rsid w:val="1F3A1F0D"/>
    <w:rsid w:val="1F4966FB"/>
    <w:rsid w:val="1F515A41"/>
    <w:rsid w:val="1FB3356D"/>
    <w:rsid w:val="1FB77B42"/>
    <w:rsid w:val="1FC02936"/>
    <w:rsid w:val="1FDF6F85"/>
    <w:rsid w:val="1FF270D8"/>
    <w:rsid w:val="208D1D97"/>
    <w:rsid w:val="20FA5C9C"/>
    <w:rsid w:val="2132077D"/>
    <w:rsid w:val="21432F64"/>
    <w:rsid w:val="21531432"/>
    <w:rsid w:val="21551981"/>
    <w:rsid w:val="217F2F31"/>
    <w:rsid w:val="218C4B62"/>
    <w:rsid w:val="21D218F6"/>
    <w:rsid w:val="21EE38EF"/>
    <w:rsid w:val="224A72AF"/>
    <w:rsid w:val="22547760"/>
    <w:rsid w:val="2262771F"/>
    <w:rsid w:val="22723839"/>
    <w:rsid w:val="22E472DA"/>
    <w:rsid w:val="23C823BC"/>
    <w:rsid w:val="23D97F00"/>
    <w:rsid w:val="24057464"/>
    <w:rsid w:val="242C0DAE"/>
    <w:rsid w:val="24722967"/>
    <w:rsid w:val="24A42D4D"/>
    <w:rsid w:val="24AF06E2"/>
    <w:rsid w:val="24D6404C"/>
    <w:rsid w:val="24F141C3"/>
    <w:rsid w:val="24F46692"/>
    <w:rsid w:val="254D5E87"/>
    <w:rsid w:val="257C2122"/>
    <w:rsid w:val="25DD1838"/>
    <w:rsid w:val="260A537E"/>
    <w:rsid w:val="26797F4F"/>
    <w:rsid w:val="26B1579C"/>
    <w:rsid w:val="26BA6A8D"/>
    <w:rsid w:val="26D60601"/>
    <w:rsid w:val="26E51EF5"/>
    <w:rsid w:val="26FE01DA"/>
    <w:rsid w:val="275E1E87"/>
    <w:rsid w:val="27DA7653"/>
    <w:rsid w:val="27F510C9"/>
    <w:rsid w:val="28012834"/>
    <w:rsid w:val="28017784"/>
    <w:rsid w:val="287D4515"/>
    <w:rsid w:val="287F157E"/>
    <w:rsid w:val="287F215E"/>
    <w:rsid w:val="289B742A"/>
    <w:rsid w:val="28DD78F7"/>
    <w:rsid w:val="29343171"/>
    <w:rsid w:val="296A7F67"/>
    <w:rsid w:val="2A463A4E"/>
    <w:rsid w:val="2A9055BF"/>
    <w:rsid w:val="2AFE105C"/>
    <w:rsid w:val="2B160A14"/>
    <w:rsid w:val="2B1943BC"/>
    <w:rsid w:val="2B3423F6"/>
    <w:rsid w:val="2B7A199A"/>
    <w:rsid w:val="2BA32C77"/>
    <w:rsid w:val="2BB97180"/>
    <w:rsid w:val="2BBF7536"/>
    <w:rsid w:val="2BC3263A"/>
    <w:rsid w:val="2C006F2D"/>
    <w:rsid w:val="2C045767"/>
    <w:rsid w:val="2C5300D5"/>
    <w:rsid w:val="2C922A66"/>
    <w:rsid w:val="2CCE617A"/>
    <w:rsid w:val="2CE20721"/>
    <w:rsid w:val="2D0E0402"/>
    <w:rsid w:val="2D2864D4"/>
    <w:rsid w:val="2D4C57A1"/>
    <w:rsid w:val="2D6405B3"/>
    <w:rsid w:val="2D8013BA"/>
    <w:rsid w:val="2D9C6EAA"/>
    <w:rsid w:val="2DAA40C0"/>
    <w:rsid w:val="2DD32383"/>
    <w:rsid w:val="2DE50909"/>
    <w:rsid w:val="2E316F26"/>
    <w:rsid w:val="2E343E2E"/>
    <w:rsid w:val="2E816C0B"/>
    <w:rsid w:val="2EB1759E"/>
    <w:rsid w:val="2EE72320"/>
    <w:rsid w:val="2EE8455C"/>
    <w:rsid w:val="2EFB32A2"/>
    <w:rsid w:val="2FC414F3"/>
    <w:rsid w:val="2FE60929"/>
    <w:rsid w:val="30582C27"/>
    <w:rsid w:val="30650108"/>
    <w:rsid w:val="30915159"/>
    <w:rsid w:val="30932DFC"/>
    <w:rsid w:val="30943DC3"/>
    <w:rsid w:val="30D70117"/>
    <w:rsid w:val="30EA2CE4"/>
    <w:rsid w:val="31274B61"/>
    <w:rsid w:val="31467F1F"/>
    <w:rsid w:val="314B29C9"/>
    <w:rsid w:val="31550EA3"/>
    <w:rsid w:val="31897CEF"/>
    <w:rsid w:val="31F94F3E"/>
    <w:rsid w:val="320B6CF5"/>
    <w:rsid w:val="320C4E85"/>
    <w:rsid w:val="32742F9F"/>
    <w:rsid w:val="32A81084"/>
    <w:rsid w:val="32D70991"/>
    <w:rsid w:val="33C80E3E"/>
    <w:rsid w:val="33D70A08"/>
    <w:rsid w:val="33DC14FA"/>
    <w:rsid w:val="34747814"/>
    <w:rsid w:val="347F70DE"/>
    <w:rsid w:val="349434B5"/>
    <w:rsid w:val="349E23AC"/>
    <w:rsid w:val="34C21A6E"/>
    <w:rsid w:val="34D47A39"/>
    <w:rsid w:val="34EA590A"/>
    <w:rsid w:val="34EB2778"/>
    <w:rsid w:val="34F34C56"/>
    <w:rsid w:val="351037A0"/>
    <w:rsid w:val="35581AB2"/>
    <w:rsid w:val="357A5788"/>
    <w:rsid w:val="357C1ABF"/>
    <w:rsid w:val="35A62FF2"/>
    <w:rsid w:val="363474BB"/>
    <w:rsid w:val="36530971"/>
    <w:rsid w:val="36561BAE"/>
    <w:rsid w:val="36610C56"/>
    <w:rsid w:val="366B24CA"/>
    <w:rsid w:val="366E6A23"/>
    <w:rsid w:val="368A346E"/>
    <w:rsid w:val="376916D4"/>
    <w:rsid w:val="37AC7F9C"/>
    <w:rsid w:val="37BB4248"/>
    <w:rsid w:val="37DA3DE7"/>
    <w:rsid w:val="38095396"/>
    <w:rsid w:val="385666E5"/>
    <w:rsid w:val="38D07027"/>
    <w:rsid w:val="38DB70E7"/>
    <w:rsid w:val="38E84362"/>
    <w:rsid w:val="391A1CA4"/>
    <w:rsid w:val="39EB6672"/>
    <w:rsid w:val="3AD16F1E"/>
    <w:rsid w:val="3B0B191D"/>
    <w:rsid w:val="3B192EFF"/>
    <w:rsid w:val="3B282C39"/>
    <w:rsid w:val="3B7E311D"/>
    <w:rsid w:val="3BA41E38"/>
    <w:rsid w:val="3BCE25E6"/>
    <w:rsid w:val="3BEF78EB"/>
    <w:rsid w:val="3C1B106D"/>
    <w:rsid w:val="3C750583"/>
    <w:rsid w:val="3C904E9A"/>
    <w:rsid w:val="3CEA2ACF"/>
    <w:rsid w:val="3D0C77C5"/>
    <w:rsid w:val="3D4919C2"/>
    <w:rsid w:val="3D540DF3"/>
    <w:rsid w:val="3D631185"/>
    <w:rsid w:val="3D803A80"/>
    <w:rsid w:val="3E0919C5"/>
    <w:rsid w:val="3E2F7D0F"/>
    <w:rsid w:val="3E6037B7"/>
    <w:rsid w:val="3E8B19A1"/>
    <w:rsid w:val="3EA7753D"/>
    <w:rsid w:val="3ED338D3"/>
    <w:rsid w:val="3F3618F0"/>
    <w:rsid w:val="3F455C16"/>
    <w:rsid w:val="3FC14E74"/>
    <w:rsid w:val="40275E65"/>
    <w:rsid w:val="404A6865"/>
    <w:rsid w:val="40BD25B1"/>
    <w:rsid w:val="40CF7FA2"/>
    <w:rsid w:val="40D32003"/>
    <w:rsid w:val="40F51885"/>
    <w:rsid w:val="41905E6C"/>
    <w:rsid w:val="41BC1F10"/>
    <w:rsid w:val="424B3AFB"/>
    <w:rsid w:val="428F561E"/>
    <w:rsid w:val="42E250CC"/>
    <w:rsid w:val="42FD119E"/>
    <w:rsid w:val="4318688B"/>
    <w:rsid w:val="43765341"/>
    <w:rsid w:val="44097DC5"/>
    <w:rsid w:val="4487739D"/>
    <w:rsid w:val="44B47572"/>
    <w:rsid w:val="44B96EE9"/>
    <w:rsid w:val="45610B67"/>
    <w:rsid w:val="4570368D"/>
    <w:rsid w:val="45E60474"/>
    <w:rsid w:val="460707F1"/>
    <w:rsid w:val="463E73EB"/>
    <w:rsid w:val="46793BCB"/>
    <w:rsid w:val="46886E13"/>
    <w:rsid w:val="46966DB9"/>
    <w:rsid w:val="46CE0949"/>
    <w:rsid w:val="476756F9"/>
    <w:rsid w:val="47756B56"/>
    <w:rsid w:val="478F3EA7"/>
    <w:rsid w:val="47EB74A0"/>
    <w:rsid w:val="482019BD"/>
    <w:rsid w:val="482B5C12"/>
    <w:rsid w:val="484A144F"/>
    <w:rsid w:val="48B23C38"/>
    <w:rsid w:val="48B52FC1"/>
    <w:rsid w:val="48E85BB2"/>
    <w:rsid w:val="491D60D4"/>
    <w:rsid w:val="492C3528"/>
    <w:rsid w:val="493B303F"/>
    <w:rsid w:val="497475D9"/>
    <w:rsid w:val="49B4651F"/>
    <w:rsid w:val="49E16559"/>
    <w:rsid w:val="49E329B9"/>
    <w:rsid w:val="4A9C1DE8"/>
    <w:rsid w:val="4AD509E7"/>
    <w:rsid w:val="4B70193A"/>
    <w:rsid w:val="4B7C5475"/>
    <w:rsid w:val="4BCB535F"/>
    <w:rsid w:val="4C0F7D3B"/>
    <w:rsid w:val="4C4B3212"/>
    <w:rsid w:val="4C6D641B"/>
    <w:rsid w:val="4C6E60D8"/>
    <w:rsid w:val="4C82483D"/>
    <w:rsid w:val="4C862E8F"/>
    <w:rsid w:val="4CB81710"/>
    <w:rsid w:val="4CE6400E"/>
    <w:rsid w:val="4CF906E8"/>
    <w:rsid w:val="4D5670A7"/>
    <w:rsid w:val="4D5D1F52"/>
    <w:rsid w:val="4E540763"/>
    <w:rsid w:val="4EB0364A"/>
    <w:rsid w:val="4F5D7111"/>
    <w:rsid w:val="4F8E36B5"/>
    <w:rsid w:val="4FA45F82"/>
    <w:rsid w:val="4FC20AA7"/>
    <w:rsid w:val="4FE80B78"/>
    <w:rsid w:val="50530C13"/>
    <w:rsid w:val="505F1EFD"/>
    <w:rsid w:val="50685244"/>
    <w:rsid w:val="50901CE5"/>
    <w:rsid w:val="50B70587"/>
    <w:rsid w:val="50D3420F"/>
    <w:rsid w:val="512C3ECE"/>
    <w:rsid w:val="513D1102"/>
    <w:rsid w:val="5150394D"/>
    <w:rsid w:val="519A03E7"/>
    <w:rsid w:val="51FB5377"/>
    <w:rsid w:val="51FC29DB"/>
    <w:rsid w:val="5238184A"/>
    <w:rsid w:val="523978C1"/>
    <w:rsid w:val="524B7B52"/>
    <w:rsid w:val="52912014"/>
    <w:rsid w:val="52B93C68"/>
    <w:rsid w:val="52BF7DC2"/>
    <w:rsid w:val="52C5240F"/>
    <w:rsid w:val="52EC7E76"/>
    <w:rsid w:val="52FF0597"/>
    <w:rsid w:val="53B034DF"/>
    <w:rsid w:val="53D810F5"/>
    <w:rsid w:val="53E81ADD"/>
    <w:rsid w:val="542D1696"/>
    <w:rsid w:val="544A2B14"/>
    <w:rsid w:val="54DE0F4F"/>
    <w:rsid w:val="54E53259"/>
    <w:rsid w:val="55264AFA"/>
    <w:rsid w:val="554F1172"/>
    <w:rsid w:val="55B769EE"/>
    <w:rsid w:val="55CC6760"/>
    <w:rsid w:val="55F77E7D"/>
    <w:rsid w:val="55FF2551"/>
    <w:rsid w:val="560B1770"/>
    <w:rsid w:val="563D07A6"/>
    <w:rsid w:val="565B4B8E"/>
    <w:rsid w:val="56A9680B"/>
    <w:rsid w:val="57787D9B"/>
    <w:rsid w:val="577C1E80"/>
    <w:rsid w:val="57A97DB2"/>
    <w:rsid w:val="57BF11AD"/>
    <w:rsid w:val="57C31C5F"/>
    <w:rsid w:val="581E1D65"/>
    <w:rsid w:val="58A100C5"/>
    <w:rsid w:val="58F05AD9"/>
    <w:rsid w:val="59157720"/>
    <w:rsid w:val="59F83418"/>
    <w:rsid w:val="5A0A3198"/>
    <w:rsid w:val="5A1734BD"/>
    <w:rsid w:val="5A4B54F6"/>
    <w:rsid w:val="5A812E59"/>
    <w:rsid w:val="5A966449"/>
    <w:rsid w:val="5ABA7460"/>
    <w:rsid w:val="5ABD0CB2"/>
    <w:rsid w:val="5AF779F8"/>
    <w:rsid w:val="5B5D4CEE"/>
    <w:rsid w:val="5B7B78AB"/>
    <w:rsid w:val="5B9C24F1"/>
    <w:rsid w:val="5BB46CAC"/>
    <w:rsid w:val="5BC4291C"/>
    <w:rsid w:val="5C6425EE"/>
    <w:rsid w:val="5CFA1CEF"/>
    <w:rsid w:val="5D00118D"/>
    <w:rsid w:val="5D167503"/>
    <w:rsid w:val="5D2C49EA"/>
    <w:rsid w:val="5D472994"/>
    <w:rsid w:val="5D514D0F"/>
    <w:rsid w:val="5D692FE8"/>
    <w:rsid w:val="5DAC0D5F"/>
    <w:rsid w:val="5DB73653"/>
    <w:rsid w:val="5DE44F8E"/>
    <w:rsid w:val="5E1E0FE7"/>
    <w:rsid w:val="5E2F576D"/>
    <w:rsid w:val="5E4274C8"/>
    <w:rsid w:val="5E6A3904"/>
    <w:rsid w:val="5E8C7F44"/>
    <w:rsid w:val="5F196912"/>
    <w:rsid w:val="5F1E69AA"/>
    <w:rsid w:val="5F230F76"/>
    <w:rsid w:val="5F2447E2"/>
    <w:rsid w:val="5F472694"/>
    <w:rsid w:val="5F712725"/>
    <w:rsid w:val="5FA82B61"/>
    <w:rsid w:val="5FD6257B"/>
    <w:rsid w:val="60256242"/>
    <w:rsid w:val="602A170A"/>
    <w:rsid w:val="605A28BD"/>
    <w:rsid w:val="610B183C"/>
    <w:rsid w:val="612A2BA7"/>
    <w:rsid w:val="615348F3"/>
    <w:rsid w:val="61613AC5"/>
    <w:rsid w:val="61743B32"/>
    <w:rsid w:val="61A303C9"/>
    <w:rsid w:val="61CD78C4"/>
    <w:rsid w:val="61D640C8"/>
    <w:rsid w:val="621D5FD0"/>
    <w:rsid w:val="62553A9B"/>
    <w:rsid w:val="627F4028"/>
    <w:rsid w:val="62A954D2"/>
    <w:rsid w:val="62AD659F"/>
    <w:rsid w:val="634C03F4"/>
    <w:rsid w:val="6445786C"/>
    <w:rsid w:val="64C5679D"/>
    <w:rsid w:val="64D91C02"/>
    <w:rsid w:val="65AC4C73"/>
    <w:rsid w:val="65C02314"/>
    <w:rsid w:val="66443D17"/>
    <w:rsid w:val="665E2421"/>
    <w:rsid w:val="6742121E"/>
    <w:rsid w:val="6766284B"/>
    <w:rsid w:val="67AC14B0"/>
    <w:rsid w:val="67D77C96"/>
    <w:rsid w:val="68554E50"/>
    <w:rsid w:val="68567627"/>
    <w:rsid w:val="686A2A2A"/>
    <w:rsid w:val="68D06C20"/>
    <w:rsid w:val="69064ECF"/>
    <w:rsid w:val="69247457"/>
    <w:rsid w:val="6925714F"/>
    <w:rsid w:val="69454F8B"/>
    <w:rsid w:val="6949646E"/>
    <w:rsid w:val="69512B85"/>
    <w:rsid w:val="69607B2D"/>
    <w:rsid w:val="698A4060"/>
    <w:rsid w:val="69AC3BD9"/>
    <w:rsid w:val="69E14866"/>
    <w:rsid w:val="6A3A17A7"/>
    <w:rsid w:val="6AFE6877"/>
    <w:rsid w:val="6BA90006"/>
    <w:rsid w:val="6C161E18"/>
    <w:rsid w:val="6C205AE8"/>
    <w:rsid w:val="6CBB08C6"/>
    <w:rsid w:val="6D2A351D"/>
    <w:rsid w:val="6D2C5AA6"/>
    <w:rsid w:val="6D394C44"/>
    <w:rsid w:val="6E3431D3"/>
    <w:rsid w:val="6E815E20"/>
    <w:rsid w:val="6E9705EC"/>
    <w:rsid w:val="6EB96CCF"/>
    <w:rsid w:val="6EC22DFB"/>
    <w:rsid w:val="6F055070"/>
    <w:rsid w:val="6F0C33FE"/>
    <w:rsid w:val="6F70335D"/>
    <w:rsid w:val="6F827E1F"/>
    <w:rsid w:val="6FBE33DD"/>
    <w:rsid w:val="6FCE6865"/>
    <w:rsid w:val="6FDA137E"/>
    <w:rsid w:val="70163DCC"/>
    <w:rsid w:val="70695629"/>
    <w:rsid w:val="709F5AC0"/>
    <w:rsid w:val="70E577CE"/>
    <w:rsid w:val="71066C37"/>
    <w:rsid w:val="710A3718"/>
    <w:rsid w:val="711B343B"/>
    <w:rsid w:val="713D1595"/>
    <w:rsid w:val="714B2EC5"/>
    <w:rsid w:val="71A33DDB"/>
    <w:rsid w:val="71C9438B"/>
    <w:rsid w:val="71E37FC4"/>
    <w:rsid w:val="71EB232F"/>
    <w:rsid w:val="71F22395"/>
    <w:rsid w:val="71F622CB"/>
    <w:rsid w:val="720F58FE"/>
    <w:rsid w:val="72362CE3"/>
    <w:rsid w:val="728819F3"/>
    <w:rsid w:val="72A81935"/>
    <w:rsid w:val="72B71F2D"/>
    <w:rsid w:val="72D62549"/>
    <w:rsid w:val="73145138"/>
    <w:rsid w:val="732E3BBB"/>
    <w:rsid w:val="732F3A9D"/>
    <w:rsid w:val="73464794"/>
    <w:rsid w:val="7354571E"/>
    <w:rsid w:val="736E713E"/>
    <w:rsid w:val="73733DEB"/>
    <w:rsid w:val="73821076"/>
    <w:rsid w:val="73AA2969"/>
    <w:rsid w:val="73B22405"/>
    <w:rsid w:val="73CF1F2D"/>
    <w:rsid w:val="73FC1BEE"/>
    <w:rsid w:val="742E6E36"/>
    <w:rsid w:val="74472CAD"/>
    <w:rsid w:val="74822716"/>
    <w:rsid w:val="74A77D79"/>
    <w:rsid w:val="74BB2C8C"/>
    <w:rsid w:val="74C75CDF"/>
    <w:rsid w:val="74EE2280"/>
    <w:rsid w:val="750D3D28"/>
    <w:rsid w:val="756176A1"/>
    <w:rsid w:val="758E30C8"/>
    <w:rsid w:val="75C47FDD"/>
    <w:rsid w:val="75F30D7F"/>
    <w:rsid w:val="762C6E22"/>
    <w:rsid w:val="76A806E9"/>
    <w:rsid w:val="76D45B66"/>
    <w:rsid w:val="76F26BE0"/>
    <w:rsid w:val="76FE2417"/>
    <w:rsid w:val="771E653D"/>
    <w:rsid w:val="772A3916"/>
    <w:rsid w:val="781B6C57"/>
    <w:rsid w:val="782D3D57"/>
    <w:rsid w:val="78483F8D"/>
    <w:rsid w:val="787A086A"/>
    <w:rsid w:val="788E700F"/>
    <w:rsid w:val="79554F92"/>
    <w:rsid w:val="79603A7E"/>
    <w:rsid w:val="79D85CE8"/>
    <w:rsid w:val="7A1E0BB7"/>
    <w:rsid w:val="7A200272"/>
    <w:rsid w:val="7A322C02"/>
    <w:rsid w:val="7A433750"/>
    <w:rsid w:val="7A4A6C50"/>
    <w:rsid w:val="7A64485C"/>
    <w:rsid w:val="7AD55855"/>
    <w:rsid w:val="7AF65F04"/>
    <w:rsid w:val="7AFE2E20"/>
    <w:rsid w:val="7B072853"/>
    <w:rsid w:val="7B7D7658"/>
    <w:rsid w:val="7BA10F88"/>
    <w:rsid w:val="7BA5768E"/>
    <w:rsid w:val="7BF37CCE"/>
    <w:rsid w:val="7C062C05"/>
    <w:rsid w:val="7C085E12"/>
    <w:rsid w:val="7CA44252"/>
    <w:rsid w:val="7CE914D0"/>
    <w:rsid w:val="7D2846D4"/>
    <w:rsid w:val="7D545D87"/>
    <w:rsid w:val="7D8138DF"/>
    <w:rsid w:val="7DB479EE"/>
    <w:rsid w:val="7DCD6635"/>
    <w:rsid w:val="7EC6350B"/>
    <w:rsid w:val="7EE36967"/>
    <w:rsid w:val="7F24214A"/>
    <w:rsid w:val="7F4108E0"/>
    <w:rsid w:val="7F666713"/>
    <w:rsid w:val="7F6F2582"/>
    <w:rsid w:val="7F7C4FDB"/>
    <w:rsid w:val="7F9663C3"/>
    <w:rsid w:val="7FA345E5"/>
    <w:rsid w:val="7FBE0F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qFormat="1" w:unhideWhenUsed="0" w:uiPriority="0" w:semiHidden="0" w:name="toc 2"/>
    <w:lsdException w:uiPriority="0" w:name="toc 3"/>
    <w:lsdException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99"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0" w:name="HTML Keyboard"/>
    <w:lsdException w:uiPriority="0" w:name="HTML Preformatted"/>
    <w:lsdException w:uiPriority="0" w:name="HTML Sample"/>
    <w:lsdException w:uiPriority="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5"/>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1"/>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5" w:lineRule="auto"/>
      <w:outlineLvl w:val="2"/>
    </w:pPr>
    <w:rPr>
      <w:b/>
      <w:bCs/>
      <w:sz w:val="32"/>
      <w:szCs w:val="32"/>
    </w:rPr>
  </w:style>
  <w:style w:type="paragraph" w:styleId="6">
    <w:name w:val="heading 4"/>
    <w:basedOn w:val="1"/>
    <w:next w:val="1"/>
    <w:unhideWhenUsed/>
    <w:qFormat/>
    <w:uiPriority w:val="9"/>
    <w:pPr>
      <w:keepNext/>
      <w:keepLines/>
      <w:spacing w:before="280" w:after="290" w:line="377" w:lineRule="auto"/>
      <w:ind w:left="200" w:leftChars="200"/>
      <w:outlineLvl w:val="3"/>
    </w:pPr>
    <w:rPr>
      <w:rFonts w:asciiTheme="majorHAnsi" w:hAnsiTheme="majorHAnsi" w:eastAsiaTheme="majorEastAsia" w:cstheme="majorBidi"/>
      <w:b/>
      <w:bCs/>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69"/>
    <w:qFormat/>
    <w:uiPriority w:val="99"/>
    <w:pPr>
      <w:spacing w:line="360" w:lineRule="auto"/>
    </w:pPr>
    <w:rPr>
      <w:color w:val="000000"/>
    </w:rPr>
  </w:style>
  <w:style w:type="paragraph" w:styleId="7">
    <w:name w:val="Normal Indent"/>
    <w:basedOn w:val="1"/>
    <w:link w:val="41"/>
    <w:qFormat/>
    <w:uiPriority w:val="99"/>
    <w:pPr>
      <w:ind w:firstLine="200" w:firstLineChars="200"/>
    </w:pPr>
  </w:style>
  <w:style w:type="paragraph" w:styleId="8">
    <w:name w:val="Document Map"/>
    <w:basedOn w:val="1"/>
    <w:link w:val="44"/>
    <w:qFormat/>
    <w:uiPriority w:val="0"/>
    <w:rPr>
      <w:rFonts w:ascii="宋体"/>
      <w:sz w:val="18"/>
      <w:szCs w:val="18"/>
    </w:rPr>
  </w:style>
  <w:style w:type="paragraph" w:styleId="9">
    <w:name w:val="annotation text"/>
    <w:basedOn w:val="1"/>
    <w:link w:val="43"/>
    <w:qFormat/>
    <w:uiPriority w:val="0"/>
    <w:pPr>
      <w:jc w:val="left"/>
    </w:pPr>
  </w:style>
  <w:style w:type="paragraph" w:styleId="10">
    <w:name w:val="Body Text Indent"/>
    <w:basedOn w:val="1"/>
    <w:link w:val="38"/>
    <w:qFormat/>
    <w:uiPriority w:val="0"/>
    <w:pPr>
      <w:ind w:firstLine="630"/>
    </w:pPr>
    <w:rPr>
      <w:sz w:val="32"/>
      <w:szCs w:val="20"/>
    </w:rPr>
  </w:style>
  <w:style w:type="paragraph" w:styleId="11">
    <w:name w:val="Plain Text"/>
    <w:basedOn w:val="1"/>
    <w:next w:val="12"/>
    <w:link w:val="36"/>
    <w:qFormat/>
    <w:uiPriority w:val="0"/>
    <w:rPr>
      <w:rFonts w:ascii="宋体" w:hAnsi="Courier New"/>
    </w:rPr>
  </w:style>
  <w:style w:type="paragraph" w:styleId="12">
    <w:name w:val="toc 2"/>
    <w:basedOn w:val="1"/>
    <w:next w:val="1"/>
    <w:qFormat/>
    <w:uiPriority w:val="0"/>
    <w:pPr>
      <w:ind w:left="420" w:leftChars="200"/>
    </w:pPr>
  </w:style>
  <w:style w:type="paragraph" w:styleId="13">
    <w:name w:val="Body Text Indent 2"/>
    <w:basedOn w:val="1"/>
    <w:link w:val="70"/>
    <w:qFormat/>
    <w:uiPriority w:val="0"/>
    <w:pPr>
      <w:spacing w:after="120" w:line="480" w:lineRule="auto"/>
      <w:ind w:left="420" w:leftChars="200"/>
    </w:pPr>
  </w:style>
  <w:style w:type="paragraph" w:styleId="14">
    <w:name w:val="Balloon Text"/>
    <w:basedOn w:val="1"/>
    <w:link w:val="34"/>
    <w:qFormat/>
    <w:uiPriority w:val="0"/>
    <w:rPr>
      <w:sz w:val="18"/>
      <w:szCs w:val="18"/>
    </w:rPr>
  </w:style>
  <w:style w:type="paragraph" w:styleId="15">
    <w:name w:val="footer"/>
    <w:basedOn w:val="1"/>
    <w:link w:val="67"/>
    <w:qFormat/>
    <w:uiPriority w:val="0"/>
    <w:pPr>
      <w:tabs>
        <w:tab w:val="center" w:pos="4153"/>
        <w:tab w:val="right" w:pos="8306"/>
      </w:tabs>
      <w:snapToGrid w:val="0"/>
      <w:jc w:val="left"/>
    </w:pPr>
    <w:rPr>
      <w:sz w:val="18"/>
      <w:szCs w:val="20"/>
    </w:rPr>
  </w:style>
  <w:style w:type="paragraph" w:styleId="16">
    <w:name w:val="header"/>
    <w:basedOn w:val="1"/>
    <w:link w:val="68"/>
    <w:qFormat/>
    <w:uiPriority w:val="0"/>
    <w:pPr>
      <w:pBdr>
        <w:bottom w:val="single" w:color="auto" w:sz="6" w:space="1"/>
      </w:pBdr>
      <w:tabs>
        <w:tab w:val="center" w:pos="4153"/>
        <w:tab w:val="right" w:pos="8306"/>
      </w:tabs>
      <w:snapToGrid w:val="0"/>
      <w:jc w:val="center"/>
    </w:pPr>
    <w:rPr>
      <w:sz w:val="18"/>
      <w:szCs w:val="20"/>
    </w:rPr>
  </w:style>
  <w:style w:type="paragraph" w:styleId="17">
    <w:name w:val="Subtitle"/>
    <w:basedOn w:val="1"/>
    <w:next w:val="1"/>
    <w:qFormat/>
    <w:uiPriority w:val="0"/>
    <w:pPr>
      <w:spacing w:before="240" w:after="60" w:line="312" w:lineRule="auto"/>
      <w:jc w:val="center"/>
      <w:outlineLvl w:val="1"/>
    </w:pPr>
    <w:rPr>
      <w:rFonts w:ascii="Arial" w:hAnsi="Arial" w:cs="Arial"/>
      <w:bCs/>
      <w:kern w:val="28"/>
      <w:sz w:val="32"/>
      <w:szCs w:val="32"/>
    </w:rPr>
  </w:style>
  <w:style w:type="paragraph" w:styleId="18">
    <w:name w:val="toc 6"/>
    <w:next w:val="1"/>
    <w:qFormat/>
    <w:uiPriority w:val="0"/>
    <w:pPr>
      <w:wordWrap w:val="0"/>
      <w:ind w:left="1700"/>
      <w:jc w:val="both"/>
    </w:pPr>
    <w:rPr>
      <w:rFonts w:ascii="Times New Roman" w:hAnsi="Times New Roman" w:eastAsia="宋体" w:cs="Times New Roman"/>
      <w:sz w:val="21"/>
      <w:lang w:val="en-US" w:eastAsia="zh-CN" w:bidi="ar-SA"/>
    </w:rPr>
  </w:style>
  <w:style w:type="paragraph" w:styleId="19">
    <w:name w:val="Normal (Web)"/>
    <w:basedOn w:val="1"/>
    <w:qFormat/>
    <w:uiPriority w:val="0"/>
    <w:pPr>
      <w:widowControl/>
      <w:spacing w:before="100" w:beforeAutospacing="1" w:after="100" w:afterAutospacing="1"/>
      <w:jc w:val="left"/>
    </w:pPr>
    <w:rPr>
      <w:rFonts w:ascii="宋体"/>
      <w:kern w:val="0"/>
      <w:sz w:val="18"/>
      <w:szCs w:val="18"/>
    </w:rPr>
  </w:style>
  <w:style w:type="paragraph" w:styleId="20">
    <w:name w:val="annotation subject"/>
    <w:basedOn w:val="9"/>
    <w:next w:val="9"/>
    <w:link w:val="39"/>
    <w:qFormat/>
    <w:uiPriority w:val="0"/>
    <w:rPr>
      <w:b/>
      <w:bCs/>
    </w:rPr>
  </w:style>
  <w:style w:type="paragraph" w:styleId="21">
    <w:name w:val="Body Text First Indent"/>
    <w:basedOn w:val="2"/>
    <w:qFormat/>
    <w:uiPriority w:val="0"/>
    <w:pPr>
      <w:spacing w:after="120"/>
      <w:ind w:firstLine="420" w:firstLineChars="100"/>
    </w:pPr>
    <w:rPr>
      <w:rFonts w:ascii="Calibri" w:hAnsi="Calibri"/>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page number"/>
    <w:qFormat/>
    <w:uiPriority w:val="0"/>
  </w:style>
  <w:style w:type="character" w:styleId="26">
    <w:name w:val="FollowedHyperlink"/>
    <w:basedOn w:val="24"/>
    <w:qFormat/>
    <w:uiPriority w:val="0"/>
    <w:rPr>
      <w:color w:val="3D3D3D"/>
      <w:u w:val="none"/>
    </w:rPr>
  </w:style>
  <w:style w:type="character" w:styleId="27">
    <w:name w:val="HTML Definition"/>
    <w:basedOn w:val="24"/>
    <w:qFormat/>
    <w:uiPriority w:val="0"/>
  </w:style>
  <w:style w:type="character" w:styleId="28">
    <w:name w:val="HTML Variable"/>
    <w:basedOn w:val="24"/>
    <w:qFormat/>
    <w:uiPriority w:val="0"/>
  </w:style>
  <w:style w:type="character" w:styleId="29">
    <w:name w:val="Hyperlink"/>
    <w:basedOn w:val="24"/>
    <w:qFormat/>
    <w:uiPriority w:val="0"/>
    <w:rPr>
      <w:color w:val="3D3D3D"/>
      <w:u w:val="none"/>
    </w:rPr>
  </w:style>
  <w:style w:type="character" w:styleId="30">
    <w:name w:val="HTML Code"/>
    <w:basedOn w:val="24"/>
    <w:qFormat/>
    <w:uiPriority w:val="0"/>
    <w:rPr>
      <w:rFonts w:ascii="Courier New" w:hAnsi="Courier New"/>
      <w:sz w:val="20"/>
    </w:rPr>
  </w:style>
  <w:style w:type="character" w:styleId="31">
    <w:name w:val="annotation reference"/>
    <w:qFormat/>
    <w:uiPriority w:val="0"/>
    <w:rPr>
      <w:sz w:val="21"/>
      <w:szCs w:val="21"/>
    </w:rPr>
  </w:style>
  <w:style w:type="character" w:styleId="32">
    <w:name w:val="HTML Cite"/>
    <w:basedOn w:val="24"/>
    <w:qFormat/>
    <w:uiPriority w:val="0"/>
  </w:style>
  <w:style w:type="paragraph" w:customStyle="1" w:styleId="3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4">
    <w:name w:val="批注框文本 Char"/>
    <w:link w:val="14"/>
    <w:qFormat/>
    <w:uiPriority w:val="0"/>
    <w:rPr>
      <w:kern w:val="2"/>
      <w:sz w:val="18"/>
      <w:szCs w:val="18"/>
    </w:rPr>
  </w:style>
  <w:style w:type="character" w:customStyle="1" w:styleId="35">
    <w:name w:val="font101"/>
    <w:qFormat/>
    <w:uiPriority w:val="0"/>
    <w:rPr>
      <w:rFonts w:hint="eastAsia" w:ascii="宋体" w:hAnsi="宋体" w:eastAsia="宋体" w:cs="宋体"/>
      <w:color w:val="000000"/>
      <w:sz w:val="21"/>
      <w:szCs w:val="21"/>
      <w:u w:val="single"/>
    </w:rPr>
  </w:style>
  <w:style w:type="character" w:customStyle="1" w:styleId="36">
    <w:name w:val="纯文本 Char"/>
    <w:link w:val="11"/>
    <w:qFormat/>
    <w:uiPriority w:val="0"/>
    <w:rPr>
      <w:rFonts w:ascii="宋体" w:hAnsi="Courier New"/>
      <w:kern w:val="2"/>
      <w:sz w:val="21"/>
      <w:szCs w:val="24"/>
    </w:rPr>
  </w:style>
  <w:style w:type="character" w:customStyle="1" w:styleId="37">
    <w:name w:val="font111"/>
    <w:qFormat/>
    <w:uiPriority w:val="0"/>
    <w:rPr>
      <w:rFonts w:hint="default" w:ascii="Eʩ" w:hAnsi="Eʩ" w:eastAsia="Eʩ" w:cs="Eʩ"/>
      <w:color w:val="000000"/>
      <w:sz w:val="21"/>
      <w:szCs w:val="21"/>
      <w:u w:val="single"/>
    </w:rPr>
  </w:style>
  <w:style w:type="character" w:customStyle="1" w:styleId="38">
    <w:name w:val="正文文本缩进 Char"/>
    <w:link w:val="10"/>
    <w:qFormat/>
    <w:uiPriority w:val="0"/>
    <w:rPr>
      <w:kern w:val="2"/>
      <w:sz w:val="32"/>
    </w:rPr>
  </w:style>
  <w:style w:type="character" w:customStyle="1" w:styleId="39">
    <w:name w:val="批注主题 Char"/>
    <w:link w:val="20"/>
    <w:qFormat/>
    <w:uiPriority w:val="0"/>
    <w:rPr>
      <w:b/>
      <w:bCs/>
      <w:kern w:val="2"/>
      <w:sz w:val="21"/>
      <w:szCs w:val="24"/>
    </w:rPr>
  </w:style>
  <w:style w:type="character" w:customStyle="1" w:styleId="40">
    <w:name w:val="font31"/>
    <w:qFormat/>
    <w:uiPriority w:val="0"/>
    <w:rPr>
      <w:rFonts w:hint="eastAsia" w:ascii="宋体" w:hAnsi="宋体" w:eastAsia="宋体" w:cs="宋体"/>
      <w:color w:val="000000"/>
      <w:sz w:val="21"/>
      <w:szCs w:val="21"/>
      <w:u w:val="none"/>
    </w:rPr>
  </w:style>
  <w:style w:type="character" w:customStyle="1" w:styleId="41">
    <w:name w:val="正文缩进 Char"/>
    <w:link w:val="7"/>
    <w:qFormat/>
    <w:uiPriority w:val="0"/>
    <w:rPr>
      <w:kern w:val="2"/>
      <w:sz w:val="21"/>
      <w:szCs w:val="24"/>
    </w:rPr>
  </w:style>
  <w:style w:type="character" w:customStyle="1" w:styleId="42">
    <w:name w:val="font91"/>
    <w:qFormat/>
    <w:uiPriority w:val="0"/>
    <w:rPr>
      <w:rFonts w:hint="eastAsia" w:ascii="宋体" w:hAnsi="宋体" w:eastAsia="宋体" w:cs="宋体"/>
      <w:color w:val="FF0000"/>
      <w:sz w:val="21"/>
      <w:szCs w:val="21"/>
      <w:u w:val="single"/>
    </w:rPr>
  </w:style>
  <w:style w:type="character" w:customStyle="1" w:styleId="43">
    <w:name w:val="批注文字 Char"/>
    <w:link w:val="9"/>
    <w:qFormat/>
    <w:uiPriority w:val="0"/>
    <w:rPr>
      <w:kern w:val="2"/>
      <w:sz w:val="21"/>
      <w:szCs w:val="24"/>
    </w:rPr>
  </w:style>
  <w:style w:type="character" w:customStyle="1" w:styleId="44">
    <w:name w:val="文档结构图 Char"/>
    <w:link w:val="8"/>
    <w:qFormat/>
    <w:uiPriority w:val="0"/>
    <w:rPr>
      <w:rFonts w:ascii="宋体"/>
      <w:kern w:val="2"/>
      <w:sz w:val="18"/>
      <w:szCs w:val="18"/>
    </w:rPr>
  </w:style>
  <w:style w:type="character" w:customStyle="1" w:styleId="45">
    <w:name w:val="标题 1 Char"/>
    <w:link w:val="3"/>
    <w:qFormat/>
    <w:uiPriority w:val="0"/>
    <w:rPr>
      <w:b/>
      <w:bCs/>
      <w:kern w:val="44"/>
      <w:sz w:val="44"/>
      <w:szCs w:val="44"/>
    </w:rPr>
  </w:style>
  <w:style w:type="paragraph" w:customStyle="1" w:styleId="46">
    <w:name w:val="目录 91"/>
    <w:basedOn w:val="1"/>
    <w:next w:val="1"/>
    <w:qFormat/>
    <w:uiPriority w:val="0"/>
    <w:pPr>
      <w:ind w:left="3360" w:leftChars="1600"/>
    </w:pPr>
  </w:style>
  <w:style w:type="paragraph" w:customStyle="1" w:styleId="47">
    <w:name w:val="目录 51"/>
    <w:basedOn w:val="1"/>
    <w:next w:val="1"/>
    <w:qFormat/>
    <w:uiPriority w:val="0"/>
    <w:pPr>
      <w:ind w:left="1680" w:leftChars="800"/>
    </w:pPr>
  </w:style>
  <w:style w:type="paragraph" w:customStyle="1" w:styleId="48">
    <w:name w:val="目录 71"/>
    <w:basedOn w:val="1"/>
    <w:next w:val="1"/>
    <w:qFormat/>
    <w:uiPriority w:val="0"/>
    <w:pPr>
      <w:ind w:left="2520" w:leftChars="1200"/>
    </w:pPr>
  </w:style>
  <w:style w:type="paragraph" w:customStyle="1" w:styleId="49">
    <w:name w:val="目录 41"/>
    <w:basedOn w:val="1"/>
    <w:next w:val="1"/>
    <w:qFormat/>
    <w:uiPriority w:val="0"/>
    <w:pPr>
      <w:ind w:left="1260" w:leftChars="600"/>
    </w:pPr>
  </w:style>
  <w:style w:type="paragraph" w:customStyle="1" w:styleId="50">
    <w:name w:val="目录 21"/>
    <w:basedOn w:val="1"/>
    <w:next w:val="1"/>
    <w:qFormat/>
    <w:uiPriority w:val="0"/>
    <w:pPr>
      <w:ind w:left="420" w:leftChars="200"/>
    </w:pPr>
  </w:style>
  <w:style w:type="paragraph" w:customStyle="1" w:styleId="51">
    <w:name w:val="目录 61"/>
    <w:basedOn w:val="1"/>
    <w:next w:val="1"/>
    <w:qFormat/>
    <w:uiPriority w:val="0"/>
    <w:pPr>
      <w:ind w:left="2100" w:leftChars="1000"/>
    </w:pPr>
  </w:style>
  <w:style w:type="paragraph" w:customStyle="1" w:styleId="52">
    <w:name w:val="目录 81"/>
    <w:basedOn w:val="1"/>
    <w:next w:val="1"/>
    <w:qFormat/>
    <w:uiPriority w:val="0"/>
    <w:pPr>
      <w:ind w:left="2940" w:leftChars="1400"/>
    </w:pPr>
  </w:style>
  <w:style w:type="paragraph" w:customStyle="1" w:styleId="53">
    <w:name w:val="目录 31"/>
    <w:basedOn w:val="1"/>
    <w:next w:val="1"/>
    <w:qFormat/>
    <w:uiPriority w:val="0"/>
    <w:pPr>
      <w:ind w:left="840" w:leftChars="400"/>
    </w:pPr>
  </w:style>
  <w:style w:type="paragraph" w:customStyle="1" w:styleId="54">
    <w:name w:val="目录 11"/>
    <w:basedOn w:val="1"/>
    <w:next w:val="1"/>
    <w:qFormat/>
    <w:uiPriority w:val="0"/>
  </w:style>
  <w:style w:type="paragraph" w:customStyle="1" w:styleId="55">
    <w:name w:val="_Style 2"/>
    <w:basedOn w:val="1"/>
    <w:qFormat/>
    <w:uiPriority w:val="0"/>
    <w:pPr>
      <w:ind w:firstLine="420" w:firstLineChars="200"/>
    </w:pPr>
    <w:rPr>
      <w:sz w:val="18"/>
      <w:szCs w:val="18"/>
    </w:rPr>
  </w:style>
  <w:style w:type="paragraph" w:customStyle="1" w:styleId="56">
    <w:name w:val="正文首行缩进两字符"/>
    <w:basedOn w:val="57"/>
    <w:qFormat/>
    <w:uiPriority w:val="0"/>
    <w:pPr>
      <w:spacing w:line="360" w:lineRule="auto"/>
      <w:ind w:firstLine="200" w:firstLineChars="200"/>
    </w:pPr>
  </w:style>
  <w:style w:type="paragraph" w:customStyle="1" w:styleId="57">
    <w:name w:val="正文1"/>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58">
    <w:name w:val="样式 首行缩进:  2 字符"/>
    <w:basedOn w:val="1"/>
    <w:next w:val="18"/>
    <w:qFormat/>
    <w:uiPriority w:val="0"/>
    <w:pPr>
      <w:spacing w:line="400" w:lineRule="exact"/>
      <w:ind w:firstLine="200" w:firstLineChars="200"/>
    </w:pPr>
    <w:rPr>
      <w:rFonts w:cs="宋体"/>
      <w:sz w:val="24"/>
    </w:rPr>
  </w:style>
  <w:style w:type="paragraph" w:customStyle="1" w:styleId="59">
    <w:name w:val="TableNormal"/>
    <w:basedOn w:val="1"/>
    <w:qFormat/>
    <w:uiPriority w:val="0"/>
    <w:pPr>
      <w:widowControl/>
      <w:spacing w:before="40" w:after="40" w:line="264" w:lineRule="auto"/>
      <w:jc w:val="left"/>
    </w:pPr>
    <w:rPr>
      <w:rFonts w:ascii="Arial" w:hAnsi="Arial"/>
      <w:kern w:val="0"/>
      <w:szCs w:val="20"/>
      <w:lang w:eastAsia="en-US"/>
    </w:rPr>
  </w:style>
  <w:style w:type="paragraph" w:customStyle="1" w:styleId="60">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61">
    <w:name w:val="_正文段落"/>
    <w:basedOn w:val="1"/>
    <w:qFormat/>
    <w:uiPriority w:val="0"/>
    <w:pPr>
      <w:spacing w:line="360" w:lineRule="auto"/>
    </w:pPr>
    <w:rPr>
      <w:rFonts w:ascii="宋体" w:eastAsia="仿宋_GB2312"/>
      <w:kern w:val="0"/>
      <w:sz w:val="28"/>
    </w:rPr>
  </w:style>
  <w:style w:type="paragraph" w:styleId="62">
    <w:name w:val="List Paragraph"/>
    <w:basedOn w:val="1"/>
    <w:qFormat/>
    <w:uiPriority w:val="0"/>
    <w:pPr>
      <w:ind w:firstLine="420" w:firstLineChars="200"/>
    </w:pPr>
    <w:rPr>
      <w:sz w:val="20"/>
    </w:rPr>
  </w:style>
  <w:style w:type="character" w:customStyle="1" w:styleId="63">
    <w:name w:val="img"/>
    <w:basedOn w:val="24"/>
    <w:qFormat/>
    <w:uiPriority w:val="0"/>
  </w:style>
  <w:style w:type="character" w:customStyle="1" w:styleId="64">
    <w:name w:val="img1"/>
    <w:basedOn w:val="24"/>
    <w:qFormat/>
    <w:uiPriority w:val="0"/>
  </w:style>
  <w:style w:type="paragraph" w:styleId="65">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66">
    <w:name w:val="Table Paragraph"/>
    <w:basedOn w:val="1"/>
    <w:qFormat/>
    <w:uiPriority w:val="1"/>
    <w:pPr>
      <w:autoSpaceDE w:val="0"/>
      <w:autoSpaceDN w:val="0"/>
      <w:jc w:val="left"/>
    </w:pPr>
    <w:rPr>
      <w:rFonts w:ascii="宋体" w:hAnsi="宋体" w:cs="宋体"/>
      <w:kern w:val="0"/>
      <w:sz w:val="22"/>
      <w:szCs w:val="22"/>
      <w:lang w:val="zh-CN" w:bidi="zh-CN"/>
    </w:rPr>
  </w:style>
  <w:style w:type="character" w:customStyle="1" w:styleId="67">
    <w:name w:val="页脚 Char"/>
    <w:link w:val="15"/>
    <w:qFormat/>
    <w:locked/>
    <w:uiPriority w:val="0"/>
    <w:rPr>
      <w:rFonts w:ascii="Times New Roman" w:hAnsi="Times New Roman"/>
      <w:kern w:val="2"/>
      <w:sz w:val="18"/>
    </w:rPr>
  </w:style>
  <w:style w:type="character" w:customStyle="1" w:styleId="68">
    <w:name w:val="页眉 Char"/>
    <w:link w:val="16"/>
    <w:qFormat/>
    <w:locked/>
    <w:uiPriority w:val="0"/>
    <w:rPr>
      <w:rFonts w:ascii="Times New Roman" w:hAnsi="Times New Roman"/>
      <w:kern w:val="2"/>
      <w:sz w:val="18"/>
    </w:rPr>
  </w:style>
  <w:style w:type="character" w:customStyle="1" w:styleId="69">
    <w:name w:val="正文文本 Char"/>
    <w:link w:val="2"/>
    <w:qFormat/>
    <w:uiPriority w:val="99"/>
    <w:rPr>
      <w:rFonts w:ascii="Times New Roman" w:hAnsi="Times New Roman"/>
      <w:color w:val="000000"/>
      <w:kern w:val="2"/>
      <w:sz w:val="21"/>
      <w:szCs w:val="24"/>
    </w:rPr>
  </w:style>
  <w:style w:type="character" w:customStyle="1" w:styleId="70">
    <w:name w:val="正文文本缩进 2 Char"/>
    <w:link w:val="13"/>
    <w:qFormat/>
    <w:uiPriority w:val="0"/>
    <w:rPr>
      <w:rFonts w:ascii="Times New Roman" w:hAnsi="Times New Roman"/>
      <w:kern w:val="2"/>
      <w:sz w:val="21"/>
      <w:szCs w:val="24"/>
    </w:rPr>
  </w:style>
  <w:style w:type="character" w:customStyle="1" w:styleId="71">
    <w:name w:val="标题 2 Char"/>
    <w:link w:val="4"/>
    <w:qFormat/>
    <w:uiPriority w:val="0"/>
    <w:rPr>
      <w:rFonts w:ascii="Arial" w:hAnsi="Arial" w:eastAsia="黑体"/>
      <w:b/>
      <w:bCs/>
      <w:kern w:val="2"/>
      <w:sz w:val="32"/>
      <w:szCs w:val="32"/>
    </w:rPr>
  </w:style>
  <w:style w:type="paragraph" w:customStyle="1" w:styleId="72">
    <w:name w:val="Char Char1 Char Char Char Char"/>
    <w:basedOn w:val="1"/>
    <w:qFormat/>
    <w:uiPriority w:val="0"/>
    <w:pPr>
      <w:spacing w:line="240" w:lineRule="atLeast"/>
      <w:ind w:left="420" w:firstLine="420"/>
    </w:pPr>
    <w:rPr>
      <w:rFonts w:ascii="仿宋_GB2312" w:eastAsia="仿宋_GB2312"/>
      <w:bCs/>
      <w:sz w:val="32"/>
    </w:rPr>
  </w:style>
  <w:style w:type="character" w:customStyle="1" w:styleId="73">
    <w:name w:val="正文文本缩进 2 字符1"/>
    <w:basedOn w:val="24"/>
    <w:semiHidden/>
    <w:qFormat/>
    <w:uiPriority w:val="0"/>
    <w:rPr>
      <w:rFonts w:ascii="Times New Roman" w:hAnsi="Times New Roman"/>
      <w:kern w:val="2"/>
      <w:sz w:val="21"/>
      <w:szCs w:val="24"/>
    </w:rPr>
  </w:style>
  <w:style w:type="paragraph" w:customStyle="1" w:styleId="74">
    <w:name w:val="正文缩进2格"/>
    <w:basedOn w:val="1"/>
    <w:qFormat/>
    <w:uiPriority w:val="0"/>
    <w:pPr>
      <w:spacing w:line="600" w:lineRule="exact"/>
      <w:ind w:firstLine="639" w:firstLineChars="206"/>
    </w:pPr>
    <w:rPr>
      <w:rFonts w:ascii="仿宋_GB2312" w:hAnsi="宋体" w:eastAsia="仿宋_GB2312"/>
      <w:sz w:val="31"/>
      <w:szCs w:val="20"/>
    </w:rPr>
  </w:style>
  <w:style w:type="paragraph" w:customStyle="1" w:styleId="75">
    <w:name w:val="正文文本缩进 New"/>
    <w:basedOn w:val="76"/>
    <w:qFormat/>
    <w:uiPriority w:val="99"/>
    <w:pPr>
      <w:spacing w:line="480" w:lineRule="auto"/>
      <w:ind w:firstLine="570"/>
    </w:pPr>
    <w:rPr>
      <w:sz w:val="28"/>
      <w:szCs w:val="20"/>
    </w:rPr>
  </w:style>
  <w:style w:type="paragraph" w:customStyle="1" w:styleId="76">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77">
    <w:name w:val="font51"/>
    <w:basedOn w:val="24"/>
    <w:uiPriority w:val="0"/>
    <w:rPr>
      <w:rFonts w:hint="eastAsia" w:ascii="仿宋" w:hAnsi="仿宋" w:eastAsia="仿宋" w:cs="仿宋"/>
      <w:color w:val="000000"/>
      <w:sz w:val="24"/>
      <w:szCs w:val="24"/>
      <w:u w:val="none"/>
    </w:rPr>
  </w:style>
  <w:style w:type="character" w:customStyle="1" w:styleId="78">
    <w:name w:val="font11"/>
    <w:basedOn w:val="24"/>
    <w:qFormat/>
    <w:uiPriority w:val="0"/>
    <w:rPr>
      <w:rFonts w:hint="eastAsia" w:ascii="仿宋" w:hAnsi="仿宋" w:eastAsia="仿宋" w:cs="仿宋"/>
      <w:color w:val="000000"/>
      <w:sz w:val="24"/>
      <w:szCs w:val="24"/>
      <w:u w:val="none"/>
      <w:vertAlign w:val="subscript"/>
    </w:rPr>
  </w:style>
  <w:style w:type="character" w:customStyle="1" w:styleId="79">
    <w:name w:val="font61"/>
    <w:basedOn w:val="24"/>
    <w:uiPriority w:val="0"/>
    <w:rPr>
      <w:rFonts w:hint="eastAsia" w:ascii="仿宋" w:hAnsi="仿宋" w:eastAsia="仿宋" w:cs="仿宋"/>
      <w:color w:val="000000"/>
      <w:sz w:val="36"/>
      <w:szCs w:val="36"/>
      <w:u w:val="none"/>
    </w:rPr>
  </w:style>
  <w:style w:type="character" w:customStyle="1" w:styleId="80">
    <w:name w:val="font41"/>
    <w:basedOn w:val="24"/>
    <w:qFormat/>
    <w:uiPriority w:val="0"/>
    <w:rPr>
      <w:rFonts w:hint="eastAsia" w:ascii="仿宋" w:hAnsi="仿宋" w:eastAsia="仿宋" w:cs="仿宋"/>
      <w:color w:val="000000"/>
      <w:sz w:val="24"/>
      <w:szCs w:val="24"/>
      <w:u w:val="none"/>
    </w:rPr>
  </w:style>
  <w:style w:type="paragraph" w:styleId="81">
    <w:name w:val="Quote"/>
    <w:basedOn w:val="1"/>
    <w:next w:val="1"/>
    <w:qFormat/>
    <w:uiPriority w:val="0"/>
    <w:pPr>
      <w:wordWrap w:val="0"/>
      <w:spacing w:before="200" w:after="160"/>
      <w:ind w:left="864" w:right="864"/>
      <w:jc w:val="center"/>
    </w:pPr>
    <w:rPr>
      <w:i/>
      <w:sz w:val="21"/>
      <w:lang w:val="en-US" w:eastAsia="zh-CN" w:bidi="ar-SA"/>
    </w:rPr>
  </w:style>
  <w:style w:type="paragraph" w:customStyle="1" w:styleId="82">
    <w:name w:val="表格"/>
    <w:basedOn w:val="1"/>
    <w:qFormat/>
    <w:uiPriority w:val="0"/>
    <w:pPr>
      <w:spacing w:line="400" w:lineRule="exact"/>
    </w:pPr>
    <w:rPr>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4101" textRotate="1"/>
    <customShpInfo spid="_x0000_s4098"/>
    <customShpInfo spid="_x0000_s4097"/>
    <customShpInfo spid="_x0000_s4100" textRotate="1"/>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EFE1C7-AF5B-4849-B900-2949B3F24D98}">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99</Pages>
  <Words>44967</Words>
  <Characters>47051</Characters>
  <Lines>345</Lines>
  <Paragraphs>97</Paragraphs>
  <TotalTime>10</TotalTime>
  <ScaleCrop>false</ScaleCrop>
  <LinksUpToDate>false</LinksUpToDate>
  <CharactersWithSpaces>49376</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2020-08-17T09:23:00Z</dcterms:created>
  <dc:creator>admin</dc:creator>
  <cp:lastModifiedBy>Administrator</cp:lastModifiedBy>
  <cp:lastPrinted>2020-08-26T00:09:00Z</cp:lastPrinted>
  <dcterms:modified xsi:type="dcterms:W3CDTF">2021-08-31T06:26:08Z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3BECDE5844E84C0D89D41016E55CD427</vt:lpwstr>
  </property>
</Properties>
</file>