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right"/>
        <w:rPr>
          <w:rFonts w:ascii="宋体" w:hAnsi="宋体"/>
          <w:b/>
          <w:color w:val="auto"/>
          <w:sz w:val="30"/>
          <w:szCs w:val="30"/>
          <w:highlight w:val="none"/>
        </w:rPr>
      </w:pPr>
      <w:r>
        <w:rPr>
          <w:rFonts w:hint="eastAsia" w:ascii="宋体" w:hAnsi="宋体"/>
          <w:b/>
          <w:color w:val="auto"/>
          <w:sz w:val="30"/>
          <w:szCs w:val="30"/>
          <w:highlight w:val="none"/>
        </w:rPr>
        <w:t>项目编号：[510184202100163]</w:t>
      </w:r>
    </w:p>
    <w:p>
      <w:pPr>
        <w:rPr>
          <w:rFonts w:ascii="宋体" w:hAnsi="宋体"/>
          <w:b/>
          <w:color w:val="auto"/>
          <w:sz w:val="52"/>
          <w:szCs w:val="52"/>
          <w:highlight w:val="none"/>
        </w:rPr>
      </w:pPr>
    </w:p>
    <w:p>
      <w:pPr>
        <w:jc w:val="center"/>
        <w:rPr>
          <w:rFonts w:ascii="宋体" w:hAnsi="宋体"/>
          <w:b/>
          <w:color w:val="auto"/>
          <w:sz w:val="56"/>
          <w:szCs w:val="56"/>
          <w:highlight w:val="none"/>
          <w:u w:val="single"/>
        </w:rPr>
      </w:pPr>
    </w:p>
    <w:p>
      <w:pPr>
        <w:jc w:val="center"/>
        <w:rPr>
          <w:rFonts w:ascii="宋体" w:hAnsi="宋体"/>
          <w:b/>
          <w:color w:val="auto"/>
          <w:sz w:val="48"/>
          <w:szCs w:val="48"/>
          <w:highlight w:val="none"/>
        </w:rPr>
      </w:pPr>
      <w:r>
        <w:rPr>
          <w:rFonts w:hint="eastAsia" w:ascii="宋体" w:hAnsi="宋体"/>
          <w:b/>
          <w:color w:val="auto"/>
          <w:sz w:val="48"/>
          <w:szCs w:val="48"/>
          <w:highlight w:val="none"/>
        </w:rPr>
        <w:t>崇州市城市更新专项规划和更新单元实施规划编制(第二次)</w:t>
      </w:r>
    </w:p>
    <w:p>
      <w:pPr>
        <w:rPr>
          <w:rFonts w:ascii="宋体" w:hAnsi="宋体"/>
          <w:b/>
          <w:color w:val="auto"/>
          <w:sz w:val="52"/>
          <w:szCs w:val="52"/>
          <w:highlight w:val="none"/>
        </w:rPr>
      </w:pPr>
    </w:p>
    <w:p>
      <w:pPr>
        <w:tabs>
          <w:tab w:val="left" w:pos="2505"/>
          <w:tab w:val="center" w:pos="4204"/>
        </w:tabs>
        <w:jc w:val="center"/>
        <w:rPr>
          <w:rFonts w:ascii="宋体" w:hAnsi="宋体"/>
          <w:b/>
          <w:color w:val="auto"/>
          <w:sz w:val="52"/>
          <w:szCs w:val="52"/>
          <w:highlight w:val="none"/>
        </w:rPr>
      </w:pPr>
    </w:p>
    <w:p>
      <w:pPr>
        <w:jc w:val="center"/>
        <w:rPr>
          <w:rFonts w:ascii="宋体" w:hAnsi="宋体"/>
          <w:b/>
          <w:color w:val="auto"/>
          <w:sz w:val="52"/>
          <w:szCs w:val="52"/>
          <w:highlight w:val="none"/>
        </w:rPr>
      </w:pPr>
      <w:r>
        <w:rPr>
          <w:rFonts w:hint="eastAsia" w:ascii="宋体" w:hAnsi="宋体"/>
          <w:b/>
          <w:color w:val="auto"/>
          <w:sz w:val="52"/>
          <w:szCs w:val="52"/>
          <w:highlight w:val="none"/>
        </w:rPr>
        <w:t>竞</w:t>
      </w:r>
    </w:p>
    <w:p>
      <w:pPr>
        <w:jc w:val="center"/>
        <w:rPr>
          <w:rFonts w:ascii="宋体" w:hAnsi="宋体"/>
          <w:b/>
          <w:color w:val="auto"/>
          <w:sz w:val="52"/>
          <w:szCs w:val="52"/>
          <w:highlight w:val="none"/>
        </w:rPr>
      </w:pPr>
      <w:r>
        <w:rPr>
          <w:rFonts w:hint="eastAsia" w:ascii="宋体" w:hAnsi="宋体"/>
          <w:b/>
          <w:color w:val="auto"/>
          <w:sz w:val="52"/>
          <w:szCs w:val="52"/>
          <w:highlight w:val="none"/>
        </w:rPr>
        <w:t>争</w:t>
      </w:r>
    </w:p>
    <w:p>
      <w:pPr>
        <w:jc w:val="center"/>
        <w:rPr>
          <w:rFonts w:ascii="宋体" w:hAnsi="宋体"/>
          <w:b/>
          <w:color w:val="auto"/>
          <w:sz w:val="52"/>
          <w:szCs w:val="52"/>
          <w:highlight w:val="none"/>
        </w:rPr>
      </w:pPr>
      <w:r>
        <w:rPr>
          <w:rFonts w:hint="eastAsia" w:ascii="宋体" w:hAnsi="宋体"/>
          <w:b/>
          <w:color w:val="auto"/>
          <w:sz w:val="52"/>
          <w:szCs w:val="52"/>
          <w:highlight w:val="none"/>
        </w:rPr>
        <w:t>性</w:t>
      </w:r>
    </w:p>
    <w:p>
      <w:pPr>
        <w:jc w:val="center"/>
        <w:rPr>
          <w:rFonts w:ascii="宋体" w:hAnsi="宋体"/>
          <w:b/>
          <w:color w:val="auto"/>
          <w:sz w:val="52"/>
          <w:szCs w:val="52"/>
          <w:highlight w:val="none"/>
        </w:rPr>
      </w:pPr>
      <w:r>
        <w:rPr>
          <w:rFonts w:hint="eastAsia" w:ascii="宋体" w:hAnsi="宋体"/>
          <w:b/>
          <w:color w:val="auto"/>
          <w:sz w:val="52"/>
          <w:szCs w:val="52"/>
          <w:highlight w:val="none"/>
        </w:rPr>
        <w:t>磋</w:t>
      </w:r>
    </w:p>
    <w:p>
      <w:pPr>
        <w:jc w:val="center"/>
        <w:rPr>
          <w:rFonts w:ascii="宋体" w:hAnsi="宋体"/>
          <w:b/>
          <w:color w:val="auto"/>
          <w:sz w:val="52"/>
          <w:szCs w:val="52"/>
          <w:highlight w:val="none"/>
        </w:rPr>
      </w:pPr>
      <w:r>
        <w:rPr>
          <w:rFonts w:hint="eastAsia" w:ascii="宋体" w:hAnsi="宋体"/>
          <w:b/>
          <w:color w:val="auto"/>
          <w:sz w:val="52"/>
          <w:szCs w:val="52"/>
          <w:highlight w:val="none"/>
        </w:rPr>
        <w:t>商</w:t>
      </w:r>
    </w:p>
    <w:p>
      <w:pPr>
        <w:jc w:val="center"/>
        <w:rPr>
          <w:rFonts w:ascii="宋体" w:hAnsi="宋体"/>
          <w:b/>
          <w:color w:val="auto"/>
          <w:sz w:val="52"/>
          <w:szCs w:val="52"/>
          <w:highlight w:val="none"/>
        </w:rPr>
      </w:pPr>
      <w:r>
        <w:rPr>
          <w:rFonts w:hint="eastAsia" w:ascii="宋体" w:hAnsi="宋体"/>
          <w:b/>
          <w:color w:val="auto"/>
          <w:sz w:val="52"/>
          <w:szCs w:val="52"/>
          <w:highlight w:val="none"/>
        </w:rPr>
        <w:t>文</w:t>
      </w:r>
    </w:p>
    <w:p>
      <w:pPr>
        <w:jc w:val="center"/>
        <w:rPr>
          <w:rFonts w:ascii="宋体" w:hAnsi="宋体"/>
          <w:b/>
          <w:color w:val="auto"/>
          <w:sz w:val="32"/>
          <w:szCs w:val="32"/>
          <w:highlight w:val="none"/>
        </w:rPr>
      </w:pPr>
      <w:r>
        <w:rPr>
          <w:rFonts w:hint="eastAsia" w:ascii="宋体" w:hAnsi="宋体"/>
          <w:b/>
          <w:color w:val="auto"/>
          <w:sz w:val="52"/>
          <w:szCs w:val="52"/>
          <w:highlight w:val="none"/>
        </w:rPr>
        <w:t>件</w:t>
      </w:r>
    </w:p>
    <w:p>
      <w:pPr>
        <w:pStyle w:val="2"/>
        <w:rPr>
          <w:color w:val="auto"/>
          <w:highlight w:val="none"/>
        </w:rPr>
      </w:pPr>
    </w:p>
    <w:p>
      <w:pPr>
        <w:spacing w:line="360" w:lineRule="auto"/>
        <w:rPr>
          <w:rFonts w:ascii="宋体" w:hAnsi="宋体"/>
          <w:b/>
          <w:color w:val="auto"/>
          <w:sz w:val="32"/>
          <w:szCs w:val="32"/>
          <w:highlight w:val="none"/>
        </w:rPr>
      </w:pPr>
    </w:p>
    <w:p>
      <w:pPr>
        <w:spacing w:line="360" w:lineRule="auto"/>
        <w:rPr>
          <w:rFonts w:ascii="宋体" w:hAnsi="宋体"/>
          <w:b/>
          <w:color w:val="auto"/>
          <w:sz w:val="32"/>
          <w:szCs w:val="32"/>
          <w:highlight w:val="none"/>
        </w:rPr>
      </w:pPr>
    </w:p>
    <w:p>
      <w:pPr>
        <w:spacing w:line="360" w:lineRule="auto"/>
        <w:jc w:val="center"/>
        <w:rPr>
          <w:rFonts w:ascii="宋体" w:hAnsi="宋体"/>
          <w:b/>
          <w:color w:val="auto"/>
          <w:sz w:val="32"/>
          <w:szCs w:val="32"/>
          <w:highlight w:val="none"/>
        </w:rPr>
      </w:pPr>
      <w:r>
        <w:rPr>
          <w:rFonts w:hint="eastAsia" w:ascii="宋体" w:hAnsi="宋体"/>
          <w:b/>
          <w:color w:val="auto"/>
          <w:sz w:val="32"/>
          <w:szCs w:val="32"/>
          <w:highlight w:val="none"/>
        </w:rPr>
        <w:t>中国·四川</w:t>
      </w:r>
    </w:p>
    <w:p>
      <w:pPr>
        <w:spacing w:line="360" w:lineRule="auto"/>
        <w:jc w:val="center"/>
        <w:rPr>
          <w:rFonts w:ascii="宋体" w:hAnsi="宋体"/>
          <w:b/>
          <w:color w:val="auto"/>
          <w:sz w:val="32"/>
          <w:szCs w:val="32"/>
          <w:highlight w:val="none"/>
        </w:rPr>
      </w:pPr>
      <w:r>
        <w:rPr>
          <w:rFonts w:hint="eastAsia" w:ascii="宋体" w:hAnsi="宋体"/>
          <w:b/>
          <w:color w:val="auto"/>
          <w:sz w:val="32"/>
          <w:szCs w:val="32"/>
          <w:highlight w:val="none"/>
        </w:rPr>
        <w:t>崇州市住房和城乡建设局</w:t>
      </w:r>
    </w:p>
    <w:p>
      <w:pPr>
        <w:spacing w:line="360" w:lineRule="auto"/>
        <w:jc w:val="center"/>
        <w:rPr>
          <w:rFonts w:ascii="宋体" w:hAnsi="宋体"/>
          <w:b/>
          <w:color w:val="auto"/>
          <w:sz w:val="32"/>
          <w:szCs w:val="32"/>
          <w:highlight w:val="none"/>
        </w:rPr>
      </w:pPr>
      <w:r>
        <w:rPr>
          <w:rFonts w:hint="eastAsia" w:ascii="宋体" w:hAnsi="宋体"/>
          <w:b/>
          <w:color w:val="auto"/>
          <w:sz w:val="32"/>
          <w:szCs w:val="32"/>
          <w:highlight w:val="none"/>
        </w:rPr>
        <w:t>成都一问工程技术咨询有限公司</w:t>
      </w:r>
    </w:p>
    <w:p>
      <w:pPr>
        <w:spacing w:line="360" w:lineRule="auto"/>
        <w:jc w:val="center"/>
        <w:rPr>
          <w:rFonts w:ascii="宋体" w:hAnsi="宋体"/>
          <w:b/>
          <w:color w:val="auto"/>
          <w:sz w:val="32"/>
          <w:szCs w:val="32"/>
          <w:highlight w:val="none"/>
        </w:rPr>
      </w:pPr>
      <w:r>
        <w:rPr>
          <w:rFonts w:hint="eastAsia" w:ascii="宋体" w:hAnsi="宋体"/>
          <w:b/>
          <w:color w:val="auto"/>
          <w:sz w:val="32"/>
          <w:szCs w:val="32"/>
          <w:highlight w:val="none"/>
        </w:rPr>
        <w:t>共同编制</w:t>
      </w:r>
    </w:p>
    <w:p>
      <w:pPr>
        <w:spacing w:line="360" w:lineRule="auto"/>
        <w:jc w:val="center"/>
        <w:rPr>
          <w:rFonts w:ascii="宋体" w:hAnsi="宋体"/>
          <w:color w:val="auto"/>
          <w:sz w:val="24"/>
          <w:highlight w:val="none"/>
        </w:rPr>
      </w:pPr>
      <w:r>
        <w:rPr>
          <w:rFonts w:hint="eastAsia" w:ascii="宋体" w:hAnsi="宋体"/>
          <w:b/>
          <w:bCs/>
          <w:color w:val="auto"/>
          <w:sz w:val="32"/>
          <w:szCs w:val="32"/>
          <w:highlight w:val="none"/>
          <w:u w:val="single"/>
        </w:rPr>
        <w:t>2021</w:t>
      </w:r>
      <w:r>
        <w:rPr>
          <w:rFonts w:ascii="宋体" w:hAnsi="宋体"/>
          <w:b/>
          <w:bCs/>
          <w:color w:val="auto"/>
          <w:sz w:val="32"/>
          <w:szCs w:val="32"/>
          <w:highlight w:val="none"/>
          <w:lang w:val="zh-CN"/>
        </w:rPr>
        <w:t>年</w:t>
      </w:r>
      <w:r>
        <w:rPr>
          <w:rFonts w:hint="eastAsia" w:ascii="宋体" w:hAnsi="宋体"/>
          <w:b/>
          <w:bCs/>
          <w:color w:val="auto"/>
          <w:sz w:val="32"/>
          <w:szCs w:val="32"/>
          <w:highlight w:val="none"/>
          <w:u w:val="single"/>
        </w:rPr>
        <w:t>9</w:t>
      </w:r>
      <w:r>
        <w:rPr>
          <w:rFonts w:ascii="宋体" w:hAnsi="宋体"/>
          <w:b/>
          <w:bCs/>
          <w:color w:val="auto"/>
          <w:sz w:val="32"/>
          <w:szCs w:val="32"/>
          <w:highlight w:val="none"/>
          <w:lang w:val="zh-CN"/>
        </w:rPr>
        <w:t>月</w:t>
      </w:r>
    </w:p>
    <w:p>
      <w:pPr>
        <w:spacing w:line="400" w:lineRule="exact"/>
        <w:rPr>
          <w:rFonts w:ascii="宋体" w:hAnsi="宋体"/>
          <w:color w:val="auto"/>
          <w:sz w:val="32"/>
          <w:highlight w:val="none"/>
        </w:rPr>
        <w:sectPr>
          <w:footerReference r:id="rId7" w:type="first"/>
          <w:headerReference r:id="rId3" w:type="default"/>
          <w:footerReference r:id="rId5" w:type="default"/>
          <w:headerReference r:id="rId4" w:type="even"/>
          <w:footerReference r:id="rId6" w:type="even"/>
          <w:pgSz w:w="11907" w:h="16840"/>
          <w:pgMar w:top="1418" w:right="1514" w:bottom="1418" w:left="1985" w:header="851" w:footer="992" w:gutter="0"/>
          <w:pgNumType w:start="0"/>
          <w:cols w:space="720" w:num="1"/>
          <w:docGrid w:linePitch="312" w:charSpace="0"/>
        </w:sectPr>
      </w:pPr>
    </w:p>
    <w:p>
      <w:pPr>
        <w:jc w:val="center"/>
        <w:rPr>
          <w:rFonts w:ascii="宋体" w:hAnsi="宋体"/>
          <w:b/>
          <w:bCs/>
          <w:color w:val="auto"/>
          <w:sz w:val="36"/>
          <w:szCs w:val="36"/>
          <w:highlight w:val="none"/>
        </w:rPr>
      </w:pPr>
      <w:bookmarkStart w:id="0" w:name="_Hlt101233737"/>
      <w:bookmarkEnd w:id="0"/>
      <w:bookmarkStart w:id="1" w:name="_Hlt101843627"/>
      <w:bookmarkEnd w:id="1"/>
      <w:r>
        <w:rPr>
          <w:rFonts w:hint="eastAsia" w:ascii="宋体" w:hAnsi="宋体"/>
          <w:b/>
          <w:bCs/>
          <w:color w:val="auto"/>
          <w:sz w:val="36"/>
          <w:szCs w:val="36"/>
          <w:highlight w:val="none"/>
        </w:rPr>
        <w:t>目    录</w:t>
      </w:r>
    </w:p>
    <w:p>
      <w:pPr>
        <w:spacing w:line="640" w:lineRule="exact"/>
        <w:jc w:val="center"/>
        <w:rPr>
          <w:rFonts w:ascii="宋体" w:hAnsi="宋体"/>
          <w:b/>
          <w:bCs/>
          <w:color w:val="auto"/>
          <w:sz w:val="24"/>
          <w:highlight w:val="none"/>
        </w:rPr>
      </w:pPr>
    </w:p>
    <w:p>
      <w:pPr>
        <w:pStyle w:val="28"/>
        <w:tabs>
          <w:tab w:val="right" w:leader="dot" w:pos="8949"/>
        </w:tabs>
        <w:spacing w:line="480" w:lineRule="auto"/>
        <w:rPr>
          <w:rFonts w:ascii="宋体" w:hAnsi="宋体" w:cstheme="minorBidi"/>
          <w:color w:val="auto"/>
          <w:sz w:val="24"/>
          <w:highlight w:val="none"/>
        </w:rPr>
      </w:pP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TOC \o "1-1" \h \u </w:instrText>
      </w:r>
      <w:r>
        <w:rPr>
          <w:rFonts w:hint="eastAsia" w:ascii="宋体" w:hAnsi="宋体" w:cs="宋体"/>
          <w:color w:val="auto"/>
          <w:sz w:val="24"/>
          <w:highlight w:val="none"/>
        </w:rPr>
        <w:fldChar w:fldCharType="separate"/>
      </w:r>
      <w:r>
        <w:rPr>
          <w:color w:val="auto"/>
          <w:highlight w:val="none"/>
        </w:rPr>
        <w:fldChar w:fldCharType="begin"/>
      </w:r>
      <w:r>
        <w:rPr>
          <w:color w:val="auto"/>
          <w:highlight w:val="none"/>
        </w:rPr>
        <w:instrText xml:space="preserve"> HYPERLINK \l "_Toc53267581" </w:instrText>
      </w:r>
      <w:r>
        <w:rPr>
          <w:color w:val="auto"/>
          <w:highlight w:val="none"/>
        </w:rPr>
        <w:fldChar w:fldCharType="separate"/>
      </w:r>
      <w:r>
        <w:rPr>
          <w:rStyle w:val="46"/>
          <w:rFonts w:hint="eastAsia" w:ascii="宋体" w:hAnsi="宋体"/>
          <w:color w:val="auto"/>
          <w:sz w:val="24"/>
          <w:highlight w:val="none"/>
        </w:rPr>
        <w:t>第一章</w:t>
      </w:r>
      <w:r>
        <w:rPr>
          <w:rStyle w:val="46"/>
          <w:rFonts w:ascii="宋体" w:hAnsi="宋体"/>
          <w:color w:val="auto"/>
          <w:sz w:val="24"/>
          <w:highlight w:val="none"/>
        </w:rPr>
        <w:t xml:space="preserve">  </w:t>
      </w:r>
      <w:r>
        <w:rPr>
          <w:rStyle w:val="46"/>
          <w:rFonts w:hint="eastAsia" w:ascii="宋体" w:hAnsi="宋体"/>
          <w:color w:val="auto"/>
          <w:sz w:val="24"/>
          <w:highlight w:val="none"/>
        </w:rPr>
        <w:t>竞争性磋商公告</w:t>
      </w:r>
      <w:r>
        <w:rPr>
          <w:rFonts w:ascii="宋体" w:hAnsi="宋体"/>
          <w:color w:val="auto"/>
          <w:sz w:val="24"/>
          <w:highlight w:val="none"/>
        </w:rPr>
        <w:tab/>
      </w:r>
      <w:r>
        <w:rPr>
          <w:rFonts w:ascii="宋体" w:hAnsi="宋体"/>
          <w:color w:val="auto"/>
          <w:sz w:val="24"/>
          <w:highlight w:val="none"/>
        </w:rPr>
        <w:fldChar w:fldCharType="begin"/>
      </w:r>
      <w:r>
        <w:rPr>
          <w:rFonts w:ascii="宋体" w:hAnsi="宋体"/>
          <w:color w:val="auto"/>
          <w:sz w:val="24"/>
          <w:highlight w:val="none"/>
        </w:rPr>
        <w:instrText xml:space="preserve"> PAGEREF _Toc53267581 \h </w:instrText>
      </w:r>
      <w:r>
        <w:rPr>
          <w:rFonts w:ascii="宋体" w:hAnsi="宋体"/>
          <w:color w:val="auto"/>
          <w:sz w:val="24"/>
          <w:highlight w:val="none"/>
        </w:rPr>
        <w:fldChar w:fldCharType="separate"/>
      </w:r>
      <w:r>
        <w:rPr>
          <w:rFonts w:ascii="宋体" w:hAnsi="宋体"/>
          <w:color w:val="auto"/>
          <w:sz w:val="24"/>
          <w:highlight w:val="none"/>
        </w:rPr>
        <w:t>2</w:t>
      </w:r>
      <w:r>
        <w:rPr>
          <w:rFonts w:ascii="宋体" w:hAnsi="宋体"/>
          <w:color w:val="auto"/>
          <w:sz w:val="24"/>
          <w:highlight w:val="none"/>
        </w:rPr>
        <w:fldChar w:fldCharType="end"/>
      </w:r>
      <w:r>
        <w:rPr>
          <w:rFonts w:ascii="宋体" w:hAnsi="宋体"/>
          <w:color w:val="auto"/>
          <w:sz w:val="24"/>
          <w:highlight w:val="none"/>
        </w:rPr>
        <w:fldChar w:fldCharType="end"/>
      </w:r>
    </w:p>
    <w:p>
      <w:pPr>
        <w:pStyle w:val="28"/>
        <w:tabs>
          <w:tab w:val="right" w:leader="dot" w:pos="8949"/>
        </w:tabs>
        <w:spacing w:line="480" w:lineRule="auto"/>
        <w:rPr>
          <w:rFonts w:ascii="宋体" w:hAnsi="宋体" w:cstheme="minorBidi"/>
          <w:color w:val="auto"/>
          <w:sz w:val="24"/>
          <w:highlight w:val="none"/>
        </w:rPr>
      </w:pPr>
      <w:r>
        <w:rPr>
          <w:color w:val="auto"/>
          <w:highlight w:val="none"/>
        </w:rPr>
        <w:fldChar w:fldCharType="begin"/>
      </w:r>
      <w:r>
        <w:rPr>
          <w:color w:val="auto"/>
          <w:highlight w:val="none"/>
        </w:rPr>
        <w:instrText xml:space="preserve"> HYPERLINK \l "_Toc53267582" </w:instrText>
      </w:r>
      <w:r>
        <w:rPr>
          <w:color w:val="auto"/>
          <w:highlight w:val="none"/>
        </w:rPr>
        <w:fldChar w:fldCharType="separate"/>
      </w:r>
      <w:r>
        <w:rPr>
          <w:rStyle w:val="46"/>
          <w:rFonts w:hint="eastAsia" w:ascii="宋体" w:hAnsi="宋体"/>
          <w:color w:val="auto"/>
          <w:sz w:val="24"/>
          <w:highlight w:val="none"/>
        </w:rPr>
        <w:t>第二章</w:t>
      </w:r>
      <w:r>
        <w:rPr>
          <w:rStyle w:val="46"/>
          <w:rFonts w:ascii="宋体" w:hAnsi="宋体"/>
          <w:color w:val="auto"/>
          <w:sz w:val="24"/>
          <w:highlight w:val="none"/>
        </w:rPr>
        <w:t xml:space="preserve">  </w:t>
      </w:r>
      <w:r>
        <w:rPr>
          <w:rStyle w:val="46"/>
          <w:rFonts w:hint="eastAsia" w:ascii="宋体" w:hAnsi="宋体"/>
          <w:color w:val="auto"/>
          <w:sz w:val="24"/>
          <w:highlight w:val="none"/>
        </w:rPr>
        <w:t>磋商须知</w:t>
      </w:r>
      <w:r>
        <w:rPr>
          <w:rFonts w:ascii="宋体" w:hAnsi="宋体"/>
          <w:color w:val="auto"/>
          <w:sz w:val="24"/>
          <w:highlight w:val="none"/>
        </w:rPr>
        <w:tab/>
      </w:r>
      <w:r>
        <w:rPr>
          <w:rFonts w:ascii="宋体" w:hAnsi="宋体"/>
          <w:color w:val="auto"/>
          <w:sz w:val="24"/>
          <w:highlight w:val="none"/>
        </w:rPr>
        <w:fldChar w:fldCharType="begin"/>
      </w:r>
      <w:r>
        <w:rPr>
          <w:rFonts w:ascii="宋体" w:hAnsi="宋体"/>
          <w:color w:val="auto"/>
          <w:sz w:val="24"/>
          <w:highlight w:val="none"/>
        </w:rPr>
        <w:instrText xml:space="preserve"> PAGEREF _Toc53267582 \h </w:instrText>
      </w:r>
      <w:r>
        <w:rPr>
          <w:rFonts w:ascii="宋体" w:hAnsi="宋体"/>
          <w:color w:val="auto"/>
          <w:sz w:val="24"/>
          <w:highlight w:val="none"/>
        </w:rPr>
        <w:fldChar w:fldCharType="separate"/>
      </w:r>
      <w:r>
        <w:rPr>
          <w:rFonts w:ascii="宋体" w:hAnsi="宋体"/>
          <w:color w:val="auto"/>
          <w:sz w:val="24"/>
          <w:highlight w:val="none"/>
        </w:rPr>
        <w:t>4</w:t>
      </w:r>
      <w:r>
        <w:rPr>
          <w:rFonts w:ascii="宋体" w:hAnsi="宋体"/>
          <w:color w:val="auto"/>
          <w:sz w:val="24"/>
          <w:highlight w:val="none"/>
        </w:rPr>
        <w:fldChar w:fldCharType="end"/>
      </w:r>
      <w:r>
        <w:rPr>
          <w:rFonts w:ascii="宋体" w:hAnsi="宋体"/>
          <w:color w:val="auto"/>
          <w:sz w:val="24"/>
          <w:highlight w:val="none"/>
        </w:rPr>
        <w:fldChar w:fldCharType="end"/>
      </w:r>
    </w:p>
    <w:p>
      <w:pPr>
        <w:pStyle w:val="28"/>
        <w:tabs>
          <w:tab w:val="right" w:leader="dot" w:pos="8949"/>
        </w:tabs>
        <w:spacing w:line="480" w:lineRule="auto"/>
        <w:rPr>
          <w:rFonts w:ascii="宋体" w:hAnsi="宋体" w:cstheme="minorBidi"/>
          <w:color w:val="auto"/>
          <w:sz w:val="24"/>
          <w:highlight w:val="none"/>
        </w:rPr>
      </w:pPr>
      <w:r>
        <w:rPr>
          <w:color w:val="auto"/>
          <w:highlight w:val="none"/>
        </w:rPr>
        <w:fldChar w:fldCharType="begin"/>
      </w:r>
      <w:r>
        <w:rPr>
          <w:color w:val="auto"/>
          <w:highlight w:val="none"/>
        </w:rPr>
        <w:instrText xml:space="preserve"> HYPERLINK \l "_Toc53267583" </w:instrText>
      </w:r>
      <w:r>
        <w:rPr>
          <w:color w:val="auto"/>
          <w:highlight w:val="none"/>
        </w:rPr>
        <w:fldChar w:fldCharType="separate"/>
      </w:r>
      <w:r>
        <w:rPr>
          <w:rStyle w:val="46"/>
          <w:rFonts w:hint="eastAsia" w:ascii="宋体" w:hAnsi="宋体"/>
          <w:color w:val="auto"/>
          <w:sz w:val="24"/>
          <w:highlight w:val="none"/>
        </w:rPr>
        <w:t>第三章</w:t>
      </w:r>
      <w:r>
        <w:rPr>
          <w:rStyle w:val="46"/>
          <w:rFonts w:ascii="宋体" w:hAnsi="宋体"/>
          <w:color w:val="auto"/>
          <w:sz w:val="24"/>
          <w:highlight w:val="none"/>
        </w:rPr>
        <w:t xml:space="preserve">  </w:t>
      </w:r>
      <w:r>
        <w:rPr>
          <w:rStyle w:val="46"/>
          <w:rFonts w:hint="eastAsia" w:ascii="宋体" w:hAnsi="宋体"/>
          <w:color w:val="auto"/>
          <w:sz w:val="24"/>
          <w:highlight w:val="none"/>
        </w:rPr>
        <w:t>供应商资格条件要求</w:t>
      </w:r>
      <w:r>
        <w:rPr>
          <w:rFonts w:ascii="宋体" w:hAnsi="宋体"/>
          <w:color w:val="auto"/>
          <w:sz w:val="24"/>
          <w:highlight w:val="none"/>
        </w:rPr>
        <w:tab/>
      </w:r>
      <w:r>
        <w:rPr>
          <w:rFonts w:ascii="宋体" w:hAnsi="宋体"/>
          <w:color w:val="auto"/>
          <w:sz w:val="24"/>
          <w:highlight w:val="none"/>
        </w:rPr>
        <w:fldChar w:fldCharType="begin"/>
      </w:r>
      <w:r>
        <w:rPr>
          <w:rFonts w:ascii="宋体" w:hAnsi="宋体"/>
          <w:color w:val="auto"/>
          <w:sz w:val="24"/>
          <w:highlight w:val="none"/>
        </w:rPr>
        <w:instrText xml:space="preserve"> PAGEREF _Toc53267583 \h </w:instrText>
      </w:r>
      <w:r>
        <w:rPr>
          <w:rFonts w:ascii="宋体" w:hAnsi="宋体"/>
          <w:color w:val="auto"/>
          <w:sz w:val="24"/>
          <w:highlight w:val="none"/>
        </w:rPr>
        <w:fldChar w:fldCharType="separate"/>
      </w:r>
      <w:r>
        <w:rPr>
          <w:rFonts w:ascii="宋体" w:hAnsi="宋体"/>
          <w:color w:val="auto"/>
          <w:sz w:val="24"/>
          <w:highlight w:val="none"/>
        </w:rPr>
        <w:t>23</w:t>
      </w:r>
      <w:r>
        <w:rPr>
          <w:rFonts w:ascii="宋体" w:hAnsi="宋体"/>
          <w:color w:val="auto"/>
          <w:sz w:val="24"/>
          <w:highlight w:val="none"/>
        </w:rPr>
        <w:fldChar w:fldCharType="end"/>
      </w:r>
      <w:r>
        <w:rPr>
          <w:rFonts w:ascii="宋体" w:hAnsi="宋体"/>
          <w:color w:val="auto"/>
          <w:sz w:val="24"/>
          <w:highlight w:val="none"/>
        </w:rPr>
        <w:fldChar w:fldCharType="end"/>
      </w:r>
    </w:p>
    <w:p>
      <w:pPr>
        <w:pStyle w:val="28"/>
        <w:tabs>
          <w:tab w:val="right" w:leader="dot" w:pos="8949"/>
        </w:tabs>
        <w:spacing w:line="480" w:lineRule="auto"/>
        <w:rPr>
          <w:rFonts w:ascii="宋体" w:hAnsi="宋体" w:cstheme="minorBidi"/>
          <w:color w:val="auto"/>
          <w:sz w:val="24"/>
          <w:highlight w:val="none"/>
        </w:rPr>
      </w:pPr>
      <w:r>
        <w:rPr>
          <w:color w:val="auto"/>
          <w:highlight w:val="none"/>
        </w:rPr>
        <w:fldChar w:fldCharType="begin"/>
      </w:r>
      <w:r>
        <w:rPr>
          <w:color w:val="auto"/>
          <w:highlight w:val="none"/>
        </w:rPr>
        <w:instrText xml:space="preserve"> HYPERLINK \l "_Toc53267584" </w:instrText>
      </w:r>
      <w:r>
        <w:rPr>
          <w:color w:val="auto"/>
          <w:highlight w:val="none"/>
        </w:rPr>
        <w:fldChar w:fldCharType="separate"/>
      </w:r>
      <w:r>
        <w:rPr>
          <w:rStyle w:val="46"/>
          <w:rFonts w:hint="eastAsia" w:ascii="宋体" w:hAnsi="宋体"/>
          <w:color w:val="auto"/>
          <w:sz w:val="24"/>
          <w:highlight w:val="none"/>
        </w:rPr>
        <w:t>第四章</w:t>
      </w:r>
      <w:r>
        <w:rPr>
          <w:rStyle w:val="46"/>
          <w:rFonts w:ascii="宋体" w:hAnsi="宋体"/>
          <w:color w:val="auto"/>
          <w:sz w:val="24"/>
          <w:highlight w:val="none"/>
        </w:rPr>
        <w:t xml:space="preserve">  </w:t>
      </w:r>
      <w:r>
        <w:rPr>
          <w:rStyle w:val="46"/>
          <w:rFonts w:hint="eastAsia" w:ascii="宋体" w:hAnsi="宋体"/>
          <w:color w:val="auto"/>
          <w:sz w:val="24"/>
          <w:highlight w:val="none"/>
        </w:rPr>
        <w:t>供应商资格证明材料</w:t>
      </w:r>
      <w:r>
        <w:rPr>
          <w:rFonts w:ascii="宋体" w:hAnsi="宋体"/>
          <w:color w:val="auto"/>
          <w:sz w:val="24"/>
          <w:highlight w:val="none"/>
        </w:rPr>
        <w:tab/>
      </w:r>
      <w:r>
        <w:rPr>
          <w:rFonts w:ascii="宋体" w:hAnsi="宋体"/>
          <w:color w:val="auto"/>
          <w:sz w:val="24"/>
          <w:highlight w:val="none"/>
        </w:rPr>
        <w:fldChar w:fldCharType="begin"/>
      </w:r>
      <w:r>
        <w:rPr>
          <w:rFonts w:ascii="宋体" w:hAnsi="宋体"/>
          <w:color w:val="auto"/>
          <w:sz w:val="24"/>
          <w:highlight w:val="none"/>
        </w:rPr>
        <w:instrText xml:space="preserve"> PAGEREF _Toc53267584 \h </w:instrText>
      </w:r>
      <w:r>
        <w:rPr>
          <w:rFonts w:ascii="宋体" w:hAnsi="宋体"/>
          <w:color w:val="auto"/>
          <w:sz w:val="24"/>
          <w:highlight w:val="none"/>
        </w:rPr>
        <w:fldChar w:fldCharType="separate"/>
      </w:r>
      <w:r>
        <w:rPr>
          <w:rFonts w:ascii="宋体" w:hAnsi="宋体"/>
          <w:color w:val="auto"/>
          <w:sz w:val="24"/>
          <w:highlight w:val="none"/>
        </w:rPr>
        <w:t>24</w:t>
      </w:r>
      <w:r>
        <w:rPr>
          <w:rFonts w:ascii="宋体" w:hAnsi="宋体"/>
          <w:color w:val="auto"/>
          <w:sz w:val="24"/>
          <w:highlight w:val="none"/>
        </w:rPr>
        <w:fldChar w:fldCharType="end"/>
      </w:r>
      <w:r>
        <w:rPr>
          <w:rFonts w:ascii="宋体" w:hAnsi="宋体"/>
          <w:color w:val="auto"/>
          <w:sz w:val="24"/>
          <w:highlight w:val="none"/>
        </w:rPr>
        <w:fldChar w:fldCharType="end"/>
      </w:r>
    </w:p>
    <w:p>
      <w:pPr>
        <w:pStyle w:val="28"/>
        <w:tabs>
          <w:tab w:val="right" w:leader="dot" w:pos="8949"/>
        </w:tabs>
        <w:spacing w:line="480" w:lineRule="auto"/>
        <w:rPr>
          <w:rFonts w:ascii="宋体" w:hAnsi="宋体" w:cstheme="minorBidi"/>
          <w:color w:val="auto"/>
          <w:sz w:val="24"/>
          <w:highlight w:val="none"/>
        </w:rPr>
      </w:pPr>
      <w:r>
        <w:rPr>
          <w:color w:val="auto"/>
          <w:highlight w:val="none"/>
        </w:rPr>
        <w:fldChar w:fldCharType="begin"/>
      </w:r>
      <w:r>
        <w:rPr>
          <w:color w:val="auto"/>
          <w:highlight w:val="none"/>
        </w:rPr>
        <w:instrText xml:space="preserve"> HYPERLINK \l "_Toc53267585" </w:instrText>
      </w:r>
      <w:r>
        <w:rPr>
          <w:color w:val="auto"/>
          <w:highlight w:val="none"/>
        </w:rPr>
        <w:fldChar w:fldCharType="separate"/>
      </w:r>
      <w:r>
        <w:rPr>
          <w:rStyle w:val="46"/>
          <w:rFonts w:hint="eastAsia" w:ascii="宋体" w:hAnsi="宋体"/>
          <w:color w:val="auto"/>
          <w:sz w:val="24"/>
          <w:highlight w:val="none"/>
        </w:rPr>
        <w:t>第五章</w:t>
      </w:r>
      <w:r>
        <w:rPr>
          <w:rStyle w:val="46"/>
          <w:rFonts w:ascii="宋体" w:hAnsi="宋体"/>
          <w:color w:val="auto"/>
          <w:sz w:val="24"/>
          <w:highlight w:val="none"/>
        </w:rPr>
        <w:t xml:space="preserve">  </w:t>
      </w:r>
      <w:r>
        <w:rPr>
          <w:rStyle w:val="46"/>
          <w:rFonts w:hint="eastAsia" w:ascii="宋体" w:hAnsi="宋体"/>
          <w:color w:val="auto"/>
          <w:sz w:val="24"/>
          <w:highlight w:val="none"/>
        </w:rPr>
        <w:t>采购项目技术、服务、政府采购合同内容条款及其他商务要求</w:t>
      </w:r>
      <w:r>
        <w:rPr>
          <w:rFonts w:ascii="宋体" w:hAnsi="宋体"/>
          <w:color w:val="auto"/>
          <w:sz w:val="24"/>
          <w:highlight w:val="none"/>
        </w:rPr>
        <w:tab/>
      </w:r>
      <w:r>
        <w:rPr>
          <w:rFonts w:ascii="宋体" w:hAnsi="宋体"/>
          <w:color w:val="auto"/>
          <w:sz w:val="24"/>
          <w:highlight w:val="none"/>
        </w:rPr>
        <w:fldChar w:fldCharType="begin"/>
      </w:r>
      <w:r>
        <w:rPr>
          <w:rFonts w:ascii="宋体" w:hAnsi="宋体"/>
          <w:color w:val="auto"/>
          <w:sz w:val="24"/>
          <w:highlight w:val="none"/>
        </w:rPr>
        <w:instrText xml:space="preserve"> PAGEREF _Toc53267585 \h </w:instrText>
      </w:r>
      <w:r>
        <w:rPr>
          <w:rFonts w:ascii="宋体" w:hAnsi="宋体"/>
          <w:color w:val="auto"/>
          <w:sz w:val="24"/>
          <w:highlight w:val="none"/>
        </w:rPr>
        <w:fldChar w:fldCharType="separate"/>
      </w:r>
      <w:r>
        <w:rPr>
          <w:rFonts w:ascii="宋体" w:hAnsi="宋体"/>
          <w:color w:val="auto"/>
          <w:sz w:val="24"/>
          <w:highlight w:val="none"/>
        </w:rPr>
        <w:t>26</w:t>
      </w:r>
      <w:r>
        <w:rPr>
          <w:rFonts w:ascii="宋体" w:hAnsi="宋体"/>
          <w:color w:val="auto"/>
          <w:sz w:val="24"/>
          <w:highlight w:val="none"/>
        </w:rPr>
        <w:fldChar w:fldCharType="end"/>
      </w:r>
      <w:r>
        <w:rPr>
          <w:rFonts w:ascii="宋体" w:hAnsi="宋体"/>
          <w:color w:val="auto"/>
          <w:sz w:val="24"/>
          <w:highlight w:val="none"/>
        </w:rPr>
        <w:fldChar w:fldCharType="end"/>
      </w:r>
    </w:p>
    <w:p>
      <w:pPr>
        <w:pStyle w:val="28"/>
        <w:tabs>
          <w:tab w:val="right" w:leader="dot" w:pos="8949"/>
        </w:tabs>
        <w:spacing w:line="480" w:lineRule="auto"/>
        <w:rPr>
          <w:rFonts w:ascii="宋体" w:hAnsi="宋体" w:cstheme="minorBidi"/>
          <w:color w:val="auto"/>
          <w:sz w:val="24"/>
          <w:highlight w:val="none"/>
        </w:rPr>
      </w:pPr>
      <w:r>
        <w:rPr>
          <w:color w:val="auto"/>
          <w:highlight w:val="none"/>
        </w:rPr>
        <w:fldChar w:fldCharType="begin"/>
      </w:r>
      <w:r>
        <w:rPr>
          <w:color w:val="auto"/>
          <w:highlight w:val="none"/>
        </w:rPr>
        <w:instrText xml:space="preserve"> HYPERLINK \l "_Toc53267586" </w:instrText>
      </w:r>
      <w:r>
        <w:rPr>
          <w:color w:val="auto"/>
          <w:highlight w:val="none"/>
        </w:rPr>
        <w:fldChar w:fldCharType="separate"/>
      </w:r>
      <w:r>
        <w:rPr>
          <w:rStyle w:val="46"/>
          <w:rFonts w:hint="eastAsia" w:ascii="宋体" w:hAnsi="宋体"/>
          <w:color w:val="auto"/>
          <w:sz w:val="24"/>
          <w:highlight w:val="none"/>
        </w:rPr>
        <w:t>第六章</w:t>
      </w:r>
      <w:r>
        <w:rPr>
          <w:rStyle w:val="46"/>
          <w:rFonts w:ascii="宋体" w:hAnsi="宋体"/>
          <w:color w:val="auto"/>
          <w:sz w:val="24"/>
          <w:highlight w:val="none"/>
        </w:rPr>
        <w:t xml:space="preserve">  </w:t>
      </w:r>
      <w:r>
        <w:rPr>
          <w:rStyle w:val="46"/>
          <w:rFonts w:hint="eastAsia" w:ascii="宋体" w:hAnsi="宋体"/>
          <w:color w:val="auto"/>
          <w:sz w:val="24"/>
          <w:highlight w:val="none"/>
        </w:rPr>
        <w:t>采购项目实质性要求</w:t>
      </w:r>
      <w:r>
        <w:rPr>
          <w:rFonts w:ascii="宋体" w:hAnsi="宋体"/>
          <w:color w:val="auto"/>
          <w:sz w:val="24"/>
          <w:highlight w:val="none"/>
        </w:rPr>
        <w:tab/>
      </w:r>
      <w:r>
        <w:rPr>
          <w:rFonts w:ascii="宋体" w:hAnsi="宋体"/>
          <w:color w:val="auto"/>
          <w:sz w:val="24"/>
          <w:highlight w:val="none"/>
        </w:rPr>
        <w:fldChar w:fldCharType="begin"/>
      </w:r>
      <w:r>
        <w:rPr>
          <w:rFonts w:ascii="宋体" w:hAnsi="宋体"/>
          <w:color w:val="auto"/>
          <w:sz w:val="24"/>
          <w:highlight w:val="none"/>
        </w:rPr>
        <w:instrText xml:space="preserve"> PAGEREF _Toc53267586 \h </w:instrText>
      </w:r>
      <w:r>
        <w:rPr>
          <w:rFonts w:ascii="宋体" w:hAnsi="宋体"/>
          <w:color w:val="auto"/>
          <w:sz w:val="24"/>
          <w:highlight w:val="none"/>
        </w:rPr>
        <w:fldChar w:fldCharType="separate"/>
      </w:r>
      <w:r>
        <w:rPr>
          <w:rFonts w:ascii="宋体" w:hAnsi="宋体"/>
          <w:color w:val="auto"/>
          <w:sz w:val="24"/>
          <w:highlight w:val="none"/>
        </w:rPr>
        <w:t>28</w:t>
      </w:r>
      <w:r>
        <w:rPr>
          <w:rFonts w:ascii="宋体" w:hAnsi="宋体"/>
          <w:color w:val="auto"/>
          <w:sz w:val="24"/>
          <w:highlight w:val="none"/>
        </w:rPr>
        <w:fldChar w:fldCharType="end"/>
      </w:r>
      <w:r>
        <w:rPr>
          <w:rFonts w:ascii="宋体" w:hAnsi="宋体"/>
          <w:color w:val="auto"/>
          <w:sz w:val="24"/>
          <w:highlight w:val="none"/>
        </w:rPr>
        <w:fldChar w:fldCharType="end"/>
      </w:r>
    </w:p>
    <w:p>
      <w:pPr>
        <w:pStyle w:val="28"/>
        <w:tabs>
          <w:tab w:val="right" w:leader="dot" w:pos="8949"/>
        </w:tabs>
        <w:spacing w:line="480" w:lineRule="auto"/>
        <w:rPr>
          <w:rFonts w:ascii="宋体" w:hAnsi="宋体" w:cstheme="minorBidi"/>
          <w:color w:val="auto"/>
          <w:sz w:val="24"/>
          <w:highlight w:val="none"/>
        </w:rPr>
      </w:pPr>
      <w:r>
        <w:rPr>
          <w:color w:val="auto"/>
          <w:highlight w:val="none"/>
        </w:rPr>
        <w:fldChar w:fldCharType="begin"/>
      </w:r>
      <w:r>
        <w:rPr>
          <w:color w:val="auto"/>
          <w:highlight w:val="none"/>
        </w:rPr>
        <w:instrText xml:space="preserve"> HYPERLINK \l "_Toc53267587" </w:instrText>
      </w:r>
      <w:r>
        <w:rPr>
          <w:color w:val="auto"/>
          <w:highlight w:val="none"/>
        </w:rPr>
        <w:fldChar w:fldCharType="separate"/>
      </w:r>
      <w:r>
        <w:rPr>
          <w:rStyle w:val="46"/>
          <w:rFonts w:hint="eastAsia" w:ascii="宋体" w:hAnsi="宋体"/>
          <w:color w:val="auto"/>
          <w:sz w:val="24"/>
          <w:highlight w:val="none"/>
        </w:rPr>
        <w:t>第七章</w:t>
      </w:r>
      <w:r>
        <w:rPr>
          <w:rStyle w:val="46"/>
          <w:rFonts w:ascii="宋体" w:hAnsi="宋体"/>
          <w:color w:val="auto"/>
          <w:sz w:val="24"/>
          <w:highlight w:val="none"/>
        </w:rPr>
        <w:t xml:space="preserve">  </w:t>
      </w:r>
      <w:r>
        <w:rPr>
          <w:rStyle w:val="46"/>
          <w:rFonts w:hint="eastAsia" w:ascii="宋体" w:hAnsi="宋体"/>
          <w:color w:val="auto"/>
          <w:sz w:val="24"/>
          <w:highlight w:val="none"/>
        </w:rPr>
        <w:t>磋商内容、磋商过程中可实质性变动的内容</w:t>
      </w:r>
      <w:r>
        <w:rPr>
          <w:rFonts w:ascii="宋体" w:hAnsi="宋体"/>
          <w:color w:val="auto"/>
          <w:sz w:val="24"/>
          <w:highlight w:val="none"/>
        </w:rPr>
        <w:tab/>
      </w:r>
      <w:r>
        <w:rPr>
          <w:rFonts w:ascii="宋体" w:hAnsi="宋体"/>
          <w:color w:val="auto"/>
          <w:sz w:val="24"/>
          <w:highlight w:val="none"/>
        </w:rPr>
        <w:fldChar w:fldCharType="begin"/>
      </w:r>
      <w:r>
        <w:rPr>
          <w:rFonts w:ascii="宋体" w:hAnsi="宋体"/>
          <w:color w:val="auto"/>
          <w:sz w:val="24"/>
          <w:highlight w:val="none"/>
        </w:rPr>
        <w:instrText xml:space="preserve"> PAGEREF _Toc53267587 \h </w:instrText>
      </w:r>
      <w:r>
        <w:rPr>
          <w:rFonts w:ascii="宋体" w:hAnsi="宋体"/>
          <w:color w:val="auto"/>
          <w:sz w:val="24"/>
          <w:highlight w:val="none"/>
        </w:rPr>
        <w:fldChar w:fldCharType="separate"/>
      </w:r>
      <w:r>
        <w:rPr>
          <w:rFonts w:ascii="宋体" w:hAnsi="宋体"/>
          <w:color w:val="auto"/>
          <w:sz w:val="24"/>
          <w:highlight w:val="none"/>
        </w:rPr>
        <w:t>29</w:t>
      </w:r>
      <w:r>
        <w:rPr>
          <w:rFonts w:ascii="宋体" w:hAnsi="宋体"/>
          <w:color w:val="auto"/>
          <w:sz w:val="24"/>
          <w:highlight w:val="none"/>
        </w:rPr>
        <w:fldChar w:fldCharType="end"/>
      </w:r>
      <w:r>
        <w:rPr>
          <w:rFonts w:ascii="宋体" w:hAnsi="宋体"/>
          <w:color w:val="auto"/>
          <w:sz w:val="24"/>
          <w:highlight w:val="none"/>
        </w:rPr>
        <w:fldChar w:fldCharType="end"/>
      </w:r>
    </w:p>
    <w:p>
      <w:pPr>
        <w:pStyle w:val="28"/>
        <w:tabs>
          <w:tab w:val="right" w:leader="dot" w:pos="8949"/>
        </w:tabs>
        <w:spacing w:line="480" w:lineRule="auto"/>
        <w:rPr>
          <w:rFonts w:ascii="宋体" w:hAnsi="宋体" w:cstheme="minorBidi"/>
          <w:color w:val="auto"/>
          <w:sz w:val="24"/>
          <w:highlight w:val="none"/>
        </w:rPr>
      </w:pPr>
      <w:r>
        <w:rPr>
          <w:color w:val="auto"/>
          <w:highlight w:val="none"/>
        </w:rPr>
        <w:fldChar w:fldCharType="begin"/>
      </w:r>
      <w:r>
        <w:rPr>
          <w:color w:val="auto"/>
          <w:highlight w:val="none"/>
        </w:rPr>
        <w:instrText xml:space="preserve"> HYPERLINK \l "_Toc53267588" </w:instrText>
      </w:r>
      <w:r>
        <w:rPr>
          <w:color w:val="auto"/>
          <w:highlight w:val="none"/>
        </w:rPr>
        <w:fldChar w:fldCharType="separate"/>
      </w:r>
      <w:r>
        <w:rPr>
          <w:rStyle w:val="46"/>
          <w:rFonts w:hint="eastAsia" w:ascii="宋体" w:hAnsi="宋体"/>
          <w:color w:val="auto"/>
          <w:sz w:val="24"/>
          <w:highlight w:val="none"/>
        </w:rPr>
        <w:t>第八章</w:t>
      </w:r>
      <w:r>
        <w:rPr>
          <w:rStyle w:val="46"/>
          <w:rFonts w:ascii="宋体" w:hAnsi="宋体"/>
          <w:color w:val="auto"/>
          <w:sz w:val="24"/>
          <w:highlight w:val="none"/>
        </w:rPr>
        <w:t xml:space="preserve">  </w:t>
      </w:r>
      <w:r>
        <w:rPr>
          <w:rStyle w:val="46"/>
          <w:rFonts w:hint="eastAsia" w:ascii="宋体" w:hAnsi="宋体"/>
          <w:color w:val="auto"/>
          <w:sz w:val="24"/>
          <w:highlight w:val="none"/>
        </w:rPr>
        <w:t>响应文件格式</w:t>
      </w:r>
      <w:r>
        <w:rPr>
          <w:rFonts w:ascii="宋体" w:hAnsi="宋体"/>
          <w:color w:val="auto"/>
          <w:sz w:val="24"/>
          <w:highlight w:val="none"/>
        </w:rPr>
        <w:tab/>
      </w:r>
      <w:r>
        <w:rPr>
          <w:rFonts w:ascii="宋体" w:hAnsi="宋体"/>
          <w:color w:val="auto"/>
          <w:sz w:val="24"/>
          <w:highlight w:val="none"/>
        </w:rPr>
        <w:fldChar w:fldCharType="begin"/>
      </w:r>
      <w:r>
        <w:rPr>
          <w:rFonts w:ascii="宋体" w:hAnsi="宋体"/>
          <w:color w:val="auto"/>
          <w:sz w:val="24"/>
          <w:highlight w:val="none"/>
        </w:rPr>
        <w:instrText xml:space="preserve"> PAGEREF _Toc53267588 \h </w:instrText>
      </w:r>
      <w:r>
        <w:rPr>
          <w:rFonts w:ascii="宋体" w:hAnsi="宋体"/>
          <w:color w:val="auto"/>
          <w:sz w:val="24"/>
          <w:highlight w:val="none"/>
        </w:rPr>
        <w:fldChar w:fldCharType="separate"/>
      </w:r>
      <w:r>
        <w:rPr>
          <w:rFonts w:ascii="宋体" w:hAnsi="宋体"/>
          <w:color w:val="auto"/>
          <w:sz w:val="24"/>
          <w:highlight w:val="none"/>
        </w:rPr>
        <w:t>30</w:t>
      </w:r>
      <w:r>
        <w:rPr>
          <w:rFonts w:ascii="宋体" w:hAnsi="宋体"/>
          <w:color w:val="auto"/>
          <w:sz w:val="24"/>
          <w:highlight w:val="none"/>
        </w:rPr>
        <w:fldChar w:fldCharType="end"/>
      </w:r>
      <w:r>
        <w:rPr>
          <w:rFonts w:ascii="宋体" w:hAnsi="宋体"/>
          <w:color w:val="auto"/>
          <w:sz w:val="24"/>
          <w:highlight w:val="none"/>
        </w:rPr>
        <w:fldChar w:fldCharType="end"/>
      </w:r>
    </w:p>
    <w:p>
      <w:pPr>
        <w:pStyle w:val="28"/>
        <w:tabs>
          <w:tab w:val="right" w:leader="dot" w:pos="8949"/>
        </w:tabs>
        <w:spacing w:line="480" w:lineRule="auto"/>
        <w:rPr>
          <w:rFonts w:ascii="宋体" w:hAnsi="宋体" w:cstheme="minorBidi"/>
          <w:color w:val="auto"/>
          <w:sz w:val="24"/>
          <w:highlight w:val="none"/>
        </w:rPr>
      </w:pPr>
      <w:r>
        <w:rPr>
          <w:color w:val="auto"/>
          <w:highlight w:val="none"/>
        </w:rPr>
        <w:fldChar w:fldCharType="begin"/>
      </w:r>
      <w:r>
        <w:rPr>
          <w:color w:val="auto"/>
          <w:highlight w:val="none"/>
        </w:rPr>
        <w:instrText xml:space="preserve"> HYPERLINK \l "_Toc53267589" </w:instrText>
      </w:r>
      <w:r>
        <w:rPr>
          <w:color w:val="auto"/>
          <w:highlight w:val="none"/>
        </w:rPr>
        <w:fldChar w:fldCharType="separate"/>
      </w:r>
      <w:r>
        <w:rPr>
          <w:rStyle w:val="46"/>
          <w:rFonts w:hint="eastAsia" w:ascii="宋体" w:hAnsi="宋体"/>
          <w:color w:val="auto"/>
          <w:sz w:val="24"/>
          <w:highlight w:val="none"/>
        </w:rPr>
        <w:t>第九章</w:t>
      </w:r>
      <w:r>
        <w:rPr>
          <w:rStyle w:val="46"/>
          <w:rFonts w:ascii="宋体" w:hAnsi="宋体"/>
          <w:color w:val="auto"/>
          <w:sz w:val="24"/>
          <w:highlight w:val="none"/>
        </w:rPr>
        <w:t xml:space="preserve">  </w:t>
      </w:r>
      <w:r>
        <w:rPr>
          <w:rStyle w:val="46"/>
          <w:rFonts w:hint="eastAsia" w:ascii="宋体" w:hAnsi="宋体"/>
          <w:color w:val="auto"/>
          <w:sz w:val="24"/>
          <w:highlight w:val="none"/>
        </w:rPr>
        <w:t>评审方法</w:t>
      </w:r>
      <w:r>
        <w:rPr>
          <w:rFonts w:ascii="宋体" w:hAnsi="宋体"/>
          <w:color w:val="auto"/>
          <w:sz w:val="24"/>
          <w:highlight w:val="none"/>
        </w:rPr>
        <w:tab/>
      </w:r>
      <w:r>
        <w:rPr>
          <w:rFonts w:ascii="宋体" w:hAnsi="宋体"/>
          <w:color w:val="auto"/>
          <w:sz w:val="24"/>
          <w:highlight w:val="none"/>
        </w:rPr>
        <w:fldChar w:fldCharType="begin"/>
      </w:r>
      <w:r>
        <w:rPr>
          <w:rFonts w:ascii="宋体" w:hAnsi="宋体"/>
          <w:color w:val="auto"/>
          <w:sz w:val="24"/>
          <w:highlight w:val="none"/>
        </w:rPr>
        <w:instrText xml:space="preserve"> PAGEREF _Toc53267589 \h </w:instrText>
      </w:r>
      <w:r>
        <w:rPr>
          <w:rFonts w:ascii="宋体" w:hAnsi="宋体"/>
          <w:color w:val="auto"/>
          <w:sz w:val="24"/>
          <w:highlight w:val="none"/>
        </w:rPr>
        <w:fldChar w:fldCharType="separate"/>
      </w:r>
      <w:r>
        <w:rPr>
          <w:rFonts w:ascii="宋体" w:hAnsi="宋体"/>
          <w:color w:val="auto"/>
          <w:sz w:val="24"/>
          <w:highlight w:val="none"/>
        </w:rPr>
        <w:t>54</w:t>
      </w:r>
      <w:r>
        <w:rPr>
          <w:rFonts w:ascii="宋体" w:hAnsi="宋体"/>
          <w:color w:val="auto"/>
          <w:sz w:val="24"/>
          <w:highlight w:val="none"/>
        </w:rPr>
        <w:fldChar w:fldCharType="end"/>
      </w:r>
      <w:r>
        <w:rPr>
          <w:rFonts w:ascii="宋体" w:hAnsi="宋体"/>
          <w:color w:val="auto"/>
          <w:sz w:val="24"/>
          <w:highlight w:val="none"/>
        </w:rPr>
        <w:fldChar w:fldCharType="end"/>
      </w:r>
    </w:p>
    <w:p>
      <w:pPr>
        <w:pStyle w:val="28"/>
        <w:tabs>
          <w:tab w:val="right" w:leader="dot" w:pos="8949"/>
        </w:tabs>
        <w:spacing w:line="480" w:lineRule="auto"/>
        <w:rPr>
          <w:rFonts w:ascii="宋体" w:hAnsi="宋体" w:cstheme="minorBidi"/>
          <w:color w:val="auto"/>
          <w:sz w:val="24"/>
          <w:highlight w:val="none"/>
        </w:rPr>
      </w:pPr>
      <w:r>
        <w:rPr>
          <w:color w:val="auto"/>
          <w:highlight w:val="none"/>
        </w:rPr>
        <w:fldChar w:fldCharType="begin"/>
      </w:r>
      <w:r>
        <w:rPr>
          <w:color w:val="auto"/>
          <w:highlight w:val="none"/>
        </w:rPr>
        <w:instrText xml:space="preserve"> HYPERLINK \l "_Toc53267590" </w:instrText>
      </w:r>
      <w:r>
        <w:rPr>
          <w:color w:val="auto"/>
          <w:highlight w:val="none"/>
        </w:rPr>
        <w:fldChar w:fldCharType="separate"/>
      </w:r>
      <w:r>
        <w:rPr>
          <w:rStyle w:val="46"/>
          <w:rFonts w:hint="eastAsia" w:ascii="宋体" w:hAnsi="宋体" w:cs="宋体"/>
          <w:color w:val="auto"/>
          <w:sz w:val="24"/>
          <w:highlight w:val="none"/>
        </w:rPr>
        <w:t>第十章</w:t>
      </w:r>
      <w:r>
        <w:rPr>
          <w:rStyle w:val="46"/>
          <w:rFonts w:ascii="宋体" w:hAnsi="宋体" w:cs="宋体"/>
          <w:color w:val="auto"/>
          <w:sz w:val="24"/>
          <w:highlight w:val="none"/>
        </w:rPr>
        <w:t xml:space="preserve">  </w:t>
      </w:r>
      <w:r>
        <w:rPr>
          <w:rStyle w:val="46"/>
          <w:rFonts w:hint="eastAsia" w:ascii="宋体" w:hAnsi="宋体" w:cs="宋体"/>
          <w:color w:val="auto"/>
          <w:sz w:val="24"/>
          <w:highlight w:val="none"/>
        </w:rPr>
        <w:t>政府采购合同（草案）</w:t>
      </w:r>
      <w:r>
        <w:rPr>
          <w:rFonts w:ascii="宋体" w:hAnsi="宋体"/>
          <w:color w:val="auto"/>
          <w:sz w:val="24"/>
          <w:highlight w:val="none"/>
        </w:rPr>
        <w:tab/>
      </w:r>
      <w:r>
        <w:rPr>
          <w:rFonts w:ascii="宋体" w:hAnsi="宋体"/>
          <w:color w:val="auto"/>
          <w:sz w:val="24"/>
          <w:highlight w:val="none"/>
        </w:rPr>
        <w:fldChar w:fldCharType="begin"/>
      </w:r>
      <w:r>
        <w:rPr>
          <w:rFonts w:ascii="宋体" w:hAnsi="宋体"/>
          <w:color w:val="auto"/>
          <w:sz w:val="24"/>
          <w:highlight w:val="none"/>
        </w:rPr>
        <w:instrText xml:space="preserve"> PAGEREF _Toc53267590 \h </w:instrText>
      </w:r>
      <w:r>
        <w:rPr>
          <w:rFonts w:ascii="宋体" w:hAnsi="宋体"/>
          <w:color w:val="auto"/>
          <w:sz w:val="24"/>
          <w:highlight w:val="none"/>
        </w:rPr>
        <w:fldChar w:fldCharType="separate"/>
      </w:r>
      <w:r>
        <w:rPr>
          <w:rFonts w:ascii="宋体" w:hAnsi="宋体"/>
          <w:color w:val="auto"/>
          <w:sz w:val="24"/>
          <w:highlight w:val="none"/>
        </w:rPr>
        <w:t>63</w:t>
      </w:r>
      <w:r>
        <w:rPr>
          <w:rFonts w:ascii="宋体" w:hAnsi="宋体"/>
          <w:color w:val="auto"/>
          <w:sz w:val="24"/>
          <w:highlight w:val="none"/>
        </w:rPr>
        <w:fldChar w:fldCharType="end"/>
      </w:r>
      <w:r>
        <w:rPr>
          <w:rFonts w:ascii="宋体" w:hAnsi="宋体"/>
          <w:color w:val="auto"/>
          <w:sz w:val="24"/>
          <w:highlight w:val="none"/>
        </w:rPr>
        <w:fldChar w:fldCharType="end"/>
      </w:r>
    </w:p>
    <w:p>
      <w:pPr>
        <w:spacing w:line="640" w:lineRule="exact"/>
        <w:rPr>
          <w:rFonts w:ascii="宋体" w:hAnsi="宋体"/>
          <w:color w:val="auto"/>
          <w:sz w:val="24"/>
          <w:highlight w:val="none"/>
        </w:rPr>
        <w:sectPr>
          <w:headerReference r:id="rId9" w:type="first"/>
          <w:footerReference r:id="rId11" w:type="first"/>
          <w:headerReference r:id="rId8" w:type="default"/>
          <w:footerReference r:id="rId10" w:type="default"/>
          <w:pgSz w:w="11907" w:h="16840"/>
          <w:pgMar w:top="1440" w:right="1474" w:bottom="1440" w:left="1474" w:header="851" w:footer="992" w:gutter="0"/>
          <w:pgNumType w:start="1"/>
          <w:cols w:space="720" w:num="1"/>
          <w:titlePg/>
          <w:docGrid w:linePitch="312" w:charSpace="0"/>
        </w:sectPr>
      </w:pPr>
      <w:r>
        <w:rPr>
          <w:rFonts w:hint="eastAsia" w:ascii="宋体" w:hAnsi="宋体" w:cs="宋体"/>
          <w:color w:val="auto"/>
          <w:sz w:val="24"/>
          <w:highlight w:val="none"/>
        </w:rPr>
        <w:fldChar w:fldCharType="end"/>
      </w:r>
      <w:bookmarkStart w:id="2" w:name="_Toc24584"/>
    </w:p>
    <w:p>
      <w:pPr>
        <w:pStyle w:val="3"/>
        <w:spacing w:line="240" w:lineRule="atLeast"/>
        <w:jc w:val="center"/>
        <w:rPr>
          <w:rFonts w:ascii="宋体" w:hAnsi="宋体"/>
          <w:color w:val="auto"/>
          <w:sz w:val="36"/>
          <w:szCs w:val="36"/>
          <w:highlight w:val="none"/>
        </w:rPr>
      </w:pPr>
      <w:bookmarkStart w:id="3" w:name="_Toc53267581"/>
      <w:r>
        <w:rPr>
          <w:rFonts w:hint="eastAsia" w:ascii="宋体" w:hAnsi="宋体"/>
          <w:color w:val="auto"/>
          <w:sz w:val="36"/>
          <w:szCs w:val="36"/>
          <w:highlight w:val="none"/>
        </w:rPr>
        <w:t xml:space="preserve">第一章  </w:t>
      </w:r>
      <w:bookmarkEnd w:id="2"/>
      <w:r>
        <w:rPr>
          <w:rFonts w:hint="eastAsia" w:ascii="宋体" w:hAnsi="宋体"/>
          <w:color w:val="auto"/>
          <w:sz w:val="36"/>
          <w:szCs w:val="36"/>
          <w:highlight w:val="none"/>
        </w:rPr>
        <w:t>竞争性磋商公告</w:t>
      </w:r>
      <w:bookmarkEnd w:id="3"/>
    </w:p>
    <w:p>
      <w:pPr>
        <w:rPr>
          <w:b/>
          <w:color w:val="auto"/>
          <w:sz w:val="24"/>
          <w:highlight w:val="none"/>
        </w:rPr>
      </w:pPr>
      <w:bookmarkStart w:id="4" w:name="_Toc28359079"/>
      <w:bookmarkStart w:id="5" w:name="_Toc28359002"/>
      <w:bookmarkStart w:id="6" w:name="_Toc35393790"/>
      <w:bookmarkStart w:id="7" w:name="_Toc35393621"/>
      <w:bookmarkStart w:id="8" w:name="_Hlk24379207"/>
      <w:r>
        <w:rPr>
          <w:rFonts w:hint="eastAsia"/>
          <w:b/>
          <w:color w:val="auto"/>
          <w:sz w:val="24"/>
          <w:highlight w:val="none"/>
        </w:rPr>
        <w:t>项目概况</w:t>
      </w:r>
    </w:p>
    <w:p>
      <w:pPr>
        <w:spacing w:line="400" w:lineRule="exact"/>
        <w:ind w:firstLine="480" w:firstLineChars="200"/>
        <w:rPr>
          <w:rFonts w:ascii="宋体" w:hAnsi="宋体"/>
          <w:b/>
          <w:color w:val="auto"/>
          <w:sz w:val="24"/>
          <w:highlight w:val="none"/>
        </w:rPr>
      </w:pPr>
      <w:r>
        <w:rPr>
          <w:rFonts w:hint="eastAsia" w:ascii="宋体" w:hAnsi="宋体"/>
          <w:color w:val="auto"/>
          <w:sz w:val="24"/>
          <w:highlight w:val="none"/>
          <w:u w:val="single"/>
        </w:rPr>
        <w:t>崇州市城市更新专项规划和更新单元实施规划编制(第二次)</w:t>
      </w:r>
      <w:r>
        <w:rPr>
          <w:rFonts w:hint="eastAsia" w:ascii="宋体" w:hAnsi="宋体"/>
          <w:color w:val="auto"/>
          <w:sz w:val="24"/>
          <w:highlight w:val="none"/>
        </w:rPr>
        <w:t>采购项目的潜在供应商应在</w:t>
      </w:r>
      <w:r>
        <w:rPr>
          <w:rFonts w:hint="eastAsia" w:ascii="宋体" w:hAnsi="宋体"/>
          <w:color w:val="auto"/>
          <w:sz w:val="24"/>
          <w:highlight w:val="none"/>
          <w:u w:val="single"/>
        </w:rPr>
        <w:t>成都市公共资源交易服务中心“政府采购云平台”</w:t>
      </w:r>
      <w:r>
        <w:rPr>
          <w:rFonts w:hint="eastAsia" w:ascii="宋体" w:hAnsi="宋体"/>
          <w:color w:val="auto"/>
          <w:sz w:val="24"/>
          <w:highlight w:val="none"/>
        </w:rPr>
        <w:t>获取采购文件，并于</w:t>
      </w:r>
      <w:r>
        <w:rPr>
          <w:rFonts w:hint="eastAsia" w:ascii="宋体" w:hAnsi="宋体"/>
          <w:color w:val="auto"/>
          <w:sz w:val="24"/>
          <w:highlight w:val="none"/>
          <w:u w:val="single"/>
        </w:rPr>
        <w:t>2021</w:t>
      </w:r>
      <w:r>
        <w:rPr>
          <w:rFonts w:hint="eastAsia" w:ascii="宋体" w:hAnsi="宋体"/>
          <w:bCs/>
          <w:color w:val="auto"/>
          <w:sz w:val="24"/>
          <w:highlight w:val="none"/>
          <w:u w:val="single"/>
        </w:rPr>
        <w:t>年</w:t>
      </w:r>
      <w:r>
        <w:rPr>
          <w:rFonts w:hint="eastAsia" w:ascii="宋体" w:hAnsi="宋体"/>
          <w:bCs/>
          <w:color w:val="auto"/>
          <w:sz w:val="24"/>
          <w:highlight w:val="none"/>
          <w:u w:val="single"/>
          <w:lang w:val="en-US" w:eastAsia="zh-CN"/>
        </w:rPr>
        <w:t>9</w:t>
      </w:r>
      <w:r>
        <w:rPr>
          <w:rFonts w:hint="eastAsia" w:ascii="宋体" w:hAnsi="宋体"/>
          <w:bCs/>
          <w:color w:val="auto"/>
          <w:sz w:val="24"/>
          <w:highlight w:val="none"/>
          <w:u w:val="single"/>
        </w:rPr>
        <w:t>月</w:t>
      </w:r>
      <w:r>
        <w:rPr>
          <w:rFonts w:hint="eastAsia" w:ascii="宋体" w:hAnsi="宋体"/>
          <w:bCs/>
          <w:color w:val="auto"/>
          <w:sz w:val="24"/>
          <w:highlight w:val="none"/>
          <w:u w:val="single"/>
          <w:lang w:val="en-US" w:eastAsia="zh-CN"/>
        </w:rPr>
        <w:t>28</w:t>
      </w:r>
      <w:r>
        <w:rPr>
          <w:rFonts w:hint="eastAsia" w:ascii="宋体" w:hAnsi="宋体"/>
          <w:bCs/>
          <w:color w:val="auto"/>
          <w:sz w:val="24"/>
          <w:highlight w:val="none"/>
          <w:u w:val="single"/>
        </w:rPr>
        <w:t>日10点30分</w:t>
      </w:r>
      <w:r>
        <w:rPr>
          <w:rFonts w:hint="eastAsia" w:ascii="宋体" w:hAnsi="宋体"/>
          <w:bCs/>
          <w:color w:val="auto"/>
          <w:sz w:val="24"/>
          <w:highlight w:val="none"/>
        </w:rPr>
        <w:t>（北京时间）前提交响应文件</w:t>
      </w:r>
      <w:r>
        <w:rPr>
          <w:rFonts w:hint="eastAsia" w:ascii="宋体" w:hAnsi="宋体"/>
          <w:color w:val="auto"/>
          <w:sz w:val="24"/>
          <w:highlight w:val="none"/>
        </w:rPr>
        <w:t>。</w:t>
      </w:r>
    </w:p>
    <w:p>
      <w:pPr>
        <w:spacing w:line="400" w:lineRule="exact"/>
        <w:rPr>
          <w:rFonts w:ascii="宋体" w:hAnsi="宋体"/>
          <w:b/>
          <w:color w:val="auto"/>
          <w:sz w:val="24"/>
          <w:highlight w:val="none"/>
        </w:rPr>
      </w:pPr>
      <w:r>
        <w:rPr>
          <w:rFonts w:hint="eastAsia" w:ascii="宋体" w:hAnsi="宋体"/>
          <w:b/>
          <w:color w:val="auto"/>
          <w:sz w:val="24"/>
          <w:highlight w:val="none"/>
        </w:rPr>
        <w:t>一、项目基本情况</w:t>
      </w:r>
      <w:bookmarkEnd w:id="4"/>
      <w:bookmarkEnd w:id="5"/>
      <w:bookmarkEnd w:id="6"/>
      <w:bookmarkEnd w:id="7"/>
    </w:p>
    <w:p>
      <w:pPr>
        <w:spacing w:line="400" w:lineRule="exact"/>
        <w:ind w:firstLine="480" w:firstLineChars="200"/>
        <w:rPr>
          <w:rFonts w:hint="eastAsia" w:ascii="宋体" w:hAnsi="宋体"/>
          <w:color w:val="auto"/>
          <w:sz w:val="24"/>
          <w:highlight w:val="none"/>
          <w:u w:val="single"/>
        </w:rPr>
      </w:pPr>
      <w:r>
        <w:rPr>
          <w:rFonts w:hint="eastAsia" w:ascii="宋体" w:hAnsi="宋体"/>
          <w:color w:val="auto"/>
          <w:sz w:val="24"/>
          <w:highlight w:val="none"/>
        </w:rPr>
        <w:t>项目编号：</w:t>
      </w:r>
      <w:r>
        <w:rPr>
          <w:rFonts w:hint="eastAsia" w:ascii="宋体" w:hAnsi="宋体"/>
          <w:color w:val="auto"/>
          <w:sz w:val="24"/>
          <w:highlight w:val="none"/>
          <w:u w:val="single"/>
        </w:rPr>
        <w:t>510184202100163</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项目名称：</w:t>
      </w:r>
      <w:r>
        <w:rPr>
          <w:rFonts w:hint="eastAsia" w:ascii="宋体" w:hAnsi="宋体"/>
          <w:color w:val="auto"/>
          <w:sz w:val="24"/>
          <w:highlight w:val="none"/>
          <w:u w:val="single"/>
        </w:rPr>
        <w:t>崇州市城市更新专项规划和更新单元实施规划编制(第二次)</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采购方式：</w:t>
      </w:r>
      <w:r>
        <w:rPr>
          <w:rFonts w:hint="eastAsia" w:ascii="宋体" w:hAnsi="宋体"/>
          <w:color w:val="auto"/>
          <w:sz w:val="24"/>
          <w:highlight w:val="none"/>
          <w:u w:val="single"/>
        </w:rPr>
        <w:t>竞争性磋商</w:t>
      </w:r>
    </w:p>
    <w:bookmarkEnd w:id="8"/>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预算金额：</w:t>
      </w:r>
      <w:r>
        <w:rPr>
          <w:rFonts w:hint="eastAsia" w:ascii="宋体" w:hAnsi="宋体"/>
          <w:color w:val="auto"/>
          <w:sz w:val="24"/>
          <w:highlight w:val="none"/>
          <w:u w:val="single"/>
        </w:rPr>
        <w:t>100万元</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最高限价：</w:t>
      </w:r>
      <w:r>
        <w:rPr>
          <w:rFonts w:hint="eastAsia" w:ascii="宋体" w:hAnsi="宋体"/>
          <w:color w:val="auto"/>
          <w:sz w:val="24"/>
          <w:highlight w:val="none"/>
          <w:u w:val="single"/>
        </w:rPr>
        <w:t>100万元</w:t>
      </w:r>
    </w:p>
    <w:p>
      <w:pPr>
        <w:spacing w:line="400" w:lineRule="exact"/>
        <w:ind w:firstLine="480" w:firstLineChars="200"/>
        <w:rPr>
          <w:rFonts w:ascii="宋体" w:hAnsi="宋体"/>
          <w:color w:val="auto"/>
          <w:sz w:val="24"/>
          <w:highlight w:val="none"/>
          <w:u w:val="single"/>
        </w:rPr>
      </w:pPr>
      <w:r>
        <w:rPr>
          <w:rFonts w:hint="eastAsia" w:ascii="宋体" w:hAnsi="宋体"/>
          <w:color w:val="auto"/>
          <w:sz w:val="24"/>
          <w:highlight w:val="none"/>
        </w:rPr>
        <w:t>采购需求：</w:t>
      </w:r>
      <w:r>
        <w:rPr>
          <w:rFonts w:hint="eastAsia" w:ascii="宋体" w:hAnsi="宋体"/>
          <w:color w:val="auto"/>
          <w:sz w:val="24"/>
          <w:highlight w:val="none"/>
          <w:u w:val="single"/>
        </w:rPr>
        <w:t>本项目采购崇州市城市更新专项规划和更新单元实施规划编制（具体详见第五章）。</w:t>
      </w:r>
    </w:p>
    <w:p>
      <w:pPr>
        <w:spacing w:line="400" w:lineRule="exact"/>
        <w:ind w:firstLine="480" w:firstLineChars="200"/>
        <w:rPr>
          <w:rFonts w:ascii="宋体" w:hAnsi="宋体"/>
          <w:color w:val="auto"/>
          <w:sz w:val="24"/>
          <w:highlight w:val="none"/>
          <w:u w:val="single"/>
        </w:rPr>
      </w:pPr>
      <w:r>
        <w:rPr>
          <w:rFonts w:hint="eastAsia" w:ascii="宋体" w:hAnsi="宋体"/>
          <w:color w:val="auto"/>
          <w:sz w:val="24"/>
          <w:highlight w:val="none"/>
        </w:rPr>
        <w:t>服务期限：政府采购合同签订生效之日起45个工作日内按采购人要求的方式完成履约。</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本项目不接受联合体投标。</w:t>
      </w:r>
    </w:p>
    <w:p>
      <w:pPr>
        <w:spacing w:line="400" w:lineRule="exact"/>
        <w:rPr>
          <w:rFonts w:ascii="宋体" w:hAnsi="宋体"/>
          <w:b/>
          <w:color w:val="auto"/>
          <w:sz w:val="24"/>
          <w:highlight w:val="none"/>
        </w:rPr>
      </w:pPr>
      <w:bookmarkStart w:id="9" w:name="_Toc28359003"/>
      <w:bookmarkStart w:id="10" w:name="_Toc35393791"/>
      <w:bookmarkStart w:id="11" w:name="_Toc28359080"/>
      <w:bookmarkStart w:id="12" w:name="_Toc35393622"/>
      <w:r>
        <w:rPr>
          <w:rFonts w:hint="eastAsia" w:ascii="宋体" w:hAnsi="宋体"/>
          <w:b/>
          <w:color w:val="auto"/>
          <w:sz w:val="24"/>
          <w:highlight w:val="none"/>
        </w:rPr>
        <w:t>二、申请人的资格要求：</w:t>
      </w:r>
      <w:bookmarkEnd w:id="9"/>
      <w:bookmarkEnd w:id="10"/>
      <w:bookmarkEnd w:id="11"/>
      <w:bookmarkEnd w:id="12"/>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1.满足《中华人民共和国政府采购法》第二十二条规定；</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(1)具有独立承担民事责任的能力；</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(2)具有良好的商业信誉和健全的财务会计制度；</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(3)具有履行合同所必须的设备和专业技术能力；</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(4)有依法缴纳税收和社会保障资金的良好记录；</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(5)参加政府采购活动前三年内，在经营活动中没有重大违法记录；</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(6)符合法律、行政法规规定的其他条件；</w:t>
      </w:r>
    </w:p>
    <w:p>
      <w:pPr>
        <w:spacing w:line="400" w:lineRule="exact"/>
        <w:ind w:firstLine="480" w:firstLineChars="200"/>
        <w:rPr>
          <w:rFonts w:ascii="宋体" w:hAnsi="宋体"/>
          <w:color w:val="auto"/>
          <w:sz w:val="24"/>
          <w:highlight w:val="none"/>
        </w:rPr>
      </w:pPr>
      <w:bookmarkStart w:id="13" w:name="_Toc28359004"/>
      <w:bookmarkStart w:id="14" w:name="_Toc28359081"/>
      <w:r>
        <w:rPr>
          <w:rFonts w:ascii="宋体" w:hAnsi="宋体"/>
          <w:color w:val="auto"/>
          <w:sz w:val="24"/>
          <w:highlight w:val="none"/>
        </w:rPr>
        <w:t>2</w:t>
      </w:r>
      <w:r>
        <w:rPr>
          <w:rFonts w:hint="eastAsia" w:ascii="宋体" w:hAnsi="宋体"/>
          <w:color w:val="auto"/>
          <w:sz w:val="24"/>
          <w:highlight w:val="none"/>
        </w:rPr>
        <w:t>.落实政府采购政策需满足的资格要求：无。</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3.本项目的特定资格要求：</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具备建设行政主管部门颁发的城乡规划编制乙级及以上资质。（注:如因政策原因，自然资源部或省自然资源厅暂未开展到期的城乡规划编制资质延期认定工作，如供应商因上述政策性原因未延续的资质证书视为符合条件）；</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（2）具备建设行政主管部门颁发的建筑行业(建筑工程)设计甲级及以上资质；</w:t>
      </w:r>
    </w:p>
    <w:p>
      <w:pPr>
        <w:spacing w:line="400" w:lineRule="exact"/>
        <w:ind w:firstLine="480" w:firstLineChars="200"/>
        <w:rPr>
          <w:rFonts w:ascii="宋体" w:hAnsi="宋体"/>
          <w:color w:val="auto"/>
          <w:sz w:val="24"/>
          <w:highlight w:val="none"/>
        </w:rPr>
      </w:pPr>
      <w:r>
        <w:rPr>
          <w:rFonts w:hint="eastAsia" w:ascii="宋体" w:hAnsi="宋体" w:cs="宋体"/>
          <w:color w:val="auto"/>
          <w:kern w:val="0"/>
          <w:sz w:val="24"/>
          <w:highlight w:val="none"/>
        </w:rPr>
        <w:t>（3）供应商</w:t>
      </w:r>
      <w:r>
        <w:rPr>
          <w:rFonts w:hint="eastAsia" w:ascii="宋体" w:hAnsi="宋体"/>
          <w:color w:val="auto"/>
          <w:sz w:val="24"/>
          <w:highlight w:val="none"/>
        </w:rPr>
        <w:t>及其法定代表人/主要负责人在参加本项目政府采购活动前三年无行贿犯罪记录。</w:t>
      </w:r>
    </w:p>
    <w:p>
      <w:pPr>
        <w:spacing w:line="400" w:lineRule="exact"/>
        <w:rPr>
          <w:rFonts w:ascii="宋体" w:hAnsi="宋体"/>
          <w:b/>
          <w:color w:val="auto"/>
          <w:sz w:val="24"/>
          <w:highlight w:val="none"/>
        </w:rPr>
      </w:pPr>
      <w:bookmarkStart w:id="15" w:name="_Toc35393623"/>
      <w:bookmarkStart w:id="16" w:name="_Toc35393792"/>
      <w:r>
        <w:rPr>
          <w:rFonts w:hint="eastAsia" w:ascii="宋体" w:hAnsi="宋体"/>
          <w:b/>
          <w:color w:val="auto"/>
          <w:sz w:val="24"/>
          <w:highlight w:val="none"/>
        </w:rPr>
        <w:t>三、获取采购文件</w:t>
      </w:r>
      <w:bookmarkEnd w:id="13"/>
      <w:bookmarkEnd w:id="14"/>
      <w:bookmarkEnd w:id="15"/>
      <w:bookmarkEnd w:id="16"/>
    </w:p>
    <w:p>
      <w:pPr>
        <w:spacing w:line="400" w:lineRule="exact"/>
        <w:ind w:firstLine="540"/>
        <w:rPr>
          <w:rFonts w:ascii="宋体" w:hAnsi="宋体" w:cs="宋体"/>
          <w:color w:val="auto"/>
          <w:sz w:val="24"/>
          <w:highlight w:val="none"/>
        </w:rPr>
      </w:pPr>
      <w:r>
        <w:rPr>
          <w:rFonts w:hint="eastAsia" w:ascii="宋体" w:hAnsi="宋体" w:cs="宋体"/>
          <w:color w:val="auto"/>
          <w:sz w:val="24"/>
          <w:highlight w:val="none"/>
        </w:rPr>
        <w:t>时间：</w:t>
      </w:r>
      <w:r>
        <w:rPr>
          <w:rFonts w:hint="eastAsia" w:ascii="宋体" w:hAnsi="宋体" w:cs="宋体"/>
          <w:color w:val="auto"/>
          <w:sz w:val="24"/>
          <w:highlight w:val="none"/>
          <w:u w:val="single"/>
        </w:rPr>
        <w:t>2021年</w:t>
      </w:r>
      <w:r>
        <w:rPr>
          <w:rFonts w:hint="eastAsia" w:ascii="宋体" w:hAnsi="宋体" w:cs="宋体"/>
          <w:color w:val="auto"/>
          <w:sz w:val="24"/>
          <w:highlight w:val="none"/>
          <w:u w:val="single"/>
          <w:lang w:val="en-US" w:eastAsia="zh-CN"/>
        </w:rPr>
        <w:t>9</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17</w:t>
      </w:r>
      <w:r>
        <w:rPr>
          <w:rFonts w:hint="eastAsia" w:ascii="宋体" w:hAnsi="宋体" w:cs="宋体"/>
          <w:color w:val="auto"/>
          <w:sz w:val="24"/>
          <w:highlight w:val="none"/>
          <w:u w:val="single"/>
        </w:rPr>
        <w:t>日</w:t>
      </w:r>
      <w:r>
        <w:rPr>
          <w:rFonts w:hint="eastAsia" w:ascii="宋体" w:hAnsi="宋体" w:cs="宋体"/>
          <w:color w:val="auto"/>
          <w:sz w:val="24"/>
          <w:highlight w:val="none"/>
        </w:rPr>
        <w:t>至</w:t>
      </w:r>
      <w:r>
        <w:rPr>
          <w:rFonts w:hint="eastAsia" w:ascii="宋体" w:hAnsi="宋体" w:cs="宋体"/>
          <w:color w:val="auto"/>
          <w:sz w:val="24"/>
          <w:highlight w:val="none"/>
          <w:u w:val="single"/>
        </w:rPr>
        <w:t>2021年</w:t>
      </w:r>
      <w:r>
        <w:rPr>
          <w:rFonts w:hint="eastAsia" w:ascii="宋体" w:hAnsi="宋体" w:cs="宋体"/>
          <w:color w:val="auto"/>
          <w:sz w:val="24"/>
          <w:highlight w:val="none"/>
          <w:u w:val="single"/>
          <w:lang w:val="en-US" w:eastAsia="zh-CN"/>
        </w:rPr>
        <w:t>9</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24</w:t>
      </w:r>
      <w:r>
        <w:rPr>
          <w:rFonts w:hint="eastAsia" w:ascii="宋体" w:hAnsi="宋体" w:cs="宋体"/>
          <w:color w:val="auto"/>
          <w:sz w:val="24"/>
          <w:highlight w:val="none"/>
          <w:u w:val="single"/>
        </w:rPr>
        <w:t>日</w:t>
      </w:r>
      <w:r>
        <w:rPr>
          <w:rFonts w:hint="eastAsia" w:ascii="宋体" w:hAnsi="宋体" w:cs="宋体"/>
          <w:iCs/>
          <w:color w:val="auto"/>
          <w:sz w:val="24"/>
          <w:highlight w:val="none"/>
          <w:u w:val="single"/>
        </w:rPr>
        <w:t>（</w:t>
      </w:r>
      <w:r>
        <w:rPr>
          <w:rFonts w:hint="eastAsia" w:ascii="宋体" w:hAnsi="宋体" w:cs="宋体"/>
          <w:color w:val="auto"/>
          <w:sz w:val="24"/>
          <w:highlight w:val="none"/>
          <w:u w:val="single"/>
        </w:rPr>
        <w:t>磋商文件的发售期限自开始之日起不得少于5个工作日</w:t>
      </w:r>
      <w:r>
        <w:rPr>
          <w:rFonts w:hint="eastAsia" w:ascii="宋体" w:hAnsi="宋体" w:cs="宋体"/>
          <w:iCs/>
          <w:color w:val="auto"/>
          <w:sz w:val="24"/>
          <w:highlight w:val="none"/>
          <w:u w:val="single"/>
        </w:rPr>
        <w:t>）</w:t>
      </w:r>
      <w:r>
        <w:rPr>
          <w:rFonts w:hint="eastAsia" w:ascii="宋体" w:hAnsi="宋体" w:cs="宋体"/>
          <w:color w:val="auto"/>
          <w:sz w:val="24"/>
          <w:highlight w:val="none"/>
        </w:rPr>
        <w:t>，每天上午</w:t>
      </w:r>
      <w:r>
        <w:rPr>
          <w:rFonts w:hint="eastAsia" w:ascii="宋体" w:hAnsi="宋体" w:cs="宋体"/>
          <w:color w:val="auto"/>
          <w:sz w:val="24"/>
          <w:highlight w:val="none"/>
          <w:u w:val="single"/>
        </w:rPr>
        <w:t>9:00</w:t>
      </w:r>
      <w:r>
        <w:rPr>
          <w:rFonts w:hint="eastAsia" w:ascii="宋体" w:hAnsi="宋体" w:cs="宋体"/>
          <w:color w:val="auto"/>
          <w:sz w:val="24"/>
          <w:highlight w:val="none"/>
        </w:rPr>
        <w:t>至</w:t>
      </w:r>
      <w:r>
        <w:rPr>
          <w:rFonts w:hint="eastAsia" w:ascii="宋体" w:hAnsi="宋体" w:cs="宋体"/>
          <w:color w:val="auto"/>
          <w:sz w:val="24"/>
          <w:highlight w:val="none"/>
          <w:u w:val="single"/>
        </w:rPr>
        <w:t>12:00</w:t>
      </w:r>
      <w:r>
        <w:rPr>
          <w:rFonts w:hint="eastAsia" w:ascii="宋体" w:hAnsi="宋体" w:cs="宋体"/>
          <w:color w:val="auto"/>
          <w:sz w:val="24"/>
          <w:highlight w:val="none"/>
        </w:rPr>
        <w:t>，下午</w:t>
      </w:r>
      <w:r>
        <w:rPr>
          <w:rFonts w:hint="eastAsia" w:ascii="宋体" w:hAnsi="宋体" w:cs="宋体"/>
          <w:color w:val="auto"/>
          <w:sz w:val="24"/>
          <w:highlight w:val="none"/>
          <w:u w:val="single"/>
        </w:rPr>
        <w:t>14:00</w:t>
      </w:r>
      <w:r>
        <w:rPr>
          <w:rFonts w:hint="eastAsia" w:ascii="宋体" w:hAnsi="宋体" w:cs="宋体"/>
          <w:color w:val="auto"/>
          <w:sz w:val="24"/>
          <w:highlight w:val="none"/>
        </w:rPr>
        <w:t>至</w:t>
      </w:r>
      <w:r>
        <w:rPr>
          <w:rFonts w:hint="eastAsia" w:ascii="宋体" w:hAnsi="宋体" w:cs="宋体"/>
          <w:color w:val="auto"/>
          <w:sz w:val="24"/>
          <w:highlight w:val="none"/>
          <w:u w:val="single"/>
        </w:rPr>
        <w:t>17:00</w:t>
      </w:r>
      <w:r>
        <w:rPr>
          <w:rFonts w:hint="eastAsia" w:ascii="宋体" w:hAnsi="宋体" w:cs="宋体"/>
          <w:color w:val="auto"/>
          <w:sz w:val="24"/>
          <w:highlight w:val="none"/>
        </w:rPr>
        <w:t>（北京时间，</w:t>
      </w:r>
      <w:r>
        <w:rPr>
          <w:rFonts w:ascii="宋体" w:hAnsi="宋体" w:cs="宋体"/>
          <w:color w:val="auto"/>
          <w:sz w:val="24"/>
          <w:highlight w:val="none"/>
        </w:rPr>
        <w:t>法定节假日</w:t>
      </w:r>
      <w:r>
        <w:rPr>
          <w:rFonts w:hint="eastAsia" w:ascii="宋体" w:hAnsi="宋体" w:cs="宋体"/>
          <w:color w:val="auto"/>
          <w:sz w:val="24"/>
          <w:highlight w:val="none"/>
        </w:rPr>
        <w:t>除外）</w:t>
      </w:r>
    </w:p>
    <w:p>
      <w:pPr>
        <w:spacing w:line="400" w:lineRule="exact"/>
        <w:ind w:firstLine="540"/>
        <w:rPr>
          <w:rFonts w:ascii="宋体" w:hAnsi="宋体" w:cs="宋体"/>
          <w:color w:val="auto"/>
          <w:sz w:val="24"/>
          <w:highlight w:val="none"/>
        </w:rPr>
      </w:pPr>
      <w:bookmarkStart w:id="17" w:name="_Toc28359082"/>
      <w:bookmarkStart w:id="18" w:name="_Toc35393624"/>
      <w:bookmarkStart w:id="19" w:name="_Toc35393793"/>
      <w:bookmarkStart w:id="20" w:name="_Toc28359005"/>
      <w:r>
        <w:rPr>
          <w:rFonts w:hint="eastAsia" w:ascii="宋体" w:hAnsi="宋体" w:cs="宋体"/>
          <w:color w:val="auto"/>
          <w:sz w:val="24"/>
          <w:highlight w:val="none"/>
        </w:rPr>
        <w:t>地点：成都市公共资源交易服务中心“政府采购云平台”(https://www.zcygov.cn)</w:t>
      </w:r>
    </w:p>
    <w:p>
      <w:pPr>
        <w:spacing w:line="400" w:lineRule="exact"/>
        <w:ind w:firstLine="540"/>
        <w:rPr>
          <w:rFonts w:ascii="宋体" w:hAnsi="宋体" w:cs="宋体"/>
          <w:color w:val="auto"/>
          <w:sz w:val="24"/>
          <w:highlight w:val="none"/>
        </w:rPr>
      </w:pPr>
      <w:r>
        <w:rPr>
          <w:rFonts w:hint="eastAsia" w:ascii="宋体" w:hAnsi="宋体" w:cs="宋体"/>
          <w:color w:val="auto"/>
          <w:sz w:val="24"/>
          <w:highlight w:val="none"/>
        </w:rPr>
        <w:t>方式：供应商从“政府采购云平台”获取采购文件（网址：https://www.zcygov.cn）。登录政府采购云平台—项目采购—获取采购文件—申请获取采购文件。</w:t>
      </w:r>
    </w:p>
    <w:p>
      <w:pPr>
        <w:spacing w:line="400" w:lineRule="exact"/>
        <w:ind w:firstLine="540"/>
        <w:rPr>
          <w:rFonts w:ascii="宋体" w:hAnsi="宋体"/>
          <w:b/>
          <w:color w:val="auto"/>
          <w:sz w:val="24"/>
          <w:highlight w:val="none"/>
        </w:rPr>
      </w:pPr>
      <w:r>
        <w:rPr>
          <w:rFonts w:hint="eastAsia" w:ascii="宋体" w:hAnsi="宋体" w:cs="宋体"/>
          <w:color w:val="auto"/>
          <w:sz w:val="24"/>
          <w:highlight w:val="none"/>
        </w:rPr>
        <w:t>售价：人民币0元/份（磋商文件售后不退,投标资格不能转让）</w:t>
      </w:r>
      <w:bookmarkEnd w:id="17"/>
      <w:bookmarkEnd w:id="18"/>
      <w:bookmarkEnd w:id="19"/>
      <w:bookmarkEnd w:id="20"/>
    </w:p>
    <w:p>
      <w:pPr>
        <w:spacing w:line="400" w:lineRule="exact"/>
        <w:rPr>
          <w:rFonts w:ascii="宋体" w:hAnsi="宋体"/>
          <w:b/>
          <w:color w:val="auto"/>
          <w:sz w:val="24"/>
          <w:highlight w:val="none"/>
        </w:rPr>
      </w:pPr>
      <w:r>
        <w:rPr>
          <w:rFonts w:hint="eastAsia" w:ascii="宋体" w:hAnsi="宋体"/>
          <w:b/>
          <w:color w:val="auto"/>
          <w:sz w:val="24"/>
          <w:highlight w:val="none"/>
        </w:rPr>
        <w:t>四、提交响应文件截止时间、开标时间和地点</w:t>
      </w:r>
    </w:p>
    <w:p>
      <w:pPr>
        <w:spacing w:line="400" w:lineRule="exact"/>
        <w:ind w:firstLine="600" w:firstLineChars="250"/>
        <w:rPr>
          <w:rFonts w:ascii="宋体" w:hAnsi="宋体"/>
          <w:bCs/>
          <w:color w:val="auto"/>
          <w:sz w:val="24"/>
          <w:highlight w:val="none"/>
          <w:u w:val="single"/>
        </w:rPr>
      </w:pPr>
      <w:r>
        <w:rPr>
          <w:rFonts w:hint="eastAsia" w:ascii="宋体" w:hAnsi="宋体"/>
          <w:bCs/>
          <w:color w:val="auto"/>
          <w:sz w:val="24"/>
          <w:highlight w:val="none"/>
          <w:u w:val="single"/>
        </w:rPr>
        <w:t>2021年</w:t>
      </w:r>
      <w:r>
        <w:rPr>
          <w:rFonts w:hint="eastAsia" w:ascii="宋体" w:hAnsi="宋体"/>
          <w:bCs/>
          <w:color w:val="auto"/>
          <w:sz w:val="24"/>
          <w:highlight w:val="none"/>
          <w:u w:val="single"/>
          <w:lang w:val="en-US" w:eastAsia="zh-CN"/>
        </w:rPr>
        <w:t>9</w:t>
      </w:r>
      <w:r>
        <w:rPr>
          <w:rFonts w:hint="eastAsia" w:ascii="宋体" w:hAnsi="宋体"/>
          <w:bCs/>
          <w:color w:val="auto"/>
          <w:sz w:val="24"/>
          <w:highlight w:val="none"/>
          <w:u w:val="single"/>
        </w:rPr>
        <w:t>月</w:t>
      </w:r>
      <w:r>
        <w:rPr>
          <w:rFonts w:hint="eastAsia" w:ascii="宋体" w:hAnsi="宋体"/>
          <w:bCs/>
          <w:color w:val="auto"/>
          <w:sz w:val="24"/>
          <w:highlight w:val="none"/>
          <w:u w:val="single"/>
          <w:lang w:val="en-US" w:eastAsia="zh-CN"/>
        </w:rPr>
        <w:t>28</w:t>
      </w:r>
      <w:r>
        <w:rPr>
          <w:rFonts w:hint="eastAsia" w:ascii="宋体" w:hAnsi="宋体"/>
          <w:bCs/>
          <w:color w:val="auto"/>
          <w:sz w:val="24"/>
          <w:highlight w:val="none"/>
          <w:u w:val="single"/>
        </w:rPr>
        <w:t>日10点30分</w:t>
      </w:r>
      <w:r>
        <w:rPr>
          <w:rFonts w:hint="eastAsia" w:ascii="宋体" w:hAnsi="宋体"/>
          <w:bCs/>
          <w:color w:val="auto"/>
          <w:sz w:val="24"/>
          <w:highlight w:val="none"/>
        </w:rPr>
        <w:t>（北京时间）</w:t>
      </w:r>
    </w:p>
    <w:p>
      <w:pPr>
        <w:spacing w:line="400" w:lineRule="exact"/>
        <w:ind w:firstLine="600" w:firstLineChars="250"/>
        <w:rPr>
          <w:rFonts w:ascii="宋体" w:hAnsi="宋体"/>
          <w:bCs/>
          <w:color w:val="auto"/>
          <w:sz w:val="24"/>
          <w:highlight w:val="none"/>
        </w:rPr>
      </w:pPr>
      <w:r>
        <w:rPr>
          <w:rFonts w:hint="eastAsia" w:ascii="宋体" w:hAnsi="宋体"/>
          <w:bCs/>
          <w:color w:val="auto"/>
          <w:sz w:val="24"/>
          <w:highlight w:val="none"/>
        </w:rPr>
        <w:t>投标截止时间前，供应商应将加密的电子响应文件递交至“政府采购云平台”对应项目（包件）。</w:t>
      </w:r>
    </w:p>
    <w:p>
      <w:pPr>
        <w:spacing w:line="400" w:lineRule="exact"/>
        <w:ind w:firstLine="600" w:firstLineChars="250"/>
        <w:rPr>
          <w:rFonts w:ascii="宋体" w:hAnsi="宋体"/>
          <w:bCs/>
          <w:color w:val="auto"/>
          <w:sz w:val="24"/>
          <w:highlight w:val="none"/>
        </w:rPr>
      </w:pPr>
      <w:r>
        <w:rPr>
          <w:rFonts w:hint="eastAsia" w:ascii="宋体" w:hAnsi="宋体"/>
          <w:bCs/>
          <w:color w:val="auto"/>
          <w:sz w:val="24"/>
          <w:highlight w:val="none"/>
        </w:rPr>
        <w:t>本项目为不见面开标项目。</w:t>
      </w:r>
    </w:p>
    <w:p>
      <w:pPr>
        <w:spacing w:line="400" w:lineRule="exact"/>
        <w:ind w:firstLine="600" w:firstLineChars="250"/>
        <w:rPr>
          <w:rFonts w:ascii="宋体" w:hAnsi="宋体"/>
          <w:bCs/>
          <w:color w:val="auto"/>
          <w:sz w:val="24"/>
          <w:highlight w:val="none"/>
        </w:rPr>
      </w:pPr>
      <w:r>
        <w:rPr>
          <w:rFonts w:hint="eastAsia" w:ascii="宋体" w:hAnsi="宋体"/>
          <w:bCs/>
          <w:color w:val="auto"/>
          <w:sz w:val="24"/>
          <w:highlight w:val="none"/>
        </w:rPr>
        <w:t>开标地点：政府采购云平台(https://www.zcygov.cn)，本项目只接受供应商加密并递交至“政府采购云平台”的响应文件。</w:t>
      </w:r>
      <w:bookmarkStart w:id="21" w:name="_Toc35393625"/>
      <w:bookmarkStart w:id="22" w:name="_Toc28359084"/>
      <w:bookmarkStart w:id="23" w:name="_Toc35393794"/>
      <w:bookmarkStart w:id="24" w:name="_Toc28359007"/>
    </w:p>
    <w:p>
      <w:pPr>
        <w:spacing w:line="400" w:lineRule="exact"/>
        <w:rPr>
          <w:rFonts w:ascii="宋体" w:hAnsi="宋体"/>
          <w:b/>
          <w:color w:val="auto"/>
          <w:sz w:val="24"/>
          <w:highlight w:val="none"/>
        </w:rPr>
      </w:pPr>
      <w:r>
        <w:rPr>
          <w:rFonts w:hint="eastAsia" w:ascii="宋体" w:hAnsi="宋体"/>
          <w:b/>
          <w:color w:val="auto"/>
          <w:sz w:val="24"/>
          <w:highlight w:val="none"/>
        </w:rPr>
        <w:t>五、公告期限</w:t>
      </w:r>
      <w:bookmarkEnd w:id="21"/>
      <w:bookmarkEnd w:id="22"/>
      <w:bookmarkEnd w:id="23"/>
      <w:bookmarkEnd w:id="24"/>
    </w:p>
    <w:p>
      <w:pPr>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自本公告发布之日起3个工作日。</w:t>
      </w:r>
    </w:p>
    <w:p>
      <w:pPr>
        <w:spacing w:line="400" w:lineRule="exact"/>
        <w:rPr>
          <w:rFonts w:ascii="宋体" w:hAnsi="宋体"/>
          <w:b/>
          <w:color w:val="auto"/>
          <w:sz w:val="24"/>
          <w:highlight w:val="none"/>
        </w:rPr>
      </w:pPr>
      <w:bookmarkStart w:id="25" w:name="_Toc35393795"/>
      <w:bookmarkStart w:id="26" w:name="_Toc35393626"/>
      <w:r>
        <w:rPr>
          <w:rFonts w:hint="eastAsia" w:ascii="宋体" w:hAnsi="宋体"/>
          <w:b/>
          <w:color w:val="auto"/>
          <w:sz w:val="24"/>
          <w:highlight w:val="none"/>
        </w:rPr>
        <w:t>六、其他补充事宜</w:t>
      </w:r>
      <w:bookmarkEnd w:id="25"/>
      <w:bookmarkEnd w:id="26"/>
    </w:p>
    <w:p>
      <w:pPr>
        <w:pStyle w:val="66"/>
        <w:spacing w:line="400" w:lineRule="exact"/>
        <w:ind w:left="840"/>
        <w:rPr>
          <w:color w:val="auto"/>
          <w:highlight w:val="none"/>
        </w:rPr>
      </w:pPr>
      <w:r>
        <w:rPr>
          <w:rFonts w:hint="eastAsia"/>
          <w:color w:val="auto"/>
          <w:highlight w:val="none"/>
          <w:u w:val="single"/>
        </w:rPr>
        <w:t>本公告在四川政府采购网上发布。</w:t>
      </w:r>
    </w:p>
    <w:p>
      <w:pPr>
        <w:spacing w:line="400" w:lineRule="exact"/>
        <w:rPr>
          <w:rFonts w:ascii="宋体" w:hAnsi="宋体"/>
          <w:b/>
          <w:color w:val="auto"/>
          <w:sz w:val="24"/>
          <w:highlight w:val="none"/>
        </w:rPr>
      </w:pPr>
      <w:bookmarkStart w:id="27" w:name="_Toc28359085"/>
      <w:bookmarkStart w:id="28" w:name="_Toc28359008"/>
      <w:bookmarkStart w:id="29" w:name="_Toc35393627"/>
      <w:bookmarkStart w:id="30" w:name="_Toc35393796"/>
      <w:r>
        <w:rPr>
          <w:rFonts w:hint="eastAsia" w:ascii="宋体" w:hAnsi="宋体"/>
          <w:b/>
          <w:color w:val="auto"/>
          <w:sz w:val="24"/>
          <w:highlight w:val="none"/>
        </w:rPr>
        <w:t>七、对本次采购提出询问，请按以下方式联系。</w:t>
      </w:r>
      <w:bookmarkEnd w:id="27"/>
      <w:bookmarkEnd w:id="28"/>
      <w:bookmarkEnd w:id="29"/>
      <w:bookmarkEnd w:id="30"/>
    </w:p>
    <w:p>
      <w:pPr>
        <w:widowControl/>
        <w:spacing w:line="400" w:lineRule="exact"/>
        <w:ind w:firstLine="840" w:firstLineChars="350"/>
        <w:jc w:val="left"/>
        <w:rPr>
          <w:rFonts w:ascii="宋体" w:hAnsi="宋体"/>
          <w:color w:val="auto"/>
          <w:sz w:val="24"/>
          <w:highlight w:val="none"/>
        </w:rPr>
      </w:pPr>
      <w:bookmarkStart w:id="31" w:name="_Toc12497"/>
      <w:bookmarkStart w:id="32" w:name="_Toc213397009"/>
      <w:bookmarkStart w:id="33" w:name="_Toc213396945"/>
      <w:bookmarkStart w:id="34" w:name="_Toc213396759"/>
      <w:bookmarkStart w:id="35" w:name="_Toc217446031"/>
      <w:bookmarkStart w:id="36" w:name="_Toc213496267"/>
      <w:r>
        <w:rPr>
          <w:rFonts w:hint="eastAsia" w:ascii="宋体" w:hAnsi="宋体" w:cs="宋体"/>
          <w:color w:val="auto"/>
          <w:sz w:val="24"/>
          <w:highlight w:val="none"/>
        </w:rPr>
        <w:t>1.采购人信息</w:t>
      </w:r>
    </w:p>
    <w:p>
      <w:pPr>
        <w:spacing w:line="400" w:lineRule="exact"/>
        <w:ind w:left="1079" w:leftChars="371" w:hanging="300" w:hangingChars="125"/>
        <w:jc w:val="left"/>
        <w:rPr>
          <w:rFonts w:ascii="宋体" w:hAnsi="宋体"/>
          <w:color w:val="auto"/>
          <w:sz w:val="24"/>
          <w:highlight w:val="none"/>
        </w:rPr>
      </w:pPr>
      <w:r>
        <w:rPr>
          <w:rFonts w:hint="eastAsia" w:ascii="宋体" w:hAnsi="宋体"/>
          <w:color w:val="auto"/>
          <w:sz w:val="24"/>
          <w:highlight w:val="none"/>
        </w:rPr>
        <w:t>名    称：崇州市住房和城乡建设局</w:t>
      </w:r>
    </w:p>
    <w:p>
      <w:pPr>
        <w:spacing w:line="400" w:lineRule="exact"/>
        <w:ind w:left="1079" w:leftChars="371" w:hanging="300" w:hangingChars="125"/>
        <w:jc w:val="left"/>
        <w:rPr>
          <w:rFonts w:ascii="宋体" w:hAnsi="宋体"/>
          <w:color w:val="auto"/>
          <w:sz w:val="24"/>
          <w:highlight w:val="none"/>
        </w:rPr>
      </w:pPr>
      <w:r>
        <w:rPr>
          <w:rFonts w:hint="eastAsia" w:ascii="宋体" w:hAnsi="宋体"/>
          <w:color w:val="auto"/>
          <w:sz w:val="24"/>
          <w:highlight w:val="none"/>
        </w:rPr>
        <w:t>地    址：</w:t>
      </w:r>
      <w:r>
        <w:rPr>
          <w:rFonts w:hint="eastAsia" w:ascii="宋体" w:hAnsi="宋体"/>
          <w:color w:val="auto"/>
          <w:sz w:val="24"/>
          <w:highlight w:val="none"/>
          <w:u w:val="single"/>
        </w:rPr>
        <w:t>崇州市崇庆街道学苑南路124号</w:t>
      </w:r>
    </w:p>
    <w:p>
      <w:pPr>
        <w:spacing w:line="400" w:lineRule="exact"/>
        <w:ind w:left="1079" w:leftChars="371" w:hanging="300" w:hangingChars="125"/>
        <w:jc w:val="left"/>
        <w:rPr>
          <w:rFonts w:ascii="宋体" w:hAnsi="宋体"/>
          <w:color w:val="auto"/>
          <w:sz w:val="24"/>
          <w:highlight w:val="none"/>
          <w:u w:val="single"/>
        </w:rPr>
      </w:pPr>
      <w:r>
        <w:rPr>
          <w:rFonts w:hint="eastAsia" w:ascii="宋体" w:hAnsi="宋体"/>
          <w:color w:val="auto"/>
          <w:sz w:val="24"/>
          <w:highlight w:val="none"/>
        </w:rPr>
        <w:t>联系方式：</w:t>
      </w:r>
      <w:bookmarkStart w:id="37" w:name="_Toc28359086"/>
      <w:bookmarkStart w:id="38" w:name="_Toc28359009"/>
      <w:r>
        <w:rPr>
          <w:rFonts w:hint="eastAsia" w:ascii="宋体" w:hAnsi="宋体"/>
          <w:color w:val="auto"/>
          <w:sz w:val="24"/>
          <w:highlight w:val="none"/>
          <w:u w:val="single"/>
        </w:rPr>
        <w:t>028-82159711 刘老师</w:t>
      </w:r>
    </w:p>
    <w:p>
      <w:pPr>
        <w:spacing w:line="400" w:lineRule="exact"/>
        <w:ind w:left="1079" w:leftChars="371" w:hanging="300" w:hangingChars="125"/>
        <w:jc w:val="left"/>
        <w:rPr>
          <w:rFonts w:ascii="宋体" w:hAnsi="宋体"/>
          <w:color w:val="auto"/>
          <w:sz w:val="24"/>
          <w:highlight w:val="none"/>
        </w:rPr>
      </w:pPr>
      <w:r>
        <w:rPr>
          <w:rFonts w:hint="eastAsia" w:ascii="宋体" w:hAnsi="宋体" w:cs="宋体"/>
          <w:color w:val="auto"/>
          <w:sz w:val="24"/>
          <w:highlight w:val="none"/>
        </w:rPr>
        <w:t>2.采购代理机构信息</w:t>
      </w:r>
      <w:bookmarkEnd w:id="37"/>
      <w:bookmarkEnd w:id="38"/>
    </w:p>
    <w:p>
      <w:pPr>
        <w:spacing w:line="400" w:lineRule="exact"/>
        <w:ind w:firstLine="720" w:firstLineChars="300"/>
        <w:rPr>
          <w:rFonts w:ascii="宋体" w:hAnsi="宋体"/>
          <w:color w:val="auto"/>
          <w:sz w:val="24"/>
          <w:highlight w:val="none"/>
        </w:rPr>
      </w:pPr>
      <w:r>
        <w:rPr>
          <w:rFonts w:hint="eastAsia" w:ascii="宋体" w:hAnsi="宋体"/>
          <w:color w:val="auto"/>
          <w:sz w:val="24"/>
          <w:highlight w:val="none"/>
        </w:rPr>
        <w:t>名    称：</w:t>
      </w:r>
      <w:r>
        <w:rPr>
          <w:rFonts w:hint="eastAsia" w:ascii="宋体" w:hAnsi="宋体"/>
          <w:color w:val="auto"/>
          <w:sz w:val="24"/>
          <w:highlight w:val="none"/>
          <w:u w:val="single"/>
        </w:rPr>
        <w:t>成都一问工程技术咨询有限公司</w:t>
      </w:r>
    </w:p>
    <w:p>
      <w:pPr>
        <w:spacing w:line="400" w:lineRule="exact"/>
        <w:ind w:firstLine="720" w:firstLineChars="300"/>
        <w:rPr>
          <w:rFonts w:ascii="宋体" w:hAnsi="宋体"/>
          <w:color w:val="auto"/>
          <w:sz w:val="24"/>
          <w:highlight w:val="none"/>
        </w:rPr>
      </w:pPr>
      <w:r>
        <w:rPr>
          <w:rFonts w:hint="eastAsia" w:ascii="宋体" w:hAnsi="宋体"/>
          <w:color w:val="auto"/>
          <w:sz w:val="24"/>
          <w:highlight w:val="none"/>
        </w:rPr>
        <w:t>地    址：</w:t>
      </w:r>
      <w:r>
        <w:rPr>
          <w:rFonts w:hint="eastAsia" w:ascii="宋体" w:hAnsi="宋体"/>
          <w:color w:val="auto"/>
          <w:sz w:val="24"/>
          <w:highlight w:val="none"/>
          <w:u w:val="single"/>
        </w:rPr>
        <w:t>成都市金牛区一品天下大街999号金牛市民中心B座2102号</w:t>
      </w:r>
    </w:p>
    <w:p>
      <w:pPr>
        <w:spacing w:line="400" w:lineRule="exact"/>
        <w:ind w:firstLine="720" w:firstLineChars="300"/>
        <w:rPr>
          <w:rFonts w:ascii="宋体" w:hAnsi="宋体"/>
          <w:color w:val="auto"/>
          <w:sz w:val="24"/>
          <w:highlight w:val="none"/>
        </w:rPr>
      </w:pPr>
      <w:r>
        <w:rPr>
          <w:rFonts w:hint="eastAsia" w:ascii="宋体" w:hAnsi="宋体"/>
          <w:color w:val="auto"/>
          <w:sz w:val="24"/>
          <w:highlight w:val="none"/>
        </w:rPr>
        <w:t>联系方式：</w:t>
      </w:r>
      <w:bookmarkStart w:id="39" w:name="_Toc28359087"/>
      <w:bookmarkStart w:id="40" w:name="_Toc28359010"/>
      <w:r>
        <w:rPr>
          <w:rFonts w:ascii="宋体" w:hAnsi="宋体"/>
          <w:color w:val="auto"/>
          <w:sz w:val="24"/>
          <w:highlight w:val="none"/>
          <w:u w:val="single"/>
        </w:rPr>
        <w:t>028-83375882</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李</w:t>
      </w:r>
      <w:r>
        <w:rPr>
          <w:rFonts w:hint="eastAsia" w:ascii="宋体" w:hAnsi="宋体"/>
          <w:color w:val="auto"/>
          <w:sz w:val="24"/>
          <w:highlight w:val="none"/>
          <w:u w:val="single"/>
        </w:rPr>
        <w:t>女士</w:t>
      </w:r>
    </w:p>
    <w:p>
      <w:pPr>
        <w:spacing w:line="400" w:lineRule="exact"/>
        <w:ind w:firstLine="720" w:firstLineChars="300"/>
        <w:rPr>
          <w:rFonts w:ascii="宋体" w:hAnsi="宋体"/>
          <w:color w:val="auto"/>
          <w:sz w:val="24"/>
          <w:highlight w:val="none"/>
          <w:u w:val="single"/>
        </w:rPr>
      </w:pPr>
      <w:r>
        <w:rPr>
          <w:rFonts w:hint="eastAsia" w:ascii="宋体" w:hAnsi="宋体" w:cs="宋体"/>
          <w:color w:val="auto"/>
          <w:sz w:val="24"/>
          <w:highlight w:val="none"/>
        </w:rPr>
        <w:t>3.项目</w:t>
      </w:r>
      <w:r>
        <w:rPr>
          <w:rFonts w:ascii="宋体" w:hAnsi="宋体" w:cs="宋体"/>
          <w:color w:val="auto"/>
          <w:sz w:val="24"/>
          <w:highlight w:val="none"/>
        </w:rPr>
        <w:t>联系方式</w:t>
      </w:r>
      <w:bookmarkEnd w:id="39"/>
      <w:bookmarkEnd w:id="40"/>
    </w:p>
    <w:p>
      <w:pPr>
        <w:pStyle w:val="22"/>
        <w:spacing w:line="400" w:lineRule="exact"/>
        <w:ind w:firstLine="720" w:firstLineChars="300"/>
        <w:rPr>
          <w:rFonts w:hAnsi="宋体"/>
          <w:color w:val="auto"/>
          <w:sz w:val="24"/>
          <w:highlight w:val="none"/>
        </w:rPr>
      </w:pPr>
      <w:r>
        <w:rPr>
          <w:rFonts w:hint="eastAsia" w:hAnsi="宋体"/>
          <w:color w:val="auto"/>
          <w:sz w:val="24"/>
          <w:highlight w:val="none"/>
        </w:rPr>
        <w:t>项目联系人：</w:t>
      </w:r>
      <w:r>
        <w:rPr>
          <w:rFonts w:hint="eastAsia" w:hAnsi="宋体"/>
          <w:color w:val="auto"/>
          <w:sz w:val="24"/>
          <w:highlight w:val="none"/>
          <w:u w:val="single"/>
        </w:rPr>
        <w:t>李女士</w:t>
      </w:r>
    </w:p>
    <w:p>
      <w:pPr>
        <w:spacing w:line="400" w:lineRule="exact"/>
        <w:ind w:firstLine="720" w:firstLineChars="300"/>
        <w:rPr>
          <w:rFonts w:ascii="宋体" w:hAnsi="宋体"/>
          <w:color w:val="auto"/>
          <w:sz w:val="24"/>
          <w:highlight w:val="none"/>
          <w:u w:val="single"/>
        </w:rPr>
      </w:pPr>
      <w:r>
        <w:rPr>
          <w:rFonts w:hint="eastAsia" w:ascii="宋体" w:hAnsi="宋体"/>
          <w:color w:val="auto"/>
          <w:sz w:val="24"/>
          <w:highlight w:val="none"/>
        </w:rPr>
        <w:t>电      话：</w:t>
      </w:r>
      <w:r>
        <w:rPr>
          <w:rFonts w:ascii="宋体" w:hAnsi="宋体"/>
          <w:color w:val="auto"/>
          <w:sz w:val="24"/>
          <w:highlight w:val="none"/>
          <w:u w:val="single"/>
        </w:rPr>
        <w:t>028-83375882</w:t>
      </w:r>
      <w:r>
        <w:rPr>
          <w:rFonts w:hint="eastAsia" w:ascii="宋体" w:hAnsi="宋体"/>
          <w:color w:val="auto"/>
          <w:sz w:val="24"/>
          <w:highlight w:val="none"/>
          <w:u w:val="single"/>
        </w:rPr>
        <w:t>-815</w:t>
      </w:r>
    </w:p>
    <w:p>
      <w:pPr>
        <w:rPr>
          <w:color w:val="auto"/>
          <w:highlight w:val="none"/>
        </w:rPr>
      </w:pPr>
      <w:r>
        <w:rPr>
          <w:color w:val="auto"/>
          <w:highlight w:val="none"/>
        </w:rPr>
        <w:br w:type="page"/>
      </w:r>
    </w:p>
    <w:p>
      <w:pPr>
        <w:ind w:firstLine="2891" w:firstLineChars="800"/>
        <w:rPr>
          <w:rFonts w:ascii="宋体" w:hAnsi="宋体"/>
          <w:b/>
          <w:bCs/>
          <w:color w:val="auto"/>
          <w:sz w:val="36"/>
          <w:szCs w:val="36"/>
          <w:highlight w:val="none"/>
        </w:rPr>
      </w:pPr>
      <w:bookmarkStart w:id="41" w:name="_Toc53267582"/>
      <w:r>
        <w:rPr>
          <w:rFonts w:hint="eastAsia" w:ascii="宋体" w:hAnsi="宋体"/>
          <w:b/>
          <w:bCs/>
          <w:color w:val="auto"/>
          <w:sz w:val="36"/>
          <w:szCs w:val="36"/>
          <w:highlight w:val="none"/>
        </w:rPr>
        <w:t xml:space="preserve">第二章  </w:t>
      </w:r>
      <w:bookmarkEnd w:id="31"/>
      <w:r>
        <w:rPr>
          <w:rFonts w:hint="eastAsia" w:ascii="宋体" w:hAnsi="宋体"/>
          <w:b/>
          <w:bCs/>
          <w:color w:val="auto"/>
          <w:sz w:val="36"/>
          <w:szCs w:val="36"/>
          <w:highlight w:val="none"/>
        </w:rPr>
        <w:t>磋商须知</w:t>
      </w:r>
      <w:bookmarkEnd w:id="41"/>
    </w:p>
    <w:p>
      <w:pPr>
        <w:pStyle w:val="4"/>
        <w:spacing w:line="360" w:lineRule="auto"/>
        <w:jc w:val="center"/>
        <w:rPr>
          <w:rFonts w:ascii="宋体" w:hAnsi="宋体" w:eastAsia="宋体"/>
          <w:color w:val="auto"/>
          <w:highlight w:val="none"/>
        </w:rPr>
      </w:pPr>
      <w:r>
        <w:rPr>
          <w:rFonts w:hint="eastAsia" w:ascii="宋体" w:hAnsi="宋体" w:eastAsia="宋体"/>
          <w:color w:val="auto"/>
          <w:highlight w:val="none"/>
        </w:rPr>
        <w:t>一、供应商须知附表</w:t>
      </w:r>
    </w:p>
    <w:bookmarkEnd w:id="32"/>
    <w:bookmarkEnd w:id="33"/>
    <w:bookmarkEnd w:id="34"/>
    <w:bookmarkEnd w:id="35"/>
    <w:bookmarkEnd w:id="36"/>
    <w:tbl>
      <w:tblPr>
        <w:tblStyle w:val="37"/>
        <w:tblW w:w="950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38"/>
        <w:gridCol w:w="1985"/>
        <w:gridCol w:w="6678"/>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67"/>
              <w:spacing w:line="360" w:lineRule="auto"/>
              <w:ind w:left="9"/>
              <w:jc w:val="center"/>
              <w:rPr>
                <w:rFonts w:cs="Times New Roman"/>
                <w:b/>
                <w:color w:val="auto"/>
                <w:kern w:val="2"/>
                <w:sz w:val="21"/>
                <w:szCs w:val="21"/>
                <w:highlight w:val="none"/>
              </w:rPr>
            </w:pPr>
            <w:r>
              <w:rPr>
                <w:rFonts w:hint="eastAsia" w:cs="Times New Roman"/>
                <w:b/>
                <w:color w:val="auto"/>
                <w:kern w:val="2"/>
                <w:sz w:val="21"/>
                <w:szCs w:val="21"/>
                <w:highlight w:val="none"/>
              </w:rPr>
              <w:t>序号</w:t>
            </w:r>
          </w:p>
        </w:tc>
        <w:tc>
          <w:tcPr>
            <w:tcW w:w="1985" w:type="dxa"/>
            <w:vAlign w:val="center"/>
          </w:tcPr>
          <w:p>
            <w:pPr>
              <w:pStyle w:val="67"/>
              <w:spacing w:line="360" w:lineRule="auto"/>
              <w:ind w:left="38"/>
              <w:jc w:val="center"/>
              <w:rPr>
                <w:rFonts w:cs="Times New Roman"/>
                <w:b/>
                <w:color w:val="auto"/>
                <w:kern w:val="2"/>
                <w:sz w:val="21"/>
                <w:szCs w:val="21"/>
                <w:highlight w:val="none"/>
              </w:rPr>
            </w:pPr>
            <w:r>
              <w:rPr>
                <w:rFonts w:hint="eastAsia" w:cs="Times New Roman"/>
                <w:b/>
                <w:color w:val="auto"/>
                <w:kern w:val="2"/>
                <w:sz w:val="21"/>
                <w:szCs w:val="21"/>
                <w:highlight w:val="none"/>
              </w:rPr>
              <w:t>条款名称</w:t>
            </w:r>
          </w:p>
        </w:tc>
        <w:tc>
          <w:tcPr>
            <w:tcW w:w="6678" w:type="dxa"/>
            <w:vAlign w:val="center"/>
          </w:tcPr>
          <w:p>
            <w:pPr>
              <w:pStyle w:val="67"/>
              <w:spacing w:after="120" w:afterLines="50" w:line="288" w:lineRule="auto"/>
              <w:ind w:left="105" w:leftChars="50" w:right="105" w:rightChars="50"/>
              <w:jc w:val="center"/>
              <w:rPr>
                <w:rFonts w:cs="Times New Roman"/>
                <w:b/>
                <w:color w:val="auto"/>
                <w:kern w:val="2"/>
                <w:sz w:val="21"/>
                <w:szCs w:val="21"/>
                <w:highlight w:val="none"/>
              </w:rPr>
            </w:pPr>
            <w:r>
              <w:rPr>
                <w:rFonts w:hint="eastAsia" w:cs="Times New Roman"/>
                <w:b/>
                <w:color w:val="auto"/>
                <w:kern w:val="2"/>
                <w:sz w:val="21"/>
                <w:szCs w:val="21"/>
                <w:highlight w:val="none"/>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2" w:hRule="atLeast"/>
          <w:tblHeader/>
          <w:jc w:val="center"/>
        </w:trPr>
        <w:tc>
          <w:tcPr>
            <w:tcW w:w="838" w:type="dxa"/>
            <w:vAlign w:val="center"/>
          </w:tcPr>
          <w:p>
            <w:pPr>
              <w:pStyle w:val="67"/>
              <w:spacing w:line="360" w:lineRule="auto"/>
              <w:ind w:left="9"/>
              <w:jc w:val="center"/>
              <w:rPr>
                <w:rFonts w:cs="Times New Roman"/>
                <w:color w:val="auto"/>
                <w:kern w:val="2"/>
                <w:sz w:val="21"/>
                <w:szCs w:val="21"/>
                <w:highlight w:val="none"/>
              </w:rPr>
            </w:pPr>
            <w:r>
              <w:rPr>
                <w:rFonts w:hint="eastAsia" w:cs="Times New Roman"/>
                <w:color w:val="auto"/>
                <w:kern w:val="2"/>
                <w:sz w:val="21"/>
                <w:szCs w:val="21"/>
                <w:highlight w:val="none"/>
              </w:rPr>
              <w:t>1</w:t>
            </w:r>
          </w:p>
        </w:tc>
        <w:tc>
          <w:tcPr>
            <w:tcW w:w="1985" w:type="dxa"/>
            <w:vAlign w:val="center"/>
          </w:tcPr>
          <w:p>
            <w:pPr>
              <w:pStyle w:val="67"/>
              <w:spacing w:before="120" w:beforeLines="50" w:line="360" w:lineRule="auto"/>
              <w:ind w:left="40"/>
              <w:jc w:val="center"/>
              <w:rPr>
                <w:rFonts w:cs="Times New Roman"/>
                <w:color w:val="auto"/>
                <w:kern w:val="2"/>
                <w:sz w:val="21"/>
                <w:szCs w:val="21"/>
                <w:highlight w:val="none"/>
              </w:rPr>
            </w:pPr>
            <w:r>
              <w:rPr>
                <w:rFonts w:hint="eastAsia" w:cs="Times New Roman"/>
                <w:color w:val="auto"/>
                <w:kern w:val="2"/>
                <w:sz w:val="21"/>
                <w:szCs w:val="21"/>
                <w:highlight w:val="none"/>
              </w:rPr>
              <w:t>采购人</w:t>
            </w:r>
          </w:p>
        </w:tc>
        <w:tc>
          <w:tcPr>
            <w:tcW w:w="6678" w:type="dxa"/>
            <w:vAlign w:val="center"/>
          </w:tcPr>
          <w:p>
            <w:pPr>
              <w:pStyle w:val="67"/>
              <w:spacing w:before="120" w:beforeLines="50" w:after="120" w:afterLines="50" w:line="288" w:lineRule="auto"/>
              <w:ind w:left="105" w:leftChars="50" w:right="105" w:rightChars="50"/>
              <w:rPr>
                <w:rFonts w:cs="Times New Roman"/>
                <w:color w:val="auto"/>
                <w:kern w:val="2"/>
                <w:sz w:val="21"/>
                <w:szCs w:val="21"/>
                <w:highlight w:val="none"/>
              </w:rPr>
            </w:pPr>
            <w:r>
              <w:rPr>
                <w:rFonts w:hint="eastAsia" w:cs="Times New Roman"/>
                <w:color w:val="auto"/>
                <w:kern w:val="2"/>
                <w:sz w:val="21"/>
                <w:szCs w:val="21"/>
                <w:highlight w:val="none"/>
              </w:rPr>
              <w:t>崇州市住房和城乡建设局</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0" w:hRule="atLeast"/>
          <w:tblHeader/>
          <w:jc w:val="center"/>
        </w:trPr>
        <w:tc>
          <w:tcPr>
            <w:tcW w:w="838" w:type="dxa"/>
            <w:vAlign w:val="center"/>
          </w:tcPr>
          <w:p>
            <w:pPr>
              <w:pStyle w:val="67"/>
              <w:spacing w:line="360" w:lineRule="auto"/>
              <w:ind w:left="9"/>
              <w:jc w:val="center"/>
              <w:rPr>
                <w:rFonts w:cs="Times New Roman"/>
                <w:color w:val="auto"/>
                <w:kern w:val="2"/>
                <w:sz w:val="21"/>
                <w:szCs w:val="21"/>
                <w:highlight w:val="none"/>
              </w:rPr>
            </w:pPr>
            <w:r>
              <w:rPr>
                <w:rFonts w:hint="eastAsia" w:cs="Times New Roman"/>
                <w:color w:val="auto"/>
                <w:kern w:val="2"/>
                <w:sz w:val="21"/>
                <w:szCs w:val="21"/>
                <w:highlight w:val="none"/>
              </w:rPr>
              <w:t>2</w:t>
            </w:r>
          </w:p>
        </w:tc>
        <w:tc>
          <w:tcPr>
            <w:tcW w:w="1985" w:type="dxa"/>
            <w:vAlign w:val="center"/>
          </w:tcPr>
          <w:p>
            <w:pPr>
              <w:pStyle w:val="67"/>
              <w:spacing w:after="120" w:afterLines="50" w:line="288" w:lineRule="auto"/>
              <w:ind w:left="105" w:leftChars="50" w:right="105" w:rightChars="50"/>
              <w:jc w:val="center"/>
              <w:rPr>
                <w:rFonts w:cs="Times New Roman"/>
                <w:color w:val="auto"/>
                <w:kern w:val="2"/>
                <w:sz w:val="21"/>
                <w:szCs w:val="21"/>
                <w:highlight w:val="none"/>
              </w:rPr>
            </w:pPr>
            <w:r>
              <w:rPr>
                <w:rFonts w:hint="eastAsia" w:cs="Times New Roman"/>
                <w:color w:val="auto"/>
                <w:kern w:val="2"/>
                <w:sz w:val="21"/>
                <w:szCs w:val="21"/>
                <w:highlight w:val="none"/>
              </w:rPr>
              <w:t>采购代理机构</w:t>
            </w:r>
          </w:p>
          <w:p>
            <w:pPr>
              <w:pStyle w:val="67"/>
              <w:spacing w:after="120" w:afterLines="50" w:line="288" w:lineRule="auto"/>
              <w:ind w:left="105" w:leftChars="50" w:right="105" w:rightChars="50"/>
              <w:jc w:val="center"/>
              <w:rPr>
                <w:rFonts w:cs="Times New Roman"/>
                <w:color w:val="auto"/>
                <w:kern w:val="2"/>
                <w:sz w:val="21"/>
                <w:szCs w:val="21"/>
                <w:highlight w:val="none"/>
              </w:rPr>
            </w:pPr>
            <w:r>
              <w:rPr>
                <w:rFonts w:hint="eastAsia" w:cs="Times New Roman"/>
                <w:color w:val="auto"/>
                <w:kern w:val="2"/>
                <w:sz w:val="21"/>
                <w:szCs w:val="21"/>
                <w:highlight w:val="none"/>
              </w:rPr>
              <w:t>及联系方式</w:t>
            </w:r>
          </w:p>
        </w:tc>
        <w:tc>
          <w:tcPr>
            <w:tcW w:w="6678" w:type="dxa"/>
            <w:vAlign w:val="center"/>
          </w:tcPr>
          <w:p>
            <w:pPr>
              <w:pStyle w:val="67"/>
              <w:spacing w:after="120" w:afterLines="50" w:line="288" w:lineRule="auto"/>
              <w:ind w:left="105" w:leftChars="50" w:right="-73" w:rightChars="-35"/>
              <w:rPr>
                <w:color w:val="auto"/>
                <w:sz w:val="21"/>
                <w:szCs w:val="21"/>
                <w:highlight w:val="none"/>
              </w:rPr>
            </w:pPr>
            <w:r>
              <w:rPr>
                <w:rFonts w:hint="eastAsia"/>
                <w:color w:val="auto"/>
                <w:sz w:val="21"/>
                <w:szCs w:val="21"/>
                <w:highlight w:val="none"/>
              </w:rPr>
              <w:t>名称：成都一问工程技术咨询有限公司</w:t>
            </w:r>
          </w:p>
          <w:p>
            <w:pPr>
              <w:pStyle w:val="67"/>
              <w:spacing w:after="120" w:afterLines="50" w:line="288" w:lineRule="auto"/>
              <w:ind w:left="105" w:leftChars="50" w:right="-73" w:rightChars="-35"/>
              <w:rPr>
                <w:color w:val="auto"/>
                <w:sz w:val="21"/>
                <w:szCs w:val="21"/>
                <w:highlight w:val="none"/>
              </w:rPr>
            </w:pPr>
            <w:r>
              <w:rPr>
                <w:rFonts w:hint="eastAsia"/>
                <w:color w:val="auto"/>
                <w:sz w:val="21"/>
                <w:szCs w:val="21"/>
                <w:highlight w:val="none"/>
              </w:rPr>
              <w:t>地址：成都市金牛区一品天下大街999号金牛市民中心B座2102号</w:t>
            </w:r>
          </w:p>
          <w:p>
            <w:pPr>
              <w:pStyle w:val="67"/>
              <w:spacing w:after="120" w:afterLines="50" w:line="288" w:lineRule="auto"/>
              <w:ind w:left="105" w:leftChars="50" w:right="-73" w:rightChars="-35"/>
              <w:rPr>
                <w:color w:val="auto"/>
                <w:sz w:val="21"/>
                <w:szCs w:val="21"/>
                <w:highlight w:val="none"/>
              </w:rPr>
            </w:pPr>
            <w:r>
              <w:rPr>
                <w:rFonts w:hint="eastAsia"/>
                <w:color w:val="auto"/>
                <w:sz w:val="21"/>
                <w:szCs w:val="21"/>
                <w:highlight w:val="none"/>
              </w:rPr>
              <w:t>标书售卖电话及联系人：028-83375882-801，刘女士</w:t>
            </w:r>
          </w:p>
          <w:p>
            <w:pPr>
              <w:pStyle w:val="67"/>
              <w:spacing w:after="120" w:afterLines="50" w:line="288" w:lineRule="auto"/>
              <w:ind w:left="105" w:leftChars="50" w:right="-73" w:rightChars="-35"/>
              <w:rPr>
                <w:color w:val="auto"/>
                <w:sz w:val="21"/>
                <w:szCs w:val="21"/>
                <w:highlight w:val="none"/>
              </w:rPr>
            </w:pPr>
            <w:r>
              <w:rPr>
                <w:rFonts w:hint="eastAsia"/>
                <w:color w:val="auto"/>
                <w:sz w:val="21"/>
                <w:szCs w:val="21"/>
                <w:highlight w:val="none"/>
              </w:rPr>
              <w:t>采购文件、开标、评标工作咨询及成交通知书领取电话及联系人：028-83375882-815，李</w:t>
            </w:r>
            <w:r>
              <w:rPr>
                <w:rFonts w:hint="eastAsia"/>
                <w:color w:val="auto"/>
                <w:sz w:val="21"/>
                <w:szCs w:val="21"/>
                <w:highlight w:val="none"/>
                <w:lang w:val="zh-CN"/>
              </w:rPr>
              <w:t>女士</w:t>
            </w:r>
          </w:p>
          <w:p>
            <w:pPr>
              <w:pStyle w:val="67"/>
              <w:spacing w:after="120" w:afterLines="50" w:line="288" w:lineRule="auto"/>
              <w:ind w:left="105" w:leftChars="50" w:right="-73" w:rightChars="-35"/>
              <w:rPr>
                <w:color w:val="auto"/>
                <w:sz w:val="21"/>
                <w:szCs w:val="21"/>
                <w:highlight w:val="none"/>
              </w:rPr>
            </w:pPr>
            <w:r>
              <w:rPr>
                <w:rFonts w:hint="eastAsia"/>
                <w:color w:val="auto"/>
                <w:sz w:val="21"/>
                <w:szCs w:val="21"/>
                <w:highlight w:val="none"/>
              </w:rPr>
              <w:t>保证金缴纳及退还联系人：028-83407246，刘女士</w:t>
            </w:r>
          </w:p>
          <w:p>
            <w:pPr>
              <w:pStyle w:val="67"/>
              <w:spacing w:after="120" w:afterLines="50" w:line="288" w:lineRule="auto"/>
              <w:ind w:left="105" w:leftChars="50" w:right="-73" w:rightChars="-35"/>
              <w:rPr>
                <w:rFonts w:hint="default" w:eastAsia="宋体"/>
                <w:color w:val="auto"/>
                <w:sz w:val="21"/>
                <w:szCs w:val="21"/>
                <w:highlight w:val="none"/>
                <w:lang w:val="en-US" w:eastAsia="zh-CN"/>
              </w:rPr>
            </w:pPr>
            <w:r>
              <w:rPr>
                <w:rFonts w:hint="eastAsia"/>
                <w:color w:val="auto"/>
                <w:sz w:val="21"/>
                <w:szCs w:val="21"/>
                <w:highlight w:val="none"/>
              </w:rPr>
              <w:t>询问、质疑处理联系人：028-83375882-819，李</w:t>
            </w:r>
            <w:r>
              <w:rPr>
                <w:rFonts w:hint="eastAsia"/>
                <w:color w:val="auto"/>
                <w:sz w:val="21"/>
                <w:szCs w:val="21"/>
                <w:highlight w:val="none"/>
                <w:lang w:val="en-US" w:eastAsia="zh-CN"/>
              </w:rPr>
              <w:t>女士</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0" w:hRule="atLeast"/>
          <w:tblHeader/>
          <w:jc w:val="center"/>
        </w:trPr>
        <w:tc>
          <w:tcPr>
            <w:tcW w:w="838" w:type="dxa"/>
            <w:vAlign w:val="center"/>
          </w:tcPr>
          <w:p>
            <w:pPr>
              <w:pStyle w:val="67"/>
              <w:spacing w:line="360" w:lineRule="auto"/>
              <w:ind w:left="9"/>
              <w:jc w:val="center"/>
              <w:rPr>
                <w:rFonts w:cs="Times New Roman"/>
                <w:color w:val="auto"/>
                <w:kern w:val="2"/>
                <w:sz w:val="21"/>
                <w:szCs w:val="21"/>
                <w:highlight w:val="none"/>
              </w:rPr>
            </w:pPr>
            <w:r>
              <w:rPr>
                <w:rFonts w:hint="eastAsia" w:cs="Times New Roman"/>
                <w:color w:val="auto"/>
                <w:kern w:val="2"/>
                <w:sz w:val="21"/>
                <w:szCs w:val="21"/>
                <w:highlight w:val="none"/>
              </w:rPr>
              <w:t>3</w:t>
            </w:r>
          </w:p>
        </w:tc>
        <w:tc>
          <w:tcPr>
            <w:tcW w:w="1985" w:type="dxa"/>
            <w:vAlign w:val="center"/>
          </w:tcPr>
          <w:p>
            <w:pPr>
              <w:pStyle w:val="67"/>
              <w:spacing w:before="120" w:beforeLines="50" w:after="120" w:afterLines="50" w:line="288" w:lineRule="auto"/>
              <w:ind w:right="105" w:rightChars="50"/>
              <w:jc w:val="both"/>
              <w:rPr>
                <w:rFonts w:cs="Times New Roman"/>
                <w:color w:val="auto"/>
                <w:kern w:val="2"/>
                <w:sz w:val="21"/>
                <w:szCs w:val="21"/>
                <w:highlight w:val="none"/>
              </w:rPr>
            </w:pPr>
            <w:r>
              <w:rPr>
                <w:rFonts w:hint="eastAsia" w:cs="Times New Roman"/>
                <w:color w:val="auto"/>
                <w:kern w:val="2"/>
                <w:sz w:val="21"/>
                <w:szCs w:val="21"/>
                <w:highlight w:val="none"/>
              </w:rPr>
              <w:t>供应商邀请方式</w:t>
            </w:r>
          </w:p>
        </w:tc>
        <w:tc>
          <w:tcPr>
            <w:tcW w:w="6678" w:type="dxa"/>
            <w:vAlign w:val="center"/>
          </w:tcPr>
          <w:p>
            <w:pPr>
              <w:pStyle w:val="2"/>
              <w:spacing w:line="420" w:lineRule="exact"/>
              <w:jc w:val="both"/>
              <w:rPr>
                <w:rFonts w:cs="Times New Roman"/>
                <w:color w:val="auto"/>
                <w:kern w:val="2"/>
                <w:sz w:val="21"/>
                <w:szCs w:val="21"/>
                <w:highlight w:val="none"/>
              </w:rPr>
            </w:pPr>
            <w:r>
              <w:rPr>
                <w:rFonts w:hint="eastAsia" w:hAnsi="宋体"/>
                <w:bCs/>
                <w:color w:val="auto"/>
                <w:sz w:val="21"/>
                <w:szCs w:val="21"/>
                <w:highlight w:val="none"/>
              </w:rPr>
              <w:t>公告方式：本次竞争性磋商邀请在四川政府采购网上以公告形式发布。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395" w:hRule="atLeast"/>
          <w:tblHeader/>
          <w:jc w:val="center"/>
        </w:trPr>
        <w:tc>
          <w:tcPr>
            <w:tcW w:w="838" w:type="dxa"/>
            <w:vAlign w:val="center"/>
          </w:tcPr>
          <w:p>
            <w:pPr>
              <w:pStyle w:val="67"/>
              <w:spacing w:line="360" w:lineRule="auto"/>
              <w:ind w:left="9"/>
              <w:jc w:val="center"/>
              <w:rPr>
                <w:rFonts w:cs="Times New Roman"/>
                <w:color w:val="auto"/>
                <w:kern w:val="2"/>
                <w:sz w:val="21"/>
                <w:szCs w:val="21"/>
                <w:highlight w:val="none"/>
              </w:rPr>
            </w:pPr>
            <w:r>
              <w:rPr>
                <w:rFonts w:hint="eastAsia" w:cs="Times New Roman"/>
                <w:color w:val="auto"/>
                <w:kern w:val="2"/>
                <w:sz w:val="21"/>
                <w:szCs w:val="21"/>
                <w:highlight w:val="none"/>
              </w:rPr>
              <w:t>4</w:t>
            </w:r>
          </w:p>
        </w:tc>
        <w:tc>
          <w:tcPr>
            <w:tcW w:w="1985" w:type="dxa"/>
            <w:vAlign w:val="center"/>
          </w:tcPr>
          <w:p>
            <w:pPr>
              <w:pStyle w:val="67"/>
              <w:spacing w:line="360" w:lineRule="auto"/>
              <w:ind w:left="38"/>
              <w:jc w:val="center"/>
              <w:rPr>
                <w:rFonts w:cs="Times New Roman"/>
                <w:color w:val="auto"/>
                <w:kern w:val="2"/>
                <w:sz w:val="21"/>
                <w:szCs w:val="21"/>
                <w:highlight w:val="none"/>
              </w:rPr>
            </w:pPr>
            <w:r>
              <w:rPr>
                <w:rFonts w:hint="eastAsia" w:cs="Times New Roman"/>
                <w:color w:val="auto"/>
                <w:kern w:val="2"/>
                <w:sz w:val="21"/>
                <w:szCs w:val="21"/>
                <w:highlight w:val="none"/>
              </w:rPr>
              <w:t>拒绝参加本次采购活动的供应商</w:t>
            </w:r>
          </w:p>
        </w:tc>
        <w:tc>
          <w:tcPr>
            <w:tcW w:w="6678" w:type="dxa"/>
            <w:vAlign w:val="center"/>
          </w:tcPr>
          <w:p>
            <w:pPr>
              <w:pStyle w:val="67"/>
              <w:spacing w:after="120" w:afterLines="50" w:line="288" w:lineRule="auto"/>
              <w:ind w:left="105" w:leftChars="50" w:right="-73" w:rightChars="-35"/>
              <w:rPr>
                <w:rFonts w:cs="Times New Roman"/>
                <w:color w:val="auto"/>
                <w:kern w:val="2"/>
                <w:sz w:val="21"/>
                <w:szCs w:val="21"/>
                <w:highlight w:val="none"/>
              </w:rPr>
            </w:pPr>
            <w:r>
              <w:rPr>
                <w:rFonts w:hint="eastAsia"/>
                <w:color w:val="auto"/>
                <w:sz w:val="21"/>
                <w:szCs w:val="21"/>
                <w:highlight w:val="none"/>
              </w:rPr>
              <w:t>根据《关于在政府采购活动中查询及使用信用记录有关问题的通知》（财库〔2016〕125号）的要求，采购代理机构将通过“信用中国”网站（www.creditchina.gov.cn）、“中国政府采购网”网站（www.ccgp.gov.cn）等渠道查询供应商在采购公告发布之日前的信用记录并保存信用记录结果网页截图，拒绝列入失信被执行人、重大税收违法案件当事人名单、政府采购严重违法失信行为记录名单中的供应商参加本项目的采购活动（以联合体形式参加本项目采购活动，联合体成员存在不良信用记录的，视同联合体存在不良信用记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4" w:hRule="atLeast"/>
          <w:tblHeader/>
          <w:jc w:val="center"/>
        </w:trPr>
        <w:tc>
          <w:tcPr>
            <w:tcW w:w="838" w:type="dxa"/>
            <w:vAlign w:val="center"/>
          </w:tcPr>
          <w:p>
            <w:pPr>
              <w:pStyle w:val="67"/>
              <w:spacing w:line="360" w:lineRule="auto"/>
              <w:ind w:left="9"/>
              <w:jc w:val="center"/>
              <w:rPr>
                <w:rFonts w:cs="Times New Roman"/>
                <w:color w:val="auto"/>
                <w:kern w:val="2"/>
                <w:sz w:val="21"/>
                <w:szCs w:val="21"/>
                <w:highlight w:val="none"/>
              </w:rPr>
            </w:pPr>
            <w:r>
              <w:rPr>
                <w:rFonts w:hint="eastAsia" w:cs="Times New Roman"/>
                <w:color w:val="auto"/>
                <w:kern w:val="2"/>
                <w:sz w:val="21"/>
                <w:szCs w:val="21"/>
                <w:highlight w:val="none"/>
              </w:rPr>
              <w:t>5</w:t>
            </w:r>
          </w:p>
        </w:tc>
        <w:tc>
          <w:tcPr>
            <w:tcW w:w="1985" w:type="dxa"/>
            <w:vAlign w:val="center"/>
          </w:tcPr>
          <w:p>
            <w:pPr>
              <w:pStyle w:val="67"/>
              <w:spacing w:line="360" w:lineRule="auto"/>
              <w:ind w:left="38"/>
              <w:jc w:val="center"/>
              <w:rPr>
                <w:rFonts w:cs="Times New Roman"/>
                <w:color w:val="auto"/>
                <w:kern w:val="2"/>
                <w:sz w:val="21"/>
                <w:szCs w:val="21"/>
                <w:highlight w:val="none"/>
              </w:rPr>
            </w:pPr>
            <w:r>
              <w:rPr>
                <w:rFonts w:hint="eastAsia" w:cs="Times New Roman"/>
                <w:color w:val="auto"/>
                <w:kern w:val="2"/>
                <w:sz w:val="21"/>
                <w:szCs w:val="21"/>
                <w:highlight w:val="none"/>
              </w:rPr>
              <w:t>采购方式</w:t>
            </w:r>
          </w:p>
        </w:tc>
        <w:tc>
          <w:tcPr>
            <w:tcW w:w="6678" w:type="dxa"/>
            <w:vAlign w:val="center"/>
          </w:tcPr>
          <w:p>
            <w:pPr>
              <w:pStyle w:val="67"/>
              <w:spacing w:after="120" w:afterLines="50" w:line="288" w:lineRule="auto"/>
              <w:ind w:left="105" w:leftChars="50" w:right="105" w:rightChars="50"/>
              <w:rPr>
                <w:rFonts w:cs="Times New Roman"/>
                <w:color w:val="auto"/>
                <w:kern w:val="2"/>
                <w:sz w:val="21"/>
                <w:szCs w:val="21"/>
                <w:highlight w:val="none"/>
              </w:rPr>
            </w:pPr>
            <w:r>
              <w:rPr>
                <w:rFonts w:hint="eastAsia" w:cs="Times New Roman"/>
                <w:color w:val="auto"/>
                <w:kern w:val="2"/>
                <w:sz w:val="21"/>
                <w:szCs w:val="21"/>
                <w:highlight w:val="none"/>
              </w:rPr>
              <w:t>竞争性磋商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Merge w:val="restart"/>
            <w:vAlign w:val="center"/>
          </w:tcPr>
          <w:p>
            <w:pPr>
              <w:pStyle w:val="67"/>
              <w:spacing w:line="360" w:lineRule="auto"/>
              <w:ind w:left="9"/>
              <w:jc w:val="center"/>
              <w:rPr>
                <w:rFonts w:cs="Times New Roman"/>
                <w:color w:val="auto"/>
                <w:kern w:val="2"/>
                <w:sz w:val="21"/>
                <w:szCs w:val="21"/>
                <w:highlight w:val="none"/>
              </w:rPr>
            </w:pPr>
            <w:r>
              <w:rPr>
                <w:rFonts w:hint="eastAsia" w:cs="Times New Roman"/>
                <w:color w:val="auto"/>
                <w:kern w:val="2"/>
                <w:sz w:val="21"/>
                <w:szCs w:val="21"/>
                <w:highlight w:val="none"/>
              </w:rPr>
              <w:t>6</w:t>
            </w:r>
          </w:p>
        </w:tc>
        <w:tc>
          <w:tcPr>
            <w:tcW w:w="1985" w:type="dxa"/>
            <w:tcBorders>
              <w:bottom w:val="single" w:color="auto" w:sz="4" w:space="0"/>
            </w:tcBorders>
            <w:vAlign w:val="center"/>
          </w:tcPr>
          <w:p>
            <w:pPr>
              <w:pStyle w:val="67"/>
              <w:spacing w:line="360" w:lineRule="auto"/>
              <w:ind w:left="38"/>
              <w:jc w:val="center"/>
              <w:rPr>
                <w:rFonts w:cs="Times New Roman"/>
                <w:b/>
                <w:color w:val="auto"/>
                <w:kern w:val="2"/>
                <w:sz w:val="21"/>
                <w:szCs w:val="21"/>
                <w:highlight w:val="none"/>
              </w:rPr>
            </w:pPr>
            <w:r>
              <w:rPr>
                <w:rFonts w:hint="eastAsia" w:cs="Times New Roman"/>
                <w:b/>
                <w:color w:val="auto"/>
                <w:kern w:val="2"/>
                <w:sz w:val="21"/>
                <w:szCs w:val="21"/>
                <w:highlight w:val="none"/>
              </w:rPr>
              <w:t>采购预算</w:t>
            </w:r>
          </w:p>
          <w:p>
            <w:pPr>
              <w:pStyle w:val="67"/>
              <w:spacing w:line="360" w:lineRule="auto"/>
              <w:ind w:left="38"/>
              <w:jc w:val="center"/>
              <w:rPr>
                <w:rFonts w:cs="Times New Roman"/>
                <w:b/>
                <w:color w:val="auto"/>
                <w:kern w:val="2"/>
                <w:sz w:val="21"/>
                <w:szCs w:val="21"/>
                <w:highlight w:val="none"/>
              </w:rPr>
            </w:pPr>
            <w:r>
              <w:rPr>
                <w:rFonts w:hint="eastAsia"/>
                <w:b/>
                <w:color w:val="auto"/>
                <w:sz w:val="21"/>
                <w:szCs w:val="21"/>
                <w:highlight w:val="none"/>
              </w:rPr>
              <w:t>（实质性要求）</w:t>
            </w:r>
          </w:p>
        </w:tc>
        <w:tc>
          <w:tcPr>
            <w:tcW w:w="6678" w:type="dxa"/>
            <w:tcBorders>
              <w:bottom w:val="single" w:color="auto" w:sz="4" w:space="0"/>
            </w:tcBorders>
            <w:vAlign w:val="center"/>
          </w:tcPr>
          <w:p>
            <w:pPr>
              <w:pStyle w:val="67"/>
              <w:spacing w:after="120" w:afterLines="50" w:line="288" w:lineRule="auto"/>
              <w:ind w:left="105" w:leftChars="50" w:right="105" w:rightChars="50"/>
              <w:rPr>
                <w:color w:val="auto"/>
                <w:sz w:val="21"/>
                <w:szCs w:val="21"/>
                <w:highlight w:val="none"/>
                <w:lang w:val="zh-CN"/>
              </w:rPr>
            </w:pPr>
            <w:r>
              <w:rPr>
                <w:rFonts w:hint="eastAsia"/>
                <w:color w:val="auto"/>
                <w:sz w:val="21"/>
                <w:szCs w:val="21"/>
                <w:highlight w:val="none"/>
                <w:lang w:val="zh-CN"/>
              </w:rPr>
              <w:t>本项目采购预算品目为</w:t>
            </w:r>
            <w:r>
              <w:rPr>
                <w:rFonts w:hint="eastAsia"/>
                <w:color w:val="auto"/>
                <w:sz w:val="21"/>
                <w:szCs w:val="21"/>
                <w:highlight w:val="none"/>
                <w:u w:val="single"/>
                <w:lang w:val="zh-CN"/>
              </w:rPr>
              <w:t xml:space="preserve"> C</w:t>
            </w:r>
            <w:r>
              <w:rPr>
                <w:rFonts w:hint="eastAsia"/>
                <w:color w:val="auto"/>
                <w:sz w:val="21"/>
                <w:szCs w:val="21"/>
                <w:highlight w:val="none"/>
                <w:u w:val="single"/>
              </w:rPr>
              <w:t>0908其他专业技术服务</w:t>
            </w:r>
            <w:r>
              <w:rPr>
                <w:rFonts w:hint="eastAsia"/>
                <w:color w:val="auto"/>
                <w:sz w:val="21"/>
                <w:szCs w:val="21"/>
                <w:highlight w:val="none"/>
                <w:lang w:val="zh-CN"/>
              </w:rPr>
              <w:t xml:space="preserve"> ，预算金额为人民币</w:t>
            </w:r>
            <w:r>
              <w:rPr>
                <w:rFonts w:hint="eastAsia"/>
                <w:color w:val="auto"/>
                <w:sz w:val="21"/>
                <w:szCs w:val="21"/>
                <w:highlight w:val="none"/>
                <w:u w:val="single"/>
                <w:lang w:val="zh-CN"/>
              </w:rPr>
              <w:t xml:space="preserve"> </w:t>
            </w:r>
            <w:r>
              <w:rPr>
                <w:rFonts w:hint="eastAsia"/>
                <w:color w:val="auto"/>
                <w:sz w:val="21"/>
                <w:szCs w:val="21"/>
                <w:highlight w:val="none"/>
                <w:u w:val="single"/>
              </w:rPr>
              <w:t>100</w:t>
            </w:r>
            <w:r>
              <w:rPr>
                <w:rFonts w:hint="eastAsia"/>
                <w:color w:val="auto"/>
                <w:sz w:val="21"/>
                <w:szCs w:val="21"/>
                <w:highlight w:val="none"/>
                <w:u w:val="single"/>
                <w:lang w:val="zh-CN"/>
              </w:rPr>
              <w:t>万元</w:t>
            </w:r>
            <w:r>
              <w:rPr>
                <w:rFonts w:hint="eastAsia"/>
                <w:color w:val="auto"/>
                <w:sz w:val="21"/>
                <w:szCs w:val="21"/>
                <w:highlight w:val="none"/>
                <w:lang w:val="zh-CN"/>
              </w:rPr>
              <w:t>。</w:t>
            </w:r>
          </w:p>
          <w:p>
            <w:pPr>
              <w:pStyle w:val="67"/>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最后报价超过采购预算,其响应文件按无效处理。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Merge w:val="continue"/>
            <w:vAlign w:val="center"/>
          </w:tcPr>
          <w:p>
            <w:pPr>
              <w:spacing w:line="360" w:lineRule="auto"/>
              <w:jc w:val="center"/>
              <w:rPr>
                <w:rFonts w:ascii="宋体" w:hAnsi="宋体"/>
                <w:color w:val="auto"/>
                <w:szCs w:val="21"/>
                <w:highlight w:val="none"/>
              </w:rPr>
            </w:pPr>
          </w:p>
        </w:tc>
        <w:tc>
          <w:tcPr>
            <w:tcW w:w="1985" w:type="dxa"/>
            <w:tcBorders>
              <w:top w:val="single" w:color="auto" w:sz="4" w:space="0"/>
            </w:tcBorders>
            <w:vAlign w:val="center"/>
          </w:tcPr>
          <w:p>
            <w:pPr>
              <w:pStyle w:val="67"/>
              <w:spacing w:line="360" w:lineRule="auto"/>
              <w:jc w:val="center"/>
              <w:rPr>
                <w:rFonts w:cs="Times New Roman"/>
                <w:b/>
                <w:color w:val="auto"/>
                <w:kern w:val="2"/>
                <w:sz w:val="21"/>
                <w:szCs w:val="21"/>
                <w:highlight w:val="none"/>
              </w:rPr>
            </w:pPr>
            <w:r>
              <w:rPr>
                <w:rFonts w:hint="eastAsia" w:cs="Times New Roman"/>
                <w:b/>
                <w:color w:val="auto"/>
                <w:kern w:val="2"/>
                <w:sz w:val="21"/>
                <w:szCs w:val="21"/>
                <w:highlight w:val="none"/>
              </w:rPr>
              <w:t>最高限价</w:t>
            </w:r>
          </w:p>
          <w:p>
            <w:pPr>
              <w:pStyle w:val="67"/>
              <w:spacing w:line="360" w:lineRule="auto"/>
              <w:jc w:val="center"/>
              <w:rPr>
                <w:rFonts w:cs="Times New Roman"/>
                <w:color w:val="auto"/>
                <w:kern w:val="2"/>
                <w:sz w:val="21"/>
                <w:szCs w:val="21"/>
                <w:highlight w:val="none"/>
              </w:rPr>
            </w:pPr>
            <w:r>
              <w:rPr>
                <w:rFonts w:hint="eastAsia"/>
                <w:b/>
                <w:color w:val="auto"/>
                <w:sz w:val="21"/>
                <w:szCs w:val="21"/>
                <w:highlight w:val="none"/>
              </w:rPr>
              <w:t>（实质性要求）</w:t>
            </w:r>
          </w:p>
        </w:tc>
        <w:tc>
          <w:tcPr>
            <w:tcW w:w="6678" w:type="dxa"/>
            <w:tcBorders>
              <w:top w:val="single" w:color="auto" w:sz="4" w:space="0"/>
            </w:tcBorders>
            <w:vAlign w:val="center"/>
          </w:tcPr>
          <w:p>
            <w:pPr>
              <w:pStyle w:val="67"/>
              <w:spacing w:after="120" w:afterLines="50" w:line="288" w:lineRule="auto"/>
              <w:ind w:left="105" w:leftChars="50" w:right="105" w:rightChars="50"/>
              <w:rPr>
                <w:color w:val="auto"/>
                <w:sz w:val="21"/>
                <w:szCs w:val="21"/>
                <w:highlight w:val="none"/>
                <w:lang w:val="zh-CN"/>
              </w:rPr>
            </w:pPr>
            <w:r>
              <w:rPr>
                <w:rFonts w:hint="eastAsia"/>
                <w:color w:val="auto"/>
                <w:sz w:val="21"/>
                <w:szCs w:val="21"/>
                <w:highlight w:val="none"/>
                <w:lang w:val="zh-CN"/>
              </w:rPr>
              <w:t>本项目最高限价为人民币</w:t>
            </w:r>
            <w:r>
              <w:rPr>
                <w:rFonts w:hint="eastAsia"/>
                <w:color w:val="auto"/>
                <w:sz w:val="21"/>
                <w:szCs w:val="21"/>
                <w:highlight w:val="none"/>
                <w:u w:val="single"/>
              </w:rPr>
              <w:t>100</w:t>
            </w:r>
            <w:r>
              <w:rPr>
                <w:rFonts w:hint="eastAsia"/>
                <w:color w:val="auto"/>
                <w:sz w:val="21"/>
                <w:szCs w:val="21"/>
                <w:highlight w:val="none"/>
                <w:u w:val="single"/>
                <w:lang w:val="zh-CN"/>
              </w:rPr>
              <w:t>万元</w:t>
            </w:r>
            <w:r>
              <w:rPr>
                <w:rFonts w:hint="eastAsia"/>
                <w:color w:val="auto"/>
                <w:sz w:val="21"/>
                <w:szCs w:val="21"/>
                <w:highlight w:val="none"/>
                <w:lang w:val="zh-CN"/>
              </w:rPr>
              <w:t>。</w:t>
            </w:r>
          </w:p>
          <w:p>
            <w:pPr>
              <w:pStyle w:val="67"/>
              <w:spacing w:after="120" w:afterLines="50" w:line="288" w:lineRule="auto"/>
              <w:ind w:left="105" w:leftChars="50" w:right="105" w:rightChars="50"/>
              <w:rPr>
                <w:color w:val="auto"/>
                <w:sz w:val="21"/>
                <w:szCs w:val="21"/>
                <w:highlight w:val="none"/>
                <w:lang w:val="zh-CN"/>
              </w:rPr>
            </w:pPr>
            <w:r>
              <w:rPr>
                <w:rFonts w:hint="eastAsia"/>
                <w:color w:val="auto"/>
                <w:sz w:val="21"/>
                <w:szCs w:val="21"/>
                <w:highlight w:val="none"/>
                <w:lang w:val="zh-CN"/>
              </w:rPr>
              <w:t>最后报价超过最高限价,其响应文件按无效处理。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7</w:t>
            </w:r>
          </w:p>
        </w:tc>
        <w:tc>
          <w:tcPr>
            <w:tcW w:w="1985" w:type="dxa"/>
            <w:vAlign w:val="center"/>
          </w:tcPr>
          <w:p>
            <w:pPr>
              <w:pStyle w:val="67"/>
              <w:spacing w:line="360" w:lineRule="auto"/>
              <w:ind w:left="38"/>
              <w:jc w:val="center"/>
              <w:rPr>
                <w:rFonts w:cs="Times New Roman"/>
                <w:b/>
                <w:color w:val="auto"/>
                <w:kern w:val="2"/>
                <w:sz w:val="21"/>
                <w:szCs w:val="21"/>
                <w:highlight w:val="none"/>
              </w:rPr>
            </w:pPr>
            <w:r>
              <w:rPr>
                <w:rFonts w:hint="eastAsia" w:cs="Times New Roman"/>
                <w:b/>
                <w:color w:val="auto"/>
                <w:kern w:val="2"/>
                <w:sz w:val="21"/>
                <w:szCs w:val="21"/>
                <w:highlight w:val="none"/>
              </w:rPr>
              <w:t>低于成本价不正当</w:t>
            </w:r>
          </w:p>
          <w:p>
            <w:pPr>
              <w:pStyle w:val="67"/>
              <w:spacing w:line="360" w:lineRule="auto"/>
              <w:ind w:left="38"/>
              <w:jc w:val="center"/>
              <w:rPr>
                <w:rFonts w:cs="Times New Roman"/>
                <w:b/>
                <w:color w:val="auto"/>
                <w:kern w:val="2"/>
                <w:sz w:val="21"/>
                <w:szCs w:val="21"/>
                <w:highlight w:val="none"/>
              </w:rPr>
            </w:pPr>
            <w:r>
              <w:rPr>
                <w:rFonts w:hint="eastAsia" w:cs="Times New Roman"/>
                <w:b/>
                <w:color w:val="auto"/>
                <w:kern w:val="2"/>
                <w:sz w:val="21"/>
                <w:szCs w:val="21"/>
                <w:highlight w:val="none"/>
              </w:rPr>
              <w:t>竞争预防措施</w:t>
            </w:r>
          </w:p>
          <w:p>
            <w:pPr>
              <w:pStyle w:val="67"/>
              <w:spacing w:line="360" w:lineRule="auto"/>
              <w:ind w:left="38"/>
              <w:jc w:val="center"/>
              <w:rPr>
                <w:rFonts w:cs="Times New Roman"/>
                <w:color w:val="auto"/>
                <w:kern w:val="2"/>
                <w:sz w:val="21"/>
                <w:szCs w:val="21"/>
                <w:highlight w:val="none"/>
              </w:rPr>
            </w:pPr>
            <w:r>
              <w:rPr>
                <w:rFonts w:hint="eastAsia"/>
                <w:b/>
                <w:color w:val="auto"/>
                <w:sz w:val="21"/>
                <w:szCs w:val="21"/>
                <w:highlight w:val="none"/>
              </w:rPr>
              <w:t>（实质性要求）</w:t>
            </w:r>
          </w:p>
        </w:tc>
        <w:tc>
          <w:tcPr>
            <w:tcW w:w="6678" w:type="dxa"/>
            <w:vAlign w:val="center"/>
          </w:tcPr>
          <w:p>
            <w:pPr>
              <w:pStyle w:val="67"/>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在评审过程中，磋商小组认为供应商的报价明显低于其他通过符合性审查供应商的报价，有可能影响产品质量或者不能诚信履约的，磋商小组应当要求其在评审现场合理的时间内提供成本构成书面说明，并提交相关证明材料。书面说明应当按照国家财务会计制度的规定要求，逐项就供应商提供的货物、工程和服务的主营业务成本（应根据供应商企业类型予以区别）、税金及附加、销售费用、管理费用、财务费用等成本构成事项详细陈述。</w:t>
            </w:r>
          </w:p>
          <w:p>
            <w:pPr>
              <w:pStyle w:val="67"/>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供应商提交的书面说明、相关证明材料（如涉及），应当加盖供应商（法定名称）盖单位电子签章，在磋商小组要求的时间内通过政府采购云平台进行递交，否则无效（给予供应商澄清、说明的时间不得少于30分钟，供应商已明确表示澄清、说明完毕的除外）。如因断电、断网、系统故障或其他不可抗力等因素，导致系统无法使用的，由供应商按磋商小组的要求进行澄清或者说明。</w:t>
            </w:r>
          </w:p>
          <w:p>
            <w:pPr>
              <w:pStyle w:val="67"/>
              <w:spacing w:after="120" w:afterLines="50" w:line="288" w:lineRule="auto"/>
              <w:ind w:left="105" w:leftChars="50" w:right="105" w:rightChars="50"/>
              <w:rPr>
                <w:rFonts w:cs="Times New Roman"/>
                <w:color w:val="auto"/>
                <w:kern w:val="2"/>
                <w:sz w:val="21"/>
                <w:szCs w:val="21"/>
                <w:highlight w:val="none"/>
              </w:rPr>
            </w:pPr>
            <w:r>
              <w:rPr>
                <w:rFonts w:hint="eastAsia"/>
                <w:color w:val="auto"/>
                <w:sz w:val="21"/>
                <w:szCs w:val="21"/>
                <w:highlight w:val="none"/>
              </w:rPr>
              <w:t>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磋商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Merge w:val="restart"/>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8</w:t>
            </w:r>
          </w:p>
        </w:tc>
        <w:tc>
          <w:tcPr>
            <w:tcW w:w="1985" w:type="dxa"/>
            <w:vAlign w:val="center"/>
          </w:tcPr>
          <w:p>
            <w:pPr>
              <w:pStyle w:val="67"/>
              <w:ind w:left="38"/>
              <w:jc w:val="center"/>
              <w:rPr>
                <w:rFonts w:cs="Times New Roman"/>
                <w:b/>
                <w:color w:val="auto"/>
                <w:kern w:val="2"/>
                <w:sz w:val="21"/>
                <w:szCs w:val="21"/>
                <w:highlight w:val="none"/>
              </w:rPr>
            </w:pPr>
            <w:r>
              <w:rPr>
                <w:rFonts w:hint="eastAsia" w:cs="Times New Roman"/>
                <w:b/>
                <w:color w:val="auto"/>
                <w:kern w:val="2"/>
                <w:sz w:val="21"/>
                <w:szCs w:val="21"/>
                <w:highlight w:val="none"/>
              </w:rPr>
              <w:t>本项目采购标的对应的中小企业划分标准所属行业</w:t>
            </w:r>
          </w:p>
        </w:tc>
        <w:tc>
          <w:tcPr>
            <w:tcW w:w="6678" w:type="dxa"/>
            <w:vAlign w:val="center"/>
          </w:tcPr>
          <w:p>
            <w:pPr>
              <w:pStyle w:val="67"/>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其他未列明行业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Merge w:val="continue"/>
            <w:vAlign w:val="center"/>
          </w:tcPr>
          <w:p>
            <w:pPr>
              <w:spacing w:line="360" w:lineRule="auto"/>
              <w:jc w:val="center"/>
              <w:rPr>
                <w:rFonts w:ascii="宋体" w:hAnsi="宋体"/>
                <w:color w:val="auto"/>
                <w:szCs w:val="21"/>
                <w:highlight w:val="none"/>
              </w:rPr>
            </w:pPr>
          </w:p>
        </w:tc>
        <w:tc>
          <w:tcPr>
            <w:tcW w:w="1985" w:type="dxa"/>
            <w:vAlign w:val="center"/>
          </w:tcPr>
          <w:p>
            <w:pPr>
              <w:pStyle w:val="67"/>
              <w:ind w:left="38"/>
              <w:jc w:val="center"/>
              <w:rPr>
                <w:rFonts w:cs="Times New Roman"/>
                <w:b/>
                <w:color w:val="auto"/>
                <w:kern w:val="2"/>
                <w:sz w:val="21"/>
                <w:szCs w:val="21"/>
                <w:highlight w:val="none"/>
              </w:rPr>
            </w:pPr>
            <w:r>
              <w:rPr>
                <w:rFonts w:hint="eastAsia" w:cs="Times New Roman"/>
                <w:b/>
                <w:color w:val="auto"/>
                <w:kern w:val="2"/>
                <w:sz w:val="21"/>
                <w:szCs w:val="21"/>
                <w:highlight w:val="none"/>
              </w:rPr>
              <w:t>小微企业（监狱企业、残疾人福利性单位视同小微企业）价格扣除</w:t>
            </w:r>
          </w:p>
          <w:p>
            <w:pPr>
              <w:pStyle w:val="67"/>
              <w:ind w:left="38"/>
              <w:jc w:val="center"/>
              <w:rPr>
                <w:rFonts w:cs="Times New Roman"/>
                <w:b/>
                <w:color w:val="auto"/>
                <w:kern w:val="2"/>
                <w:sz w:val="21"/>
                <w:szCs w:val="21"/>
                <w:highlight w:val="none"/>
              </w:rPr>
            </w:pPr>
            <w:r>
              <w:rPr>
                <w:rFonts w:hint="eastAsia" w:cs="Times New Roman"/>
                <w:b/>
                <w:color w:val="auto"/>
                <w:kern w:val="2"/>
                <w:sz w:val="21"/>
                <w:szCs w:val="21"/>
                <w:highlight w:val="none"/>
              </w:rPr>
              <w:t>（实质性要求）</w:t>
            </w:r>
          </w:p>
        </w:tc>
        <w:tc>
          <w:tcPr>
            <w:tcW w:w="6678" w:type="dxa"/>
            <w:vAlign w:val="center"/>
          </w:tcPr>
          <w:p>
            <w:pPr>
              <w:pStyle w:val="67"/>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小微企业（监狱企业、残疾人福利性单位视同小微企业）价格扣除</w:t>
            </w:r>
          </w:p>
          <w:p>
            <w:pPr>
              <w:pStyle w:val="67"/>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1、根据《政府采购促进中小企业发展管理办法》（财库〔2020〕46号）的规定，对符合本办法规定的小微企业报价给予10%的价格扣除，用扣除后的价格参加评审。</w:t>
            </w:r>
          </w:p>
          <w:p>
            <w:pPr>
              <w:pStyle w:val="67"/>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2、以联合体形式参加政府采购活动，联合体各方均为中小企业的，联合体视同中小企业。其中，联合体各方均为小微企业的，联合体视同小微企业。</w:t>
            </w:r>
          </w:p>
          <w:p>
            <w:pPr>
              <w:pStyle w:val="67"/>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3、接受大中型企业与小微企业组成联合体或者允许大中型企业向一家或者多家小微企业分包的采购项目，对于联合协议或者分包意向协议约定小微企业的合同份额占到合同总金额30%以上的，当对联合体或者大中型企业的报价给予3%的扣除，用扣除后的价格参加评审。组成联合体或者接受分包的小微企业与联合体内其他企业、分包企业之间存在直接控股、管理关系的，不享受价格扣除优惠政策。</w:t>
            </w:r>
          </w:p>
          <w:p>
            <w:pPr>
              <w:pStyle w:val="67"/>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4、参加政府采购活动的中小企业应当提供《中小企业声明函》原件，否则不得享受相关中小企业扶持政策；残疾人福利性单位应当提供《残疾人福利性单位声明函》原件；监狱企业应当提供监狱企业的证明文件复印件。</w:t>
            </w:r>
          </w:p>
          <w:p>
            <w:pPr>
              <w:pStyle w:val="67"/>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5、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67"/>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符合中小企业划分标准的个体工商户，在政府采购活动中视同中小企业。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9</w:t>
            </w:r>
          </w:p>
        </w:tc>
        <w:tc>
          <w:tcPr>
            <w:tcW w:w="1985" w:type="dxa"/>
            <w:vAlign w:val="center"/>
          </w:tcPr>
          <w:p>
            <w:pPr>
              <w:pStyle w:val="67"/>
              <w:ind w:left="38"/>
              <w:jc w:val="center"/>
              <w:rPr>
                <w:rFonts w:cs="Times New Roman"/>
                <w:b/>
                <w:color w:val="auto"/>
                <w:kern w:val="2"/>
                <w:sz w:val="21"/>
                <w:szCs w:val="21"/>
                <w:highlight w:val="none"/>
              </w:rPr>
            </w:pPr>
            <w:r>
              <w:rPr>
                <w:rFonts w:hint="eastAsia"/>
                <w:b/>
                <w:bCs/>
                <w:color w:val="auto"/>
                <w:sz w:val="21"/>
                <w:szCs w:val="21"/>
                <w:highlight w:val="none"/>
                <w:lang w:val="zh-CN"/>
              </w:rPr>
              <w:t>失信企业报价加成</w:t>
            </w:r>
            <w:r>
              <w:rPr>
                <w:rFonts w:hint="eastAsia"/>
                <w:b/>
                <w:color w:val="auto"/>
                <w:sz w:val="21"/>
                <w:szCs w:val="21"/>
                <w:highlight w:val="none"/>
              </w:rPr>
              <w:t>（实质性要求）</w:t>
            </w:r>
          </w:p>
        </w:tc>
        <w:tc>
          <w:tcPr>
            <w:tcW w:w="6678" w:type="dxa"/>
            <w:vAlign w:val="center"/>
          </w:tcPr>
          <w:p>
            <w:pPr>
              <w:spacing w:after="120" w:afterLines="50" w:line="288" w:lineRule="auto"/>
              <w:ind w:left="105" w:leftChars="50" w:right="105" w:rightChars="50"/>
              <w:jc w:val="left"/>
              <w:rPr>
                <w:rFonts w:ascii="宋体" w:hAnsi="宋体"/>
                <w:color w:val="auto"/>
                <w:szCs w:val="21"/>
                <w:highlight w:val="none"/>
              </w:rPr>
            </w:pPr>
            <w:r>
              <w:rPr>
                <w:rFonts w:hint="eastAsia" w:ascii="宋体" w:hAnsi="宋体"/>
                <w:color w:val="auto"/>
                <w:szCs w:val="21"/>
                <w:highlight w:val="none"/>
              </w:rPr>
              <w:t>1、对记入诚信档案且在有效期内的失信供应商，参加政府采购活动按照10%的报价加成，以加成后报价作为该供应商报价参与评审。供应商失信行为惩戒实行无限制累加制，因其失信行为进行报价加成惩戒后报价超过政府采购预算的，其响应文件按照无效处理。</w:t>
            </w:r>
          </w:p>
          <w:p>
            <w:pPr>
              <w:pStyle w:val="67"/>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2、供应商参加政府采购活动时，应当就自己的诚信情况在响应文件中进行承诺。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10</w:t>
            </w:r>
          </w:p>
        </w:tc>
        <w:tc>
          <w:tcPr>
            <w:tcW w:w="1985" w:type="dxa"/>
            <w:vAlign w:val="center"/>
          </w:tcPr>
          <w:p>
            <w:pPr>
              <w:pStyle w:val="67"/>
              <w:spacing w:line="300" w:lineRule="exact"/>
              <w:ind w:left="96"/>
              <w:jc w:val="center"/>
              <w:rPr>
                <w:b/>
                <w:color w:val="auto"/>
                <w:sz w:val="21"/>
                <w:szCs w:val="21"/>
                <w:highlight w:val="none"/>
                <w:lang w:val="zh-CN"/>
              </w:rPr>
            </w:pPr>
            <w:r>
              <w:rPr>
                <w:rFonts w:hint="eastAsia"/>
                <w:b/>
                <w:color w:val="auto"/>
                <w:sz w:val="21"/>
                <w:szCs w:val="21"/>
                <w:highlight w:val="none"/>
                <w:lang w:val="zh-CN"/>
              </w:rPr>
              <w:t>磋商保证金</w:t>
            </w:r>
          </w:p>
          <w:p>
            <w:pPr>
              <w:pStyle w:val="67"/>
              <w:spacing w:line="300" w:lineRule="exact"/>
              <w:ind w:left="96"/>
              <w:jc w:val="center"/>
              <w:rPr>
                <w:b/>
                <w:color w:val="auto"/>
                <w:sz w:val="21"/>
                <w:szCs w:val="21"/>
                <w:highlight w:val="none"/>
                <w:lang w:val="zh-CN"/>
              </w:rPr>
            </w:pPr>
            <w:r>
              <w:rPr>
                <w:rFonts w:hint="eastAsia"/>
                <w:b/>
                <w:color w:val="auto"/>
                <w:sz w:val="21"/>
                <w:szCs w:val="21"/>
                <w:highlight w:val="none"/>
                <w:lang w:val="zh-CN"/>
              </w:rPr>
              <w:t>（实质性要求）</w:t>
            </w:r>
          </w:p>
        </w:tc>
        <w:tc>
          <w:tcPr>
            <w:tcW w:w="6678" w:type="dxa"/>
            <w:vAlign w:val="center"/>
          </w:tcPr>
          <w:p>
            <w:pPr>
              <w:pStyle w:val="67"/>
              <w:widowControl/>
              <w:spacing w:after="120" w:afterLines="50" w:line="288" w:lineRule="auto"/>
              <w:ind w:right="105" w:rightChars="50"/>
              <w:rPr>
                <w:color w:val="auto"/>
                <w:szCs w:val="21"/>
                <w:highlight w:val="none"/>
              </w:rPr>
            </w:pPr>
            <w:r>
              <w:rPr>
                <w:rFonts w:hint="eastAsia"/>
                <w:color w:val="auto"/>
                <w:sz w:val="21"/>
                <w:szCs w:val="21"/>
                <w:highlight w:val="none"/>
                <w:lang w:val="zh-CN"/>
              </w:rPr>
              <w:t>响应川财采[2020]28号文件本项目</w:t>
            </w:r>
            <w:r>
              <w:rPr>
                <w:rFonts w:hint="eastAsia"/>
                <w:color w:val="auto"/>
                <w:sz w:val="21"/>
                <w:szCs w:val="21"/>
                <w:highlight w:val="none"/>
              </w:rPr>
              <w:t>不缴纳</w:t>
            </w:r>
            <w:r>
              <w:rPr>
                <w:rFonts w:hint="eastAsia"/>
                <w:color w:val="auto"/>
                <w:sz w:val="21"/>
                <w:szCs w:val="21"/>
                <w:highlight w:val="none"/>
                <w:lang w:val="zh-CN"/>
              </w:rPr>
              <w:t>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11</w:t>
            </w:r>
          </w:p>
        </w:tc>
        <w:tc>
          <w:tcPr>
            <w:tcW w:w="1985" w:type="dxa"/>
            <w:vAlign w:val="center"/>
          </w:tcPr>
          <w:p>
            <w:pPr>
              <w:pStyle w:val="67"/>
              <w:spacing w:line="360" w:lineRule="auto"/>
              <w:ind w:left="96"/>
              <w:jc w:val="center"/>
              <w:rPr>
                <w:color w:val="auto"/>
                <w:sz w:val="21"/>
                <w:szCs w:val="21"/>
                <w:highlight w:val="none"/>
                <w:lang w:val="zh-CN"/>
              </w:rPr>
            </w:pPr>
            <w:r>
              <w:rPr>
                <w:rFonts w:hint="eastAsia"/>
                <w:color w:val="auto"/>
                <w:sz w:val="21"/>
                <w:szCs w:val="21"/>
                <w:highlight w:val="none"/>
                <w:lang w:val="zh-CN"/>
              </w:rPr>
              <w:t>履约保证金</w:t>
            </w:r>
          </w:p>
        </w:tc>
        <w:tc>
          <w:tcPr>
            <w:tcW w:w="6678" w:type="dxa"/>
            <w:vAlign w:val="center"/>
          </w:tcPr>
          <w:p>
            <w:pPr>
              <w:pStyle w:val="67"/>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不缴纳□</w:t>
            </w:r>
          </w:p>
          <w:p>
            <w:pPr>
              <w:pStyle w:val="67"/>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缴  纳☑</w:t>
            </w:r>
          </w:p>
          <w:p>
            <w:pPr>
              <w:pStyle w:val="67"/>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缴纳金额：合同金额的5%</w:t>
            </w:r>
          </w:p>
          <w:p>
            <w:pPr>
              <w:pStyle w:val="67"/>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缴纳方式：履约保证金可以以支票、汇票、本票或者金融机构出具的保 函等非现金形式提交（包括网银转账，电汇等方式）。</w:t>
            </w:r>
          </w:p>
          <w:p>
            <w:pPr>
              <w:pStyle w:val="67"/>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缴纳时间：成交通知书领取后，合同签订前。</w:t>
            </w:r>
          </w:p>
          <w:p>
            <w:pPr>
              <w:pStyle w:val="67"/>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履约保证金退还方式：根据中标人履约保证金提交方式原路退回。</w:t>
            </w:r>
          </w:p>
          <w:p>
            <w:pPr>
              <w:pStyle w:val="67"/>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 xml:space="preserve">履约保证金退还时间：履约验收合格后30日内无息退还。 </w:t>
            </w:r>
            <w:bookmarkStart w:id="158" w:name="_GoBack"/>
            <w:bookmarkEnd w:id="158"/>
          </w:p>
          <w:p>
            <w:pPr>
              <w:pStyle w:val="67"/>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履约保证金不予退还情形：中标人不履行与采购人人订立的合同的，履 约保证金不予退还。 履约保证金不予退还的，将按照有关规定上缴国库。逾期退还履约保证金的，将依法承担法律责任，并赔偿供应商损失。</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26" w:hRule="atLeast"/>
          <w:jc w:val="center"/>
        </w:trPr>
        <w:tc>
          <w:tcPr>
            <w:tcW w:w="838" w:type="dxa"/>
            <w:tcBorders>
              <w:top w:val="single" w:color="auto" w:sz="4" w:space="0"/>
              <w:bottom w:val="single" w:color="auto" w:sz="4" w:space="0"/>
            </w:tcBorders>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12</w:t>
            </w:r>
          </w:p>
        </w:tc>
        <w:tc>
          <w:tcPr>
            <w:tcW w:w="1985" w:type="dxa"/>
            <w:tcBorders>
              <w:top w:val="single" w:color="auto" w:sz="4" w:space="0"/>
              <w:bottom w:val="single" w:color="auto" w:sz="4" w:space="0"/>
            </w:tcBorders>
            <w:vAlign w:val="center"/>
          </w:tcPr>
          <w:p>
            <w:pPr>
              <w:pStyle w:val="67"/>
              <w:spacing w:line="360" w:lineRule="auto"/>
              <w:jc w:val="center"/>
              <w:rPr>
                <w:rFonts w:cs="Times New Roman"/>
                <w:color w:val="auto"/>
                <w:kern w:val="2"/>
                <w:sz w:val="21"/>
                <w:szCs w:val="21"/>
                <w:highlight w:val="none"/>
              </w:rPr>
            </w:pPr>
            <w:r>
              <w:rPr>
                <w:rFonts w:hint="eastAsia" w:cs="Times New Roman"/>
                <w:bCs/>
                <w:color w:val="auto"/>
                <w:kern w:val="2"/>
                <w:sz w:val="21"/>
                <w:szCs w:val="21"/>
                <w:highlight w:val="none"/>
              </w:rPr>
              <w:t>采购文件内容咨询</w:t>
            </w:r>
          </w:p>
        </w:tc>
        <w:tc>
          <w:tcPr>
            <w:tcW w:w="6678" w:type="dxa"/>
            <w:tcBorders>
              <w:top w:val="single" w:color="auto" w:sz="4" w:space="0"/>
              <w:bottom w:val="single" w:color="auto" w:sz="4" w:space="0"/>
            </w:tcBorders>
            <w:vAlign w:val="center"/>
          </w:tcPr>
          <w:p>
            <w:pPr>
              <w:spacing w:after="120" w:afterLines="50" w:line="288" w:lineRule="auto"/>
              <w:ind w:left="105" w:leftChars="50" w:right="105" w:rightChars="50"/>
              <w:jc w:val="left"/>
              <w:rPr>
                <w:rFonts w:ascii="宋体" w:hAnsi="宋体"/>
                <w:color w:val="auto"/>
                <w:szCs w:val="21"/>
                <w:highlight w:val="none"/>
              </w:rPr>
            </w:pPr>
            <w:r>
              <w:rPr>
                <w:rFonts w:hint="eastAsia" w:ascii="宋体" w:hAnsi="宋体"/>
                <w:color w:val="auto"/>
                <w:szCs w:val="21"/>
                <w:highlight w:val="none"/>
              </w:rPr>
              <w:t>联系人及联系电话详见本表第2项。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4" w:hRule="atLeast"/>
          <w:jc w:val="center"/>
        </w:trPr>
        <w:tc>
          <w:tcPr>
            <w:tcW w:w="838" w:type="dxa"/>
            <w:tcBorders>
              <w:top w:val="single" w:color="auto" w:sz="4" w:space="0"/>
              <w:bottom w:val="single" w:color="auto" w:sz="4" w:space="0"/>
            </w:tcBorders>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13</w:t>
            </w:r>
          </w:p>
        </w:tc>
        <w:tc>
          <w:tcPr>
            <w:tcW w:w="1985" w:type="dxa"/>
            <w:tcBorders>
              <w:top w:val="single" w:color="auto" w:sz="4" w:space="0"/>
              <w:bottom w:val="single" w:color="auto" w:sz="4" w:space="0"/>
            </w:tcBorders>
            <w:vAlign w:val="center"/>
          </w:tcPr>
          <w:p>
            <w:pPr>
              <w:pStyle w:val="67"/>
              <w:spacing w:line="360" w:lineRule="auto"/>
              <w:jc w:val="center"/>
              <w:rPr>
                <w:rFonts w:cs="Times New Roman"/>
                <w:color w:val="auto"/>
                <w:kern w:val="2"/>
                <w:sz w:val="21"/>
                <w:szCs w:val="21"/>
                <w:highlight w:val="none"/>
              </w:rPr>
            </w:pPr>
            <w:r>
              <w:rPr>
                <w:rFonts w:hint="eastAsia" w:cs="Times New Roman"/>
                <w:color w:val="auto"/>
                <w:kern w:val="2"/>
                <w:sz w:val="21"/>
                <w:szCs w:val="21"/>
                <w:highlight w:val="none"/>
              </w:rPr>
              <w:t>开标、评标工作咨询</w:t>
            </w:r>
          </w:p>
        </w:tc>
        <w:tc>
          <w:tcPr>
            <w:tcW w:w="6678" w:type="dxa"/>
            <w:tcBorders>
              <w:top w:val="single" w:color="auto" w:sz="4" w:space="0"/>
              <w:bottom w:val="single" w:color="auto" w:sz="4" w:space="0"/>
            </w:tcBorders>
            <w:vAlign w:val="center"/>
          </w:tcPr>
          <w:p>
            <w:pPr>
              <w:spacing w:after="120" w:afterLines="50" w:line="288" w:lineRule="auto"/>
              <w:ind w:left="105" w:leftChars="50" w:right="105" w:rightChars="50"/>
              <w:jc w:val="left"/>
              <w:rPr>
                <w:rFonts w:ascii="宋体" w:hAnsi="宋体"/>
                <w:color w:val="auto"/>
                <w:szCs w:val="21"/>
                <w:highlight w:val="none"/>
              </w:rPr>
            </w:pPr>
            <w:r>
              <w:rPr>
                <w:rFonts w:hint="eastAsia" w:ascii="宋体" w:hAnsi="宋体"/>
                <w:color w:val="auto"/>
                <w:szCs w:val="21"/>
                <w:highlight w:val="none"/>
              </w:rPr>
              <w:t>联系人及联系电话详见本表第2项。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4" w:hRule="atLeast"/>
          <w:jc w:val="center"/>
        </w:trPr>
        <w:tc>
          <w:tcPr>
            <w:tcW w:w="838" w:type="dxa"/>
            <w:tcBorders>
              <w:top w:val="single" w:color="auto" w:sz="4" w:space="0"/>
              <w:bottom w:val="single" w:color="auto" w:sz="4" w:space="0"/>
            </w:tcBorders>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14</w:t>
            </w:r>
          </w:p>
        </w:tc>
        <w:tc>
          <w:tcPr>
            <w:tcW w:w="1985" w:type="dxa"/>
            <w:tcBorders>
              <w:top w:val="single" w:color="auto" w:sz="4" w:space="0"/>
              <w:bottom w:val="single" w:color="auto" w:sz="4" w:space="0"/>
            </w:tcBorders>
            <w:vAlign w:val="center"/>
          </w:tcPr>
          <w:p>
            <w:pPr>
              <w:pStyle w:val="67"/>
              <w:spacing w:line="360" w:lineRule="auto"/>
              <w:jc w:val="center"/>
              <w:rPr>
                <w:color w:val="auto"/>
                <w:sz w:val="21"/>
                <w:szCs w:val="21"/>
                <w:highlight w:val="none"/>
              </w:rPr>
            </w:pPr>
            <w:r>
              <w:rPr>
                <w:rFonts w:hint="eastAsia"/>
                <w:color w:val="auto"/>
                <w:sz w:val="21"/>
                <w:szCs w:val="21"/>
                <w:highlight w:val="none"/>
              </w:rPr>
              <w:t>磋商情况公告</w:t>
            </w:r>
          </w:p>
        </w:tc>
        <w:tc>
          <w:tcPr>
            <w:tcW w:w="6678" w:type="dxa"/>
            <w:tcBorders>
              <w:top w:val="single" w:color="auto" w:sz="4" w:space="0"/>
              <w:bottom w:val="single" w:color="auto" w:sz="4" w:space="0"/>
            </w:tcBorders>
            <w:vAlign w:val="center"/>
          </w:tcPr>
          <w:p>
            <w:pPr>
              <w:pStyle w:val="67"/>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供应商资格审查情况、磋商情况、报价情况、磋商结果等在四川政府采购网上采购结果公告栏中予以公告。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tcBorders>
              <w:top w:val="single" w:color="auto" w:sz="4" w:space="0"/>
            </w:tcBorders>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15</w:t>
            </w:r>
          </w:p>
        </w:tc>
        <w:tc>
          <w:tcPr>
            <w:tcW w:w="1985" w:type="dxa"/>
            <w:tcBorders>
              <w:top w:val="single" w:color="auto" w:sz="4" w:space="0"/>
            </w:tcBorders>
            <w:vAlign w:val="center"/>
          </w:tcPr>
          <w:p>
            <w:pPr>
              <w:spacing w:line="360" w:lineRule="auto"/>
              <w:ind w:left="105" w:leftChars="50" w:right="105" w:rightChars="50"/>
              <w:jc w:val="center"/>
              <w:rPr>
                <w:rFonts w:ascii="宋体" w:hAnsi="宋体"/>
                <w:color w:val="auto"/>
                <w:szCs w:val="21"/>
                <w:highlight w:val="none"/>
              </w:rPr>
            </w:pPr>
            <w:r>
              <w:rPr>
                <w:rFonts w:hint="eastAsia" w:ascii="宋体" w:hAnsi="宋体"/>
                <w:color w:val="auto"/>
                <w:szCs w:val="21"/>
                <w:highlight w:val="none"/>
              </w:rPr>
              <w:t>成交通知书领取</w:t>
            </w:r>
          </w:p>
        </w:tc>
        <w:tc>
          <w:tcPr>
            <w:tcW w:w="6678" w:type="dxa"/>
            <w:tcBorders>
              <w:top w:val="single" w:color="auto" w:sz="4" w:space="0"/>
            </w:tcBorders>
            <w:vAlign w:val="center"/>
          </w:tcPr>
          <w:p>
            <w:pPr>
              <w:tabs>
                <w:tab w:val="left" w:pos="7665"/>
              </w:tabs>
              <w:spacing w:after="120" w:afterLines="50" w:line="288" w:lineRule="auto"/>
              <w:ind w:left="105" w:leftChars="50" w:right="105" w:rightChars="50"/>
              <w:jc w:val="left"/>
              <w:rPr>
                <w:rFonts w:ascii="宋体" w:hAnsi="宋体"/>
                <w:color w:val="auto"/>
                <w:szCs w:val="21"/>
                <w:highlight w:val="none"/>
              </w:rPr>
            </w:pPr>
            <w:r>
              <w:rPr>
                <w:rFonts w:hint="eastAsia" w:ascii="宋体" w:hAnsi="宋体"/>
                <w:color w:val="auto"/>
                <w:szCs w:val="21"/>
                <w:highlight w:val="none"/>
              </w:rPr>
              <w:t>结果公告在四川政府采购网上公告后，请成交人凭有效身份证明证件到</w:t>
            </w:r>
            <w:r>
              <w:rPr>
                <w:rFonts w:hint="eastAsia" w:ascii="宋体" w:hAnsi="宋体"/>
                <w:color w:val="auto"/>
                <w:szCs w:val="21"/>
                <w:highlight w:val="none"/>
                <w:lang w:val="zh-CN"/>
              </w:rPr>
              <w:t>采购代理机构</w:t>
            </w:r>
            <w:r>
              <w:rPr>
                <w:rFonts w:hint="eastAsia" w:ascii="宋体" w:hAnsi="宋体"/>
                <w:color w:val="auto"/>
                <w:szCs w:val="21"/>
                <w:highlight w:val="none"/>
              </w:rPr>
              <w:t>领取成交通知书。</w:t>
            </w:r>
          </w:p>
          <w:p>
            <w:pPr>
              <w:spacing w:after="120" w:afterLines="50" w:line="288" w:lineRule="auto"/>
              <w:ind w:left="105" w:leftChars="50" w:right="105" w:rightChars="50"/>
              <w:jc w:val="left"/>
              <w:rPr>
                <w:rFonts w:ascii="宋体" w:hAnsi="宋体"/>
                <w:color w:val="auto"/>
                <w:szCs w:val="21"/>
                <w:highlight w:val="none"/>
                <w:lang w:val="zh-CN"/>
              </w:rPr>
            </w:pPr>
            <w:r>
              <w:rPr>
                <w:rFonts w:hint="eastAsia" w:ascii="宋体" w:hAnsi="宋体"/>
                <w:color w:val="auto"/>
                <w:szCs w:val="21"/>
                <w:highlight w:val="none"/>
                <w:lang w:val="zh-CN"/>
              </w:rPr>
              <w:t>联系人及联系电话详见本表第2项。</w:t>
            </w:r>
          </w:p>
          <w:p>
            <w:pPr>
              <w:spacing w:after="120" w:afterLines="50" w:line="288" w:lineRule="auto"/>
              <w:ind w:left="105" w:leftChars="50" w:right="105" w:rightChars="50"/>
              <w:jc w:val="left"/>
              <w:rPr>
                <w:rFonts w:ascii="宋体" w:hAnsi="宋体"/>
                <w:color w:val="auto"/>
                <w:szCs w:val="21"/>
                <w:highlight w:val="none"/>
                <w:lang w:val="zh-CN"/>
              </w:rPr>
            </w:pPr>
            <w:r>
              <w:rPr>
                <w:rFonts w:hint="eastAsia" w:ascii="宋体" w:hAnsi="宋体"/>
                <w:color w:val="auto"/>
                <w:szCs w:val="21"/>
                <w:highlight w:val="none"/>
                <w:lang w:val="zh-CN"/>
              </w:rPr>
              <w:t>地址：详见本表第2项。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tcBorders>
              <w:top w:val="single" w:color="auto" w:sz="4" w:space="0"/>
            </w:tcBorders>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16</w:t>
            </w:r>
          </w:p>
        </w:tc>
        <w:tc>
          <w:tcPr>
            <w:tcW w:w="1985" w:type="dxa"/>
            <w:tcBorders>
              <w:top w:val="single" w:color="auto" w:sz="4" w:space="0"/>
            </w:tcBorders>
            <w:vAlign w:val="center"/>
          </w:tcPr>
          <w:p>
            <w:pPr>
              <w:pStyle w:val="67"/>
              <w:spacing w:line="360" w:lineRule="auto"/>
              <w:jc w:val="center"/>
              <w:rPr>
                <w:rFonts w:cs="Times New Roman"/>
                <w:color w:val="auto"/>
                <w:kern w:val="2"/>
                <w:sz w:val="21"/>
                <w:szCs w:val="21"/>
                <w:highlight w:val="none"/>
              </w:rPr>
            </w:pPr>
            <w:r>
              <w:rPr>
                <w:rFonts w:hint="eastAsia" w:cs="Times New Roman"/>
                <w:color w:val="auto"/>
                <w:kern w:val="2"/>
                <w:sz w:val="21"/>
                <w:szCs w:val="21"/>
                <w:highlight w:val="none"/>
              </w:rPr>
              <w:t>供应商询问</w:t>
            </w:r>
          </w:p>
        </w:tc>
        <w:tc>
          <w:tcPr>
            <w:tcW w:w="6678" w:type="dxa"/>
            <w:tcBorders>
              <w:top w:val="single" w:color="auto" w:sz="4" w:space="0"/>
            </w:tcBorders>
            <w:vAlign w:val="center"/>
          </w:tcPr>
          <w:p>
            <w:pPr>
              <w:spacing w:after="120" w:afterLines="50" w:line="288" w:lineRule="auto"/>
              <w:ind w:left="105" w:leftChars="50" w:right="105" w:rightChars="50"/>
              <w:jc w:val="left"/>
              <w:rPr>
                <w:rFonts w:ascii="宋体" w:hAnsi="宋体"/>
                <w:color w:val="auto"/>
                <w:szCs w:val="21"/>
                <w:highlight w:val="none"/>
                <w:lang w:val="zh-CN"/>
              </w:rPr>
            </w:pPr>
            <w:r>
              <w:rPr>
                <w:rFonts w:hint="eastAsia" w:ascii="宋体" w:hAnsi="宋体"/>
                <w:color w:val="auto"/>
                <w:szCs w:val="21"/>
                <w:highlight w:val="none"/>
              </w:rPr>
              <w:t>根据《中华人民共和国财政部令第94号--政府采购质疑和投诉办法》、委托代理协议约定，供应商询问由</w:t>
            </w:r>
            <w:r>
              <w:rPr>
                <w:rFonts w:hint="eastAsia" w:ascii="宋体" w:hAnsi="宋体"/>
                <w:color w:val="auto"/>
                <w:szCs w:val="21"/>
                <w:highlight w:val="none"/>
                <w:lang w:val="zh-CN"/>
              </w:rPr>
              <w:t>采购代理机构负责答复。</w:t>
            </w:r>
            <w:r>
              <w:rPr>
                <w:rFonts w:hint="eastAsia"/>
                <w:b/>
                <w:color w:val="auto"/>
                <w:highlight w:val="none"/>
              </w:rPr>
              <w:t>询问必须以书面形式（原件）提出，以其他形式提出的询问均不接受和回复。</w:t>
            </w:r>
          </w:p>
          <w:p>
            <w:pPr>
              <w:spacing w:after="120" w:afterLines="50" w:line="288" w:lineRule="auto"/>
              <w:ind w:left="105" w:leftChars="50" w:right="105" w:rightChars="50"/>
              <w:jc w:val="left"/>
              <w:rPr>
                <w:rFonts w:ascii="宋体" w:hAnsi="宋体"/>
                <w:color w:val="auto"/>
                <w:szCs w:val="21"/>
                <w:highlight w:val="none"/>
              </w:rPr>
            </w:pPr>
            <w:r>
              <w:rPr>
                <w:rFonts w:hint="eastAsia" w:ascii="宋体" w:hAnsi="宋体"/>
                <w:color w:val="auto"/>
                <w:szCs w:val="21"/>
                <w:highlight w:val="none"/>
                <w:lang w:val="zh-CN"/>
              </w:rPr>
              <w:t>联系人、联系电话及地址详见本表第2项。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17</w:t>
            </w:r>
          </w:p>
        </w:tc>
        <w:tc>
          <w:tcPr>
            <w:tcW w:w="1985" w:type="dxa"/>
            <w:vAlign w:val="center"/>
          </w:tcPr>
          <w:p>
            <w:pPr>
              <w:pStyle w:val="67"/>
              <w:spacing w:line="360" w:lineRule="auto"/>
              <w:jc w:val="center"/>
              <w:rPr>
                <w:rFonts w:cs="Times New Roman"/>
                <w:color w:val="auto"/>
                <w:kern w:val="2"/>
                <w:sz w:val="21"/>
                <w:szCs w:val="21"/>
                <w:highlight w:val="none"/>
              </w:rPr>
            </w:pPr>
            <w:r>
              <w:rPr>
                <w:rFonts w:hint="eastAsia" w:cs="Times New Roman"/>
                <w:color w:val="auto"/>
                <w:kern w:val="2"/>
                <w:sz w:val="21"/>
                <w:szCs w:val="21"/>
                <w:highlight w:val="none"/>
              </w:rPr>
              <w:t>供应商质疑</w:t>
            </w:r>
          </w:p>
        </w:tc>
        <w:tc>
          <w:tcPr>
            <w:tcW w:w="6678" w:type="dxa"/>
            <w:vAlign w:val="center"/>
          </w:tcPr>
          <w:p>
            <w:pPr>
              <w:spacing w:after="120" w:afterLines="50" w:line="288" w:lineRule="auto"/>
              <w:ind w:left="105" w:leftChars="50" w:right="105" w:rightChars="50"/>
              <w:jc w:val="left"/>
              <w:rPr>
                <w:rFonts w:ascii="宋体" w:hAnsi="宋体"/>
                <w:color w:val="auto"/>
                <w:szCs w:val="21"/>
                <w:highlight w:val="none"/>
              </w:rPr>
            </w:pPr>
            <w:r>
              <w:rPr>
                <w:rFonts w:hint="eastAsia" w:ascii="宋体" w:hAnsi="宋体"/>
                <w:color w:val="auto"/>
                <w:szCs w:val="21"/>
                <w:highlight w:val="none"/>
              </w:rPr>
              <w:t>根据《中华人民共和国财政部令第94号--政府采购质疑和投诉办法》、委托代理协议约定，供应商质疑由</w:t>
            </w:r>
            <w:r>
              <w:rPr>
                <w:rFonts w:hint="eastAsia" w:ascii="宋体" w:hAnsi="宋体"/>
                <w:color w:val="auto"/>
                <w:szCs w:val="21"/>
                <w:highlight w:val="none"/>
                <w:lang w:val="zh-CN"/>
              </w:rPr>
              <w:t>采购代理机构负责答复。</w:t>
            </w:r>
            <w:r>
              <w:rPr>
                <w:rFonts w:hint="eastAsia"/>
                <w:b/>
                <w:color w:val="auto"/>
                <w:highlight w:val="none"/>
              </w:rPr>
              <w:t>质疑必须以书面形式（原件）提出，以其他形式提出的质疑均不接受和回复。</w:t>
            </w:r>
          </w:p>
          <w:p>
            <w:pPr>
              <w:spacing w:after="120" w:afterLines="50" w:line="288" w:lineRule="auto"/>
              <w:ind w:left="105" w:leftChars="50" w:right="105" w:rightChars="50"/>
              <w:jc w:val="left"/>
              <w:rPr>
                <w:rFonts w:ascii="宋体" w:hAnsi="宋体"/>
                <w:color w:val="auto"/>
                <w:szCs w:val="21"/>
                <w:highlight w:val="none"/>
                <w:lang w:val="zh-CN"/>
              </w:rPr>
            </w:pPr>
            <w:r>
              <w:rPr>
                <w:rFonts w:hint="eastAsia" w:ascii="宋体" w:hAnsi="宋体"/>
                <w:color w:val="auto"/>
                <w:szCs w:val="21"/>
                <w:highlight w:val="none"/>
                <w:lang w:val="zh-CN"/>
              </w:rPr>
              <w:t>联系人、联系电话及地址详见本表第2项。</w:t>
            </w:r>
          </w:p>
          <w:p>
            <w:pPr>
              <w:spacing w:after="120" w:afterLines="50" w:line="288" w:lineRule="auto"/>
              <w:ind w:left="105" w:leftChars="50" w:right="105" w:rightChars="50"/>
              <w:jc w:val="left"/>
              <w:rPr>
                <w:rFonts w:ascii="宋体" w:hAnsi="宋体"/>
                <w:color w:val="auto"/>
                <w:szCs w:val="21"/>
                <w:highlight w:val="none"/>
              </w:rPr>
            </w:pPr>
            <w:r>
              <w:rPr>
                <w:rFonts w:hint="eastAsia" w:ascii="宋体" w:hAnsi="宋体"/>
                <w:color w:val="auto"/>
                <w:szCs w:val="21"/>
                <w:highlight w:val="none"/>
                <w:lang w:val="zh-CN"/>
              </w:rPr>
              <w:t>注：根据《中华人民共和国政府采购法》等规定，供应商质疑不得超出磋商文件、磋商过程、磋商结果的范围，供应商针对同一采购程序环节的质疑应在法定质疑期内一次性提出。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76" w:hRule="atLeast"/>
          <w:jc w:val="center"/>
        </w:trPr>
        <w:tc>
          <w:tcPr>
            <w:tcW w:w="838"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18</w:t>
            </w:r>
          </w:p>
        </w:tc>
        <w:tc>
          <w:tcPr>
            <w:tcW w:w="1985" w:type="dxa"/>
            <w:vAlign w:val="center"/>
          </w:tcPr>
          <w:p>
            <w:pPr>
              <w:pStyle w:val="67"/>
              <w:spacing w:line="360" w:lineRule="auto"/>
              <w:jc w:val="center"/>
              <w:rPr>
                <w:rFonts w:cs="Times New Roman"/>
                <w:color w:val="auto"/>
                <w:kern w:val="2"/>
                <w:sz w:val="21"/>
                <w:szCs w:val="21"/>
                <w:highlight w:val="none"/>
              </w:rPr>
            </w:pPr>
            <w:r>
              <w:rPr>
                <w:rFonts w:hint="eastAsia" w:cs="Times New Roman"/>
                <w:color w:val="auto"/>
                <w:kern w:val="2"/>
                <w:sz w:val="21"/>
                <w:szCs w:val="21"/>
                <w:highlight w:val="none"/>
              </w:rPr>
              <w:t>供应商投诉</w:t>
            </w:r>
          </w:p>
        </w:tc>
        <w:tc>
          <w:tcPr>
            <w:tcW w:w="6678" w:type="dxa"/>
            <w:vAlign w:val="center"/>
          </w:tcPr>
          <w:p>
            <w:pPr>
              <w:spacing w:after="120" w:afterLines="50" w:line="288" w:lineRule="auto"/>
              <w:ind w:left="105" w:leftChars="50" w:right="105" w:rightChars="50"/>
              <w:jc w:val="left"/>
              <w:rPr>
                <w:color w:val="auto"/>
                <w:szCs w:val="21"/>
                <w:highlight w:val="none"/>
              </w:rPr>
            </w:pPr>
            <w:r>
              <w:rPr>
                <w:rFonts w:hint="eastAsia"/>
                <w:color w:val="auto"/>
                <w:szCs w:val="21"/>
                <w:highlight w:val="none"/>
              </w:rPr>
              <w:t>投诉受理单位：本采购项目同级财政部门，即</w:t>
            </w:r>
            <w:r>
              <w:rPr>
                <w:rFonts w:hint="eastAsia"/>
                <w:color w:val="auto"/>
                <w:highlight w:val="none"/>
                <w:u w:val="single"/>
              </w:rPr>
              <w:t>成都市崇州市财政局</w:t>
            </w:r>
            <w:r>
              <w:rPr>
                <w:rFonts w:hint="eastAsia"/>
                <w:color w:val="auto"/>
                <w:szCs w:val="21"/>
                <w:highlight w:val="none"/>
              </w:rPr>
              <w:t>。</w:t>
            </w:r>
          </w:p>
          <w:p>
            <w:pPr>
              <w:spacing w:after="120" w:afterLines="50" w:line="288" w:lineRule="auto"/>
              <w:ind w:left="105" w:leftChars="50" w:right="105" w:rightChars="50"/>
              <w:jc w:val="left"/>
              <w:rPr>
                <w:color w:val="auto"/>
                <w:szCs w:val="21"/>
                <w:highlight w:val="none"/>
              </w:rPr>
            </w:pPr>
            <w:r>
              <w:rPr>
                <w:rFonts w:hint="eastAsia"/>
                <w:color w:val="auto"/>
                <w:szCs w:val="21"/>
                <w:highlight w:val="none"/>
              </w:rPr>
              <w:t>联系电话：</w:t>
            </w:r>
            <w:r>
              <w:rPr>
                <w:rFonts w:hint="eastAsia"/>
                <w:color w:val="auto"/>
                <w:szCs w:val="21"/>
                <w:highlight w:val="none"/>
                <w:u w:val="single"/>
              </w:rPr>
              <w:t>028-82313883</w:t>
            </w:r>
            <w:r>
              <w:rPr>
                <w:rFonts w:hint="eastAsia"/>
                <w:color w:val="auto"/>
                <w:szCs w:val="21"/>
                <w:highlight w:val="none"/>
              </w:rPr>
              <w:t>。</w:t>
            </w:r>
          </w:p>
          <w:p>
            <w:pPr>
              <w:spacing w:after="120" w:afterLines="50" w:line="288" w:lineRule="auto"/>
              <w:ind w:left="105" w:leftChars="50" w:right="105" w:rightChars="50"/>
              <w:jc w:val="left"/>
              <w:rPr>
                <w:color w:val="auto"/>
                <w:szCs w:val="21"/>
                <w:highlight w:val="none"/>
              </w:rPr>
            </w:pPr>
            <w:r>
              <w:rPr>
                <w:rFonts w:hint="eastAsia"/>
                <w:color w:val="auto"/>
                <w:szCs w:val="21"/>
                <w:highlight w:val="none"/>
              </w:rPr>
              <w:t>地址：成都市崇州市崇阳镇永安中路1号。</w:t>
            </w:r>
          </w:p>
          <w:p>
            <w:pPr>
              <w:spacing w:after="120" w:afterLines="50" w:line="288" w:lineRule="auto"/>
              <w:ind w:left="105" w:leftChars="50" w:right="105" w:rightChars="50"/>
              <w:jc w:val="left"/>
              <w:rPr>
                <w:rFonts w:hint="eastAsia" w:eastAsia="宋体"/>
                <w:color w:val="auto"/>
                <w:szCs w:val="21"/>
                <w:highlight w:val="none"/>
                <w:lang w:val="en-US" w:eastAsia="zh-CN"/>
              </w:rPr>
            </w:pPr>
            <w:r>
              <w:rPr>
                <w:rFonts w:hint="eastAsia" w:ascii="宋体" w:hAnsi="宋体"/>
                <w:color w:val="auto"/>
                <w:szCs w:val="21"/>
                <w:highlight w:val="none"/>
              </w:rPr>
              <w:t>注：根据《中华人民共和国政府采购法实施条例》的规定，</w:t>
            </w:r>
            <w:r>
              <w:rPr>
                <w:rFonts w:hint="eastAsia" w:hAnsi="宋体"/>
                <w:color w:val="auto"/>
                <w:szCs w:val="21"/>
                <w:highlight w:val="none"/>
              </w:rPr>
              <w:t>供应商投诉事项不得超出已质疑事项的范围</w:t>
            </w:r>
            <w:r>
              <w:rPr>
                <w:rFonts w:hint="eastAsia" w:hAnsi="宋体"/>
                <w:color w:val="auto"/>
                <w:szCs w:val="21"/>
                <w:highlight w:val="none"/>
                <w:lang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19</w:t>
            </w:r>
          </w:p>
        </w:tc>
        <w:tc>
          <w:tcPr>
            <w:tcW w:w="1985" w:type="dxa"/>
            <w:tcBorders>
              <w:right w:val="single" w:color="auto" w:sz="4" w:space="0"/>
            </w:tcBorders>
            <w:vAlign w:val="center"/>
          </w:tcPr>
          <w:p>
            <w:pPr>
              <w:spacing w:line="360" w:lineRule="auto"/>
              <w:ind w:firstLine="105" w:firstLineChars="50"/>
              <w:jc w:val="center"/>
              <w:rPr>
                <w:rFonts w:ascii="宋体" w:hAnsi="宋体"/>
                <w:color w:val="auto"/>
                <w:szCs w:val="21"/>
                <w:highlight w:val="none"/>
              </w:rPr>
            </w:pPr>
            <w:r>
              <w:rPr>
                <w:rFonts w:hint="eastAsia" w:ascii="宋体" w:hAnsi="宋体"/>
                <w:color w:val="auto"/>
                <w:szCs w:val="21"/>
                <w:highlight w:val="none"/>
              </w:rPr>
              <w:t>政府采购合同</w:t>
            </w:r>
          </w:p>
          <w:p>
            <w:pPr>
              <w:spacing w:line="360" w:lineRule="auto"/>
              <w:ind w:firstLine="105" w:firstLineChars="50"/>
              <w:jc w:val="center"/>
              <w:rPr>
                <w:rFonts w:ascii="宋体" w:hAnsi="宋体"/>
                <w:color w:val="auto"/>
                <w:szCs w:val="21"/>
                <w:highlight w:val="none"/>
              </w:rPr>
            </w:pPr>
            <w:r>
              <w:rPr>
                <w:rFonts w:hint="eastAsia" w:ascii="宋体" w:hAnsi="宋体"/>
                <w:color w:val="auto"/>
                <w:szCs w:val="21"/>
                <w:highlight w:val="none"/>
              </w:rPr>
              <w:t>公告备案</w:t>
            </w:r>
          </w:p>
        </w:tc>
        <w:tc>
          <w:tcPr>
            <w:tcW w:w="6678" w:type="dxa"/>
            <w:tcBorders>
              <w:left w:val="single" w:color="auto" w:sz="4" w:space="0"/>
            </w:tcBorders>
            <w:vAlign w:val="center"/>
          </w:tcPr>
          <w:p>
            <w:pPr>
              <w:spacing w:after="120" w:afterLines="50" w:line="288" w:lineRule="auto"/>
              <w:ind w:left="105" w:leftChars="50" w:right="105" w:rightChars="50"/>
              <w:jc w:val="left"/>
              <w:rPr>
                <w:rFonts w:ascii="宋体" w:hAnsi="宋体"/>
                <w:color w:val="auto"/>
                <w:szCs w:val="21"/>
                <w:highlight w:val="none"/>
              </w:rPr>
            </w:pPr>
            <w:r>
              <w:rPr>
                <w:rFonts w:hint="eastAsia" w:ascii="宋体" w:hAnsi="宋体"/>
                <w:color w:val="auto"/>
                <w:szCs w:val="21"/>
                <w:highlight w:val="none"/>
              </w:rPr>
              <w:t>政府采购合同签订之日起2个工作日内，采购人应将政府采购合同在四川政府采购网公告；政府采购合同签订之日起7个工作日内，政府采购合同将向本采购项目同级财政部门备案</w:t>
            </w:r>
            <w:r>
              <w:rPr>
                <w:rFonts w:hint="eastAsia" w:ascii="宋体" w:hAnsi="宋体"/>
                <w:color w:val="auto"/>
                <w:szCs w:val="21"/>
                <w:highlight w:val="none"/>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20</w:t>
            </w:r>
          </w:p>
        </w:tc>
        <w:tc>
          <w:tcPr>
            <w:tcW w:w="1985" w:type="dxa"/>
            <w:tcBorders>
              <w:right w:val="single" w:color="auto" w:sz="4" w:space="0"/>
            </w:tcBorders>
            <w:vAlign w:val="center"/>
          </w:tcPr>
          <w:p>
            <w:pPr>
              <w:pStyle w:val="67"/>
              <w:spacing w:line="360" w:lineRule="auto"/>
              <w:ind w:left="96"/>
              <w:jc w:val="center"/>
              <w:rPr>
                <w:color w:val="auto"/>
                <w:sz w:val="21"/>
                <w:szCs w:val="21"/>
                <w:highlight w:val="none"/>
              </w:rPr>
            </w:pPr>
            <w:r>
              <w:rPr>
                <w:rFonts w:hint="eastAsia"/>
                <w:color w:val="auto"/>
                <w:sz w:val="21"/>
                <w:szCs w:val="21"/>
                <w:highlight w:val="none"/>
                <w:lang w:val="zh-CN"/>
              </w:rPr>
              <w:t>采购代理服务费</w:t>
            </w:r>
          </w:p>
        </w:tc>
        <w:tc>
          <w:tcPr>
            <w:tcW w:w="6678" w:type="dxa"/>
            <w:tcBorders>
              <w:left w:val="single" w:color="auto" w:sz="4" w:space="0"/>
            </w:tcBorders>
            <w:vAlign w:val="center"/>
          </w:tcPr>
          <w:p>
            <w:pPr>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根据《四川省政府采购营商环境指标提升专项行动工作方案》的通知(川财采[2020]74号)规定、按照拟代理采购项目的成本支出加合理利润的原则,以实际成交总金额为计费基数，按照下列收费标准计算出收费基准价格后下浮20%收取。</w:t>
            </w:r>
          </w:p>
          <w:p>
            <w:pPr>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招标代理服务收费标准(服务类)</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9"/>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tcPr>
                <w:p>
                  <w:pPr>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成交金额（万元）</w:t>
                  </w:r>
                </w:p>
              </w:tc>
              <w:tc>
                <w:tcPr>
                  <w:tcW w:w="1650" w:type="dxa"/>
                </w:tcPr>
                <w:p>
                  <w:pPr>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tcPr>
                <w:p>
                  <w:pPr>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100以下</w:t>
                  </w:r>
                </w:p>
              </w:tc>
              <w:tc>
                <w:tcPr>
                  <w:tcW w:w="1650" w:type="dxa"/>
                </w:tcPr>
                <w:p>
                  <w:pPr>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tcPr>
                <w:p>
                  <w:pPr>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100-500</w:t>
                  </w:r>
                </w:p>
              </w:tc>
              <w:tc>
                <w:tcPr>
                  <w:tcW w:w="1650" w:type="dxa"/>
                </w:tcPr>
                <w:p>
                  <w:pPr>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tcPr>
                <w:p>
                  <w:pPr>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500-1000</w:t>
                  </w:r>
                </w:p>
              </w:tc>
              <w:tc>
                <w:tcPr>
                  <w:tcW w:w="1650" w:type="dxa"/>
                </w:tcPr>
                <w:p>
                  <w:pPr>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tcPr>
                <w:p>
                  <w:pPr>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1000-5000</w:t>
                  </w:r>
                </w:p>
              </w:tc>
              <w:tc>
                <w:tcPr>
                  <w:tcW w:w="1650" w:type="dxa"/>
                </w:tcPr>
                <w:p>
                  <w:pPr>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tcPr>
                <w:p>
                  <w:pPr>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5000-10000</w:t>
                  </w:r>
                </w:p>
              </w:tc>
              <w:tc>
                <w:tcPr>
                  <w:tcW w:w="1650" w:type="dxa"/>
                </w:tcPr>
                <w:p>
                  <w:pPr>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tcPr>
                <w:p>
                  <w:pPr>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10000-100000</w:t>
                  </w:r>
                </w:p>
              </w:tc>
              <w:tc>
                <w:tcPr>
                  <w:tcW w:w="1650" w:type="dxa"/>
                </w:tcPr>
                <w:p>
                  <w:pPr>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tcPr>
                <w:p>
                  <w:pPr>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1000000以上</w:t>
                  </w:r>
                </w:p>
              </w:tc>
              <w:tc>
                <w:tcPr>
                  <w:tcW w:w="1650" w:type="dxa"/>
                </w:tcPr>
                <w:p>
                  <w:pPr>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0.01%</w:t>
                  </w:r>
                </w:p>
              </w:tc>
            </w:tr>
          </w:tbl>
          <w:p>
            <w:pPr>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招标代理服务收费按差额定率累进法计算。</w:t>
            </w:r>
          </w:p>
          <w:p>
            <w:pPr>
              <w:pStyle w:val="67"/>
              <w:spacing w:after="120" w:afterLines="50" w:line="288" w:lineRule="auto"/>
              <w:ind w:right="105" w:rightChars="50"/>
              <w:rPr>
                <w:color w:val="auto"/>
                <w:highlight w:val="none"/>
                <w:lang w:val="zh-CN"/>
              </w:rPr>
            </w:pPr>
            <w:r>
              <w:rPr>
                <w:rFonts w:hint="eastAsia"/>
                <w:color w:val="auto"/>
                <w:sz w:val="21"/>
                <w:szCs w:val="21"/>
                <w:highlight w:val="none"/>
                <w:lang w:val="zh-CN"/>
              </w:rPr>
              <w:t>采购代理服务费由成交人在领取成交通知书时一次性支付。</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21</w:t>
            </w:r>
          </w:p>
        </w:tc>
        <w:tc>
          <w:tcPr>
            <w:tcW w:w="1985" w:type="dxa"/>
            <w:tcBorders>
              <w:right w:val="single" w:color="auto" w:sz="4" w:space="0"/>
            </w:tcBorders>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其他要求</w:t>
            </w:r>
          </w:p>
        </w:tc>
        <w:tc>
          <w:tcPr>
            <w:tcW w:w="6678" w:type="dxa"/>
            <w:tcBorders>
              <w:left w:val="single" w:color="auto" w:sz="4" w:space="0"/>
            </w:tcBorders>
            <w:vAlign w:val="center"/>
          </w:tcPr>
          <w:p>
            <w:pPr>
              <w:spacing w:after="120" w:afterLines="50" w:line="288" w:lineRule="auto"/>
              <w:ind w:right="105" w:rightChars="50"/>
              <w:jc w:val="left"/>
              <w:rPr>
                <w:rFonts w:ascii="宋体" w:hAnsi="宋体"/>
                <w:color w:val="auto"/>
                <w:szCs w:val="21"/>
                <w:highlight w:val="none"/>
              </w:rPr>
            </w:pPr>
            <w:r>
              <w:rPr>
                <w:rFonts w:hint="eastAsia" w:ascii="宋体" w:hAnsi="宋体"/>
                <w:color w:val="auto"/>
                <w:szCs w:val="21"/>
                <w:highlight w:val="none"/>
              </w:rPr>
              <w:t>成交人在合同签订之后三个工作日内，将签订的合同（一份原件）送采购代理机构。</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46" w:hRule="atLeast"/>
          <w:jc w:val="center"/>
        </w:trPr>
        <w:tc>
          <w:tcPr>
            <w:tcW w:w="838"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22</w:t>
            </w:r>
          </w:p>
        </w:tc>
        <w:tc>
          <w:tcPr>
            <w:tcW w:w="1985" w:type="dxa"/>
            <w:tcBorders>
              <w:right w:val="single" w:color="auto" w:sz="4" w:space="0"/>
            </w:tcBorders>
            <w:vAlign w:val="center"/>
          </w:tcPr>
          <w:p>
            <w:pPr>
              <w:spacing w:line="300" w:lineRule="exact"/>
              <w:jc w:val="center"/>
              <w:rPr>
                <w:rFonts w:ascii="宋体" w:hAnsi="宋体"/>
                <w:b/>
                <w:color w:val="auto"/>
                <w:szCs w:val="21"/>
                <w:highlight w:val="none"/>
              </w:rPr>
            </w:pPr>
            <w:r>
              <w:rPr>
                <w:rFonts w:hint="eastAsia" w:ascii="宋体" w:hAnsi="宋体" w:cs="宋体"/>
                <w:color w:val="auto"/>
                <w:szCs w:val="21"/>
                <w:highlight w:val="none"/>
              </w:rPr>
              <w:t>信用融资政策</w:t>
            </w:r>
          </w:p>
        </w:tc>
        <w:tc>
          <w:tcPr>
            <w:tcW w:w="6678" w:type="dxa"/>
            <w:tcBorders>
              <w:left w:val="single" w:color="auto" w:sz="4" w:space="0"/>
            </w:tcBorders>
            <w:vAlign w:val="center"/>
          </w:tcPr>
          <w:p>
            <w:pPr>
              <w:spacing w:after="120" w:afterLines="50" w:line="288" w:lineRule="auto"/>
              <w:ind w:right="105" w:rightChars="50"/>
              <w:jc w:val="left"/>
              <w:rPr>
                <w:rFonts w:ascii="宋体" w:hAnsi="宋体"/>
                <w:color w:val="auto"/>
                <w:szCs w:val="21"/>
                <w:highlight w:val="none"/>
              </w:rPr>
            </w:pPr>
            <w:r>
              <w:rPr>
                <w:rFonts w:hint="eastAsia" w:ascii="宋体" w:hAnsi="宋体"/>
                <w:color w:val="auto"/>
                <w:szCs w:val="21"/>
                <w:highlight w:val="none"/>
              </w:rPr>
              <w:t>根据《四川省财政厅关于推进四川省政府采购供应商信用融资工作的通知》(川财采(2018)123号)等有关规定。本项目可开展中小企业政府采购信用融资政策。</w:t>
            </w:r>
          </w:p>
          <w:p>
            <w:pPr>
              <w:spacing w:after="120" w:afterLines="50" w:line="288" w:lineRule="auto"/>
              <w:ind w:right="105" w:rightChars="50"/>
              <w:jc w:val="left"/>
              <w:rPr>
                <w:color w:val="auto"/>
                <w:highlight w:val="none"/>
              </w:rPr>
            </w:pPr>
            <w:r>
              <w:rPr>
                <w:rFonts w:hint="eastAsia" w:ascii="宋体" w:hAnsi="宋体"/>
                <w:color w:val="auto"/>
                <w:szCs w:val="21"/>
                <w:highlight w:val="none"/>
              </w:rPr>
              <w:t>根据成都市财政局 中国人民银行成都分行营业管理部关于印发《成都市中小企业政府采购信用融资暂行办法》和《成都市级支持中小企业政府采购信用融资实施方案》的通知（成财采[2019]17号）的要求，符合通知要求、有融资需求的申请人可根据成都市政府采购监督管理系统集中展示的融资机构及其“政采贷”产品，自行选择符合自身情况的“政采贷”银行及其产品，选择“政采贷”银行及其产品的需向代理机构进行登记</w:t>
            </w:r>
            <w:r>
              <w:rPr>
                <w:rFonts w:ascii="宋体" w:hAnsi="宋体"/>
                <w:color w:val="auto"/>
                <w:szCs w:val="21"/>
                <w:highlight w:val="none"/>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23</w:t>
            </w:r>
          </w:p>
        </w:tc>
        <w:tc>
          <w:tcPr>
            <w:tcW w:w="1985" w:type="dxa"/>
            <w:tcBorders>
              <w:right w:val="single" w:color="auto" w:sz="4" w:space="0"/>
            </w:tcBorders>
            <w:vAlign w:val="center"/>
          </w:tcPr>
          <w:p>
            <w:pPr>
              <w:pStyle w:val="67"/>
              <w:ind w:left="96"/>
              <w:jc w:val="center"/>
              <w:rPr>
                <w:color w:val="auto"/>
                <w:szCs w:val="21"/>
                <w:highlight w:val="none"/>
              </w:rPr>
            </w:pPr>
            <w:r>
              <w:rPr>
                <w:rFonts w:hint="eastAsia" w:cs="Times New Roman"/>
                <w:color w:val="auto"/>
                <w:kern w:val="2"/>
                <w:sz w:val="21"/>
                <w:szCs w:val="21"/>
                <w:highlight w:val="none"/>
                <w:lang w:val="zh-CN"/>
              </w:rPr>
              <w:t>温馨提示</w:t>
            </w:r>
          </w:p>
        </w:tc>
        <w:tc>
          <w:tcPr>
            <w:tcW w:w="6678" w:type="dxa"/>
            <w:tcBorders>
              <w:left w:val="single" w:color="auto" w:sz="4" w:space="0"/>
            </w:tcBorders>
            <w:vAlign w:val="center"/>
          </w:tcPr>
          <w:p>
            <w:pPr>
              <w:pStyle w:val="67"/>
              <w:numPr>
                <w:ilvl w:val="0"/>
                <w:numId w:val="1"/>
              </w:numPr>
              <w:rPr>
                <w:rFonts w:cs="Times New Roman"/>
                <w:color w:val="auto"/>
                <w:kern w:val="2"/>
                <w:sz w:val="21"/>
                <w:szCs w:val="21"/>
                <w:highlight w:val="none"/>
                <w:lang w:val="zh-CN"/>
              </w:rPr>
            </w:pPr>
            <w:r>
              <w:rPr>
                <w:rFonts w:hint="eastAsia" w:cs="Times New Roman"/>
                <w:color w:val="auto"/>
                <w:kern w:val="2"/>
                <w:sz w:val="21"/>
                <w:szCs w:val="21"/>
                <w:highlight w:val="none"/>
                <w:lang w:val="zh-CN"/>
              </w:rPr>
              <w:t>供应商需准备全流程所必需的硬件设备包括电脑（版本win7 64位及以上）、麦克风、摄像头、CA证书等。建议使用同一台电脑完成投标、评标相关事宜，推荐安装 chrome 浏览器，且解密CA必须和加密CA为同一把。</w:t>
            </w:r>
          </w:p>
          <w:p>
            <w:pPr>
              <w:pStyle w:val="67"/>
              <w:numPr>
                <w:ilvl w:val="0"/>
                <w:numId w:val="1"/>
              </w:numPr>
              <w:jc w:val="both"/>
              <w:rPr>
                <w:rFonts w:cs="Times New Roman"/>
                <w:color w:val="auto"/>
                <w:kern w:val="2"/>
                <w:sz w:val="21"/>
                <w:szCs w:val="21"/>
                <w:highlight w:val="none"/>
                <w:lang w:val="zh-CN"/>
              </w:rPr>
            </w:pPr>
            <w:r>
              <w:rPr>
                <w:rFonts w:hint="eastAsia" w:cs="Times New Roman"/>
                <w:color w:val="auto"/>
                <w:kern w:val="2"/>
                <w:sz w:val="21"/>
                <w:szCs w:val="21"/>
                <w:highlight w:val="none"/>
                <w:lang w:val="zh-CN"/>
              </w:rPr>
              <w:t>政府采购云平台供应商注册地址：</w:t>
            </w:r>
          </w:p>
          <w:p>
            <w:pPr>
              <w:pStyle w:val="67"/>
              <w:jc w:val="both"/>
              <w:rPr>
                <w:color w:val="auto"/>
                <w:szCs w:val="21"/>
                <w:highlight w:val="none"/>
              </w:rPr>
            </w:pPr>
            <w:r>
              <w:rPr>
                <w:rFonts w:hint="eastAsia" w:cs="Times New Roman"/>
                <w:color w:val="auto"/>
                <w:kern w:val="2"/>
                <w:sz w:val="21"/>
                <w:szCs w:val="21"/>
                <w:highlight w:val="none"/>
                <w:lang w:val="zh-CN"/>
              </w:rPr>
              <w:t>https://middle.zcygov.cn/v-settle-front/registry?settleCategory=1&amp;entranceType=119&amp;utm=a0017.b1347.cl50.3.c0de9400b91b11eb870ad7da87d69c97</w:t>
            </w:r>
          </w:p>
        </w:tc>
      </w:tr>
    </w:tbl>
    <w:p>
      <w:pPr>
        <w:snapToGrid w:val="0"/>
        <w:jc w:val="center"/>
        <w:rPr>
          <w:rFonts w:ascii="方正小标宋_GBK" w:hAnsi="方正小标宋_GBK" w:eastAsia="方正小标宋_GBK" w:cs="方正小标宋_GBK"/>
          <w:color w:val="auto"/>
          <w:sz w:val="32"/>
          <w:szCs w:val="32"/>
          <w:highlight w:val="none"/>
        </w:rPr>
      </w:pPr>
      <w:r>
        <w:rPr>
          <w:rFonts w:hint="eastAsia" w:ascii="方正小标宋_GBK" w:hAnsi="方正小标宋_GBK" w:eastAsia="方正小标宋_GBK" w:cs="方正小标宋_GBK"/>
          <w:color w:val="auto"/>
          <w:sz w:val="32"/>
          <w:szCs w:val="32"/>
          <w:highlight w:val="none"/>
        </w:rPr>
        <w:t>崇州市政府采购信用融资银行联系方式一览表</w:t>
      </w:r>
    </w:p>
    <w:tbl>
      <w:tblPr>
        <w:tblStyle w:val="37"/>
        <w:tblW w:w="8514" w:type="dxa"/>
        <w:tblInd w:w="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14"/>
        <w:gridCol w:w="4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3814"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宋体" w:hAnsi="宋体" w:cs="宋体"/>
                <w:b/>
                <w:color w:val="auto"/>
                <w:sz w:val="24"/>
                <w:highlight w:val="none"/>
              </w:rPr>
            </w:pPr>
            <w:r>
              <w:rPr>
                <w:rFonts w:hint="eastAsia" w:ascii="宋体" w:hAnsi="宋体" w:cs="宋体"/>
                <w:b/>
                <w:color w:val="auto"/>
                <w:sz w:val="24"/>
                <w:highlight w:val="none"/>
              </w:rPr>
              <w:t>银行名称</w:t>
            </w:r>
          </w:p>
        </w:tc>
        <w:tc>
          <w:tcPr>
            <w:tcW w:w="4700"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宋体" w:hAnsi="宋体" w:cs="宋体"/>
                <w:b/>
                <w:color w:val="auto"/>
                <w:sz w:val="24"/>
                <w:highlight w:val="none"/>
              </w:rPr>
            </w:pPr>
            <w:r>
              <w:rPr>
                <w:rFonts w:hint="eastAsia" w:ascii="宋体" w:hAnsi="宋体" w:cs="宋体"/>
                <w:b/>
                <w:color w:val="auto"/>
                <w:sz w:val="24"/>
                <w:highlight w:val="none"/>
              </w:rPr>
              <w:t>联系人及方式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81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32" w:afterLines="10" w:line="240" w:lineRule="auto"/>
              <w:ind w:right="105" w:rightChars="50"/>
              <w:jc w:val="center"/>
              <w:textAlignment w:val="auto"/>
              <w:rPr>
                <w:rFonts w:ascii="宋体" w:hAnsi="宋体"/>
                <w:color w:val="auto"/>
                <w:szCs w:val="21"/>
                <w:highlight w:val="none"/>
              </w:rPr>
            </w:pPr>
            <w:r>
              <w:rPr>
                <w:rFonts w:hint="eastAsia" w:ascii="宋体" w:hAnsi="宋体"/>
                <w:color w:val="auto"/>
                <w:szCs w:val="21"/>
                <w:highlight w:val="none"/>
              </w:rPr>
              <w:t>成都农商银行崇州支行</w:t>
            </w:r>
          </w:p>
        </w:tc>
        <w:tc>
          <w:tcPr>
            <w:tcW w:w="47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32" w:afterLines="10" w:line="240" w:lineRule="auto"/>
              <w:ind w:right="105" w:rightChars="50"/>
              <w:jc w:val="left"/>
              <w:textAlignment w:val="auto"/>
              <w:rPr>
                <w:rFonts w:ascii="宋体" w:hAnsi="宋体"/>
                <w:color w:val="auto"/>
                <w:szCs w:val="21"/>
                <w:highlight w:val="none"/>
              </w:rPr>
            </w:pPr>
            <w:r>
              <w:rPr>
                <w:rFonts w:hint="eastAsia" w:ascii="宋体" w:hAnsi="宋体"/>
                <w:color w:val="auto"/>
                <w:szCs w:val="21"/>
                <w:highlight w:val="none"/>
              </w:rPr>
              <w:t>业务部客户经理   任艳菊 13881851255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381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32" w:afterLines="10" w:line="240" w:lineRule="auto"/>
              <w:ind w:right="105" w:rightChars="50"/>
              <w:jc w:val="center"/>
              <w:textAlignment w:val="auto"/>
              <w:rPr>
                <w:rFonts w:ascii="宋体" w:hAnsi="宋体"/>
                <w:color w:val="auto"/>
                <w:szCs w:val="21"/>
                <w:highlight w:val="none"/>
              </w:rPr>
            </w:pPr>
            <w:r>
              <w:rPr>
                <w:rFonts w:hint="eastAsia" w:ascii="宋体" w:hAnsi="宋体"/>
                <w:color w:val="auto"/>
                <w:szCs w:val="21"/>
                <w:highlight w:val="none"/>
              </w:rPr>
              <w:t>崇州上银村镇银行</w:t>
            </w:r>
          </w:p>
        </w:tc>
        <w:tc>
          <w:tcPr>
            <w:tcW w:w="47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32" w:afterLines="10" w:line="240" w:lineRule="auto"/>
              <w:ind w:right="105" w:rightChars="50"/>
              <w:jc w:val="left"/>
              <w:textAlignment w:val="auto"/>
              <w:rPr>
                <w:rFonts w:ascii="宋体" w:hAnsi="宋体"/>
                <w:color w:val="auto"/>
                <w:szCs w:val="21"/>
                <w:highlight w:val="none"/>
              </w:rPr>
            </w:pPr>
            <w:r>
              <w:rPr>
                <w:rFonts w:hint="eastAsia" w:ascii="宋体" w:hAnsi="宋体"/>
                <w:color w:val="auto"/>
                <w:szCs w:val="21"/>
                <w:highlight w:val="none"/>
              </w:rPr>
              <w:t xml:space="preserve">部门总经理      杨彦铭 </w:t>
            </w:r>
            <w:r>
              <w:rPr>
                <w:rFonts w:hint="eastAsia" w:ascii="宋体" w:hAnsi="宋体"/>
                <w:color w:val="auto"/>
                <w:szCs w:val="21"/>
                <w:highlight w:val="none"/>
              </w:rPr>
              <w:tab/>
            </w:r>
            <w:r>
              <w:rPr>
                <w:rFonts w:hint="eastAsia" w:ascii="宋体" w:hAnsi="宋体"/>
                <w:color w:val="auto"/>
                <w:szCs w:val="21"/>
                <w:highlight w:val="none"/>
              </w:rPr>
              <w:t>13981735391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381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32" w:afterLines="10" w:line="240" w:lineRule="auto"/>
              <w:ind w:right="105" w:rightChars="50"/>
              <w:jc w:val="center"/>
              <w:textAlignment w:val="auto"/>
              <w:rPr>
                <w:rFonts w:ascii="宋体" w:hAnsi="宋体"/>
                <w:color w:val="auto"/>
                <w:szCs w:val="21"/>
                <w:highlight w:val="none"/>
              </w:rPr>
            </w:pPr>
            <w:r>
              <w:rPr>
                <w:rFonts w:hint="eastAsia" w:ascii="宋体" w:hAnsi="宋体"/>
                <w:color w:val="auto"/>
                <w:szCs w:val="21"/>
                <w:highlight w:val="none"/>
              </w:rPr>
              <w:t>中国农业银行崇州支行</w:t>
            </w:r>
          </w:p>
        </w:tc>
        <w:tc>
          <w:tcPr>
            <w:tcW w:w="47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32" w:afterLines="10" w:line="240" w:lineRule="auto"/>
              <w:ind w:right="105" w:rightChars="50"/>
              <w:jc w:val="left"/>
              <w:textAlignment w:val="auto"/>
              <w:rPr>
                <w:rFonts w:ascii="宋体" w:hAnsi="宋体"/>
                <w:color w:val="auto"/>
                <w:szCs w:val="21"/>
                <w:highlight w:val="none"/>
              </w:rPr>
            </w:pPr>
            <w:r>
              <w:rPr>
                <w:rFonts w:hint="eastAsia" w:ascii="宋体" w:hAnsi="宋体"/>
                <w:color w:val="auto"/>
                <w:szCs w:val="21"/>
                <w:highlight w:val="none"/>
              </w:rPr>
              <w:t>部门经理        何  莉</w:t>
            </w:r>
            <w:r>
              <w:rPr>
                <w:rFonts w:hint="eastAsia" w:ascii="宋体" w:hAnsi="宋体"/>
                <w:color w:val="auto"/>
                <w:szCs w:val="21"/>
                <w:highlight w:val="none"/>
              </w:rPr>
              <w:tab/>
            </w:r>
            <w:r>
              <w:rPr>
                <w:rFonts w:hint="eastAsia" w:ascii="宋体" w:hAnsi="宋体"/>
                <w:color w:val="auto"/>
                <w:szCs w:val="21"/>
                <w:highlight w:val="none"/>
              </w:rPr>
              <w:t>15982110977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381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32" w:afterLines="10" w:line="240" w:lineRule="auto"/>
              <w:ind w:right="105" w:rightChars="50"/>
              <w:jc w:val="center"/>
              <w:textAlignment w:val="auto"/>
              <w:rPr>
                <w:rFonts w:ascii="宋体" w:hAnsi="宋体"/>
                <w:color w:val="auto"/>
                <w:szCs w:val="21"/>
                <w:highlight w:val="none"/>
              </w:rPr>
            </w:pPr>
            <w:r>
              <w:rPr>
                <w:rFonts w:hint="eastAsia" w:ascii="宋体" w:hAnsi="宋体"/>
                <w:color w:val="auto"/>
                <w:szCs w:val="21"/>
                <w:highlight w:val="none"/>
              </w:rPr>
              <w:t>中国银行崇州支行</w:t>
            </w:r>
          </w:p>
        </w:tc>
        <w:tc>
          <w:tcPr>
            <w:tcW w:w="47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32" w:afterLines="10" w:line="240" w:lineRule="auto"/>
              <w:ind w:right="105" w:rightChars="50"/>
              <w:jc w:val="left"/>
              <w:textAlignment w:val="auto"/>
              <w:rPr>
                <w:rFonts w:ascii="宋体" w:hAnsi="宋体"/>
                <w:color w:val="auto"/>
                <w:szCs w:val="21"/>
                <w:highlight w:val="none"/>
              </w:rPr>
            </w:pPr>
            <w:r>
              <w:rPr>
                <w:rFonts w:hint="eastAsia" w:ascii="宋体" w:hAnsi="宋体"/>
                <w:color w:val="auto"/>
                <w:szCs w:val="21"/>
                <w:highlight w:val="none"/>
              </w:rPr>
              <w:t>分管主任        龚才兵  18081054180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381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32" w:afterLines="10" w:line="240" w:lineRule="auto"/>
              <w:ind w:right="105" w:rightChars="50"/>
              <w:jc w:val="center"/>
              <w:textAlignment w:val="auto"/>
              <w:rPr>
                <w:rFonts w:ascii="宋体" w:hAnsi="宋体"/>
                <w:color w:val="auto"/>
                <w:szCs w:val="21"/>
                <w:highlight w:val="none"/>
              </w:rPr>
            </w:pPr>
            <w:r>
              <w:rPr>
                <w:rFonts w:hint="eastAsia" w:ascii="宋体" w:hAnsi="宋体"/>
                <w:color w:val="auto"/>
                <w:szCs w:val="21"/>
                <w:highlight w:val="none"/>
              </w:rPr>
              <w:t>重庆银行崇州支行</w:t>
            </w:r>
          </w:p>
        </w:tc>
        <w:tc>
          <w:tcPr>
            <w:tcW w:w="47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32" w:afterLines="10" w:line="240" w:lineRule="auto"/>
              <w:ind w:right="105" w:rightChars="50"/>
              <w:jc w:val="left"/>
              <w:textAlignment w:val="auto"/>
              <w:rPr>
                <w:rFonts w:ascii="宋体" w:hAnsi="宋体"/>
                <w:color w:val="auto"/>
                <w:szCs w:val="21"/>
                <w:highlight w:val="none"/>
              </w:rPr>
            </w:pPr>
            <w:r>
              <w:rPr>
                <w:rFonts w:hint="eastAsia" w:ascii="宋体" w:hAnsi="宋体"/>
                <w:color w:val="auto"/>
                <w:szCs w:val="21"/>
                <w:highlight w:val="none"/>
              </w:rPr>
              <w:t>业务部经理      李盛勇  18108259677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381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32" w:afterLines="10" w:line="240" w:lineRule="auto"/>
              <w:ind w:right="105" w:rightChars="50"/>
              <w:jc w:val="center"/>
              <w:textAlignment w:val="auto"/>
              <w:rPr>
                <w:rFonts w:ascii="宋体" w:hAnsi="宋体"/>
                <w:color w:val="auto"/>
                <w:szCs w:val="21"/>
                <w:highlight w:val="none"/>
              </w:rPr>
            </w:pPr>
            <w:r>
              <w:rPr>
                <w:rFonts w:hint="eastAsia" w:ascii="宋体" w:hAnsi="宋体"/>
                <w:color w:val="auto"/>
                <w:szCs w:val="21"/>
                <w:highlight w:val="none"/>
              </w:rPr>
              <w:t>工商银行崇州支行</w:t>
            </w:r>
          </w:p>
        </w:tc>
        <w:tc>
          <w:tcPr>
            <w:tcW w:w="47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32" w:afterLines="10" w:line="240" w:lineRule="auto"/>
              <w:ind w:right="105" w:rightChars="50"/>
              <w:jc w:val="left"/>
              <w:textAlignment w:val="auto"/>
              <w:rPr>
                <w:rFonts w:ascii="宋体" w:hAnsi="宋体"/>
                <w:color w:val="auto"/>
                <w:szCs w:val="21"/>
                <w:highlight w:val="none"/>
              </w:rPr>
            </w:pPr>
            <w:r>
              <w:rPr>
                <w:rFonts w:hint="eastAsia" w:ascii="宋体" w:hAnsi="宋体"/>
                <w:color w:val="auto"/>
                <w:szCs w:val="21"/>
                <w:highlight w:val="none"/>
              </w:rPr>
              <w:t>分管科长        曲  希  17760374425</w:t>
            </w:r>
          </w:p>
        </w:tc>
      </w:tr>
    </w:tbl>
    <w:p>
      <w:pPr>
        <w:snapToGrid w:val="0"/>
        <w:jc w:val="center"/>
        <w:rPr>
          <w:color w:val="auto"/>
          <w:highlight w:val="none"/>
        </w:rPr>
      </w:pPr>
      <w:r>
        <w:rPr>
          <w:rFonts w:hint="eastAsia" w:ascii="方正小标宋_GBK" w:hAnsi="方正小标宋_GBK" w:eastAsia="方正小标宋_GBK" w:cs="方正小标宋_GBK"/>
          <w:color w:val="auto"/>
          <w:sz w:val="32"/>
          <w:szCs w:val="32"/>
          <w:highlight w:val="none"/>
        </w:rPr>
        <w:t>崇州市级政府采购信用融资信息一览表</w:t>
      </w:r>
    </w:p>
    <w:p>
      <w:pPr>
        <w:spacing w:after="120" w:afterLines="50"/>
        <w:ind w:right="105" w:rightChars="50"/>
        <w:jc w:val="left"/>
        <w:rPr>
          <w:rFonts w:ascii="宋体" w:hAnsi="宋体"/>
          <w:color w:val="auto"/>
          <w:szCs w:val="21"/>
          <w:highlight w:val="none"/>
        </w:rPr>
      </w:pPr>
      <w:r>
        <w:rPr>
          <w:rFonts w:hint="eastAsia" w:ascii="宋体" w:hAnsi="宋体"/>
          <w:color w:val="auto"/>
          <w:szCs w:val="21"/>
          <w:highlight w:val="none"/>
        </w:rPr>
        <w:t>为贯彻落实中央、省、成都市关于支持民营经济健康发展相关精神和政府采购支持中小企业发展政策，有效缓解中小企业融资难、融资贵问题，支持中小企业参与政府采购活动，促进中小企业发展，以下银行开展崇州市本级“政采贷”业务工作。</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2296"/>
        <w:gridCol w:w="4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32" w:afterLines="10" w:line="240" w:lineRule="auto"/>
              <w:ind w:right="105" w:rightChars="50"/>
              <w:jc w:val="center"/>
              <w:textAlignment w:val="auto"/>
              <w:rPr>
                <w:rFonts w:hint="eastAsia" w:ascii="宋体" w:hAnsi="宋体"/>
                <w:color w:val="auto"/>
                <w:szCs w:val="21"/>
                <w:highlight w:val="none"/>
              </w:rPr>
            </w:pPr>
            <w:r>
              <w:rPr>
                <w:rFonts w:hint="eastAsia" w:ascii="宋体" w:hAnsi="宋体"/>
                <w:color w:val="auto"/>
                <w:szCs w:val="21"/>
                <w:highlight w:val="none"/>
              </w:rPr>
              <w:t>银行名称</w:t>
            </w:r>
          </w:p>
        </w:tc>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32" w:afterLines="10" w:line="240" w:lineRule="auto"/>
              <w:ind w:right="105" w:rightChars="50"/>
              <w:jc w:val="center"/>
              <w:textAlignment w:val="auto"/>
              <w:rPr>
                <w:rFonts w:hint="eastAsia" w:ascii="宋体" w:hAnsi="宋体"/>
                <w:color w:val="auto"/>
                <w:szCs w:val="21"/>
                <w:highlight w:val="none"/>
              </w:rPr>
            </w:pPr>
            <w:r>
              <w:rPr>
                <w:rFonts w:hint="eastAsia" w:ascii="宋体" w:hAnsi="宋体"/>
                <w:color w:val="auto"/>
                <w:szCs w:val="21"/>
                <w:highlight w:val="none"/>
              </w:rPr>
              <w:t>联系人及方式</w:t>
            </w:r>
          </w:p>
        </w:tc>
        <w:tc>
          <w:tcPr>
            <w:tcW w:w="477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32" w:afterLines="10" w:line="240" w:lineRule="auto"/>
              <w:ind w:right="105" w:rightChars="50"/>
              <w:jc w:val="center"/>
              <w:textAlignment w:val="auto"/>
              <w:rPr>
                <w:rFonts w:hint="eastAsia" w:ascii="宋体" w:hAnsi="宋体"/>
                <w:color w:val="auto"/>
                <w:szCs w:val="21"/>
                <w:highlight w:val="none"/>
              </w:rPr>
            </w:pPr>
            <w:r>
              <w:rPr>
                <w:rFonts w:hint="eastAsia" w:ascii="宋体" w:hAnsi="宋体"/>
                <w:color w:val="auto"/>
                <w:szCs w:val="21"/>
                <w:highlight w:val="none"/>
              </w:rPr>
              <w:t>融资政策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6" w:hRule="atLeast"/>
        </w:trPr>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spacing w:after="120" w:afterLines="50" w:line="288" w:lineRule="auto"/>
              <w:ind w:right="105" w:rightChars="50"/>
              <w:jc w:val="center"/>
              <w:rPr>
                <w:rFonts w:ascii="宋体" w:hAnsi="宋体"/>
                <w:color w:val="auto"/>
                <w:szCs w:val="21"/>
                <w:highlight w:val="none"/>
              </w:rPr>
            </w:pPr>
            <w:r>
              <w:rPr>
                <w:rFonts w:hint="eastAsia" w:ascii="宋体" w:hAnsi="宋体"/>
                <w:color w:val="auto"/>
                <w:szCs w:val="21"/>
                <w:highlight w:val="none"/>
              </w:rPr>
              <w:t>成都农商银行崇州支行</w:t>
            </w:r>
          </w:p>
        </w:tc>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63" w:afterLines="20"/>
              <w:ind w:right="105" w:rightChars="50"/>
              <w:jc w:val="center"/>
              <w:textAlignment w:val="auto"/>
              <w:rPr>
                <w:rFonts w:ascii="宋体" w:hAnsi="宋体"/>
                <w:color w:val="auto"/>
                <w:szCs w:val="21"/>
                <w:highlight w:val="none"/>
              </w:rPr>
            </w:pPr>
            <w:r>
              <w:rPr>
                <w:rFonts w:hint="eastAsia" w:ascii="宋体" w:hAnsi="宋体"/>
                <w:color w:val="auto"/>
                <w:szCs w:val="21"/>
                <w:highlight w:val="none"/>
              </w:rPr>
              <w:t>业务部客户经理  任艳菊 13881851255</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center"/>
              <w:textAlignment w:val="auto"/>
              <w:rPr>
                <w:rFonts w:ascii="宋体" w:hAnsi="宋体"/>
                <w:color w:val="auto"/>
                <w:szCs w:val="21"/>
                <w:highlight w:val="none"/>
              </w:rPr>
            </w:pPr>
            <w:r>
              <w:rPr>
                <w:rFonts w:hint="eastAsia" w:ascii="宋体" w:hAnsi="宋体"/>
                <w:color w:val="auto"/>
                <w:szCs w:val="21"/>
                <w:highlight w:val="none"/>
              </w:rPr>
              <w:t>业务部客户经理  骆晓峰 13551850363</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center"/>
              <w:textAlignment w:val="auto"/>
              <w:rPr>
                <w:rFonts w:ascii="宋体" w:hAnsi="宋体"/>
                <w:color w:val="auto"/>
                <w:szCs w:val="21"/>
                <w:highlight w:val="none"/>
              </w:rPr>
            </w:pPr>
            <w:r>
              <w:rPr>
                <w:rFonts w:hint="eastAsia" w:ascii="宋体" w:hAnsi="宋体"/>
                <w:color w:val="auto"/>
                <w:szCs w:val="21"/>
                <w:highlight w:val="none"/>
              </w:rPr>
              <w:t>业务部    经理  陈晓阳 13438190630</w:t>
            </w:r>
          </w:p>
        </w:tc>
        <w:tc>
          <w:tcPr>
            <w:tcW w:w="4773"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1、授信额度：</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（1）流动资金贷款类：最高不超过政府采购合同中采购总金额的85%；</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（2）承兑汇票及保函类：保证金比例不低于15%。</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2、授信期限：</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（1）流动资金贷款期限原则上不超过18个月，重大项目最高不超过3年，主要根据政府采购合同的付款周期确定。贷款期间可展期1次，可提前还款。</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（2）银行承兑汇票（纸质）不超过6个月；银行承兑汇票（电子）不超过1年。</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（3）保函期限原则上不超过3年，根据政府采购合同的付款周期确定。</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（4）根据采购文件中约定的采购款项支付进度，增加适当宽限期设置还款计划。</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3、利率定价：</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原则上不超过基准利率上浮30%。对地处贫困地区的供应商实行更加优惠的定价。</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4、办结时间：原则上从资料齐备到审批通过在5个工作日内。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spacing w:after="120" w:afterLines="50" w:line="288" w:lineRule="auto"/>
              <w:ind w:right="105" w:rightChars="50"/>
              <w:jc w:val="center"/>
              <w:rPr>
                <w:rFonts w:ascii="宋体" w:hAnsi="宋体"/>
                <w:color w:val="auto"/>
                <w:szCs w:val="21"/>
                <w:highlight w:val="none"/>
              </w:rPr>
            </w:pPr>
            <w:r>
              <w:rPr>
                <w:rFonts w:hint="eastAsia" w:ascii="宋体" w:hAnsi="宋体"/>
                <w:color w:val="auto"/>
                <w:szCs w:val="21"/>
                <w:highlight w:val="none"/>
              </w:rPr>
              <w:t>崇州上银村镇银行</w:t>
            </w:r>
          </w:p>
        </w:tc>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63" w:afterLines="20"/>
              <w:ind w:right="105" w:rightChars="50"/>
              <w:jc w:val="center"/>
              <w:textAlignment w:val="auto"/>
              <w:rPr>
                <w:rFonts w:ascii="宋体" w:hAnsi="宋体"/>
                <w:color w:val="auto"/>
                <w:szCs w:val="21"/>
                <w:highlight w:val="none"/>
              </w:rPr>
            </w:pPr>
            <w:r>
              <w:rPr>
                <w:rFonts w:hint="eastAsia" w:ascii="宋体" w:hAnsi="宋体"/>
                <w:color w:val="auto"/>
                <w:szCs w:val="21"/>
                <w:highlight w:val="none"/>
              </w:rPr>
              <w:t>龚真真</w:t>
            </w:r>
            <w:r>
              <w:rPr>
                <w:rFonts w:hint="eastAsia" w:ascii="宋体" w:hAnsi="宋体"/>
                <w:color w:val="auto"/>
                <w:szCs w:val="21"/>
                <w:highlight w:val="none"/>
              </w:rPr>
              <w:tab/>
            </w:r>
            <w:r>
              <w:rPr>
                <w:rFonts w:hint="eastAsia" w:ascii="宋体" w:hAnsi="宋体"/>
                <w:color w:val="auto"/>
                <w:szCs w:val="21"/>
                <w:highlight w:val="none"/>
              </w:rPr>
              <w:t>副 行 长</w:t>
            </w:r>
            <w:r>
              <w:rPr>
                <w:rFonts w:hint="eastAsia" w:ascii="宋体" w:hAnsi="宋体"/>
                <w:color w:val="auto"/>
                <w:szCs w:val="21"/>
                <w:highlight w:val="none"/>
              </w:rPr>
              <w:tab/>
            </w:r>
            <w:r>
              <w:rPr>
                <w:rFonts w:hint="eastAsia" w:ascii="宋体" w:hAnsi="宋体"/>
                <w:color w:val="auto"/>
                <w:szCs w:val="21"/>
                <w:highlight w:val="none"/>
              </w:rPr>
              <w:t>17740215212</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center"/>
              <w:textAlignment w:val="auto"/>
              <w:rPr>
                <w:rFonts w:ascii="宋体" w:hAnsi="宋体"/>
                <w:color w:val="auto"/>
                <w:szCs w:val="21"/>
                <w:highlight w:val="none"/>
              </w:rPr>
            </w:pPr>
            <w:r>
              <w:rPr>
                <w:rFonts w:hint="eastAsia" w:ascii="宋体" w:hAnsi="宋体"/>
                <w:color w:val="auto"/>
                <w:szCs w:val="21"/>
                <w:highlight w:val="none"/>
              </w:rPr>
              <w:t>杨彦铭</w:t>
            </w:r>
            <w:r>
              <w:rPr>
                <w:rFonts w:hint="eastAsia" w:ascii="宋体" w:hAnsi="宋体"/>
                <w:color w:val="auto"/>
                <w:szCs w:val="21"/>
                <w:highlight w:val="none"/>
              </w:rPr>
              <w:tab/>
            </w:r>
            <w:r>
              <w:rPr>
                <w:rFonts w:hint="eastAsia" w:ascii="宋体" w:hAnsi="宋体"/>
                <w:color w:val="auto"/>
                <w:szCs w:val="21"/>
                <w:highlight w:val="none"/>
              </w:rPr>
              <w:t>部门总经理</w:t>
            </w:r>
            <w:r>
              <w:rPr>
                <w:rFonts w:hint="eastAsia" w:ascii="宋体" w:hAnsi="宋体"/>
                <w:color w:val="auto"/>
                <w:szCs w:val="21"/>
                <w:highlight w:val="none"/>
              </w:rPr>
              <w:tab/>
            </w:r>
            <w:r>
              <w:rPr>
                <w:rFonts w:hint="eastAsia" w:ascii="宋体" w:hAnsi="宋体"/>
                <w:color w:val="auto"/>
                <w:szCs w:val="21"/>
                <w:highlight w:val="none"/>
              </w:rPr>
              <w:t>13981735391</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center"/>
              <w:textAlignment w:val="auto"/>
              <w:rPr>
                <w:rFonts w:ascii="宋体" w:hAnsi="宋体"/>
                <w:color w:val="auto"/>
                <w:szCs w:val="21"/>
                <w:highlight w:val="none"/>
              </w:rPr>
            </w:pPr>
            <w:r>
              <w:rPr>
                <w:rFonts w:hint="eastAsia" w:ascii="宋体" w:hAnsi="宋体"/>
                <w:color w:val="auto"/>
                <w:szCs w:val="21"/>
                <w:highlight w:val="none"/>
              </w:rPr>
              <w:t>黄  龙</w:t>
            </w:r>
            <w:r>
              <w:rPr>
                <w:rFonts w:hint="eastAsia" w:ascii="宋体" w:hAnsi="宋体"/>
                <w:color w:val="auto"/>
                <w:szCs w:val="21"/>
                <w:highlight w:val="none"/>
              </w:rPr>
              <w:tab/>
            </w:r>
            <w:r>
              <w:rPr>
                <w:rFonts w:hint="eastAsia" w:ascii="宋体" w:hAnsi="宋体"/>
                <w:color w:val="auto"/>
                <w:szCs w:val="21"/>
                <w:highlight w:val="none"/>
              </w:rPr>
              <w:t>副总经理</w:t>
            </w:r>
            <w:r>
              <w:rPr>
                <w:rFonts w:hint="eastAsia" w:ascii="宋体" w:hAnsi="宋体"/>
                <w:color w:val="auto"/>
                <w:szCs w:val="21"/>
                <w:highlight w:val="none"/>
              </w:rPr>
              <w:tab/>
            </w:r>
            <w:r>
              <w:rPr>
                <w:rFonts w:hint="eastAsia" w:ascii="宋体" w:hAnsi="宋体"/>
                <w:color w:val="auto"/>
                <w:szCs w:val="21"/>
                <w:highlight w:val="none"/>
              </w:rPr>
              <w:t>13348884865</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center"/>
              <w:textAlignment w:val="auto"/>
              <w:rPr>
                <w:rFonts w:ascii="宋体" w:hAnsi="宋体"/>
                <w:color w:val="auto"/>
                <w:szCs w:val="21"/>
                <w:highlight w:val="none"/>
              </w:rPr>
            </w:pPr>
            <w:r>
              <w:rPr>
                <w:rFonts w:hint="eastAsia" w:ascii="宋体" w:hAnsi="宋体"/>
                <w:color w:val="auto"/>
                <w:szCs w:val="21"/>
                <w:highlight w:val="none"/>
              </w:rPr>
              <w:t>羊孝丽</w:t>
            </w:r>
            <w:r>
              <w:rPr>
                <w:rFonts w:hint="eastAsia" w:ascii="宋体" w:hAnsi="宋体"/>
                <w:color w:val="auto"/>
                <w:szCs w:val="21"/>
                <w:highlight w:val="none"/>
              </w:rPr>
              <w:tab/>
            </w:r>
            <w:r>
              <w:rPr>
                <w:rFonts w:hint="eastAsia" w:ascii="宋体" w:hAnsi="宋体"/>
                <w:color w:val="auto"/>
                <w:szCs w:val="21"/>
                <w:highlight w:val="none"/>
              </w:rPr>
              <w:t>客户经理</w:t>
            </w:r>
            <w:r>
              <w:rPr>
                <w:rFonts w:hint="eastAsia" w:ascii="宋体" w:hAnsi="宋体"/>
                <w:color w:val="auto"/>
                <w:szCs w:val="21"/>
                <w:highlight w:val="none"/>
              </w:rPr>
              <w:tab/>
            </w:r>
            <w:r>
              <w:rPr>
                <w:rFonts w:hint="eastAsia" w:ascii="宋体" w:hAnsi="宋体"/>
                <w:color w:val="auto"/>
                <w:szCs w:val="21"/>
                <w:highlight w:val="none"/>
              </w:rPr>
              <w:t>15884577260</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center"/>
              <w:textAlignment w:val="auto"/>
              <w:rPr>
                <w:rFonts w:ascii="宋体" w:hAnsi="宋体"/>
                <w:color w:val="auto"/>
                <w:szCs w:val="21"/>
                <w:highlight w:val="none"/>
              </w:rPr>
            </w:pPr>
            <w:r>
              <w:rPr>
                <w:rFonts w:hint="eastAsia" w:ascii="宋体" w:hAnsi="宋体"/>
                <w:color w:val="auto"/>
                <w:szCs w:val="21"/>
                <w:highlight w:val="none"/>
              </w:rPr>
              <w:t>尹  翔</w:t>
            </w:r>
            <w:r>
              <w:rPr>
                <w:rFonts w:hint="eastAsia" w:ascii="宋体" w:hAnsi="宋体"/>
                <w:color w:val="auto"/>
                <w:szCs w:val="21"/>
                <w:highlight w:val="none"/>
              </w:rPr>
              <w:tab/>
            </w:r>
            <w:r>
              <w:rPr>
                <w:rFonts w:hint="eastAsia" w:ascii="宋体" w:hAnsi="宋体"/>
                <w:color w:val="auto"/>
                <w:szCs w:val="21"/>
                <w:highlight w:val="none"/>
              </w:rPr>
              <w:t>客户经理</w:t>
            </w:r>
            <w:r>
              <w:rPr>
                <w:rFonts w:hint="eastAsia" w:ascii="宋体" w:hAnsi="宋体"/>
                <w:color w:val="auto"/>
                <w:szCs w:val="21"/>
                <w:highlight w:val="none"/>
              </w:rPr>
              <w:tab/>
            </w:r>
            <w:r>
              <w:rPr>
                <w:rFonts w:hint="eastAsia" w:ascii="宋体" w:hAnsi="宋体"/>
                <w:color w:val="auto"/>
                <w:szCs w:val="21"/>
                <w:highlight w:val="none"/>
              </w:rPr>
              <w:t>13982166628</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center"/>
              <w:textAlignment w:val="auto"/>
              <w:rPr>
                <w:rFonts w:ascii="宋体" w:hAnsi="宋体"/>
                <w:color w:val="auto"/>
                <w:szCs w:val="21"/>
                <w:highlight w:val="none"/>
              </w:rPr>
            </w:pPr>
            <w:r>
              <w:rPr>
                <w:rFonts w:hint="eastAsia" w:ascii="宋体" w:hAnsi="宋体"/>
                <w:color w:val="auto"/>
                <w:szCs w:val="21"/>
                <w:highlight w:val="none"/>
              </w:rPr>
              <w:t>吴翅飞</w:t>
            </w:r>
            <w:r>
              <w:rPr>
                <w:rFonts w:hint="eastAsia" w:ascii="宋体" w:hAnsi="宋体"/>
                <w:color w:val="auto"/>
                <w:szCs w:val="21"/>
                <w:highlight w:val="none"/>
              </w:rPr>
              <w:tab/>
            </w:r>
            <w:r>
              <w:rPr>
                <w:rFonts w:hint="eastAsia" w:ascii="宋体" w:hAnsi="宋体"/>
                <w:color w:val="auto"/>
                <w:szCs w:val="21"/>
                <w:highlight w:val="none"/>
              </w:rPr>
              <w:t>客户经理</w:t>
            </w:r>
            <w:r>
              <w:rPr>
                <w:rFonts w:hint="eastAsia" w:ascii="宋体" w:hAnsi="宋体"/>
                <w:color w:val="auto"/>
                <w:szCs w:val="21"/>
                <w:highlight w:val="none"/>
              </w:rPr>
              <w:tab/>
            </w:r>
            <w:r>
              <w:rPr>
                <w:rFonts w:hint="eastAsia" w:ascii="宋体" w:hAnsi="宋体"/>
                <w:color w:val="auto"/>
                <w:szCs w:val="21"/>
                <w:highlight w:val="none"/>
              </w:rPr>
              <w:t>18982275308</w:t>
            </w:r>
          </w:p>
        </w:tc>
        <w:tc>
          <w:tcPr>
            <w:tcW w:w="4773"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授信政策</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担保方式：信用</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授信期限：不高于采购合同期限，最高不超过三年</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利率水平：基准上浮30%</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放款时限：审批通过后5个工作日内</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授信成数：最高不高于合同总价款的90%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spacing w:after="120" w:afterLines="50" w:line="288" w:lineRule="auto"/>
              <w:ind w:right="105" w:rightChars="50"/>
              <w:jc w:val="center"/>
              <w:rPr>
                <w:rFonts w:ascii="宋体" w:hAnsi="宋体"/>
                <w:color w:val="auto"/>
                <w:szCs w:val="21"/>
                <w:highlight w:val="none"/>
              </w:rPr>
            </w:pPr>
            <w:r>
              <w:rPr>
                <w:rFonts w:hint="eastAsia" w:ascii="宋体" w:hAnsi="宋体"/>
                <w:color w:val="auto"/>
                <w:szCs w:val="21"/>
                <w:highlight w:val="none"/>
              </w:rPr>
              <w:t>农行崇州支行</w:t>
            </w:r>
          </w:p>
        </w:tc>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63" w:afterLines="20" w:line="288" w:lineRule="auto"/>
              <w:ind w:right="105" w:rightChars="50"/>
              <w:jc w:val="center"/>
              <w:textAlignment w:val="auto"/>
              <w:rPr>
                <w:rFonts w:ascii="宋体" w:hAnsi="宋体"/>
                <w:color w:val="auto"/>
                <w:szCs w:val="21"/>
                <w:highlight w:val="none"/>
              </w:rPr>
            </w:pPr>
            <w:r>
              <w:rPr>
                <w:rFonts w:hint="eastAsia" w:ascii="宋体" w:hAnsi="宋体"/>
                <w:color w:val="auto"/>
                <w:szCs w:val="21"/>
                <w:highlight w:val="none"/>
              </w:rPr>
              <w:t>陈东江</w:t>
            </w:r>
            <w:r>
              <w:rPr>
                <w:rFonts w:hint="eastAsia" w:ascii="宋体" w:hAnsi="宋体"/>
                <w:color w:val="auto"/>
                <w:szCs w:val="21"/>
                <w:highlight w:val="none"/>
              </w:rPr>
              <w:tab/>
            </w:r>
            <w:r>
              <w:rPr>
                <w:rFonts w:hint="eastAsia" w:ascii="宋体" w:hAnsi="宋体"/>
                <w:color w:val="auto"/>
                <w:szCs w:val="21"/>
                <w:highlight w:val="none"/>
              </w:rPr>
              <w:t>副 行 长</w:t>
            </w:r>
            <w:r>
              <w:rPr>
                <w:rFonts w:hint="eastAsia" w:ascii="宋体" w:hAnsi="宋体"/>
                <w:color w:val="auto"/>
                <w:szCs w:val="21"/>
                <w:highlight w:val="none"/>
              </w:rPr>
              <w:tab/>
            </w:r>
            <w:r>
              <w:rPr>
                <w:rFonts w:hint="eastAsia" w:ascii="宋体" w:hAnsi="宋体"/>
                <w:color w:val="auto"/>
                <w:szCs w:val="21"/>
                <w:highlight w:val="none"/>
              </w:rPr>
              <w:t>13980843688</w:t>
            </w:r>
          </w:p>
          <w:p>
            <w:pPr>
              <w:keepNext w:val="0"/>
              <w:keepLines w:val="0"/>
              <w:pageBreakBefore w:val="0"/>
              <w:widowControl w:val="0"/>
              <w:kinsoku/>
              <w:wordWrap/>
              <w:overflowPunct/>
              <w:topLinePunct w:val="0"/>
              <w:autoSpaceDE/>
              <w:autoSpaceDN/>
              <w:bidi w:val="0"/>
              <w:adjustRightInd/>
              <w:snapToGrid/>
              <w:spacing w:after="63" w:afterLines="20" w:line="288" w:lineRule="auto"/>
              <w:ind w:right="105" w:rightChars="50"/>
              <w:jc w:val="center"/>
              <w:textAlignment w:val="auto"/>
              <w:rPr>
                <w:rFonts w:ascii="宋体" w:hAnsi="宋体"/>
                <w:color w:val="auto"/>
                <w:szCs w:val="21"/>
                <w:highlight w:val="none"/>
              </w:rPr>
            </w:pPr>
            <w:r>
              <w:rPr>
                <w:rFonts w:hint="eastAsia" w:ascii="宋体" w:hAnsi="宋体"/>
                <w:color w:val="auto"/>
                <w:szCs w:val="21"/>
                <w:highlight w:val="none"/>
              </w:rPr>
              <w:t>何  莉</w:t>
            </w:r>
            <w:r>
              <w:rPr>
                <w:rFonts w:hint="eastAsia" w:ascii="宋体" w:hAnsi="宋体"/>
                <w:color w:val="auto"/>
                <w:szCs w:val="21"/>
                <w:highlight w:val="none"/>
              </w:rPr>
              <w:tab/>
            </w:r>
            <w:r>
              <w:rPr>
                <w:rFonts w:hint="eastAsia" w:ascii="宋体" w:hAnsi="宋体"/>
                <w:color w:val="auto"/>
                <w:szCs w:val="21"/>
                <w:highlight w:val="none"/>
              </w:rPr>
              <w:t>副 经 理</w:t>
            </w:r>
            <w:r>
              <w:rPr>
                <w:rFonts w:hint="eastAsia" w:ascii="宋体" w:hAnsi="宋体"/>
                <w:color w:val="auto"/>
                <w:szCs w:val="21"/>
                <w:highlight w:val="none"/>
              </w:rPr>
              <w:tab/>
            </w:r>
            <w:r>
              <w:rPr>
                <w:rFonts w:hint="eastAsia" w:ascii="宋体" w:hAnsi="宋体"/>
                <w:color w:val="auto"/>
                <w:szCs w:val="21"/>
                <w:highlight w:val="none"/>
              </w:rPr>
              <w:t>15982110977</w:t>
            </w:r>
          </w:p>
          <w:p>
            <w:pPr>
              <w:keepNext w:val="0"/>
              <w:keepLines w:val="0"/>
              <w:pageBreakBefore w:val="0"/>
              <w:widowControl w:val="0"/>
              <w:kinsoku/>
              <w:wordWrap/>
              <w:overflowPunct/>
              <w:topLinePunct w:val="0"/>
              <w:autoSpaceDE/>
              <w:autoSpaceDN/>
              <w:bidi w:val="0"/>
              <w:adjustRightInd/>
              <w:snapToGrid/>
              <w:spacing w:after="63" w:afterLines="20" w:line="288" w:lineRule="auto"/>
              <w:ind w:right="105" w:rightChars="50"/>
              <w:jc w:val="center"/>
              <w:textAlignment w:val="auto"/>
              <w:rPr>
                <w:rFonts w:ascii="宋体" w:hAnsi="宋体"/>
                <w:color w:val="auto"/>
                <w:szCs w:val="21"/>
                <w:highlight w:val="none"/>
              </w:rPr>
            </w:pPr>
            <w:r>
              <w:rPr>
                <w:rFonts w:hint="eastAsia" w:ascii="宋体" w:hAnsi="宋体"/>
                <w:color w:val="auto"/>
                <w:szCs w:val="21"/>
                <w:highlight w:val="none"/>
              </w:rPr>
              <w:t>唐雪姣</w:t>
            </w:r>
            <w:r>
              <w:rPr>
                <w:rFonts w:hint="eastAsia" w:ascii="宋体" w:hAnsi="宋体"/>
                <w:color w:val="auto"/>
                <w:szCs w:val="21"/>
                <w:highlight w:val="none"/>
              </w:rPr>
              <w:tab/>
            </w:r>
            <w:r>
              <w:rPr>
                <w:rFonts w:hint="eastAsia" w:ascii="宋体" w:hAnsi="宋体"/>
                <w:color w:val="auto"/>
                <w:szCs w:val="21"/>
                <w:highlight w:val="none"/>
              </w:rPr>
              <w:t>客户经理</w:t>
            </w:r>
            <w:r>
              <w:rPr>
                <w:rFonts w:hint="eastAsia" w:ascii="宋体" w:hAnsi="宋体"/>
                <w:color w:val="auto"/>
                <w:szCs w:val="21"/>
                <w:highlight w:val="none"/>
              </w:rPr>
              <w:tab/>
            </w:r>
            <w:r>
              <w:rPr>
                <w:rFonts w:hint="eastAsia" w:ascii="宋体" w:hAnsi="宋体"/>
                <w:color w:val="auto"/>
                <w:szCs w:val="21"/>
                <w:highlight w:val="none"/>
              </w:rPr>
              <w:t>13689013376</w:t>
            </w:r>
          </w:p>
          <w:p>
            <w:pPr>
              <w:keepNext w:val="0"/>
              <w:keepLines w:val="0"/>
              <w:pageBreakBefore w:val="0"/>
              <w:widowControl w:val="0"/>
              <w:kinsoku/>
              <w:wordWrap/>
              <w:overflowPunct/>
              <w:topLinePunct w:val="0"/>
              <w:autoSpaceDE/>
              <w:autoSpaceDN/>
              <w:bidi w:val="0"/>
              <w:adjustRightInd/>
              <w:snapToGrid/>
              <w:spacing w:after="63" w:afterLines="20" w:line="288" w:lineRule="auto"/>
              <w:ind w:right="105" w:rightChars="50"/>
              <w:jc w:val="center"/>
              <w:textAlignment w:val="auto"/>
              <w:rPr>
                <w:rFonts w:ascii="宋体" w:hAnsi="宋体"/>
                <w:color w:val="auto"/>
                <w:szCs w:val="21"/>
                <w:highlight w:val="none"/>
              </w:rPr>
            </w:pPr>
            <w:r>
              <w:rPr>
                <w:rFonts w:hint="eastAsia" w:ascii="宋体" w:hAnsi="宋体"/>
                <w:color w:val="auto"/>
                <w:szCs w:val="21"/>
                <w:highlight w:val="none"/>
              </w:rPr>
              <w:t>王  羽</w:t>
            </w:r>
            <w:r>
              <w:rPr>
                <w:rFonts w:hint="eastAsia" w:ascii="宋体" w:hAnsi="宋体"/>
                <w:color w:val="auto"/>
                <w:szCs w:val="21"/>
                <w:highlight w:val="none"/>
              </w:rPr>
              <w:tab/>
            </w:r>
            <w:r>
              <w:rPr>
                <w:rFonts w:hint="eastAsia" w:ascii="宋体" w:hAnsi="宋体"/>
                <w:color w:val="auto"/>
                <w:szCs w:val="21"/>
                <w:highlight w:val="none"/>
              </w:rPr>
              <w:t>客户经理</w:t>
            </w:r>
            <w:r>
              <w:rPr>
                <w:rFonts w:hint="eastAsia" w:ascii="宋体" w:hAnsi="宋体"/>
                <w:color w:val="auto"/>
                <w:szCs w:val="21"/>
                <w:highlight w:val="none"/>
              </w:rPr>
              <w:tab/>
            </w:r>
            <w:r>
              <w:rPr>
                <w:rFonts w:hint="eastAsia" w:ascii="宋体" w:hAnsi="宋体"/>
                <w:color w:val="auto"/>
                <w:szCs w:val="21"/>
                <w:highlight w:val="none"/>
              </w:rPr>
              <w:t>13568936607</w:t>
            </w:r>
          </w:p>
        </w:tc>
        <w:tc>
          <w:tcPr>
            <w:tcW w:w="4773"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1、授信额度</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根据《政府采购合同》金额测定授信额度理论值，最高可贷合同总金额的70%，原则不超过1000万元。小微企业单户信用贷款额度不超过500万元。</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2、融资期限</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融资到期日不超过《政府采购合同》项下应收账款付款到期日后3个月（含），融资期限原则上不超过1年（含），最长不超过3年。</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 xml:space="preserve">3、融资利率 </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原则上不超过人民银行同期基准利率上浮30%。</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4、还款方式</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贷款期限在１年以内的，可采用一次性还本付息方式或一次还本、分期付息方式。贷款期限在１年以上的，采用按月（季）分期还本付息方式。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spacing w:after="120" w:afterLines="50" w:line="288" w:lineRule="auto"/>
              <w:ind w:right="105" w:rightChars="50"/>
              <w:jc w:val="center"/>
              <w:rPr>
                <w:rFonts w:ascii="宋体" w:hAnsi="宋体"/>
                <w:color w:val="auto"/>
                <w:szCs w:val="21"/>
                <w:highlight w:val="none"/>
              </w:rPr>
            </w:pPr>
            <w:r>
              <w:rPr>
                <w:rFonts w:hint="eastAsia" w:ascii="宋体" w:hAnsi="宋体"/>
                <w:color w:val="auto"/>
                <w:szCs w:val="21"/>
                <w:highlight w:val="none"/>
              </w:rPr>
              <w:t>中行崇州支行</w:t>
            </w:r>
          </w:p>
        </w:tc>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63" w:afterLines="20" w:line="288" w:lineRule="auto"/>
              <w:ind w:right="105" w:rightChars="50"/>
              <w:jc w:val="center"/>
              <w:textAlignment w:val="auto"/>
              <w:rPr>
                <w:rFonts w:ascii="宋体" w:hAnsi="宋体"/>
                <w:color w:val="auto"/>
                <w:szCs w:val="21"/>
                <w:highlight w:val="none"/>
              </w:rPr>
            </w:pPr>
            <w:r>
              <w:rPr>
                <w:rFonts w:hint="eastAsia" w:ascii="宋体" w:hAnsi="宋体"/>
                <w:color w:val="auto"/>
                <w:szCs w:val="21"/>
                <w:highlight w:val="none"/>
              </w:rPr>
              <w:t>分管行长王  勇 82313560  13980969703</w:t>
            </w:r>
          </w:p>
          <w:p>
            <w:pPr>
              <w:keepNext w:val="0"/>
              <w:keepLines w:val="0"/>
              <w:pageBreakBefore w:val="0"/>
              <w:widowControl w:val="0"/>
              <w:kinsoku/>
              <w:wordWrap/>
              <w:overflowPunct/>
              <w:topLinePunct w:val="0"/>
              <w:autoSpaceDE/>
              <w:autoSpaceDN/>
              <w:bidi w:val="0"/>
              <w:adjustRightInd/>
              <w:snapToGrid/>
              <w:spacing w:after="63" w:afterLines="20" w:line="288" w:lineRule="auto"/>
              <w:ind w:right="105" w:rightChars="50"/>
              <w:jc w:val="center"/>
              <w:textAlignment w:val="auto"/>
              <w:rPr>
                <w:rFonts w:ascii="宋体" w:hAnsi="宋体"/>
                <w:color w:val="auto"/>
                <w:szCs w:val="21"/>
                <w:highlight w:val="none"/>
              </w:rPr>
            </w:pPr>
            <w:r>
              <w:rPr>
                <w:rFonts w:hint="eastAsia" w:ascii="宋体" w:hAnsi="宋体"/>
                <w:color w:val="auto"/>
                <w:szCs w:val="21"/>
                <w:highlight w:val="none"/>
              </w:rPr>
              <w:t>分管主任龚才兵 82276832  18081054180</w:t>
            </w:r>
          </w:p>
        </w:tc>
        <w:tc>
          <w:tcPr>
            <w:tcW w:w="4773"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授信额度：单一合同项下信用授信金额不得高于合同标的的70%，最高不超过2000万元，最长不超过一年。</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担保方式：须借款人法定代表人、主要股东、实际控制人或关联企业提供连带责任保证担保；也可采购取房地产抵押或第三方保证等。</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执行利率：按年化4.5675%执行；非普惠金融贷款企业，在一年期基准贷款利率4.35%的基础上上浮10%-40%。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1" w:hRule="atLeast"/>
        </w:trPr>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spacing w:after="120" w:afterLines="50" w:line="288" w:lineRule="auto"/>
              <w:ind w:right="105" w:rightChars="50"/>
              <w:jc w:val="center"/>
              <w:rPr>
                <w:rFonts w:ascii="宋体" w:hAnsi="宋体"/>
                <w:color w:val="auto"/>
                <w:szCs w:val="21"/>
                <w:highlight w:val="none"/>
              </w:rPr>
            </w:pPr>
            <w:r>
              <w:rPr>
                <w:rFonts w:hint="eastAsia" w:ascii="宋体" w:hAnsi="宋体"/>
                <w:color w:val="auto"/>
                <w:szCs w:val="21"/>
                <w:highlight w:val="none"/>
              </w:rPr>
              <w:t>重庆银行崇州支行</w:t>
            </w:r>
          </w:p>
        </w:tc>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63" w:afterLines="20"/>
              <w:ind w:right="105" w:rightChars="50"/>
              <w:jc w:val="center"/>
              <w:textAlignment w:val="auto"/>
              <w:rPr>
                <w:rFonts w:ascii="宋体" w:hAnsi="宋体"/>
                <w:color w:val="auto"/>
                <w:szCs w:val="21"/>
                <w:highlight w:val="none"/>
              </w:rPr>
            </w:pPr>
            <w:r>
              <w:rPr>
                <w:rFonts w:hint="eastAsia" w:ascii="宋体" w:hAnsi="宋体"/>
                <w:color w:val="auto"/>
                <w:szCs w:val="21"/>
                <w:highlight w:val="none"/>
              </w:rPr>
              <w:t>业  务  部 经 理   李盛勇  18108259677</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center"/>
              <w:textAlignment w:val="auto"/>
              <w:rPr>
                <w:rFonts w:ascii="宋体" w:hAnsi="宋体"/>
                <w:color w:val="auto"/>
                <w:szCs w:val="21"/>
                <w:highlight w:val="none"/>
              </w:rPr>
            </w:pPr>
            <w:r>
              <w:rPr>
                <w:rFonts w:hint="eastAsia" w:ascii="宋体" w:hAnsi="宋体"/>
                <w:color w:val="auto"/>
                <w:szCs w:val="21"/>
                <w:highlight w:val="none"/>
              </w:rPr>
              <w:t>小微业务部副经理   余 蓥   13550034115</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center"/>
              <w:textAlignment w:val="auto"/>
              <w:rPr>
                <w:rFonts w:ascii="宋体" w:hAnsi="宋体"/>
                <w:color w:val="auto"/>
                <w:szCs w:val="21"/>
                <w:highlight w:val="none"/>
              </w:rPr>
            </w:pPr>
            <w:r>
              <w:rPr>
                <w:rFonts w:hint="eastAsia" w:ascii="宋体" w:hAnsi="宋体"/>
                <w:color w:val="auto"/>
                <w:szCs w:val="21"/>
                <w:highlight w:val="none"/>
              </w:rPr>
              <w:t>小微业务部客户经理  陈文韬 13547927235</w:t>
            </w:r>
          </w:p>
        </w:tc>
        <w:tc>
          <w:tcPr>
            <w:tcW w:w="477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授信额度：单一合同项下信用授信金额不得高于合同标的的80%，目前暂不超过100万元。</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执行利率：申请人信用评价实施差异化定价，原则上不超过基准利率上浮30%。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spacing w:after="120" w:afterLines="50" w:line="288" w:lineRule="auto"/>
              <w:ind w:right="105" w:rightChars="50"/>
              <w:jc w:val="center"/>
              <w:rPr>
                <w:rFonts w:ascii="宋体" w:hAnsi="宋体"/>
                <w:color w:val="auto"/>
                <w:szCs w:val="21"/>
                <w:highlight w:val="none"/>
              </w:rPr>
            </w:pPr>
            <w:r>
              <w:rPr>
                <w:rFonts w:hint="eastAsia" w:ascii="宋体" w:hAnsi="宋体"/>
                <w:color w:val="auto"/>
                <w:szCs w:val="21"/>
                <w:highlight w:val="none"/>
              </w:rPr>
              <w:t>工商银行崇州支行</w:t>
            </w:r>
          </w:p>
        </w:tc>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63" w:afterLines="20"/>
              <w:ind w:right="105" w:rightChars="50"/>
              <w:jc w:val="center"/>
              <w:textAlignment w:val="auto"/>
              <w:rPr>
                <w:rFonts w:ascii="宋体" w:hAnsi="宋体"/>
                <w:color w:val="auto"/>
                <w:szCs w:val="21"/>
                <w:highlight w:val="none"/>
              </w:rPr>
            </w:pPr>
            <w:r>
              <w:rPr>
                <w:rFonts w:hint="eastAsia" w:ascii="宋体" w:hAnsi="宋体"/>
                <w:color w:val="auto"/>
                <w:szCs w:val="21"/>
                <w:highlight w:val="none"/>
              </w:rPr>
              <w:t>分管行长：张樱川13882296300</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center"/>
              <w:textAlignment w:val="auto"/>
              <w:rPr>
                <w:rFonts w:ascii="宋体" w:hAnsi="宋体"/>
                <w:color w:val="auto"/>
                <w:szCs w:val="21"/>
                <w:highlight w:val="none"/>
              </w:rPr>
            </w:pPr>
            <w:r>
              <w:rPr>
                <w:rFonts w:hint="eastAsia" w:ascii="宋体" w:hAnsi="宋体"/>
                <w:color w:val="auto"/>
                <w:szCs w:val="21"/>
                <w:highlight w:val="none"/>
              </w:rPr>
              <w:t>分管科长：曲希17760374425</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center"/>
              <w:textAlignment w:val="auto"/>
              <w:rPr>
                <w:rFonts w:ascii="宋体" w:hAnsi="宋体"/>
                <w:color w:val="auto"/>
                <w:szCs w:val="21"/>
                <w:highlight w:val="none"/>
              </w:rPr>
            </w:pPr>
            <w:r>
              <w:rPr>
                <w:rFonts w:hint="eastAsia" w:ascii="宋体" w:hAnsi="宋体"/>
                <w:color w:val="auto"/>
                <w:szCs w:val="21"/>
                <w:highlight w:val="none"/>
              </w:rPr>
              <w:t>客户经理：余波13688482133</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center"/>
              <w:textAlignment w:val="auto"/>
              <w:rPr>
                <w:rFonts w:ascii="宋体" w:hAnsi="宋体"/>
                <w:color w:val="auto"/>
                <w:szCs w:val="21"/>
                <w:highlight w:val="none"/>
              </w:rPr>
            </w:pPr>
            <w:r>
              <w:rPr>
                <w:rFonts w:hint="eastAsia" w:ascii="宋体" w:hAnsi="宋体"/>
                <w:color w:val="auto"/>
                <w:szCs w:val="21"/>
                <w:highlight w:val="none"/>
              </w:rPr>
              <w:t>客户经理：华昌庚15828604669</w:t>
            </w:r>
          </w:p>
        </w:tc>
        <w:tc>
          <w:tcPr>
            <w:tcW w:w="4773"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融资额度</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 xml:space="preserve"> 1、采用信用方式的，单户贷款金额最高不超过200万元,微型企业单户最高不超过100万元。</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 xml:space="preserve"> 2、追加以政府采购的应收账款质押作为增信（以下统称“增信措施”），有增信措施的，单户贷款金额最高不超过500万元,微型企业单户最高不超过200万元，且一般不超过对应的政府采购合同项下应收账款实有金额的70%，但最高不超过80%。</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执行利率：“政采贷”业务定价不得低于人民银行基准利率执行，根据不同客户情况合理确定。</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还款方式：“政采贷”贷款根据企业经营特点、应收账款的回款特点确定还款方式，可采用一次性还款或分期还款方式，但须按月付息。</w:t>
            </w:r>
          </w:p>
        </w:tc>
      </w:tr>
    </w:tbl>
    <w:p>
      <w:pPr>
        <w:pStyle w:val="4"/>
        <w:spacing w:line="400" w:lineRule="exact"/>
        <w:jc w:val="center"/>
        <w:rPr>
          <w:rFonts w:ascii="宋体" w:hAnsi="宋体" w:eastAsia="宋体"/>
          <w:bCs w:val="0"/>
          <w:color w:val="auto"/>
          <w:highlight w:val="none"/>
        </w:rPr>
      </w:pPr>
      <w:r>
        <w:rPr>
          <w:rFonts w:hint="eastAsia" w:ascii="宋体" w:hAnsi="宋体" w:eastAsia="宋体"/>
          <w:bCs w:val="0"/>
          <w:color w:val="auto"/>
          <w:highlight w:val="none"/>
        </w:rPr>
        <w:t>二、总  则</w:t>
      </w:r>
    </w:p>
    <w:p>
      <w:pPr>
        <w:pStyle w:val="5"/>
        <w:keepNext w:val="0"/>
        <w:keepLines w:val="0"/>
        <w:spacing w:before="0" w:after="0" w:line="360" w:lineRule="auto"/>
        <w:ind w:firstLine="482" w:firstLineChars="200"/>
        <w:rPr>
          <w:rFonts w:ascii="宋体" w:hAnsi="宋体"/>
          <w:color w:val="auto"/>
          <w:sz w:val="24"/>
          <w:szCs w:val="24"/>
          <w:highlight w:val="none"/>
        </w:rPr>
      </w:pPr>
      <w:bookmarkStart w:id="42" w:name="PO_默认文件内容_23"/>
      <w:r>
        <w:rPr>
          <w:rFonts w:ascii="宋体" w:hAnsi="宋体" w:cs="仿宋"/>
          <w:color w:val="auto"/>
          <w:sz w:val="24"/>
          <w:szCs w:val="24"/>
          <w:highlight w:val="none"/>
        </w:rPr>
        <w:t>1.</w:t>
      </w:r>
      <w:r>
        <w:rPr>
          <w:rFonts w:hint="eastAsia" w:ascii="宋体" w:hAnsi="宋体" w:cs="仿宋"/>
          <w:color w:val="auto"/>
          <w:sz w:val="24"/>
          <w:szCs w:val="24"/>
          <w:highlight w:val="none"/>
        </w:rPr>
        <w:t>适用范围</w:t>
      </w:r>
    </w:p>
    <w:p>
      <w:pPr>
        <w:tabs>
          <w:tab w:val="left" w:pos="7665"/>
        </w:tabs>
        <w:spacing w:line="360" w:lineRule="auto"/>
        <w:ind w:firstLine="480" w:firstLineChars="200"/>
        <w:rPr>
          <w:rFonts w:ascii="宋体" w:hAnsi="宋体"/>
          <w:color w:val="auto"/>
          <w:sz w:val="24"/>
          <w:highlight w:val="none"/>
        </w:rPr>
      </w:pPr>
      <w:r>
        <w:rPr>
          <w:rFonts w:ascii="宋体" w:hAnsi="宋体" w:cs="仿宋"/>
          <w:color w:val="auto"/>
          <w:sz w:val="24"/>
          <w:highlight w:val="none"/>
        </w:rPr>
        <w:t xml:space="preserve">1.1 </w:t>
      </w:r>
      <w:r>
        <w:rPr>
          <w:rFonts w:hint="eastAsia" w:ascii="宋体" w:hAnsi="宋体" w:cs="仿宋"/>
          <w:color w:val="auto"/>
          <w:sz w:val="24"/>
          <w:highlight w:val="none"/>
        </w:rPr>
        <w:t>本磋商文件仅适用于本次磋商采购项目。</w:t>
      </w:r>
    </w:p>
    <w:p>
      <w:pPr>
        <w:tabs>
          <w:tab w:val="left" w:pos="7665"/>
        </w:tabs>
        <w:spacing w:line="360" w:lineRule="auto"/>
        <w:ind w:firstLine="480" w:firstLineChars="200"/>
        <w:rPr>
          <w:rFonts w:ascii="宋体" w:hAnsi="宋体"/>
          <w:color w:val="auto"/>
          <w:sz w:val="24"/>
          <w:highlight w:val="none"/>
        </w:rPr>
      </w:pPr>
      <w:r>
        <w:rPr>
          <w:rFonts w:ascii="宋体" w:hAnsi="宋体" w:cs="仿宋"/>
          <w:color w:val="auto"/>
          <w:sz w:val="24"/>
          <w:highlight w:val="none"/>
        </w:rPr>
        <w:t xml:space="preserve">1.2 </w:t>
      </w:r>
      <w:r>
        <w:rPr>
          <w:rFonts w:hint="eastAsia" w:ascii="宋体" w:hAnsi="宋体" w:cs="仿宋"/>
          <w:color w:val="auto"/>
          <w:sz w:val="24"/>
          <w:highlight w:val="none"/>
        </w:rPr>
        <w:t>本磋商文件的解释权归采购人和采购代理机构所有。</w:t>
      </w:r>
      <w:bookmarkEnd w:id="42"/>
    </w:p>
    <w:p>
      <w:pPr>
        <w:pStyle w:val="5"/>
        <w:keepNext w:val="0"/>
        <w:keepLines w:val="0"/>
        <w:spacing w:before="0" w:after="0" w:line="360" w:lineRule="auto"/>
        <w:ind w:firstLine="482" w:firstLineChars="200"/>
        <w:rPr>
          <w:rFonts w:ascii="宋体" w:hAnsi="宋体"/>
          <w:color w:val="auto"/>
          <w:sz w:val="24"/>
          <w:szCs w:val="24"/>
          <w:highlight w:val="none"/>
        </w:rPr>
      </w:pPr>
      <w:r>
        <w:rPr>
          <w:rFonts w:ascii="宋体" w:hAnsi="宋体" w:cs="仿宋"/>
          <w:color w:val="auto"/>
          <w:sz w:val="24"/>
          <w:szCs w:val="24"/>
          <w:highlight w:val="none"/>
        </w:rPr>
        <w:t>2.</w:t>
      </w:r>
      <w:r>
        <w:rPr>
          <w:rFonts w:hint="eastAsia" w:ascii="宋体" w:hAnsi="宋体" w:cs="仿宋"/>
          <w:color w:val="auto"/>
          <w:sz w:val="24"/>
          <w:szCs w:val="24"/>
          <w:highlight w:val="none"/>
        </w:rPr>
        <w:t>采购主体</w:t>
      </w:r>
    </w:p>
    <w:p>
      <w:pPr>
        <w:tabs>
          <w:tab w:val="left" w:pos="7665"/>
        </w:tabs>
        <w:spacing w:line="360" w:lineRule="auto"/>
        <w:ind w:firstLine="480" w:firstLineChars="200"/>
        <w:rPr>
          <w:rFonts w:ascii="宋体" w:hAnsi="宋体"/>
          <w:color w:val="auto"/>
          <w:sz w:val="24"/>
          <w:highlight w:val="none"/>
        </w:rPr>
      </w:pPr>
      <w:r>
        <w:rPr>
          <w:rFonts w:ascii="宋体" w:hAnsi="宋体" w:cs="仿宋"/>
          <w:color w:val="auto"/>
          <w:sz w:val="24"/>
          <w:highlight w:val="none"/>
        </w:rPr>
        <w:t>2.1</w:t>
      </w:r>
      <w:r>
        <w:rPr>
          <w:rFonts w:hint="eastAsia" w:ascii="宋体" w:hAnsi="宋体" w:cs="仿宋"/>
          <w:color w:val="auto"/>
          <w:sz w:val="24"/>
          <w:highlight w:val="none"/>
        </w:rPr>
        <w:t>本次磋商的采购人是</w:t>
      </w:r>
      <w:r>
        <w:rPr>
          <w:rFonts w:hint="eastAsia" w:ascii="宋体" w:hAnsi="宋体" w:cs="仿宋"/>
          <w:color w:val="auto"/>
          <w:sz w:val="24"/>
          <w:highlight w:val="none"/>
          <w:u w:val="single"/>
        </w:rPr>
        <w:t>崇州市住房和城乡建设局</w:t>
      </w:r>
      <w:r>
        <w:rPr>
          <w:rFonts w:hint="eastAsia" w:ascii="宋体" w:hAnsi="宋体"/>
          <w:color w:val="auto"/>
          <w:sz w:val="24"/>
          <w:highlight w:val="none"/>
        </w:rPr>
        <w:t>。</w:t>
      </w:r>
    </w:p>
    <w:p>
      <w:pPr>
        <w:tabs>
          <w:tab w:val="left" w:pos="7665"/>
        </w:tabs>
        <w:spacing w:line="360" w:lineRule="auto"/>
        <w:ind w:firstLine="480" w:firstLineChars="200"/>
        <w:rPr>
          <w:rFonts w:ascii="宋体" w:hAnsi="宋体"/>
          <w:color w:val="auto"/>
          <w:sz w:val="24"/>
          <w:highlight w:val="none"/>
        </w:rPr>
      </w:pPr>
      <w:bookmarkStart w:id="43" w:name="PO_默认文件内容_24"/>
      <w:r>
        <w:rPr>
          <w:rFonts w:ascii="宋体" w:hAnsi="宋体" w:cs="仿宋"/>
          <w:color w:val="auto"/>
          <w:sz w:val="24"/>
          <w:highlight w:val="none"/>
        </w:rPr>
        <w:t>2.2</w:t>
      </w:r>
      <w:r>
        <w:rPr>
          <w:rFonts w:hint="eastAsia" w:ascii="宋体" w:hAnsi="宋体" w:cs="仿宋"/>
          <w:color w:val="auto"/>
          <w:sz w:val="24"/>
          <w:highlight w:val="none"/>
        </w:rPr>
        <w:t>本次磋商的采购代理机构是</w:t>
      </w:r>
      <w:r>
        <w:rPr>
          <w:rFonts w:hint="eastAsia" w:ascii="宋体" w:hAnsi="宋体" w:cs="黑体"/>
          <w:color w:val="auto"/>
          <w:sz w:val="24"/>
          <w:highlight w:val="none"/>
          <w:u w:val="single"/>
        </w:rPr>
        <w:t>成都一问工程技术咨询有限公司</w:t>
      </w:r>
      <w:r>
        <w:rPr>
          <w:rFonts w:hint="eastAsia" w:ascii="宋体" w:hAnsi="宋体" w:cs="仿宋"/>
          <w:color w:val="auto"/>
          <w:sz w:val="24"/>
          <w:highlight w:val="none"/>
        </w:rPr>
        <w:t>。</w:t>
      </w:r>
    </w:p>
    <w:p>
      <w:pPr>
        <w:pStyle w:val="5"/>
        <w:keepNext w:val="0"/>
        <w:keepLines w:val="0"/>
        <w:spacing w:before="0" w:after="0" w:line="360" w:lineRule="auto"/>
        <w:ind w:firstLine="482" w:firstLineChars="200"/>
        <w:rPr>
          <w:rFonts w:ascii="宋体" w:hAnsi="宋体"/>
          <w:color w:val="auto"/>
          <w:sz w:val="24"/>
          <w:szCs w:val="24"/>
          <w:highlight w:val="none"/>
        </w:rPr>
      </w:pPr>
      <w:r>
        <w:rPr>
          <w:rFonts w:ascii="宋体" w:hAnsi="宋体" w:cs="仿宋"/>
          <w:color w:val="auto"/>
          <w:sz w:val="24"/>
          <w:szCs w:val="24"/>
          <w:highlight w:val="none"/>
        </w:rPr>
        <w:t xml:space="preserve">3. </w:t>
      </w:r>
      <w:r>
        <w:rPr>
          <w:rFonts w:hint="eastAsia" w:ascii="宋体" w:hAnsi="宋体" w:cs="仿宋"/>
          <w:color w:val="auto"/>
          <w:sz w:val="24"/>
          <w:szCs w:val="24"/>
          <w:highlight w:val="none"/>
        </w:rPr>
        <w:t>合格供应商</w:t>
      </w:r>
    </w:p>
    <w:p>
      <w:pPr>
        <w:tabs>
          <w:tab w:val="left" w:pos="7665"/>
        </w:tabs>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合格供应商应具备以下条件：</w:t>
      </w:r>
    </w:p>
    <w:p>
      <w:pPr>
        <w:tabs>
          <w:tab w:val="left" w:pos="7665"/>
        </w:tabs>
        <w:spacing w:line="360" w:lineRule="auto"/>
        <w:ind w:firstLine="480" w:firstLineChars="200"/>
        <w:rPr>
          <w:rFonts w:ascii="宋体" w:hAnsi="宋体"/>
          <w:color w:val="auto"/>
          <w:spacing w:val="-4"/>
          <w:sz w:val="24"/>
          <w:highlight w:val="none"/>
        </w:rPr>
      </w:pPr>
      <w:r>
        <w:rPr>
          <w:rFonts w:ascii="宋体" w:hAnsi="宋体" w:cs="仿宋"/>
          <w:color w:val="auto"/>
          <w:sz w:val="24"/>
          <w:highlight w:val="none"/>
        </w:rPr>
        <w:t xml:space="preserve">3.1 </w:t>
      </w:r>
      <w:r>
        <w:rPr>
          <w:rFonts w:hint="eastAsia" w:ascii="宋体" w:hAnsi="宋体" w:cs="仿宋"/>
          <w:color w:val="auto"/>
          <w:sz w:val="24"/>
          <w:highlight w:val="none"/>
        </w:rPr>
        <w:t>具备法律法规和本采购文件规定的资格条件</w:t>
      </w:r>
      <w:r>
        <w:rPr>
          <w:rFonts w:hint="eastAsia" w:ascii="宋体" w:hAnsi="宋体" w:cs="仿宋"/>
          <w:color w:val="auto"/>
          <w:spacing w:val="-4"/>
          <w:sz w:val="24"/>
          <w:highlight w:val="none"/>
        </w:rPr>
        <w:t>；</w:t>
      </w:r>
    </w:p>
    <w:p>
      <w:pPr>
        <w:tabs>
          <w:tab w:val="left" w:pos="7665"/>
        </w:tabs>
        <w:spacing w:line="360" w:lineRule="auto"/>
        <w:ind w:firstLine="464" w:firstLineChars="200"/>
        <w:rPr>
          <w:rFonts w:ascii="宋体" w:hAnsi="宋体" w:cs="仿宋"/>
          <w:color w:val="auto"/>
          <w:spacing w:val="-4"/>
          <w:sz w:val="24"/>
          <w:highlight w:val="none"/>
        </w:rPr>
      </w:pPr>
      <w:r>
        <w:rPr>
          <w:rFonts w:ascii="宋体" w:hAnsi="宋体" w:cs="仿宋"/>
          <w:color w:val="auto"/>
          <w:spacing w:val="-4"/>
          <w:sz w:val="24"/>
          <w:highlight w:val="none"/>
        </w:rPr>
        <w:t xml:space="preserve">3.2 </w:t>
      </w:r>
      <w:r>
        <w:rPr>
          <w:rFonts w:hint="eastAsia" w:ascii="宋体" w:hAnsi="宋体" w:cs="仿宋"/>
          <w:color w:val="auto"/>
          <w:spacing w:val="-4"/>
          <w:sz w:val="24"/>
          <w:highlight w:val="none"/>
        </w:rPr>
        <w:t>不属于禁止参加本项目采购活动的供应商。</w:t>
      </w:r>
    </w:p>
    <w:p>
      <w:pPr>
        <w:pStyle w:val="5"/>
        <w:keepNext w:val="0"/>
        <w:keepLines w:val="0"/>
        <w:spacing w:before="0" w:after="0" w:line="360" w:lineRule="auto"/>
        <w:ind w:firstLine="480" w:firstLineChars="200"/>
        <w:rPr>
          <w:rFonts w:ascii="宋体" w:hAnsi="宋体" w:cs="仿宋"/>
          <w:b w:val="0"/>
          <w:bCs w:val="0"/>
          <w:color w:val="auto"/>
          <w:sz w:val="24"/>
          <w:szCs w:val="24"/>
          <w:highlight w:val="none"/>
        </w:rPr>
      </w:pPr>
      <w:r>
        <w:rPr>
          <w:rFonts w:hint="eastAsia" w:ascii="宋体" w:hAnsi="宋体" w:cs="仿宋"/>
          <w:b w:val="0"/>
          <w:bCs w:val="0"/>
          <w:color w:val="auto"/>
          <w:sz w:val="24"/>
          <w:szCs w:val="24"/>
          <w:highlight w:val="none"/>
        </w:rPr>
        <w:t>3.3 按照规定获取了磋商文件，属于实质性参加政府采购活动的供应商。</w:t>
      </w:r>
    </w:p>
    <w:p>
      <w:pPr>
        <w:pStyle w:val="5"/>
        <w:keepNext w:val="0"/>
        <w:keepLines w:val="0"/>
        <w:spacing w:before="0" w:after="0" w:line="360" w:lineRule="auto"/>
        <w:ind w:firstLine="482" w:firstLineChars="200"/>
        <w:rPr>
          <w:rFonts w:ascii="宋体" w:hAnsi="宋体"/>
          <w:color w:val="auto"/>
          <w:sz w:val="24"/>
          <w:szCs w:val="24"/>
          <w:highlight w:val="none"/>
        </w:rPr>
      </w:pPr>
      <w:r>
        <w:rPr>
          <w:rFonts w:ascii="宋体" w:hAnsi="宋体" w:cs="仿宋"/>
          <w:color w:val="auto"/>
          <w:sz w:val="24"/>
          <w:szCs w:val="24"/>
          <w:highlight w:val="none"/>
        </w:rPr>
        <w:t xml:space="preserve">4. </w:t>
      </w:r>
      <w:r>
        <w:rPr>
          <w:rFonts w:hint="eastAsia" w:ascii="宋体" w:hAnsi="宋体" w:cs="仿宋"/>
          <w:color w:val="auto"/>
          <w:sz w:val="24"/>
          <w:szCs w:val="24"/>
          <w:highlight w:val="none"/>
        </w:rPr>
        <w:t>磋商费用</w:t>
      </w:r>
    </w:p>
    <w:p>
      <w:pPr>
        <w:tabs>
          <w:tab w:val="left" w:pos="7665"/>
        </w:tabs>
        <w:spacing w:line="360" w:lineRule="auto"/>
        <w:ind w:firstLine="480"/>
        <w:rPr>
          <w:rFonts w:ascii="宋体" w:hAnsi="宋体"/>
          <w:color w:val="auto"/>
          <w:sz w:val="24"/>
          <w:highlight w:val="none"/>
        </w:rPr>
      </w:pPr>
      <w:r>
        <w:rPr>
          <w:rFonts w:hint="eastAsia" w:ascii="宋体" w:hAnsi="宋体" w:cs="仿宋"/>
          <w:color w:val="auto"/>
          <w:sz w:val="24"/>
          <w:highlight w:val="none"/>
        </w:rPr>
        <w:t>供应商应自行承担参加磋商活动的全部费用。</w:t>
      </w:r>
    </w:p>
    <w:p>
      <w:pPr>
        <w:pStyle w:val="68"/>
        <w:spacing w:line="360" w:lineRule="auto"/>
        <w:ind w:left="1" w:firstLine="482" w:firstLineChars="200"/>
        <w:rPr>
          <w:rFonts w:hAnsi="宋体"/>
          <w:b/>
          <w:bCs/>
          <w:color w:val="auto"/>
          <w:sz w:val="24"/>
          <w:szCs w:val="24"/>
          <w:highlight w:val="none"/>
        </w:rPr>
      </w:pPr>
      <w:r>
        <w:rPr>
          <w:rFonts w:hAnsi="宋体" w:cs="仿宋"/>
          <w:b/>
          <w:bCs/>
          <w:color w:val="auto"/>
          <w:sz w:val="24"/>
          <w:szCs w:val="24"/>
          <w:highlight w:val="none"/>
        </w:rPr>
        <w:t>5.</w:t>
      </w:r>
      <w:r>
        <w:rPr>
          <w:rFonts w:hint="eastAsia" w:hAnsi="宋体" w:cs="仿宋"/>
          <w:b/>
          <w:bCs/>
          <w:color w:val="auto"/>
          <w:sz w:val="24"/>
          <w:szCs w:val="24"/>
          <w:highlight w:val="none"/>
        </w:rPr>
        <w:t>充分、公平竞争保障措施（实质性要求）</w:t>
      </w:r>
    </w:p>
    <w:p>
      <w:pPr>
        <w:pStyle w:val="68"/>
        <w:spacing w:line="360" w:lineRule="auto"/>
        <w:ind w:left="1" w:firstLine="480" w:firstLineChars="200"/>
        <w:rPr>
          <w:rFonts w:hAnsi="宋体"/>
          <w:color w:val="auto"/>
          <w:sz w:val="24"/>
          <w:szCs w:val="24"/>
          <w:highlight w:val="none"/>
        </w:rPr>
      </w:pPr>
      <w:r>
        <w:rPr>
          <w:rFonts w:hAnsi="宋体" w:cs="仿宋"/>
          <w:color w:val="auto"/>
          <w:sz w:val="24"/>
          <w:szCs w:val="24"/>
          <w:highlight w:val="none"/>
        </w:rPr>
        <w:t>5.1</w:t>
      </w:r>
      <w:r>
        <w:rPr>
          <w:rFonts w:hint="eastAsia" w:hAnsi="宋体" w:cs="仿宋"/>
          <w:color w:val="auto"/>
          <w:sz w:val="24"/>
          <w:szCs w:val="24"/>
          <w:highlight w:val="none"/>
        </w:rPr>
        <w:t>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68"/>
        <w:spacing w:line="360" w:lineRule="auto"/>
        <w:ind w:left="1" w:firstLine="480" w:firstLineChars="200"/>
        <w:rPr>
          <w:rFonts w:hAnsi="宋体"/>
          <w:color w:val="auto"/>
          <w:sz w:val="24"/>
          <w:szCs w:val="24"/>
          <w:highlight w:val="none"/>
        </w:rPr>
      </w:pPr>
      <w:r>
        <w:rPr>
          <w:rFonts w:hAnsi="宋体" w:cs="仿宋"/>
          <w:color w:val="auto"/>
          <w:sz w:val="24"/>
          <w:szCs w:val="24"/>
          <w:highlight w:val="none"/>
        </w:rPr>
        <w:t>5.2</w:t>
      </w:r>
      <w:r>
        <w:rPr>
          <w:rFonts w:hint="eastAsia" w:hAnsi="宋体" w:cs="仿宋"/>
          <w:color w:val="auto"/>
          <w:sz w:val="24"/>
          <w:szCs w:val="24"/>
          <w:highlight w:val="none"/>
        </w:rPr>
        <w:t>利害关系授权代表处理。两家以上的供应商不得在同一合同项下的采购项目中，委托同一个自然人、同一家庭的人员、同一单位的人员作为其授权代表，否则，其响应文件作为无效处理。</w:t>
      </w:r>
    </w:p>
    <w:p>
      <w:pPr>
        <w:pStyle w:val="68"/>
        <w:spacing w:line="360" w:lineRule="auto"/>
        <w:ind w:left="1" w:firstLine="480" w:firstLineChars="200"/>
        <w:rPr>
          <w:rFonts w:hAnsi="宋体"/>
          <w:color w:val="auto"/>
          <w:sz w:val="24"/>
          <w:szCs w:val="24"/>
          <w:highlight w:val="none"/>
        </w:rPr>
      </w:pPr>
      <w:r>
        <w:rPr>
          <w:rFonts w:hAnsi="宋体" w:cs="仿宋"/>
          <w:color w:val="auto"/>
          <w:sz w:val="24"/>
          <w:szCs w:val="24"/>
          <w:highlight w:val="none"/>
        </w:rPr>
        <w:t>5.3</w:t>
      </w:r>
      <w:r>
        <w:rPr>
          <w:rFonts w:hint="eastAsia" w:hAnsi="宋体" w:cs="仿宋"/>
          <w:color w:val="auto"/>
          <w:sz w:val="24"/>
          <w:szCs w:val="24"/>
          <w:highlight w:val="none"/>
        </w:rPr>
        <w:t>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pStyle w:val="68"/>
        <w:spacing w:line="360" w:lineRule="auto"/>
        <w:ind w:left="1" w:firstLine="480" w:firstLineChars="200"/>
        <w:rPr>
          <w:rFonts w:hAnsi="宋体"/>
          <w:color w:val="auto"/>
          <w:sz w:val="24"/>
          <w:szCs w:val="24"/>
          <w:highlight w:val="none"/>
        </w:rPr>
      </w:pPr>
      <w:r>
        <w:rPr>
          <w:rFonts w:hAnsi="宋体" w:cs="仿宋"/>
          <w:color w:val="auto"/>
          <w:sz w:val="24"/>
          <w:szCs w:val="24"/>
          <w:highlight w:val="none"/>
        </w:rPr>
        <w:t>5.4</w:t>
      </w:r>
      <w:r>
        <w:rPr>
          <w:rFonts w:hint="eastAsia" w:hAnsi="宋体" w:cs="仿宋"/>
          <w:color w:val="auto"/>
          <w:sz w:val="24"/>
          <w:szCs w:val="24"/>
          <w:highlight w:val="none"/>
        </w:rPr>
        <w:t>供应商实际控制人或者中高级管理人员，同时是采购代理机构工作人员，不得参与本项目政府采购活动。</w:t>
      </w:r>
    </w:p>
    <w:p>
      <w:pPr>
        <w:spacing w:line="360" w:lineRule="auto"/>
        <w:ind w:firstLine="480" w:firstLineChars="200"/>
        <w:rPr>
          <w:rFonts w:ascii="宋体" w:hAnsi="宋体"/>
          <w:color w:val="auto"/>
          <w:sz w:val="24"/>
          <w:highlight w:val="none"/>
        </w:rPr>
      </w:pPr>
      <w:r>
        <w:rPr>
          <w:rFonts w:ascii="宋体" w:hAnsi="宋体" w:cs="仿宋"/>
          <w:color w:val="auto"/>
          <w:sz w:val="24"/>
          <w:highlight w:val="none"/>
        </w:rPr>
        <w:t>5.5</w:t>
      </w:r>
      <w:r>
        <w:rPr>
          <w:rFonts w:hint="eastAsia" w:ascii="宋体" w:hAnsi="宋体" w:cs="仿宋"/>
          <w:color w:val="auto"/>
          <w:sz w:val="24"/>
          <w:highlight w:val="none"/>
        </w:rPr>
        <w:t>同一母公司的两家以上的子公司只能组成联合体参加本项目同一合同项下的采购活动，不得以不同供应商身份同时参加本项目同一合同项下的采购活动。</w:t>
      </w:r>
    </w:p>
    <w:p>
      <w:pPr>
        <w:spacing w:line="360" w:lineRule="auto"/>
        <w:ind w:firstLine="480" w:firstLineChars="200"/>
        <w:rPr>
          <w:rFonts w:ascii="宋体" w:hAnsi="宋体"/>
          <w:color w:val="auto"/>
          <w:sz w:val="24"/>
          <w:highlight w:val="none"/>
        </w:rPr>
      </w:pPr>
      <w:r>
        <w:rPr>
          <w:rFonts w:ascii="宋体" w:hAnsi="宋体" w:cs="仿宋"/>
          <w:color w:val="auto"/>
          <w:sz w:val="24"/>
          <w:highlight w:val="none"/>
        </w:rPr>
        <w:t>5.6</w:t>
      </w:r>
      <w:r>
        <w:rPr>
          <w:rFonts w:hint="eastAsia" w:ascii="宋体" w:hAnsi="宋体" w:cs="仿宋"/>
          <w:color w:val="auto"/>
          <w:sz w:val="24"/>
          <w:highlight w:val="none"/>
        </w:rPr>
        <w:t>供应商与采购代理机构存在关联关系，或者是采购代理机构的母公司或子公司，不得参加本项目政府采购活动。</w:t>
      </w:r>
    </w:p>
    <w:p>
      <w:pPr>
        <w:pStyle w:val="68"/>
        <w:spacing w:line="360" w:lineRule="auto"/>
        <w:ind w:left="1" w:firstLine="480" w:firstLineChars="200"/>
        <w:rPr>
          <w:rFonts w:hAnsi="宋体"/>
          <w:color w:val="auto"/>
          <w:sz w:val="24"/>
          <w:szCs w:val="24"/>
          <w:highlight w:val="none"/>
        </w:rPr>
      </w:pPr>
      <w:r>
        <w:rPr>
          <w:rFonts w:hAnsi="宋体" w:cs="仿宋"/>
          <w:color w:val="auto"/>
          <w:sz w:val="24"/>
          <w:szCs w:val="24"/>
          <w:highlight w:val="none"/>
        </w:rPr>
        <w:t>5.7</w:t>
      </w:r>
      <w:r>
        <w:rPr>
          <w:rFonts w:hint="eastAsia" w:hAnsi="宋体" w:cs="仿宋"/>
          <w:color w:val="auto"/>
          <w:sz w:val="24"/>
          <w:szCs w:val="24"/>
          <w:highlight w:val="none"/>
        </w:rPr>
        <w:t>回避。政府采购活动中，采购人员及相关人员与供应商有下列利害关系之一的，应当回避：</w:t>
      </w:r>
    </w:p>
    <w:p>
      <w:pPr>
        <w:pStyle w:val="68"/>
        <w:spacing w:line="360" w:lineRule="auto"/>
        <w:ind w:left="1" w:firstLine="480" w:firstLineChars="200"/>
        <w:rPr>
          <w:rFonts w:hAnsi="宋体"/>
          <w:color w:val="auto"/>
          <w:sz w:val="24"/>
          <w:szCs w:val="24"/>
          <w:highlight w:val="none"/>
        </w:rPr>
      </w:pPr>
      <w:r>
        <w:rPr>
          <w:rFonts w:hint="eastAsia" w:hAnsi="宋体" w:cs="仿宋"/>
          <w:color w:val="auto"/>
          <w:sz w:val="24"/>
          <w:szCs w:val="24"/>
          <w:highlight w:val="none"/>
        </w:rPr>
        <w:t>（</w:t>
      </w:r>
      <w:r>
        <w:rPr>
          <w:rFonts w:hAnsi="宋体" w:cs="仿宋"/>
          <w:color w:val="auto"/>
          <w:sz w:val="24"/>
          <w:szCs w:val="24"/>
          <w:highlight w:val="none"/>
        </w:rPr>
        <w:t>1</w:t>
      </w:r>
      <w:r>
        <w:rPr>
          <w:rFonts w:hint="eastAsia" w:hAnsi="宋体" w:cs="仿宋"/>
          <w:color w:val="auto"/>
          <w:sz w:val="24"/>
          <w:szCs w:val="24"/>
          <w:highlight w:val="none"/>
        </w:rPr>
        <w:t>）参加采购活动前</w:t>
      </w:r>
      <w:r>
        <w:rPr>
          <w:rFonts w:hAnsi="宋体" w:cs="仿宋"/>
          <w:color w:val="auto"/>
          <w:sz w:val="24"/>
          <w:szCs w:val="24"/>
          <w:highlight w:val="none"/>
        </w:rPr>
        <w:t>3</w:t>
      </w:r>
      <w:r>
        <w:rPr>
          <w:rFonts w:hint="eastAsia" w:hAnsi="宋体" w:cs="仿宋"/>
          <w:color w:val="auto"/>
          <w:sz w:val="24"/>
          <w:szCs w:val="24"/>
          <w:highlight w:val="none"/>
        </w:rPr>
        <w:t>年内与供应商存在劳动关系；</w:t>
      </w:r>
    </w:p>
    <w:p>
      <w:pPr>
        <w:pStyle w:val="68"/>
        <w:spacing w:line="360" w:lineRule="auto"/>
        <w:ind w:left="1" w:firstLine="480" w:firstLineChars="200"/>
        <w:rPr>
          <w:rFonts w:hAnsi="宋体"/>
          <w:color w:val="auto"/>
          <w:sz w:val="24"/>
          <w:szCs w:val="24"/>
          <w:highlight w:val="none"/>
        </w:rPr>
      </w:pPr>
      <w:r>
        <w:rPr>
          <w:rFonts w:hint="eastAsia" w:hAnsi="宋体" w:cs="仿宋"/>
          <w:color w:val="auto"/>
          <w:sz w:val="24"/>
          <w:szCs w:val="24"/>
          <w:highlight w:val="none"/>
        </w:rPr>
        <w:t>（</w:t>
      </w:r>
      <w:r>
        <w:rPr>
          <w:rFonts w:hAnsi="宋体" w:cs="仿宋"/>
          <w:color w:val="auto"/>
          <w:sz w:val="24"/>
          <w:szCs w:val="24"/>
          <w:highlight w:val="none"/>
        </w:rPr>
        <w:t>2</w:t>
      </w:r>
      <w:r>
        <w:rPr>
          <w:rFonts w:hint="eastAsia" w:hAnsi="宋体" w:cs="仿宋"/>
          <w:color w:val="auto"/>
          <w:sz w:val="24"/>
          <w:szCs w:val="24"/>
          <w:highlight w:val="none"/>
        </w:rPr>
        <w:t>）参加采购活动前</w:t>
      </w:r>
      <w:r>
        <w:rPr>
          <w:rFonts w:hAnsi="宋体" w:cs="仿宋"/>
          <w:color w:val="auto"/>
          <w:sz w:val="24"/>
          <w:szCs w:val="24"/>
          <w:highlight w:val="none"/>
        </w:rPr>
        <w:t>3</w:t>
      </w:r>
      <w:r>
        <w:rPr>
          <w:rFonts w:hint="eastAsia" w:hAnsi="宋体" w:cs="仿宋"/>
          <w:color w:val="auto"/>
          <w:sz w:val="24"/>
          <w:szCs w:val="24"/>
          <w:highlight w:val="none"/>
        </w:rPr>
        <w:t>年内担任供应商的董事、监事；</w:t>
      </w:r>
    </w:p>
    <w:p>
      <w:pPr>
        <w:pStyle w:val="68"/>
        <w:spacing w:line="360" w:lineRule="auto"/>
        <w:ind w:left="1" w:firstLine="480" w:firstLineChars="200"/>
        <w:rPr>
          <w:rFonts w:hAnsi="宋体"/>
          <w:color w:val="auto"/>
          <w:sz w:val="24"/>
          <w:szCs w:val="24"/>
          <w:highlight w:val="none"/>
        </w:rPr>
      </w:pPr>
      <w:r>
        <w:rPr>
          <w:rFonts w:hint="eastAsia" w:hAnsi="宋体" w:cs="仿宋"/>
          <w:color w:val="auto"/>
          <w:sz w:val="24"/>
          <w:szCs w:val="24"/>
          <w:highlight w:val="none"/>
        </w:rPr>
        <w:t>（</w:t>
      </w:r>
      <w:r>
        <w:rPr>
          <w:rFonts w:hAnsi="宋体" w:cs="仿宋"/>
          <w:color w:val="auto"/>
          <w:sz w:val="24"/>
          <w:szCs w:val="24"/>
          <w:highlight w:val="none"/>
        </w:rPr>
        <w:t>3</w:t>
      </w:r>
      <w:r>
        <w:rPr>
          <w:rFonts w:hint="eastAsia" w:hAnsi="宋体" w:cs="仿宋"/>
          <w:color w:val="auto"/>
          <w:sz w:val="24"/>
          <w:szCs w:val="24"/>
          <w:highlight w:val="none"/>
        </w:rPr>
        <w:t>）参加采购活动前</w:t>
      </w:r>
      <w:r>
        <w:rPr>
          <w:rFonts w:hAnsi="宋体" w:cs="仿宋"/>
          <w:color w:val="auto"/>
          <w:sz w:val="24"/>
          <w:szCs w:val="24"/>
          <w:highlight w:val="none"/>
        </w:rPr>
        <w:t>3</w:t>
      </w:r>
      <w:r>
        <w:rPr>
          <w:rFonts w:hint="eastAsia" w:hAnsi="宋体" w:cs="仿宋"/>
          <w:color w:val="auto"/>
          <w:sz w:val="24"/>
          <w:szCs w:val="24"/>
          <w:highlight w:val="none"/>
        </w:rPr>
        <w:t>年内是供应商的控股股东或者实际控制人；</w:t>
      </w:r>
    </w:p>
    <w:p>
      <w:pPr>
        <w:pStyle w:val="68"/>
        <w:spacing w:line="360" w:lineRule="auto"/>
        <w:ind w:left="1" w:firstLine="480" w:firstLineChars="200"/>
        <w:rPr>
          <w:rFonts w:hAnsi="宋体"/>
          <w:color w:val="auto"/>
          <w:sz w:val="24"/>
          <w:szCs w:val="24"/>
          <w:highlight w:val="none"/>
        </w:rPr>
      </w:pPr>
      <w:r>
        <w:rPr>
          <w:rFonts w:hint="eastAsia" w:hAnsi="宋体" w:cs="仿宋"/>
          <w:color w:val="auto"/>
          <w:sz w:val="24"/>
          <w:szCs w:val="24"/>
          <w:highlight w:val="none"/>
        </w:rPr>
        <w:t>（</w:t>
      </w:r>
      <w:r>
        <w:rPr>
          <w:rFonts w:hAnsi="宋体" w:cs="仿宋"/>
          <w:color w:val="auto"/>
          <w:sz w:val="24"/>
          <w:szCs w:val="24"/>
          <w:highlight w:val="none"/>
        </w:rPr>
        <w:t>4</w:t>
      </w:r>
      <w:r>
        <w:rPr>
          <w:rFonts w:hint="eastAsia" w:hAnsi="宋体" w:cs="仿宋"/>
          <w:color w:val="auto"/>
          <w:sz w:val="24"/>
          <w:szCs w:val="24"/>
          <w:highlight w:val="none"/>
        </w:rPr>
        <w:t>）与供应商的法定代表人或者负责人有夫妻、直系血亲、三代以内旁系血亲或者近姻亲关系；</w:t>
      </w:r>
    </w:p>
    <w:p>
      <w:pPr>
        <w:pStyle w:val="68"/>
        <w:spacing w:line="360" w:lineRule="auto"/>
        <w:ind w:left="1" w:firstLine="480" w:firstLineChars="200"/>
        <w:rPr>
          <w:rFonts w:hAnsi="宋体"/>
          <w:color w:val="auto"/>
          <w:sz w:val="24"/>
          <w:szCs w:val="24"/>
          <w:highlight w:val="none"/>
        </w:rPr>
      </w:pPr>
      <w:r>
        <w:rPr>
          <w:rFonts w:hint="eastAsia" w:hAnsi="宋体" w:cs="仿宋"/>
          <w:color w:val="auto"/>
          <w:sz w:val="24"/>
          <w:szCs w:val="24"/>
          <w:highlight w:val="none"/>
        </w:rPr>
        <w:t>（</w:t>
      </w:r>
      <w:r>
        <w:rPr>
          <w:rFonts w:hAnsi="宋体" w:cs="仿宋"/>
          <w:color w:val="auto"/>
          <w:sz w:val="24"/>
          <w:szCs w:val="24"/>
          <w:highlight w:val="none"/>
        </w:rPr>
        <w:t>5</w:t>
      </w:r>
      <w:r>
        <w:rPr>
          <w:rFonts w:hint="eastAsia" w:hAnsi="宋体" w:cs="仿宋"/>
          <w:color w:val="auto"/>
          <w:sz w:val="24"/>
          <w:szCs w:val="24"/>
          <w:highlight w:val="none"/>
        </w:rPr>
        <w:t>）与供应商有其他可能影响政府采购活动公平、公正进行的关系。</w:t>
      </w:r>
    </w:p>
    <w:p>
      <w:pPr>
        <w:pStyle w:val="68"/>
        <w:spacing w:line="360" w:lineRule="auto"/>
        <w:ind w:left="1" w:firstLine="480" w:firstLineChars="200"/>
        <w:rPr>
          <w:rFonts w:hAnsi="宋体"/>
          <w:color w:val="auto"/>
          <w:sz w:val="24"/>
          <w:szCs w:val="24"/>
          <w:highlight w:val="none"/>
        </w:rPr>
      </w:pPr>
      <w:r>
        <w:rPr>
          <w:rFonts w:hint="eastAsia" w:hAnsi="宋体" w:cs="仿宋"/>
          <w:color w:val="auto"/>
          <w:sz w:val="24"/>
          <w:szCs w:val="24"/>
          <w:highlight w:val="none"/>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68"/>
        <w:spacing w:line="360" w:lineRule="auto"/>
        <w:ind w:left="1" w:firstLine="480" w:firstLineChars="200"/>
        <w:rPr>
          <w:rFonts w:hAnsi="宋体"/>
          <w:b/>
          <w:bCs/>
          <w:color w:val="auto"/>
          <w:sz w:val="24"/>
          <w:szCs w:val="24"/>
          <w:highlight w:val="none"/>
        </w:rPr>
      </w:pPr>
      <w:r>
        <w:rPr>
          <w:rFonts w:hint="eastAsia" w:hAnsi="宋体" w:cs="仿宋"/>
          <w:color w:val="auto"/>
          <w:sz w:val="24"/>
          <w:szCs w:val="24"/>
          <w:highlight w:val="none"/>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68"/>
        <w:spacing w:line="360" w:lineRule="auto"/>
        <w:ind w:left="1" w:firstLine="482" w:firstLineChars="200"/>
        <w:rPr>
          <w:rFonts w:hAnsi="宋体"/>
          <w:color w:val="auto"/>
          <w:sz w:val="24"/>
          <w:highlight w:val="none"/>
        </w:rPr>
      </w:pPr>
      <w:r>
        <w:rPr>
          <w:rFonts w:hAnsi="宋体" w:cs="仿宋"/>
          <w:b/>
          <w:bCs/>
          <w:color w:val="auto"/>
          <w:sz w:val="24"/>
          <w:szCs w:val="24"/>
          <w:highlight w:val="none"/>
        </w:rPr>
        <w:t>6.</w:t>
      </w:r>
      <w:r>
        <w:rPr>
          <w:rFonts w:hint="eastAsia" w:hAnsi="宋体" w:cs="仿宋"/>
          <w:b/>
          <w:bCs/>
          <w:color w:val="auto"/>
          <w:sz w:val="24"/>
          <w:szCs w:val="24"/>
          <w:highlight w:val="none"/>
        </w:rPr>
        <w:t>联合体竞争性磋商（本项目不接受联合体）</w:t>
      </w:r>
    </w:p>
    <w:p>
      <w:pPr>
        <w:pStyle w:val="68"/>
        <w:spacing w:line="360" w:lineRule="auto"/>
        <w:ind w:left="1" w:firstLine="482" w:firstLineChars="200"/>
        <w:rPr>
          <w:rFonts w:hAnsi="宋体" w:cs="仿宋"/>
          <w:color w:val="auto"/>
          <w:sz w:val="24"/>
          <w:szCs w:val="24"/>
          <w:highlight w:val="none"/>
        </w:rPr>
      </w:pPr>
      <w:r>
        <w:rPr>
          <w:rFonts w:hAnsi="宋体" w:cs="仿宋"/>
          <w:b/>
          <w:bCs/>
          <w:color w:val="auto"/>
          <w:sz w:val="24"/>
          <w:szCs w:val="24"/>
          <w:highlight w:val="none"/>
        </w:rPr>
        <w:t>7.</w:t>
      </w:r>
      <w:r>
        <w:rPr>
          <w:rFonts w:hint="eastAsia" w:hAnsi="宋体" w:cs="仿宋"/>
          <w:b/>
          <w:bCs/>
          <w:color w:val="auto"/>
          <w:sz w:val="24"/>
          <w:szCs w:val="24"/>
          <w:highlight w:val="none"/>
        </w:rPr>
        <w:t xml:space="preserve"> 磋商保证金</w:t>
      </w:r>
      <w:r>
        <w:rPr>
          <w:rFonts w:hint="eastAsia" w:hAnsi="宋体"/>
          <w:b/>
          <w:bCs/>
          <w:color w:val="auto"/>
          <w:sz w:val="24"/>
          <w:szCs w:val="24"/>
          <w:highlight w:val="none"/>
        </w:rPr>
        <w:t>（本项目不涉及）</w:t>
      </w:r>
    </w:p>
    <w:p>
      <w:pPr>
        <w:spacing w:line="360" w:lineRule="auto"/>
        <w:ind w:firstLine="472" w:firstLineChars="196"/>
        <w:rPr>
          <w:rFonts w:ascii="宋体" w:hAnsi="宋体"/>
          <w:b/>
          <w:bCs/>
          <w:color w:val="auto"/>
          <w:sz w:val="24"/>
          <w:highlight w:val="none"/>
        </w:rPr>
      </w:pPr>
      <w:r>
        <w:rPr>
          <w:rFonts w:hint="eastAsia" w:ascii="宋体" w:hAnsi="宋体" w:cs="仿宋"/>
          <w:b/>
          <w:bCs/>
          <w:color w:val="auto"/>
          <w:sz w:val="24"/>
          <w:highlight w:val="none"/>
        </w:rPr>
        <w:t>8.响应文件有效期（实质性要求）</w:t>
      </w:r>
    </w:p>
    <w:p>
      <w:pPr>
        <w:spacing w:line="360" w:lineRule="auto"/>
        <w:ind w:firstLine="470" w:firstLineChars="196"/>
        <w:rPr>
          <w:rFonts w:ascii="宋体" w:hAnsi="宋体" w:cs="仿宋"/>
          <w:color w:val="auto"/>
          <w:sz w:val="24"/>
          <w:highlight w:val="none"/>
        </w:rPr>
      </w:pPr>
      <w:r>
        <w:rPr>
          <w:rFonts w:hint="eastAsia" w:ascii="宋体" w:hAnsi="宋体" w:cs="仿宋"/>
          <w:color w:val="auto"/>
          <w:sz w:val="24"/>
          <w:highlight w:val="none"/>
        </w:rPr>
        <w:t>本项目响应文件有效期为递交磋商响应文件截止之日起</w:t>
      </w:r>
      <w:r>
        <w:rPr>
          <w:rFonts w:ascii="宋体" w:hAnsi="宋体" w:cs="仿宋"/>
          <w:color w:val="auto"/>
          <w:sz w:val="24"/>
          <w:highlight w:val="none"/>
          <w:u w:val="single"/>
        </w:rPr>
        <w:t>90</w:t>
      </w:r>
      <w:r>
        <w:rPr>
          <w:rFonts w:hint="eastAsia" w:ascii="宋体" w:hAnsi="宋体" w:cs="仿宋"/>
          <w:color w:val="auto"/>
          <w:sz w:val="24"/>
          <w:highlight w:val="none"/>
        </w:rPr>
        <w:t>天。供应商响应文件中必须载明响应文件有效期，响应文件中载明的响应文件有效期可以长于磋商文件规定的期限，但不得短于磋商文件规定的期限。否则，其响应文件将作为无效处理。</w:t>
      </w:r>
    </w:p>
    <w:p>
      <w:pPr>
        <w:pStyle w:val="18"/>
        <w:spacing w:line="400" w:lineRule="exact"/>
        <w:ind w:firstLine="482" w:firstLineChars="200"/>
        <w:rPr>
          <w:rFonts w:ascii="宋体" w:hAnsi="宋体"/>
          <w:b/>
          <w:bCs/>
          <w:color w:val="auto"/>
          <w:sz w:val="24"/>
          <w:szCs w:val="24"/>
          <w:highlight w:val="none"/>
        </w:rPr>
      </w:pPr>
      <w:r>
        <w:rPr>
          <w:rFonts w:hint="eastAsia" w:ascii="宋体" w:hAnsi="宋体"/>
          <w:b/>
          <w:color w:val="auto"/>
          <w:sz w:val="24"/>
          <w:highlight w:val="none"/>
        </w:rPr>
        <w:t>9.</w:t>
      </w:r>
      <w:r>
        <w:rPr>
          <w:rFonts w:hint="eastAsia" w:ascii="宋体" w:hAnsi="宋体"/>
          <w:b/>
          <w:bCs/>
          <w:color w:val="auto"/>
          <w:sz w:val="24"/>
          <w:szCs w:val="24"/>
          <w:highlight w:val="none"/>
        </w:rPr>
        <w:t>知识产权（实质性要求）</w:t>
      </w:r>
    </w:p>
    <w:p>
      <w:pPr>
        <w:spacing w:line="360" w:lineRule="auto"/>
        <w:ind w:firstLine="470" w:firstLineChars="196"/>
        <w:rPr>
          <w:rFonts w:ascii="宋体" w:hAnsi="宋体" w:cs="仿宋"/>
          <w:color w:val="auto"/>
          <w:sz w:val="24"/>
          <w:highlight w:val="none"/>
        </w:rPr>
      </w:pPr>
      <w:r>
        <w:rPr>
          <w:rFonts w:hint="eastAsia" w:ascii="宋体" w:hAnsi="宋体" w:cs="仿宋"/>
          <w:color w:val="auto"/>
          <w:sz w:val="24"/>
          <w:highlight w:val="none"/>
        </w:rPr>
        <w:t>9</w:t>
      </w:r>
      <w:r>
        <w:rPr>
          <w:rFonts w:ascii="宋体" w:hAnsi="宋体" w:cs="仿宋"/>
          <w:color w:val="auto"/>
          <w:sz w:val="24"/>
          <w:highlight w:val="none"/>
        </w:rPr>
        <w:t>.1</w:t>
      </w:r>
      <w:r>
        <w:rPr>
          <w:rFonts w:hint="eastAsia" w:ascii="宋体" w:hAnsi="宋体" w:cs="仿宋"/>
          <w:color w:val="auto"/>
          <w:sz w:val="24"/>
          <w:highlight w:val="none"/>
        </w:rPr>
        <w:t xml:space="preserve"> 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spacing w:line="360" w:lineRule="auto"/>
        <w:ind w:firstLine="470" w:firstLineChars="196"/>
        <w:rPr>
          <w:rFonts w:ascii="宋体" w:hAnsi="宋体" w:cs="仿宋"/>
          <w:color w:val="auto"/>
          <w:sz w:val="24"/>
          <w:highlight w:val="none"/>
        </w:rPr>
      </w:pPr>
      <w:r>
        <w:rPr>
          <w:rFonts w:hint="eastAsia" w:ascii="宋体" w:hAnsi="宋体" w:cs="仿宋"/>
          <w:color w:val="auto"/>
          <w:sz w:val="24"/>
          <w:highlight w:val="none"/>
        </w:rPr>
        <w:t>9</w:t>
      </w:r>
      <w:r>
        <w:rPr>
          <w:rFonts w:ascii="宋体" w:hAnsi="宋体" w:cs="仿宋"/>
          <w:color w:val="auto"/>
          <w:sz w:val="24"/>
          <w:highlight w:val="none"/>
        </w:rPr>
        <w:t>.2</w:t>
      </w:r>
      <w:r>
        <w:rPr>
          <w:rFonts w:hint="eastAsia" w:ascii="宋体" w:hAnsi="宋体" w:cs="仿宋"/>
          <w:color w:val="auto"/>
          <w:sz w:val="24"/>
          <w:highlight w:val="none"/>
        </w:rPr>
        <w:t xml:space="preserve"> 除非磋商文件特别规定，采购人享有本项目实施过程中产生的知识成果及知识产权。</w:t>
      </w:r>
    </w:p>
    <w:p>
      <w:pPr>
        <w:spacing w:line="360" w:lineRule="auto"/>
        <w:ind w:firstLine="470" w:firstLineChars="196"/>
        <w:rPr>
          <w:rFonts w:ascii="宋体" w:hAnsi="宋体" w:cs="仿宋"/>
          <w:color w:val="auto"/>
          <w:sz w:val="24"/>
          <w:highlight w:val="none"/>
        </w:rPr>
      </w:pPr>
      <w:r>
        <w:rPr>
          <w:rFonts w:hint="eastAsia" w:ascii="宋体" w:hAnsi="宋体" w:cs="仿宋"/>
          <w:color w:val="auto"/>
          <w:sz w:val="24"/>
          <w:highlight w:val="none"/>
        </w:rPr>
        <w:t>9</w:t>
      </w:r>
      <w:r>
        <w:rPr>
          <w:rFonts w:ascii="宋体" w:hAnsi="宋体" w:cs="仿宋"/>
          <w:color w:val="auto"/>
          <w:sz w:val="24"/>
          <w:highlight w:val="none"/>
        </w:rPr>
        <w:t>.3</w:t>
      </w:r>
      <w:r>
        <w:rPr>
          <w:rFonts w:hint="eastAsia" w:ascii="宋体" w:hAnsi="宋体" w:cs="仿宋"/>
          <w:color w:val="auto"/>
          <w:sz w:val="24"/>
          <w:highlight w:val="none"/>
        </w:rPr>
        <w:t>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spacing w:line="360" w:lineRule="auto"/>
        <w:ind w:firstLine="470" w:firstLineChars="196"/>
        <w:rPr>
          <w:rFonts w:ascii="宋体" w:hAnsi="宋体"/>
          <w:color w:val="auto"/>
          <w:sz w:val="24"/>
          <w:highlight w:val="none"/>
        </w:rPr>
      </w:pPr>
      <w:r>
        <w:rPr>
          <w:rFonts w:hint="eastAsia" w:ascii="宋体" w:hAnsi="宋体" w:cs="仿宋"/>
          <w:color w:val="auto"/>
          <w:sz w:val="24"/>
          <w:highlight w:val="none"/>
        </w:rPr>
        <w:t>9</w:t>
      </w:r>
      <w:r>
        <w:rPr>
          <w:rFonts w:ascii="宋体" w:hAnsi="宋体" w:cs="仿宋"/>
          <w:color w:val="auto"/>
          <w:sz w:val="24"/>
          <w:highlight w:val="none"/>
        </w:rPr>
        <w:t>.4</w:t>
      </w:r>
      <w:r>
        <w:rPr>
          <w:rFonts w:hint="eastAsia" w:ascii="宋体" w:hAnsi="宋体" w:cs="仿宋"/>
          <w:color w:val="auto"/>
          <w:sz w:val="24"/>
          <w:highlight w:val="none"/>
        </w:rPr>
        <w:t xml:space="preserve"> 如采用供应商所不拥有的知识产权，则在报价中必须包括合法获取该知识产权的相关费用。</w:t>
      </w:r>
      <w:bookmarkEnd w:id="43"/>
    </w:p>
    <w:p>
      <w:pPr>
        <w:pStyle w:val="4"/>
        <w:spacing w:line="400" w:lineRule="exact"/>
        <w:jc w:val="center"/>
        <w:rPr>
          <w:rFonts w:ascii="宋体" w:hAnsi="宋体" w:eastAsia="宋体"/>
          <w:bCs w:val="0"/>
          <w:color w:val="auto"/>
          <w:highlight w:val="none"/>
        </w:rPr>
      </w:pPr>
      <w:r>
        <w:rPr>
          <w:rFonts w:hint="eastAsia" w:ascii="宋体" w:hAnsi="宋体" w:eastAsia="宋体"/>
          <w:bCs w:val="0"/>
          <w:color w:val="auto"/>
          <w:highlight w:val="none"/>
        </w:rPr>
        <w:t>三、磋商文件</w:t>
      </w:r>
    </w:p>
    <w:p>
      <w:pPr>
        <w:pStyle w:val="5"/>
        <w:keepNext w:val="0"/>
        <w:keepLines w:val="0"/>
        <w:spacing w:before="0" w:after="0" w:line="360" w:lineRule="auto"/>
        <w:ind w:firstLine="482" w:firstLineChars="200"/>
        <w:rPr>
          <w:rFonts w:ascii="宋体" w:hAnsi="宋体"/>
          <w:color w:val="auto"/>
          <w:sz w:val="24"/>
          <w:szCs w:val="24"/>
          <w:highlight w:val="none"/>
        </w:rPr>
      </w:pPr>
      <w:bookmarkStart w:id="44" w:name="PO_默认文件内容_25"/>
      <w:r>
        <w:rPr>
          <w:rFonts w:ascii="宋体" w:hAnsi="宋体" w:cs="仿宋"/>
          <w:color w:val="auto"/>
          <w:sz w:val="24"/>
          <w:szCs w:val="24"/>
          <w:highlight w:val="none"/>
        </w:rPr>
        <w:t>10</w:t>
      </w:r>
      <w:r>
        <w:rPr>
          <w:rFonts w:hint="eastAsia" w:ascii="宋体" w:hAnsi="宋体" w:cs="仿宋"/>
          <w:color w:val="auto"/>
          <w:sz w:val="24"/>
          <w:szCs w:val="24"/>
          <w:highlight w:val="none"/>
        </w:rPr>
        <w:t>．磋商文件的构成（实质性要求）</w:t>
      </w:r>
    </w:p>
    <w:p>
      <w:pPr>
        <w:tabs>
          <w:tab w:val="left" w:pos="720"/>
        </w:tabs>
        <w:spacing w:line="360" w:lineRule="auto"/>
        <w:ind w:firstLine="480" w:firstLineChars="200"/>
        <w:rPr>
          <w:rFonts w:ascii="宋体" w:hAnsi="宋体"/>
          <w:color w:val="auto"/>
          <w:sz w:val="24"/>
          <w:highlight w:val="none"/>
        </w:rPr>
      </w:pPr>
      <w:r>
        <w:rPr>
          <w:rFonts w:ascii="宋体" w:hAnsi="宋体" w:cs="仿宋"/>
          <w:color w:val="auto"/>
          <w:sz w:val="24"/>
          <w:highlight w:val="none"/>
        </w:rPr>
        <w:t>10</w:t>
      </w:r>
      <w:r>
        <w:rPr>
          <w:rFonts w:ascii="宋体" w:hAnsi="宋体" w:cs="仿宋"/>
          <w:b/>
          <w:bCs/>
          <w:color w:val="auto"/>
          <w:sz w:val="24"/>
          <w:highlight w:val="none"/>
        </w:rPr>
        <w:t>.</w:t>
      </w:r>
      <w:r>
        <w:rPr>
          <w:rFonts w:ascii="宋体" w:hAnsi="宋体" w:cs="仿宋"/>
          <w:color w:val="auto"/>
          <w:sz w:val="24"/>
          <w:highlight w:val="none"/>
        </w:rPr>
        <w:t xml:space="preserve">1 </w:t>
      </w:r>
      <w:r>
        <w:rPr>
          <w:rFonts w:hint="eastAsia" w:ascii="宋体" w:hAnsi="宋体" w:cs="仿宋"/>
          <w:color w:val="auto"/>
          <w:sz w:val="24"/>
          <w:highlight w:val="none"/>
        </w:rPr>
        <w:t>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360" w:lineRule="auto"/>
        <w:ind w:firstLine="480" w:firstLineChars="200"/>
        <w:rPr>
          <w:rFonts w:ascii="宋体" w:hAnsi="宋体"/>
          <w:color w:val="auto"/>
          <w:sz w:val="24"/>
          <w:highlight w:val="none"/>
        </w:rPr>
      </w:pPr>
      <w:r>
        <w:rPr>
          <w:rFonts w:ascii="宋体" w:hAnsi="宋体" w:cs="仿宋"/>
          <w:color w:val="auto"/>
          <w:sz w:val="24"/>
          <w:highlight w:val="none"/>
        </w:rPr>
        <w:t>10</w:t>
      </w:r>
      <w:r>
        <w:rPr>
          <w:rFonts w:ascii="宋体" w:hAnsi="宋体" w:cs="仿宋"/>
          <w:b/>
          <w:bCs/>
          <w:color w:val="auto"/>
          <w:sz w:val="24"/>
          <w:highlight w:val="none"/>
        </w:rPr>
        <w:t>.</w:t>
      </w:r>
      <w:r>
        <w:rPr>
          <w:rFonts w:ascii="宋体" w:hAnsi="宋体" w:cs="仿宋"/>
          <w:color w:val="auto"/>
          <w:sz w:val="24"/>
          <w:highlight w:val="none"/>
        </w:rPr>
        <w:t xml:space="preserve">2 </w:t>
      </w:r>
      <w:r>
        <w:rPr>
          <w:rFonts w:hint="eastAsia" w:ascii="宋体" w:hAnsi="宋体" w:cs="仿宋"/>
          <w:color w:val="auto"/>
          <w:sz w:val="24"/>
          <w:highlight w:val="none"/>
        </w:rPr>
        <w:t>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5"/>
        <w:keepNext w:val="0"/>
        <w:keepLines w:val="0"/>
        <w:spacing w:before="0" w:after="0" w:line="360" w:lineRule="auto"/>
        <w:ind w:firstLine="482" w:firstLineChars="200"/>
        <w:rPr>
          <w:rFonts w:ascii="宋体" w:hAnsi="宋体"/>
          <w:color w:val="auto"/>
          <w:sz w:val="24"/>
          <w:szCs w:val="24"/>
          <w:highlight w:val="none"/>
        </w:rPr>
      </w:pPr>
      <w:r>
        <w:rPr>
          <w:rFonts w:ascii="宋体" w:hAnsi="宋体" w:cs="仿宋"/>
          <w:color w:val="auto"/>
          <w:sz w:val="24"/>
          <w:szCs w:val="24"/>
          <w:highlight w:val="none"/>
        </w:rPr>
        <w:t xml:space="preserve">11. </w:t>
      </w:r>
      <w:r>
        <w:rPr>
          <w:rFonts w:hint="eastAsia" w:ascii="宋体" w:hAnsi="宋体" w:cs="仿宋"/>
          <w:color w:val="auto"/>
          <w:sz w:val="24"/>
          <w:szCs w:val="24"/>
          <w:highlight w:val="none"/>
        </w:rPr>
        <w:t>磋商文件的澄清和修改</w:t>
      </w:r>
    </w:p>
    <w:p>
      <w:pPr>
        <w:tabs>
          <w:tab w:val="left" w:pos="720"/>
        </w:tabs>
        <w:spacing w:line="360" w:lineRule="auto"/>
        <w:ind w:firstLine="480" w:firstLineChars="200"/>
        <w:rPr>
          <w:rFonts w:ascii="宋体" w:hAnsi="宋体" w:cs="仿宋"/>
          <w:color w:val="auto"/>
          <w:sz w:val="24"/>
          <w:highlight w:val="none"/>
        </w:rPr>
      </w:pPr>
      <w:r>
        <w:rPr>
          <w:rFonts w:ascii="宋体" w:hAnsi="宋体" w:cs="仿宋"/>
          <w:color w:val="auto"/>
          <w:sz w:val="24"/>
          <w:highlight w:val="none"/>
        </w:rPr>
        <w:t xml:space="preserve">11.1 </w:t>
      </w:r>
      <w:r>
        <w:rPr>
          <w:rFonts w:hint="eastAsia" w:ascii="宋体" w:hAnsi="宋体" w:cs="仿宋"/>
          <w:color w:val="auto"/>
          <w:sz w:val="24"/>
          <w:highlight w:val="none"/>
        </w:rPr>
        <w:t>在递交响应文件截止时间前，采购人、采购代理机构可以对磋商文件进行澄清或者修改。</w:t>
      </w:r>
    </w:p>
    <w:p>
      <w:pPr>
        <w:tabs>
          <w:tab w:val="left" w:pos="720"/>
        </w:tabs>
        <w:spacing w:line="360" w:lineRule="auto"/>
        <w:ind w:firstLine="480" w:firstLineChars="200"/>
        <w:rPr>
          <w:rFonts w:ascii="宋体" w:hAnsi="宋体" w:cs="仿宋"/>
          <w:color w:val="auto"/>
          <w:sz w:val="24"/>
          <w:highlight w:val="none"/>
        </w:rPr>
      </w:pPr>
      <w:r>
        <w:rPr>
          <w:rFonts w:hint="eastAsia" w:ascii="宋体" w:hAnsi="宋体" w:cs="仿宋"/>
          <w:color w:val="auto"/>
          <w:sz w:val="24"/>
          <w:highlight w:val="none"/>
        </w:rPr>
        <w:t>11.2 招标采购单位对已发出的磋商文件进行澄清或者修改，通过政府采购云平台将澄清或者修改的内容告知所有在系统中成功获取磋商文件的潜在供应商（供应商通过账号或CA证书登录云平台查看），同时在四川政府采购网和“成都市公共资源交易服务中心”网站上发布澄清公告。该澄清或者修改的内容为磋商文件的组成部分，澄清或者修改的内容可能影响响应文件编制的，采购人或者采购代理机构发布公告并书面通知供应商的时间，应当在投标截止时间至少5日前；不足上述时间的，应当顺延提交响应文件的截止时间。</w:t>
      </w:r>
    </w:p>
    <w:p>
      <w:pPr>
        <w:tabs>
          <w:tab w:val="left" w:pos="720"/>
        </w:tabs>
        <w:spacing w:line="360" w:lineRule="auto"/>
        <w:ind w:firstLine="480" w:firstLineChars="200"/>
        <w:rPr>
          <w:rFonts w:ascii="宋体" w:hAnsi="宋体" w:cs="仿宋"/>
          <w:color w:val="auto"/>
          <w:sz w:val="24"/>
          <w:highlight w:val="none"/>
        </w:rPr>
      </w:pPr>
      <w:r>
        <w:rPr>
          <w:rFonts w:ascii="宋体" w:hAnsi="宋体" w:cs="仿宋"/>
          <w:color w:val="auto"/>
          <w:sz w:val="24"/>
          <w:highlight w:val="none"/>
        </w:rPr>
        <w:t>11.</w:t>
      </w:r>
      <w:r>
        <w:rPr>
          <w:rFonts w:hint="eastAsia" w:ascii="宋体" w:hAnsi="宋体" w:cs="仿宋"/>
          <w:color w:val="auto"/>
          <w:sz w:val="24"/>
          <w:highlight w:val="none"/>
        </w:rPr>
        <w:t>3供应商认为需要对磋商文件进行澄清或者修改的，通过政府采购云平台向采购人或采购代理机构提出申请，由采购人或采购代理机构决定是否采纳供应商的申请事项。</w:t>
      </w:r>
    </w:p>
    <w:p>
      <w:pPr>
        <w:pStyle w:val="5"/>
        <w:keepNext w:val="0"/>
        <w:keepLines w:val="0"/>
        <w:spacing w:before="0" w:after="0" w:line="360" w:lineRule="auto"/>
        <w:ind w:firstLine="482" w:firstLineChars="200"/>
        <w:rPr>
          <w:rFonts w:ascii="宋体" w:hAnsi="宋体"/>
          <w:color w:val="auto"/>
          <w:sz w:val="24"/>
          <w:szCs w:val="24"/>
          <w:highlight w:val="none"/>
        </w:rPr>
      </w:pPr>
      <w:r>
        <w:rPr>
          <w:rFonts w:ascii="宋体" w:hAnsi="宋体" w:cs="仿宋"/>
          <w:color w:val="auto"/>
          <w:sz w:val="24"/>
          <w:szCs w:val="24"/>
          <w:highlight w:val="none"/>
        </w:rPr>
        <w:t xml:space="preserve">12. </w:t>
      </w:r>
      <w:r>
        <w:rPr>
          <w:rFonts w:hint="eastAsia" w:ascii="宋体" w:hAnsi="宋体" w:cs="仿宋"/>
          <w:color w:val="auto"/>
          <w:sz w:val="24"/>
          <w:szCs w:val="24"/>
          <w:highlight w:val="none"/>
        </w:rPr>
        <w:t>答疑会和现场考察</w:t>
      </w:r>
    </w:p>
    <w:p>
      <w:pPr>
        <w:spacing w:line="360" w:lineRule="auto"/>
        <w:ind w:firstLine="480" w:firstLineChars="200"/>
        <w:rPr>
          <w:rFonts w:ascii="宋体" w:hAnsi="宋体"/>
          <w:color w:val="auto"/>
          <w:sz w:val="24"/>
          <w:highlight w:val="none"/>
        </w:rPr>
      </w:pPr>
      <w:r>
        <w:rPr>
          <w:rFonts w:ascii="宋体" w:hAnsi="宋体" w:cs="仿宋"/>
          <w:color w:val="auto"/>
          <w:sz w:val="24"/>
          <w:highlight w:val="none"/>
        </w:rPr>
        <w:t xml:space="preserve">12.1 </w:t>
      </w:r>
      <w:r>
        <w:rPr>
          <w:rFonts w:hint="eastAsia" w:ascii="宋体" w:hAnsi="宋体" w:cs="仿宋"/>
          <w:color w:val="auto"/>
          <w:sz w:val="24"/>
          <w:highlight w:val="none"/>
        </w:rPr>
        <w:t>根据采购项目和具体情况，采购人、采购代理机构认为有必要，可以在磋商文件提供期限截止后响应文件提交截止前，组织已获取磋商文件的潜在供应商现场考察或者召开答疑会。</w:t>
      </w:r>
    </w:p>
    <w:p>
      <w:pPr>
        <w:spacing w:line="360" w:lineRule="auto"/>
        <w:ind w:firstLine="480" w:firstLineChars="200"/>
        <w:rPr>
          <w:rFonts w:ascii="宋体" w:hAnsi="宋体"/>
          <w:color w:val="auto"/>
          <w:sz w:val="24"/>
          <w:highlight w:val="none"/>
        </w:rPr>
      </w:pPr>
      <w:r>
        <w:rPr>
          <w:rFonts w:ascii="宋体" w:hAnsi="宋体" w:cs="仿宋"/>
          <w:color w:val="auto"/>
          <w:sz w:val="24"/>
          <w:highlight w:val="none"/>
        </w:rPr>
        <w:t>12.2</w:t>
      </w:r>
      <w:r>
        <w:rPr>
          <w:rFonts w:hint="eastAsia" w:ascii="宋体" w:hAnsi="宋体" w:cs="仿宋"/>
          <w:color w:val="auto"/>
          <w:sz w:val="24"/>
          <w:highlight w:val="none"/>
        </w:rPr>
        <w:t>采购人、采购代理机构组织现场考察或者召开答疑会的，将以书面形式通知所有按照规定获取了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adjustRightInd w:val="0"/>
        <w:snapToGrid w:val="0"/>
        <w:spacing w:line="360" w:lineRule="auto"/>
        <w:ind w:firstLine="420" w:firstLineChars="175"/>
        <w:rPr>
          <w:rFonts w:ascii="宋体" w:hAnsi="宋体"/>
          <w:color w:val="auto"/>
          <w:sz w:val="24"/>
          <w:highlight w:val="none"/>
        </w:rPr>
      </w:pPr>
      <w:r>
        <w:rPr>
          <w:rFonts w:ascii="宋体" w:hAnsi="宋体" w:cs="仿宋"/>
          <w:color w:val="auto"/>
          <w:sz w:val="24"/>
          <w:highlight w:val="none"/>
        </w:rPr>
        <w:t xml:space="preserve">12.3 </w:t>
      </w:r>
      <w:r>
        <w:rPr>
          <w:rFonts w:hint="eastAsia" w:ascii="宋体" w:hAnsi="宋体" w:cs="仿宋"/>
          <w:color w:val="auto"/>
          <w:sz w:val="24"/>
          <w:highlight w:val="none"/>
        </w:rPr>
        <w:t>供应商考察现场或者参加答疑会所发生的一切费用由供应商自己承担。</w:t>
      </w:r>
      <w:bookmarkEnd w:id="44"/>
    </w:p>
    <w:p>
      <w:pPr>
        <w:pStyle w:val="4"/>
        <w:spacing w:line="400" w:lineRule="exact"/>
        <w:jc w:val="center"/>
        <w:rPr>
          <w:rFonts w:ascii="宋体" w:hAnsi="宋体" w:eastAsia="宋体"/>
          <w:bCs w:val="0"/>
          <w:color w:val="auto"/>
          <w:highlight w:val="none"/>
        </w:rPr>
      </w:pPr>
      <w:r>
        <w:rPr>
          <w:rFonts w:hint="eastAsia" w:ascii="宋体" w:hAnsi="宋体" w:eastAsia="宋体"/>
          <w:bCs w:val="0"/>
          <w:color w:val="auto"/>
          <w:highlight w:val="none"/>
        </w:rPr>
        <w:t>四、响应文件</w:t>
      </w:r>
    </w:p>
    <w:p>
      <w:pPr>
        <w:spacing w:line="400" w:lineRule="exact"/>
        <w:ind w:firstLine="482" w:firstLineChars="200"/>
        <w:outlineLvl w:val="2"/>
        <w:rPr>
          <w:rFonts w:ascii="宋体" w:hAnsi="宋体"/>
          <w:b/>
          <w:bCs/>
          <w:color w:val="auto"/>
          <w:sz w:val="24"/>
          <w:highlight w:val="none"/>
        </w:rPr>
      </w:pPr>
      <w:r>
        <w:rPr>
          <w:rFonts w:ascii="宋体" w:hAnsi="宋体" w:cs="仿宋"/>
          <w:b/>
          <w:bCs/>
          <w:color w:val="auto"/>
          <w:sz w:val="24"/>
          <w:highlight w:val="none"/>
        </w:rPr>
        <w:t>13.</w:t>
      </w:r>
      <w:r>
        <w:rPr>
          <w:rFonts w:hint="eastAsia" w:ascii="宋体" w:hAnsi="宋体" w:cs="仿宋"/>
          <w:b/>
          <w:bCs/>
          <w:color w:val="auto"/>
          <w:sz w:val="24"/>
          <w:highlight w:val="none"/>
        </w:rPr>
        <w:t>响应文件的组成（实质性要求）</w:t>
      </w:r>
    </w:p>
    <w:p>
      <w:pPr>
        <w:spacing w:line="400" w:lineRule="exact"/>
        <w:ind w:left="2" w:leftChars="1" w:firstLine="480" w:firstLineChars="200"/>
        <w:rPr>
          <w:rFonts w:ascii="宋体" w:hAnsi="宋体"/>
          <w:color w:val="auto"/>
          <w:sz w:val="24"/>
          <w:highlight w:val="none"/>
        </w:rPr>
      </w:pPr>
      <w:r>
        <w:rPr>
          <w:rFonts w:ascii="宋体" w:hAnsi="宋体" w:cs="仿宋"/>
          <w:color w:val="auto"/>
          <w:sz w:val="24"/>
          <w:highlight w:val="none"/>
        </w:rPr>
        <w:t>13.1</w:t>
      </w:r>
      <w:r>
        <w:rPr>
          <w:rFonts w:hint="eastAsia" w:ascii="宋体" w:hAnsi="宋体" w:cs="仿宋"/>
          <w:color w:val="auto"/>
          <w:sz w:val="24"/>
          <w:highlight w:val="none"/>
        </w:rPr>
        <w:t>供应商应按照磋商文件的规定和要求编制响应文件。供应商在成交后将成交项目的非主体、非关键性工作分包他人完成的，应当在响应文件中载明或磋商过程中澄清。</w:t>
      </w:r>
    </w:p>
    <w:p>
      <w:pPr>
        <w:spacing w:line="360" w:lineRule="auto"/>
        <w:ind w:firstLine="480" w:firstLineChars="200"/>
        <w:rPr>
          <w:rFonts w:ascii="宋体" w:hAnsi="宋体" w:cs="仿宋"/>
          <w:color w:val="auto"/>
          <w:sz w:val="24"/>
          <w:highlight w:val="none"/>
        </w:rPr>
      </w:pPr>
      <w:r>
        <w:rPr>
          <w:rFonts w:ascii="宋体" w:hAnsi="宋体" w:cs="仿宋"/>
          <w:color w:val="auto"/>
          <w:sz w:val="24"/>
          <w:highlight w:val="none"/>
        </w:rPr>
        <w:t>13.2供应商编写的响应文件应包括资格性响应文件和其他响应文件两部分。</w:t>
      </w:r>
    </w:p>
    <w:p>
      <w:pPr>
        <w:spacing w:line="360" w:lineRule="auto"/>
        <w:ind w:firstLine="482" w:firstLineChars="200"/>
        <w:rPr>
          <w:rFonts w:ascii="宋体" w:hAnsi="宋体" w:cs="仿宋"/>
          <w:b/>
          <w:bCs/>
          <w:color w:val="auto"/>
          <w:sz w:val="24"/>
          <w:highlight w:val="none"/>
        </w:rPr>
      </w:pPr>
      <w:r>
        <w:rPr>
          <w:rFonts w:ascii="宋体" w:hAnsi="宋体" w:cs="仿宋"/>
          <w:b/>
          <w:bCs/>
          <w:color w:val="auto"/>
          <w:sz w:val="24"/>
          <w:highlight w:val="none"/>
        </w:rPr>
        <w:t>14.响应文件的语言（实质性要求）</w:t>
      </w:r>
    </w:p>
    <w:p>
      <w:pPr>
        <w:spacing w:line="360" w:lineRule="auto"/>
        <w:ind w:firstLine="480" w:firstLineChars="200"/>
        <w:jc w:val="left"/>
        <w:rPr>
          <w:rFonts w:ascii="宋体" w:hAnsi="宋体"/>
          <w:color w:val="auto"/>
          <w:sz w:val="24"/>
          <w:highlight w:val="none"/>
        </w:rPr>
      </w:pPr>
      <w:r>
        <w:rPr>
          <w:rFonts w:ascii="宋体" w:hAnsi="宋体" w:cs="仿宋"/>
          <w:color w:val="auto"/>
          <w:sz w:val="24"/>
          <w:highlight w:val="none"/>
        </w:rPr>
        <w:t>14.1</w:t>
      </w:r>
      <w:r>
        <w:rPr>
          <w:rFonts w:hint="eastAsia" w:ascii="宋体" w:hAnsi="宋体" w:cs="仿宋"/>
          <w:color w:val="auto"/>
          <w:sz w:val="24"/>
          <w:highlight w:val="none"/>
        </w:rPr>
        <w:t>供应商提交的响应文件以及供应商与采购组织单位就有关磋商采购的所有来往书面文件均须使用中文。响应文件中如附有外文资料，主要部分要对应翻译成中文并加盖单位电子签章后附在相关外文资料后面。</w:t>
      </w:r>
    </w:p>
    <w:p>
      <w:pPr>
        <w:tabs>
          <w:tab w:val="left" w:pos="1134"/>
        </w:tabs>
        <w:spacing w:line="360" w:lineRule="auto"/>
        <w:ind w:firstLine="480" w:firstLineChars="200"/>
        <w:jc w:val="left"/>
        <w:rPr>
          <w:rFonts w:ascii="宋体" w:hAnsi="宋体"/>
          <w:color w:val="auto"/>
          <w:sz w:val="24"/>
          <w:highlight w:val="none"/>
        </w:rPr>
      </w:pPr>
      <w:r>
        <w:rPr>
          <w:rFonts w:ascii="宋体" w:hAnsi="宋体" w:cs="仿宋"/>
          <w:color w:val="auto"/>
          <w:sz w:val="24"/>
          <w:highlight w:val="none"/>
        </w:rPr>
        <w:t xml:space="preserve">14.2 </w:t>
      </w:r>
      <w:r>
        <w:rPr>
          <w:rFonts w:hint="eastAsia" w:ascii="宋体" w:hAnsi="宋体" w:cs="仿宋"/>
          <w:color w:val="auto"/>
          <w:sz w:val="24"/>
          <w:highlight w:val="none"/>
        </w:rPr>
        <w:t>翻译的中文资料与外文资料如果出现差异和矛盾时，以中文为准。涉嫌提供虚假材料的按照相关法律法规处理。</w:t>
      </w:r>
    </w:p>
    <w:p>
      <w:pPr>
        <w:spacing w:line="360" w:lineRule="auto"/>
        <w:ind w:firstLine="480" w:firstLineChars="200"/>
        <w:rPr>
          <w:rFonts w:ascii="宋体" w:hAnsi="宋体"/>
          <w:color w:val="auto"/>
          <w:sz w:val="24"/>
          <w:highlight w:val="none"/>
        </w:rPr>
      </w:pPr>
      <w:r>
        <w:rPr>
          <w:rFonts w:ascii="宋体" w:hAnsi="宋体" w:cs="仿宋"/>
          <w:color w:val="auto"/>
          <w:sz w:val="24"/>
          <w:highlight w:val="none"/>
        </w:rPr>
        <w:t xml:space="preserve">14.3 </w:t>
      </w:r>
      <w:r>
        <w:rPr>
          <w:rFonts w:hint="eastAsia" w:ascii="宋体" w:hAnsi="宋体" w:cs="仿宋"/>
          <w:color w:val="auto"/>
          <w:sz w:val="24"/>
          <w:highlight w:val="none"/>
        </w:rPr>
        <w:t>如因未翻译而造成对供应商的不利后果，由供应商承担。</w:t>
      </w:r>
    </w:p>
    <w:p>
      <w:pPr>
        <w:pStyle w:val="5"/>
        <w:keepNext w:val="0"/>
        <w:keepLines w:val="0"/>
        <w:spacing w:before="0" w:after="0" w:line="360" w:lineRule="auto"/>
        <w:ind w:firstLine="482" w:firstLineChars="200"/>
        <w:rPr>
          <w:rFonts w:ascii="宋体" w:hAnsi="宋体"/>
          <w:color w:val="auto"/>
          <w:sz w:val="24"/>
          <w:szCs w:val="24"/>
          <w:highlight w:val="none"/>
        </w:rPr>
      </w:pPr>
      <w:r>
        <w:rPr>
          <w:rFonts w:ascii="宋体" w:hAnsi="宋体" w:cs="仿宋"/>
          <w:color w:val="auto"/>
          <w:sz w:val="24"/>
          <w:szCs w:val="24"/>
          <w:highlight w:val="none"/>
        </w:rPr>
        <w:t>15</w:t>
      </w:r>
      <w:r>
        <w:rPr>
          <w:rFonts w:hint="eastAsia" w:ascii="宋体" w:hAnsi="宋体" w:cs="仿宋"/>
          <w:color w:val="auto"/>
          <w:sz w:val="24"/>
          <w:szCs w:val="24"/>
          <w:highlight w:val="none"/>
        </w:rPr>
        <w:t>．计量单位（实质性要求）</w:t>
      </w:r>
    </w:p>
    <w:p>
      <w:pPr>
        <w:spacing w:line="360" w:lineRule="auto"/>
        <w:ind w:firstLine="470" w:firstLineChars="196"/>
        <w:rPr>
          <w:rFonts w:ascii="宋体" w:hAnsi="宋体"/>
          <w:b/>
          <w:bCs/>
          <w:color w:val="auto"/>
          <w:sz w:val="24"/>
          <w:highlight w:val="none"/>
        </w:rPr>
      </w:pPr>
      <w:r>
        <w:rPr>
          <w:rFonts w:hint="eastAsia" w:ascii="宋体" w:hAnsi="宋体" w:cs="仿宋"/>
          <w:color w:val="auto"/>
          <w:sz w:val="24"/>
          <w:highlight w:val="none"/>
        </w:rPr>
        <w:t>除磋商文件中另有规定外，本次采购项目所有合同项下的报价均采用国家法定的计量单位。</w:t>
      </w:r>
    </w:p>
    <w:p>
      <w:pPr>
        <w:spacing w:line="360" w:lineRule="auto"/>
        <w:ind w:firstLine="470" w:firstLineChars="195"/>
        <w:rPr>
          <w:rFonts w:ascii="宋体" w:hAnsi="宋体" w:cs="仿宋"/>
          <w:b/>
          <w:bCs/>
          <w:color w:val="auto"/>
          <w:sz w:val="24"/>
          <w:highlight w:val="none"/>
        </w:rPr>
      </w:pPr>
      <w:r>
        <w:rPr>
          <w:rFonts w:ascii="宋体" w:hAnsi="宋体" w:cs="仿宋"/>
          <w:b/>
          <w:bCs/>
          <w:color w:val="auto"/>
          <w:sz w:val="24"/>
          <w:highlight w:val="none"/>
        </w:rPr>
        <w:t xml:space="preserve">16. </w:t>
      </w:r>
      <w:r>
        <w:rPr>
          <w:rFonts w:hint="eastAsia" w:ascii="宋体" w:hAnsi="宋体" w:cs="仿宋"/>
          <w:b/>
          <w:bCs/>
          <w:color w:val="auto"/>
          <w:sz w:val="24"/>
          <w:highlight w:val="none"/>
        </w:rPr>
        <w:t>报价货币（实质性要求）</w:t>
      </w:r>
    </w:p>
    <w:p>
      <w:pPr>
        <w:spacing w:line="360" w:lineRule="auto"/>
        <w:ind w:left="2" w:leftChars="1" w:firstLine="480" w:firstLineChars="200"/>
        <w:rPr>
          <w:rFonts w:ascii="宋体" w:hAnsi="宋体" w:cs="仿宋"/>
          <w:color w:val="auto"/>
          <w:sz w:val="24"/>
          <w:highlight w:val="none"/>
        </w:rPr>
      </w:pPr>
      <w:r>
        <w:rPr>
          <w:rFonts w:hint="eastAsia" w:ascii="宋体" w:hAnsi="宋体" w:cs="仿宋"/>
          <w:color w:val="auto"/>
          <w:sz w:val="24"/>
          <w:highlight w:val="none"/>
        </w:rPr>
        <w:t>本次磋商项目的报价货币为人民币，报价以磋商文件规定为准。</w:t>
      </w:r>
    </w:p>
    <w:p>
      <w:pPr>
        <w:spacing w:line="360" w:lineRule="auto"/>
        <w:ind w:left="2" w:leftChars="1" w:firstLine="482" w:firstLineChars="200"/>
        <w:rPr>
          <w:rFonts w:ascii="宋体" w:hAnsi="宋体"/>
          <w:b/>
          <w:bCs/>
          <w:color w:val="auto"/>
          <w:sz w:val="24"/>
          <w:highlight w:val="none"/>
        </w:rPr>
      </w:pPr>
      <w:r>
        <w:rPr>
          <w:rFonts w:ascii="宋体" w:hAnsi="宋体" w:cs="仿宋"/>
          <w:b/>
          <w:bCs/>
          <w:color w:val="auto"/>
          <w:sz w:val="24"/>
          <w:highlight w:val="none"/>
        </w:rPr>
        <w:t>17.</w:t>
      </w:r>
      <w:r>
        <w:rPr>
          <w:rFonts w:hint="eastAsia" w:ascii="宋体" w:hAnsi="宋体" w:cs="仿宋"/>
          <w:b/>
          <w:bCs/>
          <w:color w:val="auto"/>
          <w:sz w:val="24"/>
          <w:highlight w:val="none"/>
        </w:rPr>
        <w:t>响应文件格式</w:t>
      </w:r>
    </w:p>
    <w:p>
      <w:pPr>
        <w:spacing w:line="360" w:lineRule="auto"/>
        <w:ind w:left="2" w:leftChars="1" w:firstLine="480" w:firstLineChars="200"/>
        <w:rPr>
          <w:rFonts w:ascii="宋体" w:hAnsi="宋体"/>
          <w:color w:val="auto"/>
          <w:sz w:val="24"/>
          <w:highlight w:val="none"/>
        </w:rPr>
      </w:pPr>
      <w:r>
        <w:rPr>
          <w:rFonts w:ascii="宋体" w:hAnsi="宋体" w:cs="仿宋"/>
          <w:color w:val="auto"/>
          <w:sz w:val="24"/>
          <w:highlight w:val="none"/>
        </w:rPr>
        <w:t xml:space="preserve">17.1 </w:t>
      </w:r>
      <w:r>
        <w:rPr>
          <w:rFonts w:hint="eastAsia" w:ascii="宋体" w:hAnsi="宋体" w:cs="仿宋"/>
          <w:color w:val="auto"/>
          <w:sz w:val="24"/>
          <w:highlight w:val="none"/>
        </w:rPr>
        <w:t>供应商应执行磋商文件第八章的规定要求。</w:t>
      </w:r>
    </w:p>
    <w:p>
      <w:pPr>
        <w:spacing w:line="360" w:lineRule="auto"/>
        <w:ind w:left="2" w:leftChars="1" w:firstLine="480" w:firstLineChars="200"/>
        <w:rPr>
          <w:rFonts w:ascii="宋体" w:hAnsi="宋体"/>
          <w:color w:val="auto"/>
          <w:sz w:val="24"/>
          <w:highlight w:val="none"/>
        </w:rPr>
      </w:pPr>
      <w:r>
        <w:rPr>
          <w:rFonts w:ascii="宋体" w:hAnsi="宋体" w:cs="仿宋"/>
          <w:color w:val="auto"/>
          <w:sz w:val="24"/>
          <w:highlight w:val="none"/>
        </w:rPr>
        <w:t xml:space="preserve">17.2 </w:t>
      </w:r>
      <w:r>
        <w:rPr>
          <w:rFonts w:hint="eastAsia" w:ascii="宋体" w:hAnsi="宋体" w:cs="仿宋"/>
          <w:color w:val="auto"/>
          <w:sz w:val="24"/>
          <w:highlight w:val="none"/>
        </w:rPr>
        <w:t>对于磋商文件没有格式要求的由供应商自行编写。</w:t>
      </w:r>
    </w:p>
    <w:p>
      <w:pPr>
        <w:spacing w:line="360" w:lineRule="auto"/>
        <w:ind w:firstLine="472" w:firstLineChars="196"/>
        <w:rPr>
          <w:rFonts w:ascii="宋体" w:hAnsi="宋体"/>
          <w:b/>
          <w:bCs/>
          <w:color w:val="auto"/>
          <w:sz w:val="24"/>
          <w:highlight w:val="none"/>
        </w:rPr>
      </w:pPr>
      <w:r>
        <w:rPr>
          <w:rFonts w:ascii="宋体" w:hAnsi="宋体" w:cs="仿宋"/>
          <w:b/>
          <w:bCs/>
          <w:color w:val="auto"/>
          <w:sz w:val="24"/>
          <w:highlight w:val="none"/>
        </w:rPr>
        <w:t>18.</w:t>
      </w:r>
      <w:r>
        <w:rPr>
          <w:rFonts w:hint="eastAsia" w:ascii="宋体" w:hAnsi="宋体" w:cs="仿宋"/>
          <w:b/>
          <w:bCs/>
          <w:color w:val="auto"/>
          <w:sz w:val="24"/>
          <w:highlight w:val="none"/>
        </w:rPr>
        <w:t>响应文件的制作和签章、加密</w:t>
      </w:r>
    </w:p>
    <w:p>
      <w:pPr>
        <w:spacing w:line="360" w:lineRule="auto"/>
        <w:ind w:firstLine="468" w:firstLineChars="195"/>
        <w:rPr>
          <w:rFonts w:ascii="宋体" w:hAnsi="宋体" w:cs="仿宋"/>
          <w:color w:val="auto"/>
          <w:sz w:val="24"/>
          <w:highlight w:val="none"/>
        </w:rPr>
      </w:pPr>
      <w:r>
        <w:rPr>
          <w:rFonts w:hint="eastAsia" w:ascii="宋体" w:hAnsi="宋体" w:cs="仿宋"/>
          <w:color w:val="auto"/>
          <w:sz w:val="24"/>
          <w:highlight w:val="none"/>
        </w:rPr>
        <w:t>响应文件制作详情：</w:t>
      </w:r>
    </w:p>
    <w:p>
      <w:pPr>
        <w:spacing w:line="360" w:lineRule="auto"/>
        <w:ind w:firstLine="468" w:firstLineChars="195"/>
        <w:rPr>
          <w:rFonts w:ascii="宋体" w:hAnsi="宋体" w:cs="仿宋"/>
          <w:color w:val="auto"/>
          <w:sz w:val="24"/>
          <w:highlight w:val="none"/>
        </w:rPr>
      </w:pPr>
      <w:r>
        <w:rPr>
          <w:rFonts w:hint="eastAsia" w:ascii="宋体" w:hAnsi="宋体" w:cs="仿宋"/>
          <w:color w:val="auto"/>
          <w:sz w:val="24"/>
          <w:highlight w:val="none"/>
        </w:rPr>
        <w:t>18.1 本项目实行电子投标。供应商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供应商应按磋商文件要求，通过“政采云投标客户端”制作、加密并提交响应文件。（实质性要求）</w:t>
      </w:r>
    </w:p>
    <w:p>
      <w:pPr>
        <w:spacing w:line="360" w:lineRule="auto"/>
        <w:ind w:firstLine="468" w:firstLineChars="195"/>
        <w:rPr>
          <w:rFonts w:ascii="宋体" w:hAnsi="宋体" w:cs="仿宋"/>
          <w:color w:val="auto"/>
          <w:sz w:val="24"/>
          <w:highlight w:val="none"/>
        </w:rPr>
      </w:pPr>
      <w:r>
        <w:rPr>
          <w:rFonts w:hint="eastAsia" w:ascii="宋体" w:hAnsi="宋体" w:cs="仿宋"/>
          <w:color w:val="auto"/>
          <w:sz w:val="24"/>
          <w:highlight w:val="none"/>
        </w:rPr>
        <w:t>18.2 响应文件每页均应加盖供应商（法定名称）单位电子签章，不得使用供应商专用章（如经济合同章、投标专用章等）或下属单位印章代替。（实质性要求）</w:t>
      </w:r>
    </w:p>
    <w:p>
      <w:pPr>
        <w:spacing w:line="360" w:lineRule="auto"/>
        <w:ind w:firstLine="468" w:firstLineChars="195"/>
        <w:rPr>
          <w:rFonts w:ascii="宋体" w:hAnsi="宋体" w:cs="仿宋"/>
          <w:color w:val="auto"/>
          <w:sz w:val="24"/>
          <w:highlight w:val="none"/>
        </w:rPr>
      </w:pPr>
      <w:r>
        <w:rPr>
          <w:rFonts w:hint="eastAsia" w:ascii="宋体" w:hAnsi="宋体" w:cs="仿宋"/>
          <w:color w:val="auto"/>
          <w:sz w:val="24"/>
          <w:highlight w:val="none"/>
        </w:rPr>
        <w:t>18.3 供应商应使用本企业CA数字证书对响应文件进行加密。（实质性要求）</w:t>
      </w:r>
    </w:p>
    <w:p>
      <w:pPr>
        <w:spacing w:line="360" w:lineRule="auto"/>
        <w:ind w:firstLine="468" w:firstLineChars="195"/>
        <w:rPr>
          <w:rFonts w:ascii="宋体" w:hAnsi="宋体" w:cs="仿宋"/>
          <w:color w:val="auto"/>
          <w:sz w:val="24"/>
          <w:highlight w:val="none"/>
        </w:rPr>
      </w:pPr>
      <w:r>
        <w:rPr>
          <w:rFonts w:hint="eastAsia" w:ascii="宋体" w:hAnsi="宋体" w:cs="仿宋"/>
          <w:color w:val="auto"/>
          <w:sz w:val="24"/>
          <w:highlight w:val="none"/>
        </w:rPr>
        <w:t>18.4磋商文件有修改的，供应商须重新下载修改后的磋商文件（修改后的磋商文件在更正公告中下载），根据修改后的磋商文件制作或修改并递交响应文件。</w:t>
      </w:r>
    </w:p>
    <w:p>
      <w:pPr>
        <w:spacing w:line="360" w:lineRule="auto"/>
        <w:ind w:firstLine="468" w:firstLineChars="195"/>
        <w:rPr>
          <w:rFonts w:ascii="宋体" w:hAnsi="宋体" w:cs="仿宋"/>
          <w:color w:val="auto"/>
          <w:sz w:val="24"/>
          <w:highlight w:val="none"/>
        </w:rPr>
      </w:pPr>
      <w:r>
        <w:rPr>
          <w:rFonts w:hint="eastAsia" w:ascii="宋体" w:hAnsi="宋体" w:cs="仿宋"/>
          <w:color w:val="auto"/>
          <w:sz w:val="24"/>
          <w:highlight w:val="none"/>
        </w:rPr>
        <w:t>18.5 使用“政府采购云平台”（含政采云电子交易客户端）需要提前申领CA数字证书及盖单位电子签章，请自行前往四川CA、CFCA、天威CA服务点办理，只需办理其中一家CA数字证书及签章（提示：办理时请说明参与成都市政府采购项目）。供应商应及时完成在“政府采购云平台”的CA账号绑定，确保顺利参与电子投标。（实质性要求）</w:t>
      </w:r>
    </w:p>
    <w:p>
      <w:pPr>
        <w:spacing w:line="360" w:lineRule="auto"/>
        <w:ind w:left="2" w:leftChars="1" w:firstLine="480" w:firstLineChars="200"/>
        <w:rPr>
          <w:rFonts w:ascii="宋体" w:hAnsi="宋体" w:cs="仿宋"/>
          <w:color w:val="auto"/>
          <w:sz w:val="24"/>
          <w:highlight w:val="none"/>
        </w:rPr>
      </w:pPr>
      <w:r>
        <w:rPr>
          <w:rFonts w:ascii="宋体" w:hAnsi="宋体" w:cs="仿宋"/>
          <w:color w:val="auto"/>
          <w:sz w:val="24"/>
          <w:highlight w:val="none"/>
        </w:rPr>
        <w:t>18.6响应文件应按磋商文件的要求制作和签章、加密。（实质性要求）</w:t>
      </w:r>
    </w:p>
    <w:p>
      <w:pPr>
        <w:spacing w:line="360" w:lineRule="auto"/>
        <w:ind w:left="2" w:leftChars="1" w:firstLine="482" w:firstLineChars="200"/>
        <w:rPr>
          <w:rFonts w:ascii="宋体" w:hAnsi="宋体" w:cs="仿宋"/>
          <w:b/>
          <w:bCs/>
          <w:color w:val="auto"/>
          <w:sz w:val="24"/>
          <w:highlight w:val="none"/>
        </w:rPr>
      </w:pPr>
      <w:r>
        <w:rPr>
          <w:rFonts w:ascii="宋体" w:hAnsi="宋体" w:cs="仿宋"/>
          <w:b/>
          <w:bCs/>
          <w:color w:val="auto"/>
          <w:sz w:val="24"/>
          <w:highlight w:val="none"/>
        </w:rPr>
        <w:t>19.</w:t>
      </w:r>
      <w:bookmarkStart w:id="45" w:name="_Toc183582227"/>
      <w:bookmarkStart w:id="46" w:name="_Toc183682364"/>
      <w:bookmarkStart w:id="47" w:name="_Toc217446054"/>
      <w:bookmarkStart w:id="48" w:name="_Toc308164804"/>
      <w:r>
        <w:rPr>
          <w:rFonts w:ascii="宋体" w:hAnsi="宋体" w:cs="仿宋"/>
          <w:b/>
          <w:bCs/>
          <w:color w:val="auto"/>
          <w:sz w:val="24"/>
          <w:highlight w:val="none"/>
        </w:rPr>
        <w:t>响应文件的</w:t>
      </w:r>
      <w:bookmarkEnd w:id="45"/>
      <w:bookmarkEnd w:id="46"/>
      <w:r>
        <w:rPr>
          <w:rFonts w:ascii="宋体" w:hAnsi="宋体" w:cs="仿宋"/>
          <w:b/>
          <w:bCs/>
          <w:color w:val="auto"/>
          <w:sz w:val="24"/>
          <w:highlight w:val="none"/>
        </w:rPr>
        <w:t>递交</w:t>
      </w:r>
      <w:bookmarkEnd w:id="47"/>
      <w:bookmarkEnd w:id="48"/>
    </w:p>
    <w:p>
      <w:pPr>
        <w:spacing w:line="360" w:lineRule="auto"/>
        <w:ind w:left="2" w:leftChars="1" w:firstLine="480" w:firstLineChars="200"/>
        <w:rPr>
          <w:rFonts w:ascii="宋体" w:hAnsi="宋体" w:cs="仿宋"/>
          <w:color w:val="auto"/>
          <w:sz w:val="24"/>
          <w:highlight w:val="none"/>
        </w:rPr>
      </w:pPr>
      <w:r>
        <w:rPr>
          <w:rFonts w:ascii="宋体" w:hAnsi="宋体" w:cs="仿宋"/>
          <w:color w:val="auto"/>
          <w:sz w:val="24"/>
          <w:highlight w:val="none"/>
        </w:rPr>
        <w:t>19.1 供应商应当在响应文件递交截止时间前，将生成的已加密的电子响应文件成功递交至“政府采购云平台”。</w:t>
      </w:r>
    </w:p>
    <w:p>
      <w:pPr>
        <w:spacing w:line="360" w:lineRule="auto"/>
        <w:ind w:firstLine="468" w:firstLineChars="195"/>
        <w:rPr>
          <w:rFonts w:ascii="宋体" w:hAnsi="宋体" w:cs="仿宋"/>
          <w:color w:val="auto"/>
          <w:sz w:val="24"/>
          <w:highlight w:val="none"/>
        </w:rPr>
      </w:pPr>
      <w:r>
        <w:rPr>
          <w:rFonts w:hint="eastAsia" w:ascii="宋体" w:hAnsi="宋体" w:cs="仿宋"/>
          <w:color w:val="auto"/>
          <w:sz w:val="24"/>
          <w:highlight w:val="none"/>
        </w:rPr>
        <w:t>19.2 因磋商文件的修改推迟投标截止日期的，供应商按</w:t>
      </w:r>
      <w:r>
        <w:rPr>
          <w:rFonts w:hint="eastAsia" w:ascii="宋体" w:hAnsi="宋体" w:cs="仿宋"/>
          <w:color w:val="auto"/>
          <w:sz w:val="24"/>
          <w:highlight w:val="none"/>
          <w:lang w:eastAsia="zh-Hans"/>
        </w:rPr>
        <w:t>采购人</w:t>
      </w:r>
      <w:r>
        <w:rPr>
          <w:rFonts w:hint="eastAsia" w:ascii="宋体" w:hAnsi="宋体" w:cs="仿宋"/>
          <w:color w:val="auto"/>
          <w:sz w:val="24"/>
          <w:highlight w:val="none"/>
        </w:rPr>
        <w:t>在“四川政府采购网”和“成都市公共资源交易服务中心”网站上发布的澄清公告中修改的时间递交响应文件，同时通过“政府采购云平台”将澄清或者修改的内容告知所有在系统中成功获取磋商文件的潜在供应商。</w:t>
      </w:r>
    </w:p>
    <w:p>
      <w:pPr>
        <w:tabs>
          <w:tab w:val="left" w:pos="1095"/>
        </w:tabs>
        <w:spacing w:line="400" w:lineRule="exact"/>
        <w:ind w:firstLine="460" w:firstLineChars="192"/>
        <w:rPr>
          <w:rFonts w:ascii="仿宋" w:hAnsi="仿宋" w:eastAsia="仿宋"/>
          <w:color w:val="auto"/>
          <w:sz w:val="24"/>
          <w:highlight w:val="none"/>
        </w:rPr>
      </w:pPr>
      <w:r>
        <w:rPr>
          <w:rFonts w:hint="eastAsia" w:ascii="宋体" w:hAnsi="宋体" w:cs="仿宋"/>
          <w:color w:val="auto"/>
          <w:sz w:val="24"/>
          <w:highlight w:val="none"/>
        </w:rPr>
        <w:t>19.3 供应商应充分考虑递交文件的不可预见因素，未在投标截止时间前完成递交的，在投标截止时间后将无法递交。</w:t>
      </w:r>
    </w:p>
    <w:p>
      <w:pPr>
        <w:spacing w:line="360" w:lineRule="auto"/>
        <w:ind w:firstLine="468" w:firstLineChars="195"/>
        <w:rPr>
          <w:rFonts w:ascii="宋体" w:hAnsi="宋体" w:cs="仿宋"/>
          <w:color w:val="auto"/>
          <w:sz w:val="24"/>
          <w:highlight w:val="none"/>
        </w:rPr>
      </w:pPr>
    </w:p>
    <w:p>
      <w:pPr>
        <w:pStyle w:val="5"/>
        <w:spacing w:line="400" w:lineRule="exact"/>
        <w:ind w:firstLine="482" w:firstLineChars="200"/>
        <w:rPr>
          <w:rFonts w:ascii="宋体" w:hAnsi="宋体" w:cs="仿宋"/>
          <w:color w:val="auto"/>
          <w:sz w:val="24"/>
          <w:highlight w:val="none"/>
        </w:rPr>
      </w:pPr>
      <w:r>
        <w:rPr>
          <w:rFonts w:ascii="宋体" w:hAnsi="宋体" w:cs="仿宋"/>
          <w:color w:val="auto"/>
          <w:sz w:val="24"/>
          <w:highlight w:val="none"/>
        </w:rPr>
        <w:t>2</w:t>
      </w:r>
      <w:r>
        <w:rPr>
          <w:rFonts w:hint="eastAsia" w:ascii="宋体" w:hAnsi="宋体" w:cs="仿宋"/>
          <w:color w:val="auto"/>
          <w:sz w:val="24"/>
          <w:highlight w:val="none"/>
        </w:rPr>
        <w:t>0</w:t>
      </w:r>
      <w:r>
        <w:rPr>
          <w:rFonts w:ascii="宋体" w:hAnsi="宋体" w:cs="仿宋"/>
          <w:color w:val="auto"/>
          <w:sz w:val="24"/>
          <w:highlight w:val="none"/>
        </w:rPr>
        <w:t>.</w:t>
      </w:r>
      <w:r>
        <w:rPr>
          <w:rFonts w:hint="eastAsia" w:ascii="宋体" w:hAnsi="宋体" w:cs="仿宋"/>
          <w:color w:val="auto"/>
          <w:sz w:val="24"/>
          <w:highlight w:val="none"/>
        </w:rPr>
        <w:t>响应文件的补充、修改或撤回</w:t>
      </w:r>
    </w:p>
    <w:p>
      <w:pPr>
        <w:spacing w:line="360" w:lineRule="auto"/>
        <w:ind w:firstLine="468" w:firstLineChars="195"/>
        <w:rPr>
          <w:rFonts w:ascii="宋体" w:hAnsi="宋体" w:cs="仿宋"/>
          <w:color w:val="auto"/>
          <w:sz w:val="24"/>
          <w:highlight w:val="none"/>
        </w:rPr>
      </w:pPr>
      <w:r>
        <w:rPr>
          <w:rFonts w:hint="eastAsia" w:ascii="宋体" w:hAnsi="宋体" w:cs="仿宋"/>
          <w:color w:val="auto"/>
          <w:sz w:val="24"/>
          <w:highlight w:val="none"/>
        </w:rPr>
        <w:t>20.1 在投标截止时间之前，供应商可对已递交的响应文件进行补充、修改。补充或者修改响应文件的，应当先撤回已递交的响应文件，在“政采云投标客户端”补充、修改响应文件并签章、加密后重新递交。撤回响应文件进行补充、修改，在投标截止时间前未重新递交的，视为撤回响应文件。</w:t>
      </w:r>
    </w:p>
    <w:p>
      <w:pPr>
        <w:spacing w:line="360" w:lineRule="auto"/>
        <w:ind w:firstLine="468" w:firstLineChars="195"/>
        <w:rPr>
          <w:rFonts w:ascii="宋体" w:hAnsi="宋体" w:cs="仿宋"/>
          <w:color w:val="auto"/>
          <w:sz w:val="24"/>
          <w:highlight w:val="none"/>
        </w:rPr>
      </w:pPr>
      <w:r>
        <w:rPr>
          <w:rFonts w:hint="eastAsia" w:ascii="宋体" w:hAnsi="宋体" w:cs="仿宋"/>
          <w:color w:val="auto"/>
          <w:sz w:val="24"/>
          <w:highlight w:val="none"/>
        </w:rPr>
        <w:t>20.2 在投标截止时间之后，供应商不得对其递交的响应文件做任何补充、修改。</w:t>
      </w:r>
    </w:p>
    <w:p>
      <w:pPr>
        <w:tabs>
          <w:tab w:val="left" w:pos="1080"/>
        </w:tabs>
        <w:spacing w:line="360" w:lineRule="auto"/>
        <w:ind w:firstLine="460" w:firstLineChars="192"/>
        <w:rPr>
          <w:rFonts w:ascii="宋体" w:hAnsi="宋体"/>
          <w:color w:val="auto"/>
          <w:sz w:val="24"/>
          <w:highlight w:val="none"/>
        </w:rPr>
      </w:pPr>
      <w:r>
        <w:rPr>
          <w:rFonts w:hint="eastAsia" w:ascii="宋体" w:hAnsi="宋体" w:cs="仿宋"/>
          <w:color w:val="auto"/>
          <w:sz w:val="24"/>
          <w:highlight w:val="none"/>
        </w:rPr>
        <w:t>20.3 补充、修改的内容与响应文件不一致的，以补充、修改的内容为准。</w:t>
      </w:r>
    </w:p>
    <w:p>
      <w:pPr>
        <w:adjustRightInd w:val="0"/>
        <w:snapToGrid w:val="0"/>
        <w:spacing w:line="360" w:lineRule="auto"/>
        <w:ind w:firstLine="480" w:firstLineChars="200"/>
        <w:rPr>
          <w:rFonts w:ascii="宋体" w:hAnsi="宋体"/>
          <w:color w:val="auto"/>
          <w:sz w:val="24"/>
          <w:highlight w:val="none"/>
        </w:rPr>
      </w:pPr>
      <w:r>
        <w:rPr>
          <w:rFonts w:ascii="宋体" w:hAnsi="宋体" w:cs="仿宋"/>
          <w:color w:val="auto"/>
          <w:sz w:val="24"/>
          <w:highlight w:val="none"/>
        </w:rPr>
        <w:t>2</w:t>
      </w:r>
      <w:r>
        <w:rPr>
          <w:rFonts w:hint="eastAsia" w:ascii="宋体" w:hAnsi="宋体" w:cs="仿宋"/>
          <w:color w:val="auto"/>
          <w:sz w:val="24"/>
          <w:highlight w:val="none"/>
        </w:rPr>
        <w:t>0</w:t>
      </w:r>
      <w:r>
        <w:rPr>
          <w:rFonts w:ascii="宋体" w:hAnsi="宋体" w:cs="仿宋"/>
          <w:color w:val="auto"/>
          <w:sz w:val="24"/>
          <w:highlight w:val="none"/>
        </w:rPr>
        <w:t>.</w:t>
      </w:r>
      <w:r>
        <w:rPr>
          <w:rFonts w:hint="eastAsia" w:ascii="宋体" w:hAnsi="宋体" w:cs="仿宋"/>
          <w:color w:val="auto"/>
          <w:sz w:val="24"/>
          <w:highlight w:val="none"/>
        </w:rPr>
        <w:t>4 供应商不得在递交截止时间起至响应文件有效期期满前撤销其响应文件，否则将认定其响应文件有效期的承诺为虚假承诺，并依法追究其法律责任。</w:t>
      </w:r>
    </w:p>
    <w:p>
      <w:pPr>
        <w:spacing w:line="360" w:lineRule="auto"/>
        <w:ind w:firstLine="480"/>
        <w:rPr>
          <w:rFonts w:ascii="宋体" w:hAnsi="宋体" w:cs="仿宋"/>
          <w:color w:val="auto"/>
          <w:sz w:val="24"/>
          <w:highlight w:val="none"/>
        </w:rPr>
      </w:pPr>
      <w:r>
        <w:rPr>
          <w:rFonts w:ascii="宋体" w:hAnsi="宋体" w:cs="仿宋"/>
          <w:color w:val="auto"/>
          <w:sz w:val="24"/>
          <w:highlight w:val="none"/>
        </w:rPr>
        <w:t>2</w:t>
      </w:r>
      <w:r>
        <w:rPr>
          <w:rFonts w:hint="eastAsia" w:ascii="宋体" w:hAnsi="宋体" w:cs="仿宋"/>
          <w:color w:val="auto"/>
          <w:sz w:val="24"/>
          <w:highlight w:val="none"/>
        </w:rPr>
        <w:t>0</w:t>
      </w:r>
      <w:r>
        <w:rPr>
          <w:rFonts w:ascii="宋体" w:hAnsi="宋体" w:cs="仿宋"/>
          <w:color w:val="auto"/>
          <w:sz w:val="24"/>
          <w:highlight w:val="none"/>
        </w:rPr>
        <w:t>.</w:t>
      </w:r>
      <w:r>
        <w:rPr>
          <w:rFonts w:hint="eastAsia" w:ascii="宋体" w:hAnsi="宋体" w:cs="仿宋"/>
          <w:color w:val="auto"/>
          <w:sz w:val="24"/>
          <w:highlight w:val="none"/>
        </w:rPr>
        <w:t>5响应文件中报价如果出现下列不一致的，可按以下原则进行修改：</w:t>
      </w:r>
    </w:p>
    <w:p>
      <w:pPr>
        <w:spacing w:line="360" w:lineRule="auto"/>
        <w:ind w:firstLine="480"/>
        <w:rPr>
          <w:rFonts w:ascii="宋体" w:hAnsi="宋体" w:cs="仿宋"/>
          <w:color w:val="auto"/>
          <w:sz w:val="24"/>
          <w:highlight w:val="none"/>
        </w:rPr>
      </w:pPr>
      <w:r>
        <w:rPr>
          <w:rFonts w:hint="eastAsia" w:ascii="宋体" w:hAnsi="宋体" w:cs="仿宋"/>
          <w:color w:val="auto"/>
          <w:sz w:val="24"/>
          <w:highlight w:val="none"/>
        </w:rPr>
        <w:t>（一）大写金额和小写金额不一致的，以大写金额为准，但大写金额文字存在错误的，应当先对大写金额的文字错误进行澄清、说明或者更正，再行修正。</w:t>
      </w:r>
    </w:p>
    <w:p>
      <w:pPr>
        <w:spacing w:line="360" w:lineRule="auto"/>
        <w:ind w:firstLine="480"/>
        <w:rPr>
          <w:rFonts w:ascii="宋体" w:hAnsi="宋体" w:cs="仿宋"/>
          <w:color w:val="auto"/>
          <w:sz w:val="24"/>
          <w:highlight w:val="none"/>
        </w:rPr>
      </w:pPr>
      <w:r>
        <w:rPr>
          <w:rFonts w:hint="eastAsia" w:ascii="宋体" w:hAnsi="宋体" w:cs="仿宋"/>
          <w:color w:val="auto"/>
          <w:sz w:val="24"/>
          <w:highlight w:val="none"/>
        </w:rPr>
        <w:t>（二）总价金额与按单价汇总金额不一致的，以单价金额计算结果为准，但单价或者单价汇总金额存在数字或者文字错误的，应当先对数字或者文字错误进行澄清、说明或者更正，再行修正。</w:t>
      </w:r>
    </w:p>
    <w:p>
      <w:pPr>
        <w:spacing w:line="360" w:lineRule="auto"/>
        <w:ind w:firstLine="480"/>
        <w:rPr>
          <w:rFonts w:ascii="宋体" w:hAnsi="宋体" w:cs="仿宋"/>
          <w:color w:val="auto"/>
          <w:sz w:val="24"/>
          <w:highlight w:val="none"/>
        </w:rPr>
      </w:pPr>
      <w:r>
        <w:rPr>
          <w:rFonts w:hint="eastAsia" w:ascii="宋体" w:hAnsi="宋体" w:cs="仿宋"/>
          <w:color w:val="auto"/>
          <w:sz w:val="24"/>
          <w:highlight w:val="none"/>
        </w:rPr>
        <w:t>（三）单价金额小数点或者百分比有明显错位的，以总价为准，修正单价。</w:t>
      </w:r>
    </w:p>
    <w:p>
      <w:pPr>
        <w:spacing w:line="360" w:lineRule="auto"/>
        <w:ind w:firstLine="480"/>
        <w:rPr>
          <w:rFonts w:ascii="宋体" w:hAnsi="宋体" w:cs="仿宋"/>
          <w:color w:val="auto"/>
          <w:sz w:val="24"/>
          <w:highlight w:val="none"/>
        </w:rPr>
      </w:pPr>
      <w:r>
        <w:rPr>
          <w:rFonts w:hint="eastAsia" w:ascii="宋体" w:hAnsi="宋体" w:cs="仿宋"/>
          <w:color w:val="auto"/>
          <w:sz w:val="24"/>
          <w:highlight w:val="none"/>
        </w:rPr>
        <w:t>同时出现两种以上不一致的，按照上述规定的顺序修正。修正后的报价经供应商确认后产生约束力，供应商不确认的，其响应文件作为无效处理。</w:t>
      </w:r>
    </w:p>
    <w:p>
      <w:pPr>
        <w:spacing w:line="360" w:lineRule="auto"/>
        <w:ind w:firstLine="480"/>
        <w:rPr>
          <w:rFonts w:ascii="宋体" w:hAnsi="宋体" w:cs="仿宋"/>
          <w:color w:val="auto"/>
          <w:sz w:val="24"/>
          <w:highlight w:val="none"/>
        </w:rPr>
      </w:pPr>
      <w:r>
        <w:rPr>
          <w:rFonts w:hint="eastAsia" w:ascii="宋体" w:hAnsi="宋体" w:cs="仿宋"/>
          <w:color w:val="auto"/>
          <w:sz w:val="24"/>
          <w:highlight w:val="none"/>
        </w:rPr>
        <w:t>20.6供应商对其提交的响应文件的真实性、合法性承担法律责任。</w:t>
      </w:r>
    </w:p>
    <w:p>
      <w:pPr>
        <w:pStyle w:val="5"/>
        <w:spacing w:line="400" w:lineRule="exact"/>
        <w:ind w:firstLine="482" w:firstLineChars="200"/>
        <w:rPr>
          <w:rFonts w:ascii="宋体" w:hAnsi="宋体" w:cs="仿宋"/>
          <w:color w:val="auto"/>
          <w:sz w:val="24"/>
          <w:highlight w:val="none"/>
        </w:rPr>
      </w:pPr>
      <w:r>
        <w:rPr>
          <w:rFonts w:ascii="宋体" w:hAnsi="宋体" w:cs="仿宋"/>
          <w:color w:val="auto"/>
          <w:sz w:val="24"/>
          <w:highlight w:val="none"/>
        </w:rPr>
        <w:t>21</w:t>
      </w:r>
      <w:r>
        <w:rPr>
          <w:rFonts w:ascii="宋体" w:hAnsi="宋体" w:cs="仿宋"/>
          <w:color w:val="auto"/>
          <w:sz w:val="24"/>
          <w:highlight w:val="none"/>
          <w:lang w:eastAsia="zh-Hans"/>
        </w:rPr>
        <w:t>.</w:t>
      </w:r>
      <w:r>
        <w:rPr>
          <w:rFonts w:ascii="宋体" w:hAnsi="宋体" w:cs="仿宋"/>
          <w:color w:val="auto"/>
          <w:sz w:val="24"/>
          <w:highlight w:val="none"/>
        </w:rPr>
        <w:t>响应文件的解密</w:t>
      </w:r>
    </w:p>
    <w:p>
      <w:pPr>
        <w:spacing w:line="400" w:lineRule="exact"/>
        <w:ind w:firstLine="470" w:firstLineChars="196"/>
        <w:rPr>
          <w:rFonts w:ascii="仿宋" w:hAnsi="仿宋" w:eastAsia="仿宋"/>
          <w:color w:val="auto"/>
          <w:sz w:val="24"/>
          <w:highlight w:val="none"/>
        </w:rPr>
      </w:pPr>
      <w:r>
        <w:rPr>
          <w:rFonts w:hint="eastAsia" w:ascii="宋体" w:hAnsi="宋体" w:cs="仿宋"/>
          <w:color w:val="auto"/>
          <w:sz w:val="24"/>
          <w:highlight w:val="none"/>
        </w:rPr>
        <w:t>供应商登录政府采购云平台，点击“项目采购—开标评标”模块，找到对应项目，进入“开标大厅”，等待代理机构工作人员开启解密后，进行线上解密。除因断电、断网、系统故障或其他不可抗力等因素，导致系统无法使用外，供应商在规定的解密时间内，未成功解密的响应文件将视为无效响应文件。</w:t>
      </w:r>
    </w:p>
    <w:p>
      <w:pPr>
        <w:spacing w:line="360" w:lineRule="auto"/>
        <w:ind w:firstLine="480"/>
        <w:rPr>
          <w:rFonts w:ascii="宋体" w:hAnsi="宋体" w:cs="仿宋"/>
          <w:color w:val="auto"/>
          <w:sz w:val="24"/>
          <w:highlight w:val="none"/>
        </w:rPr>
      </w:pPr>
    </w:p>
    <w:p>
      <w:pPr>
        <w:pStyle w:val="4"/>
        <w:spacing w:line="400" w:lineRule="exact"/>
        <w:jc w:val="center"/>
        <w:rPr>
          <w:rFonts w:ascii="宋体" w:hAnsi="宋体" w:eastAsia="宋体"/>
          <w:bCs w:val="0"/>
          <w:color w:val="auto"/>
          <w:highlight w:val="none"/>
        </w:rPr>
      </w:pPr>
      <w:r>
        <w:rPr>
          <w:rFonts w:hint="eastAsia" w:ascii="宋体" w:hAnsi="宋体" w:eastAsia="宋体"/>
          <w:bCs w:val="0"/>
          <w:color w:val="auto"/>
          <w:highlight w:val="none"/>
        </w:rPr>
        <w:t>五、</w:t>
      </w:r>
      <w:bookmarkStart w:id="49" w:name="_Toc16979"/>
      <w:bookmarkStart w:id="50" w:name="_Toc65573690"/>
      <w:bookmarkStart w:id="51" w:name="_Toc28766"/>
      <w:bookmarkStart w:id="52" w:name="_Toc31524"/>
      <w:bookmarkStart w:id="53" w:name="_Toc4457"/>
      <w:r>
        <w:rPr>
          <w:rFonts w:hint="eastAsia" w:ascii="宋体" w:hAnsi="宋体" w:eastAsia="宋体"/>
          <w:bCs w:val="0"/>
          <w:color w:val="auto"/>
          <w:highlight w:val="none"/>
        </w:rPr>
        <w:t>开标、资格审查、评标</w:t>
      </w:r>
      <w:bookmarkEnd w:id="49"/>
      <w:bookmarkEnd w:id="50"/>
      <w:bookmarkEnd w:id="51"/>
      <w:bookmarkEnd w:id="52"/>
      <w:bookmarkEnd w:id="53"/>
    </w:p>
    <w:p>
      <w:pPr>
        <w:spacing w:line="360" w:lineRule="auto"/>
        <w:ind w:firstLine="470" w:firstLineChars="195"/>
        <w:rPr>
          <w:rFonts w:ascii="宋体" w:hAnsi="宋体" w:cs="仿宋"/>
          <w:b/>
          <w:bCs/>
          <w:color w:val="auto"/>
          <w:sz w:val="24"/>
          <w:highlight w:val="none"/>
        </w:rPr>
      </w:pPr>
      <w:bookmarkStart w:id="54" w:name="_Toc183582232"/>
      <w:bookmarkStart w:id="55" w:name="_Toc183682369"/>
      <w:bookmarkStart w:id="56" w:name="_Toc217446057"/>
      <w:bookmarkStart w:id="57" w:name="_Toc308164806"/>
      <w:r>
        <w:rPr>
          <w:rFonts w:hint="eastAsia" w:ascii="宋体" w:hAnsi="宋体" w:cs="仿宋"/>
          <w:b/>
          <w:bCs/>
          <w:color w:val="auto"/>
          <w:sz w:val="24"/>
          <w:highlight w:val="none"/>
        </w:rPr>
        <w:t>22．</w:t>
      </w:r>
      <w:bookmarkEnd w:id="54"/>
      <w:bookmarkEnd w:id="55"/>
      <w:bookmarkEnd w:id="56"/>
      <w:bookmarkEnd w:id="57"/>
      <w:bookmarkStart w:id="58" w:name="_Toc308164809"/>
      <w:bookmarkStart w:id="59" w:name="_Toc183682375"/>
      <w:bookmarkStart w:id="60" w:name="_Toc183582238"/>
      <w:bookmarkStart w:id="61" w:name="_Toc217446063"/>
      <w:r>
        <w:rPr>
          <w:rFonts w:hint="eastAsia" w:ascii="宋体" w:hAnsi="宋体" w:cs="仿宋"/>
          <w:b/>
          <w:bCs/>
          <w:color w:val="auto"/>
          <w:sz w:val="24"/>
          <w:highlight w:val="none"/>
        </w:rPr>
        <w:t>开标及开标程序</w:t>
      </w:r>
    </w:p>
    <w:p>
      <w:pPr>
        <w:spacing w:line="360" w:lineRule="auto"/>
        <w:ind w:firstLine="468" w:firstLineChars="195"/>
        <w:rPr>
          <w:rFonts w:ascii="宋体" w:hAnsi="宋体" w:cs="仿宋"/>
          <w:color w:val="auto"/>
          <w:sz w:val="24"/>
          <w:highlight w:val="none"/>
        </w:rPr>
      </w:pPr>
      <w:r>
        <w:rPr>
          <w:rFonts w:hint="eastAsia" w:ascii="宋体" w:hAnsi="宋体" w:cs="仿宋"/>
          <w:color w:val="auto"/>
          <w:sz w:val="24"/>
          <w:highlight w:val="none"/>
        </w:rPr>
        <w:t>22.1 本项目为不见面开标项目。（递交电子投标文件的投标人不足3家的，不予开标。）</w:t>
      </w:r>
    </w:p>
    <w:p>
      <w:pPr>
        <w:spacing w:line="360" w:lineRule="auto"/>
        <w:ind w:firstLine="468" w:firstLineChars="195"/>
        <w:rPr>
          <w:rFonts w:ascii="宋体" w:hAnsi="宋体" w:cs="仿宋"/>
          <w:color w:val="auto"/>
          <w:sz w:val="24"/>
          <w:highlight w:val="none"/>
        </w:rPr>
      </w:pPr>
      <w:r>
        <w:rPr>
          <w:rFonts w:hint="eastAsia" w:ascii="宋体" w:hAnsi="宋体" w:cs="仿宋"/>
          <w:color w:val="auto"/>
          <w:sz w:val="24"/>
          <w:highlight w:val="none"/>
        </w:rPr>
        <w:t>22.2 开标准备工作。供应商需在开标当日、投标截止时间前登录“政府采购云平台”，通过“开标大厅”参与不见面开标。登录成都市公共资源交易服务中心门户网站（https://www.cdggzy.com/）—政府采购云平台—项目采购—开标评标—开标大厅（找到对应项目）。</w:t>
      </w:r>
    </w:p>
    <w:p>
      <w:pPr>
        <w:spacing w:line="360" w:lineRule="auto"/>
        <w:ind w:firstLine="468" w:firstLineChars="195"/>
        <w:rPr>
          <w:rFonts w:ascii="宋体" w:hAnsi="宋体" w:cs="仿宋"/>
          <w:color w:val="auto"/>
          <w:sz w:val="24"/>
          <w:highlight w:val="none"/>
        </w:rPr>
      </w:pPr>
      <w:r>
        <w:rPr>
          <w:rFonts w:hint="eastAsia" w:ascii="宋体" w:hAnsi="宋体" w:cs="仿宋"/>
          <w:color w:val="auto"/>
          <w:sz w:val="24"/>
          <w:highlight w:val="none"/>
        </w:rPr>
        <w:t>提示：供应商未按时登录不见面开标系统，错过开标解密时间的，由供应商自行承担不利后果。</w:t>
      </w:r>
    </w:p>
    <w:p>
      <w:pPr>
        <w:spacing w:line="360" w:lineRule="auto"/>
        <w:ind w:firstLine="468" w:firstLineChars="195"/>
        <w:rPr>
          <w:rFonts w:ascii="宋体" w:hAnsi="宋体" w:cs="仿宋"/>
          <w:color w:val="auto"/>
          <w:sz w:val="24"/>
          <w:highlight w:val="none"/>
        </w:rPr>
      </w:pPr>
      <w:r>
        <w:rPr>
          <w:rFonts w:hint="eastAsia" w:ascii="宋体" w:hAnsi="宋体" w:cs="仿宋"/>
          <w:color w:val="auto"/>
          <w:sz w:val="24"/>
          <w:highlight w:val="none"/>
        </w:rPr>
        <w:t>22.3 解密响应文件。等待代理机构工作人员开启解密后，供应商进行线上解密。开启解密后，供应商应在60分钟内，使用加密该响应文件的CA数字证书在线完成响应文件的解密。除因断电、断网、系统故障或其他不可抗力等因素，导致系统无法使用外，供应商在规定的解密时间内，未成功解密的响应文件将视为无效响应文件。</w:t>
      </w:r>
    </w:p>
    <w:p>
      <w:pPr>
        <w:spacing w:line="360" w:lineRule="auto"/>
        <w:ind w:firstLine="468" w:firstLineChars="195"/>
        <w:rPr>
          <w:color w:val="auto"/>
          <w:highlight w:val="none"/>
        </w:rPr>
      </w:pPr>
      <w:r>
        <w:rPr>
          <w:rFonts w:hint="eastAsia" w:ascii="宋体" w:hAnsi="宋体" w:cs="仿宋"/>
          <w:color w:val="auto"/>
          <w:sz w:val="24"/>
          <w:highlight w:val="none"/>
        </w:rPr>
        <w:t>22.4 确认开标记录。解密时间截止或者所有供应商响应文件均完成解密后（以发生在先的时间为准），由“政府采购云平台”系统展示供应商名称、响应文件解密情况、投标报价等唱标内容。如成功解密响应文件的供应商不足三家的，则只展示供应商名称、响应文件解密情况。供应商对开标记录（包含解密情况、投标报价、其他情况等）在规定时间内确认，如未确认，视为认同开标记录。</w:t>
      </w:r>
    </w:p>
    <w:p>
      <w:pPr>
        <w:spacing w:line="360" w:lineRule="auto"/>
        <w:ind w:firstLine="468" w:firstLineChars="195"/>
        <w:rPr>
          <w:rFonts w:ascii="宋体" w:hAnsi="宋体" w:cs="仿宋"/>
          <w:color w:val="auto"/>
          <w:sz w:val="24"/>
          <w:highlight w:val="none"/>
        </w:rPr>
      </w:pPr>
      <w:r>
        <w:rPr>
          <w:rFonts w:hint="eastAsia" w:ascii="宋体" w:hAnsi="宋体" w:cs="仿宋"/>
          <w:color w:val="auto"/>
          <w:sz w:val="24"/>
          <w:highlight w:val="none"/>
        </w:rPr>
        <w:t>22.5 供应商对开标过程和开标记录有疑义，以及认为采购人、相关工作人员有需要回避的情形的，及时向工作人员提出询问或者回避申请。采购人、</w:t>
      </w:r>
      <w:r>
        <w:rPr>
          <w:rFonts w:hint="eastAsia" w:ascii="宋体" w:hAnsi="宋体" w:cs="仿宋"/>
          <w:color w:val="auto"/>
          <w:sz w:val="24"/>
          <w:highlight w:val="none"/>
          <w:lang w:eastAsia="zh-Hans"/>
        </w:rPr>
        <w:t>相关</w:t>
      </w:r>
      <w:r>
        <w:rPr>
          <w:rFonts w:hint="eastAsia" w:ascii="宋体" w:hAnsi="宋体" w:cs="仿宋"/>
          <w:color w:val="auto"/>
          <w:sz w:val="24"/>
          <w:highlight w:val="none"/>
        </w:rPr>
        <w:t>工作人员对供应商提出的询问或者回避申请应当及时处理。</w:t>
      </w:r>
    </w:p>
    <w:p>
      <w:pPr>
        <w:spacing w:line="360" w:lineRule="auto"/>
        <w:ind w:firstLine="468" w:firstLineChars="195"/>
        <w:rPr>
          <w:rFonts w:ascii="宋体" w:hAnsi="宋体" w:cs="仿宋"/>
          <w:color w:val="auto"/>
          <w:sz w:val="24"/>
          <w:highlight w:val="none"/>
        </w:rPr>
      </w:pPr>
      <w:r>
        <w:rPr>
          <w:rFonts w:hint="eastAsia" w:ascii="宋体" w:hAnsi="宋体" w:cs="仿宋"/>
          <w:color w:val="auto"/>
          <w:sz w:val="24"/>
          <w:highlight w:val="none"/>
        </w:rPr>
        <w:t>22.6 供应商电脑终端等硬件设备和软件系统配置：供应商电脑终端等硬件设备和软件系统配置应符合电子投标（含不见面开标大厅）供应商电脑终端配置要求并运行正常，供应商承担因未尽职责产生的不利后果。</w:t>
      </w:r>
    </w:p>
    <w:p>
      <w:pPr>
        <w:spacing w:line="360" w:lineRule="auto"/>
        <w:ind w:firstLine="468" w:firstLineChars="195"/>
        <w:rPr>
          <w:rFonts w:ascii="宋体" w:hAnsi="宋体" w:cs="仿宋"/>
          <w:color w:val="auto"/>
          <w:sz w:val="24"/>
          <w:highlight w:val="none"/>
        </w:rPr>
      </w:pPr>
      <w:r>
        <w:rPr>
          <w:rFonts w:hint="eastAsia" w:ascii="宋体" w:hAnsi="宋体" w:cs="仿宋"/>
          <w:color w:val="auto"/>
          <w:sz w:val="24"/>
          <w:highlight w:val="none"/>
        </w:rPr>
        <w:t>22.7 因断电、断网、系统故障或其他不可抗力等因素导致不见面开标系统无法正常运行的，开标活动中止或延迟，待系统恢复正常后继续进行开标活动。</w:t>
      </w:r>
    </w:p>
    <w:p>
      <w:pPr>
        <w:spacing w:line="360" w:lineRule="auto"/>
        <w:ind w:firstLine="468" w:firstLineChars="195"/>
        <w:rPr>
          <w:rFonts w:ascii="宋体" w:hAnsi="宋体" w:cs="仿宋"/>
          <w:color w:val="auto"/>
          <w:sz w:val="24"/>
          <w:highlight w:val="none"/>
        </w:rPr>
      </w:pPr>
      <w:r>
        <w:rPr>
          <w:rFonts w:hint="eastAsia" w:ascii="宋体" w:hAnsi="宋体" w:cs="仿宋"/>
          <w:color w:val="auto"/>
          <w:sz w:val="24"/>
          <w:highlight w:val="none"/>
        </w:rPr>
        <w:t>22.8 不见面开标过程中，各方主体均应遵守互联网有关规定，不得发表与交易活动无关的言论。</w:t>
      </w:r>
    </w:p>
    <w:p>
      <w:pPr>
        <w:spacing w:line="360" w:lineRule="auto"/>
        <w:ind w:firstLine="470" w:firstLineChars="195"/>
        <w:rPr>
          <w:rFonts w:ascii="宋体" w:hAnsi="宋体" w:cs="仿宋"/>
          <w:b/>
          <w:bCs/>
          <w:color w:val="auto"/>
          <w:sz w:val="24"/>
          <w:highlight w:val="none"/>
        </w:rPr>
      </w:pPr>
      <w:r>
        <w:rPr>
          <w:rFonts w:hint="eastAsia" w:ascii="宋体" w:hAnsi="宋体" w:cs="仿宋"/>
          <w:b/>
          <w:bCs/>
          <w:color w:val="auto"/>
          <w:sz w:val="24"/>
          <w:highlight w:val="none"/>
        </w:rPr>
        <w:t>23．开评标过程存档</w:t>
      </w:r>
    </w:p>
    <w:p>
      <w:pPr>
        <w:spacing w:line="360" w:lineRule="auto"/>
        <w:ind w:firstLine="468" w:firstLineChars="195"/>
        <w:rPr>
          <w:rFonts w:ascii="宋体" w:hAnsi="宋体" w:cs="仿宋"/>
          <w:color w:val="auto"/>
          <w:sz w:val="24"/>
          <w:highlight w:val="none"/>
        </w:rPr>
      </w:pPr>
      <w:r>
        <w:rPr>
          <w:rFonts w:hint="eastAsia" w:ascii="宋体" w:hAnsi="宋体" w:cs="仿宋"/>
          <w:color w:val="auto"/>
          <w:sz w:val="24"/>
          <w:highlight w:val="none"/>
        </w:rPr>
        <w:t>开标和评标过程进行全过程电子监控，并将电子监控资料存储介质留存归档。</w:t>
      </w:r>
    </w:p>
    <w:p>
      <w:pPr>
        <w:spacing w:line="360" w:lineRule="auto"/>
        <w:ind w:firstLine="470" w:firstLineChars="195"/>
        <w:rPr>
          <w:rFonts w:ascii="宋体" w:hAnsi="宋体" w:cs="仿宋"/>
          <w:b/>
          <w:bCs/>
          <w:color w:val="auto"/>
          <w:sz w:val="24"/>
          <w:highlight w:val="none"/>
        </w:rPr>
      </w:pPr>
      <w:r>
        <w:rPr>
          <w:rFonts w:hint="eastAsia" w:ascii="宋体" w:hAnsi="宋体" w:cs="仿宋"/>
          <w:b/>
          <w:bCs/>
          <w:color w:val="auto"/>
          <w:sz w:val="24"/>
          <w:highlight w:val="none"/>
        </w:rPr>
        <w:t>24</w:t>
      </w:r>
      <w:r>
        <w:rPr>
          <w:rFonts w:hint="eastAsia" w:ascii="宋体" w:hAnsi="宋体" w:cs="仿宋"/>
          <w:b/>
          <w:bCs/>
          <w:color w:val="auto"/>
          <w:sz w:val="24"/>
          <w:highlight w:val="none"/>
          <w:lang w:eastAsia="zh-Hans"/>
        </w:rPr>
        <w:t>.</w:t>
      </w:r>
      <w:r>
        <w:rPr>
          <w:rFonts w:hint="eastAsia" w:ascii="宋体" w:hAnsi="宋体" w:cs="仿宋"/>
          <w:b/>
          <w:bCs/>
          <w:color w:val="auto"/>
          <w:sz w:val="24"/>
          <w:highlight w:val="none"/>
        </w:rPr>
        <w:t>资格审查</w:t>
      </w:r>
    </w:p>
    <w:p>
      <w:pPr>
        <w:spacing w:line="360" w:lineRule="auto"/>
        <w:ind w:firstLine="468" w:firstLineChars="195"/>
        <w:rPr>
          <w:rFonts w:ascii="宋体" w:hAnsi="宋体" w:cs="仿宋"/>
          <w:color w:val="auto"/>
          <w:sz w:val="24"/>
          <w:highlight w:val="none"/>
        </w:rPr>
      </w:pPr>
      <w:r>
        <w:rPr>
          <w:rFonts w:hint="eastAsia" w:ascii="宋体" w:hAnsi="宋体" w:cs="仿宋"/>
          <w:color w:val="auto"/>
          <w:sz w:val="24"/>
          <w:highlight w:val="none"/>
        </w:rPr>
        <w:t>详见磋商文件。</w:t>
      </w:r>
    </w:p>
    <w:p>
      <w:pPr>
        <w:spacing w:line="360" w:lineRule="auto"/>
        <w:ind w:firstLine="470" w:firstLineChars="195"/>
        <w:rPr>
          <w:rFonts w:ascii="宋体" w:hAnsi="宋体" w:cs="仿宋"/>
          <w:b/>
          <w:bCs/>
          <w:color w:val="auto"/>
          <w:sz w:val="24"/>
          <w:highlight w:val="none"/>
        </w:rPr>
      </w:pPr>
      <w:r>
        <w:rPr>
          <w:rFonts w:hint="eastAsia" w:ascii="宋体" w:hAnsi="宋体" w:cs="仿宋"/>
          <w:b/>
          <w:bCs/>
          <w:color w:val="auto"/>
          <w:sz w:val="24"/>
          <w:highlight w:val="none"/>
        </w:rPr>
        <w:t>25.评标情况公告</w:t>
      </w:r>
    </w:p>
    <w:p>
      <w:pPr>
        <w:spacing w:line="360" w:lineRule="auto"/>
        <w:ind w:firstLine="468" w:firstLineChars="195"/>
        <w:rPr>
          <w:rFonts w:ascii="宋体" w:hAnsi="宋体" w:cs="仿宋"/>
          <w:color w:val="auto"/>
          <w:sz w:val="24"/>
          <w:highlight w:val="none"/>
        </w:rPr>
      </w:pPr>
      <w:r>
        <w:rPr>
          <w:rFonts w:hint="eastAsia" w:ascii="宋体" w:hAnsi="宋体" w:cs="仿宋"/>
          <w:color w:val="auto"/>
          <w:sz w:val="24"/>
          <w:highlight w:val="none"/>
        </w:rPr>
        <w:t>所有供应商响应文件资格性、符合性检查情况、采用综合评分法时的总得分和分项汇总得分情况、评标结果等将在四川政府采购网上采购结果公告栏中予以公告。</w:t>
      </w:r>
    </w:p>
    <w:bookmarkEnd w:id="58"/>
    <w:bookmarkEnd w:id="59"/>
    <w:bookmarkEnd w:id="60"/>
    <w:bookmarkEnd w:id="61"/>
    <w:p>
      <w:pPr>
        <w:pStyle w:val="4"/>
        <w:spacing w:line="400" w:lineRule="exact"/>
        <w:jc w:val="center"/>
        <w:rPr>
          <w:rFonts w:ascii="宋体" w:hAnsi="宋体" w:eastAsia="宋体"/>
          <w:bCs w:val="0"/>
          <w:color w:val="auto"/>
          <w:highlight w:val="none"/>
        </w:rPr>
      </w:pPr>
      <w:r>
        <w:rPr>
          <w:rFonts w:hint="eastAsia" w:ascii="宋体" w:hAnsi="宋体" w:eastAsia="宋体"/>
          <w:bCs w:val="0"/>
          <w:color w:val="auto"/>
          <w:highlight w:val="none"/>
        </w:rPr>
        <w:t>六、成交事项</w:t>
      </w:r>
    </w:p>
    <w:p>
      <w:pPr>
        <w:pStyle w:val="4"/>
        <w:keepNext w:val="0"/>
        <w:keepLines w:val="0"/>
        <w:spacing w:after="0" w:line="360" w:lineRule="auto"/>
        <w:ind w:firstLine="482" w:firstLineChars="200"/>
        <w:rPr>
          <w:rFonts w:ascii="宋体" w:hAnsi="宋体" w:eastAsia="宋体"/>
          <w:color w:val="auto"/>
          <w:sz w:val="24"/>
          <w:szCs w:val="24"/>
          <w:highlight w:val="none"/>
        </w:rPr>
      </w:pPr>
      <w:r>
        <w:rPr>
          <w:rFonts w:ascii="宋体" w:hAnsi="宋体" w:eastAsia="宋体" w:cs="仿宋"/>
          <w:color w:val="auto"/>
          <w:sz w:val="24"/>
          <w:szCs w:val="24"/>
          <w:highlight w:val="none"/>
        </w:rPr>
        <w:t>2</w:t>
      </w:r>
      <w:r>
        <w:rPr>
          <w:rFonts w:hint="eastAsia" w:ascii="宋体" w:hAnsi="宋体" w:eastAsia="宋体" w:cs="仿宋"/>
          <w:color w:val="auto"/>
          <w:sz w:val="24"/>
          <w:szCs w:val="24"/>
          <w:highlight w:val="none"/>
        </w:rPr>
        <w:t>6</w:t>
      </w:r>
      <w:r>
        <w:rPr>
          <w:rFonts w:ascii="宋体" w:hAnsi="宋体" w:eastAsia="宋体" w:cs="仿宋"/>
          <w:color w:val="auto"/>
          <w:sz w:val="24"/>
          <w:szCs w:val="24"/>
          <w:highlight w:val="none"/>
        </w:rPr>
        <w:t>.</w:t>
      </w:r>
      <w:r>
        <w:rPr>
          <w:rFonts w:hint="eastAsia" w:ascii="宋体" w:hAnsi="宋体" w:eastAsia="宋体" w:cs="仿宋"/>
          <w:color w:val="auto"/>
          <w:sz w:val="24"/>
          <w:szCs w:val="24"/>
          <w:highlight w:val="none"/>
        </w:rPr>
        <w:t>确定成交供应商</w:t>
      </w:r>
    </w:p>
    <w:p>
      <w:pPr>
        <w:pStyle w:val="4"/>
        <w:keepNext w:val="0"/>
        <w:keepLines w:val="0"/>
        <w:spacing w:before="0" w:after="0" w:line="360" w:lineRule="auto"/>
        <w:ind w:firstLine="480" w:firstLineChars="200"/>
        <w:rPr>
          <w:rFonts w:ascii="宋体" w:hAnsi="宋体" w:eastAsia="宋体"/>
          <w:b w:val="0"/>
          <w:bCs w:val="0"/>
          <w:color w:val="auto"/>
          <w:sz w:val="24"/>
          <w:szCs w:val="24"/>
          <w:highlight w:val="none"/>
        </w:rPr>
      </w:pPr>
      <w:r>
        <w:rPr>
          <w:rFonts w:hint="eastAsia" w:ascii="宋体" w:hAnsi="宋体" w:eastAsia="宋体" w:cs="仿宋"/>
          <w:b w:val="0"/>
          <w:bCs w:val="0"/>
          <w:color w:val="auto"/>
          <w:sz w:val="24"/>
          <w:szCs w:val="24"/>
          <w:highlight w:val="none"/>
        </w:rPr>
        <w:t>26</w:t>
      </w:r>
      <w:r>
        <w:rPr>
          <w:rFonts w:ascii="宋体" w:hAnsi="宋体" w:eastAsia="宋体" w:cs="仿宋"/>
          <w:b w:val="0"/>
          <w:bCs w:val="0"/>
          <w:color w:val="auto"/>
          <w:sz w:val="24"/>
          <w:szCs w:val="24"/>
          <w:highlight w:val="none"/>
        </w:rPr>
        <w:t>.1</w:t>
      </w:r>
      <w:r>
        <w:rPr>
          <w:rFonts w:hint="eastAsia" w:ascii="宋体" w:hAnsi="宋体" w:eastAsia="宋体" w:cs="仿宋"/>
          <w:b w:val="0"/>
          <w:bCs w:val="0"/>
          <w:color w:val="auto"/>
          <w:sz w:val="24"/>
          <w:szCs w:val="24"/>
          <w:highlight w:val="none"/>
        </w:rPr>
        <w:t>本项目采购人将按磋商小组推荐的成交候选供应商顺序确定成交供应商。</w:t>
      </w:r>
    </w:p>
    <w:p>
      <w:pPr>
        <w:pStyle w:val="4"/>
        <w:keepNext w:val="0"/>
        <w:keepLines w:val="0"/>
        <w:spacing w:before="0" w:after="0" w:line="360" w:lineRule="auto"/>
        <w:ind w:firstLine="480" w:firstLineChars="200"/>
        <w:rPr>
          <w:rFonts w:ascii="宋体" w:hAnsi="宋体" w:eastAsia="宋体"/>
          <w:b w:val="0"/>
          <w:bCs w:val="0"/>
          <w:color w:val="auto"/>
          <w:sz w:val="24"/>
          <w:szCs w:val="24"/>
          <w:highlight w:val="none"/>
        </w:rPr>
      </w:pPr>
      <w:r>
        <w:rPr>
          <w:rFonts w:ascii="宋体" w:hAnsi="宋体" w:eastAsia="宋体" w:cs="仿宋"/>
          <w:b w:val="0"/>
          <w:bCs w:val="0"/>
          <w:color w:val="auto"/>
          <w:sz w:val="24"/>
          <w:szCs w:val="24"/>
          <w:highlight w:val="none"/>
        </w:rPr>
        <w:t>2</w:t>
      </w:r>
      <w:r>
        <w:rPr>
          <w:rFonts w:hint="eastAsia" w:ascii="宋体" w:hAnsi="宋体" w:eastAsia="宋体" w:cs="仿宋"/>
          <w:b w:val="0"/>
          <w:bCs w:val="0"/>
          <w:color w:val="auto"/>
          <w:sz w:val="24"/>
          <w:szCs w:val="24"/>
          <w:highlight w:val="none"/>
        </w:rPr>
        <w:t>6</w:t>
      </w:r>
      <w:r>
        <w:rPr>
          <w:rFonts w:ascii="宋体" w:hAnsi="宋体" w:eastAsia="宋体" w:cs="仿宋"/>
          <w:b w:val="0"/>
          <w:bCs w:val="0"/>
          <w:color w:val="auto"/>
          <w:sz w:val="24"/>
          <w:szCs w:val="24"/>
          <w:highlight w:val="none"/>
        </w:rPr>
        <w:t>.2</w:t>
      </w:r>
      <w:r>
        <w:rPr>
          <w:rFonts w:hint="eastAsia" w:ascii="宋体" w:hAnsi="宋体" w:eastAsia="宋体" w:cs="仿宋"/>
          <w:b w:val="0"/>
          <w:bCs w:val="0"/>
          <w:color w:val="auto"/>
          <w:sz w:val="24"/>
          <w:szCs w:val="24"/>
          <w:highlight w:val="none"/>
        </w:rPr>
        <w:t>采购代理机构自评审结束后</w:t>
      </w:r>
      <w:r>
        <w:rPr>
          <w:rFonts w:ascii="宋体" w:hAnsi="宋体" w:eastAsia="宋体" w:cs="仿宋"/>
          <w:b w:val="0"/>
          <w:bCs w:val="0"/>
          <w:color w:val="auto"/>
          <w:sz w:val="24"/>
          <w:szCs w:val="24"/>
          <w:highlight w:val="none"/>
        </w:rPr>
        <w:t>2</w:t>
      </w:r>
      <w:r>
        <w:rPr>
          <w:rFonts w:hint="eastAsia" w:ascii="宋体" w:hAnsi="宋体" w:eastAsia="宋体" w:cs="仿宋"/>
          <w:b w:val="0"/>
          <w:bCs w:val="0"/>
          <w:color w:val="auto"/>
          <w:sz w:val="24"/>
          <w:szCs w:val="24"/>
          <w:highlight w:val="none"/>
        </w:rPr>
        <w:t>个工作日内将磋商报告及有关资料送交采购人确定成交供应商。</w:t>
      </w:r>
    </w:p>
    <w:p>
      <w:pPr>
        <w:pStyle w:val="4"/>
        <w:keepNext w:val="0"/>
        <w:keepLines w:val="0"/>
        <w:spacing w:before="0" w:after="0" w:line="360" w:lineRule="auto"/>
        <w:ind w:firstLine="480" w:firstLineChars="200"/>
        <w:rPr>
          <w:rFonts w:ascii="宋体" w:hAnsi="宋体" w:eastAsia="宋体"/>
          <w:b w:val="0"/>
          <w:bCs w:val="0"/>
          <w:color w:val="auto"/>
          <w:sz w:val="24"/>
          <w:szCs w:val="24"/>
          <w:highlight w:val="none"/>
        </w:rPr>
      </w:pPr>
      <w:r>
        <w:rPr>
          <w:rFonts w:ascii="宋体" w:hAnsi="宋体" w:eastAsia="宋体" w:cs="仿宋"/>
          <w:b w:val="0"/>
          <w:bCs w:val="0"/>
          <w:color w:val="auto"/>
          <w:sz w:val="24"/>
          <w:szCs w:val="24"/>
          <w:highlight w:val="none"/>
        </w:rPr>
        <w:t>2</w:t>
      </w:r>
      <w:r>
        <w:rPr>
          <w:rFonts w:hint="eastAsia" w:ascii="宋体" w:hAnsi="宋体" w:eastAsia="宋体" w:cs="仿宋"/>
          <w:b w:val="0"/>
          <w:bCs w:val="0"/>
          <w:color w:val="auto"/>
          <w:sz w:val="24"/>
          <w:szCs w:val="24"/>
          <w:highlight w:val="none"/>
        </w:rPr>
        <w:t>6</w:t>
      </w:r>
      <w:r>
        <w:rPr>
          <w:rFonts w:ascii="宋体" w:hAnsi="宋体" w:eastAsia="宋体" w:cs="仿宋"/>
          <w:b w:val="0"/>
          <w:bCs w:val="0"/>
          <w:color w:val="auto"/>
          <w:sz w:val="24"/>
          <w:szCs w:val="24"/>
          <w:highlight w:val="none"/>
        </w:rPr>
        <w:t>.3</w:t>
      </w:r>
      <w:r>
        <w:rPr>
          <w:rFonts w:hint="eastAsia" w:ascii="宋体" w:hAnsi="宋体" w:eastAsia="宋体" w:cs="仿宋"/>
          <w:b w:val="0"/>
          <w:bCs w:val="0"/>
          <w:color w:val="auto"/>
          <w:sz w:val="24"/>
          <w:szCs w:val="24"/>
          <w:highlight w:val="none"/>
        </w:rPr>
        <w:t>采购人收到磋商报告及有关资料后，将在3个工作日内按照磋商报告中推荐的成交候选供应商顺序确定成交供应商。评审得分且最后报价且技术指标得分均相同的，成交候选供应商并列，由采购人随机抽签确定成交供应商。采购人逾期未确定成交供应商且不提出异议的，视为确定磋商报告提出的排序第一的供应商为成交供应商。</w:t>
      </w:r>
    </w:p>
    <w:p>
      <w:pPr>
        <w:pStyle w:val="4"/>
        <w:keepNext w:val="0"/>
        <w:keepLines w:val="0"/>
        <w:spacing w:before="0" w:after="0" w:line="360" w:lineRule="auto"/>
        <w:ind w:firstLine="480" w:firstLineChars="200"/>
        <w:rPr>
          <w:rFonts w:ascii="宋体" w:hAnsi="宋体" w:eastAsia="宋体"/>
          <w:b w:val="0"/>
          <w:bCs w:val="0"/>
          <w:color w:val="auto"/>
          <w:sz w:val="24"/>
          <w:szCs w:val="24"/>
          <w:highlight w:val="none"/>
        </w:rPr>
      </w:pPr>
      <w:r>
        <w:rPr>
          <w:rFonts w:ascii="宋体" w:hAnsi="宋体" w:eastAsia="宋体" w:cs="仿宋"/>
          <w:b w:val="0"/>
          <w:bCs w:val="0"/>
          <w:color w:val="auto"/>
          <w:sz w:val="24"/>
          <w:szCs w:val="24"/>
          <w:highlight w:val="none"/>
        </w:rPr>
        <w:t>2</w:t>
      </w:r>
      <w:r>
        <w:rPr>
          <w:rFonts w:hint="eastAsia" w:ascii="宋体" w:hAnsi="宋体" w:eastAsia="宋体" w:cs="仿宋"/>
          <w:b w:val="0"/>
          <w:bCs w:val="0"/>
          <w:color w:val="auto"/>
          <w:sz w:val="24"/>
          <w:szCs w:val="24"/>
          <w:highlight w:val="none"/>
        </w:rPr>
        <w:t>6</w:t>
      </w:r>
      <w:r>
        <w:rPr>
          <w:rFonts w:ascii="宋体" w:hAnsi="宋体" w:eastAsia="宋体" w:cs="仿宋"/>
          <w:b w:val="0"/>
          <w:bCs w:val="0"/>
          <w:color w:val="auto"/>
          <w:sz w:val="24"/>
          <w:szCs w:val="24"/>
          <w:highlight w:val="none"/>
        </w:rPr>
        <w:t>.4</w:t>
      </w:r>
      <w:r>
        <w:rPr>
          <w:rFonts w:hint="eastAsia" w:ascii="宋体" w:hAnsi="宋体" w:eastAsia="宋体" w:cs="仿宋"/>
          <w:b w:val="0"/>
          <w:bCs w:val="0"/>
          <w:color w:val="auto"/>
          <w:sz w:val="24"/>
          <w:szCs w:val="24"/>
          <w:highlight w:val="none"/>
        </w:rPr>
        <w:t>采购人确定成交供应商过程中，发现成交候选供应商有下列情形之一的，不予确定其为成交供应商：</w:t>
      </w:r>
    </w:p>
    <w:p>
      <w:pPr>
        <w:pStyle w:val="4"/>
        <w:keepNext w:val="0"/>
        <w:keepLines w:val="0"/>
        <w:spacing w:before="0" w:after="0" w:line="360" w:lineRule="auto"/>
        <w:ind w:firstLine="480" w:firstLineChars="200"/>
        <w:rPr>
          <w:rFonts w:ascii="宋体" w:hAnsi="宋体" w:eastAsia="宋体"/>
          <w:b w:val="0"/>
          <w:bCs w:val="0"/>
          <w:color w:val="auto"/>
          <w:sz w:val="24"/>
          <w:szCs w:val="24"/>
          <w:highlight w:val="none"/>
        </w:rPr>
      </w:pPr>
      <w:r>
        <w:rPr>
          <w:rFonts w:hint="eastAsia" w:ascii="宋体" w:hAnsi="宋体" w:eastAsia="宋体" w:cs="仿宋"/>
          <w:b w:val="0"/>
          <w:bCs w:val="0"/>
          <w:color w:val="auto"/>
          <w:sz w:val="24"/>
          <w:szCs w:val="24"/>
          <w:highlight w:val="none"/>
        </w:rPr>
        <w:t>（</w:t>
      </w:r>
      <w:r>
        <w:rPr>
          <w:rFonts w:ascii="宋体" w:hAnsi="宋体" w:eastAsia="宋体" w:cs="仿宋"/>
          <w:b w:val="0"/>
          <w:bCs w:val="0"/>
          <w:color w:val="auto"/>
          <w:sz w:val="24"/>
          <w:szCs w:val="24"/>
          <w:highlight w:val="none"/>
        </w:rPr>
        <w:t>1</w:t>
      </w:r>
      <w:r>
        <w:rPr>
          <w:rFonts w:hint="eastAsia" w:ascii="宋体" w:hAnsi="宋体" w:eastAsia="宋体" w:cs="仿宋"/>
          <w:b w:val="0"/>
          <w:bCs w:val="0"/>
          <w:color w:val="auto"/>
          <w:sz w:val="24"/>
          <w:szCs w:val="24"/>
          <w:highlight w:val="none"/>
        </w:rPr>
        <w:t>）成交候选供应商属于禁止参加本项目采购活动的；</w:t>
      </w:r>
    </w:p>
    <w:p>
      <w:pPr>
        <w:pStyle w:val="4"/>
        <w:keepNext w:val="0"/>
        <w:keepLines w:val="0"/>
        <w:spacing w:before="0" w:after="0" w:line="360" w:lineRule="auto"/>
        <w:ind w:firstLine="480" w:firstLineChars="200"/>
        <w:rPr>
          <w:rFonts w:ascii="宋体" w:hAnsi="宋体" w:eastAsia="宋体"/>
          <w:b w:val="0"/>
          <w:bCs w:val="0"/>
          <w:color w:val="auto"/>
          <w:sz w:val="24"/>
          <w:szCs w:val="24"/>
          <w:highlight w:val="none"/>
        </w:rPr>
      </w:pPr>
      <w:r>
        <w:rPr>
          <w:rFonts w:hint="eastAsia" w:ascii="宋体" w:hAnsi="宋体" w:eastAsia="宋体" w:cs="仿宋"/>
          <w:b w:val="0"/>
          <w:bCs w:val="0"/>
          <w:color w:val="auto"/>
          <w:sz w:val="24"/>
          <w:szCs w:val="24"/>
          <w:highlight w:val="none"/>
        </w:rPr>
        <w:t>（</w:t>
      </w:r>
      <w:r>
        <w:rPr>
          <w:rFonts w:ascii="宋体" w:hAnsi="宋体" w:eastAsia="宋体" w:cs="仿宋"/>
          <w:b w:val="0"/>
          <w:bCs w:val="0"/>
          <w:color w:val="auto"/>
          <w:sz w:val="24"/>
          <w:szCs w:val="24"/>
          <w:highlight w:val="none"/>
        </w:rPr>
        <w:t>2</w:t>
      </w:r>
      <w:r>
        <w:rPr>
          <w:rFonts w:hint="eastAsia" w:ascii="宋体" w:hAnsi="宋体" w:eastAsia="宋体" w:cs="仿宋"/>
          <w:b w:val="0"/>
          <w:bCs w:val="0"/>
          <w:color w:val="auto"/>
          <w:sz w:val="24"/>
          <w:szCs w:val="24"/>
          <w:highlight w:val="none"/>
        </w:rPr>
        <w:t>）成交候选供应商因不可抗力，不能继续参加政府采购活动；</w:t>
      </w:r>
    </w:p>
    <w:p>
      <w:pPr>
        <w:pStyle w:val="4"/>
        <w:keepNext w:val="0"/>
        <w:keepLines w:val="0"/>
        <w:spacing w:before="0" w:after="0" w:line="360" w:lineRule="auto"/>
        <w:ind w:firstLine="480" w:firstLineChars="200"/>
        <w:rPr>
          <w:rFonts w:ascii="宋体" w:hAnsi="宋体" w:eastAsia="宋体"/>
          <w:b w:val="0"/>
          <w:bCs w:val="0"/>
          <w:color w:val="auto"/>
          <w:sz w:val="24"/>
          <w:szCs w:val="24"/>
          <w:highlight w:val="none"/>
        </w:rPr>
      </w:pPr>
      <w:r>
        <w:rPr>
          <w:rFonts w:hint="eastAsia" w:ascii="宋体" w:hAnsi="宋体" w:eastAsia="宋体" w:cs="仿宋"/>
          <w:b w:val="0"/>
          <w:bCs w:val="0"/>
          <w:color w:val="auto"/>
          <w:sz w:val="24"/>
          <w:szCs w:val="24"/>
          <w:highlight w:val="none"/>
        </w:rPr>
        <w:t>（</w:t>
      </w:r>
      <w:r>
        <w:rPr>
          <w:rFonts w:ascii="宋体" w:hAnsi="宋体" w:eastAsia="宋体" w:cs="仿宋"/>
          <w:b w:val="0"/>
          <w:bCs w:val="0"/>
          <w:color w:val="auto"/>
          <w:sz w:val="24"/>
          <w:szCs w:val="24"/>
          <w:highlight w:val="none"/>
        </w:rPr>
        <w:t>3</w:t>
      </w:r>
      <w:r>
        <w:rPr>
          <w:rFonts w:hint="eastAsia" w:ascii="宋体" w:hAnsi="宋体" w:eastAsia="宋体" w:cs="仿宋"/>
          <w:b w:val="0"/>
          <w:bCs w:val="0"/>
          <w:color w:val="auto"/>
          <w:sz w:val="24"/>
          <w:szCs w:val="24"/>
          <w:highlight w:val="none"/>
        </w:rPr>
        <w:t>）成交候选供应商无偿赠与或者低于成本价竞争；</w:t>
      </w:r>
    </w:p>
    <w:p>
      <w:pPr>
        <w:pStyle w:val="4"/>
        <w:keepNext w:val="0"/>
        <w:keepLines w:val="0"/>
        <w:spacing w:before="0" w:after="0" w:line="360" w:lineRule="auto"/>
        <w:ind w:firstLine="480" w:firstLineChars="200"/>
        <w:rPr>
          <w:rFonts w:ascii="宋体" w:hAnsi="宋体" w:eastAsia="宋体"/>
          <w:b w:val="0"/>
          <w:bCs w:val="0"/>
          <w:color w:val="auto"/>
          <w:sz w:val="24"/>
          <w:szCs w:val="24"/>
          <w:highlight w:val="none"/>
        </w:rPr>
      </w:pPr>
      <w:r>
        <w:rPr>
          <w:rFonts w:hint="eastAsia" w:ascii="宋体" w:hAnsi="宋体" w:eastAsia="宋体" w:cs="仿宋"/>
          <w:b w:val="0"/>
          <w:bCs w:val="0"/>
          <w:color w:val="auto"/>
          <w:sz w:val="24"/>
          <w:szCs w:val="24"/>
          <w:highlight w:val="none"/>
        </w:rPr>
        <w:t>（</w:t>
      </w:r>
      <w:r>
        <w:rPr>
          <w:rFonts w:ascii="宋体" w:hAnsi="宋体" w:eastAsia="宋体" w:cs="仿宋"/>
          <w:b w:val="0"/>
          <w:bCs w:val="0"/>
          <w:color w:val="auto"/>
          <w:sz w:val="24"/>
          <w:szCs w:val="24"/>
          <w:highlight w:val="none"/>
        </w:rPr>
        <w:t>4</w:t>
      </w:r>
      <w:r>
        <w:rPr>
          <w:rFonts w:hint="eastAsia" w:ascii="宋体" w:hAnsi="宋体" w:eastAsia="宋体" w:cs="仿宋"/>
          <w:b w:val="0"/>
          <w:bCs w:val="0"/>
          <w:color w:val="auto"/>
          <w:sz w:val="24"/>
          <w:szCs w:val="24"/>
          <w:highlight w:val="none"/>
        </w:rPr>
        <w:t>）成交候选供应商提供虚假材料；</w:t>
      </w:r>
    </w:p>
    <w:p>
      <w:pPr>
        <w:pStyle w:val="4"/>
        <w:keepNext w:val="0"/>
        <w:keepLines w:val="0"/>
        <w:spacing w:before="0" w:after="0" w:line="360" w:lineRule="auto"/>
        <w:ind w:firstLine="480" w:firstLineChars="200"/>
        <w:rPr>
          <w:rFonts w:ascii="宋体" w:hAnsi="宋体" w:eastAsia="宋体" w:cs="仿宋"/>
          <w:b w:val="0"/>
          <w:bCs w:val="0"/>
          <w:color w:val="auto"/>
          <w:sz w:val="24"/>
          <w:szCs w:val="24"/>
          <w:highlight w:val="none"/>
        </w:rPr>
      </w:pPr>
      <w:r>
        <w:rPr>
          <w:rFonts w:hint="eastAsia" w:ascii="宋体" w:hAnsi="宋体" w:eastAsia="宋体" w:cs="仿宋"/>
          <w:b w:val="0"/>
          <w:bCs w:val="0"/>
          <w:color w:val="auto"/>
          <w:sz w:val="24"/>
          <w:szCs w:val="24"/>
          <w:highlight w:val="none"/>
        </w:rPr>
        <w:t>（</w:t>
      </w:r>
      <w:r>
        <w:rPr>
          <w:rFonts w:ascii="宋体" w:hAnsi="宋体" w:eastAsia="宋体" w:cs="仿宋"/>
          <w:b w:val="0"/>
          <w:bCs w:val="0"/>
          <w:color w:val="auto"/>
          <w:sz w:val="24"/>
          <w:szCs w:val="24"/>
          <w:highlight w:val="none"/>
        </w:rPr>
        <w:t>5</w:t>
      </w:r>
      <w:r>
        <w:rPr>
          <w:rFonts w:hint="eastAsia" w:ascii="宋体" w:hAnsi="宋体" w:eastAsia="宋体" w:cs="仿宋"/>
          <w:b w:val="0"/>
          <w:bCs w:val="0"/>
          <w:color w:val="auto"/>
          <w:sz w:val="24"/>
          <w:szCs w:val="24"/>
          <w:highlight w:val="none"/>
        </w:rPr>
        <w:t>）成交候选供应商恶意串通。</w:t>
      </w:r>
    </w:p>
    <w:p>
      <w:pPr>
        <w:pStyle w:val="4"/>
        <w:keepNext w:val="0"/>
        <w:keepLines w:val="0"/>
        <w:spacing w:before="0" w:after="0" w:line="360" w:lineRule="auto"/>
        <w:ind w:firstLine="480" w:firstLineChars="200"/>
        <w:rPr>
          <w:color w:val="auto"/>
          <w:highlight w:val="none"/>
        </w:rPr>
      </w:pPr>
      <w:r>
        <w:rPr>
          <w:rFonts w:hint="eastAsia" w:ascii="宋体" w:hAnsi="宋体" w:eastAsia="宋体" w:cs="仿宋"/>
          <w:b w:val="0"/>
          <w:bCs w:val="0"/>
          <w:color w:val="auto"/>
          <w:sz w:val="24"/>
          <w:szCs w:val="24"/>
          <w:highlight w:val="none"/>
        </w:rPr>
        <w:t>成交候选供应商有本条情形之一的，采购人可以确定后一位成交候选供应商为成交供应商，依次类推。无法确定成交供应商的，应当重新组织采购。</w:t>
      </w:r>
    </w:p>
    <w:p>
      <w:pPr>
        <w:pStyle w:val="4"/>
        <w:keepNext w:val="0"/>
        <w:keepLines w:val="0"/>
        <w:spacing w:before="0" w:after="0" w:line="360" w:lineRule="auto"/>
        <w:ind w:firstLine="482" w:firstLineChars="200"/>
        <w:rPr>
          <w:rFonts w:ascii="宋体" w:hAnsi="宋体" w:eastAsia="宋体"/>
          <w:color w:val="auto"/>
          <w:sz w:val="24"/>
          <w:szCs w:val="24"/>
          <w:highlight w:val="none"/>
        </w:rPr>
      </w:pPr>
      <w:r>
        <w:rPr>
          <w:rFonts w:ascii="宋体" w:hAnsi="宋体" w:eastAsia="宋体" w:cs="仿宋"/>
          <w:color w:val="auto"/>
          <w:sz w:val="24"/>
          <w:szCs w:val="24"/>
          <w:highlight w:val="none"/>
        </w:rPr>
        <w:t>2</w:t>
      </w:r>
      <w:r>
        <w:rPr>
          <w:rFonts w:hint="eastAsia" w:ascii="宋体" w:hAnsi="宋体" w:eastAsia="宋体" w:cs="仿宋"/>
          <w:color w:val="auto"/>
          <w:sz w:val="24"/>
          <w:szCs w:val="24"/>
          <w:highlight w:val="none"/>
        </w:rPr>
        <w:t>7</w:t>
      </w:r>
      <w:r>
        <w:rPr>
          <w:rFonts w:ascii="宋体" w:hAnsi="宋体" w:eastAsia="宋体" w:cs="仿宋"/>
          <w:color w:val="auto"/>
          <w:sz w:val="24"/>
          <w:szCs w:val="24"/>
          <w:highlight w:val="none"/>
        </w:rPr>
        <w:t>.</w:t>
      </w:r>
      <w:r>
        <w:rPr>
          <w:rFonts w:hint="eastAsia" w:ascii="宋体" w:hAnsi="宋体" w:eastAsia="宋体" w:cs="仿宋"/>
          <w:color w:val="auto"/>
          <w:sz w:val="24"/>
          <w:szCs w:val="24"/>
          <w:highlight w:val="none"/>
        </w:rPr>
        <w:t>成交结果</w:t>
      </w:r>
    </w:p>
    <w:p>
      <w:pPr>
        <w:pStyle w:val="4"/>
        <w:keepNext w:val="0"/>
        <w:keepLines w:val="0"/>
        <w:spacing w:before="0" w:after="0" w:line="360" w:lineRule="auto"/>
        <w:ind w:firstLine="480" w:firstLineChars="200"/>
        <w:rPr>
          <w:rFonts w:ascii="宋体" w:hAnsi="宋体" w:eastAsia="宋体"/>
          <w:b w:val="0"/>
          <w:bCs w:val="0"/>
          <w:color w:val="auto"/>
          <w:sz w:val="24"/>
          <w:szCs w:val="24"/>
          <w:highlight w:val="none"/>
        </w:rPr>
      </w:pPr>
      <w:r>
        <w:rPr>
          <w:rFonts w:ascii="宋体" w:hAnsi="宋体" w:eastAsia="宋体" w:cs="仿宋"/>
          <w:b w:val="0"/>
          <w:bCs w:val="0"/>
          <w:color w:val="auto"/>
          <w:sz w:val="24"/>
          <w:szCs w:val="24"/>
          <w:highlight w:val="none"/>
        </w:rPr>
        <w:t>2</w:t>
      </w:r>
      <w:r>
        <w:rPr>
          <w:rFonts w:hint="eastAsia" w:ascii="宋体" w:hAnsi="宋体" w:eastAsia="宋体" w:cs="仿宋"/>
          <w:b w:val="0"/>
          <w:bCs w:val="0"/>
          <w:color w:val="auto"/>
          <w:sz w:val="24"/>
          <w:szCs w:val="24"/>
          <w:highlight w:val="none"/>
        </w:rPr>
        <w:t>7</w:t>
      </w:r>
      <w:r>
        <w:rPr>
          <w:rFonts w:ascii="宋体" w:hAnsi="宋体" w:eastAsia="宋体" w:cs="仿宋"/>
          <w:b w:val="0"/>
          <w:bCs w:val="0"/>
          <w:color w:val="auto"/>
          <w:sz w:val="24"/>
          <w:szCs w:val="24"/>
          <w:highlight w:val="none"/>
        </w:rPr>
        <w:t>.1</w:t>
      </w:r>
      <w:r>
        <w:rPr>
          <w:rFonts w:hint="eastAsia" w:ascii="宋体" w:hAnsi="宋体" w:eastAsia="宋体" w:cs="仿宋"/>
          <w:b w:val="0"/>
          <w:bCs w:val="0"/>
          <w:color w:val="auto"/>
          <w:sz w:val="24"/>
          <w:szCs w:val="24"/>
          <w:highlight w:val="none"/>
        </w:rPr>
        <w:t>采购人确定成交供应商后，将及时书面通知采购代理机构，由采购代理机构发出成交通知书并发布成交结果公告。</w:t>
      </w:r>
    </w:p>
    <w:p>
      <w:pPr>
        <w:spacing w:line="360" w:lineRule="auto"/>
        <w:ind w:firstLine="480" w:firstLineChars="200"/>
        <w:rPr>
          <w:rFonts w:ascii="宋体" w:hAnsi="宋体"/>
          <w:color w:val="auto"/>
          <w:sz w:val="24"/>
          <w:highlight w:val="none"/>
        </w:rPr>
      </w:pPr>
      <w:r>
        <w:rPr>
          <w:rFonts w:ascii="宋体" w:hAnsi="宋体" w:cs="仿宋"/>
          <w:color w:val="auto"/>
          <w:sz w:val="24"/>
          <w:highlight w:val="none"/>
        </w:rPr>
        <w:t>2</w:t>
      </w:r>
      <w:r>
        <w:rPr>
          <w:rFonts w:hint="eastAsia" w:ascii="宋体" w:hAnsi="宋体" w:cs="仿宋"/>
          <w:color w:val="auto"/>
          <w:sz w:val="24"/>
          <w:highlight w:val="none"/>
        </w:rPr>
        <w:t>7</w:t>
      </w:r>
      <w:r>
        <w:rPr>
          <w:rFonts w:ascii="宋体" w:hAnsi="宋体" w:cs="仿宋"/>
          <w:color w:val="auto"/>
          <w:sz w:val="24"/>
          <w:highlight w:val="none"/>
        </w:rPr>
        <w:t>.2</w:t>
      </w:r>
      <w:r>
        <w:rPr>
          <w:rFonts w:hint="eastAsia" w:ascii="宋体" w:hAnsi="宋体" w:cs="仿宋"/>
          <w:color w:val="auto"/>
          <w:sz w:val="24"/>
          <w:highlight w:val="none"/>
        </w:rPr>
        <w:t>成交供应商应当及时领取成交通知书。本项目需要交纳履约保证金的，成交供应商应当及时向采购人交纳。</w:t>
      </w:r>
    </w:p>
    <w:p>
      <w:pPr>
        <w:spacing w:line="360" w:lineRule="auto"/>
        <w:ind w:firstLine="470" w:firstLineChars="195"/>
        <w:rPr>
          <w:rFonts w:ascii="宋体" w:hAnsi="宋体" w:cs="仿宋"/>
          <w:b/>
          <w:bCs/>
          <w:color w:val="auto"/>
          <w:sz w:val="24"/>
          <w:highlight w:val="none"/>
        </w:rPr>
      </w:pPr>
      <w:r>
        <w:rPr>
          <w:rFonts w:hint="eastAsia" w:ascii="宋体" w:hAnsi="宋体" w:cs="仿宋"/>
          <w:b/>
          <w:bCs/>
          <w:color w:val="auto"/>
          <w:sz w:val="24"/>
          <w:highlight w:val="none"/>
        </w:rPr>
        <w:t>28.成交通知书</w:t>
      </w:r>
    </w:p>
    <w:p>
      <w:pPr>
        <w:spacing w:line="360" w:lineRule="auto"/>
        <w:ind w:firstLine="468" w:firstLineChars="195"/>
        <w:rPr>
          <w:rFonts w:ascii="宋体" w:hAnsi="宋体" w:cs="仿宋"/>
          <w:color w:val="auto"/>
          <w:sz w:val="24"/>
          <w:highlight w:val="none"/>
        </w:rPr>
      </w:pPr>
      <w:r>
        <w:rPr>
          <w:rFonts w:hint="eastAsia" w:ascii="宋体" w:hAnsi="宋体" w:cs="仿宋"/>
          <w:color w:val="auto"/>
          <w:sz w:val="24"/>
          <w:highlight w:val="none"/>
        </w:rPr>
        <w:t>28.1 成交通知书为签订政府采购合同的依据之一，是合同的有效组成部分。</w:t>
      </w:r>
    </w:p>
    <w:p>
      <w:pPr>
        <w:spacing w:line="360" w:lineRule="auto"/>
        <w:ind w:firstLine="468" w:firstLineChars="195"/>
        <w:rPr>
          <w:rFonts w:ascii="宋体" w:hAnsi="宋体" w:cs="仿宋"/>
          <w:color w:val="auto"/>
          <w:sz w:val="24"/>
          <w:highlight w:val="none"/>
        </w:rPr>
      </w:pPr>
      <w:r>
        <w:rPr>
          <w:rFonts w:hint="eastAsia" w:ascii="宋体" w:hAnsi="宋体" w:cs="仿宋"/>
          <w:color w:val="auto"/>
          <w:sz w:val="24"/>
          <w:highlight w:val="none"/>
        </w:rPr>
        <w:t>28.2 成交通知书对采购人和成交人均具有法律效力。成交通知书发出后，采购人改变成交结果，或者成交人无正当理由放弃中标的，应当承担相应的法律责任。</w:t>
      </w:r>
    </w:p>
    <w:p>
      <w:pPr>
        <w:spacing w:line="360" w:lineRule="auto"/>
        <w:ind w:firstLine="468" w:firstLineChars="195"/>
        <w:rPr>
          <w:rFonts w:ascii="宋体" w:hAnsi="宋体" w:cs="仿宋"/>
          <w:color w:val="auto"/>
          <w:sz w:val="24"/>
          <w:highlight w:val="none"/>
        </w:rPr>
      </w:pPr>
      <w:r>
        <w:rPr>
          <w:rFonts w:hint="eastAsia" w:ascii="宋体" w:hAnsi="宋体" w:cs="仿宋"/>
          <w:color w:val="auto"/>
          <w:sz w:val="24"/>
          <w:highlight w:val="none"/>
        </w:rPr>
        <w:t>28.3成交人的响应文件本应作为无效投标处理或者有政府采购法律法规规章制度规定的中标无效情形的，招标采购单位在取得有权主体的认定以后，将宣布发出的成交通知书无效，并收回发出的成交通知书（成交人也应当退回），依法重新确定中标人或者重新开展采购活动。</w:t>
      </w:r>
    </w:p>
    <w:p>
      <w:pPr>
        <w:spacing w:line="360" w:lineRule="auto"/>
        <w:ind w:firstLine="468" w:firstLineChars="195"/>
        <w:rPr>
          <w:rFonts w:ascii="宋体" w:hAnsi="宋体" w:cs="仿宋"/>
          <w:color w:val="auto"/>
          <w:sz w:val="24"/>
          <w:highlight w:val="none"/>
        </w:rPr>
      </w:pPr>
      <w:r>
        <w:rPr>
          <w:rFonts w:hint="eastAsia" w:ascii="宋体" w:hAnsi="宋体" w:cs="仿宋"/>
          <w:color w:val="auto"/>
          <w:sz w:val="24"/>
          <w:highlight w:val="none"/>
        </w:rPr>
        <w:t>28.4结果公告在四川政府采购网上公告后，请成交人凭有效身份证明证件到采购代理机构领取成交通知书。</w:t>
      </w:r>
    </w:p>
    <w:p>
      <w:pPr>
        <w:pStyle w:val="4"/>
        <w:spacing w:line="400" w:lineRule="exact"/>
        <w:jc w:val="center"/>
        <w:rPr>
          <w:rFonts w:ascii="宋体" w:hAnsi="宋体" w:eastAsia="宋体"/>
          <w:bCs w:val="0"/>
          <w:color w:val="auto"/>
          <w:highlight w:val="none"/>
        </w:rPr>
      </w:pPr>
      <w:r>
        <w:rPr>
          <w:rFonts w:hint="eastAsia" w:ascii="宋体" w:hAnsi="宋体" w:eastAsia="宋体"/>
          <w:bCs w:val="0"/>
          <w:color w:val="auto"/>
          <w:highlight w:val="none"/>
        </w:rPr>
        <w:t>七、合同事项</w:t>
      </w:r>
    </w:p>
    <w:p>
      <w:pPr>
        <w:pStyle w:val="4"/>
        <w:keepNext w:val="0"/>
        <w:keepLines w:val="0"/>
        <w:spacing w:before="0" w:after="0" w:line="360" w:lineRule="auto"/>
        <w:ind w:firstLine="472" w:firstLineChars="196"/>
        <w:rPr>
          <w:rFonts w:ascii="宋体" w:hAnsi="宋体" w:eastAsia="宋体"/>
          <w:color w:val="auto"/>
          <w:sz w:val="24"/>
          <w:szCs w:val="24"/>
          <w:highlight w:val="none"/>
        </w:rPr>
      </w:pPr>
      <w:bookmarkStart w:id="62" w:name="_Toc430773927"/>
      <w:bookmarkStart w:id="63" w:name="_Toc101174151"/>
      <w:bookmarkStart w:id="64" w:name="_Toc101250646"/>
      <w:bookmarkStart w:id="65" w:name="_Toc101338364"/>
      <w:bookmarkStart w:id="66" w:name="_Toc209847069"/>
      <w:r>
        <w:rPr>
          <w:rFonts w:ascii="宋体" w:hAnsi="宋体" w:eastAsia="宋体" w:cs="仿宋"/>
          <w:color w:val="auto"/>
          <w:sz w:val="24"/>
          <w:szCs w:val="24"/>
          <w:highlight w:val="none"/>
        </w:rPr>
        <w:t>2</w:t>
      </w:r>
      <w:r>
        <w:rPr>
          <w:rFonts w:hint="eastAsia" w:ascii="宋体" w:hAnsi="宋体" w:eastAsia="宋体" w:cs="仿宋"/>
          <w:color w:val="auto"/>
          <w:sz w:val="24"/>
          <w:szCs w:val="24"/>
          <w:highlight w:val="none"/>
        </w:rPr>
        <w:t>9</w:t>
      </w:r>
      <w:r>
        <w:rPr>
          <w:rFonts w:ascii="宋体" w:hAnsi="宋体" w:eastAsia="宋体" w:cs="仿宋"/>
          <w:color w:val="auto"/>
          <w:sz w:val="24"/>
          <w:szCs w:val="24"/>
          <w:highlight w:val="none"/>
        </w:rPr>
        <w:t>.</w:t>
      </w:r>
      <w:r>
        <w:rPr>
          <w:rFonts w:hint="eastAsia" w:ascii="宋体" w:hAnsi="宋体" w:eastAsia="宋体" w:cs="仿宋"/>
          <w:color w:val="auto"/>
          <w:sz w:val="24"/>
          <w:szCs w:val="24"/>
          <w:highlight w:val="none"/>
        </w:rPr>
        <w:t>签订合同</w:t>
      </w:r>
      <w:bookmarkEnd w:id="62"/>
      <w:bookmarkEnd w:id="63"/>
      <w:bookmarkEnd w:id="64"/>
      <w:bookmarkEnd w:id="65"/>
      <w:bookmarkEnd w:id="66"/>
    </w:p>
    <w:p>
      <w:pPr>
        <w:spacing w:line="360" w:lineRule="auto"/>
        <w:ind w:firstLine="480" w:firstLineChars="200"/>
        <w:rPr>
          <w:rFonts w:ascii="宋体" w:hAnsi="宋体" w:cs="仿宋"/>
          <w:color w:val="auto"/>
          <w:sz w:val="24"/>
          <w:highlight w:val="none"/>
        </w:rPr>
      </w:pPr>
      <w:r>
        <w:rPr>
          <w:rFonts w:ascii="宋体" w:hAnsi="宋体" w:cs="仿宋"/>
          <w:color w:val="auto"/>
          <w:sz w:val="24"/>
          <w:highlight w:val="none"/>
        </w:rPr>
        <w:t>2</w:t>
      </w:r>
      <w:r>
        <w:rPr>
          <w:rFonts w:hint="eastAsia" w:ascii="宋体" w:hAnsi="宋体" w:cs="仿宋"/>
          <w:color w:val="auto"/>
          <w:sz w:val="24"/>
          <w:highlight w:val="none"/>
        </w:rPr>
        <w:t>9</w:t>
      </w:r>
      <w:r>
        <w:rPr>
          <w:rFonts w:ascii="宋体" w:hAnsi="宋体" w:cs="仿宋"/>
          <w:color w:val="auto"/>
          <w:sz w:val="24"/>
          <w:highlight w:val="none"/>
        </w:rPr>
        <w:t xml:space="preserve">.1 </w:t>
      </w:r>
      <w:r>
        <w:rPr>
          <w:rFonts w:hint="eastAsia" w:ascii="宋体" w:hAnsi="宋体" w:cs="仿宋"/>
          <w:color w:val="auto"/>
          <w:sz w:val="24"/>
          <w:highlight w:val="none"/>
        </w:rPr>
        <w:t>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80" w:firstLineChars="200"/>
        <w:rPr>
          <w:rFonts w:ascii="宋体" w:hAnsi="宋体"/>
          <w:color w:val="auto"/>
          <w:sz w:val="24"/>
          <w:highlight w:val="none"/>
        </w:rPr>
      </w:pPr>
      <w:r>
        <w:rPr>
          <w:rFonts w:ascii="宋体" w:hAnsi="宋体" w:cs="仿宋"/>
          <w:color w:val="auto"/>
          <w:sz w:val="24"/>
          <w:highlight w:val="none"/>
        </w:rPr>
        <w:t>2</w:t>
      </w:r>
      <w:r>
        <w:rPr>
          <w:rFonts w:hint="eastAsia" w:ascii="宋体" w:hAnsi="宋体" w:cs="仿宋"/>
          <w:color w:val="auto"/>
          <w:sz w:val="24"/>
          <w:highlight w:val="none"/>
        </w:rPr>
        <w:t>9</w:t>
      </w:r>
      <w:r>
        <w:rPr>
          <w:rFonts w:ascii="宋体" w:hAnsi="宋体" w:cs="仿宋"/>
          <w:color w:val="auto"/>
          <w:sz w:val="24"/>
          <w:highlight w:val="none"/>
        </w:rPr>
        <w:t xml:space="preserve">.2 </w:t>
      </w:r>
      <w:r>
        <w:rPr>
          <w:rFonts w:hint="eastAsia" w:ascii="宋体" w:hAnsi="宋体" w:cs="仿宋"/>
          <w:color w:val="auto"/>
          <w:sz w:val="24"/>
          <w:highlight w:val="none"/>
        </w:rPr>
        <w:t>磋商文件、成交供应商的响应文件及双方确认的澄清文件等，均为有法律约束力的合同组成部分。</w:t>
      </w:r>
    </w:p>
    <w:p>
      <w:pPr>
        <w:spacing w:line="360" w:lineRule="auto"/>
        <w:ind w:firstLine="480" w:firstLineChars="200"/>
        <w:rPr>
          <w:rFonts w:ascii="宋体" w:hAnsi="宋体"/>
          <w:color w:val="auto"/>
          <w:sz w:val="24"/>
          <w:highlight w:val="none"/>
        </w:rPr>
      </w:pPr>
      <w:r>
        <w:rPr>
          <w:rFonts w:ascii="宋体" w:hAnsi="宋体" w:cs="仿宋"/>
          <w:color w:val="auto"/>
          <w:sz w:val="24"/>
          <w:highlight w:val="none"/>
        </w:rPr>
        <w:t>2</w:t>
      </w:r>
      <w:r>
        <w:rPr>
          <w:rFonts w:hint="eastAsia" w:ascii="宋体" w:hAnsi="宋体" w:cs="仿宋"/>
          <w:color w:val="auto"/>
          <w:sz w:val="24"/>
          <w:highlight w:val="none"/>
        </w:rPr>
        <w:t>9</w:t>
      </w:r>
      <w:r>
        <w:rPr>
          <w:rFonts w:ascii="宋体" w:hAnsi="宋体" w:cs="仿宋"/>
          <w:color w:val="auto"/>
          <w:sz w:val="24"/>
          <w:highlight w:val="none"/>
        </w:rPr>
        <w:t xml:space="preserve">.3 </w:t>
      </w:r>
      <w:r>
        <w:rPr>
          <w:rFonts w:hint="eastAsia" w:ascii="宋体" w:hAnsi="宋体" w:cs="仿宋"/>
          <w:color w:val="auto"/>
          <w:sz w:val="24"/>
          <w:highlight w:val="none"/>
        </w:rPr>
        <w:t>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360" w:lineRule="auto"/>
        <w:ind w:firstLine="480" w:firstLineChars="200"/>
        <w:rPr>
          <w:rFonts w:ascii="宋体" w:hAnsi="宋体"/>
          <w:color w:val="auto"/>
          <w:sz w:val="24"/>
          <w:highlight w:val="none"/>
        </w:rPr>
      </w:pPr>
      <w:r>
        <w:rPr>
          <w:rFonts w:ascii="宋体" w:hAnsi="宋体" w:cs="仿宋"/>
          <w:color w:val="auto"/>
          <w:sz w:val="24"/>
          <w:highlight w:val="none"/>
        </w:rPr>
        <w:t>2</w:t>
      </w:r>
      <w:r>
        <w:rPr>
          <w:rFonts w:hint="eastAsia" w:ascii="宋体" w:hAnsi="宋体" w:cs="仿宋"/>
          <w:color w:val="auto"/>
          <w:sz w:val="24"/>
          <w:highlight w:val="none"/>
        </w:rPr>
        <w:t>9</w:t>
      </w:r>
      <w:r>
        <w:rPr>
          <w:rFonts w:ascii="宋体" w:hAnsi="宋体" w:cs="仿宋"/>
          <w:color w:val="auto"/>
          <w:sz w:val="24"/>
          <w:highlight w:val="none"/>
        </w:rPr>
        <w:t xml:space="preserve">.4 </w:t>
      </w:r>
      <w:r>
        <w:rPr>
          <w:rFonts w:hint="eastAsia" w:ascii="宋体" w:hAnsi="宋体" w:cs="仿宋"/>
          <w:color w:val="auto"/>
          <w:sz w:val="24"/>
          <w:highlight w:val="none"/>
        </w:rPr>
        <w:t>成交供应商因不可抗力原因不能履行采购合同或放弃成交的，采购人可以与后一位序的成交候选供应商签订采购合同，依此类推。</w:t>
      </w:r>
    </w:p>
    <w:p>
      <w:pPr>
        <w:spacing w:line="360" w:lineRule="auto"/>
        <w:ind w:firstLine="480" w:firstLineChars="200"/>
        <w:rPr>
          <w:rFonts w:ascii="宋体" w:hAnsi="宋体"/>
          <w:color w:val="auto"/>
          <w:sz w:val="24"/>
          <w:highlight w:val="none"/>
        </w:rPr>
      </w:pPr>
      <w:r>
        <w:rPr>
          <w:rFonts w:ascii="宋体" w:hAnsi="宋体" w:cs="仿宋"/>
          <w:color w:val="auto"/>
          <w:sz w:val="24"/>
          <w:highlight w:val="none"/>
        </w:rPr>
        <w:t>2</w:t>
      </w:r>
      <w:r>
        <w:rPr>
          <w:rFonts w:hint="eastAsia" w:ascii="宋体" w:hAnsi="宋体" w:cs="仿宋"/>
          <w:color w:val="auto"/>
          <w:sz w:val="24"/>
          <w:highlight w:val="none"/>
        </w:rPr>
        <w:t>9</w:t>
      </w:r>
      <w:r>
        <w:rPr>
          <w:rFonts w:ascii="宋体" w:hAnsi="宋体" w:cs="仿宋"/>
          <w:color w:val="auto"/>
          <w:sz w:val="24"/>
          <w:highlight w:val="none"/>
        </w:rPr>
        <w:t>.5</w:t>
      </w:r>
      <w:r>
        <w:rPr>
          <w:rFonts w:hint="eastAsia" w:ascii="宋体" w:hAnsi="宋体" w:cs="仿宋"/>
          <w:color w:val="auto"/>
          <w:sz w:val="24"/>
          <w:highlight w:val="none"/>
        </w:rPr>
        <w:t>竞争性磋商文件、成交供应商提交的响应文件、磋商中的最后报价、成交供应商承诺书、成交通知书等均称为有法律约束力的合同组成内容。</w:t>
      </w:r>
    </w:p>
    <w:p>
      <w:pPr>
        <w:spacing w:line="360" w:lineRule="auto"/>
        <w:ind w:firstLine="482" w:firstLineChars="200"/>
        <w:rPr>
          <w:rFonts w:ascii="宋体" w:hAnsi="宋体"/>
          <w:b/>
          <w:bCs/>
          <w:color w:val="auto"/>
          <w:sz w:val="24"/>
          <w:highlight w:val="none"/>
        </w:rPr>
      </w:pPr>
      <w:r>
        <w:rPr>
          <w:rFonts w:hint="eastAsia" w:ascii="宋体" w:hAnsi="宋体" w:cs="仿宋"/>
          <w:b/>
          <w:bCs/>
          <w:color w:val="auto"/>
          <w:sz w:val="24"/>
          <w:highlight w:val="none"/>
        </w:rPr>
        <w:t>30</w:t>
      </w:r>
      <w:r>
        <w:rPr>
          <w:rFonts w:ascii="宋体" w:hAnsi="宋体" w:cs="仿宋"/>
          <w:b/>
          <w:bCs/>
          <w:color w:val="auto"/>
          <w:sz w:val="24"/>
          <w:highlight w:val="none"/>
        </w:rPr>
        <w:t>.</w:t>
      </w:r>
      <w:r>
        <w:rPr>
          <w:rFonts w:hint="eastAsia" w:ascii="宋体" w:hAnsi="宋体" w:cs="仿宋"/>
          <w:b/>
          <w:bCs/>
          <w:color w:val="auto"/>
          <w:sz w:val="24"/>
          <w:highlight w:val="none"/>
        </w:rPr>
        <w:t>合同分包（实质性要求）</w:t>
      </w:r>
    </w:p>
    <w:p>
      <w:pPr>
        <w:pStyle w:val="4"/>
        <w:keepNext w:val="0"/>
        <w:keepLines w:val="0"/>
        <w:spacing w:before="0" w:after="0" w:line="360" w:lineRule="auto"/>
        <w:ind w:firstLine="480" w:firstLineChars="200"/>
        <w:rPr>
          <w:rFonts w:ascii="宋体" w:hAnsi="宋体" w:eastAsia="宋体" w:cs="仿宋"/>
          <w:b w:val="0"/>
          <w:bCs w:val="0"/>
          <w:color w:val="auto"/>
          <w:sz w:val="24"/>
          <w:szCs w:val="24"/>
          <w:highlight w:val="none"/>
        </w:rPr>
      </w:pPr>
      <w:r>
        <w:rPr>
          <w:rFonts w:hint="eastAsia" w:ascii="宋体" w:hAnsi="宋体" w:eastAsia="宋体" w:cs="仿宋"/>
          <w:b w:val="0"/>
          <w:bCs w:val="0"/>
          <w:color w:val="auto"/>
          <w:sz w:val="24"/>
          <w:szCs w:val="24"/>
          <w:highlight w:val="none"/>
        </w:rPr>
        <w:t>31.1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pStyle w:val="4"/>
        <w:keepNext w:val="0"/>
        <w:keepLines w:val="0"/>
        <w:spacing w:before="0" w:after="0" w:line="360" w:lineRule="auto"/>
        <w:ind w:firstLine="480" w:firstLineChars="200"/>
        <w:rPr>
          <w:rFonts w:ascii="宋体" w:hAnsi="宋体" w:eastAsia="宋体" w:cs="仿宋"/>
          <w:b w:val="0"/>
          <w:bCs w:val="0"/>
          <w:color w:val="auto"/>
          <w:sz w:val="24"/>
          <w:szCs w:val="24"/>
          <w:highlight w:val="none"/>
        </w:rPr>
      </w:pPr>
      <w:r>
        <w:rPr>
          <w:rFonts w:hint="eastAsia" w:ascii="宋体" w:hAnsi="宋体" w:eastAsia="宋体" w:cs="仿宋"/>
          <w:b w:val="0"/>
          <w:bCs w:val="0"/>
          <w:color w:val="auto"/>
          <w:sz w:val="24"/>
          <w:szCs w:val="24"/>
          <w:highlight w:val="none"/>
        </w:rPr>
        <w:t>分包履行合同的部分应当为采购项目的非主体、非关键性工作，不属于成交供应商的主要合同义务。</w:t>
      </w:r>
    </w:p>
    <w:p>
      <w:pPr>
        <w:pStyle w:val="4"/>
        <w:keepNext w:val="0"/>
        <w:keepLines w:val="0"/>
        <w:spacing w:before="0" w:after="0" w:line="360" w:lineRule="auto"/>
        <w:ind w:firstLine="480" w:firstLineChars="200"/>
        <w:rPr>
          <w:rFonts w:ascii="宋体" w:hAnsi="宋体" w:eastAsia="宋体" w:cs="仿宋"/>
          <w:b w:val="0"/>
          <w:bCs w:val="0"/>
          <w:color w:val="auto"/>
          <w:sz w:val="24"/>
          <w:szCs w:val="24"/>
          <w:highlight w:val="none"/>
        </w:rPr>
      </w:pPr>
      <w:r>
        <w:rPr>
          <w:rFonts w:hint="eastAsia" w:ascii="宋体" w:hAnsi="宋体" w:eastAsia="宋体" w:cs="仿宋"/>
          <w:b w:val="0"/>
          <w:bCs w:val="0"/>
          <w:color w:val="auto"/>
          <w:sz w:val="24"/>
          <w:szCs w:val="24"/>
          <w:highlight w:val="none"/>
        </w:rPr>
        <w:t>31.2 采购合同实行分包履行的，成交供应商就采购项目和分包项目向采购人负责，分包供应商就分包项目承担责任。</w:t>
      </w:r>
    </w:p>
    <w:p>
      <w:pPr>
        <w:pStyle w:val="4"/>
        <w:keepNext w:val="0"/>
        <w:keepLines w:val="0"/>
        <w:spacing w:before="0" w:after="0" w:line="360" w:lineRule="auto"/>
        <w:ind w:firstLine="480" w:firstLineChars="200"/>
        <w:rPr>
          <w:rFonts w:ascii="宋体" w:hAnsi="宋体"/>
          <w:color w:val="auto"/>
          <w:sz w:val="24"/>
          <w:highlight w:val="none"/>
        </w:rPr>
      </w:pPr>
      <w:r>
        <w:rPr>
          <w:rFonts w:hint="eastAsia" w:ascii="宋体" w:hAnsi="宋体" w:eastAsia="宋体" w:cs="仿宋"/>
          <w:b w:val="0"/>
          <w:bCs w:val="0"/>
          <w:color w:val="auto"/>
          <w:sz w:val="24"/>
          <w:szCs w:val="24"/>
          <w:highlight w:val="none"/>
        </w:rPr>
        <w:t>31.3中小企业依据《政府采购促进中小企业发展管理办法》（财库〔2020〕46号）规定享受扶持政策获得政府采购合同的，小微企业不得将合同分包给大中型企业，中型企业不得将合同分包给大型企业。</w:t>
      </w:r>
    </w:p>
    <w:p>
      <w:pPr>
        <w:spacing w:line="360" w:lineRule="auto"/>
        <w:ind w:firstLine="482" w:firstLineChars="200"/>
        <w:rPr>
          <w:rFonts w:ascii="宋体" w:hAnsi="宋体"/>
          <w:b/>
          <w:bCs/>
          <w:color w:val="auto"/>
          <w:sz w:val="24"/>
          <w:highlight w:val="none"/>
        </w:rPr>
      </w:pPr>
      <w:r>
        <w:rPr>
          <w:rFonts w:hint="eastAsia" w:ascii="宋体" w:hAnsi="宋体" w:cs="仿宋"/>
          <w:b/>
          <w:bCs/>
          <w:color w:val="auto"/>
          <w:sz w:val="24"/>
          <w:highlight w:val="none"/>
        </w:rPr>
        <w:t>32</w:t>
      </w:r>
      <w:r>
        <w:rPr>
          <w:rFonts w:ascii="宋体" w:hAnsi="宋体" w:cs="仿宋"/>
          <w:b/>
          <w:bCs/>
          <w:color w:val="auto"/>
          <w:sz w:val="24"/>
          <w:highlight w:val="none"/>
        </w:rPr>
        <w:t>.</w:t>
      </w:r>
      <w:r>
        <w:rPr>
          <w:rFonts w:hint="eastAsia" w:ascii="宋体" w:hAnsi="宋体" w:cs="仿宋"/>
          <w:b/>
          <w:bCs/>
          <w:color w:val="auto"/>
          <w:sz w:val="24"/>
          <w:highlight w:val="none"/>
        </w:rPr>
        <w:t>合同转包（实质性要求）</w:t>
      </w:r>
    </w:p>
    <w:p>
      <w:pPr>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本采购项目严禁成交供应商将任何政府采购合同义务转包。本项目所称转包，是指成交供应商将政府采购合同义务转让给第三人，并退出现有政府采购合同当事人双方的权利义务关系，受让人（即第三人）实质成为政府采购合同的另一方当事人的行为。</w:t>
      </w:r>
    </w:p>
    <w:p>
      <w:pPr>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成交供应商转包的，视同拒绝履行政府采购合同义务，将依法追究法律责任。</w:t>
      </w:r>
    </w:p>
    <w:p>
      <w:pPr>
        <w:spacing w:line="360" w:lineRule="auto"/>
        <w:ind w:firstLine="482" w:firstLineChars="200"/>
        <w:rPr>
          <w:rFonts w:ascii="宋体" w:hAnsi="宋体"/>
          <w:b/>
          <w:bCs/>
          <w:color w:val="auto"/>
          <w:sz w:val="24"/>
          <w:highlight w:val="none"/>
        </w:rPr>
      </w:pPr>
      <w:r>
        <w:rPr>
          <w:rFonts w:hint="eastAsia" w:ascii="宋体" w:hAnsi="宋体" w:cs="仿宋"/>
          <w:b/>
          <w:bCs/>
          <w:color w:val="auto"/>
          <w:sz w:val="24"/>
          <w:highlight w:val="none"/>
        </w:rPr>
        <w:t>33</w:t>
      </w:r>
      <w:r>
        <w:rPr>
          <w:rFonts w:ascii="宋体" w:hAnsi="宋体" w:cs="仿宋"/>
          <w:b/>
          <w:bCs/>
          <w:color w:val="auto"/>
          <w:sz w:val="24"/>
          <w:highlight w:val="none"/>
        </w:rPr>
        <w:t>.</w:t>
      </w:r>
      <w:r>
        <w:rPr>
          <w:rFonts w:hint="eastAsia" w:ascii="宋体" w:hAnsi="宋体" w:cs="仿宋"/>
          <w:b/>
          <w:bCs/>
          <w:color w:val="auto"/>
          <w:sz w:val="24"/>
          <w:highlight w:val="none"/>
        </w:rPr>
        <w:t>补充合同</w:t>
      </w:r>
    </w:p>
    <w:p>
      <w:pPr>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spacing w:line="360" w:lineRule="auto"/>
        <w:ind w:firstLine="482" w:firstLineChars="200"/>
        <w:rPr>
          <w:rFonts w:ascii="宋体" w:hAnsi="宋体"/>
          <w:b/>
          <w:bCs/>
          <w:color w:val="auto"/>
          <w:sz w:val="24"/>
          <w:highlight w:val="none"/>
        </w:rPr>
      </w:pPr>
      <w:r>
        <w:rPr>
          <w:rFonts w:ascii="宋体" w:hAnsi="宋体" w:cs="仿宋"/>
          <w:b/>
          <w:bCs/>
          <w:color w:val="auto"/>
          <w:sz w:val="24"/>
          <w:highlight w:val="none"/>
        </w:rPr>
        <w:t>3</w:t>
      </w:r>
      <w:r>
        <w:rPr>
          <w:rFonts w:hint="eastAsia" w:ascii="宋体" w:hAnsi="宋体" w:cs="仿宋"/>
          <w:b/>
          <w:bCs/>
          <w:color w:val="auto"/>
          <w:sz w:val="24"/>
          <w:highlight w:val="none"/>
        </w:rPr>
        <w:t>4</w:t>
      </w:r>
      <w:r>
        <w:rPr>
          <w:rFonts w:ascii="宋体" w:hAnsi="宋体" w:cs="仿宋"/>
          <w:b/>
          <w:bCs/>
          <w:color w:val="auto"/>
          <w:sz w:val="24"/>
          <w:highlight w:val="none"/>
        </w:rPr>
        <w:t>.</w:t>
      </w:r>
      <w:r>
        <w:rPr>
          <w:rFonts w:hint="eastAsia" w:ascii="宋体" w:hAnsi="宋体" w:cs="仿宋"/>
          <w:b/>
          <w:bCs/>
          <w:color w:val="auto"/>
          <w:sz w:val="24"/>
          <w:highlight w:val="none"/>
        </w:rPr>
        <w:t>履约保证金（实质性要求）</w:t>
      </w:r>
    </w:p>
    <w:p>
      <w:pPr>
        <w:spacing w:line="360" w:lineRule="auto"/>
        <w:ind w:firstLine="480" w:firstLineChars="200"/>
        <w:rPr>
          <w:rFonts w:ascii="宋体" w:hAnsi="宋体"/>
          <w:color w:val="auto"/>
          <w:sz w:val="24"/>
          <w:highlight w:val="none"/>
        </w:rPr>
      </w:pPr>
      <w:r>
        <w:rPr>
          <w:rFonts w:ascii="宋体" w:hAnsi="宋体" w:cs="仿宋"/>
          <w:color w:val="auto"/>
          <w:sz w:val="24"/>
          <w:highlight w:val="none"/>
        </w:rPr>
        <w:t>3</w:t>
      </w:r>
      <w:r>
        <w:rPr>
          <w:rFonts w:hint="eastAsia" w:ascii="宋体" w:hAnsi="宋体" w:cs="仿宋"/>
          <w:color w:val="auto"/>
          <w:sz w:val="24"/>
          <w:highlight w:val="none"/>
        </w:rPr>
        <w:t>4</w:t>
      </w:r>
      <w:r>
        <w:rPr>
          <w:rFonts w:ascii="宋体" w:hAnsi="宋体" w:cs="仿宋"/>
          <w:color w:val="auto"/>
          <w:sz w:val="24"/>
          <w:highlight w:val="none"/>
        </w:rPr>
        <w:t xml:space="preserve">.1 </w:t>
      </w:r>
      <w:r>
        <w:rPr>
          <w:rFonts w:hint="eastAsia" w:ascii="宋体" w:hAnsi="宋体" w:cs="仿宋"/>
          <w:color w:val="auto"/>
          <w:sz w:val="24"/>
          <w:highlight w:val="none"/>
        </w:rPr>
        <w:t>成交供应商应在合同签订之前交纳竞争性磋商文件规定数额的履约保证金。</w:t>
      </w:r>
    </w:p>
    <w:p>
      <w:pPr>
        <w:spacing w:line="360" w:lineRule="auto"/>
        <w:ind w:firstLine="480" w:firstLineChars="200"/>
        <w:rPr>
          <w:rFonts w:ascii="宋体" w:hAnsi="宋体"/>
          <w:color w:val="auto"/>
          <w:sz w:val="24"/>
          <w:highlight w:val="none"/>
        </w:rPr>
      </w:pPr>
      <w:r>
        <w:rPr>
          <w:rFonts w:ascii="宋体" w:hAnsi="宋体" w:cs="仿宋"/>
          <w:color w:val="auto"/>
          <w:sz w:val="24"/>
          <w:highlight w:val="none"/>
        </w:rPr>
        <w:t>3</w:t>
      </w:r>
      <w:r>
        <w:rPr>
          <w:rFonts w:hint="eastAsia" w:ascii="宋体" w:hAnsi="宋体" w:cs="仿宋"/>
          <w:color w:val="auto"/>
          <w:sz w:val="24"/>
          <w:highlight w:val="none"/>
        </w:rPr>
        <w:t>4</w:t>
      </w:r>
      <w:r>
        <w:rPr>
          <w:rFonts w:ascii="宋体" w:hAnsi="宋体" w:cs="仿宋"/>
          <w:color w:val="auto"/>
          <w:sz w:val="24"/>
          <w:highlight w:val="none"/>
        </w:rPr>
        <w:t xml:space="preserve">.2 </w:t>
      </w:r>
      <w:r>
        <w:rPr>
          <w:rFonts w:hint="eastAsia" w:ascii="宋体" w:hAnsi="宋体" w:cs="仿宋"/>
          <w:color w:val="auto"/>
          <w:sz w:val="24"/>
          <w:highlight w:val="none"/>
        </w:rPr>
        <w:t>如果成交供应商在规定的合同签订时间内，没有按照采购文件的规定交纳履约保证金，且又无正当理由的，将视为放弃成交。</w:t>
      </w:r>
    </w:p>
    <w:p>
      <w:pPr>
        <w:spacing w:line="360" w:lineRule="auto"/>
        <w:ind w:firstLine="482" w:firstLineChars="200"/>
        <w:rPr>
          <w:rFonts w:ascii="宋体" w:hAnsi="宋体"/>
          <w:b/>
          <w:bCs/>
          <w:color w:val="auto"/>
          <w:sz w:val="24"/>
          <w:highlight w:val="none"/>
        </w:rPr>
      </w:pPr>
      <w:r>
        <w:rPr>
          <w:rFonts w:ascii="宋体" w:hAnsi="宋体" w:cs="仿宋"/>
          <w:b/>
          <w:bCs/>
          <w:color w:val="auto"/>
          <w:sz w:val="24"/>
          <w:highlight w:val="none"/>
        </w:rPr>
        <w:t>3</w:t>
      </w:r>
      <w:r>
        <w:rPr>
          <w:rFonts w:hint="eastAsia" w:ascii="宋体" w:hAnsi="宋体" w:cs="仿宋"/>
          <w:b/>
          <w:bCs/>
          <w:color w:val="auto"/>
          <w:sz w:val="24"/>
          <w:highlight w:val="none"/>
        </w:rPr>
        <w:t>5</w:t>
      </w:r>
      <w:r>
        <w:rPr>
          <w:rFonts w:ascii="宋体" w:hAnsi="宋体" w:cs="仿宋"/>
          <w:b/>
          <w:bCs/>
          <w:color w:val="auto"/>
          <w:sz w:val="24"/>
          <w:highlight w:val="none"/>
        </w:rPr>
        <w:t>.</w:t>
      </w:r>
      <w:r>
        <w:rPr>
          <w:rFonts w:hint="eastAsia" w:ascii="宋体" w:hAnsi="宋体" w:cs="仿宋"/>
          <w:b/>
          <w:bCs/>
          <w:color w:val="auto"/>
          <w:sz w:val="24"/>
          <w:highlight w:val="none"/>
        </w:rPr>
        <w:t>合同公告</w:t>
      </w:r>
    </w:p>
    <w:p>
      <w:pPr>
        <w:spacing w:line="360" w:lineRule="auto"/>
        <w:ind w:firstLine="480" w:firstLineChars="200"/>
        <w:rPr>
          <w:rFonts w:ascii="宋体" w:hAnsi="宋体" w:cs="仿宋"/>
          <w:color w:val="auto"/>
          <w:sz w:val="24"/>
          <w:highlight w:val="none"/>
        </w:rPr>
      </w:pPr>
      <w:r>
        <w:rPr>
          <w:rFonts w:hint="eastAsia" w:ascii="宋体" w:hAnsi="宋体" w:cs="仿宋"/>
          <w:color w:val="auto"/>
          <w:sz w:val="24"/>
          <w:highlight w:val="none"/>
        </w:rPr>
        <w:t>采购人应当自政府采购合同签订（双方当事人均已签字盖章）之日起</w:t>
      </w:r>
      <w:r>
        <w:rPr>
          <w:rFonts w:ascii="宋体" w:hAnsi="宋体" w:cs="仿宋"/>
          <w:color w:val="auto"/>
          <w:sz w:val="24"/>
          <w:highlight w:val="none"/>
        </w:rPr>
        <w:t>2</w:t>
      </w:r>
      <w:r>
        <w:rPr>
          <w:rFonts w:hint="eastAsia" w:ascii="宋体" w:hAnsi="宋体" w:cs="仿宋"/>
          <w:color w:val="auto"/>
          <w:sz w:val="24"/>
          <w:highlight w:val="none"/>
        </w:rPr>
        <w:t>个工作日内，将政府采购合同在省级以上人民政府财政部门指定的媒体上公告（四川政府采购网），但政府采购合同中涉及国家秘密、商业秘密的内容除外。</w:t>
      </w:r>
    </w:p>
    <w:p>
      <w:pPr>
        <w:spacing w:line="360" w:lineRule="auto"/>
        <w:ind w:firstLine="482" w:firstLineChars="200"/>
        <w:rPr>
          <w:rFonts w:ascii="宋体" w:hAnsi="宋体"/>
          <w:b/>
          <w:bCs/>
          <w:color w:val="auto"/>
          <w:sz w:val="24"/>
          <w:highlight w:val="none"/>
        </w:rPr>
      </w:pPr>
      <w:r>
        <w:rPr>
          <w:rFonts w:ascii="宋体" w:hAnsi="宋体" w:cs="仿宋"/>
          <w:b/>
          <w:bCs/>
          <w:color w:val="auto"/>
          <w:sz w:val="24"/>
          <w:highlight w:val="none"/>
        </w:rPr>
        <w:t>3</w:t>
      </w:r>
      <w:r>
        <w:rPr>
          <w:rFonts w:hint="eastAsia" w:ascii="宋体" w:hAnsi="宋体" w:cs="仿宋"/>
          <w:b/>
          <w:bCs/>
          <w:color w:val="auto"/>
          <w:sz w:val="24"/>
          <w:highlight w:val="none"/>
        </w:rPr>
        <w:t>6</w:t>
      </w:r>
      <w:r>
        <w:rPr>
          <w:rFonts w:ascii="宋体" w:hAnsi="宋体" w:cs="仿宋"/>
          <w:b/>
          <w:bCs/>
          <w:color w:val="auto"/>
          <w:sz w:val="24"/>
          <w:highlight w:val="none"/>
        </w:rPr>
        <w:t>.</w:t>
      </w:r>
      <w:r>
        <w:rPr>
          <w:rFonts w:hint="eastAsia" w:ascii="宋体" w:hAnsi="宋体" w:cs="仿宋"/>
          <w:b/>
          <w:bCs/>
          <w:color w:val="auto"/>
          <w:sz w:val="24"/>
          <w:highlight w:val="none"/>
        </w:rPr>
        <w:t>合同备案</w:t>
      </w:r>
    </w:p>
    <w:p>
      <w:pPr>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采购人应当将政府采购合同副本自签订之日起七个工作日内通过政采云平台报同级财政部门备案。</w:t>
      </w:r>
    </w:p>
    <w:p>
      <w:pPr>
        <w:spacing w:line="360" w:lineRule="auto"/>
        <w:ind w:firstLine="482" w:firstLineChars="200"/>
        <w:rPr>
          <w:rFonts w:ascii="宋体" w:hAnsi="宋体"/>
          <w:b/>
          <w:bCs/>
          <w:color w:val="auto"/>
          <w:sz w:val="24"/>
          <w:highlight w:val="none"/>
        </w:rPr>
      </w:pPr>
      <w:r>
        <w:rPr>
          <w:rFonts w:ascii="宋体" w:hAnsi="宋体" w:cs="仿宋"/>
          <w:b/>
          <w:bCs/>
          <w:color w:val="auto"/>
          <w:sz w:val="24"/>
          <w:highlight w:val="none"/>
        </w:rPr>
        <w:t>3</w:t>
      </w:r>
      <w:r>
        <w:rPr>
          <w:rFonts w:hint="eastAsia" w:ascii="宋体" w:hAnsi="宋体" w:cs="仿宋"/>
          <w:b/>
          <w:bCs/>
          <w:color w:val="auto"/>
          <w:sz w:val="24"/>
          <w:highlight w:val="none"/>
        </w:rPr>
        <w:t>7</w:t>
      </w:r>
      <w:r>
        <w:rPr>
          <w:rFonts w:ascii="宋体" w:hAnsi="宋体" w:cs="仿宋"/>
          <w:b/>
          <w:bCs/>
          <w:color w:val="auto"/>
          <w:sz w:val="24"/>
          <w:highlight w:val="none"/>
        </w:rPr>
        <w:t>.</w:t>
      </w:r>
      <w:r>
        <w:rPr>
          <w:rFonts w:hint="eastAsia" w:ascii="宋体" w:hAnsi="宋体" w:cs="仿宋"/>
          <w:b/>
          <w:bCs/>
          <w:color w:val="auto"/>
          <w:sz w:val="24"/>
          <w:highlight w:val="none"/>
        </w:rPr>
        <w:t>履行合同</w:t>
      </w:r>
    </w:p>
    <w:p>
      <w:pPr>
        <w:spacing w:line="360" w:lineRule="auto"/>
        <w:ind w:firstLine="480" w:firstLineChars="200"/>
        <w:rPr>
          <w:rFonts w:ascii="宋体" w:hAnsi="宋体"/>
          <w:color w:val="auto"/>
          <w:sz w:val="24"/>
          <w:highlight w:val="none"/>
        </w:rPr>
      </w:pPr>
      <w:r>
        <w:rPr>
          <w:rFonts w:ascii="宋体" w:hAnsi="宋体" w:cs="仿宋"/>
          <w:color w:val="auto"/>
          <w:sz w:val="24"/>
          <w:highlight w:val="none"/>
        </w:rPr>
        <w:t>3</w:t>
      </w:r>
      <w:r>
        <w:rPr>
          <w:rFonts w:hint="eastAsia" w:ascii="宋体" w:hAnsi="宋体" w:cs="仿宋"/>
          <w:color w:val="auto"/>
          <w:sz w:val="24"/>
          <w:highlight w:val="none"/>
        </w:rPr>
        <w:t>7</w:t>
      </w:r>
      <w:r>
        <w:rPr>
          <w:rFonts w:ascii="宋体" w:hAnsi="宋体" w:cs="仿宋"/>
          <w:color w:val="auto"/>
          <w:sz w:val="24"/>
          <w:highlight w:val="none"/>
        </w:rPr>
        <w:t xml:space="preserve">.1 </w:t>
      </w:r>
      <w:r>
        <w:rPr>
          <w:rFonts w:hint="eastAsia" w:ascii="宋体" w:hAnsi="宋体" w:cs="仿宋"/>
          <w:color w:val="auto"/>
          <w:sz w:val="24"/>
          <w:highlight w:val="none"/>
        </w:rPr>
        <w:t>成交供应商与采购人签订合同后，合同双方应严格执行合同条款，履行合同规定的义务，保证合同的顺利完成。</w:t>
      </w:r>
    </w:p>
    <w:p>
      <w:pPr>
        <w:spacing w:line="360" w:lineRule="auto"/>
        <w:ind w:firstLine="480" w:firstLineChars="200"/>
        <w:rPr>
          <w:rFonts w:ascii="宋体" w:hAnsi="宋体"/>
          <w:color w:val="auto"/>
          <w:sz w:val="24"/>
          <w:highlight w:val="none"/>
        </w:rPr>
      </w:pPr>
      <w:r>
        <w:rPr>
          <w:rFonts w:ascii="宋体" w:hAnsi="宋体" w:cs="仿宋"/>
          <w:color w:val="auto"/>
          <w:sz w:val="24"/>
          <w:highlight w:val="none"/>
        </w:rPr>
        <w:t>3</w:t>
      </w:r>
      <w:r>
        <w:rPr>
          <w:rFonts w:hint="eastAsia" w:ascii="宋体" w:hAnsi="宋体" w:cs="仿宋"/>
          <w:color w:val="auto"/>
          <w:sz w:val="24"/>
          <w:highlight w:val="none"/>
        </w:rPr>
        <w:t>7</w:t>
      </w:r>
      <w:r>
        <w:rPr>
          <w:rFonts w:ascii="宋体" w:hAnsi="宋体" w:cs="仿宋"/>
          <w:color w:val="auto"/>
          <w:sz w:val="24"/>
          <w:highlight w:val="none"/>
        </w:rPr>
        <w:t xml:space="preserve">.2 </w:t>
      </w:r>
      <w:r>
        <w:rPr>
          <w:rFonts w:hint="eastAsia" w:ascii="宋体" w:hAnsi="宋体" w:cs="仿宋"/>
          <w:color w:val="auto"/>
          <w:sz w:val="24"/>
          <w:highlight w:val="none"/>
        </w:rPr>
        <w:t>在合同履行过程中，如发生合同纠纷，合同双方应按照合同约定及《中华人民共和国民法典》的有关规定进行处理。</w:t>
      </w:r>
    </w:p>
    <w:p>
      <w:pPr>
        <w:spacing w:line="360" w:lineRule="auto"/>
        <w:ind w:firstLine="482" w:firstLineChars="200"/>
        <w:rPr>
          <w:rFonts w:ascii="宋体" w:hAnsi="宋体"/>
          <w:b/>
          <w:bCs/>
          <w:color w:val="auto"/>
          <w:sz w:val="24"/>
          <w:highlight w:val="none"/>
        </w:rPr>
      </w:pPr>
      <w:r>
        <w:rPr>
          <w:rFonts w:ascii="宋体" w:hAnsi="宋体" w:cs="仿宋"/>
          <w:b/>
          <w:bCs/>
          <w:color w:val="auto"/>
          <w:sz w:val="24"/>
          <w:highlight w:val="none"/>
        </w:rPr>
        <w:t>3</w:t>
      </w:r>
      <w:r>
        <w:rPr>
          <w:rFonts w:hint="eastAsia" w:ascii="宋体" w:hAnsi="宋体" w:cs="仿宋"/>
          <w:b/>
          <w:bCs/>
          <w:color w:val="auto"/>
          <w:sz w:val="24"/>
          <w:highlight w:val="none"/>
        </w:rPr>
        <w:t>8</w:t>
      </w:r>
      <w:r>
        <w:rPr>
          <w:rFonts w:ascii="宋体" w:hAnsi="宋体" w:cs="仿宋"/>
          <w:b/>
          <w:bCs/>
          <w:color w:val="auto"/>
          <w:sz w:val="24"/>
          <w:highlight w:val="none"/>
        </w:rPr>
        <w:t>.</w:t>
      </w:r>
      <w:r>
        <w:rPr>
          <w:rFonts w:hint="eastAsia" w:ascii="宋体" w:hAnsi="宋体" w:cs="仿宋"/>
          <w:b/>
          <w:bCs/>
          <w:color w:val="auto"/>
          <w:sz w:val="24"/>
          <w:highlight w:val="none"/>
        </w:rPr>
        <w:t>验收</w:t>
      </w:r>
    </w:p>
    <w:p>
      <w:pPr>
        <w:spacing w:line="360" w:lineRule="auto"/>
        <w:ind w:firstLine="480" w:firstLineChars="200"/>
        <w:rPr>
          <w:rFonts w:ascii="宋体" w:hAnsi="宋体"/>
          <w:color w:val="auto"/>
          <w:sz w:val="24"/>
          <w:highlight w:val="none"/>
        </w:rPr>
      </w:pPr>
      <w:r>
        <w:rPr>
          <w:rFonts w:ascii="宋体" w:hAnsi="宋体" w:cs="仿宋"/>
          <w:color w:val="auto"/>
          <w:sz w:val="24"/>
          <w:highlight w:val="none"/>
        </w:rPr>
        <w:t>3</w:t>
      </w:r>
      <w:r>
        <w:rPr>
          <w:rFonts w:hint="eastAsia" w:ascii="宋体" w:hAnsi="宋体" w:cs="仿宋"/>
          <w:color w:val="auto"/>
          <w:sz w:val="24"/>
          <w:highlight w:val="none"/>
        </w:rPr>
        <w:t>8</w:t>
      </w:r>
      <w:r>
        <w:rPr>
          <w:rFonts w:ascii="宋体" w:hAnsi="宋体" w:cs="仿宋"/>
          <w:color w:val="auto"/>
          <w:sz w:val="24"/>
          <w:highlight w:val="none"/>
        </w:rPr>
        <w:t>.1</w:t>
      </w:r>
      <w:r>
        <w:rPr>
          <w:rFonts w:hint="eastAsia" w:ascii="宋体" w:hAnsi="宋体"/>
          <w:color w:val="auto"/>
          <w:sz w:val="24"/>
          <w:highlight w:val="none"/>
        </w:rPr>
        <w:t>本项目采购人及其委托的采购代理机构将严格按照政府采购相关法律法规以及</w:t>
      </w:r>
      <w:r>
        <w:rPr>
          <w:rFonts w:hint="eastAsia" w:ascii="宋体" w:hAnsi="宋体" w:cs="仿宋"/>
          <w:color w:val="auto"/>
          <w:sz w:val="24"/>
          <w:highlight w:val="none"/>
        </w:rPr>
        <w:t>《财政部关于进一步加强政府采购需求和履约验收管理的指导意见》（财库[2016]205号</w:t>
      </w:r>
      <w:r>
        <w:rPr>
          <w:rFonts w:hint="eastAsia" w:ascii="宋体" w:hAnsi="宋体"/>
          <w:color w:val="auto"/>
          <w:sz w:val="24"/>
          <w:highlight w:val="none"/>
        </w:rPr>
        <w:t>的要求进行验收。</w:t>
      </w:r>
    </w:p>
    <w:p>
      <w:pPr>
        <w:spacing w:line="360" w:lineRule="auto"/>
        <w:ind w:firstLine="480" w:firstLineChars="200"/>
        <w:rPr>
          <w:rFonts w:ascii="宋体" w:hAnsi="宋体"/>
          <w:color w:val="auto"/>
          <w:sz w:val="24"/>
          <w:highlight w:val="none"/>
        </w:rPr>
      </w:pPr>
      <w:r>
        <w:rPr>
          <w:rFonts w:ascii="宋体" w:hAnsi="宋体" w:cs="仿宋"/>
          <w:color w:val="auto"/>
          <w:sz w:val="24"/>
          <w:highlight w:val="none"/>
        </w:rPr>
        <w:t>3</w:t>
      </w:r>
      <w:r>
        <w:rPr>
          <w:rFonts w:hint="eastAsia" w:ascii="宋体" w:hAnsi="宋体" w:cs="仿宋"/>
          <w:color w:val="auto"/>
          <w:sz w:val="24"/>
          <w:highlight w:val="none"/>
        </w:rPr>
        <w:t>8</w:t>
      </w:r>
      <w:r>
        <w:rPr>
          <w:rFonts w:ascii="宋体" w:hAnsi="宋体" w:cs="仿宋"/>
          <w:color w:val="auto"/>
          <w:sz w:val="24"/>
          <w:highlight w:val="none"/>
        </w:rPr>
        <w:t xml:space="preserve">.2 </w:t>
      </w:r>
      <w:r>
        <w:rPr>
          <w:rFonts w:hint="eastAsia" w:ascii="宋体" w:hAnsi="宋体" w:cs="仿宋"/>
          <w:color w:val="auto"/>
          <w:sz w:val="24"/>
          <w:highlight w:val="none"/>
        </w:rPr>
        <w:t>验收结果合格的，成交供应商凭验收报告办理相关手续；验收结果不合格的，履约保证金将不予退还，也将不予支付采购资金，还可能会报本项目同级财政部门参照政府采购法律法规及《四川省政府采购当事人诚信管理办法》（川财采〔</w:t>
      </w:r>
      <w:r>
        <w:rPr>
          <w:rFonts w:ascii="宋体" w:hAnsi="宋体" w:cs="仿宋"/>
          <w:color w:val="auto"/>
          <w:sz w:val="24"/>
          <w:highlight w:val="none"/>
        </w:rPr>
        <w:t>2015</w:t>
      </w:r>
      <w:r>
        <w:rPr>
          <w:rFonts w:hint="eastAsia" w:ascii="宋体" w:hAnsi="宋体" w:cs="仿宋"/>
          <w:color w:val="auto"/>
          <w:sz w:val="24"/>
          <w:highlight w:val="none"/>
        </w:rPr>
        <w:t>〕</w:t>
      </w:r>
      <w:r>
        <w:rPr>
          <w:rFonts w:ascii="宋体" w:hAnsi="宋体" w:cs="仿宋"/>
          <w:color w:val="auto"/>
          <w:sz w:val="24"/>
          <w:highlight w:val="none"/>
        </w:rPr>
        <w:t>33</w:t>
      </w:r>
      <w:r>
        <w:rPr>
          <w:rFonts w:hint="eastAsia" w:ascii="宋体" w:hAnsi="宋体" w:cs="仿宋"/>
          <w:color w:val="auto"/>
          <w:sz w:val="24"/>
          <w:highlight w:val="none"/>
        </w:rPr>
        <w:t>号）等有关规定给予行政处罚或者以失信行为记入诚信档案。</w:t>
      </w:r>
    </w:p>
    <w:p>
      <w:pPr>
        <w:spacing w:line="360" w:lineRule="auto"/>
        <w:ind w:firstLine="482" w:firstLineChars="200"/>
        <w:rPr>
          <w:rFonts w:ascii="宋体" w:hAnsi="宋体"/>
          <w:b/>
          <w:bCs/>
          <w:color w:val="auto"/>
          <w:sz w:val="24"/>
          <w:highlight w:val="none"/>
        </w:rPr>
      </w:pPr>
      <w:r>
        <w:rPr>
          <w:rFonts w:ascii="宋体" w:hAnsi="宋体" w:cs="仿宋"/>
          <w:b/>
          <w:bCs/>
          <w:color w:val="auto"/>
          <w:sz w:val="24"/>
          <w:highlight w:val="none"/>
        </w:rPr>
        <w:t>3</w:t>
      </w:r>
      <w:r>
        <w:rPr>
          <w:rFonts w:hint="eastAsia" w:ascii="宋体" w:hAnsi="宋体" w:cs="仿宋"/>
          <w:b/>
          <w:bCs/>
          <w:color w:val="auto"/>
          <w:sz w:val="24"/>
          <w:highlight w:val="none"/>
        </w:rPr>
        <w:t>9</w:t>
      </w:r>
      <w:r>
        <w:rPr>
          <w:rFonts w:ascii="宋体" w:hAnsi="宋体" w:cs="仿宋"/>
          <w:b/>
          <w:bCs/>
          <w:color w:val="auto"/>
          <w:sz w:val="24"/>
          <w:highlight w:val="none"/>
        </w:rPr>
        <w:t>.</w:t>
      </w:r>
      <w:r>
        <w:rPr>
          <w:rFonts w:hint="eastAsia" w:ascii="宋体" w:hAnsi="宋体" w:cs="仿宋"/>
          <w:b/>
          <w:bCs/>
          <w:color w:val="auto"/>
          <w:sz w:val="24"/>
          <w:highlight w:val="none"/>
        </w:rPr>
        <w:t>资金支付</w:t>
      </w:r>
    </w:p>
    <w:p>
      <w:pPr>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采购人将按照政府采购合同规定，及时向成交供应商支付采购资金。</w:t>
      </w:r>
    </w:p>
    <w:p>
      <w:pPr>
        <w:pStyle w:val="4"/>
        <w:spacing w:line="400" w:lineRule="exact"/>
        <w:jc w:val="center"/>
        <w:rPr>
          <w:rFonts w:ascii="宋体" w:hAnsi="宋体" w:eastAsia="宋体"/>
          <w:bCs w:val="0"/>
          <w:color w:val="auto"/>
          <w:highlight w:val="none"/>
        </w:rPr>
      </w:pPr>
      <w:r>
        <w:rPr>
          <w:rFonts w:hint="eastAsia" w:ascii="宋体" w:hAnsi="宋体" w:eastAsia="宋体"/>
          <w:bCs w:val="0"/>
          <w:color w:val="auto"/>
          <w:highlight w:val="none"/>
        </w:rPr>
        <w:t>八、磋商纪律要求</w:t>
      </w:r>
    </w:p>
    <w:p>
      <w:pPr>
        <w:tabs>
          <w:tab w:val="left" w:pos="851"/>
        </w:tabs>
        <w:spacing w:line="360" w:lineRule="auto"/>
        <w:ind w:firstLine="482" w:firstLineChars="200"/>
        <w:rPr>
          <w:rFonts w:ascii="宋体" w:hAnsi="宋体"/>
          <w:b/>
          <w:bCs/>
          <w:color w:val="auto"/>
          <w:sz w:val="24"/>
          <w:highlight w:val="none"/>
        </w:rPr>
      </w:pPr>
      <w:r>
        <w:rPr>
          <w:rFonts w:hint="eastAsia" w:ascii="宋体" w:hAnsi="宋体" w:cs="仿宋"/>
          <w:b/>
          <w:bCs/>
          <w:color w:val="auto"/>
          <w:sz w:val="24"/>
          <w:highlight w:val="none"/>
        </w:rPr>
        <w:t>40</w:t>
      </w:r>
      <w:r>
        <w:rPr>
          <w:rFonts w:ascii="宋体" w:hAnsi="宋体" w:cs="仿宋"/>
          <w:b/>
          <w:bCs/>
          <w:color w:val="auto"/>
          <w:sz w:val="24"/>
          <w:highlight w:val="none"/>
        </w:rPr>
        <w:t>.</w:t>
      </w:r>
      <w:r>
        <w:rPr>
          <w:rFonts w:hint="eastAsia" w:ascii="宋体" w:hAnsi="宋体" w:cs="仿宋"/>
          <w:b/>
          <w:bCs/>
          <w:color w:val="auto"/>
          <w:sz w:val="24"/>
          <w:highlight w:val="none"/>
        </w:rPr>
        <w:t>供应商不得具有的情形</w:t>
      </w:r>
    </w:p>
    <w:p>
      <w:pPr>
        <w:tabs>
          <w:tab w:val="left" w:pos="851"/>
        </w:tabs>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供应商参加本项目磋商不得有下列情形：</w:t>
      </w:r>
    </w:p>
    <w:p>
      <w:pPr>
        <w:tabs>
          <w:tab w:val="left" w:pos="851"/>
        </w:tabs>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w:t>
      </w:r>
      <w:r>
        <w:rPr>
          <w:rFonts w:ascii="宋体" w:hAnsi="宋体" w:cs="仿宋"/>
          <w:color w:val="auto"/>
          <w:sz w:val="24"/>
          <w:highlight w:val="none"/>
        </w:rPr>
        <w:t>1</w:t>
      </w:r>
      <w:r>
        <w:rPr>
          <w:rFonts w:hint="eastAsia" w:ascii="宋体" w:hAnsi="宋体" w:cs="仿宋"/>
          <w:color w:val="auto"/>
          <w:sz w:val="24"/>
          <w:highlight w:val="none"/>
        </w:rPr>
        <w:t>）提供虚假材料谋取成交；</w:t>
      </w:r>
    </w:p>
    <w:p>
      <w:pPr>
        <w:tabs>
          <w:tab w:val="left" w:pos="851"/>
        </w:tabs>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w:t>
      </w:r>
      <w:r>
        <w:rPr>
          <w:rFonts w:ascii="宋体" w:hAnsi="宋体" w:cs="仿宋"/>
          <w:color w:val="auto"/>
          <w:sz w:val="24"/>
          <w:highlight w:val="none"/>
        </w:rPr>
        <w:t>2</w:t>
      </w:r>
      <w:r>
        <w:rPr>
          <w:rFonts w:hint="eastAsia" w:ascii="宋体" w:hAnsi="宋体" w:cs="仿宋"/>
          <w:color w:val="auto"/>
          <w:sz w:val="24"/>
          <w:highlight w:val="none"/>
        </w:rPr>
        <w:t>）采取不正当手段诋毁、排挤其他供应商；</w:t>
      </w:r>
    </w:p>
    <w:p>
      <w:pPr>
        <w:tabs>
          <w:tab w:val="left" w:pos="851"/>
        </w:tabs>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w:t>
      </w:r>
      <w:r>
        <w:rPr>
          <w:rFonts w:ascii="宋体" w:hAnsi="宋体" w:cs="仿宋"/>
          <w:color w:val="auto"/>
          <w:sz w:val="24"/>
          <w:highlight w:val="none"/>
        </w:rPr>
        <w:t>3</w:t>
      </w:r>
      <w:r>
        <w:rPr>
          <w:rFonts w:hint="eastAsia" w:ascii="宋体" w:hAnsi="宋体" w:cs="仿宋"/>
          <w:color w:val="auto"/>
          <w:sz w:val="24"/>
          <w:highlight w:val="none"/>
        </w:rPr>
        <w:t>）与采购人、采购代理机构、或其他供应商恶意串通；</w:t>
      </w:r>
    </w:p>
    <w:p>
      <w:pPr>
        <w:tabs>
          <w:tab w:val="left" w:pos="851"/>
        </w:tabs>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w:t>
      </w:r>
      <w:r>
        <w:rPr>
          <w:rFonts w:ascii="宋体" w:hAnsi="宋体" w:cs="仿宋"/>
          <w:color w:val="auto"/>
          <w:sz w:val="24"/>
          <w:highlight w:val="none"/>
        </w:rPr>
        <w:t>4</w:t>
      </w:r>
      <w:r>
        <w:rPr>
          <w:rFonts w:hint="eastAsia" w:ascii="宋体" w:hAnsi="宋体" w:cs="仿宋"/>
          <w:color w:val="auto"/>
          <w:sz w:val="24"/>
          <w:highlight w:val="none"/>
        </w:rPr>
        <w:t>）向采购人、采购代理机构、磋商小组成员行贿或者提供其他不正当利益；</w:t>
      </w:r>
    </w:p>
    <w:p>
      <w:pPr>
        <w:tabs>
          <w:tab w:val="left" w:pos="851"/>
        </w:tabs>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w:t>
      </w:r>
      <w:r>
        <w:rPr>
          <w:rFonts w:ascii="宋体" w:hAnsi="宋体" w:cs="仿宋"/>
          <w:color w:val="auto"/>
          <w:sz w:val="24"/>
          <w:highlight w:val="none"/>
        </w:rPr>
        <w:t>5</w:t>
      </w:r>
      <w:r>
        <w:rPr>
          <w:rFonts w:hint="eastAsia" w:ascii="宋体" w:hAnsi="宋体" w:cs="仿宋"/>
          <w:color w:val="auto"/>
          <w:sz w:val="24"/>
          <w:highlight w:val="none"/>
        </w:rPr>
        <w:t>）在磋商过程中与采购人、采购代理机构进行协商；</w:t>
      </w:r>
    </w:p>
    <w:p>
      <w:pPr>
        <w:tabs>
          <w:tab w:val="left" w:pos="851"/>
        </w:tabs>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w:t>
      </w:r>
      <w:r>
        <w:rPr>
          <w:rFonts w:ascii="宋体" w:hAnsi="宋体" w:cs="仿宋"/>
          <w:color w:val="auto"/>
          <w:sz w:val="24"/>
          <w:highlight w:val="none"/>
        </w:rPr>
        <w:t>6</w:t>
      </w:r>
      <w:r>
        <w:rPr>
          <w:rFonts w:hint="eastAsia" w:ascii="宋体" w:hAnsi="宋体" w:cs="仿宋"/>
          <w:color w:val="auto"/>
          <w:sz w:val="24"/>
          <w:highlight w:val="none"/>
        </w:rPr>
        <w:t>）成交后无正当理由拒不与采购人签订政府采购合同；</w:t>
      </w:r>
    </w:p>
    <w:p>
      <w:pPr>
        <w:tabs>
          <w:tab w:val="left" w:pos="851"/>
        </w:tabs>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w:t>
      </w:r>
      <w:r>
        <w:rPr>
          <w:rFonts w:ascii="宋体" w:hAnsi="宋体" w:cs="仿宋"/>
          <w:color w:val="auto"/>
          <w:sz w:val="24"/>
          <w:highlight w:val="none"/>
        </w:rPr>
        <w:t>7</w:t>
      </w:r>
      <w:r>
        <w:rPr>
          <w:rFonts w:hint="eastAsia" w:ascii="宋体" w:hAnsi="宋体" w:cs="仿宋"/>
          <w:color w:val="auto"/>
          <w:sz w:val="24"/>
          <w:highlight w:val="none"/>
        </w:rPr>
        <w:t>）未按照磋商文件确定的事项签订政府采购合同；</w:t>
      </w:r>
    </w:p>
    <w:p>
      <w:pPr>
        <w:tabs>
          <w:tab w:val="left" w:pos="851"/>
        </w:tabs>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w:t>
      </w:r>
      <w:r>
        <w:rPr>
          <w:rFonts w:ascii="宋体" w:hAnsi="宋体" w:cs="仿宋"/>
          <w:color w:val="auto"/>
          <w:sz w:val="24"/>
          <w:highlight w:val="none"/>
        </w:rPr>
        <w:t>8</w:t>
      </w:r>
      <w:r>
        <w:rPr>
          <w:rFonts w:hint="eastAsia" w:ascii="宋体" w:hAnsi="宋体" w:cs="仿宋"/>
          <w:color w:val="auto"/>
          <w:sz w:val="24"/>
          <w:highlight w:val="none"/>
        </w:rPr>
        <w:t>）将政府采购合同转包或者违规分包；</w:t>
      </w:r>
    </w:p>
    <w:p>
      <w:pPr>
        <w:tabs>
          <w:tab w:val="left" w:pos="851"/>
        </w:tabs>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w:t>
      </w:r>
      <w:r>
        <w:rPr>
          <w:rFonts w:ascii="宋体" w:hAnsi="宋体" w:cs="仿宋"/>
          <w:color w:val="auto"/>
          <w:sz w:val="24"/>
          <w:highlight w:val="none"/>
        </w:rPr>
        <w:t>9</w:t>
      </w:r>
      <w:r>
        <w:rPr>
          <w:rFonts w:hint="eastAsia" w:ascii="宋体" w:hAnsi="宋体" w:cs="仿宋"/>
          <w:color w:val="auto"/>
          <w:sz w:val="24"/>
          <w:highlight w:val="none"/>
        </w:rPr>
        <w:t>）提供假冒伪劣产品；</w:t>
      </w:r>
    </w:p>
    <w:p>
      <w:pPr>
        <w:tabs>
          <w:tab w:val="left" w:pos="851"/>
        </w:tabs>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w:t>
      </w:r>
      <w:r>
        <w:rPr>
          <w:rFonts w:ascii="宋体" w:hAnsi="宋体" w:cs="仿宋"/>
          <w:color w:val="auto"/>
          <w:sz w:val="24"/>
          <w:highlight w:val="none"/>
        </w:rPr>
        <w:t>10</w:t>
      </w:r>
      <w:r>
        <w:rPr>
          <w:rFonts w:hint="eastAsia" w:ascii="宋体" w:hAnsi="宋体" w:cs="仿宋"/>
          <w:color w:val="auto"/>
          <w:sz w:val="24"/>
          <w:highlight w:val="none"/>
        </w:rPr>
        <w:t>）擅自变更、中止或者终止政府采购合同；</w:t>
      </w:r>
    </w:p>
    <w:p>
      <w:pPr>
        <w:tabs>
          <w:tab w:val="left" w:pos="851"/>
        </w:tabs>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w:t>
      </w:r>
      <w:r>
        <w:rPr>
          <w:rFonts w:ascii="宋体" w:hAnsi="宋体" w:cs="仿宋"/>
          <w:color w:val="auto"/>
          <w:sz w:val="24"/>
          <w:highlight w:val="none"/>
        </w:rPr>
        <w:t>11</w:t>
      </w:r>
      <w:r>
        <w:rPr>
          <w:rFonts w:hint="eastAsia" w:ascii="宋体" w:hAnsi="宋体" w:cs="仿宋"/>
          <w:color w:val="auto"/>
          <w:sz w:val="24"/>
          <w:highlight w:val="none"/>
        </w:rPr>
        <w:t>）拒绝有关部门的监督检查或者向监督检查部门提供虚假情况；</w:t>
      </w:r>
    </w:p>
    <w:p>
      <w:pPr>
        <w:tabs>
          <w:tab w:val="left" w:pos="851"/>
        </w:tabs>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w:t>
      </w:r>
      <w:r>
        <w:rPr>
          <w:rFonts w:ascii="宋体" w:hAnsi="宋体" w:cs="仿宋"/>
          <w:color w:val="auto"/>
          <w:sz w:val="24"/>
          <w:highlight w:val="none"/>
        </w:rPr>
        <w:t>12</w:t>
      </w:r>
      <w:r>
        <w:rPr>
          <w:rFonts w:hint="eastAsia" w:ascii="宋体" w:hAnsi="宋体" w:cs="仿宋"/>
          <w:color w:val="auto"/>
          <w:sz w:val="24"/>
          <w:highlight w:val="none"/>
        </w:rPr>
        <w:t>）法律法规规定的其他情形。</w:t>
      </w:r>
    </w:p>
    <w:p>
      <w:pPr>
        <w:tabs>
          <w:tab w:val="left" w:pos="851"/>
        </w:tabs>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供应商有上述情形的，按照规定追究法律责任，具备（</w:t>
      </w:r>
      <w:r>
        <w:rPr>
          <w:rFonts w:ascii="宋体" w:hAnsi="宋体" w:cs="仿宋"/>
          <w:color w:val="auto"/>
          <w:sz w:val="24"/>
          <w:highlight w:val="none"/>
        </w:rPr>
        <w:t>1</w:t>
      </w:r>
      <w:r>
        <w:rPr>
          <w:rFonts w:hint="eastAsia" w:ascii="宋体" w:hAnsi="宋体" w:cs="仿宋"/>
          <w:color w:val="auto"/>
          <w:sz w:val="24"/>
          <w:highlight w:val="none"/>
        </w:rPr>
        <w:t>）</w:t>
      </w:r>
      <w:r>
        <w:rPr>
          <w:rFonts w:ascii="宋体" w:hAnsi="宋体" w:cs="仿宋"/>
          <w:color w:val="auto"/>
          <w:sz w:val="24"/>
          <w:highlight w:val="none"/>
        </w:rPr>
        <w:t>-</w:t>
      </w:r>
      <w:r>
        <w:rPr>
          <w:rFonts w:hint="eastAsia" w:ascii="宋体" w:hAnsi="宋体" w:cs="仿宋"/>
          <w:color w:val="auto"/>
          <w:sz w:val="24"/>
          <w:highlight w:val="none"/>
        </w:rPr>
        <w:t>（10）条情形之一的，同时将取消成交资格或者认定成交无效。</w:t>
      </w:r>
    </w:p>
    <w:p>
      <w:pPr>
        <w:pStyle w:val="4"/>
        <w:spacing w:line="400" w:lineRule="exact"/>
        <w:jc w:val="center"/>
        <w:rPr>
          <w:rFonts w:ascii="宋体" w:hAnsi="宋体" w:eastAsia="宋体"/>
          <w:bCs w:val="0"/>
          <w:color w:val="auto"/>
          <w:highlight w:val="none"/>
        </w:rPr>
      </w:pPr>
      <w:r>
        <w:rPr>
          <w:rFonts w:hint="eastAsia" w:ascii="宋体" w:hAnsi="宋体" w:eastAsia="宋体"/>
          <w:bCs w:val="0"/>
          <w:color w:val="auto"/>
          <w:highlight w:val="none"/>
        </w:rPr>
        <w:t>九、询问、质疑和投诉</w:t>
      </w:r>
    </w:p>
    <w:p>
      <w:pPr>
        <w:tabs>
          <w:tab w:val="left" w:pos="851"/>
        </w:tabs>
        <w:spacing w:line="360" w:lineRule="auto"/>
        <w:ind w:firstLine="495"/>
        <w:rPr>
          <w:rFonts w:ascii="宋体" w:hAnsi="宋体"/>
          <w:color w:val="auto"/>
          <w:sz w:val="24"/>
          <w:highlight w:val="none"/>
        </w:rPr>
      </w:pPr>
      <w:r>
        <w:rPr>
          <w:rFonts w:hint="eastAsia" w:ascii="宋体" w:hAnsi="宋体" w:cs="仿宋"/>
          <w:color w:val="auto"/>
          <w:sz w:val="24"/>
          <w:highlight w:val="none"/>
        </w:rPr>
        <w:t>41</w:t>
      </w:r>
      <w:r>
        <w:rPr>
          <w:rFonts w:ascii="宋体" w:hAnsi="宋体" w:cs="仿宋"/>
          <w:color w:val="auto"/>
          <w:sz w:val="24"/>
          <w:highlight w:val="none"/>
        </w:rPr>
        <w:t>.</w:t>
      </w:r>
      <w:r>
        <w:rPr>
          <w:rFonts w:hint="eastAsia" w:ascii="宋体" w:hAnsi="宋体" w:cs="仿宋"/>
          <w:color w:val="auto"/>
          <w:sz w:val="24"/>
          <w:highlight w:val="none"/>
        </w:rPr>
        <w:t>询问、质疑、投诉的接收和处理严格按照《中华人民共和国政府采购法》、《中华人民共和国政府采购法实施条例》、《财政部关于加强政府采购供应商投诉受理审查工作的通知》、《政府采购质疑和投诉办法》和四川省的有关规定办理（详细规定请在四川政府采购网政策法规模块查询）。</w:t>
      </w:r>
    </w:p>
    <w:p>
      <w:pPr>
        <w:pStyle w:val="4"/>
        <w:spacing w:line="400" w:lineRule="exact"/>
        <w:jc w:val="center"/>
        <w:rPr>
          <w:rFonts w:ascii="宋体" w:hAnsi="宋体" w:eastAsia="宋体"/>
          <w:bCs w:val="0"/>
          <w:color w:val="auto"/>
          <w:highlight w:val="none"/>
        </w:rPr>
      </w:pPr>
      <w:r>
        <w:rPr>
          <w:rFonts w:hint="eastAsia" w:ascii="宋体" w:hAnsi="宋体" w:eastAsia="宋体"/>
          <w:bCs w:val="0"/>
          <w:color w:val="auto"/>
          <w:highlight w:val="none"/>
        </w:rPr>
        <w:t>十、其他</w:t>
      </w:r>
    </w:p>
    <w:p>
      <w:pPr>
        <w:tabs>
          <w:tab w:val="left" w:pos="851"/>
        </w:tabs>
        <w:spacing w:line="360" w:lineRule="auto"/>
        <w:jc w:val="center"/>
        <w:rPr>
          <w:rFonts w:ascii="宋体" w:hAnsi="宋体"/>
          <w:color w:val="auto"/>
          <w:sz w:val="24"/>
          <w:highlight w:val="none"/>
        </w:rPr>
      </w:pPr>
    </w:p>
    <w:p>
      <w:pPr>
        <w:tabs>
          <w:tab w:val="left" w:pos="851"/>
        </w:tabs>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42</w:t>
      </w:r>
      <w:r>
        <w:rPr>
          <w:rFonts w:ascii="宋体" w:hAnsi="宋体" w:cs="仿宋"/>
          <w:color w:val="auto"/>
          <w:sz w:val="24"/>
          <w:highlight w:val="none"/>
        </w:rPr>
        <w:t>.</w:t>
      </w:r>
      <w:r>
        <w:rPr>
          <w:rFonts w:hint="eastAsia" w:ascii="宋体" w:hAnsi="宋体" w:cs="仿宋"/>
          <w:color w:val="auto"/>
          <w:sz w:val="24"/>
          <w:highlight w:val="none"/>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spacing w:line="360" w:lineRule="auto"/>
        <w:ind w:firstLine="480" w:firstLineChars="200"/>
        <w:rPr>
          <w:rFonts w:ascii="宋体" w:hAnsi="宋体"/>
          <w:b/>
          <w:color w:val="auto"/>
          <w:sz w:val="24"/>
          <w:highlight w:val="none"/>
        </w:rPr>
      </w:pPr>
      <w:r>
        <w:rPr>
          <w:rFonts w:hint="eastAsia" w:ascii="宋体" w:hAnsi="宋体" w:cs="仿宋"/>
          <w:color w:val="auto"/>
          <w:sz w:val="24"/>
          <w:highlight w:val="none"/>
        </w:rPr>
        <w:t>43</w:t>
      </w:r>
      <w:r>
        <w:rPr>
          <w:rFonts w:ascii="宋体" w:hAnsi="宋体" w:cs="仿宋"/>
          <w:color w:val="auto"/>
          <w:sz w:val="24"/>
          <w:highlight w:val="none"/>
        </w:rPr>
        <w:t>.</w:t>
      </w:r>
      <w:r>
        <w:rPr>
          <w:rFonts w:hint="eastAsia" w:ascii="宋体" w:hAnsi="宋体" w:cs="仿宋"/>
          <w:b/>
          <w:bCs/>
          <w:color w:val="auto"/>
          <w:sz w:val="24"/>
          <w:highlight w:val="none"/>
        </w:rPr>
        <w:t>（实质性要求）</w:t>
      </w:r>
      <w:r>
        <w:rPr>
          <w:rFonts w:hint="eastAsia" w:ascii="宋体" w:hAnsi="宋体" w:cs="仿宋"/>
          <w:color w:val="auto"/>
          <w:sz w:val="24"/>
          <w:highlight w:val="none"/>
        </w:rPr>
        <w:t>国家或行业主管部门对工程项目的技术标准、质量标准和资格资质条件等有强制性规定的，必须符合其要求。</w:t>
      </w:r>
      <w:bookmarkStart w:id="67" w:name="_Toc217446083"/>
    </w:p>
    <w:p>
      <w:pPr>
        <w:pStyle w:val="3"/>
        <w:jc w:val="center"/>
        <w:rPr>
          <w:rFonts w:ascii="宋体" w:hAnsi="宋体"/>
          <w:color w:val="auto"/>
          <w:sz w:val="36"/>
          <w:szCs w:val="36"/>
          <w:highlight w:val="none"/>
        </w:rPr>
        <w:sectPr>
          <w:footerReference r:id="rId12" w:type="default"/>
          <w:pgSz w:w="11907" w:h="16840"/>
          <w:pgMar w:top="1440" w:right="2033" w:bottom="1440" w:left="1474" w:header="851" w:footer="992" w:gutter="0"/>
          <w:cols w:space="720" w:num="1"/>
          <w:docGrid w:linePitch="312" w:charSpace="0"/>
        </w:sectPr>
      </w:pPr>
      <w:bookmarkStart w:id="68" w:name="_Toc1368"/>
    </w:p>
    <w:p>
      <w:pPr>
        <w:pStyle w:val="3"/>
        <w:spacing w:line="240" w:lineRule="auto"/>
        <w:jc w:val="center"/>
        <w:rPr>
          <w:rFonts w:ascii="宋体" w:hAnsi="宋体"/>
          <w:color w:val="auto"/>
          <w:sz w:val="36"/>
          <w:szCs w:val="36"/>
          <w:highlight w:val="none"/>
        </w:rPr>
      </w:pPr>
      <w:bookmarkStart w:id="69" w:name="_Toc53267583"/>
      <w:r>
        <w:rPr>
          <w:rFonts w:hint="eastAsia" w:ascii="宋体" w:hAnsi="宋体"/>
          <w:color w:val="auto"/>
          <w:sz w:val="36"/>
          <w:szCs w:val="36"/>
          <w:highlight w:val="none"/>
        </w:rPr>
        <w:t xml:space="preserve">第三章  </w:t>
      </w:r>
      <w:bookmarkEnd w:id="68"/>
      <w:bookmarkStart w:id="70" w:name="_Toc217446082"/>
      <w:bookmarkStart w:id="71" w:name="_Toc308164821"/>
      <w:r>
        <w:rPr>
          <w:rFonts w:hint="eastAsia" w:ascii="宋体" w:hAnsi="宋体"/>
          <w:color w:val="auto"/>
          <w:sz w:val="36"/>
          <w:szCs w:val="36"/>
          <w:highlight w:val="none"/>
        </w:rPr>
        <w:t>供应商资格条件要求</w:t>
      </w:r>
      <w:bookmarkEnd w:id="69"/>
    </w:p>
    <w:p>
      <w:pPr>
        <w:pStyle w:val="64"/>
        <w:spacing w:line="420" w:lineRule="exact"/>
        <w:ind w:firstLine="0" w:firstLineChars="0"/>
        <w:rPr>
          <w:rFonts w:ascii="宋体" w:hAnsi="宋体"/>
          <w:b/>
          <w:bCs/>
          <w:color w:val="auto"/>
          <w:sz w:val="24"/>
          <w:highlight w:val="none"/>
        </w:rPr>
      </w:pPr>
      <w:r>
        <w:rPr>
          <w:rFonts w:ascii="宋体" w:hAnsi="宋体"/>
          <w:b/>
          <w:bCs/>
          <w:color w:val="auto"/>
          <w:sz w:val="24"/>
          <w:highlight w:val="none"/>
        </w:rPr>
        <w:t>（一）</w:t>
      </w:r>
      <w:r>
        <w:rPr>
          <w:rFonts w:hint="eastAsia" w:ascii="宋体" w:hAnsi="宋体"/>
          <w:b/>
          <w:bCs/>
          <w:color w:val="auto"/>
          <w:sz w:val="24"/>
          <w:highlight w:val="none"/>
        </w:rPr>
        <w:t>资格要求：</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1.满足《中华人民共和国政府采购法》第二十二条规定；</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(1)具有独立承担民事责任的能力；</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(2)具有良好的商业信誉和健全的财务会计制度；</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(3)具有履行合同所必须的设备和专业技术能力；</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(4)有依法缴纳税收和社会保障资金的良好记录；</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(5)参加政府采购活动前三年内，在经营活动中没有重大违法记录；</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(6)符合法律、行政法规规定的其他条件；</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.落实政府采购政策需满足的资格要求：</w:t>
      </w:r>
      <w:r>
        <w:rPr>
          <w:rFonts w:hint="eastAsia" w:ascii="宋体" w:hAnsi="宋体"/>
          <w:iCs/>
          <w:color w:val="auto"/>
          <w:sz w:val="24"/>
          <w:highlight w:val="none"/>
          <w:u w:val="single"/>
        </w:rPr>
        <w:t>无</w:t>
      </w:r>
      <w:r>
        <w:rPr>
          <w:rFonts w:hint="eastAsia" w:ascii="宋体" w:hAnsi="宋体"/>
          <w:color w:val="auto"/>
          <w:sz w:val="24"/>
          <w:highlight w:val="none"/>
          <w:u w:val="single"/>
        </w:rPr>
        <w:t>。</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3.本项目的特定资格要求：</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具备建设行政主管部门颁发的城乡规划编制乙级及以上资质。（注:如因政策原因，自然资源部或省自然资源厅暂未开展到期的城乡规划编制资质延期认定工作，如供应商因上述政策性原因未延续的资质证书视为符合条件）；</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（2）具备建设行政主管部门颁发的建筑行业(建筑工程)设计甲级及以上资质；</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（3）供应商单位及其法定代表人/主要负责人在参加本项目政府采购活动前三年无行贿犯罪记录。</w:t>
      </w:r>
    </w:p>
    <w:p>
      <w:pPr>
        <w:pStyle w:val="2"/>
        <w:rPr>
          <w:rFonts w:hAnsi="宋体"/>
          <w:iCs/>
          <w:color w:val="auto"/>
          <w:highlight w:val="none"/>
          <w:u w:val="single"/>
        </w:rPr>
      </w:pPr>
      <w:r>
        <w:rPr>
          <w:rFonts w:hint="eastAsia" w:hAnsi="宋体"/>
          <w:color w:val="auto"/>
          <w:highlight w:val="none"/>
        </w:rPr>
        <w:t xml:space="preserve">    （4）本项目不接受联合体投标。</w:t>
      </w:r>
    </w:p>
    <w:p>
      <w:pPr>
        <w:pStyle w:val="64"/>
        <w:spacing w:line="420" w:lineRule="exact"/>
        <w:ind w:firstLine="0" w:firstLineChars="0"/>
        <w:rPr>
          <w:rFonts w:ascii="宋体" w:hAnsi="宋体"/>
          <w:b/>
          <w:bCs/>
          <w:color w:val="auto"/>
          <w:sz w:val="24"/>
          <w:highlight w:val="none"/>
        </w:rPr>
      </w:pPr>
      <w:r>
        <w:rPr>
          <w:rFonts w:hint="eastAsia" w:ascii="宋体" w:hAnsi="宋体"/>
          <w:b/>
          <w:bCs/>
          <w:color w:val="auto"/>
          <w:sz w:val="24"/>
          <w:highlight w:val="none"/>
        </w:rPr>
        <w:t>（二）其他类似效力要求：</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2.法定代表人/单位负责人身份证明文件或授权参加本次采购活动的授权代表证明材料。</w:t>
      </w:r>
    </w:p>
    <w:p>
      <w:pPr>
        <w:widowControl/>
        <w:jc w:val="left"/>
        <w:rPr>
          <w:rFonts w:ascii="宋体" w:hAnsi="宋体"/>
          <w:b/>
          <w:color w:val="auto"/>
          <w:sz w:val="32"/>
          <w:highlight w:val="none"/>
        </w:rPr>
      </w:pPr>
    </w:p>
    <w:p>
      <w:pPr>
        <w:pStyle w:val="64"/>
        <w:spacing w:line="420" w:lineRule="exact"/>
        <w:ind w:firstLine="0" w:firstLineChars="0"/>
        <w:rPr>
          <w:rFonts w:ascii="宋体" w:hAnsi="宋体"/>
          <w:b/>
          <w:color w:val="auto"/>
          <w:szCs w:val="21"/>
          <w:highlight w:val="none"/>
        </w:rPr>
      </w:pPr>
      <w:r>
        <w:rPr>
          <w:rFonts w:hint="eastAsia" w:ascii="宋体" w:hAnsi="宋体"/>
          <w:b/>
          <w:color w:val="auto"/>
          <w:szCs w:val="21"/>
          <w:highlight w:val="none"/>
        </w:rPr>
        <w:t>注：</w:t>
      </w:r>
    </w:p>
    <w:p>
      <w:pPr>
        <w:pStyle w:val="64"/>
        <w:spacing w:line="420" w:lineRule="exact"/>
        <w:ind w:firstLine="422"/>
        <w:rPr>
          <w:rFonts w:ascii="宋体" w:hAnsi="宋体"/>
          <w:b/>
          <w:color w:val="auto"/>
          <w:szCs w:val="21"/>
          <w:highlight w:val="none"/>
        </w:rPr>
      </w:pPr>
      <w:r>
        <w:rPr>
          <w:rFonts w:hint="eastAsia" w:ascii="宋体" w:hAnsi="宋体"/>
          <w:b/>
          <w:color w:val="auto"/>
          <w:szCs w:val="21"/>
          <w:highlight w:val="none"/>
        </w:rPr>
        <w:t>1.本项目确定供应商经营活动中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pPr>
        <w:widowControl/>
        <w:jc w:val="left"/>
        <w:rPr>
          <w:rFonts w:ascii="宋体" w:hAnsi="宋体"/>
          <w:b/>
          <w:color w:val="auto"/>
          <w:szCs w:val="21"/>
          <w:highlight w:val="none"/>
        </w:rPr>
      </w:pPr>
      <w:r>
        <w:rPr>
          <w:rFonts w:hint="eastAsia" w:ascii="宋体" w:hAnsi="宋体"/>
          <w:b/>
          <w:color w:val="auto"/>
          <w:szCs w:val="21"/>
          <w:highlight w:val="none"/>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r>
        <w:rPr>
          <w:rFonts w:ascii="宋体" w:hAnsi="宋体"/>
          <w:b/>
          <w:color w:val="auto"/>
          <w:szCs w:val="21"/>
          <w:highlight w:val="none"/>
        </w:rPr>
        <w:br w:type="page"/>
      </w:r>
    </w:p>
    <w:p>
      <w:pPr>
        <w:pStyle w:val="3"/>
        <w:spacing w:line="240" w:lineRule="auto"/>
        <w:jc w:val="center"/>
        <w:rPr>
          <w:rFonts w:ascii="宋体" w:hAnsi="宋体"/>
          <w:color w:val="auto"/>
          <w:sz w:val="36"/>
          <w:szCs w:val="36"/>
          <w:highlight w:val="none"/>
        </w:rPr>
      </w:pPr>
      <w:bookmarkStart w:id="72" w:name="_Toc53267584"/>
      <w:r>
        <w:rPr>
          <w:rFonts w:hint="eastAsia" w:ascii="宋体" w:hAnsi="宋体"/>
          <w:color w:val="auto"/>
          <w:sz w:val="36"/>
          <w:szCs w:val="36"/>
          <w:highlight w:val="none"/>
        </w:rPr>
        <w:t>第四章  供应商资格证明材料</w:t>
      </w:r>
      <w:bookmarkEnd w:id="72"/>
    </w:p>
    <w:p>
      <w:pPr>
        <w:pStyle w:val="4"/>
        <w:spacing w:line="360" w:lineRule="exact"/>
        <w:rPr>
          <w:rFonts w:ascii="宋体" w:hAnsi="宋体" w:eastAsia="宋体"/>
          <w:color w:val="auto"/>
          <w:sz w:val="24"/>
          <w:szCs w:val="24"/>
          <w:highlight w:val="none"/>
        </w:rPr>
      </w:pPr>
      <w:r>
        <w:rPr>
          <w:rFonts w:hint="eastAsia" w:ascii="宋体" w:hAnsi="宋体" w:eastAsia="宋体"/>
          <w:color w:val="auto"/>
          <w:sz w:val="24"/>
          <w:szCs w:val="24"/>
          <w:highlight w:val="none"/>
        </w:rPr>
        <w:t>一、供应商应提交的资格证明材料</w:t>
      </w:r>
    </w:p>
    <w:p>
      <w:pPr>
        <w:rPr>
          <w:rFonts w:ascii="宋体" w:hAnsi="宋体"/>
          <w:b/>
          <w:bCs/>
          <w:color w:val="auto"/>
          <w:sz w:val="24"/>
          <w:highlight w:val="none"/>
        </w:rPr>
      </w:pPr>
      <w:r>
        <w:rPr>
          <w:rFonts w:hint="eastAsia" w:ascii="宋体" w:hAnsi="宋体"/>
          <w:b/>
          <w:bCs/>
          <w:color w:val="auto"/>
          <w:sz w:val="24"/>
          <w:highlight w:val="none"/>
        </w:rPr>
        <w:t>（一）资格要求相关证明材料：</w:t>
      </w:r>
    </w:p>
    <w:p>
      <w:pPr>
        <w:pStyle w:val="64"/>
        <w:spacing w:line="420" w:lineRule="exact"/>
        <w:ind w:firstLine="480"/>
        <w:rPr>
          <w:rFonts w:ascii="宋体" w:hAnsi="宋体"/>
          <w:color w:val="auto"/>
          <w:sz w:val="24"/>
          <w:highlight w:val="none"/>
        </w:rPr>
      </w:pPr>
      <w:r>
        <w:rPr>
          <w:rFonts w:hint="eastAsia" w:ascii="宋体" w:hAnsi="宋体"/>
          <w:color w:val="auto"/>
          <w:sz w:val="24"/>
          <w:highlight w:val="none"/>
        </w:rPr>
        <w:t>1.具有独立承担民事责任的能力。</w:t>
      </w:r>
    </w:p>
    <w:p>
      <w:pPr>
        <w:spacing w:line="312" w:lineRule="auto"/>
        <w:ind w:firstLine="540" w:firstLineChars="225"/>
        <w:rPr>
          <w:rFonts w:ascii="宋体" w:hAnsi="宋体"/>
          <w:color w:val="auto"/>
          <w:sz w:val="24"/>
          <w:highlight w:val="none"/>
        </w:rPr>
      </w:pPr>
      <w:r>
        <w:rPr>
          <w:rFonts w:hint="eastAsia" w:ascii="宋体" w:hAnsi="宋体"/>
          <w:color w:val="auto"/>
          <w:sz w:val="24"/>
          <w:highlight w:val="none"/>
        </w:rPr>
        <w:t>（1）若为企业法人：提供“统一社会信用代码营业执照”；</w:t>
      </w:r>
    </w:p>
    <w:p>
      <w:pPr>
        <w:spacing w:line="312" w:lineRule="auto"/>
        <w:ind w:firstLine="540" w:firstLineChars="225"/>
        <w:rPr>
          <w:rFonts w:ascii="宋体" w:hAnsi="宋体"/>
          <w:color w:val="auto"/>
          <w:sz w:val="24"/>
          <w:highlight w:val="none"/>
        </w:rPr>
      </w:pPr>
      <w:r>
        <w:rPr>
          <w:rFonts w:hint="eastAsia" w:ascii="宋体" w:hAnsi="宋体"/>
          <w:color w:val="auto"/>
          <w:sz w:val="24"/>
          <w:highlight w:val="none"/>
        </w:rPr>
        <w:t>（2）若为事业法人：提供“统一社会信用代码法人登记证书”；</w:t>
      </w:r>
    </w:p>
    <w:p>
      <w:pPr>
        <w:spacing w:line="312" w:lineRule="auto"/>
        <w:ind w:firstLine="540" w:firstLineChars="225"/>
        <w:rPr>
          <w:rFonts w:ascii="宋体" w:hAnsi="宋体"/>
          <w:color w:val="auto"/>
          <w:sz w:val="24"/>
          <w:highlight w:val="none"/>
        </w:rPr>
      </w:pPr>
      <w:r>
        <w:rPr>
          <w:rFonts w:hint="eastAsia" w:ascii="宋体" w:hAnsi="宋体"/>
          <w:color w:val="auto"/>
          <w:sz w:val="24"/>
          <w:highlight w:val="none"/>
        </w:rPr>
        <w:t>（3）若为其他组织：提供“对应主管部门颁发的准许执业证明文件或营业执照”；</w:t>
      </w:r>
    </w:p>
    <w:p>
      <w:pPr>
        <w:spacing w:line="312" w:lineRule="auto"/>
        <w:ind w:firstLine="540" w:firstLineChars="225"/>
        <w:rPr>
          <w:rFonts w:ascii="宋体" w:hAnsi="宋体"/>
          <w:color w:val="auto"/>
          <w:sz w:val="24"/>
          <w:highlight w:val="none"/>
        </w:rPr>
      </w:pPr>
      <w:r>
        <w:rPr>
          <w:rFonts w:hint="eastAsia" w:ascii="宋体" w:hAnsi="宋体"/>
          <w:color w:val="auto"/>
          <w:sz w:val="24"/>
          <w:highlight w:val="none"/>
        </w:rPr>
        <w:t>（4）若为自然人：提供“身份证明材料”；</w:t>
      </w:r>
    </w:p>
    <w:p>
      <w:pPr>
        <w:pStyle w:val="64"/>
        <w:spacing w:line="420" w:lineRule="exact"/>
        <w:ind w:firstLine="480"/>
        <w:rPr>
          <w:rFonts w:ascii="宋体" w:hAnsi="宋体"/>
          <w:color w:val="auto"/>
          <w:sz w:val="24"/>
          <w:highlight w:val="none"/>
        </w:rPr>
      </w:pPr>
      <w:r>
        <w:rPr>
          <w:rFonts w:hint="eastAsia" w:ascii="宋体" w:hAnsi="宋体"/>
          <w:color w:val="auto"/>
          <w:sz w:val="24"/>
          <w:highlight w:val="none"/>
        </w:rPr>
        <w:t>注：供应商根据自身情况选择提供以上（1）-（4）项其中之一复印件。</w:t>
      </w:r>
    </w:p>
    <w:p>
      <w:pPr>
        <w:pStyle w:val="64"/>
        <w:spacing w:line="420" w:lineRule="exact"/>
        <w:ind w:firstLine="480"/>
        <w:rPr>
          <w:rFonts w:ascii="宋体" w:hAnsi="宋体"/>
          <w:color w:val="auto"/>
          <w:sz w:val="24"/>
          <w:highlight w:val="none"/>
        </w:rPr>
      </w:pPr>
      <w:r>
        <w:rPr>
          <w:rFonts w:hint="eastAsia" w:ascii="宋体" w:hAnsi="宋体"/>
          <w:color w:val="auto"/>
          <w:sz w:val="24"/>
          <w:highlight w:val="none"/>
        </w:rPr>
        <w:t>2. 具有良好的商业信誉和健全的财务会计制度。</w:t>
      </w:r>
    </w:p>
    <w:p>
      <w:pPr>
        <w:pStyle w:val="64"/>
        <w:spacing w:line="420" w:lineRule="exact"/>
        <w:ind w:firstLine="480"/>
        <w:rPr>
          <w:rFonts w:ascii="宋体" w:hAnsi="宋体"/>
          <w:color w:val="auto"/>
          <w:sz w:val="24"/>
          <w:highlight w:val="none"/>
        </w:rPr>
      </w:pPr>
      <w:r>
        <w:rPr>
          <w:rFonts w:hint="eastAsia" w:ascii="宋体" w:hAnsi="宋体"/>
          <w:color w:val="auto"/>
          <w:sz w:val="24"/>
          <w:highlight w:val="none"/>
        </w:rPr>
        <w:t>（1）提供具有良好的商业信誉的承诺函原件。</w:t>
      </w:r>
    </w:p>
    <w:p>
      <w:pPr>
        <w:pStyle w:val="64"/>
        <w:spacing w:line="420" w:lineRule="exact"/>
        <w:ind w:firstLine="480"/>
        <w:rPr>
          <w:rFonts w:ascii="宋体" w:hAnsi="宋体"/>
          <w:color w:val="auto"/>
          <w:sz w:val="24"/>
          <w:highlight w:val="none"/>
        </w:rPr>
      </w:pPr>
      <w:r>
        <w:rPr>
          <w:rFonts w:hint="eastAsia" w:ascii="宋体" w:hAnsi="宋体"/>
          <w:color w:val="auto"/>
          <w:sz w:val="24"/>
          <w:highlight w:val="none"/>
        </w:rPr>
        <w:t>（2）具备健全的财务会计制度的证明材料。</w:t>
      </w:r>
    </w:p>
    <w:p>
      <w:pPr>
        <w:pStyle w:val="64"/>
        <w:spacing w:line="420" w:lineRule="exact"/>
        <w:ind w:firstLine="480"/>
        <w:rPr>
          <w:rFonts w:ascii="宋体" w:hAnsi="宋体"/>
          <w:color w:val="auto"/>
          <w:sz w:val="24"/>
          <w:highlight w:val="none"/>
        </w:rPr>
      </w:pPr>
      <w:r>
        <w:rPr>
          <w:rFonts w:hint="eastAsia" w:ascii="宋体" w:hAnsi="宋体"/>
          <w:color w:val="auto"/>
          <w:sz w:val="24"/>
          <w:highlight w:val="none"/>
        </w:rPr>
        <w:t>①提供2019年度或2020年度经审计的财务报告复印件（包含审计报告和审计报告中所涉及的财务报表和报表附注）；</w:t>
      </w:r>
    </w:p>
    <w:p>
      <w:pPr>
        <w:pStyle w:val="64"/>
        <w:spacing w:line="420" w:lineRule="exact"/>
        <w:ind w:firstLine="480"/>
        <w:rPr>
          <w:rFonts w:ascii="宋体" w:hAnsi="宋体"/>
          <w:color w:val="auto"/>
          <w:sz w:val="24"/>
          <w:highlight w:val="none"/>
        </w:rPr>
      </w:pPr>
      <w:r>
        <w:rPr>
          <w:rFonts w:hint="eastAsia" w:ascii="宋体" w:hAnsi="宋体"/>
          <w:color w:val="auto"/>
          <w:sz w:val="24"/>
          <w:highlight w:val="none"/>
        </w:rPr>
        <w:t>②提供2019年度或2020年度供应商内部的财务报表复印件（至少包含资产负债表、利润表、现金流量表）；</w:t>
      </w:r>
    </w:p>
    <w:p>
      <w:pPr>
        <w:pStyle w:val="64"/>
        <w:spacing w:line="420" w:lineRule="exact"/>
        <w:ind w:firstLine="480"/>
        <w:rPr>
          <w:rFonts w:ascii="宋体" w:hAnsi="宋体"/>
          <w:color w:val="auto"/>
          <w:sz w:val="24"/>
          <w:highlight w:val="none"/>
        </w:rPr>
      </w:pPr>
      <w:r>
        <w:rPr>
          <w:rFonts w:hint="eastAsia" w:ascii="宋体" w:hAnsi="宋体"/>
          <w:color w:val="auto"/>
          <w:sz w:val="24"/>
          <w:highlight w:val="none"/>
        </w:rPr>
        <w:t>③提供截至响应文件递交截止日一年内银行出具的资信证明（复印件）；</w:t>
      </w:r>
    </w:p>
    <w:p>
      <w:pPr>
        <w:pStyle w:val="64"/>
        <w:spacing w:line="420" w:lineRule="exact"/>
        <w:ind w:firstLine="480"/>
        <w:rPr>
          <w:rFonts w:ascii="宋体" w:hAnsi="宋体"/>
          <w:color w:val="auto"/>
          <w:sz w:val="24"/>
          <w:highlight w:val="none"/>
        </w:rPr>
      </w:pPr>
      <w:r>
        <w:rPr>
          <w:rFonts w:hint="eastAsia" w:ascii="宋体" w:hAnsi="宋体"/>
          <w:color w:val="auto"/>
          <w:sz w:val="24"/>
          <w:highlight w:val="none"/>
        </w:rPr>
        <w:t>④供应商注册时间截至响应文件递交截止日不足一年的，提供在工商备案的公司章程（复印件）。</w:t>
      </w:r>
    </w:p>
    <w:p>
      <w:pPr>
        <w:pStyle w:val="64"/>
        <w:spacing w:line="420" w:lineRule="exact"/>
        <w:ind w:firstLine="480"/>
        <w:rPr>
          <w:rFonts w:ascii="宋体" w:hAnsi="宋体"/>
          <w:color w:val="auto"/>
          <w:sz w:val="24"/>
          <w:highlight w:val="none"/>
        </w:rPr>
      </w:pPr>
      <w:r>
        <w:rPr>
          <w:rFonts w:hint="eastAsia" w:ascii="宋体" w:hAnsi="宋体"/>
          <w:color w:val="auto"/>
          <w:sz w:val="24"/>
          <w:highlight w:val="none"/>
        </w:rPr>
        <w:t>注：供应商根据自身情况选择提供以上①-④项其中之一。</w:t>
      </w:r>
    </w:p>
    <w:p>
      <w:pPr>
        <w:pStyle w:val="64"/>
        <w:spacing w:line="420" w:lineRule="exact"/>
        <w:ind w:firstLine="480"/>
        <w:rPr>
          <w:rFonts w:ascii="宋体" w:hAnsi="宋体"/>
          <w:color w:val="auto"/>
          <w:sz w:val="24"/>
          <w:highlight w:val="none"/>
        </w:rPr>
      </w:pPr>
      <w:r>
        <w:rPr>
          <w:rFonts w:hint="eastAsia" w:ascii="宋体" w:hAnsi="宋体"/>
          <w:color w:val="auto"/>
          <w:sz w:val="24"/>
          <w:highlight w:val="none"/>
        </w:rPr>
        <w:t>3. 具备履行合同所必需的设备和专业技术能力的证明材料；</w:t>
      </w:r>
    </w:p>
    <w:p>
      <w:pPr>
        <w:pStyle w:val="64"/>
        <w:spacing w:line="420" w:lineRule="exact"/>
        <w:ind w:firstLine="480"/>
        <w:rPr>
          <w:rFonts w:ascii="宋体" w:hAnsi="宋体"/>
          <w:color w:val="auto"/>
          <w:sz w:val="24"/>
          <w:highlight w:val="none"/>
        </w:rPr>
      </w:pPr>
      <w:r>
        <w:rPr>
          <w:rFonts w:hint="eastAsia" w:ascii="宋体" w:hAnsi="宋体"/>
          <w:color w:val="auto"/>
          <w:sz w:val="24"/>
          <w:highlight w:val="none"/>
        </w:rPr>
        <w:t>提供承诺函原件。</w:t>
      </w:r>
    </w:p>
    <w:p>
      <w:pPr>
        <w:pStyle w:val="64"/>
        <w:spacing w:line="420" w:lineRule="exact"/>
        <w:ind w:firstLine="480"/>
        <w:rPr>
          <w:rFonts w:ascii="宋体" w:hAnsi="宋体"/>
          <w:color w:val="auto"/>
          <w:sz w:val="24"/>
          <w:highlight w:val="none"/>
        </w:rPr>
      </w:pPr>
      <w:r>
        <w:rPr>
          <w:rFonts w:hint="eastAsia" w:ascii="宋体" w:hAnsi="宋体"/>
          <w:color w:val="auto"/>
          <w:sz w:val="24"/>
          <w:highlight w:val="none"/>
        </w:rPr>
        <w:t>4.有依法缴纳税收和社会保障资金的良好记录；</w:t>
      </w:r>
    </w:p>
    <w:p>
      <w:pPr>
        <w:pStyle w:val="64"/>
        <w:spacing w:line="420" w:lineRule="exact"/>
        <w:ind w:firstLine="480"/>
        <w:rPr>
          <w:rFonts w:ascii="宋体" w:hAnsi="宋体"/>
          <w:color w:val="auto"/>
          <w:sz w:val="24"/>
          <w:highlight w:val="none"/>
        </w:rPr>
      </w:pPr>
      <w:r>
        <w:rPr>
          <w:rFonts w:hint="eastAsia" w:ascii="宋体" w:hAnsi="宋体"/>
          <w:color w:val="auto"/>
          <w:sz w:val="24"/>
          <w:highlight w:val="none"/>
        </w:rPr>
        <w:t>提供承诺函原件。</w:t>
      </w:r>
    </w:p>
    <w:p>
      <w:pPr>
        <w:pStyle w:val="64"/>
        <w:spacing w:line="420" w:lineRule="exact"/>
        <w:ind w:firstLine="480"/>
        <w:rPr>
          <w:rFonts w:ascii="宋体" w:hAnsi="宋体"/>
          <w:color w:val="auto"/>
          <w:sz w:val="24"/>
          <w:highlight w:val="none"/>
        </w:rPr>
      </w:pPr>
      <w:r>
        <w:rPr>
          <w:rFonts w:hint="eastAsia" w:ascii="宋体" w:hAnsi="宋体"/>
          <w:color w:val="auto"/>
          <w:sz w:val="24"/>
          <w:highlight w:val="none"/>
        </w:rPr>
        <w:t>5.参加政府采购活动前三年内，在经营活动中没有重大违法记录；</w:t>
      </w:r>
    </w:p>
    <w:p>
      <w:pPr>
        <w:pStyle w:val="64"/>
        <w:spacing w:line="420" w:lineRule="exact"/>
        <w:ind w:firstLine="480"/>
        <w:rPr>
          <w:rFonts w:hint="eastAsia" w:ascii="宋体" w:hAnsi="宋体" w:eastAsia="宋体"/>
          <w:color w:val="auto"/>
          <w:sz w:val="24"/>
          <w:highlight w:val="none"/>
          <w:lang w:eastAsia="zh-CN"/>
        </w:rPr>
      </w:pPr>
      <w:r>
        <w:rPr>
          <w:rFonts w:hint="eastAsia" w:ascii="宋体" w:hAnsi="宋体"/>
          <w:color w:val="auto"/>
          <w:sz w:val="24"/>
          <w:highlight w:val="none"/>
        </w:rPr>
        <w:t>提供承诺函原件</w:t>
      </w:r>
      <w:r>
        <w:rPr>
          <w:rFonts w:hint="eastAsia" w:ascii="宋体" w:hAnsi="宋体"/>
          <w:color w:val="auto"/>
          <w:sz w:val="24"/>
          <w:highlight w:val="none"/>
          <w:lang w:eastAsia="zh-CN"/>
        </w:rPr>
        <w:t>。</w:t>
      </w:r>
    </w:p>
    <w:p>
      <w:pPr>
        <w:pStyle w:val="64"/>
        <w:numPr>
          <w:ilvl w:val="0"/>
          <w:numId w:val="2"/>
        </w:numPr>
        <w:spacing w:line="420" w:lineRule="exact"/>
        <w:ind w:firstLine="480"/>
        <w:rPr>
          <w:rFonts w:ascii="宋体" w:hAnsi="宋体"/>
          <w:color w:val="auto"/>
          <w:sz w:val="24"/>
          <w:highlight w:val="none"/>
        </w:rPr>
      </w:pPr>
      <w:r>
        <w:rPr>
          <w:rFonts w:hint="eastAsia" w:ascii="宋体" w:hAnsi="宋体"/>
          <w:color w:val="auto"/>
          <w:sz w:val="24"/>
          <w:highlight w:val="none"/>
        </w:rPr>
        <w:t>符合法律、行政法规规定的其他条件；</w:t>
      </w:r>
    </w:p>
    <w:p>
      <w:pPr>
        <w:pStyle w:val="64"/>
        <w:numPr>
          <w:ilvl w:val="255"/>
          <w:numId w:val="0"/>
        </w:num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提供承诺函原件。</w:t>
      </w:r>
    </w:p>
    <w:p>
      <w:pPr>
        <w:spacing w:line="312" w:lineRule="auto"/>
        <w:ind w:firstLine="542" w:firstLineChars="225"/>
        <w:rPr>
          <w:rFonts w:ascii="宋体" w:hAnsi="宋体"/>
          <w:b/>
          <w:color w:val="auto"/>
          <w:sz w:val="24"/>
          <w:highlight w:val="none"/>
        </w:rPr>
      </w:pPr>
      <w:r>
        <w:rPr>
          <w:rFonts w:hint="eastAsia" w:ascii="宋体" w:hAnsi="宋体"/>
          <w:b/>
          <w:color w:val="auto"/>
          <w:sz w:val="24"/>
          <w:highlight w:val="none"/>
        </w:rPr>
        <w:t>（二）落实政府采购政策需满足的资格要求：</w:t>
      </w:r>
    </w:p>
    <w:p>
      <w:pPr>
        <w:spacing w:line="312" w:lineRule="auto"/>
        <w:ind w:firstLine="540" w:firstLineChars="225"/>
        <w:rPr>
          <w:rFonts w:ascii="宋体" w:hAnsi="宋体"/>
          <w:color w:val="auto"/>
          <w:sz w:val="24"/>
          <w:highlight w:val="none"/>
        </w:rPr>
      </w:pPr>
      <w:r>
        <w:rPr>
          <w:rFonts w:hint="eastAsia" w:ascii="宋体" w:hAnsi="宋体"/>
          <w:color w:val="auto"/>
          <w:sz w:val="24"/>
          <w:highlight w:val="none"/>
        </w:rPr>
        <w:t>无。</w:t>
      </w:r>
    </w:p>
    <w:p>
      <w:pPr>
        <w:spacing w:line="312" w:lineRule="auto"/>
        <w:ind w:firstLine="542" w:firstLineChars="225"/>
        <w:rPr>
          <w:rFonts w:ascii="宋体" w:hAnsi="宋体"/>
          <w:b/>
          <w:color w:val="auto"/>
          <w:sz w:val="24"/>
          <w:highlight w:val="none"/>
        </w:rPr>
      </w:pPr>
      <w:r>
        <w:rPr>
          <w:rFonts w:hint="eastAsia" w:ascii="宋体" w:hAnsi="宋体"/>
          <w:b/>
          <w:color w:val="auto"/>
          <w:sz w:val="24"/>
          <w:highlight w:val="none"/>
        </w:rPr>
        <w:t>（三）本项目的特定资格要求：</w:t>
      </w:r>
    </w:p>
    <w:p>
      <w:pPr>
        <w:pStyle w:val="64"/>
        <w:spacing w:line="420" w:lineRule="exact"/>
        <w:ind w:firstLine="480"/>
        <w:rPr>
          <w:rFonts w:ascii="宋体" w:hAnsi="宋体"/>
          <w:color w:val="auto"/>
          <w:sz w:val="24"/>
          <w:highlight w:val="none"/>
        </w:rPr>
      </w:pPr>
      <w:r>
        <w:rPr>
          <w:rFonts w:ascii="宋体" w:hAnsi="宋体"/>
          <w:color w:val="auto"/>
          <w:sz w:val="24"/>
          <w:highlight w:val="none"/>
        </w:rPr>
        <w:t>（1）建设行政主管部门颁发的城乡规划编制乙级及以上资质（复印件）。</w:t>
      </w:r>
    </w:p>
    <w:p>
      <w:pPr>
        <w:pStyle w:val="64"/>
        <w:spacing w:line="420" w:lineRule="exact"/>
        <w:ind w:firstLine="480"/>
        <w:rPr>
          <w:rFonts w:ascii="宋体" w:hAnsi="宋体"/>
          <w:color w:val="auto"/>
          <w:sz w:val="24"/>
          <w:highlight w:val="none"/>
        </w:rPr>
      </w:pPr>
      <w:r>
        <w:rPr>
          <w:rFonts w:ascii="宋体" w:hAnsi="宋体"/>
          <w:color w:val="auto"/>
          <w:sz w:val="24"/>
          <w:highlight w:val="none"/>
        </w:rPr>
        <w:t>（2）建设行政主管部门颁发的建筑行业(建筑工程)设计甲级及以上资质（复印件）。</w:t>
      </w:r>
    </w:p>
    <w:p>
      <w:pPr>
        <w:pStyle w:val="2"/>
        <w:rPr>
          <w:color w:val="auto"/>
          <w:highlight w:val="none"/>
        </w:rPr>
      </w:pPr>
    </w:p>
    <w:p>
      <w:pPr>
        <w:pStyle w:val="64"/>
        <w:ind w:firstLine="480"/>
        <w:rPr>
          <w:rFonts w:hint="eastAsia" w:ascii="宋体" w:hAnsi="宋体" w:eastAsia="宋体"/>
          <w:color w:val="auto"/>
          <w:sz w:val="24"/>
          <w:highlight w:val="none"/>
          <w:lang w:eastAsia="zh-CN"/>
        </w:rPr>
      </w:pPr>
      <w:r>
        <w:rPr>
          <w:rFonts w:hint="eastAsia" w:ascii="宋体" w:hAnsi="宋体"/>
          <w:color w:val="auto"/>
          <w:sz w:val="24"/>
          <w:highlight w:val="none"/>
        </w:rPr>
        <w:t>（3）供应商单位及其法定代表人/主要负责人在参加本项目政府采购活动前三年无行贿犯罪记录</w:t>
      </w:r>
      <w:r>
        <w:rPr>
          <w:rFonts w:hint="eastAsia" w:ascii="宋体" w:hAnsi="宋体"/>
          <w:color w:val="auto"/>
          <w:sz w:val="24"/>
          <w:highlight w:val="none"/>
          <w:lang w:eastAsia="zh-CN"/>
        </w:rPr>
        <w:t>；</w:t>
      </w:r>
    </w:p>
    <w:p>
      <w:pPr>
        <w:pStyle w:val="64"/>
        <w:ind w:firstLine="480"/>
        <w:rPr>
          <w:rFonts w:hint="eastAsia" w:ascii="宋体" w:hAnsi="宋体" w:eastAsia="宋体"/>
          <w:color w:val="auto"/>
          <w:sz w:val="24"/>
          <w:highlight w:val="none"/>
          <w:lang w:eastAsia="zh-CN"/>
        </w:rPr>
      </w:pPr>
      <w:r>
        <w:rPr>
          <w:rFonts w:hint="eastAsia" w:ascii="宋体" w:hAnsi="宋体"/>
          <w:color w:val="auto"/>
          <w:sz w:val="24"/>
          <w:highlight w:val="none"/>
        </w:rPr>
        <w:t>提供承诺函原件</w:t>
      </w:r>
      <w:r>
        <w:rPr>
          <w:rFonts w:hint="eastAsia" w:ascii="宋体" w:hAnsi="宋体"/>
          <w:color w:val="auto"/>
          <w:sz w:val="24"/>
          <w:highlight w:val="none"/>
          <w:lang w:eastAsia="zh-CN"/>
        </w:rPr>
        <w:t>。</w:t>
      </w:r>
    </w:p>
    <w:p>
      <w:pPr>
        <w:pStyle w:val="4"/>
        <w:spacing w:line="360" w:lineRule="exact"/>
        <w:rPr>
          <w:rFonts w:ascii="宋体" w:eastAsia="宋体"/>
          <w:color w:val="auto"/>
          <w:sz w:val="24"/>
          <w:szCs w:val="24"/>
          <w:highlight w:val="none"/>
        </w:rPr>
      </w:pPr>
      <w:r>
        <w:rPr>
          <w:rFonts w:hint="eastAsia"/>
          <w:b w:val="0"/>
          <w:bCs w:val="0"/>
          <w:color w:val="auto"/>
          <w:sz w:val="24"/>
          <w:szCs w:val="24"/>
          <w:highlight w:val="none"/>
        </w:rPr>
        <w:t>二、</w:t>
      </w:r>
      <w:r>
        <w:rPr>
          <w:rFonts w:hint="eastAsia" w:ascii="宋体" w:eastAsia="宋体"/>
          <w:color w:val="auto"/>
          <w:sz w:val="24"/>
          <w:szCs w:val="24"/>
          <w:highlight w:val="none"/>
        </w:rPr>
        <w:t>应当提供相关服务的资格、资质性及其他类似效力要求的相关证明材料</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w:t>
      </w:r>
      <w:r>
        <w:rPr>
          <w:rFonts w:ascii="宋体" w:hAnsi="宋体"/>
          <w:color w:val="auto"/>
          <w:sz w:val="24"/>
          <w:highlight w:val="none"/>
        </w:rPr>
        <w:t>.</w:t>
      </w:r>
      <w:r>
        <w:rPr>
          <w:rFonts w:hint="eastAsia" w:ascii="宋体" w:hAnsi="宋体"/>
          <w:color w:val="auto"/>
          <w:sz w:val="24"/>
          <w:highlight w:val="none"/>
        </w:rPr>
        <w:t>法定代表人/单位负责人身份证明原件及附件。（法定代表人/单位负责人亲自参加适用）</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w:t>
      </w:r>
      <w:r>
        <w:rPr>
          <w:rFonts w:hint="eastAsia" w:ascii="宋体" w:hAnsi="宋体"/>
          <w:color w:val="auto"/>
          <w:sz w:val="24"/>
          <w:highlight w:val="none"/>
        </w:rPr>
        <w:t>法定代表人/单位负责人授权书原件及附件（授权代表参加适用）。</w:t>
      </w:r>
    </w:p>
    <w:p>
      <w:pPr>
        <w:spacing w:line="420" w:lineRule="exact"/>
        <w:rPr>
          <w:rFonts w:ascii="宋体" w:hAnsi="宋体"/>
          <w:color w:val="auto"/>
          <w:highlight w:val="none"/>
        </w:rPr>
      </w:pPr>
    </w:p>
    <w:p>
      <w:pPr>
        <w:widowControl/>
        <w:jc w:val="left"/>
        <w:rPr>
          <w:rFonts w:ascii="宋体" w:hAnsi="宋体"/>
          <w:b/>
          <w:color w:val="auto"/>
          <w:sz w:val="32"/>
          <w:highlight w:val="none"/>
        </w:rPr>
      </w:pPr>
      <w:r>
        <w:rPr>
          <w:rFonts w:hint="eastAsia" w:ascii="宋体" w:hAnsi="宋体"/>
          <w:b/>
          <w:bCs/>
          <w:color w:val="auto"/>
          <w:sz w:val="24"/>
          <w:highlight w:val="none"/>
        </w:rPr>
        <w:t>注：以上要求的资料复印件（身份证明材料除外）均须加盖供应商单位电子签章。</w:t>
      </w:r>
    </w:p>
    <w:p>
      <w:pPr>
        <w:widowControl/>
        <w:jc w:val="left"/>
        <w:rPr>
          <w:rFonts w:ascii="宋体" w:hAnsi="宋体"/>
          <w:b/>
          <w:color w:val="auto"/>
          <w:sz w:val="32"/>
          <w:highlight w:val="none"/>
        </w:rPr>
      </w:pPr>
      <w:r>
        <w:rPr>
          <w:rFonts w:ascii="宋体" w:hAnsi="宋体"/>
          <w:b/>
          <w:color w:val="auto"/>
          <w:sz w:val="32"/>
          <w:highlight w:val="none"/>
        </w:rPr>
        <w:br w:type="page"/>
      </w:r>
    </w:p>
    <w:p>
      <w:pPr>
        <w:pStyle w:val="3"/>
        <w:spacing w:line="240" w:lineRule="auto"/>
        <w:jc w:val="center"/>
        <w:rPr>
          <w:rFonts w:ascii="宋体" w:hAnsi="宋体"/>
          <w:color w:val="auto"/>
          <w:sz w:val="36"/>
          <w:szCs w:val="36"/>
          <w:highlight w:val="none"/>
        </w:rPr>
      </w:pPr>
      <w:bookmarkStart w:id="73" w:name="_Toc53267585"/>
      <w:r>
        <w:rPr>
          <w:rFonts w:hint="eastAsia" w:ascii="宋体" w:hAnsi="宋体"/>
          <w:color w:val="auto"/>
          <w:sz w:val="36"/>
          <w:szCs w:val="36"/>
          <w:highlight w:val="none"/>
        </w:rPr>
        <w:t>第五章  采购项目技术、服务、政府采购合同内容条款及其他商务要求</w:t>
      </w:r>
      <w:bookmarkEnd w:id="73"/>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 xml:space="preserve">一、项目基本情况 </w:t>
      </w:r>
    </w:p>
    <w:p>
      <w:pPr>
        <w:spacing w:line="360" w:lineRule="auto"/>
        <w:ind w:firstLine="480" w:firstLineChars="200"/>
        <w:rPr>
          <w:rFonts w:ascii="宋体" w:hAnsi="宋体" w:cs="宋体"/>
          <w:b/>
          <w:bCs/>
          <w:color w:val="auto"/>
          <w:sz w:val="24"/>
          <w:highlight w:val="none"/>
        </w:rPr>
      </w:pPr>
      <w:r>
        <w:rPr>
          <w:rFonts w:hint="eastAsia" w:ascii="宋体" w:hAnsi="宋体" w:cs="宋体"/>
          <w:color w:val="auto"/>
          <w:sz w:val="24"/>
          <w:highlight w:val="none"/>
        </w:rPr>
        <w:t>本次核心研究范围为崇州市中心城区除崇阳新城外的旧城区域，约1330公顷（约19950亩）。利用城市有机更新的手段对片区产业、景观、城市形态、交通进行升级改造，结合“留改建”对片区内棚户区域进行土地整理和控规调整。以上内容均需按照2020年成都市人民政府办公厅印发《成都市人民政府办公厅关于印发成都市城市城市有机更新实施办法的通知》、《成都市城市规划管理技术规定（2017）》和规划编制条件进行编制。</w:t>
      </w:r>
    </w:p>
    <w:p>
      <w:pPr>
        <w:numPr>
          <w:ilvl w:val="0"/>
          <w:numId w:val="3"/>
        </w:numPr>
        <w:spacing w:line="360" w:lineRule="auto"/>
        <w:rPr>
          <w:color w:val="auto"/>
          <w:highlight w:val="none"/>
        </w:rPr>
      </w:pPr>
      <w:r>
        <w:rPr>
          <w:rFonts w:hint="eastAsia" w:ascii="宋体" w:hAnsi="宋体" w:cs="宋体"/>
          <w:b/>
          <w:bCs/>
          <w:color w:val="auto"/>
          <w:sz w:val="24"/>
          <w:highlight w:val="none"/>
        </w:rPr>
        <w:t>服务内容及要求：</w:t>
      </w:r>
      <w:r>
        <w:rPr>
          <w:rFonts w:ascii="宋体" w:hAnsi="宋体" w:cs="宋体"/>
          <w:b/>
          <w:bCs/>
          <w:color w:val="auto"/>
          <w:sz w:val="24"/>
          <w:highlight w:val="none"/>
        </w:rPr>
        <w:t>(</w:t>
      </w:r>
      <w:r>
        <w:rPr>
          <w:rFonts w:hint="eastAsia" w:ascii="宋体" w:hAnsi="宋体" w:cs="宋体"/>
          <w:b/>
          <w:bCs/>
          <w:color w:val="auto"/>
          <w:sz w:val="24"/>
          <w:highlight w:val="none"/>
        </w:rPr>
        <w:t>实质性要求</w:t>
      </w:r>
      <w:r>
        <w:rPr>
          <w:rFonts w:ascii="宋体" w:hAnsi="宋体" w:cs="宋体"/>
          <w:b/>
          <w:bCs/>
          <w:color w:val="auto"/>
          <w:sz w:val="24"/>
          <w:highlight w:val="none"/>
        </w:rPr>
        <w:t>)</w:t>
      </w:r>
    </w:p>
    <w:p>
      <w:pPr>
        <w:numPr>
          <w:ilvl w:val="0"/>
          <w:numId w:val="4"/>
        </w:num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项目内容及规模：约1330公顷（约19950亩）。项目传承保护建筑面积：51205m²;优化提升建筑面积：3357189m²;拆旧建新建筑面积：4106913m²。</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编制工作内容：本项目编制范围为崇州市城市更新专项规划和更新单元实施规划编制，包含：城市设计编制；城市更新单元划定；更新单元指引（保留、更新、拆除重建范围划定；城市绿化景观提升打造；建筑色彩、形态、立面提升设计；城市家具、道路铺装、夜景灯光、市政基础设施美化；产业策划、业态规划等）。</w:t>
      </w:r>
    </w:p>
    <w:p>
      <w:pPr>
        <w:autoSpaceDE w:val="0"/>
        <w:autoSpaceDN w:val="0"/>
        <w:adjustRightInd w:val="0"/>
        <w:spacing w:before="32" w:line="472" w:lineRule="exact"/>
        <w:ind w:right="77" w:firstLine="480" w:firstLineChars="200"/>
        <w:rPr>
          <w:rFonts w:ascii="宋体" w:hAnsi="宋体" w:cs="宋体"/>
          <w:color w:val="auto"/>
          <w:sz w:val="24"/>
          <w:highlight w:val="none"/>
        </w:rPr>
      </w:pPr>
      <w:r>
        <w:rPr>
          <w:rFonts w:hint="eastAsia" w:ascii="宋体" w:hAnsi="宋体" w:cs="宋体"/>
          <w:color w:val="auto"/>
          <w:sz w:val="24"/>
          <w:highlight w:val="none"/>
        </w:rPr>
        <w:t>3.编制要求：按照采购人要求完成方案编制，编制单位应无条件配合采购人组织的后期报审工作。供应商应按照采购人要求的工期完成编制工作，采购人提出的工期可能会小于相关定额规定的工期，但只要该工期未严重背离合理的编制工作工期，承包人均应予接受，由此可能增加的费用已包含在本合同约定的编制收费中，采购人不再额外支付费用。</w:t>
      </w:r>
    </w:p>
    <w:p>
      <w:pPr>
        <w:autoSpaceDE w:val="0"/>
        <w:autoSpaceDN w:val="0"/>
        <w:adjustRightInd w:val="0"/>
        <w:spacing w:before="32" w:line="472" w:lineRule="exact"/>
        <w:ind w:right="77" w:firstLine="480" w:firstLineChars="200"/>
        <w:rPr>
          <w:rFonts w:ascii="宋体" w:hAnsi="宋体" w:cs="宋体"/>
          <w:color w:val="auto"/>
          <w:sz w:val="24"/>
          <w:highlight w:val="none"/>
        </w:rPr>
      </w:pPr>
      <w:r>
        <w:rPr>
          <w:rFonts w:hint="eastAsia" w:ascii="宋体" w:hAnsi="宋体" w:cs="宋体"/>
          <w:color w:val="auto"/>
          <w:sz w:val="24"/>
          <w:highlight w:val="none"/>
        </w:rPr>
        <w:t>4.规划深度：规划深度和内容必须符合现行法律、法规等相关要求，通过专家、规委会等相关会议的审查。</w:t>
      </w:r>
    </w:p>
    <w:p>
      <w:pPr>
        <w:autoSpaceDE w:val="0"/>
        <w:autoSpaceDN w:val="0"/>
        <w:adjustRightInd w:val="0"/>
        <w:spacing w:before="32" w:line="472" w:lineRule="exact"/>
        <w:ind w:right="77" w:firstLine="480" w:firstLineChars="200"/>
        <w:rPr>
          <w:rFonts w:ascii="宋体" w:hAnsi="宋体" w:cs="宋体"/>
          <w:color w:val="auto"/>
          <w:sz w:val="24"/>
          <w:highlight w:val="none"/>
        </w:rPr>
      </w:pPr>
      <w:r>
        <w:rPr>
          <w:rFonts w:hint="eastAsia" w:ascii="宋体" w:hAnsi="宋体" w:cs="宋体"/>
          <w:color w:val="auto"/>
          <w:sz w:val="24"/>
          <w:highlight w:val="none"/>
        </w:rPr>
        <w:t>5.采购人应向承包人提交的有关成果资料及文件</w:t>
      </w:r>
    </w:p>
    <w:tbl>
      <w:tblPr>
        <w:tblStyle w:val="37"/>
        <w:tblW w:w="9528" w:type="dxa"/>
        <w:jc w:val="center"/>
        <w:tblLayout w:type="fixed"/>
        <w:tblCellMar>
          <w:top w:w="0" w:type="dxa"/>
          <w:left w:w="108" w:type="dxa"/>
          <w:bottom w:w="0" w:type="dxa"/>
          <w:right w:w="108" w:type="dxa"/>
        </w:tblCellMar>
      </w:tblPr>
      <w:tblGrid>
        <w:gridCol w:w="768"/>
        <w:gridCol w:w="4560"/>
        <w:gridCol w:w="1800"/>
        <w:gridCol w:w="2400"/>
      </w:tblGrid>
      <w:tr>
        <w:tblPrEx>
          <w:tblCellMar>
            <w:top w:w="0" w:type="dxa"/>
            <w:left w:w="108" w:type="dxa"/>
            <w:bottom w:w="0" w:type="dxa"/>
            <w:right w:w="108" w:type="dxa"/>
          </w:tblCellMar>
        </w:tblPrEx>
        <w:trPr>
          <w:trHeight w:val="209" w:hRule="atLeast"/>
          <w:jc w:val="center"/>
        </w:trPr>
        <w:tc>
          <w:tcPr>
            <w:tcW w:w="768" w:type="dxa"/>
            <w:tcBorders>
              <w:top w:val="single" w:color="000000" w:sz="8" w:space="0"/>
              <w:left w:val="single" w:color="000000" w:sz="8" w:space="0"/>
              <w:bottom w:val="single" w:color="000000" w:sz="8" w:space="0"/>
              <w:right w:val="single" w:color="000000" w:sz="8" w:space="0"/>
            </w:tcBorders>
          </w:tcPr>
          <w:p>
            <w:pPr>
              <w:autoSpaceDE w:val="0"/>
              <w:autoSpaceDN w:val="0"/>
              <w:adjustRightIn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序号</w:t>
            </w:r>
          </w:p>
        </w:tc>
        <w:tc>
          <w:tcPr>
            <w:tcW w:w="4560" w:type="dxa"/>
            <w:tcBorders>
              <w:top w:val="single" w:color="000000" w:sz="8" w:space="0"/>
              <w:left w:val="single" w:color="000000" w:sz="8" w:space="0"/>
              <w:bottom w:val="single" w:color="000000" w:sz="8" w:space="0"/>
              <w:right w:val="single" w:color="000000" w:sz="8" w:space="0"/>
            </w:tcBorders>
          </w:tcPr>
          <w:p>
            <w:pPr>
              <w:autoSpaceDE w:val="0"/>
              <w:autoSpaceDN w:val="0"/>
              <w:adjustRightIn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资料及文件名称</w:t>
            </w:r>
          </w:p>
        </w:tc>
        <w:tc>
          <w:tcPr>
            <w:tcW w:w="1800" w:type="dxa"/>
            <w:tcBorders>
              <w:top w:val="single" w:color="000000" w:sz="8" w:space="0"/>
              <w:left w:val="single" w:color="000000" w:sz="8" w:space="0"/>
              <w:bottom w:val="single" w:color="000000" w:sz="8" w:space="0"/>
              <w:right w:val="single" w:color="000000" w:sz="8" w:space="0"/>
            </w:tcBorders>
          </w:tcPr>
          <w:p>
            <w:pPr>
              <w:autoSpaceDE w:val="0"/>
              <w:autoSpaceDN w:val="0"/>
              <w:adjustRightIn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份数</w:t>
            </w:r>
          </w:p>
        </w:tc>
        <w:tc>
          <w:tcPr>
            <w:tcW w:w="2400" w:type="dxa"/>
            <w:tcBorders>
              <w:top w:val="single" w:color="000000" w:sz="8" w:space="0"/>
              <w:left w:val="single" w:color="000000" w:sz="8" w:space="0"/>
              <w:bottom w:val="single" w:color="000000" w:sz="8" w:space="0"/>
              <w:right w:val="single" w:color="000000" w:sz="8" w:space="0"/>
            </w:tcBorders>
          </w:tcPr>
          <w:p>
            <w:pPr>
              <w:autoSpaceDE w:val="0"/>
              <w:autoSpaceDN w:val="0"/>
              <w:adjustRightIn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提交日期</w:t>
            </w:r>
          </w:p>
        </w:tc>
      </w:tr>
      <w:tr>
        <w:tblPrEx>
          <w:tblCellMar>
            <w:top w:w="0" w:type="dxa"/>
            <w:left w:w="108" w:type="dxa"/>
            <w:bottom w:w="0" w:type="dxa"/>
            <w:right w:w="108" w:type="dxa"/>
          </w:tblCellMar>
        </w:tblPrEx>
        <w:trPr>
          <w:trHeight w:val="249" w:hRule="atLeast"/>
          <w:jc w:val="center"/>
        </w:trPr>
        <w:tc>
          <w:tcPr>
            <w:tcW w:w="768" w:type="dxa"/>
            <w:tcBorders>
              <w:top w:val="single" w:color="000000" w:sz="8" w:space="0"/>
              <w:left w:val="single" w:color="000000" w:sz="8" w:space="0"/>
              <w:bottom w:val="single" w:color="000000" w:sz="8" w:space="0"/>
              <w:right w:val="single" w:color="000000" w:sz="8" w:space="0"/>
            </w:tcBorders>
          </w:tcPr>
          <w:p>
            <w:pPr>
              <w:autoSpaceDE w:val="0"/>
              <w:autoSpaceDN w:val="0"/>
              <w:adjustRightInd w:val="0"/>
              <w:spacing w:before="32" w:line="472" w:lineRule="exact"/>
              <w:ind w:right="77"/>
              <w:jc w:val="center"/>
              <w:rPr>
                <w:rFonts w:ascii="宋体" w:hAnsi="宋体" w:cs="宋体"/>
                <w:color w:val="auto"/>
                <w:sz w:val="24"/>
                <w:highlight w:val="none"/>
              </w:rPr>
            </w:pPr>
            <w:r>
              <w:rPr>
                <w:rFonts w:hint="eastAsia" w:ascii="宋体" w:hAnsi="宋体" w:cs="宋体"/>
                <w:color w:val="auto"/>
                <w:sz w:val="24"/>
                <w:highlight w:val="none"/>
              </w:rPr>
              <w:t>1</w:t>
            </w:r>
          </w:p>
        </w:tc>
        <w:tc>
          <w:tcPr>
            <w:tcW w:w="456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32" w:line="472" w:lineRule="exact"/>
              <w:ind w:right="77"/>
              <w:jc w:val="center"/>
              <w:rPr>
                <w:rFonts w:ascii="宋体" w:hAnsi="宋体" w:cs="宋体"/>
                <w:color w:val="auto"/>
                <w:sz w:val="24"/>
                <w:highlight w:val="none"/>
              </w:rPr>
            </w:pPr>
            <w:r>
              <w:rPr>
                <w:rFonts w:hint="eastAsia" w:ascii="宋体" w:hAnsi="宋体" w:cs="宋体"/>
                <w:color w:val="auto"/>
                <w:sz w:val="24"/>
                <w:highlight w:val="none"/>
              </w:rPr>
              <w:t>红线图</w:t>
            </w:r>
          </w:p>
        </w:tc>
        <w:tc>
          <w:tcPr>
            <w:tcW w:w="180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32" w:line="472" w:lineRule="exact"/>
              <w:ind w:right="77"/>
              <w:jc w:val="center"/>
              <w:rPr>
                <w:rFonts w:ascii="宋体" w:hAnsi="宋体" w:cs="宋体"/>
                <w:color w:val="auto"/>
                <w:sz w:val="24"/>
                <w:highlight w:val="none"/>
              </w:rPr>
            </w:pPr>
            <w:r>
              <w:rPr>
                <w:rFonts w:hint="eastAsia" w:ascii="宋体" w:hAnsi="宋体" w:cs="宋体"/>
                <w:color w:val="auto"/>
                <w:sz w:val="24"/>
                <w:highlight w:val="none"/>
              </w:rPr>
              <w:t>1</w:t>
            </w:r>
          </w:p>
        </w:tc>
        <w:tc>
          <w:tcPr>
            <w:tcW w:w="240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32" w:line="472" w:lineRule="exact"/>
              <w:ind w:right="77"/>
              <w:jc w:val="center"/>
              <w:rPr>
                <w:rFonts w:ascii="宋体" w:hAnsi="宋体" w:cs="宋体"/>
                <w:color w:val="auto"/>
                <w:sz w:val="24"/>
                <w:highlight w:val="none"/>
              </w:rPr>
            </w:pPr>
            <w:r>
              <w:rPr>
                <w:rFonts w:hint="eastAsia" w:ascii="宋体" w:hAnsi="宋体" w:cs="宋体"/>
                <w:color w:val="auto"/>
                <w:sz w:val="24"/>
                <w:highlight w:val="none"/>
              </w:rPr>
              <w:t>合同签订后</w:t>
            </w:r>
          </w:p>
        </w:tc>
      </w:tr>
      <w:tr>
        <w:tblPrEx>
          <w:tblCellMar>
            <w:top w:w="0" w:type="dxa"/>
            <w:left w:w="108" w:type="dxa"/>
            <w:bottom w:w="0" w:type="dxa"/>
            <w:right w:w="108" w:type="dxa"/>
          </w:tblCellMar>
        </w:tblPrEx>
        <w:trPr>
          <w:trHeight w:val="249" w:hRule="atLeast"/>
          <w:jc w:val="center"/>
        </w:trPr>
        <w:tc>
          <w:tcPr>
            <w:tcW w:w="768" w:type="dxa"/>
            <w:tcBorders>
              <w:top w:val="single" w:color="000000" w:sz="8" w:space="0"/>
              <w:left w:val="single" w:color="000000" w:sz="8" w:space="0"/>
              <w:bottom w:val="single" w:color="000000" w:sz="8" w:space="0"/>
              <w:right w:val="single" w:color="000000" w:sz="8" w:space="0"/>
            </w:tcBorders>
          </w:tcPr>
          <w:p>
            <w:pPr>
              <w:autoSpaceDE w:val="0"/>
              <w:autoSpaceDN w:val="0"/>
              <w:adjustRightInd w:val="0"/>
              <w:spacing w:before="32" w:line="472" w:lineRule="exact"/>
              <w:ind w:right="77"/>
              <w:jc w:val="center"/>
              <w:rPr>
                <w:rFonts w:ascii="宋体" w:hAnsi="宋体" w:cs="宋体"/>
                <w:color w:val="auto"/>
                <w:sz w:val="24"/>
                <w:highlight w:val="none"/>
              </w:rPr>
            </w:pPr>
            <w:r>
              <w:rPr>
                <w:rFonts w:hint="eastAsia" w:ascii="宋体" w:hAnsi="宋体" w:cs="宋体"/>
                <w:color w:val="auto"/>
                <w:sz w:val="24"/>
                <w:highlight w:val="none"/>
              </w:rPr>
              <w:t>2</w:t>
            </w:r>
          </w:p>
        </w:tc>
        <w:tc>
          <w:tcPr>
            <w:tcW w:w="456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32" w:line="472" w:lineRule="exact"/>
              <w:ind w:right="77"/>
              <w:jc w:val="center"/>
              <w:rPr>
                <w:rFonts w:ascii="宋体" w:hAnsi="宋体" w:cs="宋体"/>
                <w:color w:val="auto"/>
                <w:sz w:val="24"/>
                <w:highlight w:val="none"/>
              </w:rPr>
            </w:pPr>
            <w:r>
              <w:rPr>
                <w:rFonts w:hint="eastAsia" w:ascii="宋体" w:hAnsi="宋体" w:cs="宋体"/>
                <w:color w:val="auto"/>
                <w:sz w:val="24"/>
                <w:highlight w:val="none"/>
              </w:rPr>
              <w:t>立项批文及编制任务书</w:t>
            </w:r>
          </w:p>
        </w:tc>
        <w:tc>
          <w:tcPr>
            <w:tcW w:w="180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32" w:line="472" w:lineRule="exact"/>
              <w:ind w:right="77"/>
              <w:jc w:val="center"/>
              <w:rPr>
                <w:rFonts w:ascii="宋体" w:hAnsi="宋体" w:cs="宋体"/>
                <w:color w:val="auto"/>
                <w:sz w:val="24"/>
                <w:highlight w:val="none"/>
              </w:rPr>
            </w:pPr>
            <w:r>
              <w:rPr>
                <w:rFonts w:hint="eastAsia" w:ascii="宋体" w:hAnsi="宋体" w:cs="宋体"/>
                <w:color w:val="auto"/>
                <w:sz w:val="24"/>
                <w:highlight w:val="none"/>
              </w:rPr>
              <w:t>1</w:t>
            </w:r>
          </w:p>
        </w:tc>
        <w:tc>
          <w:tcPr>
            <w:tcW w:w="240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32" w:line="472" w:lineRule="exact"/>
              <w:ind w:right="77"/>
              <w:jc w:val="center"/>
              <w:rPr>
                <w:rFonts w:ascii="宋体" w:hAnsi="宋体" w:cs="宋体"/>
                <w:color w:val="auto"/>
                <w:sz w:val="24"/>
                <w:highlight w:val="none"/>
              </w:rPr>
            </w:pPr>
            <w:r>
              <w:rPr>
                <w:rFonts w:hint="eastAsia" w:ascii="宋体" w:hAnsi="宋体" w:cs="宋体"/>
                <w:color w:val="auto"/>
                <w:sz w:val="24"/>
                <w:highlight w:val="none"/>
              </w:rPr>
              <w:t>设计工作开始前</w:t>
            </w:r>
          </w:p>
        </w:tc>
      </w:tr>
    </w:tbl>
    <w:p>
      <w:pPr>
        <w:autoSpaceDE w:val="0"/>
        <w:autoSpaceDN w:val="0"/>
        <w:adjustRightInd w:val="0"/>
        <w:spacing w:before="32" w:line="472" w:lineRule="exact"/>
        <w:ind w:right="77" w:firstLine="484" w:firstLineChars="200"/>
        <w:rPr>
          <w:rFonts w:ascii="宋体" w:hAnsi="宋体" w:cs="宋体"/>
          <w:color w:val="auto"/>
          <w:spacing w:val="1"/>
          <w:kern w:val="0"/>
          <w:sz w:val="24"/>
          <w:highlight w:val="none"/>
        </w:rPr>
      </w:pPr>
      <w:r>
        <w:rPr>
          <w:rFonts w:hint="eastAsia" w:ascii="宋体" w:hAnsi="宋体" w:cs="宋体"/>
          <w:color w:val="auto"/>
          <w:spacing w:val="1"/>
          <w:kern w:val="0"/>
          <w:sz w:val="24"/>
          <w:highlight w:val="none"/>
        </w:rPr>
        <w:t>6.编制成果要求</w:t>
      </w:r>
    </w:p>
    <w:p>
      <w:pPr>
        <w:autoSpaceDE w:val="0"/>
        <w:autoSpaceDN w:val="0"/>
        <w:adjustRightInd w:val="0"/>
        <w:spacing w:before="32" w:line="472" w:lineRule="exact"/>
        <w:ind w:right="77" w:firstLine="484" w:firstLineChars="200"/>
        <w:rPr>
          <w:rFonts w:ascii="宋体" w:hAnsi="宋体" w:cs="宋体"/>
          <w:color w:val="auto"/>
          <w:spacing w:val="1"/>
          <w:kern w:val="0"/>
          <w:sz w:val="24"/>
          <w:highlight w:val="none"/>
        </w:rPr>
      </w:pPr>
      <w:r>
        <w:rPr>
          <w:rFonts w:hint="eastAsia" w:ascii="宋体" w:hAnsi="宋体" w:cs="宋体"/>
          <w:color w:val="auto"/>
          <w:spacing w:val="1"/>
          <w:kern w:val="0"/>
          <w:sz w:val="24"/>
          <w:highlight w:val="none"/>
        </w:rPr>
        <w:t>成果形式:</w:t>
      </w:r>
    </w:p>
    <w:p>
      <w:pPr>
        <w:numPr>
          <w:ilvl w:val="0"/>
          <w:numId w:val="5"/>
        </w:numPr>
        <w:autoSpaceDE w:val="0"/>
        <w:autoSpaceDN w:val="0"/>
        <w:adjustRightInd w:val="0"/>
        <w:spacing w:before="32" w:line="472" w:lineRule="exact"/>
        <w:ind w:right="77" w:firstLine="484" w:firstLineChars="200"/>
        <w:rPr>
          <w:rFonts w:ascii="宋体" w:hAnsi="宋体" w:cs="宋体"/>
          <w:color w:val="auto"/>
          <w:spacing w:val="1"/>
          <w:kern w:val="0"/>
          <w:sz w:val="24"/>
          <w:highlight w:val="none"/>
        </w:rPr>
      </w:pPr>
      <w:r>
        <w:rPr>
          <w:rFonts w:hint="eastAsia" w:ascii="宋体" w:hAnsi="宋体" w:cs="宋体"/>
          <w:color w:val="auto"/>
          <w:spacing w:val="1"/>
          <w:kern w:val="0"/>
          <w:sz w:val="24"/>
          <w:highlight w:val="none"/>
        </w:rPr>
        <w:t>片区城市设计规划成果（8套)、相应规划成果电子数据以及成果演示文件、光盘各</w:t>
      </w:r>
      <w:r>
        <w:rPr>
          <w:rFonts w:hint="eastAsia" w:ascii="宋体" w:hAnsi="宋体" w:cs="宋体"/>
          <w:color w:val="auto"/>
          <w:spacing w:val="1"/>
          <w:kern w:val="0"/>
          <w:sz w:val="24"/>
          <w:highlight w:val="none"/>
          <w:u w:val="single"/>
        </w:rPr>
        <w:t xml:space="preserve"> 2 </w:t>
      </w:r>
      <w:r>
        <w:rPr>
          <w:rFonts w:hint="eastAsia" w:ascii="宋体" w:hAnsi="宋体" w:cs="宋体"/>
          <w:color w:val="auto"/>
          <w:spacing w:val="1"/>
          <w:kern w:val="0"/>
          <w:sz w:val="24"/>
          <w:highlight w:val="none"/>
        </w:rPr>
        <w:t>套。</w:t>
      </w:r>
    </w:p>
    <w:p>
      <w:pPr>
        <w:autoSpaceDE w:val="0"/>
        <w:autoSpaceDN w:val="0"/>
        <w:adjustRightInd w:val="0"/>
        <w:spacing w:before="32" w:line="472" w:lineRule="exact"/>
        <w:ind w:right="77" w:firstLine="484" w:firstLineChars="200"/>
        <w:rPr>
          <w:rFonts w:ascii="宋体" w:hAnsi="宋体" w:cs="宋体"/>
          <w:color w:val="auto"/>
          <w:spacing w:val="1"/>
          <w:kern w:val="0"/>
          <w:sz w:val="24"/>
          <w:highlight w:val="none"/>
        </w:rPr>
      </w:pPr>
      <w:r>
        <w:rPr>
          <w:rFonts w:hint="eastAsia" w:ascii="宋体" w:hAnsi="宋体" w:cs="宋体"/>
          <w:color w:val="auto"/>
          <w:spacing w:val="1"/>
          <w:kern w:val="0"/>
          <w:sz w:val="24"/>
          <w:highlight w:val="none"/>
        </w:rPr>
        <w:t>（2）书面成果的文字说明和文字标注均须采用中文版本，设计图纸和文本文件必须清晰完整、尺寸齐全准确,同类图纸规格应尽量统一。电子数据成果的文本采用word格式</w:t>
      </w:r>
      <w:r>
        <w:rPr>
          <w:rFonts w:ascii="宋体" w:hAnsi="宋体" w:cs="宋体"/>
          <w:color w:val="auto"/>
          <w:sz w:val="24"/>
          <w:highlight w:val="none"/>
        </w:rPr>
        <w:t>（.doc、.docx），</w:t>
      </w:r>
      <w:r>
        <w:rPr>
          <w:rFonts w:hint="eastAsia" w:ascii="宋体" w:hAnsi="宋体" w:cs="宋体"/>
          <w:color w:val="auto"/>
          <w:spacing w:val="1"/>
          <w:kern w:val="0"/>
          <w:sz w:val="24"/>
          <w:highlight w:val="none"/>
        </w:rPr>
        <w:t>，图纸采用 dwg 和 jpg 格式，并符合住房建设行政主管部门有关规划成果电子报批和管理的格式要求。成果演示文件采用ppt格式。</w:t>
      </w:r>
    </w:p>
    <w:p>
      <w:pPr>
        <w:autoSpaceDE w:val="0"/>
        <w:autoSpaceDN w:val="0"/>
        <w:adjustRightInd w:val="0"/>
        <w:spacing w:before="32" w:line="472" w:lineRule="exact"/>
        <w:ind w:right="77" w:firstLine="484" w:firstLineChars="200"/>
        <w:rPr>
          <w:rFonts w:ascii="宋体" w:hAnsi="宋体" w:cs="宋体"/>
          <w:color w:val="auto"/>
          <w:spacing w:val="1"/>
          <w:kern w:val="0"/>
          <w:sz w:val="24"/>
          <w:highlight w:val="none"/>
        </w:rPr>
      </w:pPr>
      <w:r>
        <w:rPr>
          <w:rFonts w:hint="eastAsia" w:ascii="宋体" w:hAnsi="宋体" w:cs="宋体"/>
          <w:color w:val="auto"/>
          <w:spacing w:val="1"/>
          <w:kern w:val="0"/>
          <w:sz w:val="24"/>
          <w:highlight w:val="none"/>
        </w:rPr>
        <w:t>（3）规划成果要求未尽事项,按相关规范执行。设计单位可根据需要增加说明和图纸内容,增加的内容及图纸自行确定。</w:t>
      </w:r>
    </w:p>
    <w:p>
      <w:pPr>
        <w:autoSpaceDE w:val="0"/>
        <w:autoSpaceDN w:val="0"/>
        <w:adjustRightInd w:val="0"/>
        <w:spacing w:before="32" w:line="472" w:lineRule="exact"/>
        <w:ind w:right="77" w:firstLine="484" w:firstLineChars="200"/>
        <w:rPr>
          <w:rFonts w:ascii="宋体" w:hAnsi="宋体" w:cs="宋体"/>
          <w:color w:val="auto"/>
          <w:spacing w:val="1"/>
          <w:kern w:val="0"/>
          <w:sz w:val="24"/>
          <w:highlight w:val="none"/>
        </w:rPr>
      </w:pPr>
      <w:r>
        <w:rPr>
          <w:rFonts w:hint="eastAsia" w:ascii="宋体" w:hAnsi="宋体" w:cs="宋体"/>
          <w:color w:val="auto"/>
          <w:spacing w:val="1"/>
          <w:kern w:val="0"/>
          <w:sz w:val="24"/>
          <w:highlight w:val="none"/>
        </w:rPr>
        <w:t>成果内容:</w:t>
      </w:r>
    </w:p>
    <w:p>
      <w:pPr>
        <w:autoSpaceDE w:val="0"/>
        <w:autoSpaceDN w:val="0"/>
        <w:adjustRightInd w:val="0"/>
        <w:spacing w:before="32" w:line="472" w:lineRule="exact"/>
        <w:ind w:right="77" w:firstLine="484" w:firstLineChars="200"/>
        <w:rPr>
          <w:rFonts w:ascii="宋体" w:hAnsi="宋体" w:cs="宋体"/>
          <w:color w:val="auto"/>
          <w:spacing w:val="1"/>
          <w:kern w:val="0"/>
          <w:sz w:val="24"/>
          <w:highlight w:val="none"/>
        </w:rPr>
      </w:pPr>
      <w:r>
        <w:rPr>
          <w:rFonts w:hint="eastAsia" w:ascii="宋体" w:hAnsi="宋体" w:cs="宋体"/>
          <w:color w:val="auto"/>
          <w:spacing w:val="1"/>
          <w:kern w:val="0"/>
          <w:sz w:val="24"/>
          <w:highlight w:val="none"/>
        </w:rPr>
        <w:t>（1）规划说明书:表述规划结论，内容明确简练。</w:t>
      </w:r>
    </w:p>
    <w:p>
      <w:pPr>
        <w:autoSpaceDE w:val="0"/>
        <w:autoSpaceDN w:val="0"/>
        <w:adjustRightInd w:val="0"/>
        <w:spacing w:before="32" w:line="472" w:lineRule="exact"/>
        <w:ind w:right="77" w:firstLine="484" w:firstLineChars="200"/>
        <w:rPr>
          <w:rFonts w:ascii="宋体" w:hAnsi="宋体" w:cs="宋体"/>
          <w:color w:val="auto"/>
          <w:spacing w:val="1"/>
          <w:kern w:val="0"/>
          <w:sz w:val="24"/>
          <w:highlight w:val="none"/>
        </w:rPr>
      </w:pPr>
      <w:r>
        <w:rPr>
          <w:rFonts w:hint="eastAsia" w:ascii="宋体" w:hAnsi="宋体" w:cs="宋体"/>
          <w:color w:val="auto"/>
          <w:spacing w:val="1"/>
          <w:kern w:val="0"/>
          <w:sz w:val="24"/>
          <w:highlight w:val="none"/>
        </w:rPr>
        <w:t>（2）规划图纸:规划图纸所表达的内容应当清晰、准确，与规划文本内容相符。现状图、规划图和分析图应当分别表示，图例应当一致。</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三、商务要求 (实质性要求)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1.地点: </w:t>
      </w:r>
      <w:r>
        <w:rPr>
          <w:rFonts w:hint="eastAsia" w:ascii="宋体" w:hAnsi="宋体" w:cs="宋体"/>
          <w:color w:val="auto"/>
          <w:sz w:val="24"/>
          <w:highlight w:val="none"/>
          <w:u w:val="single"/>
        </w:rPr>
        <w:t>由采购人指定</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2.服务期限：</w:t>
      </w:r>
      <w:r>
        <w:rPr>
          <w:rFonts w:hint="eastAsia" w:ascii="宋体" w:hAnsi="宋体" w:cs="宋体"/>
          <w:color w:val="auto"/>
          <w:sz w:val="24"/>
          <w:highlight w:val="none"/>
          <w:u w:val="single"/>
        </w:rPr>
        <w:t>政府采购合同签订生效之日起45个工作日内按采购人要求的方式完成履约。</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付款方法和条件：第一次付款：乙方提交城市更新专项规划和更新单元实施规划方案初稿后，甲方支付合同总额的30%；第二次付款：方案通过专家审查会后，甲方支付合同总额的40%；第三次付款：最终成果通过规委会审查后，甲方支付合同总额的30%。</w:t>
      </w:r>
    </w:p>
    <w:p>
      <w:pPr>
        <w:spacing w:line="360" w:lineRule="auto"/>
        <w:ind w:firstLine="480" w:firstLineChars="200"/>
        <w:rPr>
          <w:rFonts w:ascii="宋体" w:hAnsi="宋体" w:cs="宋体"/>
          <w:color w:val="auto"/>
          <w:sz w:val="24"/>
          <w:highlight w:val="none"/>
        </w:rPr>
      </w:pPr>
      <w:r>
        <w:rPr>
          <w:rFonts w:hint="eastAsia" w:ascii="宋体" w:hAnsi="宋体" w:cs="微软雅黑"/>
          <w:color w:val="auto"/>
          <w:sz w:val="24"/>
          <w:highlight w:val="none"/>
        </w:rPr>
        <w:t>4.验收标准及办法：按照《财政部关于进一步加强政府采购需求和履约验收管理的指导意见》（财库[2016]205号）及政府采购相关法律法规的要求进行验收。达到国家及行业现行相关技术规范及要求。如在执行过程中有新的文件即以新的文件执</w:t>
      </w:r>
      <w:r>
        <w:rPr>
          <w:rFonts w:hint="eastAsia" w:ascii="宋体" w:hAnsi="宋体" w:cs="宋体"/>
          <w:color w:val="auto"/>
          <w:sz w:val="24"/>
          <w:highlight w:val="none"/>
        </w:rPr>
        <w:t>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保密要求：本项目规划过程中所涉及所有信息资料（包括：采购人提供或供应商自行收集的）的所有权归采购人所有，未经采购人书面允许成交人不得将信息资料透漏给第三方，否则采购人有权追究其法律责任。</w:t>
      </w:r>
    </w:p>
    <w:p>
      <w:pPr>
        <w:pStyle w:val="2"/>
        <w:ind w:firstLine="480" w:firstLineChars="200"/>
        <w:rPr>
          <w:rFonts w:hAnsi="宋体"/>
          <w:color w:val="auto"/>
          <w:highlight w:val="none"/>
        </w:rPr>
      </w:pPr>
      <w:r>
        <w:rPr>
          <w:rFonts w:hint="eastAsia" w:hAnsi="宋体"/>
          <w:color w:val="auto"/>
          <w:highlight w:val="none"/>
        </w:rPr>
        <w:t>6.其他未尽事宜由供需双方在采购合同中详细约定。</w:t>
      </w:r>
    </w:p>
    <w:p>
      <w:pPr>
        <w:pStyle w:val="2"/>
        <w:jc w:val="center"/>
        <w:rPr>
          <w:rFonts w:hAnsi="宋体"/>
          <w:color w:val="auto"/>
          <w:sz w:val="36"/>
          <w:szCs w:val="36"/>
          <w:highlight w:val="none"/>
        </w:rPr>
      </w:pPr>
      <w:r>
        <w:rPr>
          <w:rFonts w:hAnsi="宋体"/>
          <w:b/>
          <w:bCs/>
          <w:color w:val="auto"/>
          <w:highlight w:val="none"/>
        </w:rPr>
        <w:br w:type="textWrapping"/>
      </w:r>
      <w:r>
        <w:rPr>
          <w:rFonts w:hAnsi="宋体"/>
          <w:color w:val="auto"/>
          <w:sz w:val="32"/>
          <w:highlight w:val="none"/>
        </w:rPr>
        <w:br w:type="page"/>
      </w:r>
      <w:bookmarkStart w:id="74" w:name="_Toc53267586"/>
      <w:r>
        <w:rPr>
          <w:rFonts w:hint="eastAsia" w:hAnsi="宋体"/>
          <w:color w:val="auto"/>
          <w:sz w:val="36"/>
          <w:szCs w:val="36"/>
          <w:highlight w:val="none"/>
        </w:rPr>
        <w:t>第六章  采购项目实质性要求</w:t>
      </w:r>
      <w:bookmarkEnd w:id="74"/>
    </w:p>
    <w:p>
      <w:pPr>
        <w:rPr>
          <w:color w:val="auto"/>
          <w:highlight w:val="none"/>
        </w:rPr>
      </w:pPr>
    </w:p>
    <w:p>
      <w:pPr>
        <w:widowControl/>
        <w:spacing w:line="48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供应商资格必须符合国家有关规定和磋商采购文件资格性要求；若磋商结果无实质性变动,供应商必须满足采购文件规定的所有实质性要求，并且响应文件中不能附有采购人不能接受的条件。否则将视作无效文件处理。</w:t>
      </w:r>
    </w:p>
    <w:p>
      <w:pPr>
        <w:rPr>
          <w:color w:val="auto"/>
          <w:highlight w:val="none"/>
        </w:rPr>
      </w:pPr>
    </w:p>
    <w:p>
      <w:pPr>
        <w:widowControl/>
        <w:jc w:val="left"/>
        <w:rPr>
          <w:rFonts w:ascii="宋体" w:hAnsi="宋体"/>
          <w:b/>
          <w:bCs/>
          <w:color w:val="auto"/>
          <w:kern w:val="44"/>
          <w:sz w:val="36"/>
          <w:szCs w:val="36"/>
          <w:highlight w:val="none"/>
        </w:rPr>
      </w:pPr>
      <w:r>
        <w:rPr>
          <w:rFonts w:ascii="宋体" w:hAnsi="宋体"/>
          <w:color w:val="auto"/>
          <w:sz w:val="36"/>
          <w:szCs w:val="36"/>
          <w:highlight w:val="none"/>
        </w:rPr>
        <w:br w:type="page"/>
      </w:r>
    </w:p>
    <w:p>
      <w:pPr>
        <w:pStyle w:val="3"/>
        <w:spacing w:line="240" w:lineRule="auto"/>
        <w:jc w:val="center"/>
        <w:rPr>
          <w:rFonts w:ascii="宋体" w:hAnsi="宋体"/>
          <w:color w:val="auto"/>
          <w:sz w:val="36"/>
          <w:szCs w:val="36"/>
          <w:highlight w:val="none"/>
        </w:rPr>
      </w:pPr>
      <w:bookmarkStart w:id="75" w:name="_Toc53267587"/>
      <w:r>
        <w:rPr>
          <w:rFonts w:hint="eastAsia" w:ascii="宋体" w:hAnsi="宋体"/>
          <w:color w:val="auto"/>
          <w:sz w:val="36"/>
          <w:szCs w:val="36"/>
          <w:highlight w:val="none"/>
        </w:rPr>
        <w:t>第七章  磋商内容、磋商过程中可实质性变动的内容</w:t>
      </w:r>
      <w:bookmarkEnd w:id="75"/>
    </w:p>
    <w:p>
      <w:pPr>
        <w:widowControl/>
        <w:spacing w:line="360" w:lineRule="auto"/>
        <w:ind w:firstLine="480" w:firstLineChars="200"/>
        <w:jc w:val="left"/>
        <w:rPr>
          <w:rFonts w:ascii="宋体" w:hAnsi="宋体" w:cs="微软雅黑"/>
          <w:color w:val="auto"/>
          <w:sz w:val="24"/>
          <w:highlight w:val="none"/>
        </w:rPr>
      </w:pPr>
    </w:p>
    <w:p>
      <w:pPr>
        <w:tabs>
          <w:tab w:val="left" w:pos="7665"/>
        </w:tabs>
        <w:spacing w:line="480" w:lineRule="auto"/>
        <w:ind w:firstLine="480"/>
        <w:rPr>
          <w:rFonts w:ascii="宋体" w:hAnsi="宋体"/>
          <w:bCs/>
          <w:color w:val="auto"/>
          <w:sz w:val="24"/>
          <w:highlight w:val="none"/>
        </w:rPr>
      </w:pPr>
      <w:r>
        <w:rPr>
          <w:rFonts w:hint="eastAsia" w:ascii="宋体" w:hAnsi="宋体"/>
          <w:bCs/>
          <w:color w:val="auto"/>
          <w:sz w:val="24"/>
          <w:highlight w:val="none"/>
        </w:rPr>
        <w:t>在磋商过程中，磋商小组可以根据磋商文件和磋商情况实质性变动采购需求中的技术、服务要求以及合同草案条款，但不得变动磋商文件中的其他内容。实质性变动的内容，须经采购人代表确认。</w:t>
      </w:r>
    </w:p>
    <w:p>
      <w:pPr>
        <w:widowControl/>
        <w:jc w:val="left"/>
        <w:rPr>
          <w:rFonts w:ascii="宋体" w:hAnsi="宋体"/>
          <w:b/>
          <w:color w:val="auto"/>
          <w:sz w:val="32"/>
          <w:highlight w:val="none"/>
        </w:rPr>
      </w:pPr>
    </w:p>
    <w:p>
      <w:pPr>
        <w:widowControl/>
        <w:jc w:val="left"/>
        <w:rPr>
          <w:rFonts w:ascii="宋体" w:hAnsi="宋体"/>
          <w:b/>
          <w:color w:val="auto"/>
          <w:sz w:val="32"/>
          <w:highlight w:val="none"/>
        </w:rPr>
      </w:pPr>
      <w:r>
        <w:rPr>
          <w:rFonts w:ascii="宋体" w:hAnsi="宋体"/>
          <w:b/>
          <w:color w:val="auto"/>
          <w:sz w:val="32"/>
          <w:highlight w:val="none"/>
        </w:rPr>
        <w:br w:type="page"/>
      </w:r>
    </w:p>
    <w:p>
      <w:pPr>
        <w:pStyle w:val="3"/>
        <w:spacing w:line="240" w:lineRule="auto"/>
        <w:jc w:val="center"/>
        <w:rPr>
          <w:rFonts w:ascii="宋体" w:hAnsi="宋体"/>
          <w:color w:val="auto"/>
          <w:sz w:val="36"/>
          <w:szCs w:val="36"/>
          <w:highlight w:val="none"/>
        </w:rPr>
      </w:pPr>
      <w:bookmarkStart w:id="76" w:name="_Toc53267588"/>
      <w:r>
        <w:rPr>
          <w:rFonts w:hint="eastAsia" w:ascii="宋体" w:hAnsi="宋体"/>
          <w:color w:val="auto"/>
          <w:sz w:val="36"/>
          <w:szCs w:val="36"/>
          <w:highlight w:val="none"/>
        </w:rPr>
        <w:t>第八章  响应文件格式</w:t>
      </w:r>
      <w:bookmarkEnd w:id="76"/>
    </w:p>
    <w:p>
      <w:pPr>
        <w:tabs>
          <w:tab w:val="left" w:pos="900"/>
        </w:tabs>
        <w:spacing w:line="360" w:lineRule="auto"/>
        <w:jc w:val="center"/>
        <w:rPr>
          <w:rFonts w:ascii="宋体" w:hAnsi="宋体"/>
          <w:b/>
          <w:color w:val="auto"/>
          <w:sz w:val="32"/>
          <w:highlight w:val="none"/>
        </w:rPr>
      </w:pPr>
    </w:p>
    <w:p>
      <w:pPr>
        <w:spacing w:line="360" w:lineRule="auto"/>
        <w:ind w:firstLine="480" w:firstLineChars="200"/>
        <w:rPr>
          <w:rFonts w:ascii="宋体" w:hAnsi="宋体" w:cstheme="minorEastAsia"/>
          <w:color w:val="auto"/>
          <w:sz w:val="24"/>
          <w:highlight w:val="none"/>
        </w:rPr>
      </w:pPr>
      <w:r>
        <w:rPr>
          <w:rFonts w:hint="eastAsia" w:ascii="宋体" w:hAnsi="宋体" w:cstheme="minorEastAsia"/>
          <w:color w:val="auto"/>
          <w:sz w:val="24"/>
          <w:highlight w:val="none"/>
        </w:rPr>
        <w:t>一、本章所制响应文件格式，除格式中明确将该格式作为实质性要求的，一律不具有强制性。</w:t>
      </w:r>
    </w:p>
    <w:p>
      <w:pPr>
        <w:spacing w:line="360" w:lineRule="auto"/>
        <w:ind w:firstLine="480" w:firstLineChars="200"/>
        <w:rPr>
          <w:rFonts w:ascii="宋体" w:hAnsi="宋体" w:cstheme="minorEastAsia"/>
          <w:color w:val="auto"/>
          <w:sz w:val="24"/>
          <w:highlight w:val="none"/>
        </w:rPr>
      </w:pPr>
      <w:r>
        <w:rPr>
          <w:rFonts w:hint="eastAsia" w:ascii="宋体" w:hAnsi="宋体" w:cstheme="minorEastAsia"/>
          <w:color w:val="auto"/>
          <w:sz w:val="24"/>
          <w:highlight w:val="none"/>
        </w:rPr>
        <w:t>二、本章所制响应文件格式有关表格中的备注栏，由供应商根据自身响应情况作解释性说明，不作为必填项。</w:t>
      </w:r>
    </w:p>
    <w:p>
      <w:pPr>
        <w:spacing w:line="360" w:lineRule="auto"/>
        <w:ind w:firstLine="480" w:firstLineChars="200"/>
        <w:rPr>
          <w:rFonts w:ascii="宋体" w:hAnsi="宋体" w:cstheme="minorEastAsia"/>
          <w:color w:val="auto"/>
          <w:sz w:val="24"/>
          <w:highlight w:val="none"/>
        </w:rPr>
      </w:pPr>
      <w:r>
        <w:rPr>
          <w:rFonts w:hint="eastAsia" w:ascii="宋体" w:hAnsi="宋体" w:cstheme="minorEastAsia"/>
          <w:color w:val="auto"/>
          <w:sz w:val="24"/>
          <w:highlight w:val="none"/>
        </w:rPr>
        <w:t>三、本章所制响应文件格式中需要填写的相关内容事项，可能会与本采购项目无关，在不改变响应文件原义、不影响本项目采购需求的情况下，供应商可以不予填写，但应当注明。</w:t>
      </w:r>
    </w:p>
    <w:p>
      <w:pPr>
        <w:tabs>
          <w:tab w:val="left" w:pos="900"/>
        </w:tabs>
        <w:spacing w:line="360" w:lineRule="auto"/>
        <w:jc w:val="center"/>
        <w:rPr>
          <w:rFonts w:ascii="宋体" w:hAnsi="宋体"/>
          <w:b/>
          <w:color w:val="auto"/>
          <w:sz w:val="32"/>
          <w:highlight w:val="none"/>
        </w:rPr>
      </w:pPr>
    </w:p>
    <w:p>
      <w:pPr>
        <w:tabs>
          <w:tab w:val="left" w:pos="900"/>
        </w:tabs>
        <w:spacing w:line="360" w:lineRule="auto"/>
        <w:jc w:val="center"/>
        <w:rPr>
          <w:rFonts w:ascii="宋体" w:hAnsi="宋体"/>
          <w:b/>
          <w:color w:val="auto"/>
          <w:sz w:val="32"/>
          <w:highlight w:val="none"/>
        </w:rPr>
      </w:pPr>
    </w:p>
    <w:p>
      <w:pPr>
        <w:tabs>
          <w:tab w:val="left" w:pos="900"/>
        </w:tabs>
        <w:spacing w:line="360" w:lineRule="auto"/>
        <w:jc w:val="center"/>
        <w:rPr>
          <w:rFonts w:ascii="宋体" w:hAnsi="宋体"/>
          <w:b/>
          <w:color w:val="auto"/>
          <w:sz w:val="32"/>
          <w:highlight w:val="none"/>
        </w:rPr>
      </w:pPr>
    </w:p>
    <w:p>
      <w:pPr>
        <w:tabs>
          <w:tab w:val="left" w:pos="900"/>
        </w:tabs>
        <w:spacing w:line="360" w:lineRule="auto"/>
        <w:jc w:val="center"/>
        <w:rPr>
          <w:rFonts w:ascii="宋体" w:hAnsi="宋体"/>
          <w:b/>
          <w:color w:val="auto"/>
          <w:sz w:val="32"/>
          <w:highlight w:val="none"/>
        </w:rPr>
      </w:pPr>
    </w:p>
    <w:p>
      <w:pPr>
        <w:widowControl/>
        <w:jc w:val="left"/>
        <w:rPr>
          <w:rFonts w:ascii="宋体" w:hAnsi="宋体"/>
          <w:b/>
          <w:color w:val="auto"/>
          <w:sz w:val="32"/>
          <w:szCs w:val="32"/>
          <w:highlight w:val="none"/>
        </w:rPr>
      </w:pPr>
      <w:r>
        <w:rPr>
          <w:rFonts w:ascii="宋体" w:hAnsi="宋体"/>
          <w:b/>
          <w:color w:val="auto"/>
          <w:sz w:val="32"/>
          <w:szCs w:val="32"/>
          <w:highlight w:val="none"/>
        </w:rPr>
        <w:br w:type="page"/>
      </w:r>
    </w:p>
    <w:p>
      <w:pPr>
        <w:tabs>
          <w:tab w:val="left" w:pos="900"/>
        </w:tabs>
        <w:spacing w:line="360" w:lineRule="auto"/>
        <w:jc w:val="center"/>
        <w:rPr>
          <w:rFonts w:ascii="宋体" w:hAnsi="宋体"/>
          <w:b/>
          <w:color w:val="auto"/>
          <w:sz w:val="32"/>
          <w:highlight w:val="none"/>
        </w:rPr>
      </w:pPr>
    </w:p>
    <w:p>
      <w:pPr>
        <w:tabs>
          <w:tab w:val="left" w:pos="900"/>
        </w:tabs>
        <w:spacing w:line="360" w:lineRule="auto"/>
        <w:jc w:val="center"/>
        <w:rPr>
          <w:rFonts w:ascii="宋体" w:hAnsi="宋体"/>
          <w:b/>
          <w:color w:val="auto"/>
          <w:sz w:val="32"/>
          <w:highlight w:val="none"/>
        </w:rPr>
      </w:pPr>
      <w:r>
        <w:rPr>
          <w:rFonts w:ascii="宋体" w:hAnsi="宋体"/>
          <w:b/>
          <w:color w:val="auto"/>
          <w:sz w:val="32"/>
          <w:highlight w:val="none"/>
        </w:rPr>
        <w:t xml:space="preserve">第一部分     </w:t>
      </w:r>
      <w:r>
        <w:rPr>
          <w:rFonts w:hint="eastAsia" w:ascii="宋体" w:hAnsi="宋体"/>
          <w:b/>
          <w:color w:val="auto"/>
          <w:sz w:val="32"/>
          <w:highlight w:val="none"/>
        </w:rPr>
        <w:t>“</w:t>
      </w:r>
      <w:r>
        <w:rPr>
          <w:rFonts w:ascii="宋体" w:hAnsi="宋体"/>
          <w:b/>
          <w:color w:val="auto"/>
          <w:sz w:val="32"/>
          <w:highlight w:val="none"/>
        </w:rPr>
        <w:t>资格性响应文件</w:t>
      </w:r>
      <w:r>
        <w:rPr>
          <w:rFonts w:hint="eastAsia" w:ascii="宋体" w:hAnsi="宋体"/>
          <w:b/>
          <w:color w:val="auto"/>
          <w:sz w:val="32"/>
          <w:highlight w:val="none"/>
        </w:rPr>
        <w:t>”</w:t>
      </w:r>
      <w:r>
        <w:rPr>
          <w:rFonts w:ascii="宋体" w:hAnsi="宋体"/>
          <w:b/>
          <w:color w:val="auto"/>
          <w:sz w:val="32"/>
          <w:highlight w:val="none"/>
        </w:rPr>
        <w:t>格式</w:t>
      </w:r>
    </w:p>
    <w:p>
      <w:pPr>
        <w:spacing w:line="360" w:lineRule="auto"/>
        <w:rPr>
          <w:rFonts w:ascii="宋体" w:hAnsi="宋体"/>
          <w:b/>
          <w:color w:val="auto"/>
          <w:sz w:val="32"/>
          <w:szCs w:val="32"/>
          <w:highlight w:val="none"/>
        </w:rPr>
      </w:pPr>
    </w:p>
    <w:p>
      <w:pPr>
        <w:spacing w:line="360" w:lineRule="auto"/>
        <w:rPr>
          <w:rFonts w:ascii="宋体" w:hAnsi="宋体"/>
          <w:b/>
          <w:color w:val="auto"/>
          <w:sz w:val="32"/>
          <w:szCs w:val="32"/>
          <w:highlight w:val="none"/>
        </w:rPr>
      </w:pPr>
      <w:r>
        <w:rPr>
          <w:rFonts w:hint="eastAsia" w:ascii="宋体" w:hAnsi="宋体"/>
          <w:b/>
          <w:color w:val="auto"/>
          <w:sz w:val="32"/>
          <w:szCs w:val="32"/>
          <w:highlight w:val="none"/>
        </w:rPr>
        <w:t>封面：</w:t>
      </w:r>
    </w:p>
    <w:p>
      <w:pPr>
        <w:spacing w:line="360" w:lineRule="auto"/>
        <w:jc w:val="right"/>
        <w:rPr>
          <w:rFonts w:ascii="宋体" w:hAnsi="宋体"/>
          <w:b/>
          <w:color w:val="auto"/>
          <w:sz w:val="36"/>
          <w:highlight w:val="none"/>
        </w:rPr>
      </w:pPr>
      <w:r>
        <w:rPr>
          <w:rFonts w:ascii="宋体" w:hAnsi="宋体"/>
          <w:b/>
          <w:color w:val="auto"/>
          <w:sz w:val="36"/>
          <w:highlight w:val="none"/>
        </w:rPr>
        <w:t>（正本/副本）</w:t>
      </w:r>
    </w:p>
    <w:p>
      <w:pPr>
        <w:spacing w:line="360" w:lineRule="auto"/>
        <w:rPr>
          <w:rFonts w:ascii="宋体" w:hAnsi="宋体"/>
          <w:b/>
          <w:color w:val="auto"/>
          <w:sz w:val="32"/>
          <w:szCs w:val="32"/>
          <w:highlight w:val="none"/>
        </w:rPr>
      </w:pPr>
    </w:p>
    <w:p>
      <w:pPr>
        <w:spacing w:line="360" w:lineRule="auto"/>
        <w:rPr>
          <w:rFonts w:ascii="宋体" w:hAnsi="宋体"/>
          <w:b/>
          <w:color w:val="auto"/>
          <w:sz w:val="32"/>
          <w:szCs w:val="32"/>
          <w:highlight w:val="none"/>
        </w:rPr>
      </w:pPr>
    </w:p>
    <w:p>
      <w:pPr>
        <w:spacing w:line="360" w:lineRule="auto"/>
        <w:jc w:val="center"/>
        <w:rPr>
          <w:rFonts w:ascii="宋体" w:hAnsi="宋体"/>
          <w:b/>
          <w:color w:val="auto"/>
          <w:sz w:val="72"/>
          <w:highlight w:val="none"/>
        </w:rPr>
      </w:pPr>
      <w:r>
        <w:rPr>
          <w:rFonts w:hint="eastAsia" w:ascii="宋体" w:hAnsi="宋体"/>
          <w:b/>
          <w:color w:val="auto"/>
          <w:sz w:val="40"/>
          <w:szCs w:val="48"/>
          <w:highlight w:val="none"/>
          <w:u w:val="single"/>
        </w:rPr>
        <w:t xml:space="preserve">                      </w:t>
      </w:r>
      <w:r>
        <w:rPr>
          <w:rFonts w:hint="eastAsia" w:ascii="宋体" w:hAnsi="宋体"/>
          <w:b/>
          <w:color w:val="auto"/>
          <w:sz w:val="40"/>
          <w:szCs w:val="48"/>
          <w:highlight w:val="none"/>
        </w:rPr>
        <w:t>项目</w:t>
      </w:r>
    </w:p>
    <w:p>
      <w:pPr>
        <w:spacing w:line="360" w:lineRule="auto"/>
        <w:rPr>
          <w:rFonts w:ascii="宋体" w:hAnsi="宋体"/>
          <w:b/>
          <w:color w:val="auto"/>
          <w:sz w:val="52"/>
          <w:szCs w:val="52"/>
          <w:highlight w:val="none"/>
        </w:rPr>
      </w:pPr>
    </w:p>
    <w:p>
      <w:pPr>
        <w:pStyle w:val="2"/>
        <w:jc w:val="center"/>
        <w:rPr>
          <w:color w:val="auto"/>
          <w:highlight w:val="none"/>
        </w:rPr>
      </w:pPr>
      <w:r>
        <w:rPr>
          <w:rFonts w:hint="eastAsia" w:hAnsi="宋体" w:cs="Times New Roman"/>
          <w:b/>
          <w:color w:val="auto"/>
          <w:kern w:val="2"/>
          <w:sz w:val="52"/>
          <w:szCs w:val="52"/>
          <w:highlight w:val="none"/>
        </w:rPr>
        <w:t>资格性响应文件</w:t>
      </w: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spacing w:line="360" w:lineRule="auto"/>
        <w:ind w:firstLine="643" w:firstLineChars="200"/>
        <w:jc w:val="left"/>
        <w:rPr>
          <w:rFonts w:ascii="宋体" w:hAnsi="宋体"/>
          <w:b/>
          <w:color w:val="auto"/>
          <w:sz w:val="32"/>
          <w:highlight w:val="none"/>
          <w:u w:val="single"/>
        </w:rPr>
      </w:pPr>
      <w:r>
        <w:rPr>
          <w:rFonts w:hint="eastAsia" w:ascii="宋体" w:hAnsi="宋体"/>
          <w:b/>
          <w:color w:val="auto"/>
          <w:sz w:val="32"/>
          <w:highlight w:val="none"/>
        </w:rPr>
        <w:t>供应商</w:t>
      </w:r>
      <w:r>
        <w:rPr>
          <w:rFonts w:ascii="宋体" w:hAnsi="宋体"/>
          <w:b/>
          <w:color w:val="auto"/>
          <w:sz w:val="32"/>
          <w:highlight w:val="none"/>
        </w:rPr>
        <w:t>名称：</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p>
    <w:p>
      <w:pPr>
        <w:spacing w:line="360" w:lineRule="auto"/>
        <w:ind w:firstLine="643" w:firstLineChars="200"/>
        <w:jc w:val="left"/>
        <w:rPr>
          <w:rFonts w:ascii="宋体" w:hAnsi="宋体"/>
          <w:b/>
          <w:color w:val="auto"/>
          <w:sz w:val="32"/>
          <w:highlight w:val="none"/>
          <w:u w:val="single"/>
        </w:rPr>
      </w:pPr>
      <w:r>
        <w:rPr>
          <w:rFonts w:hint="eastAsia" w:ascii="宋体" w:hAnsi="宋体"/>
          <w:b/>
          <w:color w:val="auto"/>
          <w:sz w:val="32"/>
          <w:highlight w:val="none"/>
        </w:rPr>
        <w:t>项 目 编号</w:t>
      </w:r>
      <w:r>
        <w:rPr>
          <w:rFonts w:ascii="宋体" w:hAnsi="宋体"/>
          <w:b/>
          <w:color w:val="auto"/>
          <w:sz w:val="32"/>
          <w:highlight w:val="none"/>
        </w:rPr>
        <w:t>：</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p>
    <w:p>
      <w:pPr>
        <w:spacing w:line="360" w:lineRule="auto"/>
        <w:ind w:firstLine="790" w:firstLineChars="246"/>
        <w:jc w:val="center"/>
        <w:rPr>
          <w:rFonts w:ascii="宋体" w:hAnsi="宋体"/>
          <w:b/>
          <w:color w:val="auto"/>
          <w:sz w:val="32"/>
          <w:highlight w:val="none"/>
        </w:rPr>
      </w:pPr>
    </w:p>
    <w:p>
      <w:pPr>
        <w:spacing w:line="360" w:lineRule="auto"/>
        <w:ind w:firstLine="790" w:firstLineChars="246"/>
        <w:jc w:val="center"/>
        <w:rPr>
          <w:rFonts w:ascii="宋体" w:hAnsi="宋体"/>
          <w:b/>
          <w:color w:val="auto"/>
          <w:sz w:val="32"/>
          <w:highlight w:val="none"/>
        </w:rPr>
      </w:pPr>
    </w:p>
    <w:p>
      <w:pPr>
        <w:spacing w:line="360" w:lineRule="auto"/>
        <w:ind w:firstLine="790" w:firstLineChars="246"/>
        <w:jc w:val="center"/>
        <w:rPr>
          <w:rFonts w:ascii="宋体" w:hAnsi="宋体"/>
          <w:b/>
          <w:color w:val="auto"/>
          <w:sz w:val="32"/>
          <w:highlight w:val="none"/>
        </w:rPr>
      </w:pPr>
      <w:r>
        <w:rPr>
          <w:rFonts w:hint="eastAsia" w:ascii="宋体" w:hAnsi="宋体"/>
          <w:b/>
          <w:color w:val="auto"/>
          <w:sz w:val="32"/>
          <w:highlight w:val="none"/>
        </w:rPr>
        <w:t>日期</w:t>
      </w:r>
      <w:r>
        <w:rPr>
          <w:rFonts w:ascii="宋体" w:hAnsi="宋体"/>
          <w:b/>
          <w:color w:val="auto"/>
          <w:sz w:val="32"/>
          <w:highlight w:val="none"/>
        </w:rPr>
        <w:t>：</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r>
        <w:rPr>
          <w:rFonts w:ascii="宋体" w:hAnsi="宋体"/>
          <w:b/>
          <w:color w:val="auto"/>
          <w:sz w:val="32"/>
          <w:highlight w:val="none"/>
        </w:rPr>
        <w:t>年</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r>
        <w:rPr>
          <w:rFonts w:ascii="宋体" w:hAnsi="宋体"/>
          <w:b/>
          <w:color w:val="auto"/>
          <w:sz w:val="32"/>
          <w:highlight w:val="none"/>
        </w:rPr>
        <w:t>月</w:t>
      </w:r>
      <w:r>
        <w:rPr>
          <w:rFonts w:ascii="宋体" w:hAnsi="宋体"/>
          <w:b/>
          <w:color w:val="auto"/>
          <w:sz w:val="32"/>
          <w:highlight w:val="none"/>
          <w:u w:val="single"/>
        </w:rPr>
        <w:t xml:space="preserve">    </w:t>
      </w:r>
      <w:r>
        <w:rPr>
          <w:rFonts w:ascii="宋体" w:hAnsi="宋体"/>
          <w:b/>
          <w:color w:val="auto"/>
          <w:sz w:val="32"/>
          <w:highlight w:val="none"/>
        </w:rPr>
        <w:t>日</w:t>
      </w:r>
    </w:p>
    <w:p>
      <w:pPr>
        <w:spacing w:line="360" w:lineRule="auto"/>
        <w:rPr>
          <w:rFonts w:ascii="宋体" w:hAnsi="宋体"/>
          <w:b/>
          <w:color w:val="auto"/>
          <w:sz w:val="32"/>
          <w:szCs w:val="32"/>
          <w:highlight w:val="none"/>
        </w:rPr>
      </w:pPr>
      <w:r>
        <w:rPr>
          <w:rFonts w:ascii="宋体" w:hAnsi="宋体"/>
          <w:b/>
          <w:color w:val="auto"/>
          <w:sz w:val="32"/>
          <w:highlight w:val="none"/>
        </w:rPr>
        <w:br w:type="page"/>
      </w:r>
    </w:p>
    <w:p>
      <w:pPr>
        <w:spacing w:line="360" w:lineRule="auto"/>
        <w:ind w:firstLine="790" w:firstLineChars="246"/>
        <w:jc w:val="center"/>
        <w:rPr>
          <w:rFonts w:ascii="宋体" w:hAnsi="宋体"/>
          <w:b/>
          <w:color w:val="auto"/>
          <w:sz w:val="32"/>
          <w:szCs w:val="32"/>
          <w:highlight w:val="none"/>
        </w:rPr>
      </w:pPr>
      <w:r>
        <w:rPr>
          <w:rFonts w:hint="eastAsia" w:ascii="宋体" w:hAnsi="宋体"/>
          <w:b/>
          <w:color w:val="auto"/>
          <w:sz w:val="32"/>
          <w:szCs w:val="32"/>
          <w:highlight w:val="none"/>
        </w:rPr>
        <w:t>一、法定代表人/单位负责人授权书</w:t>
      </w:r>
    </w:p>
    <w:p>
      <w:pPr>
        <w:widowControl/>
        <w:spacing w:line="360" w:lineRule="atLeast"/>
        <w:ind w:firstLine="472" w:firstLineChars="196"/>
        <w:jc w:val="left"/>
        <w:outlineLvl w:val="1"/>
        <w:rPr>
          <w:rFonts w:ascii="宋体" w:hAnsi="宋体"/>
          <w:b/>
          <w:color w:val="auto"/>
          <w:sz w:val="24"/>
          <w:highlight w:val="none"/>
        </w:rPr>
      </w:pPr>
    </w:p>
    <w:p>
      <w:pPr>
        <w:widowControl/>
        <w:spacing w:line="360" w:lineRule="atLeast"/>
        <w:ind w:firstLine="472" w:firstLineChars="196"/>
        <w:jc w:val="left"/>
        <w:outlineLvl w:val="1"/>
        <w:rPr>
          <w:rFonts w:ascii="宋体" w:hAnsi="宋体"/>
          <w:b/>
          <w:color w:val="auto"/>
          <w:sz w:val="24"/>
          <w:highlight w:val="none"/>
        </w:rPr>
      </w:pPr>
    </w:p>
    <w:p>
      <w:pPr>
        <w:widowControl/>
        <w:spacing w:line="360" w:lineRule="auto"/>
        <w:jc w:val="left"/>
        <w:outlineLvl w:val="1"/>
        <w:rPr>
          <w:rFonts w:ascii="宋体" w:hAnsi="宋体"/>
          <w:color w:val="auto"/>
          <w:sz w:val="24"/>
          <w:highlight w:val="none"/>
        </w:rPr>
      </w:pPr>
      <w:r>
        <w:rPr>
          <w:rFonts w:hint="eastAsia" w:ascii="宋体" w:hAnsi="宋体"/>
          <w:color w:val="auto"/>
          <w:sz w:val="24"/>
          <w:highlight w:val="none"/>
          <w:u w:val="single"/>
        </w:rPr>
        <w:t xml:space="preserve">                </w:t>
      </w:r>
      <w:r>
        <w:rPr>
          <w:rFonts w:hint="eastAsia" w:ascii="宋体" w:hAnsi="宋体"/>
          <w:color w:val="auto"/>
          <w:sz w:val="24"/>
          <w:highlight w:val="none"/>
        </w:rPr>
        <w:t>（采购代理机构名称）：</w:t>
      </w: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本授权声明：</w:t>
      </w:r>
      <w:r>
        <w:rPr>
          <w:rFonts w:hint="eastAsia" w:ascii="宋体" w:hAnsi="宋体"/>
          <w:color w:val="auto"/>
          <w:sz w:val="24"/>
          <w:highlight w:val="none"/>
          <w:u w:val="single"/>
        </w:rPr>
        <w:t xml:space="preserve">            </w:t>
      </w:r>
      <w:r>
        <w:rPr>
          <w:rFonts w:hint="eastAsia" w:ascii="宋体" w:hAnsi="宋体"/>
          <w:color w:val="auto"/>
          <w:sz w:val="24"/>
          <w:highlight w:val="none"/>
        </w:rPr>
        <w:t>（供应商名称）</w:t>
      </w:r>
      <w:r>
        <w:rPr>
          <w:rFonts w:hint="eastAsia" w:ascii="宋体" w:hAnsi="宋体"/>
          <w:color w:val="auto"/>
          <w:sz w:val="24"/>
          <w:highlight w:val="none"/>
          <w:u w:val="single"/>
        </w:rPr>
        <w:t xml:space="preserve">         </w:t>
      </w:r>
      <w:r>
        <w:rPr>
          <w:rFonts w:hint="eastAsia" w:ascii="宋体" w:hAnsi="宋体"/>
          <w:color w:val="auto"/>
          <w:sz w:val="24"/>
          <w:highlight w:val="none"/>
        </w:rPr>
        <w:t>（法定代表人/单位负责人姓名、职务）授权</w:t>
      </w:r>
      <w:r>
        <w:rPr>
          <w:rFonts w:hint="eastAsia" w:ascii="宋体" w:hAnsi="宋体"/>
          <w:color w:val="auto"/>
          <w:sz w:val="24"/>
          <w:highlight w:val="none"/>
          <w:u w:val="single"/>
        </w:rPr>
        <w:t xml:space="preserve">             </w:t>
      </w:r>
      <w:r>
        <w:rPr>
          <w:rFonts w:hint="eastAsia" w:ascii="宋体" w:hAnsi="宋体"/>
          <w:color w:val="auto"/>
          <w:sz w:val="24"/>
          <w:highlight w:val="none"/>
        </w:rPr>
        <w:t>（被授权人姓名、职务）为我方 “</w:t>
      </w:r>
      <w:r>
        <w:rPr>
          <w:rFonts w:hint="eastAsia" w:ascii="宋体" w:hAnsi="宋体"/>
          <w:color w:val="auto"/>
          <w:sz w:val="24"/>
          <w:highlight w:val="none"/>
          <w:u w:val="single"/>
        </w:rPr>
        <w:t xml:space="preserve">              </w:t>
      </w:r>
      <w:r>
        <w:rPr>
          <w:rFonts w:hint="eastAsia" w:ascii="宋体" w:hAnsi="宋体"/>
          <w:color w:val="auto"/>
          <w:sz w:val="24"/>
          <w:highlight w:val="none"/>
        </w:rPr>
        <w:t>” （项目名称）（项目编号：</w:t>
      </w:r>
      <w:r>
        <w:rPr>
          <w:rFonts w:hint="eastAsia" w:ascii="宋体" w:hAnsi="宋体"/>
          <w:color w:val="auto"/>
          <w:sz w:val="24"/>
          <w:highlight w:val="none"/>
          <w:u w:val="single"/>
        </w:rPr>
        <w:t xml:space="preserve">             </w:t>
      </w:r>
      <w:r>
        <w:rPr>
          <w:rFonts w:hint="eastAsia" w:ascii="宋体" w:hAnsi="宋体"/>
          <w:color w:val="auto"/>
          <w:sz w:val="24"/>
          <w:highlight w:val="none"/>
        </w:rPr>
        <w:t>）磋商采购活动的合法代表，以我方名义全权处理该项目有关磋商、签订合同以及执行合同等一切事宜。</w:t>
      </w:r>
    </w:p>
    <w:p>
      <w:pPr>
        <w:pStyle w:val="2"/>
        <w:spacing w:line="360" w:lineRule="auto"/>
        <w:rPr>
          <w:color w:val="auto"/>
          <w:highlight w:val="none"/>
        </w:rPr>
      </w:pP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特此声明。</w:t>
      </w:r>
    </w:p>
    <w:p>
      <w:pPr>
        <w:widowControl/>
        <w:spacing w:line="360" w:lineRule="auto"/>
        <w:ind w:firstLine="470" w:firstLineChars="196"/>
        <w:jc w:val="left"/>
        <w:outlineLvl w:val="1"/>
        <w:rPr>
          <w:rFonts w:ascii="宋体" w:hAnsi="宋体"/>
          <w:color w:val="auto"/>
          <w:sz w:val="24"/>
          <w:highlight w:val="none"/>
        </w:rPr>
      </w:pP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法定代表人/单位负责人（委托人）签字或加盖个人电子印章：</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r>
        <w:rPr>
          <w:rFonts w:hint="eastAsia" w:ascii="宋体" w:hAnsi="宋体"/>
          <w:color w:val="auto"/>
          <w:sz w:val="24"/>
          <w:highlight w:val="none"/>
        </w:rPr>
        <w:t>。</w:t>
      </w: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供应商名称：</w:t>
      </w:r>
      <w:r>
        <w:rPr>
          <w:rFonts w:hint="eastAsia" w:ascii="宋体" w:hAnsi="宋体"/>
          <w:b/>
          <w:color w:val="auto"/>
          <w:sz w:val="40"/>
          <w:szCs w:val="48"/>
          <w:highlight w:val="none"/>
          <w:u w:val="single"/>
        </w:rPr>
        <w:t xml:space="preserve">           </w:t>
      </w:r>
      <w:r>
        <w:rPr>
          <w:rFonts w:hint="eastAsia" w:ascii="宋体" w:hAnsi="宋体"/>
          <w:color w:val="auto"/>
          <w:sz w:val="24"/>
          <w:highlight w:val="none"/>
        </w:rPr>
        <w:t>（盖单位电子签章）。</w:t>
      </w: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日    期：</w:t>
      </w:r>
      <w:r>
        <w:rPr>
          <w:rFonts w:hint="eastAsia" w:ascii="宋体" w:hAnsi="宋体"/>
          <w:color w:val="auto"/>
          <w:sz w:val="24"/>
          <w:highlight w:val="none"/>
          <w:u w:val="single"/>
        </w:rPr>
        <w:t xml:space="preserve">           </w:t>
      </w:r>
      <w:r>
        <w:rPr>
          <w:rFonts w:hint="eastAsia" w:ascii="宋体" w:hAnsi="宋体"/>
          <w:color w:val="auto"/>
          <w:sz w:val="24"/>
          <w:highlight w:val="none"/>
        </w:rPr>
        <w:t>。</w:t>
      </w:r>
    </w:p>
    <w:p>
      <w:pPr>
        <w:widowControl/>
        <w:spacing w:line="360" w:lineRule="atLeast"/>
        <w:ind w:firstLine="470" w:firstLineChars="196"/>
        <w:jc w:val="left"/>
        <w:outlineLvl w:val="1"/>
        <w:rPr>
          <w:rFonts w:ascii="宋体" w:hAnsi="宋体"/>
          <w:color w:val="auto"/>
          <w:sz w:val="24"/>
          <w:highlight w:val="none"/>
        </w:rPr>
      </w:pPr>
    </w:p>
    <w:p>
      <w:pPr>
        <w:widowControl/>
        <w:spacing w:line="360" w:lineRule="atLeast"/>
        <w:jc w:val="left"/>
        <w:outlineLvl w:val="1"/>
        <w:rPr>
          <w:rFonts w:ascii="宋体" w:hAnsi="宋体"/>
          <w:b/>
          <w:color w:val="auto"/>
          <w:sz w:val="24"/>
          <w:highlight w:val="none"/>
        </w:rPr>
      </w:pPr>
    </w:p>
    <w:p>
      <w:pPr>
        <w:widowControl/>
        <w:spacing w:line="360" w:lineRule="atLeast"/>
        <w:jc w:val="left"/>
        <w:outlineLvl w:val="1"/>
        <w:rPr>
          <w:rFonts w:ascii="宋体" w:hAnsi="宋体"/>
          <w:b/>
          <w:color w:val="auto"/>
          <w:sz w:val="24"/>
          <w:highlight w:val="none"/>
        </w:rPr>
      </w:pPr>
    </w:p>
    <w:p>
      <w:pPr>
        <w:widowControl/>
        <w:spacing w:line="360" w:lineRule="atLeast"/>
        <w:jc w:val="left"/>
        <w:outlineLvl w:val="1"/>
        <w:rPr>
          <w:rFonts w:ascii="宋体" w:hAnsi="宋体"/>
          <w:b/>
          <w:color w:val="auto"/>
          <w:sz w:val="24"/>
          <w:highlight w:val="none"/>
        </w:rPr>
      </w:pPr>
    </w:p>
    <w:p>
      <w:pPr>
        <w:widowControl/>
        <w:spacing w:line="360" w:lineRule="atLeast"/>
        <w:jc w:val="left"/>
        <w:outlineLvl w:val="1"/>
        <w:rPr>
          <w:rFonts w:ascii="宋体" w:hAnsi="宋体"/>
          <w:b/>
          <w:color w:val="auto"/>
          <w:sz w:val="24"/>
          <w:highlight w:val="none"/>
        </w:rPr>
      </w:pPr>
    </w:p>
    <w:p>
      <w:pPr>
        <w:spacing w:line="400" w:lineRule="exact"/>
        <w:ind w:left="840" w:hanging="840" w:hangingChars="350"/>
        <w:jc w:val="left"/>
        <w:rPr>
          <w:rFonts w:ascii="宋体" w:hAnsi="宋体"/>
          <w:color w:val="auto"/>
          <w:sz w:val="24"/>
          <w:highlight w:val="none"/>
        </w:rPr>
      </w:pPr>
      <w:r>
        <w:rPr>
          <w:rFonts w:hint="eastAsia" w:ascii="宋体" w:hAnsi="宋体"/>
          <w:color w:val="auto"/>
          <w:sz w:val="24"/>
          <w:highlight w:val="none"/>
        </w:rPr>
        <w:t>注：</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1、供应商为法人单位时提供“法定代表人授权书”，供应商为其他组织时提供“单位负责人授权书”，供应商为自然人时提供“自然人身份证明材料”。</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2、应附法定代表人身份证明材料复印件和授权代表身份证明材料复印件。</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3、身份证明材料包括居民身份证或户口本或军官证或护照等。</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4、身份证明材料应同时提供其在有效期的材料，如居民身份证正、反面复印件。</w:t>
      </w:r>
    </w:p>
    <w:p>
      <w:pPr>
        <w:widowControl/>
        <w:jc w:val="left"/>
        <w:rPr>
          <w:rFonts w:ascii="宋体" w:hAnsi="宋体"/>
          <w:b/>
          <w:color w:val="auto"/>
          <w:sz w:val="32"/>
          <w:szCs w:val="32"/>
          <w:highlight w:val="none"/>
        </w:rPr>
      </w:pPr>
      <w:r>
        <w:rPr>
          <w:rFonts w:ascii="宋体" w:hAnsi="宋体"/>
          <w:b/>
          <w:color w:val="auto"/>
          <w:sz w:val="32"/>
          <w:szCs w:val="32"/>
          <w:highlight w:val="none"/>
        </w:rPr>
        <w:br w:type="page"/>
      </w:r>
    </w:p>
    <w:p>
      <w:pPr>
        <w:spacing w:line="400" w:lineRule="exact"/>
        <w:jc w:val="center"/>
        <w:rPr>
          <w:rFonts w:ascii="宋体" w:hAnsi="宋体"/>
          <w:color w:val="auto"/>
          <w:sz w:val="24"/>
          <w:highlight w:val="none"/>
        </w:rPr>
      </w:pPr>
      <w:r>
        <w:rPr>
          <w:rFonts w:ascii="宋体" w:hAnsi="宋体"/>
          <w:b/>
          <w:color w:val="auto"/>
          <w:sz w:val="32"/>
          <w:szCs w:val="32"/>
          <w:highlight w:val="none"/>
        </w:rPr>
        <w:t>二</w:t>
      </w:r>
      <w:r>
        <w:rPr>
          <w:rFonts w:hint="eastAsia" w:ascii="宋体" w:hAnsi="宋体"/>
          <w:b/>
          <w:color w:val="auto"/>
          <w:sz w:val="32"/>
          <w:szCs w:val="32"/>
          <w:highlight w:val="none"/>
        </w:rPr>
        <w:t>、法定代表人/单位负责人</w:t>
      </w:r>
      <w:r>
        <w:rPr>
          <w:rFonts w:hint="eastAsia" w:ascii="宋体" w:hAnsi="宋体" w:cs="宋体"/>
          <w:b/>
          <w:color w:val="auto"/>
          <w:sz w:val="32"/>
          <w:szCs w:val="32"/>
          <w:highlight w:val="none"/>
        </w:rPr>
        <w:t>身份证明</w:t>
      </w:r>
    </w:p>
    <w:p>
      <w:pPr>
        <w:tabs>
          <w:tab w:val="left" w:pos="6300"/>
        </w:tabs>
        <w:spacing w:line="520" w:lineRule="exact"/>
        <w:ind w:firstLine="573"/>
        <w:rPr>
          <w:rFonts w:ascii="宋体" w:hAnsi="宋体"/>
          <w:color w:val="auto"/>
          <w:sz w:val="24"/>
          <w:highlight w:val="none"/>
          <w:lang w:val="zh-CN"/>
        </w:rPr>
      </w:pPr>
    </w:p>
    <w:p>
      <w:pPr>
        <w:tabs>
          <w:tab w:val="left" w:pos="6300"/>
        </w:tabs>
        <w:spacing w:line="520" w:lineRule="exact"/>
        <w:ind w:firstLine="573"/>
        <w:rPr>
          <w:rFonts w:ascii="宋体" w:hAnsi="宋体"/>
          <w:color w:val="auto"/>
          <w:sz w:val="24"/>
          <w:highlight w:val="none"/>
          <w:lang w:val="zh-CN"/>
        </w:rPr>
      </w:pPr>
    </w:p>
    <w:p>
      <w:pPr>
        <w:tabs>
          <w:tab w:val="left" w:pos="6300"/>
        </w:tabs>
        <w:spacing w:line="520" w:lineRule="exact"/>
        <w:ind w:firstLine="573"/>
        <w:rPr>
          <w:rFonts w:ascii="宋体" w:hAnsi="宋体"/>
          <w:color w:val="auto"/>
          <w:sz w:val="24"/>
          <w:highlight w:val="none"/>
          <w:lang w:val="zh-CN"/>
        </w:rPr>
      </w:pPr>
      <w:r>
        <w:rPr>
          <w:rFonts w:hint="eastAsia" w:ascii="宋体" w:hAnsi="宋体"/>
          <w:color w:val="auto"/>
          <w:sz w:val="24"/>
          <w:highlight w:val="none"/>
          <w:u w:val="single"/>
        </w:rPr>
        <w:t xml:space="preserve">                  </w:t>
      </w:r>
      <w:r>
        <w:rPr>
          <w:rFonts w:hint="eastAsia" w:ascii="宋体" w:hAnsi="宋体"/>
          <w:color w:val="auto"/>
          <w:sz w:val="24"/>
          <w:highlight w:val="none"/>
        </w:rPr>
        <w:t>（采购代理机构名称）</w:t>
      </w:r>
      <w:r>
        <w:rPr>
          <w:rFonts w:hint="eastAsia" w:ascii="宋体" w:hAnsi="宋体"/>
          <w:color w:val="auto"/>
          <w:sz w:val="24"/>
          <w:highlight w:val="none"/>
          <w:lang w:val="zh-CN"/>
        </w:rPr>
        <w:t>：</w:t>
      </w:r>
    </w:p>
    <w:p>
      <w:pPr>
        <w:tabs>
          <w:tab w:val="left" w:pos="6300"/>
        </w:tabs>
        <w:spacing w:line="520" w:lineRule="exact"/>
        <w:ind w:firstLine="720" w:firstLineChars="300"/>
        <w:rPr>
          <w:rFonts w:ascii="宋体" w:hAnsi="宋体"/>
          <w:color w:val="auto"/>
          <w:sz w:val="24"/>
          <w:highlight w:val="none"/>
          <w:lang w:val="zh-CN"/>
        </w:rPr>
      </w:pPr>
      <w:r>
        <w:rPr>
          <w:rFonts w:ascii="宋体" w:hAnsi="宋体"/>
          <w:color w:val="auto"/>
          <w:sz w:val="24"/>
          <w:highlight w:val="none"/>
          <w:u w:val="single"/>
          <w:lang w:val="zh-CN"/>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lang w:val="zh-CN"/>
        </w:rPr>
        <w:t>（法定代表人</w:t>
      </w:r>
      <w:r>
        <w:rPr>
          <w:rFonts w:hint="eastAsia" w:ascii="宋体" w:hAnsi="宋体"/>
          <w:color w:val="auto"/>
          <w:sz w:val="24"/>
          <w:highlight w:val="none"/>
        </w:rPr>
        <w:t>/单位负责人姓名</w:t>
      </w:r>
      <w:r>
        <w:rPr>
          <w:rFonts w:hint="eastAsia" w:ascii="宋体" w:hAnsi="宋体"/>
          <w:color w:val="auto"/>
          <w:sz w:val="24"/>
          <w:highlight w:val="none"/>
          <w:lang w:val="zh-CN"/>
        </w:rPr>
        <w:t>）在</w:t>
      </w:r>
      <w:r>
        <w:rPr>
          <w:rFonts w:ascii="宋体" w:hAnsi="宋体"/>
          <w:color w:val="auto"/>
          <w:sz w:val="24"/>
          <w:highlight w:val="none"/>
          <w:u w:val="single"/>
          <w:lang w:val="zh-CN"/>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lang w:val="zh-CN"/>
        </w:rPr>
        <w:t>（供应商名称）处任</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（职务名称）职务，是</w:t>
      </w:r>
      <w:r>
        <w:rPr>
          <w:rFonts w:ascii="宋体" w:hAnsi="宋体"/>
          <w:color w:val="auto"/>
          <w:sz w:val="24"/>
          <w:highlight w:val="none"/>
          <w:u w:val="single"/>
          <w:lang w:val="zh-CN"/>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lang w:val="zh-CN"/>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lang w:val="zh-CN"/>
        </w:rPr>
        <w:t>（供应商名称）的法定代表人</w:t>
      </w:r>
      <w:r>
        <w:rPr>
          <w:rFonts w:hint="eastAsia" w:ascii="宋体" w:hAnsi="宋体"/>
          <w:color w:val="auto"/>
          <w:sz w:val="24"/>
          <w:highlight w:val="none"/>
        </w:rPr>
        <w:t>/单位负责人</w:t>
      </w:r>
      <w:r>
        <w:rPr>
          <w:rFonts w:hint="eastAsia" w:ascii="宋体" w:hAnsi="宋体"/>
          <w:color w:val="auto"/>
          <w:sz w:val="24"/>
          <w:highlight w:val="none"/>
          <w:lang w:val="zh-CN"/>
        </w:rPr>
        <w:t>。</w:t>
      </w:r>
    </w:p>
    <w:p>
      <w:pPr>
        <w:tabs>
          <w:tab w:val="left" w:pos="6300"/>
        </w:tabs>
        <w:spacing w:line="520" w:lineRule="exact"/>
        <w:ind w:firstLine="573"/>
        <w:rPr>
          <w:rFonts w:ascii="宋体" w:hAnsi="宋体"/>
          <w:color w:val="auto"/>
          <w:sz w:val="24"/>
          <w:highlight w:val="none"/>
          <w:lang w:val="zh-CN"/>
        </w:rPr>
      </w:pPr>
      <w:r>
        <w:rPr>
          <w:rFonts w:hint="eastAsia" w:ascii="宋体" w:hAnsi="宋体"/>
          <w:color w:val="auto"/>
          <w:sz w:val="24"/>
          <w:highlight w:val="none"/>
          <w:lang w:val="zh-CN"/>
        </w:rPr>
        <w:t>法定代表人</w:t>
      </w:r>
      <w:r>
        <w:rPr>
          <w:rFonts w:hint="eastAsia" w:ascii="宋体" w:hAnsi="宋体"/>
          <w:color w:val="auto"/>
          <w:sz w:val="24"/>
          <w:highlight w:val="none"/>
        </w:rPr>
        <w:t>/</w:t>
      </w:r>
      <w:r>
        <w:rPr>
          <w:rFonts w:hint="eastAsia" w:ascii="宋体" w:hAnsi="宋体"/>
          <w:color w:val="auto"/>
          <w:sz w:val="24"/>
          <w:highlight w:val="none"/>
          <w:lang w:val="zh-CN"/>
        </w:rPr>
        <w:t>单位负责人联系方式：</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w:t>
      </w:r>
    </w:p>
    <w:p>
      <w:pPr>
        <w:tabs>
          <w:tab w:val="left" w:pos="6300"/>
        </w:tabs>
        <w:spacing w:line="520" w:lineRule="exact"/>
        <w:ind w:firstLine="573"/>
        <w:rPr>
          <w:rFonts w:ascii="宋体" w:hAnsi="宋体"/>
          <w:color w:val="auto"/>
          <w:sz w:val="24"/>
          <w:highlight w:val="none"/>
          <w:lang w:val="zh-CN"/>
        </w:rPr>
      </w:pPr>
    </w:p>
    <w:p>
      <w:pPr>
        <w:tabs>
          <w:tab w:val="left" w:pos="6300"/>
        </w:tabs>
        <w:spacing w:line="520" w:lineRule="exact"/>
        <w:ind w:firstLine="573"/>
        <w:rPr>
          <w:rFonts w:ascii="宋体" w:hAnsi="宋体"/>
          <w:color w:val="auto"/>
          <w:sz w:val="24"/>
          <w:highlight w:val="none"/>
          <w:lang w:val="zh-CN"/>
        </w:rPr>
      </w:pPr>
      <w:r>
        <w:rPr>
          <w:rFonts w:hint="eastAsia" w:ascii="宋体" w:hAnsi="宋体"/>
          <w:color w:val="auto"/>
          <w:sz w:val="24"/>
          <w:highlight w:val="none"/>
          <w:lang w:val="zh-CN"/>
        </w:rPr>
        <w:t>特此证明。</w:t>
      </w:r>
    </w:p>
    <w:p>
      <w:pPr>
        <w:tabs>
          <w:tab w:val="left" w:pos="6300"/>
        </w:tabs>
        <w:spacing w:line="520" w:lineRule="exact"/>
        <w:rPr>
          <w:rFonts w:ascii="宋体" w:hAnsi="宋体"/>
          <w:color w:val="auto"/>
          <w:sz w:val="24"/>
          <w:highlight w:val="none"/>
          <w:lang w:val="zh-CN"/>
        </w:rPr>
      </w:pPr>
    </w:p>
    <w:p>
      <w:pPr>
        <w:tabs>
          <w:tab w:val="left" w:pos="6300"/>
        </w:tabs>
        <w:spacing w:line="520" w:lineRule="exact"/>
        <w:rPr>
          <w:rFonts w:ascii="宋体" w:hAnsi="宋体"/>
          <w:color w:val="auto"/>
          <w:sz w:val="24"/>
          <w:highlight w:val="none"/>
          <w:lang w:val="zh-CN"/>
        </w:rPr>
      </w:pP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供应商名称：</w:t>
      </w:r>
      <w:r>
        <w:rPr>
          <w:rFonts w:hint="eastAsia" w:ascii="宋体" w:hAnsi="宋体"/>
          <w:b/>
          <w:color w:val="auto"/>
          <w:sz w:val="40"/>
          <w:szCs w:val="48"/>
          <w:highlight w:val="none"/>
          <w:u w:val="single"/>
        </w:rPr>
        <w:t xml:space="preserve">            </w:t>
      </w:r>
      <w:r>
        <w:rPr>
          <w:rFonts w:hint="eastAsia" w:ascii="宋体" w:hAnsi="宋体"/>
          <w:color w:val="auto"/>
          <w:sz w:val="24"/>
          <w:highlight w:val="none"/>
        </w:rPr>
        <w:t>（盖单位电子签章）。</w:t>
      </w:r>
    </w:p>
    <w:p>
      <w:pPr>
        <w:spacing w:line="520" w:lineRule="exact"/>
        <w:ind w:firstLine="480"/>
        <w:jc w:val="left"/>
        <w:rPr>
          <w:rFonts w:ascii="宋体" w:hAnsi="宋体"/>
          <w:color w:val="auto"/>
          <w:sz w:val="24"/>
          <w:highlight w:val="none"/>
        </w:rPr>
      </w:pPr>
      <w:r>
        <w:rPr>
          <w:rFonts w:hint="eastAsia" w:ascii="宋体" w:hAnsi="宋体"/>
          <w:color w:val="auto"/>
          <w:sz w:val="24"/>
          <w:highlight w:val="none"/>
        </w:rPr>
        <w:t>法定代表人/单位负责人（签字或加盖个人电子印章）：</w:t>
      </w:r>
      <w:r>
        <w:rPr>
          <w:rFonts w:hint="eastAsia" w:ascii="宋体" w:hAnsi="宋体"/>
          <w:color w:val="auto"/>
          <w:sz w:val="24"/>
          <w:highlight w:val="none"/>
          <w:u w:val="single"/>
        </w:rPr>
        <w:t xml:space="preserve">                  </w:t>
      </w:r>
    </w:p>
    <w:p>
      <w:pPr>
        <w:spacing w:line="520" w:lineRule="exact"/>
        <w:ind w:firstLine="480" w:firstLineChars="200"/>
        <w:rPr>
          <w:rFonts w:ascii="宋体" w:hAnsi="宋体"/>
          <w:color w:val="auto"/>
          <w:sz w:val="24"/>
          <w:highlight w:val="none"/>
          <w:lang w:val="zh-CN"/>
        </w:rPr>
      </w:pPr>
      <w:r>
        <w:rPr>
          <w:rFonts w:hint="eastAsia" w:ascii="宋体" w:hAnsi="宋体"/>
          <w:color w:val="auto"/>
          <w:sz w:val="24"/>
          <w:highlight w:val="none"/>
        </w:rPr>
        <w:t>日  期:</w:t>
      </w:r>
      <w:r>
        <w:rPr>
          <w:rFonts w:hint="eastAsia" w:ascii="宋体" w:hAnsi="宋体"/>
          <w:color w:val="auto"/>
          <w:sz w:val="24"/>
          <w:highlight w:val="none"/>
          <w:u w:val="single"/>
        </w:rPr>
        <w:t xml:space="preserve">                  </w:t>
      </w:r>
      <w:r>
        <w:rPr>
          <w:rFonts w:ascii="宋体" w:hAnsi="宋体"/>
          <w:color w:val="auto"/>
          <w:sz w:val="24"/>
          <w:highlight w:val="none"/>
        </w:rPr>
        <w:t xml:space="preserve"> </w:t>
      </w:r>
      <w:r>
        <w:rPr>
          <w:rFonts w:ascii="宋体" w:hAnsi="宋体"/>
          <w:color w:val="auto"/>
          <w:sz w:val="24"/>
          <w:highlight w:val="none"/>
          <w:lang w:val="zh-CN"/>
        </w:rPr>
        <w:t xml:space="preserve"> </w:t>
      </w:r>
    </w:p>
    <w:p>
      <w:pPr>
        <w:tabs>
          <w:tab w:val="left" w:pos="720"/>
          <w:tab w:val="left" w:pos="6300"/>
        </w:tabs>
        <w:spacing w:line="520" w:lineRule="exact"/>
        <w:ind w:firstLine="573"/>
        <w:rPr>
          <w:rFonts w:ascii="宋体" w:hAnsi="宋体"/>
          <w:b/>
          <w:color w:val="auto"/>
          <w:sz w:val="24"/>
          <w:highlight w:val="none"/>
          <w:lang w:val="zh-CN"/>
        </w:rPr>
      </w:pPr>
    </w:p>
    <w:p>
      <w:pPr>
        <w:tabs>
          <w:tab w:val="left" w:pos="720"/>
          <w:tab w:val="left" w:pos="6300"/>
        </w:tabs>
        <w:spacing w:line="520" w:lineRule="exact"/>
        <w:ind w:firstLine="573"/>
        <w:rPr>
          <w:rFonts w:ascii="宋体" w:hAnsi="宋体"/>
          <w:b/>
          <w:color w:val="auto"/>
          <w:sz w:val="24"/>
          <w:highlight w:val="none"/>
        </w:rPr>
      </w:pPr>
      <w:r>
        <w:rPr>
          <w:rFonts w:hint="eastAsia" w:ascii="宋体" w:hAnsi="宋体"/>
          <w:b/>
          <w:color w:val="auto"/>
          <w:sz w:val="24"/>
          <w:highlight w:val="none"/>
          <w:lang w:val="zh-CN"/>
        </w:rPr>
        <w:t>说明：上述证明文件在</w:t>
      </w:r>
      <w:r>
        <w:rPr>
          <w:rFonts w:hint="eastAsia" w:ascii="宋体" w:hAnsi="宋体"/>
          <w:b/>
          <w:color w:val="auto"/>
          <w:sz w:val="24"/>
          <w:highlight w:val="none"/>
        </w:rPr>
        <w:t>响应</w:t>
      </w:r>
      <w:r>
        <w:rPr>
          <w:rFonts w:hint="eastAsia" w:ascii="宋体" w:hAnsi="宋体"/>
          <w:b/>
          <w:color w:val="auto"/>
          <w:sz w:val="24"/>
          <w:highlight w:val="none"/>
          <w:lang w:val="zh-CN"/>
        </w:rPr>
        <w:t>文件中附有法定代表人/单位负责人身份证复印件（身份证两面均应复印）时才能生效,不允许粘贴。</w:t>
      </w:r>
    </w:p>
    <w:p>
      <w:pPr>
        <w:tabs>
          <w:tab w:val="left" w:pos="720"/>
          <w:tab w:val="left" w:pos="6300"/>
        </w:tabs>
        <w:ind w:firstLine="573"/>
        <w:rPr>
          <w:rFonts w:ascii="宋体" w:hAnsi="宋体"/>
          <w:b/>
          <w:color w:val="auto"/>
          <w:sz w:val="24"/>
          <w:highlight w:val="none"/>
          <w:lang w:val="zh-CN"/>
        </w:rPr>
      </w:pPr>
      <w:r>
        <w:rPr>
          <w:rFonts w:hint="eastAsia" w:ascii="宋体" w:hAnsi="宋体"/>
          <w:b/>
          <w:color w:val="auto"/>
          <w:sz w:val="24"/>
          <w:highlight w:val="none"/>
        </w:rPr>
        <mc:AlternateContent>
          <mc:Choice Requires="wps">
            <w:drawing>
              <wp:anchor distT="0" distB="0" distL="114300" distR="114300" simplePos="0" relativeHeight="251661312" behindDoc="0" locked="0" layoutInCell="1" allowOverlap="1">
                <wp:simplePos x="0" y="0"/>
                <wp:positionH relativeFrom="column">
                  <wp:posOffset>2900045</wp:posOffset>
                </wp:positionH>
                <wp:positionV relativeFrom="paragraph">
                  <wp:posOffset>628015</wp:posOffset>
                </wp:positionV>
                <wp:extent cx="2405380" cy="1461770"/>
                <wp:effectExtent l="13970" t="8890" r="9525" b="5715"/>
                <wp:wrapSquare wrapText="bothSides"/>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405380" cy="1461770"/>
                        </a:xfrm>
                        <a:prstGeom prst="rect">
                          <a:avLst/>
                        </a:prstGeom>
                        <a:solidFill>
                          <a:srgbClr val="FFFFFF"/>
                        </a:solidFill>
                        <a:ln w="9525" cmpd="sng">
                          <a:solidFill>
                            <a:srgbClr val="000000"/>
                          </a:solidFill>
                          <a:prstDash val="dash"/>
                          <a:miter lim="800000"/>
                        </a:ln>
                      </wps:spPr>
                      <wps:txbx>
                        <w:txbxContent>
                          <w:p>
                            <w:pPr>
                              <w:rPr>
                                <w:rFonts w:ascii="宋体" w:hAnsi="宋体"/>
                                <w:b/>
                                <w:sz w:val="24"/>
                                <w:lang w:val="zh-CN"/>
                              </w:rPr>
                            </w:pPr>
                          </w:p>
                          <w:p>
                            <w:pPr>
                              <w:rPr>
                                <w:rFonts w:ascii="宋体" w:hAnsi="宋体"/>
                                <w:b/>
                                <w:sz w:val="24"/>
                                <w:lang w:val="zh-CN"/>
                              </w:rPr>
                            </w:pPr>
                          </w:p>
                          <w:p>
                            <w:pPr>
                              <w:jc w:val="center"/>
                            </w:pPr>
                            <w:r>
                              <w:rPr>
                                <w:rFonts w:hint="eastAsia" w:ascii="宋体" w:hAnsi="宋体"/>
                                <w:b/>
                                <w:sz w:val="24"/>
                                <w:lang w:val="zh-CN"/>
                              </w:rPr>
                              <w:t>身份证复印件背面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8.35pt;margin-top:49.45pt;height:115.1pt;width:189.4pt;mso-wrap-distance-bottom:0pt;mso-wrap-distance-left:9pt;mso-wrap-distance-right:9pt;mso-wrap-distance-top:0pt;z-index:251661312;mso-width-relative:page;mso-height-relative:page;" fillcolor="#FFFFFF" filled="t" stroked="t" coordsize="21600,21600" o:gfxdata="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NiFOAvZAAAA&#10;CgEAAA8AAAAAAAAAAQAgAAAAIgAAAGRycy9kb3ducmV2LnhtbFBLAQIUABQAAAAIAIdO4kBreUhv&#10;VQIAAKsEAAAOAAAAAAAAAAEAIAAAACgBAABkcnMvZTJvRG9jLnhtbFBLBQYAAAAABgAGAFkBAADv&#10;BQAAAAA=&#10;">
                <v:fill on="t" focussize="0,0"/>
                <v:stroke color="#000000" miterlimit="8" joinstyle="miter" dashstyle="dash"/>
                <v:imagedata o:title=""/>
                <o:lock v:ext="edit" aspectratio="f"/>
                <v:textbox>
                  <w:txbxContent>
                    <w:p>
                      <w:pPr>
                        <w:rPr>
                          <w:rFonts w:ascii="宋体" w:hAnsi="宋体"/>
                          <w:b/>
                          <w:sz w:val="24"/>
                          <w:lang w:val="zh-CN"/>
                        </w:rPr>
                      </w:pPr>
                    </w:p>
                    <w:p>
                      <w:pPr>
                        <w:rPr>
                          <w:rFonts w:ascii="宋体" w:hAnsi="宋体"/>
                          <w:b/>
                          <w:sz w:val="24"/>
                          <w:lang w:val="zh-CN"/>
                        </w:rPr>
                      </w:pPr>
                    </w:p>
                    <w:p>
                      <w:pPr>
                        <w:jc w:val="center"/>
                      </w:pPr>
                      <w:r>
                        <w:rPr>
                          <w:rFonts w:hint="eastAsia" w:ascii="宋体" w:hAnsi="宋体"/>
                          <w:b/>
                          <w:sz w:val="24"/>
                          <w:lang w:val="zh-CN"/>
                        </w:rPr>
                        <w:t>身份证复印件背面</w:t>
                      </w:r>
                    </w:p>
                  </w:txbxContent>
                </v:textbox>
                <w10:wrap type="square"/>
              </v:shape>
            </w:pict>
          </mc:Fallback>
        </mc:AlternateContent>
      </w:r>
      <w:r>
        <w:rPr>
          <w:rFonts w:hint="eastAsia" w:ascii="宋体" w:hAnsi="宋体"/>
          <w:b/>
          <w:color w:val="auto"/>
          <w:sz w:val="24"/>
          <w:highlight w:val="none"/>
        </w:rPr>
        <mc:AlternateContent>
          <mc:Choice Requires="wps">
            <w:drawing>
              <wp:anchor distT="0" distB="0" distL="114300" distR="114300" simplePos="0" relativeHeight="251660288" behindDoc="0" locked="0" layoutInCell="1" allowOverlap="1">
                <wp:simplePos x="0" y="0"/>
                <wp:positionH relativeFrom="column">
                  <wp:posOffset>344170</wp:posOffset>
                </wp:positionH>
                <wp:positionV relativeFrom="paragraph">
                  <wp:posOffset>628015</wp:posOffset>
                </wp:positionV>
                <wp:extent cx="2405380" cy="1461770"/>
                <wp:effectExtent l="10795" t="8890" r="12700" b="571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405380" cy="1461770"/>
                        </a:xfrm>
                        <a:prstGeom prst="rect">
                          <a:avLst/>
                        </a:prstGeom>
                        <a:solidFill>
                          <a:srgbClr val="FFFFFF"/>
                        </a:solidFill>
                        <a:ln w="9525" cmpd="sng">
                          <a:solidFill>
                            <a:srgbClr val="000000"/>
                          </a:solidFill>
                          <a:prstDash val="dash"/>
                          <a:miter lim="800000"/>
                        </a:ln>
                      </wps:spPr>
                      <wps:txbx>
                        <w:txbxContent>
                          <w:p>
                            <w:pPr>
                              <w:rPr>
                                <w:rFonts w:ascii="宋体" w:hAnsi="宋体"/>
                                <w:b/>
                                <w:sz w:val="24"/>
                                <w:lang w:val="zh-CN"/>
                              </w:rPr>
                            </w:pPr>
                          </w:p>
                          <w:p>
                            <w:pPr>
                              <w:rPr>
                                <w:rFonts w:ascii="宋体" w:hAnsi="宋体"/>
                                <w:b/>
                                <w:sz w:val="24"/>
                                <w:lang w:val="zh-CN"/>
                              </w:rPr>
                            </w:pPr>
                          </w:p>
                          <w:p>
                            <w:pPr>
                              <w:jc w:val="center"/>
                            </w:pPr>
                            <w:r>
                              <w:rPr>
                                <w:rFonts w:hint="eastAsia" w:ascii="宋体" w:hAnsi="宋体"/>
                                <w:b/>
                                <w:sz w:val="24"/>
                                <w:lang w:val="zh-CN"/>
                              </w:rPr>
                              <w:t>身份证复印件正面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7.1pt;margin-top:49.45pt;height:115.1pt;width:189.4pt;mso-wrap-distance-bottom:0pt;mso-wrap-distance-left:9pt;mso-wrap-distance-right:9pt;mso-wrap-distance-top:0pt;z-index:251660288;mso-width-relative:page;mso-height-relative:page;" fillcolor="#FFFFFF" filled="t" stroked="t" coordsize="21600,21600" o:gfxdata="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ajIrd9gAAAAJ&#10;AQAADwAAAAAAAAABACAAAAAiAAAAZHJzL2Rvd25yZXYueG1sUEsBAhQAFAAAAAgAh07iQDlo7t9V&#10;AgAAqwQAAA4AAAAAAAAAAQAgAAAAJwEAAGRycy9lMm9Eb2MueG1sUEsFBgAAAAAGAAYAWQEAAO4F&#10;AAAAAA==&#10;">
                <v:fill on="t" focussize="0,0"/>
                <v:stroke color="#000000" miterlimit="8" joinstyle="miter" dashstyle="dash"/>
                <v:imagedata o:title=""/>
                <o:lock v:ext="edit" aspectratio="f"/>
                <v:textbox>
                  <w:txbxContent>
                    <w:p>
                      <w:pPr>
                        <w:rPr>
                          <w:rFonts w:ascii="宋体" w:hAnsi="宋体"/>
                          <w:b/>
                          <w:sz w:val="24"/>
                          <w:lang w:val="zh-CN"/>
                        </w:rPr>
                      </w:pPr>
                    </w:p>
                    <w:p>
                      <w:pPr>
                        <w:rPr>
                          <w:rFonts w:ascii="宋体" w:hAnsi="宋体"/>
                          <w:b/>
                          <w:sz w:val="24"/>
                          <w:lang w:val="zh-CN"/>
                        </w:rPr>
                      </w:pPr>
                    </w:p>
                    <w:p>
                      <w:pPr>
                        <w:jc w:val="center"/>
                      </w:pPr>
                      <w:r>
                        <w:rPr>
                          <w:rFonts w:hint="eastAsia" w:ascii="宋体" w:hAnsi="宋体"/>
                          <w:b/>
                          <w:sz w:val="24"/>
                          <w:lang w:val="zh-CN"/>
                        </w:rPr>
                        <w:t>身份证复印件正面</w:t>
                      </w:r>
                    </w:p>
                  </w:txbxContent>
                </v:textbox>
                <w10:wrap type="square"/>
              </v:shape>
            </w:pict>
          </mc:Fallback>
        </mc:AlternateContent>
      </w:r>
    </w:p>
    <w:p>
      <w:pPr>
        <w:tabs>
          <w:tab w:val="left" w:pos="720"/>
          <w:tab w:val="left" w:pos="6300"/>
        </w:tabs>
        <w:ind w:firstLine="573"/>
        <w:rPr>
          <w:rFonts w:ascii="宋体" w:hAnsi="宋体"/>
          <w:b/>
          <w:color w:val="auto"/>
          <w:sz w:val="24"/>
          <w:highlight w:val="none"/>
          <w:lang w:val="zh-CN"/>
        </w:rPr>
      </w:pPr>
      <w:r>
        <w:rPr>
          <w:rFonts w:hint="eastAsia" w:ascii="宋体" w:hAnsi="宋体"/>
          <w:b/>
          <w:color w:val="auto"/>
          <w:sz w:val="24"/>
          <w:highlight w:val="none"/>
          <w:lang w:val="zh-CN"/>
        </w:rPr>
        <w:t>法定代表人/单位负责人身份证样式(仅供参考)：</w:t>
      </w:r>
    </w:p>
    <w:p>
      <w:pPr>
        <w:tabs>
          <w:tab w:val="left" w:pos="720"/>
          <w:tab w:val="left" w:pos="6300"/>
        </w:tabs>
        <w:ind w:firstLine="573"/>
        <w:rPr>
          <w:rFonts w:ascii="宋体" w:hAnsi="宋体"/>
          <w:b/>
          <w:color w:val="auto"/>
          <w:sz w:val="24"/>
          <w:highlight w:val="none"/>
          <w:lang w:val="zh-CN"/>
        </w:rPr>
      </w:pPr>
    </w:p>
    <w:p>
      <w:pPr>
        <w:tabs>
          <w:tab w:val="left" w:pos="720"/>
          <w:tab w:val="left" w:pos="6300"/>
        </w:tabs>
        <w:spacing w:line="360" w:lineRule="auto"/>
        <w:ind w:firstLine="573"/>
        <w:rPr>
          <w:rFonts w:ascii="宋体" w:hAnsi="宋体"/>
          <w:b/>
          <w:color w:val="auto"/>
          <w:sz w:val="24"/>
          <w:highlight w:val="none"/>
          <w:lang w:val="zh-CN"/>
        </w:rPr>
      </w:pPr>
    </w:p>
    <w:p>
      <w:pPr>
        <w:tabs>
          <w:tab w:val="left" w:pos="720"/>
          <w:tab w:val="left" w:pos="6300"/>
        </w:tabs>
        <w:spacing w:line="360" w:lineRule="auto"/>
        <w:ind w:firstLine="573"/>
        <w:rPr>
          <w:rFonts w:ascii="宋体" w:hAnsi="宋体"/>
          <w:b/>
          <w:color w:val="auto"/>
          <w:sz w:val="24"/>
          <w:highlight w:val="none"/>
          <w:lang w:val="zh-CN"/>
        </w:rPr>
      </w:pPr>
    </w:p>
    <w:p>
      <w:pPr>
        <w:tabs>
          <w:tab w:val="left" w:pos="720"/>
          <w:tab w:val="left" w:pos="6300"/>
        </w:tabs>
        <w:spacing w:line="360" w:lineRule="auto"/>
        <w:ind w:firstLine="573"/>
        <w:rPr>
          <w:rFonts w:ascii="宋体" w:hAnsi="宋体"/>
          <w:b/>
          <w:color w:val="auto"/>
          <w:sz w:val="24"/>
          <w:highlight w:val="none"/>
          <w:lang w:val="zh-CN"/>
        </w:rPr>
      </w:pPr>
    </w:p>
    <w:p>
      <w:pPr>
        <w:tabs>
          <w:tab w:val="left" w:pos="720"/>
          <w:tab w:val="left" w:pos="6300"/>
        </w:tabs>
        <w:spacing w:line="360" w:lineRule="auto"/>
        <w:ind w:firstLine="573"/>
        <w:rPr>
          <w:rFonts w:ascii="宋体" w:hAnsi="宋体"/>
          <w:b/>
          <w:color w:val="auto"/>
          <w:sz w:val="24"/>
          <w:highlight w:val="none"/>
          <w:lang w:val="zh-CN"/>
        </w:rPr>
      </w:pPr>
    </w:p>
    <w:p>
      <w:pPr>
        <w:tabs>
          <w:tab w:val="left" w:pos="720"/>
          <w:tab w:val="left" w:pos="6300"/>
        </w:tabs>
        <w:spacing w:line="360" w:lineRule="auto"/>
        <w:ind w:firstLine="573"/>
        <w:rPr>
          <w:rFonts w:ascii="宋体" w:hAnsi="宋体"/>
          <w:b/>
          <w:color w:val="auto"/>
          <w:sz w:val="24"/>
          <w:highlight w:val="none"/>
          <w:lang w:val="zh-CN"/>
        </w:rPr>
      </w:pPr>
    </w:p>
    <w:p>
      <w:pPr>
        <w:tabs>
          <w:tab w:val="left" w:pos="720"/>
          <w:tab w:val="left" w:pos="6300"/>
        </w:tabs>
        <w:spacing w:line="360" w:lineRule="auto"/>
        <w:ind w:firstLine="573"/>
        <w:rPr>
          <w:rFonts w:ascii="宋体" w:hAnsi="宋体"/>
          <w:b/>
          <w:color w:val="auto"/>
          <w:sz w:val="24"/>
          <w:highlight w:val="none"/>
          <w:lang w:val="zh-CN"/>
        </w:rPr>
      </w:pPr>
    </w:p>
    <w:p>
      <w:pPr>
        <w:widowControl/>
        <w:jc w:val="left"/>
        <w:rPr>
          <w:rFonts w:ascii="宋体" w:hAnsi="宋体"/>
          <w:b/>
          <w:color w:val="auto"/>
          <w:sz w:val="32"/>
          <w:szCs w:val="32"/>
          <w:highlight w:val="none"/>
        </w:rPr>
      </w:pPr>
      <w:r>
        <w:rPr>
          <w:rFonts w:ascii="宋体" w:hAnsi="宋体"/>
          <w:b/>
          <w:color w:val="auto"/>
          <w:sz w:val="32"/>
          <w:szCs w:val="32"/>
          <w:highlight w:val="none"/>
        </w:rPr>
        <w:br w:type="page"/>
      </w:r>
    </w:p>
    <w:p>
      <w:pPr>
        <w:widowControl/>
        <w:spacing w:line="360" w:lineRule="atLeast"/>
        <w:jc w:val="center"/>
        <w:outlineLvl w:val="1"/>
        <w:rPr>
          <w:rFonts w:ascii="宋体" w:hAnsi="宋体"/>
          <w:b/>
          <w:color w:val="auto"/>
          <w:sz w:val="32"/>
          <w:szCs w:val="32"/>
          <w:highlight w:val="none"/>
        </w:rPr>
      </w:pPr>
      <w:r>
        <w:rPr>
          <w:rFonts w:hint="eastAsia" w:ascii="宋体" w:hAnsi="宋体"/>
          <w:b/>
          <w:color w:val="auto"/>
          <w:sz w:val="32"/>
          <w:szCs w:val="32"/>
          <w:highlight w:val="none"/>
        </w:rPr>
        <w:t>三、承诺函</w:t>
      </w:r>
    </w:p>
    <w:p>
      <w:pPr>
        <w:widowControl/>
        <w:spacing w:line="360" w:lineRule="atLeast"/>
        <w:jc w:val="center"/>
        <w:outlineLvl w:val="1"/>
        <w:rPr>
          <w:rFonts w:ascii="宋体" w:hAnsi="宋体"/>
          <w:b/>
          <w:color w:val="auto"/>
          <w:sz w:val="24"/>
          <w:highlight w:val="none"/>
        </w:rPr>
      </w:pPr>
    </w:p>
    <w:p>
      <w:pPr>
        <w:spacing w:line="360" w:lineRule="auto"/>
        <w:rPr>
          <w:rFonts w:ascii="宋体" w:hAnsi="宋体"/>
          <w:color w:val="auto"/>
          <w:sz w:val="24"/>
          <w:highlight w:val="none"/>
        </w:rPr>
      </w:pPr>
      <w:r>
        <w:rPr>
          <w:rFonts w:hint="eastAsia" w:ascii="宋体" w:hAnsi="宋体"/>
          <w:color w:val="auto"/>
          <w:sz w:val="24"/>
          <w:highlight w:val="none"/>
          <w:u w:val="single"/>
        </w:rPr>
        <w:t xml:space="preserve">                  </w:t>
      </w:r>
      <w:r>
        <w:rPr>
          <w:rFonts w:hint="eastAsia" w:ascii="宋体" w:hAnsi="宋体"/>
          <w:color w:val="auto"/>
          <w:sz w:val="24"/>
          <w:highlight w:val="none"/>
        </w:rPr>
        <w:t>（采购代理机构名称）：</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我公司作为本次采购项目的供应商，根据磋商文件要求，现郑重承诺如下：</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一、具备《中华人民共和国政府采购法》第二十二条第一款和本项目规定的条件：</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（一）具有独立承担民事责任的能力；</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（二）具有良好的商业信誉和健全的财务会计制度；</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（三）具有履行合同所必需的设备和专业技术能力；</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（四）有依法缴纳税收和社会保障资金的良好记录；</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（五）参加政府采购活动前三年内，在经营活动中没有重大违法记录；</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（六）符合法律、行政法规规定的其他条件；</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（七）我单位</w:t>
      </w:r>
      <w:r>
        <w:rPr>
          <w:rFonts w:hint="eastAsia" w:ascii="宋体" w:hAnsi="宋体" w:cs="宋体"/>
          <w:color w:val="auto"/>
          <w:sz w:val="24"/>
          <w:highlight w:val="none"/>
        </w:rPr>
        <w:t>及其法定代表人/主要负责人在参加本项目政府采购活动前三年无行贿犯罪记录</w:t>
      </w:r>
      <w:r>
        <w:rPr>
          <w:rFonts w:hint="eastAsia" w:ascii="宋体" w:hAnsi="宋体"/>
          <w:color w:val="auto"/>
          <w:sz w:val="24"/>
          <w:highlight w:val="none"/>
        </w:rPr>
        <w:t>；</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（八）根据采购项目提出的特殊条件。</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二、完全接受和满足本项目磋商文件中规定的实质性要求，如对磋商文件有异议，已经在递交响应文件截止时间届满前依法进行维权救济，不存在对磋商文件有异议的同时又参加磋商以求侥幸成交或者为实现其他非法目的的行为。</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三、在参加本次采购活动中，不存在与单位负责人为同一人或者存在直接控股、管理关系的其他供应商参与同一合同项下的政府采购活动的行为。</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四、在参加本次采购活动中，不存在和其他供应商在同一合同项下的采购项目中，同时委托同一个自然人、同一家庭的人员、同一单位的人员作为代理人的行为。</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五、如果有《四川省政府采购当事人诚信管理办法》（川财采[2015]33号）规定的记入诚信档案的失信行为，将在响应文件中全面如实反映。</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六、响应文件中提供的任何资料和技术、服务、商务等响应承诺情况都是真实的、有效的、合法的。</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七、如本项目磋商采购过程中需要提供样品，则我公司提供的样品即为成交后将要提供的成交产品，我公司对提供样品的性能和质量负责，因样品存在缺陷或者不符合磋商文件要求导致未能成交的，我公司愿意承担相应不利后果。</w:t>
      </w:r>
    </w:p>
    <w:p>
      <w:pPr>
        <w:widowControl/>
        <w:spacing w:line="360" w:lineRule="auto"/>
        <w:ind w:firstLine="480" w:firstLineChars="200"/>
        <w:jc w:val="left"/>
        <w:outlineLvl w:val="1"/>
        <w:rPr>
          <w:rFonts w:ascii="宋体" w:hAnsi="宋体" w:cs="宋体"/>
          <w:color w:val="auto"/>
          <w:sz w:val="24"/>
          <w:highlight w:val="none"/>
        </w:rPr>
      </w:pPr>
      <w:r>
        <w:rPr>
          <w:rFonts w:hint="eastAsia" w:ascii="宋体" w:hAnsi="宋体"/>
          <w:color w:val="auto"/>
          <w:sz w:val="24"/>
          <w:highlight w:val="none"/>
        </w:rPr>
        <w:t>八、</w:t>
      </w:r>
      <w:r>
        <w:rPr>
          <w:rFonts w:hint="eastAsia" w:ascii="宋体" w:hAnsi="宋体" w:cs="宋体"/>
          <w:color w:val="auto"/>
          <w:sz w:val="24"/>
          <w:highlight w:val="none"/>
        </w:rPr>
        <w:t>国家或行业主管部门对采购产品的技术标准、质量标准和资格资质条件等有强制性规定的，我方承诺符合其要求。</w:t>
      </w:r>
    </w:p>
    <w:p>
      <w:pPr>
        <w:widowControl/>
        <w:spacing w:line="360" w:lineRule="auto"/>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九、参加本次采购活动，我方完全同意磋商文件第二章关于“磋商费用”、“合同分包”、“合同转包”、“磋商保证金”的实质性要求，并承诺严格按照磋商文件要求履行。</w:t>
      </w:r>
    </w:p>
    <w:p>
      <w:pPr>
        <w:spacing w:line="360" w:lineRule="auto"/>
        <w:ind w:firstLine="480" w:firstLineChars="200"/>
        <w:rPr>
          <w:rFonts w:ascii="宋体" w:hAnsi="宋体"/>
          <w:color w:val="auto"/>
          <w:sz w:val="24"/>
          <w:highlight w:val="none"/>
        </w:rPr>
      </w:pPr>
      <w:r>
        <w:rPr>
          <w:rFonts w:hint="eastAsia" w:ascii="宋体" w:hAnsi="宋体" w:cs="宋体"/>
          <w:color w:val="auto"/>
          <w:sz w:val="24"/>
          <w:highlight w:val="none"/>
        </w:rPr>
        <w:t>十、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开发接口和开发手册等技术文档，并提供无限期技术支持，采购人享有永久使用权（含采购人委托第三方在该项目后续开发的使用权）。如我方在项目实施过程中采用非自有的知识产权，则在报价中已包括合法获取该知识产权的相关费用。</w:t>
      </w:r>
    </w:p>
    <w:p>
      <w:pPr>
        <w:pStyle w:val="2"/>
        <w:spacing w:line="360" w:lineRule="auto"/>
        <w:rPr>
          <w:color w:val="auto"/>
          <w:highlight w:val="none"/>
        </w:rPr>
      </w:pP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本公司对上述承诺的内容事项真实性负责。如经查实上述承诺的内容事项存在虚假，我公司愿意接受以提供虚假材料谋取成交的法律责任。</w:t>
      </w:r>
    </w:p>
    <w:p>
      <w:pPr>
        <w:pStyle w:val="2"/>
        <w:rPr>
          <w:color w:val="auto"/>
          <w:highlight w:val="none"/>
        </w:rPr>
      </w:pPr>
    </w:p>
    <w:p>
      <w:pPr>
        <w:pStyle w:val="2"/>
        <w:spacing w:line="360" w:lineRule="auto"/>
        <w:rPr>
          <w:color w:val="auto"/>
          <w:highlight w:val="none"/>
        </w:rPr>
      </w:pP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法定代表人/单位负责人（签字或加盖个人电子印章）：</w:t>
      </w:r>
      <w:r>
        <w:rPr>
          <w:rFonts w:hint="eastAsia" w:ascii="宋体" w:hAnsi="宋体"/>
          <w:color w:val="auto"/>
          <w:sz w:val="24"/>
          <w:highlight w:val="none"/>
          <w:u w:val="single"/>
        </w:rPr>
        <w:t xml:space="preserve">                  </w:t>
      </w: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供应商名称：</w:t>
      </w:r>
      <w:r>
        <w:rPr>
          <w:rFonts w:hint="eastAsia" w:ascii="宋体" w:hAnsi="宋体"/>
          <w:b/>
          <w:color w:val="auto"/>
          <w:sz w:val="40"/>
          <w:szCs w:val="48"/>
          <w:highlight w:val="none"/>
          <w:u w:val="single"/>
        </w:rPr>
        <w:t xml:space="preserve">            </w:t>
      </w:r>
      <w:r>
        <w:rPr>
          <w:rFonts w:hint="eastAsia" w:ascii="宋体" w:hAnsi="宋体"/>
          <w:color w:val="auto"/>
          <w:sz w:val="24"/>
          <w:highlight w:val="none"/>
        </w:rPr>
        <w:t>（盖单位电子签章）。</w:t>
      </w:r>
    </w:p>
    <w:p>
      <w:pPr>
        <w:pStyle w:val="2"/>
        <w:spacing w:line="360" w:lineRule="auto"/>
        <w:rPr>
          <w:rFonts w:hAnsi="宋体"/>
          <w:color w:val="auto"/>
          <w:kern w:val="2"/>
          <w:highlight w:val="none"/>
          <w:u w:val="single"/>
        </w:rPr>
      </w:pPr>
      <w:r>
        <w:rPr>
          <w:rFonts w:hint="eastAsia" w:hAnsi="宋体"/>
          <w:color w:val="auto"/>
          <w:kern w:val="2"/>
          <w:highlight w:val="none"/>
        </w:rPr>
        <w:t xml:space="preserve">    日    期： </w:t>
      </w:r>
      <w:r>
        <w:rPr>
          <w:rFonts w:hint="eastAsia" w:hAnsi="宋体"/>
          <w:color w:val="auto"/>
          <w:kern w:val="2"/>
          <w:highlight w:val="none"/>
          <w:u w:val="single"/>
        </w:rPr>
        <w:t xml:space="preserve">                     </w:t>
      </w:r>
    </w:p>
    <w:p>
      <w:pPr>
        <w:widowControl/>
        <w:jc w:val="left"/>
        <w:rPr>
          <w:rFonts w:ascii="宋体" w:hAnsi="宋体"/>
          <w:b/>
          <w:color w:val="auto"/>
          <w:sz w:val="32"/>
          <w:szCs w:val="32"/>
          <w:highlight w:val="none"/>
        </w:rPr>
      </w:pPr>
      <w:r>
        <w:rPr>
          <w:rFonts w:ascii="宋体" w:hAnsi="宋体"/>
          <w:b/>
          <w:color w:val="auto"/>
          <w:sz w:val="32"/>
          <w:szCs w:val="32"/>
          <w:highlight w:val="none"/>
        </w:rPr>
        <w:br w:type="page"/>
      </w:r>
    </w:p>
    <w:p>
      <w:pPr>
        <w:spacing w:line="360" w:lineRule="auto"/>
        <w:ind w:firstLine="790" w:firstLineChars="246"/>
        <w:jc w:val="center"/>
        <w:rPr>
          <w:rFonts w:ascii="宋体" w:hAnsi="宋体"/>
          <w:b/>
          <w:color w:val="auto"/>
          <w:sz w:val="32"/>
          <w:szCs w:val="32"/>
          <w:highlight w:val="none"/>
        </w:rPr>
      </w:pPr>
      <w:r>
        <w:rPr>
          <w:rFonts w:hint="eastAsia" w:ascii="宋体" w:hAnsi="宋体"/>
          <w:b/>
          <w:color w:val="auto"/>
          <w:sz w:val="32"/>
          <w:szCs w:val="32"/>
          <w:highlight w:val="none"/>
        </w:rPr>
        <w:t>四、供应商和磋商其他资格、资质性及其他类似效力要求的相关证明材料</w:t>
      </w:r>
    </w:p>
    <w:p>
      <w:pPr>
        <w:spacing w:line="40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注：供应商应按磋商文件第三章、第四章相关要求提供佐证材料，有格式要求的从其要求，无格式要求的格式自拟。</w:t>
      </w:r>
    </w:p>
    <w:p>
      <w:pPr>
        <w:widowControl/>
        <w:jc w:val="left"/>
        <w:rPr>
          <w:rFonts w:ascii="宋体" w:hAnsi="宋体"/>
          <w:b/>
          <w:color w:val="auto"/>
          <w:sz w:val="32"/>
          <w:szCs w:val="32"/>
          <w:highlight w:val="none"/>
        </w:rPr>
      </w:pPr>
      <w:r>
        <w:rPr>
          <w:rFonts w:ascii="宋体" w:hAnsi="宋体"/>
          <w:b/>
          <w:color w:val="auto"/>
          <w:sz w:val="32"/>
          <w:szCs w:val="32"/>
          <w:highlight w:val="none"/>
        </w:rPr>
        <w:br w:type="page"/>
      </w:r>
    </w:p>
    <w:p>
      <w:pPr>
        <w:tabs>
          <w:tab w:val="left" w:pos="900"/>
        </w:tabs>
        <w:spacing w:line="360" w:lineRule="auto"/>
        <w:jc w:val="center"/>
        <w:rPr>
          <w:rFonts w:ascii="宋体" w:hAnsi="宋体"/>
          <w:b/>
          <w:color w:val="auto"/>
          <w:sz w:val="32"/>
          <w:highlight w:val="none"/>
        </w:rPr>
      </w:pPr>
      <w:r>
        <w:rPr>
          <w:rFonts w:ascii="宋体" w:hAnsi="宋体"/>
          <w:b/>
          <w:color w:val="auto"/>
          <w:sz w:val="32"/>
          <w:highlight w:val="none"/>
        </w:rPr>
        <w:t>第</w:t>
      </w:r>
      <w:r>
        <w:rPr>
          <w:rFonts w:hint="eastAsia" w:ascii="宋体" w:hAnsi="宋体"/>
          <w:b/>
          <w:color w:val="auto"/>
          <w:sz w:val="32"/>
          <w:highlight w:val="none"/>
        </w:rPr>
        <w:t>二</w:t>
      </w:r>
      <w:r>
        <w:rPr>
          <w:rFonts w:ascii="宋体" w:hAnsi="宋体"/>
          <w:b/>
          <w:color w:val="auto"/>
          <w:sz w:val="32"/>
          <w:highlight w:val="none"/>
        </w:rPr>
        <w:t xml:space="preserve">部分     </w:t>
      </w:r>
      <w:r>
        <w:rPr>
          <w:rFonts w:hint="eastAsia" w:ascii="宋体" w:hAnsi="宋体"/>
          <w:b/>
          <w:color w:val="auto"/>
          <w:sz w:val="32"/>
          <w:highlight w:val="none"/>
        </w:rPr>
        <w:t>“其他响应性</w:t>
      </w:r>
      <w:r>
        <w:rPr>
          <w:rFonts w:ascii="宋体" w:hAnsi="宋体"/>
          <w:b/>
          <w:color w:val="auto"/>
          <w:sz w:val="32"/>
          <w:highlight w:val="none"/>
        </w:rPr>
        <w:t>文件</w:t>
      </w:r>
      <w:r>
        <w:rPr>
          <w:rFonts w:hint="eastAsia" w:ascii="宋体" w:hAnsi="宋体"/>
          <w:b/>
          <w:color w:val="auto"/>
          <w:sz w:val="32"/>
          <w:highlight w:val="none"/>
        </w:rPr>
        <w:t>”</w:t>
      </w:r>
      <w:r>
        <w:rPr>
          <w:rFonts w:ascii="宋体" w:hAnsi="宋体"/>
          <w:b/>
          <w:color w:val="auto"/>
          <w:sz w:val="32"/>
          <w:highlight w:val="none"/>
        </w:rPr>
        <w:t>格式</w:t>
      </w:r>
    </w:p>
    <w:p>
      <w:pPr>
        <w:spacing w:line="360" w:lineRule="auto"/>
        <w:rPr>
          <w:rFonts w:ascii="宋体" w:hAnsi="宋体"/>
          <w:b/>
          <w:color w:val="auto"/>
          <w:sz w:val="32"/>
          <w:szCs w:val="32"/>
          <w:highlight w:val="none"/>
        </w:rPr>
      </w:pPr>
      <w:r>
        <w:rPr>
          <w:rFonts w:hint="eastAsia" w:ascii="宋体" w:hAnsi="宋体"/>
          <w:b/>
          <w:color w:val="auto"/>
          <w:sz w:val="32"/>
          <w:szCs w:val="32"/>
          <w:highlight w:val="none"/>
        </w:rPr>
        <w:t>格式2-1</w:t>
      </w:r>
    </w:p>
    <w:p>
      <w:pPr>
        <w:spacing w:line="360" w:lineRule="auto"/>
        <w:rPr>
          <w:rFonts w:ascii="宋体" w:hAnsi="宋体"/>
          <w:b/>
          <w:color w:val="auto"/>
          <w:sz w:val="32"/>
          <w:szCs w:val="32"/>
          <w:highlight w:val="none"/>
        </w:rPr>
      </w:pPr>
      <w:r>
        <w:rPr>
          <w:rFonts w:hint="eastAsia" w:ascii="宋体" w:hAnsi="宋体"/>
          <w:b/>
          <w:color w:val="auto"/>
          <w:sz w:val="32"/>
          <w:szCs w:val="32"/>
          <w:highlight w:val="none"/>
        </w:rPr>
        <w:t>封面：</w:t>
      </w:r>
    </w:p>
    <w:p>
      <w:pPr>
        <w:spacing w:line="360" w:lineRule="auto"/>
        <w:jc w:val="right"/>
        <w:rPr>
          <w:rFonts w:ascii="宋体" w:hAnsi="宋体"/>
          <w:b/>
          <w:color w:val="auto"/>
          <w:sz w:val="36"/>
          <w:highlight w:val="none"/>
        </w:rPr>
      </w:pPr>
      <w:r>
        <w:rPr>
          <w:rFonts w:ascii="宋体" w:hAnsi="宋体"/>
          <w:b/>
          <w:color w:val="auto"/>
          <w:sz w:val="36"/>
          <w:highlight w:val="none"/>
        </w:rPr>
        <w:t>（正本/副本）</w:t>
      </w:r>
    </w:p>
    <w:p>
      <w:pPr>
        <w:spacing w:line="360" w:lineRule="auto"/>
        <w:rPr>
          <w:rFonts w:ascii="宋体" w:hAnsi="宋体"/>
          <w:b/>
          <w:color w:val="auto"/>
          <w:sz w:val="32"/>
          <w:szCs w:val="32"/>
          <w:highlight w:val="none"/>
        </w:rPr>
      </w:pPr>
    </w:p>
    <w:p>
      <w:pPr>
        <w:spacing w:line="360" w:lineRule="auto"/>
        <w:rPr>
          <w:rFonts w:ascii="宋体" w:hAnsi="宋体"/>
          <w:b/>
          <w:color w:val="auto"/>
          <w:sz w:val="32"/>
          <w:szCs w:val="32"/>
          <w:highlight w:val="none"/>
        </w:rPr>
      </w:pPr>
    </w:p>
    <w:p>
      <w:pPr>
        <w:spacing w:line="360" w:lineRule="auto"/>
        <w:jc w:val="center"/>
        <w:rPr>
          <w:rFonts w:ascii="宋体" w:hAnsi="宋体"/>
          <w:b/>
          <w:color w:val="auto"/>
          <w:sz w:val="72"/>
          <w:highlight w:val="none"/>
        </w:rPr>
      </w:pPr>
      <w:r>
        <w:rPr>
          <w:rFonts w:hint="eastAsia" w:ascii="宋体" w:hAnsi="宋体"/>
          <w:b/>
          <w:color w:val="auto"/>
          <w:sz w:val="40"/>
          <w:szCs w:val="48"/>
          <w:highlight w:val="none"/>
          <w:u w:val="single"/>
        </w:rPr>
        <w:t xml:space="preserve">                      </w:t>
      </w:r>
      <w:r>
        <w:rPr>
          <w:rFonts w:hint="eastAsia" w:ascii="宋体" w:hAnsi="宋体"/>
          <w:b/>
          <w:color w:val="auto"/>
          <w:sz w:val="40"/>
          <w:szCs w:val="48"/>
          <w:highlight w:val="none"/>
        </w:rPr>
        <w:t>项目</w:t>
      </w:r>
    </w:p>
    <w:p>
      <w:pPr>
        <w:spacing w:line="360" w:lineRule="auto"/>
        <w:rPr>
          <w:rFonts w:ascii="宋体" w:hAnsi="宋体"/>
          <w:b/>
          <w:color w:val="auto"/>
          <w:sz w:val="52"/>
          <w:szCs w:val="52"/>
          <w:highlight w:val="none"/>
        </w:rPr>
      </w:pPr>
    </w:p>
    <w:p>
      <w:pPr>
        <w:pStyle w:val="2"/>
        <w:ind w:firstLine="1044"/>
        <w:rPr>
          <w:rFonts w:hAnsi="宋体"/>
          <w:b/>
          <w:color w:val="auto"/>
          <w:sz w:val="52"/>
          <w:szCs w:val="52"/>
          <w:highlight w:val="none"/>
        </w:rPr>
      </w:pPr>
    </w:p>
    <w:p>
      <w:pPr>
        <w:pStyle w:val="2"/>
        <w:ind w:firstLine="480"/>
        <w:rPr>
          <w:color w:val="auto"/>
          <w:highlight w:val="none"/>
        </w:rPr>
      </w:pPr>
    </w:p>
    <w:p>
      <w:pPr>
        <w:spacing w:line="360" w:lineRule="auto"/>
        <w:jc w:val="center"/>
        <w:rPr>
          <w:rFonts w:ascii="宋体" w:hAnsi="宋体"/>
          <w:b/>
          <w:color w:val="auto"/>
          <w:sz w:val="32"/>
          <w:szCs w:val="32"/>
          <w:highlight w:val="none"/>
        </w:rPr>
      </w:pPr>
      <w:r>
        <w:rPr>
          <w:rFonts w:hint="eastAsia" w:ascii="宋体" w:hAnsi="宋体"/>
          <w:b/>
          <w:color w:val="auto"/>
          <w:sz w:val="52"/>
          <w:szCs w:val="52"/>
          <w:highlight w:val="none"/>
        </w:rPr>
        <w:t>其他响应性文件</w:t>
      </w:r>
    </w:p>
    <w:p>
      <w:pPr>
        <w:spacing w:line="360" w:lineRule="auto"/>
        <w:rPr>
          <w:rFonts w:ascii="宋体" w:hAnsi="宋体"/>
          <w:b/>
          <w:color w:val="auto"/>
          <w:sz w:val="36"/>
          <w:highlight w:val="none"/>
        </w:rPr>
      </w:pPr>
    </w:p>
    <w:p>
      <w:pPr>
        <w:spacing w:line="360" w:lineRule="auto"/>
        <w:rPr>
          <w:rFonts w:ascii="宋体" w:hAnsi="宋体"/>
          <w:b/>
          <w:color w:val="auto"/>
          <w:sz w:val="36"/>
          <w:highlight w:val="none"/>
        </w:rPr>
      </w:pPr>
    </w:p>
    <w:p>
      <w:pPr>
        <w:spacing w:line="360" w:lineRule="auto"/>
        <w:ind w:firstLine="964" w:firstLineChars="300"/>
        <w:jc w:val="left"/>
        <w:rPr>
          <w:rFonts w:ascii="宋体" w:hAnsi="宋体"/>
          <w:b/>
          <w:color w:val="auto"/>
          <w:sz w:val="32"/>
          <w:highlight w:val="none"/>
          <w:u w:val="single"/>
        </w:rPr>
      </w:pPr>
      <w:r>
        <w:rPr>
          <w:rFonts w:ascii="宋体" w:hAnsi="宋体"/>
          <w:b/>
          <w:color w:val="auto"/>
          <w:sz w:val="32"/>
          <w:highlight w:val="none"/>
        </w:rPr>
        <w:t>供应商名称：</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p>
    <w:p>
      <w:pPr>
        <w:spacing w:line="360" w:lineRule="auto"/>
        <w:ind w:firstLine="964" w:firstLineChars="300"/>
        <w:jc w:val="left"/>
        <w:rPr>
          <w:rFonts w:ascii="宋体" w:hAnsi="宋体"/>
          <w:b/>
          <w:color w:val="auto"/>
          <w:sz w:val="32"/>
          <w:highlight w:val="none"/>
          <w:u w:val="single"/>
        </w:rPr>
      </w:pPr>
      <w:r>
        <w:rPr>
          <w:rFonts w:hint="eastAsia" w:ascii="宋体" w:hAnsi="宋体"/>
          <w:b/>
          <w:color w:val="auto"/>
          <w:sz w:val="32"/>
          <w:highlight w:val="none"/>
        </w:rPr>
        <w:t xml:space="preserve">项 目 </w:t>
      </w:r>
      <w:r>
        <w:rPr>
          <w:rFonts w:ascii="宋体" w:hAnsi="宋体"/>
          <w:b/>
          <w:color w:val="auto"/>
          <w:sz w:val="32"/>
          <w:highlight w:val="none"/>
        </w:rPr>
        <w:t>编号：</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p>
    <w:p>
      <w:pPr>
        <w:spacing w:line="360" w:lineRule="auto"/>
        <w:ind w:firstLine="790" w:firstLineChars="246"/>
        <w:jc w:val="center"/>
        <w:rPr>
          <w:rFonts w:ascii="宋体" w:hAnsi="宋体"/>
          <w:b/>
          <w:color w:val="auto"/>
          <w:sz w:val="32"/>
          <w:highlight w:val="none"/>
        </w:rPr>
      </w:pPr>
      <w:r>
        <w:rPr>
          <w:rFonts w:hint="eastAsia" w:ascii="宋体" w:hAnsi="宋体"/>
          <w:b/>
          <w:color w:val="auto"/>
          <w:sz w:val="32"/>
          <w:highlight w:val="none"/>
        </w:rPr>
        <w:t>日期</w:t>
      </w:r>
      <w:r>
        <w:rPr>
          <w:rFonts w:ascii="宋体" w:hAnsi="宋体"/>
          <w:b/>
          <w:color w:val="auto"/>
          <w:sz w:val="32"/>
          <w:highlight w:val="none"/>
        </w:rPr>
        <w:t>：</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r>
        <w:rPr>
          <w:rFonts w:ascii="宋体" w:hAnsi="宋体"/>
          <w:b/>
          <w:color w:val="auto"/>
          <w:sz w:val="32"/>
          <w:highlight w:val="none"/>
        </w:rPr>
        <w:t>年</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r>
        <w:rPr>
          <w:rFonts w:ascii="宋体" w:hAnsi="宋体"/>
          <w:b/>
          <w:color w:val="auto"/>
          <w:sz w:val="32"/>
          <w:highlight w:val="none"/>
        </w:rPr>
        <w:t>月</w:t>
      </w:r>
      <w:r>
        <w:rPr>
          <w:rFonts w:ascii="宋体" w:hAnsi="宋体"/>
          <w:b/>
          <w:color w:val="auto"/>
          <w:sz w:val="32"/>
          <w:highlight w:val="none"/>
          <w:u w:val="single"/>
        </w:rPr>
        <w:t xml:space="preserve">    </w:t>
      </w:r>
      <w:r>
        <w:rPr>
          <w:rFonts w:ascii="宋体" w:hAnsi="宋体"/>
          <w:b/>
          <w:color w:val="auto"/>
          <w:sz w:val="32"/>
          <w:highlight w:val="none"/>
        </w:rPr>
        <w:t>日</w:t>
      </w:r>
    </w:p>
    <w:p>
      <w:pPr>
        <w:widowControl/>
        <w:jc w:val="left"/>
        <w:rPr>
          <w:rFonts w:ascii="宋体" w:hAnsi="宋体"/>
          <w:b/>
          <w:color w:val="auto"/>
          <w:sz w:val="32"/>
          <w:szCs w:val="32"/>
          <w:highlight w:val="none"/>
        </w:rPr>
      </w:pPr>
    </w:p>
    <w:p>
      <w:pPr>
        <w:widowControl/>
        <w:jc w:val="left"/>
        <w:rPr>
          <w:rFonts w:ascii="宋体" w:hAnsi="宋体"/>
          <w:b/>
          <w:color w:val="auto"/>
          <w:sz w:val="32"/>
          <w:szCs w:val="32"/>
          <w:highlight w:val="none"/>
        </w:rPr>
      </w:pPr>
      <w:r>
        <w:rPr>
          <w:rFonts w:ascii="宋体" w:hAnsi="宋体"/>
          <w:b/>
          <w:color w:val="auto"/>
          <w:sz w:val="32"/>
          <w:szCs w:val="32"/>
          <w:highlight w:val="none"/>
        </w:rPr>
        <w:br w:type="page"/>
      </w:r>
    </w:p>
    <w:p>
      <w:pPr>
        <w:widowControl/>
        <w:spacing w:line="360" w:lineRule="atLeast"/>
        <w:jc w:val="center"/>
        <w:outlineLvl w:val="1"/>
        <w:rPr>
          <w:rFonts w:ascii="宋体" w:hAnsi="宋体"/>
          <w:b/>
          <w:color w:val="auto"/>
          <w:sz w:val="32"/>
          <w:szCs w:val="32"/>
          <w:highlight w:val="none"/>
        </w:rPr>
      </w:pPr>
      <w:r>
        <w:rPr>
          <w:rFonts w:hint="eastAsia" w:ascii="宋体" w:hAnsi="宋体"/>
          <w:b/>
          <w:color w:val="auto"/>
          <w:sz w:val="32"/>
          <w:szCs w:val="32"/>
          <w:highlight w:val="none"/>
        </w:rPr>
        <w:t>一、报 价 函</w:t>
      </w:r>
      <w:bookmarkEnd w:id="70"/>
      <w:bookmarkEnd w:id="71"/>
    </w:p>
    <w:p>
      <w:pPr>
        <w:widowControl/>
        <w:spacing w:line="360" w:lineRule="auto"/>
        <w:jc w:val="center"/>
        <w:outlineLvl w:val="1"/>
        <w:rPr>
          <w:rFonts w:ascii="宋体" w:hAnsi="宋体"/>
          <w:b/>
          <w:color w:val="auto"/>
          <w:sz w:val="24"/>
          <w:highlight w:val="none"/>
        </w:rPr>
      </w:pPr>
    </w:p>
    <w:p>
      <w:pPr>
        <w:widowControl/>
        <w:spacing w:line="360" w:lineRule="auto"/>
        <w:jc w:val="left"/>
        <w:outlineLvl w:val="1"/>
        <w:rPr>
          <w:rFonts w:ascii="宋体" w:hAnsi="宋体"/>
          <w:color w:val="auto"/>
          <w:sz w:val="24"/>
          <w:highlight w:val="none"/>
        </w:rPr>
      </w:pPr>
      <w:r>
        <w:rPr>
          <w:rFonts w:hint="eastAsia" w:ascii="宋体" w:hAnsi="宋体"/>
          <w:b/>
          <w:color w:val="auto"/>
          <w:sz w:val="40"/>
          <w:szCs w:val="48"/>
          <w:highlight w:val="none"/>
          <w:u w:val="single"/>
        </w:rPr>
        <w:t xml:space="preserve">         </w:t>
      </w:r>
      <w:r>
        <w:rPr>
          <w:rFonts w:hint="eastAsia" w:ascii="宋体" w:hAnsi="宋体"/>
          <w:color w:val="auto"/>
          <w:sz w:val="24"/>
          <w:highlight w:val="none"/>
        </w:rPr>
        <w:t>（采购代理机构名称）：</w:t>
      </w: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我方全面研究了“</w:t>
      </w:r>
      <w:r>
        <w:rPr>
          <w:rFonts w:hint="eastAsia" w:ascii="宋体" w:hAnsi="宋体"/>
          <w:b/>
          <w:color w:val="auto"/>
          <w:sz w:val="40"/>
          <w:szCs w:val="48"/>
          <w:highlight w:val="none"/>
          <w:u w:val="single"/>
        </w:rPr>
        <w:t xml:space="preserve">      </w:t>
      </w:r>
      <w:r>
        <w:rPr>
          <w:rFonts w:hint="eastAsia" w:ascii="宋体" w:hAnsi="宋体"/>
          <w:color w:val="auto"/>
          <w:sz w:val="24"/>
          <w:highlight w:val="none"/>
        </w:rPr>
        <w:t>”（项目名称）（项目编号：</w:t>
      </w:r>
      <w:r>
        <w:rPr>
          <w:rFonts w:hint="eastAsia" w:ascii="宋体" w:hAnsi="宋体"/>
          <w:b/>
          <w:color w:val="auto"/>
          <w:sz w:val="40"/>
          <w:szCs w:val="48"/>
          <w:highlight w:val="none"/>
          <w:u w:val="single"/>
        </w:rPr>
        <w:t xml:space="preserve">      </w:t>
      </w:r>
      <w:r>
        <w:rPr>
          <w:rFonts w:hint="eastAsia" w:ascii="宋体" w:hAnsi="宋体"/>
          <w:color w:val="auto"/>
          <w:sz w:val="24"/>
          <w:highlight w:val="none"/>
        </w:rPr>
        <w:t>）竞争性磋商文件，决定参加贵单位组织的本项目磋商。</w:t>
      </w:r>
    </w:p>
    <w:p>
      <w:pPr>
        <w:widowControl/>
        <w:numPr>
          <w:ilvl w:val="0"/>
          <w:numId w:val="6"/>
        </w:numPr>
        <w:spacing w:line="360" w:lineRule="auto"/>
        <w:ind w:firstLine="470" w:firstLineChars="196"/>
        <w:jc w:val="left"/>
        <w:outlineLvl w:val="1"/>
        <w:rPr>
          <w:rFonts w:ascii="宋体"/>
          <w:color w:val="auto"/>
          <w:sz w:val="24"/>
          <w:highlight w:val="none"/>
        </w:rPr>
      </w:pPr>
      <w:r>
        <w:rPr>
          <w:rFonts w:hint="eastAsia" w:ascii="宋体" w:hAnsi="宋体"/>
          <w:color w:val="auto"/>
          <w:sz w:val="24"/>
          <w:highlight w:val="none"/>
        </w:rPr>
        <w:t>我方自愿按照采购文件规定的各项要求向采购人提供所需</w:t>
      </w:r>
      <w:r>
        <w:rPr>
          <w:rFonts w:hint="eastAsia" w:ascii="宋体" w:hAnsi="宋体"/>
          <w:b/>
          <w:color w:val="auto"/>
          <w:sz w:val="24"/>
          <w:highlight w:val="none"/>
          <w:u w:val="single"/>
        </w:rPr>
        <w:t>服务</w:t>
      </w:r>
      <w:r>
        <w:rPr>
          <w:rFonts w:hint="eastAsia" w:ascii="宋体" w:hAnsi="宋体"/>
          <w:color w:val="auto"/>
          <w:sz w:val="24"/>
          <w:highlight w:val="none"/>
        </w:rPr>
        <w:t>，总报价为人民币</w:t>
      </w:r>
      <w:r>
        <w:rPr>
          <w:rFonts w:hint="eastAsia" w:ascii="宋体"/>
          <w:color w:val="auto"/>
          <w:sz w:val="24"/>
          <w:highlight w:val="none"/>
          <w:u w:val="single"/>
        </w:rPr>
        <w:t xml:space="preserve">          </w:t>
      </w:r>
      <w:r>
        <w:rPr>
          <w:rFonts w:hint="eastAsia" w:ascii="宋体"/>
          <w:color w:val="auto"/>
          <w:sz w:val="24"/>
          <w:highlight w:val="none"/>
        </w:rPr>
        <w:t>万元（大写：</w:t>
      </w:r>
      <w:r>
        <w:rPr>
          <w:rFonts w:hint="eastAsia" w:ascii="宋体"/>
          <w:color w:val="auto"/>
          <w:sz w:val="24"/>
          <w:highlight w:val="none"/>
          <w:u w:val="single"/>
        </w:rPr>
        <w:t xml:space="preserve">            </w:t>
      </w:r>
      <w:r>
        <w:rPr>
          <w:rFonts w:hint="eastAsia" w:ascii="宋体"/>
          <w:color w:val="auto"/>
          <w:sz w:val="24"/>
          <w:highlight w:val="none"/>
        </w:rPr>
        <w:t>）。</w:t>
      </w:r>
    </w:p>
    <w:p>
      <w:pPr>
        <w:widowControl/>
        <w:spacing w:line="360" w:lineRule="auto"/>
        <w:ind w:firstLine="480" w:firstLineChars="200"/>
        <w:jc w:val="left"/>
        <w:outlineLvl w:val="1"/>
        <w:rPr>
          <w:rFonts w:ascii="宋体" w:hAnsi="宋体"/>
          <w:color w:val="auto"/>
          <w:sz w:val="24"/>
          <w:highlight w:val="none"/>
        </w:rPr>
      </w:pPr>
      <w:r>
        <w:rPr>
          <w:rFonts w:hint="eastAsia" w:ascii="宋体" w:hAnsi="宋体"/>
          <w:color w:val="auto"/>
          <w:sz w:val="24"/>
          <w:highlight w:val="none"/>
        </w:rPr>
        <w:t>二、一旦我方成交，我方将严格履行政府采购合同规定的责任和义务。</w:t>
      </w: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三、我方同意本磋商文件依据《四川省政府采购当事人诚信管理办法》（川财采〔2015〕33号文件）对我方可能存在的失信行为进行惩戒。</w:t>
      </w: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四、我方为本项目提交的政采云平台上电子投标文件一套用于磋商报价。</w:t>
      </w: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五、我方愿意提供贵单位可能另外要求的，与磋商报价有关的文件资料，并保证我方已提供和将要提供的文件资料是真实、准确的。</w:t>
      </w: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六、本次磋商，我方递交的响应文件有效期为磋商文件规定起算之日起</w:t>
      </w:r>
      <w:r>
        <w:rPr>
          <w:rFonts w:hint="eastAsia" w:ascii="宋体" w:hAnsi="宋体"/>
          <w:color w:val="auto"/>
          <w:sz w:val="24"/>
          <w:highlight w:val="none"/>
          <w:u w:val="single"/>
        </w:rPr>
        <w:t xml:space="preserve">    </w:t>
      </w:r>
      <w:r>
        <w:rPr>
          <w:rFonts w:hint="eastAsia" w:ascii="宋体" w:hAnsi="宋体"/>
          <w:color w:val="auto"/>
          <w:sz w:val="24"/>
          <w:highlight w:val="none"/>
        </w:rPr>
        <w:t>天。</w:t>
      </w:r>
    </w:p>
    <w:p>
      <w:pPr>
        <w:widowControl/>
        <w:spacing w:line="360" w:lineRule="auto"/>
        <w:ind w:firstLine="470" w:firstLineChars="196"/>
        <w:jc w:val="left"/>
        <w:outlineLvl w:val="1"/>
        <w:rPr>
          <w:rFonts w:ascii="宋体" w:hAnsi="宋体"/>
          <w:color w:val="auto"/>
          <w:sz w:val="24"/>
          <w:highlight w:val="none"/>
        </w:rPr>
      </w:pP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供应商名称：</w:t>
      </w:r>
      <w:r>
        <w:rPr>
          <w:rFonts w:hint="eastAsia" w:ascii="宋体" w:hAnsi="宋体"/>
          <w:b/>
          <w:color w:val="auto"/>
          <w:sz w:val="40"/>
          <w:szCs w:val="48"/>
          <w:highlight w:val="none"/>
          <w:u w:val="single"/>
        </w:rPr>
        <w:t xml:space="preserve">      </w:t>
      </w:r>
      <w:r>
        <w:rPr>
          <w:rFonts w:hint="eastAsia" w:ascii="宋体" w:hAnsi="宋体"/>
          <w:color w:val="auto"/>
          <w:sz w:val="24"/>
          <w:highlight w:val="none"/>
        </w:rPr>
        <w:t>（盖单位电子签章）。</w:t>
      </w: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法定代表人/单位负责人或授权代表（签字或加盖个人电子印章）：</w:t>
      </w:r>
      <w:r>
        <w:rPr>
          <w:rFonts w:hint="eastAsia" w:ascii="宋体" w:hAnsi="宋体"/>
          <w:b/>
          <w:color w:val="auto"/>
          <w:sz w:val="40"/>
          <w:szCs w:val="48"/>
          <w:highlight w:val="none"/>
          <w:u w:val="single"/>
        </w:rPr>
        <w:t xml:space="preserve">      </w:t>
      </w:r>
      <w:r>
        <w:rPr>
          <w:rFonts w:hint="eastAsia" w:ascii="宋体" w:hAnsi="宋体"/>
          <w:color w:val="auto"/>
          <w:sz w:val="24"/>
          <w:highlight w:val="none"/>
        </w:rPr>
        <w:t>。</w:t>
      </w: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通讯地址：</w:t>
      </w:r>
      <w:r>
        <w:rPr>
          <w:rFonts w:hint="eastAsia" w:ascii="宋体" w:hAnsi="宋体"/>
          <w:b/>
          <w:color w:val="auto"/>
          <w:sz w:val="40"/>
          <w:szCs w:val="48"/>
          <w:highlight w:val="none"/>
          <w:u w:val="single"/>
        </w:rPr>
        <w:t xml:space="preserve">      </w:t>
      </w:r>
      <w:r>
        <w:rPr>
          <w:rFonts w:hint="eastAsia" w:ascii="宋体" w:hAnsi="宋体"/>
          <w:color w:val="auto"/>
          <w:sz w:val="24"/>
          <w:highlight w:val="none"/>
        </w:rPr>
        <w:t>。</w:t>
      </w: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邮政编码：</w:t>
      </w:r>
      <w:r>
        <w:rPr>
          <w:rFonts w:hint="eastAsia" w:ascii="宋体" w:hAnsi="宋体"/>
          <w:b/>
          <w:color w:val="auto"/>
          <w:sz w:val="40"/>
          <w:szCs w:val="48"/>
          <w:highlight w:val="none"/>
          <w:u w:val="single"/>
        </w:rPr>
        <w:t xml:space="preserve">      </w:t>
      </w:r>
      <w:r>
        <w:rPr>
          <w:rFonts w:hint="eastAsia" w:ascii="宋体" w:hAnsi="宋体"/>
          <w:color w:val="auto"/>
          <w:sz w:val="24"/>
          <w:highlight w:val="none"/>
        </w:rPr>
        <w:t>。</w:t>
      </w: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联系电话：</w:t>
      </w:r>
      <w:r>
        <w:rPr>
          <w:rFonts w:hint="eastAsia" w:ascii="宋体" w:hAnsi="宋体"/>
          <w:b/>
          <w:color w:val="auto"/>
          <w:sz w:val="40"/>
          <w:szCs w:val="48"/>
          <w:highlight w:val="none"/>
          <w:u w:val="single"/>
        </w:rPr>
        <w:t xml:space="preserve">      </w:t>
      </w:r>
      <w:r>
        <w:rPr>
          <w:rFonts w:hint="eastAsia" w:ascii="宋体" w:hAnsi="宋体"/>
          <w:color w:val="auto"/>
          <w:sz w:val="24"/>
          <w:highlight w:val="none"/>
        </w:rPr>
        <w:t>。</w:t>
      </w: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传    真：</w:t>
      </w:r>
      <w:r>
        <w:rPr>
          <w:rFonts w:hint="eastAsia" w:ascii="宋体" w:hAnsi="宋体"/>
          <w:b/>
          <w:color w:val="auto"/>
          <w:sz w:val="40"/>
          <w:szCs w:val="48"/>
          <w:highlight w:val="none"/>
          <w:u w:val="single"/>
        </w:rPr>
        <w:t xml:space="preserve">      </w:t>
      </w:r>
      <w:r>
        <w:rPr>
          <w:rFonts w:hint="eastAsia" w:ascii="宋体" w:hAnsi="宋体"/>
          <w:color w:val="auto"/>
          <w:sz w:val="24"/>
          <w:highlight w:val="none"/>
        </w:rPr>
        <w:t>。</w:t>
      </w: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日    期：</w:t>
      </w:r>
      <w:r>
        <w:rPr>
          <w:rFonts w:hint="eastAsia" w:ascii="宋体" w:hAnsi="宋体"/>
          <w:b/>
          <w:color w:val="auto"/>
          <w:sz w:val="40"/>
          <w:szCs w:val="48"/>
          <w:highlight w:val="none"/>
          <w:u w:val="single"/>
        </w:rPr>
        <w:t xml:space="preserve">      </w:t>
      </w:r>
      <w:r>
        <w:rPr>
          <w:rFonts w:hint="eastAsia" w:ascii="宋体" w:hAnsi="宋体"/>
          <w:color w:val="auto"/>
          <w:sz w:val="24"/>
          <w:highlight w:val="none"/>
        </w:rPr>
        <w:t>。</w:t>
      </w:r>
    </w:p>
    <w:p>
      <w:pPr>
        <w:spacing w:line="360" w:lineRule="auto"/>
        <w:rPr>
          <w:rFonts w:ascii="宋体" w:hAnsi="宋体"/>
          <w:b/>
          <w:color w:val="auto"/>
          <w:sz w:val="32"/>
          <w:szCs w:val="32"/>
          <w:highlight w:val="none"/>
        </w:rPr>
      </w:pPr>
      <w:bookmarkStart w:id="77" w:name="_Toc308164824"/>
      <w:r>
        <w:rPr>
          <w:rFonts w:hint="eastAsia" w:ascii="宋体" w:hAnsi="宋体"/>
          <w:b/>
          <w:color w:val="auto"/>
          <w:sz w:val="32"/>
          <w:szCs w:val="32"/>
          <w:highlight w:val="none"/>
        </w:rPr>
        <w:br w:type="page"/>
      </w:r>
    </w:p>
    <w:p>
      <w:pPr>
        <w:widowControl/>
        <w:spacing w:line="360" w:lineRule="atLeast"/>
        <w:jc w:val="center"/>
        <w:outlineLvl w:val="1"/>
        <w:rPr>
          <w:rFonts w:ascii="宋体" w:hAnsi="宋体"/>
          <w:b/>
          <w:color w:val="auto"/>
          <w:sz w:val="32"/>
          <w:szCs w:val="32"/>
          <w:highlight w:val="none"/>
        </w:rPr>
      </w:pPr>
      <w:r>
        <w:rPr>
          <w:rFonts w:hint="eastAsia" w:ascii="宋体" w:hAnsi="宋体"/>
          <w:b/>
          <w:color w:val="auto"/>
          <w:sz w:val="32"/>
          <w:szCs w:val="32"/>
          <w:highlight w:val="none"/>
        </w:rPr>
        <w:t>二、承诺函（实质性要求）</w:t>
      </w:r>
    </w:p>
    <w:p>
      <w:pPr>
        <w:widowControl/>
        <w:spacing w:line="360" w:lineRule="atLeast"/>
        <w:jc w:val="center"/>
        <w:outlineLvl w:val="1"/>
        <w:rPr>
          <w:rFonts w:ascii="宋体" w:hAnsi="宋体"/>
          <w:b/>
          <w:color w:val="auto"/>
          <w:sz w:val="24"/>
          <w:highlight w:val="none"/>
        </w:rPr>
      </w:pPr>
    </w:p>
    <w:p>
      <w:pPr>
        <w:widowControl/>
        <w:spacing w:line="360" w:lineRule="atLeast"/>
        <w:jc w:val="left"/>
        <w:outlineLvl w:val="1"/>
        <w:rPr>
          <w:rFonts w:ascii="宋体" w:hAnsi="宋体"/>
          <w:color w:val="auto"/>
          <w:sz w:val="24"/>
          <w:highlight w:val="none"/>
        </w:rPr>
      </w:pPr>
      <w:r>
        <w:rPr>
          <w:rFonts w:hint="eastAsia" w:ascii="宋体" w:hAnsi="宋体"/>
          <w:b/>
          <w:color w:val="auto"/>
          <w:sz w:val="40"/>
          <w:szCs w:val="48"/>
          <w:highlight w:val="none"/>
          <w:u w:val="single"/>
        </w:rPr>
        <w:t xml:space="preserve">      </w:t>
      </w:r>
      <w:r>
        <w:rPr>
          <w:rFonts w:hint="eastAsia" w:ascii="宋体" w:hAnsi="宋体"/>
          <w:color w:val="auto"/>
          <w:sz w:val="24"/>
          <w:highlight w:val="none"/>
        </w:rPr>
        <w:t>（采购代理机构名称）：</w:t>
      </w:r>
    </w:p>
    <w:p>
      <w:pPr>
        <w:widowControl/>
        <w:spacing w:line="360" w:lineRule="auto"/>
        <w:ind w:firstLine="480" w:firstLineChars="200"/>
        <w:jc w:val="left"/>
        <w:outlineLvl w:val="1"/>
        <w:rPr>
          <w:rFonts w:ascii="宋体" w:hAnsi="宋体"/>
          <w:color w:val="auto"/>
          <w:sz w:val="24"/>
          <w:highlight w:val="none"/>
        </w:rPr>
      </w:pPr>
      <w:r>
        <w:rPr>
          <w:rFonts w:hint="eastAsia" w:ascii="宋体" w:hAnsi="宋体"/>
          <w:color w:val="auto"/>
          <w:sz w:val="24"/>
          <w:highlight w:val="none"/>
        </w:rPr>
        <w:t>我单位作为本次采购项目的供应商，根据竞争性磋商文件要求，现郑重承诺如下：</w:t>
      </w:r>
    </w:p>
    <w:p>
      <w:pPr>
        <w:widowControl/>
        <w:spacing w:line="360" w:lineRule="auto"/>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一、我方已认真阅读并接受本项目竞争性磋商文件全部实质性要求，如对竞争性磋商文件有异议，已依法进行维权救济，不存在对竞争性磋商文件有异议的同时又参加磋商以求侥幸成交或者为实现其他非法目的的行为。</w:t>
      </w:r>
    </w:p>
    <w:p>
      <w:pPr>
        <w:widowControl/>
        <w:spacing w:line="360" w:lineRule="auto"/>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二、参加本次招标采购活动，不存在与单位负责人为同一人或者存在直接控股、管理关系的其他供应商参与同一合同项下的政府采购活动的行为。</w:t>
      </w:r>
    </w:p>
    <w:p>
      <w:pPr>
        <w:widowControl/>
        <w:spacing w:line="360" w:lineRule="auto"/>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三、为采购项目提供整体设计、规范编制或者项目管理、监理、检测等服务的供应商，不得再参加该采购项目的其他采购活动，我方承诺不属于此类禁止参加本项目的供应商。</w:t>
      </w:r>
    </w:p>
    <w:p>
      <w:pPr>
        <w:widowControl/>
        <w:spacing w:line="360" w:lineRule="auto"/>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四、参加本次采购活动，不存在和其他供应商在同一合同项下的采购项目中，同时委托同一个自然人、同一家庭的人员、同一单位的人员作为代理人的行为。</w:t>
      </w:r>
    </w:p>
    <w:p>
      <w:pPr>
        <w:widowControl/>
        <w:spacing w:line="360" w:lineRule="auto"/>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五、我方实际控制人或者中高级管理人员或者其他工作人员，不存在同时是采购代理机构工作人员的情形。</w:t>
      </w:r>
    </w:p>
    <w:p>
      <w:pPr>
        <w:widowControl/>
        <w:spacing w:line="360" w:lineRule="auto"/>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六、不存在同一母公司的两家以上的子公司，以不同供应商身份同时参加本项目同一合同项下的采购活动的情形。</w:t>
      </w:r>
    </w:p>
    <w:p>
      <w:pPr>
        <w:widowControl/>
        <w:spacing w:line="360" w:lineRule="auto"/>
        <w:ind w:firstLine="480" w:firstLineChars="200"/>
        <w:jc w:val="left"/>
        <w:outlineLvl w:val="1"/>
        <w:rPr>
          <w:color w:val="auto"/>
          <w:highlight w:val="none"/>
        </w:rPr>
      </w:pPr>
      <w:r>
        <w:rPr>
          <w:rFonts w:hint="eastAsia" w:ascii="宋体" w:hAnsi="宋体" w:cs="宋体"/>
          <w:color w:val="auto"/>
          <w:sz w:val="24"/>
          <w:highlight w:val="none"/>
        </w:rPr>
        <w:t>七、我方与采购代理机构不存在关联关系，也不是采购代理机构的母公司或子公司。</w:t>
      </w:r>
    </w:p>
    <w:p>
      <w:pPr>
        <w:widowControl/>
        <w:spacing w:line="360" w:lineRule="auto"/>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八、如果有《四川省政府采购当事人诚信管理办法》（川财采[2015]33号）规定的记入诚信档案的失信行为，将在响应文件中全面如实反映。</w:t>
      </w:r>
    </w:p>
    <w:p>
      <w:pPr>
        <w:widowControl/>
        <w:spacing w:line="360" w:lineRule="auto"/>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九、响应文件中提供的任何资料和技术、服务、商务等响应承诺情况都是真实的、有效的、合法的。</w:t>
      </w:r>
    </w:p>
    <w:p>
      <w:pPr>
        <w:widowControl/>
        <w:spacing w:line="360" w:lineRule="auto"/>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十、如本项目磋商采购过程中需要提供样品，则我方提供的样品即为成交后将要提供的成交产品，我方对提供样品的性能和质量负责，因样品存在缺陷或者不符合磋商文件要求导致未能成交的，我方愿意承担相应不利后果。</w:t>
      </w:r>
    </w:p>
    <w:p>
      <w:pPr>
        <w:widowControl/>
        <w:spacing w:line="360" w:lineRule="auto"/>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十一、国家或行业主管部门对采购产品的技术标准、质量标准和资格资质条件等有强制性规定的，我方承诺符合其要求。</w:t>
      </w:r>
    </w:p>
    <w:p>
      <w:pPr>
        <w:widowControl/>
        <w:spacing w:line="360" w:lineRule="auto"/>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十二、参加本次采购活动，我方完全同意磋商文件第二章关于“磋商费用”、“合同分包”、“合同转包”、“履约保证金”的实质性要求，并承诺严格按照磋商文件要求履行。</w:t>
      </w:r>
    </w:p>
    <w:p>
      <w:pPr>
        <w:widowControl/>
        <w:spacing w:line="360" w:lineRule="auto"/>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十三、我方保证在本项目使用的任何技术、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widowControl/>
        <w:spacing w:line="360" w:lineRule="auto"/>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本单位对上述承诺的内容事项存在虚假，我单位愿意接受以提供虚假材料谋取中标追究法律责任。</w:t>
      </w:r>
    </w:p>
    <w:p>
      <w:pPr>
        <w:widowControl/>
        <w:spacing w:line="360" w:lineRule="auto"/>
        <w:ind w:firstLine="470" w:firstLineChars="196"/>
        <w:jc w:val="left"/>
        <w:outlineLvl w:val="1"/>
        <w:rPr>
          <w:rFonts w:ascii="宋体" w:hAnsi="宋体"/>
          <w:color w:val="auto"/>
          <w:sz w:val="24"/>
          <w:highlight w:val="none"/>
        </w:rPr>
      </w:pPr>
    </w:p>
    <w:p>
      <w:pPr>
        <w:widowControl/>
        <w:spacing w:line="360" w:lineRule="atLeast"/>
        <w:ind w:firstLine="470" w:firstLineChars="196"/>
        <w:jc w:val="left"/>
        <w:outlineLvl w:val="1"/>
        <w:rPr>
          <w:rFonts w:ascii="宋体" w:hAnsi="宋体"/>
          <w:color w:val="auto"/>
          <w:sz w:val="24"/>
          <w:highlight w:val="none"/>
        </w:rPr>
      </w:pPr>
    </w:p>
    <w:p>
      <w:pPr>
        <w:widowControl/>
        <w:spacing w:line="360" w:lineRule="auto"/>
        <w:jc w:val="left"/>
        <w:outlineLvl w:val="1"/>
        <w:rPr>
          <w:rFonts w:ascii="宋体" w:hAnsi="宋体"/>
          <w:color w:val="auto"/>
          <w:sz w:val="24"/>
          <w:highlight w:val="none"/>
        </w:rPr>
      </w:pPr>
      <w:r>
        <w:rPr>
          <w:rFonts w:hint="eastAsia" w:ascii="宋体" w:hAnsi="宋体"/>
          <w:color w:val="auto"/>
          <w:sz w:val="24"/>
          <w:highlight w:val="none"/>
        </w:rPr>
        <w:t>供应商名称：</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r>
        <w:rPr>
          <w:rFonts w:hint="eastAsia" w:ascii="宋体" w:hAnsi="宋体"/>
          <w:color w:val="auto"/>
          <w:sz w:val="24"/>
          <w:highlight w:val="none"/>
        </w:rPr>
        <w:t>（盖单位电子签章）。</w:t>
      </w:r>
    </w:p>
    <w:p>
      <w:pPr>
        <w:widowControl/>
        <w:spacing w:line="360" w:lineRule="auto"/>
        <w:jc w:val="left"/>
        <w:outlineLvl w:val="1"/>
        <w:rPr>
          <w:rFonts w:ascii="宋体" w:hAnsi="宋体"/>
          <w:color w:val="auto"/>
          <w:sz w:val="24"/>
          <w:highlight w:val="none"/>
        </w:rPr>
      </w:pPr>
      <w:r>
        <w:rPr>
          <w:rFonts w:hint="eastAsia" w:ascii="宋体" w:hAnsi="宋体"/>
          <w:color w:val="auto"/>
          <w:sz w:val="24"/>
          <w:highlight w:val="none"/>
        </w:rPr>
        <w:t>法定代表人/单位负责人或授权代表（签字或加盖个人电子印章）：</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r>
        <w:rPr>
          <w:rFonts w:hint="eastAsia" w:ascii="宋体" w:hAnsi="宋体"/>
          <w:color w:val="auto"/>
          <w:sz w:val="24"/>
          <w:highlight w:val="none"/>
        </w:rPr>
        <w:t>。</w:t>
      </w:r>
    </w:p>
    <w:p>
      <w:pPr>
        <w:widowControl/>
        <w:spacing w:line="360" w:lineRule="auto"/>
        <w:jc w:val="left"/>
        <w:outlineLvl w:val="1"/>
        <w:rPr>
          <w:rFonts w:ascii="宋体" w:hAnsi="宋体"/>
          <w:color w:val="auto"/>
          <w:sz w:val="24"/>
          <w:highlight w:val="none"/>
        </w:rPr>
      </w:pPr>
      <w:r>
        <w:rPr>
          <w:rFonts w:hint="eastAsia" w:ascii="宋体" w:hAnsi="宋体"/>
          <w:color w:val="auto"/>
          <w:sz w:val="24"/>
          <w:highlight w:val="none"/>
        </w:rPr>
        <w:t>日期：</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r>
        <w:rPr>
          <w:rFonts w:hint="eastAsia" w:ascii="宋体" w:hAnsi="宋体"/>
          <w:color w:val="auto"/>
          <w:sz w:val="24"/>
          <w:highlight w:val="none"/>
        </w:rPr>
        <w:t>。</w:t>
      </w:r>
    </w:p>
    <w:p>
      <w:pPr>
        <w:spacing w:line="360" w:lineRule="auto"/>
        <w:rPr>
          <w:rFonts w:ascii="宋体" w:hAnsi="宋体"/>
          <w:b/>
          <w:color w:val="auto"/>
          <w:sz w:val="32"/>
          <w:szCs w:val="32"/>
          <w:highlight w:val="none"/>
        </w:rPr>
      </w:pPr>
      <w:r>
        <w:rPr>
          <w:rFonts w:hint="eastAsia" w:ascii="宋体" w:hAnsi="宋体"/>
          <w:b/>
          <w:color w:val="auto"/>
          <w:sz w:val="32"/>
          <w:szCs w:val="32"/>
          <w:highlight w:val="none"/>
        </w:rPr>
        <w:br w:type="page"/>
      </w:r>
    </w:p>
    <w:bookmarkEnd w:id="67"/>
    <w:bookmarkEnd w:id="77"/>
    <w:p>
      <w:pPr>
        <w:spacing w:line="400" w:lineRule="exact"/>
        <w:ind w:firstLine="643" w:firstLineChars="200"/>
        <w:jc w:val="center"/>
        <w:rPr>
          <w:rFonts w:ascii="宋体" w:hAnsi="宋体"/>
          <w:b/>
          <w:color w:val="auto"/>
          <w:sz w:val="32"/>
          <w:szCs w:val="32"/>
          <w:highlight w:val="none"/>
        </w:rPr>
      </w:pPr>
      <w:bookmarkStart w:id="78" w:name="_Toc217446085"/>
      <w:r>
        <w:rPr>
          <w:rFonts w:hint="eastAsia" w:ascii="宋体" w:hAnsi="宋体"/>
          <w:b/>
          <w:color w:val="auto"/>
          <w:sz w:val="32"/>
          <w:szCs w:val="32"/>
          <w:highlight w:val="none"/>
        </w:rPr>
        <w:t>三、</w:t>
      </w:r>
      <w:bookmarkEnd w:id="78"/>
      <w:r>
        <w:rPr>
          <w:rFonts w:hint="eastAsia" w:ascii="宋体" w:hAnsi="宋体" w:cs="宋体"/>
          <w:b/>
          <w:bCs/>
          <w:color w:val="auto"/>
          <w:sz w:val="28"/>
          <w:szCs w:val="28"/>
          <w:highlight w:val="none"/>
        </w:rPr>
        <w:t>报价表</w:t>
      </w:r>
    </w:p>
    <w:p>
      <w:pPr>
        <w:spacing w:line="480" w:lineRule="exact"/>
        <w:ind w:firstLine="436" w:firstLineChars="182"/>
        <w:rPr>
          <w:rFonts w:ascii="宋体" w:hAnsi="宋体"/>
          <w:color w:val="auto"/>
          <w:sz w:val="24"/>
          <w:highlight w:val="none"/>
        </w:rPr>
      </w:pPr>
      <w:r>
        <w:rPr>
          <w:rFonts w:hint="eastAsia" w:ascii="宋体" w:hAnsi="宋体"/>
          <w:color w:val="auto"/>
          <w:sz w:val="24"/>
          <w:highlight w:val="none"/>
        </w:rPr>
        <w:t>项目名称：</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p>
    <w:p>
      <w:pPr>
        <w:spacing w:line="480" w:lineRule="exact"/>
        <w:ind w:firstLine="436" w:firstLineChars="182"/>
        <w:rPr>
          <w:rFonts w:ascii="宋体" w:hAnsi="宋体"/>
          <w:b/>
          <w:color w:val="auto"/>
          <w:sz w:val="32"/>
          <w:highlight w:val="none"/>
          <w:u w:val="single"/>
        </w:rPr>
      </w:pPr>
      <w:r>
        <w:rPr>
          <w:rFonts w:hint="eastAsia" w:ascii="宋体" w:hAnsi="宋体"/>
          <w:color w:val="auto"/>
          <w:sz w:val="24"/>
          <w:highlight w:val="none"/>
        </w:rPr>
        <w:t>项目编号：</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p>
    <w:tbl>
      <w:tblPr>
        <w:tblStyle w:val="37"/>
        <w:tblW w:w="92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2740"/>
        <w:gridCol w:w="2511"/>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19" w:type="dxa"/>
            <w:vAlign w:val="center"/>
          </w:tcPr>
          <w:p>
            <w:pPr>
              <w:widowControl/>
              <w:spacing w:line="36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序号</w:t>
            </w:r>
          </w:p>
        </w:tc>
        <w:tc>
          <w:tcPr>
            <w:tcW w:w="2740" w:type="dxa"/>
            <w:vAlign w:val="center"/>
          </w:tcPr>
          <w:p>
            <w:pPr>
              <w:widowControl/>
              <w:spacing w:line="36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采购内容</w:t>
            </w:r>
          </w:p>
        </w:tc>
        <w:tc>
          <w:tcPr>
            <w:tcW w:w="2511" w:type="dxa"/>
            <w:vAlign w:val="center"/>
          </w:tcPr>
          <w:p>
            <w:pPr>
              <w:spacing w:line="36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服务期限</w:t>
            </w:r>
          </w:p>
        </w:tc>
        <w:tc>
          <w:tcPr>
            <w:tcW w:w="3150" w:type="dxa"/>
            <w:vAlign w:val="center"/>
          </w:tcPr>
          <w:p>
            <w:pPr>
              <w:widowControl/>
              <w:spacing w:line="36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 xml:space="preserve">报价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7" w:hRule="atLeast"/>
        </w:trPr>
        <w:tc>
          <w:tcPr>
            <w:tcW w:w="819" w:type="dxa"/>
            <w:vAlign w:val="center"/>
          </w:tcPr>
          <w:p>
            <w:pPr>
              <w:widowControl/>
              <w:spacing w:line="36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1</w:t>
            </w:r>
          </w:p>
        </w:tc>
        <w:tc>
          <w:tcPr>
            <w:tcW w:w="2740" w:type="dxa"/>
            <w:vAlign w:val="center"/>
          </w:tcPr>
          <w:p>
            <w:pPr>
              <w:widowControl/>
              <w:spacing w:line="36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崇州市城市更新专项规划和更新单元实施规划编制</w:t>
            </w:r>
          </w:p>
        </w:tc>
        <w:tc>
          <w:tcPr>
            <w:tcW w:w="2511" w:type="dxa"/>
            <w:vAlign w:val="center"/>
          </w:tcPr>
          <w:p>
            <w:pPr>
              <w:spacing w:line="36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政府采购合同签订生效之日起45个工作日内按采购人要求的方式完成履约。</w:t>
            </w:r>
          </w:p>
        </w:tc>
        <w:tc>
          <w:tcPr>
            <w:tcW w:w="3150" w:type="dxa"/>
            <w:vAlign w:val="center"/>
          </w:tcPr>
          <w:p>
            <w:pPr>
              <w:widowControl/>
              <w:spacing w:line="360" w:lineRule="auto"/>
              <w:rPr>
                <w:rFonts w:ascii="宋体" w:hAnsi="宋体" w:cs="宋体"/>
                <w:bCs/>
                <w:color w:val="auto"/>
                <w:kern w:val="0"/>
                <w:sz w:val="24"/>
                <w:highlight w:val="none"/>
              </w:rPr>
            </w:pPr>
            <w:r>
              <w:rPr>
                <w:rFonts w:ascii="宋体" w:hAnsi="宋体" w:cs="宋体"/>
                <w:color w:val="auto"/>
                <w:sz w:val="24"/>
                <w:highlight w:val="none"/>
              </w:rPr>
              <w:t>报价为人民币</w:t>
            </w:r>
            <w:r>
              <w:rPr>
                <w:rFonts w:hint="eastAsia" w:ascii="宋体" w:hAnsi="宋体" w:cs="宋体"/>
                <w:color w:val="auto"/>
                <w:sz w:val="24"/>
                <w:highlight w:val="none"/>
                <w:u w:val="single"/>
              </w:rPr>
              <w:t xml:space="preserve">      万</w:t>
            </w:r>
            <w:r>
              <w:rPr>
                <w:rFonts w:ascii="宋体" w:hAnsi="宋体" w:cs="宋体"/>
                <w:color w:val="auto"/>
                <w:sz w:val="24"/>
                <w:highlight w:val="none"/>
              </w:rPr>
              <w:t>元 （大写：</w:t>
            </w:r>
            <w:r>
              <w:rPr>
                <w:rFonts w:hint="eastAsia" w:ascii="宋体" w:hAnsi="宋体" w:cs="宋体"/>
                <w:color w:val="auto"/>
                <w:sz w:val="24"/>
                <w:highlight w:val="none"/>
                <w:u w:val="single"/>
              </w:rPr>
              <w:t xml:space="preserve">              </w:t>
            </w:r>
            <w:r>
              <w:rPr>
                <w:rFonts w:ascii="宋体" w:hAnsi="宋体" w:cs="宋体"/>
                <w:color w:val="auto"/>
                <w:sz w:val="24"/>
                <w:highlight w:val="none"/>
              </w:rPr>
              <w:t>）</w:t>
            </w:r>
          </w:p>
        </w:tc>
      </w:tr>
    </w:tbl>
    <w:p>
      <w:pPr>
        <w:widowControl/>
        <w:spacing w:line="360" w:lineRule="atLeast"/>
        <w:jc w:val="left"/>
        <w:outlineLvl w:val="1"/>
        <w:rPr>
          <w:rFonts w:ascii="宋体" w:hAnsi="宋体"/>
          <w:color w:val="auto"/>
          <w:sz w:val="24"/>
          <w:highlight w:val="none"/>
        </w:rPr>
      </w:pP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注：报价应是最终用户验收合格后的总价，包括培训、税费和采购文件规定的其它费用。不得漏报，否则视为已包含在总报价中不再单独另行报价，不影响响应文件有效性。</w:t>
      </w:r>
    </w:p>
    <w:p>
      <w:pPr>
        <w:pStyle w:val="2"/>
        <w:rPr>
          <w:color w:val="auto"/>
          <w:highlight w:val="none"/>
        </w:rPr>
      </w:pPr>
    </w:p>
    <w:p>
      <w:pPr>
        <w:pStyle w:val="2"/>
        <w:rPr>
          <w:color w:val="auto"/>
          <w:highlight w:val="none"/>
        </w:rPr>
      </w:pPr>
    </w:p>
    <w:p>
      <w:pPr>
        <w:widowControl/>
        <w:spacing w:line="360" w:lineRule="auto"/>
        <w:jc w:val="left"/>
        <w:outlineLvl w:val="1"/>
        <w:rPr>
          <w:rFonts w:ascii="宋体" w:hAnsi="宋体"/>
          <w:color w:val="auto"/>
          <w:sz w:val="24"/>
          <w:highlight w:val="none"/>
        </w:rPr>
      </w:pPr>
      <w:r>
        <w:rPr>
          <w:rFonts w:hint="eastAsia" w:ascii="宋体" w:hAnsi="宋体"/>
          <w:color w:val="auto"/>
          <w:sz w:val="24"/>
          <w:highlight w:val="none"/>
        </w:rPr>
        <w:t>供应商名称：</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r>
        <w:rPr>
          <w:rFonts w:hint="eastAsia" w:ascii="宋体" w:hAnsi="宋体"/>
          <w:color w:val="auto"/>
          <w:sz w:val="24"/>
          <w:highlight w:val="none"/>
        </w:rPr>
        <w:t>（盖单位电子签章）。</w:t>
      </w:r>
    </w:p>
    <w:p>
      <w:pPr>
        <w:widowControl/>
        <w:spacing w:line="360" w:lineRule="auto"/>
        <w:jc w:val="left"/>
        <w:outlineLvl w:val="1"/>
        <w:rPr>
          <w:rFonts w:ascii="宋体" w:hAnsi="宋体"/>
          <w:color w:val="auto"/>
          <w:sz w:val="24"/>
          <w:highlight w:val="none"/>
        </w:rPr>
      </w:pPr>
      <w:r>
        <w:rPr>
          <w:rFonts w:hint="eastAsia" w:ascii="宋体" w:hAnsi="宋体"/>
          <w:color w:val="auto"/>
          <w:sz w:val="24"/>
          <w:highlight w:val="none"/>
        </w:rPr>
        <w:t>法定代表人/单位负责人或授权代表（签字或加盖个人电子印章）：</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r>
        <w:rPr>
          <w:rFonts w:hint="eastAsia" w:ascii="宋体" w:hAnsi="宋体"/>
          <w:color w:val="auto"/>
          <w:sz w:val="24"/>
          <w:highlight w:val="none"/>
        </w:rPr>
        <w:t>。</w:t>
      </w:r>
    </w:p>
    <w:p>
      <w:pPr>
        <w:widowControl/>
        <w:spacing w:line="360" w:lineRule="auto"/>
        <w:jc w:val="left"/>
        <w:outlineLvl w:val="1"/>
        <w:rPr>
          <w:rFonts w:ascii="宋体" w:hAnsi="宋体"/>
          <w:color w:val="auto"/>
          <w:sz w:val="24"/>
          <w:highlight w:val="none"/>
        </w:rPr>
      </w:pPr>
      <w:r>
        <w:rPr>
          <w:rFonts w:hint="eastAsia" w:ascii="宋体" w:hAnsi="宋体"/>
          <w:color w:val="auto"/>
          <w:sz w:val="24"/>
          <w:highlight w:val="none"/>
        </w:rPr>
        <w:t>日期：</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r>
        <w:rPr>
          <w:rFonts w:hint="eastAsia" w:ascii="宋体" w:hAnsi="宋体"/>
          <w:color w:val="auto"/>
          <w:sz w:val="24"/>
          <w:highlight w:val="none"/>
        </w:rPr>
        <w:t>。</w:t>
      </w:r>
    </w:p>
    <w:p>
      <w:pPr>
        <w:pStyle w:val="2"/>
        <w:rPr>
          <w:color w:val="auto"/>
          <w:highlight w:val="none"/>
        </w:rPr>
      </w:pPr>
    </w:p>
    <w:p>
      <w:pPr>
        <w:pStyle w:val="2"/>
        <w:rPr>
          <w:color w:val="auto"/>
          <w:highlight w:val="none"/>
        </w:rPr>
      </w:pPr>
    </w:p>
    <w:p>
      <w:pPr>
        <w:pStyle w:val="2"/>
        <w:rPr>
          <w:color w:val="auto"/>
          <w:highlight w:val="none"/>
        </w:rPr>
        <w:sectPr>
          <w:pgSz w:w="11907" w:h="16840"/>
          <w:pgMar w:top="1440" w:right="1474" w:bottom="1440" w:left="1474" w:header="851" w:footer="992" w:gutter="0"/>
          <w:cols w:space="720" w:num="1"/>
          <w:docGrid w:linePitch="312" w:charSpace="0"/>
        </w:sectPr>
      </w:pPr>
    </w:p>
    <w:p>
      <w:pPr>
        <w:widowControl/>
        <w:spacing w:line="360" w:lineRule="atLeast"/>
        <w:jc w:val="center"/>
        <w:outlineLvl w:val="1"/>
        <w:rPr>
          <w:rFonts w:ascii="宋体" w:hAnsi="宋体"/>
          <w:b/>
          <w:color w:val="auto"/>
          <w:sz w:val="32"/>
          <w:szCs w:val="32"/>
          <w:highlight w:val="none"/>
        </w:rPr>
      </w:pPr>
      <w:bookmarkStart w:id="79" w:name="_Toc217446087"/>
      <w:r>
        <w:rPr>
          <w:rFonts w:hint="eastAsia" w:ascii="宋体" w:hAnsi="宋体"/>
          <w:b/>
          <w:color w:val="auto"/>
          <w:sz w:val="32"/>
          <w:szCs w:val="32"/>
          <w:highlight w:val="none"/>
        </w:rPr>
        <w:t>四、</w:t>
      </w:r>
      <w:bookmarkEnd w:id="79"/>
      <w:r>
        <w:rPr>
          <w:rFonts w:hint="eastAsia" w:ascii="宋体" w:hAnsi="宋体"/>
          <w:b/>
          <w:color w:val="auto"/>
          <w:sz w:val="32"/>
          <w:szCs w:val="32"/>
          <w:highlight w:val="none"/>
        </w:rPr>
        <w:t>供应商基本情况表</w:t>
      </w:r>
    </w:p>
    <w:tbl>
      <w:tblPr>
        <w:tblStyle w:val="37"/>
        <w:tblW w:w="8391" w:type="dxa"/>
        <w:tblInd w:w="-176"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702"/>
        <w:gridCol w:w="953"/>
        <w:gridCol w:w="1239"/>
        <w:gridCol w:w="1247"/>
        <w:gridCol w:w="1320"/>
        <w:gridCol w:w="344"/>
        <w:gridCol w:w="506"/>
        <w:gridCol w:w="108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702"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供应商名称</w:t>
            </w:r>
          </w:p>
        </w:tc>
        <w:tc>
          <w:tcPr>
            <w:tcW w:w="6689" w:type="dxa"/>
            <w:gridSpan w:val="7"/>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702"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注册地址</w:t>
            </w:r>
          </w:p>
        </w:tc>
        <w:tc>
          <w:tcPr>
            <w:tcW w:w="3439" w:type="dxa"/>
            <w:gridSpan w:val="3"/>
            <w:vAlign w:val="center"/>
          </w:tcPr>
          <w:p>
            <w:pPr>
              <w:widowControl/>
              <w:spacing w:line="360" w:lineRule="atLeast"/>
              <w:ind w:firstLine="470" w:firstLineChars="196"/>
              <w:jc w:val="left"/>
              <w:outlineLvl w:val="1"/>
              <w:rPr>
                <w:rFonts w:ascii="宋体" w:hAnsi="宋体"/>
                <w:color w:val="auto"/>
                <w:sz w:val="24"/>
                <w:highlight w:val="none"/>
              </w:rPr>
            </w:pPr>
          </w:p>
        </w:tc>
        <w:tc>
          <w:tcPr>
            <w:tcW w:w="1320"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邮政编码</w:t>
            </w:r>
          </w:p>
        </w:tc>
        <w:tc>
          <w:tcPr>
            <w:tcW w:w="1930" w:type="dxa"/>
            <w:gridSpan w:val="3"/>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702" w:type="dxa"/>
            <w:vMerge w:val="restart"/>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联系方式</w:t>
            </w:r>
          </w:p>
        </w:tc>
        <w:tc>
          <w:tcPr>
            <w:tcW w:w="953"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联系人</w:t>
            </w:r>
          </w:p>
        </w:tc>
        <w:tc>
          <w:tcPr>
            <w:tcW w:w="2486" w:type="dxa"/>
            <w:gridSpan w:val="2"/>
            <w:vAlign w:val="center"/>
          </w:tcPr>
          <w:p>
            <w:pPr>
              <w:widowControl/>
              <w:spacing w:line="360" w:lineRule="atLeast"/>
              <w:ind w:firstLine="470" w:firstLineChars="196"/>
              <w:jc w:val="left"/>
              <w:outlineLvl w:val="1"/>
              <w:rPr>
                <w:rFonts w:ascii="宋体" w:hAnsi="宋体"/>
                <w:color w:val="auto"/>
                <w:sz w:val="24"/>
                <w:highlight w:val="none"/>
              </w:rPr>
            </w:pPr>
          </w:p>
        </w:tc>
        <w:tc>
          <w:tcPr>
            <w:tcW w:w="1320" w:type="dxa"/>
            <w:vAlign w:val="center"/>
          </w:tcPr>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电话</w:t>
            </w:r>
          </w:p>
        </w:tc>
        <w:tc>
          <w:tcPr>
            <w:tcW w:w="1930" w:type="dxa"/>
            <w:gridSpan w:val="3"/>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702" w:type="dxa"/>
            <w:vMerge w:val="continue"/>
            <w:vAlign w:val="center"/>
          </w:tcPr>
          <w:p>
            <w:pPr>
              <w:rPr>
                <w:rFonts w:ascii="宋体" w:hAnsi="宋体"/>
                <w:color w:val="auto"/>
                <w:highlight w:val="none"/>
              </w:rPr>
            </w:pPr>
          </w:p>
        </w:tc>
        <w:tc>
          <w:tcPr>
            <w:tcW w:w="953"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传真</w:t>
            </w:r>
          </w:p>
        </w:tc>
        <w:tc>
          <w:tcPr>
            <w:tcW w:w="2486" w:type="dxa"/>
            <w:gridSpan w:val="2"/>
            <w:vAlign w:val="center"/>
          </w:tcPr>
          <w:p>
            <w:pPr>
              <w:widowControl/>
              <w:spacing w:line="360" w:lineRule="atLeast"/>
              <w:ind w:firstLine="470" w:firstLineChars="196"/>
              <w:jc w:val="left"/>
              <w:outlineLvl w:val="1"/>
              <w:rPr>
                <w:rFonts w:ascii="宋体" w:hAnsi="宋体"/>
                <w:color w:val="auto"/>
                <w:sz w:val="24"/>
                <w:highlight w:val="none"/>
              </w:rPr>
            </w:pPr>
          </w:p>
        </w:tc>
        <w:tc>
          <w:tcPr>
            <w:tcW w:w="1320" w:type="dxa"/>
            <w:vAlign w:val="center"/>
          </w:tcPr>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网址</w:t>
            </w:r>
          </w:p>
        </w:tc>
        <w:tc>
          <w:tcPr>
            <w:tcW w:w="1930" w:type="dxa"/>
            <w:gridSpan w:val="3"/>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702"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组织结构</w:t>
            </w:r>
          </w:p>
        </w:tc>
        <w:tc>
          <w:tcPr>
            <w:tcW w:w="6689" w:type="dxa"/>
            <w:gridSpan w:val="7"/>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702"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法定代表人</w:t>
            </w:r>
          </w:p>
        </w:tc>
        <w:tc>
          <w:tcPr>
            <w:tcW w:w="953"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姓名</w:t>
            </w:r>
          </w:p>
        </w:tc>
        <w:tc>
          <w:tcPr>
            <w:tcW w:w="1239"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247"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技术职称</w:t>
            </w:r>
          </w:p>
        </w:tc>
        <w:tc>
          <w:tcPr>
            <w:tcW w:w="1320"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850" w:type="dxa"/>
            <w:gridSpan w:val="2"/>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电话</w:t>
            </w:r>
          </w:p>
        </w:tc>
        <w:tc>
          <w:tcPr>
            <w:tcW w:w="1080" w:type="dxa"/>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702"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技术负责人</w:t>
            </w:r>
          </w:p>
        </w:tc>
        <w:tc>
          <w:tcPr>
            <w:tcW w:w="953"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姓名</w:t>
            </w:r>
          </w:p>
        </w:tc>
        <w:tc>
          <w:tcPr>
            <w:tcW w:w="1239"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247"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技术职称</w:t>
            </w:r>
          </w:p>
        </w:tc>
        <w:tc>
          <w:tcPr>
            <w:tcW w:w="1320"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850" w:type="dxa"/>
            <w:gridSpan w:val="2"/>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电话</w:t>
            </w:r>
          </w:p>
        </w:tc>
        <w:tc>
          <w:tcPr>
            <w:tcW w:w="1080" w:type="dxa"/>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702"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成立时间</w:t>
            </w:r>
          </w:p>
        </w:tc>
        <w:tc>
          <w:tcPr>
            <w:tcW w:w="2192" w:type="dxa"/>
            <w:gridSpan w:val="2"/>
            <w:vAlign w:val="center"/>
          </w:tcPr>
          <w:p>
            <w:pPr>
              <w:widowControl/>
              <w:spacing w:line="360" w:lineRule="atLeast"/>
              <w:ind w:firstLine="470" w:firstLineChars="196"/>
              <w:jc w:val="left"/>
              <w:outlineLvl w:val="1"/>
              <w:rPr>
                <w:rFonts w:ascii="宋体" w:hAnsi="宋体"/>
                <w:color w:val="auto"/>
                <w:sz w:val="24"/>
                <w:highlight w:val="none"/>
              </w:rPr>
            </w:pPr>
          </w:p>
        </w:tc>
        <w:tc>
          <w:tcPr>
            <w:tcW w:w="4497" w:type="dxa"/>
            <w:gridSpan w:val="5"/>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702"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企业资质等级</w:t>
            </w:r>
          </w:p>
        </w:tc>
        <w:tc>
          <w:tcPr>
            <w:tcW w:w="2192" w:type="dxa"/>
            <w:gridSpan w:val="2"/>
            <w:vAlign w:val="center"/>
          </w:tcPr>
          <w:p>
            <w:pPr>
              <w:widowControl/>
              <w:spacing w:line="360" w:lineRule="atLeast"/>
              <w:ind w:firstLine="470" w:firstLineChars="196"/>
              <w:jc w:val="left"/>
              <w:outlineLvl w:val="1"/>
              <w:rPr>
                <w:rFonts w:ascii="宋体" w:hAnsi="宋体"/>
                <w:color w:val="auto"/>
                <w:sz w:val="24"/>
                <w:highlight w:val="none"/>
              </w:rPr>
            </w:pPr>
          </w:p>
        </w:tc>
        <w:tc>
          <w:tcPr>
            <w:tcW w:w="1247" w:type="dxa"/>
            <w:vMerge w:val="restart"/>
            <w:vAlign w:val="center"/>
          </w:tcPr>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其中</w:t>
            </w:r>
          </w:p>
        </w:tc>
        <w:tc>
          <w:tcPr>
            <w:tcW w:w="1664" w:type="dxa"/>
            <w:gridSpan w:val="2"/>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项目经理</w:t>
            </w:r>
          </w:p>
        </w:tc>
        <w:tc>
          <w:tcPr>
            <w:tcW w:w="1586" w:type="dxa"/>
            <w:gridSpan w:val="2"/>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702"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营业执照号</w:t>
            </w:r>
          </w:p>
        </w:tc>
        <w:tc>
          <w:tcPr>
            <w:tcW w:w="2192" w:type="dxa"/>
            <w:gridSpan w:val="2"/>
            <w:vAlign w:val="center"/>
          </w:tcPr>
          <w:p>
            <w:pPr>
              <w:widowControl/>
              <w:spacing w:line="360" w:lineRule="atLeast"/>
              <w:ind w:firstLine="470" w:firstLineChars="196"/>
              <w:jc w:val="left"/>
              <w:outlineLvl w:val="1"/>
              <w:rPr>
                <w:rFonts w:ascii="宋体" w:hAnsi="宋体"/>
                <w:color w:val="auto"/>
                <w:sz w:val="24"/>
                <w:highlight w:val="none"/>
              </w:rPr>
            </w:pPr>
          </w:p>
        </w:tc>
        <w:tc>
          <w:tcPr>
            <w:tcW w:w="1247" w:type="dxa"/>
            <w:vMerge w:val="continue"/>
            <w:vAlign w:val="center"/>
          </w:tcPr>
          <w:p>
            <w:pPr>
              <w:rPr>
                <w:rFonts w:ascii="宋体" w:hAnsi="宋体"/>
                <w:color w:val="auto"/>
                <w:highlight w:val="none"/>
              </w:rPr>
            </w:pPr>
          </w:p>
        </w:tc>
        <w:tc>
          <w:tcPr>
            <w:tcW w:w="1664" w:type="dxa"/>
            <w:gridSpan w:val="2"/>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高级职称人员</w:t>
            </w:r>
          </w:p>
        </w:tc>
        <w:tc>
          <w:tcPr>
            <w:tcW w:w="1586" w:type="dxa"/>
            <w:gridSpan w:val="2"/>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702"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注册资金</w:t>
            </w:r>
          </w:p>
        </w:tc>
        <w:tc>
          <w:tcPr>
            <w:tcW w:w="2192" w:type="dxa"/>
            <w:gridSpan w:val="2"/>
            <w:vAlign w:val="center"/>
          </w:tcPr>
          <w:p>
            <w:pPr>
              <w:widowControl/>
              <w:spacing w:line="360" w:lineRule="atLeast"/>
              <w:ind w:firstLine="470" w:firstLineChars="196"/>
              <w:jc w:val="left"/>
              <w:outlineLvl w:val="1"/>
              <w:rPr>
                <w:rFonts w:ascii="宋体" w:hAnsi="宋体"/>
                <w:color w:val="auto"/>
                <w:sz w:val="24"/>
                <w:highlight w:val="none"/>
              </w:rPr>
            </w:pPr>
          </w:p>
        </w:tc>
        <w:tc>
          <w:tcPr>
            <w:tcW w:w="1247" w:type="dxa"/>
            <w:vMerge w:val="continue"/>
            <w:vAlign w:val="center"/>
          </w:tcPr>
          <w:p>
            <w:pPr>
              <w:rPr>
                <w:rFonts w:ascii="宋体" w:hAnsi="宋体"/>
                <w:color w:val="auto"/>
                <w:highlight w:val="none"/>
              </w:rPr>
            </w:pPr>
          </w:p>
        </w:tc>
        <w:tc>
          <w:tcPr>
            <w:tcW w:w="1664" w:type="dxa"/>
            <w:gridSpan w:val="2"/>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中级职称人员</w:t>
            </w:r>
          </w:p>
        </w:tc>
        <w:tc>
          <w:tcPr>
            <w:tcW w:w="1586" w:type="dxa"/>
            <w:gridSpan w:val="2"/>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702"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开户银行</w:t>
            </w:r>
          </w:p>
        </w:tc>
        <w:tc>
          <w:tcPr>
            <w:tcW w:w="2192" w:type="dxa"/>
            <w:gridSpan w:val="2"/>
            <w:vAlign w:val="center"/>
          </w:tcPr>
          <w:p>
            <w:pPr>
              <w:widowControl/>
              <w:spacing w:line="360" w:lineRule="atLeast"/>
              <w:ind w:firstLine="470" w:firstLineChars="196"/>
              <w:jc w:val="left"/>
              <w:outlineLvl w:val="1"/>
              <w:rPr>
                <w:rFonts w:ascii="宋体" w:hAnsi="宋体"/>
                <w:color w:val="auto"/>
                <w:sz w:val="24"/>
                <w:highlight w:val="none"/>
              </w:rPr>
            </w:pPr>
          </w:p>
        </w:tc>
        <w:tc>
          <w:tcPr>
            <w:tcW w:w="1247" w:type="dxa"/>
            <w:vMerge w:val="continue"/>
            <w:vAlign w:val="center"/>
          </w:tcPr>
          <w:p>
            <w:pPr>
              <w:rPr>
                <w:rFonts w:ascii="宋体" w:hAnsi="宋体"/>
                <w:color w:val="auto"/>
                <w:highlight w:val="none"/>
              </w:rPr>
            </w:pPr>
          </w:p>
        </w:tc>
        <w:tc>
          <w:tcPr>
            <w:tcW w:w="1664" w:type="dxa"/>
            <w:gridSpan w:val="2"/>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初级职称人员</w:t>
            </w:r>
          </w:p>
        </w:tc>
        <w:tc>
          <w:tcPr>
            <w:tcW w:w="1586" w:type="dxa"/>
            <w:gridSpan w:val="2"/>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702" w:type="dxa"/>
            <w:vAlign w:val="center"/>
          </w:tcPr>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账号</w:t>
            </w:r>
          </w:p>
        </w:tc>
        <w:tc>
          <w:tcPr>
            <w:tcW w:w="2192" w:type="dxa"/>
            <w:gridSpan w:val="2"/>
            <w:vAlign w:val="center"/>
          </w:tcPr>
          <w:p>
            <w:pPr>
              <w:widowControl/>
              <w:spacing w:line="360" w:lineRule="atLeast"/>
              <w:ind w:firstLine="470" w:firstLineChars="196"/>
              <w:jc w:val="left"/>
              <w:outlineLvl w:val="1"/>
              <w:rPr>
                <w:rFonts w:ascii="宋体" w:hAnsi="宋体"/>
                <w:color w:val="auto"/>
                <w:sz w:val="24"/>
                <w:highlight w:val="none"/>
              </w:rPr>
            </w:pPr>
          </w:p>
        </w:tc>
        <w:tc>
          <w:tcPr>
            <w:tcW w:w="1247" w:type="dxa"/>
            <w:vMerge w:val="continue"/>
            <w:vAlign w:val="center"/>
          </w:tcPr>
          <w:p>
            <w:pPr>
              <w:rPr>
                <w:rFonts w:ascii="宋体" w:hAnsi="宋体"/>
                <w:color w:val="auto"/>
                <w:highlight w:val="none"/>
              </w:rPr>
            </w:pPr>
          </w:p>
        </w:tc>
        <w:tc>
          <w:tcPr>
            <w:tcW w:w="1664" w:type="dxa"/>
            <w:gridSpan w:val="2"/>
            <w:vAlign w:val="center"/>
          </w:tcPr>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技工</w:t>
            </w:r>
          </w:p>
        </w:tc>
        <w:tc>
          <w:tcPr>
            <w:tcW w:w="1586" w:type="dxa"/>
            <w:gridSpan w:val="2"/>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442" w:hRule="atLeast"/>
        </w:trPr>
        <w:tc>
          <w:tcPr>
            <w:tcW w:w="1702"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经营范围</w:t>
            </w:r>
          </w:p>
        </w:tc>
        <w:tc>
          <w:tcPr>
            <w:tcW w:w="6689" w:type="dxa"/>
            <w:gridSpan w:val="7"/>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72" w:hRule="atLeast"/>
        </w:trPr>
        <w:tc>
          <w:tcPr>
            <w:tcW w:w="1702" w:type="dxa"/>
          </w:tcPr>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备注</w:t>
            </w:r>
          </w:p>
        </w:tc>
        <w:tc>
          <w:tcPr>
            <w:tcW w:w="6689" w:type="dxa"/>
            <w:gridSpan w:val="7"/>
          </w:tcPr>
          <w:p>
            <w:pPr>
              <w:widowControl/>
              <w:spacing w:line="360" w:lineRule="atLeast"/>
              <w:ind w:firstLine="470" w:firstLineChars="196"/>
              <w:jc w:val="left"/>
              <w:outlineLvl w:val="1"/>
              <w:rPr>
                <w:rFonts w:ascii="宋体" w:hAnsi="宋体"/>
                <w:color w:val="auto"/>
                <w:sz w:val="24"/>
                <w:highlight w:val="none"/>
              </w:rPr>
            </w:pPr>
          </w:p>
        </w:tc>
      </w:tr>
    </w:tbl>
    <w:p>
      <w:pPr>
        <w:widowControl/>
        <w:spacing w:line="360" w:lineRule="atLeast"/>
        <w:ind w:firstLine="470" w:firstLineChars="196"/>
        <w:jc w:val="left"/>
        <w:outlineLvl w:val="1"/>
        <w:rPr>
          <w:rFonts w:ascii="宋体" w:hAnsi="宋体"/>
          <w:color w:val="auto"/>
          <w:sz w:val="24"/>
          <w:highlight w:val="none"/>
        </w:rPr>
      </w:pPr>
    </w:p>
    <w:p>
      <w:pPr>
        <w:widowControl/>
        <w:spacing w:line="360" w:lineRule="atLeast"/>
        <w:ind w:firstLine="470" w:firstLineChars="196"/>
        <w:jc w:val="left"/>
        <w:outlineLvl w:val="1"/>
        <w:rPr>
          <w:rFonts w:ascii="宋体" w:hAnsi="宋体"/>
          <w:color w:val="auto"/>
          <w:sz w:val="24"/>
          <w:highlight w:val="none"/>
        </w:rPr>
      </w:pPr>
    </w:p>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供应商名称：</w:t>
      </w:r>
      <w:r>
        <w:rPr>
          <w:rFonts w:hint="eastAsia" w:ascii="宋体" w:hAnsi="宋体"/>
          <w:b/>
          <w:color w:val="auto"/>
          <w:sz w:val="40"/>
          <w:szCs w:val="48"/>
          <w:highlight w:val="none"/>
          <w:u w:val="single"/>
        </w:rPr>
        <w:t xml:space="preserve">      </w:t>
      </w:r>
      <w:r>
        <w:rPr>
          <w:rFonts w:hint="eastAsia" w:ascii="宋体" w:hAnsi="宋体"/>
          <w:color w:val="auto"/>
          <w:sz w:val="24"/>
          <w:highlight w:val="none"/>
        </w:rPr>
        <w:t>（盖单位电子签章）。</w:t>
      </w:r>
    </w:p>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法定代表人/单位负责人或授权代表（签字或加盖个人电子印章）：</w:t>
      </w:r>
      <w:r>
        <w:rPr>
          <w:rFonts w:hint="eastAsia" w:ascii="宋体" w:hAnsi="宋体"/>
          <w:b/>
          <w:color w:val="auto"/>
          <w:sz w:val="40"/>
          <w:szCs w:val="48"/>
          <w:highlight w:val="none"/>
          <w:u w:val="single"/>
        </w:rPr>
        <w:t xml:space="preserve">      </w:t>
      </w:r>
      <w:r>
        <w:rPr>
          <w:rFonts w:hint="eastAsia" w:ascii="宋体" w:hAnsi="宋体"/>
          <w:color w:val="auto"/>
          <w:sz w:val="24"/>
          <w:highlight w:val="none"/>
        </w:rPr>
        <w:t>。</w:t>
      </w:r>
    </w:p>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日期:</w:t>
      </w:r>
      <w:r>
        <w:rPr>
          <w:rFonts w:hint="eastAsia" w:ascii="宋体" w:hAnsi="宋体"/>
          <w:b/>
          <w:color w:val="auto"/>
          <w:sz w:val="40"/>
          <w:szCs w:val="48"/>
          <w:highlight w:val="none"/>
          <w:u w:val="single"/>
        </w:rPr>
        <w:t xml:space="preserve">      </w:t>
      </w:r>
      <w:r>
        <w:rPr>
          <w:rFonts w:hint="eastAsia" w:ascii="宋体" w:hAnsi="宋体"/>
          <w:color w:val="auto"/>
          <w:sz w:val="24"/>
          <w:highlight w:val="none"/>
        </w:rPr>
        <w:t>。</w:t>
      </w:r>
    </w:p>
    <w:p>
      <w:pPr>
        <w:widowControl/>
        <w:spacing w:line="360" w:lineRule="atLeast"/>
        <w:jc w:val="center"/>
        <w:outlineLvl w:val="1"/>
        <w:rPr>
          <w:rFonts w:ascii="宋体" w:hAnsi="宋体"/>
          <w:b/>
          <w:color w:val="auto"/>
          <w:sz w:val="24"/>
          <w:highlight w:val="none"/>
        </w:rPr>
      </w:pPr>
    </w:p>
    <w:p>
      <w:pPr>
        <w:spacing w:line="360" w:lineRule="auto"/>
        <w:rPr>
          <w:rFonts w:ascii="宋体" w:hAnsi="宋体"/>
          <w:b/>
          <w:color w:val="auto"/>
          <w:sz w:val="32"/>
          <w:szCs w:val="32"/>
          <w:highlight w:val="none"/>
        </w:rPr>
      </w:pPr>
      <w:r>
        <w:rPr>
          <w:rFonts w:hint="eastAsia" w:ascii="宋体" w:hAnsi="宋体"/>
          <w:color w:val="auto"/>
          <w:sz w:val="24"/>
          <w:highlight w:val="none"/>
        </w:rPr>
        <w:br w:type="page"/>
      </w:r>
    </w:p>
    <w:p>
      <w:pPr>
        <w:widowControl/>
        <w:spacing w:line="360" w:lineRule="atLeast"/>
        <w:jc w:val="center"/>
        <w:outlineLvl w:val="1"/>
        <w:rPr>
          <w:rFonts w:ascii="宋体" w:hAnsi="宋体"/>
          <w:b/>
          <w:color w:val="auto"/>
          <w:sz w:val="32"/>
          <w:szCs w:val="32"/>
          <w:highlight w:val="none"/>
        </w:rPr>
      </w:pPr>
      <w:r>
        <w:rPr>
          <w:rFonts w:hint="eastAsia" w:ascii="宋体" w:hAnsi="宋体"/>
          <w:b/>
          <w:color w:val="auto"/>
          <w:sz w:val="32"/>
          <w:szCs w:val="32"/>
          <w:highlight w:val="none"/>
        </w:rPr>
        <w:t>五、中小企业声明函</w:t>
      </w:r>
    </w:p>
    <w:p>
      <w:pPr>
        <w:pStyle w:val="17"/>
        <w:kinsoku w:val="0"/>
        <w:overflowPunct w:val="0"/>
        <w:spacing w:line="419" w:lineRule="exact"/>
        <w:ind w:firstLine="600" w:firstLineChars="250"/>
        <w:rPr>
          <w:rFonts w:ascii="宋体" w:hAnsi="宋体"/>
          <w:color w:val="auto"/>
          <w:sz w:val="24"/>
          <w:highlight w:val="none"/>
          <w:u w:val="single"/>
        </w:rPr>
      </w:pPr>
      <w:bookmarkStart w:id="80" w:name="_Toc413748654"/>
      <w:bookmarkStart w:id="81" w:name="_Toc387147344"/>
      <w:bookmarkStart w:id="82" w:name="_Toc417911732"/>
      <w:bookmarkStart w:id="83" w:name="_Toc387658050"/>
      <w:bookmarkStart w:id="84" w:name="_Toc419811733"/>
      <w:r>
        <w:rPr>
          <w:rFonts w:hint="eastAsia" w:ascii="宋体" w:hAnsi="宋体"/>
          <w:color w:val="auto"/>
          <w:sz w:val="24"/>
          <w:highlight w:val="none"/>
        </w:rPr>
        <w:t>本</w:t>
      </w:r>
      <w:r>
        <w:rPr>
          <w:rFonts w:hint="eastAsia" w:ascii="宋体" w:hAnsi="宋体"/>
          <w:color w:val="auto"/>
          <w:spacing w:val="2"/>
          <w:sz w:val="24"/>
          <w:highlight w:val="none"/>
        </w:rPr>
        <w:t>公</w:t>
      </w:r>
      <w:r>
        <w:rPr>
          <w:rFonts w:hint="eastAsia" w:ascii="宋体" w:hAnsi="宋体"/>
          <w:color w:val="auto"/>
          <w:spacing w:val="-6"/>
          <w:sz w:val="24"/>
          <w:highlight w:val="none"/>
        </w:rPr>
        <w:t>司</w:t>
      </w:r>
      <w:r>
        <w:rPr>
          <w:rFonts w:hint="eastAsia" w:ascii="宋体" w:hAnsi="宋体"/>
          <w:color w:val="auto"/>
          <w:sz w:val="24"/>
          <w:highlight w:val="none"/>
        </w:rPr>
        <w:t>（联</w:t>
      </w:r>
      <w:r>
        <w:rPr>
          <w:rFonts w:hint="eastAsia" w:ascii="宋体" w:hAnsi="宋体"/>
          <w:color w:val="auto"/>
          <w:spacing w:val="2"/>
          <w:sz w:val="24"/>
          <w:highlight w:val="none"/>
        </w:rPr>
        <w:t>合体</w:t>
      </w:r>
      <w:r>
        <w:rPr>
          <w:rFonts w:hint="eastAsia" w:ascii="宋体" w:hAnsi="宋体"/>
          <w:color w:val="auto"/>
          <w:spacing w:val="-6"/>
          <w:sz w:val="24"/>
          <w:highlight w:val="none"/>
        </w:rPr>
        <w:t>）</w:t>
      </w:r>
      <w:r>
        <w:rPr>
          <w:rFonts w:hint="eastAsia" w:ascii="宋体" w:hAnsi="宋体"/>
          <w:color w:val="auto"/>
          <w:sz w:val="24"/>
          <w:highlight w:val="none"/>
        </w:rPr>
        <w:t>郑</w:t>
      </w:r>
      <w:r>
        <w:rPr>
          <w:rFonts w:hint="eastAsia" w:ascii="宋体" w:hAnsi="宋体"/>
          <w:color w:val="auto"/>
          <w:spacing w:val="2"/>
          <w:sz w:val="24"/>
          <w:highlight w:val="none"/>
        </w:rPr>
        <w:t>重</w:t>
      </w:r>
      <w:r>
        <w:rPr>
          <w:rFonts w:hint="eastAsia" w:ascii="宋体" w:hAnsi="宋体"/>
          <w:color w:val="auto"/>
          <w:sz w:val="24"/>
          <w:highlight w:val="none"/>
        </w:rPr>
        <w:t>声</w:t>
      </w:r>
      <w:r>
        <w:rPr>
          <w:rFonts w:hint="eastAsia" w:ascii="宋体" w:hAnsi="宋体"/>
          <w:color w:val="auto"/>
          <w:spacing w:val="2"/>
          <w:sz w:val="24"/>
          <w:highlight w:val="none"/>
        </w:rPr>
        <w:t>明</w:t>
      </w:r>
      <w:r>
        <w:rPr>
          <w:rFonts w:hint="eastAsia" w:ascii="宋体" w:hAnsi="宋体"/>
          <w:color w:val="auto"/>
          <w:spacing w:val="-3"/>
          <w:sz w:val="24"/>
          <w:highlight w:val="none"/>
        </w:rPr>
        <w:t>，</w:t>
      </w:r>
      <w:r>
        <w:rPr>
          <w:rFonts w:hint="eastAsia" w:ascii="宋体" w:hAnsi="宋体"/>
          <w:color w:val="auto"/>
          <w:sz w:val="24"/>
          <w:highlight w:val="none"/>
        </w:rPr>
        <w:t>根</w:t>
      </w:r>
      <w:r>
        <w:rPr>
          <w:rFonts w:hint="eastAsia" w:ascii="宋体" w:hAnsi="宋体"/>
          <w:color w:val="auto"/>
          <w:spacing w:val="2"/>
          <w:sz w:val="24"/>
          <w:highlight w:val="none"/>
        </w:rPr>
        <w:t>据《政府采购促进中小企业发展管理办法》（财库﹝</w:t>
      </w:r>
      <w:r>
        <w:rPr>
          <w:rFonts w:ascii="宋体" w:hAnsi="宋体"/>
          <w:color w:val="auto"/>
          <w:spacing w:val="2"/>
          <w:sz w:val="24"/>
          <w:highlight w:val="none"/>
        </w:rPr>
        <w:t>2020</w:t>
      </w:r>
      <w:r>
        <w:rPr>
          <w:rFonts w:hint="eastAsia" w:ascii="宋体" w:hAnsi="宋体"/>
          <w:color w:val="auto"/>
          <w:spacing w:val="2"/>
          <w:sz w:val="24"/>
          <w:highlight w:val="none"/>
        </w:rPr>
        <w:t>﹞</w:t>
      </w:r>
      <w:r>
        <w:rPr>
          <w:rFonts w:ascii="宋体" w:hAnsi="宋体"/>
          <w:color w:val="auto"/>
          <w:spacing w:val="2"/>
          <w:sz w:val="24"/>
          <w:highlight w:val="none"/>
        </w:rPr>
        <w:t>46</w:t>
      </w:r>
      <w:r>
        <w:rPr>
          <w:rFonts w:hint="eastAsia" w:ascii="宋体" w:hAnsi="宋体"/>
          <w:color w:val="auto"/>
          <w:spacing w:val="2"/>
          <w:sz w:val="24"/>
          <w:highlight w:val="none"/>
        </w:rPr>
        <w:t>号）的规定，本公司（联合体）</w:t>
      </w:r>
      <w:r>
        <w:rPr>
          <w:rFonts w:hint="eastAsia" w:ascii="宋体" w:hAnsi="宋体"/>
          <w:color w:val="auto"/>
          <w:sz w:val="24"/>
          <w:highlight w:val="none"/>
        </w:rPr>
        <w:t>参</w:t>
      </w:r>
      <w:r>
        <w:rPr>
          <w:rFonts w:hint="eastAsia" w:ascii="宋体" w:hAnsi="宋体"/>
          <w:color w:val="auto"/>
          <w:spacing w:val="-16"/>
          <w:sz w:val="24"/>
          <w:highlight w:val="none"/>
        </w:rPr>
        <w:t>加</w:t>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hint="eastAsia" w:ascii="宋体" w:hAnsi="宋体"/>
          <w:color w:val="auto"/>
          <w:sz w:val="24"/>
          <w:highlight w:val="none"/>
          <w:u w:val="single"/>
        </w:rPr>
        <w:t>（单位名称）</w:t>
      </w:r>
      <w:r>
        <w:rPr>
          <w:rFonts w:hint="eastAsia" w:ascii="宋体" w:hAnsi="宋体"/>
          <w:color w:val="auto"/>
          <w:spacing w:val="-16"/>
          <w:sz w:val="24"/>
          <w:highlight w:val="none"/>
        </w:rPr>
        <w:t>的</w:t>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hint="eastAsia" w:ascii="宋体" w:hAnsi="宋体"/>
          <w:color w:val="auto"/>
          <w:sz w:val="24"/>
          <w:highlight w:val="none"/>
          <w:u w:val="single"/>
        </w:rPr>
        <w:t>（项目名称）</w:t>
      </w:r>
      <w:r>
        <w:rPr>
          <w:rFonts w:hint="eastAsia" w:ascii="宋体" w:hAnsi="宋体"/>
          <w:color w:val="auto"/>
          <w:sz w:val="24"/>
          <w:highlight w:val="none"/>
        </w:rPr>
        <w:t>采</w:t>
      </w:r>
      <w:r>
        <w:rPr>
          <w:rFonts w:hint="eastAsia" w:ascii="宋体" w:hAnsi="宋体"/>
          <w:color w:val="auto"/>
          <w:spacing w:val="2"/>
          <w:sz w:val="24"/>
          <w:highlight w:val="none"/>
        </w:rPr>
        <w:t>购</w:t>
      </w:r>
      <w:r>
        <w:rPr>
          <w:rFonts w:hint="eastAsia" w:ascii="宋体" w:hAnsi="宋体"/>
          <w:color w:val="auto"/>
          <w:sz w:val="24"/>
          <w:highlight w:val="none"/>
        </w:rPr>
        <w:t>活</w:t>
      </w:r>
      <w:r>
        <w:rPr>
          <w:rFonts w:hint="eastAsia" w:ascii="宋体" w:hAnsi="宋体"/>
          <w:color w:val="auto"/>
          <w:spacing w:val="2"/>
          <w:sz w:val="24"/>
          <w:highlight w:val="none"/>
        </w:rPr>
        <w:t>动</w:t>
      </w:r>
      <w:r>
        <w:rPr>
          <w:rFonts w:hint="eastAsia" w:ascii="宋体" w:hAnsi="宋体"/>
          <w:color w:val="auto"/>
          <w:spacing w:val="-3"/>
          <w:sz w:val="24"/>
          <w:highlight w:val="none"/>
        </w:rPr>
        <w:t>，服务全部由符合政策要求的中小企业承接</w:t>
      </w:r>
      <w:r>
        <w:rPr>
          <w:rFonts w:hint="eastAsia" w:ascii="宋体" w:hAnsi="宋体"/>
          <w:color w:val="auto"/>
          <w:spacing w:val="13"/>
          <w:w w:val="95"/>
          <w:sz w:val="24"/>
          <w:highlight w:val="none"/>
        </w:rPr>
        <w:t>。</w:t>
      </w:r>
      <w:r>
        <w:rPr>
          <w:rFonts w:hint="eastAsia" w:ascii="宋体" w:hAnsi="宋体"/>
          <w:color w:val="auto"/>
          <w:sz w:val="24"/>
          <w:highlight w:val="none"/>
        </w:rPr>
        <w:t>相关企业（含联合体中的中小企业、签订分包意向协议的中小企业）的具体情况如下：</w:t>
      </w:r>
    </w:p>
    <w:p>
      <w:pPr>
        <w:pStyle w:val="17"/>
        <w:kinsoku w:val="0"/>
        <w:overflowPunct w:val="0"/>
        <w:spacing w:line="419" w:lineRule="exact"/>
        <w:ind w:firstLine="456" w:firstLineChars="200"/>
        <w:rPr>
          <w:rFonts w:ascii="宋体" w:hAnsi="宋体"/>
          <w:color w:val="auto"/>
          <w:sz w:val="24"/>
          <w:highlight w:val="none"/>
        </w:rPr>
      </w:pPr>
      <w:r>
        <w:rPr>
          <w:rFonts w:ascii="宋体" w:hAnsi="宋体"/>
          <w:color w:val="auto"/>
          <w:w w:val="95"/>
          <w:sz w:val="24"/>
          <w:highlight w:val="none"/>
        </w:rPr>
        <w:t>1</w:t>
      </w:r>
      <w:r>
        <w:rPr>
          <w:rFonts w:ascii="宋体" w:hAnsi="宋体"/>
          <w:color w:val="auto"/>
          <w:sz w:val="24"/>
          <w:highlight w:val="none"/>
        </w:rPr>
        <w:t>.</w:t>
      </w:r>
      <w:r>
        <w:rPr>
          <w:rFonts w:ascii="宋体" w:hAnsi="宋体"/>
          <w:color w:val="auto"/>
          <w:sz w:val="24"/>
          <w:highlight w:val="none"/>
          <w:u w:val="single"/>
        </w:rPr>
        <w:tab/>
      </w:r>
      <w:r>
        <w:rPr>
          <w:rFonts w:ascii="宋体" w:hAnsi="宋体"/>
          <w:color w:val="auto"/>
          <w:sz w:val="24"/>
          <w:highlight w:val="none"/>
          <w:u w:val="single"/>
        </w:rPr>
        <w:tab/>
      </w:r>
      <w:r>
        <w:rPr>
          <w:rFonts w:hint="eastAsia" w:ascii="宋体" w:hAnsi="宋体"/>
          <w:color w:val="auto"/>
          <w:sz w:val="24"/>
          <w:highlight w:val="none"/>
          <w:u w:val="single"/>
        </w:rPr>
        <w:t>（标的名称），属于</w:t>
      </w:r>
      <w:r>
        <w:rPr>
          <w:rFonts w:ascii="宋体" w:hAnsi="宋体"/>
          <w:color w:val="auto"/>
          <w:sz w:val="24"/>
          <w:highlight w:val="none"/>
          <w:u w:val="single"/>
        </w:rPr>
        <w:tab/>
      </w:r>
      <w:r>
        <w:rPr>
          <w:rFonts w:ascii="宋体" w:hAnsi="宋体"/>
          <w:color w:val="auto"/>
          <w:sz w:val="24"/>
          <w:highlight w:val="none"/>
          <w:u w:val="single"/>
        </w:rPr>
        <w:tab/>
      </w:r>
      <w:r>
        <w:rPr>
          <w:rFonts w:hint="eastAsia" w:ascii="宋体" w:hAnsi="宋体"/>
          <w:color w:val="auto"/>
          <w:sz w:val="24"/>
          <w:highlight w:val="none"/>
          <w:u w:val="single"/>
        </w:rPr>
        <w:t>（采购文件中明确的所属行业）</w:t>
      </w:r>
      <w:r>
        <w:rPr>
          <w:rFonts w:hint="eastAsia" w:ascii="宋体" w:hAnsi="宋体"/>
          <w:color w:val="auto"/>
          <w:sz w:val="24"/>
          <w:highlight w:val="none"/>
        </w:rPr>
        <w:t>；承建（承接）企业为</w:t>
      </w:r>
      <w:r>
        <w:rPr>
          <w:rFonts w:ascii="宋体" w:hAnsi="宋体"/>
          <w:color w:val="auto"/>
          <w:sz w:val="24"/>
          <w:highlight w:val="none"/>
          <w:u w:val="single"/>
        </w:rPr>
        <w:tab/>
      </w:r>
      <w:r>
        <w:rPr>
          <w:rFonts w:ascii="宋体" w:hAnsi="宋体"/>
          <w:color w:val="auto"/>
          <w:sz w:val="24"/>
          <w:highlight w:val="none"/>
          <w:u w:val="single"/>
        </w:rPr>
        <w:tab/>
      </w:r>
      <w:r>
        <w:rPr>
          <w:rFonts w:hint="eastAsia" w:ascii="宋体" w:hAnsi="宋体"/>
          <w:color w:val="auto"/>
          <w:sz w:val="24"/>
          <w:highlight w:val="none"/>
          <w:u w:val="single"/>
        </w:rPr>
        <w:t>（企业名称）</w:t>
      </w:r>
      <w:r>
        <w:rPr>
          <w:rFonts w:hint="eastAsia" w:ascii="宋体" w:hAnsi="宋体"/>
          <w:color w:val="auto"/>
          <w:sz w:val="24"/>
          <w:highlight w:val="none"/>
        </w:rPr>
        <w:t>，从业人员</w:t>
      </w:r>
      <w:r>
        <w:rPr>
          <w:rFonts w:ascii="宋体" w:hAnsi="宋体"/>
          <w:color w:val="auto"/>
          <w:sz w:val="24"/>
          <w:highlight w:val="none"/>
          <w:u w:val="single"/>
        </w:rPr>
        <w:tab/>
      </w:r>
      <w:r>
        <w:rPr>
          <w:rFonts w:hint="eastAsia" w:ascii="宋体" w:hAnsi="宋体"/>
          <w:color w:val="auto"/>
          <w:sz w:val="24"/>
          <w:highlight w:val="none"/>
        </w:rPr>
        <w:t>人，营业收入为</w:t>
      </w:r>
      <w:r>
        <w:rPr>
          <w:rFonts w:ascii="宋体" w:hAnsi="宋体"/>
          <w:color w:val="auto"/>
          <w:sz w:val="24"/>
          <w:highlight w:val="none"/>
          <w:u w:val="single"/>
        </w:rPr>
        <w:tab/>
      </w:r>
      <w:r>
        <w:rPr>
          <w:rFonts w:ascii="宋体" w:hAnsi="宋体"/>
          <w:color w:val="auto"/>
          <w:sz w:val="24"/>
          <w:highlight w:val="none"/>
          <w:u w:val="single"/>
        </w:rPr>
        <w:tab/>
      </w:r>
      <w:r>
        <w:rPr>
          <w:rFonts w:hint="eastAsia" w:ascii="宋体" w:hAnsi="宋体"/>
          <w:color w:val="auto"/>
          <w:sz w:val="24"/>
          <w:highlight w:val="none"/>
        </w:rPr>
        <w:t>万元，资产总额为</w:t>
      </w:r>
      <w:r>
        <w:rPr>
          <w:rFonts w:ascii="宋体" w:hAnsi="宋体"/>
          <w:color w:val="auto"/>
          <w:sz w:val="24"/>
          <w:highlight w:val="none"/>
          <w:u w:val="single"/>
        </w:rPr>
        <w:tab/>
      </w:r>
      <w:r>
        <w:rPr>
          <w:rFonts w:hint="eastAsia" w:ascii="宋体" w:hAnsi="宋体"/>
          <w:color w:val="auto"/>
          <w:sz w:val="24"/>
          <w:highlight w:val="none"/>
        </w:rPr>
        <w:t>万元，属于</w:t>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hint="eastAsia" w:ascii="宋体" w:hAnsi="宋体"/>
          <w:color w:val="auto"/>
          <w:sz w:val="24"/>
          <w:highlight w:val="none"/>
          <w:u w:val="single"/>
        </w:rPr>
        <w:t>（中型企业、小</w:t>
      </w:r>
      <w:r>
        <w:rPr>
          <w:rFonts w:ascii="宋体" w:hAnsi="宋体"/>
          <w:color w:val="auto"/>
          <w:sz w:val="24"/>
          <w:highlight w:val="none"/>
          <w:u w:val="single"/>
        </w:rPr>
        <w:t xml:space="preserve"> </w:t>
      </w:r>
      <w:r>
        <w:rPr>
          <w:rFonts w:hint="eastAsia" w:ascii="宋体" w:hAnsi="宋体"/>
          <w:color w:val="auto"/>
          <w:sz w:val="24"/>
          <w:highlight w:val="none"/>
          <w:u w:val="single"/>
        </w:rPr>
        <w:t>型企业、微型企业）</w:t>
      </w:r>
      <w:r>
        <w:rPr>
          <w:rFonts w:hint="eastAsia" w:ascii="宋体" w:hAnsi="宋体"/>
          <w:color w:val="auto"/>
          <w:sz w:val="24"/>
          <w:highlight w:val="none"/>
        </w:rPr>
        <w:t>；</w:t>
      </w:r>
    </w:p>
    <w:p>
      <w:pPr>
        <w:pStyle w:val="17"/>
        <w:kinsoku w:val="0"/>
        <w:overflowPunct w:val="0"/>
        <w:spacing w:line="419" w:lineRule="exact"/>
        <w:ind w:firstLine="480" w:firstLineChars="200"/>
        <w:rPr>
          <w:rFonts w:ascii="宋体" w:hAnsi="宋体"/>
          <w:color w:val="auto"/>
          <w:sz w:val="24"/>
          <w:highlight w:val="none"/>
        </w:rPr>
      </w:pPr>
      <w:r>
        <w:rPr>
          <w:rFonts w:ascii="宋体" w:hAnsi="宋体"/>
          <w:color w:val="auto"/>
          <w:sz w:val="24"/>
          <w:highlight w:val="none"/>
        </w:rPr>
        <w:t>2.</w:t>
      </w:r>
      <w:r>
        <w:rPr>
          <w:rFonts w:ascii="宋体" w:hAnsi="宋体"/>
          <w:color w:val="auto"/>
          <w:sz w:val="24"/>
          <w:highlight w:val="none"/>
          <w:u w:val="single"/>
        </w:rPr>
        <w:t xml:space="preserve"> </w:t>
      </w:r>
      <w:r>
        <w:rPr>
          <w:rFonts w:ascii="宋体" w:hAnsi="宋体"/>
          <w:color w:val="auto"/>
          <w:sz w:val="24"/>
          <w:highlight w:val="none"/>
          <w:u w:val="single"/>
        </w:rPr>
        <w:tab/>
      </w:r>
      <w:r>
        <w:rPr>
          <w:rFonts w:ascii="宋体" w:hAnsi="宋体"/>
          <w:color w:val="auto"/>
          <w:sz w:val="24"/>
          <w:highlight w:val="none"/>
          <w:u w:val="single"/>
        </w:rPr>
        <w:tab/>
      </w:r>
      <w:r>
        <w:rPr>
          <w:rFonts w:hint="eastAsia" w:ascii="宋体" w:hAnsi="宋体"/>
          <w:color w:val="auto"/>
          <w:sz w:val="24"/>
          <w:highlight w:val="none"/>
          <w:u w:val="single"/>
        </w:rPr>
        <w:t>（标的名称）</w:t>
      </w:r>
      <w:r>
        <w:rPr>
          <w:rFonts w:hint="eastAsia" w:ascii="宋体" w:hAnsi="宋体"/>
          <w:color w:val="auto"/>
          <w:sz w:val="24"/>
          <w:highlight w:val="none"/>
        </w:rPr>
        <w:t>，属于</w:t>
      </w:r>
      <w:r>
        <w:rPr>
          <w:rFonts w:ascii="宋体" w:hAnsi="宋体"/>
          <w:color w:val="auto"/>
          <w:sz w:val="24"/>
          <w:highlight w:val="none"/>
          <w:u w:val="single"/>
        </w:rPr>
        <w:tab/>
      </w:r>
      <w:r>
        <w:rPr>
          <w:rFonts w:ascii="宋体" w:hAnsi="宋体"/>
          <w:color w:val="auto"/>
          <w:sz w:val="24"/>
          <w:highlight w:val="none"/>
          <w:u w:val="single"/>
        </w:rPr>
        <w:tab/>
      </w:r>
      <w:r>
        <w:rPr>
          <w:rFonts w:hint="eastAsia" w:ascii="宋体" w:hAnsi="宋体"/>
          <w:color w:val="auto"/>
          <w:sz w:val="24"/>
          <w:highlight w:val="none"/>
          <w:u w:val="single"/>
        </w:rPr>
        <w:t>（采购文件中明确的所属行业）</w:t>
      </w:r>
      <w:r>
        <w:rPr>
          <w:rFonts w:hint="eastAsia" w:ascii="宋体" w:hAnsi="宋体"/>
          <w:color w:val="auto"/>
          <w:sz w:val="24"/>
          <w:highlight w:val="none"/>
        </w:rPr>
        <w:t>；承建（承接）企业为</w:t>
      </w:r>
      <w:r>
        <w:rPr>
          <w:rFonts w:ascii="宋体" w:hAnsi="宋体"/>
          <w:color w:val="auto"/>
          <w:sz w:val="24"/>
          <w:highlight w:val="none"/>
          <w:u w:val="single"/>
        </w:rPr>
        <w:tab/>
      </w:r>
      <w:r>
        <w:rPr>
          <w:rFonts w:ascii="宋体" w:hAnsi="宋体"/>
          <w:color w:val="auto"/>
          <w:sz w:val="24"/>
          <w:highlight w:val="none"/>
          <w:u w:val="single"/>
        </w:rPr>
        <w:tab/>
      </w:r>
      <w:r>
        <w:rPr>
          <w:rFonts w:hint="eastAsia" w:ascii="宋体" w:hAnsi="宋体"/>
          <w:color w:val="auto"/>
          <w:sz w:val="24"/>
          <w:highlight w:val="none"/>
          <w:u w:val="single"/>
        </w:rPr>
        <w:t>（企业名称</w:t>
      </w:r>
      <w:r>
        <w:rPr>
          <w:rFonts w:hint="eastAsia" w:ascii="宋体" w:hAnsi="宋体"/>
          <w:color w:val="auto"/>
          <w:sz w:val="24"/>
          <w:highlight w:val="none"/>
        </w:rPr>
        <w:t>），从业人员</w:t>
      </w:r>
      <w:r>
        <w:rPr>
          <w:rFonts w:ascii="宋体" w:hAnsi="宋体"/>
          <w:color w:val="auto"/>
          <w:sz w:val="24"/>
          <w:highlight w:val="none"/>
          <w:u w:val="single"/>
        </w:rPr>
        <w:tab/>
      </w:r>
      <w:r>
        <w:rPr>
          <w:rFonts w:hint="eastAsia" w:ascii="宋体" w:hAnsi="宋体"/>
          <w:color w:val="auto"/>
          <w:sz w:val="24"/>
          <w:highlight w:val="none"/>
        </w:rPr>
        <w:t>人，营业收入为</w:t>
      </w:r>
      <w:r>
        <w:rPr>
          <w:rFonts w:ascii="宋体" w:hAnsi="宋体"/>
          <w:color w:val="auto"/>
          <w:sz w:val="24"/>
          <w:highlight w:val="none"/>
          <w:u w:val="single"/>
        </w:rPr>
        <w:tab/>
      </w:r>
      <w:r>
        <w:rPr>
          <w:rFonts w:ascii="宋体" w:hAnsi="宋体"/>
          <w:color w:val="auto"/>
          <w:sz w:val="24"/>
          <w:highlight w:val="none"/>
          <w:u w:val="single"/>
        </w:rPr>
        <w:tab/>
      </w:r>
      <w:r>
        <w:rPr>
          <w:rFonts w:hint="eastAsia" w:ascii="宋体" w:hAnsi="宋体"/>
          <w:color w:val="auto"/>
          <w:sz w:val="24"/>
          <w:highlight w:val="none"/>
        </w:rPr>
        <w:t>万元，资产总额为</w:t>
      </w:r>
      <w:r>
        <w:rPr>
          <w:rFonts w:ascii="宋体" w:hAnsi="宋体"/>
          <w:color w:val="auto"/>
          <w:sz w:val="24"/>
          <w:highlight w:val="none"/>
          <w:u w:val="single"/>
        </w:rPr>
        <w:tab/>
      </w:r>
      <w:r>
        <w:rPr>
          <w:rFonts w:hint="eastAsia" w:ascii="宋体" w:hAnsi="宋体"/>
          <w:color w:val="auto"/>
          <w:sz w:val="24"/>
          <w:highlight w:val="none"/>
        </w:rPr>
        <w:t>万元，属于</w:t>
      </w:r>
      <w:r>
        <w:rPr>
          <w:rFonts w:ascii="宋体" w:hAnsi="宋体"/>
          <w:color w:val="auto"/>
          <w:sz w:val="24"/>
          <w:highlight w:val="none"/>
          <w:u w:val="single"/>
        </w:rPr>
        <w:tab/>
      </w:r>
      <w:r>
        <w:rPr>
          <w:rFonts w:ascii="宋体" w:hAnsi="宋体"/>
          <w:color w:val="auto"/>
          <w:sz w:val="24"/>
          <w:highlight w:val="none"/>
          <w:u w:val="single"/>
        </w:rPr>
        <w:tab/>
      </w:r>
      <w:r>
        <w:rPr>
          <w:rFonts w:hint="eastAsia" w:ascii="宋体" w:hAnsi="宋体"/>
          <w:color w:val="auto"/>
          <w:sz w:val="24"/>
          <w:highlight w:val="none"/>
          <w:u w:val="single"/>
        </w:rPr>
        <w:t>（中型企业、小</w:t>
      </w:r>
      <w:r>
        <w:rPr>
          <w:rFonts w:ascii="宋体" w:hAnsi="宋体"/>
          <w:color w:val="auto"/>
          <w:sz w:val="24"/>
          <w:highlight w:val="none"/>
          <w:u w:val="single"/>
        </w:rPr>
        <w:t xml:space="preserve"> </w:t>
      </w:r>
      <w:r>
        <w:rPr>
          <w:rFonts w:hint="eastAsia" w:ascii="宋体" w:hAnsi="宋体"/>
          <w:color w:val="auto"/>
          <w:sz w:val="24"/>
          <w:highlight w:val="none"/>
          <w:u w:val="single"/>
        </w:rPr>
        <w:t>型企业、微型企业）</w:t>
      </w:r>
      <w:r>
        <w:rPr>
          <w:rFonts w:hint="eastAsia" w:ascii="宋体" w:hAnsi="宋体"/>
          <w:color w:val="auto"/>
          <w:sz w:val="24"/>
          <w:highlight w:val="none"/>
        </w:rPr>
        <w:t>；</w:t>
      </w:r>
    </w:p>
    <w:p>
      <w:pPr>
        <w:pStyle w:val="17"/>
        <w:kinsoku w:val="0"/>
        <w:overflowPunct w:val="0"/>
        <w:spacing w:line="419" w:lineRule="exact"/>
        <w:ind w:firstLine="480" w:firstLineChars="200"/>
        <w:rPr>
          <w:rFonts w:ascii="宋体" w:hAnsi="宋体"/>
          <w:color w:val="auto"/>
          <w:sz w:val="24"/>
          <w:highlight w:val="none"/>
        </w:rPr>
      </w:pPr>
      <w:r>
        <w:rPr>
          <w:rFonts w:hint="eastAsia" w:ascii="宋体" w:hAnsi="宋体"/>
          <w:color w:val="auto"/>
          <w:sz w:val="24"/>
          <w:highlight w:val="none"/>
        </w:rPr>
        <w:t>……</w:t>
      </w:r>
    </w:p>
    <w:p>
      <w:pPr>
        <w:pStyle w:val="17"/>
        <w:kinsoku w:val="0"/>
        <w:overflowPunct w:val="0"/>
        <w:spacing w:line="419" w:lineRule="exact"/>
        <w:ind w:firstLine="480" w:firstLineChars="200"/>
        <w:rPr>
          <w:rFonts w:ascii="宋体" w:hAnsi="宋体"/>
          <w:color w:val="auto"/>
          <w:sz w:val="24"/>
          <w:highlight w:val="none"/>
        </w:rPr>
      </w:pPr>
      <w:r>
        <w:rPr>
          <w:rFonts w:hint="eastAsia" w:ascii="宋体" w:hAnsi="宋体"/>
          <w:color w:val="auto"/>
          <w:sz w:val="24"/>
          <w:highlight w:val="none"/>
        </w:rPr>
        <w:t>以上企业，不属于大企业的分支机构，不存在控股股东为大企业的情形，也不存在与大企业的负责人为同一人的情形。</w:t>
      </w:r>
    </w:p>
    <w:p>
      <w:pPr>
        <w:pStyle w:val="17"/>
        <w:kinsoku w:val="0"/>
        <w:overflowPunct w:val="0"/>
        <w:spacing w:line="419" w:lineRule="exact"/>
        <w:ind w:firstLine="480" w:firstLineChars="200"/>
        <w:rPr>
          <w:rFonts w:ascii="宋体" w:hAnsi="宋体"/>
          <w:color w:val="auto"/>
          <w:sz w:val="24"/>
          <w:highlight w:val="none"/>
          <w:u w:val="single"/>
        </w:rPr>
      </w:pPr>
      <w:r>
        <w:rPr>
          <w:rFonts w:hint="eastAsia" w:ascii="宋体" w:hAnsi="宋体"/>
          <w:color w:val="auto"/>
          <w:sz w:val="24"/>
          <w:highlight w:val="none"/>
        </w:rPr>
        <w:t>本企业对上述声明内容的真实性负责。如有虚假，将依</w:t>
      </w:r>
      <w:r>
        <w:rPr>
          <w:rFonts w:ascii="宋体" w:hAnsi="宋体"/>
          <w:color w:val="auto"/>
          <w:sz w:val="24"/>
          <w:highlight w:val="none"/>
        </w:rPr>
        <w:t xml:space="preserve"> </w:t>
      </w:r>
      <w:r>
        <w:rPr>
          <w:rFonts w:hint="eastAsia" w:ascii="宋体" w:hAnsi="宋体"/>
          <w:color w:val="auto"/>
          <w:sz w:val="24"/>
          <w:highlight w:val="none"/>
        </w:rPr>
        <w:t>法承担相应责任。</w:t>
      </w:r>
    </w:p>
    <w:p>
      <w:pPr>
        <w:spacing w:line="360" w:lineRule="auto"/>
        <w:ind w:firstLine="480" w:firstLineChars="200"/>
        <w:rPr>
          <w:rFonts w:ascii="宋体" w:hAnsi="宋体"/>
          <w:color w:val="auto"/>
          <w:sz w:val="24"/>
          <w:highlight w:val="none"/>
        </w:rPr>
      </w:pPr>
    </w:p>
    <w:p>
      <w:pPr>
        <w:pStyle w:val="17"/>
        <w:kinsoku w:val="0"/>
        <w:overflowPunct w:val="0"/>
        <w:spacing w:line="419" w:lineRule="exact"/>
        <w:ind w:firstLine="480" w:firstLineChars="200"/>
        <w:rPr>
          <w:rFonts w:ascii="宋体" w:hAnsi="宋体"/>
          <w:color w:val="auto"/>
          <w:sz w:val="24"/>
          <w:highlight w:val="none"/>
        </w:rPr>
      </w:pPr>
      <w:r>
        <w:rPr>
          <w:rFonts w:hint="eastAsia" w:ascii="宋体" w:hAnsi="宋体"/>
          <w:color w:val="auto"/>
          <w:sz w:val="24"/>
          <w:highlight w:val="none"/>
        </w:rPr>
        <w:t>企业名称（盖单位电子签章）：_________________</w:t>
      </w:r>
    </w:p>
    <w:p>
      <w:pPr>
        <w:pStyle w:val="17"/>
        <w:kinsoku w:val="0"/>
        <w:overflowPunct w:val="0"/>
        <w:spacing w:line="419" w:lineRule="exact"/>
        <w:ind w:firstLine="480" w:firstLineChars="200"/>
        <w:rPr>
          <w:rFonts w:ascii="宋体" w:hAnsi="宋体"/>
          <w:color w:val="auto"/>
          <w:sz w:val="24"/>
          <w:highlight w:val="none"/>
        </w:rPr>
      </w:pPr>
      <w:r>
        <w:rPr>
          <w:rFonts w:hint="eastAsia" w:ascii="宋体" w:hAnsi="宋体"/>
          <w:color w:val="auto"/>
          <w:sz w:val="24"/>
          <w:highlight w:val="none"/>
        </w:rPr>
        <w:t>日期：_________________</w:t>
      </w:r>
    </w:p>
    <w:p>
      <w:pPr>
        <w:pStyle w:val="2"/>
        <w:rPr>
          <w:color w:val="auto"/>
          <w:highlight w:val="none"/>
        </w:rPr>
      </w:pPr>
    </w:p>
    <w:p>
      <w:pPr>
        <w:pStyle w:val="2"/>
        <w:rPr>
          <w:color w:val="auto"/>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注：</w:t>
      </w:r>
    </w:p>
    <w:p>
      <w:pPr>
        <w:spacing w:line="360" w:lineRule="auto"/>
        <w:rPr>
          <w:rFonts w:ascii="宋体" w:hAnsi="宋体" w:cs="宋体"/>
          <w:color w:val="auto"/>
          <w:sz w:val="24"/>
          <w:highlight w:val="none"/>
        </w:rPr>
      </w:pPr>
      <w:r>
        <w:rPr>
          <w:rFonts w:hint="eastAsia" w:ascii="宋体" w:hAnsi="宋体" w:cs="宋体"/>
          <w:color w:val="auto"/>
          <w:sz w:val="24"/>
          <w:highlight w:val="none"/>
        </w:rPr>
        <w:t>1、</w:t>
      </w:r>
      <w:bookmarkEnd w:id="80"/>
      <w:bookmarkEnd w:id="81"/>
      <w:bookmarkEnd w:id="82"/>
      <w:bookmarkEnd w:id="83"/>
      <w:bookmarkEnd w:id="84"/>
      <w:r>
        <w:rPr>
          <w:rFonts w:hint="eastAsia" w:ascii="宋体" w:hAnsi="宋体" w:cs="宋体"/>
          <w:color w:val="auto"/>
          <w:sz w:val="24"/>
          <w:highlight w:val="none"/>
        </w:rPr>
        <w:t>从业人员、营业收入、资产总额填报上一年度数据，无上一年度数据的新成立企业可不填报。</w:t>
      </w:r>
    </w:p>
    <w:p>
      <w:pPr>
        <w:spacing w:line="360" w:lineRule="auto"/>
        <w:rPr>
          <w:rFonts w:ascii="宋体" w:hAnsi="宋体" w:cs="宋体"/>
          <w:color w:val="auto"/>
          <w:sz w:val="24"/>
          <w:highlight w:val="none"/>
        </w:rPr>
      </w:pPr>
      <w:r>
        <w:rPr>
          <w:rFonts w:hint="eastAsia" w:ascii="宋体" w:hAnsi="宋体" w:cs="宋体"/>
          <w:color w:val="auto"/>
          <w:sz w:val="24"/>
          <w:highlight w:val="none"/>
        </w:rPr>
        <w:t>2、供应商为非中小企业的，可不提供此声明。</w:t>
      </w:r>
    </w:p>
    <w:p>
      <w:pPr>
        <w:spacing w:line="360" w:lineRule="auto"/>
        <w:rPr>
          <w:rFonts w:ascii="宋体" w:hAnsi="宋体"/>
          <w:b/>
          <w:color w:val="auto"/>
          <w:sz w:val="32"/>
          <w:szCs w:val="32"/>
          <w:highlight w:val="none"/>
        </w:rPr>
      </w:pPr>
      <w:r>
        <w:rPr>
          <w:rFonts w:hint="eastAsia" w:ascii="宋体" w:hAnsi="宋体" w:cs="宋体"/>
          <w:color w:val="auto"/>
          <w:sz w:val="24"/>
          <w:highlight w:val="none"/>
        </w:rPr>
        <w:br w:type="page"/>
      </w:r>
    </w:p>
    <w:p>
      <w:pPr>
        <w:jc w:val="center"/>
        <w:rPr>
          <w:rFonts w:ascii="宋体" w:hAnsi="宋体"/>
          <w:b/>
          <w:color w:val="auto"/>
          <w:sz w:val="32"/>
          <w:szCs w:val="32"/>
          <w:highlight w:val="none"/>
        </w:rPr>
      </w:pPr>
      <w:r>
        <w:rPr>
          <w:rFonts w:hint="eastAsia" w:ascii="宋体" w:hAnsi="宋体"/>
          <w:b/>
          <w:color w:val="auto"/>
          <w:sz w:val="32"/>
          <w:szCs w:val="32"/>
          <w:highlight w:val="none"/>
        </w:rPr>
        <w:t>六、</w:t>
      </w:r>
      <w:bookmarkStart w:id="85" w:name="OLE_LINK13"/>
      <w:bookmarkStart w:id="86" w:name="OLE_LINK14"/>
      <w:r>
        <w:rPr>
          <w:rFonts w:hint="eastAsia" w:ascii="宋体" w:hAnsi="宋体"/>
          <w:b/>
          <w:color w:val="auto"/>
          <w:sz w:val="32"/>
          <w:szCs w:val="32"/>
          <w:highlight w:val="none"/>
        </w:rPr>
        <w:t>残疾人福利性单位声明函</w:t>
      </w:r>
    </w:p>
    <w:bookmarkEnd w:id="85"/>
    <w:bookmarkEnd w:id="86"/>
    <w:p>
      <w:pPr>
        <w:spacing w:line="588" w:lineRule="exact"/>
        <w:rPr>
          <w:rFonts w:ascii="宋体" w:hAnsi="宋体" w:cs="宋体"/>
          <w:b/>
          <w:color w:val="auto"/>
          <w:spacing w:val="6"/>
          <w:sz w:val="24"/>
          <w:highlight w:val="none"/>
        </w:rPr>
      </w:pPr>
    </w:p>
    <w:p>
      <w:pPr>
        <w:spacing w:line="588" w:lineRule="exact"/>
        <w:ind w:firstLine="504" w:firstLineChars="200"/>
        <w:rPr>
          <w:rFonts w:ascii="宋体" w:hAnsi="宋体" w:cs="宋体"/>
          <w:color w:val="auto"/>
          <w:spacing w:val="6"/>
          <w:sz w:val="24"/>
          <w:highlight w:val="none"/>
        </w:rPr>
      </w:pPr>
      <w:r>
        <w:rPr>
          <w:rFonts w:hint="eastAsia" w:ascii="宋体" w:hAnsi="宋体" w:cs="宋体"/>
          <w:color w:val="auto"/>
          <w:spacing w:val="6"/>
          <w:sz w:val="24"/>
          <w:highlight w:val="none"/>
        </w:rPr>
        <w:t>本单位郑重声明，根据《财政部 民政部 中国残疾人联合会关于促进残疾人就业政府采购政策的通知》（财库</w:t>
      </w:r>
      <w:r>
        <w:rPr>
          <w:rFonts w:hint="eastAsia" w:ascii="宋体" w:hAnsi="宋体" w:cs="宋体"/>
          <w:color w:val="auto"/>
          <w:sz w:val="24"/>
          <w:highlight w:val="none"/>
        </w:rPr>
        <w:t>〔2017〕141</w:t>
      </w:r>
      <w:r>
        <w:rPr>
          <w:rFonts w:hint="eastAsia" w:ascii="宋体" w:hAnsi="宋体" w:cs="宋体"/>
          <w:color w:val="auto"/>
          <w:spacing w:val="6"/>
          <w:sz w:val="24"/>
          <w:highlight w:val="none"/>
        </w:rPr>
        <w:t>号）的规定，本单位为符合条件的残疾人福利性单位，且本单位参加</w:t>
      </w:r>
      <w:r>
        <w:rPr>
          <w:rFonts w:hint="eastAsia" w:ascii="宋体" w:hAnsi="宋体" w:cs="宋体"/>
          <w:color w:val="auto"/>
          <w:spacing w:val="6"/>
          <w:sz w:val="24"/>
          <w:highlight w:val="none"/>
          <w:u w:val="single"/>
        </w:rPr>
        <w:t xml:space="preserve">      </w:t>
      </w:r>
      <w:r>
        <w:rPr>
          <w:rFonts w:hint="eastAsia" w:ascii="宋体" w:hAnsi="宋体" w:cs="宋体"/>
          <w:color w:val="auto"/>
          <w:spacing w:val="6"/>
          <w:sz w:val="24"/>
          <w:highlight w:val="none"/>
        </w:rPr>
        <w:t>单位的</w:t>
      </w:r>
      <w:r>
        <w:rPr>
          <w:rFonts w:hint="eastAsia" w:ascii="宋体" w:hAnsi="宋体" w:cs="宋体"/>
          <w:color w:val="auto"/>
          <w:spacing w:val="6"/>
          <w:sz w:val="24"/>
          <w:highlight w:val="none"/>
          <w:u w:val="single"/>
        </w:rPr>
        <w:t xml:space="preserve">           </w:t>
      </w:r>
      <w:r>
        <w:rPr>
          <w:rFonts w:hint="eastAsia" w:ascii="宋体" w:hAnsi="宋体" w:cs="宋体"/>
          <w:color w:val="auto"/>
          <w:spacing w:val="6"/>
          <w:sz w:val="24"/>
          <w:highlight w:val="none"/>
        </w:rPr>
        <w:t>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color w:val="auto"/>
          <w:spacing w:val="6"/>
          <w:sz w:val="24"/>
          <w:highlight w:val="none"/>
        </w:rPr>
      </w:pPr>
      <w:r>
        <w:rPr>
          <w:rFonts w:hint="eastAsia" w:ascii="宋体" w:hAnsi="宋体" w:cs="宋体"/>
          <w:color w:val="auto"/>
          <w:spacing w:val="6"/>
          <w:sz w:val="24"/>
          <w:highlight w:val="none"/>
        </w:rPr>
        <w:t>本单位对上述声明的真实性负责。如有虚假，将依法承担相应责任。</w:t>
      </w:r>
    </w:p>
    <w:p>
      <w:pPr>
        <w:spacing w:line="588" w:lineRule="exact"/>
        <w:rPr>
          <w:rFonts w:ascii="宋体" w:hAnsi="宋体" w:cs="宋体"/>
          <w:color w:val="auto"/>
          <w:spacing w:val="6"/>
          <w:sz w:val="24"/>
          <w:highlight w:val="none"/>
        </w:rPr>
      </w:pPr>
    </w:p>
    <w:p>
      <w:pPr>
        <w:widowControl/>
        <w:spacing w:line="360" w:lineRule="atLeast"/>
        <w:jc w:val="left"/>
        <w:outlineLvl w:val="1"/>
        <w:rPr>
          <w:rFonts w:hint="eastAsia" w:ascii="宋体" w:hAnsi="宋体"/>
          <w:color w:val="auto"/>
          <w:sz w:val="24"/>
          <w:highlight w:val="none"/>
        </w:rPr>
      </w:pPr>
      <w:r>
        <w:rPr>
          <w:rFonts w:hint="eastAsia" w:ascii="宋体" w:hAnsi="宋体"/>
          <w:color w:val="auto"/>
          <w:sz w:val="24"/>
          <w:highlight w:val="none"/>
        </w:rPr>
        <w:t>供应商名称：</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r>
        <w:rPr>
          <w:rFonts w:hint="eastAsia" w:ascii="宋体" w:hAnsi="宋体"/>
          <w:color w:val="auto"/>
          <w:sz w:val="24"/>
          <w:highlight w:val="none"/>
        </w:rPr>
        <w:t>（盖单位电子签章）。</w:t>
      </w:r>
    </w:p>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法定代表人/单位负责人或授权代表（签字或加盖个人电子印章）：</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r>
        <w:rPr>
          <w:rFonts w:hint="eastAsia" w:ascii="宋体" w:hAnsi="宋体"/>
          <w:color w:val="auto"/>
          <w:sz w:val="24"/>
          <w:highlight w:val="none"/>
        </w:rPr>
        <w:t>。</w:t>
      </w:r>
    </w:p>
    <w:p>
      <w:pPr>
        <w:rPr>
          <w:rFonts w:ascii="宋体" w:hAnsi="宋体" w:cs="宋体"/>
          <w:color w:val="auto"/>
          <w:spacing w:val="6"/>
          <w:sz w:val="24"/>
          <w:highlight w:val="none"/>
        </w:rPr>
      </w:pPr>
      <w:r>
        <w:rPr>
          <w:rFonts w:hint="eastAsia" w:ascii="宋体" w:hAnsi="宋体"/>
          <w:color w:val="auto"/>
          <w:sz w:val="24"/>
          <w:highlight w:val="none"/>
        </w:rPr>
        <w:t>日期:</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r>
        <w:rPr>
          <w:rFonts w:hint="eastAsia" w:ascii="宋体" w:hAnsi="宋体"/>
          <w:color w:val="auto"/>
          <w:sz w:val="24"/>
          <w:highlight w:val="none"/>
        </w:rPr>
        <w:t>。</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注：</w:t>
      </w:r>
    </w:p>
    <w:p>
      <w:pPr>
        <w:numPr>
          <w:ilvl w:val="0"/>
          <w:numId w:val="7"/>
        </w:numPr>
        <w:spacing w:line="360" w:lineRule="auto"/>
        <w:rPr>
          <w:rFonts w:ascii="宋体" w:hAnsi="宋体" w:cs="宋体"/>
          <w:color w:val="auto"/>
          <w:sz w:val="24"/>
          <w:highlight w:val="none"/>
        </w:rPr>
      </w:pPr>
      <w:r>
        <w:rPr>
          <w:rFonts w:hint="eastAsia" w:ascii="宋体" w:hAnsi="宋体" w:cs="宋体"/>
          <w:color w:val="auto"/>
          <w:sz w:val="24"/>
          <w:highlight w:val="none"/>
        </w:rPr>
        <w:t>残疾人福利性单位视同小型、微型企业，享受预留份额、评审中价格扣除等促进中小企业发展的政府采购政策。残疾人福利性单位属于小型、微型企业的，不重复享受政策。</w:t>
      </w:r>
    </w:p>
    <w:p>
      <w:pPr>
        <w:numPr>
          <w:ilvl w:val="0"/>
          <w:numId w:val="7"/>
        </w:numPr>
        <w:spacing w:line="360" w:lineRule="auto"/>
        <w:rPr>
          <w:rFonts w:ascii="宋体" w:hAnsi="宋体" w:cs="宋体"/>
          <w:color w:val="auto"/>
          <w:sz w:val="24"/>
          <w:highlight w:val="none"/>
        </w:rPr>
      </w:pPr>
      <w:r>
        <w:rPr>
          <w:rFonts w:hint="eastAsia" w:ascii="宋体" w:hAnsi="宋体" w:cs="宋体"/>
          <w:color w:val="auto"/>
          <w:sz w:val="24"/>
          <w:highlight w:val="none"/>
        </w:rPr>
        <w:t>供应商为非残疾人福利性单位的，可不提供此声明。</w:t>
      </w:r>
    </w:p>
    <w:p>
      <w:pPr>
        <w:widowControl/>
        <w:jc w:val="left"/>
        <w:rPr>
          <w:rFonts w:ascii="宋体" w:cs="宋体"/>
          <w:color w:val="auto"/>
          <w:kern w:val="0"/>
          <w:sz w:val="24"/>
          <w:highlight w:val="none"/>
        </w:rPr>
      </w:pPr>
      <w:r>
        <w:rPr>
          <w:color w:val="auto"/>
          <w:highlight w:val="none"/>
        </w:rPr>
        <w:br w:type="page"/>
      </w:r>
    </w:p>
    <w:p>
      <w:pPr>
        <w:autoSpaceDE w:val="0"/>
        <w:autoSpaceDN w:val="0"/>
        <w:adjustRightInd w:val="0"/>
        <w:jc w:val="center"/>
        <w:rPr>
          <w:rFonts w:ascii="宋体" w:hAnsi="宋体"/>
          <w:b/>
          <w:color w:val="auto"/>
          <w:spacing w:val="6"/>
          <w:sz w:val="32"/>
          <w:szCs w:val="32"/>
          <w:highlight w:val="none"/>
        </w:rPr>
      </w:pPr>
      <w:r>
        <w:rPr>
          <w:rFonts w:hint="eastAsia" w:ascii="宋体" w:hAnsi="宋体"/>
          <w:b/>
          <w:color w:val="auto"/>
          <w:sz w:val="32"/>
          <w:szCs w:val="32"/>
          <w:highlight w:val="none"/>
        </w:rPr>
        <w:t>七、</w:t>
      </w:r>
      <w:r>
        <w:rPr>
          <w:rFonts w:hint="eastAsia" w:ascii="宋体" w:hAnsi="宋体"/>
          <w:b/>
          <w:color w:val="auto"/>
          <w:spacing w:val="6"/>
          <w:sz w:val="32"/>
          <w:szCs w:val="32"/>
          <w:highlight w:val="none"/>
        </w:rPr>
        <w:t>监狱企业证明材料</w:t>
      </w:r>
    </w:p>
    <w:p>
      <w:pPr>
        <w:pStyle w:val="2"/>
        <w:rPr>
          <w:color w:val="auto"/>
          <w:highlight w:val="none"/>
        </w:rPr>
      </w:pPr>
    </w:p>
    <w:p>
      <w:pPr>
        <w:spacing w:line="360" w:lineRule="auto"/>
        <w:ind w:firstLine="480" w:firstLineChars="200"/>
        <w:jc w:val="left"/>
        <w:rPr>
          <w:rFonts w:ascii="宋体" w:hAnsi="宋体"/>
          <w:b/>
          <w:color w:val="auto"/>
          <w:sz w:val="32"/>
          <w:szCs w:val="32"/>
          <w:highlight w:val="none"/>
        </w:rPr>
      </w:pPr>
      <w:r>
        <w:rPr>
          <w:rFonts w:hint="eastAsia" w:ascii="宋体" w:hAnsi="宋体" w:cs="宋体"/>
          <w:color w:val="auto"/>
          <w:sz w:val="24"/>
          <w:highlight w:val="none"/>
        </w:rPr>
        <w:t>供应商属于《政府采购支持监狱企业发展有关问题的通知》（财库〔2014〕68号）规定的监狱企业的，参加政府采购活动时，应当提供由省级以上监狱管理局、戒毒管理局（含新疆生产建设兵团）出具的属于监狱企业的证明文件。</w:t>
      </w:r>
    </w:p>
    <w:p>
      <w:pPr>
        <w:spacing w:line="360" w:lineRule="auto"/>
        <w:jc w:val="left"/>
        <w:rPr>
          <w:rFonts w:ascii="宋体" w:hAnsi="宋体" w:cs="宋体"/>
          <w:color w:val="auto"/>
          <w:sz w:val="24"/>
          <w:highlight w:val="none"/>
        </w:rPr>
      </w:pPr>
    </w:p>
    <w:p>
      <w:pPr>
        <w:spacing w:line="360" w:lineRule="auto"/>
        <w:jc w:val="left"/>
        <w:rPr>
          <w:rFonts w:ascii="宋体" w:hAnsi="宋体" w:cs="宋体"/>
          <w:color w:val="auto"/>
          <w:sz w:val="24"/>
          <w:highlight w:val="none"/>
        </w:rPr>
      </w:pPr>
    </w:p>
    <w:p>
      <w:pPr>
        <w:spacing w:line="360" w:lineRule="auto"/>
        <w:jc w:val="left"/>
        <w:rPr>
          <w:rFonts w:ascii="宋体" w:hAnsi="宋体" w:cs="宋体"/>
          <w:color w:val="auto"/>
          <w:sz w:val="24"/>
          <w:highlight w:val="none"/>
        </w:rPr>
      </w:pPr>
    </w:p>
    <w:p>
      <w:pPr>
        <w:spacing w:line="360" w:lineRule="auto"/>
        <w:jc w:val="left"/>
        <w:rPr>
          <w:rFonts w:ascii="宋体" w:hAnsi="宋体"/>
          <w:b/>
          <w:color w:val="auto"/>
          <w:sz w:val="32"/>
          <w:szCs w:val="32"/>
          <w:highlight w:val="none"/>
        </w:rPr>
      </w:pPr>
      <w:r>
        <w:rPr>
          <w:rFonts w:hint="eastAsia" w:ascii="宋体" w:hAnsi="宋体" w:cs="宋体"/>
          <w:color w:val="auto"/>
          <w:sz w:val="24"/>
          <w:highlight w:val="none"/>
        </w:rPr>
        <w:t>注：在政府采购活动中，监狱企业视同小型、微型企业，享受预留份额、评审中价格扣除等政府采购促进中小企业发展的政府采购政策。</w:t>
      </w:r>
    </w:p>
    <w:p>
      <w:pPr>
        <w:widowControl/>
        <w:jc w:val="left"/>
        <w:rPr>
          <w:rFonts w:ascii="宋体" w:hAnsi="宋体"/>
          <w:b/>
          <w:color w:val="auto"/>
          <w:sz w:val="32"/>
          <w:szCs w:val="32"/>
          <w:highlight w:val="none"/>
        </w:rPr>
      </w:pPr>
      <w:r>
        <w:rPr>
          <w:rFonts w:ascii="宋体" w:hAnsi="宋体"/>
          <w:b/>
          <w:color w:val="auto"/>
          <w:sz w:val="32"/>
          <w:szCs w:val="32"/>
          <w:highlight w:val="none"/>
        </w:rPr>
        <w:br w:type="page"/>
      </w:r>
    </w:p>
    <w:p>
      <w:pPr>
        <w:widowControl/>
        <w:jc w:val="center"/>
        <w:rPr>
          <w:rFonts w:ascii="宋体" w:hAnsi="宋体"/>
          <w:b/>
          <w:color w:val="auto"/>
          <w:sz w:val="32"/>
          <w:szCs w:val="32"/>
          <w:highlight w:val="none"/>
        </w:rPr>
      </w:pPr>
      <w:r>
        <w:rPr>
          <w:rFonts w:hint="eastAsia" w:ascii="宋体" w:hAnsi="宋体"/>
          <w:b/>
          <w:color w:val="auto"/>
          <w:sz w:val="32"/>
          <w:szCs w:val="32"/>
          <w:highlight w:val="none"/>
        </w:rPr>
        <w:t>八、技术、服务应答表</w:t>
      </w:r>
    </w:p>
    <w:p>
      <w:pPr>
        <w:spacing w:line="480" w:lineRule="exact"/>
        <w:ind w:firstLine="436" w:firstLineChars="182"/>
        <w:rPr>
          <w:rFonts w:ascii="宋体" w:hAnsi="宋体"/>
          <w:color w:val="auto"/>
          <w:sz w:val="24"/>
          <w:highlight w:val="none"/>
        </w:rPr>
      </w:pPr>
      <w:r>
        <w:rPr>
          <w:rFonts w:hint="eastAsia" w:ascii="宋体" w:hAnsi="宋体"/>
          <w:color w:val="auto"/>
          <w:sz w:val="24"/>
          <w:highlight w:val="none"/>
        </w:rPr>
        <w:t>项目名称：</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项目编号：</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3015"/>
        <w:gridCol w:w="2571"/>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94" w:type="dxa"/>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序号</w:t>
            </w:r>
          </w:p>
        </w:tc>
        <w:tc>
          <w:tcPr>
            <w:tcW w:w="3015" w:type="dxa"/>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采购文件要求</w:t>
            </w:r>
          </w:p>
        </w:tc>
        <w:tc>
          <w:tcPr>
            <w:tcW w:w="2571" w:type="dxa"/>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响应文件应答</w:t>
            </w:r>
          </w:p>
        </w:tc>
        <w:tc>
          <w:tcPr>
            <w:tcW w:w="2265" w:type="dxa"/>
            <w:vAlign w:val="center"/>
          </w:tcPr>
          <w:p>
            <w:pPr>
              <w:spacing w:line="400" w:lineRule="exact"/>
              <w:jc w:val="center"/>
              <w:rPr>
                <w:rFonts w:ascii="宋体" w:hAnsi="宋体"/>
                <w:color w:val="auto"/>
                <w:sz w:val="24"/>
                <w:highlight w:val="none"/>
              </w:rPr>
            </w:pPr>
            <w:r>
              <w:rPr>
                <w:rFonts w:hint="eastAsia" w:ascii="宋体" w:hAnsi="宋体" w:cs="宋体"/>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1194" w:type="dxa"/>
            <w:vAlign w:val="center"/>
          </w:tcPr>
          <w:p>
            <w:pPr>
              <w:spacing w:line="400" w:lineRule="exact"/>
              <w:jc w:val="center"/>
              <w:rPr>
                <w:rFonts w:ascii="宋体" w:hAnsi="宋体"/>
                <w:color w:val="auto"/>
                <w:sz w:val="24"/>
                <w:highlight w:val="none"/>
              </w:rPr>
            </w:pPr>
          </w:p>
        </w:tc>
        <w:tc>
          <w:tcPr>
            <w:tcW w:w="3015" w:type="dxa"/>
            <w:vAlign w:val="center"/>
          </w:tcPr>
          <w:p>
            <w:pPr>
              <w:spacing w:line="400" w:lineRule="exact"/>
              <w:jc w:val="center"/>
              <w:rPr>
                <w:rFonts w:ascii="宋体" w:hAnsi="宋体"/>
                <w:color w:val="auto"/>
                <w:sz w:val="24"/>
                <w:highlight w:val="none"/>
              </w:rPr>
            </w:pPr>
          </w:p>
        </w:tc>
        <w:tc>
          <w:tcPr>
            <w:tcW w:w="2571" w:type="dxa"/>
            <w:vAlign w:val="center"/>
          </w:tcPr>
          <w:p>
            <w:pPr>
              <w:spacing w:line="400" w:lineRule="exact"/>
              <w:jc w:val="center"/>
              <w:rPr>
                <w:rFonts w:ascii="宋体" w:hAnsi="宋体"/>
                <w:color w:val="auto"/>
                <w:sz w:val="24"/>
                <w:highlight w:val="none"/>
              </w:rPr>
            </w:pPr>
          </w:p>
        </w:tc>
        <w:tc>
          <w:tcPr>
            <w:tcW w:w="2265" w:type="dxa"/>
            <w:vAlign w:val="center"/>
          </w:tcPr>
          <w:p>
            <w:pPr>
              <w:spacing w:line="40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1194" w:type="dxa"/>
            <w:vAlign w:val="center"/>
          </w:tcPr>
          <w:p>
            <w:pPr>
              <w:spacing w:line="400" w:lineRule="exact"/>
              <w:jc w:val="center"/>
              <w:rPr>
                <w:rFonts w:ascii="宋体" w:hAnsi="宋体"/>
                <w:color w:val="auto"/>
                <w:sz w:val="24"/>
                <w:highlight w:val="none"/>
              </w:rPr>
            </w:pPr>
          </w:p>
        </w:tc>
        <w:tc>
          <w:tcPr>
            <w:tcW w:w="3015" w:type="dxa"/>
            <w:vAlign w:val="center"/>
          </w:tcPr>
          <w:p>
            <w:pPr>
              <w:spacing w:line="400" w:lineRule="exact"/>
              <w:jc w:val="center"/>
              <w:rPr>
                <w:rFonts w:ascii="宋体" w:hAnsi="宋体"/>
                <w:color w:val="auto"/>
                <w:sz w:val="24"/>
                <w:highlight w:val="none"/>
              </w:rPr>
            </w:pPr>
          </w:p>
        </w:tc>
        <w:tc>
          <w:tcPr>
            <w:tcW w:w="2571" w:type="dxa"/>
            <w:vAlign w:val="center"/>
          </w:tcPr>
          <w:p>
            <w:pPr>
              <w:spacing w:line="400" w:lineRule="exact"/>
              <w:jc w:val="center"/>
              <w:rPr>
                <w:rFonts w:ascii="宋体" w:hAnsi="宋体"/>
                <w:color w:val="auto"/>
                <w:sz w:val="24"/>
                <w:highlight w:val="none"/>
              </w:rPr>
            </w:pPr>
          </w:p>
        </w:tc>
        <w:tc>
          <w:tcPr>
            <w:tcW w:w="2265" w:type="dxa"/>
            <w:vAlign w:val="center"/>
          </w:tcPr>
          <w:p>
            <w:pPr>
              <w:spacing w:line="40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1194" w:type="dxa"/>
            <w:vAlign w:val="center"/>
          </w:tcPr>
          <w:p>
            <w:pPr>
              <w:spacing w:line="400" w:lineRule="exact"/>
              <w:jc w:val="center"/>
              <w:rPr>
                <w:rFonts w:ascii="宋体" w:hAnsi="宋体"/>
                <w:color w:val="auto"/>
                <w:sz w:val="24"/>
                <w:highlight w:val="none"/>
              </w:rPr>
            </w:pPr>
          </w:p>
        </w:tc>
        <w:tc>
          <w:tcPr>
            <w:tcW w:w="3015" w:type="dxa"/>
            <w:vAlign w:val="center"/>
          </w:tcPr>
          <w:p>
            <w:pPr>
              <w:spacing w:line="400" w:lineRule="exact"/>
              <w:jc w:val="center"/>
              <w:rPr>
                <w:rFonts w:ascii="宋体" w:hAnsi="宋体"/>
                <w:color w:val="auto"/>
                <w:sz w:val="24"/>
                <w:highlight w:val="none"/>
              </w:rPr>
            </w:pPr>
          </w:p>
        </w:tc>
        <w:tc>
          <w:tcPr>
            <w:tcW w:w="2571" w:type="dxa"/>
            <w:vAlign w:val="center"/>
          </w:tcPr>
          <w:p>
            <w:pPr>
              <w:spacing w:line="400" w:lineRule="exact"/>
              <w:jc w:val="center"/>
              <w:rPr>
                <w:rFonts w:ascii="宋体" w:hAnsi="宋体"/>
                <w:color w:val="auto"/>
                <w:sz w:val="24"/>
                <w:highlight w:val="none"/>
              </w:rPr>
            </w:pPr>
          </w:p>
        </w:tc>
        <w:tc>
          <w:tcPr>
            <w:tcW w:w="2265" w:type="dxa"/>
            <w:vAlign w:val="center"/>
          </w:tcPr>
          <w:p>
            <w:pPr>
              <w:spacing w:line="40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1194" w:type="dxa"/>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w:t>
            </w:r>
          </w:p>
        </w:tc>
        <w:tc>
          <w:tcPr>
            <w:tcW w:w="3015" w:type="dxa"/>
            <w:vAlign w:val="center"/>
          </w:tcPr>
          <w:p>
            <w:pPr>
              <w:spacing w:line="400" w:lineRule="exact"/>
              <w:jc w:val="center"/>
              <w:rPr>
                <w:rFonts w:ascii="宋体" w:hAnsi="宋体"/>
                <w:color w:val="auto"/>
                <w:sz w:val="24"/>
                <w:highlight w:val="none"/>
              </w:rPr>
            </w:pPr>
          </w:p>
        </w:tc>
        <w:tc>
          <w:tcPr>
            <w:tcW w:w="2571" w:type="dxa"/>
            <w:vAlign w:val="center"/>
          </w:tcPr>
          <w:p>
            <w:pPr>
              <w:spacing w:line="400" w:lineRule="exact"/>
              <w:jc w:val="center"/>
              <w:rPr>
                <w:rFonts w:ascii="宋体" w:hAnsi="宋体"/>
                <w:color w:val="auto"/>
                <w:sz w:val="24"/>
                <w:highlight w:val="none"/>
              </w:rPr>
            </w:pPr>
          </w:p>
        </w:tc>
        <w:tc>
          <w:tcPr>
            <w:tcW w:w="2265" w:type="dxa"/>
            <w:vAlign w:val="center"/>
          </w:tcPr>
          <w:p>
            <w:pPr>
              <w:spacing w:line="400" w:lineRule="exact"/>
              <w:jc w:val="center"/>
              <w:rPr>
                <w:rFonts w:ascii="宋体" w:hAnsi="宋体"/>
                <w:color w:val="auto"/>
                <w:sz w:val="24"/>
                <w:highlight w:val="none"/>
              </w:rPr>
            </w:pPr>
          </w:p>
        </w:tc>
      </w:tr>
    </w:tbl>
    <w:p>
      <w:pPr>
        <w:widowControl/>
        <w:jc w:val="left"/>
        <w:rPr>
          <w:rFonts w:ascii="宋体" w:hAnsi="宋体"/>
          <w:b/>
          <w:color w:val="auto"/>
          <w:sz w:val="32"/>
          <w:szCs w:val="32"/>
          <w:highlight w:val="none"/>
        </w:rPr>
      </w:pPr>
    </w:p>
    <w:p>
      <w:pPr>
        <w:ind w:firstLine="480" w:firstLineChars="200"/>
        <w:rPr>
          <w:rFonts w:ascii="宋体" w:hAnsi="宋体"/>
          <w:b/>
          <w:color w:val="auto"/>
          <w:sz w:val="24"/>
          <w:highlight w:val="none"/>
        </w:rPr>
      </w:pPr>
      <w:r>
        <w:rPr>
          <w:rFonts w:hint="eastAsia" w:ascii="宋体" w:hAnsi="宋体"/>
          <w:color w:val="auto"/>
          <w:sz w:val="24"/>
          <w:highlight w:val="none"/>
        </w:rPr>
        <w:t>注：供应商必须根据磋商文件要求据实逐条填写，不得虚假响应，虚假响应的，其响应文件无效并按规定追究其相关责任。</w:t>
      </w:r>
    </w:p>
    <w:p>
      <w:pPr>
        <w:widowControl/>
        <w:jc w:val="left"/>
        <w:rPr>
          <w:rFonts w:ascii="宋体" w:hAnsi="宋体"/>
          <w:b/>
          <w:color w:val="auto"/>
          <w:sz w:val="32"/>
          <w:szCs w:val="32"/>
          <w:highlight w:val="none"/>
        </w:rPr>
      </w:pP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供应商名称：</w:t>
      </w:r>
      <w:r>
        <w:rPr>
          <w:rFonts w:hint="eastAsia" w:ascii="宋体" w:hAnsi="宋体"/>
          <w:b/>
          <w:color w:val="auto"/>
          <w:sz w:val="40"/>
          <w:szCs w:val="48"/>
          <w:highlight w:val="none"/>
          <w:u w:val="single"/>
        </w:rPr>
        <w:t xml:space="preserve">      </w:t>
      </w:r>
      <w:r>
        <w:rPr>
          <w:rFonts w:hint="eastAsia" w:ascii="宋体" w:hAnsi="宋体"/>
          <w:color w:val="auto"/>
          <w:sz w:val="24"/>
          <w:highlight w:val="none"/>
        </w:rPr>
        <w:t>（盖单位电子签章）。</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法定代表人/单位负责人或授权代表（签字或加盖个人电子印章）：</w:t>
      </w:r>
      <w:r>
        <w:rPr>
          <w:rFonts w:hint="eastAsia" w:ascii="宋体" w:hAnsi="宋体"/>
          <w:b/>
          <w:color w:val="auto"/>
          <w:sz w:val="40"/>
          <w:szCs w:val="48"/>
          <w:highlight w:val="none"/>
          <w:u w:val="single"/>
        </w:rPr>
        <w:t xml:space="preserve">    </w:t>
      </w:r>
      <w:r>
        <w:rPr>
          <w:rFonts w:hint="eastAsia" w:ascii="宋体" w:hAnsi="宋体"/>
          <w:color w:val="auto"/>
          <w:sz w:val="24"/>
          <w:highlight w:val="none"/>
        </w:rPr>
        <w:t>。</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日期:</w:t>
      </w:r>
      <w:r>
        <w:rPr>
          <w:rFonts w:hint="eastAsia" w:ascii="宋体" w:hAnsi="宋体"/>
          <w:b/>
          <w:color w:val="auto"/>
          <w:sz w:val="40"/>
          <w:szCs w:val="48"/>
          <w:highlight w:val="none"/>
          <w:u w:val="single"/>
        </w:rPr>
        <w:t xml:space="preserve">      </w:t>
      </w:r>
      <w:r>
        <w:rPr>
          <w:rFonts w:hint="eastAsia" w:ascii="宋体" w:hAnsi="宋体"/>
          <w:color w:val="auto"/>
          <w:sz w:val="24"/>
          <w:highlight w:val="none"/>
        </w:rPr>
        <w:t>。</w:t>
      </w:r>
    </w:p>
    <w:p>
      <w:pPr>
        <w:pStyle w:val="2"/>
        <w:rPr>
          <w:color w:val="auto"/>
          <w:highlight w:val="none"/>
        </w:rPr>
      </w:pPr>
    </w:p>
    <w:p>
      <w:pPr>
        <w:widowControl/>
        <w:jc w:val="left"/>
        <w:rPr>
          <w:rFonts w:ascii="宋体" w:hAnsi="宋体"/>
          <w:b/>
          <w:color w:val="auto"/>
          <w:sz w:val="32"/>
          <w:szCs w:val="32"/>
          <w:highlight w:val="none"/>
        </w:rPr>
      </w:pPr>
      <w:r>
        <w:rPr>
          <w:rFonts w:ascii="宋体" w:hAnsi="宋体"/>
          <w:b/>
          <w:color w:val="auto"/>
          <w:sz w:val="32"/>
          <w:szCs w:val="32"/>
          <w:highlight w:val="none"/>
        </w:rPr>
        <w:br w:type="page"/>
      </w:r>
    </w:p>
    <w:p>
      <w:pPr>
        <w:widowControl/>
        <w:spacing w:line="360" w:lineRule="atLeast"/>
        <w:jc w:val="center"/>
        <w:outlineLvl w:val="1"/>
        <w:rPr>
          <w:rFonts w:ascii="宋体" w:hAnsi="宋体"/>
          <w:b/>
          <w:color w:val="auto"/>
          <w:sz w:val="32"/>
          <w:szCs w:val="32"/>
          <w:highlight w:val="none"/>
        </w:rPr>
      </w:pPr>
      <w:r>
        <w:rPr>
          <w:rFonts w:hint="eastAsia" w:ascii="宋体" w:hAnsi="宋体"/>
          <w:b/>
          <w:color w:val="auto"/>
          <w:sz w:val="32"/>
          <w:szCs w:val="32"/>
          <w:highlight w:val="none"/>
        </w:rPr>
        <w:t>九、商务应答表</w:t>
      </w:r>
    </w:p>
    <w:p>
      <w:pPr>
        <w:spacing w:line="480" w:lineRule="exact"/>
        <w:ind w:firstLine="436" w:firstLineChars="182"/>
        <w:rPr>
          <w:rFonts w:ascii="宋体" w:hAnsi="宋体"/>
          <w:color w:val="auto"/>
          <w:sz w:val="24"/>
          <w:highlight w:val="none"/>
        </w:rPr>
      </w:pPr>
      <w:r>
        <w:rPr>
          <w:rFonts w:hint="eastAsia" w:ascii="宋体" w:hAnsi="宋体"/>
          <w:color w:val="auto"/>
          <w:sz w:val="24"/>
          <w:highlight w:val="none"/>
        </w:rPr>
        <w:t>项目名称：</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项目编号：</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p>
    <w:tbl>
      <w:tblPr>
        <w:tblStyle w:val="37"/>
        <w:tblW w:w="9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2942"/>
        <w:gridCol w:w="2941"/>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006" w:type="dxa"/>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序号</w:t>
            </w:r>
          </w:p>
        </w:tc>
        <w:tc>
          <w:tcPr>
            <w:tcW w:w="2942" w:type="dxa"/>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采购文件要求</w:t>
            </w:r>
          </w:p>
        </w:tc>
        <w:tc>
          <w:tcPr>
            <w:tcW w:w="2941" w:type="dxa"/>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响应文件应答</w:t>
            </w:r>
          </w:p>
        </w:tc>
        <w:tc>
          <w:tcPr>
            <w:tcW w:w="2491" w:type="dxa"/>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006" w:type="dxa"/>
            <w:vAlign w:val="center"/>
          </w:tcPr>
          <w:p>
            <w:pPr>
              <w:spacing w:line="400" w:lineRule="exact"/>
              <w:jc w:val="center"/>
              <w:rPr>
                <w:rFonts w:ascii="宋体" w:hAnsi="宋体" w:cs="宋体"/>
                <w:color w:val="auto"/>
                <w:sz w:val="24"/>
                <w:highlight w:val="none"/>
              </w:rPr>
            </w:pPr>
          </w:p>
        </w:tc>
        <w:tc>
          <w:tcPr>
            <w:tcW w:w="2942" w:type="dxa"/>
            <w:vAlign w:val="center"/>
          </w:tcPr>
          <w:p>
            <w:pPr>
              <w:spacing w:line="400" w:lineRule="exact"/>
              <w:jc w:val="center"/>
              <w:rPr>
                <w:rFonts w:ascii="宋体" w:hAnsi="宋体" w:cs="宋体"/>
                <w:color w:val="auto"/>
                <w:sz w:val="24"/>
                <w:highlight w:val="none"/>
              </w:rPr>
            </w:pPr>
          </w:p>
        </w:tc>
        <w:tc>
          <w:tcPr>
            <w:tcW w:w="2941" w:type="dxa"/>
            <w:vAlign w:val="center"/>
          </w:tcPr>
          <w:p>
            <w:pPr>
              <w:spacing w:line="400" w:lineRule="exact"/>
              <w:jc w:val="center"/>
              <w:rPr>
                <w:rFonts w:ascii="宋体" w:hAnsi="宋体" w:cs="宋体"/>
                <w:color w:val="auto"/>
                <w:sz w:val="24"/>
                <w:highlight w:val="none"/>
              </w:rPr>
            </w:pPr>
          </w:p>
        </w:tc>
        <w:tc>
          <w:tcPr>
            <w:tcW w:w="2491" w:type="dxa"/>
            <w:vAlign w:val="center"/>
          </w:tcPr>
          <w:p>
            <w:pPr>
              <w:spacing w:line="40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006" w:type="dxa"/>
            <w:vAlign w:val="center"/>
          </w:tcPr>
          <w:p>
            <w:pPr>
              <w:spacing w:line="400" w:lineRule="exact"/>
              <w:jc w:val="center"/>
              <w:rPr>
                <w:rFonts w:ascii="宋体" w:hAnsi="宋体" w:cs="宋体"/>
                <w:color w:val="auto"/>
                <w:sz w:val="24"/>
                <w:highlight w:val="none"/>
              </w:rPr>
            </w:pPr>
          </w:p>
        </w:tc>
        <w:tc>
          <w:tcPr>
            <w:tcW w:w="2942" w:type="dxa"/>
            <w:vAlign w:val="center"/>
          </w:tcPr>
          <w:p>
            <w:pPr>
              <w:spacing w:line="400" w:lineRule="exact"/>
              <w:jc w:val="center"/>
              <w:rPr>
                <w:rFonts w:ascii="宋体" w:hAnsi="宋体" w:cs="宋体"/>
                <w:color w:val="auto"/>
                <w:sz w:val="24"/>
                <w:highlight w:val="none"/>
              </w:rPr>
            </w:pPr>
          </w:p>
        </w:tc>
        <w:tc>
          <w:tcPr>
            <w:tcW w:w="2941" w:type="dxa"/>
            <w:vAlign w:val="center"/>
          </w:tcPr>
          <w:p>
            <w:pPr>
              <w:spacing w:line="400" w:lineRule="exact"/>
              <w:jc w:val="center"/>
              <w:rPr>
                <w:rFonts w:ascii="宋体" w:hAnsi="宋体" w:cs="宋体"/>
                <w:color w:val="auto"/>
                <w:sz w:val="24"/>
                <w:highlight w:val="none"/>
              </w:rPr>
            </w:pPr>
          </w:p>
        </w:tc>
        <w:tc>
          <w:tcPr>
            <w:tcW w:w="2491" w:type="dxa"/>
            <w:vAlign w:val="center"/>
          </w:tcPr>
          <w:p>
            <w:pPr>
              <w:spacing w:line="40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006" w:type="dxa"/>
            <w:vAlign w:val="center"/>
          </w:tcPr>
          <w:p>
            <w:pPr>
              <w:spacing w:line="400" w:lineRule="exact"/>
              <w:jc w:val="center"/>
              <w:rPr>
                <w:rFonts w:ascii="宋体" w:hAnsi="宋体" w:cs="宋体"/>
                <w:color w:val="auto"/>
                <w:sz w:val="24"/>
                <w:highlight w:val="none"/>
              </w:rPr>
            </w:pPr>
          </w:p>
        </w:tc>
        <w:tc>
          <w:tcPr>
            <w:tcW w:w="2942" w:type="dxa"/>
            <w:vAlign w:val="center"/>
          </w:tcPr>
          <w:p>
            <w:pPr>
              <w:spacing w:line="400" w:lineRule="exact"/>
              <w:jc w:val="center"/>
              <w:rPr>
                <w:rFonts w:ascii="宋体" w:hAnsi="宋体" w:cs="宋体"/>
                <w:color w:val="auto"/>
                <w:sz w:val="24"/>
                <w:highlight w:val="none"/>
              </w:rPr>
            </w:pPr>
          </w:p>
        </w:tc>
        <w:tc>
          <w:tcPr>
            <w:tcW w:w="2941" w:type="dxa"/>
            <w:vAlign w:val="center"/>
          </w:tcPr>
          <w:p>
            <w:pPr>
              <w:spacing w:line="400" w:lineRule="exact"/>
              <w:jc w:val="center"/>
              <w:rPr>
                <w:rFonts w:ascii="宋体" w:hAnsi="宋体" w:cs="宋体"/>
                <w:color w:val="auto"/>
                <w:sz w:val="24"/>
                <w:highlight w:val="none"/>
              </w:rPr>
            </w:pPr>
          </w:p>
        </w:tc>
        <w:tc>
          <w:tcPr>
            <w:tcW w:w="2491" w:type="dxa"/>
            <w:vAlign w:val="center"/>
          </w:tcPr>
          <w:p>
            <w:pPr>
              <w:spacing w:line="40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006" w:type="dxa"/>
            <w:vAlign w:val="center"/>
          </w:tcPr>
          <w:p>
            <w:pPr>
              <w:spacing w:line="400" w:lineRule="exact"/>
              <w:jc w:val="center"/>
              <w:rPr>
                <w:rFonts w:ascii="宋体" w:hAnsi="宋体" w:cs="宋体"/>
                <w:color w:val="auto"/>
                <w:sz w:val="24"/>
                <w:highlight w:val="none"/>
              </w:rPr>
            </w:pPr>
            <w:r>
              <w:rPr>
                <w:rFonts w:hint="eastAsia" w:ascii="宋体" w:hAnsi="宋体"/>
                <w:color w:val="auto"/>
                <w:sz w:val="24"/>
                <w:highlight w:val="none"/>
              </w:rPr>
              <w:t>...</w:t>
            </w:r>
          </w:p>
        </w:tc>
        <w:tc>
          <w:tcPr>
            <w:tcW w:w="2942" w:type="dxa"/>
            <w:vAlign w:val="center"/>
          </w:tcPr>
          <w:p>
            <w:pPr>
              <w:spacing w:line="400" w:lineRule="exact"/>
              <w:jc w:val="center"/>
              <w:rPr>
                <w:rFonts w:ascii="宋体" w:hAnsi="宋体" w:cs="宋体"/>
                <w:color w:val="auto"/>
                <w:sz w:val="24"/>
                <w:highlight w:val="none"/>
              </w:rPr>
            </w:pPr>
          </w:p>
        </w:tc>
        <w:tc>
          <w:tcPr>
            <w:tcW w:w="2941" w:type="dxa"/>
            <w:vAlign w:val="center"/>
          </w:tcPr>
          <w:p>
            <w:pPr>
              <w:spacing w:line="400" w:lineRule="exact"/>
              <w:jc w:val="center"/>
              <w:rPr>
                <w:rFonts w:ascii="宋体" w:hAnsi="宋体" w:cs="宋体"/>
                <w:color w:val="auto"/>
                <w:sz w:val="24"/>
                <w:highlight w:val="none"/>
              </w:rPr>
            </w:pPr>
          </w:p>
        </w:tc>
        <w:tc>
          <w:tcPr>
            <w:tcW w:w="2491" w:type="dxa"/>
            <w:vAlign w:val="center"/>
          </w:tcPr>
          <w:p>
            <w:pPr>
              <w:spacing w:line="400" w:lineRule="exact"/>
              <w:jc w:val="center"/>
              <w:rPr>
                <w:rFonts w:ascii="宋体" w:hAnsi="宋体" w:cs="宋体"/>
                <w:color w:val="auto"/>
                <w:sz w:val="24"/>
                <w:highlight w:val="none"/>
              </w:rPr>
            </w:pPr>
          </w:p>
        </w:tc>
      </w:tr>
    </w:tbl>
    <w:p>
      <w:pPr>
        <w:spacing w:line="400" w:lineRule="exact"/>
        <w:rPr>
          <w:rFonts w:ascii="宋体" w:hAnsi="宋体"/>
          <w:b/>
          <w:bCs/>
          <w:color w:val="auto"/>
          <w:sz w:val="24"/>
          <w:highlight w:val="none"/>
        </w:rPr>
      </w:pPr>
      <w:r>
        <w:rPr>
          <w:rFonts w:hint="eastAsia" w:ascii="宋体" w:hAnsi="宋体"/>
          <w:color w:val="auto"/>
          <w:sz w:val="24"/>
          <w:highlight w:val="none"/>
        </w:rPr>
        <w:t>注：</w:t>
      </w:r>
      <w:r>
        <w:rPr>
          <w:rFonts w:hint="eastAsia" w:ascii="宋体" w:hAnsi="宋体"/>
          <w:b/>
          <w:bCs/>
          <w:color w:val="auto"/>
          <w:sz w:val="24"/>
          <w:highlight w:val="none"/>
        </w:rPr>
        <w:t>1、本表只填写响应文件中与采购文件有偏离（包括正偏离和负偏离）的内容，若响应文件中商务响应与采购文件要求完全一致的，则无须在此表中应答，视为默认完全响应和接受采购文件相应商务要求，供应商不得以未作应答而拒不接受。</w:t>
      </w:r>
    </w:p>
    <w:p>
      <w:pPr>
        <w:widowControl/>
        <w:spacing w:line="360" w:lineRule="atLeast"/>
        <w:ind w:firstLine="472" w:firstLineChars="196"/>
        <w:jc w:val="left"/>
        <w:outlineLvl w:val="1"/>
        <w:rPr>
          <w:rFonts w:ascii="宋体" w:hAnsi="宋体"/>
          <w:b/>
          <w:bCs/>
          <w:color w:val="auto"/>
          <w:sz w:val="24"/>
          <w:highlight w:val="none"/>
        </w:rPr>
      </w:pPr>
      <w:r>
        <w:rPr>
          <w:rFonts w:hint="eastAsia" w:ascii="宋体" w:hAnsi="宋体"/>
          <w:b/>
          <w:bCs/>
          <w:color w:val="auto"/>
          <w:sz w:val="24"/>
          <w:highlight w:val="none"/>
        </w:rPr>
        <w:t>2、</w:t>
      </w:r>
      <w:bookmarkStart w:id="87" w:name="_Toc2935"/>
      <w:bookmarkStart w:id="88" w:name="_Toc21274"/>
      <w:bookmarkStart w:id="89" w:name="_Toc485222414"/>
      <w:r>
        <w:rPr>
          <w:rFonts w:hint="eastAsia" w:ascii="宋体" w:hAnsi="宋体"/>
          <w:b/>
          <w:bCs/>
          <w:color w:val="auto"/>
          <w:sz w:val="24"/>
          <w:highlight w:val="none"/>
        </w:rPr>
        <w:t>供应商必须据实填写，不得虚假响应，否则将取消其磋商或成交资格，并按有关规定进行处罚。</w:t>
      </w:r>
      <w:bookmarkEnd w:id="87"/>
      <w:bookmarkEnd w:id="88"/>
      <w:bookmarkEnd w:id="89"/>
    </w:p>
    <w:p>
      <w:pPr>
        <w:widowControl/>
        <w:spacing w:line="360" w:lineRule="atLeast"/>
        <w:ind w:firstLine="470" w:firstLineChars="196"/>
        <w:jc w:val="left"/>
        <w:outlineLvl w:val="1"/>
        <w:rPr>
          <w:rFonts w:ascii="宋体" w:hAnsi="宋体"/>
          <w:color w:val="auto"/>
          <w:sz w:val="24"/>
          <w:highlight w:val="none"/>
        </w:rPr>
      </w:pPr>
    </w:p>
    <w:p>
      <w:pPr>
        <w:widowControl/>
        <w:spacing w:line="360" w:lineRule="atLeast"/>
        <w:ind w:firstLine="470" w:firstLineChars="196"/>
        <w:jc w:val="left"/>
        <w:outlineLvl w:val="1"/>
        <w:rPr>
          <w:rFonts w:ascii="宋体" w:hAnsi="宋体"/>
          <w:color w:val="auto"/>
          <w:sz w:val="24"/>
          <w:highlight w:val="none"/>
        </w:rPr>
      </w:pPr>
    </w:p>
    <w:p>
      <w:pPr>
        <w:widowControl/>
        <w:spacing w:line="360" w:lineRule="atLeast"/>
        <w:ind w:firstLine="470" w:firstLineChars="196"/>
        <w:jc w:val="left"/>
        <w:outlineLvl w:val="1"/>
        <w:rPr>
          <w:rFonts w:ascii="宋体" w:hAnsi="宋体"/>
          <w:color w:val="auto"/>
          <w:sz w:val="24"/>
          <w:highlight w:val="none"/>
        </w:rPr>
      </w:pP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供应商名称：</w:t>
      </w:r>
      <w:r>
        <w:rPr>
          <w:rFonts w:hint="eastAsia" w:ascii="宋体" w:hAnsi="宋体"/>
          <w:b/>
          <w:color w:val="auto"/>
          <w:sz w:val="40"/>
          <w:szCs w:val="48"/>
          <w:highlight w:val="none"/>
          <w:u w:val="single"/>
        </w:rPr>
        <w:t xml:space="preserve">      </w:t>
      </w:r>
      <w:r>
        <w:rPr>
          <w:rFonts w:hint="eastAsia" w:ascii="宋体" w:hAnsi="宋体"/>
          <w:color w:val="auto"/>
          <w:sz w:val="24"/>
          <w:highlight w:val="none"/>
        </w:rPr>
        <w:t>（盖单位电子签章）。</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法定代表人/单位负责人或授权代表（签字或加盖个人电子印章）：</w:t>
      </w:r>
      <w:r>
        <w:rPr>
          <w:rFonts w:hint="eastAsia" w:ascii="宋体" w:hAnsi="宋体"/>
          <w:b/>
          <w:color w:val="auto"/>
          <w:sz w:val="40"/>
          <w:szCs w:val="48"/>
          <w:highlight w:val="none"/>
          <w:u w:val="single"/>
        </w:rPr>
        <w:t xml:space="preserve">    </w:t>
      </w:r>
      <w:r>
        <w:rPr>
          <w:rFonts w:hint="eastAsia" w:ascii="宋体" w:hAnsi="宋体"/>
          <w:color w:val="auto"/>
          <w:sz w:val="24"/>
          <w:highlight w:val="none"/>
        </w:rPr>
        <w:t>。</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日期:</w:t>
      </w:r>
      <w:r>
        <w:rPr>
          <w:rFonts w:hint="eastAsia" w:ascii="宋体" w:hAnsi="宋体"/>
          <w:b/>
          <w:color w:val="auto"/>
          <w:sz w:val="40"/>
          <w:szCs w:val="48"/>
          <w:highlight w:val="none"/>
          <w:u w:val="single"/>
        </w:rPr>
        <w:t xml:space="preserve">      </w:t>
      </w:r>
      <w:r>
        <w:rPr>
          <w:rFonts w:hint="eastAsia" w:ascii="宋体" w:hAnsi="宋体"/>
          <w:color w:val="auto"/>
          <w:sz w:val="24"/>
          <w:highlight w:val="none"/>
        </w:rPr>
        <w:t>。</w:t>
      </w:r>
    </w:p>
    <w:p>
      <w:pPr>
        <w:widowControl/>
        <w:jc w:val="left"/>
        <w:rPr>
          <w:rFonts w:ascii="宋体" w:hAnsi="宋体"/>
          <w:b/>
          <w:color w:val="auto"/>
          <w:sz w:val="32"/>
          <w:szCs w:val="32"/>
          <w:highlight w:val="none"/>
        </w:rPr>
      </w:pPr>
      <w:r>
        <w:rPr>
          <w:rFonts w:ascii="宋体" w:hAnsi="宋体"/>
          <w:b/>
          <w:color w:val="auto"/>
          <w:sz w:val="32"/>
          <w:szCs w:val="32"/>
          <w:highlight w:val="none"/>
        </w:rPr>
        <w:br w:type="page"/>
      </w:r>
    </w:p>
    <w:p>
      <w:pPr>
        <w:widowControl/>
        <w:spacing w:line="360" w:lineRule="atLeast"/>
        <w:jc w:val="center"/>
        <w:outlineLvl w:val="1"/>
        <w:rPr>
          <w:rFonts w:ascii="宋体" w:hAnsi="宋体"/>
          <w:b/>
          <w:color w:val="auto"/>
          <w:sz w:val="32"/>
          <w:szCs w:val="32"/>
          <w:highlight w:val="none"/>
        </w:rPr>
      </w:pPr>
      <w:bookmarkStart w:id="90" w:name="_Toc217446090"/>
      <w:r>
        <w:rPr>
          <w:rFonts w:hint="eastAsia" w:ascii="宋体" w:hAnsi="宋体"/>
          <w:b/>
          <w:color w:val="auto"/>
          <w:sz w:val="32"/>
          <w:szCs w:val="32"/>
          <w:highlight w:val="none"/>
        </w:rPr>
        <w:t>十、供应商类似项目业绩一览表</w:t>
      </w:r>
    </w:p>
    <w:tbl>
      <w:tblPr>
        <w:tblStyle w:val="37"/>
        <w:tblW w:w="910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78"/>
        <w:gridCol w:w="1759"/>
        <w:gridCol w:w="1612"/>
        <w:gridCol w:w="1418"/>
        <w:gridCol w:w="1745"/>
        <w:gridCol w:w="168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78" w:type="dxa"/>
            <w:tcBorders>
              <w:top w:val="single" w:color="auto" w:sz="4" w:space="0"/>
            </w:tcBorders>
            <w:vAlign w:val="center"/>
          </w:tcPr>
          <w:p>
            <w:pPr>
              <w:spacing w:line="400" w:lineRule="exact"/>
              <w:ind w:firstLine="105" w:firstLineChars="50"/>
              <w:jc w:val="center"/>
              <w:rPr>
                <w:rFonts w:ascii="宋体" w:hAnsi="宋体" w:cs="Arial"/>
                <w:b/>
                <w:color w:val="auto"/>
                <w:highlight w:val="none"/>
              </w:rPr>
            </w:pPr>
            <w:r>
              <w:rPr>
                <w:rFonts w:hint="eastAsia" w:ascii="宋体" w:hAnsi="宋体" w:cs="Arial"/>
                <w:b/>
                <w:color w:val="auto"/>
                <w:highlight w:val="none"/>
              </w:rPr>
              <w:t>年份</w:t>
            </w:r>
          </w:p>
        </w:tc>
        <w:tc>
          <w:tcPr>
            <w:tcW w:w="1759" w:type="dxa"/>
            <w:vAlign w:val="center"/>
          </w:tcPr>
          <w:p>
            <w:pPr>
              <w:spacing w:line="400" w:lineRule="exact"/>
              <w:jc w:val="center"/>
              <w:rPr>
                <w:rFonts w:ascii="宋体" w:hAnsi="宋体" w:cs="Arial"/>
                <w:b/>
                <w:color w:val="auto"/>
                <w:highlight w:val="none"/>
              </w:rPr>
            </w:pPr>
            <w:r>
              <w:rPr>
                <w:rFonts w:hint="eastAsia" w:ascii="宋体" w:hAnsi="宋体" w:cs="Arial"/>
                <w:b/>
                <w:color w:val="auto"/>
                <w:highlight w:val="none"/>
              </w:rPr>
              <w:t>用户名称</w:t>
            </w:r>
          </w:p>
        </w:tc>
        <w:tc>
          <w:tcPr>
            <w:tcW w:w="1612" w:type="dxa"/>
            <w:vAlign w:val="center"/>
          </w:tcPr>
          <w:p>
            <w:pPr>
              <w:spacing w:line="400" w:lineRule="exact"/>
              <w:jc w:val="center"/>
              <w:rPr>
                <w:rFonts w:ascii="宋体" w:hAnsi="宋体" w:cs="Arial"/>
                <w:b/>
                <w:color w:val="auto"/>
                <w:highlight w:val="none"/>
              </w:rPr>
            </w:pPr>
            <w:r>
              <w:rPr>
                <w:rFonts w:ascii="宋体" w:hAnsi="宋体" w:cs="Arial"/>
                <w:b/>
                <w:color w:val="auto"/>
                <w:highlight w:val="none"/>
              </w:rPr>
              <w:t>项目名称</w:t>
            </w:r>
          </w:p>
        </w:tc>
        <w:tc>
          <w:tcPr>
            <w:tcW w:w="1418" w:type="dxa"/>
            <w:vAlign w:val="center"/>
          </w:tcPr>
          <w:p>
            <w:pPr>
              <w:spacing w:line="400" w:lineRule="exact"/>
              <w:jc w:val="center"/>
              <w:rPr>
                <w:rFonts w:ascii="宋体" w:hAnsi="宋体" w:cs="Arial"/>
                <w:b/>
                <w:color w:val="auto"/>
                <w:highlight w:val="none"/>
              </w:rPr>
            </w:pPr>
            <w:r>
              <w:rPr>
                <w:rFonts w:ascii="宋体" w:hAnsi="宋体" w:cs="Arial"/>
                <w:b/>
                <w:color w:val="auto"/>
                <w:highlight w:val="none"/>
              </w:rPr>
              <w:t>完成时间</w:t>
            </w:r>
          </w:p>
        </w:tc>
        <w:tc>
          <w:tcPr>
            <w:tcW w:w="1745" w:type="dxa"/>
            <w:vAlign w:val="center"/>
          </w:tcPr>
          <w:p>
            <w:pPr>
              <w:spacing w:line="400" w:lineRule="exact"/>
              <w:ind w:firstLine="105" w:firstLineChars="50"/>
              <w:jc w:val="center"/>
              <w:rPr>
                <w:rFonts w:ascii="宋体" w:hAnsi="宋体" w:cs="Arial"/>
                <w:b/>
                <w:color w:val="auto"/>
                <w:highlight w:val="none"/>
              </w:rPr>
            </w:pPr>
            <w:r>
              <w:rPr>
                <w:rFonts w:ascii="宋体" w:hAnsi="宋体" w:cs="Arial"/>
                <w:b/>
                <w:color w:val="auto"/>
                <w:highlight w:val="none"/>
              </w:rPr>
              <w:t>合同金额</w:t>
            </w:r>
          </w:p>
        </w:tc>
        <w:tc>
          <w:tcPr>
            <w:tcW w:w="1688" w:type="dxa"/>
            <w:tcBorders>
              <w:left w:val="single" w:color="auto" w:sz="4" w:space="0"/>
            </w:tcBorders>
            <w:vAlign w:val="center"/>
          </w:tcPr>
          <w:p>
            <w:pPr>
              <w:spacing w:line="400" w:lineRule="exact"/>
              <w:jc w:val="center"/>
              <w:rPr>
                <w:rFonts w:ascii="宋体" w:hAnsi="宋体" w:cs="Arial"/>
                <w:b/>
                <w:color w:val="auto"/>
                <w:highlight w:val="none"/>
              </w:rPr>
            </w:pPr>
            <w:r>
              <w:rPr>
                <w:rFonts w:hint="eastAsia" w:ascii="宋体" w:hAnsi="宋体" w:cs="Arial"/>
                <w:b/>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78" w:type="dxa"/>
            <w:vAlign w:val="center"/>
          </w:tcPr>
          <w:p>
            <w:pPr>
              <w:spacing w:line="400" w:lineRule="exact"/>
              <w:jc w:val="center"/>
              <w:rPr>
                <w:rFonts w:ascii="宋体" w:hAnsi="宋体" w:cs="Arial"/>
                <w:color w:val="auto"/>
                <w:highlight w:val="none"/>
              </w:rPr>
            </w:pPr>
          </w:p>
        </w:tc>
        <w:tc>
          <w:tcPr>
            <w:tcW w:w="1759" w:type="dxa"/>
            <w:vAlign w:val="center"/>
          </w:tcPr>
          <w:p>
            <w:pPr>
              <w:spacing w:line="400" w:lineRule="exact"/>
              <w:jc w:val="center"/>
              <w:rPr>
                <w:rFonts w:ascii="宋体" w:hAnsi="宋体" w:cs="Arial"/>
                <w:color w:val="auto"/>
                <w:highlight w:val="none"/>
              </w:rPr>
            </w:pPr>
          </w:p>
        </w:tc>
        <w:tc>
          <w:tcPr>
            <w:tcW w:w="1612" w:type="dxa"/>
            <w:vAlign w:val="center"/>
          </w:tcPr>
          <w:p>
            <w:pPr>
              <w:spacing w:line="400" w:lineRule="exact"/>
              <w:jc w:val="center"/>
              <w:rPr>
                <w:rFonts w:ascii="宋体" w:hAnsi="宋体" w:cs="Arial"/>
                <w:color w:val="auto"/>
                <w:highlight w:val="none"/>
              </w:rPr>
            </w:pPr>
          </w:p>
        </w:tc>
        <w:tc>
          <w:tcPr>
            <w:tcW w:w="1418" w:type="dxa"/>
            <w:vAlign w:val="center"/>
          </w:tcPr>
          <w:p>
            <w:pPr>
              <w:spacing w:line="400" w:lineRule="exact"/>
              <w:jc w:val="center"/>
              <w:rPr>
                <w:rFonts w:ascii="宋体" w:hAnsi="宋体" w:cs="Arial"/>
                <w:color w:val="auto"/>
                <w:highlight w:val="none"/>
              </w:rPr>
            </w:pPr>
          </w:p>
        </w:tc>
        <w:tc>
          <w:tcPr>
            <w:tcW w:w="1745" w:type="dxa"/>
            <w:vAlign w:val="center"/>
          </w:tcPr>
          <w:p>
            <w:pPr>
              <w:spacing w:line="400" w:lineRule="exact"/>
              <w:jc w:val="center"/>
              <w:rPr>
                <w:rFonts w:ascii="宋体" w:hAnsi="宋体" w:cs="Arial"/>
                <w:color w:val="auto"/>
                <w:highlight w:val="none"/>
              </w:rPr>
            </w:pPr>
          </w:p>
        </w:tc>
        <w:tc>
          <w:tcPr>
            <w:tcW w:w="1688" w:type="dxa"/>
            <w:tcBorders>
              <w:left w:val="single" w:color="auto" w:sz="4" w:space="0"/>
            </w:tcBorders>
            <w:vAlign w:val="center"/>
          </w:tcPr>
          <w:p>
            <w:pPr>
              <w:spacing w:line="400" w:lineRule="exact"/>
              <w:jc w:val="center"/>
              <w:rPr>
                <w:rFonts w:ascii="宋体" w:hAnsi="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78" w:type="dxa"/>
            <w:vAlign w:val="center"/>
          </w:tcPr>
          <w:p>
            <w:pPr>
              <w:spacing w:line="400" w:lineRule="exact"/>
              <w:jc w:val="center"/>
              <w:rPr>
                <w:rFonts w:ascii="宋体" w:hAnsi="宋体" w:cs="Arial"/>
                <w:color w:val="auto"/>
                <w:highlight w:val="none"/>
              </w:rPr>
            </w:pPr>
          </w:p>
        </w:tc>
        <w:tc>
          <w:tcPr>
            <w:tcW w:w="1759" w:type="dxa"/>
            <w:vAlign w:val="center"/>
          </w:tcPr>
          <w:p>
            <w:pPr>
              <w:spacing w:line="400" w:lineRule="exact"/>
              <w:jc w:val="center"/>
              <w:rPr>
                <w:rFonts w:ascii="宋体" w:hAnsi="宋体" w:cs="Arial"/>
                <w:color w:val="auto"/>
                <w:highlight w:val="none"/>
              </w:rPr>
            </w:pPr>
          </w:p>
        </w:tc>
        <w:tc>
          <w:tcPr>
            <w:tcW w:w="1612" w:type="dxa"/>
            <w:vAlign w:val="center"/>
          </w:tcPr>
          <w:p>
            <w:pPr>
              <w:spacing w:line="400" w:lineRule="exact"/>
              <w:jc w:val="center"/>
              <w:rPr>
                <w:rFonts w:ascii="宋体" w:hAnsi="宋体" w:cs="Arial"/>
                <w:color w:val="auto"/>
                <w:highlight w:val="none"/>
              </w:rPr>
            </w:pPr>
          </w:p>
        </w:tc>
        <w:tc>
          <w:tcPr>
            <w:tcW w:w="1418" w:type="dxa"/>
            <w:vAlign w:val="center"/>
          </w:tcPr>
          <w:p>
            <w:pPr>
              <w:spacing w:line="400" w:lineRule="exact"/>
              <w:jc w:val="center"/>
              <w:rPr>
                <w:rFonts w:ascii="宋体" w:hAnsi="宋体" w:cs="Arial"/>
                <w:color w:val="auto"/>
                <w:highlight w:val="none"/>
              </w:rPr>
            </w:pPr>
          </w:p>
        </w:tc>
        <w:tc>
          <w:tcPr>
            <w:tcW w:w="1745" w:type="dxa"/>
            <w:vAlign w:val="center"/>
          </w:tcPr>
          <w:p>
            <w:pPr>
              <w:spacing w:line="400" w:lineRule="exact"/>
              <w:jc w:val="center"/>
              <w:rPr>
                <w:rFonts w:ascii="宋体" w:hAnsi="宋体" w:cs="Arial"/>
                <w:color w:val="auto"/>
                <w:highlight w:val="none"/>
              </w:rPr>
            </w:pPr>
          </w:p>
        </w:tc>
        <w:tc>
          <w:tcPr>
            <w:tcW w:w="1688" w:type="dxa"/>
            <w:tcBorders>
              <w:left w:val="single" w:color="auto" w:sz="4" w:space="0"/>
            </w:tcBorders>
            <w:vAlign w:val="center"/>
          </w:tcPr>
          <w:p>
            <w:pPr>
              <w:spacing w:line="400" w:lineRule="exact"/>
              <w:jc w:val="center"/>
              <w:rPr>
                <w:rFonts w:ascii="宋体" w:hAnsi="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78" w:type="dxa"/>
            <w:vAlign w:val="center"/>
          </w:tcPr>
          <w:p>
            <w:pPr>
              <w:spacing w:line="400" w:lineRule="exact"/>
              <w:jc w:val="center"/>
              <w:rPr>
                <w:rFonts w:ascii="宋体" w:hAnsi="宋体" w:cs="Arial"/>
                <w:color w:val="auto"/>
                <w:highlight w:val="none"/>
              </w:rPr>
            </w:pPr>
          </w:p>
        </w:tc>
        <w:tc>
          <w:tcPr>
            <w:tcW w:w="1759" w:type="dxa"/>
            <w:vAlign w:val="center"/>
          </w:tcPr>
          <w:p>
            <w:pPr>
              <w:spacing w:line="400" w:lineRule="exact"/>
              <w:jc w:val="center"/>
              <w:rPr>
                <w:rFonts w:ascii="宋体" w:hAnsi="宋体" w:cs="Arial"/>
                <w:color w:val="auto"/>
                <w:highlight w:val="none"/>
              </w:rPr>
            </w:pPr>
          </w:p>
        </w:tc>
        <w:tc>
          <w:tcPr>
            <w:tcW w:w="1612" w:type="dxa"/>
            <w:vAlign w:val="center"/>
          </w:tcPr>
          <w:p>
            <w:pPr>
              <w:spacing w:line="400" w:lineRule="exact"/>
              <w:jc w:val="center"/>
              <w:rPr>
                <w:rFonts w:ascii="宋体" w:hAnsi="宋体" w:cs="Arial"/>
                <w:color w:val="auto"/>
                <w:highlight w:val="none"/>
              </w:rPr>
            </w:pPr>
          </w:p>
        </w:tc>
        <w:tc>
          <w:tcPr>
            <w:tcW w:w="1418" w:type="dxa"/>
            <w:vAlign w:val="center"/>
          </w:tcPr>
          <w:p>
            <w:pPr>
              <w:spacing w:line="400" w:lineRule="exact"/>
              <w:jc w:val="center"/>
              <w:rPr>
                <w:rFonts w:ascii="宋体" w:hAnsi="宋体" w:cs="Arial"/>
                <w:color w:val="auto"/>
                <w:highlight w:val="none"/>
              </w:rPr>
            </w:pPr>
          </w:p>
        </w:tc>
        <w:tc>
          <w:tcPr>
            <w:tcW w:w="1745" w:type="dxa"/>
            <w:vAlign w:val="center"/>
          </w:tcPr>
          <w:p>
            <w:pPr>
              <w:spacing w:line="400" w:lineRule="exact"/>
              <w:jc w:val="center"/>
              <w:rPr>
                <w:rFonts w:ascii="宋体" w:hAnsi="宋体" w:cs="Arial"/>
                <w:color w:val="auto"/>
                <w:highlight w:val="none"/>
              </w:rPr>
            </w:pPr>
          </w:p>
        </w:tc>
        <w:tc>
          <w:tcPr>
            <w:tcW w:w="1688" w:type="dxa"/>
            <w:tcBorders>
              <w:left w:val="single" w:color="auto" w:sz="4" w:space="0"/>
            </w:tcBorders>
            <w:vAlign w:val="center"/>
          </w:tcPr>
          <w:p>
            <w:pPr>
              <w:spacing w:line="400" w:lineRule="exact"/>
              <w:jc w:val="center"/>
              <w:rPr>
                <w:rFonts w:ascii="宋体" w:hAnsi="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78" w:type="dxa"/>
            <w:vAlign w:val="center"/>
          </w:tcPr>
          <w:p>
            <w:pPr>
              <w:spacing w:line="400" w:lineRule="exact"/>
              <w:jc w:val="center"/>
              <w:rPr>
                <w:rFonts w:ascii="宋体" w:hAnsi="宋体" w:cs="Arial"/>
                <w:color w:val="auto"/>
                <w:highlight w:val="none"/>
              </w:rPr>
            </w:pPr>
          </w:p>
        </w:tc>
        <w:tc>
          <w:tcPr>
            <w:tcW w:w="1759" w:type="dxa"/>
            <w:tcBorders>
              <w:right w:val="single" w:color="auto" w:sz="4" w:space="0"/>
            </w:tcBorders>
            <w:vAlign w:val="center"/>
          </w:tcPr>
          <w:p>
            <w:pPr>
              <w:spacing w:line="400" w:lineRule="exact"/>
              <w:jc w:val="center"/>
              <w:rPr>
                <w:rFonts w:ascii="宋体" w:hAnsi="宋体" w:cs="Arial"/>
                <w:color w:val="auto"/>
                <w:highlight w:val="none"/>
              </w:rPr>
            </w:pPr>
          </w:p>
        </w:tc>
        <w:tc>
          <w:tcPr>
            <w:tcW w:w="1612" w:type="dxa"/>
            <w:tcBorders>
              <w:left w:val="single" w:color="auto" w:sz="4" w:space="0"/>
            </w:tcBorders>
            <w:vAlign w:val="center"/>
          </w:tcPr>
          <w:p>
            <w:pPr>
              <w:spacing w:line="400" w:lineRule="exact"/>
              <w:jc w:val="center"/>
              <w:rPr>
                <w:rFonts w:ascii="宋体" w:hAnsi="宋体" w:cs="Arial"/>
                <w:color w:val="auto"/>
                <w:highlight w:val="none"/>
              </w:rPr>
            </w:pPr>
          </w:p>
        </w:tc>
        <w:tc>
          <w:tcPr>
            <w:tcW w:w="1418" w:type="dxa"/>
            <w:vAlign w:val="center"/>
          </w:tcPr>
          <w:p>
            <w:pPr>
              <w:spacing w:line="400" w:lineRule="exact"/>
              <w:jc w:val="center"/>
              <w:rPr>
                <w:rFonts w:ascii="宋体" w:hAnsi="宋体" w:cs="Arial"/>
                <w:color w:val="auto"/>
                <w:highlight w:val="none"/>
              </w:rPr>
            </w:pPr>
          </w:p>
        </w:tc>
        <w:tc>
          <w:tcPr>
            <w:tcW w:w="1745" w:type="dxa"/>
            <w:vAlign w:val="center"/>
          </w:tcPr>
          <w:p>
            <w:pPr>
              <w:spacing w:line="400" w:lineRule="exact"/>
              <w:jc w:val="center"/>
              <w:rPr>
                <w:rFonts w:ascii="宋体" w:hAnsi="宋体" w:cs="Arial"/>
                <w:color w:val="auto"/>
                <w:highlight w:val="none"/>
              </w:rPr>
            </w:pPr>
          </w:p>
        </w:tc>
        <w:tc>
          <w:tcPr>
            <w:tcW w:w="1688" w:type="dxa"/>
            <w:tcBorders>
              <w:left w:val="single" w:color="auto" w:sz="4" w:space="0"/>
            </w:tcBorders>
            <w:vAlign w:val="center"/>
          </w:tcPr>
          <w:p>
            <w:pPr>
              <w:spacing w:line="400" w:lineRule="exact"/>
              <w:jc w:val="center"/>
              <w:rPr>
                <w:rFonts w:ascii="宋体" w:hAnsi="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78" w:type="dxa"/>
            <w:tcBorders>
              <w:right w:val="single" w:color="auto" w:sz="4" w:space="0"/>
            </w:tcBorders>
            <w:vAlign w:val="center"/>
          </w:tcPr>
          <w:p>
            <w:pPr>
              <w:spacing w:line="400" w:lineRule="exact"/>
              <w:jc w:val="center"/>
              <w:rPr>
                <w:rFonts w:ascii="宋体" w:hAnsi="宋体" w:cs="Arial"/>
                <w:color w:val="auto"/>
                <w:highlight w:val="none"/>
              </w:rPr>
            </w:pPr>
          </w:p>
        </w:tc>
        <w:tc>
          <w:tcPr>
            <w:tcW w:w="1759" w:type="dxa"/>
            <w:tcBorders>
              <w:left w:val="single" w:color="auto" w:sz="4" w:space="0"/>
              <w:right w:val="single" w:color="auto" w:sz="4" w:space="0"/>
            </w:tcBorders>
            <w:vAlign w:val="center"/>
          </w:tcPr>
          <w:p>
            <w:pPr>
              <w:spacing w:line="400" w:lineRule="exact"/>
              <w:jc w:val="center"/>
              <w:rPr>
                <w:rFonts w:ascii="宋体" w:hAnsi="宋体" w:cs="Arial"/>
                <w:color w:val="auto"/>
                <w:highlight w:val="none"/>
              </w:rPr>
            </w:pPr>
          </w:p>
        </w:tc>
        <w:tc>
          <w:tcPr>
            <w:tcW w:w="1612" w:type="dxa"/>
            <w:tcBorders>
              <w:left w:val="single" w:color="auto" w:sz="4" w:space="0"/>
              <w:right w:val="single" w:color="auto" w:sz="4" w:space="0"/>
            </w:tcBorders>
            <w:vAlign w:val="center"/>
          </w:tcPr>
          <w:p>
            <w:pPr>
              <w:spacing w:line="400" w:lineRule="exact"/>
              <w:jc w:val="center"/>
              <w:rPr>
                <w:rFonts w:ascii="宋体" w:hAnsi="宋体" w:cs="Arial"/>
                <w:color w:val="auto"/>
                <w:highlight w:val="none"/>
              </w:rPr>
            </w:pPr>
          </w:p>
        </w:tc>
        <w:tc>
          <w:tcPr>
            <w:tcW w:w="1418" w:type="dxa"/>
            <w:tcBorders>
              <w:left w:val="single" w:color="auto" w:sz="4" w:space="0"/>
              <w:right w:val="single" w:color="auto" w:sz="4" w:space="0"/>
            </w:tcBorders>
            <w:vAlign w:val="center"/>
          </w:tcPr>
          <w:p>
            <w:pPr>
              <w:spacing w:line="400" w:lineRule="exact"/>
              <w:jc w:val="center"/>
              <w:rPr>
                <w:rFonts w:ascii="宋体" w:hAnsi="宋体" w:cs="Arial"/>
                <w:color w:val="auto"/>
                <w:highlight w:val="none"/>
              </w:rPr>
            </w:pPr>
          </w:p>
        </w:tc>
        <w:tc>
          <w:tcPr>
            <w:tcW w:w="1745" w:type="dxa"/>
            <w:tcBorders>
              <w:left w:val="single" w:color="auto" w:sz="4" w:space="0"/>
              <w:right w:val="single" w:color="auto" w:sz="4" w:space="0"/>
            </w:tcBorders>
            <w:vAlign w:val="center"/>
          </w:tcPr>
          <w:p>
            <w:pPr>
              <w:spacing w:line="400" w:lineRule="exact"/>
              <w:jc w:val="center"/>
              <w:rPr>
                <w:rFonts w:ascii="宋体" w:hAnsi="宋体" w:cs="Arial"/>
                <w:color w:val="auto"/>
                <w:highlight w:val="none"/>
              </w:rPr>
            </w:pPr>
          </w:p>
        </w:tc>
        <w:tc>
          <w:tcPr>
            <w:tcW w:w="1688" w:type="dxa"/>
            <w:tcBorders>
              <w:left w:val="single" w:color="auto" w:sz="4" w:space="0"/>
            </w:tcBorders>
            <w:vAlign w:val="center"/>
          </w:tcPr>
          <w:p>
            <w:pPr>
              <w:spacing w:line="400" w:lineRule="exact"/>
              <w:jc w:val="center"/>
              <w:rPr>
                <w:rFonts w:ascii="宋体" w:hAnsi="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78" w:type="dxa"/>
            <w:vAlign w:val="center"/>
          </w:tcPr>
          <w:p>
            <w:pPr>
              <w:spacing w:line="400" w:lineRule="exact"/>
              <w:jc w:val="center"/>
              <w:rPr>
                <w:rFonts w:ascii="宋体" w:hAnsi="宋体" w:cs="Arial"/>
                <w:color w:val="auto"/>
                <w:highlight w:val="none"/>
              </w:rPr>
            </w:pPr>
          </w:p>
        </w:tc>
        <w:tc>
          <w:tcPr>
            <w:tcW w:w="1759" w:type="dxa"/>
            <w:vAlign w:val="center"/>
          </w:tcPr>
          <w:p>
            <w:pPr>
              <w:spacing w:line="400" w:lineRule="exact"/>
              <w:jc w:val="center"/>
              <w:rPr>
                <w:rFonts w:ascii="宋体" w:hAnsi="宋体" w:cs="Arial"/>
                <w:color w:val="auto"/>
                <w:highlight w:val="none"/>
              </w:rPr>
            </w:pPr>
          </w:p>
        </w:tc>
        <w:tc>
          <w:tcPr>
            <w:tcW w:w="1612" w:type="dxa"/>
            <w:vAlign w:val="center"/>
          </w:tcPr>
          <w:p>
            <w:pPr>
              <w:spacing w:line="400" w:lineRule="exact"/>
              <w:jc w:val="center"/>
              <w:rPr>
                <w:rFonts w:ascii="宋体" w:hAnsi="宋体" w:cs="Arial"/>
                <w:color w:val="auto"/>
                <w:highlight w:val="none"/>
              </w:rPr>
            </w:pPr>
          </w:p>
        </w:tc>
        <w:tc>
          <w:tcPr>
            <w:tcW w:w="1418" w:type="dxa"/>
            <w:vAlign w:val="center"/>
          </w:tcPr>
          <w:p>
            <w:pPr>
              <w:spacing w:line="400" w:lineRule="exact"/>
              <w:jc w:val="center"/>
              <w:rPr>
                <w:rFonts w:ascii="宋体" w:hAnsi="宋体" w:cs="Arial"/>
                <w:color w:val="auto"/>
                <w:highlight w:val="none"/>
              </w:rPr>
            </w:pPr>
          </w:p>
        </w:tc>
        <w:tc>
          <w:tcPr>
            <w:tcW w:w="1745" w:type="dxa"/>
            <w:tcBorders>
              <w:right w:val="single" w:color="auto" w:sz="4" w:space="0"/>
            </w:tcBorders>
            <w:vAlign w:val="center"/>
          </w:tcPr>
          <w:p>
            <w:pPr>
              <w:spacing w:line="400" w:lineRule="exact"/>
              <w:jc w:val="center"/>
              <w:rPr>
                <w:rFonts w:ascii="宋体" w:hAnsi="宋体" w:cs="Arial"/>
                <w:color w:val="auto"/>
                <w:highlight w:val="none"/>
              </w:rPr>
            </w:pPr>
          </w:p>
        </w:tc>
        <w:tc>
          <w:tcPr>
            <w:tcW w:w="1688" w:type="dxa"/>
            <w:tcBorders>
              <w:left w:val="single" w:color="auto" w:sz="4" w:space="0"/>
            </w:tcBorders>
            <w:vAlign w:val="center"/>
          </w:tcPr>
          <w:p>
            <w:pPr>
              <w:spacing w:line="400" w:lineRule="exact"/>
              <w:jc w:val="center"/>
              <w:rPr>
                <w:rFonts w:ascii="宋体" w:hAnsi="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78" w:type="dxa"/>
            <w:vAlign w:val="center"/>
          </w:tcPr>
          <w:p>
            <w:pPr>
              <w:spacing w:line="400" w:lineRule="exact"/>
              <w:jc w:val="center"/>
              <w:rPr>
                <w:rFonts w:ascii="宋体" w:hAnsi="宋体" w:cs="Arial"/>
                <w:color w:val="auto"/>
                <w:highlight w:val="none"/>
              </w:rPr>
            </w:pPr>
          </w:p>
        </w:tc>
        <w:tc>
          <w:tcPr>
            <w:tcW w:w="1759" w:type="dxa"/>
            <w:vAlign w:val="center"/>
          </w:tcPr>
          <w:p>
            <w:pPr>
              <w:spacing w:line="400" w:lineRule="exact"/>
              <w:jc w:val="center"/>
              <w:rPr>
                <w:rFonts w:ascii="宋体" w:hAnsi="宋体" w:cs="Arial"/>
                <w:color w:val="auto"/>
                <w:highlight w:val="none"/>
              </w:rPr>
            </w:pPr>
          </w:p>
        </w:tc>
        <w:tc>
          <w:tcPr>
            <w:tcW w:w="1612" w:type="dxa"/>
            <w:vAlign w:val="center"/>
          </w:tcPr>
          <w:p>
            <w:pPr>
              <w:spacing w:line="400" w:lineRule="exact"/>
              <w:jc w:val="center"/>
              <w:rPr>
                <w:rFonts w:ascii="宋体" w:hAnsi="宋体" w:cs="Arial"/>
                <w:color w:val="auto"/>
                <w:highlight w:val="none"/>
              </w:rPr>
            </w:pPr>
          </w:p>
        </w:tc>
        <w:tc>
          <w:tcPr>
            <w:tcW w:w="1418" w:type="dxa"/>
            <w:vAlign w:val="center"/>
          </w:tcPr>
          <w:p>
            <w:pPr>
              <w:spacing w:line="400" w:lineRule="exact"/>
              <w:jc w:val="center"/>
              <w:rPr>
                <w:rFonts w:ascii="宋体" w:hAnsi="宋体" w:cs="Arial"/>
                <w:color w:val="auto"/>
                <w:highlight w:val="none"/>
              </w:rPr>
            </w:pPr>
          </w:p>
        </w:tc>
        <w:tc>
          <w:tcPr>
            <w:tcW w:w="1745" w:type="dxa"/>
            <w:tcBorders>
              <w:right w:val="single" w:color="auto" w:sz="4" w:space="0"/>
            </w:tcBorders>
            <w:vAlign w:val="center"/>
          </w:tcPr>
          <w:p>
            <w:pPr>
              <w:spacing w:line="400" w:lineRule="exact"/>
              <w:jc w:val="center"/>
              <w:rPr>
                <w:rFonts w:ascii="宋体" w:hAnsi="宋体" w:cs="Arial"/>
                <w:color w:val="auto"/>
                <w:highlight w:val="none"/>
              </w:rPr>
            </w:pPr>
          </w:p>
        </w:tc>
        <w:tc>
          <w:tcPr>
            <w:tcW w:w="1688" w:type="dxa"/>
            <w:tcBorders>
              <w:left w:val="single" w:color="auto" w:sz="4" w:space="0"/>
            </w:tcBorders>
            <w:vAlign w:val="center"/>
          </w:tcPr>
          <w:p>
            <w:pPr>
              <w:spacing w:line="400" w:lineRule="exact"/>
              <w:jc w:val="center"/>
              <w:rPr>
                <w:rFonts w:ascii="宋体" w:hAnsi="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78" w:type="dxa"/>
            <w:vAlign w:val="center"/>
          </w:tcPr>
          <w:p>
            <w:pPr>
              <w:spacing w:line="400" w:lineRule="exact"/>
              <w:jc w:val="center"/>
              <w:rPr>
                <w:rFonts w:ascii="宋体" w:hAnsi="宋体" w:cs="Arial"/>
                <w:color w:val="auto"/>
                <w:highlight w:val="none"/>
              </w:rPr>
            </w:pPr>
          </w:p>
        </w:tc>
        <w:tc>
          <w:tcPr>
            <w:tcW w:w="1759" w:type="dxa"/>
            <w:vAlign w:val="center"/>
          </w:tcPr>
          <w:p>
            <w:pPr>
              <w:spacing w:line="400" w:lineRule="exact"/>
              <w:jc w:val="center"/>
              <w:rPr>
                <w:rFonts w:ascii="宋体" w:hAnsi="宋体" w:cs="Arial"/>
                <w:color w:val="auto"/>
                <w:highlight w:val="none"/>
              </w:rPr>
            </w:pPr>
          </w:p>
        </w:tc>
        <w:tc>
          <w:tcPr>
            <w:tcW w:w="1612" w:type="dxa"/>
            <w:vAlign w:val="center"/>
          </w:tcPr>
          <w:p>
            <w:pPr>
              <w:spacing w:line="400" w:lineRule="exact"/>
              <w:jc w:val="center"/>
              <w:rPr>
                <w:rFonts w:ascii="宋体" w:hAnsi="宋体" w:cs="Arial"/>
                <w:color w:val="auto"/>
                <w:highlight w:val="none"/>
              </w:rPr>
            </w:pPr>
          </w:p>
        </w:tc>
        <w:tc>
          <w:tcPr>
            <w:tcW w:w="1418" w:type="dxa"/>
            <w:vAlign w:val="center"/>
          </w:tcPr>
          <w:p>
            <w:pPr>
              <w:spacing w:line="400" w:lineRule="exact"/>
              <w:jc w:val="center"/>
              <w:rPr>
                <w:rFonts w:ascii="宋体" w:hAnsi="宋体" w:cs="Arial"/>
                <w:color w:val="auto"/>
                <w:highlight w:val="none"/>
              </w:rPr>
            </w:pPr>
          </w:p>
        </w:tc>
        <w:tc>
          <w:tcPr>
            <w:tcW w:w="1745" w:type="dxa"/>
            <w:tcBorders>
              <w:right w:val="single" w:color="auto" w:sz="4" w:space="0"/>
            </w:tcBorders>
            <w:vAlign w:val="center"/>
          </w:tcPr>
          <w:p>
            <w:pPr>
              <w:spacing w:line="400" w:lineRule="exact"/>
              <w:jc w:val="center"/>
              <w:rPr>
                <w:rFonts w:ascii="宋体" w:hAnsi="宋体" w:cs="Arial"/>
                <w:color w:val="auto"/>
                <w:highlight w:val="none"/>
              </w:rPr>
            </w:pPr>
          </w:p>
        </w:tc>
        <w:tc>
          <w:tcPr>
            <w:tcW w:w="1688" w:type="dxa"/>
            <w:tcBorders>
              <w:left w:val="single" w:color="auto" w:sz="4" w:space="0"/>
            </w:tcBorders>
            <w:vAlign w:val="center"/>
          </w:tcPr>
          <w:p>
            <w:pPr>
              <w:spacing w:line="400" w:lineRule="exact"/>
              <w:jc w:val="center"/>
              <w:rPr>
                <w:rFonts w:ascii="宋体" w:hAnsi="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878" w:type="dxa"/>
            <w:tcBorders>
              <w:bottom w:val="single" w:color="auto" w:sz="4" w:space="0"/>
            </w:tcBorders>
            <w:vAlign w:val="center"/>
          </w:tcPr>
          <w:p>
            <w:pPr>
              <w:spacing w:line="400" w:lineRule="exact"/>
              <w:jc w:val="center"/>
              <w:rPr>
                <w:rFonts w:ascii="宋体" w:hAnsi="宋体" w:cs="Arial"/>
                <w:color w:val="auto"/>
                <w:highlight w:val="none"/>
              </w:rPr>
            </w:pPr>
          </w:p>
        </w:tc>
        <w:tc>
          <w:tcPr>
            <w:tcW w:w="1759" w:type="dxa"/>
            <w:tcBorders>
              <w:bottom w:val="single" w:color="auto" w:sz="4" w:space="0"/>
            </w:tcBorders>
            <w:vAlign w:val="center"/>
          </w:tcPr>
          <w:p>
            <w:pPr>
              <w:spacing w:line="400" w:lineRule="exact"/>
              <w:jc w:val="center"/>
              <w:rPr>
                <w:rFonts w:ascii="宋体" w:hAnsi="宋体" w:cs="Arial"/>
                <w:color w:val="auto"/>
                <w:highlight w:val="none"/>
              </w:rPr>
            </w:pPr>
          </w:p>
        </w:tc>
        <w:tc>
          <w:tcPr>
            <w:tcW w:w="1612" w:type="dxa"/>
            <w:tcBorders>
              <w:bottom w:val="single" w:color="auto" w:sz="4" w:space="0"/>
            </w:tcBorders>
            <w:vAlign w:val="center"/>
          </w:tcPr>
          <w:p>
            <w:pPr>
              <w:spacing w:line="400" w:lineRule="exact"/>
              <w:jc w:val="center"/>
              <w:rPr>
                <w:rFonts w:ascii="宋体" w:hAnsi="宋体" w:cs="Arial"/>
                <w:color w:val="auto"/>
                <w:highlight w:val="none"/>
              </w:rPr>
            </w:pPr>
          </w:p>
        </w:tc>
        <w:tc>
          <w:tcPr>
            <w:tcW w:w="1418" w:type="dxa"/>
            <w:tcBorders>
              <w:bottom w:val="single" w:color="auto" w:sz="4" w:space="0"/>
            </w:tcBorders>
            <w:vAlign w:val="center"/>
          </w:tcPr>
          <w:p>
            <w:pPr>
              <w:spacing w:line="400" w:lineRule="exact"/>
              <w:jc w:val="center"/>
              <w:rPr>
                <w:rFonts w:ascii="宋体" w:hAnsi="宋体" w:cs="Arial"/>
                <w:color w:val="auto"/>
                <w:highlight w:val="none"/>
              </w:rPr>
            </w:pPr>
          </w:p>
        </w:tc>
        <w:tc>
          <w:tcPr>
            <w:tcW w:w="1745" w:type="dxa"/>
            <w:tcBorders>
              <w:bottom w:val="single" w:color="auto" w:sz="4" w:space="0"/>
              <w:right w:val="single" w:color="auto" w:sz="4" w:space="0"/>
            </w:tcBorders>
            <w:vAlign w:val="center"/>
          </w:tcPr>
          <w:p>
            <w:pPr>
              <w:spacing w:line="400" w:lineRule="exact"/>
              <w:jc w:val="center"/>
              <w:rPr>
                <w:rFonts w:ascii="宋体" w:hAnsi="宋体" w:cs="Arial"/>
                <w:color w:val="auto"/>
                <w:highlight w:val="none"/>
              </w:rPr>
            </w:pPr>
          </w:p>
        </w:tc>
        <w:tc>
          <w:tcPr>
            <w:tcW w:w="1688" w:type="dxa"/>
            <w:tcBorders>
              <w:left w:val="single" w:color="auto" w:sz="4" w:space="0"/>
              <w:bottom w:val="single" w:color="auto" w:sz="4" w:space="0"/>
            </w:tcBorders>
            <w:vAlign w:val="center"/>
          </w:tcPr>
          <w:p>
            <w:pPr>
              <w:spacing w:line="400" w:lineRule="exact"/>
              <w:jc w:val="center"/>
              <w:rPr>
                <w:rFonts w:ascii="宋体" w:hAnsi="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878" w:type="dxa"/>
            <w:tcBorders>
              <w:top w:val="single" w:color="auto" w:sz="4" w:space="0"/>
              <w:bottom w:val="single" w:color="auto" w:sz="4" w:space="0"/>
            </w:tcBorders>
            <w:vAlign w:val="center"/>
          </w:tcPr>
          <w:p>
            <w:pPr>
              <w:spacing w:line="400" w:lineRule="exact"/>
              <w:jc w:val="center"/>
              <w:rPr>
                <w:rFonts w:ascii="宋体" w:hAnsi="宋体" w:cs="Arial"/>
                <w:color w:val="auto"/>
                <w:highlight w:val="none"/>
              </w:rPr>
            </w:pPr>
          </w:p>
        </w:tc>
        <w:tc>
          <w:tcPr>
            <w:tcW w:w="1759" w:type="dxa"/>
            <w:tcBorders>
              <w:top w:val="single" w:color="auto" w:sz="4" w:space="0"/>
              <w:bottom w:val="single" w:color="auto" w:sz="4" w:space="0"/>
            </w:tcBorders>
            <w:vAlign w:val="center"/>
          </w:tcPr>
          <w:p>
            <w:pPr>
              <w:spacing w:line="400" w:lineRule="exact"/>
              <w:jc w:val="center"/>
              <w:rPr>
                <w:rFonts w:ascii="宋体" w:hAnsi="宋体" w:cs="Arial"/>
                <w:color w:val="auto"/>
                <w:highlight w:val="none"/>
              </w:rPr>
            </w:pPr>
          </w:p>
        </w:tc>
        <w:tc>
          <w:tcPr>
            <w:tcW w:w="1612" w:type="dxa"/>
            <w:tcBorders>
              <w:top w:val="single" w:color="auto" w:sz="4" w:space="0"/>
              <w:bottom w:val="single" w:color="auto" w:sz="4" w:space="0"/>
            </w:tcBorders>
            <w:vAlign w:val="center"/>
          </w:tcPr>
          <w:p>
            <w:pPr>
              <w:spacing w:line="400" w:lineRule="exact"/>
              <w:jc w:val="center"/>
              <w:rPr>
                <w:rFonts w:ascii="宋体" w:hAnsi="宋体" w:cs="Arial"/>
                <w:color w:val="auto"/>
                <w:highlight w:val="none"/>
              </w:rPr>
            </w:pPr>
          </w:p>
        </w:tc>
        <w:tc>
          <w:tcPr>
            <w:tcW w:w="1418" w:type="dxa"/>
            <w:tcBorders>
              <w:top w:val="single" w:color="auto" w:sz="4" w:space="0"/>
              <w:bottom w:val="single" w:color="auto" w:sz="4" w:space="0"/>
            </w:tcBorders>
            <w:vAlign w:val="center"/>
          </w:tcPr>
          <w:p>
            <w:pPr>
              <w:spacing w:line="400" w:lineRule="exact"/>
              <w:jc w:val="center"/>
              <w:rPr>
                <w:rFonts w:ascii="宋体" w:hAnsi="宋体" w:cs="Arial"/>
                <w:color w:val="auto"/>
                <w:highlight w:val="none"/>
              </w:rPr>
            </w:pPr>
          </w:p>
        </w:tc>
        <w:tc>
          <w:tcPr>
            <w:tcW w:w="1745"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Arial"/>
                <w:color w:val="auto"/>
                <w:highlight w:val="none"/>
              </w:rPr>
            </w:pPr>
          </w:p>
        </w:tc>
        <w:tc>
          <w:tcPr>
            <w:tcW w:w="1688" w:type="dxa"/>
            <w:tcBorders>
              <w:top w:val="single" w:color="auto" w:sz="4" w:space="0"/>
              <w:left w:val="single" w:color="auto" w:sz="4" w:space="0"/>
              <w:bottom w:val="single" w:color="auto" w:sz="4" w:space="0"/>
            </w:tcBorders>
            <w:vAlign w:val="center"/>
          </w:tcPr>
          <w:p>
            <w:pPr>
              <w:spacing w:line="400" w:lineRule="exact"/>
              <w:jc w:val="center"/>
              <w:rPr>
                <w:rFonts w:ascii="宋体" w:hAnsi="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878" w:type="dxa"/>
            <w:tcBorders>
              <w:top w:val="single" w:color="auto" w:sz="4" w:space="0"/>
              <w:bottom w:val="single" w:color="auto" w:sz="4" w:space="0"/>
            </w:tcBorders>
            <w:vAlign w:val="center"/>
          </w:tcPr>
          <w:p>
            <w:pPr>
              <w:spacing w:line="400" w:lineRule="exact"/>
              <w:jc w:val="center"/>
              <w:rPr>
                <w:rFonts w:ascii="宋体" w:hAnsi="宋体" w:cs="Arial"/>
                <w:color w:val="auto"/>
                <w:highlight w:val="none"/>
              </w:rPr>
            </w:pPr>
          </w:p>
        </w:tc>
        <w:tc>
          <w:tcPr>
            <w:tcW w:w="1759" w:type="dxa"/>
            <w:tcBorders>
              <w:top w:val="single" w:color="auto" w:sz="4" w:space="0"/>
              <w:bottom w:val="single" w:color="auto" w:sz="4" w:space="0"/>
            </w:tcBorders>
            <w:vAlign w:val="center"/>
          </w:tcPr>
          <w:p>
            <w:pPr>
              <w:spacing w:line="400" w:lineRule="exact"/>
              <w:jc w:val="center"/>
              <w:rPr>
                <w:rFonts w:ascii="宋体" w:hAnsi="宋体" w:cs="Arial"/>
                <w:color w:val="auto"/>
                <w:highlight w:val="none"/>
              </w:rPr>
            </w:pPr>
          </w:p>
        </w:tc>
        <w:tc>
          <w:tcPr>
            <w:tcW w:w="1612" w:type="dxa"/>
            <w:tcBorders>
              <w:top w:val="single" w:color="auto" w:sz="4" w:space="0"/>
              <w:bottom w:val="single" w:color="auto" w:sz="4" w:space="0"/>
            </w:tcBorders>
            <w:vAlign w:val="center"/>
          </w:tcPr>
          <w:p>
            <w:pPr>
              <w:spacing w:line="400" w:lineRule="exact"/>
              <w:jc w:val="center"/>
              <w:rPr>
                <w:rFonts w:ascii="宋体" w:hAnsi="宋体" w:cs="Arial"/>
                <w:color w:val="auto"/>
                <w:highlight w:val="none"/>
              </w:rPr>
            </w:pPr>
          </w:p>
        </w:tc>
        <w:tc>
          <w:tcPr>
            <w:tcW w:w="1418" w:type="dxa"/>
            <w:tcBorders>
              <w:top w:val="single" w:color="auto" w:sz="4" w:space="0"/>
              <w:bottom w:val="single" w:color="auto" w:sz="4" w:space="0"/>
            </w:tcBorders>
            <w:vAlign w:val="center"/>
          </w:tcPr>
          <w:p>
            <w:pPr>
              <w:spacing w:line="400" w:lineRule="exact"/>
              <w:jc w:val="center"/>
              <w:rPr>
                <w:rFonts w:ascii="宋体" w:hAnsi="宋体" w:cs="Arial"/>
                <w:color w:val="auto"/>
                <w:highlight w:val="none"/>
              </w:rPr>
            </w:pPr>
          </w:p>
        </w:tc>
        <w:tc>
          <w:tcPr>
            <w:tcW w:w="1745"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Arial"/>
                <w:color w:val="auto"/>
                <w:highlight w:val="none"/>
              </w:rPr>
            </w:pPr>
          </w:p>
        </w:tc>
        <w:tc>
          <w:tcPr>
            <w:tcW w:w="1688" w:type="dxa"/>
            <w:tcBorders>
              <w:top w:val="single" w:color="auto" w:sz="4" w:space="0"/>
              <w:left w:val="single" w:color="auto" w:sz="4" w:space="0"/>
              <w:bottom w:val="single" w:color="auto" w:sz="4" w:space="0"/>
            </w:tcBorders>
            <w:vAlign w:val="center"/>
          </w:tcPr>
          <w:p>
            <w:pPr>
              <w:spacing w:line="400" w:lineRule="exact"/>
              <w:jc w:val="center"/>
              <w:rPr>
                <w:rFonts w:ascii="宋体" w:hAnsi="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878" w:type="dxa"/>
            <w:tcBorders>
              <w:top w:val="single" w:color="auto" w:sz="4" w:space="0"/>
              <w:bottom w:val="single" w:color="auto" w:sz="4" w:space="0"/>
            </w:tcBorders>
            <w:vAlign w:val="center"/>
          </w:tcPr>
          <w:p>
            <w:pPr>
              <w:spacing w:line="400" w:lineRule="exact"/>
              <w:jc w:val="center"/>
              <w:rPr>
                <w:rFonts w:ascii="宋体" w:hAnsi="宋体" w:cs="Arial"/>
                <w:color w:val="auto"/>
                <w:highlight w:val="none"/>
              </w:rPr>
            </w:pPr>
          </w:p>
        </w:tc>
        <w:tc>
          <w:tcPr>
            <w:tcW w:w="1759" w:type="dxa"/>
            <w:tcBorders>
              <w:top w:val="single" w:color="auto" w:sz="4" w:space="0"/>
              <w:bottom w:val="single" w:color="auto" w:sz="4" w:space="0"/>
            </w:tcBorders>
            <w:vAlign w:val="center"/>
          </w:tcPr>
          <w:p>
            <w:pPr>
              <w:spacing w:line="400" w:lineRule="exact"/>
              <w:jc w:val="center"/>
              <w:rPr>
                <w:rFonts w:ascii="宋体" w:hAnsi="宋体" w:cs="Arial"/>
                <w:color w:val="auto"/>
                <w:highlight w:val="none"/>
              </w:rPr>
            </w:pPr>
          </w:p>
        </w:tc>
        <w:tc>
          <w:tcPr>
            <w:tcW w:w="1612" w:type="dxa"/>
            <w:tcBorders>
              <w:top w:val="single" w:color="auto" w:sz="4" w:space="0"/>
              <w:bottom w:val="single" w:color="auto" w:sz="4" w:space="0"/>
            </w:tcBorders>
            <w:vAlign w:val="center"/>
          </w:tcPr>
          <w:p>
            <w:pPr>
              <w:spacing w:line="400" w:lineRule="exact"/>
              <w:jc w:val="center"/>
              <w:rPr>
                <w:rFonts w:ascii="宋体" w:hAnsi="宋体" w:cs="Arial"/>
                <w:color w:val="auto"/>
                <w:highlight w:val="none"/>
              </w:rPr>
            </w:pPr>
          </w:p>
        </w:tc>
        <w:tc>
          <w:tcPr>
            <w:tcW w:w="1418" w:type="dxa"/>
            <w:tcBorders>
              <w:top w:val="single" w:color="auto" w:sz="4" w:space="0"/>
              <w:bottom w:val="single" w:color="auto" w:sz="4" w:space="0"/>
            </w:tcBorders>
            <w:vAlign w:val="center"/>
          </w:tcPr>
          <w:p>
            <w:pPr>
              <w:spacing w:line="400" w:lineRule="exact"/>
              <w:jc w:val="center"/>
              <w:rPr>
                <w:rFonts w:ascii="宋体" w:hAnsi="宋体" w:cs="Arial"/>
                <w:color w:val="auto"/>
                <w:highlight w:val="none"/>
              </w:rPr>
            </w:pPr>
          </w:p>
        </w:tc>
        <w:tc>
          <w:tcPr>
            <w:tcW w:w="1745"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Arial"/>
                <w:color w:val="auto"/>
                <w:highlight w:val="none"/>
              </w:rPr>
            </w:pPr>
          </w:p>
        </w:tc>
        <w:tc>
          <w:tcPr>
            <w:tcW w:w="1688" w:type="dxa"/>
            <w:tcBorders>
              <w:top w:val="single" w:color="auto" w:sz="4" w:space="0"/>
              <w:left w:val="single" w:color="auto" w:sz="4" w:space="0"/>
              <w:bottom w:val="single" w:color="auto" w:sz="4" w:space="0"/>
            </w:tcBorders>
            <w:vAlign w:val="center"/>
          </w:tcPr>
          <w:p>
            <w:pPr>
              <w:spacing w:line="400" w:lineRule="exact"/>
              <w:jc w:val="center"/>
              <w:rPr>
                <w:rFonts w:ascii="宋体" w:hAnsi="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878" w:type="dxa"/>
            <w:tcBorders>
              <w:top w:val="single" w:color="auto" w:sz="4" w:space="0"/>
            </w:tcBorders>
            <w:vAlign w:val="center"/>
          </w:tcPr>
          <w:p>
            <w:pPr>
              <w:spacing w:line="400" w:lineRule="exact"/>
              <w:jc w:val="center"/>
              <w:rPr>
                <w:rFonts w:ascii="宋体" w:hAnsi="宋体" w:cs="Arial"/>
                <w:color w:val="auto"/>
                <w:highlight w:val="none"/>
              </w:rPr>
            </w:pPr>
            <w:r>
              <w:rPr>
                <w:rFonts w:hint="eastAsia" w:ascii="宋体" w:hAnsi="宋体" w:cs="Arial"/>
                <w:color w:val="auto"/>
                <w:highlight w:val="none"/>
              </w:rPr>
              <w:t>...</w:t>
            </w:r>
          </w:p>
        </w:tc>
        <w:tc>
          <w:tcPr>
            <w:tcW w:w="1759" w:type="dxa"/>
            <w:tcBorders>
              <w:top w:val="single" w:color="auto" w:sz="4" w:space="0"/>
            </w:tcBorders>
            <w:vAlign w:val="center"/>
          </w:tcPr>
          <w:p>
            <w:pPr>
              <w:spacing w:line="400" w:lineRule="exact"/>
              <w:jc w:val="center"/>
              <w:rPr>
                <w:rFonts w:ascii="宋体" w:hAnsi="宋体" w:cs="Arial"/>
                <w:color w:val="auto"/>
                <w:highlight w:val="none"/>
              </w:rPr>
            </w:pPr>
          </w:p>
        </w:tc>
        <w:tc>
          <w:tcPr>
            <w:tcW w:w="1612" w:type="dxa"/>
            <w:tcBorders>
              <w:top w:val="single" w:color="auto" w:sz="4" w:space="0"/>
            </w:tcBorders>
            <w:vAlign w:val="center"/>
          </w:tcPr>
          <w:p>
            <w:pPr>
              <w:spacing w:line="400" w:lineRule="exact"/>
              <w:jc w:val="center"/>
              <w:rPr>
                <w:rFonts w:ascii="宋体" w:hAnsi="宋体" w:cs="Arial"/>
                <w:color w:val="auto"/>
                <w:highlight w:val="none"/>
              </w:rPr>
            </w:pPr>
          </w:p>
        </w:tc>
        <w:tc>
          <w:tcPr>
            <w:tcW w:w="1418" w:type="dxa"/>
            <w:tcBorders>
              <w:top w:val="single" w:color="auto" w:sz="4" w:space="0"/>
            </w:tcBorders>
            <w:vAlign w:val="center"/>
          </w:tcPr>
          <w:p>
            <w:pPr>
              <w:spacing w:line="400" w:lineRule="exact"/>
              <w:jc w:val="center"/>
              <w:rPr>
                <w:rFonts w:ascii="宋体" w:hAnsi="宋体" w:cs="Arial"/>
                <w:color w:val="auto"/>
                <w:highlight w:val="none"/>
              </w:rPr>
            </w:pPr>
          </w:p>
        </w:tc>
        <w:tc>
          <w:tcPr>
            <w:tcW w:w="1745" w:type="dxa"/>
            <w:tcBorders>
              <w:top w:val="single" w:color="auto" w:sz="4" w:space="0"/>
              <w:right w:val="single" w:color="auto" w:sz="4" w:space="0"/>
            </w:tcBorders>
            <w:vAlign w:val="center"/>
          </w:tcPr>
          <w:p>
            <w:pPr>
              <w:spacing w:line="400" w:lineRule="exact"/>
              <w:jc w:val="center"/>
              <w:rPr>
                <w:rFonts w:ascii="宋体" w:hAnsi="宋体" w:cs="Arial"/>
                <w:color w:val="auto"/>
                <w:highlight w:val="none"/>
              </w:rPr>
            </w:pPr>
          </w:p>
        </w:tc>
        <w:tc>
          <w:tcPr>
            <w:tcW w:w="1688" w:type="dxa"/>
            <w:tcBorders>
              <w:top w:val="single" w:color="auto" w:sz="4" w:space="0"/>
              <w:left w:val="single" w:color="auto" w:sz="4" w:space="0"/>
            </w:tcBorders>
            <w:vAlign w:val="center"/>
          </w:tcPr>
          <w:p>
            <w:pPr>
              <w:spacing w:line="400" w:lineRule="exact"/>
              <w:jc w:val="center"/>
              <w:rPr>
                <w:rFonts w:ascii="宋体" w:hAnsi="宋体" w:cs="Arial"/>
                <w:color w:val="auto"/>
                <w:highlight w:val="none"/>
              </w:rPr>
            </w:pPr>
          </w:p>
        </w:tc>
      </w:tr>
    </w:tbl>
    <w:p>
      <w:pPr>
        <w:widowControl/>
        <w:spacing w:line="360" w:lineRule="atLeast"/>
        <w:ind w:firstLine="470" w:firstLineChars="196"/>
        <w:jc w:val="left"/>
        <w:outlineLvl w:val="1"/>
        <w:rPr>
          <w:rFonts w:ascii="宋体" w:hAnsi="宋体"/>
          <w:color w:val="auto"/>
          <w:sz w:val="24"/>
          <w:highlight w:val="none"/>
        </w:rPr>
      </w:pP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注：以上业绩需提供采购文件要求的有关书面证明材料。</w:t>
      </w:r>
    </w:p>
    <w:p>
      <w:pPr>
        <w:widowControl/>
        <w:spacing w:line="360" w:lineRule="atLeast"/>
        <w:ind w:firstLine="470" w:firstLineChars="196"/>
        <w:jc w:val="left"/>
        <w:outlineLvl w:val="1"/>
        <w:rPr>
          <w:rFonts w:ascii="宋体" w:hAnsi="宋体"/>
          <w:color w:val="auto"/>
          <w:sz w:val="24"/>
          <w:highlight w:val="none"/>
        </w:rPr>
      </w:pPr>
    </w:p>
    <w:p>
      <w:pPr>
        <w:widowControl/>
        <w:spacing w:line="360" w:lineRule="atLeast"/>
        <w:ind w:firstLine="470" w:firstLineChars="196"/>
        <w:jc w:val="left"/>
        <w:outlineLvl w:val="1"/>
        <w:rPr>
          <w:rFonts w:ascii="宋体" w:hAnsi="宋体"/>
          <w:color w:val="auto"/>
          <w:sz w:val="24"/>
          <w:highlight w:val="none"/>
        </w:rPr>
      </w:pP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供应商名称：</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r>
        <w:rPr>
          <w:rFonts w:hint="eastAsia" w:ascii="宋体" w:hAnsi="宋体"/>
          <w:color w:val="auto"/>
          <w:sz w:val="24"/>
          <w:highlight w:val="none"/>
        </w:rPr>
        <w:t>（盖单位电子签章）。</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法定代表人/单位负责人或授权代表（签字或加盖个人电子印章）：</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hint="eastAsia" w:ascii="宋体" w:hAnsi="宋体"/>
          <w:color w:val="auto"/>
          <w:sz w:val="24"/>
          <w:highlight w:val="none"/>
        </w:rPr>
        <w:t>。</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 xml:space="preserve">日期: </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r>
        <w:rPr>
          <w:rFonts w:hint="eastAsia" w:ascii="宋体" w:hAnsi="宋体"/>
          <w:color w:val="auto"/>
          <w:sz w:val="24"/>
          <w:highlight w:val="none"/>
        </w:rPr>
        <w:t>。</w:t>
      </w:r>
    </w:p>
    <w:p>
      <w:pPr>
        <w:widowControl/>
        <w:spacing w:line="360" w:lineRule="atLeast"/>
        <w:jc w:val="left"/>
        <w:outlineLvl w:val="1"/>
        <w:rPr>
          <w:rFonts w:ascii="宋体" w:hAnsi="宋体"/>
          <w:b/>
          <w:color w:val="auto"/>
          <w:sz w:val="24"/>
          <w:highlight w:val="none"/>
        </w:rPr>
      </w:pPr>
    </w:p>
    <w:p>
      <w:pPr>
        <w:spacing w:line="360" w:lineRule="auto"/>
        <w:rPr>
          <w:rFonts w:ascii="宋体" w:hAnsi="宋体"/>
          <w:b/>
          <w:color w:val="auto"/>
          <w:sz w:val="32"/>
          <w:szCs w:val="32"/>
          <w:highlight w:val="none"/>
        </w:rPr>
      </w:pPr>
      <w:r>
        <w:rPr>
          <w:rFonts w:hint="eastAsia" w:ascii="宋体" w:hAnsi="宋体"/>
          <w:b/>
          <w:color w:val="auto"/>
          <w:sz w:val="32"/>
          <w:szCs w:val="32"/>
          <w:highlight w:val="none"/>
        </w:rPr>
        <w:br w:type="page"/>
      </w:r>
    </w:p>
    <w:bookmarkEnd w:id="90"/>
    <w:p>
      <w:pPr>
        <w:widowControl/>
        <w:spacing w:line="360" w:lineRule="atLeast"/>
        <w:jc w:val="center"/>
        <w:outlineLvl w:val="1"/>
        <w:rPr>
          <w:rFonts w:ascii="宋体" w:hAnsi="宋体"/>
          <w:b/>
          <w:color w:val="auto"/>
          <w:sz w:val="32"/>
          <w:szCs w:val="32"/>
          <w:highlight w:val="none"/>
        </w:rPr>
      </w:pPr>
      <w:r>
        <w:rPr>
          <w:rFonts w:hint="eastAsia" w:ascii="宋体" w:hAnsi="宋体"/>
          <w:b/>
          <w:color w:val="auto"/>
          <w:sz w:val="32"/>
          <w:szCs w:val="32"/>
          <w:highlight w:val="none"/>
        </w:rPr>
        <w:t>十一、供应商本项目管理、技术、服务人员情况表</w:t>
      </w:r>
    </w:p>
    <w:p>
      <w:pPr>
        <w:spacing w:line="480" w:lineRule="exact"/>
        <w:ind w:firstLine="436" w:firstLineChars="182"/>
        <w:rPr>
          <w:rFonts w:ascii="宋体" w:hAnsi="宋体"/>
          <w:color w:val="auto"/>
          <w:sz w:val="24"/>
          <w:highlight w:val="none"/>
        </w:rPr>
      </w:pPr>
      <w:r>
        <w:rPr>
          <w:rFonts w:hint="eastAsia" w:ascii="宋体" w:hAnsi="宋体"/>
          <w:color w:val="auto"/>
          <w:sz w:val="24"/>
          <w:highlight w:val="none"/>
        </w:rPr>
        <w:t>项目名称：</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p>
    <w:p>
      <w:pPr>
        <w:widowControl/>
        <w:spacing w:line="360" w:lineRule="atLeast"/>
        <w:ind w:firstLine="470" w:firstLineChars="196"/>
        <w:jc w:val="left"/>
        <w:outlineLvl w:val="1"/>
        <w:rPr>
          <w:color w:val="auto"/>
          <w:highlight w:val="none"/>
        </w:rPr>
      </w:pPr>
      <w:r>
        <w:rPr>
          <w:rFonts w:hint="eastAsia" w:ascii="宋体" w:hAnsi="宋体"/>
          <w:color w:val="auto"/>
          <w:sz w:val="24"/>
          <w:highlight w:val="none"/>
        </w:rPr>
        <w:t>项目编号：</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p>
    <w:tbl>
      <w:tblPr>
        <w:tblStyle w:val="37"/>
        <w:tblW w:w="9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9"/>
        <w:gridCol w:w="1049"/>
        <w:gridCol w:w="1049"/>
        <w:gridCol w:w="1049"/>
        <w:gridCol w:w="1049"/>
        <w:gridCol w:w="1107"/>
        <w:gridCol w:w="1249"/>
        <w:gridCol w:w="1102"/>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049" w:type="dxa"/>
            <w:vMerge w:val="restart"/>
            <w:vAlign w:val="center"/>
          </w:tcPr>
          <w:p>
            <w:pPr>
              <w:widowControl/>
              <w:spacing w:line="360" w:lineRule="atLeast"/>
              <w:jc w:val="center"/>
              <w:outlineLvl w:val="1"/>
              <w:rPr>
                <w:rFonts w:ascii="宋体" w:hAnsi="宋体"/>
                <w:color w:val="auto"/>
                <w:sz w:val="24"/>
                <w:highlight w:val="none"/>
              </w:rPr>
            </w:pPr>
            <w:r>
              <w:rPr>
                <w:rFonts w:hint="eastAsia" w:ascii="宋体" w:hAnsi="宋体"/>
                <w:color w:val="auto"/>
                <w:sz w:val="24"/>
                <w:highlight w:val="none"/>
              </w:rPr>
              <w:t>序号</w:t>
            </w:r>
          </w:p>
        </w:tc>
        <w:tc>
          <w:tcPr>
            <w:tcW w:w="1049" w:type="dxa"/>
            <w:vMerge w:val="restart"/>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职务</w:t>
            </w:r>
          </w:p>
        </w:tc>
        <w:tc>
          <w:tcPr>
            <w:tcW w:w="1049" w:type="dxa"/>
            <w:vMerge w:val="restart"/>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姓名</w:t>
            </w:r>
          </w:p>
        </w:tc>
        <w:tc>
          <w:tcPr>
            <w:tcW w:w="1049" w:type="dxa"/>
            <w:vMerge w:val="restart"/>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职称</w:t>
            </w:r>
          </w:p>
        </w:tc>
        <w:tc>
          <w:tcPr>
            <w:tcW w:w="1049" w:type="dxa"/>
            <w:vMerge w:val="restart"/>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常住地</w:t>
            </w:r>
          </w:p>
        </w:tc>
        <w:tc>
          <w:tcPr>
            <w:tcW w:w="4412" w:type="dxa"/>
            <w:gridSpan w:val="4"/>
            <w:vAlign w:val="center"/>
          </w:tcPr>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049" w:type="dxa"/>
            <w:vMerge w:val="continue"/>
          </w:tcPr>
          <w:p>
            <w:pPr>
              <w:rPr>
                <w:rFonts w:ascii="宋体" w:hAnsi="宋体"/>
                <w:color w:val="auto"/>
                <w:highlight w:val="none"/>
              </w:rPr>
            </w:pPr>
          </w:p>
        </w:tc>
        <w:tc>
          <w:tcPr>
            <w:tcW w:w="1049" w:type="dxa"/>
            <w:vMerge w:val="continue"/>
            <w:vAlign w:val="center"/>
          </w:tcPr>
          <w:p>
            <w:pPr>
              <w:rPr>
                <w:rFonts w:ascii="宋体" w:hAnsi="宋体"/>
                <w:color w:val="auto"/>
                <w:highlight w:val="none"/>
              </w:rPr>
            </w:pPr>
          </w:p>
        </w:tc>
        <w:tc>
          <w:tcPr>
            <w:tcW w:w="1049" w:type="dxa"/>
            <w:vMerge w:val="continue"/>
            <w:vAlign w:val="center"/>
          </w:tcPr>
          <w:p>
            <w:pPr>
              <w:rPr>
                <w:rFonts w:ascii="宋体" w:hAnsi="宋体"/>
                <w:color w:val="auto"/>
                <w:highlight w:val="none"/>
              </w:rPr>
            </w:pPr>
          </w:p>
        </w:tc>
        <w:tc>
          <w:tcPr>
            <w:tcW w:w="1049" w:type="dxa"/>
            <w:vMerge w:val="continue"/>
            <w:vAlign w:val="center"/>
          </w:tcPr>
          <w:p>
            <w:pPr>
              <w:rPr>
                <w:rFonts w:ascii="宋体" w:hAnsi="宋体"/>
                <w:color w:val="auto"/>
                <w:highlight w:val="none"/>
              </w:rPr>
            </w:pPr>
          </w:p>
        </w:tc>
        <w:tc>
          <w:tcPr>
            <w:tcW w:w="1049" w:type="dxa"/>
            <w:vMerge w:val="continue"/>
            <w:vAlign w:val="center"/>
          </w:tcPr>
          <w:p>
            <w:pPr>
              <w:rPr>
                <w:rFonts w:ascii="宋体" w:hAnsi="宋体"/>
                <w:color w:val="auto"/>
                <w:highlight w:val="none"/>
              </w:rPr>
            </w:pPr>
          </w:p>
        </w:tc>
        <w:tc>
          <w:tcPr>
            <w:tcW w:w="1107" w:type="dxa"/>
            <w:vAlign w:val="center"/>
          </w:tcPr>
          <w:p>
            <w:pPr>
              <w:widowControl/>
              <w:spacing w:line="360" w:lineRule="atLeast"/>
              <w:jc w:val="center"/>
              <w:outlineLvl w:val="1"/>
              <w:rPr>
                <w:rFonts w:ascii="宋体" w:hAnsi="宋体"/>
                <w:color w:val="auto"/>
                <w:sz w:val="24"/>
                <w:highlight w:val="none"/>
              </w:rPr>
            </w:pPr>
            <w:r>
              <w:rPr>
                <w:rFonts w:hint="eastAsia" w:ascii="宋体" w:hAnsi="宋体"/>
                <w:color w:val="auto"/>
                <w:sz w:val="24"/>
                <w:highlight w:val="none"/>
              </w:rPr>
              <w:t>证书</w:t>
            </w:r>
          </w:p>
          <w:p>
            <w:pPr>
              <w:widowControl/>
              <w:spacing w:line="360" w:lineRule="atLeast"/>
              <w:jc w:val="center"/>
              <w:outlineLvl w:val="1"/>
              <w:rPr>
                <w:rFonts w:ascii="宋体" w:hAnsi="宋体"/>
                <w:color w:val="auto"/>
                <w:sz w:val="24"/>
                <w:highlight w:val="none"/>
              </w:rPr>
            </w:pPr>
            <w:r>
              <w:rPr>
                <w:rFonts w:hint="eastAsia" w:ascii="宋体" w:hAnsi="宋体"/>
                <w:color w:val="auto"/>
                <w:sz w:val="24"/>
                <w:highlight w:val="none"/>
              </w:rPr>
              <w:t>名称</w:t>
            </w:r>
          </w:p>
        </w:tc>
        <w:tc>
          <w:tcPr>
            <w:tcW w:w="1249" w:type="dxa"/>
            <w:vAlign w:val="center"/>
          </w:tcPr>
          <w:p>
            <w:pPr>
              <w:widowControl/>
              <w:spacing w:line="360" w:lineRule="atLeast"/>
              <w:jc w:val="center"/>
              <w:outlineLvl w:val="1"/>
              <w:rPr>
                <w:rFonts w:ascii="宋体" w:hAnsi="宋体"/>
                <w:color w:val="auto"/>
                <w:sz w:val="24"/>
                <w:highlight w:val="none"/>
              </w:rPr>
            </w:pPr>
            <w:r>
              <w:rPr>
                <w:rFonts w:hint="eastAsia" w:ascii="宋体" w:hAnsi="宋体"/>
                <w:color w:val="auto"/>
                <w:sz w:val="24"/>
                <w:highlight w:val="none"/>
              </w:rPr>
              <w:t>级别</w:t>
            </w:r>
          </w:p>
        </w:tc>
        <w:tc>
          <w:tcPr>
            <w:tcW w:w="1102" w:type="dxa"/>
            <w:vAlign w:val="center"/>
          </w:tcPr>
          <w:p>
            <w:pPr>
              <w:widowControl/>
              <w:spacing w:line="360" w:lineRule="atLeast"/>
              <w:jc w:val="center"/>
              <w:outlineLvl w:val="1"/>
              <w:rPr>
                <w:rFonts w:ascii="宋体" w:hAnsi="宋体"/>
                <w:color w:val="auto"/>
                <w:sz w:val="24"/>
                <w:highlight w:val="none"/>
              </w:rPr>
            </w:pPr>
            <w:r>
              <w:rPr>
                <w:rFonts w:hint="eastAsia" w:ascii="宋体" w:hAnsi="宋体"/>
                <w:color w:val="auto"/>
                <w:sz w:val="24"/>
                <w:highlight w:val="none"/>
              </w:rPr>
              <w:t>证号</w:t>
            </w:r>
          </w:p>
        </w:tc>
        <w:tc>
          <w:tcPr>
            <w:tcW w:w="954" w:type="dxa"/>
            <w:vAlign w:val="center"/>
          </w:tcPr>
          <w:p>
            <w:pPr>
              <w:widowControl/>
              <w:spacing w:line="360" w:lineRule="atLeast"/>
              <w:jc w:val="center"/>
              <w:outlineLvl w:val="1"/>
              <w:rPr>
                <w:rFonts w:ascii="宋体" w:hAnsi="宋体"/>
                <w:color w:val="auto"/>
                <w:sz w:val="24"/>
                <w:highlight w:val="none"/>
              </w:rPr>
            </w:pPr>
            <w:r>
              <w:rPr>
                <w:rFonts w:hint="eastAsia" w:ascii="宋体" w:hAnsi="宋体"/>
                <w:color w:val="auto"/>
                <w:sz w:val="24"/>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107" w:type="dxa"/>
          </w:tcPr>
          <w:p>
            <w:pPr>
              <w:widowControl/>
              <w:spacing w:line="360" w:lineRule="atLeast"/>
              <w:ind w:firstLine="470" w:firstLineChars="196"/>
              <w:jc w:val="left"/>
              <w:outlineLvl w:val="1"/>
              <w:rPr>
                <w:rFonts w:ascii="宋体" w:hAnsi="宋体"/>
                <w:color w:val="auto"/>
                <w:sz w:val="24"/>
                <w:highlight w:val="none"/>
              </w:rPr>
            </w:pPr>
          </w:p>
        </w:tc>
        <w:tc>
          <w:tcPr>
            <w:tcW w:w="1249" w:type="dxa"/>
          </w:tcPr>
          <w:p>
            <w:pPr>
              <w:widowControl/>
              <w:spacing w:line="360" w:lineRule="atLeast"/>
              <w:ind w:firstLine="470" w:firstLineChars="196"/>
              <w:jc w:val="left"/>
              <w:outlineLvl w:val="1"/>
              <w:rPr>
                <w:rFonts w:ascii="宋体" w:hAnsi="宋体"/>
                <w:color w:val="auto"/>
                <w:sz w:val="24"/>
                <w:highlight w:val="none"/>
              </w:rPr>
            </w:pPr>
          </w:p>
        </w:tc>
        <w:tc>
          <w:tcPr>
            <w:tcW w:w="1102" w:type="dxa"/>
          </w:tcPr>
          <w:p>
            <w:pPr>
              <w:widowControl/>
              <w:spacing w:line="360" w:lineRule="atLeast"/>
              <w:ind w:firstLine="470" w:firstLineChars="196"/>
              <w:jc w:val="left"/>
              <w:outlineLvl w:val="1"/>
              <w:rPr>
                <w:rFonts w:ascii="宋体" w:hAnsi="宋体"/>
                <w:color w:val="auto"/>
                <w:sz w:val="24"/>
                <w:highlight w:val="none"/>
              </w:rPr>
            </w:pPr>
          </w:p>
        </w:tc>
        <w:tc>
          <w:tcPr>
            <w:tcW w:w="954" w:type="dxa"/>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107" w:type="dxa"/>
          </w:tcPr>
          <w:p>
            <w:pPr>
              <w:widowControl/>
              <w:spacing w:line="360" w:lineRule="atLeast"/>
              <w:ind w:firstLine="470" w:firstLineChars="196"/>
              <w:jc w:val="left"/>
              <w:outlineLvl w:val="1"/>
              <w:rPr>
                <w:rFonts w:ascii="宋体" w:hAnsi="宋体"/>
                <w:color w:val="auto"/>
                <w:sz w:val="24"/>
                <w:highlight w:val="none"/>
              </w:rPr>
            </w:pPr>
          </w:p>
        </w:tc>
        <w:tc>
          <w:tcPr>
            <w:tcW w:w="1249" w:type="dxa"/>
          </w:tcPr>
          <w:p>
            <w:pPr>
              <w:widowControl/>
              <w:spacing w:line="360" w:lineRule="atLeast"/>
              <w:ind w:firstLine="470" w:firstLineChars="196"/>
              <w:jc w:val="left"/>
              <w:outlineLvl w:val="1"/>
              <w:rPr>
                <w:rFonts w:ascii="宋体" w:hAnsi="宋体"/>
                <w:color w:val="auto"/>
                <w:sz w:val="24"/>
                <w:highlight w:val="none"/>
              </w:rPr>
            </w:pPr>
          </w:p>
        </w:tc>
        <w:tc>
          <w:tcPr>
            <w:tcW w:w="1102" w:type="dxa"/>
          </w:tcPr>
          <w:p>
            <w:pPr>
              <w:widowControl/>
              <w:spacing w:line="360" w:lineRule="atLeast"/>
              <w:ind w:firstLine="470" w:firstLineChars="196"/>
              <w:jc w:val="left"/>
              <w:outlineLvl w:val="1"/>
              <w:rPr>
                <w:rFonts w:ascii="宋体" w:hAnsi="宋体"/>
                <w:color w:val="auto"/>
                <w:sz w:val="24"/>
                <w:highlight w:val="none"/>
              </w:rPr>
            </w:pPr>
          </w:p>
        </w:tc>
        <w:tc>
          <w:tcPr>
            <w:tcW w:w="954" w:type="dxa"/>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107" w:type="dxa"/>
          </w:tcPr>
          <w:p>
            <w:pPr>
              <w:widowControl/>
              <w:spacing w:line="360" w:lineRule="atLeast"/>
              <w:ind w:firstLine="470" w:firstLineChars="196"/>
              <w:jc w:val="left"/>
              <w:outlineLvl w:val="1"/>
              <w:rPr>
                <w:rFonts w:ascii="宋体" w:hAnsi="宋体"/>
                <w:color w:val="auto"/>
                <w:sz w:val="24"/>
                <w:highlight w:val="none"/>
              </w:rPr>
            </w:pPr>
          </w:p>
        </w:tc>
        <w:tc>
          <w:tcPr>
            <w:tcW w:w="1249" w:type="dxa"/>
          </w:tcPr>
          <w:p>
            <w:pPr>
              <w:widowControl/>
              <w:spacing w:line="360" w:lineRule="atLeast"/>
              <w:ind w:firstLine="470" w:firstLineChars="196"/>
              <w:jc w:val="left"/>
              <w:outlineLvl w:val="1"/>
              <w:rPr>
                <w:rFonts w:ascii="宋体" w:hAnsi="宋体"/>
                <w:color w:val="auto"/>
                <w:sz w:val="24"/>
                <w:highlight w:val="none"/>
              </w:rPr>
            </w:pPr>
          </w:p>
        </w:tc>
        <w:tc>
          <w:tcPr>
            <w:tcW w:w="1102" w:type="dxa"/>
          </w:tcPr>
          <w:p>
            <w:pPr>
              <w:widowControl/>
              <w:spacing w:line="360" w:lineRule="atLeast"/>
              <w:ind w:firstLine="470" w:firstLineChars="196"/>
              <w:jc w:val="left"/>
              <w:outlineLvl w:val="1"/>
              <w:rPr>
                <w:rFonts w:ascii="宋体" w:hAnsi="宋体"/>
                <w:color w:val="auto"/>
                <w:sz w:val="24"/>
                <w:highlight w:val="none"/>
              </w:rPr>
            </w:pPr>
          </w:p>
        </w:tc>
        <w:tc>
          <w:tcPr>
            <w:tcW w:w="954" w:type="dxa"/>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107" w:type="dxa"/>
          </w:tcPr>
          <w:p>
            <w:pPr>
              <w:widowControl/>
              <w:spacing w:line="360" w:lineRule="atLeast"/>
              <w:ind w:firstLine="470" w:firstLineChars="196"/>
              <w:jc w:val="left"/>
              <w:outlineLvl w:val="1"/>
              <w:rPr>
                <w:rFonts w:ascii="宋体" w:hAnsi="宋体"/>
                <w:color w:val="auto"/>
                <w:sz w:val="24"/>
                <w:highlight w:val="none"/>
              </w:rPr>
            </w:pPr>
          </w:p>
        </w:tc>
        <w:tc>
          <w:tcPr>
            <w:tcW w:w="1249" w:type="dxa"/>
          </w:tcPr>
          <w:p>
            <w:pPr>
              <w:widowControl/>
              <w:spacing w:line="360" w:lineRule="atLeast"/>
              <w:ind w:firstLine="470" w:firstLineChars="196"/>
              <w:jc w:val="left"/>
              <w:outlineLvl w:val="1"/>
              <w:rPr>
                <w:rFonts w:ascii="宋体" w:hAnsi="宋体"/>
                <w:color w:val="auto"/>
                <w:sz w:val="24"/>
                <w:highlight w:val="none"/>
              </w:rPr>
            </w:pPr>
          </w:p>
        </w:tc>
        <w:tc>
          <w:tcPr>
            <w:tcW w:w="1102" w:type="dxa"/>
          </w:tcPr>
          <w:p>
            <w:pPr>
              <w:widowControl/>
              <w:spacing w:line="360" w:lineRule="atLeast"/>
              <w:ind w:firstLine="470" w:firstLineChars="196"/>
              <w:jc w:val="left"/>
              <w:outlineLvl w:val="1"/>
              <w:rPr>
                <w:rFonts w:ascii="宋体" w:hAnsi="宋体"/>
                <w:color w:val="auto"/>
                <w:sz w:val="24"/>
                <w:highlight w:val="none"/>
              </w:rPr>
            </w:pPr>
          </w:p>
        </w:tc>
        <w:tc>
          <w:tcPr>
            <w:tcW w:w="954" w:type="dxa"/>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107" w:type="dxa"/>
          </w:tcPr>
          <w:p>
            <w:pPr>
              <w:widowControl/>
              <w:spacing w:line="360" w:lineRule="atLeast"/>
              <w:ind w:firstLine="470" w:firstLineChars="196"/>
              <w:jc w:val="left"/>
              <w:outlineLvl w:val="1"/>
              <w:rPr>
                <w:rFonts w:ascii="宋体" w:hAnsi="宋体"/>
                <w:color w:val="auto"/>
                <w:sz w:val="24"/>
                <w:highlight w:val="none"/>
              </w:rPr>
            </w:pPr>
          </w:p>
        </w:tc>
        <w:tc>
          <w:tcPr>
            <w:tcW w:w="1249" w:type="dxa"/>
          </w:tcPr>
          <w:p>
            <w:pPr>
              <w:widowControl/>
              <w:spacing w:line="360" w:lineRule="atLeast"/>
              <w:ind w:firstLine="470" w:firstLineChars="196"/>
              <w:jc w:val="left"/>
              <w:outlineLvl w:val="1"/>
              <w:rPr>
                <w:rFonts w:ascii="宋体" w:hAnsi="宋体"/>
                <w:color w:val="auto"/>
                <w:sz w:val="24"/>
                <w:highlight w:val="none"/>
              </w:rPr>
            </w:pPr>
          </w:p>
        </w:tc>
        <w:tc>
          <w:tcPr>
            <w:tcW w:w="1102" w:type="dxa"/>
          </w:tcPr>
          <w:p>
            <w:pPr>
              <w:widowControl/>
              <w:spacing w:line="360" w:lineRule="atLeast"/>
              <w:ind w:firstLine="470" w:firstLineChars="196"/>
              <w:jc w:val="left"/>
              <w:outlineLvl w:val="1"/>
              <w:rPr>
                <w:rFonts w:ascii="宋体" w:hAnsi="宋体"/>
                <w:color w:val="auto"/>
                <w:sz w:val="24"/>
                <w:highlight w:val="none"/>
              </w:rPr>
            </w:pPr>
          </w:p>
        </w:tc>
        <w:tc>
          <w:tcPr>
            <w:tcW w:w="954" w:type="dxa"/>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107" w:type="dxa"/>
          </w:tcPr>
          <w:p>
            <w:pPr>
              <w:widowControl/>
              <w:spacing w:line="360" w:lineRule="atLeast"/>
              <w:ind w:firstLine="470" w:firstLineChars="196"/>
              <w:jc w:val="left"/>
              <w:outlineLvl w:val="1"/>
              <w:rPr>
                <w:rFonts w:ascii="宋体" w:hAnsi="宋体"/>
                <w:color w:val="auto"/>
                <w:sz w:val="24"/>
                <w:highlight w:val="none"/>
              </w:rPr>
            </w:pPr>
          </w:p>
        </w:tc>
        <w:tc>
          <w:tcPr>
            <w:tcW w:w="1249" w:type="dxa"/>
          </w:tcPr>
          <w:p>
            <w:pPr>
              <w:widowControl/>
              <w:spacing w:line="360" w:lineRule="atLeast"/>
              <w:ind w:firstLine="470" w:firstLineChars="196"/>
              <w:jc w:val="left"/>
              <w:outlineLvl w:val="1"/>
              <w:rPr>
                <w:rFonts w:ascii="宋体" w:hAnsi="宋体"/>
                <w:color w:val="auto"/>
                <w:sz w:val="24"/>
                <w:highlight w:val="none"/>
              </w:rPr>
            </w:pPr>
          </w:p>
        </w:tc>
        <w:tc>
          <w:tcPr>
            <w:tcW w:w="1102" w:type="dxa"/>
          </w:tcPr>
          <w:p>
            <w:pPr>
              <w:widowControl/>
              <w:spacing w:line="360" w:lineRule="atLeast"/>
              <w:ind w:firstLine="470" w:firstLineChars="196"/>
              <w:jc w:val="left"/>
              <w:outlineLvl w:val="1"/>
              <w:rPr>
                <w:rFonts w:ascii="宋体" w:hAnsi="宋体"/>
                <w:color w:val="auto"/>
                <w:sz w:val="24"/>
                <w:highlight w:val="none"/>
              </w:rPr>
            </w:pPr>
          </w:p>
        </w:tc>
        <w:tc>
          <w:tcPr>
            <w:tcW w:w="954" w:type="dxa"/>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107" w:type="dxa"/>
          </w:tcPr>
          <w:p>
            <w:pPr>
              <w:widowControl/>
              <w:spacing w:line="360" w:lineRule="atLeast"/>
              <w:ind w:firstLine="470" w:firstLineChars="196"/>
              <w:jc w:val="left"/>
              <w:outlineLvl w:val="1"/>
              <w:rPr>
                <w:rFonts w:ascii="宋体" w:hAnsi="宋体"/>
                <w:color w:val="auto"/>
                <w:sz w:val="24"/>
                <w:highlight w:val="none"/>
              </w:rPr>
            </w:pPr>
          </w:p>
        </w:tc>
        <w:tc>
          <w:tcPr>
            <w:tcW w:w="1249" w:type="dxa"/>
          </w:tcPr>
          <w:p>
            <w:pPr>
              <w:widowControl/>
              <w:spacing w:line="360" w:lineRule="atLeast"/>
              <w:ind w:firstLine="470" w:firstLineChars="196"/>
              <w:jc w:val="left"/>
              <w:outlineLvl w:val="1"/>
              <w:rPr>
                <w:rFonts w:ascii="宋体" w:hAnsi="宋体"/>
                <w:color w:val="auto"/>
                <w:sz w:val="24"/>
                <w:highlight w:val="none"/>
              </w:rPr>
            </w:pPr>
          </w:p>
        </w:tc>
        <w:tc>
          <w:tcPr>
            <w:tcW w:w="1102" w:type="dxa"/>
          </w:tcPr>
          <w:p>
            <w:pPr>
              <w:widowControl/>
              <w:spacing w:line="360" w:lineRule="atLeast"/>
              <w:ind w:firstLine="470" w:firstLineChars="196"/>
              <w:jc w:val="left"/>
              <w:outlineLvl w:val="1"/>
              <w:rPr>
                <w:rFonts w:ascii="宋体" w:hAnsi="宋体"/>
                <w:color w:val="auto"/>
                <w:sz w:val="24"/>
                <w:highlight w:val="none"/>
              </w:rPr>
            </w:pPr>
          </w:p>
        </w:tc>
        <w:tc>
          <w:tcPr>
            <w:tcW w:w="954" w:type="dxa"/>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049" w:type="dxa"/>
            <w:tcBorders>
              <w:bottom w:val="single" w:color="auto" w:sz="4" w:space="0"/>
            </w:tcBorders>
          </w:tcPr>
          <w:p>
            <w:pPr>
              <w:widowControl/>
              <w:spacing w:line="360" w:lineRule="atLeast"/>
              <w:ind w:firstLine="470" w:firstLineChars="196"/>
              <w:jc w:val="left"/>
              <w:outlineLvl w:val="1"/>
              <w:rPr>
                <w:rFonts w:ascii="宋体" w:hAnsi="宋体"/>
                <w:color w:val="auto"/>
                <w:sz w:val="24"/>
                <w:highlight w:val="none"/>
              </w:rPr>
            </w:pPr>
          </w:p>
        </w:tc>
        <w:tc>
          <w:tcPr>
            <w:tcW w:w="1049" w:type="dxa"/>
            <w:tcBorders>
              <w:bottom w:val="single" w:color="auto" w:sz="4" w:space="0"/>
            </w:tcBorders>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107" w:type="dxa"/>
          </w:tcPr>
          <w:p>
            <w:pPr>
              <w:widowControl/>
              <w:spacing w:line="360" w:lineRule="atLeast"/>
              <w:ind w:firstLine="470" w:firstLineChars="196"/>
              <w:jc w:val="left"/>
              <w:outlineLvl w:val="1"/>
              <w:rPr>
                <w:rFonts w:ascii="宋体" w:hAnsi="宋体"/>
                <w:color w:val="auto"/>
                <w:sz w:val="24"/>
                <w:highlight w:val="none"/>
              </w:rPr>
            </w:pPr>
          </w:p>
        </w:tc>
        <w:tc>
          <w:tcPr>
            <w:tcW w:w="1249" w:type="dxa"/>
          </w:tcPr>
          <w:p>
            <w:pPr>
              <w:widowControl/>
              <w:spacing w:line="360" w:lineRule="atLeast"/>
              <w:ind w:firstLine="470" w:firstLineChars="196"/>
              <w:jc w:val="left"/>
              <w:outlineLvl w:val="1"/>
              <w:rPr>
                <w:rFonts w:ascii="宋体" w:hAnsi="宋体"/>
                <w:color w:val="auto"/>
                <w:sz w:val="24"/>
                <w:highlight w:val="none"/>
              </w:rPr>
            </w:pPr>
          </w:p>
        </w:tc>
        <w:tc>
          <w:tcPr>
            <w:tcW w:w="1102" w:type="dxa"/>
          </w:tcPr>
          <w:p>
            <w:pPr>
              <w:widowControl/>
              <w:spacing w:line="360" w:lineRule="atLeast"/>
              <w:ind w:firstLine="470" w:firstLineChars="196"/>
              <w:jc w:val="left"/>
              <w:outlineLvl w:val="1"/>
              <w:rPr>
                <w:rFonts w:ascii="宋体" w:hAnsi="宋体"/>
                <w:color w:val="auto"/>
                <w:sz w:val="24"/>
                <w:highlight w:val="none"/>
              </w:rPr>
            </w:pPr>
          </w:p>
        </w:tc>
        <w:tc>
          <w:tcPr>
            <w:tcW w:w="954" w:type="dxa"/>
          </w:tcPr>
          <w:p>
            <w:pPr>
              <w:widowControl/>
              <w:spacing w:line="360" w:lineRule="atLeast"/>
              <w:ind w:firstLine="470" w:firstLineChars="196"/>
              <w:jc w:val="left"/>
              <w:outlineLvl w:val="1"/>
              <w:rPr>
                <w:rFonts w:ascii="宋体" w:hAnsi="宋体"/>
                <w:color w:val="auto"/>
                <w:sz w:val="24"/>
                <w:highlight w:val="none"/>
              </w:rPr>
            </w:pPr>
          </w:p>
        </w:tc>
      </w:tr>
    </w:tbl>
    <w:p>
      <w:pPr>
        <w:pStyle w:val="2"/>
        <w:rPr>
          <w:color w:val="auto"/>
          <w:highlight w:val="none"/>
        </w:rPr>
      </w:pPr>
    </w:p>
    <w:p>
      <w:pPr>
        <w:pStyle w:val="2"/>
        <w:rPr>
          <w:color w:val="auto"/>
          <w:highlight w:val="none"/>
        </w:rPr>
      </w:pPr>
    </w:p>
    <w:p>
      <w:pPr>
        <w:pStyle w:val="2"/>
        <w:rPr>
          <w:color w:val="auto"/>
          <w:highlight w:val="none"/>
        </w:rPr>
      </w:pP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供应商名称：</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r>
        <w:rPr>
          <w:rFonts w:hint="eastAsia" w:ascii="宋体" w:hAnsi="宋体"/>
          <w:color w:val="auto"/>
          <w:sz w:val="24"/>
          <w:highlight w:val="none"/>
        </w:rPr>
        <w:t>（盖单位电子签章）。</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法定代表人/单位负责人或授权代表（签字或加盖个人电子印章）：</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r>
        <w:rPr>
          <w:rFonts w:hint="eastAsia" w:ascii="宋体" w:hAnsi="宋体"/>
          <w:color w:val="auto"/>
          <w:sz w:val="24"/>
          <w:highlight w:val="none"/>
        </w:rPr>
        <w:t>。</w:t>
      </w:r>
    </w:p>
    <w:p>
      <w:pPr>
        <w:autoSpaceDE w:val="0"/>
        <w:autoSpaceDN w:val="0"/>
        <w:adjustRightInd w:val="0"/>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 xml:space="preserve">日期: </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r>
        <w:rPr>
          <w:rFonts w:hint="eastAsia" w:ascii="宋体" w:hAnsi="宋体"/>
          <w:color w:val="auto"/>
          <w:sz w:val="24"/>
          <w:highlight w:val="none"/>
        </w:rPr>
        <w:t>。</w:t>
      </w:r>
    </w:p>
    <w:p>
      <w:pPr>
        <w:widowControl/>
        <w:spacing w:line="360" w:lineRule="atLeast"/>
        <w:ind w:firstLine="470" w:firstLineChars="196"/>
        <w:jc w:val="left"/>
        <w:outlineLvl w:val="1"/>
        <w:rPr>
          <w:rFonts w:ascii="宋体" w:hAnsi="宋体"/>
          <w:color w:val="auto"/>
          <w:sz w:val="24"/>
          <w:highlight w:val="none"/>
        </w:rPr>
      </w:pPr>
    </w:p>
    <w:p>
      <w:pPr>
        <w:spacing w:line="360" w:lineRule="auto"/>
        <w:rPr>
          <w:rFonts w:ascii="宋体" w:hAnsi="宋体"/>
          <w:b/>
          <w:color w:val="auto"/>
          <w:sz w:val="32"/>
          <w:szCs w:val="32"/>
          <w:highlight w:val="none"/>
        </w:rPr>
      </w:pPr>
      <w:bookmarkStart w:id="91" w:name="_Toc217446091"/>
      <w:r>
        <w:rPr>
          <w:rFonts w:hint="eastAsia" w:ascii="宋体" w:hAnsi="宋体"/>
          <w:b/>
          <w:color w:val="auto"/>
          <w:sz w:val="32"/>
          <w:szCs w:val="32"/>
          <w:highlight w:val="none"/>
        </w:rPr>
        <w:br w:type="page"/>
      </w:r>
    </w:p>
    <w:bookmarkEnd w:id="91"/>
    <w:p>
      <w:pPr>
        <w:widowControl/>
        <w:spacing w:line="360" w:lineRule="atLeast"/>
        <w:jc w:val="center"/>
        <w:outlineLvl w:val="1"/>
        <w:rPr>
          <w:rFonts w:ascii="宋体" w:hAnsi="宋体"/>
          <w:b/>
          <w:color w:val="auto"/>
          <w:sz w:val="32"/>
          <w:szCs w:val="32"/>
          <w:highlight w:val="none"/>
        </w:rPr>
      </w:pPr>
      <w:r>
        <w:rPr>
          <w:rFonts w:hint="eastAsia" w:ascii="宋体" w:hAnsi="宋体"/>
          <w:b/>
          <w:color w:val="auto"/>
          <w:sz w:val="32"/>
          <w:szCs w:val="32"/>
          <w:highlight w:val="none"/>
        </w:rPr>
        <w:t>十二、供应商诚信情况承诺函</w:t>
      </w:r>
    </w:p>
    <w:p>
      <w:pPr>
        <w:spacing w:line="360" w:lineRule="auto"/>
        <w:rPr>
          <w:rFonts w:ascii="宋体" w:hAnsi="宋体"/>
          <w:bCs/>
          <w:color w:val="auto"/>
          <w:sz w:val="24"/>
          <w:highlight w:val="none"/>
        </w:rPr>
      </w:pPr>
    </w:p>
    <w:p>
      <w:pPr>
        <w:spacing w:line="360" w:lineRule="auto"/>
        <w:rPr>
          <w:rFonts w:ascii="宋体" w:hAnsi="宋体"/>
          <w:bCs/>
          <w:color w:val="auto"/>
          <w:sz w:val="24"/>
          <w:highlight w:val="none"/>
        </w:rPr>
      </w:pPr>
      <w:r>
        <w:rPr>
          <w:rFonts w:hint="eastAsia" w:ascii="宋体" w:hAnsi="宋体"/>
          <w:bCs/>
          <w:color w:val="auto"/>
          <w:sz w:val="24"/>
          <w:highlight w:val="none"/>
        </w:rPr>
        <w:t>致</w:t>
      </w:r>
      <w:r>
        <w:rPr>
          <w:rFonts w:hint="eastAsia" w:ascii="宋体" w:hAnsi="宋体"/>
          <w:bCs/>
          <w:color w:val="auto"/>
          <w:sz w:val="24"/>
          <w:highlight w:val="none"/>
          <w:u w:val="single"/>
        </w:rPr>
        <w:t xml:space="preserve">                    </w:t>
      </w:r>
      <w:r>
        <w:rPr>
          <w:rFonts w:hint="eastAsia" w:ascii="宋体" w:hAnsi="宋体"/>
          <w:bCs/>
          <w:color w:val="auto"/>
          <w:sz w:val="24"/>
          <w:highlight w:val="none"/>
        </w:rPr>
        <w:t xml:space="preserve">（采购代理机构）： </w:t>
      </w:r>
    </w:p>
    <w:p>
      <w:pPr>
        <w:spacing w:line="360" w:lineRule="auto"/>
        <w:rPr>
          <w:rFonts w:ascii="宋体" w:hAnsi="宋体"/>
          <w:color w:val="auto"/>
          <w:sz w:val="24"/>
          <w:highlight w:val="none"/>
        </w:rPr>
      </w:pPr>
      <w:r>
        <w:rPr>
          <w:rFonts w:hint="eastAsia" w:ascii="宋体" w:hAnsi="宋体"/>
          <w:bCs/>
          <w:color w:val="auto"/>
          <w:sz w:val="24"/>
          <w:highlight w:val="none"/>
        </w:rPr>
        <w:t xml:space="preserve">    本单位</w:t>
      </w:r>
      <w:r>
        <w:rPr>
          <w:rFonts w:hint="eastAsia" w:ascii="宋体" w:hAnsi="宋体"/>
          <w:bCs/>
          <w:color w:val="auto"/>
          <w:sz w:val="24"/>
          <w:highlight w:val="none"/>
          <w:u w:val="single"/>
        </w:rPr>
        <w:t xml:space="preserve">                   </w:t>
      </w:r>
      <w:r>
        <w:rPr>
          <w:rFonts w:hint="eastAsia" w:ascii="宋体" w:hAnsi="宋体"/>
          <w:bCs/>
          <w:color w:val="auto"/>
          <w:sz w:val="24"/>
          <w:highlight w:val="none"/>
        </w:rPr>
        <w:t>（供应商名称）参加“</w:t>
      </w:r>
      <w:r>
        <w:rPr>
          <w:rFonts w:hint="eastAsia" w:ascii="宋体" w:hAnsi="宋体"/>
          <w:bCs/>
          <w:color w:val="auto"/>
          <w:sz w:val="24"/>
          <w:highlight w:val="none"/>
          <w:u w:val="single"/>
        </w:rPr>
        <w:t xml:space="preserve">                </w:t>
      </w:r>
      <w:r>
        <w:rPr>
          <w:rFonts w:hint="eastAsia" w:ascii="宋体" w:hAnsi="宋体"/>
          <w:bCs/>
          <w:color w:val="auto"/>
          <w:sz w:val="24"/>
          <w:highlight w:val="none"/>
        </w:rPr>
        <w:t>”项目（项目编号：</w:t>
      </w:r>
      <w:r>
        <w:rPr>
          <w:rFonts w:hint="eastAsia" w:ascii="宋体" w:hAnsi="宋体"/>
          <w:bCs/>
          <w:color w:val="auto"/>
          <w:sz w:val="24"/>
          <w:highlight w:val="none"/>
          <w:u w:val="single"/>
        </w:rPr>
        <w:t xml:space="preserve">                </w:t>
      </w:r>
      <w:r>
        <w:rPr>
          <w:rFonts w:hint="eastAsia" w:ascii="宋体" w:hAnsi="宋体"/>
          <w:bCs/>
          <w:color w:val="auto"/>
          <w:sz w:val="24"/>
          <w:highlight w:val="none"/>
        </w:rPr>
        <w:t>）的政府采购活动，</w:t>
      </w:r>
      <w:r>
        <w:rPr>
          <w:rFonts w:hint="eastAsia" w:ascii="宋体" w:hAnsi="宋体"/>
          <w:color w:val="auto"/>
          <w:sz w:val="24"/>
          <w:highlight w:val="none"/>
        </w:rPr>
        <w:t>现根据《</w:t>
      </w:r>
      <w:r>
        <w:rPr>
          <w:rFonts w:ascii="宋体" w:hAnsi="宋体"/>
          <w:color w:val="auto"/>
          <w:sz w:val="24"/>
          <w:highlight w:val="none"/>
        </w:rPr>
        <w:t>四川省政府采购当事人诚信管理办法</w:t>
      </w:r>
      <w:r>
        <w:rPr>
          <w:rFonts w:hint="eastAsia" w:ascii="宋体" w:hAnsi="宋体"/>
          <w:color w:val="auto"/>
          <w:sz w:val="24"/>
          <w:highlight w:val="none"/>
        </w:rPr>
        <w:t>》川财采〔2015〕33号的相关规定，针</w:t>
      </w:r>
      <w:r>
        <w:rPr>
          <w:rFonts w:hint="eastAsia" w:ascii="宋体" w:hAnsi="宋体"/>
          <w:bCs/>
          <w:color w:val="auto"/>
          <w:sz w:val="24"/>
          <w:highlight w:val="none"/>
        </w:rPr>
        <w:t>对本单位的诚信情况作出以下承诺：</w:t>
      </w:r>
    </w:p>
    <w:p>
      <w:pPr>
        <w:spacing w:line="360" w:lineRule="auto"/>
        <w:ind w:firstLine="480" w:firstLineChars="200"/>
        <w:rPr>
          <w:rFonts w:ascii="宋体" w:hAnsi="宋体"/>
          <w:bCs/>
          <w:color w:val="auto"/>
          <w:sz w:val="24"/>
          <w:highlight w:val="none"/>
        </w:rPr>
      </w:pP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我单位具有</w:t>
      </w:r>
      <w:r>
        <w:rPr>
          <w:rFonts w:hint="eastAsia" w:ascii="宋体" w:hAnsi="宋体"/>
          <w:color w:val="auto"/>
          <w:sz w:val="24"/>
          <w:highlight w:val="none"/>
        </w:rPr>
        <w:t>《四川省政府采购当事人诚信管理办法》（川财采[2015]33号）所规定的失信行为</w:t>
      </w:r>
      <w:r>
        <w:rPr>
          <w:rFonts w:hint="eastAsia" w:ascii="宋体" w:hAnsi="宋体"/>
          <w:color w:val="auto"/>
          <w:sz w:val="24"/>
          <w:highlight w:val="none"/>
          <w:u w:val="single"/>
        </w:rPr>
        <w:t xml:space="preserve">      </w:t>
      </w:r>
      <w:r>
        <w:rPr>
          <w:rFonts w:hint="eastAsia" w:ascii="宋体" w:hAnsi="宋体"/>
          <w:color w:val="auto"/>
          <w:sz w:val="24"/>
          <w:highlight w:val="none"/>
        </w:rPr>
        <w:t>次（填写失信行为的次数时，建议使用大写数字，如零、壹、贰、叁、肆等。）；</w:t>
      </w:r>
      <w:r>
        <w:rPr>
          <w:rFonts w:hint="eastAsia" w:ascii="宋体" w:hAnsi="宋体"/>
          <w:bCs/>
          <w:color w:val="auto"/>
          <w:sz w:val="24"/>
          <w:highlight w:val="none"/>
        </w:rPr>
        <w:t>（仅限投标截止当日仍在有效期的次数）</w:t>
      </w:r>
    </w:p>
    <w:p>
      <w:pPr>
        <w:spacing w:line="360" w:lineRule="auto"/>
        <w:ind w:firstLine="480" w:firstLineChars="200"/>
        <w:rPr>
          <w:rFonts w:ascii="宋体" w:hAnsi="宋体"/>
          <w:color w:val="auto"/>
          <w:sz w:val="24"/>
          <w:highlight w:val="none"/>
        </w:rPr>
      </w:pP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我</w:t>
      </w:r>
      <w:r>
        <w:rPr>
          <w:rFonts w:hint="eastAsia" w:ascii="宋体" w:hAnsi="宋体"/>
          <w:bCs/>
          <w:color w:val="auto"/>
          <w:sz w:val="24"/>
          <w:highlight w:val="none"/>
        </w:rPr>
        <w:t>单位</w:t>
      </w:r>
      <w:r>
        <w:rPr>
          <w:rFonts w:hint="eastAsia" w:ascii="宋体" w:hAnsi="宋体"/>
          <w:color w:val="auto"/>
          <w:sz w:val="24"/>
          <w:highlight w:val="none"/>
        </w:rPr>
        <w:t>对以上填写信息的真实性负责。如有不实，本</w:t>
      </w:r>
      <w:r>
        <w:rPr>
          <w:rFonts w:hint="eastAsia" w:ascii="宋体" w:hAnsi="宋体"/>
          <w:bCs/>
          <w:color w:val="auto"/>
          <w:sz w:val="24"/>
          <w:highlight w:val="none"/>
        </w:rPr>
        <w:t>单位</w:t>
      </w:r>
      <w:r>
        <w:rPr>
          <w:rFonts w:hint="eastAsia" w:ascii="宋体" w:hAnsi="宋体"/>
          <w:color w:val="auto"/>
          <w:sz w:val="24"/>
          <w:highlight w:val="none"/>
        </w:rPr>
        <w:t>愿承担由此产生的一切法律责任和后果。</w:t>
      </w:r>
    </w:p>
    <w:p>
      <w:pPr>
        <w:spacing w:line="360" w:lineRule="auto"/>
        <w:rPr>
          <w:rFonts w:ascii="宋体" w:hAnsi="宋体"/>
          <w:bCs/>
          <w:color w:val="auto"/>
          <w:sz w:val="24"/>
          <w:highlight w:val="none"/>
        </w:rPr>
      </w:pP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供应商名称：</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r>
        <w:rPr>
          <w:rFonts w:hint="eastAsia" w:ascii="宋体" w:hAnsi="宋体"/>
          <w:color w:val="auto"/>
          <w:sz w:val="24"/>
          <w:highlight w:val="none"/>
        </w:rPr>
        <w:t>（盖单位电子签章）。</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法定代表人/单位负责人或授权代表（签字或加盖个人电子印章）：</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r>
        <w:rPr>
          <w:rFonts w:hint="eastAsia" w:ascii="宋体" w:hAnsi="宋体"/>
          <w:color w:val="auto"/>
          <w:sz w:val="24"/>
          <w:highlight w:val="none"/>
        </w:rPr>
        <w:t>。</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 xml:space="preserve">日期: </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r>
        <w:rPr>
          <w:rFonts w:hint="eastAsia" w:ascii="宋体" w:hAnsi="宋体"/>
          <w:color w:val="auto"/>
          <w:sz w:val="24"/>
          <w:highlight w:val="none"/>
        </w:rPr>
        <w:t>。</w:t>
      </w:r>
    </w:p>
    <w:p>
      <w:pPr>
        <w:spacing w:line="360" w:lineRule="auto"/>
        <w:rPr>
          <w:rFonts w:ascii="宋体" w:hAnsi="宋体"/>
          <w:bCs/>
          <w:color w:val="auto"/>
          <w:sz w:val="24"/>
          <w:highlight w:val="none"/>
        </w:rPr>
      </w:pPr>
    </w:p>
    <w:p>
      <w:pPr>
        <w:spacing w:line="360" w:lineRule="auto"/>
        <w:rPr>
          <w:rFonts w:ascii="宋体" w:hAnsi="宋体"/>
          <w:bCs/>
          <w:color w:val="auto"/>
          <w:sz w:val="24"/>
          <w:highlight w:val="none"/>
        </w:rPr>
      </w:pPr>
      <w:r>
        <w:rPr>
          <w:rFonts w:hint="eastAsia" w:ascii="宋体" w:hAnsi="宋体"/>
          <w:bCs/>
          <w:color w:val="auto"/>
          <w:sz w:val="24"/>
          <w:highlight w:val="none"/>
        </w:rPr>
        <w:t>注：</w:t>
      </w:r>
    </w:p>
    <w:p>
      <w:pPr>
        <w:rPr>
          <w:rFonts w:ascii="宋体" w:hAnsi="宋体"/>
          <w:bCs/>
          <w:color w:val="auto"/>
          <w:sz w:val="24"/>
          <w:highlight w:val="none"/>
        </w:rPr>
      </w:pPr>
      <w:r>
        <w:rPr>
          <w:rFonts w:hint="eastAsia" w:ascii="宋体" w:hAnsi="宋体"/>
          <w:bCs/>
          <w:color w:val="auto"/>
          <w:sz w:val="24"/>
          <w:highlight w:val="none"/>
        </w:rPr>
        <w:t>1、本表格式及内容仅供参考，供应商也可提供自己的格式；</w:t>
      </w:r>
    </w:p>
    <w:p>
      <w:pPr>
        <w:rPr>
          <w:rFonts w:ascii="宋体" w:hAnsi="宋体"/>
          <w:bCs/>
          <w:color w:val="auto"/>
          <w:sz w:val="24"/>
          <w:highlight w:val="none"/>
        </w:rPr>
      </w:pPr>
      <w:r>
        <w:rPr>
          <w:rFonts w:hint="eastAsia" w:ascii="宋体" w:hAnsi="宋体"/>
          <w:bCs/>
          <w:color w:val="auto"/>
          <w:sz w:val="24"/>
          <w:highlight w:val="none"/>
        </w:rPr>
        <w:t>2、供应商存在以上所述失信行为的，将按照</w:t>
      </w:r>
      <w:r>
        <w:rPr>
          <w:rFonts w:hint="eastAsia" w:ascii="宋体" w:hAnsi="宋体"/>
          <w:color w:val="auto"/>
          <w:sz w:val="24"/>
          <w:highlight w:val="none"/>
        </w:rPr>
        <w:t>第二章供应商须知附表的要求进行处理；</w:t>
      </w:r>
    </w:p>
    <w:p>
      <w:pPr>
        <w:rPr>
          <w:rFonts w:ascii="宋体" w:hAnsi="宋体"/>
          <w:color w:val="auto"/>
          <w:kern w:val="0"/>
          <w:sz w:val="24"/>
          <w:highlight w:val="none"/>
        </w:rPr>
      </w:pPr>
      <w:r>
        <w:rPr>
          <w:rFonts w:hint="eastAsia" w:ascii="宋体" w:hAnsi="宋体"/>
          <w:bCs/>
          <w:color w:val="auto"/>
          <w:sz w:val="24"/>
          <w:highlight w:val="none"/>
        </w:rPr>
        <w:t>3、</w:t>
      </w:r>
      <w:r>
        <w:rPr>
          <w:rFonts w:ascii="宋体" w:hAnsi="宋体"/>
          <w:bCs/>
          <w:color w:val="auto"/>
          <w:sz w:val="24"/>
          <w:highlight w:val="none"/>
        </w:rPr>
        <w:t>财政部门对政府采购当事人的失信行为依法进行处罚、处理后，应当在四川政府采购网向社会公告，并记入诚信档案，有效期为1年。工商部门、税务部门、审判机关及其他有关部门单位认定供应商的失信行为明</w:t>
      </w:r>
      <w:r>
        <w:rPr>
          <w:rFonts w:ascii="宋体" w:hAnsi="宋体"/>
          <w:color w:val="auto"/>
          <w:kern w:val="0"/>
          <w:sz w:val="24"/>
          <w:highlight w:val="none"/>
        </w:rPr>
        <w:t>确了有效期的，不再重复计算。</w:t>
      </w:r>
    </w:p>
    <w:p>
      <w:pPr>
        <w:rPr>
          <w:rFonts w:ascii="宋体" w:hAnsi="宋体"/>
          <w:bCs/>
          <w:color w:val="auto"/>
          <w:sz w:val="24"/>
          <w:highlight w:val="none"/>
        </w:rPr>
      </w:pPr>
      <w:r>
        <w:rPr>
          <w:rFonts w:hint="eastAsia" w:ascii="宋体" w:hAnsi="宋体"/>
          <w:color w:val="auto"/>
          <w:kern w:val="0"/>
          <w:sz w:val="24"/>
          <w:highlight w:val="none"/>
        </w:rPr>
        <w:t>4、</w:t>
      </w:r>
      <w:r>
        <w:rPr>
          <w:rFonts w:hint="eastAsia" w:ascii="宋体" w:hAnsi="宋体"/>
          <w:bCs/>
          <w:color w:val="auto"/>
          <w:sz w:val="24"/>
          <w:highlight w:val="none"/>
        </w:rPr>
        <w:t>供应商的失信行为受到行政处罚或司法惩处的，评审时不再对其以价格加成进行惩戒。</w:t>
      </w:r>
    </w:p>
    <w:p>
      <w:pPr>
        <w:spacing w:line="360" w:lineRule="auto"/>
        <w:rPr>
          <w:rFonts w:ascii="宋体" w:hAnsi="宋体"/>
          <w:b/>
          <w:color w:val="auto"/>
          <w:sz w:val="32"/>
          <w:szCs w:val="32"/>
          <w:highlight w:val="none"/>
        </w:rPr>
      </w:pPr>
      <w:r>
        <w:rPr>
          <w:rFonts w:hint="eastAsia" w:ascii="宋体" w:hAnsi="宋体"/>
          <w:bCs/>
          <w:color w:val="auto"/>
          <w:sz w:val="24"/>
          <w:highlight w:val="none"/>
        </w:rPr>
        <w:br w:type="page"/>
      </w:r>
    </w:p>
    <w:p>
      <w:pPr>
        <w:spacing w:line="360" w:lineRule="auto"/>
        <w:jc w:val="center"/>
        <w:rPr>
          <w:rFonts w:ascii="宋体" w:hAnsi="宋体"/>
          <w:b/>
          <w:color w:val="auto"/>
          <w:sz w:val="32"/>
          <w:szCs w:val="32"/>
          <w:highlight w:val="none"/>
        </w:rPr>
      </w:pPr>
      <w:bookmarkStart w:id="92" w:name="_Toc28495"/>
      <w:r>
        <w:rPr>
          <w:rFonts w:hint="eastAsia" w:ascii="宋体" w:hAnsi="宋体"/>
          <w:b/>
          <w:color w:val="auto"/>
          <w:sz w:val="32"/>
          <w:szCs w:val="32"/>
          <w:highlight w:val="none"/>
        </w:rPr>
        <w:t>十三、关于采购代理服务费的支付承诺</w:t>
      </w:r>
    </w:p>
    <w:p>
      <w:pPr>
        <w:widowControl/>
        <w:spacing w:line="360" w:lineRule="auto"/>
        <w:jc w:val="left"/>
        <w:outlineLvl w:val="1"/>
        <w:rPr>
          <w:rFonts w:ascii="宋体" w:hAnsi="宋体"/>
          <w:color w:val="auto"/>
          <w:sz w:val="24"/>
          <w:highlight w:val="none"/>
        </w:rPr>
      </w:pPr>
      <w:r>
        <w:rPr>
          <w:rFonts w:hint="eastAsia" w:ascii="宋体" w:hAnsi="宋体"/>
          <w:color w:val="auto"/>
          <w:sz w:val="24"/>
          <w:highlight w:val="none"/>
          <w:u w:val="single"/>
        </w:rPr>
        <w:t xml:space="preserve">                        </w:t>
      </w:r>
      <w:r>
        <w:rPr>
          <w:rFonts w:hint="eastAsia" w:ascii="宋体" w:hAnsi="宋体"/>
          <w:color w:val="auto"/>
          <w:sz w:val="24"/>
          <w:highlight w:val="none"/>
        </w:rPr>
        <w:t>（采购代理机构名称）：</w:t>
      </w:r>
    </w:p>
    <w:p>
      <w:pPr>
        <w:widowControl/>
        <w:spacing w:line="360" w:lineRule="auto"/>
        <w:ind w:firstLine="480" w:firstLineChars="200"/>
        <w:jc w:val="left"/>
        <w:outlineLvl w:val="1"/>
        <w:rPr>
          <w:rFonts w:ascii="宋体" w:hAnsi="宋体"/>
          <w:color w:val="auto"/>
          <w:sz w:val="24"/>
          <w:highlight w:val="none"/>
        </w:rPr>
      </w:pPr>
      <w:r>
        <w:rPr>
          <w:rFonts w:hint="eastAsia" w:ascii="宋体" w:hAnsi="宋体"/>
          <w:color w:val="auto"/>
          <w:sz w:val="24"/>
          <w:highlight w:val="none"/>
        </w:rPr>
        <w:t>我公司作为本次采购项目的供应商，参与贵单位组织的“</w:t>
      </w:r>
      <w:r>
        <w:rPr>
          <w:rFonts w:hint="eastAsia" w:ascii="宋体" w:hAnsi="宋体"/>
          <w:color w:val="auto"/>
          <w:sz w:val="24"/>
          <w:highlight w:val="none"/>
          <w:u w:val="single"/>
        </w:rPr>
        <w:t xml:space="preserve">               </w:t>
      </w:r>
      <w:r>
        <w:rPr>
          <w:rFonts w:hint="eastAsia" w:ascii="宋体" w:hAnsi="宋体"/>
          <w:color w:val="auto"/>
          <w:sz w:val="24"/>
          <w:highlight w:val="none"/>
        </w:rPr>
        <w:t>”项目（项目编号：</w:t>
      </w:r>
      <w:r>
        <w:rPr>
          <w:rFonts w:hint="eastAsia" w:ascii="宋体" w:hAnsi="宋体"/>
          <w:color w:val="auto"/>
          <w:sz w:val="24"/>
          <w:highlight w:val="none"/>
          <w:u w:val="single"/>
        </w:rPr>
        <w:t xml:space="preserve">              </w:t>
      </w:r>
      <w:r>
        <w:rPr>
          <w:rFonts w:hint="eastAsia" w:ascii="宋体" w:hAnsi="宋体"/>
          <w:color w:val="auto"/>
          <w:sz w:val="24"/>
          <w:highlight w:val="none"/>
        </w:rPr>
        <w:t>）采购活动，若我公司有幸成交，我公司承诺在领取成交通知书的同时，向贵公司一次性支付竞争性磋商文件规定的采购代理服务费。如因我公司自身原因造成取消成交资格或自愿放弃成交资格的，我公司支付的采购代理服务费不予退还，由此造成的损失由我方自行承担。</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特此承诺。</w:t>
      </w:r>
    </w:p>
    <w:p>
      <w:pPr>
        <w:spacing w:line="360" w:lineRule="auto"/>
        <w:jc w:val="center"/>
        <w:rPr>
          <w:rFonts w:ascii="宋体" w:hAnsi="宋体"/>
          <w:b/>
          <w:color w:val="auto"/>
          <w:sz w:val="24"/>
          <w:highlight w:val="none"/>
        </w:rPr>
      </w:pP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供应商名称：</w:t>
      </w:r>
      <w:r>
        <w:rPr>
          <w:rFonts w:hint="eastAsia" w:ascii="宋体" w:hAnsi="宋体" w:cs="宋体"/>
          <w:color w:val="auto"/>
          <w:kern w:val="0"/>
          <w:sz w:val="24"/>
          <w:highlight w:val="none"/>
          <w:u w:val="single"/>
        </w:rPr>
        <w:t xml:space="preserve">                          </w:t>
      </w:r>
      <w:r>
        <w:rPr>
          <w:rFonts w:hint="eastAsia" w:ascii="宋体" w:hAnsi="宋体"/>
          <w:color w:val="auto"/>
          <w:sz w:val="24"/>
          <w:highlight w:val="none"/>
        </w:rPr>
        <w:t>（盖单位电子签章）</w:t>
      </w: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法定代表人/单位负责人或授权代表（签字或加盖个人电子印章）：</w:t>
      </w:r>
      <w:r>
        <w:rPr>
          <w:rFonts w:hint="eastAsia" w:ascii="宋体" w:hAnsi="宋体" w:cs="宋体"/>
          <w:color w:val="auto"/>
          <w:kern w:val="0"/>
          <w:sz w:val="24"/>
          <w:highlight w:val="none"/>
          <w:u w:val="single"/>
        </w:rPr>
        <w:t xml:space="preserve">        </w:t>
      </w:r>
      <w:r>
        <w:rPr>
          <w:rFonts w:hint="eastAsia" w:ascii="宋体" w:hAnsi="宋体"/>
          <w:color w:val="auto"/>
          <w:sz w:val="24"/>
          <w:highlight w:val="none"/>
        </w:rPr>
        <w:t>。</w:t>
      </w: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日期:</w:t>
      </w:r>
      <w:r>
        <w:rPr>
          <w:rFonts w:hint="eastAsia" w:ascii="宋体" w:hAnsi="宋体" w:cs="宋体"/>
          <w:color w:val="auto"/>
          <w:kern w:val="0"/>
          <w:sz w:val="24"/>
          <w:highlight w:val="none"/>
          <w:u w:val="single"/>
        </w:rPr>
        <w:t xml:space="preserve">            </w:t>
      </w:r>
      <w:r>
        <w:rPr>
          <w:rFonts w:hint="eastAsia" w:ascii="宋体" w:hAnsi="宋体"/>
          <w:color w:val="auto"/>
          <w:sz w:val="24"/>
          <w:highlight w:val="none"/>
        </w:rPr>
        <w:t>。</w:t>
      </w:r>
    </w:p>
    <w:p>
      <w:pPr>
        <w:spacing w:line="360" w:lineRule="auto"/>
        <w:rPr>
          <w:rFonts w:ascii="宋体" w:hAnsi="宋体"/>
          <w:b/>
          <w:color w:val="auto"/>
          <w:sz w:val="32"/>
          <w:szCs w:val="32"/>
          <w:highlight w:val="none"/>
        </w:rPr>
      </w:pPr>
    </w:p>
    <w:p>
      <w:pPr>
        <w:pStyle w:val="2"/>
        <w:rPr>
          <w:color w:val="auto"/>
          <w:highlight w:val="none"/>
        </w:rPr>
      </w:pPr>
    </w:p>
    <w:p>
      <w:pPr>
        <w:pStyle w:val="2"/>
        <w:rPr>
          <w:color w:val="auto"/>
          <w:highlight w:val="none"/>
        </w:rPr>
      </w:pPr>
      <w:r>
        <w:rPr>
          <w:rFonts w:hint="eastAsia"/>
          <w:color w:val="auto"/>
          <w:highlight w:val="none"/>
        </w:rPr>
        <w:t>注：适用于第二章供应商须知附表中规定采购代理服务费由成交人支付，由采购人支付的，可不提供此承诺。</w:t>
      </w:r>
    </w:p>
    <w:p>
      <w:pPr>
        <w:spacing w:line="360" w:lineRule="auto"/>
        <w:jc w:val="center"/>
        <w:rPr>
          <w:rFonts w:ascii="宋体" w:hAnsi="宋体"/>
          <w:b/>
          <w:color w:val="auto"/>
          <w:sz w:val="32"/>
          <w:szCs w:val="32"/>
          <w:highlight w:val="none"/>
        </w:rPr>
      </w:pPr>
    </w:p>
    <w:p>
      <w:pPr>
        <w:pStyle w:val="2"/>
        <w:rPr>
          <w:color w:val="auto"/>
          <w:highlight w:val="none"/>
        </w:rPr>
      </w:pPr>
      <w:r>
        <w:rPr>
          <w:color w:val="auto"/>
          <w:highlight w:val="none"/>
        </w:rPr>
        <w:br w:type="page"/>
      </w:r>
    </w:p>
    <w:p>
      <w:pPr>
        <w:spacing w:line="360" w:lineRule="auto"/>
        <w:jc w:val="center"/>
        <w:rPr>
          <w:rFonts w:ascii="宋体" w:hAnsi="宋体"/>
          <w:b/>
          <w:color w:val="auto"/>
          <w:sz w:val="32"/>
          <w:szCs w:val="32"/>
          <w:highlight w:val="none"/>
        </w:rPr>
      </w:pPr>
      <w:r>
        <w:rPr>
          <w:rFonts w:hint="eastAsia" w:ascii="宋体" w:hAnsi="宋体"/>
          <w:b/>
          <w:color w:val="auto"/>
          <w:sz w:val="32"/>
          <w:szCs w:val="32"/>
          <w:highlight w:val="none"/>
        </w:rPr>
        <w:t>十四、其他材料</w:t>
      </w:r>
    </w:p>
    <w:p>
      <w:pPr>
        <w:widowControl/>
        <w:spacing w:line="480" w:lineRule="auto"/>
        <w:ind w:firstLine="470" w:firstLineChars="196"/>
        <w:jc w:val="left"/>
        <w:outlineLvl w:val="1"/>
        <w:rPr>
          <w:rFonts w:ascii="宋体"/>
          <w:color w:val="auto"/>
          <w:sz w:val="24"/>
          <w:highlight w:val="none"/>
        </w:rPr>
      </w:pPr>
    </w:p>
    <w:p>
      <w:pPr>
        <w:widowControl/>
        <w:spacing w:line="480" w:lineRule="auto"/>
        <w:ind w:firstLine="470" w:firstLineChars="196"/>
        <w:jc w:val="left"/>
        <w:outlineLvl w:val="1"/>
        <w:rPr>
          <w:rFonts w:ascii="宋体"/>
          <w:color w:val="auto"/>
          <w:sz w:val="24"/>
          <w:highlight w:val="none"/>
        </w:rPr>
      </w:pPr>
    </w:p>
    <w:p>
      <w:pPr>
        <w:widowControl/>
        <w:spacing w:line="480" w:lineRule="auto"/>
        <w:ind w:firstLine="470" w:firstLineChars="196"/>
        <w:jc w:val="left"/>
        <w:outlineLvl w:val="1"/>
        <w:rPr>
          <w:rFonts w:ascii="宋体"/>
          <w:color w:val="auto"/>
          <w:sz w:val="24"/>
          <w:highlight w:val="none"/>
        </w:rPr>
      </w:pPr>
    </w:p>
    <w:p>
      <w:pPr>
        <w:widowControl/>
        <w:spacing w:line="480" w:lineRule="auto"/>
        <w:ind w:firstLine="470" w:firstLineChars="196"/>
        <w:jc w:val="left"/>
        <w:outlineLvl w:val="1"/>
        <w:rPr>
          <w:rFonts w:ascii="宋体"/>
          <w:color w:val="auto"/>
          <w:sz w:val="24"/>
          <w:highlight w:val="none"/>
        </w:rPr>
      </w:pPr>
    </w:p>
    <w:p>
      <w:pPr>
        <w:widowControl/>
        <w:spacing w:line="480" w:lineRule="auto"/>
        <w:ind w:firstLine="470" w:firstLineChars="196"/>
        <w:jc w:val="left"/>
        <w:outlineLvl w:val="1"/>
        <w:rPr>
          <w:rFonts w:ascii="宋体"/>
          <w:color w:val="auto"/>
          <w:sz w:val="24"/>
          <w:highlight w:val="none"/>
        </w:rPr>
      </w:pPr>
    </w:p>
    <w:p>
      <w:pPr>
        <w:widowControl/>
        <w:spacing w:line="480" w:lineRule="auto"/>
        <w:ind w:firstLine="470" w:firstLineChars="196"/>
        <w:jc w:val="left"/>
        <w:outlineLvl w:val="1"/>
        <w:rPr>
          <w:rFonts w:ascii="宋体"/>
          <w:color w:val="auto"/>
          <w:sz w:val="24"/>
          <w:highlight w:val="none"/>
        </w:rPr>
      </w:pPr>
    </w:p>
    <w:p>
      <w:pPr>
        <w:widowControl/>
        <w:spacing w:line="480" w:lineRule="auto"/>
        <w:ind w:firstLine="470" w:firstLineChars="196"/>
        <w:jc w:val="left"/>
        <w:outlineLvl w:val="1"/>
        <w:rPr>
          <w:rFonts w:ascii="宋体"/>
          <w:color w:val="auto"/>
          <w:sz w:val="24"/>
          <w:highlight w:val="none"/>
        </w:rPr>
      </w:pPr>
    </w:p>
    <w:p>
      <w:pPr>
        <w:widowControl/>
        <w:spacing w:line="480" w:lineRule="auto"/>
        <w:ind w:firstLine="470" w:firstLineChars="196"/>
        <w:jc w:val="left"/>
        <w:outlineLvl w:val="1"/>
        <w:rPr>
          <w:rFonts w:ascii="宋体"/>
          <w:color w:val="auto"/>
          <w:sz w:val="24"/>
          <w:highlight w:val="none"/>
        </w:rPr>
      </w:pPr>
      <w:r>
        <w:rPr>
          <w:rFonts w:hint="eastAsia" w:ascii="宋体"/>
          <w:color w:val="auto"/>
          <w:sz w:val="24"/>
          <w:highlight w:val="none"/>
        </w:rPr>
        <w:t>注：供应商在响应文件中可以提供以上本章格式未列明其他材料。</w:t>
      </w: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widowControl/>
        <w:jc w:val="left"/>
        <w:rPr>
          <w:color w:val="auto"/>
          <w:highlight w:val="none"/>
        </w:rPr>
      </w:pPr>
    </w:p>
    <w:p>
      <w:pPr>
        <w:spacing w:line="360" w:lineRule="auto"/>
        <w:jc w:val="center"/>
        <w:rPr>
          <w:rFonts w:ascii="宋体" w:hAnsi="宋体"/>
          <w:b/>
          <w:color w:val="auto"/>
          <w:sz w:val="32"/>
          <w:szCs w:val="32"/>
          <w:highlight w:val="none"/>
        </w:rPr>
      </w:pPr>
    </w:p>
    <w:p>
      <w:pPr>
        <w:widowControl/>
        <w:jc w:val="left"/>
        <w:rPr>
          <w:rFonts w:ascii="宋体" w:hAnsi="宋体"/>
          <w:b/>
          <w:color w:val="auto"/>
          <w:sz w:val="32"/>
          <w:szCs w:val="32"/>
          <w:highlight w:val="none"/>
        </w:rPr>
      </w:pPr>
      <w:r>
        <w:rPr>
          <w:rFonts w:ascii="宋体" w:hAnsi="宋体"/>
          <w:b/>
          <w:color w:val="auto"/>
          <w:sz w:val="32"/>
          <w:szCs w:val="32"/>
          <w:highlight w:val="none"/>
        </w:rPr>
        <w:br w:type="page"/>
      </w:r>
    </w:p>
    <w:p>
      <w:pPr>
        <w:spacing w:line="360" w:lineRule="auto"/>
        <w:jc w:val="center"/>
        <w:rPr>
          <w:rFonts w:ascii="宋体" w:hAnsi="宋体"/>
          <w:b/>
          <w:color w:val="auto"/>
          <w:sz w:val="32"/>
          <w:szCs w:val="32"/>
          <w:highlight w:val="none"/>
        </w:rPr>
      </w:pPr>
      <w:r>
        <w:rPr>
          <w:rFonts w:hint="eastAsia" w:ascii="宋体" w:hAnsi="宋体"/>
          <w:b/>
          <w:color w:val="auto"/>
          <w:sz w:val="32"/>
          <w:szCs w:val="32"/>
          <w:highlight w:val="none"/>
        </w:rPr>
        <w:t>十五、最后报价表</w:t>
      </w:r>
    </w:p>
    <w:p>
      <w:pPr>
        <w:pStyle w:val="2"/>
        <w:rPr>
          <w:color w:val="auto"/>
          <w:highlight w:val="none"/>
        </w:rPr>
      </w:pPr>
    </w:p>
    <w:tbl>
      <w:tblPr>
        <w:tblStyle w:val="37"/>
        <w:tblW w:w="92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2740"/>
        <w:gridCol w:w="2511"/>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19" w:type="dxa"/>
            <w:vAlign w:val="center"/>
          </w:tcPr>
          <w:p>
            <w:pPr>
              <w:widowControl/>
              <w:spacing w:line="36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序号</w:t>
            </w:r>
          </w:p>
        </w:tc>
        <w:tc>
          <w:tcPr>
            <w:tcW w:w="2740" w:type="dxa"/>
            <w:vAlign w:val="center"/>
          </w:tcPr>
          <w:p>
            <w:pPr>
              <w:widowControl/>
              <w:spacing w:line="36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采购内容</w:t>
            </w:r>
          </w:p>
        </w:tc>
        <w:tc>
          <w:tcPr>
            <w:tcW w:w="2511" w:type="dxa"/>
            <w:vAlign w:val="center"/>
          </w:tcPr>
          <w:p>
            <w:pPr>
              <w:spacing w:line="36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服务期限</w:t>
            </w:r>
          </w:p>
        </w:tc>
        <w:tc>
          <w:tcPr>
            <w:tcW w:w="3150" w:type="dxa"/>
            <w:vAlign w:val="center"/>
          </w:tcPr>
          <w:p>
            <w:pPr>
              <w:widowControl/>
              <w:spacing w:line="36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 xml:space="preserve">报价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7" w:hRule="atLeast"/>
        </w:trPr>
        <w:tc>
          <w:tcPr>
            <w:tcW w:w="819" w:type="dxa"/>
            <w:vAlign w:val="center"/>
          </w:tcPr>
          <w:p>
            <w:pPr>
              <w:widowControl/>
              <w:spacing w:line="36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1</w:t>
            </w:r>
          </w:p>
        </w:tc>
        <w:tc>
          <w:tcPr>
            <w:tcW w:w="2740" w:type="dxa"/>
            <w:vAlign w:val="center"/>
          </w:tcPr>
          <w:p>
            <w:pPr>
              <w:widowControl/>
              <w:spacing w:line="360" w:lineRule="auto"/>
              <w:jc w:val="center"/>
              <w:rPr>
                <w:rFonts w:ascii="宋体" w:hAnsi="宋体" w:cs="宋体"/>
                <w:bCs/>
                <w:color w:val="auto"/>
                <w:kern w:val="0"/>
                <w:sz w:val="24"/>
                <w:highlight w:val="none"/>
              </w:rPr>
            </w:pPr>
            <w:r>
              <w:rPr>
                <w:rFonts w:hint="eastAsia" w:ascii="宋体"/>
                <w:color w:val="auto"/>
                <w:sz w:val="24"/>
                <w:highlight w:val="none"/>
              </w:rPr>
              <w:t>崇州市城市更新专项规划和更新单元实施规划编制</w:t>
            </w:r>
          </w:p>
        </w:tc>
        <w:tc>
          <w:tcPr>
            <w:tcW w:w="2511" w:type="dxa"/>
            <w:vAlign w:val="center"/>
          </w:tcPr>
          <w:p>
            <w:pPr>
              <w:spacing w:line="36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政府采购合同签订生效之日起45个工作日内按采购人要求的方式完成履约。</w:t>
            </w:r>
          </w:p>
        </w:tc>
        <w:tc>
          <w:tcPr>
            <w:tcW w:w="3150" w:type="dxa"/>
            <w:vAlign w:val="center"/>
          </w:tcPr>
          <w:p>
            <w:pPr>
              <w:widowControl/>
              <w:spacing w:line="360" w:lineRule="auto"/>
              <w:rPr>
                <w:rFonts w:ascii="宋体" w:hAnsi="宋体" w:cs="宋体"/>
                <w:color w:val="auto"/>
                <w:sz w:val="24"/>
                <w:highlight w:val="none"/>
              </w:rPr>
            </w:pPr>
            <w:r>
              <w:rPr>
                <w:rFonts w:ascii="宋体" w:hAnsi="宋体" w:cs="宋体"/>
                <w:color w:val="auto"/>
                <w:sz w:val="24"/>
                <w:highlight w:val="none"/>
              </w:rPr>
              <w:t>报价为人民币</w:t>
            </w:r>
            <w:r>
              <w:rPr>
                <w:rFonts w:hint="eastAsia" w:ascii="宋体" w:hAnsi="宋体" w:cs="宋体"/>
                <w:color w:val="auto"/>
                <w:sz w:val="24"/>
                <w:highlight w:val="none"/>
                <w:u w:val="single"/>
              </w:rPr>
              <w:t xml:space="preserve">    万</w:t>
            </w:r>
            <w:r>
              <w:rPr>
                <w:rFonts w:ascii="宋体" w:hAnsi="宋体" w:cs="宋体"/>
                <w:color w:val="auto"/>
                <w:sz w:val="24"/>
                <w:highlight w:val="none"/>
              </w:rPr>
              <w:t xml:space="preserve">元 </w:t>
            </w:r>
          </w:p>
          <w:p>
            <w:pPr>
              <w:widowControl/>
              <w:spacing w:line="360" w:lineRule="auto"/>
              <w:rPr>
                <w:rFonts w:ascii="宋体" w:hAnsi="宋体" w:cs="宋体"/>
                <w:bCs/>
                <w:color w:val="auto"/>
                <w:kern w:val="0"/>
                <w:sz w:val="24"/>
                <w:highlight w:val="none"/>
              </w:rPr>
            </w:pPr>
            <w:r>
              <w:rPr>
                <w:rFonts w:ascii="宋体" w:hAnsi="宋体" w:cs="宋体"/>
                <w:color w:val="auto"/>
                <w:sz w:val="24"/>
                <w:highlight w:val="none"/>
              </w:rPr>
              <w:t>（大写：</w:t>
            </w:r>
            <w:r>
              <w:rPr>
                <w:rFonts w:hint="eastAsia" w:ascii="宋体" w:hAnsi="宋体" w:cs="宋体"/>
                <w:color w:val="auto"/>
                <w:sz w:val="24"/>
                <w:highlight w:val="none"/>
                <w:u w:val="single"/>
              </w:rPr>
              <w:t xml:space="preserve">              </w:t>
            </w:r>
            <w:r>
              <w:rPr>
                <w:rFonts w:ascii="宋体" w:hAnsi="宋体" w:cs="宋体"/>
                <w:color w:val="auto"/>
                <w:sz w:val="24"/>
                <w:highlight w:val="none"/>
              </w:rPr>
              <w:t>）</w:t>
            </w:r>
          </w:p>
        </w:tc>
      </w:tr>
    </w:tbl>
    <w:p>
      <w:pPr>
        <w:pStyle w:val="2"/>
        <w:rPr>
          <w:color w:val="auto"/>
          <w:highlight w:val="none"/>
        </w:rPr>
      </w:pPr>
    </w:p>
    <w:p>
      <w:pPr>
        <w:adjustRightIn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供应商名称：</w:t>
      </w:r>
      <w:r>
        <w:rPr>
          <w:rFonts w:hint="eastAsia" w:ascii="宋体" w:hAnsi="宋体"/>
          <w:color w:val="auto"/>
          <w:sz w:val="24"/>
          <w:highlight w:val="none"/>
          <w:u w:val="single"/>
        </w:rPr>
        <w:t xml:space="preserve">                        </w:t>
      </w:r>
    </w:p>
    <w:p>
      <w:pPr>
        <w:adjustRightIn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法定代表人/单位负责人或授权代表（签字或加盖个人电子印章）：</w:t>
      </w:r>
      <w:r>
        <w:rPr>
          <w:rFonts w:hint="eastAsia" w:ascii="宋体" w:hAnsi="宋体"/>
          <w:color w:val="auto"/>
          <w:sz w:val="24"/>
          <w:highlight w:val="none"/>
          <w:u w:val="single"/>
        </w:rPr>
        <w:t xml:space="preserve">               </w:t>
      </w:r>
    </w:p>
    <w:p>
      <w:pPr>
        <w:pStyle w:val="13"/>
        <w:spacing w:line="360" w:lineRule="auto"/>
        <w:ind w:firstLine="480"/>
        <w:rPr>
          <w:rFonts w:ascii="宋体" w:hAnsi="宋体"/>
          <w:color w:val="auto"/>
          <w:sz w:val="24"/>
          <w:highlight w:val="none"/>
          <w:u w:val="single"/>
        </w:rPr>
      </w:pPr>
      <w:r>
        <w:rPr>
          <w:rFonts w:hint="eastAsia" w:ascii="宋体" w:hAnsi="宋体"/>
          <w:color w:val="auto"/>
          <w:sz w:val="24"/>
          <w:highlight w:val="none"/>
        </w:rPr>
        <w:t>日期：</w:t>
      </w:r>
      <w:r>
        <w:rPr>
          <w:rFonts w:hint="eastAsia" w:ascii="宋体" w:hAnsi="宋体"/>
          <w:color w:val="auto"/>
          <w:sz w:val="24"/>
          <w:highlight w:val="none"/>
          <w:u w:val="single"/>
        </w:rPr>
        <w:t xml:space="preserve">                 </w:t>
      </w:r>
    </w:p>
    <w:p>
      <w:pPr>
        <w:pStyle w:val="2"/>
        <w:rPr>
          <w:color w:val="auto"/>
          <w:highlight w:val="none"/>
        </w:rPr>
      </w:pPr>
    </w:p>
    <w:p>
      <w:pPr>
        <w:pStyle w:val="2"/>
        <w:rPr>
          <w:color w:val="auto"/>
          <w:highlight w:val="none"/>
        </w:rPr>
      </w:pPr>
    </w:p>
    <w:p>
      <w:pPr>
        <w:pStyle w:val="2"/>
        <w:rPr>
          <w:color w:val="auto"/>
          <w:highlight w:val="none"/>
        </w:rPr>
      </w:pPr>
    </w:p>
    <w:p>
      <w:pPr>
        <w:spacing w:line="400" w:lineRule="exact"/>
        <w:rPr>
          <w:rFonts w:ascii="宋体" w:hAnsi="宋体" w:cs="宋体"/>
          <w:color w:val="auto"/>
          <w:sz w:val="24"/>
          <w:highlight w:val="none"/>
        </w:rPr>
      </w:pPr>
      <w:r>
        <w:rPr>
          <w:rFonts w:hint="eastAsia" w:ascii="宋体" w:hAnsi="宋体" w:cs="宋体"/>
          <w:color w:val="auto"/>
          <w:sz w:val="24"/>
          <w:highlight w:val="none"/>
        </w:rPr>
        <w:t>注：</w:t>
      </w:r>
    </w:p>
    <w:p>
      <w:pPr>
        <w:spacing w:line="400" w:lineRule="exact"/>
        <w:rPr>
          <w:rFonts w:ascii="宋体" w:hAnsi="宋体" w:cs="宋体"/>
          <w:color w:val="auto"/>
          <w:sz w:val="24"/>
          <w:highlight w:val="none"/>
        </w:rPr>
      </w:pPr>
      <w:r>
        <w:rPr>
          <w:rFonts w:hint="eastAsia" w:ascii="宋体" w:hAnsi="宋体" w:cs="宋体"/>
          <w:color w:val="auto"/>
          <w:sz w:val="24"/>
          <w:highlight w:val="none"/>
        </w:rPr>
        <w:t>1.最后报价具体按照政府采购云平台政策执行。</w:t>
      </w:r>
    </w:p>
    <w:p>
      <w:pPr>
        <w:spacing w:line="400" w:lineRule="exact"/>
        <w:rPr>
          <w:rFonts w:ascii="宋体" w:hAnsi="宋体" w:cs="宋体"/>
          <w:color w:val="auto"/>
          <w:sz w:val="24"/>
          <w:highlight w:val="none"/>
        </w:rPr>
      </w:pPr>
      <w:r>
        <w:rPr>
          <w:rFonts w:hint="eastAsia" w:ascii="宋体" w:hAnsi="宋体" w:cs="宋体"/>
          <w:color w:val="auto"/>
          <w:sz w:val="24"/>
          <w:highlight w:val="none"/>
        </w:rPr>
        <w:t>2、最后报价包括磋商文件规定的全部相应内容的报价，最后报价只报总价的，各分项报价按总价同比下浮计算。</w:t>
      </w:r>
    </w:p>
    <w:p>
      <w:pPr>
        <w:spacing w:line="400" w:lineRule="exact"/>
        <w:rPr>
          <w:rFonts w:ascii="宋体" w:hAnsi="宋体" w:cs="宋体"/>
          <w:color w:val="auto"/>
          <w:sz w:val="24"/>
          <w:highlight w:val="none"/>
        </w:rPr>
      </w:pPr>
    </w:p>
    <w:p>
      <w:pPr>
        <w:widowControl/>
        <w:jc w:val="left"/>
        <w:rPr>
          <w:rFonts w:ascii="宋体" w:hAnsi="宋体"/>
          <w:b/>
          <w:color w:val="auto"/>
          <w:sz w:val="32"/>
          <w:szCs w:val="32"/>
          <w:highlight w:val="none"/>
        </w:rPr>
      </w:pPr>
    </w:p>
    <w:p>
      <w:pPr>
        <w:widowControl/>
        <w:jc w:val="left"/>
        <w:rPr>
          <w:rFonts w:ascii="宋体" w:cs="宋体"/>
          <w:color w:val="auto"/>
          <w:kern w:val="0"/>
          <w:sz w:val="24"/>
          <w:highlight w:val="none"/>
        </w:rPr>
      </w:pPr>
      <w:r>
        <w:rPr>
          <w:color w:val="auto"/>
          <w:highlight w:val="none"/>
        </w:rPr>
        <w:br w:type="page"/>
      </w:r>
    </w:p>
    <w:p>
      <w:pPr>
        <w:pStyle w:val="2"/>
        <w:rPr>
          <w:color w:val="auto"/>
          <w:highlight w:val="none"/>
        </w:rPr>
        <w:sectPr>
          <w:footerReference r:id="rId13" w:type="default"/>
          <w:pgSz w:w="11906" w:h="16838"/>
          <w:pgMar w:top="1440" w:right="1800" w:bottom="1440" w:left="1800" w:header="851" w:footer="992" w:gutter="0"/>
          <w:cols w:space="720" w:num="1"/>
          <w:docGrid w:type="lines" w:linePitch="312" w:charSpace="0"/>
        </w:sectPr>
      </w:pPr>
    </w:p>
    <w:bookmarkEnd w:id="92"/>
    <w:p>
      <w:pPr>
        <w:pStyle w:val="3"/>
        <w:spacing w:line="400" w:lineRule="exact"/>
        <w:jc w:val="center"/>
        <w:rPr>
          <w:rFonts w:ascii="宋体" w:hAnsi="宋体"/>
          <w:color w:val="auto"/>
          <w:sz w:val="36"/>
          <w:szCs w:val="36"/>
          <w:highlight w:val="none"/>
        </w:rPr>
      </w:pPr>
      <w:bookmarkStart w:id="93" w:name="_Toc24786"/>
      <w:bookmarkStart w:id="94" w:name="_Toc53267589"/>
      <w:r>
        <w:rPr>
          <w:rFonts w:hint="eastAsia" w:ascii="宋体" w:hAnsi="宋体"/>
          <w:color w:val="auto"/>
          <w:sz w:val="36"/>
          <w:szCs w:val="36"/>
          <w:highlight w:val="none"/>
        </w:rPr>
        <w:t>第九章  评</w:t>
      </w:r>
      <w:bookmarkEnd w:id="93"/>
      <w:bookmarkStart w:id="95" w:name="_Hlt101846155"/>
      <w:bookmarkEnd w:id="95"/>
      <w:bookmarkStart w:id="96" w:name="_Toc217446097"/>
      <w:bookmarkStart w:id="97" w:name="_Toc208849007"/>
      <w:bookmarkStart w:id="98" w:name="_Toc183582280"/>
      <w:bookmarkStart w:id="99" w:name="_Toc183682415"/>
      <w:r>
        <w:rPr>
          <w:rFonts w:hint="eastAsia" w:ascii="宋体" w:hAnsi="宋体"/>
          <w:color w:val="auto"/>
          <w:sz w:val="36"/>
          <w:szCs w:val="36"/>
          <w:highlight w:val="none"/>
        </w:rPr>
        <w:t>审方法</w:t>
      </w:r>
      <w:bookmarkEnd w:id="94"/>
    </w:p>
    <w:p>
      <w:pPr>
        <w:pStyle w:val="4"/>
        <w:rPr>
          <w:rFonts w:ascii="宋体" w:hAnsi="宋体" w:eastAsia="宋体"/>
          <w:color w:val="auto"/>
          <w:sz w:val="24"/>
          <w:szCs w:val="24"/>
          <w:highlight w:val="none"/>
        </w:rPr>
      </w:pPr>
      <w:r>
        <w:rPr>
          <w:rFonts w:hint="eastAsia" w:ascii="宋体" w:hAnsi="宋体" w:eastAsia="宋体"/>
          <w:color w:val="auto"/>
          <w:sz w:val="24"/>
          <w:szCs w:val="24"/>
          <w:highlight w:val="none"/>
        </w:rPr>
        <w:t>1. 总则</w:t>
      </w:r>
      <w:bookmarkEnd w:id="96"/>
      <w:bookmarkEnd w:id="97"/>
      <w:bookmarkEnd w:id="98"/>
      <w:bookmarkEnd w:id="99"/>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1.1 根据《中华人民共和国政府采购法》、《中华人民共和国政府采购法实施条例》、《政府采购竞争性磋商采购方式管理暂行办法》等法律制度，结合本采购项目特点制定本次磋商采购评审方法。</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1.2 磋商工作由采购代理机构负责组织，具体磋商由采购代理机构依法组建的磋商小组负责。</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1.3 磋商工作应遵循公平、公正、科学及择优的原则，并以相同的磋商程序和标准对待所有的供应商。</w:t>
      </w:r>
    </w:p>
    <w:p>
      <w:pPr>
        <w:spacing w:line="400" w:lineRule="exact"/>
        <w:ind w:firstLine="480" w:firstLineChars="200"/>
        <w:rPr>
          <w:rFonts w:ascii="宋体" w:hAnsi="宋体"/>
          <w:color w:val="auto"/>
          <w:sz w:val="24"/>
          <w:highlight w:val="none"/>
        </w:rPr>
      </w:pPr>
      <w:bookmarkStart w:id="100" w:name="_Toc217446098"/>
      <w:r>
        <w:rPr>
          <w:rFonts w:hint="eastAsia" w:ascii="宋体" w:hAnsi="宋体"/>
          <w:color w:val="auto"/>
          <w:sz w:val="24"/>
          <w:highlight w:val="none"/>
        </w:rPr>
        <w:t>1.4 磋商小组按照磋商文件规定的磋商程序、评分方法和标准进行评审，并独立履行下列职责：</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（一）熟悉和理解磋商文件，确定磋商文件内容是否违反国家有关强制性规定或者磋商文件存在歧义、重大缺陷，根据需要书面要求采购人、采购代理机构对磋商文件作出解释；</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（二）审查供应商响应文件是否满足磋商文件要求，并作出公正评价；</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（三）根据需要要求供应商对响应文件中含义不明确、同类问题表述不一致或者有明显文字和计算错误的内容等作出必要的澄清、说明或者更正；</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（四）推荐成交供应商，或者受采购人委托确定成交供应商；</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（五）起草评审报告并进行签署；</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（六）向采购人、采购代理机构、财政部门或者其他监督部门报告非法干预评审工作的行为；</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（七）法律、法规和规章规定的其他职责。</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1.5磋商过程独立、保密。供应商非法干预磋商过程的，其响应文件作无效处理。</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1.6 磋商评审响应文件的响应性，除磋商小组要求其澄清、说明或者更正而提供的资料外，仅依据响应文件本身的内容，不寻求其他外部证据。</w:t>
      </w:r>
    </w:p>
    <w:p>
      <w:pPr>
        <w:pStyle w:val="4"/>
        <w:rPr>
          <w:rFonts w:ascii="宋体" w:hAnsi="宋体" w:eastAsia="宋体"/>
          <w:color w:val="auto"/>
          <w:sz w:val="24"/>
          <w:szCs w:val="24"/>
          <w:highlight w:val="none"/>
        </w:rPr>
      </w:pPr>
      <w:r>
        <w:rPr>
          <w:rFonts w:hint="eastAsia" w:ascii="宋体" w:hAnsi="宋体" w:eastAsia="宋体"/>
          <w:color w:val="auto"/>
          <w:sz w:val="24"/>
          <w:szCs w:val="24"/>
          <w:highlight w:val="none"/>
        </w:rPr>
        <w:t>2、</w:t>
      </w:r>
      <w:bookmarkEnd w:id="100"/>
      <w:bookmarkStart w:id="101" w:name="_Toc217446103"/>
      <w:bookmarkStart w:id="102" w:name="_Toc217446099"/>
      <w:r>
        <w:rPr>
          <w:rFonts w:hint="eastAsia" w:ascii="宋体" w:hAnsi="宋体" w:eastAsia="宋体"/>
          <w:color w:val="auto"/>
          <w:sz w:val="24"/>
          <w:szCs w:val="24"/>
          <w:highlight w:val="none"/>
        </w:rPr>
        <w:t>磋商程序（按照政府采购云平台政策执行）</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2.1审查磋商文件和停止评审。</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2.1.1 磋商小组正式评审前，应当对磋商文件进行熟悉和理解，内容主要包括磋商文件中供应商资格条件要求、采购项目技术、服务和商务要求、磋商办法和标准、政府采购政策要求以及政府采购合同主要条款等。</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2.1.2 本磋商文件有下列情形之一的，磋商小组应当停止评审：</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（1）磋商文件的规定存在歧义、重大缺陷，导致评审无法进行的；</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（2）磋商文件明显以不合理条件对供应商实行差别待遇或者歧视待遇的；</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（3）采购项目属于国家规定的优先、强制采购范围，但是磋商文件未依法体现优先、强制采购相关规定的；</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（4）采购项目属于政府采购促进中小企业发展的范围，但是磋商文件未依法体现促进中小企业发展相关规定的；</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（5）磋商文件将供应商的资格条件列为评分因素的；</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（6）磋商文件载明的成交原则不合法的；</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（7）磋商文件有违反国家其他有关强制性规定的情形。</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2.1.3 出现本条2.1.2规定应当停止评审情形的，磋商小组应当向采购组织单位书面书面说明情况。除2.1.2规定的情形外，磋商小组不得以任何方式和理由停止评审。</w:t>
      </w:r>
    </w:p>
    <w:p>
      <w:pPr>
        <w:pStyle w:val="4"/>
        <w:keepNext w:val="0"/>
        <w:keepLines w:val="0"/>
        <w:spacing w:before="0" w:after="0" w:line="400" w:lineRule="atLeast"/>
        <w:ind w:firstLine="470" w:firstLineChars="196"/>
        <w:rPr>
          <w:rFonts w:ascii="宋体" w:hAnsi="宋体" w:eastAsia="宋体"/>
          <w:b w:val="0"/>
          <w:color w:val="auto"/>
          <w:sz w:val="24"/>
          <w:szCs w:val="24"/>
          <w:highlight w:val="none"/>
        </w:rPr>
      </w:pPr>
      <w:r>
        <w:rPr>
          <w:rFonts w:hint="eastAsia" w:ascii="宋体" w:hAnsi="宋体" w:eastAsia="宋体"/>
          <w:b w:val="0"/>
          <w:color w:val="auto"/>
          <w:sz w:val="24"/>
          <w:szCs w:val="24"/>
          <w:highlight w:val="none"/>
        </w:rPr>
        <w:t>2.2资格性审查。</w:t>
      </w:r>
    </w:p>
    <w:p>
      <w:pPr>
        <w:pStyle w:val="4"/>
        <w:keepNext w:val="0"/>
        <w:keepLines w:val="0"/>
        <w:spacing w:before="0" w:after="0" w:line="400" w:lineRule="atLeast"/>
        <w:ind w:firstLine="470" w:firstLineChars="196"/>
        <w:rPr>
          <w:rFonts w:ascii="宋体" w:hAnsi="宋体" w:eastAsia="宋体"/>
          <w:b w:val="0"/>
          <w:color w:val="auto"/>
          <w:sz w:val="24"/>
          <w:szCs w:val="24"/>
          <w:highlight w:val="none"/>
        </w:rPr>
      </w:pPr>
      <w:r>
        <w:rPr>
          <w:rFonts w:hint="eastAsia" w:ascii="宋体" w:hAnsi="宋体" w:eastAsia="宋体"/>
          <w:b w:val="0"/>
          <w:color w:val="auto"/>
          <w:sz w:val="24"/>
          <w:szCs w:val="24"/>
          <w:highlight w:val="none"/>
        </w:rPr>
        <w:t>本项目需要磋商小组进行资格性检查。</w:t>
      </w:r>
    </w:p>
    <w:p>
      <w:pPr>
        <w:pStyle w:val="4"/>
        <w:keepNext w:val="0"/>
        <w:keepLines w:val="0"/>
        <w:spacing w:before="0" w:after="0" w:line="400" w:lineRule="atLeast"/>
        <w:ind w:firstLine="470" w:firstLineChars="196"/>
        <w:rPr>
          <w:rFonts w:ascii="宋体" w:hAnsi="宋体" w:eastAsia="宋体"/>
          <w:b w:val="0"/>
          <w:color w:val="auto"/>
          <w:sz w:val="24"/>
          <w:szCs w:val="24"/>
          <w:highlight w:val="none"/>
        </w:rPr>
      </w:pPr>
      <w:r>
        <w:rPr>
          <w:rFonts w:hint="eastAsia" w:ascii="宋体" w:hAnsi="宋体" w:eastAsia="宋体"/>
          <w:b w:val="0"/>
          <w:color w:val="auto"/>
          <w:sz w:val="24"/>
          <w:szCs w:val="24"/>
          <w:highlight w:val="none"/>
        </w:rPr>
        <w:t>2.2.1磋商小组应依据法律法规和磋商文件的规定，对响应文件是否按照规定要求提供资格性证明材料、是否属于禁止参加磋商的供应商等进行审查，以确定供应商是否具备磋商资格。</w:t>
      </w:r>
    </w:p>
    <w:p>
      <w:pPr>
        <w:pStyle w:val="4"/>
        <w:keepNext w:val="0"/>
        <w:keepLines w:val="0"/>
        <w:spacing w:before="0" w:after="0" w:line="400" w:lineRule="atLeast"/>
        <w:ind w:firstLine="470" w:firstLineChars="196"/>
        <w:rPr>
          <w:rFonts w:ascii="宋体" w:hAnsi="宋体" w:eastAsia="宋体"/>
          <w:b w:val="0"/>
          <w:color w:val="auto"/>
          <w:sz w:val="24"/>
          <w:szCs w:val="24"/>
          <w:highlight w:val="none"/>
        </w:rPr>
      </w:pPr>
      <w:r>
        <w:rPr>
          <w:rFonts w:hint="eastAsia" w:ascii="宋体" w:hAnsi="宋体" w:eastAsia="宋体"/>
          <w:b w:val="0"/>
          <w:color w:val="auto"/>
          <w:sz w:val="24"/>
          <w:szCs w:val="24"/>
          <w:highlight w:val="none"/>
        </w:rPr>
        <w:t>2.2.2资格性审查结束后，磋商小组应当出具资格性审查报告，没有通过资格审查的供应商，磋商小组应当在资格审查报告中说明原因。</w:t>
      </w:r>
    </w:p>
    <w:p>
      <w:pPr>
        <w:pStyle w:val="4"/>
        <w:keepNext w:val="0"/>
        <w:keepLines w:val="0"/>
        <w:spacing w:before="0" w:after="0" w:line="400" w:lineRule="atLeast"/>
        <w:ind w:firstLine="470" w:firstLineChars="196"/>
        <w:rPr>
          <w:rFonts w:ascii="宋体" w:hAnsi="宋体" w:eastAsia="宋体"/>
          <w:b w:val="0"/>
          <w:color w:val="auto"/>
          <w:sz w:val="24"/>
          <w:szCs w:val="24"/>
          <w:highlight w:val="none"/>
        </w:rPr>
      </w:pPr>
      <w:r>
        <w:rPr>
          <w:rFonts w:hint="eastAsia" w:ascii="宋体" w:hAnsi="宋体" w:eastAsia="宋体"/>
          <w:b w:val="0"/>
          <w:color w:val="auto"/>
          <w:sz w:val="24"/>
          <w:szCs w:val="24"/>
          <w:highlight w:val="none"/>
        </w:rPr>
        <w:t>2.2.3磋商小组应依据磋商文件规定的实质性要求，对符合资格的响应文件进行有效性、完整性和响应程度审查，以确定参加磋商的供应商名单。</w:t>
      </w:r>
    </w:p>
    <w:p>
      <w:pPr>
        <w:pStyle w:val="4"/>
        <w:keepNext w:val="0"/>
        <w:keepLines w:val="0"/>
        <w:spacing w:before="0" w:after="0" w:line="400" w:lineRule="atLeast"/>
        <w:ind w:firstLine="470" w:firstLineChars="196"/>
        <w:rPr>
          <w:rFonts w:ascii="宋体" w:hAnsi="宋体" w:eastAsia="宋体"/>
          <w:b w:val="0"/>
          <w:color w:val="auto"/>
          <w:sz w:val="24"/>
          <w:szCs w:val="24"/>
          <w:highlight w:val="none"/>
        </w:rPr>
      </w:pPr>
      <w:r>
        <w:rPr>
          <w:rFonts w:hint="eastAsia" w:ascii="宋体" w:hAnsi="宋体" w:eastAsia="宋体"/>
          <w:b w:val="0"/>
          <w:color w:val="auto"/>
          <w:sz w:val="24"/>
          <w:szCs w:val="24"/>
          <w:highlight w:val="none"/>
        </w:rPr>
        <w:t>2.2.4采购人或者采购代理机构宣布未通过资格性审查的供应商名单时，应当告知供应商未通过审查的原因。</w:t>
      </w:r>
    </w:p>
    <w:p>
      <w:pPr>
        <w:pStyle w:val="4"/>
        <w:keepNext w:val="0"/>
        <w:keepLines w:val="0"/>
        <w:spacing w:before="0" w:after="0" w:line="400" w:lineRule="exact"/>
        <w:ind w:firstLine="470" w:firstLineChars="196"/>
        <w:rPr>
          <w:rFonts w:ascii="宋体" w:hAnsi="宋体" w:eastAsia="宋体"/>
          <w:b w:val="0"/>
          <w:color w:val="auto"/>
          <w:sz w:val="24"/>
          <w:szCs w:val="24"/>
          <w:highlight w:val="none"/>
        </w:rPr>
      </w:pPr>
      <w:r>
        <w:rPr>
          <w:rFonts w:hint="eastAsia" w:ascii="宋体" w:hAnsi="宋体" w:eastAsia="宋体"/>
          <w:b w:val="0"/>
          <w:color w:val="auto"/>
          <w:sz w:val="24"/>
          <w:szCs w:val="24"/>
          <w:highlight w:val="none"/>
        </w:rPr>
        <w:t>2.3通过资格性审查的供应商不足三家的处理办法</w:t>
      </w:r>
    </w:p>
    <w:p>
      <w:pPr>
        <w:pStyle w:val="4"/>
        <w:keepNext w:val="0"/>
        <w:keepLines w:val="0"/>
        <w:spacing w:before="0" w:after="0" w:line="400" w:lineRule="exact"/>
        <w:ind w:firstLine="470" w:firstLineChars="196"/>
        <w:rPr>
          <w:rFonts w:ascii="宋体" w:hAnsi="宋体" w:eastAsia="宋体"/>
          <w:b w:val="0"/>
          <w:color w:val="auto"/>
          <w:sz w:val="24"/>
          <w:szCs w:val="24"/>
          <w:highlight w:val="none"/>
        </w:rPr>
      </w:pPr>
      <w:r>
        <w:rPr>
          <w:rFonts w:hint="eastAsia" w:ascii="宋体" w:hAnsi="宋体" w:eastAsia="宋体"/>
          <w:b w:val="0"/>
          <w:color w:val="auto"/>
          <w:sz w:val="24"/>
          <w:szCs w:val="24"/>
          <w:highlight w:val="none"/>
        </w:rPr>
        <w:t>2.3.1根据《政府采购竞争性磋商采购方式管理暂行办法》财办库[2014]214号的规定：市场竞争不充分的科研项目，以及需要扶持的科技成果转化项目，提交最后报价的供应商可以为2家；根据《财政部关于政府采购竞争性磋商采购方式管理暂行办法有关问题的补充通知》财库[2015]124号的规定：磋商项目为政府购买服务项目（含政府和社会资本合作项目），在采购过程中符合要求的供应商（社会资本）只有2家的，竞争性磋商采购活动可以继续进行。</w:t>
      </w:r>
    </w:p>
    <w:p>
      <w:pPr>
        <w:pStyle w:val="4"/>
        <w:keepNext w:val="0"/>
        <w:keepLines w:val="0"/>
        <w:spacing w:before="0" w:after="0" w:line="400" w:lineRule="exact"/>
        <w:ind w:firstLine="470" w:firstLineChars="196"/>
        <w:rPr>
          <w:color w:val="auto"/>
          <w:highlight w:val="none"/>
        </w:rPr>
      </w:pPr>
      <w:r>
        <w:rPr>
          <w:rFonts w:hint="eastAsia" w:ascii="宋体" w:hAnsi="宋体" w:eastAsia="宋体"/>
          <w:b w:val="0"/>
          <w:color w:val="auto"/>
          <w:sz w:val="24"/>
          <w:szCs w:val="24"/>
          <w:highlight w:val="none"/>
        </w:rPr>
        <w:t>2.3.2通过资格性审查的供应商不足</w:t>
      </w:r>
      <w:r>
        <w:rPr>
          <w:rFonts w:hint="eastAsia" w:ascii="宋体" w:hAnsi="宋体" w:eastAsia="宋体"/>
          <w:b w:val="0"/>
          <w:color w:val="auto"/>
          <w:sz w:val="24"/>
          <w:highlight w:val="none"/>
        </w:rPr>
        <w:t>3</w:t>
      </w:r>
      <w:r>
        <w:rPr>
          <w:rFonts w:hint="eastAsia" w:ascii="宋体" w:hAnsi="宋体" w:eastAsia="宋体"/>
          <w:b w:val="0"/>
          <w:color w:val="auto"/>
          <w:sz w:val="24"/>
          <w:szCs w:val="24"/>
          <w:highlight w:val="none"/>
        </w:rPr>
        <w:t>家的（符合本章2.3.1款规定可以为2家），终止本次采购活动，并发布终止采购活动公告。</w:t>
      </w:r>
    </w:p>
    <w:p>
      <w:pPr>
        <w:pStyle w:val="4"/>
        <w:keepNext w:val="0"/>
        <w:keepLines w:val="0"/>
        <w:spacing w:before="0" w:after="0" w:line="400" w:lineRule="atLeast"/>
        <w:ind w:firstLine="470" w:firstLineChars="196"/>
        <w:rPr>
          <w:rFonts w:ascii="宋体" w:hAnsi="宋体" w:eastAsia="宋体"/>
          <w:b w:val="0"/>
          <w:color w:val="auto"/>
          <w:sz w:val="24"/>
          <w:szCs w:val="24"/>
          <w:highlight w:val="none"/>
        </w:rPr>
      </w:pPr>
      <w:r>
        <w:rPr>
          <w:rFonts w:hint="eastAsia" w:ascii="宋体" w:hAnsi="宋体" w:eastAsia="宋体"/>
          <w:b w:val="0"/>
          <w:color w:val="auto"/>
          <w:sz w:val="24"/>
          <w:szCs w:val="24"/>
          <w:highlight w:val="none"/>
        </w:rPr>
        <w:t>2.4磋商（按照政府采购云平台政策执行）。</w:t>
      </w:r>
    </w:p>
    <w:p>
      <w:pPr>
        <w:pStyle w:val="4"/>
        <w:keepNext w:val="0"/>
        <w:keepLines w:val="0"/>
        <w:spacing w:before="0" w:after="0" w:line="400" w:lineRule="atLeast"/>
        <w:ind w:firstLine="470" w:firstLineChars="196"/>
        <w:rPr>
          <w:rFonts w:ascii="宋体" w:hAnsi="宋体" w:eastAsia="宋体"/>
          <w:b w:val="0"/>
          <w:color w:val="auto"/>
          <w:sz w:val="24"/>
          <w:szCs w:val="24"/>
          <w:highlight w:val="none"/>
        </w:rPr>
      </w:pPr>
      <w:r>
        <w:rPr>
          <w:rFonts w:hint="eastAsia" w:ascii="宋体" w:hAnsi="宋体" w:eastAsia="宋体"/>
          <w:b w:val="0"/>
          <w:color w:val="auto"/>
          <w:sz w:val="24"/>
          <w:szCs w:val="24"/>
          <w:highlight w:val="none"/>
        </w:rPr>
        <w:t>2.4.1磋商小组所有成员集中与单一供应商分别进行一轮或多轮磋商，并给予所有参加磋商的供应商平等的磋商机会。磋商顺序以抽签的方式确定。磋商过程中，磋商小组可以根据磋商情况调整磋商轮次。</w:t>
      </w:r>
    </w:p>
    <w:p>
      <w:pPr>
        <w:pStyle w:val="4"/>
        <w:keepNext w:val="0"/>
        <w:keepLines w:val="0"/>
        <w:spacing w:before="0" w:after="0" w:line="400" w:lineRule="atLeast"/>
        <w:ind w:firstLine="470" w:firstLineChars="196"/>
        <w:rPr>
          <w:rFonts w:ascii="宋体" w:hAnsi="宋体" w:eastAsia="宋体"/>
          <w:b w:val="0"/>
          <w:color w:val="auto"/>
          <w:sz w:val="24"/>
          <w:szCs w:val="24"/>
          <w:highlight w:val="none"/>
        </w:rPr>
      </w:pPr>
      <w:r>
        <w:rPr>
          <w:rFonts w:hint="eastAsia" w:ascii="宋体" w:hAnsi="宋体" w:eastAsia="宋体"/>
          <w:b w:val="0"/>
          <w:color w:val="auto"/>
          <w:sz w:val="24"/>
          <w:szCs w:val="24"/>
          <w:highlight w:val="none"/>
        </w:rPr>
        <w:t>2.4.2每轮磋商开始前，磋商小组应根据磋商文件的规定，并结合各供应商的响应文件拟定磋商内容。</w:t>
      </w:r>
    </w:p>
    <w:p>
      <w:pPr>
        <w:pStyle w:val="4"/>
        <w:keepNext w:val="0"/>
        <w:keepLines w:val="0"/>
        <w:spacing w:before="0" w:after="0" w:line="400" w:lineRule="atLeast"/>
        <w:ind w:firstLine="470" w:firstLineChars="196"/>
        <w:rPr>
          <w:rFonts w:ascii="宋体" w:hAnsi="宋体" w:eastAsia="宋体"/>
          <w:b w:val="0"/>
          <w:color w:val="auto"/>
          <w:sz w:val="24"/>
          <w:szCs w:val="24"/>
          <w:highlight w:val="none"/>
        </w:rPr>
      </w:pPr>
      <w:r>
        <w:rPr>
          <w:rFonts w:hint="eastAsia" w:ascii="宋体" w:hAnsi="宋体" w:eastAsia="宋体"/>
          <w:b w:val="0"/>
          <w:color w:val="auto"/>
          <w:sz w:val="24"/>
          <w:szCs w:val="24"/>
          <w:highlight w:val="none"/>
        </w:rPr>
        <w:t>2.4.3在磋商过程中，磋商小组可以根据磋商文件和磋商情况实质性变动磋商文件的技术、服务要求以及合同草案条款，但不得变动磋商文件中的其他内容。实质性变动的内容，须经采购人代表书面确认。</w:t>
      </w:r>
    </w:p>
    <w:p>
      <w:pPr>
        <w:pStyle w:val="4"/>
        <w:keepNext w:val="0"/>
        <w:keepLines w:val="0"/>
        <w:spacing w:before="0" w:after="0" w:line="400" w:lineRule="atLeast"/>
        <w:ind w:firstLine="470" w:firstLineChars="196"/>
        <w:rPr>
          <w:rFonts w:ascii="宋体" w:hAnsi="宋体" w:eastAsia="宋体"/>
          <w:b w:val="0"/>
          <w:color w:val="auto"/>
          <w:sz w:val="24"/>
          <w:szCs w:val="24"/>
          <w:highlight w:val="none"/>
        </w:rPr>
      </w:pPr>
      <w:r>
        <w:rPr>
          <w:rFonts w:hint="eastAsia" w:ascii="宋体" w:hAnsi="宋体" w:eastAsia="宋体"/>
          <w:b w:val="0"/>
          <w:color w:val="auto"/>
          <w:sz w:val="24"/>
          <w:szCs w:val="24"/>
          <w:highlight w:val="none"/>
        </w:rPr>
        <w:t>2.4.4对磋商文件作出的实质性变动是磋商文件的有效组成部分，磋商小组应当及时以书面形式同时通知所有参加磋商的供应商。</w:t>
      </w:r>
    </w:p>
    <w:p>
      <w:pPr>
        <w:pStyle w:val="4"/>
        <w:keepNext w:val="0"/>
        <w:keepLines w:val="0"/>
        <w:spacing w:before="0" w:after="0" w:line="400" w:lineRule="atLeast"/>
        <w:ind w:firstLine="470" w:firstLineChars="196"/>
        <w:rPr>
          <w:rFonts w:ascii="宋体" w:hAnsi="宋体" w:eastAsia="宋体"/>
          <w:b w:val="0"/>
          <w:color w:val="auto"/>
          <w:sz w:val="24"/>
          <w:szCs w:val="24"/>
          <w:highlight w:val="none"/>
        </w:rPr>
      </w:pPr>
      <w:r>
        <w:rPr>
          <w:rFonts w:hint="eastAsia" w:ascii="宋体" w:hAnsi="宋体" w:eastAsia="宋体"/>
          <w:b w:val="0"/>
          <w:color w:val="auto"/>
          <w:sz w:val="24"/>
          <w:szCs w:val="24"/>
          <w:highlight w:val="none"/>
        </w:rPr>
        <w:t>2.4.5磋商过程中，磋商文件变动的，供应商应当按照磋商文件的变动情况和磋商小组的要求重新提交响应文件，并由其法定代表人或其授权代表签字或者加盖单位电子签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pStyle w:val="4"/>
        <w:keepNext w:val="0"/>
        <w:keepLines w:val="0"/>
        <w:spacing w:before="0" w:after="0" w:line="400" w:lineRule="atLeast"/>
        <w:ind w:firstLine="470" w:firstLineChars="196"/>
        <w:rPr>
          <w:rFonts w:ascii="宋体" w:hAnsi="宋体" w:eastAsia="宋体"/>
          <w:b w:val="0"/>
          <w:color w:val="auto"/>
          <w:sz w:val="24"/>
          <w:szCs w:val="24"/>
          <w:highlight w:val="none"/>
        </w:rPr>
      </w:pPr>
      <w:r>
        <w:rPr>
          <w:rFonts w:hint="eastAsia" w:ascii="宋体" w:hAnsi="宋体" w:eastAsia="宋体"/>
          <w:b w:val="0"/>
          <w:color w:val="auto"/>
          <w:sz w:val="24"/>
          <w:szCs w:val="24"/>
          <w:highlight w:val="none"/>
        </w:rPr>
        <w:t>2.4.6磋商过程中，磋商的任何一方不得透露与磋商有关的其他供应商的技术资料、价格和其他信息。</w:t>
      </w:r>
    </w:p>
    <w:p>
      <w:pPr>
        <w:pStyle w:val="4"/>
        <w:keepNext w:val="0"/>
        <w:keepLines w:val="0"/>
        <w:spacing w:before="0" w:after="0" w:line="400" w:lineRule="atLeast"/>
        <w:ind w:firstLine="470" w:firstLineChars="196"/>
        <w:rPr>
          <w:rFonts w:ascii="宋体" w:hAnsi="宋体" w:eastAsia="宋体"/>
          <w:b w:val="0"/>
          <w:color w:val="auto"/>
          <w:sz w:val="24"/>
          <w:szCs w:val="24"/>
          <w:highlight w:val="none"/>
        </w:rPr>
      </w:pPr>
      <w:r>
        <w:rPr>
          <w:rFonts w:hint="eastAsia" w:ascii="宋体" w:hAnsi="宋体" w:eastAsia="宋体"/>
          <w:b w:val="0"/>
          <w:color w:val="auto"/>
          <w:sz w:val="24"/>
          <w:szCs w:val="24"/>
          <w:highlight w:val="none"/>
        </w:rPr>
        <w:t>2.4.7磋商过程中，磋商小组发现或者知晓供应商存在违法、违纪行为的，磋商小组应当将该供应商响应文件作无效处理，不允许其提交最后报价。</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2.4.8磋商完成后，磋商小组应出具磋商情况记录表，磋商情况记录表需包含磋商内容、磋商意见、实质性变动内容等。</w:t>
      </w:r>
    </w:p>
    <w:p>
      <w:pP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2.5最后报价(按照</w:t>
      </w:r>
      <w:r>
        <w:rPr>
          <w:rFonts w:hint="eastAsia" w:ascii="宋体" w:hAnsi="宋体" w:cs="宋体"/>
          <w:color w:val="auto"/>
          <w:sz w:val="24"/>
          <w:highlight w:val="none"/>
        </w:rPr>
        <w:t>政府采购云平台政策执行）</w:t>
      </w:r>
      <w:r>
        <w:rPr>
          <w:rFonts w:hint="eastAsia" w:ascii="宋体" w:hAnsi="宋体"/>
          <w:color w:val="auto"/>
          <w:sz w:val="24"/>
          <w:highlight w:val="none"/>
        </w:rPr>
        <w:t>。</w:t>
      </w:r>
    </w:p>
    <w:p>
      <w:pP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2.5.1磋商文件能够详细列明采购标的的技术、服务要求的，磋商结束后，磋商小组应当要求所有实质性响应的供应商在规定时间内提交最后报价，提交最后报价的供应商不得少于3家（符合本章2.3.1款规定可以为2家）。或磋商文件不能详细列明采购标的的技术、服务要求，需经磋商由供应商提供最终设计方案或解决方案的，磋商结束后，磋商小组应当按照少数服从多数的原则投票推荐3家（符合本章2.3.1款规定可以为2家）以上供应商的设计方案或者解决方案，并要求其在规定时间内提交最后报价。</w:t>
      </w:r>
    </w:p>
    <w:p>
      <w:pP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2.5.2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2.5.3供应商最后报价应当由法定代表人或其授权代表签字或加盖个人电子印章或加盖单位电子签章。最后报价是供应商响应文件的有效组成部分。</w:t>
      </w:r>
    </w:p>
    <w:p>
      <w:pP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2.6比较与评价。由磋商小组采用综合评分法对提交最后报价的供应商的响应文件和最后报价进行综合评分，具体要求详见本章综合评分部分。</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2.7推荐成交候选供应商。磋商小组应当根据综合评分情况，按照评审得分由高到低顺序推荐3家（符合本章2.3.1款规定可以为2家）以上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2.8磋商小组复核。磋商小组评分汇总结束后，磋商小组应当进行评审复核，对拟推荐为成交候选供应商的、报价最低的、供应商资格审查未通过的、供应商响应文件作无效处理的重点复核。</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2.9采购组织单位现场复核评审结果。</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2.9.1评审结果汇总完成后，磋商小组拟出具磋商评审报告前，采购人/采购代理机构应当组织2名以上的本单位工作人员，在采购现场监督人员的监督之下，依据有关的法律制度和磋商文件对评审结果进行复核，出具复核报告，存在下列情形之一的，采购人/采购代理机构应当根据情况书面建议磋商小组现场修改评审结果：</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（1）资格性审查认定错误的；</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（2）分值汇总计算错误的；</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（3）分项评分超出评分标准范围的；</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（4）客观评分不一致的。</w:t>
      </w:r>
    </w:p>
    <w:p>
      <w:pP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采购代理机构复核过程中，磋商小组成员不得离开评审现场。</w:t>
      </w:r>
    </w:p>
    <w:p>
      <w:pP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2.9.2有下列情形之一的，不得现场修改评审结果：</w:t>
      </w:r>
    </w:p>
    <w:p>
      <w:pP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（1）磋商小组已经出具磋商报告并且离开评审现场的；</w:t>
      </w:r>
    </w:p>
    <w:p>
      <w:pP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（2）采购代理机构现场复核时，复核工作人员数量不足的；</w:t>
      </w:r>
    </w:p>
    <w:p>
      <w:pP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（3）采购代理机构现场复核时，没有采购监督人员现场监督的；</w:t>
      </w:r>
    </w:p>
    <w:p>
      <w:pP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（4）采购代理机构现场复核内容超出规定范围的；</w:t>
      </w:r>
    </w:p>
    <w:p>
      <w:pP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（5）采购代理机构未提供书面建议的。</w:t>
      </w:r>
    </w:p>
    <w:p>
      <w:pP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2.10编写磋商报告。磋商小组推荐成交候选供应商后，应向采购代理机构出具磋商报告。磋商报告应当包括以下主要内容：</w:t>
      </w:r>
    </w:p>
    <w:p>
      <w:pP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（1）邀请供应商参加采购活动的具体方式和相关情况；</w:t>
      </w:r>
    </w:p>
    <w:p>
      <w:pP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（2）响应文件开启日期和地点；</w:t>
      </w:r>
    </w:p>
    <w:p>
      <w:pP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（3）获取磋商文件的供应商名单和磋商小组成员名单；</w:t>
      </w:r>
    </w:p>
    <w:p>
      <w:pP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（4）评审情况记录和说明，包括对供应商的资格审查情况、供应商响应文件审查情况、磋商情况、报价情况等；</w:t>
      </w:r>
    </w:p>
    <w:p>
      <w:pP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（5）提出的成交候选供应商的排序名单及理由。</w:t>
      </w:r>
    </w:p>
    <w:p>
      <w:pP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2.12供应商澄清、说明</w:t>
      </w:r>
    </w:p>
    <w:p>
      <w:pP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2.12.2磋商小组要求供应商澄清、说明或者更正响应文件应当以书面形式作出。供应商的澄清、说明或者更正应当由法定代表人或其授权代表签字或加盖个人电子印章或加盖单位电子签章。</w:t>
      </w:r>
    </w:p>
    <w:p>
      <w:pP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2.13终止磋商采购活动。</w:t>
      </w:r>
    </w:p>
    <w:p>
      <w:pP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出现下列情形之一的，采购人或者采购代理机构应当终止竞争性磋商采购活动，发布项目终止公告并说明原因，重新开展采购活动：</w:t>
      </w:r>
    </w:p>
    <w:p>
      <w:pP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（1）因情况变化，不再符合规定的竞争性磋商采购方式适用情形的；</w:t>
      </w:r>
    </w:p>
    <w:p>
      <w:pP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（2）出现影响采购公正的违法、违规行为的；</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（3）在采购过程中符合要求的供应商或者报价未超过采购预算的供应商不足3家（符合本章2.3.1款规定可以为2家）的。</w:t>
      </w:r>
    </w:p>
    <w:p>
      <w:pPr>
        <w:pStyle w:val="4"/>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3. </w:t>
      </w:r>
      <w:bookmarkEnd w:id="101"/>
      <w:r>
        <w:rPr>
          <w:rFonts w:hint="eastAsia" w:ascii="宋体" w:hAnsi="宋体" w:eastAsia="宋体"/>
          <w:color w:val="auto"/>
          <w:sz w:val="24"/>
          <w:szCs w:val="24"/>
          <w:highlight w:val="none"/>
        </w:rPr>
        <w:t>综合评分</w:t>
      </w:r>
    </w:p>
    <w:p>
      <w:pPr>
        <w:pStyle w:val="67"/>
        <w:spacing w:line="400" w:lineRule="exact"/>
        <w:ind w:firstLine="480" w:firstLineChars="200"/>
        <w:jc w:val="both"/>
        <w:rPr>
          <w:color w:val="auto"/>
          <w:highlight w:val="none"/>
        </w:rPr>
      </w:pPr>
      <w:r>
        <w:rPr>
          <w:rFonts w:hint="eastAsia"/>
          <w:color w:val="auto"/>
          <w:highlight w:val="none"/>
        </w:rPr>
        <w:t>3.1 本次综合评分的因素详见综合评分明细表。</w:t>
      </w:r>
    </w:p>
    <w:p>
      <w:pPr>
        <w:pStyle w:val="67"/>
        <w:spacing w:line="400" w:lineRule="exact"/>
        <w:ind w:firstLine="480" w:firstLineChars="200"/>
        <w:jc w:val="both"/>
        <w:rPr>
          <w:color w:val="auto"/>
          <w:highlight w:val="none"/>
        </w:rPr>
      </w:pPr>
      <w:r>
        <w:rPr>
          <w:rFonts w:hint="eastAsia"/>
          <w:color w:val="auto"/>
          <w:highlight w:val="none"/>
        </w:rPr>
        <w:t>3.2 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pPr>
        <w:pStyle w:val="67"/>
        <w:spacing w:line="400" w:lineRule="exact"/>
        <w:ind w:firstLine="480" w:firstLineChars="200"/>
        <w:jc w:val="both"/>
        <w:rPr>
          <w:color w:val="auto"/>
          <w:highlight w:val="none"/>
        </w:rPr>
      </w:pPr>
      <w:r>
        <w:rPr>
          <w:rFonts w:hint="eastAsia"/>
          <w:color w:val="auto"/>
          <w:highlight w:val="none"/>
        </w:rPr>
        <w:t>3.3综合评分明细表</w:t>
      </w:r>
    </w:p>
    <w:p>
      <w:pPr>
        <w:pStyle w:val="67"/>
        <w:spacing w:line="400" w:lineRule="exact"/>
        <w:ind w:firstLine="480" w:firstLineChars="200"/>
        <w:jc w:val="both"/>
        <w:rPr>
          <w:color w:val="auto"/>
          <w:highlight w:val="none"/>
        </w:rPr>
      </w:pPr>
      <w:r>
        <w:rPr>
          <w:rFonts w:hint="eastAsia"/>
          <w:color w:val="auto"/>
          <w:highlight w:val="none"/>
        </w:rPr>
        <w:t>3.3.1综合评分明细表的制定以科学合理、降低评委会自由裁量权为原则。</w:t>
      </w:r>
    </w:p>
    <w:p>
      <w:pPr>
        <w:pStyle w:val="67"/>
        <w:spacing w:line="400" w:lineRule="exact"/>
        <w:ind w:firstLine="480" w:firstLineChars="200"/>
        <w:jc w:val="both"/>
        <w:rPr>
          <w:color w:val="auto"/>
          <w:highlight w:val="none"/>
        </w:rPr>
      </w:pPr>
      <w:r>
        <w:rPr>
          <w:rFonts w:hint="eastAsia"/>
          <w:color w:val="auto"/>
          <w:highlight w:val="none"/>
        </w:rPr>
        <w:t>3.3.2 综合评分明细表中的报价应先按供应商须知附表中的相关要求进行价格调整，再进行报价评分。</w:t>
      </w:r>
    </w:p>
    <w:p>
      <w:pPr>
        <w:pStyle w:val="67"/>
        <w:spacing w:line="400" w:lineRule="exact"/>
        <w:ind w:firstLine="480" w:firstLineChars="200"/>
        <w:jc w:val="both"/>
        <w:rPr>
          <w:color w:val="auto"/>
          <w:highlight w:val="none"/>
        </w:rPr>
      </w:pPr>
      <w:r>
        <w:rPr>
          <w:rFonts w:hint="eastAsia"/>
          <w:color w:val="auto"/>
          <w:highlight w:val="none"/>
        </w:rPr>
        <w:t>3.3.3综合评分明细表</w:t>
      </w:r>
    </w:p>
    <w:tbl>
      <w:tblPr>
        <w:tblStyle w:val="38"/>
        <w:tblpPr w:leftFromText="180" w:rightFromText="180" w:vertAnchor="text" w:horzAnchor="page" w:tblpX="902" w:tblpY="247"/>
        <w:tblOverlap w:val="never"/>
        <w:tblW w:w="107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210"/>
        <w:gridCol w:w="875"/>
        <w:gridCol w:w="6175"/>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765" w:type="dxa"/>
            <w:vAlign w:val="center"/>
          </w:tcPr>
          <w:p>
            <w:pPr>
              <w:jc w:val="center"/>
              <w:rPr>
                <w:rFonts w:ascii="宋体" w:hAnsi="宋体" w:cs="宋体"/>
                <w:color w:val="auto"/>
                <w:szCs w:val="21"/>
                <w:highlight w:val="none"/>
              </w:rPr>
            </w:pPr>
            <w:bookmarkStart w:id="103" w:name="_Toc217446060"/>
            <w:r>
              <w:rPr>
                <w:rFonts w:hint="eastAsia" w:ascii="宋体" w:hAnsi="宋体" w:cs="宋体"/>
                <w:color w:val="auto"/>
                <w:szCs w:val="21"/>
                <w:highlight w:val="none"/>
              </w:rPr>
              <w:t>序号</w:t>
            </w:r>
          </w:p>
        </w:tc>
        <w:tc>
          <w:tcPr>
            <w:tcW w:w="121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评分因素及</w:t>
            </w:r>
          </w:p>
          <w:p>
            <w:pPr>
              <w:jc w:val="center"/>
              <w:rPr>
                <w:rFonts w:ascii="宋体" w:hAnsi="宋体" w:cs="宋体"/>
                <w:color w:val="auto"/>
                <w:szCs w:val="21"/>
                <w:highlight w:val="none"/>
              </w:rPr>
            </w:pPr>
            <w:r>
              <w:rPr>
                <w:rFonts w:hint="eastAsia" w:ascii="宋体" w:hAnsi="宋体" w:cs="宋体"/>
                <w:color w:val="auto"/>
                <w:szCs w:val="21"/>
                <w:highlight w:val="none"/>
              </w:rPr>
              <w:t>权重</w:t>
            </w:r>
          </w:p>
        </w:tc>
        <w:tc>
          <w:tcPr>
            <w:tcW w:w="875"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分值</w:t>
            </w:r>
          </w:p>
        </w:tc>
        <w:tc>
          <w:tcPr>
            <w:tcW w:w="6175"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评分标准</w:t>
            </w:r>
          </w:p>
        </w:tc>
        <w:tc>
          <w:tcPr>
            <w:tcW w:w="1728"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765" w:type="dxa"/>
            <w:vAlign w:val="center"/>
          </w:tcPr>
          <w:p>
            <w:pPr>
              <w:ind w:firstLine="210" w:firstLineChars="100"/>
              <w:jc w:val="left"/>
              <w:rPr>
                <w:rFonts w:ascii="宋体" w:hAnsi="宋体" w:cs="宋体"/>
                <w:color w:val="auto"/>
                <w:szCs w:val="21"/>
                <w:highlight w:val="none"/>
              </w:rPr>
            </w:pPr>
          </w:p>
          <w:p>
            <w:pPr>
              <w:ind w:firstLine="210" w:firstLineChars="100"/>
              <w:jc w:val="left"/>
              <w:rPr>
                <w:rFonts w:ascii="宋体" w:hAnsi="宋体" w:cs="宋体"/>
                <w:color w:val="auto"/>
                <w:szCs w:val="21"/>
                <w:highlight w:val="none"/>
              </w:rPr>
            </w:pPr>
            <w:r>
              <w:rPr>
                <w:rFonts w:hint="eastAsia" w:ascii="宋体" w:hAnsi="宋体" w:cs="宋体"/>
                <w:color w:val="auto"/>
                <w:szCs w:val="21"/>
                <w:highlight w:val="none"/>
              </w:rPr>
              <w:t>1</w:t>
            </w:r>
          </w:p>
          <w:p>
            <w:pPr>
              <w:ind w:firstLine="210" w:firstLineChars="100"/>
              <w:jc w:val="left"/>
              <w:rPr>
                <w:rFonts w:ascii="宋体" w:hAnsi="宋体" w:cs="宋体"/>
                <w:color w:val="auto"/>
                <w:szCs w:val="21"/>
                <w:highlight w:val="none"/>
              </w:rPr>
            </w:pPr>
          </w:p>
        </w:tc>
        <w:tc>
          <w:tcPr>
            <w:tcW w:w="121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报价10%</w:t>
            </w:r>
          </w:p>
        </w:tc>
        <w:tc>
          <w:tcPr>
            <w:tcW w:w="875" w:type="dxa"/>
            <w:vAlign w:val="center"/>
          </w:tcPr>
          <w:p>
            <w:pPr>
              <w:ind w:firstLine="210" w:firstLineChars="100"/>
              <w:jc w:val="left"/>
              <w:rPr>
                <w:rFonts w:ascii="宋体" w:hAnsi="宋体" w:cs="宋体"/>
                <w:color w:val="auto"/>
                <w:szCs w:val="21"/>
                <w:highlight w:val="none"/>
              </w:rPr>
            </w:pPr>
          </w:p>
          <w:p>
            <w:pPr>
              <w:ind w:firstLine="210" w:firstLineChars="100"/>
              <w:jc w:val="left"/>
              <w:rPr>
                <w:rFonts w:ascii="宋体" w:hAnsi="宋体" w:cs="宋体"/>
                <w:color w:val="auto"/>
                <w:szCs w:val="21"/>
                <w:highlight w:val="none"/>
              </w:rPr>
            </w:pPr>
            <w:r>
              <w:rPr>
                <w:rFonts w:hint="eastAsia" w:ascii="宋体" w:hAnsi="宋体" w:cs="宋体"/>
                <w:color w:val="auto"/>
                <w:szCs w:val="21"/>
                <w:highlight w:val="none"/>
              </w:rPr>
              <w:t>10分</w:t>
            </w:r>
          </w:p>
          <w:p>
            <w:pPr>
              <w:ind w:firstLine="210" w:firstLineChars="100"/>
              <w:jc w:val="left"/>
              <w:rPr>
                <w:rFonts w:ascii="宋体" w:hAnsi="宋体" w:cs="宋体"/>
                <w:color w:val="auto"/>
                <w:szCs w:val="21"/>
                <w:highlight w:val="none"/>
              </w:rPr>
            </w:pPr>
          </w:p>
        </w:tc>
        <w:tc>
          <w:tcPr>
            <w:tcW w:w="6175" w:type="dxa"/>
            <w:vAlign w:val="center"/>
          </w:tcPr>
          <w:p>
            <w:pPr>
              <w:widowControl/>
              <w:jc w:val="left"/>
              <w:rPr>
                <w:rFonts w:ascii="宋体" w:hAnsi="宋体"/>
                <w:color w:val="auto"/>
                <w:highlight w:val="none"/>
              </w:rPr>
            </w:pPr>
            <w:r>
              <w:rPr>
                <w:rFonts w:hint="eastAsia" w:ascii="宋体" w:hAnsi="宋体"/>
                <w:color w:val="auto"/>
                <w:highlight w:val="none"/>
              </w:rPr>
              <w:t>满足磋商文件要求且响应价格最低的报价为评标基准价，其价格分为满分。其他供应商的价格分统一按照下列公式计算：报价得分=（评标基准价/响应报价）*10分*100%。</w:t>
            </w:r>
          </w:p>
          <w:p>
            <w:pPr>
              <w:widowControl/>
              <w:rPr>
                <w:color w:val="auto"/>
                <w:highlight w:val="none"/>
              </w:rPr>
            </w:pPr>
          </w:p>
        </w:tc>
        <w:tc>
          <w:tcPr>
            <w:tcW w:w="1728" w:type="dxa"/>
            <w:vAlign w:val="center"/>
          </w:tcPr>
          <w:p>
            <w:pPr>
              <w:jc w:val="left"/>
              <w:rPr>
                <w:rFonts w:ascii="宋体" w:hAnsi="宋体" w:cs="宋体"/>
                <w:color w:val="auto"/>
                <w:szCs w:val="21"/>
                <w:highlight w:val="none"/>
              </w:rPr>
            </w:pPr>
            <w:r>
              <w:rPr>
                <w:rFonts w:hint="eastAsia" w:ascii="宋体" w:hAnsi="宋体"/>
                <w:color w:val="auto"/>
                <w:highlight w:val="none"/>
              </w:rPr>
              <w:t>注：对小型和微型企业、监狱企业、残疾人福利性单位提供的服务的价格扣除或优惠（如涉及）按前附表须知表执行。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765" w:type="dxa"/>
            <w:vAlign w:val="center"/>
          </w:tcPr>
          <w:p>
            <w:pPr>
              <w:jc w:val="center"/>
              <w:rPr>
                <w:rFonts w:ascii="宋体" w:hAnsi="宋体" w:cs="宋体"/>
                <w:color w:val="auto"/>
                <w:szCs w:val="21"/>
                <w:highlight w:val="none"/>
              </w:rPr>
            </w:pPr>
            <w:r>
              <w:rPr>
                <w:rFonts w:ascii="宋体" w:hAnsi="宋体" w:cs="宋体"/>
                <w:color w:val="auto"/>
                <w:szCs w:val="21"/>
                <w:highlight w:val="none"/>
              </w:rPr>
              <w:t>2</w:t>
            </w:r>
          </w:p>
        </w:tc>
        <w:tc>
          <w:tcPr>
            <w:tcW w:w="1210"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服务方案46%</w:t>
            </w:r>
          </w:p>
        </w:tc>
        <w:tc>
          <w:tcPr>
            <w:tcW w:w="875" w:type="dxa"/>
            <w:vAlign w:val="center"/>
          </w:tcPr>
          <w:p>
            <w:pPr>
              <w:ind w:firstLine="210" w:firstLineChars="100"/>
              <w:jc w:val="left"/>
              <w:rPr>
                <w:rFonts w:ascii="宋体" w:hAnsi="宋体" w:cs="宋体"/>
                <w:color w:val="auto"/>
                <w:szCs w:val="21"/>
                <w:highlight w:val="none"/>
              </w:rPr>
            </w:pPr>
            <w:r>
              <w:rPr>
                <w:rFonts w:hint="eastAsia" w:ascii="宋体" w:hAnsi="宋体" w:cs="宋体"/>
                <w:color w:val="auto"/>
                <w:szCs w:val="21"/>
                <w:highlight w:val="none"/>
              </w:rPr>
              <w:t>46分</w:t>
            </w:r>
          </w:p>
        </w:tc>
        <w:tc>
          <w:tcPr>
            <w:tcW w:w="6175" w:type="dxa"/>
          </w:tcPr>
          <w:p>
            <w:pPr>
              <w:widowControl/>
              <w:jc w:val="left"/>
              <w:rPr>
                <w:rFonts w:ascii="宋体" w:hAnsi="宋体"/>
                <w:color w:val="auto"/>
                <w:highlight w:val="none"/>
              </w:rPr>
            </w:pPr>
            <w:r>
              <w:rPr>
                <w:rFonts w:hint="eastAsia" w:ascii="宋体" w:hAnsi="宋体"/>
                <w:color w:val="auto"/>
                <w:highlight w:val="none"/>
              </w:rPr>
              <w:t>1.对项目情况的了解和认识：根据供应商针对本项目提供的项目情况的基本了解和认识（包括但不仅限于：①背景概述、②基地研究、③对标案例分析、④项目定位与规划目标）等方面进行综合评分：完全满足以上要求且与整体服务方案无矛盾、符合实际情况、无缺陷漏项得16分；供应商在前四项的基础上每增加一项有利于项目实施、具有针对性、优于磋商文件要求的加2分，最多加4分；每有一项缺漏扣4分，每有一处不符合实际情况或与整体服务方案相矛盾的扣2分，扣完为止。本项最多得20分。</w:t>
            </w:r>
          </w:p>
          <w:p>
            <w:pPr>
              <w:widowControl/>
              <w:jc w:val="left"/>
              <w:rPr>
                <w:color w:val="auto"/>
                <w:highlight w:val="none"/>
              </w:rPr>
            </w:pPr>
            <w:r>
              <w:rPr>
                <w:rFonts w:hint="eastAsia" w:ascii="宋体" w:hAnsi="宋体"/>
                <w:color w:val="auto"/>
                <w:highlight w:val="none"/>
              </w:rPr>
              <w:t>2.根据供应商提供的项目实施方案进行评分（包括但不仅限于：①工作技术流程、②工作内容、③规划设计、④工期安排及进度保证措施、⑤质量控制措施、⑥保密措施）等方面进行综合评分：完全满足以上要求且与整体服务方案无矛盾、符合实际情况、无缺陷漏项得24分；供应商在前六项的基础上每增加一项有利于项目实施、具有针对性、优于磋商文件要求的加1分，最多加2分；每有一项缺漏扣4分，每有一处不符合实际情况或与整体服务方案相矛盾的扣1分，扣完为止。本项最多得26分。</w:t>
            </w:r>
          </w:p>
        </w:tc>
        <w:tc>
          <w:tcPr>
            <w:tcW w:w="1728" w:type="dxa"/>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765"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w:t>
            </w:r>
          </w:p>
        </w:tc>
        <w:tc>
          <w:tcPr>
            <w:tcW w:w="1210" w:type="dxa"/>
            <w:vAlign w:val="center"/>
          </w:tcPr>
          <w:p>
            <w:pPr>
              <w:jc w:val="center"/>
              <w:rPr>
                <w:rFonts w:ascii="宋体" w:hAnsi="宋体" w:cs="宋体"/>
                <w:color w:val="auto"/>
                <w:szCs w:val="21"/>
                <w:highlight w:val="none"/>
              </w:rPr>
            </w:pPr>
            <w:r>
              <w:rPr>
                <w:rFonts w:ascii="宋体" w:hAnsi="宋体" w:cs="宋体"/>
                <w:color w:val="auto"/>
                <w:szCs w:val="21"/>
                <w:highlight w:val="none"/>
              </w:rPr>
              <w:t>项目班子成员配备</w:t>
            </w:r>
            <w:r>
              <w:rPr>
                <w:rFonts w:hint="eastAsia" w:ascii="宋体" w:hAnsi="宋体" w:cs="宋体"/>
                <w:color w:val="auto"/>
                <w:szCs w:val="21"/>
                <w:highlight w:val="none"/>
              </w:rPr>
              <w:t>24%</w:t>
            </w:r>
          </w:p>
        </w:tc>
        <w:tc>
          <w:tcPr>
            <w:tcW w:w="875"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24分</w:t>
            </w:r>
          </w:p>
        </w:tc>
        <w:tc>
          <w:tcPr>
            <w:tcW w:w="6175" w:type="dxa"/>
          </w:tcPr>
          <w:p>
            <w:pPr>
              <w:widowControl/>
              <w:jc w:val="left"/>
              <w:rPr>
                <w:rFonts w:ascii="宋体" w:hAnsi="宋体"/>
                <w:color w:val="auto"/>
                <w:highlight w:val="none"/>
              </w:rPr>
            </w:pPr>
            <w:r>
              <w:rPr>
                <w:rFonts w:hint="eastAsia" w:ascii="宋体" w:hAnsi="宋体"/>
                <w:b/>
                <w:bCs/>
                <w:color w:val="auto"/>
                <w:highlight w:val="none"/>
              </w:rPr>
              <w:t>1、项目负责人：</w:t>
            </w:r>
            <w:r>
              <w:rPr>
                <w:rFonts w:hint="eastAsia" w:ascii="宋体" w:hAnsi="宋体"/>
                <w:color w:val="auto"/>
                <w:highlight w:val="none"/>
              </w:rPr>
              <w:t>（1）具有一级注册建筑师证得2分；具有建筑或规划相关专业中级职称加1分，具有建筑或规划相关专业高级及以上职称加2分。（2）2018年1月1日以来每有一个类似业绩加1分，最多加2分。此项最高得6分。</w:t>
            </w:r>
          </w:p>
          <w:p>
            <w:pPr>
              <w:widowControl/>
              <w:jc w:val="left"/>
              <w:rPr>
                <w:rFonts w:ascii="宋体" w:hAnsi="宋体"/>
                <w:color w:val="auto"/>
                <w:highlight w:val="none"/>
              </w:rPr>
            </w:pPr>
            <w:r>
              <w:rPr>
                <w:rFonts w:hint="eastAsia" w:ascii="宋体" w:hAnsi="宋体"/>
                <w:b/>
                <w:bCs/>
                <w:color w:val="auto"/>
                <w:highlight w:val="none"/>
              </w:rPr>
              <w:t>2、规划专业负责人：</w:t>
            </w:r>
            <w:r>
              <w:rPr>
                <w:rFonts w:hint="eastAsia" w:ascii="宋体" w:hAnsi="宋体"/>
                <w:color w:val="auto"/>
                <w:highlight w:val="none"/>
              </w:rPr>
              <w:t>（1）具有国家注册城市（城乡）规划师得2分；具有城市规划相关专业中级职称加1分；具有城市规划相关专业高级及以上职称加2分；同时具有一级注册建筑师加2分。此项最高得6分。</w:t>
            </w:r>
          </w:p>
          <w:p>
            <w:pPr>
              <w:widowControl/>
              <w:jc w:val="left"/>
              <w:rPr>
                <w:rFonts w:ascii="宋体" w:hAnsi="宋体"/>
                <w:color w:val="auto"/>
                <w:highlight w:val="none"/>
              </w:rPr>
            </w:pPr>
            <w:r>
              <w:rPr>
                <w:rFonts w:hint="eastAsia" w:ascii="宋体" w:hAnsi="宋体"/>
                <w:b/>
                <w:bCs/>
                <w:color w:val="auto"/>
                <w:highlight w:val="none"/>
              </w:rPr>
              <w:t>3、建筑专业负责人：</w:t>
            </w:r>
            <w:r>
              <w:rPr>
                <w:rFonts w:hint="eastAsia" w:ascii="宋体" w:hAnsi="宋体"/>
                <w:color w:val="auto"/>
                <w:highlight w:val="none"/>
              </w:rPr>
              <w:t>（1）具有一级注册建筑师得1分；具有建筑相关专业中级职称加1分；具有建筑相关专业高级及以上职称加2分。此项最高得3分。</w:t>
            </w:r>
          </w:p>
          <w:p>
            <w:pPr>
              <w:widowControl/>
              <w:jc w:val="left"/>
              <w:rPr>
                <w:rFonts w:ascii="宋体" w:hAnsi="宋体"/>
                <w:color w:val="auto"/>
                <w:highlight w:val="none"/>
              </w:rPr>
            </w:pPr>
            <w:r>
              <w:rPr>
                <w:rFonts w:hint="eastAsia" w:ascii="宋体" w:hAnsi="宋体"/>
                <w:b/>
                <w:bCs/>
                <w:color w:val="auto"/>
                <w:highlight w:val="none"/>
              </w:rPr>
              <w:t>4、景观专业负责人：</w:t>
            </w:r>
            <w:r>
              <w:rPr>
                <w:rFonts w:hint="eastAsia" w:ascii="宋体" w:hAnsi="宋体"/>
                <w:color w:val="auto"/>
                <w:highlight w:val="none"/>
              </w:rPr>
              <w:t>（1）具有一级注册建筑师得1分；具有风景园林相关专业中级职称加1分；具有风景园林相关专业高级及以上职称加2分。此项最高得3分。</w:t>
            </w:r>
          </w:p>
          <w:p>
            <w:pPr>
              <w:widowControl/>
              <w:jc w:val="left"/>
              <w:rPr>
                <w:rFonts w:ascii="宋体" w:hAnsi="宋体"/>
                <w:color w:val="auto"/>
                <w:highlight w:val="none"/>
              </w:rPr>
            </w:pPr>
            <w:r>
              <w:rPr>
                <w:rFonts w:hint="eastAsia" w:ascii="宋体" w:hAnsi="宋体"/>
                <w:b/>
                <w:bCs/>
                <w:color w:val="auto"/>
                <w:highlight w:val="none"/>
              </w:rPr>
              <w:t>5、市政专业负责人：</w:t>
            </w:r>
            <w:r>
              <w:rPr>
                <w:rFonts w:hint="eastAsia" w:ascii="宋体" w:hAnsi="宋体"/>
                <w:color w:val="auto"/>
                <w:highlight w:val="none"/>
              </w:rPr>
              <w:t>（1）具有注册土木工程师（道路工程）得1分；具有道路工程相关专业中级职称加1分；具有道路工程相关专业高级及以上职称加2分。此项最高3分。</w:t>
            </w:r>
          </w:p>
          <w:p>
            <w:pPr>
              <w:widowControl/>
              <w:jc w:val="left"/>
              <w:rPr>
                <w:rFonts w:ascii="宋体" w:hAnsi="宋体" w:cs="宋体"/>
                <w:color w:val="auto"/>
                <w:szCs w:val="21"/>
                <w:highlight w:val="none"/>
              </w:rPr>
            </w:pPr>
            <w:r>
              <w:rPr>
                <w:rFonts w:hint="eastAsia" w:ascii="宋体" w:hAnsi="宋体"/>
                <w:b/>
                <w:bCs/>
                <w:color w:val="auto"/>
                <w:highlight w:val="none"/>
              </w:rPr>
              <w:t>6、造价专业负责人：</w:t>
            </w:r>
            <w:r>
              <w:rPr>
                <w:rFonts w:hint="eastAsia" w:ascii="宋体" w:hAnsi="宋体"/>
                <w:color w:val="auto"/>
                <w:highlight w:val="none"/>
              </w:rPr>
              <w:t>（1）具有全国注册造价工程师证得1分；具有造价相关专业中级职称加1分；具有造价相关专业高级及以上职称加2分。此项最高得3分。</w:t>
            </w:r>
          </w:p>
        </w:tc>
        <w:tc>
          <w:tcPr>
            <w:tcW w:w="1728"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需提供证明材料并加盖单位电子签章，配备人员应是申请人本单位的人员，并提供在职证明。以上人员不重复累计得分。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9" w:hRule="atLeast"/>
        </w:trPr>
        <w:tc>
          <w:tcPr>
            <w:tcW w:w="765"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4</w:t>
            </w:r>
          </w:p>
        </w:tc>
        <w:tc>
          <w:tcPr>
            <w:tcW w:w="1210" w:type="dxa"/>
            <w:vAlign w:val="center"/>
          </w:tcPr>
          <w:p>
            <w:pPr>
              <w:jc w:val="center"/>
              <w:rPr>
                <w:rFonts w:ascii="宋体" w:hAnsi="宋体" w:cs="宋体"/>
                <w:color w:val="auto"/>
                <w:szCs w:val="21"/>
                <w:highlight w:val="none"/>
              </w:rPr>
            </w:pPr>
            <w:r>
              <w:rPr>
                <w:rFonts w:ascii="宋体" w:hAnsi="宋体" w:cs="宋体"/>
                <w:color w:val="auto"/>
                <w:szCs w:val="21"/>
                <w:highlight w:val="none"/>
              </w:rPr>
              <w:t>企业业绩</w:t>
            </w:r>
            <w:r>
              <w:rPr>
                <w:rFonts w:hint="eastAsia" w:ascii="宋体" w:hAnsi="宋体" w:cs="宋体"/>
                <w:color w:val="auto"/>
                <w:szCs w:val="21"/>
                <w:highlight w:val="none"/>
              </w:rPr>
              <w:t>8%</w:t>
            </w:r>
          </w:p>
        </w:tc>
        <w:tc>
          <w:tcPr>
            <w:tcW w:w="875"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8分</w:t>
            </w:r>
          </w:p>
        </w:tc>
        <w:tc>
          <w:tcPr>
            <w:tcW w:w="6175" w:type="dxa"/>
          </w:tcPr>
          <w:p>
            <w:pPr>
              <w:widowControl/>
              <w:jc w:val="left"/>
              <w:rPr>
                <w:rFonts w:ascii="宋体" w:hAnsi="宋体"/>
                <w:color w:val="auto"/>
                <w:kern w:val="0"/>
                <w:szCs w:val="21"/>
                <w:highlight w:val="none"/>
              </w:rPr>
            </w:pPr>
            <w:r>
              <w:rPr>
                <w:rFonts w:hint="eastAsia" w:ascii="宋体" w:hAnsi="宋体"/>
                <w:color w:val="auto"/>
                <w:kern w:val="0"/>
                <w:szCs w:val="21"/>
                <w:highlight w:val="none"/>
              </w:rPr>
              <w:t>供应商2018年1月1日以来每有一个类似业绩得2分。此项最高得8分。</w:t>
            </w:r>
          </w:p>
          <w:p>
            <w:pPr>
              <w:widowControl/>
              <w:jc w:val="left"/>
              <w:rPr>
                <w:rFonts w:ascii="宋体" w:hAnsi="宋体"/>
                <w:color w:val="auto"/>
                <w:kern w:val="0"/>
                <w:szCs w:val="21"/>
                <w:highlight w:val="none"/>
              </w:rPr>
            </w:pPr>
            <w:r>
              <w:rPr>
                <w:rFonts w:hint="eastAsia" w:ascii="宋体" w:hAnsi="宋体"/>
                <w:color w:val="auto"/>
                <w:kern w:val="0"/>
                <w:szCs w:val="21"/>
                <w:highlight w:val="none"/>
              </w:rPr>
              <w:t>（项目负责人业绩与企业业绩可重复）</w:t>
            </w:r>
          </w:p>
        </w:tc>
        <w:tc>
          <w:tcPr>
            <w:tcW w:w="1728" w:type="dxa"/>
            <w:vAlign w:val="center"/>
          </w:tcPr>
          <w:p>
            <w:pPr>
              <w:jc w:val="center"/>
              <w:rPr>
                <w:rFonts w:ascii="宋体" w:hAnsi="宋体" w:cs="宋体"/>
                <w:color w:val="auto"/>
                <w:szCs w:val="21"/>
                <w:highlight w:val="none"/>
              </w:rPr>
            </w:pPr>
            <w:r>
              <w:rPr>
                <w:rFonts w:hint="eastAsia" w:ascii="宋体" w:hAnsi="宋体"/>
                <w:color w:val="auto"/>
                <w:highlight w:val="none"/>
              </w:rPr>
              <w:t>提供合同或中标（成交）通知书复印件</w:t>
            </w:r>
            <w:r>
              <w:rPr>
                <w:rFonts w:hint="eastAsia" w:ascii="宋体" w:hAnsi="宋体" w:cs="宋体"/>
                <w:color w:val="auto"/>
                <w:szCs w:val="21"/>
                <w:highlight w:val="none"/>
              </w:rPr>
              <w:t>并加盖单位电子签章</w:t>
            </w:r>
            <w:r>
              <w:rPr>
                <w:rFonts w:hint="eastAsia" w:ascii="宋体" w:hAnsi="宋体"/>
                <w:color w:val="auto"/>
                <w:highlight w:val="none"/>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765" w:type="dxa"/>
            <w:tcBorders>
              <w:top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w:t>
            </w:r>
          </w:p>
        </w:tc>
        <w:tc>
          <w:tcPr>
            <w:tcW w:w="1210" w:type="dxa"/>
            <w:tcBorders>
              <w:top w:val="single" w:color="auto" w:sz="4" w:space="0"/>
            </w:tcBorders>
            <w:vAlign w:val="center"/>
          </w:tcPr>
          <w:p>
            <w:pPr>
              <w:ind w:left="420" w:hanging="420" w:hangingChars="200"/>
              <w:rPr>
                <w:rFonts w:ascii="宋体" w:hAnsi="宋体" w:cs="宋体"/>
                <w:color w:val="auto"/>
                <w:szCs w:val="21"/>
                <w:highlight w:val="none"/>
              </w:rPr>
            </w:pPr>
            <w:r>
              <w:rPr>
                <w:rFonts w:hint="eastAsia" w:ascii="宋体" w:hAnsi="宋体" w:cs="宋体"/>
                <w:color w:val="auto"/>
                <w:szCs w:val="21"/>
                <w:highlight w:val="none"/>
              </w:rPr>
              <w:t>售后能力12</w:t>
            </w:r>
            <w:r>
              <w:rPr>
                <w:rFonts w:ascii="宋体" w:hAnsi="宋体" w:cs="宋体"/>
                <w:color w:val="auto"/>
                <w:szCs w:val="21"/>
                <w:highlight w:val="none"/>
              </w:rPr>
              <w:t>%</w:t>
            </w:r>
          </w:p>
        </w:tc>
        <w:tc>
          <w:tcPr>
            <w:tcW w:w="875" w:type="dxa"/>
            <w:tcBorders>
              <w:top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12分</w:t>
            </w:r>
          </w:p>
        </w:tc>
        <w:tc>
          <w:tcPr>
            <w:tcW w:w="6175" w:type="dxa"/>
          </w:tcPr>
          <w:p>
            <w:pPr>
              <w:widowControl/>
              <w:jc w:val="left"/>
              <w:rPr>
                <w:rFonts w:ascii="宋体" w:hAnsi="宋体" w:cs="宋体"/>
                <w:color w:val="auto"/>
                <w:szCs w:val="21"/>
                <w:highlight w:val="none"/>
              </w:rPr>
            </w:pPr>
            <w:r>
              <w:rPr>
                <w:rFonts w:hint="eastAsia" w:ascii="宋体" w:hAnsi="宋体"/>
                <w:color w:val="auto"/>
                <w:highlight w:val="none"/>
              </w:rPr>
              <w:t>针对本项目提供售后服务方案（包括但不仅限于：①售后服务承诺；②明确的售后服务目标；③售后服务体系），完全满足以上要求且与整体服务方案无矛盾、符合实际情况、无缺陷漏项得9分；供应商在前三项的基础上每增加一项有利于项目实施、具有针对性、优于磋商文件要求的加1分，最多加3分；每有一项缺漏扣3分，每有一处不符合实际情况或与整体服务方案相矛盾的扣2分，扣完为止。本项最多得12分。</w:t>
            </w:r>
          </w:p>
        </w:tc>
        <w:tc>
          <w:tcPr>
            <w:tcW w:w="1728" w:type="dxa"/>
            <w:vAlign w:val="center"/>
          </w:tcPr>
          <w:p>
            <w:pPr>
              <w:jc w:val="center"/>
              <w:rPr>
                <w:rFonts w:ascii="宋体" w:hAnsi="宋体" w:cs="宋体"/>
                <w:color w:val="auto"/>
                <w:szCs w:val="21"/>
                <w:highlight w:val="none"/>
              </w:rPr>
            </w:pPr>
          </w:p>
        </w:tc>
      </w:tr>
    </w:tbl>
    <w:p>
      <w:pPr>
        <w:spacing w:line="400" w:lineRule="exact"/>
        <w:rPr>
          <w:rFonts w:ascii="宋体" w:hAnsi="宋体"/>
          <w:color w:val="auto"/>
          <w:sz w:val="24"/>
          <w:highlight w:val="none"/>
        </w:rPr>
      </w:pPr>
      <w:r>
        <w:rPr>
          <w:rFonts w:hint="eastAsia" w:ascii="宋体" w:hAnsi="宋体" w:cs="宋体"/>
          <w:color w:val="auto"/>
          <w:sz w:val="24"/>
          <w:highlight w:val="none"/>
        </w:rPr>
        <w:t>注：评分的取值按四舍五入法，保留小数点后两位。</w:t>
      </w:r>
    </w:p>
    <w:bookmarkEnd w:id="102"/>
    <w:bookmarkEnd w:id="103"/>
    <w:p>
      <w:pPr>
        <w:pStyle w:val="4"/>
        <w:rPr>
          <w:rFonts w:ascii="宋体" w:hAnsi="宋体" w:eastAsia="宋体"/>
          <w:color w:val="auto"/>
          <w:sz w:val="24"/>
          <w:szCs w:val="24"/>
          <w:highlight w:val="none"/>
        </w:rPr>
      </w:pPr>
      <w:bookmarkStart w:id="104" w:name="_Toc23042"/>
      <w:r>
        <w:rPr>
          <w:rFonts w:ascii="宋体" w:hAnsi="宋体" w:eastAsia="宋体"/>
          <w:color w:val="auto"/>
          <w:sz w:val="24"/>
          <w:szCs w:val="24"/>
          <w:highlight w:val="none"/>
        </w:rPr>
        <w:t>4.</w:t>
      </w:r>
      <w:r>
        <w:rPr>
          <w:rFonts w:hint="eastAsia" w:ascii="宋体" w:hAnsi="宋体" w:eastAsia="宋体"/>
          <w:color w:val="auto"/>
          <w:sz w:val="24"/>
          <w:szCs w:val="24"/>
          <w:highlight w:val="none"/>
        </w:rPr>
        <w:t>磋商纪律及注意事项</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4.1</w:t>
      </w:r>
      <w:r>
        <w:rPr>
          <w:rFonts w:hint="eastAsia" w:ascii="宋体" w:hAnsi="宋体"/>
          <w:color w:val="auto"/>
          <w:sz w:val="24"/>
          <w:highlight w:val="none"/>
        </w:rPr>
        <w:t>磋商小组内部讨论的情况和意见必须保密，任何人不得以任何形式透露给供应商或与供应商有关的单位或个人。</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4.2</w:t>
      </w:r>
      <w:r>
        <w:rPr>
          <w:rFonts w:hint="eastAsia" w:ascii="宋体" w:hAnsi="宋体"/>
          <w:color w:val="auto"/>
          <w:sz w:val="24"/>
          <w:highlight w:val="none"/>
        </w:rPr>
        <w:t>在磋商过程中，供应商不得以任何形式对磋商小组成员进行旨在影响磋商结果的私下接触，否则将取消其参与磋商的资格。</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4.3</w:t>
      </w:r>
      <w:r>
        <w:rPr>
          <w:rFonts w:hint="eastAsia" w:ascii="宋体" w:hAnsi="宋体"/>
          <w:color w:val="auto"/>
          <w:sz w:val="24"/>
          <w:highlight w:val="none"/>
        </w:rPr>
        <w:t>对各供应商的商业秘密，磋商小组成员应予以保密，不得泄露给其他供应商。</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 xml:space="preserve">4.4 </w:t>
      </w:r>
      <w:r>
        <w:rPr>
          <w:rFonts w:hint="eastAsia" w:ascii="宋体" w:hAnsi="宋体"/>
          <w:color w:val="auto"/>
          <w:sz w:val="24"/>
          <w:highlight w:val="none"/>
        </w:rPr>
        <w:t>磋商小组独立评判，推荐成交候选人，并写出书面报告。</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 xml:space="preserve">4.5 </w:t>
      </w:r>
      <w:r>
        <w:rPr>
          <w:rFonts w:hint="eastAsia" w:ascii="宋体" w:hAnsi="宋体"/>
          <w:color w:val="auto"/>
          <w:sz w:val="24"/>
          <w:highlight w:val="none"/>
        </w:rPr>
        <w:t>磋商小组可根据需要对供应商进行实地考察。</w:t>
      </w:r>
    </w:p>
    <w:p>
      <w:pPr>
        <w:pStyle w:val="4"/>
        <w:spacing w:line="240" w:lineRule="auto"/>
        <w:rPr>
          <w:rFonts w:ascii="宋体" w:hAnsi="宋体" w:eastAsia="宋体"/>
          <w:color w:val="auto"/>
          <w:sz w:val="24"/>
          <w:szCs w:val="24"/>
          <w:highlight w:val="none"/>
        </w:rPr>
      </w:pPr>
      <w:r>
        <w:rPr>
          <w:rFonts w:ascii="宋体" w:hAnsi="宋体" w:eastAsia="宋体"/>
          <w:color w:val="auto"/>
          <w:sz w:val="24"/>
          <w:szCs w:val="24"/>
          <w:highlight w:val="none"/>
        </w:rPr>
        <w:t>5.</w:t>
      </w:r>
      <w:r>
        <w:rPr>
          <w:rFonts w:hint="eastAsia" w:ascii="宋体" w:hAnsi="宋体" w:eastAsia="宋体"/>
          <w:color w:val="auto"/>
          <w:sz w:val="24"/>
          <w:szCs w:val="24"/>
          <w:highlight w:val="none"/>
        </w:rPr>
        <w:t>磋商小组在政府采购活动中承担以下义务：</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5.1遵守评审工作纪律；</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5.2按照客观、公正、审慎的原则，根据磋商文件规定的评审程序、评审方法和评审标准进行独立评审；</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5.3不得泄露评审文件、评审情况和在评审过程中获悉的商业秘密；</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5.4及时向财政部门报告评审过程中发现的采购人、采购代理机构向评审专家做倾向性、误导性的解释或者说明，以及供应商行贿、提供虚假材料或者串通等违法行为；</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5.5发现磋商文件内容违反国家有关强制性规定或者磋商文件存在歧义、重大缺陷导致评审工作无法进行时，停止评审并向采购人或者采购代理机构书面说明情况；</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5.6及时向财政、监察等部门举报在评审过程中受到非法干预的情况；</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5.7配合答复处理供应商的询问、质疑和投诉等事项；</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5.8法律、法规和规章规定的其他义务。</w:t>
      </w:r>
    </w:p>
    <w:p>
      <w:pPr>
        <w:pStyle w:val="4"/>
        <w:spacing w:line="240" w:lineRule="auto"/>
        <w:rPr>
          <w:rFonts w:ascii="宋体" w:hAnsi="宋体" w:eastAsia="宋体"/>
          <w:color w:val="auto"/>
          <w:sz w:val="24"/>
          <w:szCs w:val="24"/>
          <w:highlight w:val="none"/>
        </w:rPr>
      </w:pPr>
      <w:r>
        <w:rPr>
          <w:rFonts w:ascii="宋体" w:hAnsi="宋体" w:eastAsia="宋体"/>
          <w:color w:val="auto"/>
          <w:sz w:val="24"/>
          <w:szCs w:val="24"/>
          <w:highlight w:val="none"/>
        </w:rPr>
        <w:t>6.</w:t>
      </w:r>
      <w:r>
        <w:rPr>
          <w:rFonts w:hint="eastAsia" w:ascii="宋体" w:hAnsi="宋体" w:eastAsia="宋体"/>
          <w:color w:val="auto"/>
          <w:sz w:val="24"/>
          <w:szCs w:val="24"/>
          <w:highlight w:val="none"/>
        </w:rPr>
        <w:t>评审专家在政府采购活动中应当遵守以下工作纪律：</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6.1不得参加与自己有《中华人民共和国政府采购法实施条例》第九条规定的利害关系的政府采购项目的评审活动。发现参加了与自己有利害关系的评审活动，须主动提出回避，退出评审；</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6.2评审前，应当将通讯工具或者相关电子设备交由采购代理机构统一保管；</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6.3评审过程中，不得与外界联系，因发生不可预见情况，确实需要与外界联系的，应当在监督人员监督之下办理；</w:t>
      </w:r>
    </w:p>
    <w:p>
      <w:pPr>
        <w:spacing w:line="240" w:lineRule="auto"/>
        <w:ind w:firstLine="480" w:firstLineChars="200"/>
        <w:rPr>
          <w:rFonts w:ascii="宋体" w:hAnsi="宋体"/>
          <w:color w:val="auto"/>
          <w:sz w:val="24"/>
          <w:highlight w:val="none"/>
        </w:rPr>
      </w:pPr>
      <w:r>
        <w:rPr>
          <w:rFonts w:hint="eastAsia" w:ascii="宋体" w:hAnsi="宋体"/>
          <w:color w:val="auto"/>
          <w:sz w:val="24"/>
          <w:highlight w:val="none"/>
        </w:rPr>
        <w:t>6.4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spacing w:line="240" w:lineRule="auto"/>
        <w:ind w:firstLine="480" w:firstLineChars="200"/>
        <w:rPr>
          <w:rFonts w:ascii="宋体" w:hAnsi="宋体"/>
          <w:color w:val="auto"/>
          <w:sz w:val="24"/>
          <w:highlight w:val="none"/>
        </w:rPr>
      </w:pPr>
      <w:r>
        <w:rPr>
          <w:rFonts w:hint="eastAsia" w:ascii="宋体" w:hAnsi="宋体"/>
          <w:color w:val="auto"/>
          <w:sz w:val="24"/>
          <w:highlight w:val="none"/>
        </w:rPr>
        <w:t>6.5在评审过程中和评审结束后，不得记录、复制或带走任何评审资料，不得向外界透露评审内容；</w:t>
      </w:r>
    </w:p>
    <w:p>
      <w:pPr>
        <w:spacing w:line="240" w:lineRule="auto"/>
        <w:ind w:firstLine="480" w:firstLineChars="200"/>
        <w:rPr>
          <w:rFonts w:ascii="宋体" w:hAnsi="宋体"/>
          <w:color w:val="auto"/>
          <w:sz w:val="24"/>
          <w:highlight w:val="none"/>
        </w:rPr>
      </w:pPr>
      <w:r>
        <w:rPr>
          <w:rFonts w:hint="eastAsia" w:ascii="宋体" w:hAnsi="宋体"/>
          <w:color w:val="auto"/>
          <w:sz w:val="24"/>
          <w:highlight w:val="none"/>
        </w:rPr>
        <w:t>6.6评审现场服从采购代理机构工作人员的管理，接受现场监督人员的合法监督；</w:t>
      </w:r>
    </w:p>
    <w:p>
      <w:pPr>
        <w:spacing w:line="240" w:lineRule="auto"/>
        <w:ind w:firstLine="480" w:firstLineChars="200"/>
        <w:rPr>
          <w:rFonts w:ascii="宋体" w:hAnsi="宋体"/>
          <w:color w:val="auto"/>
          <w:sz w:val="24"/>
          <w:highlight w:val="none"/>
        </w:rPr>
      </w:pPr>
      <w:r>
        <w:rPr>
          <w:rFonts w:hint="eastAsia" w:ascii="宋体" w:hAnsi="宋体"/>
          <w:color w:val="auto"/>
          <w:sz w:val="24"/>
          <w:highlight w:val="none"/>
        </w:rPr>
        <w:t>6.7遵守有关廉洁自律规定，不得私下接触供应商，不得收受供应商及有关业务单位和个人的财物或好处，不得接受采购代理机构的请托。</w:t>
      </w:r>
    </w:p>
    <w:p>
      <w:pPr>
        <w:pStyle w:val="3"/>
        <w:spacing w:line="400" w:lineRule="exact"/>
        <w:jc w:val="center"/>
        <w:rPr>
          <w:rFonts w:ascii="宋体" w:hAnsi="宋体" w:cs="宋体"/>
          <w:color w:val="auto"/>
          <w:highlight w:val="none"/>
        </w:rPr>
      </w:pPr>
      <w:r>
        <w:rPr>
          <w:rFonts w:hint="eastAsia" w:ascii="宋体" w:hAnsi="宋体"/>
          <w:color w:val="auto"/>
          <w:sz w:val="36"/>
          <w:szCs w:val="36"/>
          <w:highlight w:val="none"/>
        </w:rPr>
        <w:br w:type="page"/>
      </w:r>
      <w:bookmarkStart w:id="105" w:name="_Toc53267590"/>
      <w:r>
        <w:rPr>
          <w:rFonts w:hint="eastAsia" w:ascii="宋体" w:hAnsi="宋体" w:cs="宋体"/>
          <w:color w:val="auto"/>
          <w:sz w:val="36"/>
          <w:szCs w:val="36"/>
          <w:highlight w:val="none"/>
        </w:rPr>
        <w:t>第十章  政府采购合同</w:t>
      </w:r>
      <w:bookmarkEnd w:id="104"/>
      <w:r>
        <w:rPr>
          <w:rFonts w:hint="eastAsia" w:ascii="宋体" w:hAnsi="宋体" w:cs="宋体"/>
          <w:color w:val="auto"/>
          <w:sz w:val="36"/>
          <w:szCs w:val="36"/>
          <w:highlight w:val="none"/>
        </w:rPr>
        <w:t>（草案）</w:t>
      </w:r>
      <w:bookmarkEnd w:id="105"/>
    </w:p>
    <w:p>
      <w:pPr>
        <w:pStyle w:val="3"/>
        <w:spacing w:before="0" w:after="0" w:line="360" w:lineRule="auto"/>
        <w:jc w:val="center"/>
        <w:rPr>
          <w:rFonts w:ascii="宋体" w:hAnsi="宋体" w:cs="宋体"/>
          <w:color w:val="auto"/>
          <w:sz w:val="36"/>
          <w:szCs w:val="36"/>
          <w:highlight w:val="none"/>
        </w:rPr>
      </w:pPr>
      <w:r>
        <w:rPr>
          <w:rFonts w:hint="eastAsia" w:ascii="宋体" w:hAnsi="宋体" w:cs="宋体"/>
          <w:b w:val="0"/>
          <w:color w:val="auto"/>
          <w:kern w:val="0"/>
          <w:sz w:val="24"/>
          <w:szCs w:val="24"/>
          <w:highlight w:val="none"/>
        </w:rPr>
        <w:t>（具体内容以双方签订内容为准）</w:t>
      </w:r>
    </w:p>
    <w:p>
      <w:pPr>
        <w:pStyle w:val="22"/>
        <w:tabs>
          <w:tab w:val="left" w:pos="0"/>
        </w:tabs>
        <w:snapToGrid w:val="0"/>
        <w:spacing w:line="400" w:lineRule="exact"/>
        <w:ind w:firstLine="480" w:firstLineChars="200"/>
        <w:rPr>
          <w:rFonts w:hAnsi="宋体" w:cs="宋体"/>
          <w:color w:val="auto"/>
          <w:sz w:val="24"/>
          <w:highlight w:val="none"/>
        </w:rPr>
      </w:pPr>
      <w:r>
        <w:rPr>
          <w:rFonts w:hint="eastAsia" w:hAnsi="宋体" w:cs="宋体"/>
          <w:color w:val="auto"/>
          <w:sz w:val="24"/>
          <w:highlight w:val="none"/>
        </w:rPr>
        <w:t>合同编号：</w:t>
      </w:r>
      <w:r>
        <w:rPr>
          <w:rFonts w:hint="eastAsia" w:hAnsi="宋体" w:cs="宋体"/>
          <w:color w:val="auto"/>
          <w:sz w:val="24"/>
          <w:highlight w:val="none"/>
          <w:u w:val="single"/>
        </w:rPr>
        <w:t xml:space="preserve">          </w:t>
      </w:r>
    </w:p>
    <w:p>
      <w:pPr>
        <w:pStyle w:val="22"/>
        <w:tabs>
          <w:tab w:val="left" w:pos="0"/>
        </w:tabs>
        <w:snapToGrid w:val="0"/>
        <w:spacing w:line="400" w:lineRule="exact"/>
        <w:ind w:firstLine="480" w:firstLineChars="200"/>
        <w:rPr>
          <w:rFonts w:hAnsi="宋体" w:cs="宋体"/>
          <w:color w:val="auto"/>
          <w:sz w:val="24"/>
          <w:highlight w:val="none"/>
        </w:rPr>
      </w:pPr>
      <w:r>
        <w:rPr>
          <w:rFonts w:hint="eastAsia" w:hAnsi="宋体" w:cs="宋体"/>
          <w:color w:val="auto"/>
          <w:sz w:val="24"/>
          <w:highlight w:val="none"/>
        </w:rPr>
        <w:t>甲方：</w:t>
      </w:r>
      <w:r>
        <w:rPr>
          <w:rFonts w:hint="eastAsia" w:hAnsi="宋体" w:cs="宋体"/>
          <w:color w:val="auto"/>
          <w:sz w:val="24"/>
          <w:highlight w:val="none"/>
          <w:u w:val="single"/>
        </w:rPr>
        <w:t xml:space="preserve">            </w:t>
      </w:r>
      <w:r>
        <w:rPr>
          <w:rFonts w:hint="eastAsia" w:hAnsi="宋体" w:cs="宋体"/>
          <w:color w:val="auto"/>
          <w:sz w:val="24"/>
          <w:highlight w:val="none"/>
        </w:rPr>
        <w:t xml:space="preserve"> </w:t>
      </w:r>
    </w:p>
    <w:p>
      <w:pPr>
        <w:pStyle w:val="22"/>
        <w:tabs>
          <w:tab w:val="left" w:pos="0"/>
        </w:tabs>
        <w:snapToGrid w:val="0"/>
        <w:spacing w:line="400" w:lineRule="exact"/>
        <w:ind w:firstLine="480" w:firstLineChars="200"/>
        <w:rPr>
          <w:rFonts w:hAnsi="宋体" w:cs="宋体"/>
          <w:color w:val="auto"/>
          <w:sz w:val="24"/>
          <w:highlight w:val="none"/>
        </w:rPr>
      </w:pPr>
      <w:r>
        <w:rPr>
          <w:rFonts w:hint="eastAsia" w:hAnsi="宋体" w:cs="宋体"/>
          <w:color w:val="auto"/>
          <w:sz w:val="24"/>
          <w:highlight w:val="none"/>
        </w:rPr>
        <w:t>乙方：</w:t>
      </w:r>
      <w:r>
        <w:rPr>
          <w:rFonts w:hint="eastAsia" w:hAnsi="宋体" w:cs="宋体"/>
          <w:color w:val="auto"/>
          <w:sz w:val="24"/>
          <w:highlight w:val="none"/>
          <w:u w:val="single"/>
        </w:rPr>
        <w:t xml:space="preserve">            </w:t>
      </w:r>
    </w:p>
    <w:p>
      <w:pPr>
        <w:spacing w:line="360" w:lineRule="auto"/>
        <w:ind w:firstLine="480" w:firstLineChars="200"/>
        <w:rPr>
          <w:rFonts w:ascii="宋体" w:hAnsi="宋体"/>
          <w:color w:val="auto"/>
          <w:sz w:val="24"/>
          <w:highlight w:val="none"/>
        </w:rPr>
      </w:pPr>
      <w:r>
        <w:rPr>
          <w:rFonts w:ascii="宋体" w:hAnsi="宋体"/>
          <w:color w:val="auto"/>
          <w:sz w:val="24"/>
          <w:highlight w:val="none"/>
        </w:rPr>
        <w:t>签订地点：</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80" w:firstLineChars="200"/>
        <w:rPr>
          <w:rFonts w:ascii="宋体" w:hAnsi="宋体"/>
          <w:color w:val="auto"/>
          <w:sz w:val="24"/>
          <w:highlight w:val="none"/>
        </w:rPr>
      </w:pPr>
      <w:r>
        <w:rPr>
          <w:rFonts w:ascii="宋体" w:hAnsi="宋体"/>
          <w:color w:val="auto"/>
          <w:sz w:val="24"/>
          <w:highlight w:val="none"/>
        </w:rPr>
        <w:t>签订时间：</w:t>
      </w:r>
      <w:r>
        <w:rPr>
          <w:rFonts w:hint="eastAsia" w:ascii="宋体" w:hAnsi="宋体"/>
          <w:color w:val="auto"/>
          <w:sz w:val="24"/>
          <w:highlight w:val="none"/>
          <w:u w:val="single"/>
        </w:rPr>
        <w:t xml:space="preserve">   </w:t>
      </w:r>
      <w:r>
        <w:rPr>
          <w:rFonts w:ascii="宋体" w:hAnsi="宋体"/>
          <w:color w:val="auto"/>
          <w:sz w:val="24"/>
          <w:highlight w:val="none"/>
        </w:rPr>
        <w:t>年</w:t>
      </w:r>
      <w:r>
        <w:rPr>
          <w:rFonts w:hint="eastAsia" w:ascii="宋体" w:hAnsi="宋体"/>
          <w:color w:val="auto"/>
          <w:szCs w:val="21"/>
          <w:highlight w:val="none"/>
          <w:u w:val="single"/>
        </w:rPr>
        <w:t xml:space="preserve">     </w:t>
      </w:r>
      <w:r>
        <w:rPr>
          <w:rFonts w:ascii="宋体" w:hAnsi="宋体"/>
          <w:color w:val="auto"/>
          <w:sz w:val="24"/>
          <w:highlight w:val="none"/>
        </w:rPr>
        <w:t>月</w:t>
      </w:r>
      <w:r>
        <w:rPr>
          <w:rFonts w:hint="eastAsia" w:ascii="宋体" w:hAnsi="宋体"/>
          <w:color w:val="auto"/>
          <w:szCs w:val="21"/>
          <w:highlight w:val="none"/>
          <w:u w:val="single"/>
        </w:rPr>
        <w:t xml:space="preserve">     </w:t>
      </w:r>
      <w:r>
        <w:rPr>
          <w:rFonts w:ascii="宋体" w:hAnsi="宋体"/>
          <w:color w:val="auto"/>
          <w:sz w:val="24"/>
          <w:highlight w:val="none"/>
        </w:rPr>
        <w:t>日</w:t>
      </w:r>
      <w:r>
        <w:rPr>
          <w:rFonts w:hint="eastAsia" w:ascii="宋体" w:hAnsi="宋体"/>
          <w:color w:val="auto"/>
          <w:sz w:val="24"/>
          <w:highlight w:val="none"/>
        </w:rPr>
        <w:t>。</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采购人（</w:t>
      </w:r>
      <w:r>
        <w:rPr>
          <w:rFonts w:ascii="宋体" w:hAnsi="宋体"/>
          <w:color w:val="auto"/>
          <w:sz w:val="24"/>
          <w:highlight w:val="none"/>
        </w:rPr>
        <w:t>甲方</w:t>
      </w:r>
      <w:r>
        <w:rPr>
          <w:rFonts w:hint="eastAsia" w:ascii="宋体" w:hAnsi="宋体"/>
          <w:color w:val="auto"/>
          <w:sz w:val="24"/>
          <w:highlight w:val="none"/>
        </w:rPr>
        <w:t>）</w:t>
      </w:r>
      <w:r>
        <w:rPr>
          <w:rFonts w:ascii="宋体" w:hAnsi="宋体"/>
          <w:color w:val="auto"/>
          <w:sz w:val="24"/>
          <w:highlight w:val="none"/>
        </w:rPr>
        <w:t>：</w:t>
      </w:r>
      <w:r>
        <w:rPr>
          <w:rFonts w:ascii="宋体" w:hAnsi="宋体"/>
          <w:color w:val="auto"/>
          <w:sz w:val="24"/>
          <w:highlight w:val="none"/>
          <w:u w:val="single"/>
        </w:rPr>
        <w:t xml:space="preserve">                              </w:t>
      </w:r>
    </w:p>
    <w:p>
      <w:pPr>
        <w:spacing w:line="360" w:lineRule="auto"/>
        <w:ind w:firstLine="480" w:firstLineChars="200"/>
        <w:rPr>
          <w:rFonts w:ascii="宋体" w:hAnsi="宋体"/>
          <w:color w:val="auto"/>
          <w:sz w:val="24"/>
          <w:highlight w:val="none"/>
          <w:u w:val="single"/>
        </w:rPr>
      </w:pPr>
      <w:r>
        <w:rPr>
          <w:rFonts w:hint="eastAsia" w:ascii="宋体" w:hAnsi="宋体"/>
          <w:color w:val="auto"/>
          <w:sz w:val="24"/>
          <w:highlight w:val="none"/>
        </w:rPr>
        <w:t>供应商（乙</w:t>
      </w:r>
      <w:r>
        <w:rPr>
          <w:rFonts w:ascii="宋体" w:hAnsi="宋体"/>
          <w:color w:val="auto"/>
          <w:sz w:val="24"/>
          <w:highlight w:val="none"/>
        </w:rPr>
        <w:t>方</w:t>
      </w:r>
      <w:r>
        <w:rPr>
          <w:rFonts w:hint="eastAsia" w:ascii="宋体" w:hAnsi="宋体"/>
          <w:color w:val="auto"/>
          <w:sz w:val="24"/>
          <w:highlight w:val="none"/>
        </w:rPr>
        <w:t>）</w:t>
      </w:r>
      <w:r>
        <w:rPr>
          <w:rFonts w:ascii="宋体" w:hAnsi="宋体"/>
          <w:color w:val="auto"/>
          <w:sz w:val="24"/>
          <w:highlight w:val="none"/>
        </w:rPr>
        <w:t>：</w:t>
      </w:r>
      <w:r>
        <w:rPr>
          <w:rFonts w:ascii="宋体" w:hAnsi="宋体"/>
          <w:color w:val="auto"/>
          <w:sz w:val="24"/>
          <w:highlight w:val="none"/>
          <w:u w:val="single"/>
        </w:rPr>
        <w:t xml:space="preserve">                              </w:t>
      </w:r>
    </w:p>
    <w:p>
      <w:pPr>
        <w:spacing w:line="360" w:lineRule="auto"/>
        <w:ind w:firstLine="480" w:firstLineChars="200"/>
        <w:rPr>
          <w:rFonts w:ascii="宋体" w:hAnsi="宋体"/>
          <w:color w:val="auto"/>
          <w:sz w:val="24"/>
          <w:highlight w:val="none"/>
        </w:rPr>
      </w:pPr>
    </w:p>
    <w:p>
      <w:pPr>
        <w:spacing w:line="360" w:lineRule="auto"/>
        <w:ind w:firstLine="480" w:firstLineChars="200"/>
        <w:rPr>
          <w:rFonts w:ascii="宋体" w:hAnsi="宋体"/>
          <w:color w:val="auto"/>
          <w:sz w:val="24"/>
          <w:highlight w:val="none"/>
        </w:rPr>
      </w:pPr>
      <w:r>
        <w:rPr>
          <w:rFonts w:ascii="宋体" w:hAnsi="宋体"/>
          <w:color w:val="auto"/>
          <w:sz w:val="24"/>
          <w:highlight w:val="none"/>
        </w:rPr>
        <w:t>依据《</w:t>
      </w:r>
      <w:r>
        <w:rPr>
          <w:rFonts w:hint="eastAsia" w:ascii="宋体" w:hAnsi="宋体"/>
          <w:color w:val="auto"/>
          <w:sz w:val="24"/>
          <w:highlight w:val="none"/>
        </w:rPr>
        <w:t>中华人民共和国民法典</w:t>
      </w:r>
      <w:r>
        <w:rPr>
          <w:rFonts w:ascii="宋体" w:hAnsi="宋体"/>
          <w:color w:val="auto"/>
          <w:sz w:val="24"/>
          <w:highlight w:val="none"/>
        </w:rPr>
        <w:t>》、《中华人民共和国政府采购法》</w:t>
      </w:r>
      <w:r>
        <w:rPr>
          <w:rFonts w:hint="eastAsia" w:ascii="宋体" w:hAnsi="宋体"/>
          <w:color w:val="auto"/>
          <w:sz w:val="24"/>
          <w:highlight w:val="none"/>
        </w:rPr>
        <w:t>与项目行业有关的法律法规，以及</w:t>
      </w:r>
      <w:r>
        <w:rPr>
          <w:rFonts w:hint="eastAsia" w:ascii="宋体" w:hAnsi="宋体"/>
          <w:color w:val="auto"/>
          <w:szCs w:val="21"/>
          <w:highlight w:val="none"/>
          <w:u w:val="single"/>
        </w:rPr>
        <w:t xml:space="preserve">      </w:t>
      </w:r>
      <w:r>
        <w:rPr>
          <w:rFonts w:hint="eastAsia" w:ascii="宋体" w:hAnsi="宋体"/>
          <w:color w:val="auto"/>
          <w:sz w:val="24"/>
          <w:highlight w:val="none"/>
        </w:rPr>
        <w:t>项目（采购编号：</w:t>
      </w:r>
      <w:r>
        <w:rPr>
          <w:rFonts w:hint="eastAsia" w:ascii="宋体" w:hAnsi="宋体"/>
          <w:color w:val="auto"/>
          <w:szCs w:val="21"/>
          <w:highlight w:val="none"/>
          <w:u w:val="single"/>
        </w:rPr>
        <w:t xml:space="preserve">       </w:t>
      </w:r>
      <w:r>
        <w:rPr>
          <w:rFonts w:hint="eastAsia" w:ascii="宋体" w:hAnsi="宋体"/>
          <w:color w:val="auto"/>
          <w:sz w:val="24"/>
          <w:highlight w:val="none"/>
        </w:rPr>
        <w:t>）</w:t>
      </w:r>
      <w:r>
        <w:rPr>
          <w:rFonts w:ascii="宋体" w:hAnsi="宋体"/>
          <w:color w:val="auto"/>
          <w:sz w:val="24"/>
          <w:highlight w:val="none"/>
        </w:rPr>
        <w:t>的</w:t>
      </w:r>
      <w:r>
        <w:rPr>
          <w:rFonts w:hint="eastAsia" w:ascii="宋体" w:hAnsi="宋体"/>
          <w:color w:val="auto"/>
          <w:sz w:val="24"/>
          <w:highlight w:val="none"/>
        </w:rPr>
        <w:t>《竞争性磋商文件》</w:t>
      </w:r>
      <w:r>
        <w:rPr>
          <w:rFonts w:ascii="宋体" w:hAnsi="宋体"/>
          <w:color w:val="auto"/>
          <w:sz w:val="24"/>
          <w:highlight w:val="none"/>
        </w:rPr>
        <w:t>，</w:t>
      </w:r>
      <w:r>
        <w:rPr>
          <w:rFonts w:hint="eastAsia" w:ascii="宋体" w:hAnsi="宋体"/>
          <w:color w:val="auto"/>
          <w:sz w:val="24"/>
          <w:highlight w:val="none"/>
        </w:rPr>
        <w:t>乙方的《响应文件》及《成交通知书》，甲、乙双方同意签订本合同。详细技术说明及其他有关合同项目的特定信息由合同附件予以说明，合同附件及本项目的《竞争性磋商文件》、《响应文件》、《成交通知书》等均为本合同的组成部分。</w:t>
      </w:r>
      <w:r>
        <w:rPr>
          <w:rFonts w:ascii="宋体" w:hAnsi="宋体"/>
          <w:color w:val="auto"/>
          <w:sz w:val="24"/>
          <w:highlight w:val="none"/>
        </w:rPr>
        <w:t xml:space="preserve"> </w:t>
      </w:r>
    </w:p>
    <w:p>
      <w:pPr>
        <w:spacing w:line="360" w:lineRule="auto"/>
        <w:rPr>
          <w:rFonts w:ascii="宋体" w:hAnsi="宋体"/>
          <w:b/>
          <w:color w:val="auto"/>
          <w:sz w:val="24"/>
          <w:highlight w:val="none"/>
        </w:rPr>
      </w:pPr>
      <w:r>
        <w:rPr>
          <w:rFonts w:hint="eastAsia" w:ascii="宋体" w:hAnsi="宋体"/>
          <w:b/>
          <w:color w:val="auto"/>
          <w:sz w:val="24"/>
          <w:highlight w:val="none"/>
        </w:rPr>
        <w:t>1.项目基本情况</w:t>
      </w:r>
    </w:p>
    <w:p>
      <w:pPr>
        <w:spacing w:line="360" w:lineRule="auto"/>
        <w:rPr>
          <w:rFonts w:ascii="宋体" w:hAnsi="宋体"/>
          <w:b/>
          <w:color w:val="auto"/>
          <w:sz w:val="24"/>
          <w:highlight w:val="none"/>
        </w:rPr>
      </w:pPr>
      <w:r>
        <w:rPr>
          <w:rFonts w:hint="eastAsia" w:ascii="宋体" w:hAnsi="宋体"/>
          <w:color w:val="auto"/>
          <w:sz w:val="24"/>
          <w:highlight w:val="none"/>
        </w:rPr>
        <w:t xml:space="preserve">   </w:t>
      </w:r>
    </w:p>
    <w:p>
      <w:pPr>
        <w:spacing w:line="360" w:lineRule="auto"/>
        <w:rPr>
          <w:rFonts w:ascii="宋体" w:hAnsi="宋体"/>
          <w:b/>
          <w:color w:val="auto"/>
          <w:sz w:val="24"/>
          <w:highlight w:val="none"/>
        </w:rPr>
      </w:pPr>
      <w:r>
        <w:rPr>
          <w:rFonts w:hint="eastAsia" w:ascii="宋体" w:hAnsi="宋体"/>
          <w:b/>
          <w:color w:val="auto"/>
          <w:sz w:val="24"/>
          <w:highlight w:val="none"/>
        </w:rPr>
        <w:t>2.合同期限</w:t>
      </w:r>
    </w:p>
    <w:p>
      <w:pPr>
        <w:spacing w:line="360" w:lineRule="auto"/>
        <w:ind w:firstLine="480" w:firstLineChars="200"/>
        <w:rPr>
          <w:rFonts w:ascii="宋体" w:hAnsi="宋体"/>
          <w:color w:val="auto"/>
          <w:sz w:val="24"/>
          <w:highlight w:val="none"/>
        </w:rPr>
      </w:pPr>
    </w:p>
    <w:p>
      <w:pPr>
        <w:spacing w:line="360" w:lineRule="auto"/>
        <w:rPr>
          <w:rFonts w:ascii="宋体" w:hAnsi="宋体"/>
          <w:b/>
          <w:color w:val="auto"/>
          <w:sz w:val="24"/>
          <w:highlight w:val="none"/>
        </w:rPr>
      </w:pPr>
      <w:bookmarkStart w:id="106" w:name="_Toc247334841"/>
      <w:bookmarkStart w:id="107" w:name="_Toc238984975"/>
      <w:bookmarkStart w:id="108" w:name="_Toc212019594"/>
      <w:bookmarkStart w:id="109" w:name="_Toc211854449"/>
      <w:bookmarkStart w:id="110" w:name="_Toc211911348"/>
      <w:bookmarkStart w:id="111" w:name="_Toc225244852"/>
      <w:bookmarkStart w:id="112" w:name="_Toc239233914"/>
      <w:bookmarkStart w:id="113" w:name="_Toc225670751"/>
      <w:bookmarkStart w:id="114" w:name="_Toc237145406"/>
      <w:bookmarkStart w:id="115" w:name="_Toc286993786"/>
      <w:bookmarkStart w:id="116" w:name="_Toc283019214"/>
      <w:bookmarkStart w:id="117" w:name="_Toc232492928"/>
      <w:bookmarkStart w:id="118" w:name="_Toc225654644"/>
      <w:bookmarkStart w:id="119" w:name="_Toc251768862"/>
      <w:bookmarkStart w:id="120" w:name="_Toc282696226"/>
      <w:bookmarkStart w:id="121" w:name="_Toc185395249"/>
      <w:bookmarkStart w:id="122" w:name="_Toc241833903"/>
      <w:bookmarkStart w:id="123" w:name="_Toc239568418"/>
      <w:r>
        <w:rPr>
          <w:rFonts w:hint="eastAsia" w:ascii="宋体" w:hAnsi="宋体"/>
          <w:b/>
          <w:color w:val="auto"/>
          <w:sz w:val="24"/>
          <w:highlight w:val="none"/>
        </w:rPr>
        <w:t>3.服务内容与质量标准</w:t>
      </w:r>
    </w:p>
    <w:p>
      <w:pPr>
        <w:spacing w:line="360" w:lineRule="auto"/>
        <w:rPr>
          <w:rFonts w:ascii="宋体" w:hAnsi="宋体"/>
          <w:color w:val="auto"/>
          <w:sz w:val="24"/>
          <w:highlight w:val="none"/>
        </w:rPr>
      </w:pPr>
    </w:p>
    <w:p>
      <w:pPr>
        <w:spacing w:line="360" w:lineRule="auto"/>
        <w:rPr>
          <w:rFonts w:ascii="宋体" w:hAnsi="宋体"/>
          <w:b/>
          <w:color w:val="auto"/>
          <w:sz w:val="24"/>
          <w:highlight w:val="none"/>
        </w:rPr>
      </w:pPr>
      <w:r>
        <w:rPr>
          <w:rFonts w:hint="eastAsia" w:ascii="宋体" w:hAnsi="宋体"/>
          <w:b/>
          <w:color w:val="auto"/>
          <w:sz w:val="24"/>
          <w:highlight w:val="none"/>
        </w:rPr>
        <w:t>4.服务费用及支付方式</w:t>
      </w:r>
    </w:p>
    <w:p>
      <w:pPr>
        <w:numPr>
          <w:ilvl w:val="0"/>
          <w:numId w:val="8"/>
        </w:numPr>
        <w:spacing w:line="360" w:lineRule="auto"/>
        <w:ind w:left="0" w:firstLine="567"/>
        <w:rPr>
          <w:rFonts w:ascii="宋体" w:hAnsi="宋体"/>
          <w:b/>
          <w:color w:val="auto"/>
          <w:sz w:val="24"/>
          <w:highlight w:val="none"/>
        </w:rPr>
      </w:pPr>
      <w:r>
        <w:rPr>
          <w:rFonts w:hint="eastAsia" w:ascii="宋体" w:hAnsi="宋体"/>
          <w:b/>
          <w:color w:val="auto"/>
          <w:sz w:val="24"/>
          <w:highlight w:val="none"/>
        </w:rPr>
        <w:t>本项目服务费用由以下组成：</w:t>
      </w:r>
    </w:p>
    <w:p>
      <w:pPr>
        <w:numPr>
          <w:ilvl w:val="0"/>
          <w:numId w:val="9"/>
        </w:numPr>
        <w:spacing w:line="360" w:lineRule="auto"/>
        <w:ind w:firstLine="480" w:firstLineChars="200"/>
        <w:rPr>
          <w:rFonts w:ascii="宋体" w:hAnsi="宋体"/>
          <w:color w:val="auto"/>
          <w:sz w:val="24"/>
          <w:highlight w:val="none"/>
        </w:rPr>
      </w:pPr>
      <w:r>
        <w:rPr>
          <w:rFonts w:hint="eastAsia" w:ascii="宋体" w:hAnsi="宋体"/>
          <w:color w:val="auto"/>
          <w:sz w:val="24"/>
          <w:highlight w:val="none"/>
          <w:u w:val="single"/>
        </w:rPr>
        <w:t xml:space="preserve">        </w:t>
      </w:r>
      <w:r>
        <w:rPr>
          <w:rFonts w:hint="eastAsia" w:ascii="宋体" w:hAnsi="宋体"/>
          <w:color w:val="auto"/>
          <w:sz w:val="24"/>
          <w:highlight w:val="none"/>
        </w:rPr>
        <w:t>万元；</w:t>
      </w:r>
    </w:p>
    <w:p>
      <w:pPr>
        <w:numPr>
          <w:ilvl w:val="0"/>
          <w:numId w:val="9"/>
        </w:numPr>
        <w:spacing w:line="360" w:lineRule="auto"/>
        <w:ind w:firstLine="480" w:firstLineChars="200"/>
        <w:rPr>
          <w:rFonts w:ascii="宋体" w:hAnsi="宋体"/>
          <w:color w:val="auto"/>
          <w:sz w:val="24"/>
          <w:highlight w:val="none"/>
        </w:rPr>
      </w:pPr>
      <w:r>
        <w:rPr>
          <w:rFonts w:hint="eastAsia" w:ascii="宋体" w:hAnsi="宋体"/>
          <w:color w:val="auto"/>
          <w:sz w:val="24"/>
          <w:highlight w:val="none"/>
          <w:u w:val="single"/>
        </w:rPr>
        <w:t xml:space="preserve">        </w:t>
      </w:r>
      <w:r>
        <w:rPr>
          <w:rFonts w:hint="eastAsia" w:ascii="宋体" w:hAnsi="宋体"/>
          <w:color w:val="auto"/>
          <w:sz w:val="24"/>
          <w:highlight w:val="none"/>
        </w:rPr>
        <w:t>万元；</w:t>
      </w:r>
    </w:p>
    <w:p>
      <w:pPr>
        <w:numPr>
          <w:ilvl w:val="0"/>
          <w:numId w:val="9"/>
        </w:numPr>
        <w:spacing w:line="360" w:lineRule="auto"/>
        <w:ind w:firstLine="480" w:firstLineChars="200"/>
        <w:rPr>
          <w:rFonts w:ascii="宋体" w:hAnsi="宋体"/>
          <w:color w:val="auto"/>
          <w:sz w:val="24"/>
          <w:highlight w:val="none"/>
        </w:rPr>
      </w:pPr>
      <w:r>
        <w:rPr>
          <w:rFonts w:hint="eastAsia" w:ascii="宋体" w:hAnsi="宋体"/>
          <w:color w:val="auto"/>
          <w:sz w:val="24"/>
          <w:highlight w:val="none"/>
          <w:u w:val="single"/>
        </w:rPr>
        <w:t xml:space="preserve">        </w:t>
      </w:r>
      <w:r>
        <w:rPr>
          <w:rFonts w:hint="eastAsia" w:ascii="宋体" w:hAnsi="宋体"/>
          <w:color w:val="auto"/>
          <w:sz w:val="24"/>
          <w:highlight w:val="none"/>
        </w:rPr>
        <w:t>万元。</w:t>
      </w:r>
    </w:p>
    <w:p>
      <w:pPr>
        <w:spacing w:line="360" w:lineRule="auto"/>
        <w:ind w:firstLine="480" w:firstLineChars="200"/>
        <w:rPr>
          <w:rFonts w:ascii="宋体" w:hAnsi="宋体"/>
          <w:color w:val="auto"/>
          <w:sz w:val="24"/>
          <w:highlight w:val="none"/>
        </w:rPr>
      </w:pPr>
      <w:r>
        <w:rPr>
          <w:rFonts w:ascii="宋体" w:hAnsi="宋体"/>
          <w:color w:val="auto"/>
          <w:sz w:val="24"/>
          <w:highlight w:val="none"/>
        </w:rPr>
        <w:t>……</w:t>
      </w:r>
    </w:p>
    <w:p>
      <w:pPr>
        <w:numPr>
          <w:ilvl w:val="0"/>
          <w:numId w:val="8"/>
        </w:numPr>
        <w:tabs>
          <w:tab w:val="left" w:pos="780"/>
        </w:tabs>
        <w:spacing w:line="360" w:lineRule="auto"/>
        <w:ind w:left="0" w:firstLine="567"/>
        <w:rPr>
          <w:rFonts w:ascii="宋体" w:hAnsi="宋体"/>
          <w:b/>
          <w:color w:val="auto"/>
          <w:sz w:val="24"/>
          <w:highlight w:val="none"/>
        </w:rPr>
      </w:pPr>
      <w:r>
        <w:rPr>
          <w:rFonts w:hint="eastAsia" w:ascii="宋体" w:hAnsi="宋体"/>
          <w:b/>
          <w:color w:val="auto"/>
          <w:sz w:val="24"/>
          <w:highlight w:val="none"/>
        </w:rPr>
        <w:t xml:space="preserve">服务费支付方式： </w:t>
      </w:r>
    </w:p>
    <w:p>
      <w:pPr>
        <w:tabs>
          <w:tab w:val="left" w:pos="780"/>
        </w:tabs>
        <w:spacing w:line="360" w:lineRule="auto"/>
        <w:ind w:left="567"/>
        <w:rPr>
          <w:rFonts w:ascii="宋体" w:hAnsi="宋体"/>
          <w:b/>
          <w:color w:val="auto"/>
          <w:sz w:val="24"/>
          <w:highlight w:val="none"/>
        </w:rPr>
      </w:pPr>
    </w:p>
    <w:p>
      <w:pPr>
        <w:spacing w:line="360" w:lineRule="auto"/>
        <w:rPr>
          <w:rFonts w:ascii="宋体" w:hAnsi="宋体"/>
          <w:b/>
          <w:color w:val="auto"/>
          <w:sz w:val="24"/>
          <w:highlight w:val="none"/>
        </w:rPr>
      </w:pPr>
      <w:r>
        <w:rPr>
          <w:rFonts w:hint="eastAsia" w:ascii="宋体" w:hAnsi="宋体"/>
          <w:b/>
          <w:color w:val="auto"/>
          <w:sz w:val="24"/>
          <w:highlight w:val="none"/>
        </w:rPr>
        <w:t>5.知识产权</w:t>
      </w:r>
    </w:p>
    <w:p>
      <w:pPr>
        <w:tabs>
          <w:tab w:val="left" w:pos="144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乙方应保证所提供的服务或其任何一部分均不会侵犯任何第三方的专利权、商标权或著作权。</w:t>
      </w:r>
    </w:p>
    <w:p>
      <w:pPr>
        <w:spacing w:line="360" w:lineRule="auto"/>
        <w:rPr>
          <w:rFonts w:ascii="宋体" w:hAnsi="宋体"/>
          <w:b/>
          <w:color w:val="auto"/>
          <w:sz w:val="24"/>
          <w:highlight w:val="none"/>
        </w:rPr>
      </w:pPr>
      <w:r>
        <w:rPr>
          <w:rFonts w:hint="eastAsia" w:ascii="宋体" w:hAnsi="宋体"/>
          <w:b/>
          <w:color w:val="auto"/>
          <w:sz w:val="24"/>
          <w:highlight w:val="none"/>
        </w:rPr>
        <w:t>6.无产权瑕疵条款</w:t>
      </w:r>
    </w:p>
    <w:p>
      <w:pPr>
        <w:tabs>
          <w:tab w:val="left" w:pos="144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乙方保证所提供的服务的所有权完全属于乙方且无任何抵押、查封等产权瑕疵。如有产权瑕疵的，视为乙方违约。乙方应负担由此而产生的一切损失。</w:t>
      </w:r>
    </w:p>
    <w:p>
      <w:pPr>
        <w:spacing w:line="360" w:lineRule="auto"/>
        <w:rPr>
          <w:rFonts w:ascii="宋体" w:hAnsi="宋体"/>
          <w:b/>
          <w:color w:val="auto"/>
          <w:sz w:val="24"/>
          <w:highlight w:val="none"/>
        </w:rPr>
      </w:pPr>
      <w:r>
        <w:rPr>
          <w:rFonts w:hint="eastAsia" w:ascii="宋体" w:hAnsi="宋体"/>
          <w:b/>
          <w:color w:val="auto"/>
          <w:sz w:val="24"/>
          <w:highlight w:val="none"/>
        </w:rPr>
        <w:t>7.履约保证金</w:t>
      </w:r>
    </w:p>
    <w:p>
      <w:pPr>
        <w:adjustRightInd w:val="0"/>
        <w:spacing w:line="360" w:lineRule="auto"/>
        <w:ind w:firstLine="480" w:firstLineChars="200"/>
        <w:jc w:val="left"/>
        <w:textAlignment w:val="baseline"/>
        <w:rPr>
          <w:rFonts w:ascii="宋体" w:hAnsi="宋体"/>
          <w:bCs/>
          <w:color w:val="auto"/>
          <w:sz w:val="24"/>
          <w:highlight w:val="none"/>
        </w:rPr>
      </w:pPr>
      <w:r>
        <w:rPr>
          <w:rFonts w:hint="eastAsia" w:ascii="宋体" w:hAnsi="宋体"/>
          <w:bCs/>
          <w:color w:val="auto"/>
          <w:sz w:val="24"/>
          <w:highlight w:val="none"/>
        </w:rPr>
        <w:t>1、乙方交纳人民币</w:t>
      </w:r>
      <w:r>
        <w:rPr>
          <w:rFonts w:hint="eastAsia" w:ascii="宋体" w:hAnsi="宋体"/>
          <w:bCs/>
          <w:color w:val="auto"/>
          <w:sz w:val="24"/>
          <w:highlight w:val="none"/>
          <w:u w:val="single"/>
        </w:rPr>
        <w:t xml:space="preserve">      </w:t>
      </w:r>
      <w:r>
        <w:rPr>
          <w:rFonts w:hint="eastAsia" w:ascii="宋体" w:hAnsi="宋体"/>
          <w:bCs/>
          <w:color w:val="auto"/>
          <w:sz w:val="24"/>
          <w:highlight w:val="none"/>
        </w:rPr>
        <w:t>元作为本合同的履约保证金。</w:t>
      </w:r>
    </w:p>
    <w:p>
      <w:pPr>
        <w:adjustRightInd w:val="0"/>
        <w:spacing w:line="360" w:lineRule="auto"/>
        <w:ind w:firstLine="480" w:firstLineChars="200"/>
        <w:jc w:val="left"/>
        <w:textAlignment w:val="baseline"/>
        <w:rPr>
          <w:rFonts w:ascii="宋体" w:hAnsi="宋体"/>
          <w:bCs/>
          <w:color w:val="auto"/>
          <w:sz w:val="24"/>
          <w:highlight w:val="none"/>
        </w:rPr>
      </w:pPr>
      <w:r>
        <w:rPr>
          <w:rFonts w:hint="eastAsia" w:ascii="宋体" w:hAnsi="宋体"/>
          <w:bCs/>
          <w:color w:val="auto"/>
          <w:sz w:val="24"/>
          <w:highlight w:val="none"/>
        </w:rPr>
        <w:t>2、履约保证金作为违约金的一部分及用于补偿甲方因乙方不能履行合同义务而蒙受的损失。</w:t>
      </w:r>
    </w:p>
    <w:p>
      <w:pPr>
        <w:spacing w:line="360" w:lineRule="auto"/>
        <w:rPr>
          <w:rFonts w:ascii="宋体" w:hAnsi="宋体"/>
          <w:b/>
          <w:color w:val="auto"/>
          <w:sz w:val="24"/>
          <w:highlight w:val="none"/>
        </w:rPr>
      </w:pPr>
      <w:r>
        <w:rPr>
          <w:rFonts w:hint="eastAsia" w:ascii="宋体" w:hAnsi="宋体"/>
          <w:b/>
          <w:color w:val="auto"/>
          <w:sz w:val="24"/>
          <w:highlight w:val="none"/>
        </w:rPr>
        <w:t>8.</w:t>
      </w:r>
      <w:r>
        <w:rPr>
          <w:rFonts w:ascii="宋体" w:hAnsi="宋体"/>
          <w:b/>
          <w:color w:val="auto"/>
          <w:sz w:val="24"/>
          <w:highlight w:val="none"/>
        </w:rPr>
        <w:t>甲方的权利和义务</w:t>
      </w:r>
    </w:p>
    <w:p>
      <w:pPr>
        <w:adjustRightInd w:val="0"/>
        <w:spacing w:line="360" w:lineRule="auto"/>
        <w:ind w:firstLine="480" w:firstLineChars="200"/>
        <w:jc w:val="left"/>
        <w:textAlignment w:val="baseline"/>
        <w:rPr>
          <w:rFonts w:ascii="宋体" w:hAnsi="宋体"/>
          <w:bCs/>
          <w:color w:val="auto"/>
          <w:sz w:val="24"/>
          <w:highlight w:val="none"/>
        </w:rPr>
      </w:pPr>
      <w:r>
        <w:rPr>
          <w:rFonts w:hint="eastAsia" w:ascii="宋体" w:hAnsi="宋体"/>
          <w:bCs/>
          <w:color w:val="auto"/>
          <w:sz w:val="24"/>
          <w:highlight w:val="none"/>
        </w:rPr>
        <w:t>1、</w:t>
      </w:r>
      <w:r>
        <w:rPr>
          <w:rFonts w:ascii="宋体" w:hAnsi="宋体"/>
          <w:bCs/>
          <w:color w:val="auto"/>
          <w:sz w:val="24"/>
          <w:highlight w:val="none"/>
        </w:rPr>
        <w:t>甲方有权对合同规定范围内</w:t>
      </w:r>
      <w:r>
        <w:rPr>
          <w:rFonts w:hint="eastAsia" w:ascii="宋体" w:hAnsi="宋体"/>
          <w:bCs/>
          <w:color w:val="auto"/>
          <w:sz w:val="24"/>
          <w:highlight w:val="none"/>
        </w:rPr>
        <w:t>乙方的服务行为</w:t>
      </w:r>
      <w:r>
        <w:rPr>
          <w:rFonts w:ascii="宋体" w:hAnsi="宋体"/>
          <w:bCs/>
          <w:color w:val="auto"/>
          <w:sz w:val="24"/>
          <w:highlight w:val="none"/>
        </w:rPr>
        <w:t>进行监督和检查，拥有监管权。有权定期核对乙方提供服务所配备的人员数量。对甲方认为不合理的部分有权</w:t>
      </w:r>
      <w:r>
        <w:rPr>
          <w:rFonts w:hint="eastAsia" w:ascii="宋体" w:hAnsi="宋体"/>
          <w:bCs/>
          <w:color w:val="auto"/>
          <w:sz w:val="24"/>
          <w:highlight w:val="none"/>
        </w:rPr>
        <w:t>下达整改通知书，并</w:t>
      </w:r>
      <w:r>
        <w:rPr>
          <w:rFonts w:ascii="宋体" w:hAnsi="宋体"/>
          <w:bCs/>
          <w:color w:val="auto"/>
          <w:sz w:val="24"/>
          <w:highlight w:val="none"/>
        </w:rPr>
        <w:t>要求乙方</w:t>
      </w:r>
      <w:r>
        <w:rPr>
          <w:rFonts w:hint="eastAsia" w:ascii="宋体" w:hAnsi="宋体"/>
          <w:bCs/>
          <w:color w:val="auto"/>
          <w:sz w:val="24"/>
          <w:highlight w:val="none"/>
        </w:rPr>
        <w:t>限期整改</w:t>
      </w:r>
      <w:r>
        <w:rPr>
          <w:rFonts w:ascii="宋体" w:hAnsi="宋体"/>
          <w:bCs/>
          <w:color w:val="auto"/>
          <w:sz w:val="24"/>
          <w:highlight w:val="none"/>
        </w:rPr>
        <w:t>。</w:t>
      </w:r>
    </w:p>
    <w:p>
      <w:pPr>
        <w:adjustRightInd w:val="0"/>
        <w:spacing w:line="360" w:lineRule="auto"/>
        <w:ind w:firstLine="480" w:firstLineChars="200"/>
        <w:jc w:val="left"/>
        <w:textAlignment w:val="baseline"/>
        <w:rPr>
          <w:rFonts w:ascii="宋体" w:hAnsi="宋体"/>
          <w:bCs/>
          <w:color w:val="auto"/>
          <w:sz w:val="24"/>
          <w:highlight w:val="none"/>
        </w:rPr>
      </w:pPr>
      <w:r>
        <w:rPr>
          <w:rFonts w:hint="eastAsia" w:ascii="宋体" w:hAnsi="宋体"/>
          <w:bCs/>
          <w:color w:val="auto"/>
          <w:sz w:val="24"/>
          <w:highlight w:val="none"/>
        </w:rPr>
        <w:t>2、甲方有权依据双方签订的考评办法对乙方提供的服务进行定期考评。当考评结果未达到标准时，有权依据考评办法约定的数额扣除履约保证金。</w:t>
      </w:r>
    </w:p>
    <w:p>
      <w:pPr>
        <w:adjustRightInd w:val="0"/>
        <w:spacing w:line="360" w:lineRule="auto"/>
        <w:ind w:firstLine="480" w:firstLineChars="200"/>
        <w:jc w:val="left"/>
        <w:textAlignment w:val="baseline"/>
        <w:rPr>
          <w:rFonts w:ascii="宋体" w:hAnsi="宋体"/>
          <w:bCs/>
          <w:color w:val="auto"/>
          <w:sz w:val="24"/>
          <w:highlight w:val="none"/>
        </w:rPr>
      </w:pPr>
      <w:r>
        <w:rPr>
          <w:rFonts w:hint="eastAsia" w:ascii="宋体" w:hAnsi="宋体"/>
          <w:bCs/>
          <w:color w:val="auto"/>
          <w:sz w:val="24"/>
          <w:highlight w:val="none"/>
        </w:rPr>
        <w:t>3、</w:t>
      </w:r>
      <w:r>
        <w:rPr>
          <w:rFonts w:ascii="宋体" w:hAnsi="宋体"/>
          <w:bCs/>
          <w:color w:val="auto"/>
          <w:sz w:val="24"/>
          <w:highlight w:val="none"/>
        </w:rPr>
        <w:t>负责检查监督乙方管理工作的实施及制度的执行情况。</w:t>
      </w:r>
    </w:p>
    <w:p>
      <w:pPr>
        <w:adjustRightInd w:val="0"/>
        <w:spacing w:line="360" w:lineRule="auto"/>
        <w:ind w:firstLine="480" w:firstLineChars="200"/>
        <w:jc w:val="left"/>
        <w:textAlignment w:val="baseline"/>
        <w:rPr>
          <w:rFonts w:ascii="宋体" w:hAnsi="宋体"/>
          <w:bCs/>
          <w:color w:val="auto"/>
          <w:sz w:val="24"/>
          <w:highlight w:val="none"/>
        </w:rPr>
      </w:pPr>
      <w:r>
        <w:rPr>
          <w:rFonts w:hint="eastAsia" w:ascii="宋体" w:hAnsi="宋体"/>
          <w:bCs/>
          <w:color w:val="auto"/>
          <w:sz w:val="24"/>
          <w:highlight w:val="none"/>
        </w:rPr>
        <w:t>4、</w:t>
      </w:r>
      <w:r>
        <w:rPr>
          <w:rFonts w:ascii="宋体" w:hAnsi="宋体"/>
          <w:bCs/>
          <w:color w:val="auto"/>
          <w:sz w:val="24"/>
          <w:highlight w:val="none"/>
        </w:rPr>
        <w:t>根据本合同规定，按时向乙方支付应付</w:t>
      </w:r>
      <w:r>
        <w:rPr>
          <w:rFonts w:hint="eastAsia" w:ascii="宋体" w:hAnsi="宋体"/>
          <w:bCs/>
          <w:color w:val="auto"/>
          <w:sz w:val="24"/>
          <w:highlight w:val="none"/>
        </w:rPr>
        <w:t>服务费用</w:t>
      </w:r>
      <w:r>
        <w:rPr>
          <w:rFonts w:ascii="宋体" w:hAnsi="宋体"/>
          <w:bCs/>
          <w:color w:val="auto"/>
          <w:sz w:val="24"/>
          <w:highlight w:val="none"/>
        </w:rPr>
        <w:t>。</w:t>
      </w:r>
    </w:p>
    <w:p>
      <w:pPr>
        <w:adjustRightInd w:val="0"/>
        <w:spacing w:line="360" w:lineRule="auto"/>
        <w:ind w:firstLine="480" w:firstLineChars="200"/>
        <w:jc w:val="left"/>
        <w:textAlignment w:val="baseline"/>
        <w:rPr>
          <w:rFonts w:ascii="宋体" w:hAnsi="宋体"/>
          <w:bCs/>
          <w:color w:val="auto"/>
          <w:sz w:val="24"/>
          <w:highlight w:val="none"/>
        </w:rPr>
      </w:pPr>
      <w:r>
        <w:rPr>
          <w:rFonts w:hint="eastAsia" w:ascii="宋体" w:hAnsi="宋体"/>
          <w:bCs/>
          <w:color w:val="auto"/>
          <w:sz w:val="24"/>
          <w:highlight w:val="none"/>
        </w:rPr>
        <w:t>5、</w:t>
      </w:r>
      <w:r>
        <w:rPr>
          <w:rFonts w:ascii="宋体" w:hAnsi="宋体"/>
          <w:bCs/>
          <w:color w:val="auto"/>
          <w:sz w:val="24"/>
          <w:highlight w:val="none"/>
        </w:rPr>
        <w:t>国家法律、法规所规定由甲方承担的其它责任。</w:t>
      </w:r>
    </w:p>
    <w:p>
      <w:pPr>
        <w:spacing w:line="360" w:lineRule="auto"/>
        <w:rPr>
          <w:rFonts w:ascii="宋体" w:hAnsi="宋体"/>
          <w:b/>
          <w:color w:val="auto"/>
          <w:sz w:val="24"/>
          <w:highlight w:val="none"/>
        </w:rPr>
      </w:pPr>
      <w:r>
        <w:rPr>
          <w:rFonts w:hint="eastAsia" w:ascii="宋体" w:hAnsi="宋体"/>
          <w:b/>
          <w:color w:val="auto"/>
          <w:sz w:val="24"/>
          <w:highlight w:val="none"/>
        </w:rPr>
        <w:t>9.</w:t>
      </w:r>
      <w:r>
        <w:rPr>
          <w:rFonts w:ascii="宋体" w:hAnsi="宋体"/>
          <w:b/>
          <w:color w:val="auto"/>
          <w:sz w:val="24"/>
          <w:highlight w:val="none"/>
        </w:rPr>
        <w:t>乙方的权利和义务</w:t>
      </w:r>
    </w:p>
    <w:p>
      <w:pPr>
        <w:adjustRightInd w:val="0"/>
        <w:spacing w:line="360" w:lineRule="auto"/>
        <w:ind w:firstLine="480" w:firstLineChars="200"/>
        <w:jc w:val="left"/>
        <w:textAlignment w:val="baseline"/>
        <w:rPr>
          <w:rFonts w:ascii="宋体" w:hAnsi="宋体"/>
          <w:bCs/>
          <w:color w:val="auto"/>
          <w:sz w:val="24"/>
          <w:highlight w:val="none"/>
        </w:rPr>
      </w:pPr>
      <w:r>
        <w:rPr>
          <w:rFonts w:hint="eastAsia" w:ascii="宋体" w:hAnsi="宋体"/>
          <w:bCs/>
          <w:color w:val="auto"/>
          <w:sz w:val="24"/>
          <w:highlight w:val="none"/>
        </w:rPr>
        <w:t>1、</w:t>
      </w:r>
      <w:r>
        <w:rPr>
          <w:rFonts w:ascii="宋体" w:hAnsi="宋体"/>
          <w:bCs/>
          <w:color w:val="auto"/>
          <w:sz w:val="24"/>
          <w:highlight w:val="none"/>
        </w:rPr>
        <w:t>对本合同规定的委托</w:t>
      </w:r>
      <w:r>
        <w:rPr>
          <w:rFonts w:hint="eastAsia" w:ascii="宋体" w:hAnsi="宋体"/>
          <w:bCs/>
          <w:color w:val="auto"/>
          <w:sz w:val="24"/>
          <w:highlight w:val="none"/>
        </w:rPr>
        <w:t>服务</w:t>
      </w:r>
      <w:r>
        <w:rPr>
          <w:rFonts w:ascii="宋体" w:hAnsi="宋体"/>
          <w:bCs/>
          <w:color w:val="auto"/>
          <w:sz w:val="24"/>
          <w:highlight w:val="none"/>
        </w:rPr>
        <w:t>范围内的</w:t>
      </w:r>
      <w:r>
        <w:rPr>
          <w:rFonts w:hint="eastAsia" w:ascii="宋体" w:hAnsi="宋体"/>
          <w:bCs/>
          <w:color w:val="auto"/>
          <w:sz w:val="24"/>
          <w:highlight w:val="none"/>
        </w:rPr>
        <w:t>项目</w:t>
      </w:r>
      <w:r>
        <w:rPr>
          <w:rFonts w:ascii="宋体" w:hAnsi="宋体"/>
          <w:bCs/>
          <w:color w:val="auto"/>
          <w:sz w:val="24"/>
          <w:highlight w:val="none"/>
        </w:rPr>
        <w:t>享有管理权及服务义务。</w:t>
      </w:r>
    </w:p>
    <w:p>
      <w:pPr>
        <w:adjustRightInd w:val="0"/>
        <w:spacing w:line="360" w:lineRule="auto"/>
        <w:ind w:firstLine="480" w:firstLineChars="200"/>
        <w:jc w:val="left"/>
        <w:textAlignment w:val="baseline"/>
        <w:rPr>
          <w:rFonts w:ascii="宋体" w:hAnsi="宋体"/>
          <w:bCs/>
          <w:color w:val="auto"/>
          <w:sz w:val="24"/>
          <w:highlight w:val="none"/>
        </w:rPr>
      </w:pPr>
      <w:r>
        <w:rPr>
          <w:rFonts w:hint="eastAsia" w:ascii="宋体" w:hAnsi="宋体"/>
          <w:bCs/>
          <w:color w:val="auto"/>
          <w:sz w:val="24"/>
          <w:highlight w:val="none"/>
        </w:rPr>
        <w:t>2、</w:t>
      </w:r>
      <w:r>
        <w:rPr>
          <w:rFonts w:ascii="宋体" w:hAnsi="宋体"/>
          <w:bCs/>
          <w:color w:val="auto"/>
          <w:sz w:val="24"/>
          <w:highlight w:val="none"/>
        </w:rPr>
        <w:t>根据本合同的规定向甲方收取相关</w:t>
      </w:r>
      <w:r>
        <w:rPr>
          <w:rFonts w:hint="eastAsia" w:ascii="宋体" w:hAnsi="宋体"/>
          <w:bCs/>
          <w:color w:val="auto"/>
          <w:sz w:val="24"/>
          <w:highlight w:val="none"/>
        </w:rPr>
        <w:t>服务</w:t>
      </w:r>
      <w:r>
        <w:rPr>
          <w:rFonts w:ascii="宋体" w:hAnsi="宋体"/>
          <w:bCs/>
          <w:color w:val="auto"/>
          <w:sz w:val="24"/>
          <w:highlight w:val="none"/>
        </w:rPr>
        <w:t>费用，并有权</w:t>
      </w:r>
      <w:r>
        <w:rPr>
          <w:rFonts w:hint="eastAsia" w:ascii="宋体" w:hAnsi="宋体"/>
          <w:bCs/>
          <w:color w:val="auto"/>
          <w:sz w:val="24"/>
          <w:highlight w:val="none"/>
        </w:rPr>
        <w:t>在本项目管理范围内</w:t>
      </w:r>
      <w:r>
        <w:rPr>
          <w:rFonts w:ascii="宋体" w:hAnsi="宋体"/>
          <w:bCs/>
          <w:color w:val="auto"/>
          <w:sz w:val="24"/>
          <w:highlight w:val="none"/>
        </w:rPr>
        <w:t>管理及合理使用。</w:t>
      </w:r>
    </w:p>
    <w:p>
      <w:pPr>
        <w:adjustRightInd w:val="0"/>
        <w:spacing w:line="360" w:lineRule="auto"/>
        <w:ind w:firstLine="480" w:firstLineChars="200"/>
        <w:jc w:val="left"/>
        <w:textAlignment w:val="baseline"/>
        <w:rPr>
          <w:rFonts w:ascii="宋体" w:hAnsi="宋体"/>
          <w:color w:val="auto"/>
          <w:sz w:val="24"/>
          <w:highlight w:val="none"/>
        </w:rPr>
      </w:pPr>
      <w:r>
        <w:rPr>
          <w:rFonts w:hint="eastAsia" w:ascii="宋体" w:hAnsi="宋体"/>
          <w:color w:val="auto"/>
          <w:sz w:val="24"/>
          <w:highlight w:val="none"/>
        </w:rPr>
        <w:t>3、及时向甲方通告本项目服务范围内有关服务的重大事项，及时配合处理投诉。</w:t>
      </w:r>
    </w:p>
    <w:p>
      <w:pPr>
        <w:adjustRightInd w:val="0"/>
        <w:spacing w:line="360" w:lineRule="auto"/>
        <w:ind w:firstLine="480" w:firstLineChars="200"/>
        <w:jc w:val="left"/>
        <w:textAlignment w:val="baseline"/>
        <w:rPr>
          <w:rFonts w:ascii="宋体" w:hAnsi="宋体"/>
          <w:bCs/>
          <w:color w:val="auto"/>
          <w:sz w:val="24"/>
          <w:highlight w:val="none"/>
        </w:rPr>
      </w:pPr>
      <w:r>
        <w:rPr>
          <w:rFonts w:hint="eastAsia" w:ascii="宋体" w:hAnsi="宋体"/>
          <w:color w:val="auto"/>
          <w:sz w:val="24"/>
          <w:highlight w:val="none"/>
        </w:rPr>
        <w:t>4、</w:t>
      </w:r>
      <w:r>
        <w:rPr>
          <w:rFonts w:ascii="宋体" w:hAnsi="宋体"/>
          <w:bCs/>
          <w:color w:val="auto"/>
          <w:sz w:val="24"/>
          <w:highlight w:val="none"/>
        </w:rPr>
        <w:t>接受</w:t>
      </w:r>
      <w:r>
        <w:rPr>
          <w:rFonts w:hint="eastAsia" w:ascii="宋体" w:hAnsi="宋体"/>
          <w:bCs/>
          <w:color w:val="auto"/>
          <w:sz w:val="24"/>
          <w:highlight w:val="none"/>
        </w:rPr>
        <w:t>项目行</w:t>
      </w:r>
      <w:r>
        <w:rPr>
          <w:rFonts w:ascii="宋体" w:hAnsi="宋体"/>
          <w:bCs/>
          <w:color w:val="auto"/>
          <w:sz w:val="24"/>
          <w:highlight w:val="none"/>
        </w:rPr>
        <w:t>业管理部门及政府有关部门的指导，接受甲方的监督。</w:t>
      </w:r>
    </w:p>
    <w:p>
      <w:pPr>
        <w:adjustRightInd w:val="0"/>
        <w:spacing w:line="360" w:lineRule="auto"/>
        <w:ind w:firstLine="480" w:firstLineChars="200"/>
        <w:jc w:val="left"/>
        <w:textAlignment w:val="baseline"/>
        <w:rPr>
          <w:rFonts w:ascii="宋体" w:hAnsi="宋体"/>
          <w:bCs/>
          <w:color w:val="auto"/>
          <w:sz w:val="24"/>
          <w:highlight w:val="none"/>
        </w:rPr>
      </w:pPr>
      <w:r>
        <w:rPr>
          <w:rFonts w:hint="eastAsia" w:ascii="宋体" w:hAnsi="宋体"/>
          <w:bCs/>
          <w:color w:val="auto"/>
          <w:sz w:val="24"/>
          <w:highlight w:val="none"/>
        </w:rPr>
        <w:t>5、</w:t>
      </w:r>
      <w:r>
        <w:rPr>
          <w:rFonts w:ascii="宋体" w:hAnsi="宋体"/>
          <w:bCs/>
          <w:color w:val="auto"/>
          <w:sz w:val="24"/>
          <w:highlight w:val="none"/>
        </w:rPr>
        <w:t>国家法律、法规所规定由乙方承担的其它责任。</w:t>
      </w:r>
    </w:p>
    <w:p>
      <w:pPr>
        <w:spacing w:line="360" w:lineRule="auto"/>
        <w:rPr>
          <w:rFonts w:ascii="宋体" w:hAnsi="宋体"/>
          <w:b/>
          <w:color w:val="auto"/>
          <w:sz w:val="24"/>
          <w:highlight w:val="none"/>
        </w:rPr>
      </w:pPr>
      <w:r>
        <w:rPr>
          <w:rFonts w:hint="eastAsia" w:ascii="宋体" w:hAnsi="宋体"/>
          <w:b/>
          <w:color w:val="auto"/>
          <w:sz w:val="24"/>
          <w:highlight w:val="none"/>
        </w:rPr>
        <w:t>10.</w:t>
      </w:r>
      <w:r>
        <w:rPr>
          <w:rFonts w:ascii="宋体" w:hAnsi="宋体"/>
          <w:b/>
          <w:color w:val="auto"/>
          <w:sz w:val="24"/>
          <w:highlight w:val="none"/>
        </w:rPr>
        <w:t>违约责任</w:t>
      </w:r>
    </w:p>
    <w:p>
      <w:pPr>
        <w:adjustRightInd w:val="0"/>
        <w:spacing w:line="360" w:lineRule="auto"/>
        <w:ind w:firstLine="480" w:firstLineChars="200"/>
        <w:jc w:val="left"/>
        <w:textAlignment w:val="baseline"/>
        <w:rPr>
          <w:rFonts w:ascii="宋体" w:hAnsi="宋体"/>
          <w:bCs/>
          <w:color w:val="auto"/>
          <w:sz w:val="24"/>
          <w:highlight w:val="none"/>
        </w:rPr>
      </w:pPr>
      <w:r>
        <w:rPr>
          <w:rFonts w:hint="eastAsia" w:ascii="宋体" w:hAnsi="宋体"/>
          <w:bCs/>
          <w:color w:val="auto"/>
          <w:sz w:val="24"/>
          <w:highlight w:val="none"/>
        </w:rPr>
        <w:t>1、</w:t>
      </w:r>
      <w:r>
        <w:rPr>
          <w:rFonts w:ascii="宋体" w:hAnsi="宋体"/>
          <w:bCs/>
          <w:color w:val="auto"/>
          <w:sz w:val="24"/>
          <w:highlight w:val="none"/>
        </w:rPr>
        <w:t>甲乙双方必须遵守本合同并执行合同中的各项规定，保证</w:t>
      </w:r>
      <w:r>
        <w:rPr>
          <w:rFonts w:hint="eastAsia" w:ascii="宋体" w:hAnsi="宋体"/>
          <w:bCs/>
          <w:color w:val="auto"/>
          <w:sz w:val="24"/>
          <w:highlight w:val="none"/>
        </w:rPr>
        <w:t>本</w:t>
      </w:r>
      <w:r>
        <w:rPr>
          <w:rFonts w:ascii="宋体" w:hAnsi="宋体"/>
          <w:bCs/>
          <w:color w:val="auto"/>
          <w:sz w:val="24"/>
          <w:highlight w:val="none"/>
        </w:rPr>
        <w:t>合同的正常</w:t>
      </w:r>
      <w:r>
        <w:rPr>
          <w:rFonts w:hint="eastAsia" w:ascii="宋体" w:hAnsi="宋体"/>
          <w:bCs/>
          <w:color w:val="auto"/>
          <w:sz w:val="24"/>
          <w:highlight w:val="none"/>
        </w:rPr>
        <w:t>履行</w:t>
      </w:r>
      <w:r>
        <w:rPr>
          <w:rFonts w:ascii="宋体" w:hAnsi="宋体"/>
          <w:bCs/>
          <w:color w:val="auto"/>
          <w:sz w:val="24"/>
          <w:highlight w:val="none"/>
        </w:rPr>
        <w:t>。</w:t>
      </w:r>
    </w:p>
    <w:p>
      <w:pPr>
        <w:adjustRightInd w:val="0"/>
        <w:spacing w:line="360" w:lineRule="auto"/>
        <w:ind w:firstLine="480" w:firstLineChars="200"/>
        <w:jc w:val="left"/>
        <w:textAlignment w:val="baseline"/>
        <w:rPr>
          <w:rFonts w:ascii="宋体" w:hAnsi="宋体"/>
          <w:bCs/>
          <w:color w:val="auto"/>
          <w:sz w:val="24"/>
          <w:highlight w:val="none"/>
        </w:rPr>
      </w:pPr>
      <w:r>
        <w:rPr>
          <w:rFonts w:hint="eastAsia" w:ascii="宋体" w:hAnsi="宋体"/>
          <w:bCs/>
          <w:color w:val="auto"/>
          <w:sz w:val="24"/>
          <w:highlight w:val="none"/>
        </w:rPr>
        <w:t>2、</w:t>
      </w:r>
      <w:r>
        <w:rPr>
          <w:rFonts w:ascii="宋体" w:hAnsi="宋体"/>
          <w:bCs/>
          <w:color w:val="auto"/>
          <w:sz w:val="24"/>
          <w:highlight w:val="none"/>
        </w:rPr>
        <w:t>如因乙方</w:t>
      </w:r>
      <w:r>
        <w:rPr>
          <w:rFonts w:hint="eastAsia" w:ascii="宋体" w:hAnsi="宋体"/>
          <w:bCs/>
          <w:color w:val="auto"/>
          <w:sz w:val="24"/>
          <w:highlight w:val="none"/>
        </w:rPr>
        <w:t>工作人员在履行职务过程中的</w:t>
      </w:r>
      <w:r>
        <w:rPr>
          <w:rFonts w:ascii="宋体" w:hAnsi="宋体"/>
          <w:bCs/>
          <w:color w:val="auto"/>
          <w:sz w:val="24"/>
          <w:highlight w:val="none"/>
        </w:rPr>
        <w:t>的疏忽、失职、过错等</w:t>
      </w:r>
      <w:r>
        <w:rPr>
          <w:rFonts w:hint="eastAsia" w:ascii="宋体" w:hAnsi="宋体"/>
          <w:bCs/>
          <w:color w:val="auto"/>
          <w:sz w:val="24"/>
          <w:highlight w:val="none"/>
        </w:rPr>
        <w:t>故意或者过失</w:t>
      </w:r>
      <w:r>
        <w:rPr>
          <w:rFonts w:ascii="宋体" w:hAnsi="宋体"/>
          <w:bCs/>
          <w:color w:val="auto"/>
          <w:sz w:val="24"/>
          <w:highlight w:val="none"/>
        </w:rPr>
        <w:t>原因给甲方造成损失或侵害，</w:t>
      </w:r>
      <w:r>
        <w:rPr>
          <w:rFonts w:hint="eastAsia" w:ascii="宋体" w:hAnsi="宋体"/>
          <w:bCs/>
          <w:color w:val="auto"/>
          <w:sz w:val="24"/>
          <w:highlight w:val="none"/>
        </w:rPr>
        <w:t>包括但不限于甲方本身的财产损失、由此而导致的甲方对任何第三方的法律责任等，乙方对此均应承担全部的赔偿责任</w:t>
      </w:r>
      <w:r>
        <w:rPr>
          <w:rFonts w:ascii="宋体" w:hAnsi="宋体"/>
          <w:bCs/>
          <w:color w:val="auto"/>
          <w:sz w:val="24"/>
          <w:highlight w:val="none"/>
        </w:rPr>
        <w:t>。</w:t>
      </w:r>
    </w:p>
    <w:p>
      <w:pPr>
        <w:spacing w:line="360" w:lineRule="auto"/>
        <w:rPr>
          <w:rFonts w:ascii="宋体" w:hAnsi="宋体"/>
          <w:b/>
          <w:color w:val="auto"/>
          <w:sz w:val="24"/>
          <w:highlight w:val="none"/>
        </w:rPr>
      </w:pPr>
      <w:r>
        <w:rPr>
          <w:rFonts w:hint="eastAsia" w:ascii="宋体" w:hAnsi="宋体"/>
          <w:b/>
          <w:color w:val="auto"/>
          <w:sz w:val="24"/>
          <w:highlight w:val="none"/>
        </w:rPr>
        <w:t>11.不可抗力事件处理</w:t>
      </w:r>
    </w:p>
    <w:p>
      <w:pPr>
        <w:tabs>
          <w:tab w:val="left" w:pos="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1、在合同有效期内，任何一方因不可抗力事件导致不能履行合同，则合同履行期可延长，其延长期与不可抗力影响期相同。</w:t>
      </w:r>
    </w:p>
    <w:p>
      <w:pPr>
        <w:tabs>
          <w:tab w:val="left" w:pos="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2、不可抗力事件发生后，应立即通知对方，并寄送有关权威机构出具的证明。</w:t>
      </w:r>
    </w:p>
    <w:p>
      <w:pPr>
        <w:tabs>
          <w:tab w:val="left" w:pos="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3、不可抗力事件延续</w:t>
      </w:r>
      <w:r>
        <w:rPr>
          <w:rFonts w:hint="eastAsia" w:ascii="宋体" w:hAnsi="宋体"/>
          <w:color w:val="auto"/>
          <w:sz w:val="24"/>
          <w:highlight w:val="none"/>
          <w:u w:val="single"/>
        </w:rPr>
        <w:t xml:space="preserve">      </w:t>
      </w:r>
      <w:r>
        <w:rPr>
          <w:rFonts w:hint="eastAsia" w:ascii="宋体" w:hAnsi="宋体"/>
          <w:color w:val="auto"/>
          <w:sz w:val="24"/>
          <w:highlight w:val="none"/>
        </w:rPr>
        <w:t>天以上，双方应通过友好协商，确定是否继续履行合同。</w:t>
      </w:r>
    </w:p>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Pr>
        <w:spacing w:line="360" w:lineRule="auto"/>
        <w:rPr>
          <w:rFonts w:ascii="宋体" w:hAnsi="宋体"/>
          <w:b/>
          <w:color w:val="auto"/>
          <w:sz w:val="24"/>
          <w:highlight w:val="none"/>
        </w:rPr>
      </w:pPr>
      <w:bookmarkStart w:id="124" w:name="_Toc237145411"/>
      <w:bookmarkStart w:id="125" w:name="_Toc211911353"/>
      <w:bookmarkStart w:id="126" w:name="_Toc247334846"/>
      <w:bookmarkStart w:id="127" w:name="_Toc211854454"/>
      <w:bookmarkStart w:id="128" w:name="_Toc225670756"/>
      <w:bookmarkStart w:id="129" w:name="_Toc212019599"/>
      <w:bookmarkStart w:id="130" w:name="_Toc286993792"/>
      <w:bookmarkStart w:id="131" w:name="_Toc239568423"/>
      <w:bookmarkStart w:id="132" w:name="_Toc239233919"/>
      <w:bookmarkStart w:id="133" w:name="_Toc241833908"/>
      <w:bookmarkStart w:id="134" w:name="_Toc238984980"/>
      <w:bookmarkStart w:id="135" w:name="_Toc185395254"/>
      <w:bookmarkStart w:id="136" w:name="_Toc225654649"/>
      <w:bookmarkStart w:id="137" w:name="_Toc225244857"/>
      <w:bookmarkStart w:id="138" w:name="_Toc251768867"/>
      <w:bookmarkStart w:id="139" w:name="_Toc232492933"/>
      <w:r>
        <w:rPr>
          <w:rFonts w:hint="eastAsia" w:ascii="宋体" w:hAnsi="宋体"/>
          <w:b/>
          <w:color w:val="auto"/>
          <w:sz w:val="24"/>
          <w:highlight w:val="none"/>
        </w:rPr>
        <w:t>12.解</w:t>
      </w:r>
      <w:r>
        <w:rPr>
          <w:rFonts w:ascii="宋体" w:hAnsi="宋体"/>
          <w:b/>
          <w:color w:val="auto"/>
          <w:sz w:val="24"/>
          <w:highlight w:val="none"/>
        </w:rPr>
        <w:t>决合同纠纷的方式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tabs>
          <w:tab w:val="left" w:pos="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1、</w:t>
      </w:r>
      <w:r>
        <w:rPr>
          <w:rFonts w:ascii="宋体" w:hAnsi="宋体"/>
          <w:color w:val="auto"/>
          <w:sz w:val="24"/>
          <w:highlight w:val="none"/>
        </w:rPr>
        <w:t>在执行本合同中发生的或与本合同有关的争端，双方应通过友好协商解决，经协商在</w:t>
      </w:r>
      <w:r>
        <w:rPr>
          <w:rFonts w:hint="eastAsia" w:ascii="宋体" w:hAnsi="宋体"/>
          <w:color w:val="auto"/>
          <w:szCs w:val="21"/>
          <w:highlight w:val="none"/>
        </w:rPr>
        <w:t>XX</w:t>
      </w:r>
      <w:r>
        <w:rPr>
          <w:rFonts w:ascii="宋体" w:hAnsi="宋体"/>
          <w:color w:val="auto"/>
          <w:sz w:val="24"/>
          <w:highlight w:val="none"/>
        </w:rPr>
        <w:t>天内不能达成协议时，应提交成都仲裁委员会仲裁。</w:t>
      </w:r>
    </w:p>
    <w:p>
      <w:pPr>
        <w:tabs>
          <w:tab w:val="left" w:pos="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仲裁裁决应为最终决定，并对双方具有约束力。</w:t>
      </w:r>
    </w:p>
    <w:p>
      <w:pPr>
        <w:tabs>
          <w:tab w:val="left" w:pos="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3、</w:t>
      </w:r>
      <w:r>
        <w:rPr>
          <w:rFonts w:ascii="宋体" w:hAnsi="宋体"/>
          <w:color w:val="auto"/>
          <w:sz w:val="24"/>
          <w:highlight w:val="none"/>
        </w:rPr>
        <w:t xml:space="preserve">除另有裁决外，仲裁费应由败诉方负担。 </w:t>
      </w:r>
    </w:p>
    <w:p>
      <w:pPr>
        <w:tabs>
          <w:tab w:val="left" w:pos="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4、</w:t>
      </w:r>
      <w:r>
        <w:rPr>
          <w:rFonts w:ascii="宋体" w:hAnsi="宋体"/>
          <w:color w:val="auto"/>
          <w:sz w:val="24"/>
          <w:highlight w:val="none"/>
        </w:rPr>
        <w:t xml:space="preserve">在仲裁期间，除正在进行仲裁部分外，合同其他部分继续执行。  </w:t>
      </w:r>
    </w:p>
    <w:p>
      <w:pPr>
        <w:spacing w:line="360" w:lineRule="auto"/>
        <w:rPr>
          <w:rFonts w:ascii="宋体" w:hAnsi="宋体"/>
          <w:b/>
          <w:color w:val="auto"/>
          <w:sz w:val="24"/>
          <w:highlight w:val="none"/>
        </w:rPr>
      </w:pPr>
      <w:bookmarkStart w:id="140" w:name="_Toc185395255"/>
      <w:bookmarkStart w:id="141" w:name="_Toc282696231"/>
      <w:bookmarkStart w:id="142" w:name="_Toc212019600"/>
      <w:bookmarkStart w:id="143" w:name="_Toc241833909"/>
      <w:bookmarkStart w:id="144" w:name="_Toc238984981"/>
      <w:bookmarkStart w:id="145" w:name="_Toc232492934"/>
      <w:bookmarkStart w:id="146" w:name="_Toc211854455"/>
      <w:bookmarkStart w:id="147" w:name="_Toc286993793"/>
      <w:bookmarkStart w:id="148" w:name="_Toc225244858"/>
      <w:bookmarkStart w:id="149" w:name="_Toc237145412"/>
      <w:bookmarkStart w:id="150" w:name="_Toc283019219"/>
      <w:bookmarkStart w:id="151" w:name="_Toc247334847"/>
      <w:bookmarkStart w:id="152" w:name="_Toc225670757"/>
      <w:bookmarkStart w:id="153" w:name="_Toc239568424"/>
      <w:bookmarkStart w:id="154" w:name="_Toc225654650"/>
      <w:bookmarkStart w:id="155" w:name="_Toc239233920"/>
      <w:bookmarkStart w:id="156" w:name="_Toc211911354"/>
      <w:bookmarkStart w:id="157" w:name="_Toc251768868"/>
      <w:r>
        <w:rPr>
          <w:rFonts w:hint="eastAsia" w:ascii="宋体" w:hAnsi="宋体"/>
          <w:b/>
          <w:color w:val="auto"/>
          <w:sz w:val="24"/>
          <w:highlight w:val="none"/>
        </w:rPr>
        <w:t>13.</w:t>
      </w:r>
      <w:r>
        <w:rPr>
          <w:rFonts w:ascii="宋体" w:hAnsi="宋体"/>
          <w:b/>
          <w:color w:val="auto"/>
          <w:sz w:val="24"/>
          <w:highlight w:val="none"/>
        </w:rPr>
        <w:t>合同</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Fonts w:hint="eastAsia" w:ascii="宋体" w:hAnsi="宋体"/>
          <w:b/>
          <w:color w:val="auto"/>
          <w:sz w:val="24"/>
          <w:highlight w:val="none"/>
        </w:rPr>
        <w:t>生效及其他</w:t>
      </w:r>
    </w:p>
    <w:p>
      <w:pPr>
        <w:pStyle w:val="69"/>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1、合同经双方法定代表人或授权委托代理人签字并加盖单位公章后生效。</w:t>
      </w:r>
    </w:p>
    <w:p>
      <w:pPr>
        <w:pStyle w:val="69"/>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2、合同执行中涉及采购资金和采购内容修改或补充的，须经采购监管部门审批，并签书面补充协议报采购监督管理部门备案，方可作为主合同不可分割的一部分。</w:t>
      </w:r>
    </w:p>
    <w:p>
      <w:pPr>
        <w:pStyle w:val="69"/>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3、本合同一式</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份，自双方签章之日起起效。甲方</w:t>
      </w:r>
      <w:r>
        <w:rPr>
          <w:rFonts w:hint="eastAsia" w:ascii="宋体" w:hAnsi="宋体"/>
          <w:color w:val="auto"/>
          <w:szCs w:val="21"/>
          <w:highlight w:val="none"/>
          <w:u w:val="single"/>
        </w:rPr>
        <w:t xml:space="preserve">      </w:t>
      </w:r>
      <w:r>
        <w:rPr>
          <w:rFonts w:hint="eastAsia" w:ascii="宋体" w:hAnsi="宋体"/>
          <w:color w:val="auto"/>
          <w:sz w:val="24"/>
          <w:szCs w:val="24"/>
          <w:highlight w:val="none"/>
        </w:rPr>
        <w:t>份，乙方</w:t>
      </w:r>
      <w:r>
        <w:rPr>
          <w:rFonts w:hint="eastAsia" w:ascii="宋体" w:hAnsi="宋体"/>
          <w:color w:val="auto"/>
          <w:szCs w:val="21"/>
          <w:highlight w:val="none"/>
          <w:u w:val="single"/>
        </w:rPr>
        <w:t xml:space="preserve">      </w:t>
      </w:r>
      <w:r>
        <w:rPr>
          <w:rFonts w:hint="eastAsia" w:ascii="宋体" w:hAnsi="宋体"/>
          <w:color w:val="auto"/>
          <w:sz w:val="24"/>
          <w:szCs w:val="24"/>
          <w:highlight w:val="none"/>
        </w:rPr>
        <w:t>份，采购代理机构</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份，同级财政部门备案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份，具有同等法律效力。</w:t>
      </w:r>
    </w:p>
    <w:p>
      <w:pPr>
        <w:spacing w:line="360" w:lineRule="auto"/>
        <w:rPr>
          <w:rFonts w:ascii="宋体" w:hAnsi="宋体"/>
          <w:b/>
          <w:color w:val="auto"/>
          <w:sz w:val="24"/>
          <w:highlight w:val="none"/>
        </w:rPr>
      </w:pPr>
      <w:r>
        <w:rPr>
          <w:rFonts w:hint="eastAsia" w:ascii="宋体" w:hAnsi="宋体"/>
          <w:b/>
          <w:color w:val="auto"/>
          <w:sz w:val="24"/>
          <w:highlight w:val="none"/>
        </w:rPr>
        <w:t>14.附件</w:t>
      </w:r>
    </w:p>
    <w:p>
      <w:pPr>
        <w:spacing w:line="360" w:lineRule="auto"/>
        <w:rPr>
          <w:rFonts w:ascii="宋体" w:hAnsi="宋体"/>
          <w:color w:val="auto"/>
          <w:sz w:val="24"/>
          <w:highlight w:val="none"/>
        </w:rPr>
      </w:pP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甲方：   （盖章）</w:t>
      </w:r>
      <w:r>
        <w:rPr>
          <w:rFonts w:ascii="宋体" w:hAnsi="宋体"/>
          <w:color w:val="auto"/>
          <w:sz w:val="24"/>
          <w:highlight w:val="none"/>
        </w:rPr>
        <w:t xml:space="preserve">   </w:t>
      </w:r>
      <w:r>
        <w:rPr>
          <w:rFonts w:ascii="宋体" w:hAnsi="宋体"/>
          <w:color w:val="auto"/>
          <w:sz w:val="24"/>
          <w:highlight w:val="none"/>
        </w:rPr>
        <w:tab/>
      </w:r>
      <w:r>
        <w:rPr>
          <w:rFonts w:ascii="宋体" w:hAnsi="宋体"/>
          <w:color w:val="auto"/>
          <w:sz w:val="24"/>
          <w:highlight w:val="none"/>
        </w:rPr>
        <w:tab/>
      </w:r>
      <w:r>
        <w:rPr>
          <w:rFonts w:ascii="宋体" w:hAnsi="宋体"/>
          <w:color w:val="auto"/>
          <w:sz w:val="24"/>
          <w:highlight w:val="none"/>
        </w:rPr>
        <w:tab/>
      </w:r>
      <w:r>
        <w:rPr>
          <w:rFonts w:ascii="宋体" w:hAnsi="宋体"/>
          <w:color w:val="auto"/>
          <w:sz w:val="24"/>
          <w:highlight w:val="none"/>
        </w:rPr>
        <w:t xml:space="preserve">    </w:t>
      </w:r>
      <w:r>
        <w:rPr>
          <w:rFonts w:hint="eastAsia" w:ascii="宋体" w:hAnsi="宋体"/>
          <w:color w:val="auto"/>
          <w:sz w:val="24"/>
          <w:highlight w:val="none"/>
        </w:rPr>
        <w:t xml:space="preserve">   乙方：</w:t>
      </w:r>
      <w:r>
        <w:rPr>
          <w:rFonts w:ascii="宋体" w:hAnsi="宋体"/>
          <w:color w:val="auto"/>
          <w:sz w:val="24"/>
          <w:highlight w:val="none"/>
        </w:rPr>
        <w:t xml:space="preserve">   </w:t>
      </w:r>
      <w:r>
        <w:rPr>
          <w:rFonts w:hint="eastAsia" w:ascii="宋体" w:hAnsi="宋体"/>
          <w:color w:val="auto"/>
          <w:sz w:val="24"/>
          <w:highlight w:val="none"/>
        </w:rPr>
        <w:t>（盖章）</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法定代表人（授权代表）：</w:t>
      </w:r>
      <w:r>
        <w:rPr>
          <w:rFonts w:ascii="宋体" w:hAnsi="宋体"/>
          <w:color w:val="auto"/>
          <w:sz w:val="24"/>
          <w:highlight w:val="none"/>
        </w:rPr>
        <w:t xml:space="preserve">            </w:t>
      </w:r>
      <w:r>
        <w:rPr>
          <w:rFonts w:hint="eastAsia" w:ascii="宋体" w:hAnsi="宋体"/>
          <w:color w:val="auto"/>
          <w:sz w:val="24"/>
          <w:highlight w:val="none"/>
        </w:rPr>
        <w:t>法定代表人（授权代表）：</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地</w:t>
      </w:r>
      <w:r>
        <w:rPr>
          <w:rFonts w:ascii="宋体" w:hAnsi="宋体"/>
          <w:color w:val="auto"/>
          <w:sz w:val="24"/>
          <w:highlight w:val="none"/>
        </w:rPr>
        <w:t xml:space="preserve">    </w:t>
      </w:r>
      <w:r>
        <w:rPr>
          <w:rFonts w:hint="eastAsia" w:ascii="宋体" w:hAnsi="宋体"/>
          <w:color w:val="auto"/>
          <w:sz w:val="24"/>
          <w:highlight w:val="none"/>
        </w:rPr>
        <w:t>址：</w:t>
      </w:r>
      <w:r>
        <w:rPr>
          <w:rFonts w:ascii="宋体" w:hAnsi="宋体"/>
          <w:color w:val="auto"/>
          <w:sz w:val="24"/>
          <w:highlight w:val="none"/>
        </w:rPr>
        <w:t xml:space="preserve">                         </w:t>
      </w:r>
      <w:r>
        <w:rPr>
          <w:rFonts w:hint="eastAsia" w:ascii="宋体" w:hAnsi="宋体"/>
          <w:color w:val="auto"/>
          <w:sz w:val="24"/>
          <w:highlight w:val="none"/>
        </w:rPr>
        <w:t>地</w:t>
      </w:r>
      <w:r>
        <w:rPr>
          <w:rFonts w:ascii="宋体" w:hAnsi="宋体"/>
          <w:color w:val="auto"/>
          <w:sz w:val="24"/>
          <w:highlight w:val="none"/>
        </w:rPr>
        <w:t xml:space="preserve">    </w:t>
      </w:r>
      <w:r>
        <w:rPr>
          <w:rFonts w:hint="eastAsia" w:ascii="宋体" w:hAnsi="宋体"/>
          <w:color w:val="auto"/>
          <w:sz w:val="24"/>
          <w:highlight w:val="none"/>
        </w:rPr>
        <w:t>址：</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开户银行：</w:t>
      </w:r>
      <w:r>
        <w:rPr>
          <w:rFonts w:ascii="宋体" w:hAnsi="宋体"/>
          <w:color w:val="auto"/>
          <w:sz w:val="24"/>
          <w:highlight w:val="none"/>
        </w:rPr>
        <w:t xml:space="preserve">                         </w:t>
      </w:r>
      <w:r>
        <w:rPr>
          <w:rFonts w:hint="eastAsia" w:ascii="宋体" w:hAnsi="宋体"/>
          <w:color w:val="auto"/>
          <w:sz w:val="24"/>
          <w:highlight w:val="none"/>
        </w:rPr>
        <w:t>开户银行：</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账号：</w:t>
      </w:r>
      <w:r>
        <w:rPr>
          <w:rFonts w:ascii="宋体" w:hAnsi="宋体"/>
          <w:color w:val="auto"/>
          <w:sz w:val="24"/>
          <w:highlight w:val="none"/>
        </w:rPr>
        <w:t xml:space="preserve">                             </w:t>
      </w:r>
      <w:r>
        <w:rPr>
          <w:rFonts w:hint="eastAsia" w:ascii="宋体" w:hAnsi="宋体"/>
          <w:color w:val="auto"/>
          <w:sz w:val="24"/>
          <w:highlight w:val="none"/>
        </w:rPr>
        <w:t>账号：</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电</w:t>
      </w:r>
      <w:r>
        <w:rPr>
          <w:rFonts w:ascii="宋体" w:hAnsi="宋体"/>
          <w:color w:val="auto"/>
          <w:sz w:val="24"/>
          <w:highlight w:val="none"/>
        </w:rPr>
        <w:t xml:space="preserve">    </w:t>
      </w:r>
      <w:r>
        <w:rPr>
          <w:rFonts w:hint="eastAsia" w:ascii="宋体" w:hAnsi="宋体"/>
          <w:color w:val="auto"/>
          <w:sz w:val="24"/>
          <w:highlight w:val="none"/>
        </w:rPr>
        <w:t>话：</w:t>
      </w:r>
      <w:r>
        <w:rPr>
          <w:rFonts w:ascii="宋体" w:hAnsi="宋体"/>
          <w:color w:val="auto"/>
          <w:sz w:val="24"/>
          <w:highlight w:val="none"/>
        </w:rPr>
        <w:t xml:space="preserve">                         </w:t>
      </w:r>
      <w:r>
        <w:rPr>
          <w:rFonts w:hint="eastAsia" w:ascii="宋体" w:hAnsi="宋体"/>
          <w:color w:val="auto"/>
          <w:sz w:val="24"/>
          <w:highlight w:val="none"/>
        </w:rPr>
        <w:t>电</w:t>
      </w:r>
      <w:r>
        <w:rPr>
          <w:rFonts w:ascii="宋体" w:hAnsi="宋体"/>
          <w:color w:val="auto"/>
          <w:sz w:val="24"/>
          <w:highlight w:val="none"/>
        </w:rPr>
        <w:t xml:space="preserve">    </w:t>
      </w:r>
      <w:r>
        <w:rPr>
          <w:rFonts w:hint="eastAsia" w:ascii="宋体" w:hAnsi="宋体"/>
          <w:color w:val="auto"/>
          <w:sz w:val="24"/>
          <w:highlight w:val="none"/>
        </w:rPr>
        <w:t>话：</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传</w:t>
      </w:r>
      <w:r>
        <w:rPr>
          <w:rFonts w:ascii="宋体" w:hAnsi="宋体"/>
          <w:color w:val="auto"/>
          <w:sz w:val="24"/>
          <w:highlight w:val="none"/>
        </w:rPr>
        <w:t xml:space="preserve">    </w:t>
      </w:r>
      <w:r>
        <w:rPr>
          <w:rFonts w:hint="eastAsia" w:ascii="宋体" w:hAnsi="宋体"/>
          <w:color w:val="auto"/>
          <w:sz w:val="24"/>
          <w:highlight w:val="none"/>
        </w:rPr>
        <w:t>真：</w:t>
      </w:r>
      <w:r>
        <w:rPr>
          <w:rFonts w:ascii="宋体" w:hAnsi="宋体"/>
          <w:color w:val="auto"/>
          <w:sz w:val="24"/>
          <w:highlight w:val="none"/>
        </w:rPr>
        <w:t xml:space="preserve">                         </w:t>
      </w:r>
      <w:r>
        <w:rPr>
          <w:rFonts w:hint="eastAsia" w:ascii="宋体" w:hAnsi="宋体"/>
          <w:color w:val="auto"/>
          <w:sz w:val="24"/>
          <w:highlight w:val="none"/>
        </w:rPr>
        <w:t>传</w:t>
      </w:r>
      <w:r>
        <w:rPr>
          <w:rFonts w:ascii="宋体" w:hAnsi="宋体"/>
          <w:color w:val="auto"/>
          <w:sz w:val="24"/>
          <w:highlight w:val="none"/>
        </w:rPr>
        <w:t xml:space="preserve">    </w:t>
      </w:r>
      <w:r>
        <w:rPr>
          <w:rFonts w:hint="eastAsia" w:ascii="宋体" w:hAnsi="宋体"/>
          <w:color w:val="auto"/>
          <w:sz w:val="24"/>
          <w:highlight w:val="none"/>
        </w:rPr>
        <w:t>真：</w:t>
      </w:r>
    </w:p>
    <w:p>
      <w:pPr>
        <w:spacing w:line="400" w:lineRule="exact"/>
        <w:ind w:firstLine="480" w:firstLineChars="200"/>
        <w:rPr>
          <w:rFonts w:ascii="宋体" w:hAnsi="宋体"/>
          <w:color w:val="auto"/>
          <w:szCs w:val="21"/>
          <w:highlight w:val="none"/>
        </w:rPr>
      </w:pPr>
      <w:r>
        <w:rPr>
          <w:rFonts w:hint="eastAsia" w:ascii="宋体" w:hAnsi="宋体"/>
          <w:color w:val="auto"/>
          <w:sz w:val="24"/>
          <w:highlight w:val="none"/>
        </w:rPr>
        <w:t>签约日期：</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r>
        <w:rPr>
          <w:rFonts w:ascii="宋体" w:hAnsi="宋体"/>
          <w:color w:val="auto"/>
          <w:sz w:val="24"/>
          <w:highlight w:val="none"/>
        </w:rPr>
        <w:t xml:space="preserve"> </w:t>
      </w:r>
      <w:r>
        <w:rPr>
          <w:rFonts w:ascii="宋体" w:hAnsi="宋体"/>
          <w:color w:val="auto"/>
          <w:sz w:val="24"/>
          <w:highlight w:val="none"/>
        </w:rPr>
        <w:tab/>
      </w:r>
      <w:r>
        <w:rPr>
          <w:rFonts w:ascii="宋体" w:hAnsi="宋体"/>
          <w:color w:val="auto"/>
          <w:sz w:val="24"/>
          <w:highlight w:val="none"/>
        </w:rPr>
        <w:tab/>
      </w:r>
      <w:r>
        <w:rPr>
          <w:rFonts w:hint="eastAsia" w:ascii="宋体" w:hAnsi="宋体"/>
          <w:color w:val="auto"/>
          <w:sz w:val="24"/>
          <w:highlight w:val="none"/>
        </w:rPr>
        <w:t>签约日期：</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sectPr>
      <w:headerReference r:id="rId14" w:type="default"/>
      <w:pgSz w:w="11906" w:h="16838"/>
      <w:pgMar w:top="1440" w:right="1134" w:bottom="1440" w:left="1134"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Eʩ">
    <w:altName w:val="宋体"/>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1"/>
      </w:rPr>
    </w:pPr>
    <w:r>
      <w:fldChar w:fldCharType="begin"/>
    </w:r>
    <w:r>
      <w:rPr>
        <w:rStyle w:val="41"/>
      </w:rPr>
      <w:instrText xml:space="preserve">PAGE  </w:instrText>
    </w:r>
    <w:r>
      <w:fldChar w:fldCharType="separate"/>
    </w:r>
    <w:r>
      <w:rPr>
        <w:rStyle w:val="41"/>
      </w:rPr>
      <w:t xml:space="preserve"> </w:t>
    </w:r>
    <w:r>
      <w:fldChar w:fldCharType="end"/>
    </w:r>
  </w:p>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fldChar w:fldCharType="begin"/>
    </w:r>
    <w:r>
      <w:instrText xml:space="preserve">PAGE   \* MERGEFORMAT</w:instrText>
    </w:r>
    <w:r>
      <w:fldChar w:fldCharType="separate"/>
    </w:r>
    <w:r>
      <w:rPr>
        <w:lang w:val="zh-CN"/>
      </w:rPr>
      <w:t>2</w:t>
    </w:r>
    <w:r>
      <w:fldChar w:fldCharType="end"/>
    </w:r>
  </w:p>
  <w:p>
    <w:pPr>
      <w:pStyle w:val="2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p>
  <w:p>
    <w:pPr>
      <w:pStyle w:val="2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rPr>
                              <w:rFonts w:hint="eastAsia"/>
                            </w:rPr>
                            <w:fldChar w:fldCharType="begin"/>
                          </w:r>
                          <w:r>
                            <w:rPr>
                              <w:rFonts w:hint="eastAsia"/>
                            </w:rPr>
                            <w:instrText xml:space="preserve"> PAGE  \* MERGEFORMAT </w:instrText>
                          </w:r>
                          <w:r>
                            <w:rPr>
                              <w:rFonts w:hint="eastAsia"/>
                            </w:rPr>
                            <w:fldChar w:fldCharType="separate"/>
                          </w:r>
                          <w:r>
                            <w:t>41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26"/>
                    </w:pPr>
                    <w:r>
                      <w:rPr>
                        <w:rFonts w:hint="eastAsia"/>
                      </w:rPr>
                      <w:fldChar w:fldCharType="begin"/>
                    </w:r>
                    <w:r>
                      <w:rPr>
                        <w:rFonts w:hint="eastAsia"/>
                      </w:rPr>
                      <w:instrText xml:space="preserve"> PAGE  \* MERGEFORMAT </w:instrText>
                    </w:r>
                    <w:r>
                      <w:rPr>
                        <w:rFonts w:hint="eastAsia"/>
                      </w:rPr>
                      <w:fldChar w:fldCharType="separate"/>
                    </w:r>
                    <w:r>
                      <w:t>41</w:t>
                    </w:r>
                    <w:r>
                      <w:rPr>
                        <w:rFonts w:hint="eastAsia"/>
                      </w:rPr>
                      <w:fldChar w:fldCharType="end"/>
                    </w:r>
                  </w:p>
                </w:txbxContent>
              </v:textbox>
            </v:shape>
          </w:pict>
        </mc:Fallback>
      </mc:AlternateContent>
    </w:r>
    <w:r>
      <w:rPr>
        <w:rFonts w:hint="eastAsia"/>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rPr>
                              <w:rFonts w:hint="eastAsia"/>
                            </w:rPr>
                            <w:fldChar w:fldCharType="begin"/>
                          </w:r>
                          <w:r>
                            <w:rPr>
                              <w:rFonts w:hint="eastAsia"/>
                            </w:rPr>
                            <w:instrText xml:space="preserve"> PAGE  \* MERGEFORMAT </w:instrText>
                          </w:r>
                          <w:r>
                            <w:rPr>
                              <w:rFonts w:hint="eastAsia"/>
                            </w:rPr>
                            <w:fldChar w:fldCharType="separate"/>
                          </w:r>
                          <w:r>
                            <w:t>60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26"/>
                    </w:pPr>
                    <w:r>
                      <w:rPr>
                        <w:rFonts w:hint="eastAsia"/>
                      </w:rPr>
                      <w:fldChar w:fldCharType="begin"/>
                    </w:r>
                    <w:r>
                      <w:rPr>
                        <w:rFonts w:hint="eastAsia"/>
                      </w:rPr>
                      <w:instrText xml:space="preserve"> PAGE  \* MERGEFORMAT </w:instrText>
                    </w:r>
                    <w:r>
                      <w:rPr>
                        <w:rFonts w:hint="eastAsia"/>
                      </w:rPr>
                      <w:fldChar w:fldCharType="separate"/>
                    </w:r>
                    <w:r>
                      <w:t>60</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1"/>
      </w:pBdr>
      <w:jc w:val="both"/>
    </w:pPr>
    <w:r>
      <w:drawing>
        <wp:anchor distT="0" distB="0" distL="114300" distR="114300" simplePos="0" relativeHeight="251663360" behindDoc="0" locked="0" layoutInCell="1" allowOverlap="1">
          <wp:simplePos x="0" y="0"/>
          <wp:positionH relativeFrom="column">
            <wp:posOffset>-3175</wp:posOffset>
          </wp:positionH>
          <wp:positionV relativeFrom="paragraph">
            <wp:posOffset>77470</wp:posOffset>
          </wp:positionV>
          <wp:extent cx="2726055" cy="288290"/>
          <wp:effectExtent l="0" t="0" r="17145" b="16510"/>
          <wp:wrapNone/>
          <wp:docPr id="2" name="图片 2" descr="未命名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命名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726055" cy="288290"/>
                  </a:xfrm>
                  <a:prstGeom prst="rect">
                    <a:avLst/>
                  </a:prstGeom>
                  <a:noFill/>
                  <a:ln>
                    <a:noFill/>
                  </a:ln>
                  <a:effectLst/>
                </pic:spPr>
              </pic:pic>
            </a:graphicData>
          </a:graphic>
        </wp:anchor>
      </w:drawing>
    </w:r>
  </w:p>
  <w:p>
    <w:pPr>
      <w:pStyle w:val="27"/>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rFonts w:hint="eastAsia"/>
      </w:rPr>
      <w:t>四川省工商行政管理局数据中心建设项目政府采购—招标文件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pPr>
    <w:r>
      <w:drawing>
        <wp:anchor distT="0" distB="0" distL="114300" distR="114300" simplePos="0" relativeHeight="251659264" behindDoc="0" locked="0" layoutInCell="1" allowOverlap="1">
          <wp:simplePos x="0" y="0"/>
          <wp:positionH relativeFrom="margin">
            <wp:posOffset>-20320</wp:posOffset>
          </wp:positionH>
          <wp:positionV relativeFrom="paragraph">
            <wp:posOffset>3175</wp:posOffset>
          </wp:positionV>
          <wp:extent cx="2726055" cy="288290"/>
          <wp:effectExtent l="0" t="0" r="0" b="0"/>
          <wp:wrapNone/>
          <wp:docPr id="9" name="图片 2" descr="未命名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未命名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726269" cy="288000"/>
                  </a:xfrm>
                  <a:prstGeom prst="rect">
                    <a:avLst/>
                  </a:prstGeom>
                  <a:noFill/>
                  <a:ln>
                    <a:noFill/>
                  </a:ln>
                  <a:effectLst/>
                </pic:spPr>
              </pic:pic>
            </a:graphicData>
          </a:graphic>
        </wp:anchor>
      </w:drawing>
    </w:r>
  </w:p>
  <w:p>
    <w:pPr>
      <w:pStyle w:val="27"/>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drawing>
        <wp:anchor distT="0" distB="0" distL="114300" distR="114300" simplePos="0" relativeHeight="251662336" behindDoc="0" locked="0" layoutInCell="1" allowOverlap="1">
          <wp:simplePos x="0" y="0"/>
          <wp:positionH relativeFrom="column">
            <wp:posOffset>74930</wp:posOffset>
          </wp:positionH>
          <wp:positionV relativeFrom="paragraph">
            <wp:posOffset>-136525</wp:posOffset>
          </wp:positionV>
          <wp:extent cx="2726055" cy="288290"/>
          <wp:effectExtent l="0" t="0" r="0" b="0"/>
          <wp:wrapNone/>
          <wp:docPr id="1" name="图片 2" descr="未命名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未命名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726270" cy="288000"/>
                  </a:xfrm>
                  <a:prstGeom prst="rect">
                    <a:avLst/>
                  </a:prstGeom>
                  <a:noFill/>
                  <a:ln>
                    <a:noFill/>
                  </a:ln>
                  <a:effectLst/>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1"/>
      </w:pBdr>
      <w:jc w:val="both"/>
    </w:pPr>
  </w:p>
  <w:p>
    <w:pPr>
      <w:pStyle w:val="27"/>
      <w:pBdr>
        <w:bottom w:val="none" w:color="auto" w:sz="0" w:space="1"/>
      </w:pBdr>
      <w:jc w:val="both"/>
    </w:pPr>
  </w:p>
  <w:p>
    <w:pPr>
      <w:pStyle w:val="27"/>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60D4B6"/>
    <w:multiLevelType w:val="singleLevel"/>
    <w:tmpl w:val="8760D4B6"/>
    <w:lvl w:ilvl="0" w:tentative="0">
      <w:start w:val="1"/>
      <w:numFmt w:val="decimal"/>
      <w:lvlText w:val="%1."/>
      <w:lvlJc w:val="left"/>
      <w:pPr>
        <w:tabs>
          <w:tab w:val="left" w:pos="312"/>
        </w:tabs>
      </w:pPr>
    </w:lvl>
  </w:abstractNum>
  <w:abstractNum w:abstractNumId="1">
    <w:nsid w:val="884578A8"/>
    <w:multiLevelType w:val="singleLevel"/>
    <w:tmpl w:val="884578A8"/>
    <w:lvl w:ilvl="0" w:tentative="0">
      <w:start w:val="6"/>
      <w:numFmt w:val="decimal"/>
      <w:lvlText w:val="%1."/>
      <w:lvlJc w:val="left"/>
      <w:pPr>
        <w:tabs>
          <w:tab w:val="left" w:pos="312"/>
        </w:tabs>
      </w:pPr>
    </w:lvl>
  </w:abstractNum>
  <w:abstractNum w:abstractNumId="2">
    <w:nsid w:val="9A5F4280"/>
    <w:multiLevelType w:val="singleLevel"/>
    <w:tmpl w:val="9A5F4280"/>
    <w:lvl w:ilvl="0" w:tentative="0">
      <w:start w:val="1"/>
      <w:numFmt w:val="decimal"/>
      <w:suff w:val="space"/>
      <w:lvlText w:val="%1、"/>
      <w:lvlJc w:val="left"/>
    </w:lvl>
  </w:abstractNum>
  <w:abstractNum w:abstractNumId="3">
    <w:nsid w:val="B43EDEDA"/>
    <w:multiLevelType w:val="singleLevel"/>
    <w:tmpl w:val="B43EDEDA"/>
    <w:lvl w:ilvl="0" w:tentative="0">
      <w:start w:val="1"/>
      <w:numFmt w:val="chineseCounting"/>
      <w:suff w:val="nothing"/>
      <w:lvlText w:val="%1、"/>
      <w:lvlJc w:val="left"/>
      <w:rPr>
        <w:rFonts w:hint="eastAsia"/>
      </w:rPr>
    </w:lvl>
  </w:abstractNum>
  <w:abstractNum w:abstractNumId="4">
    <w:nsid w:val="DE054C94"/>
    <w:multiLevelType w:val="singleLevel"/>
    <w:tmpl w:val="DE054C94"/>
    <w:lvl w:ilvl="0" w:tentative="0">
      <w:start w:val="2"/>
      <w:numFmt w:val="chineseCounting"/>
      <w:suff w:val="nothing"/>
      <w:lvlText w:val="%1、"/>
      <w:lvlJc w:val="left"/>
      <w:rPr>
        <w:rFonts w:hint="eastAsia"/>
      </w:rPr>
    </w:lvl>
  </w:abstractNum>
  <w:abstractNum w:abstractNumId="5">
    <w:nsid w:val="E5913FDD"/>
    <w:multiLevelType w:val="singleLevel"/>
    <w:tmpl w:val="E5913FDD"/>
    <w:lvl w:ilvl="0" w:tentative="0">
      <w:start w:val="1"/>
      <w:numFmt w:val="decimal"/>
      <w:lvlText w:val="%1."/>
      <w:lvlJc w:val="left"/>
      <w:pPr>
        <w:tabs>
          <w:tab w:val="left" w:pos="312"/>
        </w:tabs>
      </w:pPr>
    </w:lvl>
  </w:abstractNum>
  <w:abstractNum w:abstractNumId="6">
    <w:nsid w:val="00000001"/>
    <w:multiLevelType w:val="multilevel"/>
    <w:tmpl w:val="00000001"/>
    <w:lvl w:ilvl="0" w:tentative="0">
      <w:start w:val="1"/>
      <w:numFmt w:val="decimal"/>
      <w:suff w:val="nothing"/>
      <w:lvlText w:val="%1."/>
      <w:lvlJc w:val="left"/>
      <w:pPr>
        <w:ind w:left="840" w:hanging="840"/>
      </w:pPr>
      <w:rPr>
        <w:rFonts w:hint="default"/>
      </w:rPr>
    </w:lvl>
    <w:lvl w:ilvl="1" w:tentative="0">
      <w:start w:val="1"/>
      <w:numFmt w:val="decimal"/>
      <w:lvlText w:val="%2、"/>
      <w:lvlJc w:val="left"/>
      <w:pPr>
        <w:tabs>
          <w:tab w:val="left" w:pos="1200"/>
        </w:tabs>
        <w:ind w:left="1200" w:hanging="36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2BF8BA00"/>
    <w:multiLevelType w:val="singleLevel"/>
    <w:tmpl w:val="2BF8BA00"/>
    <w:lvl w:ilvl="0" w:tentative="0">
      <w:start w:val="1"/>
      <w:numFmt w:val="decimal"/>
      <w:suff w:val="nothing"/>
      <w:lvlText w:val="（%1）"/>
      <w:lvlJc w:val="left"/>
    </w:lvl>
  </w:abstractNum>
  <w:abstractNum w:abstractNumId="8">
    <w:nsid w:val="59C07086"/>
    <w:multiLevelType w:val="singleLevel"/>
    <w:tmpl w:val="59C07086"/>
    <w:lvl w:ilvl="0" w:tentative="0">
      <w:start w:val="1"/>
      <w:numFmt w:val="decimal"/>
      <w:suff w:val="nothing"/>
      <w:lvlText w:val="%1、"/>
      <w:lvlJc w:val="left"/>
    </w:lvl>
  </w:abstractNum>
  <w:num w:numId="1">
    <w:abstractNumId w:val="0"/>
  </w:num>
  <w:num w:numId="2">
    <w:abstractNumId w:val="1"/>
  </w:num>
  <w:num w:numId="3">
    <w:abstractNumId w:val="4"/>
  </w:num>
  <w:num w:numId="4">
    <w:abstractNumId w:val="5"/>
  </w:num>
  <w:num w:numId="5">
    <w:abstractNumId w:val="7"/>
  </w:num>
  <w:num w:numId="6">
    <w:abstractNumId w:val="3"/>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CC7"/>
    <w:rsid w:val="00007ABB"/>
    <w:rsid w:val="00010C32"/>
    <w:rsid w:val="00010F41"/>
    <w:rsid w:val="000145ED"/>
    <w:rsid w:val="00022E65"/>
    <w:rsid w:val="00022F9F"/>
    <w:rsid w:val="000235D9"/>
    <w:rsid w:val="00023E85"/>
    <w:rsid w:val="0003038F"/>
    <w:rsid w:val="00036EEF"/>
    <w:rsid w:val="000558A5"/>
    <w:rsid w:val="00057868"/>
    <w:rsid w:val="000625C3"/>
    <w:rsid w:val="00071EA3"/>
    <w:rsid w:val="00071EB9"/>
    <w:rsid w:val="00073D90"/>
    <w:rsid w:val="000760D5"/>
    <w:rsid w:val="000762DA"/>
    <w:rsid w:val="000764BE"/>
    <w:rsid w:val="00080C12"/>
    <w:rsid w:val="00085894"/>
    <w:rsid w:val="00090533"/>
    <w:rsid w:val="0009110A"/>
    <w:rsid w:val="0009409E"/>
    <w:rsid w:val="00097766"/>
    <w:rsid w:val="000A1CE4"/>
    <w:rsid w:val="000A246A"/>
    <w:rsid w:val="000A2AE8"/>
    <w:rsid w:val="000A4F09"/>
    <w:rsid w:val="000A4F29"/>
    <w:rsid w:val="000A70F2"/>
    <w:rsid w:val="000B37D8"/>
    <w:rsid w:val="000B4562"/>
    <w:rsid w:val="000B511F"/>
    <w:rsid w:val="000C297C"/>
    <w:rsid w:val="000C680E"/>
    <w:rsid w:val="000C6F04"/>
    <w:rsid w:val="000C6FE5"/>
    <w:rsid w:val="000D1497"/>
    <w:rsid w:val="000D22E0"/>
    <w:rsid w:val="000D3392"/>
    <w:rsid w:val="000D3F86"/>
    <w:rsid w:val="000D717B"/>
    <w:rsid w:val="000E1E47"/>
    <w:rsid w:val="000E7A71"/>
    <w:rsid w:val="000F084F"/>
    <w:rsid w:val="000F60E1"/>
    <w:rsid w:val="000F7AB1"/>
    <w:rsid w:val="00103355"/>
    <w:rsid w:val="0010430B"/>
    <w:rsid w:val="001068FD"/>
    <w:rsid w:val="00112A3E"/>
    <w:rsid w:val="00114138"/>
    <w:rsid w:val="00120FCD"/>
    <w:rsid w:val="0012155C"/>
    <w:rsid w:val="00123F35"/>
    <w:rsid w:val="00124924"/>
    <w:rsid w:val="001261FC"/>
    <w:rsid w:val="001300AD"/>
    <w:rsid w:val="00132312"/>
    <w:rsid w:val="001324D0"/>
    <w:rsid w:val="001331E5"/>
    <w:rsid w:val="00136345"/>
    <w:rsid w:val="00140786"/>
    <w:rsid w:val="00150776"/>
    <w:rsid w:val="001624E2"/>
    <w:rsid w:val="00162F0D"/>
    <w:rsid w:val="00164861"/>
    <w:rsid w:val="00167218"/>
    <w:rsid w:val="00170661"/>
    <w:rsid w:val="00172A27"/>
    <w:rsid w:val="00176E9A"/>
    <w:rsid w:val="001774BE"/>
    <w:rsid w:val="001808A0"/>
    <w:rsid w:val="00181A38"/>
    <w:rsid w:val="00185382"/>
    <w:rsid w:val="0018580B"/>
    <w:rsid w:val="00186892"/>
    <w:rsid w:val="0019389F"/>
    <w:rsid w:val="001A34F3"/>
    <w:rsid w:val="001A6131"/>
    <w:rsid w:val="001B0555"/>
    <w:rsid w:val="001B1735"/>
    <w:rsid w:val="001C03A0"/>
    <w:rsid w:val="001C186E"/>
    <w:rsid w:val="001C4B70"/>
    <w:rsid w:val="001C6ECA"/>
    <w:rsid w:val="001D1F59"/>
    <w:rsid w:val="001D777B"/>
    <w:rsid w:val="001E2945"/>
    <w:rsid w:val="001E72C6"/>
    <w:rsid w:val="001E7DDD"/>
    <w:rsid w:val="001F108C"/>
    <w:rsid w:val="001F150C"/>
    <w:rsid w:val="001F425D"/>
    <w:rsid w:val="001F5E62"/>
    <w:rsid w:val="00200661"/>
    <w:rsid w:val="00210A75"/>
    <w:rsid w:val="002120E1"/>
    <w:rsid w:val="002129B6"/>
    <w:rsid w:val="00214848"/>
    <w:rsid w:val="00221861"/>
    <w:rsid w:val="00236D8E"/>
    <w:rsid w:val="00236DF7"/>
    <w:rsid w:val="0024028B"/>
    <w:rsid w:val="00242CA9"/>
    <w:rsid w:val="002519C7"/>
    <w:rsid w:val="002636ED"/>
    <w:rsid w:val="00266EE9"/>
    <w:rsid w:val="002703ED"/>
    <w:rsid w:val="00275F06"/>
    <w:rsid w:val="00286FBA"/>
    <w:rsid w:val="00290C5C"/>
    <w:rsid w:val="00292726"/>
    <w:rsid w:val="00293D65"/>
    <w:rsid w:val="00295033"/>
    <w:rsid w:val="002A1E4E"/>
    <w:rsid w:val="002A4343"/>
    <w:rsid w:val="002A6316"/>
    <w:rsid w:val="002B2553"/>
    <w:rsid w:val="002B2897"/>
    <w:rsid w:val="002B3F90"/>
    <w:rsid w:val="002B734E"/>
    <w:rsid w:val="002C2D29"/>
    <w:rsid w:val="002D0544"/>
    <w:rsid w:val="002D2BF7"/>
    <w:rsid w:val="002D36E2"/>
    <w:rsid w:val="002E0062"/>
    <w:rsid w:val="002E10C5"/>
    <w:rsid w:val="002E12DD"/>
    <w:rsid w:val="002E1C90"/>
    <w:rsid w:val="002E6155"/>
    <w:rsid w:val="002F2BCF"/>
    <w:rsid w:val="002F2EF2"/>
    <w:rsid w:val="002F4F34"/>
    <w:rsid w:val="002F5CF1"/>
    <w:rsid w:val="002F7942"/>
    <w:rsid w:val="00312FF9"/>
    <w:rsid w:val="00314A71"/>
    <w:rsid w:val="00320045"/>
    <w:rsid w:val="003234FC"/>
    <w:rsid w:val="0033202F"/>
    <w:rsid w:val="00332E01"/>
    <w:rsid w:val="00337591"/>
    <w:rsid w:val="00340727"/>
    <w:rsid w:val="00340C44"/>
    <w:rsid w:val="00343237"/>
    <w:rsid w:val="00344992"/>
    <w:rsid w:val="0035550A"/>
    <w:rsid w:val="0036303D"/>
    <w:rsid w:val="00363398"/>
    <w:rsid w:val="003651A1"/>
    <w:rsid w:val="0036590B"/>
    <w:rsid w:val="00373575"/>
    <w:rsid w:val="003738E0"/>
    <w:rsid w:val="003818A3"/>
    <w:rsid w:val="003820C8"/>
    <w:rsid w:val="00386493"/>
    <w:rsid w:val="0038784E"/>
    <w:rsid w:val="00390F76"/>
    <w:rsid w:val="003922E7"/>
    <w:rsid w:val="003947D1"/>
    <w:rsid w:val="003A64D0"/>
    <w:rsid w:val="003B0DCF"/>
    <w:rsid w:val="003B6215"/>
    <w:rsid w:val="003C0D86"/>
    <w:rsid w:val="003C43A1"/>
    <w:rsid w:val="003C6554"/>
    <w:rsid w:val="003C6641"/>
    <w:rsid w:val="003C6D0D"/>
    <w:rsid w:val="003D29B2"/>
    <w:rsid w:val="003D2AE1"/>
    <w:rsid w:val="003E1ABC"/>
    <w:rsid w:val="003E1AD8"/>
    <w:rsid w:val="003E635F"/>
    <w:rsid w:val="003F66DA"/>
    <w:rsid w:val="003F6E34"/>
    <w:rsid w:val="00402ECE"/>
    <w:rsid w:val="00421BDA"/>
    <w:rsid w:val="00423A04"/>
    <w:rsid w:val="00423CDA"/>
    <w:rsid w:val="00425834"/>
    <w:rsid w:val="0042787B"/>
    <w:rsid w:val="00433CE3"/>
    <w:rsid w:val="00433E2A"/>
    <w:rsid w:val="0043432B"/>
    <w:rsid w:val="004343A7"/>
    <w:rsid w:val="00441BDA"/>
    <w:rsid w:val="0044394E"/>
    <w:rsid w:val="00445E84"/>
    <w:rsid w:val="00453EC9"/>
    <w:rsid w:val="00457357"/>
    <w:rsid w:val="00460537"/>
    <w:rsid w:val="004631E4"/>
    <w:rsid w:val="004642F2"/>
    <w:rsid w:val="004669DF"/>
    <w:rsid w:val="00471824"/>
    <w:rsid w:val="00472841"/>
    <w:rsid w:val="00481E73"/>
    <w:rsid w:val="00486E43"/>
    <w:rsid w:val="004A0CFC"/>
    <w:rsid w:val="004A50B5"/>
    <w:rsid w:val="004B0037"/>
    <w:rsid w:val="004B1CDA"/>
    <w:rsid w:val="004B6029"/>
    <w:rsid w:val="004C247E"/>
    <w:rsid w:val="004C3276"/>
    <w:rsid w:val="004C42A4"/>
    <w:rsid w:val="004C5F3E"/>
    <w:rsid w:val="004C645B"/>
    <w:rsid w:val="004D0AA0"/>
    <w:rsid w:val="004D1906"/>
    <w:rsid w:val="004E01C2"/>
    <w:rsid w:val="004F1FAC"/>
    <w:rsid w:val="004F28A6"/>
    <w:rsid w:val="004F456A"/>
    <w:rsid w:val="004F60C8"/>
    <w:rsid w:val="00504988"/>
    <w:rsid w:val="00510798"/>
    <w:rsid w:val="005205EF"/>
    <w:rsid w:val="005237F0"/>
    <w:rsid w:val="005248EF"/>
    <w:rsid w:val="00535504"/>
    <w:rsid w:val="00544EAF"/>
    <w:rsid w:val="00547030"/>
    <w:rsid w:val="00550AED"/>
    <w:rsid w:val="00561799"/>
    <w:rsid w:val="005714EB"/>
    <w:rsid w:val="005717CE"/>
    <w:rsid w:val="0057204A"/>
    <w:rsid w:val="00577986"/>
    <w:rsid w:val="005830BA"/>
    <w:rsid w:val="00585300"/>
    <w:rsid w:val="005853E3"/>
    <w:rsid w:val="00585478"/>
    <w:rsid w:val="005923F9"/>
    <w:rsid w:val="0059366C"/>
    <w:rsid w:val="00593882"/>
    <w:rsid w:val="005A0445"/>
    <w:rsid w:val="005A3B30"/>
    <w:rsid w:val="005A3FC6"/>
    <w:rsid w:val="005A56ED"/>
    <w:rsid w:val="005B0CDD"/>
    <w:rsid w:val="005B2B27"/>
    <w:rsid w:val="005C184D"/>
    <w:rsid w:val="005C5F85"/>
    <w:rsid w:val="005D07E6"/>
    <w:rsid w:val="005D5289"/>
    <w:rsid w:val="005E25D0"/>
    <w:rsid w:val="005E53F5"/>
    <w:rsid w:val="005F3845"/>
    <w:rsid w:val="005F6D08"/>
    <w:rsid w:val="006007C4"/>
    <w:rsid w:val="006028A4"/>
    <w:rsid w:val="00612059"/>
    <w:rsid w:val="006128A7"/>
    <w:rsid w:val="00614B58"/>
    <w:rsid w:val="00620341"/>
    <w:rsid w:val="006243C6"/>
    <w:rsid w:val="006263B8"/>
    <w:rsid w:val="0062658D"/>
    <w:rsid w:val="00630280"/>
    <w:rsid w:val="00631EF8"/>
    <w:rsid w:val="0063491D"/>
    <w:rsid w:val="00636F16"/>
    <w:rsid w:val="00643F3D"/>
    <w:rsid w:val="00645529"/>
    <w:rsid w:val="006470C8"/>
    <w:rsid w:val="006523AB"/>
    <w:rsid w:val="0066052F"/>
    <w:rsid w:val="00661E76"/>
    <w:rsid w:val="00662392"/>
    <w:rsid w:val="0066755A"/>
    <w:rsid w:val="006702AD"/>
    <w:rsid w:val="006720E6"/>
    <w:rsid w:val="0067309C"/>
    <w:rsid w:val="006738D3"/>
    <w:rsid w:val="00682D43"/>
    <w:rsid w:val="006853DD"/>
    <w:rsid w:val="00690DF4"/>
    <w:rsid w:val="006A05AB"/>
    <w:rsid w:val="006A3394"/>
    <w:rsid w:val="006A3B09"/>
    <w:rsid w:val="006B6D27"/>
    <w:rsid w:val="006B7071"/>
    <w:rsid w:val="006C01D6"/>
    <w:rsid w:val="006C07CC"/>
    <w:rsid w:val="006C1A43"/>
    <w:rsid w:val="006C20FE"/>
    <w:rsid w:val="006C2E70"/>
    <w:rsid w:val="006C6FA1"/>
    <w:rsid w:val="006C7557"/>
    <w:rsid w:val="006D4FA7"/>
    <w:rsid w:val="006E15FB"/>
    <w:rsid w:val="006F1ACB"/>
    <w:rsid w:val="006F2FC8"/>
    <w:rsid w:val="006F38F5"/>
    <w:rsid w:val="0070013F"/>
    <w:rsid w:val="007014F1"/>
    <w:rsid w:val="00701DD9"/>
    <w:rsid w:val="00703843"/>
    <w:rsid w:val="00707412"/>
    <w:rsid w:val="00715BE2"/>
    <w:rsid w:val="0072361E"/>
    <w:rsid w:val="00723896"/>
    <w:rsid w:val="00723C4D"/>
    <w:rsid w:val="00731BCA"/>
    <w:rsid w:val="0073433C"/>
    <w:rsid w:val="00734518"/>
    <w:rsid w:val="007374C0"/>
    <w:rsid w:val="00741857"/>
    <w:rsid w:val="00750034"/>
    <w:rsid w:val="0075249C"/>
    <w:rsid w:val="00761209"/>
    <w:rsid w:val="00765B55"/>
    <w:rsid w:val="00770D65"/>
    <w:rsid w:val="00772FD3"/>
    <w:rsid w:val="007831F4"/>
    <w:rsid w:val="00790F3B"/>
    <w:rsid w:val="007A093C"/>
    <w:rsid w:val="007A2CAB"/>
    <w:rsid w:val="007A2DB0"/>
    <w:rsid w:val="007A503A"/>
    <w:rsid w:val="007A514C"/>
    <w:rsid w:val="007A683D"/>
    <w:rsid w:val="007A6B90"/>
    <w:rsid w:val="007B37D1"/>
    <w:rsid w:val="007C05FA"/>
    <w:rsid w:val="007C40FE"/>
    <w:rsid w:val="007C7A0C"/>
    <w:rsid w:val="007D1567"/>
    <w:rsid w:val="007D411B"/>
    <w:rsid w:val="007E4F69"/>
    <w:rsid w:val="007E6831"/>
    <w:rsid w:val="00801EF7"/>
    <w:rsid w:val="008038FB"/>
    <w:rsid w:val="008120D6"/>
    <w:rsid w:val="00814FCC"/>
    <w:rsid w:val="00815963"/>
    <w:rsid w:val="008169E0"/>
    <w:rsid w:val="00827C4C"/>
    <w:rsid w:val="00834A2F"/>
    <w:rsid w:val="00835F45"/>
    <w:rsid w:val="008409EF"/>
    <w:rsid w:val="00842237"/>
    <w:rsid w:val="00851C26"/>
    <w:rsid w:val="00860450"/>
    <w:rsid w:val="008609BC"/>
    <w:rsid w:val="00862246"/>
    <w:rsid w:val="00862748"/>
    <w:rsid w:val="00870D97"/>
    <w:rsid w:val="008715A0"/>
    <w:rsid w:val="0087620D"/>
    <w:rsid w:val="0088578D"/>
    <w:rsid w:val="0088728B"/>
    <w:rsid w:val="00893DAE"/>
    <w:rsid w:val="00894053"/>
    <w:rsid w:val="00895121"/>
    <w:rsid w:val="008A4AC1"/>
    <w:rsid w:val="008B396A"/>
    <w:rsid w:val="008B46F2"/>
    <w:rsid w:val="008D19EC"/>
    <w:rsid w:val="008D3A4E"/>
    <w:rsid w:val="008D4F4C"/>
    <w:rsid w:val="008D6B34"/>
    <w:rsid w:val="008E2FF6"/>
    <w:rsid w:val="008E3C7F"/>
    <w:rsid w:val="008F686E"/>
    <w:rsid w:val="009006C9"/>
    <w:rsid w:val="009014CB"/>
    <w:rsid w:val="0090419B"/>
    <w:rsid w:val="00904A04"/>
    <w:rsid w:val="00905761"/>
    <w:rsid w:val="009069BA"/>
    <w:rsid w:val="00906E67"/>
    <w:rsid w:val="0090791B"/>
    <w:rsid w:val="00907E27"/>
    <w:rsid w:val="009145E7"/>
    <w:rsid w:val="009168D9"/>
    <w:rsid w:val="00916F97"/>
    <w:rsid w:val="00924F00"/>
    <w:rsid w:val="00926BD5"/>
    <w:rsid w:val="00943652"/>
    <w:rsid w:val="009439C9"/>
    <w:rsid w:val="00953246"/>
    <w:rsid w:val="00963A8C"/>
    <w:rsid w:val="00972699"/>
    <w:rsid w:val="0097416A"/>
    <w:rsid w:val="00974C36"/>
    <w:rsid w:val="00985909"/>
    <w:rsid w:val="009919A5"/>
    <w:rsid w:val="00992DFA"/>
    <w:rsid w:val="00993667"/>
    <w:rsid w:val="009939D5"/>
    <w:rsid w:val="00993C97"/>
    <w:rsid w:val="00996F31"/>
    <w:rsid w:val="009979FD"/>
    <w:rsid w:val="009A321F"/>
    <w:rsid w:val="009A3284"/>
    <w:rsid w:val="009A62F2"/>
    <w:rsid w:val="009B2D9E"/>
    <w:rsid w:val="009B7A85"/>
    <w:rsid w:val="009C31CC"/>
    <w:rsid w:val="009D1026"/>
    <w:rsid w:val="009D5790"/>
    <w:rsid w:val="009D67ED"/>
    <w:rsid w:val="009E257F"/>
    <w:rsid w:val="009E3E09"/>
    <w:rsid w:val="009E5A18"/>
    <w:rsid w:val="009F4206"/>
    <w:rsid w:val="009F4374"/>
    <w:rsid w:val="009F4F1C"/>
    <w:rsid w:val="00A11C28"/>
    <w:rsid w:val="00A1432F"/>
    <w:rsid w:val="00A144EB"/>
    <w:rsid w:val="00A2514C"/>
    <w:rsid w:val="00A41F44"/>
    <w:rsid w:val="00A44B42"/>
    <w:rsid w:val="00A45770"/>
    <w:rsid w:val="00A51A90"/>
    <w:rsid w:val="00A541BD"/>
    <w:rsid w:val="00A54521"/>
    <w:rsid w:val="00A559E4"/>
    <w:rsid w:val="00A55DB4"/>
    <w:rsid w:val="00A63261"/>
    <w:rsid w:val="00A7160E"/>
    <w:rsid w:val="00A74305"/>
    <w:rsid w:val="00A83AC1"/>
    <w:rsid w:val="00A9028D"/>
    <w:rsid w:val="00A9702A"/>
    <w:rsid w:val="00AA0052"/>
    <w:rsid w:val="00AA01E4"/>
    <w:rsid w:val="00AA036B"/>
    <w:rsid w:val="00AC0B1F"/>
    <w:rsid w:val="00AC36A5"/>
    <w:rsid w:val="00AC4408"/>
    <w:rsid w:val="00AC56BD"/>
    <w:rsid w:val="00AD0272"/>
    <w:rsid w:val="00AD0386"/>
    <w:rsid w:val="00AD2B92"/>
    <w:rsid w:val="00AE1F5C"/>
    <w:rsid w:val="00AE3F8F"/>
    <w:rsid w:val="00AF002B"/>
    <w:rsid w:val="00AF15BA"/>
    <w:rsid w:val="00AF1CF8"/>
    <w:rsid w:val="00AF2603"/>
    <w:rsid w:val="00AF6FFC"/>
    <w:rsid w:val="00B2007F"/>
    <w:rsid w:val="00B21B61"/>
    <w:rsid w:val="00B27E55"/>
    <w:rsid w:val="00B339F2"/>
    <w:rsid w:val="00B35D1A"/>
    <w:rsid w:val="00B35FC4"/>
    <w:rsid w:val="00B36E76"/>
    <w:rsid w:val="00B40A73"/>
    <w:rsid w:val="00B40ACA"/>
    <w:rsid w:val="00B41A55"/>
    <w:rsid w:val="00B5518B"/>
    <w:rsid w:val="00B6160B"/>
    <w:rsid w:val="00B645FA"/>
    <w:rsid w:val="00B6763A"/>
    <w:rsid w:val="00B714C3"/>
    <w:rsid w:val="00B729C7"/>
    <w:rsid w:val="00B8011F"/>
    <w:rsid w:val="00B80536"/>
    <w:rsid w:val="00B80581"/>
    <w:rsid w:val="00B87A9D"/>
    <w:rsid w:val="00B90035"/>
    <w:rsid w:val="00B90B32"/>
    <w:rsid w:val="00B95326"/>
    <w:rsid w:val="00B956EE"/>
    <w:rsid w:val="00B969D5"/>
    <w:rsid w:val="00B97136"/>
    <w:rsid w:val="00BA279A"/>
    <w:rsid w:val="00BB0FF7"/>
    <w:rsid w:val="00BB1D55"/>
    <w:rsid w:val="00BC1700"/>
    <w:rsid w:val="00BD19A0"/>
    <w:rsid w:val="00BD1CE2"/>
    <w:rsid w:val="00BD66F0"/>
    <w:rsid w:val="00BE04A8"/>
    <w:rsid w:val="00BE4957"/>
    <w:rsid w:val="00BF20FF"/>
    <w:rsid w:val="00BF5F29"/>
    <w:rsid w:val="00C0042D"/>
    <w:rsid w:val="00C049EB"/>
    <w:rsid w:val="00C04CB9"/>
    <w:rsid w:val="00C06829"/>
    <w:rsid w:val="00C100C3"/>
    <w:rsid w:val="00C121F3"/>
    <w:rsid w:val="00C20CDD"/>
    <w:rsid w:val="00C25F4C"/>
    <w:rsid w:val="00C26BD3"/>
    <w:rsid w:val="00C3052E"/>
    <w:rsid w:val="00C31AD8"/>
    <w:rsid w:val="00C421B6"/>
    <w:rsid w:val="00C508C1"/>
    <w:rsid w:val="00C54267"/>
    <w:rsid w:val="00C57F54"/>
    <w:rsid w:val="00C6026C"/>
    <w:rsid w:val="00C605E3"/>
    <w:rsid w:val="00C63B15"/>
    <w:rsid w:val="00C64B57"/>
    <w:rsid w:val="00C67FBB"/>
    <w:rsid w:val="00C70D49"/>
    <w:rsid w:val="00C75A71"/>
    <w:rsid w:val="00C83476"/>
    <w:rsid w:val="00C85C70"/>
    <w:rsid w:val="00C90668"/>
    <w:rsid w:val="00C90B88"/>
    <w:rsid w:val="00C941C9"/>
    <w:rsid w:val="00C9775B"/>
    <w:rsid w:val="00CA0A3A"/>
    <w:rsid w:val="00CA25C0"/>
    <w:rsid w:val="00CA7A38"/>
    <w:rsid w:val="00CB3126"/>
    <w:rsid w:val="00CB5635"/>
    <w:rsid w:val="00CC5538"/>
    <w:rsid w:val="00CC71E6"/>
    <w:rsid w:val="00CD07C3"/>
    <w:rsid w:val="00CE4310"/>
    <w:rsid w:val="00CE4557"/>
    <w:rsid w:val="00CE4D93"/>
    <w:rsid w:val="00CE6E46"/>
    <w:rsid w:val="00CF27A1"/>
    <w:rsid w:val="00CF2A59"/>
    <w:rsid w:val="00D012B9"/>
    <w:rsid w:val="00D02615"/>
    <w:rsid w:val="00D05321"/>
    <w:rsid w:val="00D0642E"/>
    <w:rsid w:val="00D06D26"/>
    <w:rsid w:val="00D23187"/>
    <w:rsid w:val="00D2322C"/>
    <w:rsid w:val="00D247A1"/>
    <w:rsid w:val="00D30059"/>
    <w:rsid w:val="00D3466C"/>
    <w:rsid w:val="00D356BF"/>
    <w:rsid w:val="00D37C31"/>
    <w:rsid w:val="00D4171E"/>
    <w:rsid w:val="00D453B3"/>
    <w:rsid w:val="00D4641E"/>
    <w:rsid w:val="00D574E5"/>
    <w:rsid w:val="00D60187"/>
    <w:rsid w:val="00D627CF"/>
    <w:rsid w:val="00D63D55"/>
    <w:rsid w:val="00D67157"/>
    <w:rsid w:val="00D7091B"/>
    <w:rsid w:val="00D71B0E"/>
    <w:rsid w:val="00D7323B"/>
    <w:rsid w:val="00D73B4C"/>
    <w:rsid w:val="00D7441E"/>
    <w:rsid w:val="00D805D4"/>
    <w:rsid w:val="00D858AA"/>
    <w:rsid w:val="00D95B10"/>
    <w:rsid w:val="00DA18CC"/>
    <w:rsid w:val="00DA4A29"/>
    <w:rsid w:val="00DA51BA"/>
    <w:rsid w:val="00DA571D"/>
    <w:rsid w:val="00DB1EFB"/>
    <w:rsid w:val="00DC17C2"/>
    <w:rsid w:val="00DC1A76"/>
    <w:rsid w:val="00DC2A80"/>
    <w:rsid w:val="00DC2F1D"/>
    <w:rsid w:val="00DC50ED"/>
    <w:rsid w:val="00DD2332"/>
    <w:rsid w:val="00DD4C4F"/>
    <w:rsid w:val="00DD6F44"/>
    <w:rsid w:val="00DE1931"/>
    <w:rsid w:val="00DE2522"/>
    <w:rsid w:val="00DE674C"/>
    <w:rsid w:val="00DE7E08"/>
    <w:rsid w:val="00DE7FC5"/>
    <w:rsid w:val="00DF41C2"/>
    <w:rsid w:val="00E005B1"/>
    <w:rsid w:val="00E01326"/>
    <w:rsid w:val="00E049AE"/>
    <w:rsid w:val="00E06C92"/>
    <w:rsid w:val="00E07B32"/>
    <w:rsid w:val="00E148FF"/>
    <w:rsid w:val="00E15594"/>
    <w:rsid w:val="00E30582"/>
    <w:rsid w:val="00E30D2A"/>
    <w:rsid w:val="00E31BB6"/>
    <w:rsid w:val="00E3338C"/>
    <w:rsid w:val="00E41B01"/>
    <w:rsid w:val="00E457B0"/>
    <w:rsid w:val="00E46283"/>
    <w:rsid w:val="00E545C8"/>
    <w:rsid w:val="00E55CA7"/>
    <w:rsid w:val="00E56B0E"/>
    <w:rsid w:val="00E62C64"/>
    <w:rsid w:val="00E64D34"/>
    <w:rsid w:val="00E64F68"/>
    <w:rsid w:val="00E66EBB"/>
    <w:rsid w:val="00E70E3E"/>
    <w:rsid w:val="00E742F8"/>
    <w:rsid w:val="00E83AF9"/>
    <w:rsid w:val="00E83FD3"/>
    <w:rsid w:val="00E8533C"/>
    <w:rsid w:val="00E943CE"/>
    <w:rsid w:val="00EA30CA"/>
    <w:rsid w:val="00EA54BF"/>
    <w:rsid w:val="00EB2EA9"/>
    <w:rsid w:val="00EB6A49"/>
    <w:rsid w:val="00EC29CB"/>
    <w:rsid w:val="00EC430B"/>
    <w:rsid w:val="00ED652A"/>
    <w:rsid w:val="00EE0180"/>
    <w:rsid w:val="00EE38CD"/>
    <w:rsid w:val="00EF1C2B"/>
    <w:rsid w:val="00EF39C5"/>
    <w:rsid w:val="00EF4CBF"/>
    <w:rsid w:val="00F028A6"/>
    <w:rsid w:val="00F13954"/>
    <w:rsid w:val="00F17C21"/>
    <w:rsid w:val="00F23E3D"/>
    <w:rsid w:val="00F267F3"/>
    <w:rsid w:val="00F26FBC"/>
    <w:rsid w:val="00F333DB"/>
    <w:rsid w:val="00F34E0A"/>
    <w:rsid w:val="00F37C2A"/>
    <w:rsid w:val="00F42F63"/>
    <w:rsid w:val="00F502EA"/>
    <w:rsid w:val="00F53A67"/>
    <w:rsid w:val="00F61041"/>
    <w:rsid w:val="00F61964"/>
    <w:rsid w:val="00F62F67"/>
    <w:rsid w:val="00F63562"/>
    <w:rsid w:val="00F6475D"/>
    <w:rsid w:val="00F65043"/>
    <w:rsid w:val="00F67E3B"/>
    <w:rsid w:val="00F71605"/>
    <w:rsid w:val="00F75689"/>
    <w:rsid w:val="00F75B12"/>
    <w:rsid w:val="00F80E7B"/>
    <w:rsid w:val="00F85109"/>
    <w:rsid w:val="00F853FC"/>
    <w:rsid w:val="00F937A2"/>
    <w:rsid w:val="00F94AC2"/>
    <w:rsid w:val="00FA12F0"/>
    <w:rsid w:val="00FB40C7"/>
    <w:rsid w:val="00FC05E2"/>
    <w:rsid w:val="00FC07C9"/>
    <w:rsid w:val="00FC5AC5"/>
    <w:rsid w:val="00FD0AEF"/>
    <w:rsid w:val="00FD5E91"/>
    <w:rsid w:val="00FE1280"/>
    <w:rsid w:val="00FE31E8"/>
    <w:rsid w:val="00FE6375"/>
    <w:rsid w:val="00FF0D21"/>
    <w:rsid w:val="00FF1A99"/>
    <w:rsid w:val="01230271"/>
    <w:rsid w:val="01256538"/>
    <w:rsid w:val="01633313"/>
    <w:rsid w:val="016B3CA6"/>
    <w:rsid w:val="01882412"/>
    <w:rsid w:val="01CD7511"/>
    <w:rsid w:val="01EC5964"/>
    <w:rsid w:val="02430B2B"/>
    <w:rsid w:val="029B2B6A"/>
    <w:rsid w:val="02F0134D"/>
    <w:rsid w:val="0306313E"/>
    <w:rsid w:val="03386882"/>
    <w:rsid w:val="03786FBA"/>
    <w:rsid w:val="03846514"/>
    <w:rsid w:val="03974857"/>
    <w:rsid w:val="03CF276F"/>
    <w:rsid w:val="03DB72A5"/>
    <w:rsid w:val="04127805"/>
    <w:rsid w:val="043E4DBF"/>
    <w:rsid w:val="05052E25"/>
    <w:rsid w:val="05450B69"/>
    <w:rsid w:val="054A4CFA"/>
    <w:rsid w:val="05610639"/>
    <w:rsid w:val="059A77CA"/>
    <w:rsid w:val="05AB3705"/>
    <w:rsid w:val="0662250D"/>
    <w:rsid w:val="068C74DE"/>
    <w:rsid w:val="069756C9"/>
    <w:rsid w:val="06AF72DC"/>
    <w:rsid w:val="06EA41D2"/>
    <w:rsid w:val="06F82B78"/>
    <w:rsid w:val="06FD694A"/>
    <w:rsid w:val="071A250C"/>
    <w:rsid w:val="072E42E3"/>
    <w:rsid w:val="074E14E2"/>
    <w:rsid w:val="075B3B0F"/>
    <w:rsid w:val="0784507A"/>
    <w:rsid w:val="086118B3"/>
    <w:rsid w:val="087636AB"/>
    <w:rsid w:val="088155B4"/>
    <w:rsid w:val="08A15630"/>
    <w:rsid w:val="08D3679E"/>
    <w:rsid w:val="08F44ADB"/>
    <w:rsid w:val="090B121C"/>
    <w:rsid w:val="091115D3"/>
    <w:rsid w:val="0968446C"/>
    <w:rsid w:val="09880AD8"/>
    <w:rsid w:val="09BF4A5B"/>
    <w:rsid w:val="0A9B0A35"/>
    <w:rsid w:val="0AA5328F"/>
    <w:rsid w:val="0AA7666F"/>
    <w:rsid w:val="0AE12F18"/>
    <w:rsid w:val="0AEB1B75"/>
    <w:rsid w:val="0B11630A"/>
    <w:rsid w:val="0B134589"/>
    <w:rsid w:val="0B561DCB"/>
    <w:rsid w:val="0B5C78CC"/>
    <w:rsid w:val="0B7E48FD"/>
    <w:rsid w:val="0BA311EC"/>
    <w:rsid w:val="0BCF6E7C"/>
    <w:rsid w:val="0BF877A0"/>
    <w:rsid w:val="0BFB0153"/>
    <w:rsid w:val="0C317EBC"/>
    <w:rsid w:val="0CB6308D"/>
    <w:rsid w:val="0CF573D3"/>
    <w:rsid w:val="0CF92C66"/>
    <w:rsid w:val="0CFC2EE8"/>
    <w:rsid w:val="0D0450D4"/>
    <w:rsid w:val="0D20616C"/>
    <w:rsid w:val="0D417D41"/>
    <w:rsid w:val="0DB2478D"/>
    <w:rsid w:val="0E044AD0"/>
    <w:rsid w:val="0E1864C3"/>
    <w:rsid w:val="0E24400A"/>
    <w:rsid w:val="0E545AFA"/>
    <w:rsid w:val="0EBC73AB"/>
    <w:rsid w:val="0EEB0270"/>
    <w:rsid w:val="0EF81DD9"/>
    <w:rsid w:val="0F124C5A"/>
    <w:rsid w:val="0F4628FA"/>
    <w:rsid w:val="0F594D76"/>
    <w:rsid w:val="0F6103FE"/>
    <w:rsid w:val="0FA44575"/>
    <w:rsid w:val="0FB34829"/>
    <w:rsid w:val="10224F7E"/>
    <w:rsid w:val="105B51DC"/>
    <w:rsid w:val="10B02E63"/>
    <w:rsid w:val="10C14D02"/>
    <w:rsid w:val="115C78ED"/>
    <w:rsid w:val="1168606F"/>
    <w:rsid w:val="11C22947"/>
    <w:rsid w:val="11C96F3F"/>
    <w:rsid w:val="122F7555"/>
    <w:rsid w:val="12322363"/>
    <w:rsid w:val="1308440F"/>
    <w:rsid w:val="13220575"/>
    <w:rsid w:val="13404493"/>
    <w:rsid w:val="135607B7"/>
    <w:rsid w:val="136F22ED"/>
    <w:rsid w:val="13780EB1"/>
    <w:rsid w:val="13B664F1"/>
    <w:rsid w:val="14537884"/>
    <w:rsid w:val="14593BBF"/>
    <w:rsid w:val="145C086E"/>
    <w:rsid w:val="14AC2D89"/>
    <w:rsid w:val="14BA5EE8"/>
    <w:rsid w:val="14D56C28"/>
    <w:rsid w:val="151C338A"/>
    <w:rsid w:val="151C45F2"/>
    <w:rsid w:val="152D3690"/>
    <w:rsid w:val="15402B17"/>
    <w:rsid w:val="1565002B"/>
    <w:rsid w:val="15855B9E"/>
    <w:rsid w:val="16393A83"/>
    <w:rsid w:val="16490B40"/>
    <w:rsid w:val="164973BC"/>
    <w:rsid w:val="168037AF"/>
    <w:rsid w:val="16846F6E"/>
    <w:rsid w:val="1686757C"/>
    <w:rsid w:val="16A52EB0"/>
    <w:rsid w:val="1716076A"/>
    <w:rsid w:val="173D66F2"/>
    <w:rsid w:val="17430389"/>
    <w:rsid w:val="175C0959"/>
    <w:rsid w:val="177941D0"/>
    <w:rsid w:val="17980F1E"/>
    <w:rsid w:val="17DC532F"/>
    <w:rsid w:val="184C7796"/>
    <w:rsid w:val="18722EDE"/>
    <w:rsid w:val="18800267"/>
    <w:rsid w:val="18913BEE"/>
    <w:rsid w:val="19731B79"/>
    <w:rsid w:val="19762470"/>
    <w:rsid w:val="19A830EA"/>
    <w:rsid w:val="19AC68E4"/>
    <w:rsid w:val="19CA78CB"/>
    <w:rsid w:val="1A024AC4"/>
    <w:rsid w:val="1A176809"/>
    <w:rsid w:val="1A883529"/>
    <w:rsid w:val="1AA57B5F"/>
    <w:rsid w:val="1AE0200C"/>
    <w:rsid w:val="1AF023DE"/>
    <w:rsid w:val="1B112FC2"/>
    <w:rsid w:val="1B260840"/>
    <w:rsid w:val="1B573E09"/>
    <w:rsid w:val="1C057357"/>
    <w:rsid w:val="1C2407D2"/>
    <w:rsid w:val="1C312457"/>
    <w:rsid w:val="1C392717"/>
    <w:rsid w:val="1C771C32"/>
    <w:rsid w:val="1CB523C1"/>
    <w:rsid w:val="1CF37F65"/>
    <w:rsid w:val="1CFC6C09"/>
    <w:rsid w:val="1D314742"/>
    <w:rsid w:val="1DA75F91"/>
    <w:rsid w:val="1DB16F63"/>
    <w:rsid w:val="1DD875A1"/>
    <w:rsid w:val="1DDA45CA"/>
    <w:rsid w:val="1DF439DA"/>
    <w:rsid w:val="1E356432"/>
    <w:rsid w:val="1E5006DD"/>
    <w:rsid w:val="1E626810"/>
    <w:rsid w:val="1E7844D8"/>
    <w:rsid w:val="1E7C1444"/>
    <w:rsid w:val="1E981054"/>
    <w:rsid w:val="1EA40187"/>
    <w:rsid w:val="1EE44777"/>
    <w:rsid w:val="1F3A1F0D"/>
    <w:rsid w:val="1F515A41"/>
    <w:rsid w:val="1F537C43"/>
    <w:rsid w:val="1FA6257F"/>
    <w:rsid w:val="1FEF382C"/>
    <w:rsid w:val="208E7928"/>
    <w:rsid w:val="20A66D92"/>
    <w:rsid w:val="21432F64"/>
    <w:rsid w:val="2146128B"/>
    <w:rsid w:val="21631CA7"/>
    <w:rsid w:val="21D218F6"/>
    <w:rsid w:val="21EB58B3"/>
    <w:rsid w:val="21EE38EF"/>
    <w:rsid w:val="21F6749B"/>
    <w:rsid w:val="2220074F"/>
    <w:rsid w:val="224A72AF"/>
    <w:rsid w:val="22547760"/>
    <w:rsid w:val="225D4841"/>
    <w:rsid w:val="22723839"/>
    <w:rsid w:val="22C56296"/>
    <w:rsid w:val="23895746"/>
    <w:rsid w:val="23962116"/>
    <w:rsid w:val="239A5287"/>
    <w:rsid w:val="23C823BC"/>
    <w:rsid w:val="24057464"/>
    <w:rsid w:val="243355CE"/>
    <w:rsid w:val="24386F5D"/>
    <w:rsid w:val="247501C1"/>
    <w:rsid w:val="249A41D0"/>
    <w:rsid w:val="24A03C9A"/>
    <w:rsid w:val="24A42D4D"/>
    <w:rsid w:val="24CC4700"/>
    <w:rsid w:val="24F46692"/>
    <w:rsid w:val="24F96510"/>
    <w:rsid w:val="251E2FCF"/>
    <w:rsid w:val="25506C61"/>
    <w:rsid w:val="255A6FCD"/>
    <w:rsid w:val="257A3CC0"/>
    <w:rsid w:val="2591695B"/>
    <w:rsid w:val="25DA0D42"/>
    <w:rsid w:val="26D60601"/>
    <w:rsid w:val="26E51EF5"/>
    <w:rsid w:val="26FE01DA"/>
    <w:rsid w:val="270069FD"/>
    <w:rsid w:val="271A0AF7"/>
    <w:rsid w:val="2782130A"/>
    <w:rsid w:val="278318C4"/>
    <w:rsid w:val="27E325F1"/>
    <w:rsid w:val="27FB0E00"/>
    <w:rsid w:val="28012834"/>
    <w:rsid w:val="28017784"/>
    <w:rsid w:val="28174776"/>
    <w:rsid w:val="282A7305"/>
    <w:rsid w:val="287F157E"/>
    <w:rsid w:val="28DD78F7"/>
    <w:rsid w:val="28E13AEA"/>
    <w:rsid w:val="29692CD6"/>
    <w:rsid w:val="29874879"/>
    <w:rsid w:val="29CE59DA"/>
    <w:rsid w:val="2A4C220E"/>
    <w:rsid w:val="2A8867A1"/>
    <w:rsid w:val="2AB33E13"/>
    <w:rsid w:val="2AC46C46"/>
    <w:rsid w:val="2AC71ACE"/>
    <w:rsid w:val="2AE33EE5"/>
    <w:rsid w:val="2AF3254C"/>
    <w:rsid w:val="2B170837"/>
    <w:rsid w:val="2B187CEF"/>
    <w:rsid w:val="2B243D1C"/>
    <w:rsid w:val="2B7A199A"/>
    <w:rsid w:val="2B7E0ABD"/>
    <w:rsid w:val="2BB97180"/>
    <w:rsid w:val="2C1A1F1C"/>
    <w:rsid w:val="2C5258B1"/>
    <w:rsid w:val="2C5300D5"/>
    <w:rsid w:val="2CCE49E8"/>
    <w:rsid w:val="2CF040BC"/>
    <w:rsid w:val="2CFA6159"/>
    <w:rsid w:val="2D2864D4"/>
    <w:rsid w:val="2D526195"/>
    <w:rsid w:val="2D5E4AE2"/>
    <w:rsid w:val="2D6405B3"/>
    <w:rsid w:val="2D982CB3"/>
    <w:rsid w:val="2D9975D8"/>
    <w:rsid w:val="2DAA40C0"/>
    <w:rsid w:val="2DCC3E54"/>
    <w:rsid w:val="2DD32383"/>
    <w:rsid w:val="2DE50909"/>
    <w:rsid w:val="2E8A18A9"/>
    <w:rsid w:val="2EB1759E"/>
    <w:rsid w:val="2EC83964"/>
    <w:rsid w:val="2EE72320"/>
    <w:rsid w:val="2EE8455C"/>
    <w:rsid w:val="2EEF344A"/>
    <w:rsid w:val="2F4A0733"/>
    <w:rsid w:val="2FC414F3"/>
    <w:rsid w:val="2FC54670"/>
    <w:rsid w:val="2FDD3282"/>
    <w:rsid w:val="2FE60929"/>
    <w:rsid w:val="2FF301B4"/>
    <w:rsid w:val="3014257E"/>
    <w:rsid w:val="303130AA"/>
    <w:rsid w:val="30715D36"/>
    <w:rsid w:val="30CA43A1"/>
    <w:rsid w:val="30D70117"/>
    <w:rsid w:val="30E75086"/>
    <w:rsid w:val="310D6C4C"/>
    <w:rsid w:val="31274B61"/>
    <w:rsid w:val="314463EB"/>
    <w:rsid w:val="314B29C9"/>
    <w:rsid w:val="31DB5339"/>
    <w:rsid w:val="321B2FB5"/>
    <w:rsid w:val="322F3B61"/>
    <w:rsid w:val="32395DAD"/>
    <w:rsid w:val="328A7032"/>
    <w:rsid w:val="329E0034"/>
    <w:rsid w:val="32A658AF"/>
    <w:rsid w:val="32A81084"/>
    <w:rsid w:val="32BA7EF0"/>
    <w:rsid w:val="32D70991"/>
    <w:rsid w:val="330655CD"/>
    <w:rsid w:val="336B45D1"/>
    <w:rsid w:val="33765549"/>
    <w:rsid w:val="33DC14FA"/>
    <w:rsid w:val="33E47CF9"/>
    <w:rsid w:val="33EF06B2"/>
    <w:rsid w:val="34476171"/>
    <w:rsid w:val="344A78B9"/>
    <w:rsid w:val="345673DD"/>
    <w:rsid w:val="3494364D"/>
    <w:rsid w:val="34A075CC"/>
    <w:rsid w:val="34C9249A"/>
    <w:rsid w:val="34F34C56"/>
    <w:rsid w:val="34FC67EA"/>
    <w:rsid w:val="350E60F3"/>
    <w:rsid w:val="35154ADA"/>
    <w:rsid w:val="353029FB"/>
    <w:rsid w:val="357A5788"/>
    <w:rsid w:val="35B64728"/>
    <w:rsid w:val="35C6200F"/>
    <w:rsid w:val="35EA1B40"/>
    <w:rsid w:val="36530971"/>
    <w:rsid w:val="36561BAE"/>
    <w:rsid w:val="36610C56"/>
    <w:rsid w:val="366B24CA"/>
    <w:rsid w:val="36DB4B02"/>
    <w:rsid w:val="36EF28AF"/>
    <w:rsid w:val="371B0264"/>
    <w:rsid w:val="371E4610"/>
    <w:rsid w:val="372669A6"/>
    <w:rsid w:val="375B49EE"/>
    <w:rsid w:val="376916D4"/>
    <w:rsid w:val="37730E27"/>
    <w:rsid w:val="379B2738"/>
    <w:rsid w:val="38095396"/>
    <w:rsid w:val="385666E5"/>
    <w:rsid w:val="38A73EEE"/>
    <w:rsid w:val="38DB70E7"/>
    <w:rsid w:val="38E42D35"/>
    <w:rsid w:val="391151AB"/>
    <w:rsid w:val="391E0CC1"/>
    <w:rsid w:val="391F7033"/>
    <w:rsid w:val="39C44D95"/>
    <w:rsid w:val="39E1104B"/>
    <w:rsid w:val="3A0D1696"/>
    <w:rsid w:val="3A3F1F58"/>
    <w:rsid w:val="3A8B2033"/>
    <w:rsid w:val="3AB90069"/>
    <w:rsid w:val="3AD16F1E"/>
    <w:rsid w:val="3B192EFF"/>
    <w:rsid w:val="3B440D3E"/>
    <w:rsid w:val="3B8B63EA"/>
    <w:rsid w:val="3BB63565"/>
    <w:rsid w:val="3BCE25E6"/>
    <w:rsid w:val="3BCE3BB9"/>
    <w:rsid w:val="3C1B106D"/>
    <w:rsid w:val="3C68364E"/>
    <w:rsid w:val="3CD86DF4"/>
    <w:rsid w:val="3CEA2ACF"/>
    <w:rsid w:val="3D0535F2"/>
    <w:rsid w:val="3D0C77C5"/>
    <w:rsid w:val="3D425D55"/>
    <w:rsid w:val="3E0A2487"/>
    <w:rsid w:val="3E712899"/>
    <w:rsid w:val="3EA7753D"/>
    <w:rsid w:val="3EFC4BE4"/>
    <w:rsid w:val="3EFF3394"/>
    <w:rsid w:val="3F006C63"/>
    <w:rsid w:val="3F0C0848"/>
    <w:rsid w:val="3F3618F0"/>
    <w:rsid w:val="3F3B5875"/>
    <w:rsid w:val="3F496BBF"/>
    <w:rsid w:val="3F522E9C"/>
    <w:rsid w:val="3F7D1066"/>
    <w:rsid w:val="3FC14E74"/>
    <w:rsid w:val="40275E65"/>
    <w:rsid w:val="404A6865"/>
    <w:rsid w:val="407B74EC"/>
    <w:rsid w:val="409D2753"/>
    <w:rsid w:val="40B27AD7"/>
    <w:rsid w:val="40BC52EC"/>
    <w:rsid w:val="40BD25B1"/>
    <w:rsid w:val="40FE6F51"/>
    <w:rsid w:val="41345008"/>
    <w:rsid w:val="41A706E7"/>
    <w:rsid w:val="41BC1F10"/>
    <w:rsid w:val="41CC7778"/>
    <w:rsid w:val="41F021FA"/>
    <w:rsid w:val="424B3AFB"/>
    <w:rsid w:val="42A94F8B"/>
    <w:rsid w:val="42E250CC"/>
    <w:rsid w:val="431E7C90"/>
    <w:rsid w:val="43535B87"/>
    <w:rsid w:val="43765341"/>
    <w:rsid w:val="43AC0596"/>
    <w:rsid w:val="443F2A3F"/>
    <w:rsid w:val="44C1656C"/>
    <w:rsid w:val="451B0620"/>
    <w:rsid w:val="453E4233"/>
    <w:rsid w:val="4596640E"/>
    <w:rsid w:val="45E60474"/>
    <w:rsid w:val="464758A2"/>
    <w:rsid w:val="46724F27"/>
    <w:rsid w:val="46886E13"/>
    <w:rsid w:val="46A91F25"/>
    <w:rsid w:val="46CE0949"/>
    <w:rsid w:val="47202EC6"/>
    <w:rsid w:val="474008C8"/>
    <w:rsid w:val="476756F9"/>
    <w:rsid w:val="47756B56"/>
    <w:rsid w:val="477A03DA"/>
    <w:rsid w:val="4788381B"/>
    <w:rsid w:val="478F3EA7"/>
    <w:rsid w:val="47A26BB9"/>
    <w:rsid w:val="47FC2668"/>
    <w:rsid w:val="482B5C12"/>
    <w:rsid w:val="48316EB8"/>
    <w:rsid w:val="485F0C57"/>
    <w:rsid w:val="48B63C31"/>
    <w:rsid w:val="48CF5749"/>
    <w:rsid w:val="48FD3D7D"/>
    <w:rsid w:val="492C3528"/>
    <w:rsid w:val="4972010E"/>
    <w:rsid w:val="49B4651F"/>
    <w:rsid w:val="49E329B9"/>
    <w:rsid w:val="4A2C2FEF"/>
    <w:rsid w:val="4A5A0CB0"/>
    <w:rsid w:val="4A9C1DE8"/>
    <w:rsid w:val="4AAF700B"/>
    <w:rsid w:val="4B886215"/>
    <w:rsid w:val="4BF935A9"/>
    <w:rsid w:val="4C552CE9"/>
    <w:rsid w:val="4C6A71B3"/>
    <w:rsid w:val="4CDD3134"/>
    <w:rsid w:val="4CE41DD4"/>
    <w:rsid w:val="4CE6400E"/>
    <w:rsid w:val="4CEC28DB"/>
    <w:rsid w:val="4CF0645C"/>
    <w:rsid w:val="4CF906E8"/>
    <w:rsid w:val="4D5670A7"/>
    <w:rsid w:val="4D5D1F52"/>
    <w:rsid w:val="4DC66611"/>
    <w:rsid w:val="4E057A27"/>
    <w:rsid w:val="4E3974AD"/>
    <w:rsid w:val="4E540763"/>
    <w:rsid w:val="4E610E14"/>
    <w:rsid w:val="4EB0364A"/>
    <w:rsid w:val="4ED06B84"/>
    <w:rsid w:val="4F5D7111"/>
    <w:rsid w:val="4F6E21DD"/>
    <w:rsid w:val="4F725909"/>
    <w:rsid w:val="4F8E36B5"/>
    <w:rsid w:val="4FA45F82"/>
    <w:rsid w:val="4FC20AA7"/>
    <w:rsid w:val="4FE80B78"/>
    <w:rsid w:val="505F1EFD"/>
    <w:rsid w:val="508406D9"/>
    <w:rsid w:val="50B70587"/>
    <w:rsid w:val="50FB0581"/>
    <w:rsid w:val="513D1102"/>
    <w:rsid w:val="51586159"/>
    <w:rsid w:val="51903945"/>
    <w:rsid w:val="5198310F"/>
    <w:rsid w:val="519A03E7"/>
    <w:rsid w:val="521565E7"/>
    <w:rsid w:val="521B502E"/>
    <w:rsid w:val="523978C1"/>
    <w:rsid w:val="524E6B1F"/>
    <w:rsid w:val="529D1818"/>
    <w:rsid w:val="52A616CD"/>
    <w:rsid w:val="52A962A5"/>
    <w:rsid w:val="52AB2BC1"/>
    <w:rsid w:val="52EC7E76"/>
    <w:rsid w:val="53B034DF"/>
    <w:rsid w:val="546537F0"/>
    <w:rsid w:val="54A21C39"/>
    <w:rsid w:val="54DE0F4F"/>
    <w:rsid w:val="54E07843"/>
    <w:rsid w:val="54E53259"/>
    <w:rsid w:val="55777819"/>
    <w:rsid w:val="558D175E"/>
    <w:rsid w:val="55B769EE"/>
    <w:rsid w:val="560B1770"/>
    <w:rsid w:val="563D07A6"/>
    <w:rsid w:val="566A3EFB"/>
    <w:rsid w:val="567A2194"/>
    <w:rsid w:val="567A73D2"/>
    <w:rsid w:val="56AF7AB1"/>
    <w:rsid w:val="56B57F62"/>
    <w:rsid w:val="57112A14"/>
    <w:rsid w:val="573E02EA"/>
    <w:rsid w:val="57770792"/>
    <w:rsid w:val="57787D9B"/>
    <w:rsid w:val="577C1E80"/>
    <w:rsid w:val="57C14EA6"/>
    <w:rsid w:val="57FA6209"/>
    <w:rsid w:val="58237198"/>
    <w:rsid w:val="58642D6A"/>
    <w:rsid w:val="58645568"/>
    <w:rsid w:val="58F05AD9"/>
    <w:rsid w:val="592B4B02"/>
    <w:rsid w:val="59350BFC"/>
    <w:rsid w:val="594E0B2B"/>
    <w:rsid w:val="59BA7E85"/>
    <w:rsid w:val="59E43B3A"/>
    <w:rsid w:val="59FC6DF7"/>
    <w:rsid w:val="5A794D7C"/>
    <w:rsid w:val="5A812E59"/>
    <w:rsid w:val="5ABA7460"/>
    <w:rsid w:val="5AF779F8"/>
    <w:rsid w:val="5B3E2AC4"/>
    <w:rsid w:val="5B423DE4"/>
    <w:rsid w:val="5B550893"/>
    <w:rsid w:val="5B660D75"/>
    <w:rsid w:val="5B9C24F1"/>
    <w:rsid w:val="5BAB4476"/>
    <w:rsid w:val="5BB46CAC"/>
    <w:rsid w:val="5BE07D32"/>
    <w:rsid w:val="5C251368"/>
    <w:rsid w:val="5CBA2C8D"/>
    <w:rsid w:val="5CD033D7"/>
    <w:rsid w:val="5CFA1CEF"/>
    <w:rsid w:val="5D2C49EA"/>
    <w:rsid w:val="5DB73653"/>
    <w:rsid w:val="5DD86408"/>
    <w:rsid w:val="5DE44F8E"/>
    <w:rsid w:val="5E0F7C71"/>
    <w:rsid w:val="5E17184E"/>
    <w:rsid w:val="5E1E0FE7"/>
    <w:rsid w:val="5E241359"/>
    <w:rsid w:val="5E2F576D"/>
    <w:rsid w:val="5E4274C8"/>
    <w:rsid w:val="5E6D0585"/>
    <w:rsid w:val="5E752B01"/>
    <w:rsid w:val="5E962DCE"/>
    <w:rsid w:val="5E9F2768"/>
    <w:rsid w:val="5F111906"/>
    <w:rsid w:val="5F230F76"/>
    <w:rsid w:val="5F2447E2"/>
    <w:rsid w:val="5F284907"/>
    <w:rsid w:val="5F417156"/>
    <w:rsid w:val="5F463949"/>
    <w:rsid w:val="5FFD723B"/>
    <w:rsid w:val="600A03ED"/>
    <w:rsid w:val="602A170A"/>
    <w:rsid w:val="605A28BD"/>
    <w:rsid w:val="60B10868"/>
    <w:rsid w:val="610B183C"/>
    <w:rsid w:val="61613AC5"/>
    <w:rsid w:val="61A71260"/>
    <w:rsid w:val="61C07CB7"/>
    <w:rsid w:val="61D640C8"/>
    <w:rsid w:val="61F46AD1"/>
    <w:rsid w:val="621D5FD0"/>
    <w:rsid w:val="62553A9B"/>
    <w:rsid w:val="6262635A"/>
    <w:rsid w:val="62A954D2"/>
    <w:rsid w:val="62C855B8"/>
    <w:rsid w:val="63671C2E"/>
    <w:rsid w:val="63CC4F62"/>
    <w:rsid w:val="63F67DD1"/>
    <w:rsid w:val="63FA218D"/>
    <w:rsid w:val="6445786C"/>
    <w:rsid w:val="644719D8"/>
    <w:rsid w:val="64625F41"/>
    <w:rsid w:val="64A17F46"/>
    <w:rsid w:val="64CB159F"/>
    <w:rsid w:val="651950A7"/>
    <w:rsid w:val="654A3277"/>
    <w:rsid w:val="65850649"/>
    <w:rsid w:val="65A7106E"/>
    <w:rsid w:val="65C02314"/>
    <w:rsid w:val="65E22990"/>
    <w:rsid w:val="663F2988"/>
    <w:rsid w:val="667B1A67"/>
    <w:rsid w:val="670B0628"/>
    <w:rsid w:val="67317EC3"/>
    <w:rsid w:val="6737768F"/>
    <w:rsid w:val="67993B01"/>
    <w:rsid w:val="67A92543"/>
    <w:rsid w:val="67AC14B0"/>
    <w:rsid w:val="67CD62AE"/>
    <w:rsid w:val="67D92C18"/>
    <w:rsid w:val="685110E7"/>
    <w:rsid w:val="68567627"/>
    <w:rsid w:val="68AE4213"/>
    <w:rsid w:val="68C54EE3"/>
    <w:rsid w:val="68DD2AE7"/>
    <w:rsid w:val="68F22024"/>
    <w:rsid w:val="69127B02"/>
    <w:rsid w:val="691F7BE6"/>
    <w:rsid w:val="69247457"/>
    <w:rsid w:val="698A4060"/>
    <w:rsid w:val="69C566EB"/>
    <w:rsid w:val="69C570DF"/>
    <w:rsid w:val="69C81FA8"/>
    <w:rsid w:val="69D32674"/>
    <w:rsid w:val="69E14866"/>
    <w:rsid w:val="6A4A7A2B"/>
    <w:rsid w:val="6A8338D4"/>
    <w:rsid w:val="6A8D75D8"/>
    <w:rsid w:val="6ADA27C6"/>
    <w:rsid w:val="6AF13AFD"/>
    <w:rsid w:val="6B31380E"/>
    <w:rsid w:val="6B342B86"/>
    <w:rsid w:val="6B89487A"/>
    <w:rsid w:val="6BA90006"/>
    <w:rsid w:val="6BB043A7"/>
    <w:rsid w:val="6BF115FC"/>
    <w:rsid w:val="6C161E18"/>
    <w:rsid w:val="6CBB08C6"/>
    <w:rsid w:val="6CDA446E"/>
    <w:rsid w:val="6CF26502"/>
    <w:rsid w:val="6CFC4AAF"/>
    <w:rsid w:val="6D2A351D"/>
    <w:rsid w:val="6D2C5AA6"/>
    <w:rsid w:val="6D67642C"/>
    <w:rsid w:val="6DA036B3"/>
    <w:rsid w:val="6DA2141A"/>
    <w:rsid w:val="6DDD1261"/>
    <w:rsid w:val="6E1D1DA7"/>
    <w:rsid w:val="6E22181C"/>
    <w:rsid w:val="6E2E0B6D"/>
    <w:rsid w:val="6E3431D3"/>
    <w:rsid w:val="6E7D1B82"/>
    <w:rsid w:val="6E815E20"/>
    <w:rsid w:val="6ED91594"/>
    <w:rsid w:val="6EE9479E"/>
    <w:rsid w:val="6EF96E7F"/>
    <w:rsid w:val="6F1A7EE5"/>
    <w:rsid w:val="6F452AEE"/>
    <w:rsid w:val="6F827E1F"/>
    <w:rsid w:val="6FBE33DD"/>
    <w:rsid w:val="7022066D"/>
    <w:rsid w:val="70695629"/>
    <w:rsid w:val="707E27D0"/>
    <w:rsid w:val="709E2C66"/>
    <w:rsid w:val="71012721"/>
    <w:rsid w:val="715071FC"/>
    <w:rsid w:val="71C9438B"/>
    <w:rsid w:val="71E963AD"/>
    <w:rsid w:val="71EB232F"/>
    <w:rsid w:val="71F22395"/>
    <w:rsid w:val="72A46BF0"/>
    <w:rsid w:val="72DE4ED6"/>
    <w:rsid w:val="730C517B"/>
    <w:rsid w:val="73113CCB"/>
    <w:rsid w:val="7321107D"/>
    <w:rsid w:val="732F3A9D"/>
    <w:rsid w:val="73521971"/>
    <w:rsid w:val="735E79C5"/>
    <w:rsid w:val="736E713E"/>
    <w:rsid w:val="73821076"/>
    <w:rsid w:val="73AA2969"/>
    <w:rsid w:val="73B0761F"/>
    <w:rsid w:val="73B22405"/>
    <w:rsid w:val="73CF1F2D"/>
    <w:rsid w:val="73E91427"/>
    <w:rsid w:val="73F33838"/>
    <w:rsid w:val="73FC1BEE"/>
    <w:rsid w:val="74560762"/>
    <w:rsid w:val="74822716"/>
    <w:rsid w:val="749E5105"/>
    <w:rsid w:val="74A77D79"/>
    <w:rsid w:val="74BB2C8C"/>
    <w:rsid w:val="74EE2280"/>
    <w:rsid w:val="75096E02"/>
    <w:rsid w:val="750D3D28"/>
    <w:rsid w:val="752D05F5"/>
    <w:rsid w:val="756176A1"/>
    <w:rsid w:val="75B52663"/>
    <w:rsid w:val="75D97900"/>
    <w:rsid w:val="76474685"/>
    <w:rsid w:val="764D25D7"/>
    <w:rsid w:val="76516D73"/>
    <w:rsid w:val="765B6E63"/>
    <w:rsid w:val="7684002A"/>
    <w:rsid w:val="76D45B66"/>
    <w:rsid w:val="76E8509D"/>
    <w:rsid w:val="76EB76BC"/>
    <w:rsid w:val="76FE2417"/>
    <w:rsid w:val="77001188"/>
    <w:rsid w:val="770C776D"/>
    <w:rsid w:val="771E653D"/>
    <w:rsid w:val="774B3CD5"/>
    <w:rsid w:val="77BB70C3"/>
    <w:rsid w:val="77D23AA6"/>
    <w:rsid w:val="781F71F0"/>
    <w:rsid w:val="7840735D"/>
    <w:rsid w:val="78494A04"/>
    <w:rsid w:val="784B6D67"/>
    <w:rsid w:val="787871D0"/>
    <w:rsid w:val="788E700F"/>
    <w:rsid w:val="78920FD9"/>
    <w:rsid w:val="78B34E88"/>
    <w:rsid w:val="78E8725A"/>
    <w:rsid w:val="7949154B"/>
    <w:rsid w:val="7982188E"/>
    <w:rsid w:val="79AD2106"/>
    <w:rsid w:val="79D85CE8"/>
    <w:rsid w:val="7A1E0BB7"/>
    <w:rsid w:val="7A322C02"/>
    <w:rsid w:val="7A6374EA"/>
    <w:rsid w:val="7A7B2EB4"/>
    <w:rsid w:val="7AF65F04"/>
    <w:rsid w:val="7B025D61"/>
    <w:rsid w:val="7B072853"/>
    <w:rsid w:val="7B706966"/>
    <w:rsid w:val="7B8F1C7B"/>
    <w:rsid w:val="7BA10F88"/>
    <w:rsid w:val="7BC46440"/>
    <w:rsid w:val="7BE56CE6"/>
    <w:rsid w:val="7BF8021D"/>
    <w:rsid w:val="7C2500E2"/>
    <w:rsid w:val="7C5918E0"/>
    <w:rsid w:val="7C596FC9"/>
    <w:rsid w:val="7CA25ADE"/>
    <w:rsid w:val="7CA44252"/>
    <w:rsid w:val="7D2846D4"/>
    <w:rsid w:val="7D33690E"/>
    <w:rsid w:val="7D4877D4"/>
    <w:rsid w:val="7DB479EE"/>
    <w:rsid w:val="7DCD6635"/>
    <w:rsid w:val="7E6D11DC"/>
    <w:rsid w:val="7E7E160A"/>
    <w:rsid w:val="7E876225"/>
    <w:rsid w:val="7EB22ADC"/>
    <w:rsid w:val="7EE36967"/>
    <w:rsid w:val="7F194788"/>
    <w:rsid w:val="7F307B11"/>
    <w:rsid w:val="7F4108E0"/>
    <w:rsid w:val="7F462B38"/>
    <w:rsid w:val="7F9663C3"/>
    <w:rsid w:val="7F9E5EEA"/>
    <w:rsid w:val="7FA345E5"/>
    <w:rsid w:val="7FA77056"/>
    <w:rsid w:val="7FBE0FFC"/>
    <w:rsid w:val="7FBF7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9"/>
    <w:qFormat/>
    <w:uiPriority w:val="0"/>
    <w:pPr>
      <w:keepNext/>
      <w:keepLines/>
      <w:spacing w:before="320" w:after="320" w:line="579" w:lineRule="auto"/>
      <w:outlineLvl w:val="0"/>
    </w:pPr>
    <w:rPr>
      <w:b/>
      <w:bCs/>
      <w:kern w:val="44"/>
      <w:sz w:val="44"/>
      <w:szCs w:val="44"/>
    </w:rPr>
  </w:style>
  <w:style w:type="paragraph" w:styleId="4">
    <w:name w:val="heading 2"/>
    <w:basedOn w:val="1"/>
    <w:next w:val="1"/>
    <w:link w:val="105"/>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106"/>
    <w:qFormat/>
    <w:uiPriority w:val="0"/>
    <w:pPr>
      <w:keepNext/>
      <w:keepLines/>
      <w:spacing w:before="260" w:after="260" w:line="415" w:lineRule="auto"/>
      <w:outlineLvl w:val="2"/>
    </w:pPr>
    <w:rPr>
      <w:b/>
      <w:bCs/>
      <w:sz w:val="32"/>
      <w:szCs w:val="32"/>
    </w:rPr>
  </w:style>
  <w:style w:type="paragraph" w:styleId="6">
    <w:name w:val="heading 4"/>
    <w:basedOn w:val="1"/>
    <w:next w:val="1"/>
    <w:link w:val="78"/>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79"/>
    <w:qFormat/>
    <w:uiPriority w:val="0"/>
    <w:pPr>
      <w:keepNext/>
      <w:keepLines/>
      <w:spacing w:before="280" w:after="290" w:line="372" w:lineRule="auto"/>
      <w:outlineLvl w:val="4"/>
    </w:pPr>
    <w:rPr>
      <w:rFonts w:ascii="Calibri" w:hAnsi="Calibri"/>
      <w:b/>
      <w:bCs/>
      <w:sz w:val="28"/>
      <w:szCs w:val="28"/>
    </w:rPr>
  </w:style>
  <w:style w:type="paragraph" w:styleId="8">
    <w:name w:val="heading 6"/>
    <w:basedOn w:val="1"/>
    <w:next w:val="1"/>
    <w:link w:val="80"/>
    <w:qFormat/>
    <w:uiPriority w:val="0"/>
    <w:pPr>
      <w:keepNext/>
      <w:keepLines/>
      <w:spacing w:before="240" w:after="64" w:line="317" w:lineRule="auto"/>
      <w:outlineLvl w:val="5"/>
    </w:pPr>
    <w:rPr>
      <w:rFonts w:ascii="Cambria" w:hAnsi="Cambria"/>
      <w:b/>
      <w:bCs/>
      <w:sz w:val="24"/>
    </w:rPr>
  </w:style>
  <w:style w:type="paragraph" w:styleId="9">
    <w:name w:val="heading 7"/>
    <w:basedOn w:val="1"/>
    <w:next w:val="1"/>
    <w:link w:val="81"/>
    <w:qFormat/>
    <w:uiPriority w:val="0"/>
    <w:pPr>
      <w:keepNext/>
      <w:keepLines/>
      <w:spacing w:before="240" w:after="64" w:line="317" w:lineRule="auto"/>
      <w:outlineLvl w:val="6"/>
    </w:pPr>
    <w:rPr>
      <w:rFonts w:ascii="Calibri" w:hAnsi="Calibri"/>
      <w:b/>
      <w:bCs/>
      <w:sz w:val="24"/>
    </w:rPr>
  </w:style>
  <w:style w:type="paragraph" w:styleId="10">
    <w:name w:val="heading 8"/>
    <w:basedOn w:val="1"/>
    <w:next w:val="1"/>
    <w:link w:val="82"/>
    <w:qFormat/>
    <w:uiPriority w:val="0"/>
    <w:pPr>
      <w:keepNext/>
      <w:keepLines/>
      <w:spacing w:before="240" w:after="64" w:line="317" w:lineRule="auto"/>
      <w:outlineLvl w:val="7"/>
    </w:pPr>
    <w:rPr>
      <w:rFonts w:ascii="Cambria" w:hAnsi="Cambria"/>
      <w:sz w:val="24"/>
    </w:rPr>
  </w:style>
  <w:style w:type="paragraph" w:styleId="11">
    <w:name w:val="heading 9"/>
    <w:basedOn w:val="1"/>
    <w:next w:val="1"/>
    <w:link w:val="83"/>
    <w:qFormat/>
    <w:uiPriority w:val="0"/>
    <w:pPr>
      <w:keepNext/>
      <w:keepLines/>
      <w:spacing w:before="240" w:after="64" w:line="317" w:lineRule="auto"/>
      <w:outlineLvl w:val="8"/>
    </w:pPr>
    <w:rPr>
      <w:rFonts w:ascii="Cambria" w:hAnsi="Cambria"/>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2">
    <w:name w:val="toc 7"/>
    <w:basedOn w:val="1"/>
    <w:next w:val="1"/>
    <w:qFormat/>
    <w:uiPriority w:val="0"/>
    <w:pPr>
      <w:ind w:left="2520" w:leftChars="1200"/>
    </w:pPr>
  </w:style>
  <w:style w:type="paragraph" w:styleId="13">
    <w:name w:val="Normal Indent"/>
    <w:basedOn w:val="1"/>
    <w:link w:val="60"/>
    <w:qFormat/>
    <w:uiPriority w:val="0"/>
    <w:pPr>
      <w:ind w:firstLine="200" w:firstLineChars="200"/>
    </w:pPr>
  </w:style>
  <w:style w:type="paragraph" w:styleId="14">
    <w:name w:val="caption"/>
    <w:basedOn w:val="1"/>
    <w:next w:val="1"/>
    <w:qFormat/>
    <w:uiPriority w:val="0"/>
    <w:pPr>
      <w:spacing w:line="360" w:lineRule="auto"/>
      <w:ind w:firstLine="200" w:firstLineChars="200"/>
      <w:jc w:val="center"/>
    </w:pPr>
    <w:rPr>
      <w:rFonts w:ascii="Cambria" w:hAnsi="Cambria" w:eastAsia="黑体"/>
      <w:b/>
      <w:sz w:val="20"/>
      <w:szCs w:val="20"/>
    </w:rPr>
  </w:style>
  <w:style w:type="paragraph" w:styleId="15">
    <w:name w:val="Document Map"/>
    <w:basedOn w:val="1"/>
    <w:link w:val="52"/>
    <w:qFormat/>
    <w:uiPriority w:val="0"/>
    <w:rPr>
      <w:rFonts w:ascii="宋体"/>
      <w:sz w:val="18"/>
      <w:szCs w:val="18"/>
    </w:rPr>
  </w:style>
  <w:style w:type="paragraph" w:styleId="16">
    <w:name w:val="annotation text"/>
    <w:basedOn w:val="1"/>
    <w:link w:val="53"/>
    <w:qFormat/>
    <w:uiPriority w:val="0"/>
    <w:pPr>
      <w:jc w:val="left"/>
    </w:pPr>
  </w:style>
  <w:style w:type="paragraph" w:styleId="17">
    <w:name w:val="Body Text"/>
    <w:basedOn w:val="1"/>
    <w:next w:val="1"/>
    <w:link w:val="99"/>
    <w:qFormat/>
    <w:uiPriority w:val="0"/>
    <w:pPr>
      <w:spacing w:after="120"/>
    </w:pPr>
  </w:style>
  <w:style w:type="paragraph" w:styleId="18">
    <w:name w:val="Body Text Indent"/>
    <w:basedOn w:val="1"/>
    <w:link w:val="55"/>
    <w:qFormat/>
    <w:uiPriority w:val="0"/>
    <w:pPr>
      <w:ind w:firstLine="630"/>
    </w:pPr>
    <w:rPr>
      <w:sz w:val="32"/>
      <w:szCs w:val="20"/>
    </w:rPr>
  </w:style>
  <w:style w:type="paragraph" w:styleId="19">
    <w:name w:val="index 4"/>
    <w:basedOn w:val="1"/>
    <w:next w:val="1"/>
    <w:qFormat/>
    <w:uiPriority w:val="0"/>
    <w:pPr>
      <w:ind w:left="600" w:leftChars="600"/>
    </w:pPr>
  </w:style>
  <w:style w:type="paragraph" w:styleId="20">
    <w:name w:val="toc 5"/>
    <w:basedOn w:val="1"/>
    <w:next w:val="1"/>
    <w:qFormat/>
    <w:uiPriority w:val="0"/>
    <w:pPr>
      <w:ind w:left="1680" w:leftChars="800"/>
    </w:pPr>
  </w:style>
  <w:style w:type="paragraph" w:styleId="21">
    <w:name w:val="toc 3"/>
    <w:basedOn w:val="1"/>
    <w:next w:val="1"/>
    <w:qFormat/>
    <w:uiPriority w:val="0"/>
    <w:pPr>
      <w:ind w:left="840" w:leftChars="400"/>
    </w:pPr>
  </w:style>
  <w:style w:type="paragraph" w:styleId="22">
    <w:name w:val="Plain Text"/>
    <w:basedOn w:val="1"/>
    <w:link w:val="74"/>
    <w:qFormat/>
    <w:uiPriority w:val="0"/>
    <w:rPr>
      <w:rFonts w:ascii="宋体" w:hAnsi="Courier New"/>
    </w:rPr>
  </w:style>
  <w:style w:type="paragraph" w:styleId="23">
    <w:name w:val="toc 8"/>
    <w:basedOn w:val="1"/>
    <w:next w:val="1"/>
    <w:qFormat/>
    <w:uiPriority w:val="0"/>
    <w:pPr>
      <w:ind w:left="2940" w:leftChars="1400"/>
    </w:pPr>
  </w:style>
  <w:style w:type="paragraph" w:styleId="24">
    <w:name w:val="Date"/>
    <w:basedOn w:val="1"/>
    <w:next w:val="1"/>
    <w:link w:val="91"/>
    <w:qFormat/>
    <w:uiPriority w:val="0"/>
    <w:pPr>
      <w:ind w:left="100" w:leftChars="2500"/>
    </w:pPr>
    <w:rPr>
      <w:rFonts w:ascii="宋体"/>
      <w:kern w:val="0"/>
      <w:sz w:val="28"/>
      <w:szCs w:val="20"/>
    </w:rPr>
  </w:style>
  <w:style w:type="paragraph" w:styleId="25">
    <w:name w:val="Balloon Text"/>
    <w:basedOn w:val="1"/>
    <w:link w:val="57"/>
    <w:qFormat/>
    <w:uiPriority w:val="0"/>
    <w:rPr>
      <w:sz w:val="18"/>
      <w:szCs w:val="18"/>
    </w:rPr>
  </w:style>
  <w:style w:type="paragraph" w:styleId="26">
    <w:name w:val="footer"/>
    <w:basedOn w:val="1"/>
    <w:link w:val="72"/>
    <w:qFormat/>
    <w:uiPriority w:val="99"/>
    <w:pPr>
      <w:tabs>
        <w:tab w:val="center" w:pos="4153"/>
        <w:tab w:val="right" w:pos="8306"/>
      </w:tabs>
      <w:snapToGrid w:val="0"/>
      <w:jc w:val="left"/>
    </w:pPr>
    <w:rPr>
      <w:sz w:val="18"/>
      <w:szCs w:val="20"/>
    </w:rPr>
  </w:style>
  <w:style w:type="paragraph" w:styleId="27">
    <w:name w:val="header"/>
    <w:basedOn w:val="1"/>
    <w:link w:val="94"/>
    <w:qFormat/>
    <w:uiPriority w:val="0"/>
    <w:pPr>
      <w:pBdr>
        <w:bottom w:val="single" w:color="auto" w:sz="6" w:space="1"/>
      </w:pBdr>
      <w:tabs>
        <w:tab w:val="center" w:pos="4153"/>
        <w:tab w:val="right" w:pos="8306"/>
      </w:tabs>
      <w:snapToGrid w:val="0"/>
      <w:jc w:val="center"/>
    </w:pPr>
    <w:rPr>
      <w:sz w:val="18"/>
      <w:szCs w:val="20"/>
    </w:rPr>
  </w:style>
  <w:style w:type="paragraph" w:styleId="28">
    <w:name w:val="toc 1"/>
    <w:basedOn w:val="1"/>
    <w:next w:val="1"/>
    <w:qFormat/>
    <w:uiPriority w:val="39"/>
  </w:style>
  <w:style w:type="paragraph" w:styleId="29">
    <w:name w:val="toc 4"/>
    <w:basedOn w:val="1"/>
    <w:next w:val="1"/>
    <w:qFormat/>
    <w:uiPriority w:val="0"/>
    <w:pPr>
      <w:ind w:left="1260" w:leftChars="600"/>
    </w:pPr>
  </w:style>
  <w:style w:type="paragraph" w:styleId="30">
    <w:name w:val="Subtitle"/>
    <w:basedOn w:val="1"/>
    <w:next w:val="1"/>
    <w:link w:val="108"/>
    <w:qFormat/>
    <w:uiPriority w:val="0"/>
    <w:pPr>
      <w:spacing w:before="240" w:after="60" w:line="312" w:lineRule="auto"/>
      <w:jc w:val="center"/>
      <w:outlineLvl w:val="1"/>
    </w:pPr>
    <w:rPr>
      <w:rFonts w:ascii="Cambria" w:hAnsi="Cambria"/>
      <w:b/>
      <w:bCs/>
      <w:kern w:val="28"/>
      <w:sz w:val="32"/>
      <w:szCs w:val="32"/>
    </w:rPr>
  </w:style>
  <w:style w:type="paragraph" w:styleId="31">
    <w:name w:val="toc 6"/>
    <w:basedOn w:val="1"/>
    <w:next w:val="1"/>
    <w:qFormat/>
    <w:uiPriority w:val="0"/>
    <w:pPr>
      <w:ind w:left="2100" w:leftChars="1000"/>
    </w:pPr>
  </w:style>
  <w:style w:type="paragraph" w:styleId="32">
    <w:name w:val="toc 2"/>
    <w:basedOn w:val="1"/>
    <w:next w:val="1"/>
    <w:qFormat/>
    <w:uiPriority w:val="0"/>
    <w:pPr>
      <w:ind w:left="420" w:leftChars="200"/>
    </w:pPr>
  </w:style>
  <w:style w:type="paragraph" w:styleId="33">
    <w:name w:val="toc 9"/>
    <w:basedOn w:val="1"/>
    <w:next w:val="1"/>
    <w:qFormat/>
    <w:uiPriority w:val="0"/>
    <w:pPr>
      <w:ind w:left="3360" w:leftChars="1600"/>
    </w:pPr>
  </w:style>
  <w:style w:type="paragraph" w:styleId="34">
    <w:name w:val="Normal (Web)"/>
    <w:basedOn w:val="1"/>
    <w:qFormat/>
    <w:uiPriority w:val="0"/>
    <w:pPr>
      <w:widowControl/>
      <w:spacing w:before="100" w:beforeAutospacing="1" w:after="100" w:afterAutospacing="1"/>
      <w:jc w:val="left"/>
    </w:pPr>
    <w:rPr>
      <w:rFonts w:ascii="宋体"/>
      <w:kern w:val="0"/>
      <w:sz w:val="18"/>
      <w:szCs w:val="18"/>
    </w:rPr>
  </w:style>
  <w:style w:type="paragraph" w:styleId="35">
    <w:name w:val="Title"/>
    <w:basedOn w:val="1"/>
    <w:next w:val="1"/>
    <w:link w:val="107"/>
    <w:qFormat/>
    <w:uiPriority w:val="0"/>
    <w:pPr>
      <w:spacing w:before="240" w:after="60"/>
      <w:jc w:val="center"/>
      <w:outlineLvl w:val="0"/>
    </w:pPr>
    <w:rPr>
      <w:rFonts w:ascii="Cambria" w:hAnsi="Cambria"/>
      <w:b/>
      <w:bCs/>
      <w:sz w:val="32"/>
      <w:szCs w:val="32"/>
    </w:rPr>
  </w:style>
  <w:style w:type="paragraph" w:styleId="36">
    <w:name w:val="annotation subject"/>
    <w:basedOn w:val="16"/>
    <w:next w:val="16"/>
    <w:link w:val="58"/>
    <w:qFormat/>
    <w:uiPriority w:val="0"/>
    <w:rPr>
      <w:b/>
      <w:bCs/>
    </w:rPr>
  </w:style>
  <w:style w:type="table" w:styleId="38">
    <w:name w:val="Table Grid"/>
    <w:basedOn w:val="3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qFormat/>
    <w:uiPriority w:val="0"/>
    <w:rPr>
      <w:b/>
    </w:rPr>
  </w:style>
  <w:style w:type="character" w:styleId="41">
    <w:name w:val="page number"/>
    <w:qFormat/>
    <w:uiPriority w:val="0"/>
  </w:style>
  <w:style w:type="character" w:styleId="42">
    <w:name w:val="FollowedHyperlink"/>
    <w:qFormat/>
    <w:uiPriority w:val="0"/>
    <w:rPr>
      <w:color w:val="333333"/>
      <w:u w:val="none"/>
    </w:rPr>
  </w:style>
  <w:style w:type="character" w:styleId="43">
    <w:name w:val="Emphasis"/>
    <w:qFormat/>
    <w:uiPriority w:val="0"/>
  </w:style>
  <w:style w:type="character" w:styleId="44">
    <w:name w:val="HTML Definition"/>
    <w:qFormat/>
    <w:uiPriority w:val="0"/>
  </w:style>
  <w:style w:type="character" w:styleId="45">
    <w:name w:val="HTML Variable"/>
    <w:qFormat/>
    <w:uiPriority w:val="0"/>
  </w:style>
  <w:style w:type="character" w:styleId="46">
    <w:name w:val="Hyperlink"/>
    <w:qFormat/>
    <w:uiPriority w:val="99"/>
    <w:rPr>
      <w:color w:val="333333"/>
      <w:u w:val="none"/>
    </w:rPr>
  </w:style>
  <w:style w:type="character" w:styleId="47">
    <w:name w:val="HTML Code"/>
    <w:qFormat/>
    <w:uiPriority w:val="0"/>
    <w:rPr>
      <w:rFonts w:ascii="Courier New" w:hAnsi="Courier New"/>
      <w:sz w:val="20"/>
    </w:rPr>
  </w:style>
  <w:style w:type="character" w:styleId="48">
    <w:name w:val="annotation reference"/>
    <w:qFormat/>
    <w:uiPriority w:val="0"/>
    <w:rPr>
      <w:sz w:val="21"/>
      <w:szCs w:val="21"/>
    </w:rPr>
  </w:style>
  <w:style w:type="character" w:styleId="49">
    <w:name w:val="HTML Cite"/>
    <w:qFormat/>
    <w:uiPriority w:val="0"/>
  </w:style>
  <w:style w:type="character" w:styleId="50">
    <w:name w:val="HTML Sample"/>
    <w:basedOn w:val="39"/>
    <w:qFormat/>
    <w:uiPriority w:val="0"/>
    <w:rPr>
      <w:rFonts w:ascii="Courier New" w:hAnsi="Courier New"/>
    </w:rPr>
  </w:style>
  <w:style w:type="character" w:customStyle="1" w:styleId="51">
    <w:name w:val="font101"/>
    <w:qFormat/>
    <w:uiPriority w:val="0"/>
    <w:rPr>
      <w:rFonts w:hint="eastAsia" w:ascii="宋体" w:hAnsi="宋体" w:eastAsia="宋体" w:cs="宋体"/>
      <w:color w:val="000000"/>
      <w:sz w:val="21"/>
      <w:szCs w:val="21"/>
      <w:u w:val="single"/>
    </w:rPr>
  </w:style>
  <w:style w:type="character" w:customStyle="1" w:styleId="52">
    <w:name w:val="文档结构图 Char"/>
    <w:link w:val="15"/>
    <w:qFormat/>
    <w:uiPriority w:val="0"/>
    <w:rPr>
      <w:rFonts w:ascii="宋体"/>
      <w:kern w:val="2"/>
      <w:sz w:val="18"/>
      <w:szCs w:val="18"/>
    </w:rPr>
  </w:style>
  <w:style w:type="character" w:customStyle="1" w:styleId="53">
    <w:name w:val="批注文字 Char"/>
    <w:link w:val="16"/>
    <w:qFormat/>
    <w:uiPriority w:val="0"/>
    <w:rPr>
      <w:kern w:val="2"/>
      <w:sz w:val="21"/>
      <w:szCs w:val="24"/>
    </w:rPr>
  </w:style>
  <w:style w:type="character" w:customStyle="1" w:styleId="54">
    <w:name w:val="font91"/>
    <w:qFormat/>
    <w:uiPriority w:val="0"/>
    <w:rPr>
      <w:rFonts w:hint="eastAsia" w:ascii="宋体" w:hAnsi="宋体" w:eastAsia="宋体" w:cs="宋体"/>
      <w:color w:val="FF0000"/>
      <w:sz w:val="21"/>
      <w:szCs w:val="21"/>
      <w:u w:val="single"/>
    </w:rPr>
  </w:style>
  <w:style w:type="character" w:customStyle="1" w:styleId="55">
    <w:name w:val="正文文本缩进 Char"/>
    <w:link w:val="18"/>
    <w:qFormat/>
    <w:uiPriority w:val="0"/>
    <w:rPr>
      <w:kern w:val="2"/>
      <w:sz w:val="32"/>
    </w:rPr>
  </w:style>
  <w:style w:type="character" w:customStyle="1" w:styleId="56">
    <w:name w:val="font111"/>
    <w:qFormat/>
    <w:uiPriority w:val="0"/>
    <w:rPr>
      <w:rFonts w:hint="default" w:ascii="Eʩ" w:hAnsi="Eʩ" w:eastAsia="Eʩ" w:cs="Eʩ"/>
      <w:color w:val="000000"/>
      <w:sz w:val="21"/>
      <w:szCs w:val="21"/>
      <w:u w:val="single"/>
    </w:rPr>
  </w:style>
  <w:style w:type="character" w:customStyle="1" w:styleId="57">
    <w:name w:val="批注框文本 Char"/>
    <w:link w:val="25"/>
    <w:qFormat/>
    <w:uiPriority w:val="0"/>
    <w:rPr>
      <w:kern w:val="2"/>
      <w:sz w:val="18"/>
      <w:szCs w:val="18"/>
    </w:rPr>
  </w:style>
  <w:style w:type="character" w:customStyle="1" w:styleId="58">
    <w:name w:val="批注主题 Char"/>
    <w:link w:val="36"/>
    <w:qFormat/>
    <w:uiPriority w:val="0"/>
    <w:rPr>
      <w:b/>
      <w:bCs/>
      <w:kern w:val="2"/>
      <w:sz w:val="21"/>
      <w:szCs w:val="24"/>
    </w:rPr>
  </w:style>
  <w:style w:type="character" w:customStyle="1" w:styleId="59">
    <w:name w:val="标题 1 Char"/>
    <w:link w:val="3"/>
    <w:qFormat/>
    <w:uiPriority w:val="0"/>
    <w:rPr>
      <w:rFonts w:ascii="Times New Roman" w:hAnsi="Times New Roman" w:eastAsia="宋体"/>
      <w:b/>
      <w:bCs/>
      <w:kern w:val="44"/>
      <w:sz w:val="44"/>
      <w:szCs w:val="44"/>
    </w:rPr>
  </w:style>
  <w:style w:type="character" w:customStyle="1" w:styleId="60">
    <w:name w:val="正文缩进 Char"/>
    <w:link w:val="13"/>
    <w:qFormat/>
    <w:uiPriority w:val="0"/>
    <w:rPr>
      <w:kern w:val="2"/>
      <w:sz w:val="21"/>
      <w:szCs w:val="24"/>
    </w:rPr>
  </w:style>
  <w:style w:type="character" w:customStyle="1" w:styleId="61">
    <w:name w:val="font31"/>
    <w:qFormat/>
    <w:uiPriority w:val="0"/>
    <w:rPr>
      <w:rFonts w:hint="eastAsia" w:ascii="宋体" w:hAnsi="宋体" w:eastAsia="宋体" w:cs="宋体"/>
      <w:color w:val="000000"/>
      <w:sz w:val="21"/>
      <w:szCs w:val="21"/>
      <w:u w:val="none"/>
    </w:rPr>
  </w:style>
  <w:style w:type="character" w:customStyle="1" w:styleId="62">
    <w:name w:val="label"/>
    <w:qFormat/>
    <w:uiPriority w:val="0"/>
    <w:rPr>
      <w:color w:val="555555"/>
    </w:rPr>
  </w:style>
  <w:style w:type="character" w:customStyle="1" w:styleId="63">
    <w:name w:val="modifier"/>
    <w:qFormat/>
    <w:uiPriority w:val="0"/>
    <w:rPr>
      <w:color w:val="FF0000"/>
    </w:rPr>
  </w:style>
  <w:style w:type="paragraph" w:customStyle="1" w:styleId="64">
    <w:name w:val="正文首行缩进两字符"/>
    <w:basedOn w:val="1"/>
    <w:qFormat/>
    <w:uiPriority w:val="0"/>
    <w:pPr>
      <w:spacing w:line="360" w:lineRule="auto"/>
      <w:ind w:firstLine="200" w:firstLineChars="200"/>
    </w:pPr>
  </w:style>
  <w:style w:type="paragraph" w:customStyle="1" w:styleId="65">
    <w:name w:val="样式 首行缩进:  2 字符"/>
    <w:basedOn w:val="1"/>
    <w:qFormat/>
    <w:uiPriority w:val="99"/>
    <w:pPr>
      <w:spacing w:line="400" w:lineRule="exact"/>
      <w:ind w:firstLine="200" w:firstLineChars="200"/>
    </w:pPr>
    <w:rPr>
      <w:rFonts w:cs="宋体"/>
      <w:sz w:val="24"/>
    </w:rPr>
  </w:style>
  <w:style w:type="paragraph" w:styleId="66">
    <w:name w:val="List Paragraph"/>
    <w:basedOn w:val="1"/>
    <w:link w:val="76"/>
    <w:qFormat/>
    <w:uiPriority w:val="0"/>
    <w:pPr>
      <w:spacing w:line="360" w:lineRule="auto"/>
      <w:jc w:val="left"/>
    </w:pPr>
    <w:rPr>
      <w:rFonts w:ascii="宋体" w:hAnsi="宋体"/>
      <w:sz w:val="24"/>
    </w:rPr>
  </w:style>
  <w:style w:type="paragraph" w:customStyle="1" w:styleId="67">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68">
    <w:name w:val="正文1"/>
    <w:qFormat/>
    <w:uiPriority w:val="99"/>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69">
    <w:name w:val="_Style 2"/>
    <w:basedOn w:val="1"/>
    <w:qFormat/>
    <w:uiPriority w:val="0"/>
    <w:pPr>
      <w:ind w:firstLine="420" w:firstLineChars="200"/>
    </w:pPr>
    <w:rPr>
      <w:sz w:val="18"/>
      <w:szCs w:val="18"/>
    </w:rPr>
  </w:style>
  <w:style w:type="paragraph" w:customStyle="1" w:styleId="70">
    <w:name w:val="样式2"/>
    <w:basedOn w:val="1"/>
    <w:qFormat/>
    <w:uiPriority w:val="0"/>
    <w:pPr>
      <w:spacing w:line="560" w:lineRule="exact"/>
      <w:ind w:firstLine="200" w:firstLineChars="200"/>
      <w:jc w:val="left"/>
    </w:pPr>
    <w:rPr>
      <w:rFonts w:eastAsia="仿宋_GB2312"/>
      <w:sz w:val="28"/>
      <w:szCs w:val="20"/>
    </w:rPr>
  </w:style>
  <w:style w:type="paragraph" w:customStyle="1" w:styleId="71">
    <w:name w:val="TableNormal"/>
    <w:basedOn w:val="1"/>
    <w:qFormat/>
    <w:uiPriority w:val="0"/>
    <w:pPr>
      <w:widowControl/>
      <w:spacing w:before="40" w:after="40" w:line="264" w:lineRule="auto"/>
      <w:jc w:val="left"/>
    </w:pPr>
    <w:rPr>
      <w:rFonts w:ascii="Arial" w:hAnsi="Arial"/>
      <w:kern w:val="0"/>
      <w:szCs w:val="20"/>
      <w:lang w:eastAsia="en-US"/>
    </w:rPr>
  </w:style>
  <w:style w:type="character" w:customStyle="1" w:styleId="72">
    <w:name w:val="页脚 Char"/>
    <w:link w:val="26"/>
    <w:qFormat/>
    <w:uiPriority w:val="99"/>
    <w:rPr>
      <w:kern w:val="2"/>
      <w:sz w:val="18"/>
    </w:rPr>
  </w:style>
  <w:style w:type="paragraph" w:customStyle="1" w:styleId="73">
    <w:name w:val="msolistparagraph"/>
    <w:basedOn w:val="1"/>
    <w:qFormat/>
    <w:uiPriority w:val="0"/>
    <w:pPr>
      <w:ind w:firstLine="420" w:firstLineChars="200"/>
    </w:pPr>
    <w:rPr>
      <w:szCs w:val="22"/>
    </w:rPr>
  </w:style>
  <w:style w:type="character" w:customStyle="1" w:styleId="74">
    <w:name w:val="纯文本 Char"/>
    <w:basedOn w:val="39"/>
    <w:link w:val="22"/>
    <w:qFormat/>
    <w:uiPriority w:val="0"/>
    <w:rPr>
      <w:rFonts w:ascii="宋体" w:hAnsi="Courier New"/>
      <w:kern w:val="2"/>
      <w:sz w:val="21"/>
      <w:szCs w:val="24"/>
    </w:rPr>
  </w:style>
  <w:style w:type="character" w:customStyle="1" w:styleId="75">
    <w:name w:val="正文缩进 Char1"/>
    <w:qFormat/>
    <w:uiPriority w:val="0"/>
    <w:rPr>
      <w:kern w:val="2"/>
      <w:sz w:val="21"/>
      <w:szCs w:val="24"/>
    </w:rPr>
  </w:style>
  <w:style w:type="character" w:customStyle="1" w:styleId="76">
    <w:name w:val="列出段落 Char"/>
    <w:link w:val="66"/>
    <w:qFormat/>
    <w:locked/>
    <w:uiPriority w:val="99"/>
    <w:rPr>
      <w:rFonts w:ascii="宋体" w:hAnsi="宋体"/>
      <w:kern w:val="2"/>
      <w:sz w:val="24"/>
      <w:szCs w:val="24"/>
    </w:rPr>
  </w:style>
  <w:style w:type="paragraph" w:customStyle="1" w:styleId="77">
    <w:name w:val="Plain Text1"/>
    <w:basedOn w:val="1"/>
    <w:qFormat/>
    <w:uiPriority w:val="99"/>
    <w:pPr>
      <w:adjustRightInd w:val="0"/>
      <w:jc w:val="left"/>
      <w:textAlignment w:val="baseline"/>
    </w:pPr>
    <w:rPr>
      <w:rFonts w:ascii="宋体" w:hAnsi="Courier New" w:cs="宋体"/>
      <w:sz w:val="24"/>
    </w:rPr>
  </w:style>
  <w:style w:type="character" w:customStyle="1" w:styleId="78">
    <w:name w:val="标题 4 Char"/>
    <w:basedOn w:val="39"/>
    <w:link w:val="6"/>
    <w:qFormat/>
    <w:uiPriority w:val="0"/>
    <w:rPr>
      <w:rFonts w:asciiTheme="majorHAnsi" w:hAnsiTheme="majorHAnsi" w:eastAsiaTheme="majorEastAsia" w:cstheme="majorBidi"/>
      <w:b/>
      <w:bCs/>
      <w:kern w:val="2"/>
      <w:sz w:val="28"/>
      <w:szCs w:val="28"/>
    </w:rPr>
  </w:style>
  <w:style w:type="character" w:customStyle="1" w:styleId="79">
    <w:name w:val="标题 5 Char"/>
    <w:basedOn w:val="39"/>
    <w:link w:val="7"/>
    <w:qFormat/>
    <w:uiPriority w:val="0"/>
    <w:rPr>
      <w:rFonts w:ascii="Calibri" w:hAnsi="Calibri"/>
      <w:b/>
      <w:bCs/>
      <w:kern w:val="2"/>
      <w:sz w:val="28"/>
      <w:szCs w:val="28"/>
    </w:rPr>
  </w:style>
  <w:style w:type="character" w:customStyle="1" w:styleId="80">
    <w:name w:val="标题 6 Char"/>
    <w:basedOn w:val="39"/>
    <w:link w:val="8"/>
    <w:qFormat/>
    <w:uiPriority w:val="0"/>
    <w:rPr>
      <w:rFonts w:ascii="Cambria" w:hAnsi="Cambria"/>
      <w:b/>
      <w:bCs/>
      <w:kern w:val="2"/>
      <w:sz w:val="24"/>
      <w:szCs w:val="24"/>
    </w:rPr>
  </w:style>
  <w:style w:type="character" w:customStyle="1" w:styleId="81">
    <w:name w:val="标题 7 Char"/>
    <w:basedOn w:val="39"/>
    <w:link w:val="9"/>
    <w:qFormat/>
    <w:uiPriority w:val="0"/>
    <w:rPr>
      <w:rFonts w:ascii="Calibri" w:hAnsi="Calibri"/>
      <w:b/>
      <w:bCs/>
      <w:kern w:val="2"/>
      <w:sz w:val="24"/>
      <w:szCs w:val="24"/>
    </w:rPr>
  </w:style>
  <w:style w:type="character" w:customStyle="1" w:styleId="82">
    <w:name w:val="标题 8 Char"/>
    <w:basedOn w:val="39"/>
    <w:link w:val="10"/>
    <w:qFormat/>
    <w:uiPriority w:val="0"/>
    <w:rPr>
      <w:rFonts w:ascii="Cambria" w:hAnsi="Cambria"/>
      <w:kern w:val="2"/>
      <w:sz w:val="24"/>
      <w:szCs w:val="24"/>
    </w:rPr>
  </w:style>
  <w:style w:type="character" w:customStyle="1" w:styleId="83">
    <w:name w:val="标题 9 Char"/>
    <w:basedOn w:val="39"/>
    <w:link w:val="11"/>
    <w:qFormat/>
    <w:uiPriority w:val="0"/>
    <w:rPr>
      <w:rFonts w:ascii="Cambria" w:hAnsi="Cambria"/>
      <w:kern w:val="2"/>
      <w:sz w:val="21"/>
      <w:szCs w:val="21"/>
    </w:rPr>
  </w:style>
  <w:style w:type="character" w:customStyle="1" w:styleId="84">
    <w:name w:val="正文文本 Char1"/>
    <w:qFormat/>
    <w:uiPriority w:val="0"/>
    <w:rPr>
      <w:kern w:val="2"/>
      <w:sz w:val="21"/>
      <w:szCs w:val="22"/>
    </w:rPr>
  </w:style>
  <w:style w:type="character" w:customStyle="1" w:styleId="85">
    <w:name w:val="明显引用 Char"/>
    <w:link w:val="86"/>
    <w:qFormat/>
    <w:uiPriority w:val="0"/>
    <w:rPr>
      <w:b/>
      <w:bCs/>
      <w:i/>
      <w:iCs/>
      <w:color w:val="4F81BD"/>
      <w:kern w:val="2"/>
      <w:sz w:val="21"/>
      <w:szCs w:val="22"/>
    </w:rPr>
  </w:style>
  <w:style w:type="paragraph" w:styleId="86">
    <w:name w:val="Intense Quote"/>
    <w:basedOn w:val="1"/>
    <w:next w:val="1"/>
    <w:link w:val="85"/>
    <w:qFormat/>
    <w:uiPriority w:val="0"/>
    <w:pPr>
      <w:pBdr>
        <w:bottom w:val="single" w:color="4F81BD" w:sz="4" w:space="4"/>
      </w:pBdr>
      <w:spacing w:before="200" w:after="280"/>
      <w:ind w:left="936" w:right="936"/>
    </w:pPr>
    <w:rPr>
      <w:b/>
      <w:bCs/>
      <w:i/>
      <w:iCs/>
      <w:color w:val="4F81BD"/>
      <w:szCs w:val="22"/>
    </w:rPr>
  </w:style>
  <w:style w:type="character" w:customStyle="1" w:styleId="87">
    <w:name w:val="不明显强调1"/>
    <w:qFormat/>
    <w:uiPriority w:val="0"/>
    <w:rPr>
      <w:i/>
      <w:iCs/>
      <w:color w:val="808080"/>
    </w:rPr>
  </w:style>
  <w:style w:type="character" w:customStyle="1" w:styleId="88">
    <w:name w:val="标题4 Char Char"/>
    <w:qFormat/>
    <w:uiPriority w:val="0"/>
    <w:rPr>
      <w:rFonts w:ascii="Arial" w:hAnsi="Arial"/>
      <w:b/>
      <w:bCs/>
      <w:sz w:val="24"/>
      <w:szCs w:val="32"/>
    </w:rPr>
  </w:style>
  <w:style w:type="character" w:customStyle="1" w:styleId="89">
    <w:name w:val="标题5 Char Char"/>
    <w:link w:val="90"/>
    <w:qFormat/>
    <w:uiPriority w:val="0"/>
    <w:rPr>
      <w:rFonts w:ascii="Arial" w:hAnsi="Arial"/>
      <w:b/>
      <w:bCs/>
      <w:sz w:val="24"/>
      <w:szCs w:val="32"/>
    </w:rPr>
  </w:style>
  <w:style w:type="paragraph" w:customStyle="1" w:styleId="90">
    <w:name w:val="标题5"/>
    <w:basedOn w:val="5"/>
    <w:link w:val="89"/>
    <w:qFormat/>
    <w:uiPriority w:val="0"/>
    <w:pPr>
      <w:spacing w:line="413" w:lineRule="auto"/>
    </w:pPr>
    <w:rPr>
      <w:rFonts w:ascii="Arial" w:hAnsi="Arial"/>
      <w:kern w:val="0"/>
      <w:sz w:val="24"/>
    </w:rPr>
  </w:style>
  <w:style w:type="character" w:customStyle="1" w:styleId="91">
    <w:name w:val="日期 Char"/>
    <w:link w:val="24"/>
    <w:qFormat/>
    <w:uiPriority w:val="0"/>
    <w:rPr>
      <w:rFonts w:ascii="宋体"/>
      <w:sz w:val="28"/>
    </w:rPr>
  </w:style>
  <w:style w:type="character" w:customStyle="1" w:styleId="92">
    <w:name w:val="明显参考1"/>
    <w:qFormat/>
    <w:uiPriority w:val="0"/>
    <w:rPr>
      <w:b/>
      <w:bCs/>
      <w:smallCaps/>
      <w:color w:val="C0504D"/>
      <w:spacing w:val="5"/>
      <w:u w:val="single"/>
    </w:rPr>
  </w:style>
  <w:style w:type="character" w:customStyle="1" w:styleId="93">
    <w:name w:val="书籍标题1"/>
    <w:qFormat/>
    <w:uiPriority w:val="0"/>
    <w:rPr>
      <w:b/>
      <w:bCs/>
      <w:smallCaps/>
      <w:spacing w:val="5"/>
    </w:rPr>
  </w:style>
  <w:style w:type="character" w:customStyle="1" w:styleId="94">
    <w:name w:val="页眉 Char"/>
    <w:link w:val="27"/>
    <w:qFormat/>
    <w:uiPriority w:val="0"/>
    <w:rPr>
      <w:kern w:val="2"/>
      <w:sz w:val="18"/>
    </w:rPr>
  </w:style>
  <w:style w:type="character" w:customStyle="1" w:styleId="95">
    <w:name w:val="批注框文本 Char1"/>
    <w:qFormat/>
    <w:uiPriority w:val="0"/>
    <w:rPr>
      <w:kern w:val="2"/>
      <w:sz w:val="18"/>
      <w:szCs w:val="18"/>
    </w:rPr>
  </w:style>
  <w:style w:type="character" w:customStyle="1" w:styleId="96">
    <w:name w:val="引用 Char"/>
    <w:link w:val="97"/>
    <w:qFormat/>
    <w:uiPriority w:val="0"/>
    <w:rPr>
      <w:i/>
      <w:iCs/>
      <w:color w:val="000000"/>
      <w:kern w:val="2"/>
      <w:sz w:val="21"/>
      <w:szCs w:val="22"/>
    </w:rPr>
  </w:style>
  <w:style w:type="paragraph" w:styleId="97">
    <w:name w:val="Quote"/>
    <w:basedOn w:val="1"/>
    <w:next w:val="1"/>
    <w:link w:val="96"/>
    <w:qFormat/>
    <w:uiPriority w:val="0"/>
    <w:rPr>
      <w:i/>
      <w:iCs/>
      <w:color w:val="000000"/>
      <w:szCs w:val="22"/>
    </w:rPr>
  </w:style>
  <w:style w:type="character" w:customStyle="1" w:styleId="98">
    <w:name w:val="批注主题 Char1"/>
    <w:qFormat/>
    <w:uiPriority w:val="0"/>
    <w:rPr>
      <w:b/>
      <w:bCs/>
      <w:kern w:val="2"/>
      <w:sz w:val="21"/>
      <w:szCs w:val="22"/>
    </w:rPr>
  </w:style>
  <w:style w:type="character" w:customStyle="1" w:styleId="99">
    <w:name w:val="正文文本 Char"/>
    <w:link w:val="17"/>
    <w:qFormat/>
    <w:uiPriority w:val="0"/>
    <w:rPr>
      <w:kern w:val="2"/>
      <w:sz w:val="21"/>
      <w:szCs w:val="24"/>
    </w:rPr>
  </w:style>
  <w:style w:type="character" w:customStyle="1" w:styleId="100">
    <w:name w:val="日期 Char1"/>
    <w:qFormat/>
    <w:uiPriority w:val="0"/>
    <w:rPr>
      <w:kern w:val="2"/>
      <w:sz w:val="21"/>
      <w:szCs w:val="22"/>
    </w:rPr>
  </w:style>
  <w:style w:type="character" w:customStyle="1" w:styleId="101">
    <w:name w:val="明显强调1"/>
    <w:qFormat/>
    <w:uiPriority w:val="0"/>
    <w:rPr>
      <w:b/>
      <w:bCs/>
      <w:i/>
      <w:iCs/>
      <w:color w:val="4F81BD"/>
    </w:rPr>
  </w:style>
  <w:style w:type="character" w:customStyle="1" w:styleId="102">
    <w:name w:val="textcontents"/>
    <w:qFormat/>
    <w:uiPriority w:val="0"/>
    <w:rPr>
      <w:rFonts w:cs="Times New Roman"/>
    </w:rPr>
  </w:style>
  <w:style w:type="character" w:customStyle="1" w:styleId="103">
    <w:name w:val="不明显参考1"/>
    <w:qFormat/>
    <w:uiPriority w:val="0"/>
    <w:rPr>
      <w:smallCaps/>
      <w:color w:val="C0504D"/>
      <w:u w:val="single"/>
    </w:rPr>
  </w:style>
  <w:style w:type="character" w:customStyle="1" w:styleId="104">
    <w:name w:val="批注文字 Char Char"/>
    <w:qFormat/>
    <w:uiPriority w:val="0"/>
    <w:rPr>
      <w:rFonts w:ascii="宋体" w:hAnsi="Times New Roman" w:eastAsia="宋体" w:cs="Times New Roman"/>
      <w:sz w:val="28"/>
      <w:szCs w:val="20"/>
    </w:rPr>
  </w:style>
  <w:style w:type="character" w:customStyle="1" w:styleId="105">
    <w:name w:val="标题 2 Char"/>
    <w:link w:val="4"/>
    <w:qFormat/>
    <w:uiPriority w:val="0"/>
    <w:rPr>
      <w:rFonts w:ascii="Arial" w:hAnsi="Arial" w:eastAsia="黑体"/>
      <w:b/>
      <w:bCs/>
      <w:kern w:val="2"/>
      <w:sz w:val="32"/>
      <w:szCs w:val="32"/>
    </w:rPr>
  </w:style>
  <w:style w:type="character" w:customStyle="1" w:styleId="106">
    <w:name w:val="标题 3 Char"/>
    <w:link w:val="5"/>
    <w:qFormat/>
    <w:uiPriority w:val="0"/>
    <w:rPr>
      <w:b/>
      <w:bCs/>
      <w:kern w:val="2"/>
      <w:sz w:val="32"/>
      <w:szCs w:val="32"/>
    </w:rPr>
  </w:style>
  <w:style w:type="character" w:customStyle="1" w:styleId="107">
    <w:name w:val="标题 Char"/>
    <w:link w:val="35"/>
    <w:qFormat/>
    <w:uiPriority w:val="0"/>
    <w:rPr>
      <w:rFonts w:ascii="Cambria" w:hAnsi="Cambria"/>
      <w:b/>
      <w:bCs/>
      <w:kern w:val="2"/>
      <w:sz w:val="32"/>
      <w:szCs w:val="32"/>
    </w:rPr>
  </w:style>
  <w:style w:type="character" w:customStyle="1" w:styleId="108">
    <w:name w:val="副标题 Char"/>
    <w:link w:val="30"/>
    <w:qFormat/>
    <w:uiPriority w:val="0"/>
    <w:rPr>
      <w:rFonts w:ascii="Cambria" w:hAnsi="Cambria"/>
      <w:b/>
      <w:bCs/>
      <w:kern w:val="28"/>
      <w:sz w:val="32"/>
      <w:szCs w:val="32"/>
    </w:rPr>
  </w:style>
  <w:style w:type="character" w:customStyle="1" w:styleId="109">
    <w:name w:val="文档结构图 Char1"/>
    <w:qFormat/>
    <w:uiPriority w:val="0"/>
    <w:rPr>
      <w:rFonts w:ascii="宋体"/>
      <w:kern w:val="2"/>
      <w:sz w:val="18"/>
      <w:szCs w:val="18"/>
    </w:rPr>
  </w:style>
  <w:style w:type="paragraph" w:customStyle="1" w:styleId="110">
    <w:name w:val="修订1"/>
    <w:qFormat/>
    <w:uiPriority w:val="0"/>
    <w:rPr>
      <w:rFonts w:ascii="Times New Roman" w:hAnsi="Times New Roman" w:eastAsia="宋体" w:cs="Times New Roman"/>
      <w:kern w:val="2"/>
      <w:sz w:val="21"/>
      <w:szCs w:val="24"/>
      <w:lang w:val="en-US" w:eastAsia="zh-CN" w:bidi="ar-SA"/>
    </w:rPr>
  </w:style>
  <w:style w:type="paragraph" w:customStyle="1" w:styleId="111">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kern w:val="0"/>
      <w:sz w:val="28"/>
      <w:szCs w:val="20"/>
    </w:rPr>
  </w:style>
  <w:style w:type="character" w:customStyle="1" w:styleId="112">
    <w:name w:val="日期 Char2"/>
    <w:basedOn w:val="39"/>
    <w:qFormat/>
    <w:uiPriority w:val="0"/>
    <w:rPr>
      <w:kern w:val="2"/>
      <w:sz w:val="21"/>
      <w:szCs w:val="24"/>
    </w:rPr>
  </w:style>
  <w:style w:type="character" w:customStyle="1" w:styleId="113">
    <w:name w:val="标题 Char1"/>
    <w:basedOn w:val="39"/>
    <w:qFormat/>
    <w:uiPriority w:val="0"/>
    <w:rPr>
      <w:rFonts w:asciiTheme="majorHAnsi" w:hAnsiTheme="majorHAnsi" w:cstheme="majorBidi"/>
      <w:b/>
      <w:bCs/>
      <w:kern w:val="2"/>
      <w:sz w:val="32"/>
      <w:szCs w:val="32"/>
    </w:rPr>
  </w:style>
  <w:style w:type="paragraph" w:customStyle="1" w:styleId="114">
    <w:name w:val="TOC 标题1"/>
    <w:basedOn w:val="3"/>
    <w:next w:val="1"/>
    <w:qFormat/>
    <w:uiPriority w:val="0"/>
    <w:pPr>
      <w:spacing w:before="340" w:after="330" w:line="576" w:lineRule="auto"/>
      <w:outlineLvl w:val="9"/>
    </w:pPr>
    <w:rPr>
      <w:rFonts w:ascii="Calibri" w:hAnsi="Calibri"/>
    </w:rPr>
  </w:style>
  <w:style w:type="character" w:customStyle="1" w:styleId="115">
    <w:name w:val="副标题 Char1"/>
    <w:basedOn w:val="39"/>
    <w:qFormat/>
    <w:uiPriority w:val="0"/>
    <w:rPr>
      <w:rFonts w:asciiTheme="majorHAnsi" w:hAnsiTheme="majorHAnsi" w:cstheme="majorBidi"/>
      <w:b/>
      <w:bCs/>
      <w:kern w:val="28"/>
      <w:sz w:val="32"/>
      <w:szCs w:val="32"/>
    </w:rPr>
  </w:style>
  <w:style w:type="character" w:customStyle="1" w:styleId="116">
    <w:name w:val="明显引用 Char1"/>
    <w:basedOn w:val="39"/>
    <w:semiHidden/>
    <w:qFormat/>
    <w:uiPriority w:val="99"/>
    <w:rPr>
      <w:b/>
      <w:bCs/>
      <w:i/>
      <w:iCs/>
      <w:color w:val="4472C4" w:themeColor="accent1"/>
      <w:kern w:val="2"/>
      <w:sz w:val="21"/>
      <w:szCs w:val="24"/>
      <w14:textFill>
        <w14:solidFill>
          <w14:schemeClr w14:val="accent1"/>
        </w14:solidFill>
      </w14:textFill>
    </w:rPr>
  </w:style>
  <w:style w:type="paragraph" w:customStyle="1" w:styleId="117">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118">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styleId="119">
    <w:name w:val="No Spacing"/>
    <w:qFormat/>
    <w:uiPriority w:val="0"/>
    <w:pPr>
      <w:widowControl w:val="0"/>
      <w:jc w:val="both"/>
    </w:pPr>
    <w:rPr>
      <w:rFonts w:ascii="Calibri" w:hAnsi="Calibri" w:eastAsia="宋体" w:cs="Times New Roman"/>
      <w:kern w:val="2"/>
      <w:sz w:val="21"/>
      <w:szCs w:val="22"/>
      <w:lang w:val="en-US" w:eastAsia="zh-CN" w:bidi="ar-SA"/>
    </w:rPr>
  </w:style>
  <w:style w:type="character" w:customStyle="1" w:styleId="120">
    <w:name w:val="引用 Char1"/>
    <w:basedOn w:val="39"/>
    <w:semiHidden/>
    <w:qFormat/>
    <w:uiPriority w:val="99"/>
    <w:rPr>
      <w:i/>
      <w:iCs/>
      <w:color w:val="000000" w:themeColor="text1"/>
      <w:kern w:val="2"/>
      <w:sz w:val="21"/>
      <w:szCs w:val="24"/>
      <w14:textFill>
        <w14:solidFill>
          <w14:schemeClr w14:val="tx1"/>
        </w14:solidFill>
      </w14:textFill>
    </w:rPr>
  </w:style>
  <w:style w:type="paragraph" w:customStyle="1" w:styleId="121">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character" w:customStyle="1" w:styleId="122">
    <w:name w:val="纯文本 Char1"/>
    <w:basedOn w:val="39"/>
    <w:qFormat/>
    <w:locked/>
    <w:uiPriority w:val="99"/>
    <w:rPr>
      <w:rFonts w:ascii="宋体" w:hAnsi="Courier New" w:eastAsia="宋体" w:cs="宋体"/>
      <w:sz w:val="21"/>
      <w:szCs w:val="21"/>
    </w:rPr>
  </w:style>
  <w:style w:type="paragraph" w:customStyle="1" w:styleId="123">
    <w:name w:val="正文2"/>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24">
    <w:name w:val="_Style 1"/>
    <w:basedOn w:val="1"/>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E55AC3-94B3-4BDC-B782-F3DD24AF820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65</Pages>
  <Words>5999</Words>
  <Characters>34198</Characters>
  <Lines>284</Lines>
  <Paragraphs>80</Paragraphs>
  <TotalTime>42</TotalTime>
  <ScaleCrop>false</ScaleCrop>
  <LinksUpToDate>false</LinksUpToDate>
  <CharactersWithSpaces>40117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2018-05-08T08:15:00Z</dcterms:created>
  <dc:creator>成都一问</dc:creator>
  <cp:lastModifiedBy>Administrator</cp:lastModifiedBy>
  <cp:lastPrinted>2018-05-10T07:30:00Z</cp:lastPrinted>
  <dcterms:modified xsi:type="dcterms:W3CDTF">2021-09-16T01:30:15Z</dcterms:modified>
  <dc:title>成都一问范本</dc:title>
  <cp:revision>216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3EAE7796BA604A32BFBABE5DD5DCD7EC</vt:lpwstr>
  </property>
</Properties>
</file>