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360" w:lineRule="auto"/>
        <w:ind w:firstLine="6023" w:firstLineChars="2000"/>
        <w:rPr>
          <w:rFonts w:ascii="宋体"/>
          <w:b/>
          <w:sz w:val="30"/>
          <w:szCs w:val="30"/>
        </w:rPr>
      </w:pPr>
      <w:r>
        <w:rPr>
          <w:rFonts w:hint="eastAsia" w:ascii="宋体"/>
          <w:b/>
          <w:sz w:val="30"/>
          <w:szCs w:val="30"/>
        </w:rPr>
        <w:t>项目编号：510101202101538</w:t>
      </w:r>
    </w:p>
    <w:p>
      <w:pPr>
        <w:spacing w:line="360" w:lineRule="auto"/>
        <w:jc w:val="center"/>
        <w:rPr>
          <w:rFonts w:ascii="宋体"/>
          <w:b/>
          <w:sz w:val="30"/>
          <w:szCs w:val="30"/>
        </w:rPr>
      </w:pPr>
    </w:p>
    <w:p>
      <w:pPr>
        <w:jc w:val="center"/>
      </w:pPr>
      <w:r>
        <w:rPr>
          <w:rFonts w:hint="eastAsia" w:ascii="黑体" w:hAnsi="黑体" w:eastAsia="黑体" w:cs="黑体"/>
          <w:b/>
          <w:sz w:val="52"/>
          <w:szCs w:val="52"/>
        </w:rPr>
        <w:t>成都市国土规划地籍事务中心单位食堂外包服务项目</w:t>
      </w:r>
    </w:p>
    <w:p>
      <w:pPr>
        <w:pStyle w:val="48"/>
      </w:pPr>
    </w:p>
    <w:p>
      <w:pPr>
        <w:spacing w:line="360" w:lineRule="auto"/>
        <w:jc w:val="center"/>
        <w:rPr>
          <w:rFonts w:ascii="黑体" w:hAnsi="黑体" w:eastAsia="黑体" w:cs="黑体"/>
          <w:b/>
          <w:sz w:val="52"/>
          <w:szCs w:val="52"/>
        </w:rPr>
      </w:pPr>
      <w:r>
        <w:rPr>
          <w:rFonts w:hint="eastAsia" w:ascii="黑体" w:hAnsi="黑体" w:eastAsia="黑体" w:cs="黑体"/>
          <w:b/>
          <w:sz w:val="52"/>
          <w:szCs w:val="52"/>
        </w:rPr>
        <w:t>竞</w:t>
      </w:r>
    </w:p>
    <w:p>
      <w:pPr>
        <w:spacing w:line="360" w:lineRule="auto"/>
        <w:jc w:val="center"/>
        <w:rPr>
          <w:rFonts w:ascii="黑体" w:hAnsi="黑体" w:eastAsia="黑体" w:cs="黑体"/>
          <w:b/>
          <w:sz w:val="52"/>
          <w:szCs w:val="52"/>
        </w:rPr>
      </w:pPr>
      <w:r>
        <w:rPr>
          <w:rFonts w:hint="eastAsia" w:ascii="黑体" w:hAnsi="黑体" w:eastAsia="黑体" w:cs="黑体"/>
          <w:b/>
          <w:sz w:val="52"/>
          <w:szCs w:val="52"/>
        </w:rPr>
        <w:t>争</w:t>
      </w:r>
    </w:p>
    <w:p>
      <w:pPr>
        <w:spacing w:line="360" w:lineRule="auto"/>
        <w:jc w:val="center"/>
        <w:rPr>
          <w:rFonts w:ascii="黑体" w:hAnsi="黑体" w:eastAsia="黑体" w:cs="黑体"/>
          <w:b/>
          <w:sz w:val="52"/>
          <w:szCs w:val="52"/>
        </w:rPr>
      </w:pPr>
      <w:r>
        <w:rPr>
          <w:rFonts w:hint="eastAsia" w:ascii="黑体" w:hAnsi="黑体" w:eastAsia="黑体" w:cs="黑体"/>
          <w:b/>
          <w:sz w:val="52"/>
          <w:szCs w:val="52"/>
        </w:rPr>
        <w:t>性</w:t>
      </w:r>
    </w:p>
    <w:p>
      <w:pPr>
        <w:spacing w:line="360" w:lineRule="auto"/>
        <w:jc w:val="center"/>
        <w:rPr>
          <w:rFonts w:ascii="黑体" w:hAnsi="黑体" w:eastAsia="黑体" w:cs="黑体"/>
          <w:b/>
          <w:sz w:val="52"/>
          <w:szCs w:val="52"/>
        </w:rPr>
      </w:pPr>
      <w:r>
        <w:rPr>
          <w:rFonts w:hint="eastAsia" w:ascii="黑体" w:hAnsi="黑体" w:eastAsia="黑体" w:cs="黑体"/>
          <w:b/>
          <w:sz w:val="52"/>
          <w:szCs w:val="52"/>
        </w:rPr>
        <w:t>磋</w:t>
      </w:r>
    </w:p>
    <w:p>
      <w:pPr>
        <w:spacing w:line="360" w:lineRule="auto"/>
        <w:jc w:val="center"/>
        <w:rPr>
          <w:rFonts w:ascii="黑体" w:hAnsi="黑体" w:eastAsia="黑体" w:cs="黑体"/>
          <w:b/>
          <w:sz w:val="52"/>
          <w:szCs w:val="52"/>
        </w:rPr>
      </w:pPr>
      <w:r>
        <w:rPr>
          <w:rFonts w:hint="eastAsia" w:ascii="黑体" w:hAnsi="黑体" w:eastAsia="黑体" w:cs="黑体"/>
          <w:b/>
          <w:sz w:val="52"/>
          <w:szCs w:val="52"/>
        </w:rPr>
        <w:t>商</w:t>
      </w:r>
    </w:p>
    <w:p>
      <w:pPr>
        <w:spacing w:line="360" w:lineRule="auto"/>
        <w:jc w:val="center"/>
        <w:rPr>
          <w:rFonts w:ascii="黑体" w:hAnsi="黑体" w:eastAsia="黑体" w:cs="黑体"/>
          <w:b/>
          <w:sz w:val="52"/>
          <w:szCs w:val="52"/>
        </w:rPr>
      </w:pPr>
      <w:r>
        <w:rPr>
          <w:rFonts w:hint="eastAsia" w:ascii="黑体" w:hAnsi="黑体" w:eastAsia="黑体" w:cs="黑体"/>
          <w:b/>
          <w:sz w:val="52"/>
          <w:szCs w:val="52"/>
        </w:rPr>
        <w:t>文</w:t>
      </w:r>
    </w:p>
    <w:p>
      <w:pPr>
        <w:spacing w:line="360" w:lineRule="auto"/>
        <w:jc w:val="center"/>
        <w:rPr>
          <w:rFonts w:ascii="黑体" w:hAnsi="黑体" w:eastAsia="黑体" w:cs="黑体"/>
          <w:b/>
          <w:sz w:val="52"/>
          <w:szCs w:val="52"/>
        </w:rPr>
      </w:pPr>
      <w:r>
        <w:rPr>
          <w:rFonts w:hint="eastAsia" w:ascii="黑体" w:hAnsi="黑体" w:eastAsia="黑体" w:cs="黑体"/>
          <w:b/>
          <w:sz w:val="52"/>
          <w:szCs w:val="52"/>
        </w:rPr>
        <w:t>件</w:t>
      </w:r>
    </w:p>
    <w:p>
      <w:pPr>
        <w:pStyle w:val="12"/>
        <w:spacing w:line="360" w:lineRule="auto"/>
      </w:pPr>
    </w:p>
    <w:p>
      <w:pPr>
        <w:spacing w:line="840" w:lineRule="exact"/>
        <w:ind w:firstLine="2240" w:firstLineChars="700"/>
        <w:rPr>
          <w:rFonts w:ascii="黑体" w:hAnsi="黑体" w:eastAsia="黑体" w:cs="黑体"/>
          <w:b/>
          <w:sz w:val="32"/>
          <w:szCs w:val="32"/>
        </w:rPr>
      </w:pPr>
      <w:r>
        <w:rPr>
          <w:rFonts w:ascii="黑体" w:hAnsi="黑体" w:eastAsia="黑体" w:cs="黑体"/>
          <w:sz w:val="32"/>
        </w:rPr>
        <mc:AlternateContent>
          <mc:Choice Requires="wps">
            <w:drawing>
              <wp:anchor distT="0" distB="0" distL="114300" distR="114300" simplePos="0" relativeHeight="251665408" behindDoc="0" locked="0" layoutInCell="1" allowOverlap="1">
                <wp:simplePos x="0" y="0"/>
                <wp:positionH relativeFrom="column">
                  <wp:posOffset>4826635</wp:posOffset>
                </wp:positionH>
                <wp:positionV relativeFrom="paragraph">
                  <wp:posOffset>236855</wp:posOffset>
                </wp:positionV>
                <wp:extent cx="1197610" cy="489585"/>
                <wp:effectExtent l="0" t="0" r="0" b="0"/>
                <wp:wrapNone/>
                <wp:docPr id="18" name="圆角矩形 7"/>
                <wp:cNvGraphicFramePr/>
                <a:graphic xmlns:a="http://schemas.openxmlformats.org/drawingml/2006/main">
                  <a:graphicData uri="http://schemas.microsoft.com/office/word/2010/wordprocessingShape">
                    <wps:wsp>
                      <wps:cNvSpPr/>
                      <wps:spPr>
                        <a:xfrm>
                          <a:off x="5373370" y="8269605"/>
                          <a:ext cx="1197610" cy="489585"/>
                        </a:xfrm>
                        <a:prstGeom prst="roundRect">
                          <a:avLst/>
                        </a:prstGeom>
                        <a:solidFill>
                          <a:srgbClr val="000000">
                            <a:alpha val="0"/>
                          </a:srgbClr>
                        </a:solidFill>
                        <a:ln w="25400" cap="flat" cmpd="sng" algn="ctr">
                          <a:solidFill>
                            <a:srgbClr val="000000">
                              <a:alpha val="0"/>
                            </a:srgbClr>
                          </a:solidFill>
                          <a:prstDash val="solid"/>
                        </a:ln>
                        <a:effectLst/>
                      </wps:spPr>
                      <wps:txbx>
                        <w:txbxContent>
                          <w:p>
                            <w:pPr>
                              <w:spacing w:line="360" w:lineRule="auto"/>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共同编制</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7" o:spid="_x0000_s1026" o:spt="2" style="position:absolute;left:0pt;margin-left:380.05pt;margin-top:18.65pt;height:38.55pt;width:94.3pt;z-index:251665408;v-text-anchor:middle;mso-width-relative:page;mso-height-relative:page;" fillcolor="#000000" filled="t" stroked="t" coordsize="21600,21600" arcsize="0.166666666666667" o:gfxdata="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lgs8v&#10;2QAAAAoBAAAPAAAAAAAAAAEAIAAAACIAAABkcnMvZG93bnJldi54bWxQSwECFAAUAAAACACHTuJA&#10;SJSxtpICAABIBQAADgAAAAAAAAABACAAAAAoAQAAZHJzL2Uyb0RvYy54bWxQSwUGAAAAAAYABgBZ&#10;AQAALAYAAAAA&#10;">
                <v:fill on="t" opacity="0f" focussize="0,0"/>
                <v:stroke weight="2pt" color="#000000" opacity="0f" joinstyle="round"/>
                <v:imagedata o:title=""/>
                <o:lock v:ext="edit" aspectratio="f"/>
                <v:textbox>
                  <w:txbxContent>
                    <w:p>
                      <w:pPr>
                        <w:spacing w:line="360" w:lineRule="auto"/>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共同编制</w:t>
                      </w:r>
                    </w:p>
                    <w:p>
                      <w:pPr>
                        <w:jc w:val="center"/>
                      </w:pPr>
                    </w:p>
                  </w:txbxContent>
                </v:textbox>
              </v:roundrect>
            </w:pict>
          </mc:Fallback>
        </mc:AlternateContent>
      </w:r>
      <w:r>
        <w:rPr>
          <w:rFonts w:hint="eastAsia" w:ascii="黑体" w:hAnsi="黑体" w:eastAsia="黑体" w:cs="黑体"/>
          <w:b/>
          <w:sz w:val="32"/>
          <w:szCs w:val="32"/>
        </w:rPr>
        <w:t>采购人：成都市国土规划地籍事务中心</w:t>
      </w:r>
    </w:p>
    <w:p>
      <w:pPr>
        <w:spacing w:line="840" w:lineRule="exact"/>
        <w:ind w:firstLine="964" w:firstLineChars="300"/>
        <w:rPr>
          <w:rFonts w:ascii="黑体" w:hAnsi="黑体" w:eastAsia="黑体" w:cs="黑体"/>
          <w:b/>
          <w:sz w:val="32"/>
          <w:szCs w:val="32"/>
        </w:rPr>
      </w:pPr>
      <w:r>
        <w:rPr>
          <w:rFonts w:hint="eastAsia" w:ascii="黑体" w:hAnsi="黑体" w:eastAsia="黑体" w:cs="黑体"/>
          <w:b/>
          <w:sz w:val="32"/>
          <w:szCs w:val="32"/>
        </w:rPr>
        <w:t>采购代理机构：四川雄烽建设工程管理有限公司</w:t>
      </w:r>
    </w:p>
    <w:p>
      <w:pPr>
        <w:spacing w:line="840" w:lineRule="exact"/>
        <w:ind w:firstLine="3534" w:firstLineChars="1100"/>
        <w:rPr>
          <w:rFonts w:ascii="黑体" w:hAnsi="黑体" w:eastAsia="黑体" w:cs="黑体"/>
          <w:b/>
          <w:bCs/>
          <w:sz w:val="32"/>
          <w:szCs w:val="32"/>
          <w:lang w:val="zh-CN"/>
        </w:rPr>
      </w:pPr>
      <w:bookmarkStart w:id="0" w:name="PO_年份小写_1"/>
      <w:r>
        <w:rPr>
          <w:rFonts w:hint="eastAsia" w:ascii="黑体" w:hAnsi="黑体" w:eastAsia="黑体" w:cs="黑体"/>
          <w:b/>
          <w:bCs/>
          <w:sz w:val="32"/>
          <w:szCs w:val="32"/>
          <w:lang w:val="zh-CN"/>
        </w:rPr>
        <w:t>二</w:t>
      </w:r>
      <w:bookmarkEnd w:id="0"/>
      <w:r>
        <w:rPr>
          <w:rFonts w:hint="eastAsia" w:ascii="黑体" w:hAnsi="黑体" w:eastAsia="黑体" w:cs="黑体"/>
          <w:b/>
          <w:bCs/>
          <w:sz w:val="32"/>
          <w:szCs w:val="32"/>
          <w:lang w:val="zh-CN"/>
        </w:rPr>
        <w:t>〇二一年</w:t>
      </w:r>
      <w:r>
        <w:rPr>
          <w:rFonts w:hint="eastAsia" w:ascii="黑体" w:hAnsi="黑体" w:eastAsia="黑体" w:cs="黑体"/>
          <w:b/>
          <w:bCs/>
          <w:sz w:val="32"/>
          <w:szCs w:val="32"/>
        </w:rPr>
        <w:t>十</w:t>
      </w:r>
      <w:r>
        <w:rPr>
          <w:rFonts w:hint="eastAsia" w:ascii="黑体" w:hAnsi="黑体" w:eastAsia="黑体" w:cs="黑体"/>
          <w:b/>
          <w:bCs/>
          <w:sz w:val="32"/>
          <w:szCs w:val="32"/>
          <w:lang w:val="zh-CN"/>
        </w:rPr>
        <w:t>月</w:t>
      </w:r>
    </w:p>
    <w:p>
      <w:pPr>
        <w:pStyle w:val="100"/>
        <w:spacing w:line="360" w:lineRule="auto"/>
        <w:jc w:val="center"/>
        <w:rPr>
          <w:rFonts w:ascii="Times New Roman" w:hAnsi="Times New Roman" w:eastAsia="微软雅黑" w:cs="Times New Roman"/>
          <w:b w:val="0"/>
          <w:bCs w:val="0"/>
          <w:color w:val="auto"/>
          <w:kern w:val="2"/>
          <w:sz w:val="24"/>
          <w:szCs w:val="24"/>
          <w:lang w:val="zh-CN"/>
        </w:rPr>
        <w:sectPr>
          <w:headerReference r:id="rId5" w:type="first"/>
          <w:footerReference r:id="rId8" w:type="first"/>
          <w:headerReference r:id="rId3" w:type="default"/>
          <w:footerReference r:id="rId6" w:type="default"/>
          <w:headerReference r:id="rId4" w:type="even"/>
          <w:footerReference r:id="rId7" w:type="even"/>
          <w:pgSz w:w="11907" w:h="16840"/>
          <w:pgMar w:top="1134" w:right="1134" w:bottom="1134" w:left="1134" w:header="851" w:footer="850" w:gutter="0"/>
          <w:pgNumType w:fmt="decimal" w:start="1"/>
          <w:cols w:space="0" w:num="1"/>
          <w:docGrid w:type="lines" w:linePitch="312" w:charSpace="0"/>
        </w:sectPr>
      </w:pPr>
    </w:p>
    <w:p>
      <w:pPr>
        <w:spacing w:beforeLines="50"/>
        <w:jc w:val="center"/>
        <w:rPr>
          <w:b/>
          <w:bCs/>
          <w:sz w:val="32"/>
          <w:szCs w:val="40"/>
        </w:rPr>
      </w:pPr>
      <w:bookmarkStart w:id="1" w:name="_Toc29867_WPSOffice_Level1"/>
      <w:bookmarkStart w:id="2" w:name="_Toc5004981"/>
      <w:bookmarkStart w:id="3" w:name="_Toc511206475"/>
      <w:r>
        <w:rPr>
          <w:rFonts w:ascii="宋体" w:hAnsi="宋体"/>
          <w:b/>
          <w:bCs/>
          <w:sz w:val="32"/>
          <w:szCs w:val="40"/>
        </w:rPr>
        <w:t>目</w:t>
      </w:r>
      <w:r>
        <w:rPr>
          <w:rFonts w:hint="eastAsia" w:ascii="宋体" w:hAnsi="宋体"/>
          <w:b/>
          <w:bCs/>
          <w:sz w:val="32"/>
          <w:szCs w:val="40"/>
        </w:rPr>
        <w:t xml:space="preserve"> </w:t>
      </w:r>
      <w:r>
        <w:rPr>
          <w:rFonts w:ascii="宋体" w:hAnsi="宋体"/>
          <w:b/>
          <w:bCs/>
          <w:sz w:val="32"/>
          <w:szCs w:val="40"/>
        </w:rPr>
        <w:t>录</w:t>
      </w:r>
    </w:p>
    <w:p>
      <w:pPr>
        <w:pStyle w:val="22"/>
        <w:tabs>
          <w:tab w:val="right" w:leader="dot" w:pos="9639"/>
        </w:tabs>
        <w:spacing w:line="380" w:lineRule="exact"/>
        <w:rPr>
          <w:rFonts w:ascii="宋体" w:hAnsi="宋体" w:eastAsia="宋体" w:cs="宋体"/>
          <w:b/>
          <w:bCs/>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r>
        <w:fldChar w:fldCharType="begin"/>
      </w:r>
      <w:r>
        <w:instrText xml:space="preserve"> HYPERLINK \l "_Toc25408" </w:instrText>
      </w:r>
      <w:r>
        <w:fldChar w:fldCharType="separate"/>
      </w:r>
      <w:r>
        <w:rPr>
          <w:rFonts w:hint="eastAsia" w:ascii="宋体" w:hAnsi="宋体" w:eastAsia="宋体" w:cs="宋体"/>
          <w:b/>
          <w:bCs/>
          <w:sz w:val="21"/>
          <w:szCs w:val="21"/>
        </w:rPr>
        <w:t>第一章  磋商邀请</w:t>
      </w:r>
      <w:r>
        <w:rPr>
          <w:rFonts w:hint="eastAsia" w:ascii="宋体" w:hAnsi="宋体" w:eastAsia="宋体" w:cs="宋体"/>
          <w:b/>
          <w:bCs/>
          <w:sz w:val="21"/>
          <w:szCs w:val="21"/>
        </w:rPr>
        <w:tab/>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PAGEREF _Toc25408 \h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3</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22"/>
        <w:tabs>
          <w:tab w:val="right" w:leader="dot" w:pos="9639"/>
        </w:tabs>
        <w:spacing w:line="380" w:lineRule="exact"/>
        <w:rPr>
          <w:rFonts w:ascii="宋体" w:hAnsi="宋体" w:eastAsia="宋体" w:cs="宋体"/>
          <w:sz w:val="21"/>
          <w:szCs w:val="21"/>
        </w:rPr>
      </w:pPr>
      <w:r>
        <w:fldChar w:fldCharType="begin"/>
      </w:r>
      <w:r>
        <w:instrText xml:space="preserve"> HYPERLINK \l "_Toc28489" </w:instrText>
      </w:r>
      <w:r>
        <w:fldChar w:fldCharType="separate"/>
      </w:r>
      <w:r>
        <w:rPr>
          <w:rFonts w:hint="eastAsia" w:ascii="宋体" w:hAnsi="宋体" w:eastAsia="宋体" w:cs="宋体"/>
          <w:b/>
          <w:bCs/>
          <w:sz w:val="21"/>
          <w:szCs w:val="21"/>
        </w:rPr>
        <w:t>第二章  磋商须知</w:t>
      </w:r>
      <w:r>
        <w:rPr>
          <w:rFonts w:hint="eastAsia" w:ascii="宋体" w:hAnsi="宋体" w:eastAsia="宋体" w:cs="宋体"/>
          <w:b/>
          <w:bCs/>
          <w:sz w:val="21"/>
          <w:szCs w:val="21"/>
        </w:rPr>
        <w:tab/>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PAGEREF _Toc28489 \h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6</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"_Toc21727" </w:instrText>
      </w:r>
      <w:r>
        <w:fldChar w:fldCharType="separate"/>
      </w:r>
      <w:r>
        <w:rPr>
          <w:rFonts w:hint="eastAsia" w:ascii="宋体" w:hAnsi="宋体" w:cs="宋体"/>
          <w:szCs w:val="21"/>
        </w:rPr>
        <w:t>一、供应商须知附表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_Toc21727 \h </w:instrText>
      </w:r>
      <w:r>
        <w:rPr>
          <w:rFonts w:hint="eastAsia" w:ascii="宋体" w:hAnsi="宋体" w:cs="宋体"/>
          <w:szCs w:val="21"/>
        </w:rPr>
        <w:fldChar w:fldCharType="separate"/>
      </w:r>
      <w:r>
        <w:rPr>
          <w:rFonts w:hint="eastAsia" w:ascii="宋体" w:hAnsi="宋体" w:cs="宋体"/>
          <w:szCs w:val="21"/>
        </w:rPr>
        <w:t>6</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"_Toc30207" </w:instrText>
      </w:r>
      <w:r>
        <w:fldChar w:fldCharType="separate"/>
      </w:r>
      <w:r>
        <w:rPr>
          <w:rFonts w:hint="eastAsia" w:ascii="宋体" w:hAnsi="宋体" w:cs="宋体"/>
          <w:szCs w:val="21"/>
        </w:rPr>
        <w:t>二、总  则</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_Toc30207 \h </w:instrText>
      </w:r>
      <w:r>
        <w:rPr>
          <w:rFonts w:hint="eastAsia" w:ascii="宋体" w:hAnsi="宋体" w:cs="宋体"/>
          <w:szCs w:val="21"/>
        </w:rPr>
        <w:fldChar w:fldCharType="separate"/>
      </w:r>
      <w:r>
        <w:rPr>
          <w:rFonts w:hint="eastAsia" w:ascii="宋体" w:hAnsi="宋体" w:cs="宋体"/>
          <w:szCs w:val="21"/>
        </w:rPr>
        <w:t>11</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"_Toc4133" </w:instrText>
      </w:r>
      <w:r>
        <w:fldChar w:fldCharType="separate"/>
      </w:r>
      <w:r>
        <w:rPr>
          <w:rFonts w:hint="eastAsia" w:ascii="宋体" w:hAnsi="宋体" w:cs="宋体"/>
          <w:szCs w:val="21"/>
        </w:rPr>
        <w:t>三、磋商文件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_Toc4133 \h </w:instrText>
      </w:r>
      <w:r>
        <w:rPr>
          <w:rFonts w:hint="eastAsia" w:ascii="宋体" w:hAnsi="宋体" w:cs="宋体"/>
          <w:szCs w:val="21"/>
        </w:rPr>
        <w:fldChar w:fldCharType="separate"/>
      </w:r>
      <w:r>
        <w:rPr>
          <w:rFonts w:hint="eastAsia" w:ascii="宋体" w:hAnsi="宋体" w:cs="宋体"/>
          <w:szCs w:val="21"/>
        </w:rPr>
        <w:t>12</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"_Toc12177" </w:instrText>
      </w:r>
      <w:r>
        <w:fldChar w:fldCharType="separate"/>
      </w:r>
      <w:r>
        <w:rPr>
          <w:rFonts w:hint="eastAsia" w:ascii="宋体" w:hAnsi="宋体" w:cs="宋体"/>
          <w:szCs w:val="21"/>
        </w:rPr>
        <w:t>四、响应文件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_Toc12177 \h </w:instrText>
      </w:r>
      <w:r>
        <w:rPr>
          <w:rFonts w:hint="eastAsia" w:ascii="宋体" w:hAnsi="宋体" w:cs="宋体"/>
          <w:szCs w:val="21"/>
        </w:rPr>
        <w:fldChar w:fldCharType="separate"/>
      </w:r>
      <w:r>
        <w:rPr>
          <w:rFonts w:hint="eastAsia" w:ascii="宋体" w:hAnsi="宋体" w:cs="宋体"/>
          <w:szCs w:val="21"/>
        </w:rPr>
        <w:t>13</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"_Toc5226" </w:instrText>
      </w:r>
      <w:r>
        <w:fldChar w:fldCharType="separate"/>
      </w:r>
      <w:r>
        <w:rPr>
          <w:rFonts w:hint="eastAsia" w:ascii="宋体" w:hAnsi="宋体" w:cs="宋体"/>
          <w:szCs w:val="21"/>
        </w:rPr>
        <w:t>五、评审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_Toc5226 \h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"_Toc13942" </w:instrText>
      </w:r>
      <w:r>
        <w:fldChar w:fldCharType="separate"/>
      </w:r>
      <w:r>
        <w:rPr>
          <w:rFonts w:hint="eastAsia" w:ascii="宋体" w:hAnsi="宋体" w:cs="宋体"/>
          <w:szCs w:val="21"/>
        </w:rPr>
        <w:t>六、成交事项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_Toc13942 \h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"_Toc20668" </w:instrText>
      </w:r>
      <w:r>
        <w:fldChar w:fldCharType="separate"/>
      </w:r>
      <w:r>
        <w:rPr>
          <w:rFonts w:hint="eastAsia" w:ascii="宋体" w:hAnsi="宋体" w:cs="宋体"/>
          <w:szCs w:val="21"/>
        </w:rPr>
        <w:t>七、合同事项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_Toc20668 \h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"_Toc27159" </w:instrText>
      </w:r>
      <w:r>
        <w:fldChar w:fldCharType="separate"/>
      </w:r>
      <w:r>
        <w:rPr>
          <w:rFonts w:hint="eastAsia" w:ascii="宋体" w:hAnsi="宋体" w:cs="宋体"/>
          <w:szCs w:val="21"/>
        </w:rPr>
        <w:t>八、磋商纪律要求</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_Toc27159 \h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"_Toc26926" </w:instrText>
      </w:r>
      <w:r>
        <w:fldChar w:fldCharType="separate"/>
      </w:r>
      <w:r>
        <w:rPr>
          <w:rFonts w:hint="eastAsia" w:ascii="宋体" w:hAnsi="宋体" w:cs="宋体"/>
          <w:szCs w:val="21"/>
        </w:rPr>
        <w:t>九、询问、质疑和投诉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_Toc26926 \h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"_Toc16225" </w:instrText>
      </w:r>
      <w:r>
        <w:fldChar w:fldCharType="separate"/>
      </w:r>
      <w:r>
        <w:rPr>
          <w:rFonts w:hint="eastAsia" w:ascii="宋体" w:hAnsi="宋体" w:cs="宋体"/>
          <w:szCs w:val="21"/>
        </w:rPr>
        <w:t>十、其  他</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_Toc16225 \h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22"/>
        <w:tabs>
          <w:tab w:val="right" w:leader="dot" w:pos="9639"/>
        </w:tabs>
        <w:spacing w:line="380" w:lineRule="exact"/>
        <w:rPr>
          <w:rFonts w:ascii="宋体" w:hAnsi="宋体" w:eastAsia="宋体" w:cs="宋体"/>
          <w:b/>
          <w:bCs/>
          <w:sz w:val="21"/>
          <w:szCs w:val="21"/>
        </w:rPr>
      </w:pPr>
      <w:r>
        <w:fldChar w:fldCharType="begin"/>
      </w:r>
      <w:r>
        <w:instrText xml:space="preserve"> HYPERLINK \l "_Toc25492" </w:instrText>
      </w:r>
      <w:r>
        <w:fldChar w:fldCharType="separate"/>
      </w:r>
      <w:r>
        <w:rPr>
          <w:rFonts w:hint="eastAsia" w:ascii="宋体" w:hAnsi="宋体" w:eastAsia="宋体" w:cs="宋体"/>
          <w:b/>
          <w:bCs/>
          <w:sz w:val="21"/>
          <w:szCs w:val="21"/>
        </w:rPr>
        <w:t>第三章  供应商的资格条件要求</w:t>
      </w:r>
      <w:r>
        <w:rPr>
          <w:rFonts w:hint="eastAsia" w:ascii="宋体" w:hAnsi="宋体" w:eastAsia="宋体" w:cs="宋体"/>
          <w:b/>
          <w:bCs/>
          <w:sz w:val="21"/>
          <w:szCs w:val="21"/>
        </w:rPr>
        <w:tab/>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PAGEREF _Toc25492 \h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20</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22"/>
        <w:tabs>
          <w:tab w:val="right" w:leader="dot" w:pos="9639"/>
        </w:tabs>
        <w:spacing w:line="380" w:lineRule="exact"/>
        <w:rPr>
          <w:rFonts w:ascii="宋体" w:hAnsi="宋体" w:eastAsia="宋体" w:cs="宋体"/>
          <w:sz w:val="21"/>
          <w:szCs w:val="21"/>
        </w:rPr>
      </w:pPr>
      <w:r>
        <w:fldChar w:fldCharType="begin"/>
      </w:r>
      <w:r>
        <w:instrText xml:space="preserve"> HYPERLINK \l "_Toc24326" </w:instrText>
      </w:r>
      <w:r>
        <w:fldChar w:fldCharType="separate"/>
      </w:r>
      <w:r>
        <w:rPr>
          <w:rFonts w:hint="eastAsia" w:ascii="宋体" w:hAnsi="宋体" w:eastAsia="宋体" w:cs="宋体"/>
          <w:b/>
          <w:bCs/>
          <w:sz w:val="21"/>
          <w:szCs w:val="21"/>
        </w:rPr>
        <w:t>第四章  供应商应当提供的资格、资质性及其他类似效力要求的相关证明材料</w:t>
      </w:r>
      <w:r>
        <w:rPr>
          <w:rFonts w:hint="eastAsia" w:ascii="宋体" w:hAnsi="宋体" w:eastAsia="宋体" w:cs="宋体"/>
          <w:b/>
          <w:bCs/>
          <w:sz w:val="21"/>
          <w:szCs w:val="21"/>
        </w:rPr>
        <w:tab/>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PAGEREF _Toc24326 \h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21</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"_Toc24382" </w:instrText>
      </w:r>
      <w:r>
        <w:fldChar w:fldCharType="separate"/>
      </w:r>
      <w:r>
        <w:rPr>
          <w:rFonts w:hint="eastAsia" w:ascii="宋体" w:hAnsi="宋体" w:cs="宋体"/>
          <w:szCs w:val="21"/>
        </w:rPr>
        <w:t>一、供应商应提交的资格、资质性证明材料</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_Toc24382 \h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"_Toc18137" </w:instrText>
      </w:r>
      <w:r>
        <w:fldChar w:fldCharType="separate"/>
      </w:r>
      <w:r>
        <w:rPr>
          <w:rFonts w:hint="eastAsia" w:ascii="宋体" w:hAnsi="宋体" w:cs="宋体"/>
          <w:szCs w:val="21"/>
        </w:rPr>
        <w:t>二、其他类似效力要求相关证明材料：</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_Toc18137 \h </w:instrText>
      </w:r>
      <w:r>
        <w:rPr>
          <w:rFonts w:hint="eastAsia" w:ascii="宋体" w:hAnsi="宋体" w:cs="宋体"/>
          <w:szCs w:val="21"/>
        </w:rPr>
        <w:fldChar w:fldCharType="separate"/>
      </w:r>
      <w:r>
        <w:rPr>
          <w:rFonts w:hint="eastAsia" w:ascii="宋体" w:hAnsi="宋体" w:cs="宋体"/>
          <w:szCs w:val="21"/>
        </w:rPr>
        <w:t>22</w:t>
      </w:r>
      <w:r>
        <w:rPr>
          <w:rFonts w:hint="eastAsia" w:ascii="宋体" w:hAnsi="宋体" w:cs="宋体"/>
          <w:szCs w:val="21"/>
        </w:rPr>
        <w:fldChar w:fldCharType="end"/>
      </w:r>
      <w:r>
        <w:rPr>
          <w:rFonts w:hint="eastAsia" w:ascii="宋体" w:hAnsi="宋体" w:cs="宋体"/>
          <w:szCs w:val="21"/>
        </w:rPr>
        <w:fldChar w:fldCharType="end"/>
      </w:r>
    </w:p>
    <w:p>
      <w:pPr>
        <w:pStyle w:val="22"/>
        <w:tabs>
          <w:tab w:val="right" w:leader="dot" w:pos="9639"/>
        </w:tabs>
        <w:spacing w:line="380" w:lineRule="exact"/>
        <w:rPr>
          <w:rFonts w:ascii="宋体" w:hAnsi="宋体" w:eastAsia="宋体" w:cs="宋体"/>
          <w:b/>
          <w:bCs/>
          <w:sz w:val="21"/>
          <w:szCs w:val="21"/>
        </w:rPr>
      </w:pPr>
      <w:r>
        <w:fldChar w:fldCharType="begin"/>
      </w:r>
      <w:r>
        <w:instrText xml:space="preserve"> HYPERLINK \l "_Toc22385" </w:instrText>
      </w:r>
      <w:r>
        <w:fldChar w:fldCharType="separate"/>
      </w:r>
      <w:r>
        <w:rPr>
          <w:rFonts w:hint="eastAsia" w:ascii="宋体" w:hAnsi="宋体" w:eastAsia="宋体" w:cs="宋体"/>
          <w:b/>
          <w:bCs/>
          <w:sz w:val="21"/>
          <w:szCs w:val="21"/>
        </w:rPr>
        <w:t>第五章  采购项目技术、服务、采购合同内容条款及商务要求</w:t>
      </w:r>
      <w:r>
        <w:rPr>
          <w:rFonts w:hint="eastAsia" w:ascii="宋体" w:hAnsi="宋体" w:eastAsia="宋体" w:cs="宋体"/>
          <w:b/>
          <w:bCs/>
          <w:sz w:val="21"/>
          <w:szCs w:val="21"/>
        </w:rPr>
        <w:tab/>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PAGEREF _Toc22385 \h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val="en-US" w:eastAsia="zh-CN"/>
        </w:rPr>
        <w:t>24</w:t>
      </w:r>
      <w:r>
        <w:rPr>
          <w:b/>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22"/>
        <w:tabs>
          <w:tab w:val="right" w:leader="dot" w:pos="9639"/>
        </w:tabs>
        <w:spacing w:line="380" w:lineRule="exact"/>
        <w:rPr>
          <w:rFonts w:ascii="宋体" w:hAnsi="宋体" w:eastAsia="宋体" w:cs="宋体"/>
          <w:b/>
          <w:bCs/>
          <w:sz w:val="21"/>
          <w:szCs w:val="21"/>
        </w:rPr>
      </w:pPr>
      <w:r>
        <w:fldChar w:fldCharType="begin"/>
      </w:r>
      <w:r>
        <w:instrText xml:space="preserve"> HYPERLINK \l "_Toc3807" </w:instrText>
      </w:r>
      <w:r>
        <w:fldChar w:fldCharType="separate"/>
      </w:r>
      <w:r>
        <w:rPr>
          <w:rFonts w:hint="eastAsia" w:ascii="宋体" w:hAnsi="宋体" w:eastAsia="宋体" w:cs="宋体"/>
          <w:b/>
          <w:bCs/>
          <w:sz w:val="21"/>
          <w:szCs w:val="21"/>
        </w:rPr>
        <w:t>第六章  磋商内容、磋商过程中可实质性变动的内容</w:t>
      </w:r>
      <w:r>
        <w:rPr>
          <w:rFonts w:hint="eastAsia" w:ascii="宋体" w:hAnsi="宋体" w:eastAsia="宋体" w:cs="宋体"/>
          <w:b/>
          <w:bCs/>
          <w:sz w:val="21"/>
          <w:szCs w:val="21"/>
        </w:rPr>
        <w:tab/>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PAGEREF _Toc3807 \h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27</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22"/>
        <w:tabs>
          <w:tab w:val="right" w:leader="dot" w:pos="9639"/>
        </w:tabs>
        <w:spacing w:line="380" w:lineRule="exact"/>
        <w:rPr>
          <w:rFonts w:ascii="宋体" w:hAnsi="宋体" w:eastAsia="宋体" w:cs="宋体"/>
          <w:sz w:val="21"/>
          <w:szCs w:val="21"/>
        </w:rPr>
      </w:pPr>
      <w:r>
        <w:fldChar w:fldCharType="begin"/>
      </w:r>
      <w:r>
        <w:instrText xml:space="preserve"> HYPERLINK \l "_Toc11943" </w:instrText>
      </w:r>
      <w:r>
        <w:fldChar w:fldCharType="separate"/>
      </w:r>
      <w:r>
        <w:rPr>
          <w:rFonts w:hint="eastAsia" w:ascii="宋体" w:hAnsi="宋体" w:eastAsia="宋体" w:cs="宋体"/>
          <w:b/>
          <w:bCs/>
          <w:sz w:val="21"/>
          <w:szCs w:val="21"/>
        </w:rPr>
        <w:t>第七章  响应文件格式</w:t>
      </w:r>
      <w:r>
        <w:rPr>
          <w:rFonts w:hint="eastAsia" w:ascii="宋体" w:hAnsi="宋体" w:eastAsia="宋体" w:cs="宋体"/>
          <w:b/>
          <w:bCs/>
          <w:sz w:val="21"/>
          <w:szCs w:val="21"/>
        </w:rPr>
        <w:tab/>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PAGEREF _Toc11943 \h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28</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"_Toc14345" </w:instrText>
      </w:r>
      <w:r>
        <w:fldChar w:fldCharType="separate"/>
      </w:r>
      <w:r>
        <w:rPr>
          <w:rFonts w:hint="eastAsia" w:ascii="宋体" w:hAnsi="宋体" w:cs="宋体"/>
          <w:szCs w:val="21"/>
        </w:rPr>
        <w:t>第一部分 资格性响应文件（格式）</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_Toc14345 \h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"_Toc28900" </w:instrText>
      </w:r>
      <w:r>
        <w:fldChar w:fldCharType="separate"/>
      </w:r>
      <w:r>
        <w:rPr>
          <w:rFonts w:hint="eastAsia" w:ascii="宋体" w:hAnsi="宋体" w:cs="宋体"/>
          <w:szCs w:val="21"/>
        </w:rPr>
        <w:t>一、法定代表人/负责人授权书</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_Toc28900 \h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"_Toc28067" </w:instrText>
      </w:r>
      <w:r>
        <w:fldChar w:fldCharType="separate"/>
      </w:r>
      <w:r>
        <w:rPr>
          <w:rFonts w:hint="eastAsia" w:ascii="宋体" w:hAnsi="宋体" w:cs="宋体"/>
          <w:szCs w:val="21"/>
        </w:rPr>
        <w:t>一、法定代表人（负责人）身份证明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_Toc28067 \h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"_Toc27792" </w:instrText>
      </w:r>
      <w:r>
        <w:fldChar w:fldCharType="separate"/>
      </w:r>
      <w:r>
        <w:rPr>
          <w:rFonts w:hint="eastAsia" w:ascii="宋体" w:hAnsi="宋体" w:cs="宋体"/>
          <w:szCs w:val="21"/>
        </w:rPr>
        <w:t>二、承诺函</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_Toc27792 \h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"_Toc3615" </w:instrText>
      </w:r>
      <w:r>
        <w:fldChar w:fldCharType="separate"/>
      </w:r>
      <w:r>
        <w:rPr>
          <w:rFonts w:hint="eastAsia" w:ascii="宋体" w:hAnsi="宋体" w:cs="宋体"/>
          <w:szCs w:val="21"/>
        </w:rPr>
        <w:t>三、中小企业声明函（服务）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_Toc3615 \h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"_Toc9181" </w:instrText>
      </w:r>
      <w:r>
        <w:fldChar w:fldCharType="separate"/>
      </w:r>
      <w:r>
        <w:rPr>
          <w:rFonts w:hint="eastAsia" w:ascii="宋体" w:hAnsi="宋体" w:cs="宋体"/>
          <w:szCs w:val="21"/>
        </w:rPr>
        <w:t>四、供应商资格、资质性及其他类似效力要求的相关证明材料</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_Toc9181 \h </w:instrText>
      </w:r>
      <w:r>
        <w:rPr>
          <w:rFonts w:hint="eastAsia" w:ascii="宋体" w:hAnsi="宋体" w:cs="宋体"/>
          <w:szCs w:val="21"/>
        </w:rPr>
        <w:fldChar w:fldCharType="separate"/>
      </w:r>
      <w:r>
        <w:rPr>
          <w:rFonts w:hint="eastAsia" w:ascii="宋体" w:hAnsi="宋体" w:cs="宋体"/>
          <w:szCs w:val="21"/>
        </w:rPr>
        <w:t>36</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"_Toc13071" </w:instrText>
      </w:r>
      <w:r>
        <w:fldChar w:fldCharType="separate"/>
      </w:r>
      <w:r>
        <w:rPr>
          <w:rFonts w:hint="eastAsia" w:ascii="宋体" w:hAnsi="宋体" w:cs="宋体"/>
          <w:szCs w:val="21"/>
        </w:rPr>
        <w:t>第二部分 其他响应文件（格式）</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_Toc13071 \h </w:instrText>
      </w:r>
      <w:r>
        <w:rPr>
          <w:rFonts w:hint="eastAsia" w:ascii="宋体" w:hAnsi="宋体" w:cs="宋体"/>
          <w:szCs w:val="21"/>
        </w:rPr>
        <w:fldChar w:fldCharType="separate"/>
      </w:r>
      <w:r>
        <w:rPr>
          <w:rFonts w:hint="eastAsia" w:ascii="宋体" w:hAnsi="宋体" w:cs="宋体"/>
          <w:szCs w:val="21"/>
        </w:rPr>
        <w:t>37</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"_Toc5414" </w:instrText>
      </w:r>
      <w:r>
        <w:fldChar w:fldCharType="separate"/>
      </w:r>
      <w:r>
        <w:rPr>
          <w:rFonts w:hint="eastAsia" w:ascii="宋体" w:hAnsi="宋体" w:cs="宋体"/>
          <w:szCs w:val="21"/>
        </w:rPr>
        <w:t>一、报价函</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_Toc5414 \h </w:instrText>
      </w:r>
      <w:r>
        <w:rPr>
          <w:rFonts w:hint="eastAsia" w:ascii="宋体" w:hAnsi="宋体" w:cs="宋体"/>
          <w:szCs w:val="21"/>
        </w:rPr>
        <w:fldChar w:fldCharType="separate"/>
      </w:r>
      <w:r>
        <w:rPr>
          <w:rFonts w:hint="eastAsia" w:ascii="宋体" w:hAnsi="宋体" w:cs="宋体"/>
          <w:szCs w:val="21"/>
        </w:rPr>
        <w:t>40</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"_Toc32008" </w:instrText>
      </w:r>
      <w:r>
        <w:fldChar w:fldCharType="separate"/>
      </w:r>
      <w:r>
        <w:rPr>
          <w:rFonts w:hint="eastAsia" w:ascii="宋体" w:hAnsi="宋体" w:cs="宋体"/>
          <w:szCs w:val="21"/>
        </w:rPr>
        <w:t>二、分项报价明细表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_Toc32008 \h </w:instrText>
      </w:r>
      <w:r>
        <w:rPr>
          <w:rFonts w:hint="eastAsia" w:ascii="宋体" w:hAnsi="宋体" w:cs="宋体"/>
          <w:szCs w:val="21"/>
        </w:rPr>
        <w:fldChar w:fldCharType="separate"/>
      </w:r>
      <w:r>
        <w:rPr>
          <w:rFonts w:hint="eastAsia" w:ascii="宋体" w:hAnsi="宋体" w:cs="宋体"/>
          <w:szCs w:val="21"/>
        </w:rPr>
        <w:t>41</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"_Toc9053" </w:instrText>
      </w:r>
      <w:r>
        <w:fldChar w:fldCharType="separate"/>
      </w:r>
      <w:r>
        <w:rPr>
          <w:rFonts w:hint="eastAsia" w:ascii="宋体" w:hAnsi="宋体" w:cs="宋体"/>
          <w:szCs w:val="21"/>
        </w:rPr>
        <w:t>三、承诺函</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_Toc9053 \h </w:instrText>
      </w:r>
      <w:r>
        <w:rPr>
          <w:rFonts w:hint="eastAsia" w:ascii="宋体" w:hAnsi="宋体" w:cs="宋体"/>
          <w:szCs w:val="21"/>
        </w:rPr>
        <w:fldChar w:fldCharType="separate"/>
      </w:r>
      <w:r>
        <w:rPr>
          <w:rFonts w:hint="eastAsia" w:ascii="宋体" w:hAnsi="宋体" w:cs="宋体"/>
          <w:szCs w:val="21"/>
        </w:rPr>
        <w:t>41</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"_Toc15647" </w:instrText>
      </w:r>
      <w:r>
        <w:fldChar w:fldCharType="separate"/>
      </w:r>
      <w:r>
        <w:rPr>
          <w:rFonts w:hint="eastAsia" w:ascii="宋体" w:hAnsi="宋体" w:cs="宋体"/>
          <w:szCs w:val="21"/>
        </w:rPr>
        <w:t>四、服务方案</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_Toc15647 \h </w:instrText>
      </w:r>
      <w:r>
        <w:rPr>
          <w:rFonts w:hint="eastAsia" w:ascii="宋体" w:hAnsi="宋体" w:cs="宋体"/>
          <w:szCs w:val="21"/>
        </w:rPr>
        <w:fldChar w:fldCharType="separate"/>
      </w:r>
      <w:r>
        <w:rPr>
          <w:rFonts w:hint="eastAsia" w:ascii="宋体" w:hAnsi="宋体" w:cs="宋体"/>
          <w:szCs w:val="21"/>
        </w:rPr>
        <w:t>43</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"_Toc5507" </w:instrText>
      </w:r>
      <w:r>
        <w:fldChar w:fldCharType="separate"/>
      </w:r>
      <w:r>
        <w:rPr>
          <w:rFonts w:hint="eastAsia" w:ascii="宋体" w:hAnsi="宋体" w:cs="宋体"/>
          <w:szCs w:val="21"/>
        </w:rPr>
        <w:t>五、供应商基本情况表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_Toc5507 \h </w:instrText>
      </w:r>
      <w:r>
        <w:rPr>
          <w:rFonts w:hint="eastAsia" w:ascii="宋体" w:hAnsi="宋体" w:cs="宋体"/>
          <w:szCs w:val="21"/>
        </w:rPr>
        <w:fldChar w:fldCharType="separate"/>
      </w:r>
      <w:r>
        <w:rPr>
          <w:rFonts w:hint="eastAsia" w:ascii="宋体" w:hAnsi="宋体" w:cs="宋体"/>
          <w:szCs w:val="21"/>
        </w:rPr>
        <w:t>44</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"_Toc30604" </w:instrText>
      </w:r>
      <w:r>
        <w:fldChar w:fldCharType="separate"/>
      </w:r>
      <w:r>
        <w:rPr>
          <w:rFonts w:hint="eastAsia" w:ascii="宋体" w:hAnsi="宋体" w:cs="宋体"/>
          <w:szCs w:val="21"/>
        </w:rPr>
        <w:t>六、中小企业声明函（服务）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_Toc30604 \h </w:instrText>
      </w:r>
      <w:r>
        <w:rPr>
          <w:rFonts w:hint="eastAsia" w:ascii="宋体" w:hAnsi="宋体" w:cs="宋体"/>
          <w:szCs w:val="21"/>
        </w:rPr>
        <w:fldChar w:fldCharType="separate"/>
      </w:r>
      <w:r>
        <w:rPr>
          <w:rFonts w:hint="eastAsia" w:ascii="宋体" w:hAnsi="宋体" w:cs="宋体"/>
          <w:szCs w:val="21"/>
        </w:rPr>
        <w:t>45</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"_Toc15172" </w:instrText>
      </w:r>
      <w:r>
        <w:fldChar w:fldCharType="separate"/>
      </w:r>
      <w:r>
        <w:rPr>
          <w:rFonts w:hint="eastAsia" w:ascii="宋体" w:hAnsi="宋体" w:cs="宋体"/>
          <w:szCs w:val="21"/>
        </w:rPr>
        <w:t>七、残疾人福利性单位声明函（如涉及）</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_Toc15172 \h </w:instrText>
      </w:r>
      <w:r>
        <w:rPr>
          <w:rFonts w:hint="eastAsia" w:ascii="宋体" w:hAnsi="宋体" w:cs="宋体"/>
          <w:szCs w:val="21"/>
        </w:rPr>
        <w:fldChar w:fldCharType="separate"/>
      </w:r>
      <w:r>
        <w:rPr>
          <w:rFonts w:hint="eastAsia" w:ascii="宋体" w:hAnsi="宋体" w:cs="宋体"/>
          <w:szCs w:val="21"/>
        </w:rPr>
        <w:t>46</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"_Toc28753" </w:instrText>
      </w:r>
      <w:r>
        <w:fldChar w:fldCharType="separate"/>
      </w:r>
      <w:r>
        <w:rPr>
          <w:rFonts w:hint="eastAsia" w:ascii="宋体" w:hAnsi="宋体" w:cs="宋体"/>
          <w:szCs w:val="21"/>
        </w:rPr>
        <w:t>八、监狱企业相关证明材料（如涉及）</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_Toc28753 \h </w:instrText>
      </w:r>
      <w:r>
        <w:rPr>
          <w:rFonts w:hint="eastAsia" w:ascii="宋体" w:hAnsi="宋体" w:cs="宋体"/>
          <w:szCs w:val="21"/>
        </w:rPr>
        <w:fldChar w:fldCharType="separate"/>
      </w:r>
      <w:r>
        <w:rPr>
          <w:rFonts w:hint="eastAsia" w:ascii="宋体" w:hAnsi="宋体" w:cs="宋体"/>
          <w:szCs w:val="21"/>
        </w:rPr>
        <w:t>47</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"_Toc22397" </w:instrText>
      </w:r>
      <w:r>
        <w:fldChar w:fldCharType="separate"/>
      </w:r>
      <w:r>
        <w:rPr>
          <w:rFonts w:hint="eastAsia" w:ascii="宋体" w:hAnsi="宋体" w:cs="宋体"/>
          <w:szCs w:val="21"/>
        </w:rPr>
        <w:t>九、技术、服务要求应答表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_Toc22397 \h </w:instrText>
      </w:r>
      <w:r>
        <w:rPr>
          <w:rFonts w:hint="eastAsia" w:ascii="宋体" w:hAnsi="宋体" w:cs="宋体"/>
          <w:szCs w:val="21"/>
        </w:rPr>
        <w:fldChar w:fldCharType="separate"/>
      </w:r>
      <w:r>
        <w:rPr>
          <w:rFonts w:hint="eastAsia" w:ascii="宋体" w:hAnsi="宋体" w:cs="宋体"/>
          <w:szCs w:val="21"/>
        </w:rPr>
        <w:t>48</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"_Toc14902" </w:instrText>
      </w:r>
      <w:r>
        <w:fldChar w:fldCharType="separate"/>
      </w:r>
      <w:r>
        <w:rPr>
          <w:rFonts w:hint="eastAsia" w:ascii="宋体" w:hAnsi="宋体" w:cs="宋体"/>
          <w:szCs w:val="21"/>
        </w:rPr>
        <w:t>十、商务应答表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_Toc14902 \h </w:instrText>
      </w:r>
      <w:r>
        <w:rPr>
          <w:rFonts w:hint="eastAsia" w:ascii="宋体" w:hAnsi="宋体" w:cs="宋体"/>
          <w:szCs w:val="21"/>
        </w:rPr>
        <w:fldChar w:fldCharType="separate"/>
      </w:r>
      <w:r>
        <w:rPr>
          <w:rFonts w:hint="eastAsia" w:ascii="宋体" w:hAnsi="宋体" w:cs="宋体"/>
          <w:szCs w:val="21"/>
        </w:rPr>
        <w:t>49</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"_Toc1987" </w:instrText>
      </w:r>
      <w:r>
        <w:fldChar w:fldCharType="separate"/>
      </w:r>
      <w:r>
        <w:rPr>
          <w:rFonts w:hint="eastAsia" w:ascii="宋体" w:hAnsi="宋体" w:cs="宋体"/>
          <w:szCs w:val="21"/>
        </w:rPr>
        <w:t>十一、供应商类似项目业绩一览表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_Toc1987 \h </w:instrText>
      </w:r>
      <w:r>
        <w:rPr>
          <w:rFonts w:hint="eastAsia" w:ascii="宋体" w:hAnsi="宋体" w:cs="宋体"/>
          <w:szCs w:val="21"/>
        </w:rPr>
        <w:fldChar w:fldCharType="separate"/>
      </w:r>
      <w:r>
        <w:rPr>
          <w:rFonts w:hint="eastAsia" w:ascii="宋体" w:hAnsi="宋体" w:cs="宋体"/>
          <w:szCs w:val="21"/>
        </w:rPr>
        <w:t>50</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"_Toc17055" </w:instrText>
      </w:r>
      <w:r>
        <w:fldChar w:fldCharType="separate"/>
      </w:r>
      <w:r>
        <w:rPr>
          <w:rFonts w:hint="eastAsia" w:ascii="宋体" w:hAnsi="宋体" w:cs="宋体"/>
          <w:szCs w:val="21"/>
        </w:rPr>
        <w:t>十二、供应商本项目管理、技术、服务人员情况表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_Toc17055 \h </w:instrText>
      </w:r>
      <w:r>
        <w:rPr>
          <w:rFonts w:hint="eastAsia" w:ascii="宋体" w:hAnsi="宋体" w:cs="宋体"/>
          <w:szCs w:val="21"/>
        </w:rPr>
        <w:fldChar w:fldCharType="separate"/>
      </w:r>
      <w:r>
        <w:rPr>
          <w:rFonts w:hint="eastAsia" w:ascii="宋体" w:hAnsi="宋体" w:cs="宋体"/>
          <w:szCs w:val="21"/>
        </w:rPr>
        <w:t>51</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"_Toc22896" </w:instrText>
      </w:r>
      <w:r>
        <w:fldChar w:fldCharType="separate"/>
      </w:r>
      <w:r>
        <w:rPr>
          <w:rFonts w:hint="eastAsia" w:ascii="宋体" w:hAnsi="宋体" w:cs="宋体"/>
          <w:szCs w:val="21"/>
        </w:rPr>
        <w:t>十三、供应商诚信情况承诺函</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_Toc22896 \h </w:instrText>
      </w:r>
      <w:r>
        <w:rPr>
          <w:rFonts w:hint="eastAsia" w:ascii="宋体" w:hAnsi="宋体" w:cs="宋体"/>
          <w:szCs w:val="21"/>
        </w:rPr>
        <w:fldChar w:fldCharType="separate"/>
      </w:r>
      <w:r>
        <w:rPr>
          <w:rFonts w:hint="eastAsia" w:ascii="宋体" w:hAnsi="宋体" w:cs="宋体"/>
          <w:szCs w:val="21"/>
        </w:rPr>
        <w:t>52</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"_Toc26880" </w:instrText>
      </w:r>
      <w:r>
        <w:fldChar w:fldCharType="separate"/>
      </w:r>
      <w:r>
        <w:rPr>
          <w:rFonts w:hint="eastAsia" w:ascii="宋体" w:hAnsi="宋体" w:cs="宋体"/>
          <w:szCs w:val="21"/>
        </w:rPr>
        <w:t>十四、磋商文件要求的其他资料</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_Toc26880 \h </w:instrText>
      </w:r>
      <w:r>
        <w:rPr>
          <w:rFonts w:hint="eastAsia" w:ascii="宋体" w:hAnsi="宋体" w:cs="宋体"/>
          <w:szCs w:val="21"/>
        </w:rPr>
        <w:fldChar w:fldCharType="separate"/>
      </w:r>
      <w:r>
        <w:rPr>
          <w:rFonts w:hint="eastAsia" w:ascii="宋体" w:hAnsi="宋体" w:cs="宋体"/>
          <w:szCs w:val="21"/>
        </w:rPr>
        <w:t>53</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"_Toc32699" </w:instrText>
      </w:r>
      <w:r>
        <w:fldChar w:fldCharType="separate"/>
      </w:r>
      <w:r>
        <w:rPr>
          <w:rFonts w:hint="eastAsia" w:ascii="宋体" w:hAnsi="宋体" w:cs="宋体"/>
          <w:szCs w:val="21"/>
        </w:rPr>
        <w:t>十五、最终报价</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_Toc32699 \h </w:instrText>
      </w:r>
      <w:r>
        <w:rPr>
          <w:rFonts w:hint="eastAsia" w:ascii="宋体" w:hAnsi="宋体" w:cs="宋体"/>
          <w:szCs w:val="21"/>
        </w:rPr>
        <w:fldChar w:fldCharType="separate"/>
      </w:r>
      <w:r>
        <w:rPr>
          <w:rFonts w:hint="eastAsia" w:ascii="宋体" w:hAnsi="宋体" w:cs="宋体"/>
          <w:szCs w:val="21"/>
        </w:rPr>
        <w:t>54</w:t>
      </w:r>
      <w:r>
        <w:rPr>
          <w:rFonts w:hint="eastAsia" w:ascii="宋体" w:hAnsi="宋体" w:cs="宋体"/>
          <w:szCs w:val="21"/>
        </w:rPr>
        <w:fldChar w:fldCharType="end"/>
      </w:r>
      <w:r>
        <w:rPr>
          <w:rFonts w:hint="eastAsia" w:ascii="宋体" w:hAnsi="宋体" w:cs="宋体"/>
          <w:szCs w:val="21"/>
        </w:rPr>
        <w:fldChar w:fldCharType="end"/>
      </w:r>
    </w:p>
    <w:p>
      <w:pPr>
        <w:pStyle w:val="22"/>
        <w:tabs>
          <w:tab w:val="right" w:leader="dot" w:pos="9639"/>
        </w:tabs>
        <w:spacing w:line="380" w:lineRule="exact"/>
        <w:rPr>
          <w:rFonts w:ascii="宋体" w:hAnsi="宋体" w:eastAsia="宋体" w:cs="宋体"/>
          <w:sz w:val="21"/>
          <w:szCs w:val="21"/>
        </w:rPr>
      </w:pPr>
      <w:r>
        <w:fldChar w:fldCharType="begin"/>
      </w:r>
      <w:r>
        <w:instrText xml:space="preserve"> HYPERLINK \l "_Toc26361" </w:instrText>
      </w:r>
      <w:r>
        <w:fldChar w:fldCharType="separate"/>
      </w:r>
      <w:r>
        <w:rPr>
          <w:rFonts w:hint="eastAsia" w:ascii="宋体" w:hAnsi="宋体" w:eastAsia="宋体" w:cs="宋体"/>
          <w:b/>
          <w:bCs/>
          <w:sz w:val="21"/>
          <w:szCs w:val="21"/>
        </w:rPr>
        <w:t>第八章  评审方法</w:t>
      </w:r>
      <w:r>
        <w:rPr>
          <w:rFonts w:hint="eastAsia" w:ascii="宋体" w:hAnsi="宋体" w:eastAsia="宋体" w:cs="宋体"/>
          <w:b/>
          <w:bCs/>
          <w:sz w:val="21"/>
          <w:szCs w:val="21"/>
        </w:rPr>
        <w:tab/>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PAGEREF _Toc26361 \h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55</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"_Toc31714" </w:instrText>
      </w:r>
      <w:r>
        <w:fldChar w:fldCharType="separate"/>
      </w:r>
      <w:r>
        <w:rPr>
          <w:rFonts w:hint="eastAsia" w:ascii="宋体" w:hAnsi="宋体" w:cs="宋体"/>
          <w:szCs w:val="21"/>
        </w:rPr>
        <w:t>1.总则</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_Toc31714 \h </w:instrText>
      </w:r>
      <w:r>
        <w:rPr>
          <w:rFonts w:hint="eastAsia" w:ascii="宋体" w:hAnsi="宋体" w:cs="宋体"/>
          <w:szCs w:val="21"/>
        </w:rPr>
        <w:fldChar w:fldCharType="separate"/>
      </w:r>
      <w:r>
        <w:rPr>
          <w:rFonts w:hint="eastAsia" w:ascii="宋体" w:hAnsi="宋体" w:cs="宋体"/>
          <w:szCs w:val="21"/>
        </w:rPr>
        <w:t>55</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"_Toc13929" </w:instrText>
      </w:r>
      <w:r>
        <w:fldChar w:fldCharType="separate"/>
      </w:r>
      <w:r>
        <w:rPr>
          <w:rFonts w:hint="eastAsia" w:ascii="宋体" w:hAnsi="宋体" w:cs="宋体"/>
          <w:szCs w:val="21"/>
        </w:rPr>
        <w:t>2.磋商程序</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_Toc13929 \h </w:instrText>
      </w:r>
      <w:r>
        <w:rPr>
          <w:rFonts w:hint="eastAsia" w:ascii="宋体" w:hAnsi="宋体" w:cs="宋体"/>
          <w:szCs w:val="21"/>
        </w:rPr>
        <w:fldChar w:fldCharType="separate"/>
      </w:r>
      <w:r>
        <w:rPr>
          <w:rFonts w:hint="eastAsia" w:ascii="宋体" w:hAnsi="宋体" w:cs="宋体"/>
          <w:szCs w:val="21"/>
        </w:rPr>
        <w:t>55</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"_Toc20350" </w:instrText>
      </w:r>
      <w:r>
        <w:fldChar w:fldCharType="separate"/>
      </w:r>
      <w:r>
        <w:rPr>
          <w:rFonts w:hint="eastAsia" w:ascii="宋体" w:hAnsi="宋体" w:cs="宋体"/>
          <w:szCs w:val="21"/>
        </w:rPr>
        <w:t>3.综合评分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_Toc20350 \h </w:instrText>
      </w:r>
      <w:r>
        <w:rPr>
          <w:rFonts w:hint="eastAsia" w:ascii="宋体" w:hAnsi="宋体" w:cs="宋体"/>
          <w:szCs w:val="21"/>
        </w:rPr>
        <w:fldChar w:fldCharType="separate"/>
      </w:r>
      <w:r>
        <w:rPr>
          <w:rFonts w:hint="eastAsia" w:ascii="宋体" w:hAnsi="宋体" w:cs="宋体"/>
          <w:szCs w:val="21"/>
        </w:rPr>
        <w:t>60</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"_Toc19698" </w:instrText>
      </w:r>
      <w:r>
        <w:fldChar w:fldCharType="separate"/>
      </w:r>
      <w:r>
        <w:rPr>
          <w:rFonts w:hint="eastAsia" w:ascii="宋体" w:hAnsi="宋体" w:cs="宋体"/>
          <w:szCs w:val="21"/>
        </w:rPr>
        <w:t>4.磋商纪律及注意事项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_Toc19698 \h </w:instrText>
      </w:r>
      <w:r>
        <w:rPr>
          <w:rFonts w:hint="eastAsia" w:ascii="宋体" w:hAnsi="宋体" w:cs="宋体"/>
          <w:szCs w:val="21"/>
        </w:rPr>
        <w:fldChar w:fldCharType="separate"/>
      </w:r>
      <w:r>
        <w:rPr>
          <w:rFonts w:hint="eastAsia" w:ascii="宋体" w:hAnsi="宋体" w:cs="宋体"/>
          <w:szCs w:val="21"/>
        </w:rPr>
        <w:t>64</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"_Toc21095" </w:instrText>
      </w:r>
      <w:r>
        <w:fldChar w:fldCharType="separate"/>
      </w:r>
      <w:r>
        <w:rPr>
          <w:rFonts w:hint="eastAsia" w:ascii="宋体" w:hAnsi="宋体" w:cs="宋体"/>
          <w:szCs w:val="21"/>
        </w:rPr>
        <w:t>5.磋商小组在政府采购活动中承担以下义务：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_Toc21095 \h </w:instrText>
      </w:r>
      <w:r>
        <w:rPr>
          <w:rFonts w:hint="eastAsia" w:ascii="宋体" w:hAnsi="宋体" w:cs="宋体"/>
          <w:szCs w:val="21"/>
        </w:rPr>
        <w:fldChar w:fldCharType="separate"/>
      </w:r>
      <w:r>
        <w:rPr>
          <w:rFonts w:hint="eastAsia" w:ascii="宋体" w:hAnsi="宋体" w:cs="宋体"/>
          <w:szCs w:val="21"/>
        </w:rPr>
        <w:t>64</w:t>
      </w:r>
      <w:r>
        <w:rPr>
          <w:rFonts w:hint="eastAsia" w:ascii="宋体" w:hAnsi="宋体" w:cs="宋体"/>
          <w:szCs w:val="21"/>
        </w:rPr>
        <w:fldChar w:fldCharType="end"/>
      </w:r>
      <w:r>
        <w:rPr>
          <w:rFonts w:hint="eastAsia" w:ascii="宋体" w:hAnsi="宋体" w:cs="宋体"/>
          <w:szCs w:val="21"/>
        </w:rPr>
        <w:fldChar w:fldCharType="end"/>
      </w:r>
    </w:p>
    <w:p>
      <w:pPr>
        <w:pStyle w:val="27"/>
        <w:tabs>
          <w:tab w:val="right" w:leader="dot" w:pos="9639"/>
        </w:tabs>
        <w:spacing w:line="380" w:lineRule="exact"/>
        <w:rPr>
          <w:rFonts w:ascii="宋体" w:hAnsi="宋体" w:cs="宋体"/>
          <w:szCs w:val="21"/>
        </w:rPr>
      </w:pPr>
      <w:r>
        <w:fldChar w:fldCharType="begin"/>
      </w:r>
      <w:r>
        <w:instrText xml:space="preserve"> HYPERLINK \l "_Toc199" </w:instrText>
      </w:r>
      <w:r>
        <w:fldChar w:fldCharType="separate"/>
      </w:r>
      <w:r>
        <w:rPr>
          <w:rFonts w:hint="eastAsia" w:ascii="宋体" w:hAnsi="宋体" w:cs="宋体"/>
          <w:szCs w:val="21"/>
        </w:rPr>
        <w:t>6.评审专家在政府采购活动中应当遵守以下工作纪律：</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_Toc199 \h </w:instrText>
      </w:r>
      <w:r>
        <w:rPr>
          <w:rFonts w:hint="eastAsia" w:ascii="宋体" w:hAnsi="宋体" w:cs="宋体"/>
          <w:szCs w:val="21"/>
        </w:rPr>
        <w:fldChar w:fldCharType="separate"/>
      </w:r>
      <w:r>
        <w:rPr>
          <w:rFonts w:hint="eastAsia" w:ascii="宋体" w:hAnsi="宋体" w:cs="宋体"/>
          <w:szCs w:val="21"/>
        </w:rPr>
        <w:t>65</w:t>
      </w:r>
      <w:r>
        <w:rPr>
          <w:rFonts w:hint="eastAsia" w:ascii="宋体" w:hAnsi="宋体" w:cs="宋体"/>
          <w:szCs w:val="21"/>
        </w:rPr>
        <w:fldChar w:fldCharType="end"/>
      </w:r>
      <w:r>
        <w:rPr>
          <w:rFonts w:hint="eastAsia" w:ascii="宋体" w:hAnsi="宋体" w:cs="宋体"/>
          <w:szCs w:val="21"/>
        </w:rPr>
        <w:fldChar w:fldCharType="end"/>
      </w:r>
    </w:p>
    <w:p>
      <w:pPr>
        <w:pStyle w:val="22"/>
        <w:tabs>
          <w:tab w:val="right" w:leader="dot" w:pos="9639"/>
        </w:tabs>
        <w:spacing w:line="380" w:lineRule="exact"/>
        <w:rPr>
          <w:rFonts w:ascii="宋体" w:hAnsi="宋体" w:eastAsia="宋体" w:cs="宋体"/>
          <w:b/>
          <w:bCs/>
          <w:sz w:val="21"/>
          <w:szCs w:val="21"/>
        </w:rPr>
      </w:pPr>
      <w:r>
        <w:fldChar w:fldCharType="begin"/>
      </w:r>
      <w:r>
        <w:instrText xml:space="preserve"> HYPERLINK \l "_Toc20698" </w:instrText>
      </w:r>
      <w:r>
        <w:fldChar w:fldCharType="separate"/>
      </w:r>
      <w:r>
        <w:rPr>
          <w:rFonts w:hint="eastAsia" w:ascii="宋体" w:hAnsi="宋体" w:eastAsia="宋体" w:cs="宋体"/>
          <w:b/>
          <w:bCs/>
          <w:sz w:val="21"/>
          <w:szCs w:val="21"/>
        </w:rPr>
        <w:t>第九章  采购合同（草案）</w:t>
      </w:r>
      <w:r>
        <w:rPr>
          <w:rFonts w:hint="eastAsia" w:ascii="宋体" w:hAnsi="宋体" w:eastAsia="宋体" w:cs="宋体"/>
          <w:b/>
          <w:bCs/>
          <w:sz w:val="21"/>
          <w:szCs w:val="21"/>
        </w:rPr>
        <w:tab/>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PAGEREF _Toc20698 \h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66</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22"/>
        <w:tabs>
          <w:tab w:val="right" w:leader="dot" w:pos="9639"/>
        </w:tabs>
        <w:spacing w:line="380" w:lineRule="exact"/>
      </w:pPr>
      <w:r>
        <w:fldChar w:fldCharType="begin"/>
      </w:r>
      <w:r>
        <w:instrText xml:space="preserve"> HYPERLINK \l "_Toc18618" </w:instrText>
      </w:r>
      <w:r>
        <w:fldChar w:fldCharType="separate"/>
      </w:r>
      <w:r>
        <w:rPr>
          <w:rFonts w:hint="eastAsia" w:ascii="宋体" w:hAnsi="宋体" w:eastAsia="宋体" w:cs="宋体"/>
          <w:sz w:val="21"/>
          <w:szCs w:val="21"/>
        </w:rPr>
        <w:t>信用融资附件：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_Toc18618 \h </w:instrText>
      </w:r>
      <w:r>
        <w:rPr>
          <w:rFonts w:hint="eastAsia" w:ascii="宋体" w:hAnsi="宋体" w:eastAsia="宋体" w:cs="宋体"/>
          <w:sz w:val="21"/>
          <w:szCs w:val="21"/>
        </w:rPr>
        <w:fldChar w:fldCharType="separate"/>
      </w:r>
      <w:r>
        <w:rPr>
          <w:rFonts w:hint="eastAsia" w:ascii="宋体" w:hAnsi="宋体" w:eastAsia="宋体" w:cs="宋体"/>
          <w:sz w:val="21"/>
          <w:szCs w:val="21"/>
        </w:rPr>
        <w:t>66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2"/>
        <w:tabs>
          <w:tab w:val="right" w:leader="dot" w:pos="9639"/>
        </w:tabs>
        <w:snapToGrid w:val="0"/>
        <w:spacing w:line="380" w:lineRule="exact"/>
      </w:pPr>
      <w:r>
        <w:rPr>
          <w:rFonts w:hint="eastAsia" w:ascii="宋体" w:hAnsi="宋体" w:eastAsia="宋体" w:cs="宋体"/>
          <w:szCs w:val="21"/>
        </w:rPr>
        <w:fldChar w:fldCharType="end"/>
      </w:r>
    </w:p>
    <w:p>
      <w:pPr>
        <w:spacing w:line="360" w:lineRule="auto"/>
      </w:pPr>
      <w:r>
        <w:rPr>
          <w:rFonts w:hint="eastAsia"/>
        </w:rPr>
        <w:br w:type="page"/>
      </w:r>
    </w:p>
    <w:p>
      <w:pPr>
        <w:pStyle w:val="3"/>
        <w:spacing w:before="0" w:afterLines="20" w:line="360" w:lineRule="auto"/>
      </w:pPr>
      <w:bookmarkStart w:id="4" w:name="_Toc17481"/>
      <w:bookmarkStart w:id="5" w:name="_Toc25408"/>
      <w:bookmarkStart w:id="6" w:name="_Toc6165"/>
      <w:bookmarkStart w:id="7" w:name="_Toc19626"/>
      <w:bookmarkStart w:id="8" w:name="_Toc32082"/>
      <w:bookmarkStart w:id="9" w:name="_Toc611"/>
      <w:bookmarkStart w:id="10" w:name="_Toc4006"/>
      <w:bookmarkStart w:id="11" w:name="_Toc15926"/>
      <w:bookmarkStart w:id="12" w:name="_Toc9541"/>
      <w:r>
        <w:rPr>
          <w:rFonts w:hint="eastAsia"/>
        </w:rPr>
        <w:t>第一章  磋商邀请</w:t>
      </w:r>
      <w:bookmarkEnd w:id="1"/>
      <w:bookmarkEnd w:id="2"/>
      <w:bookmarkEnd w:id="3"/>
      <w:bookmarkEnd w:id="4"/>
      <w:bookmarkEnd w:id="5"/>
      <w:bookmarkEnd w:id="6"/>
      <w:bookmarkEnd w:id="7"/>
      <w:bookmarkEnd w:id="8"/>
      <w:bookmarkEnd w:id="9"/>
      <w:bookmarkEnd w:id="10"/>
      <w:bookmarkEnd w:id="11"/>
      <w:bookmarkEnd w:id="12"/>
    </w:p>
    <w:p>
      <w:pPr>
        <w:snapToGrid w:val="0"/>
        <w:spacing w:line="480" w:lineRule="exact"/>
        <w:ind w:firstLine="420" w:firstLineChars="200"/>
        <w:jc w:val="left"/>
        <w:rPr>
          <w:rFonts w:ascii="宋体" w:hAnsi="宋体" w:cs="宋体"/>
          <w:szCs w:val="21"/>
        </w:rPr>
      </w:pPr>
      <w:r>
        <w:rPr>
          <w:rFonts w:hint="eastAsia" w:ascii="宋体" w:hAnsi="宋体" w:cs="宋体"/>
          <w:szCs w:val="21"/>
          <w:u w:val="single"/>
        </w:rPr>
        <w:t>四川雄烽建设工程管理有限公司</w:t>
      </w:r>
      <w:r>
        <w:rPr>
          <w:rFonts w:hint="eastAsia" w:ascii="宋体" w:hAnsi="宋体" w:cs="宋体"/>
          <w:szCs w:val="21"/>
        </w:rPr>
        <w:t>受</w:t>
      </w:r>
      <w:r>
        <w:rPr>
          <w:rFonts w:hint="eastAsia" w:ascii="宋体" w:hAnsi="宋体" w:cs="宋体"/>
          <w:szCs w:val="21"/>
          <w:u w:val="single"/>
        </w:rPr>
        <w:t>成都市国土规划地籍事务中心</w:t>
      </w:r>
      <w:r>
        <w:rPr>
          <w:rFonts w:hint="eastAsia" w:ascii="宋体" w:hAnsi="宋体" w:cs="宋体"/>
          <w:szCs w:val="21"/>
        </w:rPr>
        <w:t>委托，拟对</w:t>
      </w:r>
      <w:bookmarkStart w:id="13" w:name="PO_默认文件内容_1"/>
      <w:r>
        <w:rPr>
          <w:rFonts w:hint="eastAsia" w:ascii="宋体" w:hAnsi="宋体" w:cs="宋体"/>
          <w:szCs w:val="21"/>
          <w:u w:val="single"/>
        </w:rPr>
        <w:t>成都市国土规划地籍事务中心单位食堂外包服务项目</w:t>
      </w:r>
      <w:r>
        <w:rPr>
          <w:rFonts w:hint="eastAsia" w:ascii="宋体" w:hAnsi="宋体" w:cs="宋体"/>
          <w:szCs w:val="21"/>
        </w:rPr>
        <w:t>采用竞争性磋商方式进行采购，特邀请符合本次采购要求的供应商参加本项目的竞争性磋商。</w:t>
      </w:r>
      <w:bookmarkEnd w:id="13"/>
    </w:p>
    <w:p>
      <w:pPr>
        <w:snapToGrid w:val="0"/>
        <w:spacing w:line="480" w:lineRule="exact"/>
        <w:jc w:val="left"/>
        <w:rPr>
          <w:rFonts w:ascii="宋体" w:hAnsi="宋体" w:cs="宋体"/>
          <w:b/>
          <w:bCs/>
          <w:szCs w:val="21"/>
        </w:rPr>
      </w:pPr>
      <w:r>
        <w:rPr>
          <w:rFonts w:hint="eastAsia" w:ascii="宋体" w:hAnsi="宋体" w:cs="宋体"/>
          <w:b/>
          <w:bCs/>
          <w:szCs w:val="21"/>
        </w:rPr>
        <w:t>一、采购项目基本情况</w:t>
      </w:r>
    </w:p>
    <w:p>
      <w:pPr>
        <w:pStyle w:val="60"/>
        <w:snapToGrid w:val="0"/>
        <w:spacing w:line="480" w:lineRule="exact"/>
        <w:ind w:firstLine="420" w:firstLineChars="200"/>
        <w:jc w:val="both"/>
        <w:rPr>
          <w:sz w:val="21"/>
          <w:szCs w:val="21"/>
        </w:rPr>
      </w:pPr>
      <w:bookmarkStart w:id="14" w:name="_Toc4872_WPSOffice_Level2"/>
      <w:r>
        <w:rPr>
          <w:rFonts w:hint="eastAsia"/>
          <w:sz w:val="21"/>
          <w:szCs w:val="21"/>
        </w:rPr>
        <w:t>1.项目编号：</w:t>
      </w:r>
      <w:bookmarkEnd w:id="14"/>
      <w:bookmarkStart w:id="15" w:name="_Toc71_WPSOffice_Level2"/>
      <w:r>
        <w:rPr>
          <w:rFonts w:hint="eastAsia"/>
          <w:sz w:val="21"/>
          <w:szCs w:val="21"/>
          <w:u w:val="single"/>
        </w:rPr>
        <w:t>510101202101538。</w:t>
      </w:r>
    </w:p>
    <w:p>
      <w:pPr>
        <w:pStyle w:val="60"/>
        <w:snapToGrid w:val="0"/>
        <w:spacing w:line="480" w:lineRule="exact"/>
        <w:ind w:firstLine="420" w:firstLineChars="200"/>
        <w:jc w:val="both"/>
        <w:rPr>
          <w:sz w:val="21"/>
          <w:szCs w:val="21"/>
        </w:rPr>
      </w:pPr>
      <w:r>
        <w:rPr>
          <w:rFonts w:hint="eastAsia"/>
          <w:sz w:val="21"/>
          <w:szCs w:val="21"/>
        </w:rPr>
        <w:t>2.项目名称：</w:t>
      </w:r>
      <w:bookmarkEnd w:id="15"/>
      <w:r>
        <w:rPr>
          <w:rFonts w:hint="eastAsia"/>
          <w:sz w:val="21"/>
          <w:szCs w:val="21"/>
          <w:u w:val="single"/>
        </w:rPr>
        <w:t>成都市国土规划地籍事务中心单位食堂外包服务项目。</w:t>
      </w:r>
    </w:p>
    <w:p>
      <w:pPr>
        <w:snapToGrid w:val="0"/>
        <w:spacing w:line="480" w:lineRule="exact"/>
        <w:ind w:firstLine="420" w:firstLineChars="200"/>
        <w:jc w:val="left"/>
        <w:rPr>
          <w:rFonts w:ascii="宋体" w:hAnsi="宋体" w:cs="宋体"/>
          <w:szCs w:val="21"/>
        </w:rPr>
      </w:pPr>
      <w:r>
        <w:rPr>
          <w:rFonts w:hint="eastAsia" w:ascii="宋体" w:hAnsi="宋体" w:cs="宋体"/>
          <w:szCs w:val="21"/>
        </w:rPr>
        <w:t>3.采购人：</w:t>
      </w:r>
      <w:r>
        <w:rPr>
          <w:rFonts w:hint="eastAsia" w:ascii="宋体" w:hAnsi="宋体" w:cs="宋体"/>
          <w:kern w:val="0"/>
          <w:szCs w:val="21"/>
          <w:u w:val="single"/>
        </w:rPr>
        <w:t>成都市国土规划地籍事务中心</w:t>
      </w:r>
      <w:r>
        <w:rPr>
          <w:rFonts w:hint="eastAsia" w:ascii="宋体" w:hAnsi="宋体" w:cs="宋体"/>
          <w:szCs w:val="21"/>
          <w:u w:val="single"/>
        </w:rPr>
        <w:t>。</w:t>
      </w:r>
    </w:p>
    <w:p>
      <w:pPr>
        <w:snapToGrid w:val="0"/>
        <w:spacing w:line="480" w:lineRule="exact"/>
        <w:ind w:firstLine="420" w:firstLineChars="200"/>
        <w:jc w:val="left"/>
        <w:rPr>
          <w:rFonts w:ascii="宋体" w:hAnsi="宋体" w:cs="宋体"/>
          <w:szCs w:val="21"/>
        </w:rPr>
      </w:pPr>
      <w:r>
        <w:rPr>
          <w:rFonts w:hint="eastAsia" w:ascii="宋体" w:hAnsi="宋体" w:cs="宋体"/>
          <w:szCs w:val="21"/>
        </w:rPr>
        <w:t>4.采购代理机构：</w:t>
      </w:r>
      <w:r>
        <w:rPr>
          <w:rFonts w:hint="eastAsia" w:ascii="宋体" w:hAnsi="宋体" w:cs="宋体"/>
          <w:kern w:val="0"/>
          <w:szCs w:val="21"/>
          <w:u w:val="single"/>
        </w:rPr>
        <w:t>四川雄烽建设工程管理有限公司</w:t>
      </w:r>
      <w:r>
        <w:rPr>
          <w:rFonts w:hint="eastAsia" w:ascii="宋体" w:hAnsi="宋体" w:cs="宋体"/>
          <w:szCs w:val="21"/>
          <w:u w:val="single"/>
        </w:rPr>
        <w:t>。</w:t>
      </w:r>
    </w:p>
    <w:p>
      <w:pPr>
        <w:snapToGrid w:val="0"/>
        <w:spacing w:line="480" w:lineRule="exact"/>
        <w:jc w:val="left"/>
        <w:rPr>
          <w:rFonts w:ascii="宋体" w:hAnsi="宋体" w:cs="宋体"/>
          <w:b/>
          <w:bCs/>
          <w:szCs w:val="21"/>
        </w:rPr>
      </w:pPr>
      <w:r>
        <w:rPr>
          <w:rFonts w:hint="eastAsia" w:ascii="宋体" w:hAnsi="宋体" w:cs="宋体"/>
          <w:b/>
          <w:bCs/>
          <w:szCs w:val="21"/>
        </w:rPr>
        <w:t>二、资金情况</w:t>
      </w:r>
    </w:p>
    <w:p>
      <w:pPr>
        <w:pStyle w:val="60"/>
        <w:snapToGrid w:val="0"/>
        <w:spacing w:line="480" w:lineRule="exact"/>
        <w:ind w:firstLine="420" w:firstLineChars="200"/>
        <w:jc w:val="both"/>
        <w:rPr>
          <w:b/>
          <w:bCs/>
          <w:sz w:val="21"/>
          <w:szCs w:val="21"/>
        </w:rPr>
      </w:pPr>
      <w:r>
        <w:rPr>
          <w:rFonts w:hint="eastAsia"/>
          <w:sz w:val="21"/>
          <w:szCs w:val="21"/>
        </w:rPr>
        <w:t>资金来源：</w:t>
      </w:r>
      <w:r>
        <w:rPr>
          <w:rFonts w:hint="eastAsia"/>
          <w:sz w:val="21"/>
          <w:szCs w:val="21"/>
          <w:u w:val="single"/>
        </w:rPr>
        <w:t>财政资金，本次采购预算78万元/年，服务时间三年，合同每年一签。备案号：（(2021)2946号。</w:t>
      </w:r>
    </w:p>
    <w:p>
      <w:pPr>
        <w:snapToGrid w:val="0"/>
        <w:spacing w:line="480" w:lineRule="exact"/>
        <w:rPr>
          <w:rFonts w:ascii="宋体" w:hAnsi="宋体" w:cs="宋体"/>
          <w:szCs w:val="21"/>
        </w:rPr>
      </w:pPr>
      <w:r>
        <w:rPr>
          <w:rFonts w:hint="eastAsia" w:ascii="宋体" w:hAnsi="宋体" w:cs="宋体"/>
          <w:b/>
          <w:szCs w:val="21"/>
        </w:rPr>
        <w:t>三</w:t>
      </w:r>
      <w:r>
        <w:rPr>
          <w:rFonts w:hint="eastAsia" w:ascii="宋体" w:hAnsi="宋体" w:cs="宋体"/>
          <w:b/>
          <w:bCs/>
          <w:szCs w:val="21"/>
        </w:rPr>
        <w:t>、</w:t>
      </w:r>
      <w:r>
        <w:rPr>
          <w:rFonts w:hint="eastAsia" w:ascii="宋体" w:hAnsi="宋体" w:cs="宋体"/>
          <w:b/>
          <w:szCs w:val="21"/>
        </w:rPr>
        <w:t>采购项目简介</w:t>
      </w:r>
    </w:p>
    <w:p>
      <w:pPr>
        <w:snapToGrid w:val="0"/>
        <w:spacing w:line="480" w:lineRule="exact"/>
        <w:ind w:firstLine="404" w:firstLineChars="200"/>
        <w:rPr>
          <w:szCs w:val="21"/>
        </w:rPr>
      </w:pPr>
      <w:bookmarkStart w:id="16" w:name="PO_默认文件内容_2"/>
      <w:r>
        <w:rPr>
          <w:rFonts w:hint="eastAsia"/>
          <w:spacing w:val="-4"/>
          <w:szCs w:val="21"/>
        </w:rPr>
        <w:t>本项目共1个包。</w:t>
      </w:r>
      <w:r>
        <w:rPr>
          <w:rFonts w:hint="eastAsia"/>
          <w:szCs w:val="21"/>
        </w:rPr>
        <w:t>（详见磋商文件第</w:t>
      </w:r>
      <w:r>
        <w:rPr>
          <w:rFonts w:hint="eastAsia"/>
          <w:bCs/>
          <w:szCs w:val="21"/>
        </w:rPr>
        <w:t>五</w:t>
      </w:r>
      <w:r>
        <w:rPr>
          <w:rFonts w:hint="eastAsia"/>
          <w:szCs w:val="21"/>
        </w:rPr>
        <w:t>章）</w:t>
      </w:r>
      <w:bookmarkEnd w:id="16"/>
      <w:r>
        <w:rPr>
          <w:rFonts w:hint="eastAsia"/>
          <w:szCs w:val="21"/>
        </w:rPr>
        <w:t>。</w:t>
      </w:r>
    </w:p>
    <w:p>
      <w:pPr>
        <w:snapToGrid w:val="0"/>
        <w:spacing w:line="480" w:lineRule="exact"/>
        <w:rPr>
          <w:rFonts w:ascii="宋体" w:hAnsi="宋体" w:cs="宋体"/>
          <w:b/>
          <w:bCs/>
          <w:szCs w:val="21"/>
        </w:rPr>
      </w:pPr>
      <w:r>
        <w:rPr>
          <w:rFonts w:hint="eastAsia" w:ascii="宋体" w:hAnsi="宋体" w:cs="宋体"/>
          <w:b/>
          <w:bCs/>
          <w:szCs w:val="21"/>
        </w:rPr>
        <w:t>四、供应商邀请方式</w:t>
      </w:r>
    </w:p>
    <w:p>
      <w:pPr>
        <w:pStyle w:val="60"/>
        <w:snapToGrid w:val="0"/>
        <w:spacing w:line="480" w:lineRule="exact"/>
        <w:ind w:firstLine="420" w:firstLineChars="200"/>
        <w:jc w:val="both"/>
        <w:rPr>
          <w:bCs/>
          <w:sz w:val="21"/>
          <w:szCs w:val="21"/>
        </w:rPr>
      </w:pPr>
      <w:bookmarkStart w:id="17" w:name="PO_默认文件内容_3"/>
      <w:r>
        <w:rPr>
          <w:rFonts w:hint="eastAsia"/>
          <w:bCs/>
          <w:sz w:val="21"/>
          <w:szCs w:val="21"/>
        </w:rPr>
        <w:t xml:space="preserve">本次采购采取方式 </w:t>
      </w:r>
      <w:r>
        <w:rPr>
          <w:rFonts w:hint="eastAsia"/>
          <w:bCs/>
          <w:sz w:val="21"/>
          <w:szCs w:val="21"/>
          <w:u w:val="single"/>
        </w:rPr>
        <w:t xml:space="preserve"> 1 </w:t>
      </w:r>
      <w:r>
        <w:rPr>
          <w:rFonts w:hint="eastAsia"/>
          <w:bCs/>
          <w:sz w:val="21"/>
          <w:szCs w:val="21"/>
        </w:rPr>
        <w:t>邀请参加磋商的供应商。</w:t>
      </w:r>
    </w:p>
    <w:p>
      <w:pPr>
        <w:pStyle w:val="60"/>
        <w:wordWrap w:val="0"/>
        <w:snapToGrid w:val="0"/>
        <w:spacing w:line="480" w:lineRule="exact"/>
        <w:ind w:firstLine="420" w:firstLineChars="200"/>
        <w:jc w:val="both"/>
        <w:rPr>
          <w:bCs/>
          <w:sz w:val="21"/>
          <w:szCs w:val="21"/>
        </w:rPr>
      </w:pPr>
      <w:r>
        <w:rPr>
          <w:rFonts w:hint="eastAsia"/>
          <w:bCs/>
          <w:sz w:val="21"/>
          <w:szCs w:val="21"/>
        </w:rPr>
        <w:t>方式1（公告方式）：本次竞争性磋商邀请在</w:t>
      </w:r>
      <w:r>
        <w:rPr>
          <w:rFonts w:hint="eastAsia"/>
          <w:bCs/>
          <w:sz w:val="21"/>
          <w:szCs w:val="21"/>
          <w:u w:val="single"/>
        </w:rPr>
        <w:t xml:space="preserve"> </w:t>
      </w:r>
      <w:r>
        <w:rPr>
          <w:rFonts w:hint="eastAsia"/>
          <w:b/>
          <w:sz w:val="21"/>
          <w:szCs w:val="21"/>
          <w:u w:val="single"/>
        </w:rPr>
        <w:t>四川政府采购网</w:t>
      </w:r>
      <w:r>
        <w:rPr>
          <w:rFonts w:hint="eastAsia"/>
          <w:bCs/>
          <w:sz w:val="21"/>
          <w:szCs w:val="21"/>
        </w:rPr>
        <w:t>上以公告形式发布；</w:t>
      </w:r>
    </w:p>
    <w:p>
      <w:pPr>
        <w:pStyle w:val="60"/>
        <w:snapToGrid w:val="0"/>
        <w:spacing w:line="480" w:lineRule="exact"/>
        <w:ind w:firstLine="420" w:firstLineChars="200"/>
        <w:jc w:val="both"/>
        <w:rPr>
          <w:bCs/>
          <w:sz w:val="21"/>
          <w:szCs w:val="21"/>
        </w:rPr>
      </w:pPr>
      <w:r>
        <w:rPr>
          <w:rFonts w:hint="eastAsia"/>
          <w:bCs/>
          <w:sz w:val="21"/>
          <w:szCs w:val="21"/>
        </w:rPr>
        <w:t>方式2（书面推荐）：通过采购人和评审专家各自出具书面推荐意见，推荐符合相应资格条件的供应商参与本次采购活动；</w:t>
      </w:r>
    </w:p>
    <w:p>
      <w:pPr>
        <w:pStyle w:val="60"/>
        <w:snapToGrid w:val="0"/>
        <w:spacing w:line="480" w:lineRule="exact"/>
        <w:ind w:firstLine="420" w:firstLineChars="200"/>
        <w:jc w:val="both"/>
        <w:rPr>
          <w:bCs/>
          <w:sz w:val="21"/>
          <w:szCs w:val="21"/>
        </w:rPr>
      </w:pPr>
      <w:r>
        <w:rPr>
          <w:rFonts w:hint="eastAsia"/>
          <w:bCs/>
          <w:sz w:val="21"/>
          <w:szCs w:val="21"/>
        </w:rPr>
        <w:t>方式3（供应商库随机抽取）：通过省级以上财政部门建立的供应商库中随机抽取供应商。</w:t>
      </w:r>
      <w:bookmarkEnd w:id="17"/>
    </w:p>
    <w:p>
      <w:pPr>
        <w:snapToGrid w:val="0"/>
        <w:spacing w:line="480" w:lineRule="exact"/>
        <w:rPr>
          <w:rFonts w:ascii="宋体" w:hAnsi="宋体" w:cs="宋体"/>
          <w:b/>
          <w:bCs/>
          <w:szCs w:val="21"/>
        </w:rPr>
      </w:pPr>
      <w:r>
        <w:rPr>
          <w:rFonts w:hint="eastAsia" w:ascii="宋体" w:hAnsi="宋体" w:cs="宋体"/>
          <w:b/>
          <w:bCs/>
          <w:szCs w:val="21"/>
        </w:rPr>
        <w:t>五、供应商参加本次采购活动应具备下列条件</w:t>
      </w:r>
    </w:p>
    <w:p>
      <w:pPr>
        <w:snapToGrid w:val="0"/>
        <w:spacing w:line="480" w:lineRule="exact"/>
        <w:ind w:firstLine="422" w:firstLineChars="200"/>
        <w:rPr>
          <w:rFonts w:ascii="宋体" w:hAnsi="宋体" w:cs="宋体"/>
          <w:bCs/>
          <w:szCs w:val="21"/>
        </w:rPr>
      </w:pPr>
      <w:r>
        <w:rPr>
          <w:rFonts w:hint="eastAsia" w:ascii="宋体" w:hAnsi="宋体" w:cs="宋体"/>
          <w:b/>
          <w:bCs/>
          <w:szCs w:val="21"/>
        </w:rPr>
        <w:t>（一）符合《中华人民共和国政府采购法》第二十二条规定的条件；</w:t>
      </w:r>
    </w:p>
    <w:p>
      <w:pPr>
        <w:snapToGrid w:val="0"/>
        <w:spacing w:line="480" w:lineRule="exact"/>
        <w:ind w:firstLine="420" w:firstLineChars="200"/>
        <w:rPr>
          <w:rFonts w:ascii="宋体" w:hAnsi="宋体" w:cs="宋体"/>
          <w:bCs/>
          <w:szCs w:val="21"/>
        </w:rPr>
      </w:pPr>
      <w:r>
        <w:rPr>
          <w:rFonts w:hint="eastAsia" w:ascii="宋体" w:hAnsi="宋体" w:cs="宋体"/>
          <w:bCs/>
          <w:szCs w:val="21"/>
        </w:rPr>
        <w:t>1.具有独立承担民事责任的能力；</w:t>
      </w:r>
    </w:p>
    <w:p>
      <w:pPr>
        <w:snapToGrid w:val="0"/>
        <w:spacing w:line="480" w:lineRule="exact"/>
        <w:ind w:firstLine="420" w:firstLineChars="200"/>
        <w:rPr>
          <w:rFonts w:ascii="宋体" w:hAnsi="宋体" w:cs="宋体"/>
          <w:bCs/>
          <w:szCs w:val="21"/>
        </w:rPr>
      </w:pPr>
      <w:r>
        <w:rPr>
          <w:rFonts w:hint="eastAsia" w:ascii="宋体" w:hAnsi="宋体" w:cs="宋体"/>
          <w:bCs/>
          <w:szCs w:val="21"/>
        </w:rPr>
        <w:t>2.具有良好的商业信誉和健全的财务会计制度；</w:t>
      </w:r>
    </w:p>
    <w:p>
      <w:pPr>
        <w:snapToGrid w:val="0"/>
        <w:spacing w:line="480" w:lineRule="exact"/>
        <w:ind w:firstLine="420" w:firstLineChars="200"/>
        <w:rPr>
          <w:rFonts w:ascii="宋体" w:hAnsi="宋体" w:cs="宋体"/>
          <w:bCs/>
          <w:szCs w:val="21"/>
        </w:rPr>
      </w:pPr>
      <w:r>
        <w:rPr>
          <w:rFonts w:hint="eastAsia" w:ascii="宋体" w:hAnsi="宋体" w:cs="宋体"/>
          <w:bCs/>
          <w:szCs w:val="21"/>
        </w:rPr>
        <w:t>3.具有履行合同所必需的设备和专业技术能力；</w:t>
      </w:r>
    </w:p>
    <w:p>
      <w:pPr>
        <w:snapToGrid w:val="0"/>
        <w:spacing w:line="480" w:lineRule="exact"/>
        <w:ind w:firstLine="420" w:firstLineChars="200"/>
        <w:rPr>
          <w:rFonts w:ascii="宋体" w:hAnsi="宋体" w:cs="宋体"/>
          <w:bCs/>
          <w:szCs w:val="21"/>
        </w:rPr>
      </w:pPr>
      <w:r>
        <w:rPr>
          <w:rFonts w:hint="eastAsia" w:ascii="宋体" w:hAnsi="宋体" w:cs="宋体"/>
          <w:bCs/>
          <w:szCs w:val="21"/>
        </w:rPr>
        <w:t>4.有依法缴纳税收和社会保障资金的良好记录；</w:t>
      </w:r>
    </w:p>
    <w:p>
      <w:pPr>
        <w:snapToGrid w:val="0"/>
        <w:spacing w:line="480" w:lineRule="exact"/>
        <w:ind w:firstLine="420" w:firstLineChars="200"/>
        <w:rPr>
          <w:rFonts w:ascii="宋体" w:hAnsi="宋体" w:cs="宋体"/>
          <w:bCs/>
          <w:szCs w:val="21"/>
        </w:rPr>
      </w:pPr>
      <w:r>
        <w:rPr>
          <w:rFonts w:hint="eastAsia" w:ascii="宋体" w:hAnsi="宋体" w:cs="宋体"/>
          <w:bCs/>
          <w:szCs w:val="21"/>
        </w:rPr>
        <w:t>5.参加本次政府采购活动前三年内，在经营活动中没有重大违法记录；</w:t>
      </w:r>
    </w:p>
    <w:p>
      <w:pPr>
        <w:snapToGrid w:val="0"/>
        <w:spacing w:line="480" w:lineRule="exact"/>
        <w:ind w:firstLine="420" w:firstLineChars="200"/>
        <w:rPr>
          <w:rFonts w:ascii="宋体" w:hAnsi="宋体" w:cs="宋体"/>
          <w:bCs/>
          <w:szCs w:val="21"/>
        </w:rPr>
      </w:pPr>
      <w:r>
        <w:rPr>
          <w:rFonts w:hint="eastAsia" w:ascii="宋体" w:hAnsi="宋体" w:cs="宋体"/>
          <w:bCs/>
          <w:szCs w:val="21"/>
        </w:rPr>
        <w:t>6.法律、行政法规规定的其他条件。</w:t>
      </w:r>
    </w:p>
    <w:p>
      <w:pPr>
        <w:snapToGrid w:val="0"/>
        <w:spacing w:line="480" w:lineRule="exact"/>
        <w:ind w:firstLine="422" w:firstLineChars="200"/>
        <w:rPr>
          <w:rFonts w:ascii="宋体" w:hAnsi="宋体" w:cs="宋体"/>
          <w:b/>
          <w:szCs w:val="21"/>
        </w:rPr>
      </w:pPr>
      <w:r>
        <w:rPr>
          <w:rFonts w:hint="eastAsia" w:ascii="宋体" w:hAnsi="宋体" w:cs="宋体"/>
          <w:b/>
          <w:szCs w:val="21"/>
        </w:rPr>
        <w:t>（二）落实政府采购政策需满足的资格要求：无</w:t>
      </w:r>
    </w:p>
    <w:p>
      <w:pPr>
        <w:snapToGrid w:val="0"/>
        <w:spacing w:line="480" w:lineRule="exact"/>
        <w:ind w:firstLine="422" w:firstLineChars="200"/>
        <w:rPr>
          <w:rFonts w:ascii="宋体" w:hAnsi="宋体" w:cs="宋体"/>
          <w:bCs/>
          <w:szCs w:val="21"/>
        </w:rPr>
      </w:pPr>
      <w:r>
        <w:rPr>
          <w:rFonts w:hint="eastAsia" w:ascii="宋体" w:hAnsi="宋体" w:cs="宋体"/>
          <w:b/>
          <w:szCs w:val="21"/>
        </w:rPr>
        <w:t>（三）本项目的特定资格要求：</w:t>
      </w:r>
      <w:r>
        <w:rPr>
          <w:rFonts w:hint="eastAsia" w:ascii="宋体" w:hAnsi="宋体" w:cs="宋体"/>
          <w:szCs w:val="21"/>
        </w:rPr>
        <w:t>供应商具备有效的《食品生产许可证》或《食品经营许可证》。</w:t>
      </w:r>
    </w:p>
    <w:p>
      <w:pPr>
        <w:spacing w:line="480" w:lineRule="exact"/>
        <w:ind w:firstLine="422" w:firstLineChars="200"/>
        <w:rPr>
          <w:rFonts w:ascii="宋体" w:hAnsi="宋体" w:cs="宋体"/>
          <w:b/>
          <w:szCs w:val="21"/>
        </w:rPr>
      </w:pPr>
      <w:r>
        <w:rPr>
          <w:rFonts w:hint="eastAsia" w:ascii="宋体" w:hAnsi="宋体" w:cs="宋体"/>
          <w:b/>
          <w:szCs w:val="21"/>
        </w:rPr>
        <w:t>（四）本项目</w:t>
      </w:r>
      <w:r>
        <w:rPr>
          <w:rFonts w:hint="eastAsia" w:ascii="宋体" w:hAnsi="宋体" w:cs="宋体"/>
          <w:b/>
          <w:szCs w:val="21"/>
          <w:u w:val="single"/>
        </w:rPr>
        <w:t>不接受</w:t>
      </w:r>
      <w:r>
        <w:rPr>
          <w:rFonts w:hint="eastAsia" w:ascii="宋体" w:hAnsi="宋体" w:cs="宋体"/>
          <w:b/>
          <w:szCs w:val="21"/>
        </w:rPr>
        <w:t>联合体磋商。</w:t>
      </w:r>
    </w:p>
    <w:p>
      <w:pPr>
        <w:snapToGrid w:val="0"/>
        <w:spacing w:line="480" w:lineRule="exact"/>
        <w:rPr>
          <w:rFonts w:ascii="宋体" w:hAnsi="宋体" w:cs="宋体"/>
          <w:b/>
          <w:szCs w:val="21"/>
        </w:rPr>
      </w:pPr>
      <w:r>
        <w:rPr>
          <w:rFonts w:hint="eastAsia" w:ascii="宋体" w:hAnsi="宋体" w:cs="宋体"/>
          <w:b/>
          <w:szCs w:val="21"/>
        </w:rPr>
        <w:t>六、禁止参加本次采购活动的供应商</w:t>
      </w:r>
    </w:p>
    <w:p>
      <w:pPr>
        <w:pStyle w:val="112"/>
        <w:snapToGrid w:val="0"/>
        <w:spacing w:line="480" w:lineRule="exact"/>
        <w:rPr>
          <w:rFonts w:ascii="宋体" w:hAnsi="宋体" w:cs="宋体"/>
          <w:szCs w:val="21"/>
        </w:rPr>
      </w:pPr>
      <w:r>
        <w:rPr>
          <w:rFonts w:hint="eastAsia" w:ascii="宋体" w:hAnsi="宋体" w:cs="宋体"/>
          <w:szCs w:val="21"/>
        </w:rPr>
        <w:t>1、按照《四川省公共资源交易领域严重失信联合惩戒实施办法》（川发改信用规〔2019〕405号）、《关于对政府采购领域严重违法失信主体开展联合惩戒的合作备忘录》（发改财金〔2018〕1614号）等规定，对记入诚信档案的且在有效期内的失信供应商，禁止参加本项目的采购活动。</w:t>
      </w:r>
    </w:p>
    <w:p>
      <w:pPr>
        <w:pStyle w:val="112"/>
        <w:snapToGrid w:val="0"/>
        <w:spacing w:line="480" w:lineRule="exact"/>
        <w:rPr>
          <w:rFonts w:ascii="宋体" w:hAnsi="宋体" w:cs="宋体"/>
          <w:szCs w:val="21"/>
        </w:rPr>
      </w:pPr>
      <w:r>
        <w:rPr>
          <w:rFonts w:hint="eastAsia" w:ascii="宋体" w:hAnsi="宋体" w:cs="宋体"/>
          <w:szCs w:val="21"/>
        </w:rPr>
        <w:t>2、根据《关于在政府采购活动中查询及使用信用记录有关问题的通知》（财库〔2016〕125号）的要求，采购人/采购代理机构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参加本项目的采购活动。</w:t>
      </w:r>
    </w:p>
    <w:p>
      <w:pPr>
        <w:snapToGrid w:val="0"/>
        <w:spacing w:line="480" w:lineRule="exact"/>
        <w:rPr>
          <w:rFonts w:ascii="宋体" w:hAnsi="宋体" w:cs="宋体"/>
          <w:b/>
          <w:szCs w:val="21"/>
        </w:rPr>
      </w:pPr>
      <w:r>
        <w:rPr>
          <w:rFonts w:hint="eastAsia" w:ascii="宋体" w:hAnsi="宋体" w:cs="宋体"/>
          <w:b/>
          <w:szCs w:val="21"/>
        </w:rPr>
        <w:t>七、磋商文件获取时间、地点、方式、售价：</w:t>
      </w:r>
    </w:p>
    <w:p>
      <w:pPr>
        <w:snapToGrid w:val="0"/>
        <w:spacing w:line="480" w:lineRule="exact"/>
        <w:ind w:firstLine="422" w:firstLineChars="200"/>
        <w:rPr>
          <w:rFonts w:ascii="宋体" w:hAnsi="宋体" w:cs="宋体"/>
          <w:b/>
          <w:szCs w:val="21"/>
        </w:rPr>
      </w:pPr>
      <w:r>
        <w:rPr>
          <w:rFonts w:hint="eastAsia" w:ascii="宋体" w:hAnsi="宋体" w:cs="宋体"/>
          <w:b/>
          <w:szCs w:val="21"/>
        </w:rPr>
        <w:t>（一）时间：2021年</w:t>
      </w:r>
      <w:r>
        <w:rPr>
          <w:rFonts w:hint="eastAsia" w:ascii="宋体" w:hAnsi="宋体" w:cs="宋体"/>
          <w:b/>
          <w:szCs w:val="21"/>
          <w:lang w:val="en-US" w:eastAsia="zh-CN"/>
        </w:rPr>
        <w:t>11</w:t>
      </w:r>
      <w:r>
        <w:rPr>
          <w:rFonts w:hint="eastAsia" w:ascii="宋体" w:hAnsi="宋体" w:cs="宋体"/>
          <w:b/>
          <w:szCs w:val="21"/>
        </w:rPr>
        <w:t>月</w:t>
      </w:r>
      <w:r>
        <w:rPr>
          <w:rFonts w:hint="eastAsia" w:ascii="宋体" w:hAnsi="宋体" w:cs="宋体"/>
          <w:b/>
          <w:szCs w:val="21"/>
          <w:lang w:val="en-US" w:eastAsia="zh-CN"/>
        </w:rPr>
        <w:t>12</w:t>
      </w:r>
      <w:r>
        <w:rPr>
          <w:rFonts w:hint="eastAsia" w:ascii="宋体" w:hAnsi="宋体" w:cs="宋体"/>
          <w:b/>
          <w:szCs w:val="21"/>
        </w:rPr>
        <w:t>日到2021年</w:t>
      </w:r>
      <w:r>
        <w:rPr>
          <w:rFonts w:hint="eastAsia" w:ascii="宋体" w:hAnsi="宋体" w:cs="宋体"/>
          <w:b/>
          <w:szCs w:val="21"/>
          <w:lang w:val="en-US" w:eastAsia="zh-CN"/>
        </w:rPr>
        <w:t>11</w:t>
      </w:r>
      <w:r>
        <w:rPr>
          <w:rFonts w:hint="eastAsia" w:ascii="宋体" w:hAnsi="宋体" w:cs="宋体"/>
          <w:b/>
          <w:szCs w:val="21"/>
        </w:rPr>
        <w:t>月</w:t>
      </w:r>
      <w:r>
        <w:rPr>
          <w:rFonts w:hint="eastAsia" w:ascii="宋体" w:hAnsi="宋体" w:cs="宋体"/>
          <w:b/>
          <w:szCs w:val="21"/>
          <w:lang w:val="en-US" w:eastAsia="zh-CN"/>
        </w:rPr>
        <w:t>18</w:t>
      </w:r>
      <w:r>
        <w:rPr>
          <w:rFonts w:hint="eastAsia" w:ascii="宋体" w:hAnsi="宋体" w:cs="宋体"/>
          <w:b/>
          <w:szCs w:val="21"/>
        </w:rPr>
        <w:t>日（北京时间，法定节假日除外）。</w:t>
      </w:r>
    </w:p>
    <w:p>
      <w:pPr>
        <w:snapToGrid w:val="0"/>
        <w:spacing w:line="480" w:lineRule="exact"/>
        <w:ind w:firstLine="422" w:firstLineChars="200"/>
        <w:rPr>
          <w:rFonts w:ascii="宋体" w:hAnsi="宋体" w:cs="宋体"/>
          <w:b/>
          <w:szCs w:val="21"/>
        </w:rPr>
      </w:pPr>
      <w:r>
        <w:rPr>
          <w:rFonts w:hint="eastAsia" w:ascii="宋体" w:hAnsi="宋体" w:cs="宋体"/>
          <w:b/>
          <w:szCs w:val="21"/>
        </w:rPr>
        <w:t>（二）地点：“政府采购云平台”（网址：</w:t>
      </w:r>
      <w:r>
        <w:fldChar w:fldCharType="begin"/>
      </w:r>
      <w:r>
        <w:instrText xml:space="preserve"> HYPERLINK "https://www.zcygov.cn" </w:instrText>
      </w:r>
      <w:r>
        <w:fldChar w:fldCharType="separate"/>
      </w:r>
      <w:r>
        <w:rPr>
          <w:rFonts w:hint="eastAsia" w:ascii="宋体" w:hAnsi="宋体" w:cs="宋体"/>
          <w:b/>
          <w:szCs w:val="21"/>
        </w:rPr>
        <w:t>https://www.zcygov.cn</w:t>
      </w:r>
      <w:r>
        <w:rPr>
          <w:rFonts w:hint="eastAsia" w:ascii="宋体" w:hAnsi="宋体" w:cs="宋体"/>
          <w:b/>
          <w:szCs w:val="21"/>
        </w:rPr>
        <w:fldChar w:fldCharType="end"/>
      </w:r>
      <w:r>
        <w:rPr>
          <w:rFonts w:hint="eastAsia" w:ascii="宋体" w:hAnsi="宋体" w:cs="宋体"/>
          <w:b/>
          <w:szCs w:val="21"/>
        </w:rPr>
        <w:t>）。</w:t>
      </w:r>
    </w:p>
    <w:p>
      <w:pPr>
        <w:snapToGrid w:val="0"/>
        <w:spacing w:line="480" w:lineRule="exact"/>
        <w:ind w:firstLine="422" w:firstLineChars="200"/>
        <w:rPr>
          <w:rFonts w:ascii="宋体" w:hAnsi="宋体" w:cs="宋体"/>
          <w:b/>
          <w:szCs w:val="21"/>
        </w:rPr>
      </w:pPr>
      <w:r>
        <w:rPr>
          <w:rFonts w:hint="eastAsia" w:ascii="宋体" w:hAnsi="宋体" w:cs="宋体"/>
          <w:b/>
          <w:szCs w:val="21"/>
        </w:rPr>
        <w:t>（三）方式：供应商从“政府采购云平台”获取采购文件(网址：</w:t>
      </w:r>
      <w:r>
        <w:fldChar w:fldCharType="begin"/>
      </w:r>
      <w:r>
        <w:instrText xml:space="preserve"> HYPERLINK "https://www.zcygov.cn)。登录" </w:instrText>
      </w:r>
      <w:r>
        <w:fldChar w:fldCharType="separate"/>
      </w:r>
      <w:r>
        <w:rPr>
          <w:rFonts w:hint="eastAsia" w:ascii="宋体" w:hAnsi="宋体" w:cs="宋体"/>
          <w:b/>
          <w:szCs w:val="21"/>
        </w:rPr>
        <w:t>https://www.zcygov.cn)。登录“政府采购云平台”—项目采购—获取采购文件—申请获取采购文件。</w:t>
      </w:r>
      <w:r>
        <w:rPr>
          <w:rFonts w:hint="eastAsia" w:ascii="宋体" w:hAnsi="宋体" w:cs="宋体"/>
          <w:b/>
          <w:szCs w:val="21"/>
        </w:rPr>
        <w:fldChar w:fldCharType="end"/>
      </w:r>
    </w:p>
    <w:p>
      <w:pPr>
        <w:snapToGrid w:val="0"/>
        <w:spacing w:line="480" w:lineRule="exact"/>
        <w:ind w:firstLine="422" w:firstLineChars="200"/>
        <w:rPr>
          <w:rFonts w:ascii="宋体" w:hAnsi="宋体" w:cs="宋体"/>
          <w:b/>
          <w:szCs w:val="21"/>
        </w:rPr>
      </w:pPr>
      <w:r>
        <w:rPr>
          <w:rFonts w:hint="eastAsia" w:ascii="宋体" w:hAnsi="宋体" w:cs="宋体"/>
          <w:b/>
          <w:szCs w:val="21"/>
        </w:rPr>
        <w:t>温馨提示：</w:t>
      </w:r>
    </w:p>
    <w:p>
      <w:pPr>
        <w:snapToGrid w:val="0"/>
        <w:spacing w:line="480" w:lineRule="exact"/>
        <w:ind w:firstLine="420" w:firstLineChars="200"/>
        <w:rPr>
          <w:rFonts w:ascii="宋体" w:hAnsi="宋体" w:cs="宋体"/>
          <w:bCs/>
          <w:szCs w:val="21"/>
        </w:rPr>
      </w:pPr>
      <w:r>
        <w:rPr>
          <w:rFonts w:hint="eastAsia" w:ascii="宋体" w:hAnsi="宋体" w:cs="宋体"/>
          <w:bCs/>
          <w:szCs w:val="21"/>
        </w:rPr>
        <w:t>（1）本项目采购文件免费获取。</w:t>
      </w:r>
    </w:p>
    <w:p>
      <w:pPr>
        <w:snapToGrid w:val="0"/>
        <w:spacing w:line="480" w:lineRule="exact"/>
        <w:ind w:firstLine="420" w:firstLineChars="200"/>
        <w:rPr>
          <w:rFonts w:ascii="宋体" w:hAnsi="宋体" w:cs="宋体"/>
          <w:bCs/>
          <w:szCs w:val="21"/>
        </w:rPr>
      </w:pPr>
      <w:r>
        <w:rPr>
          <w:rFonts w:hint="eastAsia" w:ascii="宋体" w:hAnsi="宋体" w:cs="宋体"/>
          <w:bCs/>
          <w:szCs w:val="21"/>
        </w:rPr>
        <w:t>（2）供应商只有在“政府采购云平台”完成获取采购文件申请并下载采购文件后才视作依法参与本项目。如未在“政府采购云平台”内完成相关流程，引起的参与采购项目（投标）无效责任自负。</w:t>
      </w:r>
    </w:p>
    <w:p>
      <w:pPr>
        <w:snapToGrid w:val="0"/>
        <w:spacing w:line="480" w:lineRule="exact"/>
        <w:ind w:firstLine="420" w:firstLineChars="200"/>
        <w:rPr>
          <w:rFonts w:ascii="宋体" w:hAnsi="宋体" w:cs="宋体"/>
          <w:bCs/>
          <w:szCs w:val="21"/>
        </w:rPr>
      </w:pPr>
      <w:r>
        <w:rPr>
          <w:rFonts w:hint="eastAsia" w:ascii="宋体" w:hAnsi="宋体" w:cs="宋体"/>
          <w:bCs/>
          <w:szCs w:val="21"/>
        </w:rPr>
        <w:t>（3）本项目为电子招标（报名平台为“政府采购云平台”），非电子评标项目。供应商参与本项目程中凡涉及系统操作请详见《供应商政府采购项目电子交易操作指南》。</w:t>
      </w:r>
    </w:p>
    <w:p>
      <w:pPr>
        <w:wordWrap w:val="0"/>
        <w:snapToGrid w:val="0"/>
        <w:spacing w:line="480" w:lineRule="exact"/>
        <w:ind w:firstLine="420" w:firstLineChars="200"/>
        <w:rPr>
          <w:rFonts w:ascii="宋体" w:hAnsi="宋体" w:cs="宋体"/>
          <w:bCs/>
          <w:szCs w:val="21"/>
        </w:rPr>
      </w:pPr>
      <w:r>
        <w:rPr>
          <w:rFonts w:hint="eastAsia" w:ascii="宋体" w:hAnsi="宋体" w:cs="宋体"/>
          <w:bCs/>
          <w:szCs w:val="21"/>
        </w:rPr>
        <w:t>（4）“政府采购云平台”供应商注册地址：</w:t>
      </w:r>
      <w:r>
        <w:fldChar w:fldCharType="begin"/>
      </w:r>
      <w:r>
        <w:instrText xml:space="preserve"> HYPERLINK "https://middle.zcygov.cn/v-settle-front/registry" </w:instrText>
      </w:r>
      <w:r>
        <w:fldChar w:fldCharType="separate"/>
      </w:r>
      <w:r>
        <w:rPr>
          <w:rFonts w:hint="eastAsia" w:ascii="宋体" w:hAnsi="宋体" w:cs="宋体"/>
          <w:bCs/>
          <w:szCs w:val="21"/>
        </w:rPr>
        <w:t>https://middle.zcygov.cn/v-settle-front/registry</w:t>
      </w:r>
      <w:r>
        <w:rPr>
          <w:rFonts w:hint="eastAsia" w:ascii="宋体" w:hAnsi="宋体" w:cs="宋体"/>
          <w:bCs/>
          <w:szCs w:val="21"/>
        </w:rPr>
        <w:fldChar w:fldCharType="end"/>
      </w:r>
      <w:r>
        <w:rPr>
          <w:rFonts w:hint="eastAsia" w:ascii="宋体" w:hAnsi="宋体" w:cs="宋体"/>
          <w:bCs/>
          <w:szCs w:val="21"/>
        </w:rPr>
        <w:t>。</w:t>
      </w:r>
    </w:p>
    <w:p>
      <w:pPr>
        <w:snapToGrid w:val="0"/>
        <w:spacing w:line="480" w:lineRule="exact"/>
        <w:rPr>
          <w:rFonts w:ascii="宋体" w:hAnsi="宋体" w:cs="宋体"/>
          <w:szCs w:val="21"/>
        </w:rPr>
      </w:pPr>
      <w:r>
        <w:rPr>
          <w:rFonts w:hint="eastAsia" w:ascii="宋体" w:hAnsi="宋体" w:cs="宋体"/>
          <w:b/>
          <w:szCs w:val="21"/>
        </w:rPr>
        <w:t>八、递交响应文件截止时间：</w:t>
      </w:r>
      <w:r>
        <w:rPr>
          <w:rFonts w:hint="eastAsia" w:ascii="宋体" w:hAnsi="宋体" w:cs="宋体"/>
          <w:b/>
          <w:szCs w:val="21"/>
          <w:u w:val="single"/>
        </w:rPr>
        <w:t>2021年</w:t>
      </w:r>
      <w:r>
        <w:rPr>
          <w:rFonts w:hint="eastAsia" w:ascii="宋体" w:hAnsi="宋体" w:cs="宋体"/>
          <w:b/>
          <w:bCs/>
          <w:szCs w:val="21"/>
          <w:u w:val="single"/>
          <w:lang w:val="en-US" w:eastAsia="zh-CN"/>
        </w:rPr>
        <w:t>11</w:t>
      </w:r>
      <w:r>
        <w:rPr>
          <w:rFonts w:hint="eastAsia" w:ascii="宋体" w:hAnsi="宋体" w:cs="宋体"/>
          <w:b/>
          <w:szCs w:val="21"/>
          <w:u w:val="single"/>
        </w:rPr>
        <w:t>月</w:t>
      </w:r>
      <w:r>
        <w:rPr>
          <w:rFonts w:hint="eastAsia" w:ascii="宋体" w:hAnsi="宋体" w:cs="宋体"/>
          <w:b/>
          <w:szCs w:val="21"/>
          <w:u w:val="single"/>
          <w:lang w:val="en-US" w:eastAsia="zh-CN"/>
        </w:rPr>
        <w:t>24</w:t>
      </w:r>
      <w:bookmarkStart w:id="986" w:name="_GoBack"/>
      <w:bookmarkEnd w:id="986"/>
      <w:r>
        <w:rPr>
          <w:rFonts w:hint="eastAsia" w:ascii="宋体" w:hAnsi="宋体" w:cs="宋体"/>
          <w:b/>
          <w:szCs w:val="21"/>
          <w:u w:val="single"/>
        </w:rPr>
        <w:t>日10点00分</w:t>
      </w:r>
      <w:r>
        <w:rPr>
          <w:rFonts w:hint="eastAsia" w:ascii="宋体" w:hAnsi="宋体" w:cs="宋体"/>
          <w:b/>
          <w:szCs w:val="21"/>
        </w:rPr>
        <w:t>（</w:t>
      </w:r>
      <w:r>
        <w:rPr>
          <w:rFonts w:hint="eastAsia" w:ascii="宋体" w:hAnsi="宋体" w:cs="宋体"/>
          <w:szCs w:val="21"/>
        </w:rPr>
        <w:t xml:space="preserve">北京时间）。 </w:t>
      </w:r>
    </w:p>
    <w:p>
      <w:pPr>
        <w:snapToGrid w:val="0"/>
        <w:spacing w:line="480" w:lineRule="exact"/>
        <w:rPr>
          <w:rFonts w:ascii="宋体" w:hAnsi="宋体" w:cs="宋体"/>
          <w:szCs w:val="21"/>
        </w:rPr>
      </w:pPr>
      <w:r>
        <w:rPr>
          <w:rFonts w:hint="eastAsia" w:ascii="宋体" w:hAnsi="宋体" w:cs="宋体"/>
          <w:b/>
          <w:szCs w:val="21"/>
        </w:rPr>
        <w:t>九、递交响应文件地点：</w:t>
      </w:r>
      <w:bookmarkStart w:id="18" w:name="PO_默认文件内容_7"/>
      <w:r>
        <w:rPr>
          <w:rFonts w:hint="eastAsia" w:ascii="宋体" w:hAnsi="宋体" w:cs="宋体"/>
          <w:szCs w:val="21"/>
        </w:rPr>
        <w:t>响应文件必须在递交响应文件截止时间前送达磋商地点。逾期送达或没有密封的响应文件恕不接收。本次采购不接收邮寄的响应文件</w:t>
      </w:r>
      <w:bookmarkEnd w:id="18"/>
      <w:r>
        <w:rPr>
          <w:rFonts w:hint="eastAsia" w:ascii="宋体" w:hAnsi="宋体" w:cs="宋体"/>
          <w:szCs w:val="21"/>
        </w:rPr>
        <w:t>。</w:t>
      </w:r>
    </w:p>
    <w:p>
      <w:pPr>
        <w:snapToGrid w:val="0"/>
        <w:spacing w:line="480" w:lineRule="exact"/>
        <w:rPr>
          <w:rFonts w:ascii="宋体" w:hAnsi="宋体" w:cs="宋体"/>
          <w:szCs w:val="21"/>
        </w:rPr>
      </w:pPr>
      <w:r>
        <w:rPr>
          <w:rFonts w:hint="eastAsia" w:ascii="宋体" w:hAnsi="宋体" w:cs="宋体"/>
          <w:b/>
          <w:szCs w:val="21"/>
        </w:rPr>
        <w:t>十、响应文件接收时间</w:t>
      </w:r>
      <w:r>
        <w:rPr>
          <w:rFonts w:hint="eastAsia" w:ascii="宋体" w:hAnsi="宋体" w:cs="宋体"/>
          <w:b/>
          <w:bCs/>
          <w:szCs w:val="21"/>
        </w:rPr>
        <w:t>：</w:t>
      </w:r>
      <w:r>
        <w:rPr>
          <w:rFonts w:hint="eastAsia" w:ascii="宋体" w:hAnsi="宋体" w:cs="宋体"/>
          <w:b/>
          <w:szCs w:val="21"/>
          <w:u w:val="single"/>
        </w:rPr>
        <w:t>2021年</w:t>
      </w:r>
      <w:r>
        <w:rPr>
          <w:rFonts w:hint="eastAsia" w:ascii="宋体" w:hAnsi="宋体" w:cs="宋体"/>
          <w:b/>
          <w:bCs/>
          <w:szCs w:val="21"/>
          <w:u w:val="single"/>
        </w:rPr>
        <w:t xml:space="preserve">  </w:t>
      </w:r>
      <w:r>
        <w:rPr>
          <w:rFonts w:hint="eastAsia" w:ascii="宋体" w:hAnsi="宋体" w:cs="宋体"/>
          <w:b/>
          <w:bCs/>
          <w:szCs w:val="21"/>
          <w:u w:val="single"/>
          <w:lang w:val="en-US" w:eastAsia="zh-CN"/>
        </w:rPr>
        <w:t>11</w:t>
      </w:r>
      <w:r>
        <w:rPr>
          <w:rFonts w:hint="eastAsia" w:ascii="宋体" w:hAnsi="宋体" w:cs="宋体"/>
          <w:b/>
          <w:bCs/>
          <w:szCs w:val="21"/>
          <w:u w:val="single"/>
        </w:rPr>
        <w:t xml:space="preserve"> </w:t>
      </w:r>
      <w:r>
        <w:rPr>
          <w:rFonts w:hint="eastAsia" w:ascii="宋体" w:hAnsi="宋体" w:cs="宋体"/>
          <w:b/>
          <w:szCs w:val="21"/>
          <w:u w:val="single"/>
        </w:rPr>
        <w:t>月</w:t>
      </w:r>
      <w:r>
        <w:rPr>
          <w:rFonts w:hint="eastAsia" w:ascii="宋体" w:hAnsi="宋体" w:cs="宋体"/>
          <w:b/>
          <w:bCs/>
          <w:szCs w:val="21"/>
          <w:u w:val="single"/>
        </w:rPr>
        <w:t xml:space="preserve"> </w:t>
      </w:r>
      <w:r>
        <w:rPr>
          <w:rFonts w:hint="eastAsia" w:ascii="宋体" w:hAnsi="宋体" w:cs="宋体"/>
          <w:b/>
          <w:bCs/>
          <w:szCs w:val="21"/>
          <w:u w:val="single"/>
          <w:lang w:val="en-US" w:eastAsia="zh-CN"/>
        </w:rPr>
        <w:t>24</w:t>
      </w:r>
      <w:r>
        <w:rPr>
          <w:rFonts w:hint="eastAsia" w:ascii="宋体" w:hAnsi="宋体" w:cs="宋体"/>
          <w:b/>
          <w:bCs/>
          <w:szCs w:val="21"/>
          <w:u w:val="single"/>
        </w:rPr>
        <w:t xml:space="preserve"> </w:t>
      </w:r>
      <w:r>
        <w:rPr>
          <w:rFonts w:hint="eastAsia" w:ascii="宋体" w:hAnsi="宋体" w:cs="宋体"/>
          <w:b/>
          <w:szCs w:val="21"/>
          <w:u w:val="single"/>
        </w:rPr>
        <w:t>日09点30分</w:t>
      </w:r>
      <w:r>
        <w:rPr>
          <w:rFonts w:hint="eastAsia" w:ascii="宋体" w:hAnsi="宋体" w:cs="宋体"/>
          <w:b/>
          <w:bCs/>
          <w:szCs w:val="21"/>
          <w:u w:val="single"/>
        </w:rPr>
        <w:t>-</w:t>
      </w:r>
      <w:r>
        <w:rPr>
          <w:rFonts w:hint="eastAsia" w:ascii="宋体" w:hAnsi="宋体" w:cs="宋体"/>
          <w:b/>
          <w:szCs w:val="21"/>
          <w:u w:val="single"/>
        </w:rPr>
        <w:t>10点00分</w:t>
      </w:r>
      <w:r>
        <w:rPr>
          <w:rFonts w:hint="eastAsia" w:ascii="宋体" w:hAnsi="宋体" w:cs="宋体"/>
          <w:szCs w:val="21"/>
        </w:rPr>
        <w:t>。</w:t>
      </w:r>
    </w:p>
    <w:p>
      <w:pPr>
        <w:snapToGrid w:val="0"/>
        <w:spacing w:line="480" w:lineRule="exact"/>
        <w:rPr>
          <w:rFonts w:ascii="宋体" w:hAnsi="宋体" w:cs="宋体"/>
          <w:szCs w:val="21"/>
        </w:rPr>
      </w:pPr>
      <w:r>
        <w:rPr>
          <w:rFonts w:hint="eastAsia" w:ascii="宋体" w:hAnsi="宋体" w:cs="宋体"/>
          <w:b/>
          <w:szCs w:val="21"/>
        </w:rPr>
        <w:t>十一、响应文件开启时间：</w:t>
      </w:r>
      <w:r>
        <w:rPr>
          <w:rFonts w:hint="eastAsia" w:ascii="宋体" w:hAnsi="宋体" w:cs="宋体"/>
          <w:b/>
          <w:szCs w:val="21"/>
          <w:u w:val="single"/>
        </w:rPr>
        <w:t>2021年</w:t>
      </w:r>
      <w:r>
        <w:rPr>
          <w:rFonts w:hint="eastAsia" w:ascii="宋体" w:hAnsi="宋体" w:cs="宋体"/>
          <w:b/>
          <w:bCs/>
          <w:szCs w:val="21"/>
          <w:u w:val="single"/>
          <w:lang w:val="en-US" w:eastAsia="zh-CN"/>
        </w:rPr>
        <w:t>11</w:t>
      </w:r>
      <w:r>
        <w:rPr>
          <w:rFonts w:hint="eastAsia" w:ascii="宋体" w:hAnsi="宋体" w:cs="宋体"/>
          <w:b/>
          <w:szCs w:val="21"/>
          <w:u w:val="single"/>
        </w:rPr>
        <w:t>月</w:t>
      </w:r>
      <w:r>
        <w:rPr>
          <w:rFonts w:hint="eastAsia" w:ascii="宋体" w:hAnsi="宋体" w:cs="宋体"/>
          <w:b/>
          <w:bCs/>
          <w:szCs w:val="21"/>
          <w:u w:val="single"/>
        </w:rPr>
        <w:t xml:space="preserve"> </w:t>
      </w:r>
      <w:r>
        <w:rPr>
          <w:rFonts w:hint="eastAsia" w:ascii="宋体" w:hAnsi="宋体" w:cs="宋体"/>
          <w:b/>
          <w:bCs/>
          <w:szCs w:val="21"/>
          <w:u w:val="single"/>
          <w:lang w:val="en-US" w:eastAsia="zh-CN"/>
        </w:rPr>
        <w:t>24</w:t>
      </w:r>
      <w:r>
        <w:rPr>
          <w:rFonts w:hint="eastAsia" w:ascii="宋体" w:hAnsi="宋体" w:cs="宋体"/>
          <w:b/>
          <w:bCs/>
          <w:szCs w:val="21"/>
          <w:u w:val="single"/>
        </w:rPr>
        <w:t xml:space="preserve"> </w:t>
      </w:r>
      <w:r>
        <w:rPr>
          <w:rFonts w:hint="eastAsia" w:ascii="宋体" w:hAnsi="宋体" w:cs="宋体"/>
          <w:b/>
          <w:szCs w:val="21"/>
          <w:u w:val="single"/>
        </w:rPr>
        <w:t>日10点00分</w:t>
      </w:r>
      <w:r>
        <w:rPr>
          <w:rFonts w:hint="eastAsia" w:ascii="宋体" w:hAnsi="宋体" w:cs="宋体"/>
          <w:b/>
          <w:bCs/>
          <w:szCs w:val="21"/>
          <w:u w:val="single"/>
        </w:rPr>
        <w:t>（北京时间）在磋商地点开启</w:t>
      </w:r>
      <w:r>
        <w:rPr>
          <w:rFonts w:hint="eastAsia" w:ascii="宋体" w:hAnsi="宋体" w:cs="宋体"/>
          <w:szCs w:val="21"/>
        </w:rPr>
        <w:t>。</w:t>
      </w:r>
    </w:p>
    <w:p>
      <w:pPr>
        <w:pStyle w:val="55"/>
        <w:snapToGrid w:val="0"/>
        <w:spacing w:line="480" w:lineRule="exact"/>
        <w:ind w:firstLine="0" w:firstLineChars="0"/>
        <w:rPr>
          <w:rFonts w:ascii="宋体" w:hAnsi="宋体" w:cs="宋体"/>
          <w:szCs w:val="21"/>
        </w:rPr>
      </w:pPr>
      <w:r>
        <w:rPr>
          <w:rFonts w:hint="eastAsia" w:ascii="宋体" w:hAnsi="宋体" w:cs="宋体"/>
          <w:b/>
          <w:szCs w:val="21"/>
        </w:rPr>
        <w:t>十二、磋商地点：</w:t>
      </w:r>
      <w:bookmarkStart w:id="19" w:name="PO_开标地址_1"/>
      <w:r>
        <w:rPr>
          <w:rFonts w:hint="eastAsia" w:ascii="宋体" w:hAnsi="宋体" w:cs="宋体"/>
          <w:b/>
          <w:bCs/>
          <w:szCs w:val="21"/>
          <w:u w:val="single"/>
        </w:rPr>
        <w:t>四川省成都市锦江区三色路199号五冶大厦A2栋9楼</w:t>
      </w:r>
      <w:bookmarkEnd w:id="19"/>
      <w:r>
        <w:rPr>
          <w:rFonts w:hint="eastAsia" w:ascii="宋体" w:hAnsi="宋体" w:cs="宋体"/>
          <w:b/>
          <w:bCs/>
          <w:szCs w:val="21"/>
          <w:u w:val="single"/>
        </w:rPr>
        <w:t>本项目开标室。</w:t>
      </w:r>
    </w:p>
    <w:p>
      <w:pPr>
        <w:pStyle w:val="55"/>
        <w:snapToGrid w:val="0"/>
        <w:spacing w:line="480" w:lineRule="exact"/>
        <w:ind w:firstLine="0" w:firstLineChars="0"/>
        <w:rPr>
          <w:rFonts w:ascii="宋体" w:hAnsi="宋体" w:cs="宋体"/>
          <w:b/>
          <w:szCs w:val="21"/>
        </w:rPr>
      </w:pPr>
      <w:r>
        <w:rPr>
          <w:rFonts w:hint="eastAsia" w:ascii="宋体" w:hAnsi="宋体" w:cs="宋体"/>
          <w:b/>
          <w:szCs w:val="21"/>
        </w:rPr>
        <w:t>十三、供应商信用融资</w:t>
      </w:r>
    </w:p>
    <w:p>
      <w:pPr>
        <w:snapToGrid w:val="0"/>
        <w:spacing w:line="480" w:lineRule="exact"/>
        <w:ind w:firstLine="420" w:firstLineChars="200"/>
        <w:rPr>
          <w:rFonts w:ascii="宋体" w:hAnsi="宋体" w:cs="宋体"/>
          <w:bCs/>
          <w:szCs w:val="21"/>
        </w:rPr>
      </w:pPr>
      <w:r>
        <w:rPr>
          <w:rFonts w:hint="eastAsia" w:ascii="宋体" w:hAnsi="宋体" w:cs="宋体"/>
          <w:bCs/>
          <w:szCs w:val="21"/>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snapToGrid w:val="0"/>
        <w:spacing w:line="480" w:lineRule="exact"/>
        <w:ind w:firstLine="420" w:firstLineChars="200"/>
        <w:rPr>
          <w:rFonts w:ascii="宋体" w:hAnsi="宋体" w:cs="宋体"/>
          <w:bCs/>
          <w:szCs w:val="21"/>
        </w:rPr>
      </w:pPr>
      <w:r>
        <w:rPr>
          <w:rFonts w:hint="eastAsia" w:ascii="宋体" w:hAnsi="宋体" w:cs="宋体"/>
          <w:bCs/>
          <w:szCs w:val="21"/>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2020〕20号”）。</w:t>
      </w:r>
    </w:p>
    <w:p>
      <w:pPr>
        <w:pStyle w:val="55"/>
        <w:snapToGrid w:val="0"/>
        <w:spacing w:line="480" w:lineRule="exact"/>
        <w:ind w:firstLine="0" w:firstLineChars="0"/>
        <w:rPr>
          <w:rFonts w:ascii="宋体" w:hAnsi="宋体" w:cs="宋体"/>
          <w:b/>
          <w:szCs w:val="21"/>
        </w:rPr>
      </w:pPr>
      <w:r>
        <w:rPr>
          <w:rFonts w:hint="eastAsia" w:ascii="宋体" w:hAnsi="宋体" w:cs="宋体"/>
          <w:b/>
          <w:szCs w:val="21"/>
        </w:rPr>
        <w:t>十三、联系方式</w:t>
      </w:r>
    </w:p>
    <w:p>
      <w:pPr>
        <w:pStyle w:val="60"/>
        <w:snapToGrid w:val="0"/>
        <w:spacing w:line="480" w:lineRule="exact"/>
        <w:ind w:firstLine="420" w:firstLineChars="200"/>
        <w:jc w:val="both"/>
        <w:rPr>
          <w:sz w:val="21"/>
          <w:szCs w:val="21"/>
        </w:rPr>
      </w:pPr>
      <w:r>
        <w:rPr>
          <w:rFonts w:hint="eastAsia"/>
          <w:sz w:val="21"/>
          <w:szCs w:val="21"/>
        </w:rPr>
        <w:t>采购人：成都市国土规划地籍事务中心</w:t>
      </w:r>
    </w:p>
    <w:p>
      <w:pPr>
        <w:pStyle w:val="60"/>
        <w:snapToGrid w:val="0"/>
        <w:spacing w:line="480" w:lineRule="exact"/>
        <w:ind w:firstLine="420" w:firstLineChars="200"/>
        <w:jc w:val="both"/>
        <w:rPr>
          <w:sz w:val="21"/>
          <w:szCs w:val="21"/>
        </w:rPr>
      </w:pPr>
      <w:r>
        <w:rPr>
          <w:rFonts w:hint="eastAsia"/>
          <w:sz w:val="21"/>
          <w:szCs w:val="21"/>
        </w:rPr>
        <w:t>通讯地址：成都市青羊区家园路3号</w:t>
      </w:r>
    </w:p>
    <w:p>
      <w:pPr>
        <w:pStyle w:val="60"/>
        <w:snapToGrid w:val="0"/>
        <w:spacing w:line="480" w:lineRule="exact"/>
        <w:ind w:firstLine="420" w:firstLineChars="200"/>
        <w:jc w:val="both"/>
        <w:rPr>
          <w:sz w:val="21"/>
          <w:szCs w:val="21"/>
        </w:rPr>
      </w:pPr>
      <w:r>
        <w:rPr>
          <w:rFonts w:hint="eastAsia"/>
          <w:sz w:val="21"/>
          <w:szCs w:val="21"/>
        </w:rPr>
        <w:t>联 系 人：果老师</w:t>
      </w:r>
    </w:p>
    <w:p>
      <w:pPr>
        <w:pStyle w:val="60"/>
        <w:snapToGrid w:val="0"/>
        <w:spacing w:line="480" w:lineRule="exact"/>
        <w:ind w:firstLine="420" w:firstLineChars="200"/>
        <w:jc w:val="both"/>
        <w:rPr>
          <w:sz w:val="21"/>
          <w:szCs w:val="21"/>
        </w:rPr>
      </w:pPr>
      <w:r>
        <w:rPr>
          <w:rFonts w:hint="eastAsia"/>
          <w:sz w:val="21"/>
          <w:szCs w:val="21"/>
        </w:rPr>
        <w:t>联系电话：028-87383886</w:t>
      </w:r>
    </w:p>
    <w:p>
      <w:pPr>
        <w:pStyle w:val="60"/>
        <w:snapToGrid w:val="0"/>
        <w:spacing w:line="480" w:lineRule="exact"/>
        <w:ind w:firstLine="420" w:firstLineChars="200"/>
        <w:jc w:val="both"/>
        <w:rPr>
          <w:sz w:val="21"/>
          <w:szCs w:val="21"/>
        </w:rPr>
      </w:pPr>
      <w:r>
        <w:rPr>
          <w:rFonts w:hint="eastAsia"/>
          <w:sz w:val="21"/>
          <w:szCs w:val="21"/>
        </w:rPr>
        <w:t>采购代理机构：四川雄烽建设工程管理有限公司</w:t>
      </w:r>
    </w:p>
    <w:p>
      <w:pPr>
        <w:pStyle w:val="60"/>
        <w:snapToGrid w:val="0"/>
        <w:spacing w:line="480" w:lineRule="exact"/>
        <w:ind w:firstLine="420" w:firstLineChars="200"/>
        <w:jc w:val="both"/>
        <w:rPr>
          <w:sz w:val="21"/>
          <w:szCs w:val="21"/>
        </w:rPr>
      </w:pPr>
      <w:r>
        <w:rPr>
          <w:rFonts w:hint="eastAsia"/>
          <w:sz w:val="21"/>
          <w:szCs w:val="21"/>
        </w:rPr>
        <w:t>通讯地址：</w:t>
      </w:r>
      <w:bookmarkStart w:id="20" w:name="PO_代理公司地址_1"/>
      <w:r>
        <w:rPr>
          <w:rFonts w:hint="eastAsia"/>
          <w:sz w:val="21"/>
          <w:szCs w:val="21"/>
        </w:rPr>
        <w:t>四川省成都市锦江区三色路199号五冶大厦A2栋9楼</w:t>
      </w:r>
    </w:p>
    <w:bookmarkEnd w:id="20"/>
    <w:p>
      <w:pPr>
        <w:pStyle w:val="60"/>
        <w:snapToGrid w:val="0"/>
        <w:spacing w:line="480" w:lineRule="exact"/>
        <w:ind w:firstLine="420" w:firstLineChars="200"/>
        <w:jc w:val="both"/>
        <w:rPr>
          <w:sz w:val="21"/>
          <w:szCs w:val="21"/>
        </w:rPr>
      </w:pPr>
      <w:r>
        <w:rPr>
          <w:rFonts w:hint="eastAsia"/>
          <w:sz w:val="21"/>
          <w:szCs w:val="21"/>
        </w:rPr>
        <w:t>联系人：李先生</w:t>
      </w:r>
    </w:p>
    <w:p>
      <w:pPr>
        <w:pStyle w:val="60"/>
        <w:snapToGrid w:val="0"/>
        <w:spacing w:line="480" w:lineRule="exact"/>
        <w:ind w:firstLine="420" w:firstLineChars="200"/>
        <w:jc w:val="both"/>
        <w:rPr>
          <w:sz w:val="21"/>
          <w:szCs w:val="21"/>
        </w:rPr>
      </w:pPr>
      <w:r>
        <w:rPr>
          <w:rFonts w:hint="eastAsia"/>
          <w:sz w:val="21"/>
          <w:szCs w:val="21"/>
        </w:rPr>
        <w:t>联系电话：</w:t>
      </w:r>
      <w:bookmarkStart w:id="21" w:name="PO_项目负责人电话_1"/>
      <w:r>
        <w:rPr>
          <w:rFonts w:hint="eastAsia"/>
          <w:sz w:val="21"/>
          <w:szCs w:val="21"/>
        </w:rPr>
        <w:t>028-</w:t>
      </w:r>
      <w:bookmarkEnd w:id="21"/>
      <w:r>
        <w:rPr>
          <w:rFonts w:hint="eastAsia"/>
          <w:sz w:val="21"/>
          <w:szCs w:val="21"/>
        </w:rPr>
        <w:t>86055792转8011</w:t>
      </w:r>
    </w:p>
    <w:p>
      <w:pPr>
        <w:pStyle w:val="3"/>
        <w:spacing w:before="0" w:after="0" w:line="360" w:lineRule="auto"/>
      </w:pPr>
      <w:bookmarkStart w:id="22" w:name="_Toc511206476"/>
      <w:bookmarkStart w:id="23" w:name="_Toc213396759"/>
      <w:bookmarkStart w:id="24" w:name="_Toc213397009"/>
      <w:bookmarkStart w:id="25" w:name="_Toc213496267"/>
      <w:bookmarkStart w:id="26" w:name="_Toc213396945"/>
      <w:bookmarkStart w:id="27" w:name="_Toc217446031"/>
      <w:r>
        <w:br w:type="page"/>
      </w:r>
      <w:bookmarkStart w:id="28" w:name="_Toc32689"/>
      <w:bookmarkStart w:id="29" w:name="_Toc27296"/>
      <w:bookmarkStart w:id="30" w:name="_Toc24946"/>
      <w:bookmarkStart w:id="31" w:name="_Toc4978"/>
      <w:bookmarkStart w:id="32" w:name="_Toc4872_WPSOffice_Level1"/>
      <w:bookmarkStart w:id="33" w:name="_Toc20646"/>
      <w:bookmarkStart w:id="34" w:name="_Toc29044"/>
      <w:bookmarkStart w:id="35" w:name="_Toc5847"/>
      <w:bookmarkStart w:id="36" w:name="_Toc28489"/>
      <w:bookmarkStart w:id="37" w:name="_Toc5004982"/>
      <w:bookmarkStart w:id="38" w:name="_Toc22189"/>
      <w:r>
        <w:rPr>
          <w:rFonts w:hint="eastAsia"/>
        </w:rPr>
        <w:t>第二章  磋商须知</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Pr>
        <w:pStyle w:val="4"/>
        <w:spacing w:before="0" w:after="0" w:line="360" w:lineRule="auto"/>
      </w:pPr>
      <w:bookmarkStart w:id="39" w:name="_Toc23974"/>
      <w:bookmarkStart w:id="40" w:name="_Toc5004983"/>
      <w:bookmarkStart w:id="41" w:name="_Toc30147"/>
      <w:bookmarkStart w:id="42" w:name="_Toc3291"/>
      <w:bookmarkStart w:id="43" w:name="_Toc477"/>
      <w:bookmarkStart w:id="44" w:name="_Toc18831_WPSOffice_Level2"/>
      <w:bookmarkStart w:id="45" w:name="_Toc356"/>
      <w:bookmarkStart w:id="46" w:name="_Toc3358"/>
      <w:bookmarkStart w:id="47" w:name="_Toc4578817"/>
      <w:bookmarkStart w:id="48" w:name="_Toc21727"/>
      <w:bookmarkStart w:id="49" w:name="_Toc4659679"/>
      <w:bookmarkStart w:id="50" w:name="_Toc24491"/>
      <w:r>
        <w:rPr>
          <w:rFonts w:hint="eastAsia"/>
        </w:rPr>
        <w:t>一、供应商须知附表</w:t>
      </w:r>
      <w:bookmarkEnd w:id="39"/>
      <w:bookmarkEnd w:id="40"/>
      <w:bookmarkEnd w:id="41"/>
      <w:bookmarkEnd w:id="42"/>
      <w:bookmarkEnd w:id="43"/>
      <w:bookmarkEnd w:id="44"/>
      <w:bookmarkEnd w:id="45"/>
      <w:bookmarkEnd w:id="46"/>
      <w:bookmarkEnd w:id="47"/>
      <w:bookmarkEnd w:id="48"/>
      <w:bookmarkEnd w:id="49"/>
      <w:bookmarkEnd w:id="50"/>
    </w:p>
    <w:tbl>
      <w:tblPr>
        <w:tblStyle w:val="33"/>
        <w:tblW w:w="981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358"/>
        <w:gridCol w:w="6445"/>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shd w:val="clear" w:color="auto" w:fill="F1F1F1" w:themeFill="background1" w:themeFillShade="F2"/>
            <w:vAlign w:val="center"/>
          </w:tcPr>
          <w:p>
            <w:pPr>
              <w:pStyle w:val="60"/>
              <w:snapToGrid w:val="0"/>
              <w:spacing w:beforeLines="30" w:afterLines="30" w:line="360" w:lineRule="exact"/>
              <w:ind w:left="9"/>
              <w:jc w:val="center"/>
              <w:rPr>
                <w:b/>
                <w:bCs/>
                <w:sz w:val="21"/>
                <w:szCs w:val="21"/>
                <w:lang w:val="zh-CN"/>
              </w:rPr>
            </w:pPr>
            <w:r>
              <w:rPr>
                <w:rFonts w:hint="eastAsia"/>
                <w:b/>
                <w:bCs/>
                <w:sz w:val="21"/>
                <w:szCs w:val="21"/>
                <w:lang w:val="zh-CN"/>
              </w:rPr>
              <w:t>序号</w:t>
            </w:r>
          </w:p>
        </w:tc>
        <w:tc>
          <w:tcPr>
            <w:tcW w:w="2358" w:type="dxa"/>
            <w:shd w:val="clear" w:color="auto" w:fill="F1F1F1" w:themeFill="background1" w:themeFillShade="F2"/>
            <w:vAlign w:val="center"/>
          </w:tcPr>
          <w:p>
            <w:pPr>
              <w:pStyle w:val="60"/>
              <w:snapToGrid w:val="0"/>
              <w:spacing w:beforeLines="30" w:afterLines="30" w:line="360" w:lineRule="exact"/>
              <w:ind w:left="38"/>
              <w:jc w:val="center"/>
              <w:rPr>
                <w:b/>
                <w:bCs/>
                <w:sz w:val="21"/>
                <w:szCs w:val="21"/>
                <w:lang w:val="zh-CN"/>
              </w:rPr>
            </w:pPr>
            <w:r>
              <w:rPr>
                <w:rFonts w:hint="eastAsia"/>
                <w:b/>
                <w:bCs/>
                <w:sz w:val="21"/>
                <w:szCs w:val="21"/>
                <w:lang w:val="zh-CN"/>
              </w:rPr>
              <w:t>应知事项</w:t>
            </w:r>
          </w:p>
        </w:tc>
        <w:tc>
          <w:tcPr>
            <w:tcW w:w="6445" w:type="dxa"/>
            <w:shd w:val="clear" w:color="auto" w:fill="F1F1F1" w:themeFill="background1" w:themeFillShade="F2"/>
            <w:vAlign w:val="center"/>
          </w:tcPr>
          <w:p>
            <w:pPr>
              <w:pStyle w:val="60"/>
              <w:snapToGrid w:val="0"/>
              <w:spacing w:beforeLines="50" w:line="360" w:lineRule="auto"/>
              <w:jc w:val="center"/>
              <w:rPr>
                <w:b/>
                <w:bCs/>
                <w:sz w:val="21"/>
                <w:szCs w:val="21"/>
                <w:lang w:val="zh-CN"/>
              </w:rPr>
            </w:pPr>
            <w:r>
              <w:rPr>
                <w:rFonts w:hint="eastAsia"/>
                <w:b/>
                <w:bCs/>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1</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szCs w:val="21"/>
                <w:lang w:val="zh-CN"/>
              </w:rPr>
              <w:t>确定邀请磋商的供应商数量和方式</w:t>
            </w:r>
          </w:p>
        </w:tc>
        <w:tc>
          <w:tcPr>
            <w:tcW w:w="6445" w:type="dxa"/>
            <w:vAlign w:val="center"/>
          </w:tcPr>
          <w:p>
            <w:pPr>
              <w:wordWrap w:val="0"/>
              <w:snapToGrid w:val="0"/>
              <w:spacing w:beforeLines="20" w:afterLines="20" w:line="360" w:lineRule="exact"/>
              <w:ind w:firstLine="210" w:firstLineChars="100"/>
              <w:rPr>
                <w:szCs w:val="21"/>
                <w:lang w:val="zh-CN"/>
              </w:rPr>
            </w:pPr>
            <w:r>
              <w:rPr>
                <w:rFonts w:hint="eastAsia" w:ascii="宋体" w:hAnsi="宋体" w:cs="宋体"/>
                <w:szCs w:val="21"/>
                <w:lang w:val="zh-CN"/>
              </w:rPr>
              <w:t>本次磋商邀请的供应商数量：3家及以上，</w:t>
            </w:r>
            <w:r>
              <w:rPr>
                <w:rFonts w:hint="eastAsia"/>
                <w:szCs w:val="21"/>
                <w:lang w:val="zh-CN"/>
              </w:rPr>
              <w:t>本次采购采取在</w:t>
            </w:r>
            <w:r>
              <w:rPr>
                <w:rFonts w:hint="eastAsia"/>
                <w:szCs w:val="21"/>
                <w:u w:val="single"/>
                <w:lang w:val="zh-CN"/>
              </w:rPr>
              <w:t>四川政府采购网）</w:t>
            </w:r>
            <w:r>
              <w:rPr>
                <w:rFonts w:hint="eastAsia"/>
                <w:szCs w:val="21"/>
                <w:lang w:val="zh-CN"/>
              </w:rPr>
              <w:t>以公告形式发布邀请参加磋商的供应商。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3" w:hRule="atLeast"/>
          <w:jc w:val="center"/>
        </w:trPr>
        <w:tc>
          <w:tcPr>
            <w:tcW w:w="1013" w:type="dxa"/>
            <w:vAlign w:val="center"/>
          </w:tcPr>
          <w:p>
            <w:pPr>
              <w:pStyle w:val="60"/>
              <w:snapToGrid w:val="0"/>
              <w:spacing w:beforeLines="30" w:afterLines="30" w:line="360" w:lineRule="exact"/>
              <w:jc w:val="center"/>
              <w:rPr>
                <w:b/>
                <w:bCs/>
                <w:sz w:val="21"/>
                <w:szCs w:val="21"/>
                <w:lang w:val="zh-CN"/>
              </w:rPr>
            </w:pPr>
            <w:r>
              <w:rPr>
                <w:rFonts w:hint="eastAsia"/>
                <w:b/>
                <w:bCs/>
                <w:sz w:val="21"/>
                <w:szCs w:val="21"/>
              </w:rPr>
              <w:t>2</w:t>
            </w:r>
          </w:p>
        </w:tc>
        <w:tc>
          <w:tcPr>
            <w:tcW w:w="2358" w:type="dxa"/>
            <w:vAlign w:val="center"/>
          </w:tcPr>
          <w:p>
            <w:pPr>
              <w:snapToGrid w:val="0"/>
              <w:spacing w:beforeLines="30" w:afterLines="30" w:line="360" w:lineRule="exact"/>
              <w:jc w:val="center"/>
              <w:rPr>
                <w:rFonts w:ascii="宋体" w:hAnsi="宋体" w:cs="宋体"/>
                <w:b/>
                <w:bCs/>
                <w:szCs w:val="21"/>
                <w:lang w:val="zh-CN"/>
              </w:rPr>
            </w:pPr>
            <w:r>
              <w:rPr>
                <w:rFonts w:hint="eastAsia" w:ascii="宋体" w:hAnsi="宋体" w:cs="宋体"/>
                <w:b/>
                <w:bCs/>
                <w:szCs w:val="21"/>
                <w:lang w:val="zh-CN"/>
              </w:rPr>
              <w:t>采购预算</w:t>
            </w:r>
          </w:p>
          <w:p>
            <w:pPr>
              <w:snapToGrid w:val="0"/>
              <w:spacing w:beforeLines="30" w:afterLines="30" w:line="360" w:lineRule="exact"/>
              <w:jc w:val="center"/>
              <w:rPr>
                <w:rFonts w:ascii="宋体" w:hAnsi="宋体" w:cs="宋体"/>
                <w:b/>
                <w:bCs/>
                <w:szCs w:val="21"/>
                <w:lang w:val="zh-CN"/>
              </w:rPr>
            </w:pPr>
            <w:r>
              <w:rPr>
                <w:rFonts w:hint="eastAsia" w:ascii="宋体" w:hAnsi="宋体" w:cs="宋体"/>
                <w:b/>
                <w:bCs/>
                <w:szCs w:val="21"/>
                <w:lang w:val="zh-CN"/>
              </w:rPr>
              <w:t>（实质性要求）</w:t>
            </w:r>
          </w:p>
        </w:tc>
        <w:tc>
          <w:tcPr>
            <w:tcW w:w="6445" w:type="dxa"/>
            <w:vAlign w:val="center"/>
          </w:tcPr>
          <w:p>
            <w:pPr>
              <w:pStyle w:val="60"/>
              <w:snapToGrid w:val="0"/>
              <w:spacing w:beforeLines="20" w:afterLines="20" w:line="360" w:lineRule="exact"/>
              <w:ind w:firstLine="240" w:firstLineChars="100"/>
              <w:jc w:val="both"/>
            </w:pPr>
            <w:r>
              <w:rPr>
                <w:rFonts w:hint="eastAsia"/>
                <w:lang w:val="zh-CN"/>
              </w:rPr>
              <w:t>采购预算：</w:t>
            </w:r>
            <w:r>
              <w:rPr>
                <w:rFonts w:hint="eastAsia"/>
                <w:sz w:val="21"/>
                <w:szCs w:val="21"/>
                <w:u w:val="single"/>
                <w:lang w:val="zh-CN"/>
              </w:rPr>
              <w:t>78万元/年，服务时间三年，合同每年一签。</w:t>
            </w:r>
          </w:p>
          <w:p>
            <w:pPr>
              <w:pStyle w:val="12"/>
              <w:spacing w:beforeLines="20" w:afterLines="20" w:line="360" w:lineRule="exact"/>
              <w:ind w:firstLine="210" w:firstLineChars="100"/>
            </w:pPr>
            <w:r>
              <w:rPr>
                <w:rFonts w:hint="eastAsia"/>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b/>
                <w:bCs/>
                <w:sz w:val="21"/>
                <w:szCs w:val="21"/>
                <w:lang w:val="zh-CN"/>
              </w:rPr>
            </w:pPr>
            <w:r>
              <w:rPr>
                <w:rFonts w:hint="eastAsia"/>
                <w:b/>
                <w:bCs/>
                <w:sz w:val="21"/>
                <w:szCs w:val="21"/>
              </w:rPr>
              <w:t>3</w:t>
            </w:r>
          </w:p>
        </w:tc>
        <w:tc>
          <w:tcPr>
            <w:tcW w:w="2358" w:type="dxa"/>
            <w:vAlign w:val="center"/>
          </w:tcPr>
          <w:p>
            <w:pPr>
              <w:snapToGrid w:val="0"/>
              <w:spacing w:beforeLines="30" w:afterLines="30" w:line="360" w:lineRule="exact"/>
              <w:jc w:val="center"/>
              <w:rPr>
                <w:rFonts w:ascii="宋体" w:hAnsi="宋体" w:cs="宋体"/>
                <w:b/>
                <w:bCs/>
                <w:szCs w:val="21"/>
                <w:lang w:val="zh-CN"/>
              </w:rPr>
            </w:pPr>
            <w:r>
              <w:rPr>
                <w:rFonts w:hint="eastAsia" w:ascii="宋体" w:hAnsi="宋体" w:cs="宋体"/>
                <w:b/>
                <w:bCs/>
                <w:szCs w:val="21"/>
                <w:lang w:val="zh-CN"/>
              </w:rPr>
              <w:t>最高限价</w:t>
            </w:r>
          </w:p>
          <w:p>
            <w:pPr>
              <w:snapToGrid w:val="0"/>
              <w:spacing w:beforeLines="30" w:afterLines="30" w:line="360" w:lineRule="exact"/>
              <w:jc w:val="center"/>
              <w:rPr>
                <w:rFonts w:ascii="宋体" w:hAnsi="宋体" w:cs="宋体"/>
                <w:b/>
                <w:bCs/>
                <w:szCs w:val="21"/>
                <w:lang w:val="zh-CN"/>
              </w:rPr>
            </w:pPr>
            <w:r>
              <w:rPr>
                <w:rFonts w:hint="eastAsia" w:ascii="宋体" w:hAnsi="宋体" w:cs="宋体"/>
                <w:b/>
                <w:bCs/>
                <w:szCs w:val="21"/>
                <w:lang w:val="zh-CN"/>
              </w:rPr>
              <w:t>（实质性要求）</w:t>
            </w:r>
          </w:p>
        </w:tc>
        <w:tc>
          <w:tcPr>
            <w:tcW w:w="6445" w:type="dxa"/>
            <w:vAlign w:val="center"/>
          </w:tcPr>
          <w:p>
            <w:pPr>
              <w:snapToGrid w:val="0"/>
              <w:spacing w:beforeLines="20" w:afterLines="20" w:line="360" w:lineRule="exact"/>
              <w:ind w:firstLine="210" w:firstLineChars="100"/>
              <w:rPr>
                <w:rFonts w:ascii="宋体" w:hAnsi="宋体" w:cs="宋体"/>
                <w:szCs w:val="21"/>
                <w:u w:val="single"/>
              </w:rPr>
            </w:pPr>
            <w:bookmarkStart w:id="51" w:name="PO_限价分包信息_1"/>
            <w:r>
              <w:rPr>
                <w:rFonts w:hint="eastAsia" w:ascii="宋体" w:hAnsi="宋体" w:cs="宋体"/>
                <w:szCs w:val="21"/>
                <w:lang w:val="zh-CN"/>
              </w:rPr>
              <w:t>最高限价：</w:t>
            </w:r>
            <w:bookmarkEnd w:id="51"/>
            <w:r>
              <w:rPr>
                <w:rFonts w:hint="eastAsia" w:ascii="宋体" w:hAnsi="宋体" w:cs="宋体"/>
                <w:szCs w:val="21"/>
                <w:lang w:val="zh-CN"/>
              </w:rPr>
              <w:t>本</w:t>
            </w:r>
            <w:r>
              <w:rPr>
                <w:rFonts w:hint="eastAsia" w:ascii="宋体" w:hAnsi="宋体" w:cs="宋体"/>
                <w:szCs w:val="21"/>
                <w:u w:val="single"/>
                <w:lang w:val="zh-CN"/>
              </w:rPr>
              <w:t>次采购预算78万元/年，服务时间三年，合同每年一签。</w:t>
            </w:r>
          </w:p>
          <w:p>
            <w:pPr>
              <w:pStyle w:val="60"/>
              <w:snapToGrid w:val="0"/>
              <w:spacing w:beforeLines="20" w:afterLines="20" w:line="360" w:lineRule="exact"/>
              <w:ind w:firstLine="210" w:firstLineChars="100"/>
              <w:jc w:val="both"/>
              <w:rPr>
                <w:sz w:val="21"/>
                <w:szCs w:val="21"/>
                <w:lang w:val="zh-CN"/>
              </w:rPr>
            </w:pPr>
            <w:bookmarkStart w:id="52" w:name="PO_默认文件内容_21"/>
            <w:r>
              <w:rPr>
                <w:rFonts w:hint="eastAsia"/>
                <w:sz w:val="21"/>
                <w:szCs w:val="21"/>
                <w:lang w:val="zh-CN"/>
              </w:rPr>
              <w:t>超过最高限价的报价,其响应文件按无效处理。</w:t>
            </w:r>
            <w:bookmarkEnd w:id="5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b/>
                <w:bCs/>
                <w:sz w:val="21"/>
                <w:szCs w:val="21"/>
                <w:lang w:val="zh-CN"/>
              </w:rPr>
            </w:pPr>
            <w:r>
              <w:rPr>
                <w:rFonts w:hint="eastAsia"/>
                <w:b/>
                <w:bCs/>
                <w:sz w:val="21"/>
                <w:szCs w:val="21"/>
              </w:rPr>
              <w:t>4</w:t>
            </w:r>
          </w:p>
        </w:tc>
        <w:tc>
          <w:tcPr>
            <w:tcW w:w="2358" w:type="dxa"/>
            <w:vAlign w:val="center"/>
          </w:tcPr>
          <w:p>
            <w:pPr>
              <w:snapToGrid w:val="0"/>
              <w:spacing w:beforeLines="30" w:afterLines="30" w:line="360" w:lineRule="exact"/>
              <w:jc w:val="center"/>
              <w:rPr>
                <w:rFonts w:ascii="宋体" w:hAnsi="宋体" w:cs="宋体"/>
                <w:b/>
                <w:bCs/>
                <w:szCs w:val="21"/>
                <w:lang w:val="zh-CN"/>
              </w:rPr>
            </w:pPr>
            <w:r>
              <w:rPr>
                <w:rFonts w:hint="eastAsia" w:ascii="宋体" w:hAnsi="宋体" w:cs="宋体"/>
                <w:b/>
                <w:bCs/>
                <w:szCs w:val="21"/>
                <w:lang w:val="zh-CN"/>
              </w:rPr>
              <w:t>联合体（实质性要求）</w:t>
            </w:r>
          </w:p>
        </w:tc>
        <w:tc>
          <w:tcPr>
            <w:tcW w:w="6445" w:type="dxa"/>
            <w:vAlign w:val="center"/>
          </w:tcPr>
          <w:p>
            <w:pPr>
              <w:pStyle w:val="60"/>
              <w:snapToGrid w:val="0"/>
              <w:spacing w:beforeLines="20" w:afterLines="20" w:line="360" w:lineRule="exact"/>
              <w:ind w:firstLine="204" w:firstLineChars="100"/>
              <w:jc w:val="both"/>
              <w:rPr>
                <w:sz w:val="21"/>
                <w:szCs w:val="21"/>
                <w:lang w:val="zh-CN"/>
              </w:rPr>
            </w:pPr>
            <w:r>
              <w:rPr>
                <w:rFonts w:hint="eastAsia"/>
                <w:spacing w:val="-3"/>
                <w:sz w:val="21"/>
                <w:szCs w:val="21"/>
              </w:rPr>
              <w:t>不接受联合体。</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shd w:val="clear" w:color="auto" w:fill="auto"/>
            <w:vAlign w:val="center"/>
          </w:tcPr>
          <w:p>
            <w:pPr>
              <w:pStyle w:val="60"/>
              <w:snapToGrid w:val="0"/>
              <w:spacing w:beforeLines="30" w:afterLines="30" w:line="360" w:lineRule="exact"/>
              <w:jc w:val="center"/>
              <w:rPr>
                <w:b/>
                <w:bCs/>
                <w:sz w:val="21"/>
                <w:szCs w:val="21"/>
                <w:lang w:val="zh-CN"/>
              </w:rPr>
            </w:pPr>
            <w:r>
              <w:rPr>
                <w:rFonts w:hint="eastAsia"/>
                <w:b/>
                <w:bCs/>
                <w:sz w:val="21"/>
                <w:szCs w:val="21"/>
              </w:rPr>
              <w:t>5</w:t>
            </w:r>
          </w:p>
        </w:tc>
        <w:tc>
          <w:tcPr>
            <w:tcW w:w="2358" w:type="dxa"/>
            <w:shd w:val="clear" w:color="auto" w:fill="auto"/>
            <w:vAlign w:val="center"/>
          </w:tcPr>
          <w:p>
            <w:pPr>
              <w:snapToGrid w:val="0"/>
              <w:spacing w:beforeLines="30" w:afterLines="30" w:line="360" w:lineRule="exact"/>
              <w:jc w:val="center"/>
              <w:rPr>
                <w:rFonts w:ascii="宋体" w:hAnsi="宋体" w:cs="宋体"/>
                <w:b/>
                <w:bCs/>
                <w:szCs w:val="21"/>
                <w:lang w:val="zh-CN"/>
              </w:rPr>
            </w:pPr>
            <w:r>
              <w:rPr>
                <w:rFonts w:hint="eastAsia" w:ascii="宋体" w:hAnsi="宋体" w:cs="宋体"/>
                <w:b/>
                <w:bCs/>
                <w:szCs w:val="21"/>
                <w:lang w:val="zh-CN"/>
              </w:rPr>
              <w:t>是否专门面向中小企业的项目或专门面向小微企业采购的项目</w:t>
            </w:r>
          </w:p>
        </w:tc>
        <w:tc>
          <w:tcPr>
            <w:tcW w:w="6445" w:type="dxa"/>
            <w:shd w:val="clear" w:color="auto" w:fill="auto"/>
            <w:vAlign w:val="center"/>
          </w:tcPr>
          <w:p>
            <w:pPr>
              <w:snapToGrid w:val="0"/>
              <w:spacing w:beforeLines="30" w:afterLines="30" w:line="360" w:lineRule="exact"/>
              <w:jc w:val="left"/>
              <w:rPr>
                <w:rFonts w:ascii="宋体" w:hAnsi="宋体" w:cs="宋体"/>
                <w:szCs w:val="21"/>
                <w:lang w:val="zh-CN"/>
              </w:rPr>
            </w:pPr>
            <w:r>
              <w:rPr>
                <w:rFonts w:hint="eastAsia" w:ascii="宋体" w:hAnsi="宋体" w:cs="宋体"/>
                <w:szCs w:val="21"/>
              </w:rPr>
              <w:t>非</w:t>
            </w:r>
            <w:r>
              <w:rPr>
                <w:rFonts w:hint="eastAsia" w:ascii="宋体" w:hAnsi="宋体" w:cs="宋体"/>
                <w:szCs w:val="21"/>
                <w:lang w:val="zh-CN"/>
              </w:rPr>
              <w:t>专门面向中小企业项目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shd w:val="clear" w:color="auto" w:fill="auto"/>
            <w:vAlign w:val="center"/>
          </w:tcPr>
          <w:p>
            <w:pPr>
              <w:pStyle w:val="60"/>
              <w:snapToGrid w:val="0"/>
              <w:spacing w:line="360" w:lineRule="auto"/>
              <w:jc w:val="center"/>
              <w:rPr>
                <w:b/>
                <w:bCs/>
                <w:sz w:val="21"/>
                <w:szCs w:val="21"/>
              </w:rPr>
            </w:pPr>
            <w:r>
              <w:rPr>
                <w:rFonts w:hint="eastAsia"/>
                <w:b/>
                <w:bCs/>
                <w:sz w:val="21"/>
                <w:szCs w:val="21"/>
              </w:rPr>
              <w:t>6</w:t>
            </w:r>
          </w:p>
        </w:tc>
        <w:tc>
          <w:tcPr>
            <w:tcW w:w="2358" w:type="dxa"/>
            <w:shd w:val="clear" w:color="auto" w:fill="auto"/>
            <w:vAlign w:val="center"/>
          </w:tcPr>
          <w:p>
            <w:pPr>
              <w:snapToGrid w:val="0"/>
              <w:spacing w:line="360" w:lineRule="auto"/>
              <w:jc w:val="center"/>
              <w:rPr>
                <w:rFonts w:ascii="宋体" w:hAnsi="宋体" w:cs="宋体"/>
                <w:b/>
                <w:bCs/>
                <w:szCs w:val="21"/>
                <w:lang w:val="zh-CN"/>
              </w:rPr>
            </w:pPr>
            <w:r>
              <w:rPr>
                <w:rFonts w:hint="eastAsia" w:ascii="宋体" w:hAnsi="宋体" w:cs="宋体"/>
                <w:b/>
                <w:bCs/>
                <w:szCs w:val="21"/>
                <w:lang w:val="zh-CN"/>
              </w:rPr>
              <w:t>失信单位要求</w:t>
            </w:r>
          </w:p>
        </w:tc>
        <w:tc>
          <w:tcPr>
            <w:tcW w:w="6445" w:type="dxa"/>
            <w:shd w:val="clear" w:color="auto" w:fill="auto"/>
          </w:tcPr>
          <w:p>
            <w:pPr>
              <w:tabs>
                <w:tab w:val="left" w:pos="140"/>
              </w:tabs>
              <w:snapToGrid w:val="0"/>
              <w:spacing w:line="360" w:lineRule="auto"/>
              <w:ind w:right="170" w:rightChars="81" w:firstLine="211" w:firstLineChars="100"/>
              <w:rPr>
                <w:rFonts w:ascii="宋体" w:hAnsi="宋体" w:cs="宋体"/>
                <w:b/>
                <w:bCs/>
                <w:szCs w:val="21"/>
              </w:rPr>
            </w:pPr>
            <w:r>
              <w:rPr>
                <w:rFonts w:hint="eastAsia" w:ascii="宋体" w:hAnsi="宋体" w:cs="宋体"/>
                <w:b/>
                <w:bCs/>
                <w:szCs w:val="21"/>
              </w:rPr>
              <w:t>本项目禁止失信单位参与投标。</w:t>
            </w:r>
          </w:p>
          <w:p>
            <w:pPr>
              <w:tabs>
                <w:tab w:val="left" w:pos="140"/>
              </w:tabs>
              <w:snapToGrid w:val="0"/>
              <w:spacing w:line="360" w:lineRule="auto"/>
              <w:ind w:right="170" w:rightChars="81" w:firstLine="211" w:firstLineChars="100"/>
              <w:rPr>
                <w:rFonts w:ascii="宋体" w:hAnsi="宋体" w:cs="宋体"/>
                <w:b/>
                <w:bCs/>
                <w:szCs w:val="21"/>
              </w:rPr>
            </w:pPr>
            <w:r>
              <w:rPr>
                <w:rFonts w:hint="eastAsia" w:ascii="宋体" w:hAnsi="宋体" w:cs="宋体"/>
                <w:b/>
                <w:bCs/>
                <w:szCs w:val="21"/>
              </w:rPr>
              <w:t>1.严格执行《四川省公共资源交易领域严重失信联合惩戒实施办法》（川发改信用规〔2019〕405号）、《关于对政府采购领域严重违法失信主体开展联合惩戒的合作备忘录》（发改财金〔2018〕1614号）等相关规定。对记入诚信档案的且在有效期内的失信供应商，禁止参加本项目的采购活动。</w:t>
            </w:r>
          </w:p>
          <w:p>
            <w:pPr>
              <w:tabs>
                <w:tab w:val="left" w:pos="140"/>
              </w:tabs>
              <w:snapToGrid w:val="0"/>
              <w:spacing w:line="360" w:lineRule="auto"/>
              <w:ind w:right="170" w:rightChars="81" w:firstLine="211" w:firstLineChars="100"/>
              <w:rPr>
                <w:rFonts w:ascii="宋体" w:hAnsi="宋体" w:cs="宋体"/>
                <w:szCs w:val="21"/>
                <w:lang w:val="zh-CN"/>
              </w:rPr>
            </w:pPr>
            <w:r>
              <w:rPr>
                <w:rFonts w:hint="eastAsia" w:ascii="宋体" w:hAnsi="宋体" w:cs="宋体"/>
                <w:b/>
                <w:bCs/>
                <w:szCs w:val="21"/>
              </w:rPr>
              <w:t>2.“信用中国”网站(www. credi tchina. gov. cn)中列入失信被执行人和重大税收违法案件当事人名的供应商和“中国政府采购网”(www. ccgp. gov. cn)政府采购严重违法失信行为记录名单中被财政部门禁止参加政府采购活动的供应商参加本项目将作无效响应处理。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b/>
                <w:bCs/>
                <w:sz w:val="21"/>
                <w:szCs w:val="21"/>
                <w:lang w:val="zh-CN"/>
              </w:rPr>
            </w:pPr>
            <w:r>
              <w:rPr>
                <w:rFonts w:hint="eastAsia"/>
                <w:b/>
                <w:bCs/>
                <w:sz w:val="21"/>
                <w:szCs w:val="21"/>
              </w:rPr>
              <w:t>7</w:t>
            </w:r>
          </w:p>
        </w:tc>
        <w:tc>
          <w:tcPr>
            <w:tcW w:w="2358" w:type="dxa"/>
            <w:vAlign w:val="center"/>
          </w:tcPr>
          <w:p>
            <w:pPr>
              <w:snapToGrid w:val="0"/>
              <w:spacing w:beforeLines="30" w:afterLines="30" w:line="360" w:lineRule="exact"/>
              <w:jc w:val="center"/>
              <w:rPr>
                <w:rFonts w:ascii="宋体" w:hAnsi="宋体" w:cs="宋体"/>
                <w:b/>
                <w:bCs/>
                <w:szCs w:val="21"/>
              </w:rPr>
            </w:pPr>
            <w:r>
              <w:rPr>
                <w:rFonts w:hint="eastAsia" w:ascii="宋体" w:hAnsi="宋体" w:cs="宋体"/>
                <w:b/>
                <w:bCs/>
                <w:szCs w:val="21"/>
                <w:lang w:val="zh-CN"/>
              </w:rPr>
              <w:t>低于</w:t>
            </w:r>
            <w:r>
              <w:rPr>
                <w:rFonts w:hint="eastAsia" w:ascii="宋体" w:hAnsi="宋体" w:cs="宋体"/>
                <w:b/>
                <w:bCs/>
                <w:szCs w:val="21"/>
              </w:rPr>
              <w:t>成本价</w:t>
            </w:r>
          </w:p>
          <w:p>
            <w:pPr>
              <w:snapToGrid w:val="0"/>
              <w:spacing w:beforeLines="30" w:afterLines="30" w:line="360" w:lineRule="exact"/>
              <w:jc w:val="center"/>
              <w:rPr>
                <w:rFonts w:ascii="宋体" w:hAnsi="宋体" w:cs="宋体"/>
                <w:b/>
                <w:bCs/>
                <w:szCs w:val="21"/>
              </w:rPr>
            </w:pPr>
            <w:r>
              <w:rPr>
                <w:rFonts w:hint="eastAsia" w:ascii="宋体" w:hAnsi="宋体" w:cs="宋体"/>
                <w:b/>
                <w:bCs/>
                <w:szCs w:val="21"/>
              </w:rPr>
              <w:t>不正当</w:t>
            </w:r>
            <w:r>
              <w:rPr>
                <w:rFonts w:hint="eastAsia" w:ascii="宋体" w:hAnsi="宋体" w:cs="宋体"/>
                <w:b/>
                <w:bCs/>
                <w:szCs w:val="21"/>
                <w:lang w:val="zh-CN"/>
              </w:rPr>
              <w:t>竞争</w:t>
            </w:r>
            <w:r>
              <w:rPr>
                <w:rFonts w:hint="eastAsia" w:ascii="宋体" w:hAnsi="宋体" w:cs="宋体"/>
                <w:b/>
                <w:bCs/>
                <w:szCs w:val="21"/>
              </w:rPr>
              <w:t>预防措施</w:t>
            </w:r>
          </w:p>
          <w:p>
            <w:pPr>
              <w:snapToGrid w:val="0"/>
              <w:spacing w:beforeLines="30" w:afterLines="30" w:line="360" w:lineRule="exact"/>
              <w:jc w:val="center"/>
              <w:rPr>
                <w:rFonts w:ascii="宋体" w:hAnsi="宋体" w:cs="宋体"/>
                <w:b/>
                <w:bCs/>
                <w:szCs w:val="21"/>
              </w:rPr>
            </w:pPr>
            <w:r>
              <w:rPr>
                <w:rFonts w:hint="eastAsia" w:ascii="宋体" w:hAnsi="宋体" w:cs="宋体"/>
                <w:b/>
                <w:bCs/>
                <w:szCs w:val="21"/>
              </w:rPr>
              <w:t>（实质性要求）</w:t>
            </w:r>
          </w:p>
        </w:tc>
        <w:tc>
          <w:tcPr>
            <w:tcW w:w="6445" w:type="dxa"/>
            <w:vAlign w:val="center"/>
          </w:tcPr>
          <w:p>
            <w:pPr>
              <w:pStyle w:val="60"/>
              <w:snapToGrid w:val="0"/>
              <w:spacing w:beforeLines="20" w:afterLines="20" w:line="360" w:lineRule="exact"/>
              <w:ind w:firstLine="210" w:firstLineChars="100"/>
              <w:jc w:val="both"/>
              <w:rPr>
                <w:sz w:val="21"/>
                <w:szCs w:val="21"/>
              </w:rPr>
            </w:pPr>
            <w:r>
              <w:rPr>
                <w:rFonts w:hint="eastAsia"/>
                <w:sz w:val="21"/>
                <w:szCs w:val="21"/>
              </w:rPr>
              <w:t>1.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文件处理。</w:t>
            </w:r>
          </w:p>
          <w:p>
            <w:pPr>
              <w:pStyle w:val="60"/>
              <w:snapToGrid w:val="0"/>
              <w:spacing w:beforeLines="20" w:afterLines="20" w:line="360" w:lineRule="exact"/>
              <w:ind w:firstLine="210" w:firstLineChars="100"/>
              <w:jc w:val="both"/>
              <w:rPr>
                <w:sz w:val="21"/>
                <w:szCs w:val="21"/>
              </w:rPr>
            </w:pPr>
            <w:r>
              <w:rPr>
                <w:rFonts w:hint="eastAsia"/>
                <w:sz w:val="21"/>
                <w:szCs w:val="21"/>
              </w:rPr>
              <w:t>供应商的书面说明材料应当按照国家财务会计制度的规定要求，逐项就供应商提供的货物、工程和服务的主营业务成本、税金及附加、销售费用、管理费用、财务费用等成本构成事项详细陈述。</w:t>
            </w:r>
          </w:p>
          <w:p>
            <w:pPr>
              <w:snapToGrid w:val="0"/>
              <w:spacing w:beforeLines="20" w:afterLines="20" w:line="360" w:lineRule="exact"/>
              <w:ind w:right="105" w:rightChars="50" w:firstLine="210" w:firstLineChars="100"/>
              <w:rPr>
                <w:rFonts w:ascii="宋体" w:hAnsi="宋体" w:cs="宋体"/>
                <w:szCs w:val="21"/>
              </w:rPr>
            </w:pPr>
            <w:r>
              <w:rPr>
                <w:rFonts w:hint="eastAsia" w:ascii="宋体" w:hAnsi="宋体" w:cs="宋体"/>
                <w:szCs w:val="21"/>
              </w:rPr>
              <w:t xml:space="preserve">2.供应商书面说明应当签字确认或者加盖公章，否则无效。书面说明的签字确认，由其法定代表人/主要负责人/本人或者其授权代表签字确认。 </w:t>
            </w:r>
          </w:p>
          <w:p>
            <w:pPr>
              <w:snapToGrid w:val="0"/>
              <w:spacing w:beforeLines="20" w:afterLines="20" w:line="360" w:lineRule="exact"/>
              <w:ind w:right="105" w:rightChars="50" w:firstLine="210" w:firstLineChars="100"/>
              <w:rPr>
                <w:rFonts w:ascii="宋体" w:hAnsi="宋体" w:cs="宋体"/>
                <w:szCs w:val="21"/>
              </w:rPr>
            </w:pPr>
            <w:r>
              <w:rPr>
                <w:rFonts w:hint="eastAsia" w:ascii="宋体" w:hAnsi="宋体" w:cs="宋体"/>
                <w:szCs w:val="21"/>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b/>
                <w:bCs/>
                <w:sz w:val="21"/>
                <w:szCs w:val="21"/>
              </w:rPr>
            </w:pPr>
            <w:r>
              <w:rPr>
                <w:rFonts w:hint="eastAsia"/>
                <w:b/>
                <w:bCs/>
                <w:sz w:val="21"/>
                <w:szCs w:val="21"/>
              </w:rPr>
              <w:t>8</w:t>
            </w:r>
          </w:p>
        </w:tc>
        <w:tc>
          <w:tcPr>
            <w:tcW w:w="2358" w:type="dxa"/>
            <w:vAlign w:val="center"/>
          </w:tcPr>
          <w:p>
            <w:pPr>
              <w:pStyle w:val="60"/>
              <w:spacing w:line="380" w:lineRule="exact"/>
              <w:ind w:firstLine="211" w:firstLineChars="100"/>
              <w:jc w:val="center"/>
              <w:rPr>
                <w:b/>
                <w:bCs/>
                <w:sz w:val="21"/>
                <w:szCs w:val="21"/>
                <w:lang w:val="zh-CN"/>
              </w:rPr>
            </w:pPr>
            <w:r>
              <w:rPr>
                <w:rFonts w:hint="eastAsia"/>
                <w:b/>
                <w:bCs/>
                <w:sz w:val="21"/>
                <w:szCs w:val="21"/>
                <w:lang w:val="zh-CN"/>
              </w:rPr>
              <w:t>扶持不发达地区和少数民族地区企业</w:t>
            </w:r>
          </w:p>
        </w:tc>
        <w:tc>
          <w:tcPr>
            <w:tcW w:w="6445" w:type="dxa"/>
          </w:tcPr>
          <w:p>
            <w:pPr>
              <w:pStyle w:val="60"/>
              <w:spacing w:line="380" w:lineRule="exact"/>
              <w:ind w:firstLine="210" w:firstLineChars="100"/>
              <w:jc w:val="both"/>
              <w:rPr>
                <w:sz w:val="21"/>
                <w:szCs w:val="21"/>
                <w:lang w:val="zh-CN"/>
              </w:rPr>
            </w:pPr>
            <w:r>
              <w:rPr>
                <w:rFonts w:hint="eastAsia"/>
                <w:sz w:val="21"/>
                <w:szCs w:val="21"/>
                <w:lang w:val="zh-CN"/>
              </w:rPr>
              <w:t>在报价、服务同比条件下，优先采购不发达地区和少数民族地区企业的产品或服务。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sz w:val="21"/>
                <w:szCs w:val="21"/>
                <w:lang w:val="zh-CN"/>
              </w:rPr>
            </w:pPr>
            <w:r>
              <w:rPr>
                <w:rFonts w:hint="eastAsia"/>
                <w:b/>
                <w:bCs/>
                <w:sz w:val="21"/>
                <w:szCs w:val="21"/>
              </w:rPr>
              <w:t>9</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b/>
                <w:bCs/>
                <w:szCs w:val="21"/>
                <w:lang w:val="zh-CN"/>
              </w:rPr>
              <w:t>小微企业（监狱企业、残疾人福利性单位视同小微企业）价格扣除</w:t>
            </w:r>
          </w:p>
        </w:tc>
        <w:tc>
          <w:tcPr>
            <w:tcW w:w="6445" w:type="dxa"/>
          </w:tcPr>
          <w:p>
            <w:pPr>
              <w:tabs>
                <w:tab w:val="left" w:pos="140"/>
              </w:tabs>
              <w:snapToGrid w:val="0"/>
              <w:spacing w:line="360" w:lineRule="auto"/>
              <w:ind w:right="170" w:rightChars="81" w:firstLine="210" w:firstLineChars="100"/>
              <w:rPr>
                <w:rFonts w:ascii="宋体" w:hAnsi="宋体" w:cs="宋体"/>
                <w:szCs w:val="21"/>
              </w:rPr>
            </w:pPr>
            <w:r>
              <w:rPr>
                <w:rFonts w:hint="eastAsia" w:ascii="宋体" w:hAnsi="宋体" w:cs="宋体"/>
                <w:szCs w:val="21"/>
              </w:rPr>
              <w:t>一、小微企业（监狱企业、残疾人福利性单位视同小微企业）价格扣除。</w:t>
            </w:r>
          </w:p>
          <w:p>
            <w:pPr>
              <w:tabs>
                <w:tab w:val="left" w:pos="140"/>
              </w:tabs>
              <w:snapToGrid w:val="0"/>
              <w:spacing w:line="360" w:lineRule="auto"/>
              <w:ind w:right="170" w:rightChars="81" w:firstLine="210" w:firstLineChars="100"/>
              <w:rPr>
                <w:rFonts w:ascii="宋体" w:hAnsi="宋体" w:cs="宋体"/>
                <w:szCs w:val="21"/>
              </w:rPr>
            </w:pPr>
            <w:r>
              <w:rPr>
                <w:rFonts w:hint="eastAsia" w:ascii="宋体" w:hAnsi="宋体" w:cs="宋体"/>
                <w:szCs w:val="21"/>
              </w:rPr>
              <w:t>1.</w:t>
            </w:r>
            <w:r>
              <w:rPr>
                <w:rFonts w:hint="eastAsia" w:ascii="宋体" w:hAnsi="宋体" w:cs="宋体"/>
                <w:kern w:val="0"/>
                <w:szCs w:val="21"/>
              </w:rPr>
              <w:t>根据《政府采购促进中小企业发展管理办法》的通知财库〔2020〕46号的规定，对小型和微型企业产品的价格给予10%的价格扣除，用扣除后的价格参与评审。</w:t>
            </w:r>
          </w:p>
          <w:p>
            <w:pPr>
              <w:widowControl/>
              <w:snapToGrid w:val="0"/>
              <w:spacing w:line="360" w:lineRule="auto"/>
              <w:ind w:firstLine="210" w:firstLineChars="100"/>
              <w:jc w:val="left"/>
              <w:rPr>
                <w:rFonts w:ascii="宋体" w:hAnsi="宋体" w:cs="宋体"/>
                <w:kern w:val="0"/>
                <w:szCs w:val="21"/>
              </w:rPr>
            </w:pPr>
            <w:r>
              <w:rPr>
                <w:rFonts w:hint="eastAsia" w:ascii="宋体" w:hAnsi="宋体" w:cs="宋体"/>
                <w:szCs w:val="21"/>
              </w:rPr>
              <w:t>2.</w:t>
            </w:r>
            <w:r>
              <w:rPr>
                <w:rFonts w:hint="eastAsia" w:ascii="宋体" w:hAnsi="宋体" w:cs="宋体"/>
                <w:kern w:val="0"/>
                <w:szCs w:val="21"/>
              </w:rPr>
              <w:t>参加政府采购活动的中小企业应当提供《中小企业声明函》。</w:t>
            </w:r>
          </w:p>
          <w:p>
            <w:pPr>
              <w:widowControl/>
              <w:tabs>
                <w:tab w:val="left" w:pos="140"/>
              </w:tabs>
              <w:snapToGrid w:val="0"/>
              <w:spacing w:line="360" w:lineRule="auto"/>
              <w:ind w:right="170" w:rightChars="81" w:firstLine="210" w:firstLineChars="100"/>
              <w:jc w:val="left"/>
              <w:rPr>
                <w:rFonts w:ascii="宋体" w:hAnsi="宋体" w:cs="宋体"/>
                <w:kern w:val="0"/>
                <w:szCs w:val="21"/>
              </w:rPr>
            </w:pPr>
            <w:r>
              <w:rPr>
                <w:rFonts w:hint="eastAsia" w:ascii="宋体" w:hAnsi="宋体" w:cs="宋体"/>
                <w:kern w:val="0"/>
                <w:szCs w:val="21"/>
              </w:rPr>
              <w:t>3</w:t>
            </w:r>
            <w:r>
              <w:rPr>
                <w:rFonts w:hint="eastAsia" w:hAnsi="宋体" w:cs="宋体"/>
                <w:kern w:val="0"/>
                <w:szCs w:val="21"/>
              </w:rPr>
              <w:t>.</w:t>
            </w:r>
            <w:r>
              <w:rPr>
                <w:rFonts w:hint="eastAsia" w:ascii="宋体" w:hAnsi="宋体" w:cs="宋体"/>
                <w:kern w:val="0"/>
                <w:szCs w:val="21"/>
              </w:rPr>
              <w:t>提供由省级以上监狱管理局、戒毒管理局（含新疆生产建设兵团）出具的属于监狱企业证明文件的，视同为小型和微型企业。</w:t>
            </w:r>
          </w:p>
          <w:p>
            <w:pPr>
              <w:widowControl/>
              <w:tabs>
                <w:tab w:val="left" w:pos="140"/>
              </w:tabs>
              <w:snapToGrid w:val="0"/>
              <w:spacing w:line="360" w:lineRule="auto"/>
              <w:ind w:right="170" w:rightChars="81" w:firstLine="210" w:firstLineChars="100"/>
              <w:jc w:val="left"/>
            </w:pPr>
            <w:r>
              <w:rPr>
                <w:rFonts w:hint="eastAsia" w:ascii="宋体" w:hAnsi="宋体" w:cs="宋体"/>
                <w:kern w:val="0"/>
                <w:szCs w:val="21"/>
              </w:rPr>
              <w:t>4</w:t>
            </w:r>
            <w:r>
              <w:rPr>
                <w:rFonts w:hint="eastAsia" w:hAnsi="宋体" w:cs="宋体"/>
                <w:kern w:val="0"/>
                <w:szCs w:val="21"/>
              </w:rPr>
              <w:t>.</w:t>
            </w:r>
            <w:r>
              <w:rPr>
                <w:rFonts w:hint="eastAsia" w:ascii="宋体" w:hAnsi="宋体" w:cs="宋体"/>
                <w:kern w:val="0"/>
                <w:szCs w:val="21"/>
              </w:rPr>
              <w:t>符合享受政府采购支持政策的残疾人福利性单位条件且提供《残疾人福利性单位声明函》的，视同为小型和微型企业</w:t>
            </w:r>
            <w:r>
              <w:rPr>
                <w:rFonts w:hint="eastAsia" w:hAnsi="宋体" w:cs="宋体"/>
                <w:kern w:val="0"/>
                <w:szCs w:val="21"/>
              </w:rPr>
              <w:t>。</w:t>
            </w:r>
          </w:p>
          <w:p>
            <w:pPr>
              <w:tabs>
                <w:tab w:val="left" w:pos="140"/>
              </w:tabs>
              <w:snapToGrid w:val="0"/>
              <w:spacing w:line="360" w:lineRule="auto"/>
              <w:ind w:right="170" w:rightChars="81" w:firstLine="210" w:firstLineChars="100"/>
              <w:rPr>
                <w:rFonts w:ascii="宋体" w:hAnsi="宋体" w:cs="宋体"/>
                <w:szCs w:val="21"/>
              </w:rPr>
            </w:pPr>
            <w:r>
              <w:rPr>
                <w:rFonts w:hint="eastAsia" w:ascii="宋体" w:hAnsi="宋体" w:cs="宋体"/>
                <w:szCs w:val="21"/>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3%的扣除，用扣除后的价格参加评审。</w:t>
            </w:r>
          </w:p>
          <w:p>
            <w:pPr>
              <w:tabs>
                <w:tab w:val="left" w:pos="140"/>
              </w:tabs>
              <w:snapToGrid w:val="0"/>
              <w:spacing w:line="360" w:lineRule="auto"/>
              <w:ind w:right="170" w:rightChars="81" w:firstLine="210" w:firstLineChars="100"/>
              <w:rPr>
                <w:rFonts w:ascii="宋体" w:hAnsi="宋体" w:cs="宋体"/>
                <w:szCs w:val="21"/>
              </w:rPr>
            </w:pPr>
            <w:r>
              <w:rPr>
                <w:rFonts w:hint="eastAsia" w:ascii="宋体" w:hAnsi="宋体" w:cs="宋体"/>
                <w:szCs w:val="21"/>
              </w:rPr>
              <w:t>组成联合体或者接受分包的小微企业与联合体内其他企业、分包企业之间存在直接控股、管理关系的，不享受价格扣除优惠政策。</w:t>
            </w:r>
          </w:p>
          <w:p>
            <w:pPr>
              <w:pStyle w:val="60"/>
              <w:numPr>
                <w:ilvl w:val="0"/>
                <w:numId w:val="4"/>
              </w:numPr>
              <w:snapToGrid w:val="0"/>
              <w:spacing w:line="360" w:lineRule="auto"/>
              <w:ind w:right="170" w:rightChars="81" w:firstLine="211" w:firstLineChars="100"/>
              <w:jc w:val="both"/>
              <w:rPr>
                <w:b/>
                <w:bCs/>
                <w:sz w:val="21"/>
                <w:szCs w:val="21"/>
              </w:rPr>
            </w:pPr>
            <w:r>
              <w:rPr>
                <w:rFonts w:hint="eastAsia"/>
                <w:b/>
                <w:bCs/>
                <w:sz w:val="21"/>
                <w:szCs w:val="21"/>
              </w:rPr>
              <w:t>所属行业</w:t>
            </w:r>
          </w:p>
          <w:p>
            <w:pPr>
              <w:pStyle w:val="60"/>
              <w:snapToGrid w:val="0"/>
              <w:spacing w:line="360" w:lineRule="auto"/>
              <w:ind w:right="170" w:rightChars="81" w:firstLine="211" w:firstLineChars="100"/>
              <w:jc w:val="both"/>
              <w:rPr>
                <w:b/>
                <w:bCs/>
                <w:sz w:val="21"/>
                <w:szCs w:val="21"/>
              </w:rPr>
            </w:pPr>
            <w:r>
              <w:rPr>
                <w:b/>
                <w:bCs/>
                <w:sz w:val="21"/>
                <w:szCs w:val="21"/>
                <w:lang w:val="en-US" w:eastAsia="zh-CN"/>
              </w:rPr>
              <w:t>其他未列明行业。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pacing w:line="380" w:lineRule="exact"/>
              <w:jc w:val="center"/>
              <w:rPr>
                <w:b/>
                <w:bCs/>
                <w:sz w:val="21"/>
                <w:szCs w:val="21"/>
              </w:rPr>
            </w:pPr>
            <w:r>
              <w:rPr>
                <w:rFonts w:hint="eastAsia"/>
                <w:b/>
                <w:bCs/>
                <w:sz w:val="21"/>
                <w:szCs w:val="21"/>
              </w:rPr>
              <w:t>10</w:t>
            </w:r>
          </w:p>
        </w:tc>
        <w:tc>
          <w:tcPr>
            <w:tcW w:w="2358" w:type="dxa"/>
            <w:vAlign w:val="center"/>
          </w:tcPr>
          <w:p>
            <w:pPr>
              <w:pStyle w:val="60"/>
              <w:spacing w:line="380" w:lineRule="exact"/>
              <w:jc w:val="center"/>
              <w:rPr>
                <w:b/>
                <w:bCs/>
                <w:kern w:val="2"/>
                <w:sz w:val="21"/>
                <w:szCs w:val="21"/>
                <w:lang w:val="zh-CN"/>
              </w:rPr>
            </w:pPr>
            <w:r>
              <w:rPr>
                <w:rFonts w:hint="eastAsia"/>
                <w:b/>
                <w:bCs/>
                <w:kern w:val="2"/>
                <w:sz w:val="21"/>
                <w:szCs w:val="21"/>
                <w:lang w:val="zh-CN"/>
              </w:rPr>
              <w:t>节能、环保政府采购政策</w:t>
            </w:r>
          </w:p>
          <w:p>
            <w:pPr>
              <w:pStyle w:val="60"/>
              <w:spacing w:line="380" w:lineRule="exact"/>
              <w:jc w:val="center"/>
              <w:rPr>
                <w:b/>
                <w:bCs/>
                <w:szCs w:val="21"/>
                <w:lang w:val="zh-CN"/>
              </w:rPr>
            </w:pPr>
            <w:r>
              <w:rPr>
                <w:rFonts w:hint="eastAsia"/>
                <w:b/>
                <w:bCs/>
                <w:sz w:val="21"/>
                <w:szCs w:val="21"/>
                <w:lang w:val="zh-CN"/>
              </w:rPr>
              <w:t>（实质性要求）</w:t>
            </w:r>
          </w:p>
        </w:tc>
        <w:tc>
          <w:tcPr>
            <w:tcW w:w="6445" w:type="dxa"/>
            <w:vAlign w:val="center"/>
          </w:tcPr>
          <w:p>
            <w:pPr>
              <w:numPr>
                <w:ilvl w:val="0"/>
                <w:numId w:val="5"/>
              </w:numPr>
              <w:adjustRightInd w:val="0"/>
              <w:spacing w:line="380" w:lineRule="exact"/>
              <w:rPr>
                <w:rFonts w:ascii="宋体" w:hAnsi="宋体" w:cs="宋体"/>
                <w:b/>
                <w:bCs/>
                <w:kern w:val="0"/>
                <w:szCs w:val="21"/>
                <w:lang w:val="zh-CN"/>
              </w:rPr>
            </w:pPr>
            <w:r>
              <w:rPr>
                <w:rFonts w:hint="eastAsia" w:ascii="宋体" w:hAnsi="宋体" w:cs="宋体"/>
                <w:b/>
                <w:bCs/>
                <w:kern w:val="0"/>
                <w:szCs w:val="21"/>
                <w:lang w:val="zh-CN"/>
              </w:rPr>
              <w:t>节能、环保产品政府采购政策（</w:t>
            </w:r>
            <w:r>
              <w:rPr>
                <w:rFonts w:hint="eastAsia" w:ascii="宋体" w:hAnsi="宋体" w:cs="宋体"/>
                <w:b/>
                <w:bCs/>
                <w:kern w:val="0"/>
                <w:szCs w:val="21"/>
              </w:rPr>
              <w:t>本项目不涉及</w:t>
            </w:r>
            <w:r>
              <w:rPr>
                <w:rFonts w:hint="eastAsia" w:ascii="宋体" w:hAnsi="宋体" w:cs="宋体"/>
                <w:b/>
                <w:bCs/>
                <w:kern w:val="0"/>
                <w:szCs w:val="21"/>
                <w:lang w:val="zh-CN"/>
              </w:rPr>
              <w:t>）</w:t>
            </w:r>
          </w:p>
          <w:p>
            <w:pPr>
              <w:adjustRightInd w:val="0"/>
              <w:spacing w:line="380" w:lineRule="exact"/>
              <w:ind w:firstLine="210" w:firstLineChars="100"/>
              <w:rPr>
                <w:rFonts w:ascii="宋体" w:hAnsi="宋体" w:cs="宋体"/>
                <w:szCs w:val="21"/>
              </w:rPr>
            </w:pPr>
            <w:r>
              <w:rPr>
                <w:rFonts w:hint="eastAsia" w:ascii="宋体" w:hAnsi="宋体" w:cs="宋体"/>
                <w:szCs w:val="21"/>
              </w:rPr>
              <w:t>1.本项目采购产品若属于《节能产品政府采购品目清单》范围的，</w:t>
            </w:r>
            <w:r>
              <w:rPr>
                <w:rFonts w:hint="eastAsia" w:ascii="宋体" w:hAnsi="宋体" w:cs="宋体"/>
                <w:bCs/>
                <w:szCs w:val="21"/>
              </w:rPr>
              <w:t>投标人</w:t>
            </w:r>
            <w:r>
              <w:rPr>
                <w:rFonts w:hint="eastAsia" w:ascii="宋体" w:hAnsi="宋体" w:cs="宋体"/>
                <w:szCs w:val="21"/>
              </w:rPr>
              <w:t>须提供本次投标产品的国家确定的认证机构出具的、处于有效期之内的节能产品认证证书扫描件。采购产品属于强制采购的，投标产品未提供节能产品认证证书的，投标无效；采购产品属于优先采购的，投标产品未提供节能产品认证证书的，不予认定。</w:t>
            </w:r>
          </w:p>
          <w:p>
            <w:pPr>
              <w:spacing w:line="380" w:lineRule="exact"/>
              <w:ind w:firstLine="210" w:firstLineChars="100"/>
              <w:rPr>
                <w:b/>
                <w:bCs/>
                <w:szCs w:val="21"/>
              </w:rPr>
            </w:pPr>
            <w:r>
              <w:rPr>
                <w:rFonts w:hint="eastAsia" w:ascii="宋体" w:hAnsi="宋体" w:cs="宋体"/>
                <w:szCs w:val="21"/>
              </w:rPr>
              <w:t>2.本项目采购产品若属于《环境标志产品政府采购品目清单》范围的，</w:t>
            </w:r>
            <w:r>
              <w:rPr>
                <w:rFonts w:hint="eastAsia" w:ascii="宋体" w:hAnsi="宋体" w:cs="宋体"/>
                <w:bCs/>
                <w:szCs w:val="21"/>
              </w:rPr>
              <w:t>投标人</w:t>
            </w:r>
            <w:r>
              <w:rPr>
                <w:rFonts w:hint="eastAsia" w:ascii="宋体" w:hAnsi="宋体" w:cs="宋体"/>
                <w:szCs w:val="21"/>
              </w:rPr>
              <w:t>须提供本次投标产品的国家确定的认证机构出具的、处于有效期之内的环境标志产品认证证书扫描件。投标产品获得环境标志产品认证证书的，实施优先采购。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1013" w:type="dxa"/>
            <w:vAlign w:val="center"/>
          </w:tcPr>
          <w:p>
            <w:pPr>
              <w:pStyle w:val="60"/>
              <w:spacing w:line="380" w:lineRule="exact"/>
              <w:jc w:val="center"/>
              <w:rPr>
                <w:b/>
                <w:bCs/>
                <w:sz w:val="21"/>
                <w:szCs w:val="21"/>
              </w:rPr>
            </w:pPr>
            <w:r>
              <w:rPr>
                <w:rFonts w:hint="eastAsia"/>
                <w:b/>
                <w:bCs/>
                <w:sz w:val="21"/>
                <w:szCs w:val="21"/>
              </w:rPr>
              <w:t>11</w:t>
            </w:r>
          </w:p>
        </w:tc>
        <w:tc>
          <w:tcPr>
            <w:tcW w:w="2358" w:type="dxa"/>
            <w:vAlign w:val="center"/>
          </w:tcPr>
          <w:p>
            <w:pPr>
              <w:pStyle w:val="60"/>
              <w:spacing w:line="380" w:lineRule="exact"/>
              <w:jc w:val="center"/>
              <w:rPr>
                <w:b/>
                <w:bCs/>
                <w:sz w:val="21"/>
                <w:szCs w:val="21"/>
                <w:lang w:val="zh-CN"/>
              </w:rPr>
            </w:pPr>
            <w:r>
              <w:rPr>
                <w:rFonts w:hint="eastAsia"/>
                <w:b/>
                <w:bCs/>
                <w:sz w:val="21"/>
                <w:szCs w:val="21"/>
                <w:lang w:val="zh-CN"/>
              </w:rPr>
              <w:t>支持创新、绿色发展等政策</w:t>
            </w:r>
          </w:p>
        </w:tc>
        <w:tc>
          <w:tcPr>
            <w:tcW w:w="6445" w:type="dxa"/>
            <w:vAlign w:val="center"/>
          </w:tcPr>
          <w:p>
            <w:pPr>
              <w:pStyle w:val="60"/>
              <w:spacing w:line="380" w:lineRule="exact"/>
              <w:ind w:firstLine="211" w:firstLineChars="100"/>
              <w:jc w:val="both"/>
              <w:rPr>
                <w:sz w:val="21"/>
                <w:szCs w:val="21"/>
              </w:rPr>
            </w:pPr>
            <w:r>
              <w:rPr>
                <w:rFonts w:hint="eastAsia"/>
                <w:b/>
                <w:bCs/>
                <w:sz w:val="21"/>
                <w:szCs w:val="21"/>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pacing w:line="380" w:lineRule="exact"/>
              <w:jc w:val="center"/>
              <w:rPr>
                <w:b/>
                <w:bCs/>
                <w:sz w:val="21"/>
                <w:szCs w:val="21"/>
              </w:rPr>
            </w:pPr>
            <w:r>
              <w:rPr>
                <w:rFonts w:hint="eastAsia"/>
                <w:b/>
                <w:bCs/>
                <w:sz w:val="21"/>
                <w:szCs w:val="21"/>
              </w:rPr>
              <w:t>12</w:t>
            </w:r>
          </w:p>
        </w:tc>
        <w:tc>
          <w:tcPr>
            <w:tcW w:w="2358" w:type="dxa"/>
            <w:vAlign w:val="center"/>
          </w:tcPr>
          <w:p>
            <w:pPr>
              <w:pStyle w:val="60"/>
              <w:spacing w:line="380" w:lineRule="exact"/>
              <w:jc w:val="center"/>
              <w:rPr>
                <w:b/>
                <w:bCs/>
                <w:kern w:val="2"/>
                <w:sz w:val="21"/>
                <w:szCs w:val="21"/>
              </w:rPr>
            </w:pPr>
            <w:r>
              <w:rPr>
                <w:rFonts w:hint="eastAsia"/>
                <w:b/>
                <w:bCs/>
                <w:kern w:val="2"/>
                <w:sz w:val="21"/>
                <w:szCs w:val="21"/>
              </w:rPr>
              <w:t>国家强制认证</w:t>
            </w:r>
          </w:p>
          <w:p>
            <w:pPr>
              <w:pStyle w:val="60"/>
              <w:spacing w:line="380" w:lineRule="exact"/>
              <w:jc w:val="center"/>
              <w:rPr>
                <w:b/>
                <w:bCs/>
                <w:szCs w:val="21"/>
                <w:lang w:val="zh-CN"/>
              </w:rPr>
            </w:pPr>
            <w:r>
              <w:rPr>
                <w:rFonts w:hint="eastAsia"/>
                <w:b/>
                <w:bCs/>
                <w:sz w:val="21"/>
                <w:szCs w:val="21"/>
                <w:lang w:val="zh-CN"/>
              </w:rPr>
              <w:t>（实质性要求）</w:t>
            </w:r>
          </w:p>
        </w:tc>
        <w:tc>
          <w:tcPr>
            <w:tcW w:w="6445" w:type="dxa"/>
            <w:vAlign w:val="center"/>
          </w:tcPr>
          <w:p>
            <w:pPr>
              <w:pStyle w:val="60"/>
              <w:spacing w:line="380" w:lineRule="exact"/>
              <w:jc w:val="both"/>
              <w:rPr>
                <w:b/>
                <w:bCs/>
                <w:sz w:val="21"/>
                <w:szCs w:val="21"/>
              </w:rPr>
            </w:pPr>
            <w:r>
              <w:rPr>
                <w:rFonts w:hint="eastAsia"/>
                <w:sz w:val="21"/>
                <w:szCs w:val="21"/>
              </w:rPr>
              <w:t>投标产品如为国家强制性认证产品目录中公示的设备，须取得“中国强制性产品认证”证书。</w:t>
            </w:r>
            <w:r>
              <w:rPr>
                <w:rFonts w:hint="eastAsia"/>
                <w:b/>
                <w:bCs/>
                <w:sz w:val="21"/>
                <w:szCs w:val="21"/>
                <w:lang w:val="zh-CN"/>
              </w:rPr>
              <w:t>（</w:t>
            </w:r>
            <w:r>
              <w:rPr>
                <w:rFonts w:hint="eastAsia"/>
                <w:b/>
                <w:bCs/>
                <w:sz w:val="21"/>
                <w:szCs w:val="21"/>
              </w:rPr>
              <w:t>本项目不涉及</w:t>
            </w:r>
            <w:r>
              <w:rPr>
                <w:rFonts w:hint="eastAsia"/>
                <w:b/>
                <w:bCs/>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38"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13</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szCs w:val="21"/>
                <w:lang w:val="zh-CN"/>
              </w:rPr>
              <w:t>磋商情况公告</w:t>
            </w:r>
          </w:p>
        </w:tc>
        <w:tc>
          <w:tcPr>
            <w:tcW w:w="6445" w:type="dxa"/>
          </w:tcPr>
          <w:p>
            <w:pPr>
              <w:pStyle w:val="60"/>
              <w:wordWrap w:val="0"/>
              <w:snapToGrid w:val="0"/>
              <w:spacing w:beforeLines="20" w:afterLines="20" w:line="360" w:lineRule="exact"/>
              <w:ind w:firstLine="210" w:firstLineChars="100"/>
              <w:jc w:val="both"/>
              <w:rPr>
                <w:sz w:val="21"/>
                <w:szCs w:val="21"/>
                <w:lang w:val="zh-CN"/>
              </w:rPr>
            </w:pPr>
            <w:bookmarkStart w:id="53" w:name="PO_默认文件内容_13"/>
            <w:r>
              <w:rPr>
                <w:rFonts w:hint="eastAsia"/>
                <w:sz w:val="21"/>
                <w:szCs w:val="21"/>
                <w:lang w:val="zh-CN"/>
              </w:rPr>
              <w:t>供应商资格审查情况、磋商情况、报价情况、磋商结果等在</w:t>
            </w:r>
            <w:r>
              <w:rPr>
                <w:rFonts w:hint="eastAsia"/>
                <w:sz w:val="21"/>
                <w:szCs w:val="21"/>
                <w:u w:val="single"/>
                <w:lang w:val="zh-CN"/>
              </w:rPr>
              <w:t xml:space="preserve">四川政府采购网 </w:t>
            </w:r>
            <w:r>
              <w:rPr>
                <w:rFonts w:hint="eastAsia"/>
                <w:sz w:val="21"/>
                <w:szCs w:val="21"/>
                <w:lang w:val="zh-CN"/>
              </w:rPr>
              <w:t>公示公告栏中予以公告</w:t>
            </w:r>
            <w:bookmarkEnd w:id="53"/>
            <w:r>
              <w:rPr>
                <w:rFonts w:hint="eastAsia"/>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3"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14</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szCs w:val="21"/>
                <w:lang w:val="zh-CN"/>
              </w:rPr>
              <w:t>磋商保证金</w:t>
            </w:r>
          </w:p>
        </w:tc>
        <w:tc>
          <w:tcPr>
            <w:tcW w:w="6445" w:type="dxa"/>
            <w:vAlign w:val="center"/>
          </w:tcPr>
          <w:p>
            <w:pPr>
              <w:pStyle w:val="60"/>
              <w:snapToGrid w:val="0"/>
              <w:spacing w:beforeLines="20" w:afterLines="20" w:line="360" w:lineRule="exact"/>
              <w:ind w:right="105" w:firstLine="210" w:firstLineChars="100"/>
              <w:jc w:val="both"/>
              <w:rPr>
                <w:sz w:val="21"/>
                <w:szCs w:val="21"/>
                <w:lang w:val="zh-CN"/>
              </w:rPr>
            </w:pPr>
            <w:r>
              <w:rPr>
                <w:rFonts w:hint="eastAsia"/>
                <w:sz w:val="21"/>
                <w:szCs w:val="21"/>
              </w:rPr>
              <w:t>参照川财采[2020]28号文要求，本项目不收取磋商保证金。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3" w:hRule="atLeast"/>
          <w:jc w:val="center"/>
        </w:trPr>
        <w:tc>
          <w:tcPr>
            <w:tcW w:w="1013" w:type="dxa"/>
            <w:vAlign w:val="center"/>
          </w:tcPr>
          <w:p>
            <w:pPr>
              <w:pStyle w:val="60"/>
              <w:snapToGrid w:val="0"/>
              <w:spacing w:beforeLines="30" w:afterLines="30" w:line="360" w:lineRule="exact"/>
              <w:jc w:val="center"/>
              <w:rPr>
                <w:kern w:val="2"/>
                <w:sz w:val="21"/>
                <w:szCs w:val="21"/>
              </w:rPr>
            </w:pPr>
            <w:r>
              <w:rPr>
                <w:rFonts w:hint="eastAsia"/>
                <w:kern w:val="2"/>
                <w:sz w:val="21"/>
                <w:szCs w:val="21"/>
              </w:rPr>
              <w:t>15</w:t>
            </w:r>
          </w:p>
        </w:tc>
        <w:tc>
          <w:tcPr>
            <w:tcW w:w="2358" w:type="dxa"/>
            <w:vAlign w:val="center"/>
          </w:tcPr>
          <w:p>
            <w:pPr>
              <w:snapToGrid w:val="0"/>
              <w:spacing w:beforeLines="30" w:afterLines="30" w:line="360" w:lineRule="exact"/>
              <w:jc w:val="center"/>
              <w:rPr>
                <w:rFonts w:ascii="宋体" w:hAnsi="宋体" w:cs="宋体"/>
                <w:szCs w:val="21"/>
              </w:rPr>
            </w:pPr>
            <w:r>
              <w:rPr>
                <w:rFonts w:hint="eastAsia" w:ascii="宋体" w:hAnsi="宋体" w:cs="宋体"/>
                <w:szCs w:val="21"/>
              </w:rPr>
              <w:t>履约保证金</w:t>
            </w:r>
          </w:p>
        </w:tc>
        <w:tc>
          <w:tcPr>
            <w:tcW w:w="6445" w:type="dxa"/>
            <w:vAlign w:val="center"/>
          </w:tcPr>
          <w:p>
            <w:pPr>
              <w:pStyle w:val="60"/>
              <w:snapToGrid w:val="0"/>
              <w:spacing w:beforeLines="20" w:afterLines="20" w:line="360" w:lineRule="exact"/>
              <w:ind w:right="105" w:firstLine="210" w:firstLineChars="100"/>
              <w:jc w:val="both"/>
              <w:rPr>
                <w:kern w:val="2"/>
                <w:sz w:val="21"/>
                <w:szCs w:val="21"/>
                <w:u w:val="single"/>
                <w:lang w:val="zh-CN"/>
              </w:rPr>
            </w:pPr>
            <w:r>
              <w:rPr>
                <w:rFonts w:hint="eastAsia"/>
                <w:kern w:val="2"/>
                <w:sz w:val="21"/>
                <w:szCs w:val="21"/>
                <w:u w:val="single"/>
                <w:lang w:val="zh-CN"/>
              </w:rPr>
              <w:t>本项目不收取</w:t>
            </w:r>
            <w:r>
              <w:rPr>
                <w:rFonts w:hint="eastAsia"/>
                <w:kern w:val="2"/>
                <w:sz w:val="21"/>
                <w:szCs w:val="21"/>
                <w:u w:val="single"/>
              </w:rPr>
              <w:t>履约</w:t>
            </w:r>
            <w:r>
              <w:rPr>
                <w:rFonts w:hint="eastAsia"/>
                <w:kern w:val="2"/>
                <w:sz w:val="21"/>
                <w:szCs w:val="21"/>
                <w:u w:val="single"/>
                <w:lang w:val="zh-CN"/>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16</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bCs/>
                <w:szCs w:val="21"/>
              </w:rPr>
              <w:t>磋商</w:t>
            </w:r>
            <w:r>
              <w:rPr>
                <w:rFonts w:hint="eastAsia" w:ascii="宋体" w:hAnsi="宋体" w:cs="宋体"/>
                <w:szCs w:val="21"/>
                <w:lang w:val="zh-CN"/>
              </w:rPr>
              <w:t>文件咨询</w:t>
            </w:r>
          </w:p>
        </w:tc>
        <w:tc>
          <w:tcPr>
            <w:tcW w:w="6445" w:type="dxa"/>
            <w:vAlign w:val="center"/>
          </w:tcPr>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kern w:val="0"/>
                <w:szCs w:val="21"/>
                <w:lang w:val="zh-CN"/>
              </w:rPr>
              <w:t>联系人</w:t>
            </w:r>
            <w:r>
              <w:rPr>
                <w:rFonts w:hint="eastAsia" w:ascii="宋体" w:hAnsi="宋体" w:cs="宋体"/>
                <w:szCs w:val="21"/>
                <w:lang w:val="zh-CN"/>
              </w:rPr>
              <w:t>：</w:t>
            </w:r>
            <w:r>
              <w:rPr>
                <w:rFonts w:hint="eastAsia" w:ascii="宋体" w:hAnsi="宋体" w:cs="宋体"/>
                <w:szCs w:val="21"/>
                <w:u w:val="single"/>
                <w:lang w:val="zh-CN"/>
              </w:rPr>
              <w:t>李先生</w:t>
            </w:r>
          </w:p>
          <w:p>
            <w:pPr>
              <w:snapToGrid w:val="0"/>
              <w:spacing w:beforeLines="20" w:afterLines="20" w:line="360" w:lineRule="exact"/>
              <w:ind w:firstLine="210" w:firstLineChars="100"/>
              <w:rPr>
                <w:rFonts w:ascii="宋体" w:hAnsi="宋体" w:cs="宋体"/>
                <w:szCs w:val="21"/>
              </w:rPr>
            </w:pPr>
            <w:r>
              <w:rPr>
                <w:rFonts w:hint="eastAsia" w:ascii="宋体" w:hAnsi="宋体" w:cs="宋体"/>
                <w:szCs w:val="21"/>
                <w:lang w:val="zh-CN"/>
              </w:rPr>
              <w:t>联系电话：</w:t>
            </w:r>
            <w:r>
              <w:rPr>
                <w:rFonts w:hint="eastAsia" w:ascii="宋体" w:hAnsi="宋体" w:cs="宋体"/>
                <w:szCs w:val="21"/>
                <w:u w:val="single"/>
                <w:lang w:val="zh-CN"/>
              </w:rPr>
              <w:t>028-86055792转8011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17</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szCs w:val="21"/>
                <w:lang w:val="zh-CN"/>
              </w:rPr>
              <w:t>磋商过程、结果工作咨询</w:t>
            </w:r>
          </w:p>
        </w:tc>
        <w:tc>
          <w:tcPr>
            <w:tcW w:w="6445" w:type="dxa"/>
            <w:vAlign w:val="center"/>
          </w:tcPr>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联系人：</w:t>
            </w:r>
            <w:r>
              <w:rPr>
                <w:rFonts w:hint="eastAsia" w:ascii="宋体" w:hAnsi="宋体" w:cs="宋体"/>
                <w:szCs w:val="21"/>
                <w:u w:val="single"/>
              </w:rPr>
              <w:t>董</w:t>
            </w:r>
            <w:r>
              <w:rPr>
                <w:rFonts w:hint="eastAsia" w:ascii="宋体" w:hAnsi="宋体" w:cs="宋体"/>
                <w:szCs w:val="21"/>
                <w:u w:val="single"/>
                <w:lang w:val="zh-CN"/>
              </w:rPr>
              <w:t>先生</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联系电话：</w:t>
            </w:r>
            <w:r>
              <w:rPr>
                <w:rFonts w:hint="eastAsia" w:ascii="宋体" w:hAnsi="宋体" w:cs="宋体"/>
                <w:szCs w:val="21"/>
                <w:u w:val="single"/>
                <w:lang w:val="zh-CN"/>
              </w:rPr>
              <w:t>028-</w:t>
            </w:r>
            <w:r>
              <w:rPr>
                <w:rFonts w:hint="eastAsia" w:ascii="宋体" w:hAnsi="宋体" w:cs="宋体"/>
                <w:szCs w:val="21"/>
                <w:u w:val="single"/>
              </w:rPr>
              <w:t>86055792转8011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18</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szCs w:val="21"/>
                <w:lang w:val="zh-CN"/>
              </w:rPr>
              <w:t>成交通知书领取</w:t>
            </w:r>
          </w:p>
        </w:tc>
        <w:tc>
          <w:tcPr>
            <w:tcW w:w="6445" w:type="dxa"/>
            <w:vAlign w:val="center"/>
          </w:tcPr>
          <w:p>
            <w:pPr>
              <w:wordWrap w:val="0"/>
              <w:snapToGrid w:val="0"/>
              <w:spacing w:beforeLines="20" w:afterLines="20" w:line="360" w:lineRule="exact"/>
              <w:ind w:firstLine="210" w:firstLineChars="100"/>
              <w:rPr>
                <w:rFonts w:ascii="宋体" w:hAnsi="宋体" w:cs="宋体"/>
                <w:szCs w:val="21"/>
                <w:lang w:val="zh-CN"/>
              </w:rPr>
            </w:pPr>
            <w:bookmarkStart w:id="54" w:name="PO_默认文件内容_16"/>
            <w:r>
              <w:rPr>
                <w:rFonts w:hint="eastAsia" w:ascii="宋体" w:hAnsi="宋体" w:cs="宋体"/>
                <w:szCs w:val="21"/>
                <w:lang w:val="zh-CN"/>
              </w:rPr>
              <w:t>采购</w:t>
            </w:r>
            <w:r>
              <w:rPr>
                <w:rFonts w:hint="eastAsia" w:ascii="宋体" w:hAnsi="宋体" w:cs="宋体"/>
                <w:kern w:val="0"/>
                <w:szCs w:val="21"/>
                <w:lang w:val="zh-CN"/>
              </w:rPr>
              <w:t>结果</w:t>
            </w:r>
            <w:r>
              <w:rPr>
                <w:rFonts w:hint="eastAsia" w:ascii="宋体" w:hAnsi="宋体" w:cs="宋体"/>
                <w:szCs w:val="21"/>
                <w:lang w:val="zh-CN"/>
              </w:rPr>
              <w:t>公告在</w:t>
            </w:r>
            <w:r>
              <w:rPr>
                <w:rFonts w:hint="eastAsia"/>
                <w:szCs w:val="21"/>
                <w:u w:val="single"/>
                <w:lang w:val="zh-CN"/>
              </w:rPr>
              <w:t>四川政府采购网</w:t>
            </w:r>
            <w:r>
              <w:rPr>
                <w:rFonts w:hint="eastAsia" w:ascii="宋体" w:hAnsi="宋体" w:cs="宋体"/>
                <w:szCs w:val="21"/>
                <w:lang w:val="zh-CN"/>
              </w:rPr>
              <w:t>发布后，请成交供应商凭有效身份证明证件到采购代理机构领取成交通知书。</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联 系 人：</w:t>
            </w:r>
            <w:r>
              <w:rPr>
                <w:rFonts w:hint="eastAsia" w:ascii="宋体" w:hAnsi="宋体" w:cs="宋体"/>
                <w:szCs w:val="21"/>
                <w:u w:val="single"/>
                <w:lang w:val="zh-CN"/>
              </w:rPr>
              <w:t>李先生</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联系电话：</w:t>
            </w:r>
            <w:r>
              <w:rPr>
                <w:rFonts w:hint="eastAsia" w:ascii="宋体" w:hAnsi="宋体" w:cs="宋体"/>
                <w:szCs w:val="21"/>
                <w:u w:val="single"/>
                <w:lang w:val="zh-CN"/>
              </w:rPr>
              <w:t>028-86055792转8011</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地    址：</w:t>
            </w:r>
            <w:r>
              <w:rPr>
                <w:rFonts w:hint="eastAsia" w:ascii="宋体" w:hAnsi="宋体" w:cs="宋体"/>
                <w:szCs w:val="21"/>
                <w:u w:val="single"/>
                <w:lang w:val="zh-CN"/>
              </w:rPr>
              <w:t>四川省成都市锦江区三色路199号五冶大厦A2栋9楼</w:t>
            </w:r>
            <w:bookmarkEnd w:id="5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19</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szCs w:val="21"/>
                <w:lang w:val="zh-CN"/>
              </w:rPr>
              <w:t>供应商询问</w:t>
            </w:r>
          </w:p>
        </w:tc>
        <w:tc>
          <w:tcPr>
            <w:tcW w:w="6445" w:type="dxa"/>
          </w:tcPr>
          <w:p>
            <w:pPr>
              <w:snapToGrid w:val="0"/>
              <w:spacing w:beforeLines="20" w:afterLines="20" w:line="360" w:lineRule="exact"/>
              <w:ind w:firstLine="210" w:firstLineChars="100"/>
              <w:rPr>
                <w:rFonts w:ascii="宋体" w:hAnsi="宋体" w:cs="宋体"/>
                <w:szCs w:val="21"/>
                <w:lang w:val="zh-CN"/>
              </w:rPr>
            </w:pPr>
            <w:bookmarkStart w:id="55" w:name="PO_默认文件内容_9"/>
            <w:r>
              <w:rPr>
                <w:rFonts w:hint="eastAsia" w:ascii="宋体" w:hAnsi="宋体" w:cs="宋体"/>
                <w:szCs w:val="21"/>
                <w:lang w:val="zh-CN"/>
              </w:rPr>
              <w:t>采购人负责对采购文件资格条件、技术商务要求、评分标准、</w:t>
            </w:r>
            <w:r>
              <w:rPr>
                <w:rFonts w:hint="eastAsia" w:ascii="宋体" w:hAnsi="宋体" w:cs="宋体"/>
                <w:szCs w:val="21"/>
              </w:rPr>
              <w:t>合同条款</w:t>
            </w:r>
            <w:r>
              <w:rPr>
                <w:rFonts w:hint="eastAsia" w:ascii="宋体" w:hAnsi="宋体" w:cs="宋体"/>
                <w:szCs w:val="21"/>
                <w:lang w:val="zh-CN"/>
              </w:rPr>
              <w:t>的询问和质疑答复，代理机构负责采购文件资格条件、技术商务要求、评分标准、</w:t>
            </w:r>
            <w:r>
              <w:rPr>
                <w:rFonts w:hint="eastAsia" w:ascii="宋体" w:hAnsi="宋体" w:cs="宋体"/>
                <w:szCs w:val="21"/>
              </w:rPr>
              <w:t>合同条款</w:t>
            </w:r>
            <w:r>
              <w:rPr>
                <w:rFonts w:hint="eastAsia" w:ascii="宋体" w:hAnsi="宋体" w:cs="宋体"/>
                <w:szCs w:val="21"/>
                <w:lang w:val="zh-CN"/>
              </w:rPr>
              <w:t>以外的询问和质疑答复。</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联 系 人：</w:t>
            </w:r>
            <w:r>
              <w:rPr>
                <w:rFonts w:hint="eastAsia" w:ascii="宋体" w:hAnsi="宋体" w:cs="宋体"/>
                <w:szCs w:val="21"/>
                <w:u w:val="single"/>
                <w:lang w:val="zh-CN"/>
              </w:rPr>
              <w:t>邓女士</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联系电话：</w:t>
            </w:r>
            <w:r>
              <w:rPr>
                <w:rFonts w:hint="eastAsia" w:ascii="宋体" w:hAnsi="宋体" w:cs="宋体"/>
                <w:szCs w:val="21"/>
                <w:u w:val="single"/>
                <w:lang w:val="zh-CN"/>
              </w:rPr>
              <w:t>028-86055792转8011</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联系地址：</w:t>
            </w:r>
            <w:r>
              <w:rPr>
                <w:rFonts w:hint="eastAsia" w:ascii="宋体" w:hAnsi="宋体" w:cs="宋体"/>
                <w:szCs w:val="21"/>
                <w:u w:val="single"/>
                <w:lang w:val="zh-CN"/>
              </w:rPr>
              <w:t>四川省成都市锦江区三色路199号五冶大厦A2栋9楼</w:t>
            </w:r>
            <w:bookmarkEnd w:id="5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20</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szCs w:val="21"/>
                <w:lang w:val="zh-CN"/>
              </w:rPr>
              <w:t>供应商质疑</w:t>
            </w:r>
          </w:p>
        </w:tc>
        <w:tc>
          <w:tcPr>
            <w:tcW w:w="6445" w:type="dxa"/>
            <w:vAlign w:val="center"/>
          </w:tcPr>
          <w:p>
            <w:pPr>
              <w:snapToGrid w:val="0"/>
              <w:spacing w:beforeLines="20" w:afterLines="20" w:line="360" w:lineRule="exact"/>
              <w:ind w:firstLine="218" w:firstLineChars="104"/>
              <w:rPr>
                <w:rFonts w:ascii="宋体" w:hAnsi="宋体" w:cs="宋体"/>
                <w:szCs w:val="21"/>
                <w:lang w:val="zh-CN"/>
              </w:rPr>
            </w:pPr>
            <w:bookmarkStart w:id="56" w:name="PO_默认文件内容_17"/>
            <w:r>
              <w:rPr>
                <w:rFonts w:hint="eastAsia" w:ascii="宋体" w:hAnsi="宋体" w:cs="宋体"/>
                <w:szCs w:val="21"/>
              </w:rPr>
              <w:t>1.</w:t>
            </w:r>
            <w:r>
              <w:rPr>
                <w:rFonts w:hint="eastAsia" w:ascii="宋体" w:hAnsi="宋体" w:cs="宋体"/>
                <w:szCs w:val="21"/>
                <w:lang w:val="zh-CN"/>
              </w:rPr>
              <w:t>采购人负责对采购文件资格条件、技术商务要求、评分标准、</w:t>
            </w:r>
            <w:r>
              <w:rPr>
                <w:rFonts w:hint="eastAsia" w:ascii="宋体" w:hAnsi="宋体" w:cs="宋体"/>
                <w:szCs w:val="21"/>
              </w:rPr>
              <w:t>合同条款</w:t>
            </w:r>
            <w:r>
              <w:rPr>
                <w:rFonts w:hint="eastAsia" w:ascii="宋体" w:hAnsi="宋体" w:cs="宋体"/>
                <w:szCs w:val="21"/>
                <w:lang w:val="zh-CN"/>
              </w:rPr>
              <w:t>的询问和质疑答复，代理机构负责采购文件技术参数、评分标准、</w:t>
            </w:r>
            <w:r>
              <w:rPr>
                <w:rFonts w:hint="eastAsia" w:ascii="宋体" w:hAnsi="宋体" w:cs="宋体"/>
                <w:szCs w:val="21"/>
              </w:rPr>
              <w:t>合同条款</w:t>
            </w:r>
            <w:r>
              <w:rPr>
                <w:rFonts w:hint="eastAsia" w:ascii="宋体" w:hAnsi="宋体" w:cs="宋体"/>
                <w:szCs w:val="21"/>
                <w:lang w:val="zh-CN"/>
              </w:rPr>
              <w:t>部分以外的询问和质疑答复。</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2.提出质疑函的时限要求：供应商认为采购文件、采购过程、成交或者成交结果使自己的权益受到损害的，可以在知道或者应知其权益受到损害之日起7个工作日内，以书面形式向采购人、采购代理机构提出质疑，逾期提交不予受理。</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3.接收质疑函的方式：供应商在法定时间内以书面形式现场提交质疑函 。</w:t>
            </w:r>
          </w:p>
          <w:p>
            <w:pPr>
              <w:snapToGrid w:val="0"/>
              <w:spacing w:beforeLines="20" w:afterLines="20" w:line="360" w:lineRule="exact"/>
              <w:ind w:firstLine="218" w:firstLineChars="104"/>
              <w:rPr>
                <w:rFonts w:ascii="宋体" w:hAnsi="宋体" w:cs="宋体"/>
                <w:szCs w:val="21"/>
                <w:lang w:val="zh-CN"/>
              </w:rPr>
            </w:pPr>
            <w:r>
              <w:rPr>
                <w:rFonts w:hint="eastAsia" w:ascii="宋体" w:hAnsi="宋体" w:cs="宋体"/>
                <w:szCs w:val="21"/>
                <w:lang w:val="zh-CN"/>
              </w:rPr>
              <w:t>4.采购文件质疑时间：购买采购文件之日起七个工作日内。</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5.采购过程质疑时间：为各采购程序环节结束之日起七个工作日内；对采购结果提出质疑时间为中标结果公告期限届满之日起七个工作日内。</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联 系 人：</w:t>
            </w:r>
            <w:r>
              <w:rPr>
                <w:rFonts w:hint="eastAsia" w:ascii="宋体" w:hAnsi="宋体" w:cs="宋体"/>
                <w:szCs w:val="21"/>
                <w:u w:val="single"/>
                <w:lang w:val="zh-CN"/>
              </w:rPr>
              <w:t>邓女士</w:t>
            </w:r>
          </w:p>
          <w:p>
            <w:pPr>
              <w:snapToGrid w:val="0"/>
              <w:spacing w:beforeLines="20" w:afterLines="20" w:line="360" w:lineRule="exact"/>
              <w:ind w:firstLine="210" w:firstLineChars="100"/>
              <w:rPr>
                <w:rFonts w:ascii="宋体" w:hAnsi="宋体" w:cs="宋体"/>
                <w:szCs w:val="21"/>
                <w:u w:val="single"/>
                <w:lang w:val="zh-CN"/>
              </w:rPr>
            </w:pPr>
            <w:r>
              <w:rPr>
                <w:rFonts w:hint="eastAsia" w:ascii="宋体" w:hAnsi="宋体" w:cs="宋体"/>
                <w:szCs w:val="21"/>
                <w:lang w:val="zh-CN"/>
              </w:rPr>
              <w:t>联系电话：</w:t>
            </w:r>
            <w:r>
              <w:rPr>
                <w:rFonts w:hint="eastAsia" w:ascii="宋体" w:hAnsi="宋体" w:cs="宋体"/>
                <w:szCs w:val="21"/>
                <w:u w:val="single"/>
                <w:lang w:val="zh-CN"/>
              </w:rPr>
              <w:t>028-86055792转8011</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联系地址：</w:t>
            </w:r>
            <w:r>
              <w:rPr>
                <w:rFonts w:hint="eastAsia" w:ascii="宋体" w:hAnsi="宋体" w:cs="宋体"/>
                <w:szCs w:val="21"/>
                <w:u w:val="single"/>
                <w:lang w:val="zh-CN"/>
              </w:rPr>
              <w:t>四川省成都市锦江区三色路199号五冶大厦A2栋9楼</w:t>
            </w:r>
          </w:p>
          <w:p>
            <w:pPr>
              <w:snapToGrid w:val="0"/>
              <w:spacing w:beforeLines="20" w:afterLines="20" w:line="360" w:lineRule="exact"/>
              <w:ind w:firstLine="210" w:firstLineChars="100"/>
              <w:rPr>
                <w:rFonts w:ascii="宋体" w:hAnsi="宋体" w:cs="宋体"/>
                <w:szCs w:val="21"/>
                <w:lang w:val="zh-CN"/>
              </w:rPr>
            </w:pPr>
            <w:r>
              <w:rPr>
                <w:rFonts w:hint="eastAsia" w:ascii="宋体" w:hAnsi="宋体" w:cs="宋体"/>
                <w:szCs w:val="21"/>
                <w:lang w:val="zh-CN"/>
              </w:rPr>
              <w:t>注：参照《中华人民共和国政府采购法》等规定，供应商质疑不得超出磋商文件、磋商过程、磋商结果的范围，供应商质疑不得超出采购文件、采购过程、采购结果的范围, 供应商针对同一采购程序环节的质疑应在法定质疑期内一次性提出</w:t>
            </w:r>
            <w:bookmarkEnd w:id="56"/>
            <w:r>
              <w:rPr>
                <w:rFonts w:hint="eastAsia" w:ascii="宋体" w:hAnsi="宋体" w:cs="宋体"/>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21</w:t>
            </w:r>
          </w:p>
        </w:tc>
        <w:tc>
          <w:tcPr>
            <w:tcW w:w="2358" w:type="dxa"/>
            <w:vAlign w:val="center"/>
          </w:tcPr>
          <w:p>
            <w:pPr>
              <w:snapToGrid w:val="0"/>
              <w:spacing w:beforeLines="30" w:afterLines="30" w:line="360" w:lineRule="exact"/>
              <w:jc w:val="center"/>
              <w:rPr>
                <w:rFonts w:ascii="宋体" w:hAnsi="宋体" w:cs="宋体"/>
                <w:szCs w:val="21"/>
                <w:lang w:val="zh-CN"/>
              </w:rPr>
            </w:pPr>
            <w:r>
              <w:rPr>
                <w:rFonts w:hint="eastAsia" w:ascii="宋体" w:hAnsi="宋体" w:cs="宋体"/>
                <w:szCs w:val="21"/>
                <w:lang w:val="zh-CN"/>
              </w:rPr>
              <w:t>供应商投诉</w:t>
            </w:r>
          </w:p>
        </w:tc>
        <w:tc>
          <w:tcPr>
            <w:tcW w:w="6445" w:type="dxa"/>
            <w:vAlign w:val="center"/>
          </w:tcPr>
          <w:p>
            <w:pPr>
              <w:pStyle w:val="60"/>
              <w:snapToGrid w:val="0"/>
              <w:spacing w:beforeLines="20" w:afterLines="20" w:line="360" w:lineRule="exact"/>
              <w:ind w:firstLine="210" w:firstLineChars="100"/>
              <w:rPr>
                <w:sz w:val="21"/>
                <w:szCs w:val="21"/>
                <w:u w:val="single"/>
              </w:rPr>
            </w:pPr>
            <w:r>
              <w:rPr>
                <w:rFonts w:hint="eastAsia"/>
                <w:sz w:val="21"/>
                <w:szCs w:val="21"/>
              </w:rPr>
              <w:t>投诉受理单位：</w:t>
            </w:r>
            <w:r>
              <w:rPr>
                <w:rFonts w:hint="eastAsia"/>
                <w:sz w:val="21"/>
                <w:szCs w:val="21"/>
                <w:u w:val="single"/>
              </w:rPr>
              <w:t>成都市财政局</w:t>
            </w:r>
          </w:p>
          <w:p>
            <w:pPr>
              <w:pStyle w:val="60"/>
              <w:snapToGrid w:val="0"/>
              <w:spacing w:beforeLines="20" w:afterLines="20" w:line="360" w:lineRule="exact"/>
              <w:ind w:firstLine="210" w:firstLineChars="100"/>
              <w:rPr>
                <w:sz w:val="21"/>
                <w:szCs w:val="21"/>
              </w:rPr>
            </w:pPr>
            <w:r>
              <w:rPr>
                <w:rFonts w:hint="eastAsia"/>
                <w:sz w:val="21"/>
                <w:szCs w:val="21"/>
              </w:rPr>
              <w:t>联系电话：</w:t>
            </w:r>
            <w:r>
              <w:rPr>
                <w:rFonts w:hint="eastAsia"/>
                <w:sz w:val="21"/>
                <w:szCs w:val="21"/>
                <w:u w:val="single"/>
              </w:rPr>
              <w:t>028-61882648</w:t>
            </w:r>
          </w:p>
          <w:p>
            <w:pPr>
              <w:pStyle w:val="60"/>
              <w:snapToGrid w:val="0"/>
              <w:spacing w:beforeLines="20" w:afterLines="20" w:line="360" w:lineRule="exact"/>
              <w:ind w:firstLine="210" w:firstLineChars="100"/>
              <w:rPr>
                <w:sz w:val="21"/>
                <w:szCs w:val="21"/>
              </w:rPr>
            </w:pPr>
            <w:r>
              <w:rPr>
                <w:rFonts w:hint="eastAsia"/>
                <w:sz w:val="21"/>
                <w:szCs w:val="21"/>
              </w:rPr>
              <w:t>邮政编码：</w:t>
            </w:r>
            <w:r>
              <w:rPr>
                <w:rFonts w:hint="eastAsia"/>
                <w:sz w:val="21"/>
                <w:szCs w:val="21"/>
                <w:u w:val="single"/>
              </w:rPr>
              <w:t>610000</w:t>
            </w:r>
          </w:p>
          <w:p>
            <w:pPr>
              <w:pStyle w:val="60"/>
              <w:snapToGrid w:val="0"/>
              <w:spacing w:beforeLines="20" w:afterLines="20" w:line="360" w:lineRule="exact"/>
              <w:ind w:firstLine="210" w:firstLineChars="100"/>
              <w:rPr>
                <w:sz w:val="21"/>
                <w:szCs w:val="21"/>
                <w:lang w:val="zh-CN"/>
              </w:rPr>
            </w:pPr>
            <w:r>
              <w:rPr>
                <w:rFonts w:hint="eastAsia"/>
                <w:sz w:val="21"/>
                <w:szCs w:val="21"/>
              </w:rPr>
              <w:t>注：供应商投诉应当有明确的请求和必要的证明材料。供应商投诉的事项不得超出已质疑事项的范围，</w:t>
            </w:r>
            <w:r>
              <w:rPr>
                <w:rFonts w:hint="eastAsia"/>
                <w:spacing w:val="-4"/>
                <w:sz w:val="21"/>
                <w:szCs w:val="21"/>
              </w:rPr>
              <w:t>须符合《政府采购质疑和投诉办法》财政部第 94</w:t>
            </w:r>
            <w:r>
              <w:rPr>
                <w:rFonts w:hint="eastAsia"/>
                <w:spacing w:val="-3"/>
                <w:sz w:val="21"/>
                <w:szCs w:val="21"/>
              </w:rPr>
              <w:t xml:space="preserve"> 号令规定。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0"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22</w:t>
            </w:r>
          </w:p>
        </w:tc>
        <w:tc>
          <w:tcPr>
            <w:tcW w:w="2358" w:type="dxa"/>
            <w:vAlign w:val="center"/>
          </w:tcPr>
          <w:p>
            <w:pPr>
              <w:pStyle w:val="60"/>
              <w:snapToGrid w:val="0"/>
              <w:spacing w:beforeLines="30" w:afterLines="30" w:line="360" w:lineRule="exact"/>
              <w:jc w:val="center"/>
              <w:rPr>
                <w:sz w:val="21"/>
                <w:szCs w:val="21"/>
                <w:lang w:val="zh-CN"/>
              </w:rPr>
            </w:pPr>
            <w:r>
              <w:rPr>
                <w:rFonts w:hint="eastAsia"/>
                <w:sz w:val="21"/>
                <w:szCs w:val="21"/>
                <w:lang w:val="zh-CN"/>
              </w:rPr>
              <w:t>采购代理服务费</w:t>
            </w:r>
          </w:p>
        </w:tc>
        <w:tc>
          <w:tcPr>
            <w:tcW w:w="6445" w:type="dxa"/>
            <w:vAlign w:val="center"/>
          </w:tcPr>
          <w:p>
            <w:pPr>
              <w:snapToGrid w:val="0"/>
              <w:spacing w:line="380" w:lineRule="exact"/>
              <w:rPr>
                <w:rFonts w:hint="eastAsia" w:ascii="宋体" w:hAnsi="宋体" w:cs="宋体"/>
                <w:color w:val="000000"/>
                <w:sz w:val="21"/>
                <w:szCs w:val="21"/>
              </w:rPr>
            </w:pPr>
            <w:r>
              <w:rPr>
                <w:rFonts w:hint="eastAsia" w:ascii="宋体" w:hAnsi="宋体" w:cs="宋体"/>
                <w:color w:val="000000"/>
                <w:sz w:val="21"/>
                <w:szCs w:val="21"/>
              </w:rPr>
              <w:t>1、由中标人支付；</w:t>
            </w:r>
          </w:p>
          <w:p>
            <w:pPr>
              <w:pStyle w:val="60"/>
              <w:widowControl/>
              <w:autoSpaceDE/>
              <w:autoSpaceDN/>
              <w:adjustRightInd/>
              <w:spacing w:line="340" w:lineRule="exact"/>
              <w:jc w:val="both"/>
              <w:rPr>
                <w:rFonts w:hint="eastAsia"/>
                <w:sz w:val="21"/>
                <w:szCs w:val="21"/>
              </w:rPr>
            </w:pPr>
            <w:r>
              <w:rPr>
                <w:rFonts w:hint="eastAsia" w:ascii="宋体" w:hAnsi="宋体" w:cs="宋体"/>
                <w:color w:val="000000"/>
                <w:sz w:val="21"/>
                <w:szCs w:val="21"/>
              </w:rPr>
              <w:t>2、收费标准：按照成本加合理利润为原则，以中标金额作为计算基数</w:t>
            </w:r>
            <w:r>
              <w:rPr>
                <w:rFonts w:hint="eastAsia" w:cs="宋体"/>
                <w:color w:val="000000"/>
                <w:sz w:val="21"/>
                <w:szCs w:val="21"/>
                <w:lang w:val="en-US" w:eastAsia="zh-CN"/>
              </w:rPr>
              <w:t>乘</w:t>
            </w:r>
            <w:r>
              <w:rPr>
                <w:rFonts w:hint="eastAsia"/>
                <w:sz w:val="21"/>
                <w:szCs w:val="21"/>
              </w:rPr>
              <w:t>以服务年限一次性计取招标代理服务费。</w:t>
            </w:r>
          </w:p>
          <w:p>
            <w:pPr>
              <w:snapToGrid w:val="0"/>
              <w:spacing w:line="380" w:lineRule="exact"/>
              <w:rPr>
                <w:rFonts w:hint="eastAsia" w:ascii="宋体" w:hAnsi="宋体" w:cs="宋体"/>
                <w:color w:val="000000"/>
                <w:sz w:val="21"/>
                <w:szCs w:val="21"/>
              </w:rPr>
            </w:pPr>
            <w:r>
              <w:rPr>
                <w:rFonts w:hint="eastAsia" w:ascii="宋体" w:hAnsi="宋体" w:cs="宋体"/>
                <w:color w:val="000000"/>
                <w:sz w:val="21"/>
                <w:szCs w:val="21"/>
              </w:rPr>
              <w:t>, 按下列收费标准进行收取。</w:t>
            </w:r>
          </w:p>
          <w:tbl>
            <w:tblPr>
              <w:tblStyle w:val="33"/>
              <w:tblW w:w="5439"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981"/>
              <w:gridCol w:w="24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31" w:hRule="atLeast"/>
                <w:tblCellSpacing w:w="0" w:type="dxa"/>
                <w:jc w:val="center"/>
              </w:trPr>
              <w:tc>
                <w:tcPr>
                  <w:tcW w:w="2981"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服务类型  中标金额（万元）</w:t>
                  </w:r>
                </w:p>
              </w:tc>
              <w:tc>
                <w:tcPr>
                  <w:tcW w:w="2458"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服务招标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2" w:hRule="exact"/>
                <w:tblCellSpacing w:w="0" w:type="dxa"/>
                <w:jc w:val="center"/>
              </w:trPr>
              <w:tc>
                <w:tcPr>
                  <w:tcW w:w="2981"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100以下</w:t>
                  </w:r>
                </w:p>
              </w:tc>
              <w:tc>
                <w:tcPr>
                  <w:tcW w:w="2458"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2" w:hRule="exact"/>
                <w:tblCellSpacing w:w="0" w:type="dxa"/>
                <w:jc w:val="center"/>
              </w:trPr>
              <w:tc>
                <w:tcPr>
                  <w:tcW w:w="2981"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100—500</w:t>
                  </w:r>
                </w:p>
              </w:tc>
              <w:tc>
                <w:tcPr>
                  <w:tcW w:w="2458"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0.8％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2" w:hRule="exact"/>
                <w:tblCellSpacing w:w="0" w:type="dxa"/>
                <w:jc w:val="center"/>
              </w:trPr>
              <w:tc>
                <w:tcPr>
                  <w:tcW w:w="2981"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500—1000</w:t>
                  </w:r>
                </w:p>
              </w:tc>
              <w:tc>
                <w:tcPr>
                  <w:tcW w:w="2458"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0.45％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2" w:hRule="exact"/>
                <w:tblCellSpacing w:w="0" w:type="dxa"/>
                <w:jc w:val="center"/>
              </w:trPr>
              <w:tc>
                <w:tcPr>
                  <w:tcW w:w="2981"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1000—5000</w:t>
                  </w:r>
                </w:p>
              </w:tc>
              <w:tc>
                <w:tcPr>
                  <w:tcW w:w="2458"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0.25％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2" w:hRule="exact"/>
                <w:tblCellSpacing w:w="0" w:type="dxa"/>
                <w:jc w:val="center"/>
              </w:trPr>
              <w:tc>
                <w:tcPr>
                  <w:tcW w:w="2981"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5000—10000</w:t>
                  </w:r>
                </w:p>
              </w:tc>
              <w:tc>
                <w:tcPr>
                  <w:tcW w:w="2458"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0.1％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2" w:hRule="exact"/>
                <w:tblCellSpacing w:w="0" w:type="dxa"/>
                <w:jc w:val="center"/>
              </w:trPr>
              <w:tc>
                <w:tcPr>
                  <w:tcW w:w="2981"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10000——100000</w:t>
                  </w:r>
                </w:p>
              </w:tc>
              <w:tc>
                <w:tcPr>
                  <w:tcW w:w="2458"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0.05％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07" w:hRule="exact"/>
                <w:tblCellSpacing w:w="0" w:type="dxa"/>
                <w:jc w:val="center"/>
              </w:trPr>
              <w:tc>
                <w:tcPr>
                  <w:tcW w:w="2981"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1000000以上</w:t>
                  </w:r>
                </w:p>
              </w:tc>
              <w:tc>
                <w:tcPr>
                  <w:tcW w:w="2458" w:type="dxa"/>
                  <w:noWrap w:val="0"/>
                  <w:vAlign w:val="center"/>
                </w:tcPr>
                <w:p>
                  <w:pPr>
                    <w:pStyle w:val="60"/>
                    <w:widowControl/>
                    <w:autoSpaceDE/>
                    <w:autoSpaceDN/>
                    <w:adjustRightInd/>
                    <w:spacing w:line="340" w:lineRule="exact"/>
                    <w:jc w:val="center"/>
                    <w:rPr>
                      <w:rFonts w:hint="eastAsia"/>
                      <w:sz w:val="21"/>
                      <w:szCs w:val="21"/>
                    </w:rPr>
                  </w:pPr>
                  <w:r>
                    <w:rPr>
                      <w:rFonts w:hint="eastAsia"/>
                      <w:sz w:val="21"/>
                      <w:szCs w:val="21"/>
                    </w:rPr>
                    <w:t>0.01％</w:t>
                  </w:r>
                </w:p>
              </w:tc>
            </w:tr>
          </w:tbl>
          <w:p>
            <w:pPr>
              <w:pStyle w:val="60"/>
              <w:widowControl/>
              <w:autoSpaceDE/>
              <w:autoSpaceDN/>
              <w:adjustRightInd/>
              <w:spacing w:line="340" w:lineRule="exact"/>
              <w:jc w:val="both"/>
              <w:rPr>
                <w:rFonts w:hint="eastAsia"/>
                <w:sz w:val="21"/>
                <w:szCs w:val="21"/>
              </w:rPr>
            </w:pPr>
            <w:r>
              <w:rPr>
                <w:rFonts w:hint="eastAsia"/>
                <w:sz w:val="21"/>
                <w:szCs w:val="21"/>
              </w:rPr>
              <w:t>注：招标代理服务收费按差额定率累进法计算，算法如下：</w:t>
            </w:r>
          </w:p>
          <w:p>
            <w:pPr>
              <w:pStyle w:val="60"/>
              <w:widowControl/>
              <w:autoSpaceDE/>
              <w:autoSpaceDN/>
              <w:adjustRightInd/>
              <w:spacing w:line="340" w:lineRule="exact"/>
              <w:jc w:val="both"/>
              <w:rPr>
                <w:rFonts w:hint="eastAsia"/>
                <w:sz w:val="21"/>
                <w:szCs w:val="21"/>
              </w:rPr>
            </w:pPr>
            <w:r>
              <w:rPr>
                <w:rFonts w:hint="eastAsia"/>
                <w:sz w:val="21"/>
                <w:szCs w:val="21"/>
              </w:rPr>
              <w:t>若本项目中标金额为50万元(小于100万），代理费计算过程：</w:t>
            </w:r>
          </w:p>
          <w:p>
            <w:pPr>
              <w:pStyle w:val="60"/>
              <w:widowControl/>
              <w:autoSpaceDE/>
              <w:autoSpaceDN/>
              <w:adjustRightInd/>
              <w:spacing w:line="340" w:lineRule="exact"/>
              <w:jc w:val="both"/>
              <w:rPr>
                <w:rFonts w:hint="eastAsia"/>
                <w:sz w:val="21"/>
                <w:szCs w:val="21"/>
              </w:rPr>
            </w:pPr>
            <w:r>
              <w:rPr>
                <w:rFonts w:hint="eastAsia"/>
                <w:sz w:val="21"/>
                <w:szCs w:val="21"/>
              </w:rPr>
              <w:t>计算类型为：服务招标</w:t>
            </w:r>
          </w:p>
          <w:p>
            <w:pPr>
              <w:pStyle w:val="60"/>
              <w:widowControl/>
              <w:autoSpaceDE/>
              <w:autoSpaceDN/>
              <w:adjustRightInd/>
              <w:spacing w:line="340" w:lineRule="exact"/>
              <w:jc w:val="both"/>
              <w:rPr>
                <w:rFonts w:hint="eastAsia"/>
                <w:sz w:val="21"/>
                <w:szCs w:val="21"/>
              </w:rPr>
            </w:pPr>
            <w:r>
              <w:rPr>
                <w:rFonts w:hint="eastAsia"/>
                <w:sz w:val="21"/>
                <w:szCs w:val="21"/>
              </w:rPr>
              <w:t>中标金额为：50万元</w:t>
            </w:r>
          </w:p>
          <w:p>
            <w:pPr>
              <w:pStyle w:val="60"/>
              <w:widowControl/>
              <w:autoSpaceDE/>
              <w:autoSpaceDN/>
              <w:adjustRightInd/>
              <w:spacing w:line="340" w:lineRule="exact"/>
              <w:jc w:val="both"/>
              <w:rPr>
                <w:rFonts w:hint="eastAsia"/>
                <w:sz w:val="21"/>
                <w:szCs w:val="21"/>
              </w:rPr>
            </w:pPr>
            <w:r>
              <w:rPr>
                <w:rFonts w:hint="eastAsia"/>
                <w:sz w:val="21"/>
                <w:szCs w:val="21"/>
              </w:rPr>
              <w:t>①0---100：50×1.500％=7500.00元</w:t>
            </w:r>
          </w:p>
          <w:p>
            <w:pPr>
              <w:pStyle w:val="60"/>
              <w:widowControl/>
              <w:autoSpaceDE/>
              <w:autoSpaceDN/>
              <w:adjustRightInd/>
              <w:spacing w:line="340" w:lineRule="exact"/>
              <w:jc w:val="both"/>
              <w:rPr>
                <w:rFonts w:hint="eastAsia"/>
                <w:sz w:val="21"/>
                <w:szCs w:val="21"/>
              </w:rPr>
            </w:pPr>
            <w:r>
              <w:rPr>
                <w:rFonts w:hint="eastAsia"/>
                <w:sz w:val="21"/>
                <w:szCs w:val="21"/>
              </w:rPr>
              <w:t>招标代理服务：7500×3（年）=22500.00元</w:t>
            </w:r>
          </w:p>
          <w:p>
            <w:pPr>
              <w:pStyle w:val="60"/>
              <w:widowControl/>
              <w:autoSpaceDE/>
              <w:autoSpaceDN/>
              <w:adjustRightInd/>
              <w:spacing w:line="340" w:lineRule="exact"/>
              <w:jc w:val="both"/>
              <w:rPr>
                <w:rFonts w:hint="eastAsia"/>
                <w:sz w:val="21"/>
                <w:szCs w:val="21"/>
              </w:rPr>
            </w:pPr>
            <w:r>
              <w:rPr>
                <w:rFonts w:hint="eastAsia"/>
                <w:sz w:val="21"/>
                <w:szCs w:val="21"/>
              </w:rPr>
              <w:t>3.收款账户：四川雄烽建设工程管理有限公司</w:t>
            </w:r>
          </w:p>
          <w:p>
            <w:pPr>
              <w:pStyle w:val="60"/>
              <w:widowControl/>
              <w:autoSpaceDE/>
              <w:autoSpaceDN/>
              <w:adjustRightInd/>
              <w:spacing w:line="340" w:lineRule="exact"/>
              <w:jc w:val="both"/>
              <w:rPr>
                <w:rFonts w:hint="eastAsia"/>
                <w:sz w:val="21"/>
                <w:szCs w:val="21"/>
              </w:rPr>
            </w:pPr>
            <w:r>
              <w:rPr>
                <w:rFonts w:hint="eastAsia"/>
                <w:sz w:val="21"/>
                <w:szCs w:val="21"/>
              </w:rPr>
              <w:t>开户银行：中国农业银行股份有限公司成都龙腾支行</w:t>
            </w:r>
          </w:p>
          <w:p>
            <w:pPr>
              <w:snapToGrid w:val="0"/>
              <w:spacing w:line="380" w:lineRule="exact"/>
              <w:rPr>
                <w:szCs w:val="21"/>
                <w:lang w:val="zh-CN"/>
              </w:rPr>
            </w:pPr>
            <w:r>
              <w:rPr>
                <w:rFonts w:hint="eastAsia"/>
                <w:sz w:val="21"/>
                <w:szCs w:val="21"/>
              </w:rPr>
              <w:t>银行帐号：22815501040007199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14"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23</w:t>
            </w:r>
          </w:p>
        </w:tc>
        <w:tc>
          <w:tcPr>
            <w:tcW w:w="2358" w:type="dxa"/>
            <w:vAlign w:val="center"/>
          </w:tcPr>
          <w:p>
            <w:pPr>
              <w:snapToGrid w:val="0"/>
              <w:spacing w:line="380" w:lineRule="exact"/>
              <w:jc w:val="center"/>
              <w:rPr>
                <w:rFonts w:ascii="宋体" w:hAnsi="宋体" w:cs="宋体"/>
                <w:szCs w:val="21"/>
                <w:lang w:val="zh-CN"/>
              </w:rPr>
            </w:pPr>
            <w:r>
              <w:rPr>
                <w:rFonts w:hint="eastAsia" w:ascii="宋体" w:hAnsi="宋体" w:cs="宋体"/>
                <w:szCs w:val="21"/>
              </w:rPr>
              <w:t>政府采购合同公告备案</w:t>
            </w:r>
          </w:p>
        </w:tc>
        <w:tc>
          <w:tcPr>
            <w:tcW w:w="6445" w:type="dxa"/>
            <w:vAlign w:val="center"/>
          </w:tcPr>
          <w:p>
            <w:pPr>
              <w:snapToGrid w:val="0"/>
              <w:spacing w:line="380" w:lineRule="exact"/>
              <w:rPr>
                <w:rFonts w:ascii="宋体" w:hAnsi="宋体" w:cs="宋体"/>
                <w:szCs w:val="21"/>
                <w:lang w:val="zh-CN"/>
              </w:rPr>
            </w:pPr>
            <w:r>
              <w:rPr>
                <w:rFonts w:hint="eastAsia" w:ascii="宋体" w:hAnsi="宋体" w:cs="宋体"/>
                <w:szCs w:val="21"/>
              </w:rPr>
              <w:t>政府采购合同签订之日起2个工作日内，政府采购合同将在四川政府采购网公告；政府采购合同签订之日起七个工作日内，政府采购合同将向本采购项目同级财政部门备案。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60"/>
              <w:snapToGrid w:val="0"/>
              <w:spacing w:beforeLines="30" w:afterLines="30" w:line="360" w:lineRule="exact"/>
              <w:jc w:val="center"/>
              <w:rPr>
                <w:sz w:val="21"/>
                <w:szCs w:val="21"/>
              </w:rPr>
            </w:pPr>
            <w:r>
              <w:rPr>
                <w:rFonts w:hint="eastAsia"/>
                <w:sz w:val="21"/>
                <w:szCs w:val="21"/>
              </w:rPr>
              <w:t>24</w:t>
            </w:r>
          </w:p>
        </w:tc>
        <w:tc>
          <w:tcPr>
            <w:tcW w:w="2358" w:type="dxa"/>
            <w:vAlign w:val="center"/>
          </w:tcPr>
          <w:p>
            <w:pPr>
              <w:snapToGrid w:val="0"/>
              <w:spacing w:beforeLines="30" w:afterLines="30" w:line="360" w:lineRule="exact"/>
              <w:jc w:val="center"/>
              <w:rPr>
                <w:rFonts w:ascii="宋体" w:hAnsi="宋体" w:cs="宋体"/>
                <w:szCs w:val="21"/>
              </w:rPr>
            </w:pPr>
            <w:r>
              <w:rPr>
                <w:rFonts w:hint="eastAsia" w:ascii="宋体" w:hAnsi="宋体" w:cs="宋体"/>
                <w:szCs w:val="21"/>
              </w:rPr>
              <w:t>备注</w:t>
            </w:r>
          </w:p>
        </w:tc>
        <w:tc>
          <w:tcPr>
            <w:tcW w:w="6445" w:type="dxa"/>
            <w:vAlign w:val="center"/>
          </w:tcPr>
          <w:p>
            <w:pPr>
              <w:snapToGrid w:val="0"/>
              <w:spacing w:beforeLines="20" w:afterLines="20" w:line="360" w:lineRule="exact"/>
              <w:ind w:firstLine="210" w:firstLineChars="100"/>
              <w:rPr>
                <w:rFonts w:ascii="宋体" w:hAnsi="宋体" w:cs="宋体"/>
                <w:szCs w:val="21"/>
              </w:rPr>
            </w:pPr>
            <w:r>
              <w:rPr>
                <w:rFonts w:hint="eastAsia" w:ascii="宋体" w:hAnsi="宋体" w:cs="宋体"/>
                <w:szCs w:val="21"/>
              </w:rPr>
              <w:t>若磋商文件中其他内容与供应商须知附表内容不一致的，以供应商须知附表为准。</w:t>
            </w:r>
          </w:p>
        </w:tc>
      </w:tr>
    </w:tbl>
    <w:p>
      <w:pPr>
        <w:spacing w:line="360" w:lineRule="auto"/>
        <w:jc w:val="center"/>
        <w:rPr>
          <w:rFonts w:ascii="黑体"/>
          <w:b/>
          <w:bCs/>
          <w:sz w:val="30"/>
          <w:szCs w:val="30"/>
        </w:rPr>
      </w:pPr>
      <w:bookmarkStart w:id="57" w:name="_Toc29890_WPSOffice_Level2"/>
      <w:bookmarkStart w:id="58" w:name="_Toc5004984"/>
      <w:bookmarkStart w:id="59" w:name="_Toc4659680"/>
      <w:bookmarkStart w:id="60" w:name="_Toc4578818"/>
    </w:p>
    <w:p>
      <w:r>
        <w:rPr>
          <w:rFonts w:hint="eastAsia"/>
        </w:rPr>
        <w:br w:type="page"/>
      </w:r>
    </w:p>
    <w:p>
      <w:pPr>
        <w:pStyle w:val="4"/>
        <w:snapToGrid w:val="0"/>
        <w:spacing w:before="0" w:after="0" w:line="360" w:lineRule="auto"/>
      </w:pPr>
      <w:bookmarkStart w:id="61" w:name="_Toc21406"/>
      <w:bookmarkStart w:id="62" w:name="_Toc28680"/>
      <w:bookmarkStart w:id="63" w:name="_Toc13712"/>
      <w:bookmarkStart w:id="64" w:name="_Toc7874"/>
      <w:bookmarkStart w:id="65" w:name="_Toc8732"/>
      <w:bookmarkStart w:id="66" w:name="_Toc21064"/>
      <w:bookmarkStart w:id="67" w:name="_Toc30207"/>
      <w:bookmarkStart w:id="68" w:name="_Toc8312"/>
      <w:r>
        <w:rPr>
          <w:rFonts w:hint="eastAsia"/>
        </w:rPr>
        <w:t>二、总  则</w:t>
      </w:r>
      <w:bookmarkEnd w:id="57"/>
      <w:bookmarkEnd w:id="58"/>
      <w:bookmarkEnd w:id="59"/>
      <w:bookmarkEnd w:id="60"/>
      <w:bookmarkEnd w:id="61"/>
      <w:bookmarkEnd w:id="62"/>
      <w:bookmarkEnd w:id="63"/>
      <w:bookmarkEnd w:id="64"/>
      <w:bookmarkEnd w:id="65"/>
      <w:bookmarkEnd w:id="66"/>
      <w:bookmarkEnd w:id="67"/>
      <w:bookmarkEnd w:id="68"/>
    </w:p>
    <w:p>
      <w:pPr>
        <w:pStyle w:val="5"/>
        <w:snapToGrid w:val="0"/>
        <w:spacing w:before="0" w:after="0" w:line="360" w:lineRule="auto"/>
        <w:ind w:firstLine="482" w:firstLineChars="200"/>
      </w:pPr>
      <w:bookmarkStart w:id="69" w:name="_Toc183682342"/>
      <w:bookmarkStart w:id="70" w:name="_Toc183582205"/>
      <w:bookmarkStart w:id="71" w:name="_Toc5004985"/>
      <w:bookmarkStart w:id="72" w:name="_Toc4578819"/>
      <w:bookmarkStart w:id="73" w:name="_Toc4659681"/>
      <w:bookmarkStart w:id="74" w:name="_Toc217446034"/>
      <w:bookmarkStart w:id="75" w:name="PO_默认文件内容_20"/>
      <w:r>
        <w:rPr>
          <w:rFonts w:hint="eastAsia"/>
        </w:rPr>
        <w:t>1</w:t>
      </w:r>
      <w:r>
        <w:t>.</w:t>
      </w:r>
      <w:bookmarkEnd w:id="69"/>
      <w:bookmarkEnd w:id="70"/>
      <w:r>
        <w:rPr>
          <w:rFonts w:hint="eastAsia"/>
        </w:rPr>
        <w:t>适用范围</w:t>
      </w:r>
      <w:bookmarkEnd w:id="71"/>
      <w:bookmarkEnd w:id="72"/>
      <w:bookmarkEnd w:id="73"/>
      <w:bookmarkEnd w:id="74"/>
    </w:p>
    <w:p>
      <w:pPr>
        <w:tabs>
          <w:tab w:val="left" w:pos="851"/>
        </w:tabs>
        <w:snapToGrid w:val="0"/>
        <w:spacing w:line="360" w:lineRule="auto"/>
        <w:ind w:firstLine="525" w:firstLineChars="250"/>
        <w:rPr>
          <w:rFonts w:ascii="宋体" w:hAnsi="宋体" w:cs="宋体"/>
        </w:rPr>
      </w:pPr>
      <w:bookmarkStart w:id="76" w:name="_Toc71_WPSOffice_Level3"/>
      <w:r>
        <w:rPr>
          <w:rFonts w:hint="eastAsia" w:ascii="宋体" w:hAnsi="宋体" w:cs="宋体"/>
        </w:rPr>
        <w:t>1.1 本磋商文件仅适用于本次磋商采购项目。</w:t>
      </w:r>
      <w:bookmarkEnd w:id="76"/>
    </w:p>
    <w:p>
      <w:pPr>
        <w:tabs>
          <w:tab w:val="left" w:pos="851"/>
        </w:tabs>
        <w:snapToGrid w:val="0"/>
        <w:spacing w:line="360" w:lineRule="auto"/>
        <w:ind w:firstLine="525" w:firstLineChars="250"/>
        <w:rPr>
          <w:rFonts w:ascii="宋体" w:hAnsi="宋体" w:cs="宋体"/>
        </w:rPr>
      </w:pPr>
      <w:bookmarkStart w:id="77" w:name="_Toc16374_WPSOffice_Level3"/>
      <w:r>
        <w:rPr>
          <w:rFonts w:hint="eastAsia" w:ascii="宋体" w:hAnsi="宋体" w:cs="宋体"/>
        </w:rPr>
        <w:t>1.2 本磋商文件的解释权归采购人和采购代理机构所有。</w:t>
      </w:r>
      <w:bookmarkEnd w:id="75"/>
      <w:bookmarkEnd w:id="77"/>
    </w:p>
    <w:p>
      <w:pPr>
        <w:pStyle w:val="5"/>
        <w:snapToGrid w:val="0"/>
        <w:spacing w:before="0" w:after="0" w:line="360" w:lineRule="auto"/>
        <w:ind w:firstLine="482" w:firstLineChars="200"/>
        <w:rPr>
          <w:rFonts w:ascii="宋体" w:hAnsi="宋体"/>
        </w:rPr>
      </w:pPr>
      <w:bookmarkStart w:id="78" w:name="_Toc217446035"/>
      <w:bookmarkStart w:id="79" w:name="_Toc183682343"/>
      <w:bookmarkStart w:id="80" w:name="_Toc183582206"/>
      <w:bookmarkStart w:id="81" w:name="_Toc4659682"/>
      <w:bookmarkStart w:id="82" w:name="_Toc5004986"/>
      <w:bookmarkStart w:id="83" w:name="_Toc4578820"/>
      <w:r>
        <w:rPr>
          <w:rFonts w:ascii="宋体" w:hAnsi="宋体"/>
        </w:rPr>
        <w:t>2.</w:t>
      </w:r>
      <w:bookmarkEnd w:id="78"/>
      <w:bookmarkEnd w:id="79"/>
      <w:bookmarkEnd w:id="80"/>
      <w:r>
        <w:rPr>
          <w:rFonts w:hint="eastAsia" w:ascii="宋体" w:hAnsi="宋体"/>
        </w:rPr>
        <w:t>采购主体</w:t>
      </w:r>
      <w:bookmarkEnd w:id="81"/>
      <w:bookmarkEnd w:id="82"/>
      <w:bookmarkEnd w:id="83"/>
    </w:p>
    <w:p>
      <w:pPr>
        <w:tabs>
          <w:tab w:val="left" w:pos="851"/>
        </w:tabs>
        <w:snapToGrid w:val="0"/>
        <w:spacing w:line="360" w:lineRule="auto"/>
        <w:ind w:firstLine="525" w:firstLineChars="250"/>
        <w:rPr>
          <w:rFonts w:ascii="宋体" w:hAnsi="宋体" w:cs="宋体"/>
        </w:rPr>
      </w:pPr>
      <w:bookmarkStart w:id="84" w:name="_Toc7506_WPSOffice_Level3"/>
      <w:r>
        <w:rPr>
          <w:rFonts w:hint="eastAsia" w:ascii="宋体" w:hAnsi="宋体" w:cs="宋体"/>
        </w:rPr>
        <w:t>2.1本次磋商的采购人是</w:t>
      </w:r>
      <w:r>
        <w:rPr>
          <w:rFonts w:hint="eastAsia" w:ascii="宋体" w:hAnsi="宋体" w:cs="宋体"/>
          <w:u w:val="single"/>
        </w:rPr>
        <w:t>成都市国土规划地籍事务中心</w:t>
      </w:r>
      <w:r>
        <w:rPr>
          <w:rFonts w:hint="eastAsia" w:ascii="宋体" w:hAnsi="宋体" w:cs="宋体"/>
        </w:rPr>
        <w:t>。</w:t>
      </w:r>
      <w:bookmarkEnd w:id="84"/>
    </w:p>
    <w:p>
      <w:pPr>
        <w:tabs>
          <w:tab w:val="left" w:pos="851"/>
        </w:tabs>
        <w:snapToGrid w:val="0"/>
        <w:spacing w:line="360" w:lineRule="auto"/>
        <w:ind w:firstLine="525" w:firstLineChars="250"/>
        <w:rPr>
          <w:rFonts w:ascii="宋体" w:hAnsi="宋体" w:cs="宋体"/>
        </w:rPr>
      </w:pPr>
      <w:bookmarkStart w:id="85" w:name="_Toc22515_WPSOffice_Level3"/>
      <w:bookmarkStart w:id="86" w:name="PO_默认文件内容_23"/>
      <w:r>
        <w:rPr>
          <w:rFonts w:hint="eastAsia" w:ascii="宋体" w:hAnsi="宋体" w:cs="宋体"/>
        </w:rPr>
        <w:t>2.2本次磋商的</w:t>
      </w:r>
      <w:r>
        <w:rPr>
          <w:rFonts w:hint="eastAsia" w:ascii="宋体" w:hAnsi="宋体"/>
        </w:rPr>
        <w:t>采购</w:t>
      </w:r>
      <w:r>
        <w:rPr>
          <w:rFonts w:hint="eastAsia" w:ascii="宋体" w:hAnsi="宋体" w:cs="宋体"/>
        </w:rPr>
        <w:t>代理机构是</w:t>
      </w:r>
      <w:r>
        <w:rPr>
          <w:rFonts w:hint="eastAsia" w:ascii="宋体" w:hAnsi="宋体" w:cs="宋体"/>
          <w:u w:val="single"/>
        </w:rPr>
        <w:t>四川雄烽建设工程管理有限公司</w:t>
      </w:r>
      <w:r>
        <w:rPr>
          <w:rFonts w:hint="eastAsia" w:ascii="宋体" w:hAnsi="宋体" w:cs="宋体"/>
        </w:rPr>
        <w:t>。</w:t>
      </w:r>
      <w:bookmarkEnd w:id="85"/>
    </w:p>
    <w:p>
      <w:pPr>
        <w:pStyle w:val="5"/>
        <w:snapToGrid w:val="0"/>
        <w:spacing w:before="0" w:after="0" w:line="360" w:lineRule="auto"/>
        <w:ind w:firstLine="482" w:firstLineChars="200"/>
        <w:rPr>
          <w:rFonts w:ascii="宋体" w:hAnsi="宋体"/>
        </w:rPr>
      </w:pPr>
      <w:bookmarkStart w:id="87" w:name="_Toc183682344"/>
      <w:bookmarkStart w:id="88" w:name="_Toc217446036"/>
      <w:bookmarkStart w:id="89" w:name="_Toc217390843"/>
      <w:bookmarkStart w:id="90" w:name="_Toc183582207"/>
      <w:bookmarkStart w:id="91" w:name="_Toc5004987"/>
      <w:bookmarkStart w:id="92" w:name="_Toc4578821"/>
      <w:bookmarkStart w:id="93" w:name="_Toc4659683"/>
      <w:r>
        <w:rPr>
          <w:rFonts w:ascii="宋体" w:hAnsi="宋体"/>
        </w:rPr>
        <w:t>3</w:t>
      </w:r>
      <w:r>
        <w:rPr>
          <w:rFonts w:hint="eastAsia" w:ascii="宋体" w:hAnsi="宋体"/>
        </w:rPr>
        <w:t>.合格</w:t>
      </w:r>
      <w:bookmarkEnd w:id="87"/>
      <w:bookmarkEnd w:id="88"/>
      <w:bookmarkEnd w:id="89"/>
      <w:bookmarkEnd w:id="90"/>
      <w:r>
        <w:rPr>
          <w:rFonts w:hint="eastAsia" w:ascii="宋体" w:hAnsi="宋体"/>
        </w:rPr>
        <w:t>供应商（实质性要求）</w:t>
      </w:r>
      <w:bookmarkEnd w:id="91"/>
      <w:bookmarkEnd w:id="92"/>
      <w:bookmarkEnd w:id="93"/>
    </w:p>
    <w:p>
      <w:pPr>
        <w:tabs>
          <w:tab w:val="left" w:pos="851"/>
        </w:tabs>
        <w:snapToGrid w:val="0"/>
        <w:spacing w:line="360" w:lineRule="auto"/>
        <w:ind w:firstLine="525" w:firstLineChars="250"/>
        <w:rPr>
          <w:rFonts w:ascii="宋体" w:hAnsi="宋体" w:cs="宋体"/>
        </w:rPr>
      </w:pPr>
      <w:r>
        <w:rPr>
          <w:rFonts w:hint="eastAsia" w:ascii="宋体" w:hAnsi="宋体" w:cs="宋体"/>
        </w:rPr>
        <w:t>合格供应商应具备以下条件：</w:t>
      </w:r>
    </w:p>
    <w:p>
      <w:pPr>
        <w:tabs>
          <w:tab w:val="left" w:pos="851"/>
        </w:tabs>
        <w:snapToGrid w:val="0"/>
        <w:spacing w:line="360" w:lineRule="auto"/>
        <w:ind w:firstLine="525" w:firstLineChars="250"/>
        <w:rPr>
          <w:rFonts w:ascii="宋体" w:hAnsi="宋体" w:cs="宋体"/>
        </w:rPr>
      </w:pPr>
      <w:r>
        <w:rPr>
          <w:rFonts w:hint="eastAsia" w:ascii="宋体" w:hAnsi="宋体" w:cs="宋体"/>
        </w:rPr>
        <w:t>3.1 具备法律法规和本采购文件规定的资格条件；</w:t>
      </w:r>
    </w:p>
    <w:p>
      <w:pPr>
        <w:tabs>
          <w:tab w:val="left" w:pos="851"/>
        </w:tabs>
        <w:snapToGrid w:val="0"/>
        <w:spacing w:line="360" w:lineRule="auto"/>
        <w:ind w:firstLine="525" w:firstLineChars="250"/>
        <w:rPr>
          <w:rFonts w:ascii="宋体" w:hAnsi="宋体" w:cs="宋体"/>
        </w:rPr>
      </w:pPr>
      <w:r>
        <w:rPr>
          <w:rFonts w:hint="eastAsia" w:ascii="宋体" w:hAnsi="宋体" w:cs="宋体"/>
        </w:rPr>
        <w:t>3.2 不属于禁止参加本项目采购活动的供应商；</w:t>
      </w:r>
    </w:p>
    <w:p>
      <w:pPr>
        <w:tabs>
          <w:tab w:val="left" w:pos="851"/>
        </w:tabs>
        <w:snapToGrid w:val="0"/>
        <w:spacing w:line="360" w:lineRule="auto"/>
        <w:ind w:firstLine="525" w:firstLineChars="250"/>
        <w:rPr>
          <w:rFonts w:ascii="宋体" w:hAnsi="宋体" w:cs="宋体"/>
        </w:rPr>
      </w:pPr>
      <w:r>
        <w:rPr>
          <w:rFonts w:hint="eastAsia" w:ascii="宋体" w:hAnsi="宋体" w:cs="宋体"/>
        </w:rPr>
        <w:t>3.3 按照规定获取了磋商文件，属于实质性参加采购活的供应商。</w:t>
      </w:r>
    </w:p>
    <w:p>
      <w:pPr>
        <w:pStyle w:val="5"/>
        <w:snapToGrid w:val="0"/>
        <w:spacing w:before="0" w:after="0" w:line="360" w:lineRule="auto"/>
        <w:ind w:firstLine="482" w:firstLineChars="200"/>
        <w:rPr>
          <w:rFonts w:ascii="宋体" w:hAnsi="宋体"/>
        </w:rPr>
      </w:pPr>
      <w:bookmarkStart w:id="94" w:name="_Toc183582208"/>
      <w:bookmarkStart w:id="95" w:name="_Toc4578822"/>
      <w:bookmarkStart w:id="96" w:name="_Toc4659684"/>
      <w:bookmarkStart w:id="97" w:name="_Toc5004988"/>
      <w:bookmarkStart w:id="98" w:name="_Toc183682345"/>
      <w:bookmarkStart w:id="99" w:name="_Toc217446037"/>
      <w:r>
        <w:rPr>
          <w:rFonts w:hint="eastAsia" w:ascii="宋体" w:hAnsi="宋体"/>
        </w:rPr>
        <w:t>4.磋商费用</w:t>
      </w:r>
      <w:bookmarkEnd w:id="94"/>
      <w:bookmarkEnd w:id="95"/>
      <w:bookmarkEnd w:id="96"/>
      <w:bookmarkEnd w:id="97"/>
      <w:bookmarkEnd w:id="98"/>
      <w:bookmarkEnd w:id="99"/>
    </w:p>
    <w:p>
      <w:pPr>
        <w:tabs>
          <w:tab w:val="left" w:pos="851"/>
        </w:tabs>
        <w:snapToGrid w:val="0"/>
        <w:spacing w:line="360" w:lineRule="auto"/>
        <w:ind w:firstLine="525" w:firstLineChars="250"/>
        <w:rPr>
          <w:rFonts w:ascii="宋体" w:hAnsi="宋体" w:cs="宋体"/>
        </w:rPr>
      </w:pPr>
      <w:r>
        <w:rPr>
          <w:rFonts w:hint="eastAsia" w:ascii="宋体" w:hAnsi="宋体" w:cs="宋体"/>
        </w:rPr>
        <w:t>供应商应自行承担</w:t>
      </w:r>
      <w:r>
        <w:rPr>
          <w:rFonts w:hint="eastAsia" w:ascii="宋体" w:hAnsi="宋体"/>
        </w:rPr>
        <w:t>参加</w:t>
      </w:r>
      <w:r>
        <w:rPr>
          <w:rFonts w:hint="eastAsia" w:ascii="宋体" w:hAnsi="宋体" w:cs="宋体"/>
        </w:rPr>
        <w:t>磋商活动的全部费用。</w:t>
      </w:r>
    </w:p>
    <w:p>
      <w:pPr>
        <w:pStyle w:val="5"/>
        <w:snapToGrid w:val="0"/>
        <w:spacing w:before="0" w:after="0" w:line="360" w:lineRule="auto"/>
        <w:ind w:firstLine="482" w:firstLineChars="200"/>
        <w:rPr>
          <w:rFonts w:hAnsi="宋体"/>
        </w:rPr>
      </w:pPr>
      <w:r>
        <w:rPr>
          <w:rFonts w:hint="eastAsia" w:hAnsi="宋体"/>
        </w:rPr>
        <w:t>5.充分、</w:t>
      </w:r>
      <w:r>
        <w:rPr>
          <w:rFonts w:hint="eastAsia" w:ascii="宋体" w:hAnsi="宋体"/>
        </w:rPr>
        <w:t>公平</w:t>
      </w:r>
      <w:r>
        <w:rPr>
          <w:rFonts w:hint="eastAsia" w:hAnsi="宋体"/>
        </w:rPr>
        <w:t>竞争保障措施（实质性要求）</w:t>
      </w:r>
    </w:p>
    <w:p>
      <w:pPr>
        <w:tabs>
          <w:tab w:val="left" w:pos="851"/>
        </w:tabs>
        <w:snapToGrid w:val="0"/>
        <w:spacing w:line="360" w:lineRule="auto"/>
        <w:ind w:firstLine="525" w:firstLineChars="250"/>
        <w:rPr>
          <w:rFonts w:ascii="宋体" w:hAnsi="宋体"/>
        </w:rPr>
      </w:pPr>
      <w:r>
        <w:rPr>
          <w:rFonts w:hint="eastAsia" w:ascii="宋体" w:hAnsi="宋体"/>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tabs>
          <w:tab w:val="left" w:pos="851"/>
        </w:tabs>
        <w:snapToGrid w:val="0"/>
        <w:spacing w:line="360" w:lineRule="auto"/>
        <w:ind w:firstLine="525" w:firstLineChars="250"/>
        <w:rPr>
          <w:rFonts w:ascii="宋体" w:hAnsi="宋体"/>
        </w:rPr>
      </w:pPr>
      <w:r>
        <w:rPr>
          <w:rFonts w:hint="eastAsia" w:ascii="宋体" w:hAnsi="宋体"/>
        </w:rPr>
        <w:t>5.2利害关系授权代表处理。两家以上的供应商不得在同一合同项下的采购项目中，委托同一个自然人、同一家庭的人员、同一单位的人员作为其授权代表，否则，其响应文件作为无效处理。</w:t>
      </w:r>
    </w:p>
    <w:p>
      <w:pPr>
        <w:tabs>
          <w:tab w:val="left" w:pos="851"/>
        </w:tabs>
        <w:snapToGrid w:val="0"/>
        <w:spacing w:line="360" w:lineRule="auto"/>
        <w:ind w:firstLine="525" w:firstLineChars="250"/>
        <w:rPr>
          <w:rFonts w:ascii="宋体" w:hAnsi="宋体"/>
        </w:rPr>
      </w:pPr>
      <w:r>
        <w:rPr>
          <w:rFonts w:hint="eastAsia" w:ascii="宋体" w:hAnsi="宋体"/>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tabs>
          <w:tab w:val="left" w:pos="851"/>
        </w:tabs>
        <w:snapToGrid w:val="0"/>
        <w:spacing w:line="360" w:lineRule="auto"/>
        <w:ind w:firstLine="525" w:firstLineChars="250"/>
        <w:rPr>
          <w:rFonts w:hAnsi="宋体" w:cs="宋体"/>
          <w:sz w:val="24"/>
        </w:rPr>
      </w:pPr>
      <w:r>
        <w:rPr>
          <w:rFonts w:hint="eastAsia" w:ascii="宋体" w:hAnsi="宋体"/>
        </w:rPr>
        <w:t>5.4</w:t>
      </w:r>
      <w:r>
        <w:rPr>
          <w:rFonts w:hint="eastAsia" w:hAnsi="宋体" w:cs="宋体"/>
          <w:szCs w:val="21"/>
        </w:rPr>
        <w:t>供应商实际控制人或者中高级管理人员，同时是采购代理机构工作人员，不得参与本项目政府采购活动。</w:t>
      </w:r>
    </w:p>
    <w:p>
      <w:pPr>
        <w:tabs>
          <w:tab w:val="left" w:pos="851"/>
        </w:tabs>
        <w:snapToGrid w:val="0"/>
        <w:spacing w:line="360" w:lineRule="auto"/>
        <w:ind w:firstLine="525" w:firstLineChars="250"/>
        <w:rPr>
          <w:rFonts w:ascii="宋体" w:hAnsi="宋体"/>
        </w:rPr>
      </w:pPr>
      <w:r>
        <w:rPr>
          <w:rFonts w:hint="eastAsia" w:ascii="宋体" w:hAnsi="宋体"/>
        </w:rPr>
        <w:t>5.5同一母公司的两家以上的子公司只能组成联合体参加本项目同一合同项下的采购活动，不得以不同供应商身份同时参加本项目同一合同项下的采购活动。</w:t>
      </w:r>
    </w:p>
    <w:p>
      <w:pPr>
        <w:tabs>
          <w:tab w:val="left" w:pos="851"/>
        </w:tabs>
        <w:snapToGrid w:val="0"/>
        <w:spacing w:line="360" w:lineRule="auto"/>
        <w:ind w:firstLine="525" w:firstLineChars="250"/>
        <w:rPr>
          <w:rFonts w:ascii="宋体" w:hAnsi="宋体"/>
        </w:rPr>
      </w:pPr>
      <w:r>
        <w:rPr>
          <w:rFonts w:hint="eastAsia" w:ascii="宋体" w:hAnsi="宋体"/>
        </w:rPr>
        <w:t>5.6供应商与采购代理机构存在关联关系，或者是采购代理机构的母公司或子公司，不得参加本项目政府采购活动。</w:t>
      </w:r>
    </w:p>
    <w:p>
      <w:pPr>
        <w:tabs>
          <w:tab w:val="left" w:pos="851"/>
        </w:tabs>
        <w:snapToGrid w:val="0"/>
        <w:spacing w:line="360" w:lineRule="auto"/>
        <w:ind w:firstLine="525" w:firstLineChars="250"/>
      </w:pPr>
      <w:r>
        <w:rPr>
          <w:rFonts w:hint="eastAsia"/>
        </w:rPr>
        <w:t>5.7回避。政府采购活动中，采购人员及相关人员与供应商有下列利害关系之一的，应当回避：</w:t>
      </w:r>
    </w:p>
    <w:p>
      <w:pPr>
        <w:snapToGrid w:val="0"/>
        <w:spacing w:line="360" w:lineRule="auto"/>
        <w:ind w:firstLine="420" w:firstLineChars="200"/>
        <w:rPr>
          <w:rFonts w:ascii="宋体" w:hAnsi="宋体"/>
          <w:szCs w:val="21"/>
        </w:rPr>
      </w:pPr>
      <w:r>
        <w:rPr>
          <w:rFonts w:hint="eastAsia" w:ascii="宋体" w:hAnsi="宋体"/>
          <w:szCs w:val="21"/>
        </w:rPr>
        <w:t>（1）参加采购活动前3年内与供应商存在劳动关系；</w:t>
      </w:r>
    </w:p>
    <w:p>
      <w:pPr>
        <w:snapToGrid w:val="0"/>
        <w:spacing w:line="360" w:lineRule="auto"/>
        <w:ind w:firstLine="420" w:firstLineChars="200"/>
        <w:rPr>
          <w:rFonts w:ascii="宋体" w:hAnsi="宋体"/>
          <w:szCs w:val="21"/>
        </w:rPr>
      </w:pPr>
      <w:r>
        <w:rPr>
          <w:rFonts w:hint="eastAsia" w:ascii="宋体" w:hAnsi="宋体"/>
          <w:szCs w:val="21"/>
        </w:rPr>
        <w:t>（2）参加采购活动前3年内担任供应商的董事、监事；</w:t>
      </w:r>
    </w:p>
    <w:p>
      <w:pPr>
        <w:snapToGrid w:val="0"/>
        <w:spacing w:line="360" w:lineRule="auto"/>
        <w:ind w:firstLine="420" w:firstLineChars="200"/>
        <w:rPr>
          <w:rFonts w:ascii="宋体" w:hAnsi="宋体"/>
          <w:szCs w:val="21"/>
        </w:rPr>
      </w:pPr>
      <w:r>
        <w:rPr>
          <w:rFonts w:hint="eastAsia" w:ascii="宋体" w:hAnsi="宋体"/>
          <w:szCs w:val="21"/>
        </w:rPr>
        <w:t>（3）参加采购活动前3年内是供应商的控股股东或者实际控制人；</w:t>
      </w:r>
    </w:p>
    <w:p>
      <w:pPr>
        <w:snapToGrid w:val="0"/>
        <w:spacing w:line="360" w:lineRule="auto"/>
        <w:ind w:firstLine="420" w:firstLineChars="200"/>
        <w:rPr>
          <w:rFonts w:ascii="宋体" w:hAnsi="宋体"/>
          <w:szCs w:val="21"/>
        </w:rPr>
      </w:pPr>
      <w:r>
        <w:rPr>
          <w:rFonts w:hint="eastAsia" w:ascii="宋体" w:hAnsi="宋体"/>
          <w:szCs w:val="21"/>
        </w:rPr>
        <w:t>（4）与供应商的法定代表人或者负责人有夫妻、直系血亲、三代以内旁系血亲或者近姻亲关系；</w:t>
      </w:r>
    </w:p>
    <w:p>
      <w:pPr>
        <w:snapToGrid w:val="0"/>
        <w:spacing w:line="360" w:lineRule="auto"/>
        <w:ind w:firstLine="420" w:firstLineChars="200"/>
        <w:rPr>
          <w:rFonts w:ascii="宋体" w:hAnsi="宋体"/>
          <w:szCs w:val="21"/>
        </w:rPr>
      </w:pPr>
      <w:r>
        <w:rPr>
          <w:rFonts w:hint="eastAsia" w:ascii="宋体" w:hAnsi="宋体"/>
          <w:szCs w:val="21"/>
        </w:rPr>
        <w:t>（5）与供应商有其他可能影响政府采购活动公平、公正进行的关系。</w:t>
      </w:r>
    </w:p>
    <w:p>
      <w:pPr>
        <w:snapToGrid w:val="0"/>
        <w:spacing w:line="360" w:lineRule="auto"/>
        <w:ind w:firstLine="420" w:firstLineChars="200"/>
        <w:rPr>
          <w:rFonts w:ascii="宋体" w:hAnsi="宋体"/>
          <w:szCs w:val="21"/>
        </w:rPr>
      </w:pPr>
      <w:r>
        <w:rPr>
          <w:rFonts w:hint="eastAsia" w:ascii="宋体" w:hAnsi="宋体"/>
          <w:szCs w:val="21"/>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snapToGrid w:val="0"/>
        <w:spacing w:line="360" w:lineRule="auto"/>
        <w:ind w:firstLine="420" w:firstLineChars="200"/>
        <w:rPr>
          <w:rFonts w:ascii="宋体" w:hAnsi="宋体"/>
          <w:szCs w:val="21"/>
        </w:rPr>
      </w:pPr>
      <w:r>
        <w:rPr>
          <w:rFonts w:hint="eastAsia" w:ascii="宋体" w:hAnsi="宋体"/>
          <w:szCs w:val="21"/>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
        <w:snapToGrid w:val="0"/>
        <w:spacing w:before="0" w:after="0" w:line="360" w:lineRule="auto"/>
        <w:ind w:firstLine="482" w:firstLineChars="200"/>
        <w:rPr>
          <w:rFonts w:ascii="宋体" w:hAnsi="宋体" w:cs="宋体"/>
        </w:rPr>
      </w:pPr>
      <w:r>
        <w:rPr>
          <w:rFonts w:hint="eastAsia" w:hAnsi="宋体"/>
        </w:rPr>
        <w:t>6.联合体</w:t>
      </w:r>
      <w:r>
        <w:rPr>
          <w:rFonts w:hint="eastAsia" w:ascii="宋体" w:hAnsi="宋体"/>
        </w:rPr>
        <w:t>竞争性</w:t>
      </w:r>
      <w:r>
        <w:rPr>
          <w:rFonts w:hint="eastAsia" w:hAnsi="宋体"/>
        </w:rPr>
        <w:t>磋商</w:t>
      </w:r>
    </w:p>
    <w:p>
      <w:pPr>
        <w:tabs>
          <w:tab w:val="left" w:pos="851"/>
        </w:tabs>
        <w:snapToGrid w:val="0"/>
        <w:spacing w:line="360" w:lineRule="auto"/>
        <w:ind w:firstLine="525" w:firstLineChars="250"/>
        <w:rPr>
          <w:rFonts w:hAnsi="宋体"/>
          <w:b/>
          <w:sz w:val="24"/>
        </w:rPr>
      </w:pPr>
      <w:r>
        <w:rPr>
          <w:rFonts w:hint="eastAsia" w:ascii="宋体" w:hAnsi="宋体" w:cs="宋体"/>
        </w:rPr>
        <w:t>本项目不接受联合体参与采购活动</w:t>
      </w:r>
    </w:p>
    <w:p>
      <w:pPr>
        <w:pStyle w:val="5"/>
        <w:snapToGrid w:val="0"/>
        <w:spacing w:before="0" w:after="0" w:line="360" w:lineRule="auto"/>
        <w:ind w:firstLine="482" w:firstLineChars="200"/>
        <w:rPr>
          <w:rFonts w:hAnsi="宋体"/>
        </w:rPr>
      </w:pPr>
      <w:r>
        <w:rPr>
          <w:rFonts w:hint="eastAsia" w:hAnsi="宋体"/>
        </w:rPr>
        <w:t>7.磋商</w:t>
      </w:r>
      <w:r>
        <w:rPr>
          <w:rFonts w:hint="eastAsia" w:ascii="宋体" w:hAnsi="宋体"/>
        </w:rPr>
        <w:t>保证金</w:t>
      </w:r>
      <w:r>
        <w:rPr>
          <w:rFonts w:hint="eastAsia" w:hAnsi="宋体"/>
        </w:rPr>
        <w:t>（实质性要求）</w:t>
      </w:r>
    </w:p>
    <w:p>
      <w:pPr>
        <w:tabs>
          <w:tab w:val="left" w:pos="851"/>
        </w:tabs>
        <w:snapToGrid w:val="0"/>
        <w:spacing w:line="360" w:lineRule="auto"/>
        <w:ind w:firstLine="525" w:firstLineChars="250"/>
        <w:rPr>
          <w:rFonts w:ascii="宋体" w:hAnsi="宋体" w:cs="宋体"/>
        </w:rPr>
      </w:pPr>
      <w:r>
        <w:rPr>
          <w:rFonts w:hint="eastAsia" w:ascii="宋体" w:hAnsi="宋体" w:cs="宋体"/>
        </w:rPr>
        <w:t>按照川财采[</w:t>
      </w:r>
      <w:r>
        <w:rPr>
          <w:rFonts w:hint="eastAsia" w:ascii="宋体" w:hAnsi="宋体"/>
        </w:rPr>
        <w:t>2020</w:t>
      </w:r>
      <w:r>
        <w:rPr>
          <w:rFonts w:hint="eastAsia" w:ascii="宋体" w:hAnsi="宋体" w:cs="宋体"/>
        </w:rPr>
        <w:t>]28号文要求，本项目不收取磋商保证金。</w:t>
      </w:r>
    </w:p>
    <w:p>
      <w:pPr>
        <w:pStyle w:val="5"/>
        <w:snapToGrid w:val="0"/>
        <w:spacing w:before="0" w:after="0" w:line="360" w:lineRule="auto"/>
        <w:ind w:firstLine="482" w:firstLineChars="200"/>
        <w:rPr>
          <w:rFonts w:ascii="宋体" w:hAnsi="宋体"/>
        </w:rPr>
      </w:pPr>
      <w:r>
        <w:rPr>
          <w:rFonts w:hint="eastAsia" w:ascii="宋体" w:hAnsi="宋体"/>
        </w:rPr>
        <w:t>8.响应文件</w:t>
      </w:r>
      <w:r>
        <w:rPr>
          <w:rFonts w:hint="eastAsia" w:hAnsi="宋体"/>
        </w:rPr>
        <w:t>有效期</w:t>
      </w:r>
      <w:r>
        <w:rPr>
          <w:rFonts w:hint="eastAsia" w:ascii="宋体" w:hAnsi="宋体"/>
        </w:rPr>
        <w:t>（实质性要求）</w:t>
      </w:r>
    </w:p>
    <w:p>
      <w:pPr>
        <w:tabs>
          <w:tab w:val="left" w:pos="851"/>
        </w:tabs>
        <w:snapToGrid w:val="0"/>
        <w:spacing w:line="360" w:lineRule="auto"/>
        <w:ind w:firstLine="525" w:firstLineChars="250"/>
        <w:rPr>
          <w:rFonts w:ascii="宋体" w:hAnsi="宋体" w:cs="宋体"/>
        </w:rPr>
      </w:pPr>
      <w:r>
        <w:rPr>
          <w:rFonts w:hint="eastAsia" w:ascii="宋体" w:hAnsi="宋体" w:cs="宋体"/>
        </w:rPr>
        <w:t>本项目响应</w:t>
      </w:r>
      <w:r>
        <w:rPr>
          <w:rFonts w:hint="eastAsia" w:ascii="宋体" w:hAnsi="宋体"/>
        </w:rPr>
        <w:t>文件</w:t>
      </w:r>
      <w:r>
        <w:rPr>
          <w:rFonts w:hint="eastAsia" w:ascii="宋体" w:hAnsi="宋体" w:cs="宋体"/>
        </w:rPr>
        <w:t>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5"/>
        <w:snapToGrid w:val="0"/>
        <w:spacing w:before="0" w:after="0" w:line="360" w:lineRule="auto"/>
        <w:ind w:firstLine="482" w:firstLineChars="200"/>
        <w:rPr>
          <w:rFonts w:ascii="宋体" w:hAnsi="宋体"/>
          <w:szCs w:val="24"/>
        </w:rPr>
      </w:pPr>
      <w:r>
        <w:rPr>
          <w:rFonts w:hint="eastAsia" w:ascii="宋体" w:hAnsi="宋体"/>
        </w:rPr>
        <w:t>9.</w:t>
      </w:r>
      <w:r>
        <w:rPr>
          <w:rFonts w:hint="eastAsia" w:ascii="宋体" w:hAnsi="宋体"/>
          <w:szCs w:val="24"/>
        </w:rPr>
        <w:t>知识产权（</w:t>
      </w:r>
      <w:r>
        <w:rPr>
          <w:rFonts w:hint="eastAsia" w:hAnsi="宋体"/>
        </w:rPr>
        <w:t>实质性</w:t>
      </w:r>
      <w:r>
        <w:rPr>
          <w:rFonts w:hint="eastAsia" w:ascii="宋体" w:hAnsi="宋体"/>
          <w:szCs w:val="24"/>
        </w:rPr>
        <w:t>要求）</w:t>
      </w:r>
    </w:p>
    <w:p>
      <w:pPr>
        <w:tabs>
          <w:tab w:val="left" w:pos="851"/>
        </w:tabs>
        <w:snapToGrid w:val="0"/>
        <w:spacing w:line="360" w:lineRule="auto"/>
        <w:ind w:firstLine="525" w:firstLineChars="250"/>
        <w:rPr>
          <w:rFonts w:ascii="宋体" w:hAnsi="宋体"/>
        </w:rPr>
      </w:pPr>
      <w:r>
        <w:rPr>
          <w:rFonts w:hint="eastAsia" w:ascii="宋体" w:hAnsi="宋体" w:cs="宋体"/>
        </w:rPr>
        <w:t>9.1供应商应保</w:t>
      </w:r>
      <w:r>
        <w:rPr>
          <w:rFonts w:hint="eastAsia" w:ascii="宋体" w:hAnsi="宋体"/>
        </w:rPr>
        <w:t>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tabs>
          <w:tab w:val="left" w:pos="851"/>
        </w:tabs>
        <w:snapToGrid w:val="0"/>
        <w:spacing w:line="360" w:lineRule="auto"/>
        <w:ind w:firstLine="525" w:firstLineChars="250"/>
        <w:rPr>
          <w:rFonts w:ascii="宋体" w:hAnsi="宋体"/>
        </w:rPr>
      </w:pPr>
      <w:r>
        <w:rPr>
          <w:rFonts w:hint="eastAsia" w:ascii="宋体" w:hAnsi="宋体"/>
        </w:rPr>
        <w:t>9.2 除非磋商文件特别规定，采购人享有本项目实施过程中产生的知识成果及知识产权。</w:t>
      </w:r>
    </w:p>
    <w:p>
      <w:pPr>
        <w:tabs>
          <w:tab w:val="left" w:pos="851"/>
        </w:tabs>
        <w:snapToGrid w:val="0"/>
        <w:spacing w:line="360" w:lineRule="auto"/>
        <w:ind w:firstLine="525" w:firstLineChars="250"/>
        <w:rPr>
          <w:rFonts w:ascii="宋体" w:hAnsi="宋体"/>
        </w:rPr>
      </w:pPr>
      <w:r>
        <w:rPr>
          <w:rFonts w:hint="eastAsia" w:ascii="宋体" w:hAnsi="宋体"/>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tabs>
          <w:tab w:val="left" w:pos="851"/>
        </w:tabs>
        <w:snapToGrid w:val="0"/>
        <w:spacing w:line="360" w:lineRule="auto"/>
        <w:ind w:firstLine="525" w:firstLineChars="250"/>
        <w:rPr>
          <w:rFonts w:ascii="宋体" w:hAnsi="宋体"/>
          <w:sz w:val="24"/>
        </w:rPr>
      </w:pPr>
      <w:r>
        <w:rPr>
          <w:rFonts w:hint="eastAsia" w:ascii="宋体" w:hAnsi="宋体"/>
        </w:rPr>
        <w:t>9.4 如采用供应商</w:t>
      </w:r>
      <w:r>
        <w:rPr>
          <w:rFonts w:hint="eastAsia" w:ascii="宋体" w:hAnsi="宋体" w:cs="宋体"/>
        </w:rPr>
        <w:t>所不拥有的知识产权，则在报价中必须包括合法获取该知识产权的相关费用。</w:t>
      </w:r>
      <w:r>
        <w:rPr>
          <w:rFonts w:hint="eastAsia" w:ascii="宋体" w:hAnsi="宋体"/>
          <w:sz w:val="24"/>
        </w:rPr>
        <w:t xml:space="preserve"> </w:t>
      </w:r>
    </w:p>
    <w:bookmarkEnd w:id="86"/>
    <w:p>
      <w:pPr>
        <w:pStyle w:val="4"/>
        <w:snapToGrid w:val="0"/>
        <w:spacing w:before="0" w:after="0" w:line="360" w:lineRule="auto"/>
      </w:pPr>
      <w:bookmarkStart w:id="100" w:name="_Toc183582209"/>
      <w:bookmarkStart w:id="101" w:name="_Toc217446038"/>
      <w:bookmarkStart w:id="102" w:name="_Toc4133"/>
      <w:bookmarkStart w:id="103" w:name="_Toc18074"/>
      <w:bookmarkStart w:id="104" w:name="_Toc4659685"/>
      <w:bookmarkStart w:id="105" w:name="_Toc26195"/>
      <w:bookmarkStart w:id="106" w:name="_Toc89075875"/>
      <w:bookmarkStart w:id="107" w:name="_Toc5004989"/>
      <w:bookmarkStart w:id="108" w:name="_Toc4809"/>
      <w:bookmarkStart w:id="109" w:name="_Toc9363"/>
      <w:bookmarkStart w:id="110" w:name="_Toc24972"/>
      <w:bookmarkStart w:id="111" w:name="_Toc4578823"/>
      <w:bookmarkStart w:id="112" w:name="_Toc23304"/>
      <w:bookmarkStart w:id="113" w:name="_Toc32261"/>
      <w:bookmarkStart w:id="114" w:name="_Toc183682346"/>
      <w:bookmarkStart w:id="115" w:name="_Toc77400779"/>
      <w:bookmarkStart w:id="116" w:name="_Toc377_WPSOffice_Level2"/>
      <w:bookmarkStart w:id="117" w:name="PO_默认文件内容_24"/>
      <w:r>
        <w:rPr>
          <w:rFonts w:hint="eastAsia"/>
        </w:rPr>
        <w:t>三、磋商文件</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pPr>
        <w:pStyle w:val="5"/>
        <w:snapToGrid w:val="0"/>
        <w:spacing w:before="0" w:after="0" w:line="360" w:lineRule="auto"/>
        <w:ind w:firstLine="482" w:firstLineChars="200"/>
        <w:rPr>
          <w:rFonts w:ascii="宋体" w:hAnsi="宋体"/>
        </w:rPr>
      </w:pPr>
      <w:bookmarkStart w:id="118" w:name="_Toc217446039"/>
      <w:bookmarkStart w:id="119" w:name="_Toc183582210"/>
      <w:bookmarkStart w:id="120" w:name="_Toc183682347"/>
      <w:bookmarkStart w:id="121" w:name="_Toc5004990"/>
      <w:bookmarkStart w:id="122" w:name="_Toc4578824"/>
      <w:bookmarkStart w:id="123" w:name="_Toc4659686"/>
      <w:r>
        <w:rPr>
          <w:rFonts w:hint="eastAsia" w:ascii="宋体" w:hAnsi="宋体"/>
        </w:rPr>
        <w:t>10.磋商文件的构成</w:t>
      </w:r>
      <w:bookmarkEnd w:id="118"/>
      <w:bookmarkEnd w:id="119"/>
      <w:bookmarkEnd w:id="120"/>
      <w:r>
        <w:rPr>
          <w:rFonts w:hint="eastAsia" w:ascii="宋体" w:hAnsi="宋体"/>
        </w:rPr>
        <w:t>（实质性要求）</w:t>
      </w:r>
      <w:bookmarkEnd w:id="121"/>
      <w:bookmarkEnd w:id="122"/>
      <w:bookmarkEnd w:id="123"/>
    </w:p>
    <w:p>
      <w:pPr>
        <w:tabs>
          <w:tab w:val="left" w:pos="851"/>
        </w:tabs>
        <w:snapToGrid w:val="0"/>
        <w:spacing w:line="360" w:lineRule="auto"/>
        <w:ind w:firstLine="525" w:firstLineChars="250"/>
        <w:rPr>
          <w:rFonts w:ascii="宋体" w:hAnsi="宋体" w:cs="宋体"/>
        </w:rPr>
      </w:pPr>
      <w:r>
        <w:rPr>
          <w:rFonts w:hint="eastAsia" w:ascii="宋体" w:hAnsi="宋体" w:cs="宋体"/>
        </w:rPr>
        <w:t>10.1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851"/>
        </w:tabs>
        <w:snapToGrid w:val="0"/>
        <w:spacing w:line="360" w:lineRule="auto"/>
        <w:ind w:firstLine="525" w:firstLineChars="250"/>
        <w:rPr>
          <w:rFonts w:ascii="宋体" w:hAnsi="宋体" w:cs="宋体"/>
        </w:rPr>
      </w:pPr>
      <w:r>
        <w:rPr>
          <w:rFonts w:hint="eastAsia" w:ascii="宋体" w:hAnsi="宋体" w:cs="宋体"/>
        </w:rPr>
        <w:t>10.2 供应商应认真阅读和充分理解磋商文件中所有的事项、格式条款和规范要求。供应商应详细阅读磋商文件的全部内容，</w:t>
      </w:r>
      <w:r>
        <w:rPr>
          <w:rFonts w:hint="eastAsia" w:ascii="宋体" w:hAnsi="宋体"/>
        </w:rPr>
        <w:t>按照</w:t>
      </w:r>
      <w:r>
        <w:rPr>
          <w:rFonts w:hint="eastAsia" w:ascii="宋体" w:hAnsi="宋体" w:cs="宋体"/>
        </w:rPr>
        <w:t>磋商文件的要求提供响应文件，并保证所提供的全部资料的真实性和有效性，一经发现有虚假行为的，将取消其参加磋商或成交资格，并承担相应的法律责任。</w:t>
      </w:r>
    </w:p>
    <w:p>
      <w:pPr>
        <w:pStyle w:val="5"/>
        <w:snapToGrid w:val="0"/>
        <w:spacing w:before="0" w:after="0" w:line="360" w:lineRule="auto"/>
        <w:ind w:firstLine="482" w:firstLineChars="200"/>
        <w:rPr>
          <w:rFonts w:ascii="宋体" w:hAnsi="宋体"/>
        </w:rPr>
      </w:pPr>
      <w:bookmarkStart w:id="124" w:name="_Toc183682348"/>
      <w:bookmarkStart w:id="125" w:name="_Toc183582211"/>
      <w:bookmarkStart w:id="126" w:name="_Toc4578825"/>
      <w:bookmarkStart w:id="127" w:name="_Toc5004991"/>
      <w:bookmarkStart w:id="128" w:name="_Toc217446040"/>
      <w:bookmarkStart w:id="129" w:name="_Toc4659687"/>
      <w:r>
        <w:rPr>
          <w:rFonts w:hint="eastAsia" w:ascii="宋体" w:hAnsi="宋体"/>
        </w:rPr>
        <w:t>11.磋商</w:t>
      </w:r>
      <w:r>
        <w:rPr>
          <w:rFonts w:hint="eastAsia" w:hAnsi="宋体"/>
        </w:rPr>
        <w:t>文件</w:t>
      </w:r>
      <w:r>
        <w:rPr>
          <w:rFonts w:hint="eastAsia" w:ascii="宋体" w:hAnsi="宋体"/>
        </w:rPr>
        <w:t>的澄清</w:t>
      </w:r>
      <w:bookmarkEnd w:id="124"/>
      <w:bookmarkEnd w:id="125"/>
      <w:r>
        <w:rPr>
          <w:rFonts w:hint="eastAsia" w:ascii="宋体" w:hAnsi="宋体"/>
        </w:rPr>
        <w:t>和修改</w:t>
      </w:r>
      <w:bookmarkEnd w:id="126"/>
      <w:bookmarkEnd w:id="127"/>
      <w:bookmarkEnd w:id="128"/>
      <w:bookmarkEnd w:id="129"/>
    </w:p>
    <w:p>
      <w:pPr>
        <w:tabs>
          <w:tab w:val="left" w:pos="851"/>
        </w:tabs>
        <w:snapToGrid w:val="0"/>
        <w:spacing w:line="360" w:lineRule="auto"/>
        <w:ind w:firstLine="525" w:firstLineChars="250"/>
        <w:rPr>
          <w:rFonts w:ascii="宋体" w:hAnsi="宋体"/>
        </w:rPr>
      </w:pPr>
      <w:r>
        <w:rPr>
          <w:rFonts w:hint="eastAsia" w:ascii="宋体" w:hAnsi="宋体" w:cs="宋体"/>
        </w:rPr>
        <w:t>11.1 在</w:t>
      </w:r>
      <w:r>
        <w:rPr>
          <w:rFonts w:hint="eastAsia" w:ascii="宋体" w:hAnsi="宋体"/>
        </w:rPr>
        <w:t>递交响应文件截止时间前，采购人、采购代理机构可以对磋商文件进行澄清或者修改。</w:t>
      </w:r>
    </w:p>
    <w:p>
      <w:pPr>
        <w:tabs>
          <w:tab w:val="left" w:pos="851"/>
        </w:tabs>
        <w:snapToGrid w:val="0"/>
        <w:spacing w:line="360" w:lineRule="auto"/>
        <w:ind w:firstLine="525" w:firstLineChars="250"/>
        <w:rPr>
          <w:rFonts w:ascii="宋体" w:hAnsi="宋体"/>
        </w:rPr>
      </w:pPr>
      <w:r>
        <w:rPr>
          <w:rFonts w:hint="eastAsia" w:ascii="宋体" w:hAnsi="宋体"/>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851"/>
        </w:tabs>
        <w:snapToGrid w:val="0"/>
        <w:spacing w:line="360" w:lineRule="auto"/>
        <w:ind w:firstLine="525" w:firstLineChars="250"/>
        <w:rPr>
          <w:rFonts w:ascii="宋体" w:hAnsi="宋体"/>
        </w:rPr>
      </w:pPr>
      <w:r>
        <w:rPr>
          <w:rFonts w:hint="eastAsia" w:ascii="宋体" w:hAnsi="宋体"/>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851"/>
        </w:tabs>
        <w:snapToGrid w:val="0"/>
        <w:spacing w:line="360" w:lineRule="auto"/>
        <w:ind w:firstLine="525" w:firstLineChars="250"/>
        <w:rPr>
          <w:rFonts w:ascii="宋体" w:hAnsi="宋体" w:cs="宋体"/>
        </w:rPr>
      </w:pPr>
      <w:r>
        <w:rPr>
          <w:rFonts w:hint="eastAsia" w:ascii="宋体" w:hAnsi="宋体"/>
        </w:rPr>
        <w:t>11.4供应商认</w:t>
      </w:r>
      <w:r>
        <w:rPr>
          <w:rFonts w:hint="eastAsia" w:ascii="宋体" w:hAnsi="宋体" w:cs="宋体"/>
        </w:rPr>
        <w:t>为需要对磋商文件进行澄清或者修改的，可以以书面形式向采购人或采购代理机构提出申请，由采购人或采购代理机构决定是否采纳供应商的申请事项。</w:t>
      </w:r>
    </w:p>
    <w:p>
      <w:pPr>
        <w:pStyle w:val="5"/>
        <w:snapToGrid w:val="0"/>
        <w:spacing w:before="0" w:after="0" w:line="360" w:lineRule="auto"/>
        <w:ind w:firstLine="482" w:firstLineChars="200"/>
        <w:rPr>
          <w:rFonts w:ascii="宋体" w:hAnsi="宋体"/>
        </w:rPr>
      </w:pPr>
      <w:bookmarkStart w:id="130" w:name="_Toc4578826"/>
      <w:bookmarkStart w:id="131" w:name="_Toc208848971"/>
      <w:bookmarkStart w:id="132" w:name="_Toc217446041"/>
      <w:bookmarkStart w:id="133" w:name="_Toc4659688"/>
      <w:bookmarkStart w:id="134" w:name="_Toc5004992"/>
      <w:r>
        <w:rPr>
          <w:rFonts w:hint="eastAsia" w:ascii="宋体" w:hAnsi="宋体"/>
        </w:rPr>
        <w:t>12.答疑会和</w:t>
      </w:r>
      <w:r>
        <w:rPr>
          <w:rFonts w:hint="eastAsia" w:hAnsi="宋体"/>
        </w:rPr>
        <w:t>现场</w:t>
      </w:r>
      <w:r>
        <w:rPr>
          <w:rFonts w:hint="eastAsia" w:ascii="宋体" w:hAnsi="宋体"/>
        </w:rPr>
        <w:t>考察</w:t>
      </w:r>
      <w:bookmarkEnd w:id="130"/>
      <w:bookmarkEnd w:id="131"/>
      <w:bookmarkEnd w:id="132"/>
      <w:bookmarkEnd w:id="133"/>
      <w:bookmarkEnd w:id="134"/>
    </w:p>
    <w:p>
      <w:pPr>
        <w:tabs>
          <w:tab w:val="left" w:pos="851"/>
        </w:tabs>
        <w:snapToGrid w:val="0"/>
        <w:spacing w:line="360" w:lineRule="auto"/>
        <w:ind w:firstLine="525" w:firstLineChars="250"/>
        <w:rPr>
          <w:rFonts w:ascii="宋体" w:hAnsi="宋体" w:cs="宋体"/>
        </w:rPr>
      </w:pPr>
      <w:r>
        <w:rPr>
          <w:rFonts w:hint="eastAsia" w:ascii="宋体" w:hAnsi="宋体" w:cs="宋体"/>
        </w:rPr>
        <w:t>12.1 根据采购项目和具体情况，采购人、采购代理机构认为有必要，可以在磋商文件提供期限截止后响应文件提交截止前，组织已获取磋商文件的潜在供应商现场考察或者召开答疑会。</w:t>
      </w:r>
    </w:p>
    <w:p>
      <w:pPr>
        <w:tabs>
          <w:tab w:val="left" w:pos="851"/>
        </w:tabs>
        <w:snapToGrid w:val="0"/>
        <w:spacing w:line="360" w:lineRule="auto"/>
        <w:ind w:firstLine="525" w:firstLineChars="250"/>
        <w:rPr>
          <w:rFonts w:ascii="宋体" w:hAnsi="宋体"/>
        </w:rPr>
      </w:pPr>
      <w:r>
        <w:rPr>
          <w:rFonts w:hint="eastAsia" w:ascii="宋体" w:hAnsi="宋体" w:cs="宋体"/>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w:t>
      </w:r>
      <w:r>
        <w:rPr>
          <w:rFonts w:hint="eastAsia" w:ascii="宋体" w:hAnsi="宋体"/>
        </w:rPr>
        <w:t>文件直接作为无效处理。</w:t>
      </w:r>
    </w:p>
    <w:p>
      <w:pPr>
        <w:tabs>
          <w:tab w:val="left" w:pos="851"/>
        </w:tabs>
        <w:snapToGrid w:val="0"/>
        <w:spacing w:line="360" w:lineRule="auto"/>
        <w:ind w:firstLine="525" w:firstLineChars="250"/>
        <w:rPr>
          <w:rFonts w:ascii="宋体" w:hAnsi="宋体" w:cs="宋体"/>
        </w:rPr>
      </w:pPr>
      <w:r>
        <w:rPr>
          <w:rFonts w:hint="eastAsia" w:ascii="宋体" w:hAnsi="宋体"/>
        </w:rPr>
        <w:t>12.3 供应商考察</w:t>
      </w:r>
      <w:r>
        <w:rPr>
          <w:rFonts w:hint="eastAsia" w:ascii="宋体" w:hAnsi="宋体" w:cs="宋体"/>
        </w:rPr>
        <w:t>现场或者参加答疑会所发生的一切费用由供应商自己承担。</w:t>
      </w:r>
    </w:p>
    <w:p>
      <w:pPr>
        <w:pStyle w:val="4"/>
        <w:snapToGrid w:val="0"/>
        <w:spacing w:before="0" w:after="0" w:line="360" w:lineRule="auto"/>
      </w:pPr>
      <w:bookmarkStart w:id="135" w:name="_Toc4578827"/>
      <w:bookmarkStart w:id="136" w:name="_Toc183682351"/>
      <w:bookmarkStart w:id="137" w:name="_Toc217446042"/>
      <w:bookmarkStart w:id="138" w:name="_Toc28534"/>
      <w:bookmarkStart w:id="139" w:name="_Toc4659689"/>
      <w:bookmarkStart w:id="140" w:name="_Toc5627"/>
      <w:bookmarkStart w:id="141" w:name="_Toc12177"/>
      <w:bookmarkStart w:id="142" w:name="_Toc27305"/>
      <w:bookmarkStart w:id="143" w:name="_Toc4297"/>
      <w:bookmarkStart w:id="144" w:name="_Toc18068_WPSOffice_Level2"/>
      <w:bookmarkStart w:id="145" w:name="_Toc183582214"/>
      <w:bookmarkStart w:id="146" w:name="_Toc20754"/>
      <w:bookmarkStart w:id="147" w:name="_Toc24481"/>
      <w:bookmarkStart w:id="148" w:name="_Toc5004993"/>
      <w:bookmarkStart w:id="149" w:name="_Toc77400780"/>
      <w:bookmarkStart w:id="150" w:name="_Toc5080"/>
      <w:bookmarkStart w:id="151" w:name="_Toc89075876"/>
      <w:r>
        <w:rPr>
          <w:rFonts w:hint="eastAsia"/>
        </w:rPr>
        <w:t>四、响应文件</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5"/>
        <w:snapToGrid w:val="0"/>
        <w:spacing w:before="0" w:after="0" w:line="360" w:lineRule="auto"/>
        <w:ind w:firstLine="482" w:firstLineChars="200"/>
        <w:rPr>
          <w:rFonts w:ascii="宋体" w:hAnsi="宋体"/>
        </w:rPr>
      </w:pPr>
      <w:bookmarkStart w:id="152" w:name="_Toc5004994"/>
      <w:bookmarkStart w:id="153" w:name="_Toc4659690"/>
      <w:bookmarkStart w:id="154" w:name="_Toc4578828"/>
      <w:bookmarkStart w:id="155" w:name="_Toc217446043"/>
      <w:bookmarkStart w:id="156" w:name="_Toc183582215"/>
      <w:bookmarkStart w:id="157" w:name="_Toc183682352"/>
      <w:r>
        <w:rPr>
          <w:rFonts w:hint="eastAsia" w:ascii="宋体" w:hAnsi="宋体"/>
        </w:rPr>
        <w:t>13.响应文件的组成（实质性要求）</w:t>
      </w:r>
      <w:bookmarkEnd w:id="152"/>
      <w:bookmarkEnd w:id="153"/>
      <w:bookmarkEnd w:id="154"/>
    </w:p>
    <w:p>
      <w:pPr>
        <w:tabs>
          <w:tab w:val="left" w:pos="851"/>
        </w:tabs>
        <w:snapToGrid w:val="0"/>
        <w:spacing w:line="360" w:lineRule="auto"/>
        <w:ind w:firstLine="525" w:firstLineChars="250"/>
        <w:rPr>
          <w:rFonts w:ascii="宋体" w:hAnsi="宋体" w:cs="宋体"/>
        </w:rPr>
      </w:pPr>
      <w:r>
        <w:rPr>
          <w:rFonts w:hint="eastAsia" w:ascii="宋体" w:hAnsi="宋体" w:cs="宋体"/>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分册装订。</w:t>
      </w:r>
    </w:p>
    <w:p>
      <w:pPr>
        <w:pStyle w:val="5"/>
        <w:snapToGrid w:val="0"/>
        <w:spacing w:before="0" w:after="0" w:line="360" w:lineRule="auto"/>
        <w:ind w:firstLine="482" w:firstLineChars="200"/>
        <w:rPr>
          <w:rFonts w:ascii="宋体" w:hAnsi="宋体"/>
          <w:bCs w:val="0"/>
        </w:rPr>
      </w:pPr>
      <w:bookmarkStart w:id="158" w:name="_Toc4578829"/>
      <w:bookmarkStart w:id="159" w:name="_Toc4659691"/>
      <w:bookmarkStart w:id="160" w:name="_Toc5004995"/>
      <w:r>
        <w:rPr>
          <w:rFonts w:hint="eastAsia" w:ascii="宋体" w:hAnsi="宋体"/>
          <w:bCs w:val="0"/>
        </w:rPr>
        <w:t>14.响应文件的</w:t>
      </w:r>
      <w:r>
        <w:rPr>
          <w:rFonts w:hint="eastAsia" w:ascii="宋体" w:hAnsi="宋体"/>
        </w:rPr>
        <w:t>语言</w:t>
      </w:r>
      <w:bookmarkEnd w:id="155"/>
      <w:bookmarkEnd w:id="156"/>
      <w:bookmarkEnd w:id="157"/>
      <w:r>
        <w:rPr>
          <w:rFonts w:hint="eastAsia" w:ascii="宋体" w:hAnsi="宋体"/>
          <w:bCs w:val="0"/>
        </w:rPr>
        <w:t>（实质性要求）</w:t>
      </w:r>
      <w:bookmarkEnd w:id="158"/>
      <w:bookmarkEnd w:id="159"/>
      <w:bookmarkEnd w:id="160"/>
    </w:p>
    <w:p>
      <w:pPr>
        <w:tabs>
          <w:tab w:val="left" w:pos="851"/>
        </w:tabs>
        <w:snapToGrid w:val="0"/>
        <w:spacing w:line="360" w:lineRule="auto"/>
        <w:ind w:firstLine="525" w:firstLineChars="250"/>
        <w:rPr>
          <w:rFonts w:ascii="宋体" w:hAnsi="宋体" w:cs="宋体"/>
        </w:rPr>
      </w:pPr>
      <w:r>
        <w:rPr>
          <w:rFonts w:hint="eastAsia" w:ascii="宋体" w:hAnsi="宋体" w:cs="宋体"/>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851"/>
        </w:tabs>
        <w:snapToGrid w:val="0"/>
        <w:spacing w:line="360" w:lineRule="auto"/>
        <w:ind w:firstLine="525" w:firstLineChars="250"/>
        <w:rPr>
          <w:rFonts w:ascii="宋体" w:hAnsi="宋体" w:cs="宋体"/>
        </w:rPr>
      </w:pPr>
      <w:r>
        <w:rPr>
          <w:rFonts w:hint="eastAsia" w:ascii="宋体" w:hAnsi="宋体" w:cs="宋体"/>
        </w:rPr>
        <w:t xml:space="preserve">14.2 </w:t>
      </w:r>
      <w:r>
        <w:rPr>
          <w:rFonts w:hint="eastAsia" w:ascii="宋体" w:hAnsi="宋体"/>
        </w:rPr>
        <w:t>翻译</w:t>
      </w:r>
      <w:r>
        <w:rPr>
          <w:rFonts w:hint="eastAsia" w:ascii="宋体" w:hAnsi="宋体" w:cs="宋体"/>
        </w:rPr>
        <w:t>的中文资料与外文资料如果出现差异和矛盾时，以中文为准。涉嫌虚假响应的按照相关法律法规处理。</w:t>
      </w:r>
    </w:p>
    <w:p>
      <w:pPr>
        <w:tabs>
          <w:tab w:val="left" w:pos="851"/>
        </w:tabs>
        <w:snapToGrid w:val="0"/>
        <w:spacing w:line="360" w:lineRule="auto"/>
        <w:ind w:firstLine="525" w:firstLineChars="250"/>
        <w:rPr>
          <w:rFonts w:ascii="宋体" w:hAnsi="宋体" w:cs="宋体"/>
        </w:rPr>
      </w:pPr>
      <w:r>
        <w:rPr>
          <w:rFonts w:hint="eastAsia" w:ascii="宋体" w:hAnsi="宋体" w:cs="宋体"/>
        </w:rPr>
        <w:t>14.3 如因未翻译而造成的响应文件无效风险，由供应商承担。</w:t>
      </w:r>
    </w:p>
    <w:p>
      <w:pPr>
        <w:pStyle w:val="5"/>
        <w:snapToGrid w:val="0"/>
        <w:spacing w:before="0" w:after="0" w:line="360" w:lineRule="auto"/>
        <w:ind w:firstLine="482" w:firstLineChars="200"/>
        <w:rPr>
          <w:rFonts w:ascii="宋体" w:hAnsi="宋体"/>
        </w:rPr>
      </w:pPr>
      <w:bookmarkStart w:id="161" w:name="_Toc183582216"/>
      <w:bookmarkStart w:id="162" w:name="_Toc183682353"/>
      <w:bookmarkStart w:id="163" w:name="_Toc217446044"/>
      <w:bookmarkStart w:id="164" w:name="_Toc5004996"/>
      <w:bookmarkStart w:id="165" w:name="_Toc4659692"/>
      <w:bookmarkStart w:id="166" w:name="_Toc4578830"/>
      <w:r>
        <w:rPr>
          <w:rFonts w:hint="eastAsia" w:ascii="宋体" w:hAnsi="宋体"/>
        </w:rPr>
        <w:t>15.计量单位</w:t>
      </w:r>
      <w:bookmarkEnd w:id="161"/>
      <w:bookmarkEnd w:id="162"/>
      <w:bookmarkEnd w:id="163"/>
      <w:r>
        <w:rPr>
          <w:rFonts w:hint="eastAsia" w:ascii="宋体" w:hAnsi="宋体"/>
        </w:rPr>
        <w:t>（实质性要求）</w:t>
      </w:r>
      <w:bookmarkEnd w:id="164"/>
      <w:bookmarkEnd w:id="165"/>
      <w:bookmarkEnd w:id="166"/>
    </w:p>
    <w:p>
      <w:pPr>
        <w:tabs>
          <w:tab w:val="left" w:pos="851"/>
        </w:tabs>
        <w:snapToGrid w:val="0"/>
        <w:spacing w:line="360" w:lineRule="auto"/>
        <w:ind w:firstLine="525" w:firstLineChars="250"/>
        <w:rPr>
          <w:rFonts w:ascii="宋体" w:hAnsi="宋体" w:cs="宋体"/>
        </w:rPr>
      </w:pPr>
      <w:r>
        <w:rPr>
          <w:rFonts w:hint="eastAsia" w:ascii="宋体" w:hAnsi="宋体" w:cs="宋体"/>
        </w:rPr>
        <w:t>除磋商</w:t>
      </w:r>
      <w:r>
        <w:rPr>
          <w:rFonts w:hint="eastAsia" w:ascii="宋体" w:hAnsi="宋体"/>
        </w:rPr>
        <w:t>文件</w:t>
      </w:r>
      <w:r>
        <w:rPr>
          <w:rFonts w:hint="eastAsia" w:ascii="宋体" w:hAnsi="宋体" w:cs="宋体"/>
        </w:rPr>
        <w:t>中另有规定外，本次采购项目所有合同项下的报价均采用国家法定的计量单位。</w:t>
      </w:r>
    </w:p>
    <w:p>
      <w:pPr>
        <w:pStyle w:val="5"/>
        <w:snapToGrid w:val="0"/>
        <w:spacing w:before="0" w:after="0" w:line="360" w:lineRule="auto"/>
        <w:ind w:firstLine="482" w:firstLineChars="200"/>
        <w:rPr>
          <w:rFonts w:ascii="宋体" w:hAnsi="宋体"/>
        </w:rPr>
      </w:pPr>
      <w:bookmarkStart w:id="167" w:name="_Toc217446045"/>
      <w:r>
        <w:rPr>
          <w:rFonts w:hint="eastAsia" w:ascii="宋体" w:hAnsi="宋体"/>
        </w:rPr>
        <w:t>16.报价货币（实质性要求）</w:t>
      </w:r>
    </w:p>
    <w:p>
      <w:pPr>
        <w:tabs>
          <w:tab w:val="left" w:pos="851"/>
        </w:tabs>
        <w:snapToGrid w:val="0"/>
        <w:spacing w:line="360" w:lineRule="auto"/>
        <w:ind w:firstLine="525" w:firstLineChars="250"/>
        <w:rPr>
          <w:rFonts w:ascii="宋体" w:hAnsi="宋体" w:cs="宋体"/>
        </w:rPr>
      </w:pPr>
      <w:r>
        <w:rPr>
          <w:rFonts w:hint="eastAsia" w:ascii="宋体" w:hAnsi="宋体" w:cs="宋体"/>
        </w:rPr>
        <w:t>本次磋商项目的报价货币为人民币，报价以磋商文件规定为准。</w:t>
      </w:r>
    </w:p>
    <w:bookmarkEnd w:id="167"/>
    <w:p>
      <w:pPr>
        <w:pStyle w:val="5"/>
        <w:snapToGrid w:val="0"/>
        <w:spacing w:before="0" w:after="0" w:line="360" w:lineRule="auto"/>
        <w:ind w:firstLine="482" w:firstLineChars="200"/>
        <w:rPr>
          <w:rFonts w:ascii="宋体" w:hAnsi="宋体"/>
        </w:rPr>
      </w:pPr>
      <w:r>
        <w:rPr>
          <w:rFonts w:hint="eastAsia" w:ascii="宋体" w:hAnsi="宋体"/>
        </w:rPr>
        <w:t>17.响应文件格式</w:t>
      </w:r>
    </w:p>
    <w:p>
      <w:pPr>
        <w:tabs>
          <w:tab w:val="left" w:pos="851"/>
        </w:tabs>
        <w:snapToGrid w:val="0"/>
        <w:spacing w:line="360" w:lineRule="auto"/>
        <w:ind w:firstLine="525" w:firstLineChars="250"/>
        <w:rPr>
          <w:rFonts w:ascii="宋体" w:hAnsi="宋体" w:cs="宋体"/>
        </w:rPr>
      </w:pPr>
      <w:bookmarkStart w:id="168" w:name="_Toc30754_WPSOffice_Level3"/>
      <w:r>
        <w:rPr>
          <w:rFonts w:hint="eastAsia" w:ascii="宋体" w:hAnsi="宋体" w:cs="宋体"/>
        </w:rPr>
        <w:t>17.1 供应商应执行磋商文件第七章的规定要求。</w:t>
      </w:r>
      <w:bookmarkEnd w:id="168"/>
    </w:p>
    <w:p>
      <w:pPr>
        <w:tabs>
          <w:tab w:val="left" w:pos="851"/>
        </w:tabs>
        <w:snapToGrid w:val="0"/>
        <w:spacing w:line="360" w:lineRule="auto"/>
        <w:ind w:firstLine="525" w:firstLineChars="250"/>
        <w:rPr>
          <w:rFonts w:ascii="宋体" w:hAnsi="宋体" w:cs="宋体"/>
        </w:rPr>
      </w:pPr>
      <w:bookmarkStart w:id="169" w:name="_Toc3788_WPSOffice_Level3"/>
      <w:r>
        <w:rPr>
          <w:rFonts w:hint="eastAsia" w:ascii="宋体" w:hAnsi="宋体" w:cs="宋体"/>
        </w:rPr>
        <w:t>17.2 对于</w:t>
      </w:r>
      <w:r>
        <w:rPr>
          <w:rFonts w:hint="eastAsia" w:ascii="宋体" w:hAnsi="宋体"/>
        </w:rPr>
        <w:t>没有</w:t>
      </w:r>
      <w:r>
        <w:rPr>
          <w:rFonts w:hint="eastAsia" w:ascii="宋体" w:hAnsi="宋体" w:cs="宋体"/>
        </w:rPr>
        <w:t>格式要求的磋商文件由供应商自行编写。</w:t>
      </w:r>
      <w:bookmarkEnd w:id="169"/>
    </w:p>
    <w:p>
      <w:pPr>
        <w:pStyle w:val="5"/>
        <w:snapToGrid w:val="0"/>
        <w:spacing w:before="0" w:after="0" w:line="360" w:lineRule="auto"/>
        <w:ind w:firstLine="482" w:firstLineChars="200"/>
        <w:rPr>
          <w:rFonts w:ascii="宋体" w:hAnsi="宋体"/>
        </w:rPr>
      </w:pPr>
      <w:bookmarkStart w:id="170" w:name="_Toc183582224"/>
      <w:bookmarkStart w:id="171" w:name="_Toc217446051"/>
      <w:bookmarkStart w:id="172" w:name="_Toc183682361"/>
      <w:r>
        <w:rPr>
          <w:rFonts w:hint="eastAsia" w:ascii="宋体" w:hAnsi="宋体"/>
        </w:rPr>
        <w:t>18.响应文件的编制和签署</w:t>
      </w:r>
    </w:p>
    <w:p>
      <w:pPr>
        <w:tabs>
          <w:tab w:val="left" w:pos="851"/>
        </w:tabs>
        <w:snapToGrid w:val="0"/>
        <w:spacing w:line="360" w:lineRule="auto"/>
        <w:ind w:firstLine="525" w:firstLineChars="250"/>
        <w:rPr>
          <w:rFonts w:ascii="宋体" w:hAnsi="宋体"/>
        </w:rPr>
      </w:pPr>
      <w:r>
        <w:rPr>
          <w:rFonts w:hint="eastAsia" w:ascii="宋体" w:hAnsi="宋体" w:cs="宋体"/>
        </w:rPr>
        <w:t>18.</w:t>
      </w:r>
      <w:r>
        <w:rPr>
          <w:rFonts w:hint="eastAsia" w:ascii="宋体" w:hAnsi="宋体"/>
        </w:rPr>
        <w:t>1 资格性响应文件正本壹份副本贰份，并在其封面上清楚地标明资格性响应文件、采购项目名称、项目编号、包件号（如有时）及名称（若有时）、供应商名称以及“正本”或“副本”字样。若正本和副本有不一致的内容，以正本书面响应文件为准。</w:t>
      </w:r>
    </w:p>
    <w:p>
      <w:pPr>
        <w:tabs>
          <w:tab w:val="left" w:pos="851"/>
        </w:tabs>
        <w:snapToGrid w:val="0"/>
        <w:spacing w:line="360" w:lineRule="auto"/>
        <w:ind w:firstLine="525" w:firstLineChars="250"/>
        <w:rPr>
          <w:rFonts w:ascii="宋体" w:hAnsi="宋体"/>
        </w:rPr>
      </w:pPr>
      <w:r>
        <w:rPr>
          <w:rFonts w:hint="eastAsia" w:ascii="宋体" w:hAnsi="宋体"/>
        </w:rPr>
        <w:t>18.2 其他响应文件正本壹份副本贰份，并在其封面上清楚地标明其他响应文件、采购项目名称、项目编号、包件号（如有时）及名称（若有时）、供应商名称以及“正本”或“副本”字样。若正本和副本有不一致的内容，以正本书面响应文件为准。</w:t>
      </w:r>
    </w:p>
    <w:bookmarkEnd w:id="170"/>
    <w:bookmarkEnd w:id="171"/>
    <w:bookmarkEnd w:id="172"/>
    <w:p>
      <w:pPr>
        <w:tabs>
          <w:tab w:val="left" w:pos="851"/>
        </w:tabs>
        <w:snapToGrid w:val="0"/>
        <w:spacing w:line="360" w:lineRule="auto"/>
        <w:ind w:firstLine="525" w:firstLineChars="250"/>
        <w:rPr>
          <w:rFonts w:ascii="宋体" w:hAnsi="宋体"/>
        </w:rPr>
      </w:pPr>
      <w:r>
        <w:rPr>
          <w:rFonts w:hint="eastAsia" w:ascii="宋体" w:hAnsi="宋体"/>
        </w:rPr>
        <w:t>18.3 响应文件正本和副本均需在规定签章处签字和盖章。响应文件副本可采用正本的复印件，电子文档壹份采用光盘或U盘制作。</w:t>
      </w:r>
    </w:p>
    <w:p>
      <w:pPr>
        <w:tabs>
          <w:tab w:val="left" w:pos="851"/>
        </w:tabs>
        <w:snapToGrid w:val="0"/>
        <w:spacing w:line="360" w:lineRule="auto"/>
        <w:ind w:firstLine="525" w:firstLineChars="250"/>
        <w:rPr>
          <w:rFonts w:ascii="宋体" w:hAnsi="宋体"/>
        </w:rPr>
      </w:pPr>
      <w:r>
        <w:rPr>
          <w:rFonts w:hint="eastAsia" w:ascii="宋体" w:hAnsi="宋体"/>
        </w:rPr>
        <w:t>18.4响应文件的打印和书写应清楚工整，任何行间插字、涂改或增删，必须由供应商的法定代表人或其授权代表签字并盖供应商公章。</w:t>
      </w:r>
    </w:p>
    <w:p>
      <w:pPr>
        <w:tabs>
          <w:tab w:val="left" w:pos="851"/>
        </w:tabs>
        <w:snapToGrid w:val="0"/>
        <w:spacing w:line="360" w:lineRule="auto"/>
        <w:ind w:firstLine="525" w:firstLineChars="250"/>
        <w:rPr>
          <w:rFonts w:ascii="宋体" w:hAnsi="宋体"/>
        </w:rPr>
      </w:pPr>
      <w:r>
        <w:rPr>
          <w:rFonts w:hint="eastAsia" w:ascii="宋体" w:hAnsi="宋体"/>
        </w:rPr>
        <w:t>18.5（实质性要求）响应文件应由供应商法定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pPr>
        <w:tabs>
          <w:tab w:val="left" w:pos="851"/>
        </w:tabs>
        <w:snapToGrid w:val="0"/>
        <w:spacing w:line="360" w:lineRule="auto"/>
        <w:ind w:firstLine="525" w:firstLineChars="250"/>
        <w:rPr>
          <w:rFonts w:ascii="宋体" w:hAnsi="宋体"/>
        </w:rPr>
      </w:pPr>
      <w:r>
        <w:rPr>
          <w:rFonts w:hint="eastAsia" w:ascii="宋体" w:hAnsi="宋体"/>
        </w:rPr>
        <w:t>18.6响应文件正本和副本需要逐页编页码。</w:t>
      </w:r>
    </w:p>
    <w:p>
      <w:pPr>
        <w:tabs>
          <w:tab w:val="left" w:pos="851"/>
        </w:tabs>
        <w:snapToGrid w:val="0"/>
        <w:spacing w:line="360" w:lineRule="auto"/>
        <w:ind w:firstLine="525" w:firstLineChars="250"/>
        <w:rPr>
          <w:rFonts w:ascii="宋体" w:hAnsi="宋体"/>
        </w:rPr>
      </w:pPr>
      <w:r>
        <w:rPr>
          <w:rFonts w:hint="eastAsia" w:ascii="宋体" w:hAnsi="宋体"/>
        </w:rPr>
        <w:t>18.7（实质性要求）响应文件正本和副本应当采用胶装方式装订成册，不得散装或者合页装订。</w:t>
      </w:r>
    </w:p>
    <w:p>
      <w:pPr>
        <w:tabs>
          <w:tab w:val="left" w:pos="851"/>
        </w:tabs>
        <w:snapToGrid w:val="0"/>
        <w:spacing w:line="360" w:lineRule="auto"/>
        <w:ind w:firstLine="525" w:firstLineChars="250"/>
        <w:rPr>
          <w:rFonts w:ascii="宋体" w:hAnsi="宋体"/>
        </w:rPr>
      </w:pPr>
      <w:r>
        <w:rPr>
          <w:rFonts w:hint="eastAsia" w:ascii="宋体" w:hAnsi="宋体"/>
        </w:rPr>
        <w:t>18.8响应文件应根据磋商文件的要求制作，签署、盖章。</w:t>
      </w:r>
    </w:p>
    <w:p>
      <w:pPr>
        <w:tabs>
          <w:tab w:val="left" w:pos="851"/>
        </w:tabs>
        <w:snapToGrid w:val="0"/>
        <w:spacing w:line="360" w:lineRule="auto"/>
        <w:ind w:firstLine="525" w:firstLineChars="250"/>
        <w:rPr>
          <w:rFonts w:ascii="宋体" w:hAnsi="宋体" w:cs="宋体"/>
        </w:rPr>
      </w:pPr>
      <w:r>
        <w:rPr>
          <w:rFonts w:hint="eastAsia" w:ascii="宋体" w:hAnsi="宋体"/>
        </w:rPr>
        <w:t>18.9响应文</w:t>
      </w:r>
      <w:r>
        <w:rPr>
          <w:rFonts w:hint="eastAsia" w:ascii="宋体" w:hAnsi="宋体" w:cs="宋体"/>
        </w:rPr>
        <w:t>件统一用A4幅面纸印制，除另有规定外。</w:t>
      </w:r>
    </w:p>
    <w:p>
      <w:pPr>
        <w:pStyle w:val="5"/>
        <w:snapToGrid w:val="0"/>
        <w:spacing w:before="0" w:after="0" w:line="360" w:lineRule="auto"/>
        <w:ind w:firstLine="482" w:firstLineChars="200"/>
        <w:rPr>
          <w:rFonts w:ascii="宋体"/>
        </w:rPr>
      </w:pPr>
      <w:bookmarkStart w:id="173" w:name="_Toc217446053"/>
      <w:bookmarkStart w:id="174" w:name="_Toc77400781"/>
      <w:bookmarkStart w:id="175" w:name="_Toc89075877"/>
      <w:bookmarkStart w:id="176" w:name="_Toc183682363"/>
      <w:bookmarkStart w:id="177" w:name="_Toc183582226"/>
      <w:r>
        <w:rPr>
          <w:rFonts w:hint="eastAsia" w:ascii="宋体"/>
        </w:rPr>
        <w:t>19.响应文件的密封和标注（不属于本项目磋商小组评审范畴，由采购人、采购代理机构在接收响应文件时及时处理）</w:t>
      </w:r>
    </w:p>
    <w:p>
      <w:pPr>
        <w:tabs>
          <w:tab w:val="left" w:pos="851"/>
        </w:tabs>
        <w:snapToGrid w:val="0"/>
        <w:spacing w:line="360" w:lineRule="auto"/>
        <w:ind w:firstLine="525" w:firstLineChars="250"/>
        <w:rPr>
          <w:rFonts w:ascii="宋体" w:hAnsi="宋体"/>
        </w:rPr>
      </w:pPr>
      <w:r>
        <w:rPr>
          <w:rFonts w:hint="eastAsia" w:ascii="宋体" w:hAnsi="宋体" w:cs="宋体"/>
        </w:rPr>
        <w:t>19.1 响应</w:t>
      </w:r>
      <w:r>
        <w:rPr>
          <w:rFonts w:hint="eastAsia" w:ascii="宋体" w:hAnsi="宋体"/>
        </w:rPr>
        <w:t>文件可以单独密封包装，也可以所有响应文件密封包装在一个密封袋内。</w:t>
      </w:r>
    </w:p>
    <w:p>
      <w:pPr>
        <w:tabs>
          <w:tab w:val="left" w:pos="851"/>
        </w:tabs>
        <w:snapToGrid w:val="0"/>
        <w:spacing w:line="360" w:lineRule="auto"/>
        <w:ind w:firstLine="525" w:firstLineChars="250"/>
        <w:rPr>
          <w:rFonts w:ascii="宋体" w:hAnsi="宋体"/>
        </w:rPr>
      </w:pPr>
      <w:r>
        <w:rPr>
          <w:rFonts w:hint="eastAsia" w:ascii="宋体" w:hAnsi="宋体"/>
        </w:rPr>
        <w:t>19.2 响应文件密封袋的最外层应清楚地标明采购项目名称、项目编号、包件号（如有时）及名称（若有时）、供应商名称。</w:t>
      </w:r>
    </w:p>
    <w:p>
      <w:pPr>
        <w:tabs>
          <w:tab w:val="left" w:pos="851"/>
        </w:tabs>
        <w:snapToGrid w:val="0"/>
        <w:spacing w:line="360" w:lineRule="auto"/>
        <w:ind w:firstLine="525" w:firstLineChars="250"/>
        <w:rPr>
          <w:rFonts w:ascii="宋体" w:hAnsi="宋体"/>
        </w:rPr>
      </w:pPr>
      <w:r>
        <w:rPr>
          <w:rFonts w:hint="eastAsia" w:ascii="宋体" w:hAnsi="宋体"/>
        </w:rPr>
        <w:t>19.3 所有外层密封袋的封口处应粘贴牢固。</w:t>
      </w:r>
    </w:p>
    <w:p>
      <w:pPr>
        <w:tabs>
          <w:tab w:val="left" w:pos="851"/>
        </w:tabs>
        <w:snapToGrid w:val="0"/>
        <w:spacing w:line="360" w:lineRule="auto"/>
        <w:ind w:firstLine="525" w:firstLineChars="250"/>
        <w:rPr>
          <w:rFonts w:ascii="宋体" w:hAnsi="宋体" w:cs="宋体"/>
        </w:rPr>
      </w:pPr>
      <w:r>
        <w:rPr>
          <w:rFonts w:hint="eastAsia" w:ascii="宋体" w:hAnsi="宋体"/>
        </w:rPr>
        <w:t>19.4 未密封的</w:t>
      </w:r>
      <w:r>
        <w:rPr>
          <w:rFonts w:hint="eastAsia" w:ascii="宋体" w:hAnsi="宋体" w:cs="宋体"/>
        </w:rPr>
        <w:t>响应文件，采购人、采购代理机构将拒收或者在时间允许的范围内，要求修改完善后接收。</w:t>
      </w:r>
    </w:p>
    <w:p>
      <w:pPr>
        <w:pStyle w:val="5"/>
        <w:snapToGrid w:val="0"/>
        <w:spacing w:before="0" w:after="0" w:line="360" w:lineRule="auto"/>
        <w:ind w:firstLine="482" w:firstLineChars="200"/>
        <w:rPr>
          <w:rFonts w:ascii="宋体"/>
        </w:rPr>
      </w:pPr>
      <w:r>
        <w:rPr>
          <w:rFonts w:hint="eastAsia" w:ascii="宋体"/>
        </w:rPr>
        <w:t>20.响应文件的递交</w:t>
      </w:r>
    </w:p>
    <w:p>
      <w:pPr>
        <w:tabs>
          <w:tab w:val="left" w:pos="851"/>
        </w:tabs>
        <w:snapToGrid w:val="0"/>
        <w:spacing w:line="360" w:lineRule="auto"/>
        <w:ind w:firstLine="525" w:firstLineChars="250"/>
        <w:rPr>
          <w:rFonts w:ascii="宋体" w:hAnsi="宋体"/>
        </w:rPr>
      </w:pPr>
      <w:r>
        <w:rPr>
          <w:rFonts w:hint="eastAsia" w:ascii="宋体" w:hAnsi="宋体" w:cs="宋体"/>
        </w:rPr>
        <w:t xml:space="preserve">20.1 </w:t>
      </w:r>
      <w:r>
        <w:rPr>
          <w:rFonts w:hint="eastAsia" w:ascii="宋体" w:hAnsi="宋体"/>
        </w:rPr>
        <w:t>资格性响应文件和其他响应文件应于递交响应文件截止时间前送达指定地点，采购代理机构拒绝接收截止时间后送达的响应文件。</w:t>
      </w:r>
    </w:p>
    <w:p>
      <w:pPr>
        <w:tabs>
          <w:tab w:val="left" w:pos="851"/>
        </w:tabs>
        <w:snapToGrid w:val="0"/>
        <w:spacing w:line="360" w:lineRule="auto"/>
        <w:ind w:firstLine="525" w:firstLineChars="250"/>
        <w:rPr>
          <w:rFonts w:ascii="宋体" w:hAnsi="宋体"/>
        </w:rPr>
      </w:pPr>
      <w:r>
        <w:rPr>
          <w:rFonts w:hint="eastAsia" w:ascii="宋体" w:hAnsi="宋体"/>
        </w:rPr>
        <w:t>20.2 采购代理机构将向通过资格审查的供应商发出磋商邀请；告知未通过资格审查的供应商未通过的原因。</w:t>
      </w:r>
    </w:p>
    <w:p>
      <w:pPr>
        <w:tabs>
          <w:tab w:val="left" w:pos="851"/>
        </w:tabs>
        <w:snapToGrid w:val="0"/>
        <w:spacing w:line="360" w:lineRule="auto"/>
        <w:ind w:firstLine="525" w:firstLineChars="250"/>
        <w:rPr>
          <w:rFonts w:ascii="宋体" w:hAnsi="宋体"/>
        </w:rPr>
      </w:pPr>
      <w:r>
        <w:rPr>
          <w:rFonts w:hint="eastAsia" w:ascii="宋体" w:hAnsi="宋体"/>
        </w:rPr>
        <w:t>20.3 报价表在磋商后，磋商小组要求供应商进行最后报价时递交。</w:t>
      </w:r>
    </w:p>
    <w:p>
      <w:pPr>
        <w:tabs>
          <w:tab w:val="left" w:pos="851"/>
        </w:tabs>
        <w:snapToGrid w:val="0"/>
        <w:spacing w:line="360" w:lineRule="auto"/>
        <w:ind w:firstLine="525" w:firstLineChars="250"/>
        <w:rPr>
          <w:rFonts w:ascii="宋体" w:hAnsi="宋体" w:cs="宋体"/>
        </w:rPr>
      </w:pPr>
      <w:r>
        <w:rPr>
          <w:rFonts w:hint="eastAsia" w:ascii="宋体" w:hAnsi="宋体"/>
        </w:rPr>
        <w:t>20.4 本次采购不</w:t>
      </w:r>
      <w:r>
        <w:rPr>
          <w:rFonts w:hint="eastAsia" w:ascii="宋体" w:hAnsi="宋体" w:cs="宋体"/>
        </w:rPr>
        <w:t>接收邮寄的响应文件。</w:t>
      </w:r>
    </w:p>
    <w:bookmarkEnd w:id="173"/>
    <w:bookmarkEnd w:id="174"/>
    <w:bookmarkEnd w:id="175"/>
    <w:bookmarkEnd w:id="176"/>
    <w:bookmarkEnd w:id="177"/>
    <w:p>
      <w:pPr>
        <w:pStyle w:val="5"/>
        <w:snapToGrid w:val="0"/>
        <w:spacing w:before="0" w:after="0" w:line="360" w:lineRule="auto"/>
        <w:ind w:firstLine="482" w:firstLineChars="200"/>
        <w:rPr>
          <w:rFonts w:ascii="宋体" w:hAnsi="宋体"/>
        </w:rPr>
      </w:pPr>
      <w:bookmarkStart w:id="178" w:name="_Toc217446055"/>
      <w:bookmarkStart w:id="179" w:name="_Toc183682365"/>
      <w:bookmarkStart w:id="180" w:name="_Toc183582228"/>
      <w:r>
        <w:rPr>
          <w:rFonts w:hint="eastAsia" w:ascii="宋体" w:hAnsi="宋体"/>
        </w:rPr>
        <w:t>21.响应文件的修改和撤回（补充、修改响应文件的</w:t>
      </w:r>
      <w:r>
        <w:rPr>
          <w:rFonts w:hint="eastAsia" w:ascii="宋体"/>
        </w:rPr>
        <w:t>密封和标注按照本章“19.响应文件的密封和标注”规定处理</w:t>
      </w:r>
      <w:r>
        <w:rPr>
          <w:rFonts w:hint="eastAsia" w:ascii="宋体" w:hAnsi="宋体"/>
        </w:rPr>
        <w:t>）</w:t>
      </w:r>
    </w:p>
    <w:p>
      <w:pPr>
        <w:tabs>
          <w:tab w:val="left" w:pos="851"/>
        </w:tabs>
        <w:snapToGrid w:val="0"/>
        <w:spacing w:line="360" w:lineRule="auto"/>
        <w:ind w:firstLine="525" w:firstLineChars="250"/>
        <w:rPr>
          <w:rFonts w:ascii="宋体" w:hAnsi="宋体" w:cs="宋体"/>
        </w:rPr>
      </w:pPr>
      <w:r>
        <w:rPr>
          <w:rFonts w:hint="eastAsia" w:ascii="宋体" w:hAnsi="宋体" w:cs="宋体"/>
        </w:rPr>
        <w:t>21.1供应商在提交响应文件后可对其响应文件进行修改或撤回，但该修改或撤回的书面通知须在递交截止时间之前送达采购代理机构，补充、修改的内容作为响应文件的组成部分。且该通知需经正式授权的</w:t>
      </w:r>
      <w:r>
        <w:rPr>
          <w:rFonts w:hint="eastAsia" w:ascii="宋体" w:hAnsi="宋体"/>
        </w:rPr>
        <w:t>供应商</w:t>
      </w:r>
      <w:r>
        <w:rPr>
          <w:rFonts w:hint="eastAsia" w:ascii="宋体" w:hAnsi="宋体" w:cs="宋体"/>
        </w:rPr>
        <w:t>代表签字方为有效。供应商在提交响应文件截止时间前，可以对所提交的响应文件进行补充、修改或者撤回，补充、修改的内容与响应文件不一致的，以补充、修改的内容为准。</w:t>
      </w:r>
    </w:p>
    <w:p>
      <w:pPr>
        <w:tabs>
          <w:tab w:val="left" w:pos="851"/>
        </w:tabs>
        <w:snapToGrid w:val="0"/>
        <w:spacing w:line="360" w:lineRule="auto"/>
        <w:ind w:firstLine="525" w:firstLineChars="250"/>
        <w:rPr>
          <w:rFonts w:ascii="宋体" w:hAnsi="宋体" w:cs="宋体"/>
        </w:rPr>
      </w:pPr>
      <w:r>
        <w:rPr>
          <w:rFonts w:hint="eastAsia" w:ascii="宋体" w:hAnsi="宋体" w:cs="宋体"/>
        </w:rPr>
        <w:t>21.2供应商对响应文件修改的书面材料或撤回的通知应该按规定进行编写、密封、标注和递送，并注明“修改响应文件”字样。</w:t>
      </w:r>
    </w:p>
    <w:p>
      <w:pPr>
        <w:tabs>
          <w:tab w:val="left" w:pos="851"/>
        </w:tabs>
        <w:snapToGrid w:val="0"/>
        <w:spacing w:line="360" w:lineRule="auto"/>
        <w:ind w:firstLine="525" w:firstLineChars="250"/>
        <w:rPr>
          <w:rFonts w:ascii="宋体" w:hAnsi="宋体" w:cs="宋体"/>
        </w:rPr>
      </w:pPr>
      <w:r>
        <w:rPr>
          <w:rFonts w:hint="eastAsia" w:ascii="宋体" w:hAnsi="宋体" w:cs="宋体"/>
        </w:rPr>
        <w:t>21.3供应商不得在递交截止时间起至响应文件有效期期满前撤销其响应文件。否则其磋商保证金将按相关规定不予退还。</w:t>
      </w:r>
    </w:p>
    <w:p>
      <w:pPr>
        <w:tabs>
          <w:tab w:val="left" w:pos="851"/>
        </w:tabs>
        <w:snapToGrid w:val="0"/>
        <w:spacing w:line="360" w:lineRule="auto"/>
        <w:ind w:firstLine="525" w:firstLineChars="250"/>
        <w:rPr>
          <w:rFonts w:ascii="宋体" w:hAnsi="宋体" w:cs="宋体"/>
        </w:rPr>
      </w:pPr>
      <w:r>
        <w:rPr>
          <w:rFonts w:hint="eastAsia" w:ascii="宋体" w:hAnsi="宋体" w:cs="宋体"/>
        </w:rPr>
        <w:t>21.4供应商对其提交的响应文件的真实性、合法性承担法律责任。</w:t>
      </w:r>
      <w:bookmarkEnd w:id="178"/>
      <w:bookmarkEnd w:id="179"/>
      <w:bookmarkEnd w:id="180"/>
    </w:p>
    <w:p>
      <w:pPr>
        <w:pStyle w:val="4"/>
        <w:snapToGrid w:val="0"/>
        <w:spacing w:before="0" w:after="0" w:line="360" w:lineRule="auto"/>
      </w:pPr>
      <w:bookmarkStart w:id="181" w:name="_Toc28962"/>
      <w:bookmarkStart w:id="182" w:name="_Toc4578831"/>
      <w:bookmarkStart w:id="183" w:name="_Toc26199"/>
      <w:bookmarkStart w:id="184" w:name="_Toc5004997"/>
      <w:bookmarkStart w:id="185" w:name="_Toc11275"/>
      <w:bookmarkStart w:id="186" w:name="_Toc13041_WPSOffice_Level2"/>
      <w:bookmarkStart w:id="187" w:name="_Toc760"/>
      <w:bookmarkStart w:id="188" w:name="_Toc6358"/>
      <w:bookmarkStart w:id="189" w:name="_Toc4659693"/>
      <w:bookmarkStart w:id="190" w:name="_Toc15551"/>
      <w:bookmarkStart w:id="191" w:name="_Toc17177"/>
      <w:bookmarkStart w:id="192" w:name="_Toc5226"/>
      <w:bookmarkStart w:id="193" w:name="_Toc217446056"/>
      <w:bookmarkStart w:id="194" w:name="_Toc183682368"/>
      <w:bookmarkStart w:id="195" w:name="_Toc183582231"/>
      <w:bookmarkStart w:id="196" w:name="_Toc77400782"/>
      <w:bookmarkStart w:id="197" w:name="_Toc89075878"/>
      <w:r>
        <w:rPr>
          <w:rFonts w:hint="eastAsia"/>
        </w:rPr>
        <w:t>五、评审</w:t>
      </w:r>
      <w:bookmarkEnd w:id="181"/>
      <w:bookmarkEnd w:id="182"/>
      <w:bookmarkEnd w:id="183"/>
      <w:bookmarkEnd w:id="184"/>
      <w:bookmarkEnd w:id="185"/>
      <w:bookmarkEnd w:id="186"/>
      <w:bookmarkEnd w:id="187"/>
      <w:bookmarkEnd w:id="188"/>
      <w:bookmarkEnd w:id="189"/>
      <w:bookmarkEnd w:id="190"/>
      <w:bookmarkEnd w:id="191"/>
      <w:bookmarkEnd w:id="192"/>
    </w:p>
    <w:p>
      <w:pPr>
        <w:pStyle w:val="5"/>
        <w:snapToGrid w:val="0"/>
        <w:spacing w:before="0" w:after="0" w:line="360" w:lineRule="auto"/>
        <w:ind w:firstLine="482" w:firstLineChars="200"/>
        <w:rPr>
          <w:rFonts w:ascii="宋体" w:hAnsi="宋体"/>
        </w:rPr>
      </w:pPr>
      <w:bookmarkStart w:id="198" w:name="_Toc4578832"/>
      <w:bookmarkStart w:id="199" w:name="_Toc4659694"/>
      <w:bookmarkStart w:id="200" w:name="_Toc5004998"/>
      <w:r>
        <w:rPr>
          <w:rFonts w:hint="eastAsia" w:ascii="宋体" w:hAnsi="宋体"/>
        </w:rPr>
        <w:t>22.磋商小组的组建及其评审工作按照有关法律制度和本文件第八章的规定进行。</w:t>
      </w:r>
      <w:bookmarkEnd w:id="198"/>
      <w:bookmarkEnd w:id="199"/>
      <w:bookmarkEnd w:id="200"/>
    </w:p>
    <w:p>
      <w:pPr>
        <w:pStyle w:val="4"/>
        <w:snapToGrid w:val="0"/>
        <w:spacing w:before="0" w:after="0" w:line="360" w:lineRule="auto"/>
      </w:pPr>
      <w:bookmarkStart w:id="201" w:name="_Toc21624"/>
      <w:bookmarkStart w:id="202" w:name="_Toc29286"/>
      <w:bookmarkStart w:id="203" w:name="_Toc4659695"/>
      <w:bookmarkStart w:id="204" w:name="_Toc4578833"/>
      <w:bookmarkStart w:id="205" w:name="_Toc28916"/>
      <w:bookmarkStart w:id="206" w:name="_Toc13200"/>
      <w:bookmarkStart w:id="207" w:name="_Toc27893"/>
      <w:bookmarkStart w:id="208" w:name="_Toc32383"/>
      <w:bookmarkStart w:id="209" w:name="_Toc638_WPSOffice_Level2"/>
      <w:bookmarkStart w:id="210" w:name="_Toc5004999"/>
      <w:bookmarkStart w:id="211" w:name="_Toc13942"/>
      <w:bookmarkStart w:id="212" w:name="_Toc14291"/>
      <w:r>
        <w:rPr>
          <w:rFonts w:hint="eastAsia"/>
        </w:rPr>
        <w:t>六、成交事项</w:t>
      </w:r>
      <w:bookmarkEnd w:id="201"/>
      <w:bookmarkEnd w:id="202"/>
      <w:bookmarkEnd w:id="203"/>
      <w:bookmarkEnd w:id="204"/>
      <w:bookmarkEnd w:id="205"/>
      <w:bookmarkEnd w:id="206"/>
      <w:bookmarkEnd w:id="207"/>
      <w:bookmarkEnd w:id="208"/>
      <w:bookmarkEnd w:id="209"/>
      <w:bookmarkEnd w:id="210"/>
      <w:bookmarkEnd w:id="211"/>
      <w:bookmarkEnd w:id="212"/>
    </w:p>
    <w:p>
      <w:pPr>
        <w:pStyle w:val="5"/>
        <w:snapToGrid w:val="0"/>
        <w:spacing w:before="0" w:after="0" w:line="360" w:lineRule="auto"/>
        <w:ind w:firstLine="482" w:firstLineChars="200"/>
        <w:rPr>
          <w:rFonts w:ascii="宋体" w:hAnsi="宋体"/>
        </w:rPr>
      </w:pPr>
      <w:bookmarkStart w:id="213" w:name="_Toc5005000"/>
      <w:bookmarkStart w:id="214" w:name="_Toc4659696"/>
      <w:bookmarkStart w:id="215" w:name="_Toc4578834"/>
      <w:r>
        <w:rPr>
          <w:rFonts w:hint="eastAsia" w:ascii="宋体" w:hAnsi="宋体"/>
        </w:rPr>
        <w:t>23.确定成交供应商</w:t>
      </w:r>
      <w:bookmarkEnd w:id="213"/>
      <w:bookmarkEnd w:id="214"/>
      <w:bookmarkEnd w:id="215"/>
    </w:p>
    <w:p>
      <w:pPr>
        <w:tabs>
          <w:tab w:val="left" w:pos="851"/>
        </w:tabs>
        <w:snapToGrid w:val="0"/>
        <w:spacing w:line="360" w:lineRule="auto"/>
        <w:ind w:firstLine="525" w:firstLineChars="250"/>
        <w:rPr>
          <w:rFonts w:ascii="宋体" w:hAnsi="宋体" w:cs="宋体"/>
        </w:rPr>
      </w:pPr>
      <w:bookmarkStart w:id="216" w:name="_Toc5005001"/>
      <w:bookmarkStart w:id="217" w:name="_Toc4578835"/>
      <w:bookmarkStart w:id="218" w:name="_Toc4659697"/>
      <w:r>
        <w:rPr>
          <w:rFonts w:hint="eastAsia" w:ascii="宋体" w:hAnsi="宋体" w:cs="宋体"/>
        </w:rPr>
        <w:t>方式一：采购人将按磋商小组推荐的成交候选供应商顺序确定成交供应商。</w:t>
      </w:r>
      <w:bookmarkEnd w:id="216"/>
      <w:bookmarkEnd w:id="217"/>
      <w:bookmarkEnd w:id="218"/>
    </w:p>
    <w:p>
      <w:pPr>
        <w:tabs>
          <w:tab w:val="left" w:pos="851"/>
        </w:tabs>
        <w:snapToGrid w:val="0"/>
        <w:spacing w:line="360" w:lineRule="auto"/>
        <w:ind w:firstLine="525" w:firstLineChars="250"/>
        <w:rPr>
          <w:rFonts w:ascii="宋体" w:hAnsi="宋体" w:cs="宋体"/>
        </w:rPr>
      </w:pPr>
      <w:bookmarkStart w:id="219" w:name="_Toc5005002"/>
      <w:bookmarkStart w:id="220" w:name="_Toc4578836"/>
      <w:bookmarkStart w:id="221" w:name="_Toc4659698"/>
      <w:r>
        <w:rPr>
          <w:rFonts w:hint="eastAsia" w:ascii="宋体" w:hAnsi="宋体" w:cs="宋体"/>
        </w:rPr>
        <w:t>方式二：采购人授权磋商小组根据综合评分排名直接确定成交供应商。</w:t>
      </w:r>
      <w:bookmarkEnd w:id="219"/>
      <w:bookmarkEnd w:id="220"/>
      <w:bookmarkEnd w:id="221"/>
    </w:p>
    <w:p>
      <w:pPr>
        <w:tabs>
          <w:tab w:val="left" w:pos="851"/>
        </w:tabs>
        <w:snapToGrid w:val="0"/>
        <w:spacing w:line="360" w:lineRule="auto"/>
        <w:ind w:firstLine="527" w:firstLineChars="250"/>
        <w:rPr>
          <w:rFonts w:ascii="宋体" w:hAnsi="宋体" w:cs="宋体"/>
          <w:b/>
          <w:bCs/>
        </w:rPr>
      </w:pPr>
      <w:bookmarkStart w:id="222" w:name="_Toc4578837"/>
      <w:bookmarkStart w:id="223" w:name="_Toc5005003"/>
      <w:bookmarkStart w:id="224" w:name="_Toc4659699"/>
      <w:r>
        <w:rPr>
          <w:rFonts w:hint="eastAsia" w:ascii="宋体" w:hAnsi="宋体" w:cs="宋体"/>
          <w:b/>
          <w:bCs/>
        </w:rPr>
        <w:t>本项目采用方式一确定成交供应商。</w:t>
      </w:r>
      <w:bookmarkEnd w:id="222"/>
      <w:bookmarkEnd w:id="223"/>
      <w:bookmarkEnd w:id="224"/>
    </w:p>
    <w:p>
      <w:pPr>
        <w:tabs>
          <w:tab w:val="left" w:pos="851"/>
        </w:tabs>
        <w:snapToGrid w:val="0"/>
        <w:spacing w:line="360" w:lineRule="auto"/>
        <w:ind w:firstLine="525" w:firstLineChars="250"/>
        <w:rPr>
          <w:rFonts w:ascii="宋体" w:hAnsi="宋体"/>
        </w:rPr>
      </w:pPr>
      <w:bookmarkStart w:id="225" w:name="_Toc4578838"/>
      <w:bookmarkStart w:id="226" w:name="_Toc5005004"/>
      <w:bookmarkStart w:id="227" w:name="_Toc4659700"/>
      <w:r>
        <w:rPr>
          <w:rFonts w:hint="eastAsia" w:ascii="宋体" w:hAnsi="宋体" w:cs="宋体"/>
        </w:rPr>
        <w:t>2</w:t>
      </w:r>
      <w:r>
        <w:rPr>
          <w:rFonts w:hint="eastAsia" w:ascii="宋体" w:hAnsi="宋体"/>
        </w:rPr>
        <w:t>3.1采购代理机构自评审结束后2个工作日内将磋商报告及有关资料送交采购人确定成交供应商。</w:t>
      </w:r>
      <w:bookmarkEnd w:id="225"/>
      <w:bookmarkEnd w:id="226"/>
      <w:bookmarkEnd w:id="227"/>
    </w:p>
    <w:p>
      <w:pPr>
        <w:tabs>
          <w:tab w:val="left" w:pos="1080"/>
        </w:tabs>
        <w:snapToGrid w:val="0"/>
        <w:spacing w:line="360" w:lineRule="auto"/>
        <w:ind w:firstLine="420" w:firstLineChars="200"/>
        <w:rPr>
          <w:rFonts w:ascii="宋体" w:hAnsi="宋体"/>
        </w:rPr>
      </w:pPr>
      <w:bookmarkStart w:id="228" w:name="_Toc4659701"/>
      <w:bookmarkStart w:id="229" w:name="_Toc5005005"/>
      <w:bookmarkStart w:id="230" w:name="_Toc4578839"/>
      <w:r>
        <w:rPr>
          <w:rFonts w:hint="eastAsia" w:ascii="宋体" w:hAnsi="宋体"/>
        </w:rPr>
        <w:t>23.2采购人收到磋商报告及有关资料后，</w:t>
      </w:r>
      <w:r>
        <w:rPr>
          <w:rFonts w:hint="eastAsia" w:ascii="宋体" w:hAnsi="宋体" w:cs="宋体"/>
          <w:szCs w:val="21"/>
        </w:rPr>
        <w:t>根据《成都都市圈(成德眉资同城化)稳定公平可及营商环境建设专项行动方案》要求，</w:t>
      </w:r>
      <w:r>
        <w:rPr>
          <w:rFonts w:hint="eastAsia" w:ascii="宋体" w:hAnsi="宋体"/>
        </w:rPr>
        <w:t>将在3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bookmarkEnd w:id="228"/>
      <w:bookmarkEnd w:id="229"/>
      <w:bookmarkEnd w:id="230"/>
    </w:p>
    <w:p>
      <w:pPr>
        <w:tabs>
          <w:tab w:val="left" w:pos="851"/>
        </w:tabs>
        <w:snapToGrid w:val="0"/>
        <w:spacing w:line="360" w:lineRule="auto"/>
        <w:ind w:firstLine="525" w:firstLineChars="250"/>
        <w:rPr>
          <w:rFonts w:ascii="宋体" w:hAnsi="宋体"/>
        </w:rPr>
      </w:pPr>
      <w:bookmarkStart w:id="231" w:name="_Toc4659702"/>
      <w:bookmarkStart w:id="232" w:name="_Toc5005006"/>
      <w:bookmarkStart w:id="233" w:name="_Toc4578840"/>
      <w:r>
        <w:rPr>
          <w:rFonts w:hint="eastAsia" w:ascii="宋体" w:hAnsi="宋体"/>
        </w:rPr>
        <w:t>23.3采购人确定成交供应商过程中，发现成交候选供应商有下列情形之一的，应当不予确定其为成交供应商：</w:t>
      </w:r>
      <w:bookmarkEnd w:id="231"/>
      <w:bookmarkEnd w:id="232"/>
      <w:bookmarkEnd w:id="233"/>
    </w:p>
    <w:p>
      <w:pPr>
        <w:tabs>
          <w:tab w:val="left" w:pos="851"/>
        </w:tabs>
        <w:snapToGrid w:val="0"/>
        <w:spacing w:line="360" w:lineRule="auto"/>
        <w:ind w:firstLine="525" w:firstLineChars="250"/>
        <w:rPr>
          <w:rFonts w:ascii="宋体" w:hAnsi="宋体"/>
        </w:rPr>
      </w:pPr>
      <w:bookmarkStart w:id="234" w:name="_Toc4659703"/>
      <w:bookmarkStart w:id="235" w:name="_Toc5005007"/>
      <w:bookmarkStart w:id="236" w:name="_Toc4578841"/>
      <w:r>
        <w:rPr>
          <w:rFonts w:hint="eastAsia" w:ascii="宋体" w:hAnsi="宋体"/>
        </w:rPr>
        <w:t>（1）发现成交候选供应商存在禁止参加本项目采购活动的违法行为的；</w:t>
      </w:r>
      <w:bookmarkEnd w:id="234"/>
      <w:bookmarkEnd w:id="235"/>
      <w:bookmarkEnd w:id="236"/>
    </w:p>
    <w:p>
      <w:pPr>
        <w:tabs>
          <w:tab w:val="left" w:pos="851"/>
        </w:tabs>
        <w:snapToGrid w:val="0"/>
        <w:spacing w:line="360" w:lineRule="auto"/>
        <w:ind w:firstLine="525" w:firstLineChars="250"/>
        <w:rPr>
          <w:rFonts w:ascii="宋体" w:hAnsi="宋体"/>
        </w:rPr>
      </w:pPr>
      <w:bookmarkStart w:id="237" w:name="_Toc4578842"/>
      <w:bookmarkStart w:id="238" w:name="_Toc4659704"/>
      <w:bookmarkStart w:id="239" w:name="_Toc5005008"/>
      <w:r>
        <w:rPr>
          <w:rFonts w:hint="eastAsia" w:ascii="宋体" w:hAnsi="宋体"/>
        </w:rPr>
        <w:t>（2）成交候选供应商因不可抗力，不能继续参加采购活动；</w:t>
      </w:r>
      <w:bookmarkEnd w:id="237"/>
      <w:bookmarkEnd w:id="238"/>
      <w:bookmarkEnd w:id="239"/>
    </w:p>
    <w:p>
      <w:pPr>
        <w:tabs>
          <w:tab w:val="left" w:pos="851"/>
        </w:tabs>
        <w:snapToGrid w:val="0"/>
        <w:spacing w:line="360" w:lineRule="auto"/>
        <w:ind w:firstLine="525" w:firstLineChars="250"/>
        <w:rPr>
          <w:rFonts w:ascii="宋体" w:hAnsi="宋体"/>
        </w:rPr>
      </w:pPr>
      <w:bookmarkStart w:id="240" w:name="_Toc4578843"/>
      <w:bookmarkStart w:id="241" w:name="_Toc4659705"/>
      <w:bookmarkStart w:id="242" w:name="_Toc5005009"/>
      <w:r>
        <w:rPr>
          <w:rFonts w:hint="eastAsia" w:ascii="宋体" w:hAnsi="宋体"/>
        </w:rPr>
        <w:t>（3）成交候选供应商无偿赠与或者低于成本价竞争；</w:t>
      </w:r>
      <w:bookmarkEnd w:id="240"/>
      <w:bookmarkEnd w:id="241"/>
      <w:bookmarkEnd w:id="242"/>
    </w:p>
    <w:p>
      <w:pPr>
        <w:tabs>
          <w:tab w:val="left" w:pos="851"/>
        </w:tabs>
        <w:snapToGrid w:val="0"/>
        <w:spacing w:line="360" w:lineRule="auto"/>
        <w:ind w:firstLine="525" w:firstLineChars="250"/>
        <w:rPr>
          <w:rFonts w:ascii="宋体" w:hAnsi="宋体"/>
        </w:rPr>
      </w:pPr>
      <w:bookmarkStart w:id="243" w:name="_Toc4578844"/>
      <w:bookmarkStart w:id="244" w:name="_Toc5005010"/>
      <w:bookmarkStart w:id="245" w:name="_Toc4659706"/>
      <w:r>
        <w:rPr>
          <w:rFonts w:hint="eastAsia" w:ascii="宋体" w:hAnsi="宋体"/>
        </w:rPr>
        <w:t>（4）成交候选供应商提供虚假材料；</w:t>
      </w:r>
      <w:bookmarkEnd w:id="243"/>
      <w:bookmarkEnd w:id="244"/>
      <w:bookmarkEnd w:id="245"/>
    </w:p>
    <w:p>
      <w:pPr>
        <w:tabs>
          <w:tab w:val="left" w:pos="851"/>
        </w:tabs>
        <w:snapToGrid w:val="0"/>
        <w:spacing w:line="360" w:lineRule="auto"/>
        <w:ind w:firstLine="525" w:firstLineChars="250"/>
        <w:rPr>
          <w:rFonts w:ascii="宋体" w:hAnsi="宋体"/>
        </w:rPr>
      </w:pPr>
      <w:bookmarkStart w:id="246" w:name="_Toc4659707"/>
      <w:bookmarkStart w:id="247" w:name="_Toc4578845"/>
      <w:bookmarkStart w:id="248" w:name="_Toc5005011"/>
      <w:r>
        <w:rPr>
          <w:rFonts w:hint="eastAsia" w:ascii="宋体" w:hAnsi="宋体"/>
        </w:rPr>
        <w:t>（5）成交候选供应商恶意串通。</w:t>
      </w:r>
      <w:bookmarkEnd w:id="246"/>
      <w:bookmarkEnd w:id="247"/>
      <w:bookmarkEnd w:id="248"/>
    </w:p>
    <w:p>
      <w:pPr>
        <w:pStyle w:val="5"/>
        <w:snapToGrid w:val="0"/>
        <w:spacing w:before="0" w:after="0" w:line="360" w:lineRule="auto"/>
        <w:ind w:firstLine="482" w:firstLineChars="200"/>
        <w:rPr>
          <w:rFonts w:ascii="宋体" w:hAnsi="宋体"/>
        </w:rPr>
      </w:pPr>
      <w:bookmarkStart w:id="249" w:name="_Toc4578846"/>
      <w:bookmarkStart w:id="250" w:name="_Toc4659708"/>
      <w:bookmarkStart w:id="251" w:name="_Toc5005012"/>
      <w:r>
        <w:rPr>
          <w:rFonts w:hint="eastAsia" w:ascii="宋体" w:hAnsi="宋体"/>
        </w:rPr>
        <w:t>24.行贿犯罪档案查询</w:t>
      </w:r>
      <w:bookmarkEnd w:id="249"/>
      <w:bookmarkEnd w:id="250"/>
      <w:bookmarkEnd w:id="251"/>
    </w:p>
    <w:p>
      <w:pPr>
        <w:tabs>
          <w:tab w:val="left" w:pos="851"/>
        </w:tabs>
        <w:snapToGrid w:val="0"/>
        <w:spacing w:line="360" w:lineRule="auto"/>
        <w:ind w:firstLine="525" w:firstLineChars="250"/>
        <w:rPr>
          <w:rFonts w:ascii="宋体" w:hAnsi="宋体"/>
        </w:rPr>
      </w:pPr>
      <w:bookmarkStart w:id="252" w:name="_Toc5005013"/>
      <w:bookmarkStart w:id="253" w:name="_Toc4578847"/>
      <w:bookmarkStart w:id="254" w:name="_Toc4659709"/>
      <w:r>
        <w:rPr>
          <w:rFonts w:hint="eastAsia" w:ascii="宋体" w:hAnsi="宋体"/>
        </w:rPr>
        <w:t>24.1供应商应在磋商文件中向采购人提交无行贿犯罪记录承诺。</w:t>
      </w:r>
      <w:bookmarkEnd w:id="252"/>
      <w:bookmarkEnd w:id="253"/>
      <w:bookmarkEnd w:id="254"/>
    </w:p>
    <w:p>
      <w:pPr>
        <w:tabs>
          <w:tab w:val="left" w:pos="851"/>
        </w:tabs>
        <w:snapToGrid w:val="0"/>
        <w:spacing w:line="360" w:lineRule="auto"/>
        <w:ind w:firstLine="525" w:firstLineChars="250"/>
        <w:rPr>
          <w:rFonts w:ascii="宋体" w:hAnsi="宋体"/>
        </w:rPr>
      </w:pPr>
      <w:bookmarkStart w:id="255" w:name="_Toc4578848"/>
      <w:bookmarkStart w:id="256" w:name="_Toc5005014"/>
      <w:bookmarkStart w:id="257" w:name="_Toc4659710"/>
      <w:r>
        <w:rPr>
          <w:rFonts w:hint="eastAsia" w:ascii="宋体" w:hAnsi="宋体"/>
        </w:rPr>
        <w:t>24.2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bookmarkEnd w:id="255"/>
      <w:bookmarkEnd w:id="256"/>
      <w:bookmarkEnd w:id="257"/>
    </w:p>
    <w:p>
      <w:pPr>
        <w:pStyle w:val="5"/>
        <w:snapToGrid w:val="0"/>
        <w:spacing w:before="0" w:after="0" w:line="360" w:lineRule="auto"/>
        <w:ind w:firstLine="482" w:firstLineChars="200"/>
        <w:rPr>
          <w:rFonts w:ascii="宋体" w:hAnsi="宋体"/>
        </w:rPr>
      </w:pPr>
      <w:bookmarkStart w:id="258" w:name="_Toc4578849"/>
      <w:bookmarkStart w:id="259" w:name="_Toc5005015"/>
      <w:bookmarkStart w:id="260" w:name="_Toc4659711"/>
      <w:r>
        <w:rPr>
          <w:rFonts w:hint="eastAsia" w:ascii="宋体" w:hAnsi="宋体"/>
        </w:rPr>
        <w:t>25.成交结果</w:t>
      </w:r>
      <w:bookmarkEnd w:id="258"/>
      <w:bookmarkEnd w:id="259"/>
      <w:bookmarkEnd w:id="260"/>
    </w:p>
    <w:p>
      <w:pPr>
        <w:tabs>
          <w:tab w:val="left" w:pos="851"/>
        </w:tabs>
        <w:snapToGrid w:val="0"/>
        <w:spacing w:line="360" w:lineRule="auto"/>
        <w:ind w:firstLine="525" w:firstLineChars="250"/>
        <w:rPr>
          <w:rFonts w:ascii="宋体" w:hAnsi="宋体"/>
        </w:rPr>
      </w:pPr>
      <w:bookmarkStart w:id="261" w:name="_Toc5005016"/>
      <w:bookmarkStart w:id="262" w:name="_Toc4659712"/>
      <w:bookmarkStart w:id="263" w:name="_Toc4578850"/>
      <w:r>
        <w:rPr>
          <w:rFonts w:hint="eastAsia" w:ascii="宋体" w:hAnsi="宋体"/>
        </w:rPr>
        <w:t>25.1采购人确定成交供应商后，将及时书面通知采购代理机构，发出成交通知书并发布成交结果公告。</w:t>
      </w:r>
      <w:bookmarkEnd w:id="261"/>
      <w:bookmarkEnd w:id="262"/>
      <w:bookmarkEnd w:id="263"/>
    </w:p>
    <w:p>
      <w:pPr>
        <w:tabs>
          <w:tab w:val="left" w:pos="851"/>
        </w:tabs>
        <w:snapToGrid w:val="0"/>
        <w:spacing w:line="360" w:lineRule="auto"/>
        <w:ind w:firstLine="525" w:firstLineChars="250"/>
        <w:rPr>
          <w:rFonts w:ascii="宋体" w:hAnsi="宋体"/>
        </w:rPr>
      </w:pPr>
      <w:r>
        <w:rPr>
          <w:rFonts w:hint="eastAsia" w:ascii="宋体" w:hAnsi="宋体"/>
        </w:rPr>
        <w:t>25.2成交供应商应当及时领取成交通知书。本项目若需要交纳履约保证金的，成交供应商应当及时向采购人交纳。</w:t>
      </w:r>
    </w:p>
    <w:p>
      <w:pPr>
        <w:tabs>
          <w:tab w:val="left" w:pos="851"/>
        </w:tabs>
        <w:snapToGrid w:val="0"/>
        <w:spacing w:line="360" w:lineRule="auto"/>
        <w:ind w:firstLine="525" w:firstLineChars="250"/>
        <w:rPr>
          <w:rFonts w:ascii="宋体" w:hAnsi="宋体"/>
        </w:rPr>
      </w:pPr>
      <w:r>
        <w:rPr>
          <w:rFonts w:hint="eastAsia" w:ascii="宋体" w:hAnsi="宋体"/>
        </w:rPr>
        <w:t>25.3成交供应商不能及时领取成交通知书，采购人或者采购代理机应当通过邮寄、快递等方式将项目成交通知书送达成交供应商。</w:t>
      </w:r>
    </w:p>
    <w:p>
      <w:pPr>
        <w:pStyle w:val="5"/>
        <w:snapToGrid w:val="0"/>
        <w:spacing w:before="0" w:after="0" w:line="360" w:lineRule="auto"/>
        <w:ind w:firstLine="482" w:firstLineChars="200"/>
        <w:rPr>
          <w:rFonts w:ascii="宋体" w:hAnsi="宋体"/>
          <w:szCs w:val="24"/>
        </w:rPr>
      </w:pPr>
      <w:bookmarkStart w:id="264" w:name="_Toc4578851"/>
      <w:bookmarkStart w:id="265" w:name="_Toc4659713"/>
      <w:bookmarkStart w:id="266" w:name="_Toc5005017"/>
      <w:bookmarkStart w:id="267" w:name="_Toc4659717"/>
      <w:bookmarkStart w:id="268" w:name="_Toc4578855"/>
      <w:bookmarkStart w:id="269" w:name="_Toc5005021"/>
      <w:bookmarkStart w:id="270" w:name="_Toc16087_WPSOffice_Level2"/>
      <w:r>
        <w:rPr>
          <w:rFonts w:hint="eastAsia" w:ascii="宋体" w:hAnsi="宋体"/>
          <w:szCs w:val="24"/>
        </w:rPr>
        <w:t>26.成交通知书</w:t>
      </w:r>
      <w:bookmarkEnd w:id="264"/>
      <w:bookmarkEnd w:id="265"/>
      <w:bookmarkEnd w:id="266"/>
    </w:p>
    <w:p>
      <w:pPr>
        <w:tabs>
          <w:tab w:val="left" w:pos="851"/>
        </w:tabs>
        <w:snapToGrid w:val="0"/>
        <w:spacing w:line="360" w:lineRule="auto"/>
        <w:ind w:firstLine="525" w:firstLineChars="250"/>
        <w:rPr>
          <w:rFonts w:ascii="宋体" w:hAnsi="宋体"/>
        </w:rPr>
      </w:pPr>
      <w:bookmarkStart w:id="271" w:name="_Toc4659714"/>
      <w:bookmarkStart w:id="272" w:name="_Toc5005018"/>
      <w:bookmarkStart w:id="273" w:name="_Toc4578852"/>
      <w:r>
        <w:rPr>
          <w:rFonts w:hint="eastAsia" w:ascii="宋体" w:hAnsi="宋体"/>
        </w:rPr>
        <w:t>26.1成交通知书为签订采购合同的依据之一，是合同的有效组成部分。</w:t>
      </w:r>
      <w:bookmarkEnd w:id="271"/>
      <w:bookmarkEnd w:id="272"/>
      <w:bookmarkEnd w:id="273"/>
    </w:p>
    <w:p>
      <w:pPr>
        <w:tabs>
          <w:tab w:val="left" w:pos="851"/>
        </w:tabs>
        <w:snapToGrid w:val="0"/>
        <w:spacing w:line="360" w:lineRule="auto"/>
        <w:ind w:firstLine="525" w:firstLineChars="250"/>
        <w:rPr>
          <w:rFonts w:ascii="宋体" w:hAnsi="宋体"/>
        </w:rPr>
      </w:pPr>
      <w:bookmarkStart w:id="274" w:name="_Toc4578853"/>
      <w:bookmarkStart w:id="275" w:name="_Toc4659715"/>
      <w:bookmarkStart w:id="276" w:name="_Toc5005019"/>
      <w:r>
        <w:rPr>
          <w:rFonts w:hint="eastAsia" w:ascii="宋体" w:hAnsi="宋体"/>
        </w:rPr>
        <w:t>26.2成交通知书对采购人和成交供应商均具有法律效力。成交通知书发出后，采购人无正当理由改变成交结果，或者成交供应商无正当理由放弃成交的，将承担相应的法律责任。</w:t>
      </w:r>
      <w:bookmarkEnd w:id="274"/>
      <w:bookmarkEnd w:id="275"/>
      <w:bookmarkEnd w:id="276"/>
    </w:p>
    <w:p>
      <w:pPr>
        <w:tabs>
          <w:tab w:val="left" w:pos="851"/>
        </w:tabs>
        <w:snapToGrid w:val="0"/>
        <w:spacing w:line="360" w:lineRule="auto"/>
        <w:ind w:firstLine="525" w:firstLineChars="250"/>
        <w:rPr>
          <w:rFonts w:ascii="宋体" w:hAnsi="宋体"/>
        </w:rPr>
      </w:pPr>
      <w:bookmarkStart w:id="277" w:name="_Toc4578854"/>
      <w:bookmarkStart w:id="278" w:name="_Toc4659716"/>
      <w:bookmarkStart w:id="279" w:name="_Toc5005020"/>
      <w:r>
        <w:rPr>
          <w:rFonts w:hint="eastAsia" w:ascii="宋体" w:hAnsi="宋体"/>
        </w:rPr>
        <w:t>26.3成交供应商的响应文件作为无效响应文件处理或者有采购法律法规规章制度规定的成交无效情形的，采购人/采购代理机构在取得有权主体的认定以后，有权宣布发出的成交通知书无效，并收回发出的成交通知书，依法重新确定成交供应商或者重新开展采购活动。</w:t>
      </w:r>
      <w:bookmarkEnd w:id="277"/>
      <w:bookmarkEnd w:id="278"/>
      <w:bookmarkEnd w:id="279"/>
    </w:p>
    <w:p>
      <w:pPr>
        <w:pStyle w:val="4"/>
        <w:snapToGrid w:val="0"/>
        <w:spacing w:before="0" w:after="0" w:line="360" w:lineRule="auto"/>
      </w:pPr>
      <w:bookmarkStart w:id="280" w:name="_Toc20668"/>
      <w:bookmarkStart w:id="281" w:name="_Toc29333"/>
      <w:bookmarkStart w:id="282" w:name="_Toc6939"/>
      <w:bookmarkStart w:id="283" w:name="_Toc2893"/>
      <w:bookmarkStart w:id="284" w:name="_Toc25248"/>
      <w:bookmarkStart w:id="285" w:name="_Toc13680"/>
      <w:bookmarkStart w:id="286" w:name="_Toc3100"/>
      <w:bookmarkStart w:id="287" w:name="_Toc24272"/>
      <w:r>
        <w:rPr>
          <w:rFonts w:hint="eastAsia"/>
        </w:rPr>
        <w:t>七、合同事项</w:t>
      </w:r>
      <w:bookmarkEnd w:id="267"/>
      <w:bookmarkEnd w:id="268"/>
      <w:bookmarkEnd w:id="269"/>
      <w:bookmarkEnd w:id="270"/>
      <w:bookmarkEnd w:id="280"/>
      <w:bookmarkEnd w:id="281"/>
      <w:bookmarkEnd w:id="282"/>
      <w:bookmarkEnd w:id="283"/>
      <w:bookmarkEnd w:id="284"/>
      <w:bookmarkEnd w:id="285"/>
      <w:bookmarkEnd w:id="286"/>
      <w:bookmarkEnd w:id="287"/>
    </w:p>
    <w:p>
      <w:pPr>
        <w:pStyle w:val="5"/>
        <w:snapToGrid w:val="0"/>
        <w:spacing w:before="0" w:after="0" w:line="360" w:lineRule="auto"/>
        <w:ind w:firstLine="482" w:firstLineChars="200"/>
        <w:rPr>
          <w:rFonts w:ascii="宋体" w:hAnsi="宋体"/>
          <w:szCs w:val="24"/>
        </w:rPr>
      </w:pPr>
      <w:bookmarkStart w:id="288" w:name="_Toc4659718"/>
      <w:bookmarkStart w:id="289" w:name="_Toc430773927"/>
      <w:bookmarkStart w:id="290" w:name="_Toc4578856"/>
      <w:bookmarkStart w:id="291" w:name="_Toc101174151"/>
      <w:bookmarkStart w:id="292" w:name="_Toc101338364"/>
      <w:bookmarkStart w:id="293" w:name="_Toc5005022"/>
      <w:bookmarkStart w:id="294" w:name="_Toc209847069"/>
      <w:bookmarkStart w:id="295" w:name="_Toc101250646"/>
      <w:r>
        <w:rPr>
          <w:rFonts w:hint="eastAsia" w:ascii="宋体" w:hAnsi="宋体"/>
          <w:szCs w:val="24"/>
        </w:rPr>
        <w:t>27.签订合同</w:t>
      </w:r>
      <w:bookmarkEnd w:id="288"/>
      <w:bookmarkEnd w:id="289"/>
      <w:bookmarkEnd w:id="290"/>
      <w:bookmarkEnd w:id="291"/>
      <w:bookmarkEnd w:id="292"/>
      <w:bookmarkEnd w:id="293"/>
      <w:bookmarkEnd w:id="294"/>
      <w:bookmarkEnd w:id="295"/>
    </w:p>
    <w:p>
      <w:pPr>
        <w:tabs>
          <w:tab w:val="left" w:pos="851"/>
        </w:tabs>
        <w:snapToGrid w:val="0"/>
        <w:spacing w:line="360" w:lineRule="auto"/>
        <w:ind w:firstLine="525" w:firstLineChars="250"/>
        <w:rPr>
          <w:rFonts w:ascii="宋体" w:hAnsi="宋体"/>
        </w:rPr>
      </w:pPr>
      <w:r>
        <w:rPr>
          <w:rFonts w:hint="eastAsia" w:ascii="宋体" w:hAnsi="宋体"/>
        </w:rPr>
        <w:t>27.1 成交供应商应在成交通知书发出之日起三十日内与采购人签订政府采购合同。由于成交供应商的原因逾期未与采购人签订政府采购合同的，将视为放弃成交，取消其成交资格并将按相关规定进行处理。</w:t>
      </w:r>
    </w:p>
    <w:p>
      <w:pPr>
        <w:tabs>
          <w:tab w:val="left" w:pos="851"/>
        </w:tabs>
        <w:snapToGrid w:val="0"/>
        <w:spacing w:line="360" w:lineRule="auto"/>
        <w:ind w:firstLine="525" w:firstLineChars="250"/>
        <w:rPr>
          <w:rFonts w:ascii="宋体" w:hAnsi="宋体"/>
        </w:rPr>
      </w:pPr>
      <w:r>
        <w:rPr>
          <w:rFonts w:hint="eastAsia" w:ascii="宋体" w:hAnsi="宋体"/>
        </w:rPr>
        <w:t>27.2 磋商文件、成交供应商的响应文件及双方确认的澄清文件等，均为有法律约束力的合同组成部分。</w:t>
      </w:r>
    </w:p>
    <w:p>
      <w:pPr>
        <w:tabs>
          <w:tab w:val="left" w:pos="851"/>
        </w:tabs>
        <w:snapToGrid w:val="0"/>
        <w:spacing w:line="360" w:lineRule="auto"/>
        <w:ind w:firstLine="525" w:firstLineChars="250"/>
        <w:rPr>
          <w:rFonts w:ascii="宋体" w:hAnsi="宋体"/>
        </w:rPr>
      </w:pPr>
      <w:r>
        <w:rPr>
          <w:rFonts w:hint="eastAsia" w:ascii="宋体" w:hAnsi="宋体"/>
        </w:rPr>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tabs>
          <w:tab w:val="left" w:pos="851"/>
        </w:tabs>
        <w:snapToGrid w:val="0"/>
        <w:spacing w:line="360" w:lineRule="auto"/>
        <w:ind w:firstLine="525" w:firstLineChars="250"/>
        <w:rPr>
          <w:rFonts w:ascii="宋体" w:hAnsi="宋体"/>
        </w:rPr>
      </w:pPr>
      <w:r>
        <w:rPr>
          <w:rFonts w:hint="eastAsia" w:ascii="宋体" w:hAnsi="宋体"/>
        </w:rPr>
        <w:t>27.4 成交供应商因不可抗力原因不能履行政府采购合同或放弃成交的，采购人可以与排在成交供应商之后第一位的成交候选人签订政府采购合同，以此类推。</w:t>
      </w:r>
    </w:p>
    <w:p>
      <w:pPr>
        <w:tabs>
          <w:tab w:val="left" w:pos="851"/>
        </w:tabs>
        <w:snapToGrid w:val="0"/>
        <w:spacing w:line="360" w:lineRule="auto"/>
        <w:ind w:firstLine="525" w:firstLineChars="250"/>
        <w:rPr>
          <w:rFonts w:ascii="宋体" w:hAnsi="宋体"/>
        </w:rPr>
      </w:pPr>
      <w:r>
        <w:rPr>
          <w:rFonts w:hint="eastAsia" w:ascii="宋体" w:hAnsi="宋体"/>
        </w:rPr>
        <w:t>27.5竞争性磋商文件、成交供应商提交的响应文件、磋商中的最后报价、成交供应商承诺书、成交通知书等均称为有法律约束力的合同组成内容。</w:t>
      </w:r>
    </w:p>
    <w:p>
      <w:pPr>
        <w:pStyle w:val="5"/>
        <w:snapToGrid w:val="0"/>
        <w:spacing w:before="0" w:after="0" w:line="360" w:lineRule="auto"/>
        <w:ind w:firstLine="482" w:firstLineChars="200"/>
        <w:rPr>
          <w:rFonts w:ascii="宋体" w:hAnsi="宋体"/>
        </w:rPr>
      </w:pPr>
      <w:r>
        <w:rPr>
          <w:rFonts w:hint="eastAsia" w:ascii="宋体" w:hAnsi="宋体"/>
        </w:rPr>
        <w:t>28.合同分包（实质性要求）</w:t>
      </w:r>
    </w:p>
    <w:p>
      <w:pPr>
        <w:tabs>
          <w:tab w:val="left" w:pos="851"/>
        </w:tabs>
        <w:snapToGrid w:val="0"/>
        <w:spacing w:line="360" w:lineRule="auto"/>
        <w:ind w:firstLine="525" w:firstLineChars="250"/>
        <w:rPr>
          <w:rFonts w:ascii="宋体" w:hAnsi="宋体"/>
        </w:rPr>
      </w:pPr>
      <w:r>
        <w:rPr>
          <w:rFonts w:hint="eastAsia" w:ascii="宋体" w:hAnsi="宋体"/>
        </w:rPr>
        <w:t>本项目不允许分包。</w:t>
      </w:r>
    </w:p>
    <w:p>
      <w:pPr>
        <w:pStyle w:val="5"/>
        <w:snapToGrid w:val="0"/>
        <w:spacing w:before="0" w:after="0" w:line="360" w:lineRule="auto"/>
        <w:ind w:firstLine="482" w:firstLineChars="200"/>
        <w:rPr>
          <w:rFonts w:ascii="宋体" w:hAnsi="宋体"/>
        </w:rPr>
      </w:pPr>
      <w:r>
        <w:rPr>
          <w:rFonts w:hint="eastAsia" w:ascii="宋体" w:hAnsi="宋体"/>
        </w:rPr>
        <w:t>29.合同转包（实质性要求）</w:t>
      </w:r>
    </w:p>
    <w:p>
      <w:pPr>
        <w:tabs>
          <w:tab w:val="left" w:pos="851"/>
        </w:tabs>
        <w:snapToGrid w:val="0"/>
        <w:spacing w:line="360" w:lineRule="auto"/>
        <w:ind w:firstLine="525" w:firstLineChars="250"/>
        <w:rPr>
          <w:rFonts w:ascii="宋体" w:hAnsi="宋体"/>
        </w:rPr>
      </w:pPr>
      <w:r>
        <w:rPr>
          <w:rFonts w:hint="eastAsia" w:ascii="宋体" w:hAnsi="宋体"/>
        </w:rPr>
        <w:t>本采购项目严禁成交供应商将任何政府采购合同义务转包。本项目所称转包，是指成交供应商将政府采购合同义务转让给第三人，并退出现有采购合同当事人双方的权利义务关系，受让人（即第三人）成为采购合同的另一方当事人的行为。</w:t>
      </w:r>
    </w:p>
    <w:p>
      <w:pPr>
        <w:tabs>
          <w:tab w:val="left" w:pos="851"/>
        </w:tabs>
        <w:snapToGrid w:val="0"/>
        <w:spacing w:line="360" w:lineRule="auto"/>
        <w:ind w:firstLine="525" w:firstLineChars="250"/>
        <w:rPr>
          <w:rFonts w:ascii="宋体" w:hAnsi="宋体"/>
        </w:rPr>
      </w:pPr>
      <w:r>
        <w:rPr>
          <w:rFonts w:hint="eastAsia" w:ascii="宋体" w:hAnsi="宋体"/>
        </w:rPr>
        <w:t>成交供应商转包的，视同拒绝履行政府采购合同义务，将依法追究法律责任。</w:t>
      </w:r>
    </w:p>
    <w:p>
      <w:pPr>
        <w:pStyle w:val="5"/>
        <w:snapToGrid w:val="0"/>
        <w:spacing w:before="0" w:after="0" w:line="360" w:lineRule="auto"/>
        <w:ind w:firstLine="482" w:firstLineChars="200"/>
        <w:rPr>
          <w:rFonts w:ascii="宋体" w:hAnsi="宋体"/>
        </w:rPr>
      </w:pPr>
      <w:r>
        <w:rPr>
          <w:rFonts w:hint="eastAsia" w:ascii="宋体" w:hAnsi="宋体"/>
        </w:rPr>
        <w:t>30.补充合同</w:t>
      </w:r>
    </w:p>
    <w:p>
      <w:pPr>
        <w:tabs>
          <w:tab w:val="left" w:pos="851"/>
        </w:tabs>
        <w:snapToGrid w:val="0"/>
        <w:spacing w:line="360" w:lineRule="auto"/>
        <w:ind w:firstLine="525" w:firstLineChars="250"/>
        <w:rPr>
          <w:rFonts w:ascii="宋体" w:hAnsi="宋体"/>
        </w:rPr>
      </w:pPr>
      <w:r>
        <w:rPr>
          <w:rFonts w:hint="eastAsia" w:ascii="宋体" w:hAnsi="宋体"/>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napToGrid w:val="0"/>
        <w:spacing w:before="0" w:after="0" w:line="360" w:lineRule="auto"/>
        <w:ind w:firstLine="482" w:firstLineChars="200"/>
        <w:rPr>
          <w:rFonts w:ascii="宋体" w:hAnsi="宋体"/>
        </w:rPr>
      </w:pPr>
      <w:r>
        <w:rPr>
          <w:rFonts w:hint="eastAsia" w:ascii="宋体" w:hAnsi="宋体"/>
        </w:rPr>
        <w:t>31.履约保证金</w:t>
      </w:r>
    </w:p>
    <w:p>
      <w:pPr>
        <w:tabs>
          <w:tab w:val="left" w:pos="851"/>
        </w:tabs>
        <w:snapToGrid w:val="0"/>
        <w:spacing w:line="360" w:lineRule="auto"/>
        <w:ind w:firstLine="525" w:firstLineChars="250"/>
      </w:pPr>
      <w:r>
        <w:rPr>
          <w:rFonts w:hint="eastAsia"/>
        </w:rPr>
        <w:t>30.1本项目不收取履约保证金。</w:t>
      </w:r>
    </w:p>
    <w:p>
      <w:pPr>
        <w:pStyle w:val="5"/>
        <w:snapToGrid w:val="0"/>
        <w:spacing w:before="0" w:after="0" w:line="360" w:lineRule="auto"/>
        <w:ind w:firstLine="482" w:firstLineChars="200"/>
        <w:rPr>
          <w:rFonts w:ascii="宋体" w:hAnsi="宋体"/>
        </w:rPr>
      </w:pPr>
      <w:r>
        <w:rPr>
          <w:rFonts w:hint="eastAsia" w:ascii="宋体" w:hAnsi="宋体"/>
        </w:rPr>
        <w:t>32.合同公告</w:t>
      </w:r>
    </w:p>
    <w:p>
      <w:pPr>
        <w:tabs>
          <w:tab w:val="left" w:pos="851"/>
        </w:tabs>
        <w:snapToGrid w:val="0"/>
        <w:spacing w:line="360" w:lineRule="auto"/>
        <w:ind w:firstLine="525" w:firstLineChars="250"/>
      </w:pPr>
      <w:r>
        <w:rPr>
          <w:rFonts w:hint="eastAsia"/>
        </w:rPr>
        <w:t>采购人应当自政府采购合同签订（双方当事人均已签字盖章）之日起2个工作日内，将政府采购合同在四川政府采购网上公告，但政府采购合同中涉及国家秘密、商业秘密的内容除外。</w:t>
      </w:r>
    </w:p>
    <w:p>
      <w:pPr>
        <w:pStyle w:val="5"/>
        <w:snapToGrid w:val="0"/>
        <w:spacing w:before="0" w:after="0" w:line="360" w:lineRule="auto"/>
        <w:ind w:firstLine="482" w:firstLineChars="200"/>
        <w:rPr>
          <w:rFonts w:ascii="宋体" w:hAnsi="宋体"/>
        </w:rPr>
      </w:pPr>
      <w:r>
        <w:rPr>
          <w:rFonts w:hint="eastAsia" w:ascii="宋体" w:hAnsi="宋体"/>
        </w:rPr>
        <w:t>33.合同备案</w:t>
      </w:r>
    </w:p>
    <w:p>
      <w:pPr>
        <w:tabs>
          <w:tab w:val="left" w:pos="851"/>
        </w:tabs>
        <w:snapToGrid w:val="0"/>
        <w:spacing w:line="360" w:lineRule="auto"/>
        <w:ind w:firstLine="525" w:firstLineChars="250"/>
      </w:pPr>
      <w:r>
        <w:rPr>
          <w:rFonts w:hint="eastAsia"/>
        </w:rPr>
        <w:t>采购人</w:t>
      </w:r>
      <w:r>
        <w:rPr>
          <w:rFonts w:hint="eastAsia" w:ascii="宋体" w:hAnsi="宋体"/>
        </w:rPr>
        <w:t>应当</w:t>
      </w:r>
      <w:r>
        <w:rPr>
          <w:rFonts w:hint="eastAsia"/>
        </w:rPr>
        <w:t>将政府采购合同副本自签订（双方当事人均已签字盖章）之日起7个工作日内通过四川政府采购网报同级财政部门备案。</w:t>
      </w:r>
    </w:p>
    <w:p>
      <w:pPr>
        <w:pStyle w:val="5"/>
        <w:snapToGrid w:val="0"/>
        <w:spacing w:before="0" w:after="0" w:line="360" w:lineRule="auto"/>
        <w:ind w:firstLine="482" w:firstLineChars="200"/>
        <w:rPr>
          <w:rFonts w:ascii="宋体" w:hAnsi="宋体"/>
        </w:rPr>
      </w:pPr>
      <w:r>
        <w:rPr>
          <w:rFonts w:hint="eastAsia" w:ascii="宋体" w:hAnsi="宋体"/>
        </w:rPr>
        <w:t>33.履行合同</w:t>
      </w:r>
    </w:p>
    <w:p>
      <w:pPr>
        <w:tabs>
          <w:tab w:val="left" w:pos="851"/>
        </w:tabs>
        <w:snapToGrid w:val="0"/>
        <w:spacing w:line="360" w:lineRule="auto"/>
        <w:ind w:firstLine="525" w:firstLineChars="250"/>
        <w:rPr>
          <w:rFonts w:ascii="宋体" w:hAnsi="宋体"/>
        </w:rPr>
      </w:pPr>
      <w:r>
        <w:rPr>
          <w:rFonts w:hint="eastAsia" w:ascii="宋体" w:hAnsi="宋体"/>
        </w:rPr>
        <w:t>33.1 成交供应商与采购人签订合同后，合同双方应严格执行合同条款，履行合同规定的义务，保证合同的顺利完成。</w:t>
      </w:r>
    </w:p>
    <w:p>
      <w:pPr>
        <w:tabs>
          <w:tab w:val="left" w:pos="851"/>
        </w:tabs>
        <w:snapToGrid w:val="0"/>
        <w:spacing w:line="360" w:lineRule="auto"/>
        <w:ind w:firstLine="525" w:firstLineChars="250"/>
        <w:rPr>
          <w:rFonts w:ascii="宋体" w:hAnsi="宋体"/>
        </w:rPr>
      </w:pPr>
      <w:r>
        <w:rPr>
          <w:rFonts w:hint="eastAsia" w:ascii="宋体" w:hAnsi="宋体"/>
        </w:rPr>
        <w:t>33.2 在合同履行过程中，如发生合同纠纷，合同双方应按照《民法典》的有关规定进行处理。</w:t>
      </w:r>
    </w:p>
    <w:p>
      <w:pPr>
        <w:pStyle w:val="5"/>
        <w:snapToGrid w:val="0"/>
        <w:spacing w:before="0" w:after="0" w:line="360" w:lineRule="auto"/>
        <w:ind w:firstLine="482" w:firstLineChars="200"/>
        <w:rPr>
          <w:rFonts w:ascii="宋体" w:hAnsi="宋体"/>
        </w:rPr>
      </w:pPr>
      <w:r>
        <w:rPr>
          <w:rFonts w:hint="eastAsia" w:ascii="宋体" w:hAnsi="宋体"/>
        </w:rPr>
        <w:t>34.验收</w:t>
      </w:r>
    </w:p>
    <w:p>
      <w:pPr>
        <w:pStyle w:val="114"/>
        <w:wordWrap/>
        <w:spacing w:line="360" w:lineRule="auto"/>
        <w:ind w:firstLine="420"/>
        <w:rPr>
          <w:rFonts w:ascii="宋体" w:hAnsi="宋体"/>
        </w:rPr>
      </w:pPr>
      <w:r>
        <w:rPr>
          <w:rFonts w:hint="eastAsia" w:ascii="宋体" w:hAnsi="宋体"/>
        </w:rPr>
        <w:t>34.1参照《财政部关于进一步加强政府采购需求和履约验收管理的指导意见》(财库〔2016〕205号)进行验收。</w:t>
      </w:r>
    </w:p>
    <w:p>
      <w:pPr>
        <w:tabs>
          <w:tab w:val="left" w:pos="851"/>
        </w:tabs>
        <w:snapToGrid w:val="0"/>
        <w:spacing w:line="360" w:lineRule="auto"/>
        <w:ind w:firstLine="525" w:firstLineChars="250"/>
        <w:rPr>
          <w:rFonts w:ascii="宋体" w:hAnsi="宋体"/>
        </w:rPr>
      </w:pPr>
      <w:r>
        <w:rPr>
          <w:rFonts w:hint="eastAsia" w:ascii="宋体" w:hAnsi="宋体"/>
        </w:rPr>
        <w:t>34.2 验收结果合格的，成交供应商凭验收报告办理履约保证金的退付手续；验收结果不合格的，履约保证金将不予退还，也将不予支付采购资金，还可能会报本项目同级财政部门按照政府采购法律法规及</w:t>
      </w:r>
      <w:r>
        <w:rPr>
          <w:rFonts w:hint="eastAsia" w:ascii="宋体" w:hAnsi="宋体" w:cs="宋体"/>
          <w:szCs w:val="21"/>
        </w:rPr>
        <w:t>《四川省公共资源交易领域严重失信联合惩戒实施办法》（川发改信用规〔2019〕405号）、《关于对政府采购领域严重违法失信主体开展联合惩戒的合作备忘录》（发改财金〔2018〕1614号）等</w:t>
      </w:r>
      <w:r>
        <w:rPr>
          <w:rFonts w:hint="eastAsia" w:ascii="宋体" w:hAnsi="宋体"/>
        </w:rPr>
        <w:t>有关规定给予行政处罚或者以失信行为记入诚信档案。</w:t>
      </w:r>
    </w:p>
    <w:p>
      <w:pPr>
        <w:pStyle w:val="5"/>
        <w:snapToGrid w:val="0"/>
        <w:spacing w:before="0" w:after="0" w:line="360" w:lineRule="auto"/>
        <w:ind w:firstLine="482" w:firstLineChars="200"/>
        <w:rPr>
          <w:rFonts w:ascii="宋体" w:hAnsi="宋体"/>
        </w:rPr>
      </w:pPr>
      <w:r>
        <w:rPr>
          <w:rFonts w:hint="eastAsia" w:ascii="宋体" w:hAnsi="宋体"/>
        </w:rPr>
        <w:t>35.资金支付</w:t>
      </w:r>
    </w:p>
    <w:p>
      <w:pPr>
        <w:tabs>
          <w:tab w:val="left" w:pos="851"/>
        </w:tabs>
        <w:snapToGrid w:val="0"/>
        <w:spacing w:line="360" w:lineRule="auto"/>
        <w:ind w:firstLine="525" w:firstLineChars="250"/>
        <w:rPr>
          <w:rFonts w:ascii="宋体" w:hAnsi="宋体"/>
        </w:rPr>
      </w:pPr>
      <w:r>
        <w:rPr>
          <w:rFonts w:hint="eastAsia" w:ascii="宋体" w:hAnsi="宋体"/>
        </w:rPr>
        <w:t>采购人将按照政府采购合同规定，及时向成交供应商支付采购资金。本项目采购资金付款详见第五章或第九章规定的付款方式。</w:t>
      </w:r>
      <w:bookmarkEnd w:id="117"/>
    </w:p>
    <w:p>
      <w:pPr>
        <w:pStyle w:val="4"/>
        <w:snapToGrid w:val="0"/>
        <w:spacing w:before="0" w:after="0" w:line="360" w:lineRule="auto"/>
      </w:pPr>
      <w:bookmarkStart w:id="296" w:name="_Toc14198"/>
      <w:bookmarkStart w:id="297" w:name="_Toc18379"/>
      <w:bookmarkStart w:id="298" w:name="_Toc9730"/>
      <w:bookmarkStart w:id="299" w:name="_Toc27159"/>
      <w:bookmarkStart w:id="300" w:name="_Toc1353"/>
      <w:bookmarkStart w:id="301" w:name="_Toc4578857"/>
      <w:bookmarkStart w:id="302" w:name="_Toc3581_WPSOffice_Level2"/>
      <w:bookmarkStart w:id="303" w:name="_Toc29571"/>
      <w:bookmarkStart w:id="304" w:name="_Toc13780"/>
      <w:bookmarkStart w:id="305" w:name="_Toc5005023"/>
      <w:bookmarkStart w:id="306" w:name="_Toc3943"/>
      <w:bookmarkStart w:id="307" w:name="_Toc4659719"/>
      <w:bookmarkStart w:id="308" w:name="PO_默认文件内容_25"/>
      <w:r>
        <w:rPr>
          <w:rFonts w:hint="eastAsia"/>
        </w:rPr>
        <w:t>八、磋商纪律要求</w:t>
      </w:r>
      <w:bookmarkEnd w:id="296"/>
      <w:bookmarkEnd w:id="297"/>
      <w:bookmarkEnd w:id="298"/>
      <w:bookmarkEnd w:id="299"/>
      <w:bookmarkEnd w:id="300"/>
      <w:bookmarkEnd w:id="301"/>
      <w:bookmarkEnd w:id="302"/>
      <w:bookmarkEnd w:id="303"/>
      <w:bookmarkEnd w:id="304"/>
      <w:bookmarkEnd w:id="305"/>
      <w:bookmarkEnd w:id="306"/>
      <w:bookmarkEnd w:id="307"/>
    </w:p>
    <w:p>
      <w:pPr>
        <w:pStyle w:val="5"/>
        <w:snapToGrid w:val="0"/>
        <w:spacing w:before="0" w:after="0" w:line="360" w:lineRule="auto"/>
        <w:ind w:firstLine="482" w:firstLineChars="200"/>
        <w:rPr>
          <w:rFonts w:ascii="宋体" w:hAnsi="宋体"/>
        </w:rPr>
      </w:pPr>
      <w:r>
        <w:rPr>
          <w:rFonts w:hint="eastAsia" w:ascii="宋体" w:hAnsi="宋体"/>
        </w:rPr>
        <w:t>36.供应商不得具有的情形</w:t>
      </w:r>
    </w:p>
    <w:p>
      <w:pPr>
        <w:tabs>
          <w:tab w:val="left" w:pos="851"/>
        </w:tabs>
        <w:snapToGrid w:val="0"/>
        <w:spacing w:line="360" w:lineRule="auto"/>
        <w:ind w:firstLine="525" w:firstLineChars="250"/>
        <w:rPr>
          <w:rFonts w:ascii="宋体" w:hAnsi="宋体"/>
        </w:rPr>
      </w:pPr>
      <w:r>
        <w:rPr>
          <w:rFonts w:hint="eastAsia" w:ascii="宋体" w:hAnsi="宋体"/>
        </w:rPr>
        <w:t>供应商参加本项目磋商不得有下列情形：</w:t>
      </w:r>
    </w:p>
    <w:p>
      <w:pPr>
        <w:tabs>
          <w:tab w:val="left" w:pos="851"/>
        </w:tabs>
        <w:snapToGrid w:val="0"/>
        <w:spacing w:line="360" w:lineRule="auto"/>
        <w:ind w:firstLine="525" w:firstLineChars="250"/>
        <w:rPr>
          <w:rFonts w:ascii="宋体" w:hAnsi="宋体"/>
        </w:rPr>
      </w:pPr>
      <w:r>
        <w:rPr>
          <w:rFonts w:hint="eastAsia" w:ascii="宋体" w:hAnsi="宋体"/>
        </w:rPr>
        <w:t>（1）提供虚假材料谋取成交；</w:t>
      </w:r>
    </w:p>
    <w:p>
      <w:pPr>
        <w:tabs>
          <w:tab w:val="left" w:pos="851"/>
        </w:tabs>
        <w:snapToGrid w:val="0"/>
        <w:spacing w:line="360" w:lineRule="auto"/>
        <w:ind w:firstLine="525" w:firstLineChars="250"/>
        <w:rPr>
          <w:rFonts w:ascii="宋体" w:hAnsi="宋体"/>
        </w:rPr>
      </w:pPr>
      <w:r>
        <w:rPr>
          <w:rFonts w:hint="eastAsia" w:ascii="宋体" w:hAnsi="宋体"/>
        </w:rPr>
        <w:t>（2）采取不正当手段诋毁、排挤其他供应商；</w:t>
      </w:r>
    </w:p>
    <w:p>
      <w:pPr>
        <w:tabs>
          <w:tab w:val="left" w:pos="851"/>
        </w:tabs>
        <w:snapToGrid w:val="0"/>
        <w:spacing w:line="360" w:lineRule="auto"/>
        <w:ind w:firstLine="525" w:firstLineChars="250"/>
        <w:rPr>
          <w:rFonts w:ascii="宋体" w:hAnsi="宋体"/>
        </w:rPr>
      </w:pPr>
      <w:r>
        <w:rPr>
          <w:rFonts w:hint="eastAsia" w:ascii="宋体" w:hAnsi="宋体"/>
        </w:rPr>
        <w:t>（3）与采购人、采购代理机构或其他供应商恶意串通；</w:t>
      </w:r>
    </w:p>
    <w:p>
      <w:pPr>
        <w:tabs>
          <w:tab w:val="left" w:pos="851"/>
        </w:tabs>
        <w:snapToGrid w:val="0"/>
        <w:spacing w:line="360" w:lineRule="auto"/>
        <w:ind w:firstLine="525" w:firstLineChars="250"/>
        <w:rPr>
          <w:rFonts w:ascii="宋体" w:hAnsi="宋体"/>
        </w:rPr>
      </w:pPr>
      <w:r>
        <w:rPr>
          <w:rFonts w:hint="eastAsia" w:ascii="宋体" w:hAnsi="宋体"/>
        </w:rPr>
        <w:t>（4）向采购人、采购代理机构、磋商小组成员行贿或者提供其他不正当利益；</w:t>
      </w:r>
    </w:p>
    <w:p>
      <w:pPr>
        <w:tabs>
          <w:tab w:val="left" w:pos="851"/>
        </w:tabs>
        <w:snapToGrid w:val="0"/>
        <w:spacing w:line="360" w:lineRule="auto"/>
        <w:ind w:firstLine="525" w:firstLineChars="250"/>
        <w:rPr>
          <w:rFonts w:ascii="宋体" w:hAnsi="宋体"/>
        </w:rPr>
      </w:pPr>
      <w:r>
        <w:rPr>
          <w:rFonts w:hint="eastAsia" w:ascii="宋体" w:hAnsi="宋体"/>
        </w:rPr>
        <w:t>（5）在磋商过程中与采购人、采购代理机构进行协商；</w:t>
      </w:r>
    </w:p>
    <w:p>
      <w:pPr>
        <w:tabs>
          <w:tab w:val="left" w:pos="851"/>
        </w:tabs>
        <w:snapToGrid w:val="0"/>
        <w:spacing w:line="360" w:lineRule="auto"/>
        <w:ind w:firstLine="525" w:firstLineChars="250"/>
        <w:rPr>
          <w:rFonts w:ascii="宋体" w:hAnsi="宋体"/>
        </w:rPr>
      </w:pPr>
      <w:r>
        <w:rPr>
          <w:rFonts w:hint="eastAsia" w:ascii="宋体" w:hAnsi="宋体"/>
        </w:rPr>
        <w:t>（6）成交后无正当理由拒不与采购人签订政府采购合同；</w:t>
      </w:r>
    </w:p>
    <w:p>
      <w:pPr>
        <w:tabs>
          <w:tab w:val="left" w:pos="851"/>
        </w:tabs>
        <w:snapToGrid w:val="0"/>
        <w:spacing w:line="360" w:lineRule="auto"/>
        <w:ind w:firstLine="525" w:firstLineChars="250"/>
        <w:rPr>
          <w:rFonts w:ascii="宋体" w:hAnsi="宋体"/>
        </w:rPr>
      </w:pPr>
      <w:r>
        <w:rPr>
          <w:rFonts w:hint="eastAsia" w:ascii="宋体" w:hAnsi="宋体"/>
        </w:rPr>
        <w:t>（7）未按照磋商文件确定的事项签订政府采购合同；</w:t>
      </w:r>
    </w:p>
    <w:p>
      <w:pPr>
        <w:tabs>
          <w:tab w:val="left" w:pos="851"/>
        </w:tabs>
        <w:snapToGrid w:val="0"/>
        <w:spacing w:line="360" w:lineRule="auto"/>
        <w:ind w:firstLine="525" w:firstLineChars="250"/>
        <w:rPr>
          <w:rFonts w:ascii="宋体" w:hAnsi="宋体"/>
        </w:rPr>
      </w:pPr>
      <w:r>
        <w:rPr>
          <w:rFonts w:hint="eastAsia" w:ascii="宋体" w:hAnsi="宋体"/>
        </w:rPr>
        <w:t>（8）将政府采购合同转包或者违规分包；</w:t>
      </w:r>
    </w:p>
    <w:p>
      <w:pPr>
        <w:tabs>
          <w:tab w:val="left" w:pos="851"/>
        </w:tabs>
        <w:snapToGrid w:val="0"/>
        <w:spacing w:line="360" w:lineRule="auto"/>
        <w:ind w:firstLine="525" w:firstLineChars="250"/>
        <w:rPr>
          <w:rFonts w:ascii="宋体" w:hAnsi="宋体"/>
        </w:rPr>
      </w:pPr>
      <w:r>
        <w:rPr>
          <w:rFonts w:hint="eastAsia" w:ascii="宋体" w:hAnsi="宋体"/>
        </w:rPr>
        <w:t>（9）提供假冒伪劣产品；</w:t>
      </w:r>
    </w:p>
    <w:p>
      <w:pPr>
        <w:tabs>
          <w:tab w:val="left" w:pos="851"/>
        </w:tabs>
        <w:snapToGrid w:val="0"/>
        <w:spacing w:line="360" w:lineRule="auto"/>
        <w:ind w:firstLine="525" w:firstLineChars="250"/>
        <w:rPr>
          <w:rFonts w:ascii="宋体" w:hAnsi="宋体"/>
        </w:rPr>
      </w:pPr>
      <w:r>
        <w:rPr>
          <w:rFonts w:hint="eastAsia" w:ascii="宋体" w:hAnsi="宋体"/>
        </w:rPr>
        <w:t>（10）擅自变更、中止或者终止政府采购合同；</w:t>
      </w:r>
    </w:p>
    <w:p>
      <w:pPr>
        <w:tabs>
          <w:tab w:val="left" w:pos="851"/>
        </w:tabs>
        <w:snapToGrid w:val="0"/>
        <w:spacing w:line="360" w:lineRule="auto"/>
        <w:ind w:firstLine="525" w:firstLineChars="250"/>
        <w:rPr>
          <w:rFonts w:ascii="宋体" w:hAnsi="宋体"/>
        </w:rPr>
      </w:pPr>
      <w:r>
        <w:rPr>
          <w:rFonts w:hint="eastAsia" w:ascii="宋体" w:hAnsi="宋体"/>
        </w:rPr>
        <w:t>（11）拒绝有关部门的监督检查或者向监督检查部门提供虚假情况；</w:t>
      </w:r>
    </w:p>
    <w:p>
      <w:pPr>
        <w:tabs>
          <w:tab w:val="left" w:pos="851"/>
        </w:tabs>
        <w:snapToGrid w:val="0"/>
        <w:spacing w:line="360" w:lineRule="auto"/>
        <w:ind w:firstLine="525" w:firstLineChars="250"/>
        <w:rPr>
          <w:rFonts w:ascii="宋体" w:hAnsi="宋体"/>
        </w:rPr>
      </w:pPr>
      <w:r>
        <w:rPr>
          <w:rFonts w:hint="eastAsia" w:ascii="宋体" w:hAnsi="宋体"/>
        </w:rPr>
        <w:t>（12）法律法规规定的其他情形。</w:t>
      </w:r>
    </w:p>
    <w:p>
      <w:pPr>
        <w:tabs>
          <w:tab w:val="left" w:pos="851"/>
        </w:tabs>
        <w:ind w:firstLine="525" w:firstLineChars="250"/>
      </w:pPr>
      <w:r>
        <w:rPr>
          <w:rFonts w:hint="eastAsia" w:ascii="宋体" w:hAnsi="宋体"/>
        </w:rPr>
        <w:t>供应商有上述情形的，按照规定追究法律责任，具备（1）-（10）条情形之一的，同时将取消被确认为成交供应商的资格或者认定成交无效。</w:t>
      </w:r>
      <w:bookmarkStart w:id="309" w:name="_Toc5479"/>
      <w:bookmarkStart w:id="310" w:name="_Toc2599"/>
      <w:bookmarkStart w:id="311" w:name="_Toc18680"/>
      <w:bookmarkStart w:id="312" w:name="_Toc25014"/>
      <w:bookmarkStart w:id="313" w:name="_Toc17512_WPSOffice_Level2"/>
      <w:bookmarkStart w:id="314" w:name="_Toc2625"/>
    </w:p>
    <w:p>
      <w:pPr>
        <w:pStyle w:val="4"/>
      </w:pPr>
      <w:bookmarkStart w:id="315" w:name="_Toc26926"/>
      <w:bookmarkStart w:id="316" w:name="_Toc30960"/>
      <w:bookmarkStart w:id="317" w:name="_Toc502"/>
      <w:r>
        <w:rPr>
          <w:rFonts w:hint="eastAsia"/>
        </w:rPr>
        <w:t>九、询问、质疑和投诉</w:t>
      </w:r>
      <w:bookmarkEnd w:id="309"/>
      <w:bookmarkEnd w:id="310"/>
      <w:bookmarkEnd w:id="311"/>
      <w:bookmarkEnd w:id="312"/>
      <w:bookmarkEnd w:id="313"/>
      <w:bookmarkEnd w:id="314"/>
      <w:bookmarkEnd w:id="315"/>
      <w:bookmarkEnd w:id="316"/>
      <w:bookmarkEnd w:id="317"/>
    </w:p>
    <w:p>
      <w:pPr>
        <w:tabs>
          <w:tab w:val="left" w:pos="851"/>
        </w:tabs>
        <w:spacing w:line="360" w:lineRule="auto"/>
        <w:ind w:firstLine="525" w:firstLineChars="250"/>
        <w:rPr>
          <w:rFonts w:ascii="宋体" w:hAnsi="宋体"/>
        </w:rPr>
      </w:pPr>
      <w:r>
        <w:rPr>
          <w:rFonts w:hint="eastAsia" w:ascii="宋体" w:hAnsi="宋体"/>
        </w:rPr>
        <w:t>37.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pPr>
        <w:pStyle w:val="4"/>
        <w:snapToGrid w:val="0"/>
        <w:spacing w:before="0" w:after="0" w:line="360" w:lineRule="auto"/>
      </w:pPr>
      <w:bookmarkStart w:id="318" w:name="_Toc3779"/>
      <w:bookmarkStart w:id="319" w:name="_Toc16225"/>
      <w:bookmarkStart w:id="320" w:name="_Toc30002"/>
      <w:bookmarkStart w:id="321" w:name="_Toc14675"/>
      <w:bookmarkStart w:id="322" w:name="_Toc6370"/>
      <w:bookmarkStart w:id="323" w:name="_Toc9672"/>
      <w:bookmarkStart w:id="324" w:name="_Toc25667_WPSOffice_Level2"/>
      <w:bookmarkStart w:id="325" w:name="_Toc9157"/>
      <w:bookmarkStart w:id="326" w:name="_Toc13777"/>
      <w:r>
        <w:rPr>
          <w:rFonts w:hint="eastAsia"/>
        </w:rPr>
        <w:t>十、其  他</w:t>
      </w:r>
      <w:bookmarkEnd w:id="318"/>
      <w:bookmarkEnd w:id="319"/>
      <w:bookmarkEnd w:id="320"/>
      <w:bookmarkEnd w:id="321"/>
      <w:bookmarkEnd w:id="322"/>
      <w:bookmarkEnd w:id="323"/>
      <w:bookmarkEnd w:id="324"/>
      <w:bookmarkEnd w:id="325"/>
      <w:bookmarkEnd w:id="326"/>
    </w:p>
    <w:p>
      <w:pPr>
        <w:spacing w:line="360" w:lineRule="auto"/>
        <w:ind w:firstLine="420" w:firstLineChars="200"/>
        <w:rPr>
          <w:rFonts w:ascii="宋体" w:hAnsi="宋体" w:cs="宋体"/>
          <w:szCs w:val="21"/>
        </w:rPr>
      </w:pPr>
      <w:r>
        <w:rPr>
          <w:rFonts w:hint="eastAsia" w:ascii="宋体" w:hAnsi="宋体" w:cs="宋体"/>
          <w:szCs w:val="21"/>
        </w:rPr>
        <w:t>38.</w:t>
      </w:r>
      <w:bookmarkEnd w:id="308"/>
      <w:bookmarkStart w:id="327" w:name="_Toc5005024"/>
      <w:bookmarkStart w:id="328" w:name="_Toc20380"/>
      <w:bookmarkStart w:id="329" w:name="_Toc511206477"/>
      <w:bookmarkStart w:id="330" w:name="_Toc71_WPSOffice_Level1"/>
      <w:bookmarkStart w:id="331" w:name="PO_默认文件内容_26"/>
      <w:r>
        <w:rPr>
          <w:rFonts w:hint="eastAsia" w:ascii="宋体" w:hAnsi="宋体" w:cs="宋体"/>
          <w:szCs w:val="21"/>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adjustRightInd w:val="0"/>
        <w:snapToGrid w:val="0"/>
        <w:spacing w:line="420" w:lineRule="atLeast"/>
        <w:ind w:firstLine="420" w:firstLineChars="200"/>
        <w:jc w:val="left"/>
        <w:rPr>
          <w:rStyle w:val="108"/>
          <w:rFonts w:ascii="宋体" w:hAnsi="宋体" w:cs="宋体"/>
          <w:szCs w:val="21"/>
        </w:rPr>
      </w:pPr>
      <w:r>
        <w:rPr>
          <w:rStyle w:val="108"/>
          <w:rFonts w:hint="eastAsia" w:ascii="宋体" w:hAnsi="宋体" w:cs="宋体"/>
          <w:szCs w:val="21"/>
        </w:rPr>
        <w:t>39.</w:t>
      </w:r>
      <w:r>
        <w:rPr>
          <w:rStyle w:val="108"/>
          <w:rFonts w:hint="eastAsia" w:ascii="宋体" w:hAnsi="宋体" w:cs="宋体"/>
          <w:b/>
          <w:szCs w:val="21"/>
        </w:rPr>
        <w:t>（实质性要求）</w:t>
      </w:r>
      <w:r>
        <w:rPr>
          <w:rStyle w:val="108"/>
          <w:rFonts w:hint="eastAsia" w:ascii="宋体" w:hAnsi="宋体" w:cs="宋体"/>
          <w:szCs w:val="21"/>
        </w:rPr>
        <w:t>在本次递交磋商文件之前一周年内，供应商本次磋商中对同一品牌同一型号的产品报价与其在中国境内其他地方的最低报价相比不得高于15%。</w:t>
      </w:r>
      <w:r>
        <w:rPr>
          <w:rStyle w:val="108"/>
          <w:rFonts w:hint="eastAsia" w:ascii="宋体" w:hAnsi="宋体" w:cs="宋体"/>
          <w:b/>
          <w:bCs/>
          <w:szCs w:val="21"/>
        </w:rPr>
        <w:t>（本项目不适用）</w:t>
      </w:r>
    </w:p>
    <w:p>
      <w:pPr>
        <w:adjustRightInd w:val="0"/>
        <w:snapToGrid w:val="0"/>
        <w:spacing w:line="420" w:lineRule="atLeast"/>
        <w:ind w:firstLine="420" w:firstLineChars="200"/>
        <w:jc w:val="left"/>
        <w:rPr>
          <w:rStyle w:val="108"/>
          <w:rFonts w:ascii="宋体" w:hAnsi="宋体" w:cs="宋体"/>
          <w:szCs w:val="21"/>
        </w:rPr>
        <w:sectPr>
          <w:headerReference r:id="rId11" w:type="first"/>
          <w:headerReference r:id="rId9" w:type="default"/>
          <w:footerReference r:id="rId12" w:type="default"/>
          <w:headerReference r:id="rId10" w:type="even"/>
          <w:pgSz w:w="11907" w:h="16840"/>
          <w:pgMar w:top="1134" w:right="1134" w:bottom="1134" w:left="1134" w:header="851" w:footer="850" w:gutter="0"/>
          <w:pgNumType w:fmt="decimal" w:start="1"/>
          <w:cols w:space="0" w:num="1"/>
          <w:docGrid w:type="lines" w:linePitch="312" w:charSpace="0"/>
        </w:sectPr>
      </w:pPr>
      <w:r>
        <w:rPr>
          <w:rStyle w:val="108"/>
          <w:rFonts w:hint="eastAsia" w:ascii="宋体" w:hAnsi="宋体" w:cs="宋体"/>
          <w:szCs w:val="21"/>
        </w:rPr>
        <w:t>40.</w:t>
      </w:r>
      <w:r>
        <w:rPr>
          <w:rStyle w:val="108"/>
          <w:rFonts w:hint="eastAsia" w:ascii="宋体" w:hAnsi="宋体" w:cs="宋体"/>
          <w:b/>
          <w:szCs w:val="21"/>
        </w:rPr>
        <w:t>（实质性要求）</w:t>
      </w:r>
      <w:r>
        <w:rPr>
          <w:rStyle w:val="108"/>
          <w:rFonts w:hint="eastAsia" w:ascii="宋体" w:hAnsi="宋体" w:cs="宋体"/>
          <w:szCs w:val="21"/>
        </w:rPr>
        <w:t>国家或行业主管部门对供应商和采购产品的技术标准、质量标准和资格资质条件等有强制性规定的，必须符合其要求。</w:t>
      </w:r>
      <w:r>
        <w:rPr>
          <w:rStyle w:val="108"/>
          <w:rFonts w:hint="eastAsia" w:ascii="宋体" w:hAnsi="宋体" w:cs="宋体"/>
          <w:b/>
          <w:bCs/>
          <w:szCs w:val="21"/>
        </w:rPr>
        <w:t>（本项目不适用）</w:t>
      </w:r>
    </w:p>
    <w:p>
      <w:pPr>
        <w:pStyle w:val="3"/>
        <w:spacing w:beforeLines="50" w:afterLines="50" w:line="360" w:lineRule="auto"/>
      </w:pPr>
      <w:bookmarkStart w:id="332" w:name="_Toc16329"/>
      <w:bookmarkStart w:id="333" w:name="_Toc224"/>
      <w:bookmarkStart w:id="334" w:name="_Toc16809"/>
      <w:bookmarkStart w:id="335" w:name="_Toc12676"/>
      <w:bookmarkStart w:id="336" w:name="_Toc25492"/>
      <w:bookmarkStart w:id="337" w:name="_Toc15349"/>
      <w:bookmarkStart w:id="338" w:name="_Toc8409"/>
      <w:bookmarkStart w:id="339" w:name="_Toc24953"/>
      <w:r>
        <w:rPr>
          <w:rFonts w:hint="eastAsia"/>
        </w:rPr>
        <w:t>第三章  供应商的资格条件要求</w:t>
      </w:r>
      <w:bookmarkEnd w:id="327"/>
      <w:bookmarkEnd w:id="328"/>
      <w:bookmarkEnd w:id="329"/>
      <w:bookmarkEnd w:id="330"/>
      <w:bookmarkEnd w:id="332"/>
      <w:bookmarkEnd w:id="333"/>
      <w:bookmarkEnd w:id="334"/>
      <w:bookmarkEnd w:id="335"/>
      <w:bookmarkEnd w:id="336"/>
      <w:bookmarkEnd w:id="337"/>
      <w:bookmarkEnd w:id="338"/>
      <w:bookmarkEnd w:id="339"/>
    </w:p>
    <w:p>
      <w:pPr>
        <w:snapToGrid w:val="0"/>
        <w:spacing w:line="360" w:lineRule="auto"/>
        <w:ind w:firstLine="422" w:firstLineChars="200"/>
        <w:rPr>
          <w:rFonts w:ascii="宋体" w:hAnsi="宋体" w:cs="宋体"/>
          <w:b/>
          <w:bCs/>
          <w:szCs w:val="21"/>
        </w:rPr>
      </w:pPr>
      <w:bookmarkStart w:id="340" w:name="_Toc9817"/>
      <w:bookmarkStart w:id="341" w:name="_Toc28495_WPSOffice_Level2"/>
      <w:bookmarkStart w:id="342" w:name="_Toc31816"/>
      <w:bookmarkStart w:id="343" w:name="_Toc14230"/>
      <w:bookmarkStart w:id="344" w:name="_Toc16814"/>
      <w:bookmarkStart w:id="345" w:name="_Toc6512"/>
      <w:bookmarkStart w:id="346" w:name="_Toc5083"/>
      <w:bookmarkStart w:id="347" w:name="_Toc23351"/>
      <w:r>
        <w:rPr>
          <w:rFonts w:hint="eastAsia" w:ascii="宋体" w:hAnsi="宋体" w:cs="宋体"/>
          <w:b/>
          <w:bCs/>
          <w:szCs w:val="21"/>
        </w:rPr>
        <w:t>一、供应商参加本次政府采购活动应具备下列条件：</w:t>
      </w:r>
    </w:p>
    <w:p>
      <w:pPr>
        <w:snapToGrid w:val="0"/>
        <w:spacing w:line="480" w:lineRule="exact"/>
        <w:ind w:firstLine="422" w:firstLineChars="200"/>
        <w:rPr>
          <w:rFonts w:ascii="宋体" w:hAnsi="宋体" w:cs="宋体"/>
          <w:bCs/>
          <w:szCs w:val="21"/>
        </w:rPr>
      </w:pPr>
      <w:bookmarkStart w:id="348" w:name="_Toc22697"/>
      <w:bookmarkStart w:id="349" w:name="_Toc30048"/>
      <w:bookmarkStart w:id="350" w:name="_Toc7648"/>
      <w:bookmarkStart w:id="351" w:name="_Toc9711"/>
      <w:bookmarkStart w:id="352" w:name="_Toc23249"/>
      <w:bookmarkStart w:id="353" w:name="_Toc28934"/>
      <w:r>
        <w:rPr>
          <w:rFonts w:hint="eastAsia" w:ascii="宋体" w:hAnsi="宋体" w:cs="宋体"/>
          <w:b/>
          <w:bCs/>
          <w:szCs w:val="21"/>
        </w:rPr>
        <w:t>（一）符合《中华人民共和国政府采购法》第二十二条规定的条件；</w:t>
      </w:r>
    </w:p>
    <w:p>
      <w:pPr>
        <w:snapToGrid w:val="0"/>
        <w:spacing w:line="480" w:lineRule="exact"/>
        <w:ind w:firstLine="420" w:firstLineChars="200"/>
        <w:rPr>
          <w:rFonts w:ascii="宋体" w:hAnsi="宋体" w:cs="宋体"/>
          <w:bCs/>
          <w:szCs w:val="21"/>
        </w:rPr>
      </w:pPr>
      <w:r>
        <w:rPr>
          <w:rFonts w:hint="eastAsia" w:ascii="宋体" w:hAnsi="宋体" w:cs="宋体"/>
          <w:bCs/>
          <w:szCs w:val="21"/>
        </w:rPr>
        <w:t>1.具有独立承担民事责任的能力；</w:t>
      </w:r>
    </w:p>
    <w:p>
      <w:pPr>
        <w:snapToGrid w:val="0"/>
        <w:spacing w:line="480" w:lineRule="exact"/>
        <w:ind w:firstLine="420" w:firstLineChars="200"/>
        <w:rPr>
          <w:rFonts w:ascii="宋体" w:hAnsi="宋体" w:cs="宋体"/>
          <w:bCs/>
          <w:szCs w:val="21"/>
        </w:rPr>
      </w:pPr>
      <w:r>
        <w:rPr>
          <w:rFonts w:hint="eastAsia" w:ascii="宋体" w:hAnsi="宋体" w:cs="宋体"/>
          <w:bCs/>
          <w:szCs w:val="21"/>
        </w:rPr>
        <w:t>2.具有良好的商业信誉和健全的财务会计制度；</w:t>
      </w:r>
    </w:p>
    <w:p>
      <w:pPr>
        <w:snapToGrid w:val="0"/>
        <w:spacing w:line="480" w:lineRule="exact"/>
        <w:ind w:firstLine="420" w:firstLineChars="200"/>
        <w:rPr>
          <w:rFonts w:ascii="宋体" w:hAnsi="宋体" w:cs="宋体"/>
          <w:bCs/>
          <w:szCs w:val="21"/>
        </w:rPr>
      </w:pPr>
      <w:r>
        <w:rPr>
          <w:rFonts w:hint="eastAsia" w:ascii="宋体" w:hAnsi="宋体" w:cs="宋体"/>
          <w:bCs/>
          <w:szCs w:val="21"/>
        </w:rPr>
        <w:t>3.具有履行合同所必需的设备和专业技术能力；</w:t>
      </w:r>
    </w:p>
    <w:p>
      <w:pPr>
        <w:snapToGrid w:val="0"/>
        <w:spacing w:line="480" w:lineRule="exact"/>
        <w:ind w:firstLine="420" w:firstLineChars="200"/>
        <w:rPr>
          <w:rFonts w:ascii="宋体" w:hAnsi="宋体" w:cs="宋体"/>
          <w:bCs/>
          <w:szCs w:val="21"/>
        </w:rPr>
      </w:pPr>
      <w:r>
        <w:rPr>
          <w:rFonts w:hint="eastAsia" w:ascii="宋体" w:hAnsi="宋体" w:cs="宋体"/>
          <w:bCs/>
          <w:szCs w:val="21"/>
        </w:rPr>
        <w:t>4.有依法缴纳税收和社会保障资金的良好记录；</w:t>
      </w:r>
    </w:p>
    <w:p>
      <w:pPr>
        <w:snapToGrid w:val="0"/>
        <w:spacing w:line="480" w:lineRule="exact"/>
        <w:ind w:firstLine="420" w:firstLineChars="200"/>
        <w:rPr>
          <w:rFonts w:ascii="宋体" w:hAnsi="宋体" w:cs="宋体"/>
          <w:bCs/>
          <w:szCs w:val="21"/>
        </w:rPr>
      </w:pPr>
      <w:r>
        <w:rPr>
          <w:rFonts w:hint="eastAsia" w:ascii="宋体" w:hAnsi="宋体" w:cs="宋体"/>
          <w:bCs/>
          <w:szCs w:val="21"/>
        </w:rPr>
        <w:t>5.参加本次政府采购活动前三年内，在经营活动中没有重大违法记录；</w:t>
      </w:r>
    </w:p>
    <w:p>
      <w:pPr>
        <w:snapToGrid w:val="0"/>
        <w:spacing w:line="480" w:lineRule="exact"/>
        <w:ind w:firstLine="420" w:firstLineChars="200"/>
        <w:rPr>
          <w:rFonts w:ascii="宋体" w:hAnsi="宋体" w:cs="宋体"/>
          <w:bCs/>
          <w:szCs w:val="21"/>
        </w:rPr>
      </w:pPr>
      <w:r>
        <w:rPr>
          <w:rFonts w:hint="eastAsia" w:ascii="宋体" w:hAnsi="宋体" w:cs="宋体"/>
          <w:bCs/>
          <w:szCs w:val="21"/>
        </w:rPr>
        <w:t>6.法律、行政法规规定的其他条件。</w:t>
      </w:r>
    </w:p>
    <w:p>
      <w:pPr>
        <w:snapToGrid w:val="0"/>
        <w:spacing w:line="480" w:lineRule="exact"/>
        <w:ind w:firstLine="422" w:firstLineChars="200"/>
        <w:rPr>
          <w:rFonts w:ascii="宋体" w:hAnsi="宋体" w:cs="宋体"/>
          <w:b/>
          <w:szCs w:val="21"/>
        </w:rPr>
      </w:pPr>
      <w:r>
        <w:rPr>
          <w:rFonts w:hint="eastAsia" w:ascii="宋体" w:hAnsi="宋体" w:cs="宋体"/>
          <w:b/>
          <w:szCs w:val="21"/>
        </w:rPr>
        <w:t>（二）落实政府采购政策需满足的资格要求：</w:t>
      </w:r>
    </w:p>
    <w:p>
      <w:pPr>
        <w:snapToGrid w:val="0"/>
        <w:spacing w:line="480" w:lineRule="exact"/>
        <w:ind w:firstLine="422" w:firstLineChars="200"/>
        <w:rPr>
          <w:rFonts w:ascii="宋体" w:hAnsi="宋体" w:cs="宋体"/>
          <w:b/>
          <w:szCs w:val="21"/>
        </w:rPr>
      </w:pPr>
      <w:r>
        <w:rPr>
          <w:rFonts w:hint="eastAsia" w:ascii="宋体" w:hAnsi="宋体" w:cs="宋体"/>
          <w:b/>
          <w:szCs w:val="21"/>
        </w:rPr>
        <w:t>（三）本项目的特定资格要求：</w:t>
      </w:r>
    </w:p>
    <w:p>
      <w:pPr>
        <w:snapToGrid w:val="0"/>
        <w:spacing w:line="480" w:lineRule="exact"/>
        <w:ind w:firstLine="420" w:firstLineChars="200"/>
        <w:rPr>
          <w:rFonts w:ascii="宋体" w:hAnsi="宋体" w:cs="宋体"/>
          <w:bCs/>
          <w:color w:val="auto"/>
          <w:szCs w:val="21"/>
          <w:u w:val="none"/>
        </w:rPr>
      </w:pPr>
      <w:r>
        <w:rPr>
          <w:rFonts w:hint="eastAsia" w:ascii="宋体" w:hAnsi="宋体" w:cs="宋体"/>
          <w:bCs/>
          <w:color w:val="auto"/>
          <w:szCs w:val="21"/>
          <w:u w:val="none"/>
        </w:rPr>
        <w:t>1.供应商具备有效的《食品生产许可证》或《食品经营许可证》。</w:t>
      </w:r>
    </w:p>
    <w:p>
      <w:pPr>
        <w:spacing w:line="480" w:lineRule="exact"/>
        <w:ind w:firstLine="422" w:firstLineChars="200"/>
        <w:rPr>
          <w:rFonts w:ascii="宋体" w:hAnsi="宋体" w:cs="宋体"/>
          <w:b/>
          <w:szCs w:val="21"/>
        </w:rPr>
      </w:pPr>
      <w:r>
        <w:rPr>
          <w:rFonts w:hint="eastAsia" w:ascii="宋体" w:hAnsi="宋体" w:cs="宋体"/>
          <w:b/>
          <w:szCs w:val="21"/>
        </w:rPr>
        <w:t>（四）本项目</w:t>
      </w:r>
      <w:r>
        <w:rPr>
          <w:rFonts w:hint="eastAsia" w:ascii="宋体" w:hAnsi="宋体" w:cs="宋体"/>
          <w:b/>
          <w:szCs w:val="21"/>
          <w:u w:val="single"/>
        </w:rPr>
        <w:t>不接受</w:t>
      </w:r>
      <w:r>
        <w:rPr>
          <w:rFonts w:hint="eastAsia" w:ascii="宋体" w:hAnsi="宋体" w:cs="宋体"/>
          <w:b/>
          <w:szCs w:val="21"/>
        </w:rPr>
        <w:t>联合体磋商。</w:t>
      </w:r>
    </w:p>
    <w:p>
      <w:pPr>
        <w:snapToGrid w:val="0"/>
        <w:spacing w:line="360" w:lineRule="auto"/>
        <w:ind w:firstLine="422" w:firstLineChars="200"/>
        <w:rPr>
          <w:rFonts w:ascii="宋体" w:hAnsi="宋体" w:cs="宋体"/>
          <w:b/>
          <w:bCs/>
          <w:szCs w:val="21"/>
        </w:rPr>
      </w:pPr>
    </w:p>
    <w:p>
      <w:pPr>
        <w:snapToGrid w:val="0"/>
        <w:spacing w:line="360" w:lineRule="auto"/>
        <w:ind w:firstLine="422" w:firstLineChars="200"/>
        <w:rPr>
          <w:rFonts w:ascii="宋体" w:hAnsi="宋体" w:cs="宋体"/>
          <w:b/>
          <w:bCs/>
          <w:szCs w:val="21"/>
        </w:rPr>
      </w:pPr>
      <w:r>
        <w:rPr>
          <w:rFonts w:hint="eastAsia" w:ascii="宋体" w:hAnsi="宋体" w:cs="宋体"/>
          <w:b/>
          <w:bCs/>
          <w:szCs w:val="21"/>
        </w:rPr>
        <w:t>二、其他类似效力要求：</w:t>
      </w:r>
      <w:bookmarkEnd w:id="348"/>
      <w:bookmarkEnd w:id="349"/>
      <w:bookmarkEnd w:id="350"/>
      <w:bookmarkEnd w:id="351"/>
      <w:bookmarkEnd w:id="352"/>
      <w:bookmarkEnd w:id="353"/>
    </w:p>
    <w:p>
      <w:pPr>
        <w:snapToGrid w:val="0"/>
        <w:spacing w:line="440" w:lineRule="exact"/>
        <w:ind w:firstLine="420" w:firstLineChars="200"/>
        <w:rPr>
          <w:rFonts w:ascii="宋体" w:hAnsi="宋体" w:cs="宋体"/>
          <w:bCs/>
          <w:szCs w:val="21"/>
        </w:rPr>
      </w:pPr>
      <w:r>
        <w:rPr>
          <w:rFonts w:hint="eastAsia" w:ascii="宋体" w:hAnsi="宋体" w:cs="宋体"/>
          <w:bCs/>
          <w:szCs w:val="21"/>
        </w:rPr>
        <w:t>1.法定代表人/单位负责人身份证明（法定代表人/单位负责人磋商时适用）；</w:t>
      </w:r>
    </w:p>
    <w:p>
      <w:pPr>
        <w:snapToGrid w:val="0"/>
        <w:spacing w:line="440" w:lineRule="exact"/>
        <w:ind w:firstLine="420" w:firstLineChars="200"/>
        <w:rPr>
          <w:rFonts w:ascii="宋体" w:hAnsi="宋体" w:cs="宋体"/>
          <w:bCs/>
          <w:szCs w:val="21"/>
        </w:rPr>
      </w:pPr>
      <w:r>
        <w:rPr>
          <w:rFonts w:hint="eastAsia" w:ascii="宋体" w:hAnsi="宋体" w:cs="宋体"/>
          <w:bCs/>
          <w:szCs w:val="21"/>
        </w:rPr>
        <w:t>2.法定代表人/单位负责人授权委托书（授权委托人磋商时适用）；</w:t>
      </w:r>
    </w:p>
    <w:p>
      <w:pPr>
        <w:snapToGrid w:val="0"/>
        <w:spacing w:line="360" w:lineRule="auto"/>
        <w:ind w:firstLine="420" w:firstLineChars="200"/>
        <w:rPr>
          <w:rFonts w:ascii="宋体" w:hAnsi="宋体" w:cs="宋体"/>
          <w:szCs w:val="21"/>
        </w:rPr>
      </w:pPr>
    </w:p>
    <w:p>
      <w:pPr>
        <w:snapToGrid w:val="0"/>
        <w:spacing w:line="360" w:lineRule="auto"/>
        <w:ind w:firstLine="420" w:firstLineChars="200"/>
        <w:rPr>
          <w:rFonts w:ascii="宋体" w:hAnsi="宋体" w:cs="宋体"/>
          <w:szCs w:val="21"/>
        </w:rPr>
      </w:pPr>
      <w:r>
        <w:rPr>
          <w:rFonts w:hint="eastAsia" w:ascii="宋体" w:hAnsi="宋体" w:cs="宋体"/>
          <w:szCs w:val="21"/>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360" w:lineRule="auto"/>
        <w:ind w:firstLine="840" w:firstLineChars="400"/>
        <w:rPr>
          <w:sz w:val="24"/>
          <w:szCs w:val="28"/>
        </w:rPr>
      </w:pPr>
      <w:r>
        <w:rPr>
          <w:rFonts w:hint="eastAsia" w:ascii="宋体" w:hAnsi="宋体" w:cs="宋体"/>
          <w:szCs w:val="21"/>
        </w:rPr>
        <w:t>2.供应商在参加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r>
        <w:rPr>
          <w:rFonts w:hint="eastAsia"/>
          <w:sz w:val="24"/>
          <w:szCs w:val="28"/>
        </w:rPr>
        <w:br w:type="page"/>
      </w:r>
    </w:p>
    <w:bookmarkEnd w:id="340"/>
    <w:bookmarkEnd w:id="341"/>
    <w:bookmarkEnd w:id="342"/>
    <w:bookmarkEnd w:id="343"/>
    <w:bookmarkEnd w:id="344"/>
    <w:bookmarkEnd w:id="345"/>
    <w:bookmarkEnd w:id="346"/>
    <w:bookmarkEnd w:id="347"/>
    <w:p>
      <w:pPr>
        <w:pStyle w:val="3"/>
        <w:spacing w:after="6" w:line="360" w:lineRule="auto"/>
        <w:rPr>
          <w:rFonts w:ascii="宋体" w:hAnsi="宋体"/>
          <w:sz w:val="24"/>
        </w:rPr>
      </w:pPr>
      <w:bookmarkStart w:id="354" w:name="_Toc511206478"/>
      <w:bookmarkStart w:id="355" w:name="_Toc5005025"/>
      <w:bookmarkStart w:id="356" w:name="_Toc1100"/>
      <w:bookmarkStart w:id="357" w:name="_Toc6634"/>
      <w:bookmarkStart w:id="358" w:name="_Toc24326"/>
      <w:bookmarkStart w:id="359" w:name="_Toc2889"/>
      <w:bookmarkStart w:id="360" w:name="_Toc17004"/>
      <w:bookmarkStart w:id="361" w:name="_Toc10274"/>
      <w:bookmarkStart w:id="362" w:name="_Toc9202"/>
      <w:bookmarkStart w:id="363" w:name="_Toc16374_WPSOffice_Level1"/>
      <w:bookmarkStart w:id="364" w:name="_Toc29230"/>
      <w:bookmarkStart w:id="365" w:name="_Toc29417"/>
      <w:r>
        <w:rPr>
          <w:rFonts w:hint="eastAsia"/>
        </w:rPr>
        <w:t xml:space="preserve">第四章  </w:t>
      </w:r>
      <w:bookmarkEnd w:id="354"/>
      <w:r>
        <w:rPr>
          <w:rFonts w:hint="eastAsia"/>
        </w:rPr>
        <w:t>供应商应当提供的资格、资质性及其他类似效力要求的相关证明材料</w:t>
      </w:r>
      <w:bookmarkEnd w:id="355"/>
      <w:bookmarkEnd w:id="356"/>
      <w:bookmarkEnd w:id="357"/>
      <w:bookmarkEnd w:id="358"/>
      <w:bookmarkEnd w:id="359"/>
      <w:bookmarkEnd w:id="360"/>
      <w:bookmarkEnd w:id="361"/>
      <w:bookmarkEnd w:id="362"/>
      <w:bookmarkEnd w:id="363"/>
      <w:bookmarkEnd w:id="364"/>
      <w:bookmarkEnd w:id="365"/>
      <w:bookmarkStart w:id="366" w:name="_Toc3887_WPSOffice_Level2"/>
    </w:p>
    <w:p>
      <w:pPr>
        <w:pStyle w:val="4"/>
        <w:spacing w:before="0" w:after="0" w:line="440" w:lineRule="exact"/>
        <w:jc w:val="both"/>
        <w:rPr>
          <w:sz w:val="24"/>
          <w:szCs w:val="28"/>
        </w:rPr>
      </w:pPr>
      <w:bookmarkStart w:id="367" w:name="_Toc22190"/>
      <w:bookmarkStart w:id="368" w:name="_Toc1960"/>
      <w:bookmarkStart w:id="369" w:name="_Toc9234"/>
      <w:bookmarkStart w:id="370" w:name="_Toc24382"/>
      <w:bookmarkStart w:id="371" w:name="_Toc25776"/>
      <w:bookmarkStart w:id="372" w:name="_Toc29975"/>
      <w:bookmarkStart w:id="373" w:name="_Toc4952"/>
      <w:bookmarkStart w:id="374" w:name="_Toc30385"/>
      <w:r>
        <w:rPr>
          <w:rFonts w:hint="eastAsia"/>
          <w:sz w:val="24"/>
          <w:szCs w:val="28"/>
        </w:rPr>
        <w:t>一、供应商应提交的资格、资质性证明材料</w:t>
      </w:r>
      <w:bookmarkEnd w:id="366"/>
      <w:bookmarkEnd w:id="367"/>
      <w:bookmarkEnd w:id="368"/>
      <w:bookmarkEnd w:id="369"/>
      <w:bookmarkEnd w:id="370"/>
      <w:bookmarkEnd w:id="371"/>
      <w:bookmarkEnd w:id="372"/>
      <w:bookmarkEnd w:id="373"/>
      <w:bookmarkEnd w:id="374"/>
    </w:p>
    <w:p>
      <w:pPr>
        <w:snapToGrid w:val="0"/>
        <w:spacing w:line="480" w:lineRule="exact"/>
        <w:ind w:firstLine="422" w:firstLineChars="200"/>
        <w:rPr>
          <w:rFonts w:ascii="宋体" w:hAnsi="宋体" w:cs="宋体"/>
          <w:bCs/>
          <w:szCs w:val="21"/>
        </w:rPr>
      </w:pPr>
      <w:r>
        <w:rPr>
          <w:rFonts w:hint="eastAsia" w:ascii="宋体" w:hAnsi="宋体" w:cs="宋体"/>
          <w:b/>
          <w:bCs/>
          <w:szCs w:val="21"/>
        </w:rPr>
        <w:t>（一）符合《中华人民共和国政府采购法》第二十二条规定的条件；</w:t>
      </w:r>
    </w:p>
    <w:p>
      <w:pPr>
        <w:snapToGrid w:val="0"/>
        <w:spacing w:line="440" w:lineRule="exact"/>
        <w:ind w:firstLine="422" w:firstLineChars="200"/>
        <w:rPr>
          <w:rFonts w:ascii="宋体" w:hAnsi="宋体" w:cs="宋体"/>
          <w:b/>
          <w:bCs/>
          <w:szCs w:val="21"/>
        </w:rPr>
      </w:pPr>
      <w:r>
        <w:rPr>
          <w:rFonts w:hint="eastAsia" w:ascii="宋体" w:hAnsi="宋体" w:cs="宋体"/>
          <w:b/>
          <w:bCs/>
          <w:szCs w:val="21"/>
        </w:rPr>
        <w:t>1.具有独立承担民事责任的能力。</w:t>
      </w:r>
    </w:p>
    <w:p>
      <w:pPr>
        <w:snapToGrid w:val="0"/>
        <w:spacing w:line="440" w:lineRule="exact"/>
        <w:ind w:firstLine="411" w:firstLineChars="196"/>
        <w:rPr>
          <w:rFonts w:ascii="宋体" w:hAnsi="宋体" w:cs="宋体"/>
          <w:szCs w:val="21"/>
        </w:rPr>
      </w:pPr>
      <w:r>
        <w:rPr>
          <w:rFonts w:hint="eastAsia" w:ascii="宋体" w:hAnsi="宋体" w:cs="宋体"/>
          <w:szCs w:val="21"/>
        </w:rPr>
        <w:t>（1）若为法人：提供“营业执照”副本，未换证的提供营业执照副本、组织机构代码证副本、税务登记证副本；</w:t>
      </w:r>
    </w:p>
    <w:p>
      <w:pPr>
        <w:snapToGrid w:val="0"/>
        <w:spacing w:line="440" w:lineRule="exact"/>
        <w:ind w:firstLine="411" w:firstLineChars="196"/>
        <w:rPr>
          <w:rFonts w:ascii="宋体" w:hAnsi="宋体" w:cs="宋体"/>
          <w:szCs w:val="21"/>
        </w:rPr>
      </w:pPr>
      <w:r>
        <w:rPr>
          <w:rFonts w:hint="eastAsia" w:ascii="宋体" w:hAnsi="宋体" w:cs="宋体"/>
          <w:szCs w:val="21"/>
        </w:rPr>
        <w:t>（2）若为事业法人：提供有效的“统一社会信用代码法人登记证书”，未换证的提供“事业法人登记证书、组织机构代码证”；</w:t>
      </w:r>
    </w:p>
    <w:p>
      <w:pPr>
        <w:snapToGrid w:val="0"/>
        <w:spacing w:line="440" w:lineRule="exact"/>
        <w:ind w:firstLine="411" w:firstLineChars="196"/>
        <w:rPr>
          <w:rFonts w:ascii="宋体" w:hAnsi="宋体" w:cs="宋体"/>
          <w:szCs w:val="21"/>
        </w:rPr>
      </w:pPr>
      <w:r>
        <w:rPr>
          <w:rFonts w:hint="eastAsia" w:ascii="宋体" w:hAnsi="宋体" w:cs="宋体"/>
          <w:szCs w:val="21"/>
        </w:rPr>
        <w:t>（3）若为其他组织：提供“对应主管部门颁发的准许执业证明文件或营业执照”；</w:t>
      </w:r>
    </w:p>
    <w:p>
      <w:pPr>
        <w:snapToGrid w:val="0"/>
        <w:spacing w:line="440" w:lineRule="exact"/>
        <w:ind w:firstLine="411" w:firstLineChars="196"/>
        <w:rPr>
          <w:rFonts w:ascii="宋体" w:hAnsi="宋体" w:cs="宋体"/>
          <w:szCs w:val="21"/>
        </w:rPr>
      </w:pPr>
      <w:r>
        <w:rPr>
          <w:rFonts w:hint="eastAsia" w:ascii="宋体" w:hAnsi="宋体" w:cs="宋体"/>
          <w:szCs w:val="21"/>
        </w:rPr>
        <w:t>（4）若为自然人：提供“身份证明材料”；</w:t>
      </w:r>
    </w:p>
    <w:p>
      <w:pPr>
        <w:snapToGrid w:val="0"/>
        <w:spacing w:line="440" w:lineRule="exact"/>
        <w:ind w:firstLine="411" w:firstLineChars="196"/>
        <w:rPr>
          <w:rFonts w:ascii="宋体" w:hAnsi="宋体" w:cs="宋体"/>
          <w:szCs w:val="21"/>
        </w:rPr>
      </w:pPr>
      <w:r>
        <w:rPr>
          <w:rFonts w:hint="eastAsia" w:ascii="宋体" w:hAnsi="宋体" w:cs="宋体"/>
          <w:szCs w:val="21"/>
        </w:rPr>
        <w:t>注：1.以上证明材料应满足此项要求：①发证机关有年检要求的，应按规定通过年检；②必须在有效期内；③复印件加盖供应商公章；</w:t>
      </w:r>
    </w:p>
    <w:p>
      <w:pPr>
        <w:snapToGrid w:val="0"/>
        <w:spacing w:line="440" w:lineRule="exact"/>
        <w:ind w:firstLine="411" w:firstLineChars="196"/>
        <w:rPr>
          <w:rFonts w:ascii="宋体" w:hAnsi="宋体" w:cs="宋体"/>
          <w:szCs w:val="21"/>
        </w:rPr>
      </w:pPr>
      <w:r>
        <w:rPr>
          <w:rFonts w:hint="eastAsia" w:ascii="宋体" w:hAnsi="宋体" w:cs="宋体"/>
          <w:szCs w:val="21"/>
        </w:rPr>
        <w:t>（5）供应商若已更换为三证合一的则提供营业执照副本复印件，事业单位提供事业单位法人证书，其他组织提供营业执照等证明文件，自然人提供身份证明均具备此条同等效力；</w:t>
      </w:r>
    </w:p>
    <w:p>
      <w:pPr>
        <w:snapToGrid w:val="0"/>
        <w:spacing w:line="440" w:lineRule="exact"/>
        <w:ind w:firstLine="411" w:firstLineChars="196"/>
        <w:rPr>
          <w:rFonts w:ascii="宋体" w:hAnsi="宋体" w:cs="宋体"/>
          <w:szCs w:val="21"/>
        </w:rPr>
      </w:pPr>
      <w:r>
        <w:rPr>
          <w:rFonts w:hint="eastAsia" w:ascii="宋体" w:hAnsi="宋体" w:cs="宋体"/>
          <w:szCs w:val="21"/>
        </w:rPr>
        <w:t>（6）根据国务院办公厅关于加快推进“多证合一”改革的指导意见（国办发【2017】41号）等政策要求，若资格要求涉及的登记、备案等有关事项和各类证照已实行多证合一导致供应商无法提供该类证明材料的，供应商须提供承诺，格式自拟。</w:t>
      </w:r>
    </w:p>
    <w:p>
      <w:pPr>
        <w:snapToGrid w:val="0"/>
        <w:spacing w:line="440" w:lineRule="exact"/>
        <w:ind w:firstLine="211" w:firstLineChars="100"/>
        <w:rPr>
          <w:rFonts w:ascii="宋体" w:hAnsi="宋体" w:cs="宋体"/>
          <w:b/>
          <w:bCs/>
          <w:szCs w:val="21"/>
        </w:rPr>
      </w:pPr>
      <w:r>
        <w:rPr>
          <w:rFonts w:hint="eastAsia" w:ascii="宋体" w:hAnsi="宋体" w:cs="宋体"/>
          <w:b/>
          <w:bCs/>
          <w:szCs w:val="21"/>
        </w:rPr>
        <w:t>2.具有良好商业信誉的证明材料；</w:t>
      </w:r>
    </w:p>
    <w:p>
      <w:pPr>
        <w:snapToGrid w:val="0"/>
        <w:spacing w:line="440" w:lineRule="exact"/>
        <w:ind w:firstLine="621" w:firstLineChars="296"/>
        <w:rPr>
          <w:rFonts w:ascii="宋体" w:hAnsi="宋体" w:cs="宋体"/>
          <w:szCs w:val="21"/>
        </w:rPr>
      </w:pPr>
      <w:r>
        <w:rPr>
          <w:rStyle w:val="108"/>
          <w:rFonts w:hint="eastAsia" w:ascii="宋体" w:hAnsi="宋体" w:cs="宋体"/>
          <w:szCs w:val="21"/>
        </w:rPr>
        <w:t>提供承诺函。</w:t>
      </w:r>
    </w:p>
    <w:p>
      <w:pPr>
        <w:snapToGrid w:val="0"/>
        <w:spacing w:line="440" w:lineRule="exact"/>
        <w:ind w:firstLine="211" w:firstLineChars="100"/>
        <w:rPr>
          <w:rFonts w:ascii="宋体" w:hAnsi="宋体" w:cs="宋体"/>
          <w:b/>
          <w:bCs/>
          <w:szCs w:val="21"/>
        </w:rPr>
      </w:pPr>
      <w:r>
        <w:rPr>
          <w:rFonts w:hint="eastAsia" w:ascii="宋体" w:hAnsi="宋体" w:cs="宋体"/>
          <w:b/>
          <w:bCs/>
          <w:szCs w:val="21"/>
        </w:rPr>
        <w:t>3.具有健全的财务会计制度的证明材料。</w:t>
      </w:r>
    </w:p>
    <w:p>
      <w:pPr>
        <w:snapToGrid w:val="0"/>
        <w:spacing w:line="440" w:lineRule="exact"/>
        <w:ind w:firstLine="411" w:firstLineChars="196"/>
        <w:rPr>
          <w:rFonts w:ascii="宋体" w:hAnsi="宋体" w:cs="宋体"/>
          <w:szCs w:val="21"/>
        </w:rPr>
      </w:pPr>
      <w:r>
        <w:rPr>
          <w:rStyle w:val="108"/>
          <w:rFonts w:hint="eastAsia" w:ascii="宋体" w:hAnsi="宋体" w:cs="宋体"/>
          <w:szCs w:val="21"/>
        </w:rPr>
        <w:t>（1）供应商提供2020年度经过会计师事务所审计的有效财务报告复印件（经审计的有效财务报告应包</w:t>
      </w:r>
      <w:r>
        <w:rPr>
          <w:rFonts w:hint="eastAsia" w:ascii="宋体" w:hAnsi="宋体" w:cs="宋体"/>
          <w:szCs w:val="21"/>
        </w:rPr>
        <w:t>括报告及报告中所附的完整内容，并需满足《财政部关于注册会计师在审计报告上签名盖章有关问题的通知》的要求）；</w:t>
      </w:r>
    </w:p>
    <w:p>
      <w:pPr>
        <w:snapToGrid w:val="0"/>
        <w:spacing w:line="440" w:lineRule="exact"/>
        <w:ind w:firstLine="411" w:firstLineChars="196"/>
        <w:rPr>
          <w:rFonts w:ascii="宋体" w:hAnsi="宋体" w:cs="宋体"/>
          <w:szCs w:val="21"/>
        </w:rPr>
      </w:pPr>
      <w:r>
        <w:rPr>
          <w:rFonts w:hint="eastAsia" w:ascii="宋体" w:hAnsi="宋体" w:cs="宋体"/>
          <w:szCs w:val="21"/>
        </w:rPr>
        <w:t>（2）供应商提供2020年度内部的财务报表复印件（至少包含资产负债表）；</w:t>
      </w:r>
    </w:p>
    <w:p>
      <w:pPr>
        <w:snapToGrid w:val="0"/>
        <w:spacing w:line="440" w:lineRule="exact"/>
        <w:ind w:firstLine="411" w:firstLineChars="196"/>
        <w:rPr>
          <w:rFonts w:ascii="宋体" w:hAnsi="宋体" w:cs="宋体"/>
          <w:szCs w:val="21"/>
        </w:rPr>
      </w:pPr>
      <w:r>
        <w:rPr>
          <w:rFonts w:hint="eastAsia" w:ascii="宋体" w:hAnsi="宋体" w:cs="宋体"/>
          <w:szCs w:val="21"/>
        </w:rPr>
        <w:t>（3）供应商提供距文件递交截止日一年内银行出具的资信证明（复印件）；</w:t>
      </w:r>
    </w:p>
    <w:p>
      <w:pPr>
        <w:snapToGrid w:val="0"/>
        <w:spacing w:line="440" w:lineRule="exact"/>
        <w:ind w:firstLine="411" w:firstLineChars="196"/>
        <w:rPr>
          <w:rFonts w:ascii="宋体" w:hAnsi="宋体" w:cs="宋体"/>
          <w:szCs w:val="21"/>
        </w:rPr>
      </w:pPr>
      <w:r>
        <w:rPr>
          <w:rFonts w:hint="eastAsia" w:ascii="宋体" w:hAnsi="宋体" w:cs="宋体"/>
          <w:szCs w:val="21"/>
        </w:rPr>
        <w:t>（4）供应商成立时间至递交投标文件截止时间为止不足1年的，可提供公司章程复印件；</w:t>
      </w:r>
    </w:p>
    <w:p>
      <w:pPr>
        <w:snapToGrid w:val="0"/>
        <w:spacing w:line="440" w:lineRule="exact"/>
        <w:ind w:firstLine="411" w:firstLineChars="196"/>
        <w:rPr>
          <w:rFonts w:ascii="宋体" w:hAnsi="宋体" w:cs="宋体"/>
          <w:szCs w:val="21"/>
        </w:rPr>
      </w:pPr>
      <w:r>
        <w:rPr>
          <w:rFonts w:hint="eastAsia" w:ascii="宋体" w:hAnsi="宋体" w:cs="宋体"/>
          <w:szCs w:val="21"/>
        </w:rPr>
        <w:t>（5）供应商可提供承诺函。</w:t>
      </w:r>
    </w:p>
    <w:p>
      <w:pPr>
        <w:snapToGrid w:val="0"/>
        <w:spacing w:line="440" w:lineRule="exact"/>
        <w:ind w:firstLine="411" w:firstLineChars="196"/>
        <w:rPr>
          <w:rStyle w:val="108"/>
          <w:rFonts w:ascii="宋体" w:hAnsi="宋体" w:cs="宋体"/>
          <w:szCs w:val="21"/>
        </w:rPr>
      </w:pPr>
      <w:r>
        <w:rPr>
          <w:rFonts w:hint="eastAsia" w:ascii="宋体" w:hAnsi="宋体" w:cs="宋体"/>
          <w:szCs w:val="21"/>
        </w:rPr>
        <w:t>注：具有健全的财务会计制度的证</w:t>
      </w:r>
      <w:r>
        <w:rPr>
          <w:rStyle w:val="108"/>
          <w:rFonts w:hint="eastAsia" w:ascii="宋体" w:hAnsi="宋体" w:cs="宋体"/>
          <w:szCs w:val="21"/>
        </w:rPr>
        <w:t>明材料中第1-5项具有同等的效力，供应商可根据自身实际情况选择提供其中任意一项。</w:t>
      </w:r>
    </w:p>
    <w:p>
      <w:pPr>
        <w:snapToGrid w:val="0"/>
        <w:spacing w:line="440" w:lineRule="exact"/>
        <w:ind w:firstLine="211" w:firstLineChars="100"/>
        <w:rPr>
          <w:rFonts w:ascii="宋体" w:hAnsi="宋体" w:cs="宋体"/>
          <w:b/>
          <w:bCs/>
          <w:szCs w:val="21"/>
        </w:rPr>
      </w:pPr>
      <w:r>
        <w:rPr>
          <w:rFonts w:hint="eastAsia" w:ascii="宋体" w:hAnsi="宋体" w:cs="宋体"/>
          <w:b/>
          <w:bCs/>
          <w:szCs w:val="21"/>
        </w:rPr>
        <w:t>4.具有履行合同所必需的设备和专业技术能力的证明材料；</w:t>
      </w:r>
    </w:p>
    <w:p>
      <w:pPr>
        <w:snapToGrid w:val="0"/>
        <w:spacing w:line="440" w:lineRule="exact"/>
        <w:ind w:firstLine="420" w:firstLineChars="200"/>
        <w:rPr>
          <w:rFonts w:ascii="宋体" w:hAnsi="宋体" w:cs="宋体"/>
          <w:szCs w:val="21"/>
        </w:rPr>
      </w:pPr>
      <w:r>
        <w:rPr>
          <w:rFonts w:hint="eastAsia" w:ascii="宋体" w:hAnsi="宋体" w:cs="宋体"/>
          <w:szCs w:val="21"/>
        </w:rPr>
        <w:t>（1）自行提供相关证明材料；</w:t>
      </w:r>
    </w:p>
    <w:p>
      <w:pPr>
        <w:snapToGrid w:val="0"/>
        <w:spacing w:line="440" w:lineRule="exact"/>
        <w:ind w:firstLine="420" w:firstLineChars="200"/>
        <w:rPr>
          <w:rFonts w:ascii="宋体" w:hAnsi="宋体" w:cs="宋体"/>
          <w:szCs w:val="21"/>
        </w:rPr>
      </w:pPr>
      <w:r>
        <w:rPr>
          <w:rFonts w:hint="eastAsia" w:ascii="宋体" w:hAnsi="宋体" w:cs="宋体"/>
          <w:szCs w:val="21"/>
        </w:rPr>
        <w:t>（2）提供承诺函（格式自拟）。</w:t>
      </w:r>
    </w:p>
    <w:p>
      <w:pPr>
        <w:snapToGrid w:val="0"/>
        <w:spacing w:line="440" w:lineRule="exact"/>
        <w:ind w:firstLine="210" w:firstLineChars="100"/>
        <w:rPr>
          <w:rFonts w:ascii="宋体" w:hAnsi="宋体" w:cs="宋体"/>
          <w:szCs w:val="21"/>
        </w:rPr>
      </w:pPr>
      <w:r>
        <w:rPr>
          <w:rFonts w:hint="eastAsia" w:ascii="宋体" w:hAnsi="宋体" w:cs="宋体"/>
          <w:szCs w:val="21"/>
        </w:rPr>
        <w:t>注：具有履行合同所必需的设备和专业技术能力的证明材料中第1-2项具有同等的效力，投标人可根据自身实际情况选择提供其中任意一项。</w:t>
      </w:r>
    </w:p>
    <w:p>
      <w:pPr>
        <w:snapToGrid w:val="0"/>
        <w:spacing w:line="440" w:lineRule="exact"/>
        <w:ind w:firstLine="211" w:firstLineChars="100"/>
        <w:rPr>
          <w:rFonts w:ascii="宋体" w:hAnsi="宋体" w:cs="宋体"/>
          <w:b/>
          <w:bCs/>
          <w:szCs w:val="21"/>
        </w:rPr>
      </w:pPr>
      <w:r>
        <w:rPr>
          <w:rFonts w:hint="eastAsia" w:ascii="宋体" w:hAnsi="宋体" w:cs="宋体"/>
          <w:b/>
          <w:bCs/>
          <w:szCs w:val="21"/>
        </w:rPr>
        <w:t>5.有依法缴纳税收和社会保障资金的良好记录；</w:t>
      </w:r>
    </w:p>
    <w:p>
      <w:pPr>
        <w:snapToGrid w:val="0"/>
        <w:spacing w:line="440" w:lineRule="exact"/>
        <w:ind w:firstLine="411" w:firstLineChars="196"/>
        <w:rPr>
          <w:rFonts w:ascii="宋体" w:hAnsi="宋体" w:cs="宋体"/>
          <w:szCs w:val="21"/>
        </w:rPr>
      </w:pPr>
      <w:r>
        <w:rPr>
          <w:rFonts w:hint="eastAsia" w:ascii="宋体" w:hAnsi="宋体" w:cs="宋体"/>
          <w:szCs w:val="21"/>
        </w:rPr>
        <w:t>（1）提供</w:t>
      </w:r>
      <w:r>
        <w:rPr>
          <w:rFonts w:hint="eastAsia" w:ascii="宋体" w:hAnsi="宋体" w:cs="宋体"/>
          <w:szCs w:val="21"/>
          <w:u w:val="single"/>
        </w:rPr>
        <w:t xml:space="preserve"> 2021年1月</w:t>
      </w:r>
      <w:r>
        <w:rPr>
          <w:rFonts w:hint="eastAsia" w:ascii="宋体" w:hAnsi="宋体" w:cs="宋体"/>
          <w:szCs w:val="21"/>
        </w:rPr>
        <w:t>以来</w:t>
      </w:r>
      <w:r>
        <w:rPr>
          <w:rFonts w:hint="eastAsia" w:ascii="宋体" w:hAnsi="宋体" w:cs="宋体"/>
          <w:szCs w:val="21"/>
          <w:u w:val="single"/>
        </w:rPr>
        <w:t xml:space="preserve"> 任意一个月 </w:t>
      </w:r>
      <w:r>
        <w:rPr>
          <w:rFonts w:hint="eastAsia" w:ascii="宋体" w:hAnsi="宋体" w:cs="宋体"/>
          <w:szCs w:val="21"/>
        </w:rPr>
        <w:t>的缴纳税收和社保资金的相关证明材料复印件。</w:t>
      </w:r>
    </w:p>
    <w:p>
      <w:pPr>
        <w:snapToGrid w:val="0"/>
        <w:spacing w:line="440" w:lineRule="exact"/>
        <w:ind w:firstLine="411" w:firstLineChars="196"/>
        <w:rPr>
          <w:rFonts w:ascii="宋体" w:hAnsi="宋体" w:cs="宋体"/>
          <w:szCs w:val="21"/>
        </w:rPr>
      </w:pPr>
      <w:r>
        <w:rPr>
          <w:rFonts w:hint="eastAsia" w:ascii="宋体" w:hAnsi="宋体" w:cs="宋体"/>
          <w:szCs w:val="21"/>
        </w:rPr>
        <w:t>（2）提供承诺函。</w:t>
      </w:r>
    </w:p>
    <w:p>
      <w:pPr>
        <w:snapToGrid w:val="0"/>
        <w:spacing w:line="440" w:lineRule="exact"/>
        <w:ind w:firstLine="411" w:firstLineChars="196"/>
        <w:rPr>
          <w:rStyle w:val="108"/>
          <w:rFonts w:ascii="宋体" w:hAnsi="宋体" w:cs="宋体"/>
          <w:szCs w:val="21"/>
        </w:rPr>
      </w:pPr>
      <w:r>
        <w:rPr>
          <w:rFonts w:hint="eastAsia" w:ascii="宋体" w:hAnsi="宋体" w:cs="宋体"/>
          <w:szCs w:val="21"/>
        </w:rPr>
        <w:t>注：有依法缴纳税收和社会保障资金的良好记录的证明材料中第1-2项具有同等的效力，供应商可根据自身实</w:t>
      </w:r>
      <w:r>
        <w:rPr>
          <w:rStyle w:val="108"/>
          <w:rFonts w:hint="eastAsia" w:ascii="宋体" w:hAnsi="宋体" w:cs="宋体"/>
          <w:szCs w:val="21"/>
        </w:rPr>
        <w:t>际情况选择提供其中任意一项；依法免税或不需要缴纳社会保障资金的供应商，应提供相应文件证明其依法免税或不需要缴纳社会保障资金。</w:t>
      </w:r>
    </w:p>
    <w:p>
      <w:pPr>
        <w:snapToGrid w:val="0"/>
        <w:spacing w:line="440" w:lineRule="exact"/>
        <w:ind w:firstLine="211" w:firstLineChars="100"/>
        <w:rPr>
          <w:rFonts w:ascii="宋体" w:hAnsi="宋体" w:cs="宋体"/>
          <w:b/>
          <w:bCs/>
          <w:szCs w:val="21"/>
        </w:rPr>
      </w:pPr>
      <w:r>
        <w:rPr>
          <w:rFonts w:hint="eastAsia" w:ascii="宋体" w:hAnsi="宋体" w:cs="宋体"/>
          <w:b/>
          <w:bCs/>
          <w:szCs w:val="21"/>
        </w:rPr>
        <w:t>6.参加政府采购活动前3年内在经营活动中没有重大违法记录的证明材料；</w:t>
      </w:r>
    </w:p>
    <w:p>
      <w:pPr>
        <w:snapToGrid w:val="0"/>
        <w:spacing w:line="440" w:lineRule="exact"/>
        <w:ind w:firstLine="411" w:firstLineChars="196"/>
        <w:rPr>
          <w:rStyle w:val="108"/>
          <w:rFonts w:ascii="宋体" w:hAnsi="宋体" w:cs="宋体"/>
          <w:szCs w:val="21"/>
        </w:rPr>
      </w:pPr>
      <w:r>
        <w:rPr>
          <w:rFonts w:hint="eastAsia" w:ascii="宋体" w:hAnsi="宋体" w:cs="宋体"/>
          <w:szCs w:val="21"/>
        </w:rPr>
        <w:t>提供</w:t>
      </w:r>
      <w:r>
        <w:rPr>
          <w:rStyle w:val="108"/>
          <w:rFonts w:hint="eastAsia" w:ascii="宋体" w:hAnsi="宋体" w:cs="宋体"/>
          <w:szCs w:val="21"/>
        </w:rPr>
        <w:t>承诺函。</w:t>
      </w:r>
    </w:p>
    <w:p>
      <w:pPr>
        <w:snapToGrid w:val="0"/>
        <w:spacing w:line="440" w:lineRule="exact"/>
        <w:ind w:firstLine="411" w:firstLineChars="196"/>
        <w:rPr>
          <w:rStyle w:val="108"/>
          <w:rFonts w:ascii="宋体" w:hAnsi="宋体" w:cs="宋体"/>
          <w:szCs w:val="21"/>
        </w:rPr>
      </w:pPr>
      <w:r>
        <w:rPr>
          <w:rStyle w:val="108"/>
          <w:rFonts w:hint="eastAsia" w:ascii="宋体" w:hAnsi="宋体" w:cs="宋体"/>
          <w:szCs w:val="21"/>
        </w:rPr>
        <w:t>注：成立不足三年的，从成立之日起计算。</w:t>
      </w:r>
    </w:p>
    <w:p>
      <w:pPr>
        <w:snapToGrid w:val="0"/>
        <w:spacing w:line="440" w:lineRule="exact"/>
        <w:ind w:firstLine="211" w:firstLineChars="100"/>
        <w:rPr>
          <w:rFonts w:ascii="宋体" w:hAnsi="宋体" w:cs="宋体"/>
          <w:szCs w:val="21"/>
        </w:rPr>
      </w:pPr>
      <w:r>
        <w:rPr>
          <w:rFonts w:hint="eastAsia" w:ascii="宋体" w:hAnsi="宋体" w:cs="宋体"/>
          <w:b/>
          <w:bCs/>
          <w:szCs w:val="21"/>
        </w:rPr>
        <w:t>7.具有法律、行政法规规定的其他条件的证明材料。</w:t>
      </w:r>
    </w:p>
    <w:p>
      <w:pPr>
        <w:snapToGrid w:val="0"/>
        <w:spacing w:line="440" w:lineRule="exact"/>
        <w:ind w:firstLine="411" w:firstLineChars="196"/>
        <w:rPr>
          <w:rFonts w:ascii="宋体" w:hAnsi="宋体" w:cs="宋体"/>
          <w:szCs w:val="21"/>
        </w:rPr>
      </w:pPr>
      <w:r>
        <w:rPr>
          <w:rStyle w:val="108"/>
          <w:rFonts w:hint="eastAsia" w:ascii="宋体" w:hAnsi="宋体" w:cs="宋体"/>
          <w:szCs w:val="21"/>
        </w:rPr>
        <w:t>提供承诺函。</w:t>
      </w:r>
    </w:p>
    <w:p>
      <w:pPr>
        <w:numPr>
          <w:ilvl w:val="0"/>
          <w:numId w:val="6"/>
        </w:numPr>
        <w:snapToGrid w:val="0"/>
        <w:spacing w:line="480" w:lineRule="exact"/>
        <w:ind w:firstLine="422" w:firstLineChars="200"/>
        <w:rPr>
          <w:rFonts w:ascii="宋体" w:hAnsi="宋体" w:cs="宋体"/>
          <w:b/>
          <w:szCs w:val="21"/>
        </w:rPr>
      </w:pPr>
      <w:bookmarkStart w:id="375" w:name="_Toc28320"/>
      <w:bookmarkStart w:id="376" w:name="_Toc18831_WPSOffice_Level3"/>
      <w:bookmarkStart w:id="377" w:name="_Toc14954"/>
      <w:r>
        <w:rPr>
          <w:rFonts w:hint="eastAsia" w:ascii="宋体" w:hAnsi="宋体" w:cs="宋体"/>
          <w:b/>
          <w:szCs w:val="21"/>
        </w:rPr>
        <w:t>落实政府采购政策需满足的资格要求：无</w:t>
      </w:r>
    </w:p>
    <w:p>
      <w:pPr>
        <w:snapToGrid w:val="0"/>
        <w:spacing w:line="480" w:lineRule="exact"/>
        <w:ind w:firstLine="422" w:firstLineChars="200"/>
        <w:rPr>
          <w:rFonts w:ascii="宋体" w:hAnsi="宋体" w:cs="宋体"/>
          <w:b/>
          <w:szCs w:val="21"/>
        </w:rPr>
      </w:pPr>
      <w:r>
        <w:rPr>
          <w:rFonts w:hint="eastAsia" w:ascii="宋体" w:hAnsi="宋体" w:cs="宋体"/>
          <w:b/>
          <w:szCs w:val="21"/>
        </w:rPr>
        <w:t>（三）本项目的特定资格要求：</w:t>
      </w:r>
    </w:p>
    <w:p>
      <w:pPr>
        <w:snapToGrid w:val="0"/>
        <w:spacing w:line="440" w:lineRule="exact"/>
        <w:ind w:firstLine="411" w:firstLineChars="196"/>
        <w:rPr>
          <w:rStyle w:val="108"/>
          <w:rFonts w:ascii="宋体" w:hAnsi="宋体" w:cs="宋体"/>
          <w:szCs w:val="21"/>
        </w:rPr>
      </w:pPr>
      <w:r>
        <w:rPr>
          <w:rStyle w:val="108"/>
          <w:rFonts w:hint="eastAsia" w:ascii="宋体" w:hAnsi="宋体" w:cs="宋体"/>
          <w:szCs w:val="21"/>
        </w:rPr>
        <w:t>1.供应商具备有效的《食品生产许可证》或《食品经营许可证》。</w:t>
      </w:r>
    </w:p>
    <w:p>
      <w:pPr>
        <w:pStyle w:val="4"/>
        <w:spacing w:before="0" w:after="0" w:line="440" w:lineRule="exact"/>
        <w:jc w:val="both"/>
        <w:rPr>
          <w:sz w:val="24"/>
          <w:szCs w:val="28"/>
        </w:rPr>
      </w:pPr>
      <w:bookmarkStart w:id="378" w:name="_Toc22408"/>
      <w:bookmarkStart w:id="379" w:name="_Toc5363"/>
      <w:bookmarkStart w:id="380" w:name="_Toc7036"/>
      <w:bookmarkStart w:id="381" w:name="_Toc18137"/>
      <w:bookmarkStart w:id="382" w:name="_Toc19422"/>
      <w:bookmarkStart w:id="383" w:name="_Toc28696"/>
      <w:r>
        <w:rPr>
          <w:rFonts w:hint="eastAsia"/>
          <w:sz w:val="24"/>
          <w:szCs w:val="28"/>
        </w:rPr>
        <w:t>二、其他类似效力要求相关证明材料：</w:t>
      </w:r>
      <w:bookmarkEnd w:id="375"/>
      <w:bookmarkEnd w:id="376"/>
      <w:bookmarkEnd w:id="377"/>
      <w:bookmarkEnd w:id="378"/>
      <w:bookmarkEnd w:id="379"/>
      <w:bookmarkEnd w:id="380"/>
      <w:bookmarkEnd w:id="381"/>
      <w:bookmarkEnd w:id="382"/>
      <w:bookmarkEnd w:id="383"/>
    </w:p>
    <w:p>
      <w:pPr>
        <w:snapToGrid w:val="0"/>
        <w:spacing w:line="440" w:lineRule="exact"/>
        <w:ind w:firstLine="420" w:firstLineChars="200"/>
        <w:rPr>
          <w:rFonts w:ascii="宋体" w:hAnsi="宋体" w:cs="宋体"/>
          <w:bCs/>
          <w:szCs w:val="21"/>
        </w:rPr>
      </w:pPr>
      <w:bookmarkStart w:id="384" w:name="_Toc19435_WPSOffice_Level2"/>
      <w:r>
        <w:rPr>
          <w:rFonts w:hint="eastAsia" w:ascii="宋体" w:hAnsi="宋体" w:cs="宋体"/>
          <w:bCs/>
          <w:szCs w:val="21"/>
        </w:rPr>
        <w:t>1.法定代表人/单位负责人身份证明（法定代表人/单位负责人磋商时适用）；</w:t>
      </w:r>
    </w:p>
    <w:p>
      <w:pPr>
        <w:snapToGrid w:val="0"/>
        <w:spacing w:line="440" w:lineRule="exact"/>
        <w:ind w:firstLine="420" w:firstLineChars="200"/>
        <w:rPr>
          <w:rFonts w:ascii="宋体" w:hAnsi="宋体" w:cs="宋体"/>
          <w:bCs/>
          <w:szCs w:val="21"/>
        </w:rPr>
      </w:pPr>
      <w:r>
        <w:rPr>
          <w:rFonts w:hint="eastAsia" w:ascii="宋体" w:hAnsi="宋体" w:cs="宋体"/>
          <w:bCs/>
          <w:szCs w:val="21"/>
        </w:rPr>
        <w:t>2.法定代表人/单位负责人授权委托书（授权委托人磋商时适用）；</w:t>
      </w:r>
    </w:p>
    <w:bookmarkEnd w:id="331"/>
    <w:bookmarkEnd w:id="384"/>
    <w:p>
      <w:pPr>
        <w:snapToGrid w:val="0"/>
        <w:spacing w:line="440" w:lineRule="exact"/>
        <w:ind w:firstLine="420" w:firstLineChars="200"/>
        <w:rPr>
          <w:rFonts w:ascii="宋体" w:hAnsi="宋体" w:cs="宋体"/>
          <w:szCs w:val="21"/>
        </w:rPr>
      </w:pPr>
      <w:r>
        <w:rPr>
          <w:rFonts w:hint="eastAsia" w:ascii="宋体" w:hAnsi="宋体" w:cs="宋体"/>
          <w:szCs w:val="21"/>
        </w:rPr>
        <w:t>注：1、本章要求提供的相关证明材料应当与第三章的规定要求对应，除供应商自愿以外，不能要求供应商提供额外的证明材料。如果要求提供额外的证明材料，供应商有权拒绝提供，且不影响响应文件的有效性和完整性。</w:t>
      </w:r>
    </w:p>
    <w:p>
      <w:pPr>
        <w:widowControl/>
        <w:snapToGrid w:val="0"/>
        <w:spacing w:line="440" w:lineRule="exact"/>
        <w:ind w:firstLine="420" w:firstLineChars="200"/>
        <w:jc w:val="left"/>
        <w:rPr>
          <w:rFonts w:ascii="宋体" w:hAnsi="宋体" w:cs="宋体"/>
          <w:kern w:val="0"/>
          <w:szCs w:val="21"/>
        </w:rPr>
      </w:pPr>
      <w:r>
        <w:rPr>
          <w:rFonts w:hint="eastAsia" w:ascii="宋体" w:hAnsi="宋体" w:cs="宋体"/>
          <w:szCs w:val="21"/>
        </w:rPr>
        <w:t>2、</w:t>
      </w:r>
      <w:r>
        <w:rPr>
          <w:rFonts w:hint="eastAsia" w:ascii="宋体" w:hAnsi="宋体" w:cs="宋体"/>
          <w:kern w:val="0"/>
          <w:szCs w:val="21"/>
        </w:rPr>
        <w:t>上述材料要求为原件的，供应商必须提供原件，无原件要求的，提供原件或加盖供应商公章的复印件（或扫描件）。</w:t>
      </w:r>
    </w:p>
    <w:p>
      <w:pPr>
        <w:rPr>
          <w:rFonts w:ascii="宋体" w:hAnsi="宋体" w:cs="宋体"/>
          <w:kern w:val="0"/>
          <w:szCs w:val="21"/>
        </w:rPr>
      </w:pPr>
      <w:r>
        <w:rPr>
          <w:rFonts w:hint="eastAsia" w:ascii="宋体" w:hAnsi="宋体" w:cs="宋体"/>
          <w:kern w:val="0"/>
          <w:szCs w:val="21"/>
        </w:rPr>
        <w:br w:type="page"/>
      </w:r>
    </w:p>
    <w:p>
      <w:pPr>
        <w:pStyle w:val="109"/>
        <w:numPr>
          <w:ilvl w:val="0"/>
          <w:numId w:val="0"/>
        </w:numPr>
        <w:spacing w:before="156" w:after="156" w:line="360" w:lineRule="auto"/>
        <w:rPr>
          <w:rFonts w:hAnsi="宋体" w:cs="宋体"/>
          <w:color w:val="000000"/>
          <w:sz w:val="24"/>
        </w:rPr>
      </w:pPr>
      <w:r>
        <w:rPr>
          <w:rFonts w:hint="eastAsia"/>
        </w:rPr>
        <w:t>第五章  采购项目技术、服务、采购合同内容条款及商务要求</w:t>
      </w:r>
    </w:p>
    <w:p>
      <w:pPr>
        <w:spacing w:line="360" w:lineRule="auto"/>
        <w:ind w:firstLine="422" w:firstLineChars="200"/>
        <w:rPr>
          <w:rFonts w:hAnsi="宋体" w:cs="宋体"/>
          <w:b/>
          <w:color w:val="000000"/>
          <w:szCs w:val="21"/>
        </w:rPr>
      </w:pPr>
      <w:r>
        <w:rPr>
          <w:rFonts w:hint="eastAsia" w:hAnsi="宋体" w:cs="宋体"/>
          <w:b/>
          <w:color w:val="000000"/>
          <w:szCs w:val="21"/>
        </w:rPr>
        <w:t>一、项目简介</w:t>
      </w:r>
    </w:p>
    <w:p>
      <w:pPr>
        <w:pStyle w:val="12"/>
        <w:spacing w:line="360" w:lineRule="auto"/>
        <w:rPr>
          <w:rFonts w:ascii="宋体" w:hAnsi="宋体" w:cs="宋体"/>
          <w:szCs w:val="21"/>
        </w:rPr>
      </w:pPr>
      <w:r>
        <w:rPr>
          <w:rFonts w:hint="eastAsia" w:hAnsi="宋体" w:cs="宋体"/>
          <w:b/>
          <w:color w:val="000000"/>
          <w:szCs w:val="21"/>
        </w:rPr>
        <w:t xml:space="preserve">  </w:t>
      </w:r>
      <w:r>
        <w:rPr>
          <w:rFonts w:hint="eastAsia" w:hAnsi="宋体" w:cs="宋体"/>
          <w:color w:val="000000"/>
          <w:szCs w:val="21"/>
        </w:rPr>
        <w:t xml:space="preserve">  </w:t>
      </w:r>
      <w:r>
        <w:rPr>
          <w:rFonts w:hint="eastAsia" w:ascii="宋体" w:hAnsi="宋体" w:cs="宋体"/>
          <w:color w:val="000000"/>
          <w:szCs w:val="21"/>
        </w:rPr>
        <w:t>本项目为成都市国土规划地籍事务中心食堂外包服务项目。</w:t>
      </w:r>
    </w:p>
    <w:p>
      <w:pPr>
        <w:spacing w:afterLines="50"/>
        <w:rPr>
          <w:szCs w:val="21"/>
        </w:rPr>
      </w:pPr>
      <w:r>
        <w:rPr>
          <w:rFonts w:hint="eastAsia"/>
          <w:b/>
          <w:bCs/>
          <w:szCs w:val="21"/>
        </w:rPr>
        <w:t xml:space="preserve">    二、服务内容</w:t>
      </w:r>
    </w:p>
    <w:p>
      <w:pPr>
        <w:spacing w:line="360" w:lineRule="auto"/>
        <w:ind w:firstLine="420" w:firstLineChars="200"/>
        <w:rPr>
          <w:rFonts w:hAnsi="宋体" w:cs="宋体"/>
          <w:color w:val="000000"/>
          <w:szCs w:val="21"/>
        </w:rPr>
      </w:pPr>
      <w:r>
        <w:rPr>
          <w:rFonts w:hAnsi="宋体" w:cs="宋体"/>
          <w:color w:val="000000"/>
          <w:szCs w:val="21"/>
        </w:rPr>
        <w:t>1</w:t>
      </w:r>
      <w:r>
        <w:rPr>
          <w:rFonts w:hint="eastAsia" w:hAnsi="宋体" w:cs="宋体"/>
          <w:color w:val="000000"/>
          <w:szCs w:val="21"/>
        </w:rPr>
        <w:t>.食堂位置：</w:t>
      </w:r>
      <w:r>
        <w:rPr>
          <w:rFonts w:hAnsi="宋体" w:cs="宋体"/>
          <w:color w:val="000000"/>
          <w:szCs w:val="21"/>
        </w:rPr>
        <w:t>成都市</w:t>
      </w:r>
      <w:r>
        <w:rPr>
          <w:rFonts w:hint="eastAsia" w:hAnsi="宋体" w:cs="宋体"/>
          <w:color w:val="000000"/>
          <w:szCs w:val="21"/>
        </w:rPr>
        <w:t>青羊区家园南街12号4楼。</w:t>
      </w:r>
    </w:p>
    <w:p>
      <w:pPr>
        <w:spacing w:line="360" w:lineRule="auto"/>
        <w:ind w:firstLine="420" w:firstLineChars="200"/>
        <w:rPr>
          <w:rFonts w:hAnsi="宋体" w:cs="宋体"/>
          <w:color w:val="000000"/>
          <w:szCs w:val="21"/>
        </w:rPr>
      </w:pPr>
      <w:r>
        <w:rPr>
          <w:rFonts w:hAnsi="宋体" w:cs="宋体"/>
          <w:color w:val="000000"/>
          <w:szCs w:val="21"/>
        </w:rPr>
        <w:t>2</w:t>
      </w:r>
      <w:r>
        <w:rPr>
          <w:rFonts w:hint="eastAsia" w:hAnsi="宋体" w:cs="宋体"/>
          <w:color w:val="000000"/>
          <w:szCs w:val="21"/>
        </w:rPr>
        <w:t>.食堂面积：10</w:t>
      </w:r>
      <w:r>
        <w:rPr>
          <w:rFonts w:hAnsi="宋体" w:cs="宋体"/>
          <w:color w:val="000000"/>
          <w:szCs w:val="21"/>
        </w:rPr>
        <w:t>00</w:t>
      </w:r>
      <w:r>
        <w:rPr>
          <w:rFonts w:hint="eastAsia" w:hAnsi="宋体" w:cs="宋体"/>
          <w:color w:val="000000"/>
          <w:szCs w:val="21"/>
        </w:rPr>
        <w:t>平方米。</w:t>
      </w:r>
    </w:p>
    <w:p>
      <w:pPr>
        <w:spacing w:line="360" w:lineRule="auto"/>
        <w:ind w:firstLine="420" w:firstLineChars="200"/>
        <w:rPr>
          <w:rFonts w:hAnsi="宋体" w:cs="宋体"/>
          <w:color w:val="000000"/>
          <w:szCs w:val="21"/>
        </w:rPr>
      </w:pPr>
      <w:r>
        <w:rPr>
          <w:rFonts w:hAnsi="宋体" w:cs="宋体"/>
          <w:color w:val="000000"/>
          <w:szCs w:val="21"/>
        </w:rPr>
        <w:t>3</w:t>
      </w:r>
      <w:r>
        <w:rPr>
          <w:rFonts w:hint="eastAsia" w:hAnsi="宋体" w:cs="宋体"/>
          <w:color w:val="000000"/>
          <w:szCs w:val="21"/>
        </w:rPr>
        <w:t>.食堂设施设备：抽油烟系统</w:t>
      </w:r>
      <w:r>
        <w:rPr>
          <w:rFonts w:hAnsi="宋体" w:cs="宋体"/>
          <w:color w:val="000000"/>
          <w:szCs w:val="21"/>
        </w:rPr>
        <w:t>1</w:t>
      </w:r>
      <w:r>
        <w:rPr>
          <w:rFonts w:hint="eastAsia" w:hAnsi="宋体" w:cs="宋体"/>
          <w:color w:val="000000"/>
          <w:szCs w:val="21"/>
        </w:rPr>
        <w:t>套，炉灶设备</w:t>
      </w:r>
      <w:r>
        <w:rPr>
          <w:rFonts w:hAnsi="宋体" w:cs="宋体"/>
          <w:color w:val="000000"/>
          <w:szCs w:val="21"/>
        </w:rPr>
        <w:t>1</w:t>
      </w:r>
      <w:r>
        <w:rPr>
          <w:rFonts w:hint="eastAsia" w:hAnsi="宋体" w:cs="宋体"/>
          <w:color w:val="000000"/>
          <w:szCs w:val="21"/>
        </w:rPr>
        <w:t>套，厨房杂件及其他设施设备由采购人根据实际需要配置。</w:t>
      </w:r>
    </w:p>
    <w:p>
      <w:pPr>
        <w:spacing w:line="360" w:lineRule="auto"/>
        <w:ind w:firstLine="420" w:firstLineChars="200"/>
        <w:rPr>
          <w:rFonts w:hAnsi="宋体" w:cs="宋体"/>
          <w:color w:val="000000"/>
          <w:szCs w:val="21"/>
        </w:rPr>
      </w:pPr>
      <w:r>
        <w:rPr>
          <w:rFonts w:hAnsi="宋体" w:cs="宋体"/>
          <w:color w:val="000000"/>
          <w:szCs w:val="21"/>
        </w:rPr>
        <w:t>4</w:t>
      </w:r>
      <w:r>
        <w:rPr>
          <w:rFonts w:hint="eastAsia" w:hAnsi="宋体" w:cs="宋体"/>
          <w:color w:val="000000"/>
          <w:szCs w:val="21"/>
        </w:rPr>
        <w:t>.食堂就餐人数：早餐50人，午餐130人。</w:t>
      </w:r>
    </w:p>
    <w:p>
      <w:pPr>
        <w:spacing w:line="360" w:lineRule="auto"/>
        <w:ind w:firstLine="420" w:firstLineChars="200"/>
        <w:rPr>
          <w:rFonts w:hAnsi="宋体" w:cs="宋体"/>
          <w:color w:val="000000"/>
          <w:szCs w:val="21"/>
        </w:rPr>
      </w:pPr>
      <w:r>
        <w:rPr>
          <w:rFonts w:hAnsi="宋体" w:cs="宋体"/>
          <w:color w:val="000000"/>
          <w:szCs w:val="21"/>
        </w:rPr>
        <w:t>5</w:t>
      </w:r>
      <w:r>
        <w:rPr>
          <w:rFonts w:hint="eastAsia" w:hAnsi="宋体" w:cs="宋体"/>
          <w:color w:val="000000"/>
          <w:szCs w:val="21"/>
        </w:rPr>
        <w:t>.食堂以干部职工就餐服务为主，食堂应保证提供早、中工作餐服务。供应商应每周制定食谱，提供特色菜品，实现菜品多样化，供干部职工选择，不得以外送的形式供应食品。</w:t>
      </w:r>
    </w:p>
    <w:p>
      <w:pPr>
        <w:spacing w:line="360" w:lineRule="auto"/>
        <w:ind w:firstLine="420" w:firstLineChars="200"/>
        <w:rPr>
          <w:rFonts w:hAnsi="宋体" w:cs="宋体"/>
          <w:color w:val="000000"/>
          <w:szCs w:val="21"/>
        </w:rPr>
      </w:pPr>
      <w:r>
        <w:rPr>
          <w:rFonts w:hAnsi="宋体" w:cs="宋体"/>
          <w:color w:val="000000"/>
          <w:szCs w:val="21"/>
        </w:rPr>
        <w:t>6</w:t>
      </w:r>
      <w:r>
        <w:rPr>
          <w:rFonts w:hint="eastAsia" w:hAnsi="宋体" w:cs="宋体"/>
          <w:color w:val="000000"/>
          <w:szCs w:val="21"/>
        </w:rPr>
        <w:t>.早餐标准：9元</w:t>
      </w:r>
      <w:r>
        <w:rPr>
          <w:rFonts w:hAnsi="宋体" w:cs="宋体"/>
          <w:color w:val="000000"/>
          <w:szCs w:val="21"/>
        </w:rPr>
        <w:t>/</w:t>
      </w:r>
      <w:r>
        <w:rPr>
          <w:rFonts w:hint="eastAsia" w:hAnsi="宋体" w:cs="宋体"/>
          <w:color w:val="000000"/>
          <w:szCs w:val="21"/>
        </w:rPr>
        <w:t>人</w:t>
      </w:r>
    </w:p>
    <w:p>
      <w:pPr>
        <w:spacing w:line="360" w:lineRule="auto"/>
        <w:ind w:firstLine="420" w:firstLineChars="200"/>
        <w:rPr>
          <w:rFonts w:hAnsi="宋体" w:cs="宋体"/>
          <w:color w:val="000000"/>
          <w:szCs w:val="21"/>
        </w:rPr>
      </w:pPr>
      <w:r>
        <w:rPr>
          <w:rFonts w:hint="eastAsia" w:hAnsi="宋体" w:cs="宋体"/>
          <w:color w:val="000000"/>
          <w:szCs w:val="21"/>
        </w:rPr>
        <w:t>饮料类：牛奶、鲜榨豆浆。</w:t>
      </w:r>
    </w:p>
    <w:p>
      <w:pPr>
        <w:spacing w:line="360" w:lineRule="auto"/>
        <w:ind w:firstLine="420" w:firstLineChars="200"/>
        <w:rPr>
          <w:rFonts w:hAnsi="宋体" w:cs="宋体"/>
          <w:color w:val="000000"/>
          <w:szCs w:val="21"/>
        </w:rPr>
      </w:pPr>
      <w:r>
        <w:rPr>
          <w:rFonts w:hint="eastAsia" w:hAnsi="宋体" w:cs="宋体"/>
          <w:color w:val="000000"/>
          <w:szCs w:val="21"/>
        </w:rPr>
        <w:t>面食类：包子、馒头、花卷、面包或蛋糕、面条（抄手、水饺、汤圆、米线、酸辣粉等每周轮流供应）。</w:t>
      </w:r>
    </w:p>
    <w:p>
      <w:pPr>
        <w:spacing w:line="360" w:lineRule="auto"/>
        <w:ind w:firstLine="420" w:firstLineChars="200"/>
        <w:rPr>
          <w:rFonts w:hAnsi="宋体" w:cs="宋体"/>
          <w:color w:val="000000"/>
          <w:szCs w:val="21"/>
        </w:rPr>
      </w:pPr>
      <w:r>
        <w:rPr>
          <w:rFonts w:hint="eastAsia" w:hAnsi="宋体" w:cs="宋体"/>
          <w:color w:val="000000"/>
          <w:szCs w:val="21"/>
        </w:rPr>
        <w:t>菜品：四个素菜（泡菜、拌菜、炒菜）。</w:t>
      </w:r>
    </w:p>
    <w:p>
      <w:pPr>
        <w:spacing w:line="360" w:lineRule="auto"/>
        <w:ind w:firstLine="420" w:firstLineChars="200"/>
        <w:rPr>
          <w:rFonts w:hAnsi="宋体" w:cs="宋体"/>
          <w:color w:val="000000"/>
          <w:szCs w:val="21"/>
        </w:rPr>
      </w:pPr>
      <w:r>
        <w:rPr>
          <w:rFonts w:hint="eastAsia" w:hAnsi="宋体" w:cs="宋体"/>
          <w:color w:val="000000"/>
          <w:szCs w:val="21"/>
        </w:rPr>
        <w:t>主食：稀饭一种，鸡蛋（卤鸡蛋、茶叶蛋、煎鸡蛋等品种每周轮流供应）。</w:t>
      </w:r>
    </w:p>
    <w:p>
      <w:pPr>
        <w:spacing w:line="360" w:lineRule="auto"/>
        <w:ind w:firstLine="420" w:firstLineChars="200"/>
        <w:rPr>
          <w:rFonts w:hAnsi="宋体" w:cs="宋体"/>
          <w:color w:val="000000"/>
          <w:szCs w:val="21"/>
        </w:rPr>
      </w:pPr>
      <w:r>
        <w:rPr>
          <w:rFonts w:hAnsi="宋体" w:cs="宋体"/>
          <w:color w:val="000000"/>
          <w:szCs w:val="21"/>
        </w:rPr>
        <w:t>7</w:t>
      </w:r>
      <w:r>
        <w:rPr>
          <w:rFonts w:hint="eastAsia" w:hAnsi="宋体" w:cs="宋体"/>
          <w:color w:val="000000"/>
          <w:szCs w:val="21"/>
        </w:rPr>
        <w:t>.午餐标准：</w:t>
      </w:r>
      <w:r>
        <w:rPr>
          <w:rFonts w:hAnsi="宋体" w:cs="宋体"/>
          <w:color w:val="000000"/>
          <w:szCs w:val="21"/>
        </w:rPr>
        <w:t>1</w:t>
      </w:r>
      <w:r>
        <w:rPr>
          <w:rFonts w:hint="eastAsia" w:hAnsi="宋体" w:cs="宋体"/>
          <w:color w:val="000000"/>
          <w:szCs w:val="21"/>
        </w:rPr>
        <w:t>6元</w:t>
      </w:r>
      <w:r>
        <w:rPr>
          <w:rFonts w:hAnsi="宋体" w:cs="宋体"/>
          <w:color w:val="000000"/>
          <w:szCs w:val="21"/>
        </w:rPr>
        <w:t>/</w:t>
      </w:r>
      <w:r>
        <w:rPr>
          <w:rFonts w:hint="eastAsia" w:hAnsi="宋体" w:cs="宋体"/>
          <w:color w:val="000000"/>
          <w:szCs w:val="21"/>
        </w:rPr>
        <w:t>人</w:t>
      </w:r>
    </w:p>
    <w:p>
      <w:pPr>
        <w:spacing w:line="360" w:lineRule="auto"/>
        <w:ind w:firstLine="420" w:firstLineChars="200"/>
        <w:rPr>
          <w:rFonts w:hAnsi="宋体" w:cs="宋体"/>
          <w:color w:val="000000"/>
          <w:szCs w:val="21"/>
        </w:rPr>
      </w:pPr>
      <w:r>
        <w:rPr>
          <w:rFonts w:hint="eastAsia" w:hAnsi="宋体" w:cs="宋体"/>
          <w:color w:val="000000"/>
          <w:szCs w:val="21"/>
        </w:rPr>
        <w:t>主食：米饭。</w:t>
      </w:r>
    </w:p>
    <w:p>
      <w:pPr>
        <w:spacing w:line="360" w:lineRule="auto"/>
        <w:ind w:firstLine="420" w:firstLineChars="200"/>
        <w:rPr>
          <w:rFonts w:hAnsi="宋体" w:cs="宋体"/>
          <w:color w:val="000000"/>
          <w:szCs w:val="21"/>
        </w:rPr>
      </w:pPr>
      <w:r>
        <w:rPr>
          <w:rFonts w:hint="eastAsia" w:hAnsi="宋体" w:cs="宋体"/>
          <w:color w:val="000000"/>
          <w:szCs w:val="21"/>
        </w:rPr>
        <w:t>菜品：四荤两素（至少包含两种下饭菜）。</w:t>
      </w:r>
    </w:p>
    <w:p>
      <w:pPr>
        <w:spacing w:line="360" w:lineRule="auto"/>
        <w:ind w:firstLine="420" w:firstLineChars="200"/>
        <w:rPr>
          <w:rFonts w:hAnsi="宋体" w:cs="宋体"/>
          <w:color w:val="000000"/>
          <w:szCs w:val="21"/>
        </w:rPr>
      </w:pPr>
      <w:r>
        <w:rPr>
          <w:rFonts w:hint="eastAsia" w:hAnsi="宋体" w:cs="宋体"/>
          <w:color w:val="000000"/>
          <w:szCs w:val="21"/>
        </w:rPr>
        <w:t>小吃：每天轮流供应一种小吃、粗粮一种。</w:t>
      </w:r>
    </w:p>
    <w:p>
      <w:pPr>
        <w:spacing w:line="360" w:lineRule="auto"/>
        <w:ind w:firstLine="420" w:firstLineChars="200"/>
        <w:rPr>
          <w:rFonts w:hAnsi="宋体" w:cs="宋体"/>
          <w:color w:val="000000"/>
          <w:szCs w:val="21"/>
        </w:rPr>
      </w:pPr>
      <w:r>
        <w:rPr>
          <w:rFonts w:hint="eastAsia" w:hAnsi="宋体" w:cs="宋体"/>
          <w:color w:val="000000"/>
          <w:szCs w:val="21"/>
        </w:rPr>
        <w:t>汤：一种。</w:t>
      </w:r>
    </w:p>
    <w:p>
      <w:pPr>
        <w:spacing w:line="360" w:lineRule="auto"/>
        <w:ind w:firstLine="420" w:firstLineChars="200"/>
        <w:rPr>
          <w:rFonts w:hAnsi="宋体" w:cs="宋体"/>
          <w:color w:val="000000"/>
          <w:szCs w:val="21"/>
        </w:rPr>
      </w:pPr>
      <w:r>
        <w:rPr>
          <w:rFonts w:hint="eastAsia" w:hAnsi="宋体" w:cs="宋体"/>
          <w:color w:val="000000"/>
          <w:szCs w:val="21"/>
        </w:rPr>
        <w:t>水果：时令水果一种。</w:t>
      </w:r>
    </w:p>
    <w:p>
      <w:pPr>
        <w:snapToGrid w:val="0"/>
        <w:spacing w:line="360" w:lineRule="auto"/>
        <w:ind w:firstLine="420" w:firstLineChars="200"/>
        <w:rPr>
          <w:rFonts w:ascii="宋体" w:hAnsi="宋体" w:cs="宋体"/>
          <w:bCs/>
          <w:szCs w:val="21"/>
        </w:rPr>
      </w:pPr>
      <w:r>
        <w:rPr>
          <w:rFonts w:hint="eastAsia" w:ascii="宋体" w:hAnsi="宋体" w:cs="宋体"/>
          <w:bCs/>
          <w:szCs w:val="21"/>
        </w:rPr>
        <w:t>8.根据需要，供应商应提供食堂自制食品的外卖服务。</w:t>
      </w:r>
    </w:p>
    <w:p>
      <w:pPr>
        <w:snapToGrid w:val="0"/>
        <w:spacing w:line="360" w:lineRule="auto"/>
        <w:ind w:firstLine="420" w:firstLineChars="200"/>
        <w:rPr>
          <w:rFonts w:ascii="宋体" w:hAnsi="宋体" w:cs="宋体"/>
          <w:bCs/>
          <w:szCs w:val="21"/>
        </w:rPr>
      </w:pPr>
      <w:r>
        <w:rPr>
          <w:rFonts w:hint="eastAsia" w:ascii="宋体" w:hAnsi="宋体" w:cs="宋体"/>
          <w:bCs/>
          <w:szCs w:val="21"/>
        </w:rPr>
        <w:t>9.就餐模式：自助式就餐模式。</w:t>
      </w:r>
    </w:p>
    <w:p>
      <w:pPr>
        <w:snapToGrid w:val="0"/>
        <w:spacing w:line="360" w:lineRule="auto"/>
        <w:ind w:firstLine="420" w:firstLineChars="200"/>
        <w:rPr>
          <w:rFonts w:ascii="宋体" w:hAnsi="宋体" w:cs="宋体"/>
          <w:bCs/>
          <w:szCs w:val="21"/>
        </w:rPr>
      </w:pPr>
      <w:r>
        <w:rPr>
          <w:rFonts w:hint="eastAsia" w:ascii="宋体" w:hAnsi="宋体" w:cs="宋体"/>
          <w:bCs/>
          <w:szCs w:val="21"/>
        </w:rPr>
        <w:t>10.食堂水电气费用、公共区域维修改造、设备设施及厨杂用品维修更换费用、</w:t>
      </w:r>
      <w:r>
        <w:rPr>
          <w:rFonts w:hint="eastAsia" w:ascii="宋体" w:hAnsi="宋体" w:cs="宋体"/>
          <w:bCs/>
          <w:szCs w:val="21"/>
          <w:lang w:val="zh-CN"/>
        </w:rPr>
        <w:t>食堂除四害费用、抽油烟机清洗费用、潲水垃圾处理费用由</w:t>
      </w:r>
      <w:r>
        <w:rPr>
          <w:rFonts w:hint="eastAsia" w:ascii="宋体" w:hAnsi="宋体" w:cs="宋体"/>
          <w:bCs/>
          <w:szCs w:val="21"/>
        </w:rPr>
        <w:t>采购人承担。</w:t>
      </w:r>
    </w:p>
    <w:p>
      <w:pPr>
        <w:snapToGrid w:val="0"/>
        <w:spacing w:line="360" w:lineRule="auto"/>
        <w:ind w:firstLine="420" w:firstLineChars="200"/>
        <w:rPr>
          <w:rFonts w:ascii="宋体" w:hAnsi="宋体" w:cs="宋体"/>
          <w:bCs/>
          <w:szCs w:val="21"/>
        </w:rPr>
      </w:pPr>
      <w:r>
        <w:rPr>
          <w:rFonts w:hint="eastAsia" w:ascii="宋体" w:hAnsi="宋体" w:cs="宋体"/>
          <w:bCs/>
          <w:szCs w:val="21"/>
        </w:rPr>
        <w:t>11.低值易耗品（包括但不限于雨靴、布鞋、地刷、拖帕、扫把、撮箕、垃圾桶、排拖、刮玻器、毛巾、头花、一次性口罩、手套、纱布、围腰、筒靴、胶手套、线手套、钢丝球、洗洁精、毛巾、餐巾纸、垃圾袋、不锈钢光亮剂、威猛先生、</w:t>
      </w:r>
      <w:r>
        <w:rPr>
          <w:rFonts w:hint="eastAsia" w:ascii="宋体" w:hAnsi="宋体" w:cs="宋体"/>
          <w:bCs/>
          <w:szCs w:val="21"/>
          <w:lang w:val="zh-CN"/>
        </w:rPr>
        <w:t>工作服、公示栏、制度牌、上墙标识</w:t>
      </w:r>
      <w:r>
        <w:rPr>
          <w:rFonts w:hint="eastAsia" w:ascii="宋体" w:hAnsi="宋体" w:cs="宋体"/>
          <w:bCs/>
          <w:szCs w:val="21"/>
        </w:rPr>
        <w:t>等食堂工作所必须使用的保洁用品及用具）费用由供应商承担。</w:t>
      </w:r>
    </w:p>
    <w:p>
      <w:pPr>
        <w:snapToGrid w:val="0"/>
        <w:spacing w:line="360" w:lineRule="auto"/>
        <w:ind w:firstLine="420" w:firstLineChars="200"/>
        <w:rPr>
          <w:szCs w:val="21"/>
        </w:rPr>
      </w:pPr>
      <w:r>
        <w:rPr>
          <w:rFonts w:hint="eastAsia" w:ascii="宋体" w:hAnsi="宋体"/>
          <w:kern w:val="0"/>
          <w:szCs w:val="21"/>
        </w:rPr>
        <w:t>12.食</w:t>
      </w:r>
      <w:r>
        <w:rPr>
          <w:rFonts w:hint="eastAsia"/>
          <w:szCs w:val="21"/>
        </w:rPr>
        <w:t>堂劳务费用包含工作日会议、公务接待产生的餐饮服务人员加班费用，非工作日的会议、公务接待等餐饮服务所产生的人员加班费由采购人与供应商另行协商签订补充协议后支付。</w:t>
      </w:r>
    </w:p>
    <w:p>
      <w:pPr>
        <w:snapToGrid w:val="0"/>
        <w:spacing w:line="360" w:lineRule="auto"/>
        <w:ind w:firstLine="420" w:firstLineChars="200"/>
        <w:rPr>
          <w:rFonts w:ascii="宋体" w:hAnsi="宋体"/>
          <w:kern w:val="0"/>
          <w:szCs w:val="21"/>
        </w:rPr>
      </w:pPr>
      <w:r>
        <w:rPr>
          <w:rFonts w:hint="eastAsia" w:ascii="宋体" w:hAnsi="宋体"/>
          <w:kern w:val="0"/>
          <w:szCs w:val="21"/>
        </w:rPr>
        <w:t>13.餐标：早餐9元/人，午餐</w:t>
      </w:r>
      <w:r>
        <w:rPr>
          <w:rFonts w:hint="eastAsia"/>
          <w:kern w:val="0"/>
          <w:szCs w:val="21"/>
        </w:rPr>
        <w:t>16</w:t>
      </w:r>
      <w:r>
        <w:rPr>
          <w:rFonts w:hint="eastAsia" w:ascii="宋体" w:hAnsi="宋体"/>
          <w:kern w:val="0"/>
          <w:szCs w:val="21"/>
        </w:rPr>
        <w:t>元/人。</w:t>
      </w:r>
    </w:p>
    <w:p>
      <w:pPr>
        <w:snapToGrid w:val="0"/>
        <w:spacing w:line="360" w:lineRule="auto"/>
        <w:ind w:firstLine="420" w:firstLineChars="200"/>
        <w:rPr>
          <w:rFonts w:ascii="宋体" w:hAnsi="宋体"/>
          <w:kern w:val="0"/>
          <w:szCs w:val="21"/>
        </w:rPr>
      </w:pPr>
      <w:r>
        <w:rPr>
          <w:rFonts w:hint="eastAsia" w:ascii="宋体" w:hAnsi="宋体"/>
          <w:kern w:val="0"/>
          <w:szCs w:val="21"/>
        </w:rPr>
        <w:t>14.供应商根据服务内容配备食堂工作人员，食堂劳务费用为可竞争费用（包含食堂工作人员工资及费用+管理费及税金+低值易耗品费用），最高限价为390000.00元/年。</w:t>
      </w:r>
    </w:p>
    <w:p>
      <w:pPr>
        <w:snapToGrid w:val="0"/>
        <w:spacing w:line="360" w:lineRule="auto"/>
        <w:ind w:firstLine="420" w:firstLineChars="200"/>
        <w:rPr>
          <w:szCs w:val="21"/>
        </w:rPr>
      </w:pPr>
      <w:r>
        <w:rPr>
          <w:rFonts w:hint="eastAsia" w:ascii="宋体" w:hAnsi="宋体"/>
          <w:kern w:val="0"/>
          <w:szCs w:val="21"/>
        </w:rPr>
        <w:t>15</w:t>
      </w:r>
      <w:r>
        <w:rPr>
          <w:rFonts w:hint="eastAsia" w:ascii="宋体"/>
          <w:szCs w:val="21"/>
        </w:rPr>
        <w:t>.餐费为不可竞争费用（包含工作日早、午、公务接待餐费</w:t>
      </w:r>
      <w:r>
        <w:rPr>
          <w:rFonts w:hint="eastAsia"/>
          <w:szCs w:val="21"/>
        </w:rPr>
        <w:t>+</w:t>
      </w:r>
      <w:r>
        <w:rPr>
          <w:rFonts w:hint="eastAsia" w:ascii="宋体"/>
          <w:szCs w:val="21"/>
        </w:rPr>
        <w:t>临时性工作餐餐费）共计</w:t>
      </w:r>
      <w:r>
        <w:rPr>
          <w:rFonts w:hint="eastAsia" w:ascii="宋体" w:hAnsi="宋体"/>
          <w:kern w:val="0"/>
          <w:szCs w:val="21"/>
        </w:rPr>
        <w:t>390000.00</w:t>
      </w:r>
      <w:r>
        <w:rPr>
          <w:rFonts w:hint="eastAsia" w:ascii="宋体"/>
          <w:szCs w:val="21"/>
        </w:rPr>
        <w:t>元/年，实际餐费根据实际工作天数和用餐人数据实结算。</w:t>
      </w:r>
    </w:p>
    <w:p>
      <w:pPr>
        <w:spacing w:line="360" w:lineRule="auto"/>
        <w:ind w:firstLine="480"/>
        <w:rPr>
          <w:szCs w:val="21"/>
        </w:rPr>
      </w:pPr>
      <w:r>
        <w:rPr>
          <w:rFonts w:hint="eastAsia" w:ascii="宋体"/>
          <w:szCs w:val="21"/>
        </w:rPr>
        <w:t>1</w:t>
      </w:r>
      <w:r>
        <w:rPr>
          <w:rFonts w:hint="eastAsia"/>
          <w:szCs w:val="21"/>
        </w:rPr>
        <w:t>6</w:t>
      </w:r>
      <w:r>
        <w:rPr>
          <w:rFonts w:hint="eastAsia" w:ascii="宋体"/>
          <w:szCs w:val="21"/>
        </w:rPr>
        <w:t>.投标总价=可竞争费用+不可竞争费用。</w:t>
      </w:r>
    </w:p>
    <w:p>
      <w:pPr>
        <w:spacing w:line="360" w:lineRule="auto"/>
        <w:rPr>
          <w:b/>
          <w:szCs w:val="21"/>
        </w:rPr>
      </w:pPr>
      <w:r>
        <w:rPr>
          <w:rFonts w:hint="eastAsia" w:ascii="宋体"/>
          <w:b/>
          <w:szCs w:val="21"/>
        </w:rPr>
        <w:t>三、服务要求</w:t>
      </w:r>
    </w:p>
    <w:p>
      <w:pPr>
        <w:snapToGrid w:val="0"/>
        <w:spacing w:line="360" w:lineRule="auto"/>
        <w:ind w:firstLine="420" w:firstLineChars="200"/>
        <w:rPr>
          <w:szCs w:val="21"/>
        </w:rPr>
      </w:pPr>
      <w:r>
        <w:rPr>
          <w:rFonts w:hint="eastAsia"/>
          <w:szCs w:val="21"/>
        </w:rPr>
        <w:t>1.结合本项目实际情况提供规范且完善的食堂服务整体服务方案及具体的执行方案：①服务理念②定位目标③人员配备④机构设置及框图⑤组织实施⑥服务内容⑦各项指标的承诺及完成措施。</w:t>
      </w:r>
    </w:p>
    <w:p>
      <w:pPr>
        <w:snapToGrid w:val="0"/>
        <w:spacing w:line="360" w:lineRule="auto"/>
        <w:ind w:firstLine="420" w:firstLineChars="200"/>
        <w:rPr>
          <w:szCs w:val="21"/>
        </w:rPr>
      </w:pPr>
      <w:r>
        <w:rPr>
          <w:rFonts w:hint="eastAsia"/>
          <w:szCs w:val="21"/>
        </w:rPr>
        <w:t>2.结合本项目实际情况提供规范且完善的管理制度：①食品安全管理制度②人员管理制度③厨房卫生清洁管理制度④设施设备安全操作制度⑤设备维护管理制度。</w:t>
      </w:r>
    </w:p>
    <w:p>
      <w:pPr>
        <w:snapToGrid w:val="0"/>
        <w:spacing w:line="360" w:lineRule="auto"/>
        <w:ind w:firstLine="420" w:firstLineChars="200"/>
        <w:rPr>
          <w:szCs w:val="21"/>
        </w:rPr>
      </w:pPr>
      <w:r>
        <w:rPr>
          <w:rFonts w:hint="eastAsia"/>
          <w:szCs w:val="21"/>
        </w:rPr>
        <w:t>3.结合本项目实际情况提供规范且完善的应急方案：①食品安全事故应急方案②员工人身等安全管理的应急方案③停水、停电、停气应急方案④火灾应急方案⑤自然灾害应急方案⑥各种突发性事件的应急方案⑦疫情防控应急方案。</w:t>
      </w:r>
    </w:p>
    <w:p>
      <w:pPr>
        <w:snapToGrid w:val="0"/>
        <w:spacing w:line="360" w:lineRule="auto"/>
        <w:ind w:firstLine="420" w:firstLineChars="200"/>
        <w:rPr>
          <w:rFonts w:ascii="宋体" w:hAnsi="宋体" w:cs="宋体"/>
          <w:bCs/>
          <w:szCs w:val="21"/>
        </w:rPr>
      </w:pPr>
      <w:r>
        <w:rPr>
          <w:rFonts w:hint="eastAsia"/>
          <w:szCs w:val="21"/>
        </w:rPr>
        <w:t>4.结合本项目实际情况提供规范且完善的其他服务措施：①节能降耗②服务承诺③培训机制④考评标准⑤劳动争议处理流程及相关措施。</w:t>
      </w:r>
    </w:p>
    <w:p>
      <w:pPr>
        <w:snapToGrid w:val="0"/>
        <w:spacing w:line="360" w:lineRule="auto"/>
        <w:ind w:firstLine="420" w:firstLineChars="200"/>
        <w:rPr>
          <w:rFonts w:hint="eastAsia"/>
          <w:szCs w:val="21"/>
        </w:rPr>
      </w:pPr>
      <w:r>
        <w:rPr>
          <w:rFonts w:hint="eastAsia" w:ascii="宋体" w:hAnsi="宋体" w:cs="宋体"/>
          <w:bCs/>
          <w:szCs w:val="21"/>
        </w:rPr>
        <w:t>★5.</w:t>
      </w:r>
      <w:r>
        <w:rPr>
          <w:rFonts w:hint="eastAsia" w:cs="宋体"/>
          <w:bCs/>
          <w:szCs w:val="21"/>
        </w:rPr>
        <w:t>供应商</w:t>
      </w:r>
      <w:r>
        <w:rPr>
          <w:rFonts w:hint="eastAsia" w:ascii="宋体" w:hAnsi="宋体" w:cs="宋体"/>
          <w:bCs/>
          <w:szCs w:val="21"/>
        </w:rPr>
        <w:t>根据服务内容配备食堂工作人员，人员配备要求：本项目食堂服务人员保证不得少于</w:t>
      </w:r>
      <w:r>
        <w:rPr>
          <w:rFonts w:hint="eastAsia" w:cs="宋体"/>
          <w:bCs/>
          <w:szCs w:val="21"/>
        </w:rPr>
        <w:t>6</w:t>
      </w:r>
      <w:r>
        <w:rPr>
          <w:rFonts w:hint="eastAsia" w:ascii="宋体" w:hAnsi="宋体" w:cs="宋体"/>
          <w:bCs/>
          <w:szCs w:val="21"/>
        </w:rPr>
        <w:t>人，其中项目负责人1人，厨师长1人，面点师1人</w:t>
      </w:r>
      <w:r>
        <w:rPr>
          <w:rFonts w:hint="eastAsia" w:cs="宋体"/>
          <w:bCs/>
          <w:szCs w:val="21"/>
        </w:rPr>
        <w:t>，前厅服务员1人，</w:t>
      </w:r>
      <w:r>
        <w:rPr>
          <w:rFonts w:hint="eastAsia" w:ascii="宋体" w:hAnsi="宋体" w:cs="宋体"/>
          <w:bCs/>
          <w:szCs w:val="21"/>
        </w:rPr>
        <w:t>勤杂工</w:t>
      </w:r>
      <w:r>
        <w:rPr>
          <w:rFonts w:hint="eastAsia" w:cs="宋体"/>
          <w:bCs/>
          <w:szCs w:val="21"/>
        </w:rPr>
        <w:t>2</w:t>
      </w:r>
      <w:r>
        <w:rPr>
          <w:rFonts w:hint="eastAsia" w:ascii="宋体" w:hAnsi="宋体" w:cs="宋体"/>
          <w:bCs/>
          <w:szCs w:val="21"/>
        </w:rPr>
        <w:t>人。</w:t>
      </w:r>
      <w:r>
        <w:rPr>
          <w:rFonts w:hint="eastAsia"/>
          <w:szCs w:val="21"/>
        </w:rPr>
        <w:t>所有食堂工作人员必须全部具备有效期内的</w:t>
      </w:r>
      <w:r>
        <w:rPr>
          <w:rFonts w:hint="eastAsia"/>
          <w:szCs w:val="21"/>
          <w:lang w:val="zh-CN"/>
        </w:rPr>
        <w:t>健康证、身份证</w:t>
      </w:r>
      <w:r>
        <w:rPr>
          <w:rFonts w:hint="eastAsia"/>
          <w:szCs w:val="21"/>
        </w:rPr>
        <w:t>，以上</w:t>
      </w:r>
      <w:r>
        <w:rPr>
          <w:rFonts w:hint="eastAsia"/>
          <w:szCs w:val="21"/>
          <w:lang w:val="zh-CN"/>
        </w:rPr>
        <w:t>复印件加盖供应商公章</w:t>
      </w:r>
      <w:r>
        <w:rPr>
          <w:rFonts w:hint="eastAsia"/>
          <w:szCs w:val="21"/>
        </w:rPr>
        <w:t>）。</w:t>
      </w:r>
    </w:p>
    <w:p>
      <w:pPr>
        <w:snapToGrid w:val="0"/>
        <w:spacing w:line="360" w:lineRule="auto"/>
        <w:ind w:firstLine="420" w:firstLineChars="200"/>
        <w:rPr>
          <w:rFonts w:ascii="宋体" w:hAnsi="宋体" w:cs="宋体"/>
          <w:bCs/>
          <w:szCs w:val="21"/>
        </w:rPr>
      </w:pPr>
      <w:r>
        <w:rPr>
          <w:rFonts w:hint="eastAsia" w:ascii="宋体" w:hAnsi="宋体" w:cs="宋体"/>
          <w:bCs/>
          <w:szCs w:val="21"/>
        </w:rPr>
        <w:t>6.</w:t>
      </w:r>
      <w:r>
        <w:rPr>
          <w:rFonts w:hint="eastAsia" w:cs="宋体"/>
          <w:bCs/>
          <w:szCs w:val="21"/>
        </w:rPr>
        <w:t>供应商</w:t>
      </w:r>
      <w:r>
        <w:rPr>
          <w:rFonts w:hint="eastAsia" w:ascii="宋体" w:hAnsi="宋体" w:cs="宋体"/>
          <w:bCs/>
          <w:szCs w:val="21"/>
        </w:rPr>
        <w:t>派往本食堂的工作人员必须政治思想合格，坚决拥护中国共产党的领导，无犯罪记录，未列入诚信黑名单，</w:t>
      </w:r>
      <w:r>
        <w:rPr>
          <w:rFonts w:hint="eastAsia" w:cs="宋体"/>
          <w:bCs/>
          <w:szCs w:val="21"/>
        </w:rPr>
        <w:t>供应商</w:t>
      </w:r>
      <w:r>
        <w:rPr>
          <w:rFonts w:hint="eastAsia" w:ascii="宋体" w:hAnsi="宋体" w:cs="宋体"/>
          <w:bCs/>
          <w:szCs w:val="21"/>
        </w:rPr>
        <w:t>必须严格管理工作人员，不得有违法乱纪行为。</w:t>
      </w:r>
    </w:p>
    <w:p>
      <w:pPr>
        <w:snapToGrid w:val="0"/>
        <w:spacing w:line="360" w:lineRule="auto"/>
        <w:ind w:firstLine="420" w:firstLineChars="200"/>
        <w:rPr>
          <w:rFonts w:ascii="宋体" w:hAnsi="宋体" w:cs="宋体"/>
          <w:bCs/>
          <w:szCs w:val="21"/>
        </w:rPr>
      </w:pPr>
      <w:r>
        <w:rPr>
          <w:rFonts w:hint="eastAsia" w:ascii="宋体" w:hAnsi="宋体" w:cs="宋体"/>
          <w:bCs/>
          <w:szCs w:val="21"/>
        </w:rPr>
        <w:t>7.负责食堂就餐现场的管理。</w:t>
      </w:r>
    </w:p>
    <w:p>
      <w:pPr>
        <w:snapToGrid w:val="0"/>
        <w:spacing w:line="360" w:lineRule="auto"/>
        <w:ind w:firstLine="420" w:firstLineChars="200"/>
        <w:rPr>
          <w:rFonts w:ascii="宋体" w:hAnsi="宋体" w:cs="宋体"/>
          <w:bCs/>
          <w:szCs w:val="21"/>
        </w:rPr>
      </w:pPr>
      <w:r>
        <w:rPr>
          <w:rFonts w:hint="eastAsia" w:ascii="宋体" w:hAnsi="宋体" w:cs="宋体"/>
          <w:bCs/>
          <w:szCs w:val="21"/>
        </w:rPr>
        <w:t>8.负责食堂内的环境卫生维护。</w:t>
      </w:r>
    </w:p>
    <w:p>
      <w:pPr>
        <w:snapToGrid w:val="0"/>
        <w:spacing w:line="360" w:lineRule="auto"/>
        <w:ind w:firstLine="420" w:firstLineChars="200"/>
        <w:rPr>
          <w:rFonts w:ascii="宋体" w:hAnsi="宋体" w:cs="宋体"/>
          <w:bCs/>
          <w:szCs w:val="21"/>
        </w:rPr>
      </w:pPr>
      <w:r>
        <w:rPr>
          <w:rFonts w:hint="eastAsia" w:ascii="宋体" w:hAnsi="宋体" w:cs="宋体"/>
          <w:bCs/>
          <w:szCs w:val="21"/>
        </w:rPr>
        <w:t>9.定期进行应急措施的演练。对管理服务过程中可能出现的突发性事件建立应急预案，组织实施培训、演习、评价和改进，事发时按规定途径及时报告采购人和有关部门，并采取相应措施。</w:t>
      </w:r>
    </w:p>
    <w:p>
      <w:pPr>
        <w:snapToGrid w:val="0"/>
        <w:spacing w:line="360" w:lineRule="auto"/>
        <w:ind w:firstLine="420" w:firstLineChars="200"/>
        <w:rPr>
          <w:rFonts w:ascii="宋体" w:hAnsi="宋体" w:cs="宋体"/>
          <w:bCs/>
          <w:szCs w:val="21"/>
        </w:rPr>
      </w:pPr>
      <w:r>
        <w:rPr>
          <w:rFonts w:hint="eastAsia" w:cs="宋体"/>
          <w:bCs/>
          <w:szCs w:val="21"/>
        </w:rPr>
        <w:t>10.</w:t>
      </w:r>
      <w:r>
        <w:rPr>
          <w:rFonts w:hint="eastAsia" w:ascii="宋体" w:hAnsi="宋体" w:cs="宋体"/>
          <w:bCs/>
          <w:szCs w:val="21"/>
        </w:rPr>
        <w:t>供应商应确保食材来源可靠及安全，保证食品及消防安全，杜绝一切安全事故发生。因供应商及其工作人员造成采购人或任何第三方人身伤害、财产损失的，供应商应当承担全部赔偿责任，且还应承担给采购人造成的一切经济损失及法律责任。</w:t>
      </w:r>
    </w:p>
    <w:p>
      <w:pPr>
        <w:snapToGrid w:val="0"/>
        <w:spacing w:line="360" w:lineRule="auto"/>
        <w:ind w:firstLine="420" w:firstLineChars="200"/>
        <w:rPr>
          <w:rFonts w:ascii="宋体" w:hAnsi="宋体" w:cs="宋体"/>
          <w:bCs/>
          <w:szCs w:val="21"/>
        </w:rPr>
      </w:pPr>
      <w:r>
        <w:rPr>
          <w:rFonts w:hint="eastAsia" w:cs="宋体"/>
          <w:bCs/>
          <w:szCs w:val="21"/>
        </w:rPr>
        <w:t>11.食堂服务</w:t>
      </w:r>
      <w:r>
        <w:rPr>
          <w:rFonts w:hint="eastAsia" w:ascii="宋体" w:hAnsi="宋体" w:cs="宋体"/>
          <w:bCs/>
          <w:szCs w:val="21"/>
        </w:rPr>
        <w:t>总体要求</w:t>
      </w:r>
    </w:p>
    <w:p>
      <w:pPr>
        <w:snapToGrid w:val="0"/>
        <w:spacing w:line="360" w:lineRule="auto"/>
        <w:ind w:firstLine="420" w:firstLineChars="200"/>
        <w:rPr>
          <w:rFonts w:ascii="宋体" w:hAnsi="宋体" w:cs="宋体"/>
          <w:bCs/>
          <w:szCs w:val="21"/>
        </w:rPr>
      </w:pPr>
      <w:r>
        <w:rPr>
          <w:rFonts w:hint="eastAsia" w:ascii="宋体" w:hAnsi="宋体" w:cs="宋体"/>
          <w:bCs/>
          <w:szCs w:val="21"/>
        </w:rPr>
        <w:t>（1）按“快捷、有序、方便”的要求配备食堂工作人员，满足工作人员就餐的需求。</w:t>
      </w:r>
    </w:p>
    <w:p>
      <w:pPr>
        <w:snapToGrid w:val="0"/>
        <w:spacing w:line="360" w:lineRule="auto"/>
        <w:ind w:firstLine="420" w:firstLineChars="200"/>
        <w:rPr>
          <w:rFonts w:ascii="宋体" w:hAnsi="宋体" w:cs="宋体"/>
          <w:bCs/>
          <w:szCs w:val="21"/>
        </w:rPr>
      </w:pPr>
      <w:r>
        <w:rPr>
          <w:rFonts w:hint="eastAsia" w:ascii="宋体" w:hAnsi="宋体" w:cs="宋体"/>
          <w:bCs/>
          <w:szCs w:val="21"/>
        </w:rPr>
        <w:t>（2）根据双方约定的餐标，切实履行“质价相符”的原则。</w:t>
      </w:r>
    </w:p>
    <w:p>
      <w:pPr>
        <w:snapToGrid w:val="0"/>
        <w:spacing w:line="360" w:lineRule="auto"/>
        <w:ind w:firstLine="420" w:firstLineChars="200"/>
        <w:rPr>
          <w:rFonts w:ascii="宋体" w:hAnsi="宋体" w:cs="宋体"/>
          <w:bCs/>
          <w:szCs w:val="21"/>
        </w:rPr>
      </w:pPr>
      <w:r>
        <w:rPr>
          <w:rFonts w:hint="eastAsia" w:ascii="宋体" w:hAnsi="宋体" w:cs="宋体"/>
          <w:bCs/>
          <w:szCs w:val="21"/>
        </w:rPr>
        <w:t>（3）根据食堂的运行情况制订合理的节能管理措施，降低食堂能耗成本。</w:t>
      </w:r>
    </w:p>
    <w:p>
      <w:pPr>
        <w:snapToGrid w:val="0"/>
        <w:spacing w:line="360" w:lineRule="auto"/>
        <w:ind w:firstLine="420" w:firstLineChars="200"/>
        <w:rPr>
          <w:rFonts w:ascii="宋体" w:hAnsi="宋体" w:cs="宋体"/>
          <w:bCs/>
          <w:szCs w:val="21"/>
        </w:rPr>
      </w:pPr>
      <w:r>
        <w:rPr>
          <w:rFonts w:hint="eastAsia" w:cs="宋体"/>
          <w:bCs/>
          <w:szCs w:val="21"/>
        </w:rPr>
        <w:t>12.</w:t>
      </w:r>
      <w:r>
        <w:rPr>
          <w:rFonts w:hint="eastAsia" w:ascii="宋体" w:hAnsi="宋体" w:cs="宋体"/>
          <w:bCs/>
          <w:szCs w:val="21"/>
        </w:rPr>
        <w:t>食品卫生管理</w:t>
      </w:r>
    </w:p>
    <w:p>
      <w:pPr>
        <w:snapToGrid w:val="0"/>
        <w:spacing w:line="360" w:lineRule="auto"/>
        <w:ind w:firstLine="420" w:firstLineChars="200"/>
        <w:rPr>
          <w:rFonts w:ascii="宋体" w:hAnsi="宋体" w:cs="宋体"/>
          <w:bCs/>
          <w:szCs w:val="21"/>
        </w:rPr>
      </w:pPr>
      <w:r>
        <w:rPr>
          <w:rFonts w:hint="eastAsia" w:ascii="宋体" w:hAnsi="宋体" w:cs="宋体"/>
          <w:bCs/>
          <w:szCs w:val="21"/>
        </w:rPr>
        <w:t>（1）环境卫生要定人、定物、定时间、定质量，做到保持清洁，无垃圾污物。</w:t>
      </w:r>
    </w:p>
    <w:p>
      <w:pPr>
        <w:snapToGrid w:val="0"/>
        <w:spacing w:line="360" w:lineRule="auto"/>
        <w:ind w:firstLine="420" w:firstLineChars="200"/>
        <w:rPr>
          <w:rFonts w:ascii="宋体" w:hAnsi="宋体" w:cs="宋体"/>
          <w:bCs/>
          <w:szCs w:val="21"/>
        </w:rPr>
      </w:pPr>
      <w:r>
        <w:rPr>
          <w:rFonts w:hint="eastAsia" w:ascii="宋体" w:hAnsi="宋体" w:cs="宋体"/>
          <w:bCs/>
          <w:szCs w:val="21"/>
        </w:rPr>
        <w:t>（2）生熟用具分开，不得混用，保持炊具、灶具清洁卫生。</w:t>
      </w:r>
    </w:p>
    <w:p>
      <w:pPr>
        <w:snapToGrid w:val="0"/>
        <w:spacing w:line="360" w:lineRule="auto"/>
        <w:ind w:firstLine="420" w:firstLineChars="200"/>
        <w:rPr>
          <w:rFonts w:ascii="宋体" w:hAnsi="宋体" w:cs="宋体"/>
          <w:bCs/>
          <w:szCs w:val="21"/>
        </w:rPr>
      </w:pPr>
      <w:r>
        <w:rPr>
          <w:rFonts w:hint="eastAsia" w:ascii="宋体" w:hAnsi="宋体" w:cs="宋体"/>
          <w:bCs/>
          <w:szCs w:val="21"/>
        </w:rPr>
        <w:t>（3）定期进行防“四害”处置。</w:t>
      </w:r>
    </w:p>
    <w:p>
      <w:pPr>
        <w:snapToGrid w:val="0"/>
        <w:spacing w:line="360" w:lineRule="auto"/>
        <w:ind w:firstLine="420" w:firstLineChars="200"/>
        <w:rPr>
          <w:rFonts w:ascii="宋体" w:hAnsi="宋体" w:cs="宋体"/>
          <w:bCs/>
          <w:szCs w:val="21"/>
        </w:rPr>
      </w:pPr>
      <w:r>
        <w:rPr>
          <w:rFonts w:hint="eastAsia" w:ascii="宋体" w:hAnsi="宋体" w:cs="宋体"/>
          <w:bCs/>
          <w:szCs w:val="21"/>
        </w:rPr>
        <w:t>（4）食堂仓库要专库专用。原料分类存放，食品生熟分开保管，并有四防（防蝇、防尘、防鼠、防潮）措施，防止食品污染。</w:t>
      </w:r>
    </w:p>
    <w:p>
      <w:pPr>
        <w:snapToGrid w:val="0"/>
        <w:spacing w:line="360" w:lineRule="auto"/>
        <w:ind w:firstLine="420" w:firstLineChars="200"/>
        <w:rPr>
          <w:rFonts w:ascii="宋体" w:hAnsi="宋体" w:cs="宋体"/>
          <w:bCs/>
          <w:szCs w:val="21"/>
        </w:rPr>
      </w:pPr>
      <w:r>
        <w:rPr>
          <w:rFonts w:hint="eastAsia" w:ascii="宋体" w:hAnsi="宋体" w:cs="宋体"/>
          <w:bCs/>
          <w:szCs w:val="21"/>
        </w:rPr>
        <w:t>（5）食堂工作人员要按食品行业的要求统一着装，讲究卫生，保持干净整洁。</w:t>
      </w:r>
    </w:p>
    <w:p>
      <w:pPr>
        <w:snapToGrid w:val="0"/>
        <w:spacing w:line="360" w:lineRule="auto"/>
        <w:ind w:firstLine="420" w:firstLineChars="200"/>
        <w:rPr>
          <w:rFonts w:ascii="宋体" w:hAnsi="宋体" w:cs="宋体"/>
          <w:bCs/>
          <w:szCs w:val="21"/>
        </w:rPr>
      </w:pPr>
      <w:r>
        <w:rPr>
          <w:rFonts w:hint="eastAsia" w:ascii="宋体" w:hAnsi="宋体" w:cs="宋体"/>
          <w:bCs/>
          <w:szCs w:val="21"/>
        </w:rPr>
        <w:t>（6）食堂工作人员每年进行一次体检，持健康证上岗。</w:t>
      </w:r>
    </w:p>
    <w:p>
      <w:pPr>
        <w:snapToGrid w:val="0"/>
        <w:spacing w:line="360" w:lineRule="auto"/>
        <w:ind w:firstLine="420" w:firstLineChars="200"/>
        <w:rPr>
          <w:rFonts w:ascii="宋体" w:hAnsi="宋体" w:cs="宋体"/>
          <w:bCs/>
          <w:szCs w:val="21"/>
        </w:rPr>
      </w:pPr>
      <w:r>
        <w:rPr>
          <w:rFonts w:hint="eastAsia" w:cs="宋体"/>
          <w:bCs/>
          <w:szCs w:val="21"/>
        </w:rPr>
        <w:t>13.</w:t>
      </w:r>
      <w:r>
        <w:rPr>
          <w:rFonts w:hint="eastAsia" w:ascii="宋体" w:hAnsi="宋体" w:cs="宋体"/>
          <w:bCs/>
          <w:szCs w:val="21"/>
        </w:rPr>
        <w:t>餐具、炊具和设备管理</w:t>
      </w:r>
    </w:p>
    <w:p>
      <w:pPr>
        <w:snapToGrid w:val="0"/>
        <w:spacing w:line="360" w:lineRule="auto"/>
        <w:ind w:firstLine="420" w:firstLineChars="200"/>
        <w:rPr>
          <w:rFonts w:ascii="宋体" w:hAnsi="宋体" w:cs="宋体"/>
          <w:bCs/>
          <w:szCs w:val="21"/>
        </w:rPr>
      </w:pPr>
      <w:r>
        <w:rPr>
          <w:rFonts w:hint="eastAsia" w:ascii="宋体" w:hAnsi="宋体" w:cs="宋体"/>
          <w:bCs/>
          <w:szCs w:val="21"/>
        </w:rPr>
        <w:t>（1）所有工作人员均应爱护食堂炊事用具，不得损坏，防止丢失，并做到存放整齐，使用得当。</w:t>
      </w:r>
    </w:p>
    <w:p>
      <w:pPr>
        <w:snapToGrid w:val="0"/>
        <w:spacing w:line="360" w:lineRule="auto"/>
        <w:ind w:firstLine="420" w:firstLineChars="200"/>
        <w:rPr>
          <w:rFonts w:ascii="宋体" w:hAnsi="宋体" w:cs="宋体"/>
          <w:bCs/>
          <w:szCs w:val="21"/>
        </w:rPr>
      </w:pPr>
      <w:r>
        <w:rPr>
          <w:rFonts w:hint="eastAsia" w:ascii="宋体" w:hAnsi="宋体" w:cs="宋体"/>
          <w:bCs/>
          <w:szCs w:val="21"/>
        </w:rPr>
        <w:t>（2）设备管理人员，应熟练掌握设备性能和操作技术，严禁非技术人员操作；设施设备操作应规范，保证操作人员的自身安全，禁止违规操作。</w:t>
      </w:r>
    </w:p>
    <w:p>
      <w:pPr>
        <w:snapToGrid w:val="0"/>
        <w:spacing w:line="360" w:lineRule="auto"/>
        <w:ind w:firstLine="420" w:firstLineChars="200"/>
        <w:rPr>
          <w:rFonts w:ascii="宋体" w:hAnsi="宋体" w:cs="宋体"/>
          <w:bCs/>
          <w:szCs w:val="21"/>
        </w:rPr>
      </w:pPr>
      <w:r>
        <w:rPr>
          <w:rFonts w:hint="eastAsia" w:ascii="宋体" w:hAnsi="宋体" w:cs="宋体"/>
          <w:bCs/>
          <w:szCs w:val="21"/>
        </w:rPr>
        <w:t>（4）食堂的一切餐具和炊具，工作人员均不得私自占用和自行外借。</w:t>
      </w:r>
    </w:p>
    <w:p>
      <w:pPr>
        <w:snapToGrid w:val="0"/>
        <w:spacing w:line="360" w:lineRule="auto"/>
        <w:ind w:firstLine="420" w:firstLineChars="200"/>
        <w:rPr>
          <w:rFonts w:ascii="宋体" w:hAnsi="宋体" w:cs="宋体"/>
          <w:bCs/>
          <w:szCs w:val="21"/>
        </w:rPr>
      </w:pPr>
      <w:r>
        <w:rPr>
          <w:rFonts w:hint="eastAsia" w:cs="宋体"/>
          <w:bCs/>
          <w:szCs w:val="21"/>
        </w:rPr>
        <w:t>14.</w:t>
      </w:r>
      <w:r>
        <w:rPr>
          <w:rFonts w:hint="eastAsia" w:ascii="宋体" w:hAnsi="宋体" w:cs="宋体"/>
          <w:bCs/>
          <w:szCs w:val="21"/>
        </w:rPr>
        <w:t>食堂卫生管理</w:t>
      </w:r>
    </w:p>
    <w:p>
      <w:pPr>
        <w:snapToGrid w:val="0"/>
        <w:spacing w:line="360" w:lineRule="auto"/>
        <w:ind w:firstLine="420" w:firstLineChars="200"/>
        <w:rPr>
          <w:rFonts w:ascii="宋体" w:hAnsi="宋体" w:cs="宋体"/>
          <w:bCs/>
          <w:szCs w:val="21"/>
        </w:rPr>
      </w:pPr>
      <w:r>
        <w:rPr>
          <w:rFonts w:hint="eastAsia" w:ascii="宋体" w:hAnsi="宋体" w:cs="宋体"/>
          <w:bCs/>
          <w:szCs w:val="21"/>
        </w:rPr>
        <w:t>（1）严格执行《中华人民共和国食品安全法》的相关规定。</w:t>
      </w:r>
    </w:p>
    <w:p>
      <w:pPr>
        <w:snapToGrid w:val="0"/>
        <w:spacing w:line="360" w:lineRule="auto"/>
        <w:ind w:firstLine="420" w:firstLineChars="200"/>
        <w:rPr>
          <w:rFonts w:ascii="宋体" w:hAnsi="宋体" w:cs="宋体"/>
          <w:bCs/>
          <w:szCs w:val="21"/>
        </w:rPr>
      </w:pPr>
      <w:r>
        <w:rPr>
          <w:rFonts w:hint="eastAsia" w:ascii="宋体" w:hAnsi="宋体" w:cs="宋体"/>
          <w:bCs/>
          <w:szCs w:val="21"/>
        </w:rPr>
        <w:t>（2）实行原料进出库验收验发制度。</w:t>
      </w:r>
    </w:p>
    <w:p>
      <w:pPr>
        <w:snapToGrid w:val="0"/>
        <w:spacing w:line="360" w:lineRule="auto"/>
        <w:ind w:firstLine="420" w:firstLineChars="200"/>
        <w:rPr>
          <w:rFonts w:ascii="宋体" w:hAnsi="宋体" w:cs="宋体"/>
          <w:bCs/>
          <w:szCs w:val="21"/>
        </w:rPr>
      </w:pPr>
      <w:r>
        <w:rPr>
          <w:rFonts w:hint="eastAsia" w:ascii="宋体" w:hAnsi="宋体" w:cs="宋体"/>
          <w:bCs/>
          <w:szCs w:val="21"/>
        </w:rPr>
        <w:t>（3）餐用具使用后应及时洗净，餐饮具</w:t>
      </w:r>
      <w:r>
        <w:rPr>
          <w:rFonts w:hint="eastAsia" w:cs="宋体"/>
          <w:bCs/>
          <w:szCs w:val="21"/>
        </w:rPr>
        <w:t>、</w:t>
      </w:r>
      <w:r>
        <w:rPr>
          <w:rFonts w:hint="eastAsia" w:ascii="宋体" w:hAnsi="宋体" w:cs="宋体"/>
          <w:bCs/>
          <w:szCs w:val="21"/>
        </w:rPr>
        <w:t>盛放或接触直接入口食品的容器和工具使用前应消毒。</w:t>
      </w:r>
    </w:p>
    <w:p>
      <w:pPr>
        <w:snapToGrid w:val="0"/>
        <w:spacing w:line="360" w:lineRule="auto"/>
        <w:ind w:firstLine="420" w:firstLineChars="200"/>
        <w:rPr>
          <w:rFonts w:ascii="宋体" w:hAnsi="宋体" w:cs="宋体"/>
          <w:bCs/>
          <w:szCs w:val="21"/>
        </w:rPr>
      </w:pPr>
      <w:r>
        <w:rPr>
          <w:rFonts w:hint="eastAsia" w:ascii="宋体" w:hAnsi="宋体" w:cs="宋体"/>
          <w:bCs/>
          <w:szCs w:val="21"/>
        </w:rPr>
        <w:t>（4）卫生检查每次都有记录。</w:t>
      </w:r>
    </w:p>
    <w:p>
      <w:pPr>
        <w:snapToGrid w:val="0"/>
        <w:spacing w:line="360" w:lineRule="auto"/>
        <w:ind w:firstLine="420" w:firstLineChars="200"/>
        <w:rPr>
          <w:rFonts w:ascii="宋体" w:hAnsi="宋体" w:cs="宋体"/>
          <w:bCs/>
          <w:szCs w:val="21"/>
        </w:rPr>
      </w:pPr>
      <w:r>
        <w:rPr>
          <w:rFonts w:hint="eastAsia" w:cs="宋体"/>
          <w:bCs/>
          <w:szCs w:val="21"/>
        </w:rPr>
        <w:t>15.</w:t>
      </w:r>
      <w:r>
        <w:rPr>
          <w:rFonts w:hint="eastAsia" w:ascii="宋体" w:hAnsi="宋体" w:cs="宋体"/>
          <w:bCs/>
          <w:szCs w:val="21"/>
        </w:rPr>
        <w:t>应急措施：</w:t>
      </w:r>
    </w:p>
    <w:p>
      <w:pPr>
        <w:snapToGrid w:val="0"/>
        <w:spacing w:line="360" w:lineRule="auto"/>
        <w:ind w:firstLine="420" w:firstLineChars="200"/>
        <w:rPr>
          <w:rFonts w:ascii="宋体" w:hAnsi="宋体" w:cs="宋体"/>
          <w:bCs/>
          <w:szCs w:val="21"/>
        </w:rPr>
      </w:pPr>
      <w:r>
        <w:rPr>
          <w:rFonts w:hint="eastAsia" w:ascii="宋体" w:hAnsi="宋体" w:cs="宋体"/>
          <w:bCs/>
          <w:szCs w:val="21"/>
        </w:rPr>
        <w:t>（1）突发断水、断电、停气的应急措施</w:t>
      </w:r>
      <w:r>
        <w:rPr>
          <w:rFonts w:hint="eastAsia" w:cs="宋体"/>
          <w:bCs/>
          <w:szCs w:val="21"/>
        </w:rPr>
        <w:t>；</w:t>
      </w:r>
    </w:p>
    <w:p>
      <w:pPr>
        <w:snapToGrid w:val="0"/>
        <w:spacing w:line="360" w:lineRule="auto"/>
        <w:ind w:firstLine="420" w:firstLineChars="200"/>
        <w:rPr>
          <w:rFonts w:ascii="宋体" w:hAnsi="宋体" w:cs="宋体"/>
          <w:bCs/>
          <w:szCs w:val="21"/>
        </w:rPr>
      </w:pPr>
      <w:r>
        <w:rPr>
          <w:rFonts w:hint="eastAsia" w:ascii="宋体" w:hAnsi="宋体" w:cs="宋体"/>
          <w:bCs/>
          <w:szCs w:val="21"/>
        </w:rPr>
        <w:t>（2）消防应急措施</w:t>
      </w:r>
      <w:r>
        <w:rPr>
          <w:rFonts w:hint="eastAsia" w:cs="宋体"/>
          <w:bCs/>
          <w:szCs w:val="21"/>
        </w:rPr>
        <w:t>；</w:t>
      </w:r>
    </w:p>
    <w:p>
      <w:pPr>
        <w:snapToGrid w:val="0"/>
        <w:spacing w:line="360" w:lineRule="auto"/>
        <w:ind w:firstLine="420" w:firstLineChars="200"/>
        <w:rPr>
          <w:rFonts w:ascii="宋体" w:hAnsi="宋体" w:cs="宋体"/>
          <w:bCs/>
          <w:szCs w:val="21"/>
        </w:rPr>
      </w:pPr>
      <w:r>
        <w:rPr>
          <w:rFonts w:hint="eastAsia" w:ascii="宋体" w:hAnsi="宋体" w:cs="宋体"/>
          <w:bCs/>
          <w:szCs w:val="21"/>
        </w:rPr>
        <w:t>（3）食品卫生事件应急措施</w:t>
      </w:r>
      <w:r>
        <w:rPr>
          <w:rFonts w:hint="eastAsia" w:cs="宋体"/>
          <w:bCs/>
          <w:szCs w:val="21"/>
        </w:rPr>
        <w:t>。</w:t>
      </w:r>
    </w:p>
    <w:p>
      <w:pPr>
        <w:snapToGrid w:val="0"/>
        <w:spacing w:line="360" w:lineRule="auto"/>
        <w:ind w:firstLine="420" w:firstLineChars="200"/>
        <w:rPr>
          <w:rFonts w:ascii="宋体" w:hAnsi="宋体" w:cs="宋体"/>
          <w:bCs/>
          <w:szCs w:val="21"/>
        </w:rPr>
      </w:pPr>
      <w:r>
        <w:rPr>
          <w:rFonts w:hint="eastAsia" w:cs="宋体"/>
          <w:bCs/>
          <w:szCs w:val="21"/>
        </w:rPr>
        <w:t>16.</w:t>
      </w:r>
      <w:r>
        <w:rPr>
          <w:rFonts w:hint="eastAsia" w:ascii="宋体" w:hAnsi="宋体" w:cs="宋体"/>
          <w:bCs/>
          <w:szCs w:val="21"/>
        </w:rPr>
        <w:t>考核办法：</w:t>
      </w:r>
    </w:p>
    <w:p>
      <w:pPr>
        <w:snapToGrid w:val="0"/>
        <w:spacing w:line="360" w:lineRule="auto"/>
        <w:ind w:firstLine="420" w:firstLineChars="200"/>
        <w:rPr>
          <w:rFonts w:ascii="宋体" w:hAnsi="宋体" w:cs="宋体"/>
          <w:bCs/>
          <w:szCs w:val="21"/>
        </w:rPr>
      </w:pPr>
      <w:r>
        <w:rPr>
          <w:rFonts w:hint="eastAsia" w:ascii="宋体" w:hAnsi="宋体" w:cs="宋体"/>
          <w:bCs/>
          <w:szCs w:val="21"/>
        </w:rPr>
        <w:t>（1）</w:t>
      </w:r>
      <w:r>
        <w:rPr>
          <w:rFonts w:hint="eastAsia" w:cs="宋体"/>
          <w:bCs/>
          <w:szCs w:val="21"/>
        </w:rPr>
        <w:t>供应商</w:t>
      </w:r>
      <w:r>
        <w:rPr>
          <w:rFonts w:hint="eastAsia" w:ascii="宋体" w:hAnsi="宋体" w:cs="宋体"/>
          <w:bCs/>
          <w:szCs w:val="21"/>
        </w:rPr>
        <w:t>应制定不少于5天的菜谱报采购人审核备案，每周一在食堂明显的位置公布本周菜谱，接受采购人及就餐人员的监督。</w:t>
      </w:r>
    </w:p>
    <w:p>
      <w:pPr>
        <w:snapToGrid w:val="0"/>
        <w:spacing w:line="360" w:lineRule="auto"/>
        <w:ind w:firstLine="420" w:firstLineChars="200"/>
        <w:rPr>
          <w:rFonts w:ascii="宋体" w:hAnsi="宋体" w:cs="宋体"/>
          <w:bCs/>
          <w:szCs w:val="21"/>
        </w:rPr>
      </w:pPr>
      <w:r>
        <w:rPr>
          <w:rFonts w:hint="eastAsia" w:ascii="宋体" w:hAnsi="宋体" w:cs="宋体"/>
          <w:bCs/>
          <w:szCs w:val="21"/>
        </w:rPr>
        <w:t>（2）采购人有权对食堂服务每季度进行不少于1次的满意度调查，就餐人员调查人数应不小于30人，平均满意度不低于</w:t>
      </w:r>
      <w:r>
        <w:rPr>
          <w:rFonts w:hint="eastAsia" w:cs="宋体"/>
          <w:bCs/>
          <w:szCs w:val="21"/>
        </w:rPr>
        <w:t>7</w:t>
      </w:r>
      <w:r>
        <w:rPr>
          <w:rFonts w:hint="eastAsia" w:ascii="宋体" w:hAnsi="宋体" w:cs="宋体"/>
          <w:bCs/>
          <w:szCs w:val="21"/>
        </w:rPr>
        <w:t>0%。对就餐人员提出的合理化建议应积极响应，对存在的瑕疵</w:t>
      </w:r>
      <w:r>
        <w:rPr>
          <w:rFonts w:hint="eastAsia" w:cs="宋体"/>
          <w:bCs/>
          <w:szCs w:val="21"/>
        </w:rPr>
        <w:t>，</w:t>
      </w:r>
      <w:r>
        <w:rPr>
          <w:rFonts w:hint="eastAsia" w:ascii="宋体" w:hAnsi="宋体" w:cs="宋体"/>
          <w:bCs/>
          <w:szCs w:val="21"/>
        </w:rPr>
        <w:t>制定有效的改善措施并经采购负责人同意后实施</w:t>
      </w:r>
      <w:r>
        <w:rPr>
          <w:rFonts w:hint="eastAsia" w:cs="宋体"/>
          <w:bCs/>
          <w:szCs w:val="21"/>
        </w:rPr>
        <w:t>，</w:t>
      </w:r>
      <w:r>
        <w:rPr>
          <w:rFonts w:hint="eastAsia" w:ascii="宋体" w:hAnsi="宋体" w:cs="宋体"/>
          <w:bCs/>
          <w:szCs w:val="21"/>
        </w:rPr>
        <w:t>若供应商整改后，满意度仍低于70%（不含70%），或一月中采购人连续有三次进行投诉的，视为年度考核不合格，采购人有权单方立即终止服务合同，且不承担任何违约责任。</w:t>
      </w:r>
    </w:p>
    <w:p>
      <w:pPr>
        <w:spacing w:before="100" w:after="100" w:line="360" w:lineRule="auto"/>
        <w:rPr>
          <w:szCs w:val="21"/>
        </w:rPr>
      </w:pPr>
      <w:r>
        <w:rPr>
          <w:rFonts w:hint="eastAsia" w:ascii="宋体"/>
          <w:bCs/>
          <w:szCs w:val="21"/>
        </w:rPr>
        <w:t>四、商务要求</w:t>
      </w:r>
    </w:p>
    <w:p>
      <w:pPr>
        <w:spacing w:line="360" w:lineRule="auto"/>
        <w:ind w:firstLine="420" w:firstLineChars="200"/>
        <w:rPr>
          <w:rFonts w:ascii="宋体" w:hAnsi="宋体" w:cs="宋体"/>
          <w:szCs w:val="21"/>
        </w:rPr>
      </w:pPr>
      <w:bookmarkStart w:id="385" w:name="_Toc11329"/>
      <w:bookmarkStart w:id="386" w:name="_Toc27207"/>
      <w:bookmarkStart w:id="387" w:name="_Toc7677"/>
      <w:r>
        <w:rPr>
          <w:rFonts w:hint="eastAsia" w:ascii="宋体" w:hAnsi="宋体" w:cs="宋体"/>
          <w:szCs w:val="21"/>
        </w:rPr>
        <w:t>1.</w:t>
      </w:r>
      <w:bookmarkStart w:id="388" w:name="_Toc24540"/>
      <w:r>
        <w:rPr>
          <w:rFonts w:hint="eastAsia" w:ascii="宋体" w:hAnsi="宋体" w:cs="宋体"/>
          <w:szCs w:val="21"/>
        </w:rPr>
        <w:t>服务期限：本项目采购有效服务期</w:t>
      </w:r>
      <w:r>
        <w:rPr>
          <w:rFonts w:hint="eastAsia" w:cs="宋体"/>
          <w:szCs w:val="21"/>
        </w:rPr>
        <w:t>三</w:t>
      </w:r>
      <w:r>
        <w:rPr>
          <w:rFonts w:hint="eastAsia" w:ascii="宋体" w:hAnsi="宋体" w:cs="宋体"/>
          <w:szCs w:val="21"/>
        </w:rPr>
        <w:t>年，合同一年一签。</w:t>
      </w:r>
    </w:p>
    <w:p>
      <w:pPr>
        <w:spacing w:line="360" w:lineRule="auto"/>
        <w:ind w:firstLine="420" w:firstLineChars="200"/>
        <w:rPr>
          <w:rFonts w:ascii="宋体" w:hAnsi="宋体" w:cs="宋体"/>
          <w:szCs w:val="21"/>
        </w:rPr>
      </w:pPr>
      <w:r>
        <w:rPr>
          <w:rFonts w:hint="eastAsia" w:ascii="宋体" w:hAnsi="宋体" w:cs="宋体"/>
          <w:szCs w:val="21"/>
        </w:rPr>
        <w:t>2.</w:t>
      </w:r>
      <w:bookmarkEnd w:id="388"/>
      <w:r>
        <w:rPr>
          <w:rFonts w:hint="eastAsia" w:ascii="宋体" w:hAnsi="宋体" w:cs="宋体"/>
          <w:szCs w:val="21"/>
        </w:rPr>
        <w:t>服务地点：采购人指定地点。</w:t>
      </w:r>
    </w:p>
    <w:p>
      <w:pPr>
        <w:spacing w:line="360" w:lineRule="auto"/>
        <w:ind w:firstLine="420" w:firstLineChars="200"/>
        <w:rPr>
          <w:rFonts w:ascii="宋体" w:hAnsi="宋体" w:cs="宋体"/>
          <w:szCs w:val="21"/>
        </w:rPr>
      </w:pPr>
      <w:r>
        <w:rPr>
          <w:rFonts w:hint="eastAsia" w:ascii="宋体" w:hAnsi="宋体" w:cs="宋体"/>
          <w:szCs w:val="21"/>
        </w:rPr>
        <w:t>3.验收办法：</w:t>
      </w:r>
      <w:r>
        <w:rPr>
          <w:rFonts w:hint="eastAsia" w:cs="宋体"/>
          <w:szCs w:val="21"/>
        </w:rPr>
        <w:t>供应商</w:t>
      </w:r>
      <w:r>
        <w:rPr>
          <w:rFonts w:hint="eastAsia" w:ascii="宋体" w:hAnsi="宋体" w:cs="宋体"/>
          <w:szCs w:val="21"/>
        </w:rPr>
        <w:t>与采购人应严格参照《财政部关于进一步加强政府采购需求和履约验收管理的指导意见》(财库〔2016〕205号)进行验收。</w:t>
      </w:r>
    </w:p>
    <w:p>
      <w:pPr>
        <w:spacing w:line="360" w:lineRule="auto"/>
        <w:ind w:firstLine="420" w:firstLineChars="200"/>
        <w:rPr>
          <w:rFonts w:ascii="宋体" w:hAnsi="宋体" w:cs="宋体"/>
          <w:szCs w:val="21"/>
        </w:rPr>
      </w:pPr>
      <w:r>
        <w:rPr>
          <w:rFonts w:hint="eastAsia" w:ascii="宋体" w:hAnsi="宋体" w:cs="宋体"/>
          <w:szCs w:val="21"/>
        </w:rPr>
        <w:t>4.验收标准：验收按国家颁布的有关标准、规范的要求执行。如实际提供的货物与响应方案不一致，采购人有权拒绝验收。</w:t>
      </w:r>
    </w:p>
    <w:bookmarkEnd w:id="385"/>
    <w:bookmarkEnd w:id="386"/>
    <w:bookmarkEnd w:id="387"/>
    <w:p>
      <w:pPr>
        <w:spacing w:line="360" w:lineRule="auto"/>
        <w:ind w:firstLine="420" w:firstLineChars="200"/>
        <w:rPr>
          <w:rFonts w:ascii="宋体" w:hAnsi="宋体" w:cs="宋体"/>
          <w:szCs w:val="21"/>
        </w:rPr>
      </w:pPr>
      <w:r>
        <w:rPr>
          <w:rFonts w:hint="eastAsia" w:ascii="宋体" w:hAnsi="宋体" w:cs="宋体"/>
          <w:szCs w:val="21"/>
        </w:rPr>
        <w:t>5.支付方式：签订合同后，履行合同第2个月开始，每月10日前，通过银行转账的形式支付上个月的食堂劳务费用及餐费。</w:t>
      </w:r>
    </w:p>
    <w:p>
      <w:pPr>
        <w:snapToGrid w:val="0"/>
        <w:spacing w:line="360" w:lineRule="auto"/>
        <w:ind w:firstLine="420" w:firstLineChars="200"/>
        <w:rPr>
          <w:rFonts w:ascii="宋体" w:hAnsi="宋体" w:cs="宋体"/>
          <w:sz w:val="24"/>
          <w:lang w:val="zh-CN"/>
        </w:rPr>
      </w:pPr>
      <w:r>
        <w:rPr>
          <w:rFonts w:hint="eastAsia" w:ascii="宋体" w:hAnsi="宋体" w:cs="宋体"/>
          <w:szCs w:val="21"/>
          <w:lang w:val="zh-CN"/>
        </w:rPr>
        <w:t>注：本章中上述打★号的为本次招标项目的实质性要求，不允许有负偏离，否则作无效投标处理。</w:t>
      </w:r>
    </w:p>
    <w:p>
      <w:bookmarkStart w:id="389" w:name="_Toc6280"/>
      <w:bookmarkStart w:id="390" w:name="_Toc3807"/>
      <w:bookmarkStart w:id="391" w:name="_Toc31817"/>
      <w:bookmarkStart w:id="392" w:name="_Toc28313"/>
      <w:bookmarkStart w:id="393" w:name="_Toc30706"/>
      <w:bookmarkStart w:id="394" w:name="_Toc25498"/>
      <w:bookmarkStart w:id="395" w:name="_Toc22515_WPSOffice_Level1"/>
      <w:bookmarkStart w:id="396" w:name="_Toc29720"/>
      <w:bookmarkStart w:id="397" w:name="_Toc8153"/>
      <w:bookmarkStart w:id="398" w:name="_Toc13969"/>
      <w:r>
        <w:rPr>
          <w:rFonts w:hint="eastAsia"/>
        </w:rPr>
        <w:br w:type="page"/>
      </w:r>
    </w:p>
    <w:p>
      <w:pPr>
        <w:pStyle w:val="3"/>
      </w:pPr>
      <w:r>
        <w:rPr>
          <w:rFonts w:hint="eastAsia"/>
        </w:rPr>
        <w:t>第六章  磋商内容、磋商过程中可实质性变动的内容</w:t>
      </w:r>
      <w:bookmarkEnd w:id="389"/>
      <w:bookmarkEnd w:id="390"/>
      <w:bookmarkEnd w:id="391"/>
      <w:bookmarkEnd w:id="392"/>
      <w:bookmarkEnd w:id="393"/>
      <w:bookmarkEnd w:id="394"/>
      <w:bookmarkEnd w:id="395"/>
      <w:bookmarkEnd w:id="396"/>
      <w:bookmarkEnd w:id="397"/>
      <w:bookmarkEnd w:id="398"/>
    </w:p>
    <w:p>
      <w:pPr>
        <w:tabs>
          <w:tab w:val="left" w:pos="7665"/>
        </w:tabs>
        <w:spacing w:line="360" w:lineRule="auto"/>
        <w:ind w:firstLine="480"/>
        <w:rPr>
          <w:rFonts w:ascii="宋体" w:hAnsi="宋体"/>
          <w:bCs/>
          <w:szCs w:val="21"/>
        </w:rPr>
      </w:pPr>
      <w:bookmarkStart w:id="399" w:name="PO_默认文件内容_28"/>
      <w:r>
        <w:rPr>
          <w:rFonts w:hAnsi="宋体"/>
          <w:szCs w:val="21"/>
        </w:rPr>
        <w:t>针对</w:t>
      </w:r>
      <w:r>
        <w:rPr>
          <w:rFonts w:hint="eastAsia" w:hAnsi="宋体"/>
          <w:szCs w:val="21"/>
        </w:rPr>
        <w:t>第五章、第九章</w:t>
      </w:r>
      <w:r>
        <w:rPr>
          <w:rFonts w:hAnsi="宋体"/>
          <w:szCs w:val="21"/>
        </w:rPr>
        <w:t>所包含的</w:t>
      </w:r>
      <w:r>
        <w:rPr>
          <w:rFonts w:hint="eastAsia" w:hAnsi="宋体"/>
          <w:szCs w:val="21"/>
        </w:rPr>
        <w:t>技术、服务要求以及合同草案条款</w:t>
      </w:r>
      <w:r>
        <w:rPr>
          <w:rFonts w:hAnsi="宋体"/>
          <w:szCs w:val="21"/>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360" w:lineRule="auto"/>
        <w:ind w:firstLine="480"/>
        <w:rPr>
          <w:rFonts w:ascii="宋体" w:hAnsi="宋体"/>
          <w:bCs/>
          <w:sz w:val="24"/>
        </w:rPr>
      </w:pPr>
    </w:p>
    <w:p>
      <w:pPr>
        <w:tabs>
          <w:tab w:val="left" w:pos="7665"/>
        </w:tabs>
        <w:spacing w:line="360" w:lineRule="auto"/>
        <w:ind w:firstLine="480"/>
        <w:rPr>
          <w:rFonts w:ascii="宋体" w:hAnsi="宋体"/>
          <w:bCs/>
          <w:sz w:val="24"/>
        </w:rPr>
      </w:pPr>
    </w:p>
    <w:p>
      <w:pPr>
        <w:tabs>
          <w:tab w:val="left" w:pos="7665"/>
        </w:tabs>
        <w:spacing w:line="360" w:lineRule="auto"/>
        <w:ind w:firstLine="480"/>
        <w:rPr>
          <w:rFonts w:ascii="宋体" w:hAnsi="宋体"/>
          <w:bCs/>
          <w:sz w:val="24"/>
        </w:rPr>
      </w:pPr>
    </w:p>
    <w:p>
      <w:pPr>
        <w:tabs>
          <w:tab w:val="left" w:pos="7665"/>
        </w:tabs>
        <w:spacing w:line="360" w:lineRule="auto"/>
        <w:ind w:firstLine="480"/>
        <w:jc w:val="left"/>
        <w:rPr>
          <w:rFonts w:ascii="黑体" w:hAnsi="宋体" w:eastAsia="黑体"/>
          <w:b/>
          <w:bCs/>
          <w:sz w:val="32"/>
          <w:szCs w:val="32"/>
        </w:rPr>
      </w:pPr>
    </w:p>
    <w:p>
      <w:pPr>
        <w:tabs>
          <w:tab w:val="left" w:pos="7665"/>
        </w:tabs>
        <w:spacing w:line="360" w:lineRule="auto"/>
        <w:ind w:firstLine="480"/>
        <w:jc w:val="left"/>
        <w:rPr>
          <w:rFonts w:ascii="黑体" w:hAnsi="宋体" w:eastAsia="黑体"/>
          <w:b/>
          <w:bCs/>
          <w:sz w:val="32"/>
          <w:szCs w:val="32"/>
        </w:rPr>
      </w:pPr>
    </w:p>
    <w:p>
      <w:pPr>
        <w:tabs>
          <w:tab w:val="left" w:pos="7665"/>
        </w:tabs>
        <w:spacing w:line="360" w:lineRule="auto"/>
        <w:ind w:firstLine="480"/>
        <w:jc w:val="left"/>
        <w:rPr>
          <w:rFonts w:ascii="黑体" w:hAnsi="宋体" w:eastAsia="黑体"/>
          <w:b/>
          <w:bCs/>
          <w:sz w:val="32"/>
          <w:szCs w:val="32"/>
        </w:rPr>
      </w:pPr>
    </w:p>
    <w:p>
      <w:pPr>
        <w:tabs>
          <w:tab w:val="left" w:pos="7665"/>
        </w:tabs>
        <w:spacing w:line="360" w:lineRule="auto"/>
        <w:ind w:firstLine="480"/>
        <w:rPr>
          <w:rFonts w:ascii="宋体" w:hAnsi="宋体"/>
          <w:bCs/>
          <w:sz w:val="24"/>
        </w:rPr>
      </w:pPr>
    </w:p>
    <w:p>
      <w:pPr>
        <w:tabs>
          <w:tab w:val="left" w:pos="7665"/>
        </w:tabs>
        <w:spacing w:line="360" w:lineRule="auto"/>
        <w:ind w:firstLine="480"/>
        <w:rPr>
          <w:rFonts w:ascii="黑体" w:hAnsi="宋体" w:eastAsia="黑体"/>
          <w:b/>
          <w:bCs/>
          <w:sz w:val="32"/>
          <w:szCs w:val="32"/>
        </w:rPr>
      </w:pPr>
    </w:p>
    <w:bookmarkEnd w:id="399"/>
    <w:p>
      <w:pPr>
        <w:tabs>
          <w:tab w:val="left" w:pos="7665"/>
        </w:tabs>
        <w:spacing w:line="360" w:lineRule="auto"/>
        <w:ind w:firstLine="480"/>
        <w:rPr>
          <w:rFonts w:ascii="黑体" w:hAnsi="宋体" w:eastAsia="黑体"/>
          <w:b/>
          <w:bCs/>
          <w:sz w:val="32"/>
          <w:szCs w:val="32"/>
        </w:rPr>
      </w:pPr>
    </w:p>
    <w:p>
      <w:pPr>
        <w:pStyle w:val="3"/>
        <w:spacing w:before="0" w:after="0" w:line="360" w:lineRule="auto"/>
      </w:pPr>
      <w:r>
        <w:br w:type="page"/>
      </w:r>
      <w:bookmarkStart w:id="400" w:name="_Toc9344"/>
      <w:bookmarkStart w:id="401" w:name="_Toc511206481"/>
      <w:bookmarkStart w:id="402" w:name="_Toc10190"/>
      <w:bookmarkStart w:id="403" w:name="_Toc6755"/>
      <w:bookmarkStart w:id="404" w:name="_Toc8404"/>
      <w:bookmarkStart w:id="405" w:name="_Toc15766"/>
      <w:bookmarkStart w:id="406" w:name="_Toc30754_WPSOffice_Level1"/>
      <w:bookmarkStart w:id="407" w:name="_Toc5005029"/>
      <w:bookmarkStart w:id="408" w:name="_Toc11943"/>
      <w:bookmarkStart w:id="409" w:name="_Toc27986"/>
      <w:bookmarkStart w:id="410" w:name="_Toc17127"/>
      <w:bookmarkStart w:id="411" w:name="_Toc28507"/>
      <w:r>
        <w:rPr>
          <w:rFonts w:hint="eastAsia"/>
        </w:rPr>
        <w:t>第七章  响应文件格式</w:t>
      </w:r>
      <w:bookmarkEnd w:id="400"/>
      <w:bookmarkEnd w:id="401"/>
      <w:bookmarkEnd w:id="402"/>
      <w:bookmarkEnd w:id="403"/>
      <w:bookmarkEnd w:id="404"/>
      <w:bookmarkEnd w:id="405"/>
      <w:bookmarkEnd w:id="406"/>
      <w:bookmarkEnd w:id="407"/>
      <w:bookmarkEnd w:id="408"/>
      <w:bookmarkEnd w:id="409"/>
      <w:bookmarkEnd w:id="410"/>
      <w:bookmarkEnd w:id="411"/>
    </w:p>
    <w:p>
      <w:pPr>
        <w:tabs>
          <w:tab w:val="left" w:pos="7665"/>
        </w:tabs>
        <w:spacing w:line="360" w:lineRule="auto"/>
        <w:ind w:firstLine="480"/>
        <w:rPr>
          <w:rFonts w:ascii="宋体" w:hAnsi="宋体"/>
          <w:bCs/>
          <w:sz w:val="24"/>
        </w:rPr>
      </w:pPr>
    </w:p>
    <w:p>
      <w:pPr>
        <w:spacing w:line="360" w:lineRule="auto"/>
        <w:ind w:firstLine="420" w:firstLineChars="200"/>
        <w:rPr>
          <w:szCs w:val="21"/>
        </w:rPr>
      </w:pPr>
      <w:bookmarkStart w:id="412" w:name="PO_默认文件内容_29"/>
      <w:r>
        <w:rPr>
          <w:rFonts w:hint="eastAsia"/>
          <w:szCs w:val="21"/>
        </w:rPr>
        <w:t>一、本章所制响应文件格式，除格式中明确将该格式作为实质性要求的，一律不具有强制性，但是，供应商响应文件相关资料和本章所制格式不一致的，磋商小组将在评分时以响应文件不规范予以扣分处理。</w:t>
      </w:r>
    </w:p>
    <w:p>
      <w:pPr>
        <w:spacing w:line="360" w:lineRule="auto"/>
        <w:ind w:firstLine="420" w:firstLineChars="200"/>
        <w:rPr>
          <w:szCs w:val="21"/>
        </w:rPr>
      </w:pPr>
      <w:r>
        <w:rPr>
          <w:rFonts w:hint="eastAsia"/>
          <w:szCs w:val="21"/>
        </w:rPr>
        <w:t>二、本章所制响应文件格式有关表格中的备注栏，由供应商根据自身响应情况作解释性说明，不作为必填项。</w:t>
      </w:r>
    </w:p>
    <w:p>
      <w:pPr>
        <w:spacing w:line="360" w:lineRule="auto"/>
        <w:ind w:firstLine="420" w:firstLineChars="200"/>
        <w:rPr>
          <w:szCs w:val="21"/>
        </w:rPr>
      </w:pPr>
      <w:r>
        <w:rPr>
          <w:rFonts w:hint="eastAsia"/>
          <w:szCs w:val="21"/>
        </w:rPr>
        <w:t>三、本章所制响应文件格式中需要填写的相关内容事项，可能会与本采购项目无关，在不改变响应文件原义、不影响本项目采购需求的情况下，供应商可以不予填写，但应当注明。</w:t>
      </w:r>
      <w:bookmarkEnd w:id="412"/>
    </w:p>
    <w:p>
      <w:pPr>
        <w:spacing w:line="360" w:lineRule="auto"/>
        <w:rPr>
          <w:b/>
          <w:sz w:val="32"/>
          <w:szCs w:val="32"/>
        </w:rPr>
      </w:pPr>
    </w:p>
    <w:p>
      <w:pPr>
        <w:widowControl/>
        <w:spacing w:line="360" w:lineRule="auto"/>
        <w:jc w:val="center"/>
        <w:rPr>
          <w:b/>
          <w:sz w:val="32"/>
          <w:szCs w:val="32"/>
        </w:rPr>
      </w:pPr>
      <w:r>
        <w:rPr>
          <w:b/>
          <w:sz w:val="32"/>
          <w:szCs w:val="32"/>
        </w:rPr>
        <w:br w:type="page"/>
      </w:r>
      <w:bookmarkStart w:id="413" w:name="PO_默认文件内容_22"/>
    </w:p>
    <w:p>
      <w:pPr>
        <w:snapToGrid w:val="0"/>
        <w:spacing w:line="360" w:lineRule="auto"/>
        <w:jc w:val="center"/>
        <w:outlineLvl w:val="1"/>
        <w:rPr>
          <w:rFonts w:ascii="黑体" w:hAnsi="黑体" w:eastAsia="黑体" w:cs="黑体"/>
          <w:b/>
          <w:sz w:val="32"/>
        </w:rPr>
      </w:pPr>
      <w:bookmarkStart w:id="414" w:name="_Toc5652"/>
      <w:bookmarkStart w:id="415" w:name="_Toc2856"/>
      <w:bookmarkStart w:id="416" w:name="_Toc15383"/>
      <w:bookmarkStart w:id="417" w:name="_Toc1765"/>
      <w:bookmarkStart w:id="418" w:name="_Toc27744"/>
      <w:bookmarkStart w:id="419" w:name="_Toc28482"/>
      <w:bookmarkStart w:id="420" w:name="_Toc23353"/>
      <w:bookmarkStart w:id="421" w:name="_Toc14345"/>
      <w:bookmarkStart w:id="422" w:name="_Toc511206482"/>
      <w:r>
        <w:rPr>
          <w:rFonts w:hint="eastAsia" w:ascii="黑体" w:hAnsi="黑体" w:eastAsia="黑体" w:cs="黑体"/>
          <w:b/>
          <w:sz w:val="32"/>
        </w:rPr>
        <w:t>第一部分 资格性响应文件（格式）</w:t>
      </w:r>
      <w:bookmarkEnd w:id="414"/>
      <w:bookmarkEnd w:id="415"/>
      <w:bookmarkEnd w:id="416"/>
      <w:bookmarkEnd w:id="417"/>
      <w:bookmarkEnd w:id="418"/>
      <w:bookmarkEnd w:id="419"/>
      <w:bookmarkEnd w:id="420"/>
      <w:bookmarkEnd w:id="421"/>
    </w:p>
    <w:p>
      <w:r>
        <w:br w:type="page"/>
      </w:r>
    </w:p>
    <w:p>
      <w:pPr>
        <w:pStyle w:val="12"/>
      </w:pPr>
    </w:p>
    <w:p>
      <w:pPr>
        <w:pStyle w:val="2"/>
        <w:keepNext w:val="0"/>
        <w:keepLines w:val="0"/>
        <w:widowControl/>
        <w:numPr>
          <w:ilvl w:val="0"/>
          <w:numId w:val="0"/>
        </w:numPr>
        <w:spacing w:line="360" w:lineRule="auto"/>
        <w:jc w:val="right"/>
        <w:outlineLvl w:val="9"/>
        <w:rPr>
          <w:rFonts w:ascii="宋体" w:hAnsi="宋体" w:eastAsia="宋体" w:cs="宋体"/>
          <w:sz w:val="28"/>
          <w:szCs w:val="28"/>
        </w:rPr>
      </w:pPr>
      <w:r>
        <w:rPr>
          <w:rFonts w:hint="eastAsia" w:ascii="宋体" w:hAnsi="宋体" w:eastAsia="宋体" w:cs="宋体"/>
          <w:sz w:val="28"/>
          <w:szCs w:val="28"/>
        </w:rPr>
        <w:t>正本/副本</w:t>
      </w:r>
    </w:p>
    <w:p>
      <w:pPr>
        <w:spacing w:line="360" w:lineRule="auto"/>
        <w:jc w:val="center"/>
        <w:rPr>
          <w:rFonts w:ascii="宋体" w:hAnsi="宋体"/>
          <w:b/>
          <w:sz w:val="24"/>
        </w:rPr>
      </w:pPr>
    </w:p>
    <w:p>
      <w:pPr>
        <w:pStyle w:val="22"/>
        <w:tabs>
          <w:tab w:val="right" w:leader="dot" w:pos="9724"/>
        </w:tabs>
        <w:ind w:firstLine="6746" w:firstLineChars="2400"/>
        <w:jc w:val="left"/>
        <w:rPr>
          <w:rFonts w:ascii="黑体" w:hAnsi="黑体" w:eastAsia="黑体" w:cs="黑体"/>
          <w:b/>
          <w:bCs/>
          <w:sz w:val="28"/>
          <w:szCs w:val="28"/>
        </w:rPr>
      </w:pPr>
      <w:r>
        <w:rPr>
          <w:rFonts w:hint="eastAsia" w:ascii="黑体" w:hAnsi="黑体" w:eastAsia="黑体" w:cs="黑体"/>
          <w:b/>
          <w:bCs/>
          <w:sz w:val="28"/>
          <w:szCs w:val="28"/>
          <w:lang w:val="zh-CN"/>
        </w:rPr>
        <w:t>项目编号：</w:t>
      </w:r>
      <w:r>
        <w:rPr>
          <w:rFonts w:hint="eastAsia" w:ascii="黑体" w:hAnsi="黑体" w:eastAsia="黑体" w:cs="黑体"/>
          <w:b/>
          <w:bCs/>
          <w:sz w:val="28"/>
          <w:szCs w:val="28"/>
          <w:u w:val="single"/>
        </w:rPr>
        <w:t xml:space="preserve">           </w:t>
      </w:r>
    </w:p>
    <w:p>
      <w:pPr>
        <w:widowControl/>
        <w:spacing w:line="360" w:lineRule="auto"/>
        <w:rPr>
          <w:rFonts w:ascii="黑体" w:hAnsi="黑体" w:eastAsia="黑体" w:cs="黑体"/>
          <w:sz w:val="24"/>
          <w:lang w:val="zh-CN"/>
        </w:rPr>
      </w:pPr>
    </w:p>
    <w:p>
      <w:pPr>
        <w:pStyle w:val="12"/>
        <w:spacing w:after="0" w:line="360" w:lineRule="auto"/>
        <w:ind w:firstLine="723" w:firstLineChars="300"/>
        <w:rPr>
          <w:rFonts w:ascii="黑体" w:hAnsi="黑体" w:eastAsia="黑体" w:cs="黑体"/>
          <w:b/>
          <w:bCs/>
          <w:sz w:val="44"/>
          <w:szCs w:val="44"/>
        </w:rPr>
      </w:pPr>
      <w:r>
        <w:rPr>
          <w:rFonts w:hint="eastAsia" w:ascii="黑体" w:hAnsi="黑体" w:eastAsia="黑体" w:cs="黑体"/>
          <w:b/>
          <w:bCs/>
          <w:sz w:val="24"/>
        </w:rPr>
        <w:t xml:space="preserve"> </w:t>
      </w:r>
      <w:r>
        <w:rPr>
          <w:rFonts w:hint="eastAsia" w:ascii="黑体" w:hAnsi="黑体" w:eastAsia="黑体" w:cs="黑体"/>
          <w:b/>
          <w:bCs/>
          <w:sz w:val="44"/>
          <w:szCs w:val="44"/>
          <w:u w:val="single"/>
        </w:rPr>
        <w:t xml:space="preserve">                         </w:t>
      </w:r>
      <w:r>
        <w:rPr>
          <w:rFonts w:hint="eastAsia" w:ascii="黑体" w:hAnsi="黑体" w:eastAsia="黑体" w:cs="黑体"/>
          <w:b/>
          <w:bCs/>
          <w:sz w:val="44"/>
          <w:szCs w:val="44"/>
        </w:rPr>
        <w:t>（项目名称）</w:t>
      </w:r>
    </w:p>
    <w:p>
      <w:pPr>
        <w:pStyle w:val="14"/>
        <w:spacing w:line="360" w:lineRule="auto"/>
        <w:rPr>
          <w:rFonts w:ascii="宋体" w:hAnsi="宋体" w:cs="宋体"/>
          <w:sz w:val="44"/>
          <w:szCs w:val="44"/>
        </w:rPr>
      </w:pPr>
    </w:p>
    <w:p>
      <w:pPr>
        <w:pStyle w:val="48"/>
        <w:spacing w:line="360" w:lineRule="auto"/>
        <w:rPr>
          <w:rFonts w:ascii="宋体" w:hAnsi="宋体" w:cs="宋体"/>
        </w:rPr>
      </w:pPr>
    </w:p>
    <w:p>
      <w:pPr>
        <w:pStyle w:val="48"/>
        <w:spacing w:line="360" w:lineRule="auto"/>
        <w:rPr>
          <w:rFonts w:ascii="宋体" w:hAnsi="宋体" w:cs="宋体"/>
        </w:rPr>
      </w:pPr>
    </w:p>
    <w:p>
      <w:pPr>
        <w:pStyle w:val="48"/>
        <w:spacing w:line="360" w:lineRule="auto"/>
        <w:rPr>
          <w:rFonts w:ascii="宋体" w:hAnsi="宋体" w:cs="宋体"/>
        </w:rPr>
      </w:pPr>
    </w:p>
    <w:p>
      <w:pPr>
        <w:pStyle w:val="48"/>
        <w:spacing w:line="360" w:lineRule="auto"/>
        <w:rPr>
          <w:rFonts w:ascii="宋体" w:hAnsi="宋体" w:cs="宋体"/>
        </w:rPr>
      </w:pPr>
    </w:p>
    <w:p>
      <w:pPr>
        <w:pStyle w:val="48"/>
        <w:spacing w:line="360" w:lineRule="auto"/>
        <w:rPr>
          <w:rFonts w:ascii="宋体" w:hAnsi="宋体" w:cs="宋体"/>
        </w:rPr>
      </w:pPr>
    </w:p>
    <w:p>
      <w:pPr>
        <w:pStyle w:val="48"/>
        <w:spacing w:line="360" w:lineRule="auto"/>
        <w:rPr>
          <w:rFonts w:ascii="宋体" w:hAnsi="宋体" w:cs="宋体"/>
        </w:rPr>
      </w:pPr>
    </w:p>
    <w:p>
      <w:pPr>
        <w:widowControl/>
        <w:spacing w:line="360" w:lineRule="auto"/>
        <w:jc w:val="center"/>
        <w:rPr>
          <w:rFonts w:ascii="黑体" w:hAnsi="黑体" w:eastAsia="黑体" w:cs="黑体"/>
          <w:b/>
          <w:bCs/>
          <w:sz w:val="72"/>
          <w:szCs w:val="72"/>
        </w:rPr>
      </w:pPr>
      <w:r>
        <w:rPr>
          <w:rFonts w:hint="eastAsia" w:ascii="黑体" w:hAnsi="黑体" w:eastAsia="黑体" w:cs="黑体"/>
          <w:b/>
          <w:bCs/>
          <w:sz w:val="72"/>
          <w:szCs w:val="72"/>
        </w:rPr>
        <w:t>资格性响应文件</w:t>
      </w:r>
    </w:p>
    <w:p>
      <w:pPr>
        <w:pStyle w:val="48"/>
        <w:spacing w:line="360" w:lineRule="auto"/>
        <w:jc w:val="center"/>
        <w:rPr>
          <w:rFonts w:ascii="宋体" w:hAnsi="宋体" w:cs="宋体"/>
          <w:b/>
          <w:bCs/>
          <w:sz w:val="28"/>
          <w:szCs w:val="28"/>
        </w:rPr>
      </w:pPr>
    </w:p>
    <w:p>
      <w:pPr>
        <w:pStyle w:val="48"/>
        <w:spacing w:line="360" w:lineRule="auto"/>
        <w:rPr>
          <w:rFonts w:ascii="宋体" w:hAnsi="宋体" w:cs="宋体"/>
          <w:sz w:val="28"/>
          <w:szCs w:val="28"/>
        </w:rPr>
      </w:pPr>
      <w:r>
        <w:rPr>
          <w:rFonts w:hint="eastAsia" w:ascii="宋体" w:hAnsi="宋体" w:cs="宋体"/>
          <w:b/>
          <w:bCs/>
          <w:sz w:val="36"/>
          <w:szCs w:val="36"/>
        </w:rPr>
        <w:t xml:space="preserve"> </w:t>
      </w:r>
    </w:p>
    <w:p>
      <w:pPr>
        <w:pStyle w:val="48"/>
        <w:spacing w:line="360" w:lineRule="auto"/>
        <w:rPr>
          <w:rFonts w:ascii="宋体" w:hAnsi="宋体" w:cs="宋体"/>
          <w:sz w:val="28"/>
          <w:szCs w:val="28"/>
        </w:rPr>
      </w:pPr>
    </w:p>
    <w:p>
      <w:pPr>
        <w:pStyle w:val="48"/>
        <w:spacing w:line="360" w:lineRule="auto"/>
        <w:rPr>
          <w:rFonts w:ascii="宋体" w:hAnsi="宋体" w:cs="宋体"/>
          <w:sz w:val="28"/>
          <w:szCs w:val="28"/>
        </w:rPr>
      </w:pPr>
    </w:p>
    <w:p>
      <w:pPr>
        <w:pStyle w:val="48"/>
        <w:spacing w:line="360" w:lineRule="auto"/>
        <w:rPr>
          <w:rFonts w:ascii="宋体" w:hAnsi="宋体" w:cs="宋体"/>
          <w:sz w:val="28"/>
          <w:szCs w:val="28"/>
        </w:rPr>
      </w:pPr>
    </w:p>
    <w:p>
      <w:pPr>
        <w:tabs>
          <w:tab w:val="left" w:pos="3240"/>
        </w:tabs>
        <w:snapToGrid w:val="0"/>
        <w:spacing w:line="360" w:lineRule="auto"/>
        <w:ind w:firstLine="1619" w:firstLineChars="576"/>
        <w:rPr>
          <w:rFonts w:ascii="黑体" w:hAnsi="黑体" w:eastAsia="黑体" w:cs="黑体"/>
          <w:b/>
          <w:bCs/>
          <w:sz w:val="28"/>
          <w:szCs w:val="28"/>
        </w:rPr>
      </w:pPr>
      <w:r>
        <w:rPr>
          <w:rFonts w:hint="eastAsia" w:ascii="黑体" w:hAnsi="黑体" w:eastAsia="黑体" w:cs="黑体"/>
          <w:b/>
          <w:bCs/>
          <w:sz w:val="28"/>
          <w:szCs w:val="28"/>
        </w:rPr>
        <w:t>供应商名称：</w:t>
      </w:r>
      <w:r>
        <w:rPr>
          <w:rFonts w:hint="eastAsia" w:ascii="黑体" w:hAnsi="黑体" w:eastAsia="黑体" w:cs="黑体"/>
          <w:b/>
          <w:bCs/>
          <w:sz w:val="28"/>
          <w:szCs w:val="28"/>
          <w:u w:val="single"/>
        </w:rPr>
        <w:t xml:space="preserve">                       </w:t>
      </w:r>
      <w:r>
        <w:rPr>
          <w:rFonts w:hint="eastAsia" w:ascii="黑体" w:hAnsi="黑体" w:eastAsia="黑体" w:cs="黑体"/>
          <w:b/>
          <w:bCs/>
          <w:sz w:val="28"/>
          <w:szCs w:val="28"/>
        </w:rPr>
        <w:t>(盖章)</w:t>
      </w:r>
    </w:p>
    <w:p>
      <w:pPr>
        <w:tabs>
          <w:tab w:val="left" w:pos="3240"/>
        </w:tabs>
        <w:snapToGrid w:val="0"/>
        <w:spacing w:line="360" w:lineRule="auto"/>
        <w:ind w:firstLine="1619" w:firstLineChars="576"/>
        <w:rPr>
          <w:rFonts w:ascii="黑体" w:hAnsi="黑体" w:eastAsia="黑体" w:cs="黑体"/>
          <w:b/>
          <w:bCs/>
          <w:sz w:val="28"/>
          <w:szCs w:val="28"/>
        </w:rPr>
      </w:pPr>
      <w:r>
        <w:rPr>
          <w:rFonts w:hint="eastAsia" w:ascii="黑体" w:hAnsi="黑体" w:eastAsia="黑体" w:cs="黑体"/>
          <w:b/>
          <w:bCs/>
          <w:sz w:val="28"/>
          <w:szCs w:val="28"/>
        </w:rPr>
        <w:t>法定代表人或授权代表：</w:t>
      </w:r>
      <w:r>
        <w:rPr>
          <w:rFonts w:hint="eastAsia" w:ascii="黑体" w:hAnsi="黑体" w:eastAsia="黑体" w:cs="黑体"/>
          <w:b/>
          <w:bCs/>
          <w:sz w:val="28"/>
          <w:szCs w:val="28"/>
          <w:u w:val="single"/>
        </w:rPr>
        <w:t xml:space="preserve">             </w:t>
      </w:r>
      <w:r>
        <w:rPr>
          <w:rFonts w:hint="eastAsia" w:ascii="黑体" w:hAnsi="黑体" w:eastAsia="黑体" w:cs="黑体"/>
          <w:b/>
          <w:bCs/>
          <w:sz w:val="28"/>
          <w:szCs w:val="28"/>
        </w:rPr>
        <w:t>(签字或盖章)</w:t>
      </w:r>
    </w:p>
    <w:p>
      <w:pPr>
        <w:tabs>
          <w:tab w:val="left" w:pos="3240"/>
        </w:tabs>
        <w:snapToGrid w:val="0"/>
        <w:spacing w:line="360" w:lineRule="auto"/>
        <w:ind w:firstLine="1619" w:firstLineChars="576"/>
        <w:rPr>
          <w:rFonts w:ascii="黑体" w:hAnsi="黑体" w:eastAsia="黑体" w:cs="黑体"/>
          <w:b/>
          <w:bCs/>
          <w:sz w:val="28"/>
          <w:szCs w:val="28"/>
        </w:rPr>
      </w:pPr>
      <w:r>
        <w:rPr>
          <w:rFonts w:hint="eastAsia" w:ascii="黑体" w:hAnsi="黑体" w:eastAsia="黑体" w:cs="黑体"/>
          <w:b/>
          <w:bCs/>
          <w:sz w:val="28"/>
          <w:szCs w:val="28"/>
        </w:rPr>
        <w:t>日期：</w:t>
      </w:r>
      <w:r>
        <w:rPr>
          <w:rFonts w:hint="eastAsia" w:ascii="黑体" w:hAnsi="黑体" w:eastAsia="黑体" w:cs="黑体"/>
          <w:b/>
          <w:bCs/>
          <w:i/>
          <w:sz w:val="28"/>
          <w:szCs w:val="28"/>
          <w:u w:val="single"/>
        </w:rPr>
        <w:t xml:space="preserve">    </w:t>
      </w:r>
      <w:r>
        <w:rPr>
          <w:rFonts w:hint="eastAsia" w:ascii="黑体" w:hAnsi="黑体" w:eastAsia="黑体" w:cs="黑体"/>
          <w:b/>
          <w:bCs/>
          <w:iCs/>
          <w:sz w:val="28"/>
          <w:szCs w:val="28"/>
        </w:rPr>
        <w:t>年</w:t>
      </w:r>
      <w:r>
        <w:rPr>
          <w:rFonts w:hint="eastAsia" w:ascii="黑体" w:hAnsi="黑体" w:eastAsia="黑体" w:cs="黑体"/>
          <w:b/>
          <w:bCs/>
          <w:iCs/>
          <w:sz w:val="28"/>
          <w:szCs w:val="28"/>
          <w:u w:val="single"/>
        </w:rPr>
        <w:t xml:space="preserve">    </w:t>
      </w:r>
      <w:r>
        <w:rPr>
          <w:rFonts w:hint="eastAsia" w:ascii="黑体" w:hAnsi="黑体" w:eastAsia="黑体" w:cs="黑体"/>
          <w:b/>
          <w:bCs/>
          <w:iCs/>
          <w:sz w:val="28"/>
          <w:szCs w:val="28"/>
        </w:rPr>
        <w:t>月</w:t>
      </w:r>
      <w:r>
        <w:rPr>
          <w:rFonts w:hint="eastAsia" w:ascii="黑体" w:hAnsi="黑体" w:eastAsia="黑体" w:cs="黑体"/>
          <w:b/>
          <w:bCs/>
          <w:iCs/>
          <w:sz w:val="28"/>
          <w:szCs w:val="28"/>
          <w:u w:val="single"/>
        </w:rPr>
        <w:t xml:space="preserve">    </w:t>
      </w:r>
      <w:r>
        <w:rPr>
          <w:rFonts w:hint="eastAsia" w:ascii="黑体" w:hAnsi="黑体" w:eastAsia="黑体" w:cs="黑体"/>
          <w:b/>
          <w:bCs/>
          <w:iCs/>
          <w:sz w:val="28"/>
          <w:szCs w:val="28"/>
        </w:rPr>
        <w:t>日</w:t>
      </w:r>
    </w:p>
    <w:p>
      <w:pPr>
        <w:rPr>
          <w:rFonts w:ascii="宋体" w:hAnsi="宋体"/>
          <w:b/>
          <w:sz w:val="32"/>
          <w:szCs w:val="32"/>
        </w:rPr>
      </w:pPr>
      <w:r>
        <w:rPr>
          <w:rFonts w:ascii="宋体" w:hAnsi="宋体"/>
          <w:b/>
          <w:sz w:val="32"/>
          <w:szCs w:val="32"/>
        </w:rPr>
        <w:br w:type="page"/>
      </w:r>
    </w:p>
    <w:p>
      <w:pPr>
        <w:jc w:val="center"/>
        <w:rPr>
          <w:b/>
          <w:bCs/>
          <w:sz w:val="28"/>
          <w:szCs w:val="36"/>
        </w:rPr>
      </w:pPr>
      <w:bookmarkStart w:id="423" w:name="_Toc377_WPSOffice_Level3"/>
      <w:r>
        <w:rPr>
          <w:rFonts w:hint="eastAsia"/>
          <w:b/>
          <w:bCs/>
          <w:sz w:val="28"/>
          <w:szCs w:val="36"/>
        </w:rPr>
        <w:t>目  录</w:t>
      </w:r>
    </w:p>
    <w:p>
      <w:pPr>
        <w:jc w:val="center"/>
      </w:pPr>
      <w:r>
        <w:rPr>
          <w:rFonts w:hint="eastAsia"/>
        </w:rPr>
        <w:t>（自拟）</w:t>
      </w:r>
    </w:p>
    <w:p>
      <w:pPr>
        <w:pStyle w:val="4"/>
        <w:spacing w:before="0" w:after="0" w:line="360" w:lineRule="auto"/>
        <w:sectPr>
          <w:headerReference r:id="rId15" w:type="first"/>
          <w:headerReference r:id="rId13" w:type="default"/>
          <w:headerReference r:id="rId14" w:type="even"/>
          <w:pgSz w:w="11907" w:h="16840"/>
          <w:pgMar w:top="1134" w:right="1134" w:bottom="1134" w:left="1134" w:header="851" w:footer="850" w:gutter="0"/>
          <w:pgNumType w:fmt="decimal"/>
          <w:cols w:space="720" w:num="1"/>
          <w:docGrid w:type="lines" w:linePitch="312" w:charSpace="0"/>
        </w:sectPr>
      </w:pPr>
    </w:p>
    <w:p>
      <w:pPr>
        <w:pStyle w:val="4"/>
        <w:spacing w:before="0" w:after="0" w:line="360" w:lineRule="auto"/>
        <w:rPr>
          <w:rFonts w:ascii="黑体" w:hAnsi="黑体" w:eastAsia="黑体" w:cs="黑体"/>
        </w:rPr>
      </w:pPr>
      <w:bookmarkStart w:id="424" w:name="_Toc31053"/>
      <w:bookmarkStart w:id="425" w:name="_Toc20657"/>
      <w:bookmarkStart w:id="426" w:name="_Toc28900"/>
      <w:bookmarkStart w:id="427" w:name="_Toc16476"/>
      <w:bookmarkStart w:id="428" w:name="_Toc17741"/>
      <w:bookmarkStart w:id="429" w:name="_Toc16854"/>
      <w:bookmarkStart w:id="430" w:name="_Toc18174"/>
      <w:bookmarkStart w:id="431" w:name="_Toc1351"/>
      <w:r>
        <w:rPr>
          <w:rFonts w:hint="eastAsia" w:ascii="黑体" w:hAnsi="黑体" w:eastAsia="黑体" w:cs="黑体"/>
        </w:rPr>
        <w:t>一、法定代表人/负责人授权书</w:t>
      </w:r>
      <w:bookmarkEnd w:id="423"/>
      <w:bookmarkEnd w:id="424"/>
      <w:bookmarkEnd w:id="425"/>
      <w:bookmarkEnd w:id="426"/>
      <w:bookmarkEnd w:id="427"/>
      <w:bookmarkEnd w:id="428"/>
      <w:bookmarkEnd w:id="429"/>
      <w:bookmarkEnd w:id="430"/>
      <w:bookmarkEnd w:id="431"/>
    </w:p>
    <w:p/>
    <w:p/>
    <w:p>
      <w:pPr>
        <w:spacing w:line="360" w:lineRule="auto"/>
      </w:pPr>
      <w:r>
        <w:rPr>
          <w:rFonts w:hint="eastAsia"/>
          <w:u w:val="single"/>
        </w:rPr>
        <w:t xml:space="preserve">            </w:t>
      </w:r>
      <w:r>
        <w:rPr>
          <w:rFonts w:hint="eastAsia"/>
        </w:rPr>
        <w:t xml:space="preserve"> </w:t>
      </w:r>
      <w:bookmarkStart w:id="432" w:name="_Toc5005030"/>
      <w:bookmarkStart w:id="433" w:name="_Toc4659726"/>
      <w:bookmarkStart w:id="434" w:name="_Toc4578863"/>
      <w:r>
        <w:rPr>
          <w:rFonts w:hint="eastAsia"/>
        </w:rPr>
        <w:t>（采购代理机构名称）：</w:t>
      </w:r>
      <w:bookmarkEnd w:id="432"/>
      <w:bookmarkEnd w:id="433"/>
      <w:bookmarkEnd w:id="434"/>
    </w:p>
    <w:p>
      <w:pPr>
        <w:spacing w:line="360" w:lineRule="auto"/>
        <w:ind w:firstLine="420" w:firstLineChars="200"/>
      </w:pPr>
      <w:bookmarkStart w:id="435" w:name="_Toc5005031"/>
      <w:bookmarkStart w:id="436" w:name="_Toc4578864"/>
      <w:bookmarkStart w:id="437" w:name="_Toc4659727"/>
      <w:r>
        <w:rPr>
          <w:rFonts w:hint="eastAsia"/>
        </w:rPr>
        <w:t xml:space="preserve">本授权声明： </w:t>
      </w:r>
      <w:r>
        <w:rPr>
          <w:rFonts w:hint="eastAsia"/>
          <w:u w:val="single"/>
        </w:rPr>
        <w:t xml:space="preserve">           </w:t>
      </w:r>
      <w:r>
        <w:rPr>
          <w:rFonts w:hint="eastAsia"/>
        </w:rPr>
        <w:t>（供应商名称）</w:t>
      </w:r>
      <w:r>
        <w:rPr>
          <w:rFonts w:hint="eastAsia"/>
          <w:u w:val="single"/>
        </w:rPr>
        <w:t xml:space="preserve">       </w:t>
      </w:r>
      <w:r>
        <w:rPr>
          <w:rFonts w:hint="eastAsia"/>
        </w:rPr>
        <w:t>（法定代表人/负责人姓名、职务）授权</w:t>
      </w:r>
      <w:r>
        <w:rPr>
          <w:rFonts w:hint="eastAsia"/>
          <w:u w:val="single"/>
        </w:rPr>
        <w:t xml:space="preserve">       </w:t>
      </w:r>
      <w:r>
        <w:rPr>
          <w:rFonts w:hint="eastAsia"/>
        </w:rPr>
        <w:t>（被授权人姓名、职务）为我方“</w:t>
      </w:r>
      <w:r>
        <w:rPr>
          <w:rFonts w:hint="eastAsia"/>
          <w:u w:val="single"/>
        </w:rPr>
        <w:t xml:space="preserve">            </w:t>
      </w:r>
      <w:r>
        <w:rPr>
          <w:rFonts w:hint="eastAsia"/>
        </w:rPr>
        <w:t xml:space="preserve"> ”项目（采购项目编号：</w:t>
      </w:r>
      <w:r>
        <w:rPr>
          <w:rFonts w:hint="eastAsia"/>
          <w:u w:val="single"/>
        </w:rPr>
        <w:t xml:space="preserve">             </w:t>
      </w:r>
      <w:r>
        <w:rPr>
          <w:rFonts w:hint="eastAsia"/>
        </w:rPr>
        <w:t>）磋商采购活动的合法代表，以我方名义全权处理该项目有关磋商采购、签订合同以及执行合同等一切事宜。</w:t>
      </w:r>
      <w:bookmarkEnd w:id="435"/>
      <w:bookmarkEnd w:id="436"/>
      <w:bookmarkEnd w:id="437"/>
    </w:p>
    <w:p>
      <w:pPr>
        <w:spacing w:line="360" w:lineRule="auto"/>
        <w:ind w:firstLine="420" w:firstLineChars="200"/>
      </w:pPr>
      <w:bookmarkStart w:id="438" w:name="_Toc4659728"/>
      <w:bookmarkStart w:id="439" w:name="_Toc5005032"/>
      <w:bookmarkStart w:id="440" w:name="_Toc4578865"/>
      <w:r>
        <w:rPr>
          <w:rFonts w:hint="eastAsia"/>
        </w:rPr>
        <w:t>特此声明。</w:t>
      </w:r>
      <w:bookmarkEnd w:id="438"/>
      <w:bookmarkEnd w:id="439"/>
      <w:bookmarkEnd w:id="440"/>
    </w:p>
    <w:p/>
    <w:p>
      <w:pPr>
        <w:spacing w:line="360" w:lineRule="auto"/>
        <w:ind w:firstLine="5040" w:firstLineChars="2400"/>
        <w:rPr>
          <w:u w:val="single"/>
        </w:rPr>
      </w:pPr>
      <w:bookmarkStart w:id="441" w:name="_Toc5005033"/>
      <w:bookmarkStart w:id="442" w:name="_Toc4659729"/>
      <w:bookmarkStart w:id="443" w:name="_Toc4578866"/>
      <w:r>
        <w:rPr>
          <w:rFonts w:hint="eastAsia"/>
        </w:rPr>
        <w:t>法定代表人/负责人签字：</w:t>
      </w:r>
      <w:r>
        <w:rPr>
          <w:rFonts w:hint="eastAsia"/>
          <w:u w:val="single"/>
        </w:rPr>
        <w:t xml:space="preserve">             </w:t>
      </w:r>
      <w:bookmarkEnd w:id="441"/>
      <w:bookmarkEnd w:id="442"/>
      <w:bookmarkEnd w:id="443"/>
    </w:p>
    <w:p>
      <w:pPr>
        <w:spacing w:line="360" w:lineRule="auto"/>
        <w:ind w:firstLine="5040" w:firstLineChars="2400"/>
        <w:rPr>
          <w:u w:val="single"/>
        </w:rPr>
      </w:pPr>
      <w:bookmarkStart w:id="444" w:name="_Toc5005034"/>
      <w:bookmarkStart w:id="445" w:name="_Toc4659730"/>
      <w:bookmarkStart w:id="446" w:name="_Toc4578867"/>
      <w:r>
        <w:rPr>
          <w:rFonts w:hint="eastAsia"/>
        </w:rPr>
        <w:t>授权代表（被授权人）签字：</w:t>
      </w:r>
      <w:r>
        <w:rPr>
          <w:rFonts w:hint="eastAsia"/>
          <w:u w:val="single"/>
        </w:rPr>
        <w:t xml:space="preserve">             </w:t>
      </w:r>
      <w:bookmarkEnd w:id="444"/>
      <w:bookmarkEnd w:id="445"/>
      <w:bookmarkEnd w:id="446"/>
    </w:p>
    <w:p>
      <w:pPr>
        <w:spacing w:line="360" w:lineRule="auto"/>
        <w:ind w:firstLine="5040" w:firstLineChars="2400"/>
      </w:pPr>
      <w:bookmarkStart w:id="447" w:name="_Toc4578868"/>
      <w:bookmarkStart w:id="448" w:name="_Toc4659731"/>
      <w:bookmarkStart w:id="449" w:name="_Toc5005035"/>
      <w:r>
        <w:rPr>
          <w:rFonts w:hint="eastAsia"/>
        </w:rPr>
        <w:t>供应商名称：</w:t>
      </w:r>
      <w:r>
        <w:rPr>
          <w:rFonts w:hint="eastAsia"/>
          <w:u w:val="single"/>
        </w:rPr>
        <w:t xml:space="preserve">             </w:t>
      </w:r>
      <w:r>
        <w:rPr>
          <w:rFonts w:hint="eastAsia"/>
        </w:rPr>
        <w:t>（单位盖章）</w:t>
      </w:r>
      <w:bookmarkEnd w:id="447"/>
      <w:bookmarkEnd w:id="448"/>
      <w:bookmarkEnd w:id="449"/>
    </w:p>
    <w:p>
      <w:pPr>
        <w:spacing w:line="360" w:lineRule="auto"/>
        <w:ind w:firstLine="5040" w:firstLineChars="2400"/>
        <w:rPr>
          <w:u w:val="single"/>
        </w:rPr>
      </w:pPr>
      <w:bookmarkStart w:id="450" w:name="_Toc4578869"/>
      <w:bookmarkStart w:id="451" w:name="_Toc4659732"/>
      <w:bookmarkStart w:id="452" w:name="_Toc5005036"/>
      <w:r>
        <w:rPr>
          <w:rFonts w:hint="eastAsia"/>
        </w:rPr>
        <w:t>日      期：</w:t>
      </w:r>
      <w:r>
        <w:rPr>
          <w:rFonts w:hint="eastAsia"/>
          <w:u w:val="single"/>
        </w:rPr>
        <w:t xml:space="preserve">             </w:t>
      </w:r>
      <w:bookmarkEnd w:id="450"/>
      <w:bookmarkEnd w:id="451"/>
      <w:bookmarkEnd w:id="452"/>
      <w:bookmarkStart w:id="453" w:name="_Toc217446084"/>
    </w:p>
    <w:p/>
    <w:p/>
    <w:p/>
    <w:p>
      <w:pPr>
        <w:spacing w:line="360" w:lineRule="auto"/>
        <w:ind w:left="735" w:hanging="735" w:hangingChars="350"/>
        <w:jc w:val="left"/>
        <w:rPr>
          <w:rFonts w:ascii="宋体" w:hAnsi="宋体"/>
          <w:szCs w:val="21"/>
        </w:rPr>
      </w:pPr>
      <w:r>
        <w:rPr>
          <w:rFonts w:hint="eastAsia" w:ascii="宋体" w:hAnsi="宋体"/>
          <w:szCs w:val="21"/>
        </w:rPr>
        <w:t>注：</w:t>
      </w:r>
    </w:p>
    <w:p>
      <w:pPr>
        <w:spacing w:line="360" w:lineRule="auto"/>
        <w:ind w:firstLine="420" w:firstLineChars="200"/>
        <w:rPr>
          <w:rFonts w:ascii="宋体" w:hAnsi="宋体"/>
          <w:szCs w:val="21"/>
        </w:rPr>
      </w:pPr>
      <w:r>
        <w:rPr>
          <w:rFonts w:hint="eastAsia" w:ascii="宋体" w:hAnsi="宋体"/>
          <w:szCs w:val="21"/>
        </w:rPr>
        <w:t>1、供应商为法人单位时提供“法定代表人授权书”，供应商为其他组织时提供“单位负责人授权书”，供应商为自然人时提供“自然人身份证明材料”。</w:t>
      </w:r>
    </w:p>
    <w:p>
      <w:pPr>
        <w:spacing w:line="360" w:lineRule="auto"/>
        <w:ind w:firstLine="420" w:firstLineChars="200"/>
        <w:rPr>
          <w:rFonts w:ascii="宋体" w:hAnsi="宋体"/>
          <w:szCs w:val="21"/>
        </w:rPr>
      </w:pPr>
      <w:r>
        <w:rPr>
          <w:rFonts w:hint="eastAsia" w:ascii="宋体" w:hAnsi="宋体"/>
          <w:szCs w:val="21"/>
        </w:rPr>
        <w:t>2、应附法定代表人（负责人）身份证明、身份证复印件和授权代表身份证明材料复印件。</w:t>
      </w:r>
    </w:p>
    <w:p>
      <w:pPr>
        <w:spacing w:line="360" w:lineRule="auto"/>
        <w:ind w:firstLine="420" w:firstLineChars="200"/>
        <w:rPr>
          <w:rFonts w:ascii="宋体" w:hAnsi="宋体"/>
          <w:szCs w:val="21"/>
        </w:rPr>
      </w:pPr>
      <w:r>
        <w:rPr>
          <w:rFonts w:hint="eastAsia" w:ascii="宋体" w:hAnsi="宋体"/>
          <w:szCs w:val="21"/>
        </w:rPr>
        <w:t>3、身份证明材料包括居民身份证或户口本或军官证或护照等。</w:t>
      </w:r>
    </w:p>
    <w:p>
      <w:pPr>
        <w:spacing w:line="360" w:lineRule="auto"/>
        <w:ind w:firstLine="420" w:firstLineChars="200"/>
        <w:rPr>
          <w:rFonts w:ascii="宋体" w:hAnsi="宋体"/>
          <w:szCs w:val="21"/>
        </w:rPr>
      </w:pPr>
      <w:r>
        <w:rPr>
          <w:rFonts w:hint="eastAsia" w:ascii="宋体" w:hAnsi="宋体"/>
          <w:szCs w:val="21"/>
        </w:rPr>
        <w:t>4、身份证明材料应同时提供其在有效期的材料，如居民身份证正、反面复印件。</w:t>
      </w:r>
    </w:p>
    <w:p>
      <w:pPr>
        <w:spacing w:line="360" w:lineRule="auto"/>
        <w:ind w:firstLine="420" w:firstLineChars="200"/>
        <w:rPr>
          <w:rFonts w:ascii="宋体" w:hAnsi="宋体"/>
          <w:szCs w:val="21"/>
        </w:rPr>
      </w:pPr>
      <w:r>
        <w:rPr>
          <w:rFonts w:hint="eastAsia" w:ascii="宋体" w:hAnsi="宋体"/>
          <w:szCs w:val="21"/>
        </w:rPr>
        <w:t>5、法定代表人（负责人）不亲自磋商而委托代理人磋商的供应商适用。</w:t>
      </w:r>
    </w:p>
    <w:p>
      <w:pPr>
        <w:pStyle w:val="47"/>
        <w:spacing w:line="360" w:lineRule="auto"/>
        <w:rPr>
          <w:rFonts w:ascii="宋体" w:hAnsi="宋体"/>
          <w:color w:val="auto"/>
        </w:rPr>
      </w:pPr>
      <w:r>
        <w:rPr>
          <w:rFonts w:ascii="宋体" w:hAnsi="宋体"/>
          <w:b/>
          <w:color w:val="auto"/>
        </w:rPr>
        <w:br w:type="page"/>
      </w:r>
      <w:bookmarkEnd w:id="453"/>
      <w:bookmarkStart w:id="454" w:name="_Toc256000102"/>
    </w:p>
    <w:p>
      <w:pPr>
        <w:pStyle w:val="4"/>
        <w:spacing w:before="0" w:after="0" w:line="360" w:lineRule="auto"/>
        <w:rPr>
          <w:rFonts w:ascii="黑体" w:hAnsi="黑体" w:eastAsia="黑体" w:cs="黑体"/>
        </w:rPr>
      </w:pPr>
      <w:bookmarkStart w:id="455" w:name="_Toc27084"/>
      <w:bookmarkStart w:id="456" w:name="_Toc5005037"/>
      <w:bookmarkStart w:id="457" w:name="_Toc4578870"/>
      <w:bookmarkStart w:id="458" w:name="_Toc8188"/>
      <w:bookmarkStart w:id="459" w:name="_Toc6625"/>
      <w:bookmarkStart w:id="460" w:name="_Toc23105"/>
      <w:bookmarkStart w:id="461" w:name="_Toc28067"/>
      <w:bookmarkStart w:id="462" w:name="_Toc4659733"/>
      <w:bookmarkStart w:id="463" w:name="_Toc18068_WPSOffice_Level3"/>
      <w:bookmarkStart w:id="464" w:name="_Toc9192"/>
      <w:bookmarkStart w:id="465" w:name="_Toc31216"/>
      <w:bookmarkStart w:id="466" w:name="_Toc1145"/>
      <w:r>
        <w:rPr>
          <w:rFonts w:hint="eastAsia" w:ascii="黑体" w:hAnsi="黑体" w:eastAsia="黑体" w:cs="黑体"/>
        </w:rPr>
        <w:t>一、法定代表人（负责人）身份证明</w:t>
      </w:r>
      <w:bookmarkEnd w:id="454"/>
      <w:bookmarkEnd w:id="455"/>
      <w:bookmarkEnd w:id="456"/>
      <w:bookmarkEnd w:id="457"/>
      <w:bookmarkEnd w:id="458"/>
      <w:bookmarkEnd w:id="459"/>
      <w:bookmarkEnd w:id="460"/>
      <w:bookmarkEnd w:id="461"/>
      <w:bookmarkEnd w:id="462"/>
      <w:bookmarkEnd w:id="463"/>
      <w:bookmarkEnd w:id="464"/>
      <w:bookmarkEnd w:id="465"/>
      <w:bookmarkEnd w:id="466"/>
    </w:p>
    <w:p>
      <w:pPr>
        <w:spacing w:line="360" w:lineRule="auto"/>
        <w:rPr>
          <w:rFonts w:ascii="宋体" w:hAnsi="宋体"/>
          <w:sz w:val="27"/>
        </w:rPr>
      </w:pPr>
      <w:r>
        <w:t xml:space="preserve">    </w:t>
      </w:r>
    </w:p>
    <w:p>
      <w:pPr>
        <w:spacing w:line="360" w:lineRule="auto"/>
        <w:rPr>
          <w:rFonts w:ascii="宋体" w:hAnsi="宋体"/>
          <w:szCs w:val="21"/>
          <w:u w:val="single"/>
        </w:rPr>
      </w:pPr>
      <w:r>
        <w:t xml:space="preserve">  </w:t>
      </w:r>
      <w:r>
        <w:rPr>
          <w:szCs w:val="21"/>
        </w:rPr>
        <w:t xml:space="preserve"> </w:t>
      </w:r>
      <w:r>
        <w:rPr>
          <w:sz w:val="24"/>
        </w:rPr>
        <w:t xml:space="preserve"> </w:t>
      </w:r>
      <w:r>
        <w:rPr>
          <w:rFonts w:hint="eastAsia"/>
          <w:sz w:val="24"/>
        </w:rPr>
        <w:t xml:space="preserve"> </w:t>
      </w:r>
      <w:r>
        <w:rPr>
          <w:rFonts w:hint="eastAsia" w:ascii="宋体" w:hAnsi="宋体"/>
          <w:szCs w:val="21"/>
        </w:rPr>
        <w:t>供应商名称：</w:t>
      </w:r>
      <w:r>
        <w:rPr>
          <w:rFonts w:hint="eastAsia" w:ascii="宋体" w:hAnsi="宋体"/>
          <w:szCs w:val="21"/>
          <w:u w:val="single"/>
        </w:rPr>
        <w:t xml:space="preserve">                    </w:t>
      </w:r>
    </w:p>
    <w:p>
      <w:pPr>
        <w:spacing w:line="360" w:lineRule="auto"/>
        <w:rPr>
          <w:rFonts w:ascii="宋体" w:hAnsi="宋体"/>
          <w:szCs w:val="21"/>
          <w:u w:val="single"/>
        </w:rPr>
      </w:pPr>
      <w:r>
        <w:rPr>
          <w:szCs w:val="21"/>
        </w:rPr>
        <w:t xml:space="preserve">    </w:t>
      </w:r>
      <w:r>
        <w:rPr>
          <w:rFonts w:hint="eastAsia"/>
          <w:szCs w:val="21"/>
        </w:rPr>
        <w:t xml:space="preserve"> </w:t>
      </w:r>
      <w:r>
        <w:rPr>
          <w:rFonts w:hint="eastAsia" w:ascii="宋体" w:hAnsi="宋体"/>
          <w:szCs w:val="21"/>
        </w:rPr>
        <w:t>单位性质：</w:t>
      </w:r>
      <w:r>
        <w:rPr>
          <w:rFonts w:hint="eastAsia" w:ascii="宋体" w:hAnsi="宋体"/>
          <w:szCs w:val="21"/>
          <w:u w:val="single"/>
        </w:rPr>
        <w:t xml:space="preserve">                      </w:t>
      </w:r>
    </w:p>
    <w:p>
      <w:pPr>
        <w:spacing w:line="360" w:lineRule="auto"/>
        <w:rPr>
          <w:rFonts w:ascii="宋体" w:hAnsi="宋体"/>
          <w:szCs w:val="21"/>
          <w:u w:val="single"/>
        </w:rPr>
      </w:pPr>
      <w:r>
        <w:rPr>
          <w:szCs w:val="21"/>
        </w:rPr>
        <w:t xml:space="preserve">   </w:t>
      </w:r>
      <w:r>
        <w:rPr>
          <w:rFonts w:hint="eastAsia"/>
          <w:szCs w:val="21"/>
        </w:rPr>
        <w:t xml:space="preserve"> </w:t>
      </w:r>
      <w:r>
        <w:rPr>
          <w:szCs w:val="21"/>
        </w:rPr>
        <w:t xml:space="preserve"> </w:t>
      </w:r>
      <w:r>
        <w:rPr>
          <w:rFonts w:hint="eastAsia" w:ascii="宋体" w:hAnsi="宋体"/>
          <w:szCs w:val="21"/>
        </w:rPr>
        <w:t>地址：</w:t>
      </w:r>
      <w:r>
        <w:rPr>
          <w:rFonts w:hint="eastAsia" w:ascii="宋体" w:hAnsi="宋体"/>
          <w:szCs w:val="21"/>
          <w:u w:val="single"/>
        </w:rPr>
        <w:t xml:space="preserve">                          </w:t>
      </w:r>
    </w:p>
    <w:p>
      <w:pPr>
        <w:spacing w:line="360" w:lineRule="auto"/>
        <w:rPr>
          <w:rFonts w:ascii="宋体" w:hAnsi="宋体"/>
          <w:szCs w:val="21"/>
        </w:rPr>
      </w:pPr>
      <w:r>
        <w:rPr>
          <w:szCs w:val="21"/>
        </w:rPr>
        <w:t xml:space="preserve">   </w:t>
      </w:r>
      <w:r>
        <w:rPr>
          <w:rFonts w:hint="eastAsia"/>
          <w:szCs w:val="21"/>
        </w:rPr>
        <w:t xml:space="preserve"> </w:t>
      </w:r>
      <w:r>
        <w:rPr>
          <w:szCs w:val="21"/>
        </w:rPr>
        <w:t xml:space="preserve"> </w:t>
      </w:r>
      <w:r>
        <w:rPr>
          <w:rFonts w:hint="eastAsia" w:ascii="宋体" w:hAnsi="宋体"/>
          <w:szCs w:val="21"/>
        </w:rPr>
        <w:t>成立时间：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360" w:lineRule="auto"/>
        <w:rPr>
          <w:rFonts w:ascii="宋体" w:hAnsi="宋体"/>
          <w:szCs w:val="21"/>
          <w:u w:val="single"/>
        </w:rPr>
      </w:pPr>
      <w:r>
        <w:rPr>
          <w:szCs w:val="21"/>
        </w:rPr>
        <w:t xml:space="preserve">   </w:t>
      </w:r>
      <w:r>
        <w:rPr>
          <w:rFonts w:hint="eastAsia"/>
          <w:szCs w:val="21"/>
        </w:rPr>
        <w:t xml:space="preserve"> </w:t>
      </w:r>
      <w:r>
        <w:rPr>
          <w:szCs w:val="21"/>
        </w:rPr>
        <w:t xml:space="preserve"> </w:t>
      </w:r>
      <w:r>
        <w:rPr>
          <w:rFonts w:hint="eastAsia" w:ascii="宋体" w:hAnsi="宋体"/>
          <w:szCs w:val="21"/>
        </w:rPr>
        <w:t>经营期限：</w:t>
      </w:r>
      <w:r>
        <w:rPr>
          <w:rFonts w:hint="eastAsia" w:ascii="宋体" w:hAnsi="宋体"/>
          <w:szCs w:val="21"/>
          <w:u w:val="single"/>
        </w:rPr>
        <w:t xml:space="preserve">                      </w:t>
      </w:r>
    </w:p>
    <w:p>
      <w:pPr>
        <w:spacing w:line="360" w:lineRule="auto"/>
        <w:rPr>
          <w:rFonts w:ascii="宋体" w:hAnsi="宋体"/>
          <w:szCs w:val="21"/>
        </w:rPr>
      </w:pPr>
    </w:p>
    <w:p>
      <w:pPr>
        <w:spacing w:line="360" w:lineRule="auto"/>
        <w:ind w:firstLine="630" w:firstLineChars="300"/>
        <w:rPr>
          <w:rFonts w:ascii="宋体" w:hAnsi="宋体"/>
          <w:szCs w:val="21"/>
        </w:rPr>
      </w:pPr>
      <w:r>
        <w:rPr>
          <w:szCs w:val="21"/>
        </w:rPr>
        <w:t xml:space="preserve"> </w:t>
      </w:r>
      <w:r>
        <w:rPr>
          <w:rFonts w:hint="eastAsia" w:ascii="宋体" w:hAnsi="宋体"/>
          <w:szCs w:val="21"/>
        </w:rPr>
        <w:t>姓名：</w:t>
      </w:r>
      <w:r>
        <w:rPr>
          <w:rFonts w:hint="eastAsia" w:ascii="宋体" w:hAnsi="宋体"/>
          <w:szCs w:val="21"/>
          <w:u w:val="single"/>
        </w:rPr>
        <w:t xml:space="preserve">        </w:t>
      </w:r>
      <w:r>
        <w:rPr>
          <w:rFonts w:hint="eastAsia" w:ascii="宋体" w:hAnsi="宋体"/>
          <w:szCs w:val="21"/>
        </w:rPr>
        <w:t>系</w:t>
      </w:r>
      <w:r>
        <w:rPr>
          <w:rFonts w:hint="eastAsia" w:ascii="宋体" w:hAnsi="宋体"/>
          <w:szCs w:val="21"/>
          <w:u w:val="single"/>
        </w:rPr>
        <w:t xml:space="preserve">       </w:t>
      </w:r>
      <w:r>
        <w:rPr>
          <w:rFonts w:hint="eastAsia" w:ascii="宋体" w:hAnsi="宋体"/>
          <w:szCs w:val="21"/>
        </w:rPr>
        <w:t>（供应商名称） 的法定代表人（负责人）（职务：</w:t>
      </w:r>
      <w:r>
        <w:rPr>
          <w:rFonts w:hint="eastAsia" w:ascii="宋体" w:hAnsi="宋体"/>
          <w:szCs w:val="21"/>
          <w:u w:val="single"/>
        </w:rPr>
        <w:t xml:space="preserve">      </w:t>
      </w: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w:t>
      </w:r>
    </w:p>
    <w:p>
      <w:pPr>
        <w:spacing w:line="360" w:lineRule="auto"/>
        <w:rPr>
          <w:rFonts w:ascii="宋体" w:hAnsi="宋体"/>
          <w:szCs w:val="21"/>
        </w:rPr>
      </w:pPr>
      <w:r>
        <w:rPr>
          <w:szCs w:val="21"/>
        </w:rPr>
        <w:t xml:space="preserve">    </w:t>
      </w:r>
      <w:r>
        <w:rPr>
          <w:rFonts w:hint="eastAsia" w:ascii="宋体" w:hAnsi="宋体"/>
          <w:szCs w:val="21"/>
        </w:rPr>
        <w:t>特此证明。</w:t>
      </w:r>
    </w:p>
    <w:p>
      <w:pPr>
        <w:spacing w:line="360" w:lineRule="auto"/>
        <w:rPr>
          <w:rFonts w:ascii="宋体" w:hAnsi="宋体"/>
          <w:szCs w:val="21"/>
        </w:rPr>
      </w:pPr>
    </w:p>
    <w:p>
      <w:pPr>
        <w:spacing w:line="360" w:lineRule="auto"/>
        <w:rPr>
          <w:rFonts w:ascii="宋体" w:hAnsi="宋体"/>
          <w:szCs w:val="21"/>
        </w:rPr>
      </w:pPr>
      <w:r>
        <w:rPr>
          <w:szCs w:val="21"/>
        </w:rPr>
        <w:t xml:space="preserve">    </w:t>
      </w:r>
      <w:r>
        <w:rPr>
          <w:rFonts w:hint="eastAsia" w:ascii="宋体" w:hAnsi="宋体"/>
          <w:szCs w:val="21"/>
        </w:rPr>
        <w:t>附：法定代表人（负责人）身份证扫描件（复印件）</w:t>
      </w:r>
    </w:p>
    <w:p>
      <w:pPr>
        <w:spacing w:line="360" w:lineRule="auto"/>
        <w:rPr>
          <w:rFonts w:ascii="宋体" w:hAnsi="宋体"/>
          <w:szCs w:val="21"/>
        </w:rPr>
      </w:pPr>
    </w:p>
    <w:p>
      <w:pPr>
        <w:spacing w:line="360" w:lineRule="auto"/>
        <w:jc w:val="center"/>
        <w:rPr>
          <w:szCs w:val="21"/>
        </w:rPr>
      </w:pPr>
      <w:r>
        <w:rPr>
          <w:szCs w:val="21"/>
        </w:rPr>
        <w:t xml:space="preserve">             </w:t>
      </w:r>
      <w:r>
        <w:rPr>
          <w:rFonts w:hint="eastAsia"/>
          <w:szCs w:val="21"/>
        </w:rPr>
        <w:t xml:space="preserve">                       </w:t>
      </w:r>
    </w:p>
    <w:p>
      <w:pPr>
        <w:spacing w:line="360" w:lineRule="auto"/>
        <w:jc w:val="center"/>
        <w:rPr>
          <w:szCs w:val="21"/>
        </w:rPr>
      </w:pPr>
    </w:p>
    <w:p>
      <w:pPr>
        <w:spacing w:line="360" w:lineRule="auto"/>
        <w:jc w:val="center"/>
        <w:rPr>
          <w:rFonts w:ascii="宋体" w:hAnsi="宋体"/>
          <w:szCs w:val="21"/>
        </w:rPr>
      </w:pPr>
      <w:r>
        <w:rPr>
          <w:rFonts w:hint="eastAsia"/>
          <w:szCs w:val="21"/>
        </w:rPr>
        <w:t xml:space="preserve">                                       </w:t>
      </w:r>
      <w:r>
        <w:rPr>
          <w:szCs w:val="21"/>
        </w:rPr>
        <w:t xml:space="preserve"> </w:t>
      </w: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（盖单位章）</w:t>
      </w:r>
    </w:p>
    <w:p>
      <w:pPr>
        <w:spacing w:line="360" w:lineRule="auto"/>
        <w:jc w:val="center"/>
        <w:rPr>
          <w:rFonts w:ascii="宋体" w:hAnsi="宋体"/>
          <w:szCs w:val="21"/>
        </w:rPr>
      </w:pPr>
    </w:p>
    <w:p>
      <w:pPr>
        <w:spacing w:line="360" w:lineRule="auto"/>
        <w:jc w:val="center"/>
        <w:rPr>
          <w:rFonts w:ascii="宋体" w:hAnsi="宋体"/>
          <w:szCs w:val="21"/>
        </w:rPr>
      </w:pPr>
      <w:r>
        <w:rPr>
          <w:szCs w:val="21"/>
        </w:rPr>
        <w:t xml:space="preserve">                   </w:t>
      </w:r>
      <w:r>
        <w:rPr>
          <w:rFonts w:hint="eastAsia"/>
          <w:szCs w:val="21"/>
        </w:rPr>
        <w:t xml:space="preserve">                </w:t>
      </w:r>
      <w:r>
        <w:rPr>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360" w:lineRule="auto"/>
        <w:jc w:val="center"/>
        <w:rPr>
          <w:rFonts w:ascii="宋体" w:hAnsi="宋体"/>
          <w:sz w:val="24"/>
        </w:rPr>
      </w:pPr>
    </w:p>
    <w:p>
      <w:pPr>
        <w:spacing w:line="360" w:lineRule="auto"/>
        <w:rPr>
          <w:rFonts w:ascii="宋体" w:hAnsi="宋体"/>
          <w:sz w:val="24"/>
        </w:rPr>
      </w:pPr>
    </w:p>
    <w:p>
      <w:pPr>
        <w:spacing w:line="360" w:lineRule="auto"/>
        <w:rPr>
          <w:rFonts w:ascii="宋体" w:hAnsi="宋体"/>
          <w:sz w:val="24"/>
        </w:rPr>
      </w:pPr>
      <w:r>
        <w:rPr>
          <w:sz w:val="24"/>
        </w:rPr>
        <w:t xml:space="preserve">    </w:t>
      </w:r>
      <w:r>
        <w:rPr>
          <w:rFonts w:hint="eastAsia" w:ascii="宋体" w:hAnsi="宋体"/>
          <w:szCs w:val="21"/>
        </w:rPr>
        <w:t>注：法定代表人/负责人亲自磋商而不委托代理人磋商适用。</w:t>
      </w:r>
    </w:p>
    <w:p>
      <w:pPr>
        <w:spacing w:line="360" w:lineRule="auto"/>
        <w:rPr>
          <w:rFonts w:ascii="宋体" w:hAnsi="宋体"/>
          <w:b/>
          <w:sz w:val="24"/>
        </w:rPr>
      </w:pPr>
      <w:r>
        <w:rPr>
          <w:rFonts w:hint="eastAsia" w:ascii="宋体" w:hAnsi="宋体"/>
          <w:b/>
          <w:sz w:val="24"/>
        </w:rPr>
        <w:br w:type="page"/>
      </w:r>
    </w:p>
    <w:p>
      <w:pPr>
        <w:pStyle w:val="4"/>
        <w:spacing w:before="0" w:after="0" w:line="360" w:lineRule="auto"/>
        <w:rPr>
          <w:rFonts w:ascii="黑体" w:hAnsi="黑体" w:eastAsia="黑体" w:cs="黑体"/>
        </w:rPr>
      </w:pPr>
      <w:bookmarkStart w:id="467" w:name="_Toc20309"/>
      <w:bookmarkStart w:id="468" w:name="_Toc298"/>
      <w:bookmarkStart w:id="469" w:name="_Toc4659734"/>
      <w:bookmarkStart w:id="470" w:name="_Toc263"/>
      <w:bookmarkStart w:id="471" w:name="_Toc27792"/>
      <w:bookmarkStart w:id="472" w:name="_Toc7495"/>
      <w:bookmarkStart w:id="473" w:name="_Toc5005038"/>
      <w:bookmarkStart w:id="474" w:name="_Toc18747"/>
      <w:bookmarkStart w:id="475" w:name="_Toc32754"/>
      <w:bookmarkStart w:id="476" w:name="_Toc4578871"/>
      <w:bookmarkStart w:id="477" w:name="_Toc3830"/>
      <w:bookmarkStart w:id="478" w:name="_Toc638_WPSOffice_Level3"/>
      <w:bookmarkStart w:id="479" w:name="_Toc5005092"/>
      <w:bookmarkStart w:id="480" w:name="_Toc14195"/>
      <w:bookmarkStart w:id="481" w:name="_Toc30137"/>
      <w:bookmarkStart w:id="482" w:name="_Toc6290"/>
      <w:bookmarkStart w:id="483" w:name="_Toc3788_WPSOffice_Level1"/>
      <w:bookmarkStart w:id="484" w:name="_Toc26078"/>
      <w:bookmarkStart w:id="485" w:name="_Toc23455"/>
      <w:bookmarkStart w:id="486" w:name="_Toc16665"/>
      <w:bookmarkStart w:id="487" w:name="_Toc4622"/>
      <w:bookmarkStart w:id="488" w:name="_Toc29015"/>
      <w:r>
        <w:rPr>
          <w:rFonts w:hint="eastAsia" w:ascii="黑体" w:hAnsi="黑体" w:eastAsia="黑体" w:cs="黑体"/>
        </w:rPr>
        <w:t>二、承诺函</w:t>
      </w:r>
      <w:bookmarkEnd w:id="467"/>
      <w:bookmarkEnd w:id="468"/>
      <w:bookmarkEnd w:id="469"/>
      <w:bookmarkEnd w:id="470"/>
      <w:bookmarkEnd w:id="471"/>
      <w:bookmarkEnd w:id="472"/>
      <w:bookmarkEnd w:id="473"/>
      <w:bookmarkEnd w:id="474"/>
      <w:bookmarkEnd w:id="475"/>
      <w:bookmarkEnd w:id="476"/>
      <w:bookmarkEnd w:id="477"/>
      <w:bookmarkEnd w:id="478"/>
    </w:p>
    <w:p/>
    <w:p>
      <w:pPr>
        <w:snapToGrid w:val="0"/>
        <w:spacing w:line="480" w:lineRule="auto"/>
        <w:rPr>
          <w:rFonts w:ascii="宋体" w:hAnsi="宋体" w:cs="宋体"/>
        </w:rPr>
      </w:pPr>
      <w:r>
        <w:rPr>
          <w:rFonts w:hint="eastAsia" w:ascii="宋体" w:hAnsi="宋体" w:cs="宋体"/>
          <w:u w:val="single"/>
        </w:rPr>
        <w:t xml:space="preserve">             </w:t>
      </w:r>
      <w:bookmarkStart w:id="489" w:name="_Toc4659735"/>
      <w:bookmarkStart w:id="490" w:name="_Toc4578872"/>
      <w:bookmarkStart w:id="491" w:name="_Toc5005039"/>
      <w:r>
        <w:rPr>
          <w:rFonts w:hint="eastAsia" w:ascii="宋体" w:hAnsi="宋体" w:cs="宋体"/>
        </w:rPr>
        <w:t>（采购代理机构名称）：</w:t>
      </w:r>
      <w:bookmarkEnd w:id="489"/>
      <w:bookmarkEnd w:id="490"/>
      <w:bookmarkEnd w:id="491"/>
    </w:p>
    <w:p>
      <w:pPr>
        <w:snapToGrid w:val="0"/>
        <w:spacing w:line="480" w:lineRule="auto"/>
        <w:ind w:firstLine="420" w:firstLineChars="200"/>
        <w:rPr>
          <w:rFonts w:ascii="宋体" w:hAnsi="宋体" w:cs="宋体"/>
        </w:rPr>
      </w:pPr>
      <w:bookmarkStart w:id="492" w:name="_Toc4578873"/>
      <w:bookmarkStart w:id="493" w:name="_Toc4659736"/>
      <w:bookmarkStart w:id="494" w:name="_Toc5005040"/>
      <w:r>
        <w:rPr>
          <w:rFonts w:hint="eastAsia" w:ascii="宋体" w:hAnsi="宋体" w:cs="宋体"/>
        </w:rPr>
        <w:t>我单位作为本次采购项目的供应商，根据磋商文件要求，现郑重承诺如下：</w:t>
      </w:r>
      <w:bookmarkEnd w:id="492"/>
      <w:bookmarkEnd w:id="493"/>
      <w:bookmarkEnd w:id="494"/>
    </w:p>
    <w:p>
      <w:pPr>
        <w:snapToGrid w:val="0"/>
        <w:spacing w:line="480" w:lineRule="auto"/>
        <w:ind w:firstLine="420" w:firstLineChars="200"/>
        <w:rPr>
          <w:rFonts w:ascii="宋体" w:hAnsi="宋体" w:cs="宋体"/>
        </w:rPr>
      </w:pPr>
      <w:bookmarkStart w:id="495" w:name="_Toc4578874"/>
      <w:bookmarkStart w:id="496" w:name="_Toc5005041"/>
      <w:bookmarkStart w:id="497" w:name="_Toc4659737"/>
      <w:r>
        <w:rPr>
          <w:rFonts w:hint="eastAsia" w:ascii="宋体" w:hAnsi="宋体" w:cs="宋体"/>
        </w:rPr>
        <w:t>一、参加本次采购活动应具备下列条件：</w:t>
      </w:r>
      <w:bookmarkEnd w:id="495"/>
      <w:bookmarkEnd w:id="496"/>
      <w:bookmarkEnd w:id="497"/>
    </w:p>
    <w:p>
      <w:pPr>
        <w:snapToGrid w:val="0"/>
        <w:spacing w:line="480" w:lineRule="auto"/>
        <w:ind w:firstLine="420" w:firstLineChars="200"/>
        <w:rPr>
          <w:rFonts w:ascii="宋体" w:hAnsi="宋体" w:cs="宋体"/>
        </w:rPr>
      </w:pPr>
      <w:bookmarkStart w:id="498" w:name="_Toc5005042"/>
      <w:bookmarkStart w:id="499" w:name="_Toc4659738"/>
      <w:bookmarkStart w:id="500" w:name="_Toc4578875"/>
      <w:r>
        <w:rPr>
          <w:rFonts w:hint="eastAsia" w:ascii="宋体" w:hAnsi="宋体" w:cs="宋体"/>
        </w:rPr>
        <w:t>（一）具有独立承担民事责任的能力；</w:t>
      </w:r>
      <w:bookmarkEnd w:id="498"/>
      <w:bookmarkEnd w:id="499"/>
      <w:bookmarkEnd w:id="500"/>
    </w:p>
    <w:p>
      <w:pPr>
        <w:snapToGrid w:val="0"/>
        <w:spacing w:line="480" w:lineRule="auto"/>
        <w:ind w:firstLine="420" w:firstLineChars="200"/>
        <w:rPr>
          <w:rFonts w:ascii="宋体" w:hAnsi="宋体" w:cs="宋体"/>
        </w:rPr>
      </w:pPr>
      <w:bookmarkStart w:id="501" w:name="_Toc5005043"/>
      <w:bookmarkStart w:id="502" w:name="_Toc4659739"/>
      <w:bookmarkStart w:id="503" w:name="_Toc4578876"/>
      <w:r>
        <w:rPr>
          <w:rFonts w:hint="eastAsia" w:ascii="宋体" w:hAnsi="宋体" w:cs="宋体"/>
        </w:rPr>
        <w:t>（二）具有良好的商业信誉和健全的财务会计制度；</w:t>
      </w:r>
      <w:bookmarkEnd w:id="501"/>
      <w:bookmarkEnd w:id="502"/>
      <w:bookmarkEnd w:id="503"/>
    </w:p>
    <w:p>
      <w:pPr>
        <w:snapToGrid w:val="0"/>
        <w:spacing w:line="480" w:lineRule="auto"/>
        <w:ind w:firstLine="420" w:firstLineChars="200"/>
        <w:rPr>
          <w:rFonts w:ascii="宋体" w:hAnsi="宋体" w:cs="宋体"/>
        </w:rPr>
      </w:pPr>
      <w:bookmarkStart w:id="504" w:name="_Toc4578877"/>
      <w:bookmarkStart w:id="505" w:name="_Toc4659740"/>
      <w:bookmarkStart w:id="506" w:name="_Toc5005044"/>
      <w:r>
        <w:rPr>
          <w:rFonts w:hint="eastAsia" w:ascii="宋体" w:hAnsi="宋体" w:cs="宋体"/>
        </w:rPr>
        <w:t>（三）具有履行合同所必需的设备和专业技术能力；</w:t>
      </w:r>
      <w:bookmarkEnd w:id="504"/>
      <w:bookmarkEnd w:id="505"/>
      <w:bookmarkEnd w:id="506"/>
    </w:p>
    <w:p>
      <w:pPr>
        <w:snapToGrid w:val="0"/>
        <w:spacing w:line="480" w:lineRule="auto"/>
        <w:ind w:firstLine="420" w:firstLineChars="200"/>
        <w:rPr>
          <w:rFonts w:ascii="宋体" w:hAnsi="宋体" w:cs="宋体"/>
        </w:rPr>
      </w:pPr>
      <w:bookmarkStart w:id="507" w:name="_Toc5005045"/>
      <w:bookmarkStart w:id="508" w:name="_Toc4659741"/>
      <w:bookmarkStart w:id="509" w:name="_Toc4578878"/>
      <w:r>
        <w:rPr>
          <w:rFonts w:hint="eastAsia" w:ascii="宋体" w:hAnsi="宋体" w:cs="宋体"/>
        </w:rPr>
        <w:t>（四）有依法缴纳税收和社会保障资金的良好记录；</w:t>
      </w:r>
      <w:bookmarkEnd w:id="507"/>
      <w:bookmarkEnd w:id="508"/>
      <w:bookmarkEnd w:id="509"/>
    </w:p>
    <w:p>
      <w:pPr>
        <w:snapToGrid w:val="0"/>
        <w:spacing w:line="480" w:lineRule="auto"/>
        <w:ind w:firstLine="420" w:firstLineChars="200"/>
        <w:rPr>
          <w:rFonts w:ascii="宋体" w:hAnsi="宋体" w:cs="宋体"/>
        </w:rPr>
      </w:pPr>
      <w:bookmarkStart w:id="510" w:name="_Toc4578879"/>
      <w:bookmarkStart w:id="511" w:name="_Toc5005046"/>
      <w:bookmarkStart w:id="512" w:name="_Toc4659742"/>
      <w:r>
        <w:rPr>
          <w:rFonts w:hint="eastAsia" w:ascii="宋体" w:hAnsi="宋体" w:cs="宋体"/>
        </w:rPr>
        <w:t>（五）参加采购活动前三年内，在经营活动中没有重大违法记录；</w:t>
      </w:r>
      <w:bookmarkEnd w:id="510"/>
      <w:bookmarkEnd w:id="511"/>
      <w:bookmarkEnd w:id="512"/>
    </w:p>
    <w:p>
      <w:pPr>
        <w:snapToGrid w:val="0"/>
        <w:spacing w:line="480" w:lineRule="auto"/>
        <w:ind w:firstLine="420" w:firstLineChars="200"/>
        <w:rPr>
          <w:rFonts w:ascii="宋体" w:hAnsi="宋体" w:cs="宋体"/>
        </w:rPr>
      </w:pPr>
      <w:bookmarkStart w:id="513" w:name="_Toc4578880"/>
      <w:bookmarkStart w:id="514" w:name="_Toc4659743"/>
      <w:bookmarkStart w:id="515" w:name="_Toc5005047"/>
      <w:r>
        <w:rPr>
          <w:rFonts w:hint="eastAsia" w:ascii="宋体" w:hAnsi="宋体" w:cs="宋体"/>
        </w:rPr>
        <w:t>（六）法律、行政法规规定的其他条件；</w:t>
      </w:r>
      <w:bookmarkEnd w:id="513"/>
      <w:bookmarkEnd w:id="514"/>
      <w:bookmarkEnd w:id="515"/>
    </w:p>
    <w:p>
      <w:pPr>
        <w:snapToGrid w:val="0"/>
        <w:spacing w:line="480" w:lineRule="auto"/>
        <w:ind w:firstLine="420" w:firstLineChars="200"/>
        <w:rPr>
          <w:rFonts w:ascii="宋体" w:hAnsi="宋体" w:cs="宋体"/>
        </w:rPr>
      </w:pPr>
      <w:r>
        <w:rPr>
          <w:rFonts w:hint="eastAsia" w:ascii="宋体" w:hAnsi="宋体" w:cs="宋体"/>
        </w:rPr>
        <w:t>二、完全接受和满足本项目磋商文件中规定的实质性要求。</w:t>
      </w:r>
    </w:p>
    <w:p>
      <w:pPr>
        <w:snapToGrid w:val="0"/>
        <w:spacing w:line="480" w:lineRule="auto"/>
        <w:ind w:firstLine="420" w:firstLineChars="200"/>
        <w:rPr>
          <w:rFonts w:ascii="宋体" w:hAnsi="宋体" w:cs="宋体"/>
        </w:rPr>
      </w:pPr>
      <w:bookmarkStart w:id="516" w:name="_Toc4578882"/>
      <w:bookmarkStart w:id="517" w:name="_Toc4659745"/>
      <w:bookmarkStart w:id="518" w:name="_Toc5005049"/>
      <w:r>
        <w:rPr>
          <w:rFonts w:hint="eastAsia" w:ascii="宋体" w:hAnsi="宋体" w:cs="宋体"/>
        </w:rPr>
        <w:t>三、截至响应文件递交截止日未被列入失信被执行人、重大税收违法案件当事人名单、政府采购严重违法失信行为记录名单。</w:t>
      </w:r>
      <w:bookmarkEnd w:id="516"/>
      <w:bookmarkEnd w:id="517"/>
      <w:bookmarkEnd w:id="518"/>
    </w:p>
    <w:p>
      <w:pPr>
        <w:snapToGrid w:val="0"/>
        <w:spacing w:line="480" w:lineRule="auto"/>
        <w:ind w:firstLine="420" w:firstLineChars="200"/>
        <w:rPr>
          <w:rFonts w:ascii="宋体" w:hAnsi="宋体" w:cs="宋体"/>
        </w:rPr>
      </w:pPr>
      <w:bookmarkStart w:id="519" w:name="_Toc5005050"/>
      <w:bookmarkStart w:id="520" w:name="_Toc4659746"/>
      <w:bookmarkStart w:id="521" w:name="_Toc4578883"/>
      <w:r>
        <w:rPr>
          <w:rFonts w:hint="eastAsia" w:ascii="宋体" w:hAnsi="宋体" w:cs="宋体"/>
        </w:rPr>
        <w:t>四、我单位及其现任法定代表人/主要负责人不具有行贿犯罪记录。</w:t>
      </w:r>
      <w:bookmarkEnd w:id="519"/>
      <w:bookmarkEnd w:id="520"/>
      <w:bookmarkEnd w:id="521"/>
    </w:p>
    <w:p>
      <w:pPr>
        <w:snapToGrid w:val="0"/>
        <w:spacing w:line="480" w:lineRule="auto"/>
        <w:ind w:firstLine="420" w:firstLineChars="200"/>
        <w:rPr>
          <w:rFonts w:ascii="宋体" w:hAnsi="宋体" w:cs="宋体"/>
        </w:rPr>
      </w:pPr>
      <w:bookmarkStart w:id="522" w:name="_Toc5005051"/>
      <w:bookmarkStart w:id="523" w:name="_Toc4659747"/>
      <w:bookmarkStart w:id="524" w:name="_Toc4578884"/>
      <w:r>
        <w:rPr>
          <w:rFonts w:hint="eastAsia" w:ascii="宋体" w:hAnsi="宋体" w:cs="宋体"/>
        </w:rPr>
        <w:t>五、不存在《四川省公共资源交易领域严重失信联合惩戒实施办法》（川发改信用规〔2019〕405号）、《关于对政府采购领域严重违法失信主体开展联合惩戒的合作备忘录》（发改财金〔2018〕1614号）等有关规定的被记入诚信档案的失信行为。</w:t>
      </w:r>
    </w:p>
    <w:p>
      <w:pPr>
        <w:snapToGrid w:val="0"/>
        <w:spacing w:line="480" w:lineRule="auto"/>
        <w:ind w:firstLine="420" w:firstLineChars="200"/>
        <w:rPr>
          <w:rFonts w:ascii="宋体" w:hAnsi="宋体" w:cs="宋体"/>
        </w:rPr>
      </w:pPr>
      <w:r>
        <w:rPr>
          <w:rFonts w:hint="eastAsia" w:ascii="宋体" w:hAnsi="宋体" w:cs="宋体"/>
        </w:rPr>
        <w:t>本单位对上述承诺的内容事项真实性负责。如经查实上述承诺的内容事项存在虚假，我单位愿意接受以提供虚假材料谋取成交追究法律责任。</w:t>
      </w:r>
      <w:bookmarkEnd w:id="522"/>
      <w:bookmarkEnd w:id="523"/>
      <w:bookmarkEnd w:id="524"/>
    </w:p>
    <w:p>
      <w:pPr>
        <w:snapToGrid w:val="0"/>
        <w:spacing w:line="360" w:lineRule="auto"/>
        <w:ind w:firstLine="420" w:firstLineChars="200"/>
        <w:rPr>
          <w:rFonts w:ascii="宋体" w:hAnsi="宋体" w:cs="宋体"/>
        </w:rPr>
      </w:pPr>
    </w:p>
    <w:p>
      <w:pPr>
        <w:snapToGrid w:val="0"/>
        <w:spacing w:line="480" w:lineRule="auto"/>
        <w:ind w:firstLine="4200" w:firstLineChars="2000"/>
        <w:rPr>
          <w:rFonts w:ascii="宋体" w:hAnsi="宋体" w:cs="宋体"/>
        </w:rPr>
      </w:pPr>
      <w:bookmarkStart w:id="525" w:name="_Toc4578885"/>
      <w:bookmarkStart w:id="526" w:name="_Toc4659748"/>
      <w:bookmarkStart w:id="527" w:name="_Toc5005052"/>
      <w:r>
        <w:rPr>
          <w:rFonts w:hint="eastAsia" w:ascii="宋体" w:hAnsi="宋体" w:cs="宋体"/>
        </w:rPr>
        <w:t>供应商名称：</w:t>
      </w:r>
      <w:r>
        <w:rPr>
          <w:rFonts w:hint="eastAsia" w:ascii="宋体" w:hAnsi="宋体" w:cs="宋体"/>
          <w:u w:val="single"/>
        </w:rPr>
        <w:t xml:space="preserve">             </w:t>
      </w:r>
      <w:r>
        <w:rPr>
          <w:rFonts w:hint="eastAsia" w:ascii="宋体" w:hAnsi="宋体" w:cs="宋体"/>
        </w:rPr>
        <w:t>（单位公章）</w:t>
      </w:r>
      <w:bookmarkEnd w:id="525"/>
      <w:bookmarkEnd w:id="526"/>
      <w:bookmarkEnd w:id="527"/>
    </w:p>
    <w:p>
      <w:pPr>
        <w:snapToGrid w:val="0"/>
        <w:spacing w:line="480" w:lineRule="auto"/>
        <w:ind w:firstLine="2940" w:firstLineChars="1400"/>
        <w:rPr>
          <w:rFonts w:ascii="宋体" w:hAnsi="宋体" w:cs="宋体"/>
        </w:rPr>
      </w:pPr>
      <w:bookmarkStart w:id="528" w:name="_Toc4578886"/>
      <w:bookmarkStart w:id="529" w:name="_Toc5005053"/>
      <w:bookmarkStart w:id="530" w:name="_Toc4659749"/>
      <w:r>
        <w:rPr>
          <w:rFonts w:hint="eastAsia" w:ascii="宋体" w:hAnsi="宋体" w:cs="宋体"/>
        </w:rPr>
        <w:t>法定代表人/负责人或授权代表（签字或加盖个人印章）：</w:t>
      </w:r>
      <w:r>
        <w:rPr>
          <w:rFonts w:hint="eastAsia" w:ascii="宋体" w:hAnsi="宋体" w:cs="宋体"/>
          <w:u w:val="single"/>
        </w:rPr>
        <w:t xml:space="preserve">        </w:t>
      </w:r>
      <w:bookmarkEnd w:id="528"/>
      <w:bookmarkEnd w:id="529"/>
      <w:bookmarkEnd w:id="530"/>
      <w:r>
        <w:rPr>
          <w:rFonts w:hint="eastAsia" w:ascii="宋体" w:hAnsi="宋体" w:cs="宋体"/>
          <w:u w:val="single"/>
        </w:rPr>
        <w:t xml:space="preserve">  </w:t>
      </w:r>
    </w:p>
    <w:p>
      <w:pPr>
        <w:snapToGrid w:val="0"/>
        <w:spacing w:line="480" w:lineRule="auto"/>
        <w:ind w:firstLine="4200" w:firstLineChars="2000"/>
        <w:rPr>
          <w:rFonts w:ascii="宋体" w:hAnsi="宋体"/>
          <w:sz w:val="24"/>
        </w:rPr>
      </w:pPr>
      <w:bookmarkStart w:id="531" w:name="_Toc4659750"/>
      <w:bookmarkStart w:id="532" w:name="_Toc4578887"/>
      <w:bookmarkStart w:id="533" w:name="_Toc5005054"/>
      <w:r>
        <w:rPr>
          <w:rFonts w:hint="eastAsia" w:ascii="宋体" w:hAnsi="宋体" w:cs="宋体"/>
        </w:rPr>
        <w:t>日    期：</w:t>
      </w:r>
      <w:r>
        <w:rPr>
          <w:rFonts w:hint="eastAsia" w:ascii="宋体" w:hAnsi="宋体" w:cs="宋体"/>
          <w:u w:val="single"/>
        </w:rPr>
        <w:t xml:space="preserve">            </w:t>
      </w:r>
      <w:r>
        <w:rPr>
          <w:rFonts w:hint="eastAsia" w:ascii="宋体" w:hAnsi="宋体" w:cs="宋体"/>
        </w:rPr>
        <w:t xml:space="preserve"> </w:t>
      </w:r>
      <w:bookmarkEnd w:id="531"/>
      <w:bookmarkEnd w:id="532"/>
      <w:bookmarkEnd w:id="533"/>
    </w:p>
    <w:p>
      <w:pPr>
        <w:spacing w:line="360" w:lineRule="auto"/>
        <w:rPr>
          <w:rFonts w:ascii="宋体" w:hAnsi="宋体"/>
          <w:sz w:val="24"/>
        </w:rPr>
      </w:pPr>
    </w:p>
    <w:p>
      <w:pPr>
        <w:spacing w:line="360" w:lineRule="auto"/>
        <w:rPr>
          <w:rFonts w:ascii="宋体" w:hAnsi="宋体"/>
          <w:b/>
          <w:sz w:val="24"/>
        </w:rPr>
      </w:pPr>
      <w:bookmarkStart w:id="534" w:name="_Toc247514285"/>
      <w:bookmarkStart w:id="535" w:name="_Toc5005055"/>
      <w:bookmarkStart w:id="536" w:name="_Toc152042582"/>
      <w:bookmarkStart w:id="537" w:name="_Toc152045793"/>
      <w:bookmarkStart w:id="538" w:name="_Toc4578888"/>
      <w:bookmarkStart w:id="539" w:name="_Toc247527833"/>
      <w:bookmarkStart w:id="540" w:name="_Toc300835215"/>
      <w:bookmarkStart w:id="541" w:name="_Toc4659751"/>
      <w:r>
        <w:rPr>
          <w:rFonts w:hint="eastAsia" w:ascii="宋体" w:hAnsi="宋体"/>
          <w:b/>
          <w:sz w:val="24"/>
        </w:rPr>
        <w:br w:type="page"/>
      </w:r>
    </w:p>
    <w:bookmarkEnd w:id="534"/>
    <w:bookmarkEnd w:id="535"/>
    <w:bookmarkEnd w:id="536"/>
    <w:bookmarkEnd w:id="537"/>
    <w:bookmarkEnd w:id="538"/>
    <w:bookmarkEnd w:id="539"/>
    <w:bookmarkEnd w:id="540"/>
    <w:bookmarkEnd w:id="541"/>
    <w:p>
      <w:pPr>
        <w:pStyle w:val="4"/>
        <w:spacing w:before="0" w:after="0" w:line="360" w:lineRule="auto"/>
        <w:rPr>
          <w:rFonts w:ascii="黑体" w:hAnsi="黑体" w:eastAsia="黑体" w:cs="黑体"/>
        </w:rPr>
      </w:pPr>
      <w:bookmarkStart w:id="542" w:name="_Toc3615"/>
      <w:bookmarkStart w:id="543" w:name="_Toc13999"/>
      <w:bookmarkStart w:id="544" w:name="_Toc3006"/>
      <w:bookmarkStart w:id="545" w:name="_Toc17388"/>
      <w:bookmarkStart w:id="546" w:name="_Toc553"/>
      <w:bookmarkStart w:id="547" w:name="_Toc3637"/>
      <w:bookmarkStart w:id="548" w:name="_Toc12576"/>
      <w:bookmarkStart w:id="549" w:name="_Toc23143"/>
      <w:bookmarkStart w:id="550" w:name="_Toc26656_WPSOffice_Level2"/>
      <w:r>
        <w:rPr>
          <w:rFonts w:hint="eastAsia" w:ascii="黑体" w:hAnsi="黑体" w:eastAsia="黑体" w:cs="黑体"/>
        </w:rPr>
        <w:t>三、中小企业声明函（服务）</w:t>
      </w:r>
      <w:bookmarkEnd w:id="542"/>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本公司(联合体)郑重声明，根据《政府采购促进中小本公司(联合体)郑重声明，根据《政府采购促进中小企业发展管理办法》(财库(2020)46号)的规定，本公司(联合体)参加</w:t>
      </w:r>
      <w:r>
        <w:rPr>
          <w:rFonts w:hint="eastAsia" w:ascii="宋体" w:hAnsi="宋体"/>
          <w:color w:val="auto"/>
          <w:szCs w:val="21"/>
          <w:highlight w:val="none"/>
          <w:u w:val="single"/>
        </w:rPr>
        <w:t xml:space="preserve">                 </w:t>
      </w:r>
      <w:r>
        <w:rPr>
          <w:rFonts w:hint="eastAsia" w:ascii="宋体" w:hAnsi="宋体"/>
          <w:color w:val="auto"/>
          <w:szCs w:val="21"/>
          <w:highlight w:val="none"/>
        </w:rPr>
        <w:t>(单位名称)的</w:t>
      </w:r>
      <w:r>
        <w:rPr>
          <w:rFonts w:hint="eastAsia" w:ascii="宋体" w:hAnsi="宋体"/>
          <w:color w:val="auto"/>
          <w:szCs w:val="21"/>
          <w:highlight w:val="none"/>
          <w:u w:val="single"/>
        </w:rPr>
        <w:t xml:space="preserve">            </w:t>
      </w:r>
      <w:r>
        <w:rPr>
          <w:rFonts w:hint="eastAsia" w:ascii="宋体" w:hAnsi="宋体"/>
          <w:color w:val="auto"/>
          <w:szCs w:val="21"/>
          <w:highlight w:val="none"/>
        </w:rPr>
        <w:t>(项目名称)采购活动，工程的施工单位全部为符合政策要求的中小企业(或者：服务全部由符合政策要求的中小企业承接)。相关企业(含联合体中的中小企业、签订分包意向协议的中小企业)的具体情况如下:</w:t>
      </w:r>
    </w:p>
    <w:p>
      <w:pPr>
        <w:wordWrap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(标的名称)，属于</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(采购文件中明确的所属行业)；承建(承接)企业为</w:t>
      </w:r>
      <w:r>
        <w:rPr>
          <w:rFonts w:hint="eastAsia" w:ascii="宋体" w:hAnsi="宋体"/>
          <w:color w:val="auto"/>
          <w:szCs w:val="21"/>
          <w:highlight w:val="none"/>
          <w:u w:val="single"/>
        </w:rPr>
        <w:t xml:space="preserve">        </w:t>
      </w:r>
      <w:r>
        <w:rPr>
          <w:rFonts w:hint="eastAsia" w:ascii="宋体" w:hAnsi="宋体"/>
          <w:color w:val="auto"/>
          <w:szCs w:val="21"/>
          <w:highlight w:val="none"/>
        </w:rPr>
        <w:t>(企业名称)，从业人员</w:t>
      </w:r>
      <w:r>
        <w:rPr>
          <w:rFonts w:hint="eastAsia"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hint="eastAsia" w:ascii="宋体" w:hAnsi="宋体"/>
          <w:color w:val="auto"/>
          <w:szCs w:val="21"/>
          <w:highlight w:val="none"/>
        </w:rPr>
        <w:t>万元，属于</w:t>
      </w:r>
      <w:r>
        <w:rPr>
          <w:rFonts w:hint="eastAsia" w:ascii="宋体" w:hAnsi="宋体"/>
          <w:color w:val="auto"/>
          <w:szCs w:val="21"/>
          <w:highlight w:val="none"/>
          <w:u w:val="single"/>
        </w:rPr>
        <w:t xml:space="preserve">        </w:t>
      </w:r>
      <w:r>
        <w:rPr>
          <w:rFonts w:hint="eastAsia" w:ascii="宋体" w:hAnsi="宋体"/>
          <w:color w:val="auto"/>
          <w:szCs w:val="21"/>
          <w:highlight w:val="none"/>
        </w:rPr>
        <w:t>中型企业、小型企业、微型企业)；</w:t>
      </w:r>
    </w:p>
    <w:p>
      <w:pPr>
        <w:wordWrap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(标的名称)，属于</w:t>
      </w:r>
      <w:r>
        <w:rPr>
          <w:rFonts w:hint="eastAsia" w:ascii="宋体" w:hAnsi="宋体"/>
          <w:color w:val="auto"/>
          <w:szCs w:val="21"/>
          <w:highlight w:val="none"/>
          <w:u w:val="single"/>
        </w:rPr>
        <w:t xml:space="preserve">          </w:t>
      </w:r>
      <w:r>
        <w:rPr>
          <w:rFonts w:hint="eastAsia" w:ascii="宋体" w:hAnsi="宋体"/>
          <w:color w:val="auto"/>
          <w:szCs w:val="21"/>
          <w:highlight w:val="none"/>
        </w:rPr>
        <w:t>(采购文件中明确的所属行业)；承建(承接)企业为</w:t>
      </w:r>
      <w:r>
        <w:rPr>
          <w:rFonts w:hint="eastAsia" w:ascii="宋体" w:hAnsi="宋体"/>
          <w:color w:val="auto"/>
          <w:szCs w:val="21"/>
          <w:highlight w:val="none"/>
          <w:u w:val="single"/>
        </w:rPr>
        <w:t xml:space="preserve">          </w:t>
      </w:r>
      <w:r>
        <w:rPr>
          <w:rFonts w:hint="eastAsia" w:ascii="宋体" w:hAnsi="宋体"/>
          <w:color w:val="auto"/>
          <w:szCs w:val="21"/>
          <w:highlight w:val="none"/>
        </w:rPr>
        <w:t>(企业名称)，从业人员</w:t>
      </w:r>
      <w:r>
        <w:rPr>
          <w:rFonts w:hint="eastAsia"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hint="eastAsia" w:ascii="宋体" w:hAnsi="宋体"/>
          <w:color w:val="auto"/>
          <w:szCs w:val="21"/>
          <w:highlight w:val="none"/>
        </w:rPr>
        <w:t>万元，属于</w:t>
      </w:r>
      <w:r>
        <w:rPr>
          <w:rFonts w:hint="eastAsia" w:ascii="宋体" w:hAnsi="宋体"/>
          <w:color w:val="auto"/>
          <w:szCs w:val="21"/>
          <w:highlight w:val="none"/>
          <w:u w:val="single"/>
        </w:rPr>
        <w:t xml:space="preserve">          </w:t>
      </w:r>
      <w:r>
        <w:rPr>
          <w:rFonts w:hint="eastAsia" w:ascii="宋体" w:hAnsi="宋体"/>
          <w:color w:val="auto"/>
          <w:szCs w:val="21"/>
          <w:highlight w:val="none"/>
        </w:rPr>
        <w:t>(中型企业、小型企业、微型企业)；</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以上企业，不属于大企业的分支机构，不存在控股股东为大企业的情形，也不存在与大企业的负责人为同一人的情形。</w:t>
      </w:r>
    </w:p>
    <w:p>
      <w:pPr>
        <w:snapToGrid w:val="0"/>
        <w:spacing w:line="360" w:lineRule="auto"/>
        <w:ind w:firstLine="420" w:firstLineChars="200"/>
        <w:rPr>
          <w:rFonts w:ascii="宋体" w:hAnsi="宋体"/>
          <w:color w:val="auto"/>
          <w:sz w:val="24"/>
          <w:highlight w:val="none"/>
        </w:rPr>
      </w:pPr>
      <w:r>
        <w:rPr>
          <w:rFonts w:hint="eastAsia" w:ascii="宋体" w:hAnsi="宋体"/>
          <w:color w:val="auto"/>
          <w:szCs w:val="21"/>
          <w:highlight w:val="none"/>
        </w:rPr>
        <w:t>本企业对上述声明内容的真实性负责。如有虛假，将依法承担相应责任</w:t>
      </w:r>
      <w:r>
        <w:rPr>
          <w:rFonts w:hint="eastAsia" w:ascii="宋体" w:hAnsi="宋体"/>
          <w:color w:val="auto"/>
          <w:sz w:val="24"/>
          <w:highlight w:val="none"/>
        </w:rPr>
        <w:t>。</w:t>
      </w:r>
    </w:p>
    <w:p>
      <w:pPr>
        <w:spacing w:line="360" w:lineRule="auto"/>
        <w:rPr>
          <w:rFonts w:ascii="宋体" w:hAnsi="宋体"/>
          <w:color w:val="auto"/>
          <w:sz w:val="24"/>
          <w:highlight w:val="none"/>
        </w:rPr>
      </w:pPr>
    </w:p>
    <w:p>
      <w:pPr>
        <w:pStyle w:val="12"/>
        <w:rPr>
          <w:rFonts w:ascii="宋体" w:hAnsi="宋体"/>
          <w:color w:val="auto"/>
          <w:sz w:val="24"/>
          <w:highlight w:val="none"/>
        </w:rPr>
      </w:pPr>
    </w:p>
    <w:p>
      <w:pPr>
        <w:pStyle w:val="14"/>
        <w:rPr>
          <w:color w:val="auto"/>
          <w:highlight w:val="none"/>
        </w:rPr>
      </w:pPr>
    </w:p>
    <w:p>
      <w:pPr>
        <w:snapToGrid w:val="0"/>
        <w:spacing w:line="360" w:lineRule="auto"/>
        <w:ind w:firstLine="4042" w:firstLineChars="1925"/>
        <w:rPr>
          <w:rFonts w:ascii="宋体" w:hAnsi="宋体"/>
          <w:color w:val="auto"/>
          <w:szCs w:val="21"/>
          <w:highlight w:val="none"/>
          <w:u w:val="single"/>
        </w:rPr>
      </w:pPr>
      <w:r>
        <w:rPr>
          <w:rFonts w:hint="eastAsia" w:ascii="宋体" w:hAnsi="宋体"/>
          <w:color w:val="auto"/>
          <w:szCs w:val="21"/>
          <w:highlight w:val="none"/>
        </w:rPr>
        <w:t>企业名称：</w:t>
      </w:r>
      <w:r>
        <w:rPr>
          <w:rFonts w:hint="eastAsia" w:ascii="宋体" w:hAnsi="宋体"/>
          <w:color w:val="auto"/>
          <w:szCs w:val="21"/>
          <w:highlight w:val="none"/>
          <w:u w:val="single"/>
        </w:rPr>
        <w:t xml:space="preserve">            </w:t>
      </w:r>
      <w:r>
        <w:rPr>
          <w:rFonts w:hint="eastAsia" w:ascii="宋体" w:hAnsi="宋体"/>
          <w:color w:val="auto"/>
          <w:szCs w:val="21"/>
          <w:highlight w:val="none"/>
        </w:rPr>
        <w:t>（盖章）</w:t>
      </w:r>
    </w:p>
    <w:p>
      <w:pPr>
        <w:snapToGrid w:val="0"/>
        <w:spacing w:line="360" w:lineRule="auto"/>
        <w:ind w:firstLine="4042" w:firstLineChars="1925"/>
        <w:rPr>
          <w:rFonts w:ascii="宋体" w:hAnsi="宋体"/>
          <w:color w:val="auto"/>
          <w:szCs w:val="21"/>
          <w:highlight w:val="none"/>
        </w:rPr>
      </w:pPr>
      <w:r>
        <w:rPr>
          <w:rFonts w:hint="eastAsia" w:ascii="宋体" w:hAnsi="宋体"/>
          <w:color w:val="auto"/>
          <w:szCs w:val="21"/>
          <w:highlight w:val="none"/>
        </w:rPr>
        <w:t>日   期：</w:t>
      </w:r>
      <w:r>
        <w:rPr>
          <w:rFonts w:hint="eastAsia" w:ascii="宋体" w:hAnsi="宋体"/>
          <w:color w:val="auto"/>
          <w:szCs w:val="21"/>
          <w:highlight w:val="none"/>
          <w:u w:val="single"/>
        </w:rPr>
        <w:t xml:space="preserve">            </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注：</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1、从业人员、营业收入、资产总额填报上一年度数据，无上一年度数据的新成立企业可不填报。</w:t>
      </w:r>
    </w:p>
    <w:p>
      <w:pPr>
        <w:snapToGrid w:val="0"/>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2、投标人为非企业单位的，可不提供此声明。</w:t>
      </w:r>
    </w:p>
    <w:p>
      <w:pPr>
        <w:spacing w:line="360" w:lineRule="auto"/>
        <w:jc w:val="center"/>
      </w:pPr>
      <w:r>
        <w:rPr>
          <w:rFonts w:hint="eastAsia"/>
        </w:rPr>
        <w:br w:type="page"/>
      </w:r>
    </w:p>
    <w:p>
      <w:pPr>
        <w:pStyle w:val="4"/>
        <w:spacing w:before="0" w:after="0" w:line="360" w:lineRule="auto"/>
        <w:rPr>
          <w:rFonts w:hint="eastAsia" w:ascii="黑体" w:hAnsi="黑体" w:eastAsia="黑体" w:cs="黑体"/>
          <w:color w:val="auto"/>
          <w:highlight w:val="none"/>
        </w:rPr>
      </w:pPr>
      <w:r>
        <w:rPr>
          <w:rFonts w:hint="eastAsia" w:ascii="黑体" w:hAnsi="黑体" w:eastAsia="黑体" w:cs="黑体"/>
          <w:b/>
          <w:bCs/>
          <w:sz w:val="28"/>
          <w:szCs w:val="32"/>
        </w:rPr>
        <w:t>四、</w:t>
      </w:r>
      <w:r>
        <w:rPr>
          <w:rFonts w:hint="eastAsia" w:ascii="黑体" w:hAnsi="黑体" w:eastAsia="黑体" w:cs="黑体"/>
          <w:color w:val="auto"/>
          <w:highlight w:val="none"/>
        </w:rPr>
        <w:t>供应商资格、资质性及其他类似效力要求的相关证明材料</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注：供应商应按磋商文件第四章相关要求提供佐证材料，有格式要求的从其要求，无格式要求的格式自拟。</w:t>
      </w:r>
    </w:p>
    <w:p>
      <w:pPr>
        <w:widowControl/>
        <w:snapToGrid w:val="0"/>
        <w:spacing w:line="360" w:lineRule="auto"/>
        <w:ind w:firstLine="525" w:firstLineChars="250"/>
        <w:jc w:val="left"/>
        <w:textAlignment w:val="baseline"/>
        <w:rPr>
          <w:rFonts w:ascii="宋体" w:hAnsi="宋体"/>
          <w:kern w:val="0"/>
          <w:szCs w:val="21"/>
        </w:rPr>
      </w:pPr>
    </w:p>
    <w:p/>
    <w:p>
      <w:bookmarkStart w:id="551" w:name="_Toc9181"/>
      <w:r>
        <w:rPr>
          <w:rFonts w:hint="eastAsia" w:ascii="黑体" w:hAnsi="黑体" w:eastAsia="黑体" w:cs="黑体"/>
        </w:rPr>
        <w:br w:type="page"/>
      </w:r>
      <w:bookmarkEnd w:id="543"/>
      <w:bookmarkEnd w:id="544"/>
      <w:bookmarkEnd w:id="545"/>
      <w:bookmarkEnd w:id="546"/>
      <w:bookmarkEnd w:id="547"/>
      <w:bookmarkEnd w:id="548"/>
      <w:bookmarkEnd w:id="549"/>
      <w:bookmarkEnd w:id="550"/>
      <w:bookmarkEnd w:id="551"/>
      <w:bookmarkStart w:id="552" w:name="_Toc17512_WPSOffice_Level3"/>
    </w:p>
    <w:p>
      <w:pPr>
        <w:snapToGrid w:val="0"/>
        <w:spacing w:line="360" w:lineRule="auto"/>
        <w:jc w:val="center"/>
        <w:outlineLvl w:val="1"/>
        <w:rPr>
          <w:rFonts w:hint="eastAsia" w:ascii="黑体" w:hAnsi="黑体" w:eastAsia="黑体" w:cs="黑体"/>
          <w:b/>
          <w:sz w:val="32"/>
        </w:rPr>
      </w:pPr>
      <w:bookmarkStart w:id="553" w:name="_Toc13071"/>
      <w:bookmarkStart w:id="554" w:name="_Toc3153"/>
      <w:bookmarkStart w:id="555" w:name="_Toc27954"/>
      <w:bookmarkStart w:id="556" w:name="_Toc16014"/>
      <w:bookmarkStart w:id="557" w:name="_Toc2804"/>
      <w:bookmarkStart w:id="558" w:name="_Toc10108"/>
      <w:bookmarkStart w:id="559" w:name="_Toc30194"/>
      <w:bookmarkStart w:id="560" w:name="_Toc7797"/>
    </w:p>
    <w:p>
      <w:pPr>
        <w:snapToGrid w:val="0"/>
        <w:spacing w:line="360" w:lineRule="auto"/>
        <w:jc w:val="center"/>
        <w:outlineLvl w:val="1"/>
        <w:rPr>
          <w:rFonts w:hint="eastAsia" w:ascii="黑体" w:hAnsi="黑体" w:eastAsia="黑体" w:cs="黑体"/>
          <w:b/>
          <w:sz w:val="32"/>
        </w:rPr>
      </w:pPr>
    </w:p>
    <w:p>
      <w:pPr>
        <w:snapToGrid w:val="0"/>
        <w:spacing w:line="360" w:lineRule="auto"/>
        <w:jc w:val="center"/>
        <w:outlineLvl w:val="1"/>
        <w:rPr>
          <w:rFonts w:hint="eastAsia" w:ascii="黑体" w:hAnsi="黑体" w:eastAsia="黑体" w:cs="黑体"/>
          <w:b/>
          <w:sz w:val="32"/>
        </w:rPr>
      </w:pPr>
    </w:p>
    <w:p>
      <w:pPr>
        <w:snapToGrid w:val="0"/>
        <w:spacing w:line="360" w:lineRule="auto"/>
        <w:jc w:val="center"/>
        <w:outlineLvl w:val="1"/>
        <w:rPr>
          <w:rFonts w:hint="eastAsia" w:ascii="黑体" w:hAnsi="黑体" w:eastAsia="黑体" w:cs="黑体"/>
          <w:b/>
          <w:sz w:val="32"/>
        </w:rPr>
      </w:pPr>
    </w:p>
    <w:p>
      <w:pPr>
        <w:snapToGrid w:val="0"/>
        <w:spacing w:line="360" w:lineRule="auto"/>
        <w:jc w:val="center"/>
        <w:outlineLvl w:val="1"/>
        <w:rPr>
          <w:rFonts w:ascii="黑体" w:hAnsi="黑体" w:eastAsia="黑体" w:cs="黑体"/>
          <w:b/>
          <w:sz w:val="32"/>
        </w:rPr>
      </w:pPr>
      <w:r>
        <w:rPr>
          <w:rFonts w:hint="eastAsia" w:ascii="黑体" w:hAnsi="黑体" w:eastAsia="黑体" w:cs="黑体"/>
          <w:b/>
          <w:sz w:val="32"/>
        </w:rPr>
        <w:t>第二部分 其他响应文件（格式）</w:t>
      </w:r>
      <w:bookmarkEnd w:id="553"/>
      <w:bookmarkEnd w:id="554"/>
      <w:bookmarkEnd w:id="555"/>
      <w:bookmarkEnd w:id="556"/>
      <w:bookmarkEnd w:id="557"/>
      <w:bookmarkEnd w:id="558"/>
      <w:bookmarkEnd w:id="559"/>
      <w:bookmarkEnd w:id="560"/>
    </w:p>
    <w:p>
      <w:r>
        <w:br w:type="page"/>
      </w:r>
    </w:p>
    <w:bookmarkEnd w:id="552"/>
    <w:p>
      <w:pPr>
        <w:pStyle w:val="2"/>
        <w:keepNext w:val="0"/>
        <w:keepLines w:val="0"/>
        <w:widowControl/>
        <w:numPr>
          <w:ilvl w:val="0"/>
          <w:numId w:val="0"/>
        </w:numPr>
        <w:spacing w:line="360" w:lineRule="auto"/>
        <w:jc w:val="right"/>
        <w:outlineLvl w:val="9"/>
        <w:rPr>
          <w:rFonts w:ascii="宋体" w:hAnsi="宋体" w:eastAsia="宋体" w:cs="宋体"/>
          <w:sz w:val="28"/>
          <w:szCs w:val="28"/>
        </w:rPr>
      </w:pPr>
      <w:bookmarkStart w:id="561" w:name="_Toc25667_WPSOffice_Level3"/>
      <w:bookmarkStart w:id="562" w:name="_Toc308164824"/>
      <w:r>
        <w:rPr>
          <w:rFonts w:hint="eastAsia" w:ascii="宋体" w:hAnsi="宋体" w:eastAsia="宋体" w:cs="宋体"/>
          <w:sz w:val="28"/>
          <w:szCs w:val="28"/>
        </w:rPr>
        <w:t>正本/副本</w:t>
      </w:r>
    </w:p>
    <w:p>
      <w:pPr>
        <w:spacing w:line="360" w:lineRule="auto"/>
        <w:jc w:val="center"/>
        <w:rPr>
          <w:rFonts w:ascii="宋体" w:hAnsi="宋体"/>
          <w:b/>
          <w:sz w:val="24"/>
        </w:rPr>
      </w:pPr>
    </w:p>
    <w:p>
      <w:pPr>
        <w:pStyle w:val="22"/>
        <w:tabs>
          <w:tab w:val="right" w:leader="dot" w:pos="9724"/>
        </w:tabs>
        <w:ind w:firstLine="7027" w:firstLineChars="2500"/>
        <w:jc w:val="left"/>
        <w:rPr>
          <w:rFonts w:ascii="黑体" w:hAnsi="黑体" w:eastAsia="黑体" w:cs="黑体"/>
          <w:b/>
          <w:bCs/>
          <w:sz w:val="28"/>
          <w:szCs w:val="28"/>
        </w:rPr>
      </w:pPr>
      <w:r>
        <w:rPr>
          <w:rFonts w:hint="eastAsia" w:ascii="黑体" w:hAnsi="黑体" w:eastAsia="黑体" w:cs="黑体"/>
          <w:b/>
          <w:bCs/>
          <w:sz w:val="28"/>
          <w:szCs w:val="28"/>
          <w:lang w:val="zh-CN"/>
        </w:rPr>
        <w:t>项目编号：</w:t>
      </w:r>
      <w:r>
        <w:rPr>
          <w:rFonts w:hint="eastAsia" w:ascii="黑体" w:hAnsi="黑体" w:eastAsia="黑体" w:cs="黑体"/>
          <w:b/>
          <w:bCs/>
          <w:sz w:val="28"/>
          <w:szCs w:val="28"/>
          <w:u w:val="single"/>
        </w:rPr>
        <w:t xml:space="preserve">           </w:t>
      </w:r>
    </w:p>
    <w:p>
      <w:pPr>
        <w:widowControl/>
        <w:spacing w:line="360" w:lineRule="auto"/>
        <w:rPr>
          <w:rFonts w:ascii="黑体" w:hAnsi="黑体" w:eastAsia="黑体" w:cs="黑体"/>
          <w:sz w:val="24"/>
          <w:lang w:val="zh-CN"/>
        </w:rPr>
      </w:pPr>
    </w:p>
    <w:p>
      <w:pPr>
        <w:pStyle w:val="12"/>
        <w:spacing w:after="0" w:line="360" w:lineRule="auto"/>
        <w:ind w:firstLine="723" w:firstLineChars="300"/>
        <w:rPr>
          <w:rFonts w:ascii="黑体" w:hAnsi="黑体" w:eastAsia="黑体" w:cs="黑体"/>
          <w:b/>
          <w:bCs/>
          <w:sz w:val="44"/>
          <w:szCs w:val="44"/>
        </w:rPr>
      </w:pPr>
      <w:r>
        <w:rPr>
          <w:rFonts w:hint="eastAsia" w:ascii="黑体" w:hAnsi="黑体" w:eastAsia="黑体" w:cs="黑体"/>
          <w:b/>
          <w:bCs/>
          <w:sz w:val="24"/>
        </w:rPr>
        <w:t xml:space="preserve"> </w:t>
      </w:r>
      <w:r>
        <w:rPr>
          <w:rFonts w:hint="eastAsia" w:ascii="黑体" w:hAnsi="黑体" w:eastAsia="黑体" w:cs="黑体"/>
          <w:b/>
          <w:bCs/>
          <w:sz w:val="44"/>
          <w:szCs w:val="44"/>
          <w:u w:val="single"/>
        </w:rPr>
        <w:t xml:space="preserve">                         </w:t>
      </w:r>
      <w:r>
        <w:rPr>
          <w:rFonts w:hint="eastAsia" w:ascii="黑体" w:hAnsi="黑体" w:eastAsia="黑体" w:cs="黑体"/>
          <w:b/>
          <w:bCs/>
          <w:sz w:val="44"/>
          <w:szCs w:val="44"/>
        </w:rPr>
        <w:t>（项目名称）</w:t>
      </w:r>
    </w:p>
    <w:p>
      <w:pPr>
        <w:pStyle w:val="14"/>
        <w:spacing w:line="360" w:lineRule="auto"/>
        <w:rPr>
          <w:rFonts w:ascii="黑体" w:hAnsi="黑体" w:eastAsia="黑体" w:cs="黑体"/>
          <w:sz w:val="44"/>
          <w:szCs w:val="44"/>
        </w:rPr>
      </w:pPr>
    </w:p>
    <w:p>
      <w:pPr>
        <w:pStyle w:val="48"/>
        <w:spacing w:line="360" w:lineRule="auto"/>
        <w:rPr>
          <w:rFonts w:ascii="黑体" w:hAnsi="黑体" w:eastAsia="黑体" w:cs="黑体"/>
        </w:rPr>
      </w:pPr>
    </w:p>
    <w:p>
      <w:pPr>
        <w:pStyle w:val="48"/>
        <w:spacing w:line="360" w:lineRule="auto"/>
        <w:rPr>
          <w:rFonts w:ascii="黑体" w:hAnsi="黑体" w:eastAsia="黑体" w:cs="黑体"/>
        </w:rPr>
      </w:pPr>
    </w:p>
    <w:p>
      <w:pPr>
        <w:pStyle w:val="48"/>
        <w:spacing w:line="360" w:lineRule="auto"/>
        <w:rPr>
          <w:rFonts w:ascii="黑体" w:hAnsi="黑体" w:eastAsia="黑体" w:cs="黑体"/>
        </w:rPr>
      </w:pPr>
    </w:p>
    <w:p>
      <w:pPr>
        <w:pStyle w:val="48"/>
        <w:spacing w:line="360" w:lineRule="auto"/>
        <w:rPr>
          <w:rFonts w:ascii="黑体" w:hAnsi="黑体" w:eastAsia="黑体" w:cs="黑体"/>
        </w:rPr>
      </w:pPr>
    </w:p>
    <w:p>
      <w:pPr>
        <w:pStyle w:val="48"/>
        <w:spacing w:line="360" w:lineRule="auto"/>
        <w:rPr>
          <w:rFonts w:ascii="黑体" w:hAnsi="黑体" w:eastAsia="黑体" w:cs="黑体"/>
        </w:rPr>
      </w:pPr>
    </w:p>
    <w:p>
      <w:pPr>
        <w:pStyle w:val="48"/>
        <w:spacing w:line="360" w:lineRule="auto"/>
        <w:rPr>
          <w:rFonts w:ascii="黑体" w:hAnsi="黑体" w:eastAsia="黑体" w:cs="黑体"/>
        </w:rPr>
      </w:pPr>
    </w:p>
    <w:p>
      <w:pPr>
        <w:widowControl/>
        <w:spacing w:line="360" w:lineRule="auto"/>
        <w:jc w:val="center"/>
        <w:rPr>
          <w:rFonts w:ascii="黑体" w:hAnsi="黑体" w:eastAsia="黑体" w:cs="黑体"/>
          <w:b/>
          <w:bCs/>
          <w:sz w:val="72"/>
          <w:szCs w:val="72"/>
        </w:rPr>
      </w:pPr>
      <w:r>
        <w:rPr>
          <w:rFonts w:hint="eastAsia" w:ascii="黑体" w:hAnsi="黑体" w:eastAsia="黑体" w:cs="黑体"/>
          <w:b/>
          <w:bCs/>
          <w:sz w:val="72"/>
          <w:szCs w:val="72"/>
        </w:rPr>
        <w:t>其他响应文件</w:t>
      </w:r>
    </w:p>
    <w:p>
      <w:pPr>
        <w:pStyle w:val="48"/>
        <w:spacing w:line="360" w:lineRule="auto"/>
        <w:jc w:val="center"/>
        <w:rPr>
          <w:rFonts w:ascii="黑体" w:hAnsi="黑体" w:eastAsia="黑体" w:cs="黑体"/>
          <w:b/>
          <w:bCs/>
          <w:sz w:val="28"/>
          <w:szCs w:val="28"/>
        </w:rPr>
      </w:pPr>
    </w:p>
    <w:p>
      <w:pPr>
        <w:pStyle w:val="48"/>
        <w:spacing w:line="360" w:lineRule="auto"/>
        <w:jc w:val="center"/>
        <w:rPr>
          <w:rFonts w:ascii="黑体" w:hAnsi="黑体" w:eastAsia="黑体" w:cs="黑体"/>
          <w:b/>
          <w:bCs/>
          <w:sz w:val="36"/>
          <w:szCs w:val="36"/>
        </w:rPr>
      </w:pPr>
    </w:p>
    <w:p>
      <w:pPr>
        <w:pStyle w:val="48"/>
        <w:spacing w:line="360" w:lineRule="auto"/>
        <w:rPr>
          <w:rFonts w:ascii="黑体" w:hAnsi="黑体" w:eastAsia="黑体" w:cs="黑体"/>
          <w:sz w:val="28"/>
          <w:szCs w:val="28"/>
        </w:rPr>
      </w:pPr>
    </w:p>
    <w:p>
      <w:pPr>
        <w:pStyle w:val="48"/>
        <w:spacing w:line="360" w:lineRule="auto"/>
        <w:rPr>
          <w:rFonts w:ascii="黑体" w:hAnsi="黑体" w:eastAsia="黑体" w:cs="黑体"/>
          <w:sz w:val="28"/>
          <w:szCs w:val="28"/>
        </w:rPr>
      </w:pPr>
    </w:p>
    <w:p>
      <w:pPr>
        <w:pStyle w:val="48"/>
        <w:spacing w:line="360" w:lineRule="auto"/>
        <w:rPr>
          <w:rFonts w:ascii="黑体" w:hAnsi="黑体" w:eastAsia="黑体" w:cs="黑体"/>
          <w:sz w:val="28"/>
          <w:szCs w:val="28"/>
        </w:rPr>
      </w:pPr>
    </w:p>
    <w:p>
      <w:pPr>
        <w:pStyle w:val="48"/>
        <w:spacing w:line="360" w:lineRule="auto"/>
        <w:rPr>
          <w:rFonts w:ascii="黑体" w:hAnsi="黑体" w:eastAsia="黑体" w:cs="黑体"/>
          <w:sz w:val="28"/>
          <w:szCs w:val="28"/>
        </w:rPr>
      </w:pPr>
    </w:p>
    <w:p>
      <w:pPr>
        <w:tabs>
          <w:tab w:val="left" w:pos="3240"/>
        </w:tabs>
        <w:snapToGrid w:val="0"/>
        <w:spacing w:line="360" w:lineRule="auto"/>
        <w:ind w:firstLine="1619" w:firstLineChars="576"/>
        <w:rPr>
          <w:rFonts w:ascii="黑体" w:hAnsi="黑体" w:eastAsia="黑体" w:cs="黑体"/>
          <w:b/>
          <w:bCs/>
          <w:sz w:val="28"/>
          <w:szCs w:val="28"/>
        </w:rPr>
      </w:pPr>
      <w:r>
        <w:rPr>
          <w:rFonts w:hint="eastAsia" w:ascii="黑体" w:hAnsi="黑体" w:eastAsia="黑体" w:cs="黑体"/>
          <w:b/>
          <w:bCs/>
          <w:sz w:val="28"/>
          <w:szCs w:val="28"/>
        </w:rPr>
        <w:t>供应商名称：</w:t>
      </w:r>
      <w:r>
        <w:rPr>
          <w:rFonts w:hint="eastAsia" w:ascii="黑体" w:hAnsi="黑体" w:eastAsia="黑体" w:cs="黑体"/>
          <w:b/>
          <w:bCs/>
          <w:sz w:val="28"/>
          <w:szCs w:val="28"/>
          <w:u w:val="single"/>
        </w:rPr>
        <w:t xml:space="preserve">                       </w:t>
      </w:r>
      <w:r>
        <w:rPr>
          <w:rFonts w:hint="eastAsia" w:ascii="黑体" w:hAnsi="黑体" w:eastAsia="黑体" w:cs="黑体"/>
          <w:b/>
          <w:bCs/>
          <w:sz w:val="28"/>
          <w:szCs w:val="28"/>
        </w:rPr>
        <w:t>(盖章)</w:t>
      </w:r>
    </w:p>
    <w:p>
      <w:pPr>
        <w:tabs>
          <w:tab w:val="left" w:pos="3240"/>
        </w:tabs>
        <w:snapToGrid w:val="0"/>
        <w:spacing w:line="360" w:lineRule="auto"/>
        <w:ind w:firstLine="1619" w:firstLineChars="576"/>
        <w:rPr>
          <w:rFonts w:ascii="黑体" w:hAnsi="黑体" w:eastAsia="黑体" w:cs="黑体"/>
          <w:b/>
          <w:bCs/>
          <w:sz w:val="28"/>
          <w:szCs w:val="28"/>
        </w:rPr>
      </w:pPr>
      <w:r>
        <w:rPr>
          <w:rFonts w:hint="eastAsia" w:ascii="黑体" w:hAnsi="黑体" w:eastAsia="黑体" w:cs="黑体"/>
          <w:b/>
          <w:bCs/>
          <w:sz w:val="28"/>
          <w:szCs w:val="28"/>
        </w:rPr>
        <w:t>法定代表人或授权代表：</w:t>
      </w:r>
      <w:r>
        <w:rPr>
          <w:rFonts w:hint="eastAsia" w:ascii="黑体" w:hAnsi="黑体" w:eastAsia="黑体" w:cs="黑体"/>
          <w:b/>
          <w:bCs/>
          <w:sz w:val="28"/>
          <w:szCs w:val="28"/>
          <w:u w:val="single"/>
        </w:rPr>
        <w:t xml:space="preserve">             </w:t>
      </w:r>
      <w:r>
        <w:rPr>
          <w:rFonts w:hint="eastAsia" w:ascii="黑体" w:hAnsi="黑体" w:eastAsia="黑体" w:cs="黑体"/>
          <w:b/>
          <w:bCs/>
          <w:sz w:val="28"/>
          <w:szCs w:val="28"/>
        </w:rPr>
        <w:t>(签字或盖章)</w:t>
      </w:r>
    </w:p>
    <w:p>
      <w:pPr>
        <w:tabs>
          <w:tab w:val="left" w:pos="3240"/>
        </w:tabs>
        <w:snapToGrid w:val="0"/>
        <w:spacing w:line="360" w:lineRule="auto"/>
        <w:ind w:firstLine="1619" w:firstLineChars="576"/>
        <w:rPr>
          <w:rFonts w:ascii="黑体" w:hAnsi="黑体" w:eastAsia="黑体" w:cs="黑体"/>
          <w:b/>
          <w:bCs/>
          <w:sz w:val="28"/>
          <w:szCs w:val="28"/>
        </w:rPr>
      </w:pPr>
      <w:r>
        <w:rPr>
          <w:rFonts w:hint="eastAsia" w:ascii="黑体" w:hAnsi="黑体" w:eastAsia="黑体" w:cs="黑体"/>
          <w:b/>
          <w:bCs/>
          <w:sz w:val="28"/>
          <w:szCs w:val="28"/>
        </w:rPr>
        <w:t>日期：</w:t>
      </w:r>
      <w:r>
        <w:rPr>
          <w:rFonts w:hint="eastAsia" w:ascii="黑体" w:hAnsi="黑体" w:eastAsia="黑体" w:cs="黑体"/>
          <w:b/>
          <w:bCs/>
          <w:i/>
          <w:sz w:val="28"/>
          <w:szCs w:val="28"/>
          <w:u w:val="single"/>
        </w:rPr>
        <w:t xml:space="preserve">    </w:t>
      </w:r>
      <w:r>
        <w:rPr>
          <w:rFonts w:hint="eastAsia" w:ascii="黑体" w:hAnsi="黑体" w:eastAsia="黑体" w:cs="黑体"/>
          <w:b/>
          <w:bCs/>
          <w:iCs/>
          <w:sz w:val="28"/>
          <w:szCs w:val="28"/>
        </w:rPr>
        <w:t>年</w:t>
      </w:r>
      <w:r>
        <w:rPr>
          <w:rFonts w:hint="eastAsia" w:ascii="黑体" w:hAnsi="黑体" w:eastAsia="黑体" w:cs="黑体"/>
          <w:b/>
          <w:bCs/>
          <w:iCs/>
          <w:sz w:val="28"/>
          <w:szCs w:val="28"/>
          <w:u w:val="single"/>
        </w:rPr>
        <w:t xml:space="preserve">    </w:t>
      </w:r>
      <w:r>
        <w:rPr>
          <w:rFonts w:hint="eastAsia" w:ascii="黑体" w:hAnsi="黑体" w:eastAsia="黑体" w:cs="黑体"/>
          <w:b/>
          <w:bCs/>
          <w:iCs/>
          <w:sz w:val="28"/>
          <w:szCs w:val="28"/>
        </w:rPr>
        <w:t>月</w:t>
      </w:r>
      <w:r>
        <w:rPr>
          <w:rFonts w:hint="eastAsia" w:ascii="黑体" w:hAnsi="黑体" w:eastAsia="黑体" w:cs="黑体"/>
          <w:b/>
          <w:bCs/>
          <w:iCs/>
          <w:sz w:val="28"/>
          <w:szCs w:val="28"/>
          <w:u w:val="single"/>
        </w:rPr>
        <w:t xml:space="preserve">    </w:t>
      </w:r>
      <w:r>
        <w:rPr>
          <w:rFonts w:hint="eastAsia" w:ascii="黑体" w:hAnsi="黑体" w:eastAsia="黑体" w:cs="黑体"/>
          <w:b/>
          <w:bCs/>
          <w:iCs/>
          <w:sz w:val="28"/>
          <w:szCs w:val="28"/>
        </w:rPr>
        <w:t>日</w:t>
      </w:r>
    </w:p>
    <w:p>
      <w:pPr>
        <w:jc w:val="center"/>
        <w:rPr>
          <w:rFonts w:ascii="黑体" w:hAnsi="黑体" w:eastAsia="黑体" w:cs="黑体"/>
          <w:b/>
          <w:bCs/>
          <w:sz w:val="28"/>
          <w:szCs w:val="36"/>
        </w:rPr>
        <w:sectPr>
          <w:pgSz w:w="11907" w:h="16840"/>
          <w:pgMar w:top="1134" w:right="1134" w:bottom="1134" w:left="1134" w:header="851" w:footer="850" w:gutter="0"/>
          <w:pgNumType w:fmt="decimal"/>
          <w:cols w:space="720" w:num="1"/>
          <w:docGrid w:type="lines" w:linePitch="312" w:charSpace="0"/>
        </w:sectPr>
      </w:pPr>
    </w:p>
    <w:p>
      <w:pPr>
        <w:jc w:val="center"/>
        <w:rPr>
          <w:b/>
          <w:bCs/>
          <w:sz w:val="28"/>
          <w:szCs w:val="36"/>
        </w:rPr>
      </w:pPr>
      <w:r>
        <w:rPr>
          <w:rFonts w:hint="eastAsia"/>
          <w:b/>
          <w:bCs/>
          <w:sz w:val="28"/>
          <w:szCs w:val="36"/>
        </w:rPr>
        <w:t>目  录</w:t>
      </w:r>
    </w:p>
    <w:p>
      <w:pPr>
        <w:jc w:val="center"/>
      </w:pPr>
      <w:r>
        <w:rPr>
          <w:rFonts w:hint="eastAsia"/>
        </w:rPr>
        <w:t>（自拟）</w:t>
      </w:r>
    </w:p>
    <w:p>
      <w:pPr>
        <w:pStyle w:val="4"/>
        <w:spacing w:before="0" w:after="0" w:line="360" w:lineRule="auto"/>
        <w:sectPr>
          <w:pgSz w:w="11907" w:h="16840"/>
          <w:pgMar w:top="1134" w:right="1134" w:bottom="1134" w:left="1134" w:header="851" w:footer="850" w:gutter="0"/>
          <w:pgNumType w:fmt="decimal"/>
          <w:cols w:space="720" w:num="1"/>
          <w:docGrid w:type="lines" w:linePitch="312" w:charSpace="0"/>
        </w:sectPr>
      </w:pPr>
    </w:p>
    <w:p>
      <w:pPr>
        <w:pStyle w:val="4"/>
        <w:spacing w:before="0" w:after="0" w:line="360" w:lineRule="auto"/>
        <w:rPr>
          <w:rFonts w:ascii="黑体" w:hAnsi="黑体" w:eastAsia="黑体" w:cs="黑体"/>
        </w:rPr>
      </w:pPr>
      <w:bookmarkStart w:id="563" w:name="_Toc32004"/>
      <w:bookmarkStart w:id="564" w:name="_Toc32294"/>
      <w:bookmarkStart w:id="565" w:name="_Toc5414"/>
      <w:bookmarkStart w:id="566" w:name="_Toc5646"/>
      <w:bookmarkStart w:id="567" w:name="_Toc16848"/>
      <w:bookmarkStart w:id="568" w:name="_Toc10320"/>
      <w:bookmarkStart w:id="569" w:name="_Toc25488"/>
      <w:bookmarkStart w:id="570" w:name="_Toc24349"/>
      <w:r>
        <w:rPr>
          <w:rFonts w:hint="eastAsia" w:ascii="黑体" w:hAnsi="黑体" w:eastAsia="黑体" w:cs="黑体"/>
        </w:rPr>
        <w:t>一、报价函</w:t>
      </w:r>
      <w:bookmarkEnd w:id="561"/>
      <w:bookmarkEnd w:id="563"/>
      <w:bookmarkEnd w:id="564"/>
      <w:bookmarkEnd w:id="565"/>
      <w:bookmarkEnd w:id="566"/>
      <w:bookmarkEnd w:id="567"/>
      <w:bookmarkEnd w:id="568"/>
      <w:bookmarkEnd w:id="569"/>
      <w:bookmarkEnd w:id="570"/>
    </w:p>
    <w:p>
      <w:pPr>
        <w:snapToGrid w:val="0"/>
        <w:spacing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（采购代理机构名称）：</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1.我方全面研究了“</w:t>
      </w:r>
      <w:r>
        <w:rPr>
          <w:rFonts w:hint="eastAsia" w:ascii="宋体" w:hAnsi="宋体" w:cs="宋体"/>
          <w:szCs w:val="21"/>
          <w:u w:val="single"/>
        </w:rPr>
        <w:t xml:space="preserve">                    </w:t>
      </w:r>
      <w:r>
        <w:rPr>
          <w:rFonts w:hint="eastAsia" w:ascii="宋体" w:hAnsi="宋体" w:cs="宋体"/>
          <w:szCs w:val="21"/>
        </w:rPr>
        <w:t>”项目磋商文件（采购项目编号：</w:t>
      </w:r>
      <w:r>
        <w:rPr>
          <w:rFonts w:hint="eastAsia" w:ascii="宋体" w:hAnsi="宋体" w:cs="宋体"/>
          <w:szCs w:val="21"/>
          <w:u w:val="single"/>
        </w:rPr>
        <w:t xml:space="preserve">              </w:t>
      </w:r>
      <w:r>
        <w:rPr>
          <w:rFonts w:hint="eastAsia" w:ascii="宋体" w:hAnsi="宋体" w:cs="宋体"/>
          <w:szCs w:val="21"/>
        </w:rPr>
        <w:t>），决定参加贵单位组织的本项目磋商采购。</w:t>
      </w:r>
    </w:p>
    <w:p>
      <w:pPr>
        <w:wordWrap w:val="0"/>
        <w:spacing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szCs w:val="21"/>
        </w:rPr>
        <w:t xml:space="preserve">我方自愿按照磋商文件规定的各项要求向采购人提供所需服务，报价为人民币 </w:t>
      </w:r>
      <w:r>
        <w:rPr>
          <w:rFonts w:hint="eastAsia" w:ascii="宋体" w:hAnsi="宋体"/>
          <w:szCs w:val="21"/>
          <w:u w:val="single"/>
        </w:rPr>
        <w:t xml:space="preserve">          </w:t>
      </w:r>
      <w:r>
        <w:rPr>
          <w:rFonts w:hint="eastAsia" w:ascii="宋体" w:hAnsi="宋体"/>
          <w:szCs w:val="21"/>
        </w:rPr>
        <w:t xml:space="preserve"> 元</w:t>
      </w:r>
      <w:r>
        <w:rPr>
          <w:rFonts w:hint="eastAsia" w:ascii="宋体" w:hAnsi="宋体"/>
          <w:szCs w:val="21"/>
          <w:lang w:val="en-US" w:eastAsia="zh-CN"/>
        </w:rPr>
        <w:t>/年</w:t>
      </w:r>
      <w:r>
        <w:rPr>
          <w:rFonts w:hint="eastAsia" w:ascii="宋体" w:hAnsi="宋体"/>
          <w:szCs w:val="21"/>
        </w:rPr>
        <w:t>（大写：</w:t>
      </w:r>
      <w:r>
        <w:rPr>
          <w:rFonts w:hint="eastAsia" w:ascii="宋体" w:hAnsi="宋体"/>
          <w:szCs w:val="21"/>
          <w:u w:val="single"/>
        </w:rPr>
        <w:t xml:space="preserve">         元</w:t>
      </w:r>
      <w:r>
        <w:rPr>
          <w:rFonts w:hint="eastAsia" w:ascii="宋体" w:hAnsi="宋体"/>
          <w:szCs w:val="21"/>
          <w:u w:val="single"/>
          <w:lang w:val="en-US" w:eastAsia="zh-CN"/>
        </w:rPr>
        <w:t>/年</w:t>
      </w:r>
      <w:r>
        <w:rPr>
          <w:rFonts w:hint="eastAsia" w:ascii="宋体" w:hAnsi="宋体"/>
          <w:szCs w:val="21"/>
        </w:rPr>
        <w:t>）。</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3.一旦我方成交，我方承诺在收到成交通知书后，在成交通知书规定的期限内签订合同，且严格履行采购合同规定的责任和义务。</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4.我方为本项目提交的响应文件正本</w:t>
      </w:r>
      <w:r>
        <w:rPr>
          <w:rFonts w:hint="eastAsia" w:ascii="宋体" w:hAnsi="宋体" w:cs="宋体"/>
          <w:szCs w:val="21"/>
          <w:u w:val="single"/>
        </w:rPr>
        <w:t xml:space="preserve">      </w:t>
      </w:r>
      <w:r>
        <w:rPr>
          <w:rFonts w:hint="eastAsia" w:ascii="宋体" w:hAnsi="宋体" w:cs="宋体"/>
          <w:szCs w:val="21"/>
        </w:rPr>
        <w:t>份，副本</w:t>
      </w:r>
      <w:r>
        <w:rPr>
          <w:rFonts w:hint="eastAsia" w:ascii="宋体" w:hAnsi="宋体" w:cs="宋体"/>
          <w:szCs w:val="21"/>
          <w:u w:val="single"/>
        </w:rPr>
        <w:t xml:space="preserve">   </w:t>
      </w:r>
      <w:r>
        <w:rPr>
          <w:rFonts w:hint="eastAsia" w:ascii="宋体" w:hAnsi="宋体" w:cs="宋体"/>
          <w:szCs w:val="21"/>
        </w:rPr>
        <w:t>份，电子文档</w:t>
      </w:r>
      <w:r>
        <w:rPr>
          <w:rFonts w:hint="eastAsia" w:ascii="宋体" w:hAnsi="宋体" w:cs="宋体"/>
          <w:szCs w:val="21"/>
          <w:u w:val="single"/>
        </w:rPr>
        <w:t xml:space="preserve">   </w:t>
      </w:r>
      <w:r>
        <w:rPr>
          <w:rFonts w:hint="eastAsia" w:ascii="宋体" w:hAnsi="宋体" w:cs="宋体"/>
          <w:szCs w:val="21"/>
        </w:rPr>
        <w:t>份（U盘或光盘），用于报价。</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5.我方愿意提供贵单位可能另外要求的，与报价有关的文件资料，并保证我方已提供和将要提供的文件资料是真实、准确的。</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6.本次采购活动，我方响应文件有效期为</w:t>
      </w:r>
      <w:r>
        <w:rPr>
          <w:rFonts w:hint="eastAsia" w:ascii="宋体" w:hAnsi="宋体" w:cs="宋体"/>
        </w:rPr>
        <w:t>递交磋商响应文件截止之日起</w:t>
      </w:r>
      <w:r>
        <w:rPr>
          <w:rFonts w:hint="eastAsia" w:ascii="宋体" w:hAnsi="宋体" w:cs="宋体"/>
          <w:u w:val="single"/>
        </w:rPr>
        <w:t xml:space="preserve">     </w:t>
      </w:r>
      <w:r>
        <w:rPr>
          <w:rFonts w:hint="eastAsia" w:ascii="宋体" w:hAnsi="宋体" w:cs="宋体"/>
        </w:rPr>
        <w:t>天</w:t>
      </w:r>
      <w:r>
        <w:rPr>
          <w:rFonts w:hint="eastAsia" w:ascii="宋体" w:hAnsi="宋体" w:cs="宋体"/>
          <w:szCs w:val="21"/>
        </w:rPr>
        <w:t>。</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7.补充说明：</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（1）随同本响应文件递交的响应文件附录属于合同文件的组成部分（如有）；</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（2）我方承诺按照磋商文件规定向你方递交履约担保（如有）；</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（3）我方承诺在合同约定的期限内保质保量完成合同约定的内容；</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（4）我方在此声明：我方未处于财产被接管、冻结、破产状态，未处于四川省行政区域内有关行政处罚期间；</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（5）我方完全响应磋商文件的要求，接受磋商文件中的合同条款；</w:t>
      </w:r>
    </w:p>
    <w:p>
      <w:pPr>
        <w:tabs>
          <w:tab w:val="left" w:pos="7513"/>
        </w:tabs>
        <w:snapToGrid w:val="0"/>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cs="宋体"/>
          <w:szCs w:val="21"/>
          <w:u w:val="single"/>
        </w:rPr>
        <w:t xml:space="preserve">                                                </w:t>
      </w:r>
      <w:r>
        <w:rPr>
          <w:rFonts w:hint="eastAsia" w:ascii="宋体" w:hAnsi="宋体" w:cs="宋体"/>
          <w:szCs w:val="21"/>
        </w:rPr>
        <w:t>（其他补充说明）。</w:t>
      </w:r>
    </w:p>
    <w:p>
      <w:pPr>
        <w:adjustRightInd w:val="0"/>
        <w:snapToGrid w:val="0"/>
        <w:spacing w:line="360" w:lineRule="auto"/>
        <w:ind w:firstLine="420" w:firstLineChars="200"/>
        <w:jc w:val="left"/>
        <w:rPr>
          <w:rFonts w:ascii="宋体" w:hAnsi="宋体"/>
          <w:szCs w:val="21"/>
        </w:rPr>
      </w:pPr>
    </w:p>
    <w:p>
      <w:pPr>
        <w:adjustRightInd w:val="0"/>
        <w:snapToGrid w:val="0"/>
        <w:spacing w:line="360" w:lineRule="auto"/>
        <w:ind w:firstLine="420" w:firstLineChars="200"/>
        <w:jc w:val="left"/>
        <w:rPr>
          <w:rFonts w:ascii="宋体" w:hAnsi="宋体"/>
          <w:szCs w:val="21"/>
        </w:rPr>
      </w:pPr>
    </w:p>
    <w:p>
      <w:pPr>
        <w:adjustRightInd w:val="0"/>
        <w:snapToGrid w:val="0"/>
        <w:spacing w:line="360" w:lineRule="auto"/>
        <w:ind w:firstLine="4200" w:firstLineChars="2000"/>
        <w:jc w:val="left"/>
        <w:rPr>
          <w:rFonts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（盖单位公章）</w:t>
      </w:r>
    </w:p>
    <w:p>
      <w:pPr>
        <w:snapToGrid w:val="0"/>
        <w:spacing w:line="360" w:lineRule="auto"/>
        <w:ind w:firstLine="2520" w:firstLineChars="1200"/>
        <w:rPr>
          <w:rFonts w:ascii="宋体" w:hAnsi="宋体"/>
          <w:szCs w:val="21"/>
        </w:rPr>
      </w:pPr>
      <w:r>
        <w:rPr>
          <w:rFonts w:hint="eastAsia" w:ascii="宋体" w:hAnsi="宋体" w:cs="宋体"/>
        </w:rPr>
        <w:t>法定代表人/负责人</w:t>
      </w:r>
      <w:r>
        <w:rPr>
          <w:rFonts w:hint="eastAsia" w:ascii="宋体" w:hAnsi="宋体"/>
          <w:szCs w:val="21"/>
        </w:rPr>
        <w:t>或授权代表（签字或加盖个人印章）：</w:t>
      </w:r>
      <w:r>
        <w:rPr>
          <w:rFonts w:hint="eastAsia" w:ascii="宋体" w:hAnsi="宋体"/>
          <w:szCs w:val="21"/>
          <w:u w:val="single"/>
        </w:rPr>
        <w:t xml:space="preserve">           </w:t>
      </w:r>
    </w:p>
    <w:p>
      <w:pPr>
        <w:snapToGrid w:val="0"/>
        <w:spacing w:line="360" w:lineRule="auto"/>
        <w:ind w:firstLine="4200" w:firstLineChars="2000"/>
        <w:rPr>
          <w:rFonts w:ascii="宋体" w:hAnsi="宋体"/>
          <w:szCs w:val="21"/>
        </w:rPr>
      </w:pPr>
      <w:r>
        <w:rPr>
          <w:rFonts w:hint="eastAsia" w:ascii="宋体" w:hAnsi="宋体"/>
          <w:szCs w:val="21"/>
        </w:rPr>
        <w:t>通讯地址：</w:t>
      </w:r>
      <w:r>
        <w:rPr>
          <w:rFonts w:hint="eastAsia" w:ascii="宋体" w:hAnsi="宋体"/>
          <w:szCs w:val="21"/>
          <w:u w:val="single"/>
        </w:rPr>
        <w:t xml:space="preserve">             </w:t>
      </w:r>
    </w:p>
    <w:p>
      <w:pPr>
        <w:snapToGrid w:val="0"/>
        <w:spacing w:line="360" w:lineRule="auto"/>
        <w:ind w:firstLine="4200" w:firstLineChars="2000"/>
        <w:rPr>
          <w:rFonts w:ascii="宋体" w:hAnsi="宋体"/>
          <w:szCs w:val="21"/>
        </w:rPr>
      </w:pPr>
      <w:r>
        <w:rPr>
          <w:rFonts w:hint="eastAsia" w:ascii="宋体" w:hAnsi="宋体"/>
          <w:szCs w:val="21"/>
        </w:rPr>
        <w:t>邮政编码：</w:t>
      </w:r>
      <w:r>
        <w:rPr>
          <w:rFonts w:hint="eastAsia" w:ascii="宋体" w:hAnsi="宋体"/>
          <w:szCs w:val="21"/>
          <w:u w:val="single"/>
        </w:rPr>
        <w:t xml:space="preserve">             </w:t>
      </w:r>
    </w:p>
    <w:p>
      <w:pPr>
        <w:snapToGrid w:val="0"/>
        <w:spacing w:line="360" w:lineRule="auto"/>
        <w:ind w:firstLine="4200" w:firstLineChars="2000"/>
        <w:rPr>
          <w:rFonts w:ascii="宋体" w:hAnsi="宋体"/>
          <w:szCs w:val="21"/>
        </w:rPr>
      </w:pPr>
      <w:r>
        <w:rPr>
          <w:rFonts w:hint="eastAsia" w:ascii="宋体" w:hAnsi="宋体"/>
          <w:szCs w:val="21"/>
        </w:rPr>
        <w:t>联系电话：</w:t>
      </w:r>
      <w:r>
        <w:rPr>
          <w:rFonts w:hint="eastAsia" w:ascii="宋体" w:hAnsi="宋体"/>
          <w:szCs w:val="21"/>
          <w:u w:val="single"/>
        </w:rPr>
        <w:t xml:space="preserve">             </w:t>
      </w:r>
    </w:p>
    <w:p>
      <w:pPr>
        <w:snapToGrid w:val="0"/>
        <w:spacing w:line="360" w:lineRule="auto"/>
        <w:ind w:firstLine="4200" w:firstLineChars="2000"/>
        <w:rPr>
          <w:rFonts w:ascii="宋体" w:hAnsi="宋体"/>
          <w:szCs w:val="21"/>
        </w:rPr>
      </w:pPr>
      <w:r>
        <w:rPr>
          <w:rFonts w:hint="eastAsia" w:ascii="宋体" w:hAnsi="宋体"/>
          <w:szCs w:val="21"/>
        </w:rPr>
        <w:t>传    真：</w:t>
      </w:r>
      <w:r>
        <w:rPr>
          <w:rFonts w:hint="eastAsia" w:ascii="宋体" w:hAnsi="宋体"/>
          <w:szCs w:val="21"/>
          <w:u w:val="single"/>
        </w:rPr>
        <w:t xml:space="preserve">             </w:t>
      </w:r>
    </w:p>
    <w:p>
      <w:pPr>
        <w:snapToGrid w:val="0"/>
        <w:spacing w:line="360" w:lineRule="auto"/>
        <w:ind w:firstLine="4200" w:firstLineChars="2000"/>
        <w:rPr>
          <w:rFonts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360" w:lineRule="auto"/>
        <w:rPr>
          <w:rFonts w:ascii="宋体" w:hAnsi="宋体"/>
          <w:b/>
          <w:szCs w:val="21"/>
        </w:rPr>
        <w:sectPr>
          <w:pgSz w:w="11907" w:h="16840"/>
          <w:pgMar w:top="1134" w:right="1134" w:bottom="1134" w:left="1134" w:header="851" w:footer="850" w:gutter="0"/>
          <w:pgNumType w:fmt="decimal"/>
          <w:cols w:space="720" w:num="1"/>
          <w:docGrid w:type="lines" w:linePitch="312" w:charSpace="0"/>
        </w:sectPr>
      </w:pPr>
    </w:p>
    <w:p>
      <w:pPr>
        <w:spacing w:line="360" w:lineRule="auto"/>
        <w:jc w:val="left"/>
        <w:rPr>
          <w:rFonts w:ascii="宋体" w:hAnsi="宋体"/>
          <w:b/>
          <w:sz w:val="24"/>
        </w:rPr>
      </w:pPr>
      <w:bookmarkStart w:id="571" w:name="_Toc32008"/>
      <w:r>
        <w:rPr>
          <w:rFonts w:hint="eastAsia" w:ascii="宋体" w:hAnsi="宋体"/>
          <w:b/>
          <w:sz w:val="32"/>
          <w:szCs w:val="32"/>
        </w:rPr>
        <w:t>二</w:t>
      </w:r>
      <w:r>
        <w:rPr>
          <w:rFonts w:hint="eastAsia" w:ascii="黑体" w:hAnsi="黑体" w:eastAsia="黑体" w:cs="黑体"/>
        </w:rPr>
        <w:t>、</w:t>
      </w:r>
      <w:bookmarkEnd w:id="571"/>
      <w:bookmarkStart w:id="572" w:name="_Toc5005057"/>
      <w:bookmarkStart w:id="573" w:name="_Toc22973"/>
      <w:bookmarkStart w:id="574" w:name="_Toc4578890"/>
      <w:bookmarkStart w:id="575" w:name="_Toc24623"/>
      <w:bookmarkStart w:id="576" w:name="_Toc11874"/>
      <w:bookmarkStart w:id="577" w:name="_Toc9053"/>
      <w:bookmarkStart w:id="578" w:name="_Toc3887_WPSOffice_Level3"/>
      <w:bookmarkStart w:id="579" w:name="_Toc12942"/>
      <w:bookmarkStart w:id="580" w:name="_Toc4659753"/>
      <w:bookmarkStart w:id="581" w:name="_Toc3915"/>
      <w:bookmarkStart w:id="582" w:name="_Toc31545"/>
      <w:bookmarkStart w:id="583" w:name="_Toc25438"/>
      <w:r>
        <w:rPr>
          <w:rFonts w:hint="eastAsia" w:ascii="宋体" w:hAnsi="宋体"/>
          <w:b/>
          <w:sz w:val="24"/>
        </w:rPr>
        <w:t>报价一览表</w:t>
      </w:r>
    </w:p>
    <w:p>
      <w:pPr>
        <w:spacing w:line="360" w:lineRule="auto"/>
        <w:jc w:val="center"/>
      </w:pPr>
      <w:bookmarkStart w:id="584" w:name="_Toc1522_WPSOffice_Level2"/>
      <w:r>
        <w:rPr>
          <w:rFonts w:hint="eastAsia" w:ascii="宋体" w:hAnsi="宋体"/>
          <w:b/>
          <w:sz w:val="24"/>
        </w:rPr>
        <w:t>报价一览表</w:t>
      </w:r>
      <w:bookmarkEnd w:id="584"/>
    </w:p>
    <w:tbl>
      <w:tblPr>
        <w:tblStyle w:val="33"/>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7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952" w:type="dxa"/>
            <w:vAlign w:val="center"/>
          </w:tcPr>
          <w:p>
            <w:pPr>
              <w:tabs>
                <w:tab w:val="left" w:pos="7513"/>
              </w:tabs>
              <w:spacing w:line="360" w:lineRule="auto"/>
              <w:jc w:val="center"/>
              <w:rPr>
                <w:rFonts w:ascii="宋体" w:hAnsi="宋体" w:cs="宋体"/>
                <w:kern w:val="0"/>
                <w:sz w:val="24"/>
              </w:rPr>
            </w:pPr>
            <w:r>
              <w:rPr>
                <w:rFonts w:hint="eastAsia" w:ascii="宋体" w:hAnsi="宋体" w:cs="宋体"/>
                <w:kern w:val="0"/>
                <w:sz w:val="24"/>
              </w:rPr>
              <w:t>采购项目名称</w:t>
            </w:r>
          </w:p>
        </w:tc>
        <w:tc>
          <w:tcPr>
            <w:tcW w:w="7290" w:type="dxa"/>
            <w:vAlign w:val="center"/>
          </w:tcPr>
          <w:p>
            <w:pPr>
              <w:tabs>
                <w:tab w:val="left" w:pos="7513"/>
              </w:tabs>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952" w:type="dxa"/>
            <w:vAlign w:val="center"/>
          </w:tcPr>
          <w:p>
            <w:pPr>
              <w:tabs>
                <w:tab w:val="left" w:pos="7513"/>
              </w:tabs>
              <w:spacing w:line="360" w:lineRule="auto"/>
              <w:jc w:val="center"/>
              <w:rPr>
                <w:rFonts w:ascii="宋体" w:hAnsi="宋体" w:cs="宋体"/>
                <w:kern w:val="0"/>
                <w:sz w:val="24"/>
              </w:rPr>
            </w:pPr>
            <w:r>
              <w:rPr>
                <w:rFonts w:hint="eastAsia" w:ascii="宋体" w:hAnsi="宋体" w:cs="宋体"/>
                <w:kern w:val="0"/>
                <w:sz w:val="24"/>
              </w:rPr>
              <w:t>采购编号</w:t>
            </w:r>
          </w:p>
        </w:tc>
        <w:tc>
          <w:tcPr>
            <w:tcW w:w="7290" w:type="dxa"/>
            <w:vAlign w:val="center"/>
          </w:tcPr>
          <w:p>
            <w:pPr>
              <w:tabs>
                <w:tab w:val="left" w:pos="7513"/>
              </w:tabs>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952" w:type="dxa"/>
            <w:vAlign w:val="center"/>
          </w:tcPr>
          <w:p>
            <w:pPr>
              <w:tabs>
                <w:tab w:val="left" w:pos="7513"/>
              </w:tabs>
              <w:spacing w:line="360" w:lineRule="auto"/>
              <w:jc w:val="center"/>
              <w:rPr>
                <w:rFonts w:ascii="宋体" w:hAnsi="宋体" w:cs="宋体"/>
                <w:kern w:val="0"/>
                <w:sz w:val="24"/>
              </w:rPr>
            </w:pPr>
            <w:r>
              <w:rPr>
                <w:rFonts w:hint="eastAsia" w:ascii="宋体" w:hAnsi="宋体" w:cs="宋体"/>
                <w:kern w:val="0"/>
                <w:sz w:val="24"/>
              </w:rPr>
              <w:t>供应商名称</w:t>
            </w:r>
          </w:p>
        </w:tc>
        <w:tc>
          <w:tcPr>
            <w:tcW w:w="7290" w:type="dxa"/>
            <w:vAlign w:val="center"/>
          </w:tcPr>
          <w:p>
            <w:pPr>
              <w:tabs>
                <w:tab w:val="left" w:pos="7513"/>
              </w:tabs>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952" w:type="dxa"/>
            <w:vAlign w:val="center"/>
          </w:tcPr>
          <w:p>
            <w:pPr>
              <w:tabs>
                <w:tab w:val="left" w:pos="7513"/>
              </w:tabs>
              <w:spacing w:line="360" w:lineRule="auto"/>
              <w:jc w:val="center"/>
              <w:rPr>
                <w:rFonts w:ascii="宋体" w:hAnsi="宋体" w:cs="宋体"/>
                <w:kern w:val="0"/>
                <w:sz w:val="24"/>
              </w:rPr>
            </w:pPr>
            <w:r>
              <w:rPr>
                <w:rFonts w:hint="eastAsia" w:ascii="宋体" w:hAnsi="宋体" w:cs="宋体"/>
                <w:kern w:val="0"/>
                <w:sz w:val="24"/>
                <w:lang w:val="en-US" w:eastAsia="zh-CN"/>
              </w:rPr>
              <w:t>报价合计</w:t>
            </w:r>
            <w:r>
              <w:rPr>
                <w:rFonts w:hint="eastAsia" w:ascii="宋体" w:hAnsi="宋体" w:cs="宋体"/>
                <w:kern w:val="0"/>
                <w:sz w:val="24"/>
              </w:rPr>
              <w:t>（元）</w:t>
            </w:r>
          </w:p>
        </w:tc>
        <w:tc>
          <w:tcPr>
            <w:tcW w:w="7290" w:type="dxa"/>
            <w:vAlign w:val="center"/>
          </w:tcPr>
          <w:p>
            <w:pPr>
              <w:tabs>
                <w:tab w:val="left" w:pos="7513"/>
              </w:tabs>
              <w:spacing w:line="360" w:lineRule="auto"/>
              <w:jc w:val="center"/>
              <w:rPr>
                <w:rFonts w:hint="default" w:ascii="宋体" w:hAnsi="宋体" w:eastAsia="宋体" w:cs="宋体"/>
                <w:kern w:val="0"/>
                <w:sz w:val="24"/>
                <w:lang w:val="en-US" w:eastAsia="zh-CN"/>
              </w:rPr>
            </w:pPr>
            <w:r>
              <w:rPr>
                <w:rFonts w:hint="eastAsia" w:ascii="宋体" w:hAnsi="宋体" w:cs="宋体"/>
                <w:kern w:val="0"/>
                <w:sz w:val="24"/>
              </w:rPr>
              <w:t>人民币：</w:t>
            </w:r>
            <w:r>
              <w:rPr>
                <w:rFonts w:hint="eastAsia" w:ascii="宋体" w:hAnsi="宋体" w:cs="宋体"/>
                <w:kern w:val="0"/>
                <w:sz w:val="24"/>
                <w:u w:val="single"/>
              </w:rPr>
              <w:t xml:space="preserve">       </w:t>
            </w:r>
            <w:r>
              <w:rPr>
                <w:rFonts w:hint="eastAsia" w:ascii="宋体" w:hAnsi="宋体" w:cs="宋体"/>
                <w:kern w:val="0"/>
                <w:sz w:val="24"/>
              </w:rPr>
              <w:t>元</w:t>
            </w:r>
            <w:r>
              <w:rPr>
                <w:rFonts w:hint="eastAsia" w:ascii="宋体" w:hAnsi="宋体" w:cs="宋体"/>
                <w:kern w:val="0"/>
                <w:sz w:val="24"/>
                <w:lang w:val="en-US" w:eastAsia="zh-CN"/>
              </w:rPr>
              <w:t>/年</w:t>
            </w:r>
          </w:p>
          <w:p>
            <w:pPr>
              <w:tabs>
                <w:tab w:val="left" w:pos="7513"/>
              </w:tabs>
              <w:spacing w:line="360" w:lineRule="auto"/>
              <w:jc w:val="center"/>
              <w:rPr>
                <w:rFonts w:ascii="宋体" w:hAnsi="宋体" w:cs="宋体"/>
                <w:kern w:val="0"/>
                <w:sz w:val="24"/>
              </w:rPr>
            </w:pPr>
            <w:r>
              <w:rPr>
                <w:rFonts w:hint="eastAsia" w:ascii="宋体" w:hAnsi="宋体" w:cs="宋体"/>
                <w:kern w:val="0"/>
                <w:sz w:val="24"/>
              </w:rPr>
              <w:t>（大写：</w:t>
            </w:r>
            <w:r>
              <w:rPr>
                <w:rFonts w:hint="eastAsia" w:ascii="宋体" w:hAnsi="宋体" w:cs="宋体"/>
                <w:kern w:val="0"/>
                <w:sz w:val="24"/>
                <w:u w:val="single"/>
              </w:rPr>
              <w:t xml:space="preserve">                    元</w:t>
            </w:r>
            <w:r>
              <w:rPr>
                <w:rFonts w:hint="eastAsia" w:ascii="宋体" w:hAnsi="宋体" w:cs="宋体"/>
                <w:kern w:val="0"/>
                <w:sz w:val="24"/>
                <w:u w:val="single"/>
                <w:lang w:val="en-US" w:eastAsia="zh-CN"/>
              </w:rPr>
              <w:t>/年</w:t>
            </w: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952" w:type="dxa"/>
            <w:vAlign w:val="center"/>
          </w:tcPr>
          <w:p>
            <w:pPr>
              <w:tabs>
                <w:tab w:val="left" w:pos="7513"/>
              </w:tabs>
              <w:spacing w:line="360" w:lineRule="auto"/>
              <w:jc w:val="center"/>
              <w:rPr>
                <w:rFonts w:ascii="宋体" w:hAnsi="宋体" w:cs="宋体"/>
                <w:kern w:val="0"/>
                <w:sz w:val="24"/>
              </w:rPr>
            </w:pPr>
            <w:r>
              <w:rPr>
                <w:rFonts w:hint="eastAsia" w:ascii="宋体" w:hAnsi="宋体" w:cs="宋体"/>
                <w:kern w:val="0"/>
                <w:sz w:val="24"/>
              </w:rPr>
              <w:t>备注</w:t>
            </w:r>
          </w:p>
        </w:tc>
        <w:tc>
          <w:tcPr>
            <w:tcW w:w="7290" w:type="dxa"/>
            <w:vAlign w:val="center"/>
          </w:tcPr>
          <w:p>
            <w:pPr>
              <w:tabs>
                <w:tab w:val="left" w:pos="7513"/>
              </w:tabs>
              <w:spacing w:line="360" w:lineRule="auto"/>
              <w:jc w:val="left"/>
              <w:rPr>
                <w:rFonts w:ascii="宋体" w:hAnsi="宋体" w:cs="宋体"/>
                <w:kern w:val="0"/>
                <w:sz w:val="24"/>
              </w:rPr>
            </w:pPr>
            <w:r>
              <w:rPr>
                <w:rFonts w:hint="eastAsia" w:ascii="宋体" w:hAnsi="宋体" w:cs="宋体"/>
                <w:kern w:val="0"/>
                <w:sz w:val="24"/>
                <w:lang w:val="en-US" w:eastAsia="zh-CN"/>
              </w:rPr>
              <w:t>1.</w:t>
            </w:r>
            <w:r>
              <w:rPr>
                <w:rFonts w:hint="eastAsia" w:ascii="宋体" w:hAnsi="宋体" w:cs="宋体"/>
                <w:kern w:val="0"/>
                <w:sz w:val="24"/>
              </w:rPr>
              <w:t>供应商根据服务内容配备食堂工作人员，食堂劳务费用为可竞争费用（包含食堂工作人员工资及费用+管理费及税金+低值易耗品费用），最高限价为390000.00元/年。</w:t>
            </w:r>
          </w:p>
          <w:p>
            <w:pPr>
              <w:tabs>
                <w:tab w:val="left" w:pos="7513"/>
              </w:tabs>
              <w:spacing w:line="360" w:lineRule="auto"/>
              <w:jc w:val="left"/>
              <w:rPr>
                <w:rFonts w:ascii="宋体" w:hAnsi="宋体" w:cs="宋体"/>
                <w:kern w:val="0"/>
                <w:sz w:val="24"/>
              </w:rPr>
            </w:pPr>
            <w:r>
              <w:rPr>
                <w:rFonts w:hint="eastAsia" w:ascii="宋体" w:hAnsi="宋体" w:cs="宋体"/>
                <w:kern w:val="0"/>
                <w:sz w:val="24"/>
                <w:lang w:val="en-US" w:eastAsia="zh-CN"/>
              </w:rPr>
              <w:t>2.</w:t>
            </w:r>
            <w:r>
              <w:rPr>
                <w:rFonts w:hint="eastAsia" w:ascii="宋体" w:hAnsi="宋体" w:cs="宋体"/>
                <w:kern w:val="0"/>
                <w:sz w:val="24"/>
              </w:rPr>
              <w:t>餐费为不可竞争费用（包含工作日早、午、公务接待餐费+临时性工作餐餐费）共计390000.00元/年，实际餐费根据实际工作天数和用餐人数据实结算。</w:t>
            </w:r>
          </w:p>
          <w:p>
            <w:pPr>
              <w:tabs>
                <w:tab w:val="left" w:pos="7513"/>
              </w:tabs>
              <w:spacing w:line="360" w:lineRule="auto"/>
              <w:jc w:val="left"/>
              <w:rPr>
                <w:rFonts w:ascii="宋体" w:hAnsi="宋体" w:cs="宋体"/>
                <w:kern w:val="0"/>
                <w:sz w:val="24"/>
              </w:rPr>
            </w:pPr>
            <w:r>
              <w:rPr>
                <w:rFonts w:hint="eastAsia" w:ascii="宋体" w:hAnsi="宋体" w:cs="宋体"/>
                <w:kern w:val="0"/>
                <w:sz w:val="24"/>
                <w:lang w:val="en-US" w:eastAsia="zh-CN"/>
              </w:rPr>
              <w:t>3.</w:t>
            </w:r>
            <w:r>
              <w:rPr>
                <w:rFonts w:hint="eastAsia" w:ascii="宋体" w:hAnsi="宋体" w:cs="宋体"/>
                <w:kern w:val="0"/>
                <w:sz w:val="24"/>
              </w:rPr>
              <w:t>投标总价=可竞争费用+不可竞争费用。</w:t>
            </w:r>
          </w:p>
        </w:tc>
      </w:tr>
    </w:tbl>
    <w:p>
      <w:pPr>
        <w:tabs>
          <w:tab w:val="left" w:pos="7513"/>
        </w:tabs>
        <w:spacing w:line="360" w:lineRule="auto"/>
        <w:ind w:firstLine="480" w:firstLineChars="200"/>
        <w:rPr>
          <w:rFonts w:ascii="宋体" w:hAnsi="宋体" w:cs="宋体"/>
          <w:sz w:val="24"/>
        </w:rPr>
      </w:pPr>
    </w:p>
    <w:p>
      <w:pPr>
        <w:tabs>
          <w:tab w:val="left" w:pos="7513"/>
        </w:tabs>
        <w:spacing w:line="360" w:lineRule="auto"/>
        <w:ind w:firstLine="480" w:firstLineChars="200"/>
        <w:rPr>
          <w:rFonts w:ascii="宋体" w:hAnsi="宋体" w:cs="宋体"/>
          <w:sz w:val="24"/>
        </w:rPr>
      </w:pPr>
      <w:r>
        <w:rPr>
          <w:rFonts w:hint="eastAsia" w:ascii="宋体" w:hAnsi="宋体" w:cs="宋体"/>
          <w:sz w:val="24"/>
        </w:rPr>
        <w:t>注:1.所有报价均用人民币表示。报价包含一切所有费用。</w:t>
      </w:r>
    </w:p>
    <w:p>
      <w:pPr>
        <w:tabs>
          <w:tab w:val="left" w:pos="7513"/>
        </w:tabs>
        <w:spacing w:line="360" w:lineRule="auto"/>
        <w:ind w:firstLine="720" w:firstLineChars="300"/>
        <w:rPr>
          <w:rFonts w:ascii="宋体" w:hAnsi="宋体" w:cs="宋体"/>
          <w:sz w:val="24"/>
        </w:rPr>
      </w:pPr>
      <w:bookmarkStart w:id="585" w:name="_Toc23269_WPSOffice_Level2"/>
      <w:r>
        <w:rPr>
          <w:rFonts w:hint="eastAsia" w:ascii="宋体" w:hAnsi="宋体" w:cs="宋体"/>
          <w:sz w:val="24"/>
        </w:rPr>
        <w:t>2.表格如不能完全表达相关内容，供应商可自行补充。</w:t>
      </w:r>
      <w:bookmarkEnd w:id="585"/>
    </w:p>
    <w:p>
      <w:pPr>
        <w:widowControl/>
        <w:spacing w:line="360" w:lineRule="auto"/>
        <w:jc w:val="left"/>
        <w:outlineLvl w:val="1"/>
        <w:rPr>
          <w:rFonts w:ascii="宋体" w:hAnsi="宋体"/>
          <w:sz w:val="24"/>
        </w:rPr>
      </w:pPr>
    </w:p>
    <w:p>
      <w:pPr>
        <w:spacing w:line="360" w:lineRule="auto"/>
        <w:ind w:firstLine="3129" w:firstLineChars="1304"/>
        <w:rPr>
          <w:sz w:val="24"/>
        </w:rPr>
      </w:pPr>
      <w:r>
        <w:rPr>
          <w:rFonts w:hint="eastAsia"/>
          <w:sz w:val="24"/>
        </w:rPr>
        <w:t>供应商名称：</w:t>
      </w:r>
      <w:r>
        <w:rPr>
          <w:rFonts w:hint="eastAsia"/>
          <w:sz w:val="24"/>
          <w:u w:val="single"/>
        </w:rPr>
        <w:t xml:space="preserve">             </w:t>
      </w:r>
      <w:r>
        <w:rPr>
          <w:rFonts w:hint="eastAsia"/>
          <w:sz w:val="24"/>
        </w:rPr>
        <w:t>（单位公章）。</w:t>
      </w:r>
    </w:p>
    <w:p>
      <w:pPr>
        <w:spacing w:line="360" w:lineRule="auto"/>
        <w:ind w:firstLine="3129" w:firstLineChars="1304"/>
        <w:rPr>
          <w:sz w:val="24"/>
        </w:rPr>
      </w:pPr>
      <w:r>
        <w:rPr>
          <w:rFonts w:hint="eastAsia"/>
          <w:sz w:val="24"/>
        </w:rPr>
        <w:t>法定代表人或授权代表（签字或加盖个人印章）：</w:t>
      </w:r>
      <w:r>
        <w:rPr>
          <w:rFonts w:hint="eastAsia"/>
          <w:sz w:val="24"/>
          <w:u w:val="single"/>
        </w:rPr>
        <w:t xml:space="preserve">      </w:t>
      </w:r>
      <w:r>
        <w:rPr>
          <w:rFonts w:hint="eastAsia"/>
          <w:sz w:val="24"/>
        </w:rPr>
        <w:t>。</w:t>
      </w:r>
    </w:p>
    <w:p>
      <w:pPr>
        <w:spacing w:line="360" w:lineRule="auto"/>
        <w:ind w:firstLine="3129" w:firstLineChars="1304"/>
        <w:rPr>
          <w:sz w:val="24"/>
        </w:rPr>
      </w:pPr>
      <w:r>
        <w:rPr>
          <w:rFonts w:hint="eastAsia"/>
          <w:sz w:val="24"/>
        </w:rPr>
        <w:t>日    期：</w:t>
      </w:r>
      <w:r>
        <w:rPr>
          <w:rFonts w:hint="eastAsia"/>
          <w:sz w:val="24"/>
          <w:u w:val="single"/>
        </w:rPr>
        <w:t xml:space="preserve">             </w:t>
      </w:r>
      <w:r>
        <w:rPr>
          <w:rFonts w:hint="eastAsia"/>
          <w:sz w:val="24"/>
        </w:rPr>
        <w:t>。</w:t>
      </w:r>
    </w:p>
    <w:p>
      <w:pPr>
        <w:rPr>
          <w:rFonts w:ascii="黑体" w:hAnsi="黑体" w:eastAsia="黑体" w:cs="黑体"/>
        </w:rPr>
      </w:pPr>
      <w:r>
        <w:rPr>
          <w:rFonts w:hint="eastAsia" w:ascii="黑体" w:hAnsi="黑体" w:eastAsia="黑体" w:cs="黑体"/>
        </w:rPr>
        <w:br w:type="page"/>
      </w:r>
    </w:p>
    <w:p>
      <w:pPr>
        <w:pStyle w:val="4"/>
        <w:spacing w:before="0" w:after="0" w:line="360" w:lineRule="auto"/>
        <w:rPr>
          <w:rFonts w:ascii="黑体" w:hAnsi="黑体" w:eastAsia="黑体" w:cs="黑体"/>
        </w:rPr>
      </w:pPr>
      <w:r>
        <w:rPr>
          <w:rFonts w:hint="eastAsia" w:ascii="黑体" w:hAnsi="黑体" w:eastAsia="黑体" w:cs="黑体"/>
        </w:rPr>
        <w:t>三、承诺函</w:t>
      </w:r>
      <w:bookmarkEnd w:id="572"/>
      <w:bookmarkEnd w:id="573"/>
      <w:bookmarkEnd w:id="574"/>
      <w:bookmarkEnd w:id="575"/>
      <w:bookmarkEnd w:id="576"/>
      <w:bookmarkEnd w:id="577"/>
      <w:bookmarkEnd w:id="578"/>
      <w:bookmarkEnd w:id="579"/>
      <w:bookmarkEnd w:id="580"/>
      <w:bookmarkEnd w:id="581"/>
      <w:bookmarkEnd w:id="582"/>
      <w:bookmarkEnd w:id="583"/>
    </w:p>
    <w:p>
      <w:pPr>
        <w:snapToGrid w:val="0"/>
        <w:spacing w:line="360" w:lineRule="auto"/>
        <w:rPr>
          <w:rFonts w:ascii="宋体" w:hAnsi="宋体"/>
          <w:szCs w:val="21"/>
        </w:rPr>
      </w:pPr>
      <w:r>
        <w:rPr>
          <w:rFonts w:hint="eastAsia" w:ascii="宋体" w:hAnsi="宋体"/>
          <w:szCs w:val="21"/>
          <w:u w:val="single"/>
        </w:rPr>
        <w:t xml:space="preserve">             </w:t>
      </w:r>
      <w:r>
        <w:rPr>
          <w:rFonts w:hint="eastAsia" w:ascii="宋体" w:hAnsi="宋体"/>
          <w:szCs w:val="21"/>
        </w:rPr>
        <w:t>（采购代理机构名称）：</w:t>
      </w:r>
    </w:p>
    <w:p>
      <w:pPr>
        <w:snapToGrid w:val="0"/>
        <w:spacing w:line="360" w:lineRule="auto"/>
        <w:ind w:firstLine="420" w:firstLineChars="200"/>
        <w:rPr>
          <w:rFonts w:ascii="宋体" w:hAnsi="宋体"/>
          <w:szCs w:val="21"/>
        </w:rPr>
      </w:pPr>
      <w:r>
        <w:rPr>
          <w:rFonts w:hint="eastAsia" w:ascii="宋体" w:hAnsi="宋体"/>
          <w:szCs w:val="21"/>
        </w:rPr>
        <w:t>我公司作为本次采购项目的供应商，根据磋商文件要求，现郑重承诺如下：</w:t>
      </w:r>
    </w:p>
    <w:p>
      <w:pPr>
        <w:snapToGrid w:val="0"/>
        <w:spacing w:line="360" w:lineRule="auto"/>
        <w:ind w:firstLine="420" w:firstLineChars="200"/>
        <w:rPr>
          <w:rFonts w:ascii="宋体" w:hAnsi="宋体"/>
          <w:szCs w:val="21"/>
        </w:rPr>
      </w:pPr>
      <w:r>
        <w:rPr>
          <w:rFonts w:hint="eastAsia" w:ascii="宋体" w:hAnsi="宋体"/>
          <w:szCs w:val="21"/>
        </w:rPr>
        <w:t>一、具备本项目规定的条件：</w:t>
      </w:r>
    </w:p>
    <w:p>
      <w:pPr>
        <w:snapToGrid w:val="0"/>
        <w:spacing w:line="360" w:lineRule="auto"/>
        <w:ind w:firstLine="420" w:firstLineChars="200"/>
        <w:rPr>
          <w:rFonts w:ascii="宋体" w:hAnsi="宋体"/>
          <w:szCs w:val="21"/>
        </w:rPr>
      </w:pPr>
      <w:r>
        <w:rPr>
          <w:rFonts w:hint="eastAsia" w:ascii="宋体" w:hAnsi="宋体"/>
          <w:szCs w:val="21"/>
        </w:rPr>
        <w:t>（一）具有独立承担民事责任的能力；</w:t>
      </w:r>
    </w:p>
    <w:p>
      <w:pPr>
        <w:snapToGrid w:val="0"/>
        <w:spacing w:line="360" w:lineRule="auto"/>
        <w:ind w:firstLine="420" w:firstLineChars="200"/>
        <w:rPr>
          <w:rFonts w:ascii="宋体" w:hAnsi="宋体"/>
          <w:szCs w:val="21"/>
        </w:rPr>
      </w:pPr>
      <w:r>
        <w:rPr>
          <w:rFonts w:hint="eastAsia" w:ascii="宋体" w:hAnsi="宋体"/>
          <w:szCs w:val="21"/>
        </w:rPr>
        <w:t>（二）具有良好的商业信誉和健全的财务会计制度；</w:t>
      </w:r>
    </w:p>
    <w:p>
      <w:pPr>
        <w:snapToGrid w:val="0"/>
        <w:spacing w:line="360" w:lineRule="auto"/>
        <w:ind w:firstLine="420" w:firstLineChars="200"/>
        <w:rPr>
          <w:rFonts w:ascii="宋体" w:hAnsi="宋体"/>
          <w:szCs w:val="21"/>
        </w:rPr>
      </w:pPr>
      <w:r>
        <w:rPr>
          <w:rFonts w:hint="eastAsia" w:ascii="宋体" w:hAnsi="宋体"/>
          <w:szCs w:val="21"/>
        </w:rPr>
        <w:t>（三）具有履行合同所必需的设备和专业技术能力；</w:t>
      </w:r>
    </w:p>
    <w:p>
      <w:pPr>
        <w:snapToGrid w:val="0"/>
        <w:spacing w:line="360" w:lineRule="auto"/>
        <w:ind w:firstLine="420" w:firstLineChars="200"/>
        <w:rPr>
          <w:rFonts w:ascii="宋体" w:hAnsi="宋体"/>
          <w:szCs w:val="21"/>
        </w:rPr>
      </w:pPr>
      <w:r>
        <w:rPr>
          <w:rFonts w:hint="eastAsia" w:ascii="宋体" w:hAnsi="宋体"/>
          <w:szCs w:val="21"/>
        </w:rPr>
        <w:t>（四）有依法缴纳税收和社会保障资金的良好记录；</w:t>
      </w:r>
    </w:p>
    <w:p>
      <w:pPr>
        <w:snapToGrid w:val="0"/>
        <w:spacing w:line="360" w:lineRule="auto"/>
        <w:ind w:firstLine="420" w:firstLineChars="200"/>
        <w:rPr>
          <w:rFonts w:ascii="宋体" w:hAnsi="宋体"/>
          <w:szCs w:val="21"/>
        </w:rPr>
      </w:pPr>
      <w:r>
        <w:rPr>
          <w:rFonts w:hint="eastAsia" w:ascii="宋体" w:hAnsi="宋体"/>
          <w:szCs w:val="21"/>
        </w:rPr>
        <w:t>（五）参加采购活动前三年内，在经营活动中没有重大违法记录；</w:t>
      </w:r>
    </w:p>
    <w:p>
      <w:pPr>
        <w:snapToGrid w:val="0"/>
        <w:spacing w:line="360" w:lineRule="auto"/>
        <w:ind w:firstLine="420" w:firstLineChars="200"/>
        <w:rPr>
          <w:rFonts w:ascii="宋体" w:hAnsi="宋体"/>
          <w:szCs w:val="21"/>
        </w:rPr>
      </w:pPr>
      <w:r>
        <w:rPr>
          <w:rFonts w:hint="eastAsia" w:ascii="宋体" w:hAnsi="宋体"/>
          <w:szCs w:val="21"/>
        </w:rPr>
        <w:t>（六）法律、行政法规规定的其他条件；</w:t>
      </w:r>
    </w:p>
    <w:p>
      <w:pPr>
        <w:snapToGrid w:val="0"/>
        <w:spacing w:line="360" w:lineRule="auto"/>
        <w:ind w:firstLine="420" w:firstLineChars="200"/>
        <w:rPr>
          <w:rFonts w:ascii="宋体" w:hAnsi="宋体"/>
          <w:szCs w:val="21"/>
        </w:rPr>
      </w:pPr>
      <w:r>
        <w:rPr>
          <w:rFonts w:hint="eastAsia" w:ascii="宋体" w:hAnsi="宋体"/>
          <w:szCs w:val="21"/>
        </w:rPr>
        <w:t>二、完全接受和满足本项目磋商文件中规定的实质性要求（如采购预算、最高限价、联合体、低于成本价不正当竞争预防措施、国家规定的强制采购范围、合格供应商、充分、公平竞争保障措施、联合体竞争性磋商、磋商保证金、响应文件有效期、知识产权、磋商文件的构成、响应文件的组成、响应文件的语言、计量单位、报价货币、合同分包、合同转包、履约保证金等实质性要求），如对磋商文件有异议，已经在递交响应文件截止时间届满前依法进行维权救济，不存在对磋商文件有异议的同时又参加磋商以求侥幸成交或者为实现其他非法目的的行为。</w:t>
      </w:r>
    </w:p>
    <w:p>
      <w:pPr>
        <w:snapToGrid w:val="0"/>
        <w:spacing w:line="360" w:lineRule="auto"/>
        <w:ind w:firstLine="420" w:firstLineChars="200"/>
        <w:rPr>
          <w:rFonts w:ascii="宋体" w:hAnsi="宋体"/>
          <w:szCs w:val="21"/>
        </w:rPr>
      </w:pPr>
      <w:r>
        <w:rPr>
          <w:rFonts w:hint="eastAsia" w:ascii="宋体" w:hAnsi="宋体"/>
          <w:szCs w:val="21"/>
        </w:rPr>
        <w:t>三、在参加本次采购活动中，不存在与单位负责人为同一人或者存在直接控股、管理关系的其他供应商参与同一合同项下的采购活动的行为。</w:t>
      </w:r>
    </w:p>
    <w:p>
      <w:pPr>
        <w:snapToGrid w:val="0"/>
        <w:spacing w:line="360" w:lineRule="auto"/>
        <w:ind w:firstLine="420" w:firstLineChars="200"/>
        <w:rPr>
          <w:rFonts w:ascii="宋体" w:hAnsi="宋体"/>
          <w:szCs w:val="21"/>
        </w:rPr>
      </w:pPr>
      <w:r>
        <w:rPr>
          <w:rFonts w:hint="eastAsia" w:ascii="宋体" w:hAnsi="宋体"/>
          <w:szCs w:val="21"/>
        </w:rPr>
        <w:t>四、在参加本次采购活动中，不存在和其他供应商在同一合同项下的采购项目中，同时委托同一个自然人、同一家庭的人员、同一单位的人员作为代理人的行为。</w:t>
      </w:r>
    </w:p>
    <w:p>
      <w:pPr>
        <w:snapToGrid w:val="0"/>
        <w:spacing w:line="360" w:lineRule="auto"/>
        <w:ind w:firstLine="420" w:firstLineChars="200"/>
        <w:rPr>
          <w:rFonts w:ascii="宋体" w:hAnsi="宋体"/>
          <w:szCs w:val="21"/>
        </w:rPr>
      </w:pPr>
      <w:r>
        <w:rPr>
          <w:rFonts w:hint="eastAsia" w:ascii="宋体" w:hAnsi="宋体"/>
          <w:szCs w:val="21"/>
        </w:rPr>
        <w:t>五、在参加本次采购活动中，不存在《四川省公共资源交易领域严重失信联合惩戒实施办法》（川发改信用规〔2019〕405号）、《关于对政府采购领域严重违法失信主体开展联合惩戒的合作备忘录》（发改财金〔2018〕1614号）等有关规定的被记入诚信档案的失信行为。</w:t>
      </w:r>
    </w:p>
    <w:p>
      <w:pPr>
        <w:snapToGrid w:val="0"/>
        <w:spacing w:line="360" w:lineRule="auto"/>
        <w:ind w:firstLine="420" w:firstLineChars="200"/>
        <w:rPr>
          <w:rFonts w:ascii="宋体" w:hAnsi="宋体"/>
          <w:szCs w:val="21"/>
        </w:rPr>
      </w:pPr>
      <w:r>
        <w:rPr>
          <w:rFonts w:hint="eastAsia" w:ascii="宋体" w:hAnsi="宋体"/>
          <w:szCs w:val="21"/>
        </w:rPr>
        <w:t>六、响应文件中提供的任何资料和技术、服务、商务等响应承诺情况都是真实的、有效的、合法的。</w:t>
      </w:r>
    </w:p>
    <w:p>
      <w:pPr>
        <w:snapToGrid w:val="0"/>
        <w:spacing w:line="360" w:lineRule="auto"/>
        <w:ind w:firstLine="420" w:firstLineChars="200"/>
        <w:rPr>
          <w:rFonts w:ascii="宋体" w:hAnsi="宋体"/>
          <w:szCs w:val="21"/>
        </w:rPr>
      </w:pPr>
      <w:r>
        <w:rPr>
          <w:rFonts w:hint="eastAsia" w:ascii="宋体" w:hAnsi="宋体"/>
          <w:szCs w:val="21"/>
        </w:rPr>
        <w:t>本公司对上述承诺的内容事项真实性负责。如经查实上述承诺的内容事项存在虚假，我公司愿意接受以提供虚假材料谋取成交的法律责任。</w:t>
      </w:r>
    </w:p>
    <w:p>
      <w:pPr>
        <w:snapToGrid w:val="0"/>
        <w:spacing w:line="360" w:lineRule="auto"/>
        <w:rPr>
          <w:rFonts w:ascii="宋体" w:hAnsi="宋体"/>
          <w:szCs w:val="21"/>
        </w:rPr>
      </w:pPr>
    </w:p>
    <w:p>
      <w:pPr>
        <w:snapToGrid w:val="0"/>
        <w:spacing w:line="360" w:lineRule="auto"/>
        <w:rPr>
          <w:rFonts w:ascii="宋体" w:hAnsi="宋体"/>
          <w:szCs w:val="21"/>
        </w:rPr>
      </w:pPr>
    </w:p>
    <w:p>
      <w:pPr>
        <w:snapToGrid w:val="0"/>
        <w:spacing w:line="360" w:lineRule="auto"/>
        <w:ind w:firstLine="4200" w:firstLineChars="2000"/>
        <w:rPr>
          <w:rFonts w:ascii="宋体" w:hAnsi="宋体"/>
          <w:szCs w:val="21"/>
        </w:rPr>
      </w:pPr>
      <w:r>
        <w:rPr>
          <w:rFonts w:hint="eastAsia" w:ascii="宋体" w:hAnsi="宋体" w:cs="宋体"/>
        </w:rPr>
        <w:t>法定代表人/负责人</w:t>
      </w:r>
      <w:r>
        <w:rPr>
          <w:rFonts w:hint="eastAsia" w:ascii="宋体" w:hAnsi="宋体"/>
          <w:szCs w:val="21"/>
        </w:rPr>
        <w:t>签字或加盖个人印章：</w:t>
      </w:r>
      <w:r>
        <w:rPr>
          <w:rFonts w:hint="eastAsia" w:ascii="宋体" w:hAnsi="宋体"/>
          <w:szCs w:val="21"/>
          <w:u w:val="single"/>
        </w:rPr>
        <w:t xml:space="preserve">             </w:t>
      </w:r>
    </w:p>
    <w:p>
      <w:pPr>
        <w:snapToGrid w:val="0"/>
        <w:spacing w:line="360" w:lineRule="auto"/>
        <w:ind w:firstLine="4200" w:firstLineChars="2000"/>
        <w:rPr>
          <w:rFonts w:ascii="宋体" w:hAnsi="宋体"/>
          <w:szCs w:val="21"/>
        </w:rPr>
      </w:pPr>
      <w:r>
        <w:rPr>
          <w:rFonts w:hint="eastAsia" w:ascii="宋体" w:hAnsi="宋体"/>
          <w:szCs w:val="21"/>
        </w:rPr>
        <w:t>授权代表签字：</w:t>
      </w:r>
      <w:r>
        <w:rPr>
          <w:rFonts w:hint="eastAsia" w:ascii="宋体" w:hAnsi="宋体"/>
          <w:szCs w:val="21"/>
          <w:u w:val="single"/>
        </w:rPr>
        <w:t xml:space="preserve">             </w:t>
      </w:r>
    </w:p>
    <w:p>
      <w:pPr>
        <w:snapToGrid w:val="0"/>
        <w:spacing w:line="360" w:lineRule="auto"/>
        <w:ind w:firstLine="4200" w:firstLineChars="2000"/>
        <w:rPr>
          <w:rFonts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（盖章）</w:t>
      </w:r>
    </w:p>
    <w:p>
      <w:pPr>
        <w:snapToGrid w:val="0"/>
        <w:spacing w:line="360" w:lineRule="auto"/>
        <w:ind w:firstLine="4200" w:firstLineChars="2000"/>
        <w:rPr>
          <w:rFonts w:ascii="宋体" w:hAnsi="宋体"/>
          <w:bCs/>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bookmarkEnd w:id="562"/>
    <w:p>
      <w:pPr>
        <w:rPr>
          <w:b/>
          <w:bCs/>
          <w:sz w:val="24"/>
          <w:szCs w:val="32"/>
        </w:rPr>
      </w:pPr>
      <w:bookmarkStart w:id="586" w:name="_Toc217446087"/>
      <w:r>
        <w:rPr>
          <w:rFonts w:hint="eastAsia"/>
          <w:b/>
          <w:bCs/>
          <w:sz w:val="24"/>
          <w:szCs w:val="32"/>
        </w:rPr>
        <w:br w:type="page"/>
      </w:r>
    </w:p>
    <w:p>
      <w:pPr>
        <w:pStyle w:val="4"/>
        <w:spacing w:before="0" w:after="0" w:line="360" w:lineRule="auto"/>
        <w:rPr>
          <w:rFonts w:ascii="黑体" w:hAnsi="黑体" w:eastAsia="黑体" w:cs="黑体"/>
        </w:rPr>
      </w:pPr>
      <w:bookmarkStart w:id="587" w:name="_Toc15647"/>
      <w:bookmarkStart w:id="588" w:name="_Toc17780"/>
      <w:bookmarkStart w:id="589" w:name="_Toc701"/>
      <w:bookmarkStart w:id="590" w:name="_Toc23477"/>
      <w:bookmarkStart w:id="591" w:name="_Toc26915"/>
      <w:bookmarkStart w:id="592" w:name="_Toc25221"/>
      <w:bookmarkStart w:id="593" w:name="_Toc13012"/>
      <w:bookmarkStart w:id="594" w:name="_Toc3422"/>
      <w:r>
        <w:rPr>
          <w:rFonts w:hint="eastAsia" w:ascii="黑体" w:hAnsi="黑体" w:eastAsia="黑体" w:cs="黑体"/>
        </w:rPr>
        <w:t>四、</w:t>
      </w:r>
      <w:bookmarkEnd w:id="587"/>
      <w:bookmarkEnd w:id="588"/>
      <w:bookmarkEnd w:id="589"/>
      <w:bookmarkEnd w:id="590"/>
      <w:bookmarkEnd w:id="591"/>
      <w:bookmarkEnd w:id="592"/>
      <w:bookmarkEnd w:id="593"/>
      <w:r>
        <w:rPr>
          <w:rFonts w:hint="eastAsia" w:ascii="黑体" w:hAnsi="黑体" w:eastAsia="黑体" w:cs="黑体"/>
        </w:rPr>
        <w:t>本项目的实施方案、</w:t>
      </w:r>
      <w:r>
        <w:rPr>
          <w:rFonts w:hint="eastAsia" w:ascii="黑体" w:hAnsi="黑体" w:eastAsia="黑体" w:cs="黑体"/>
          <w:lang w:val="zh-TW"/>
        </w:rPr>
        <w:t>安全保障方案和应急方案</w:t>
      </w:r>
    </w:p>
    <w:bookmarkEnd w:id="594"/>
    <w:p>
      <w:pPr>
        <w:spacing w:line="360" w:lineRule="auto"/>
      </w:pPr>
      <w:bookmarkStart w:id="595" w:name="_Toc16962_WPSOffice_Level2"/>
      <w:r>
        <w:rPr>
          <w:rFonts w:hint="eastAsia"/>
        </w:rPr>
        <w:t>注：供应商根据本项目特点和采购需求，自行编写，格式自拟</w:t>
      </w:r>
      <w:bookmarkEnd w:id="595"/>
      <w:r>
        <w:rPr>
          <w:rFonts w:hint="eastAsia"/>
        </w:rPr>
        <w:t>。</w:t>
      </w:r>
    </w:p>
    <w:p>
      <w:pPr>
        <w:spacing w:line="360" w:lineRule="auto"/>
        <w:rPr>
          <w:rFonts w:ascii="宋体" w:hAnsi="宋体"/>
          <w:b/>
          <w:sz w:val="24"/>
        </w:rPr>
      </w:pPr>
      <w:bookmarkStart w:id="596" w:name="_Toc4659775"/>
      <w:bookmarkStart w:id="597" w:name="_Toc5005079"/>
      <w:bookmarkStart w:id="598" w:name="_Toc4578902"/>
      <w:r>
        <w:rPr>
          <w:rFonts w:hint="eastAsia" w:ascii="宋体" w:hAnsi="宋体"/>
          <w:b/>
          <w:sz w:val="24"/>
        </w:rPr>
        <w:br w:type="page"/>
      </w:r>
    </w:p>
    <w:bookmarkEnd w:id="596"/>
    <w:bookmarkEnd w:id="597"/>
    <w:bookmarkEnd w:id="598"/>
    <w:p>
      <w:pPr>
        <w:pStyle w:val="4"/>
        <w:spacing w:before="0" w:after="0" w:line="360" w:lineRule="auto"/>
        <w:rPr>
          <w:rFonts w:ascii="黑体" w:hAnsi="黑体" w:eastAsia="黑体" w:cs="黑体"/>
        </w:rPr>
      </w:pPr>
      <w:bookmarkStart w:id="599" w:name="_Toc19914"/>
      <w:bookmarkStart w:id="600" w:name="_Toc7944"/>
      <w:bookmarkStart w:id="601" w:name="_Toc16971"/>
      <w:bookmarkStart w:id="602" w:name="_Toc18916"/>
      <w:bookmarkStart w:id="603" w:name="_Toc2610"/>
      <w:bookmarkStart w:id="604" w:name="_Toc5507"/>
      <w:bookmarkStart w:id="605" w:name="_Toc3171"/>
      <w:bookmarkStart w:id="606" w:name="_Toc8106"/>
      <w:r>
        <w:rPr>
          <w:rFonts w:hint="eastAsia" w:ascii="黑体" w:hAnsi="黑体" w:eastAsia="黑体" w:cs="黑体"/>
        </w:rPr>
        <w:t>五、供应商基本情况表</w:t>
      </w:r>
      <w:bookmarkEnd w:id="599"/>
      <w:bookmarkEnd w:id="600"/>
      <w:bookmarkEnd w:id="601"/>
      <w:bookmarkEnd w:id="602"/>
      <w:bookmarkEnd w:id="603"/>
      <w:bookmarkEnd w:id="604"/>
      <w:bookmarkEnd w:id="605"/>
      <w:bookmarkEnd w:id="606"/>
    </w:p>
    <w:tbl>
      <w:tblPr>
        <w:tblStyle w:val="33"/>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供应商名称</w:t>
            </w:r>
          </w:p>
        </w:tc>
        <w:tc>
          <w:tcPr>
            <w:tcW w:w="7560" w:type="dxa"/>
            <w:gridSpan w:val="11"/>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注册地址</w:t>
            </w:r>
          </w:p>
        </w:tc>
        <w:tc>
          <w:tcPr>
            <w:tcW w:w="4680" w:type="dxa"/>
            <w:gridSpan w:val="6"/>
            <w:vAlign w:val="center"/>
          </w:tcPr>
          <w:p>
            <w:pPr>
              <w:spacing w:line="360" w:lineRule="auto"/>
              <w:jc w:val="center"/>
              <w:rPr>
                <w:rFonts w:ascii="宋体" w:hAnsi="宋体" w:cs="宋体"/>
                <w:bCs/>
                <w:szCs w:val="21"/>
              </w:rPr>
            </w:pPr>
          </w:p>
        </w:tc>
        <w:tc>
          <w:tcPr>
            <w:tcW w:w="1260" w:type="dxa"/>
            <w:gridSpan w:val="3"/>
            <w:vAlign w:val="center"/>
          </w:tcPr>
          <w:p>
            <w:pPr>
              <w:spacing w:line="360" w:lineRule="auto"/>
              <w:jc w:val="center"/>
              <w:rPr>
                <w:rFonts w:ascii="宋体" w:hAnsi="宋体" w:cs="宋体"/>
                <w:bCs/>
                <w:szCs w:val="21"/>
              </w:rPr>
            </w:pPr>
            <w:r>
              <w:rPr>
                <w:rFonts w:hint="eastAsia" w:ascii="宋体" w:hAnsi="宋体" w:cs="宋体"/>
                <w:bCs/>
                <w:szCs w:val="21"/>
              </w:rPr>
              <w:t>邮政编码</w:t>
            </w:r>
          </w:p>
        </w:tc>
        <w:tc>
          <w:tcPr>
            <w:tcW w:w="1620" w:type="dxa"/>
            <w:gridSpan w:val="2"/>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spacing w:line="360" w:lineRule="auto"/>
              <w:jc w:val="center"/>
              <w:rPr>
                <w:rFonts w:ascii="宋体" w:hAnsi="宋体" w:cs="宋体"/>
                <w:bCs/>
                <w:szCs w:val="21"/>
              </w:rPr>
            </w:pPr>
            <w:r>
              <w:rPr>
                <w:rFonts w:hint="eastAsia" w:ascii="宋体" w:hAnsi="宋体" w:cs="宋体"/>
                <w:bCs/>
                <w:szCs w:val="21"/>
              </w:rPr>
              <w:t>联系方式</w:t>
            </w:r>
          </w:p>
        </w:tc>
        <w:tc>
          <w:tcPr>
            <w:tcW w:w="1080" w:type="dxa"/>
            <w:vAlign w:val="center"/>
          </w:tcPr>
          <w:p>
            <w:pPr>
              <w:spacing w:line="360" w:lineRule="auto"/>
              <w:jc w:val="center"/>
              <w:rPr>
                <w:rFonts w:ascii="宋体" w:hAnsi="宋体" w:cs="宋体"/>
                <w:bCs/>
                <w:szCs w:val="21"/>
              </w:rPr>
            </w:pPr>
            <w:r>
              <w:rPr>
                <w:rFonts w:hint="eastAsia" w:ascii="宋体" w:hAnsi="宋体" w:cs="宋体"/>
                <w:bCs/>
                <w:szCs w:val="21"/>
              </w:rPr>
              <w:t>联系人</w:t>
            </w:r>
          </w:p>
        </w:tc>
        <w:tc>
          <w:tcPr>
            <w:tcW w:w="3600" w:type="dxa"/>
            <w:gridSpan w:val="5"/>
            <w:vAlign w:val="center"/>
          </w:tcPr>
          <w:p>
            <w:pPr>
              <w:spacing w:line="360" w:lineRule="auto"/>
              <w:jc w:val="center"/>
              <w:rPr>
                <w:rFonts w:ascii="宋体" w:hAnsi="宋体" w:cs="宋体"/>
                <w:bCs/>
                <w:szCs w:val="21"/>
              </w:rPr>
            </w:pPr>
          </w:p>
        </w:tc>
        <w:tc>
          <w:tcPr>
            <w:tcW w:w="1260" w:type="dxa"/>
            <w:gridSpan w:val="3"/>
            <w:vAlign w:val="center"/>
          </w:tcPr>
          <w:p>
            <w:pPr>
              <w:spacing w:line="360" w:lineRule="auto"/>
              <w:jc w:val="center"/>
              <w:rPr>
                <w:rFonts w:ascii="宋体" w:hAnsi="宋体" w:cs="宋体"/>
                <w:bCs/>
                <w:szCs w:val="21"/>
              </w:rPr>
            </w:pPr>
            <w:r>
              <w:rPr>
                <w:rFonts w:hint="eastAsia" w:ascii="宋体" w:hAnsi="宋体" w:cs="宋体"/>
                <w:bCs/>
                <w:szCs w:val="21"/>
              </w:rPr>
              <w:t>联系电话</w:t>
            </w:r>
          </w:p>
        </w:tc>
        <w:tc>
          <w:tcPr>
            <w:tcW w:w="1620" w:type="dxa"/>
            <w:gridSpan w:val="2"/>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spacing w:line="360" w:lineRule="auto"/>
              <w:jc w:val="center"/>
              <w:rPr>
                <w:rFonts w:ascii="宋体" w:hAnsi="宋体" w:cs="宋体"/>
                <w:bCs/>
                <w:szCs w:val="21"/>
              </w:rPr>
            </w:pPr>
          </w:p>
        </w:tc>
        <w:tc>
          <w:tcPr>
            <w:tcW w:w="1080" w:type="dxa"/>
            <w:vAlign w:val="center"/>
          </w:tcPr>
          <w:p>
            <w:pPr>
              <w:spacing w:line="360" w:lineRule="auto"/>
              <w:jc w:val="center"/>
              <w:rPr>
                <w:rFonts w:ascii="宋体" w:hAnsi="宋体" w:cs="宋体"/>
                <w:bCs/>
                <w:szCs w:val="21"/>
              </w:rPr>
            </w:pPr>
            <w:r>
              <w:rPr>
                <w:rFonts w:hint="eastAsia" w:ascii="宋体" w:hAnsi="宋体" w:cs="宋体"/>
                <w:bCs/>
                <w:szCs w:val="21"/>
              </w:rPr>
              <w:t>传真</w:t>
            </w:r>
          </w:p>
        </w:tc>
        <w:tc>
          <w:tcPr>
            <w:tcW w:w="3600" w:type="dxa"/>
            <w:gridSpan w:val="5"/>
            <w:vAlign w:val="center"/>
          </w:tcPr>
          <w:p>
            <w:pPr>
              <w:spacing w:line="360" w:lineRule="auto"/>
              <w:jc w:val="center"/>
              <w:rPr>
                <w:rFonts w:ascii="宋体" w:hAnsi="宋体" w:cs="宋体"/>
                <w:bCs/>
                <w:szCs w:val="21"/>
              </w:rPr>
            </w:pPr>
          </w:p>
        </w:tc>
        <w:tc>
          <w:tcPr>
            <w:tcW w:w="1260" w:type="dxa"/>
            <w:gridSpan w:val="3"/>
            <w:vAlign w:val="center"/>
          </w:tcPr>
          <w:p>
            <w:pPr>
              <w:spacing w:line="360" w:lineRule="auto"/>
              <w:jc w:val="center"/>
              <w:rPr>
                <w:rFonts w:ascii="宋体" w:hAnsi="宋体" w:cs="宋体"/>
                <w:bCs/>
                <w:szCs w:val="21"/>
              </w:rPr>
            </w:pPr>
            <w:r>
              <w:rPr>
                <w:rFonts w:hint="eastAsia" w:ascii="宋体" w:hAnsi="宋体" w:cs="宋体"/>
                <w:bCs/>
                <w:szCs w:val="21"/>
              </w:rPr>
              <w:t>网址</w:t>
            </w:r>
          </w:p>
        </w:tc>
        <w:tc>
          <w:tcPr>
            <w:tcW w:w="1620" w:type="dxa"/>
            <w:gridSpan w:val="2"/>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组织结构</w:t>
            </w:r>
          </w:p>
        </w:tc>
        <w:tc>
          <w:tcPr>
            <w:tcW w:w="7560" w:type="dxa"/>
            <w:gridSpan w:val="11"/>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法定代表人</w:t>
            </w:r>
          </w:p>
        </w:tc>
        <w:tc>
          <w:tcPr>
            <w:tcW w:w="1260" w:type="dxa"/>
            <w:gridSpan w:val="2"/>
            <w:vAlign w:val="center"/>
          </w:tcPr>
          <w:p>
            <w:pPr>
              <w:spacing w:line="360" w:lineRule="auto"/>
              <w:jc w:val="center"/>
              <w:rPr>
                <w:rFonts w:ascii="宋体" w:hAnsi="宋体" w:cs="宋体"/>
                <w:bCs/>
                <w:szCs w:val="21"/>
              </w:rPr>
            </w:pPr>
            <w:r>
              <w:rPr>
                <w:rFonts w:hint="eastAsia" w:ascii="宋体" w:hAnsi="宋体" w:cs="宋体"/>
                <w:bCs/>
                <w:szCs w:val="21"/>
              </w:rPr>
              <w:t>姓名</w:t>
            </w:r>
          </w:p>
        </w:tc>
        <w:tc>
          <w:tcPr>
            <w:tcW w:w="1260" w:type="dxa"/>
            <w:vAlign w:val="center"/>
          </w:tcPr>
          <w:p>
            <w:pPr>
              <w:spacing w:line="360" w:lineRule="auto"/>
              <w:jc w:val="center"/>
              <w:rPr>
                <w:rFonts w:ascii="宋体" w:hAnsi="宋体" w:cs="宋体"/>
                <w:bCs/>
                <w:szCs w:val="21"/>
              </w:rPr>
            </w:pPr>
          </w:p>
        </w:tc>
        <w:tc>
          <w:tcPr>
            <w:tcW w:w="1260" w:type="dxa"/>
            <w:vAlign w:val="center"/>
          </w:tcPr>
          <w:p>
            <w:pPr>
              <w:spacing w:line="360" w:lineRule="auto"/>
              <w:jc w:val="center"/>
              <w:rPr>
                <w:rFonts w:ascii="宋体" w:hAnsi="宋体" w:cs="宋体"/>
                <w:bCs/>
                <w:szCs w:val="21"/>
              </w:rPr>
            </w:pPr>
            <w:r>
              <w:rPr>
                <w:rFonts w:hint="eastAsia" w:ascii="宋体" w:hAnsi="宋体" w:cs="宋体"/>
                <w:bCs/>
                <w:szCs w:val="21"/>
              </w:rPr>
              <w:t>技术职称</w:t>
            </w:r>
          </w:p>
        </w:tc>
        <w:tc>
          <w:tcPr>
            <w:tcW w:w="1260" w:type="dxa"/>
            <w:gridSpan w:val="3"/>
            <w:vAlign w:val="center"/>
          </w:tcPr>
          <w:p>
            <w:pPr>
              <w:spacing w:line="360" w:lineRule="auto"/>
              <w:jc w:val="center"/>
              <w:rPr>
                <w:rFonts w:ascii="宋体" w:hAnsi="宋体" w:cs="宋体"/>
                <w:bCs/>
                <w:szCs w:val="21"/>
              </w:rPr>
            </w:pPr>
          </w:p>
        </w:tc>
        <w:tc>
          <w:tcPr>
            <w:tcW w:w="1260" w:type="dxa"/>
            <w:gridSpan w:val="3"/>
            <w:vAlign w:val="center"/>
          </w:tcPr>
          <w:p>
            <w:pPr>
              <w:spacing w:line="360" w:lineRule="auto"/>
              <w:jc w:val="center"/>
              <w:rPr>
                <w:rFonts w:ascii="宋体" w:hAnsi="宋体" w:cs="宋体"/>
                <w:bCs/>
                <w:szCs w:val="21"/>
              </w:rPr>
            </w:pPr>
            <w:r>
              <w:rPr>
                <w:rFonts w:hint="eastAsia" w:ascii="宋体" w:hAnsi="宋体" w:cs="宋体"/>
                <w:bCs/>
                <w:szCs w:val="21"/>
              </w:rPr>
              <w:t>联系电话</w:t>
            </w:r>
          </w:p>
        </w:tc>
        <w:tc>
          <w:tcPr>
            <w:tcW w:w="1260" w:type="dxa"/>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技术负责人</w:t>
            </w:r>
          </w:p>
        </w:tc>
        <w:tc>
          <w:tcPr>
            <w:tcW w:w="1260" w:type="dxa"/>
            <w:gridSpan w:val="2"/>
            <w:vAlign w:val="center"/>
          </w:tcPr>
          <w:p>
            <w:pPr>
              <w:spacing w:line="360" w:lineRule="auto"/>
              <w:jc w:val="center"/>
              <w:rPr>
                <w:rFonts w:ascii="宋体" w:hAnsi="宋体" w:cs="宋体"/>
                <w:bCs/>
                <w:szCs w:val="21"/>
              </w:rPr>
            </w:pPr>
            <w:r>
              <w:rPr>
                <w:rFonts w:hint="eastAsia" w:ascii="宋体" w:hAnsi="宋体" w:cs="宋体"/>
                <w:bCs/>
                <w:szCs w:val="21"/>
              </w:rPr>
              <w:t>姓名</w:t>
            </w:r>
          </w:p>
        </w:tc>
        <w:tc>
          <w:tcPr>
            <w:tcW w:w="1260" w:type="dxa"/>
            <w:vAlign w:val="center"/>
          </w:tcPr>
          <w:p>
            <w:pPr>
              <w:spacing w:line="360" w:lineRule="auto"/>
              <w:jc w:val="center"/>
              <w:rPr>
                <w:rFonts w:ascii="宋体" w:hAnsi="宋体" w:cs="宋体"/>
                <w:bCs/>
                <w:szCs w:val="21"/>
              </w:rPr>
            </w:pPr>
          </w:p>
        </w:tc>
        <w:tc>
          <w:tcPr>
            <w:tcW w:w="1260" w:type="dxa"/>
            <w:vAlign w:val="center"/>
          </w:tcPr>
          <w:p>
            <w:pPr>
              <w:spacing w:line="360" w:lineRule="auto"/>
              <w:jc w:val="center"/>
              <w:rPr>
                <w:rFonts w:ascii="宋体" w:hAnsi="宋体" w:cs="宋体"/>
                <w:bCs/>
                <w:szCs w:val="21"/>
              </w:rPr>
            </w:pPr>
            <w:r>
              <w:rPr>
                <w:rFonts w:hint="eastAsia" w:ascii="宋体" w:hAnsi="宋体" w:cs="宋体"/>
                <w:bCs/>
                <w:szCs w:val="21"/>
              </w:rPr>
              <w:t>技术职称</w:t>
            </w:r>
          </w:p>
        </w:tc>
        <w:tc>
          <w:tcPr>
            <w:tcW w:w="1260" w:type="dxa"/>
            <w:gridSpan w:val="3"/>
            <w:vAlign w:val="center"/>
          </w:tcPr>
          <w:p>
            <w:pPr>
              <w:spacing w:line="360" w:lineRule="auto"/>
              <w:jc w:val="center"/>
              <w:rPr>
                <w:rFonts w:ascii="宋体" w:hAnsi="宋体" w:cs="宋体"/>
                <w:bCs/>
                <w:szCs w:val="21"/>
              </w:rPr>
            </w:pPr>
          </w:p>
        </w:tc>
        <w:tc>
          <w:tcPr>
            <w:tcW w:w="1260" w:type="dxa"/>
            <w:gridSpan w:val="3"/>
            <w:vAlign w:val="center"/>
          </w:tcPr>
          <w:p>
            <w:pPr>
              <w:spacing w:line="360" w:lineRule="auto"/>
              <w:jc w:val="center"/>
              <w:rPr>
                <w:rFonts w:ascii="宋体" w:hAnsi="宋体" w:cs="宋体"/>
                <w:bCs/>
                <w:szCs w:val="21"/>
              </w:rPr>
            </w:pPr>
            <w:r>
              <w:rPr>
                <w:rFonts w:hint="eastAsia" w:ascii="宋体" w:hAnsi="宋体" w:cs="宋体"/>
                <w:bCs/>
                <w:szCs w:val="21"/>
              </w:rPr>
              <w:t>联系电话</w:t>
            </w:r>
          </w:p>
        </w:tc>
        <w:tc>
          <w:tcPr>
            <w:tcW w:w="1260" w:type="dxa"/>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成立时间</w:t>
            </w:r>
          </w:p>
        </w:tc>
        <w:tc>
          <w:tcPr>
            <w:tcW w:w="2520" w:type="dxa"/>
            <w:gridSpan w:val="3"/>
            <w:vAlign w:val="center"/>
          </w:tcPr>
          <w:p>
            <w:pPr>
              <w:spacing w:line="360" w:lineRule="auto"/>
              <w:jc w:val="center"/>
              <w:rPr>
                <w:rFonts w:ascii="宋体" w:hAnsi="宋体" w:cs="宋体"/>
                <w:bCs/>
                <w:szCs w:val="21"/>
              </w:rPr>
            </w:pPr>
          </w:p>
        </w:tc>
        <w:tc>
          <w:tcPr>
            <w:tcW w:w="5040" w:type="dxa"/>
            <w:gridSpan w:val="8"/>
            <w:vAlign w:val="center"/>
          </w:tcPr>
          <w:p>
            <w:pPr>
              <w:spacing w:line="360" w:lineRule="auto"/>
              <w:jc w:val="center"/>
              <w:rPr>
                <w:rFonts w:ascii="宋体" w:hAnsi="宋体" w:cs="宋体"/>
                <w:bCs/>
                <w:szCs w:val="21"/>
              </w:rPr>
            </w:pPr>
            <w:r>
              <w:rPr>
                <w:rFonts w:hint="eastAsia" w:ascii="宋体" w:hAnsi="宋体" w:cs="宋体"/>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企业资质等级</w:t>
            </w:r>
          </w:p>
        </w:tc>
        <w:tc>
          <w:tcPr>
            <w:tcW w:w="2520" w:type="dxa"/>
            <w:gridSpan w:val="3"/>
            <w:vAlign w:val="center"/>
          </w:tcPr>
          <w:p>
            <w:pPr>
              <w:spacing w:line="360" w:lineRule="auto"/>
              <w:jc w:val="center"/>
              <w:rPr>
                <w:rFonts w:ascii="宋体" w:hAnsi="宋体" w:cs="宋体"/>
                <w:bCs/>
                <w:szCs w:val="21"/>
              </w:rPr>
            </w:pPr>
          </w:p>
        </w:tc>
        <w:tc>
          <w:tcPr>
            <w:tcW w:w="1680" w:type="dxa"/>
            <w:gridSpan w:val="2"/>
            <w:vMerge w:val="restart"/>
            <w:vAlign w:val="center"/>
          </w:tcPr>
          <w:p>
            <w:pPr>
              <w:spacing w:line="360" w:lineRule="auto"/>
              <w:jc w:val="center"/>
              <w:rPr>
                <w:rFonts w:ascii="宋体" w:hAnsi="宋体" w:cs="宋体"/>
                <w:bCs/>
                <w:szCs w:val="21"/>
              </w:rPr>
            </w:pPr>
            <w:r>
              <w:rPr>
                <w:rFonts w:hint="eastAsia" w:ascii="宋体" w:hAnsi="宋体" w:cs="宋体"/>
                <w:bCs/>
                <w:szCs w:val="21"/>
              </w:rPr>
              <w:t>其中</w:t>
            </w:r>
          </w:p>
        </w:tc>
        <w:tc>
          <w:tcPr>
            <w:tcW w:w="1680" w:type="dxa"/>
            <w:gridSpan w:val="3"/>
            <w:vAlign w:val="center"/>
          </w:tcPr>
          <w:p>
            <w:pPr>
              <w:spacing w:line="360" w:lineRule="auto"/>
              <w:jc w:val="center"/>
              <w:rPr>
                <w:rFonts w:ascii="宋体" w:hAnsi="宋体" w:cs="宋体"/>
                <w:bCs/>
                <w:szCs w:val="21"/>
              </w:rPr>
            </w:pPr>
            <w:r>
              <w:rPr>
                <w:rFonts w:hint="eastAsia" w:ascii="宋体" w:hAnsi="宋体" w:cs="宋体"/>
                <w:bCs/>
                <w:szCs w:val="21"/>
              </w:rPr>
              <w:t>项目经理</w:t>
            </w:r>
          </w:p>
        </w:tc>
        <w:tc>
          <w:tcPr>
            <w:tcW w:w="1680" w:type="dxa"/>
            <w:gridSpan w:val="3"/>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营业执照</w:t>
            </w:r>
            <w:r>
              <w:rPr>
                <w:rFonts w:hint="eastAsia" w:ascii="宋体" w:hAnsi="宋体" w:cs="宋体"/>
                <w:szCs w:val="21"/>
              </w:rPr>
              <w:t>号</w:t>
            </w:r>
          </w:p>
        </w:tc>
        <w:tc>
          <w:tcPr>
            <w:tcW w:w="2520" w:type="dxa"/>
            <w:gridSpan w:val="3"/>
            <w:vAlign w:val="center"/>
          </w:tcPr>
          <w:p>
            <w:pPr>
              <w:spacing w:line="360" w:lineRule="auto"/>
              <w:jc w:val="center"/>
              <w:rPr>
                <w:rFonts w:ascii="宋体" w:hAnsi="宋体" w:cs="宋体"/>
                <w:bCs/>
                <w:szCs w:val="21"/>
              </w:rPr>
            </w:pPr>
          </w:p>
        </w:tc>
        <w:tc>
          <w:tcPr>
            <w:tcW w:w="1680" w:type="dxa"/>
            <w:gridSpan w:val="2"/>
            <w:vMerge w:val="continue"/>
            <w:vAlign w:val="center"/>
          </w:tcPr>
          <w:p>
            <w:pPr>
              <w:spacing w:line="360" w:lineRule="auto"/>
              <w:jc w:val="center"/>
              <w:rPr>
                <w:rFonts w:ascii="宋体" w:hAnsi="宋体" w:cs="宋体"/>
                <w:bCs/>
                <w:szCs w:val="21"/>
              </w:rPr>
            </w:pPr>
          </w:p>
        </w:tc>
        <w:tc>
          <w:tcPr>
            <w:tcW w:w="1680" w:type="dxa"/>
            <w:gridSpan w:val="3"/>
            <w:vAlign w:val="center"/>
          </w:tcPr>
          <w:p>
            <w:pPr>
              <w:spacing w:line="360" w:lineRule="auto"/>
              <w:jc w:val="center"/>
              <w:rPr>
                <w:rFonts w:ascii="宋体" w:hAnsi="宋体" w:cs="宋体"/>
                <w:bCs/>
                <w:szCs w:val="21"/>
              </w:rPr>
            </w:pPr>
            <w:r>
              <w:rPr>
                <w:rFonts w:hint="eastAsia" w:ascii="宋体" w:hAnsi="宋体" w:cs="宋体"/>
                <w:bCs/>
                <w:szCs w:val="21"/>
              </w:rPr>
              <w:t>高级职称人员</w:t>
            </w:r>
          </w:p>
        </w:tc>
        <w:tc>
          <w:tcPr>
            <w:tcW w:w="1680" w:type="dxa"/>
            <w:gridSpan w:val="3"/>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注册资金</w:t>
            </w:r>
          </w:p>
        </w:tc>
        <w:tc>
          <w:tcPr>
            <w:tcW w:w="2520" w:type="dxa"/>
            <w:gridSpan w:val="3"/>
            <w:vAlign w:val="center"/>
          </w:tcPr>
          <w:p>
            <w:pPr>
              <w:spacing w:line="360" w:lineRule="auto"/>
              <w:jc w:val="center"/>
              <w:rPr>
                <w:rFonts w:ascii="宋体" w:hAnsi="宋体" w:cs="宋体"/>
                <w:bCs/>
                <w:szCs w:val="21"/>
              </w:rPr>
            </w:pPr>
          </w:p>
        </w:tc>
        <w:tc>
          <w:tcPr>
            <w:tcW w:w="1680" w:type="dxa"/>
            <w:gridSpan w:val="2"/>
            <w:vMerge w:val="continue"/>
            <w:vAlign w:val="center"/>
          </w:tcPr>
          <w:p>
            <w:pPr>
              <w:spacing w:line="360" w:lineRule="auto"/>
              <w:jc w:val="center"/>
              <w:rPr>
                <w:rFonts w:ascii="宋体" w:hAnsi="宋体" w:cs="宋体"/>
                <w:bCs/>
                <w:szCs w:val="21"/>
              </w:rPr>
            </w:pPr>
          </w:p>
        </w:tc>
        <w:tc>
          <w:tcPr>
            <w:tcW w:w="1680" w:type="dxa"/>
            <w:gridSpan w:val="3"/>
            <w:vAlign w:val="center"/>
          </w:tcPr>
          <w:p>
            <w:pPr>
              <w:spacing w:line="360" w:lineRule="auto"/>
              <w:jc w:val="center"/>
              <w:rPr>
                <w:rFonts w:ascii="宋体" w:hAnsi="宋体" w:cs="宋体"/>
                <w:bCs/>
                <w:szCs w:val="21"/>
              </w:rPr>
            </w:pPr>
            <w:r>
              <w:rPr>
                <w:rFonts w:hint="eastAsia" w:ascii="宋体" w:hAnsi="宋体" w:cs="宋体"/>
                <w:bCs/>
                <w:szCs w:val="21"/>
              </w:rPr>
              <w:t>中级职称人员</w:t>
            </w:r>
          </w:p>
        </w:tc>
        <w:tc>
          <w:tcPr>
            <w:tcW w:w="1680" w:type="dxa"/>
            <w:gridSpan w:val="3"/>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开户银行</w:t>
            </w:r>
          </w:p>
        </w:tc>
        <w:tc>
          <w:tcPr>
            <w:tcW w:w="2520" w:type="dxa"/>
            <w:gridSpan w:val="3"/>
            <w:vAlign w:val="center"/>
          </w:tcPr>
          <w:p>
            <w:pPr>
              <w:spacing w:line="360" w:lineRule="auto"/>
              <w:jc w:val="center"/>
              <w:rPr>
                <w:rFonts w:ascii="宋体" w:hAnsi="宋体" w:cs="宋体"/>
                <w:bCs/>
                <w:szCs w:val="21"/>
              </w:rPr>
            </w:pPr>
          </w:p>
        </w:tc>
        <w:tc>
          <w:tcPr>
            <w:tcW w:w="1680" w:type="dxa"/>
            <w:gridSpan w:val="2"/>
            <w:vMerge w:val="continue"/>
            <w:vAlign w:val="center"/>
          </w:tcPr>
          <w:p>
            <w:pPr>
              <w:spacing w:line="360" w:lineRule="auto"/>
              <w:jc w:val="center"/>
              <w:rPr>
                <w:rFonts w:ascii="宋体" w:hAnsi="宋体" w:cs="宋体"/>
                <w:bCs/>
                <w:szCs w:val="21"/>
              </w:rPr>
            </w:pPr>
          </w:p>
        </w:tc>
        <w:tc>
          <w:tcPr>
            <w:tcW w:w="1680" w:type="dxa"/>
            <w:gridSpan w:val="3"/>
            <w:vAlign w:val="center"/>
          </w:tcPr>
          <w:p>
            <w:pPr>
              <w:spacing w:line="360" w:lineRule="auto"/>
              <w:jc w:val="center"/>
              <w:rPr>
                <w:rFonts w:ascii="宋体" w:hAnsi="宋体" w:cs="宋体"/>
                <w:bCs/>
                <w:szCs w:val="21"/>
              </w:rPr>
            </w:pPr>
            <w:r>
              <w:rPr>
                <w:rFonts w:hint="eastAsia" w:ascii="宋体" w:hAnsi="宋体" w:cs="宋体"/>
                <w:bCs/>
                <w:szCs w:val="21"/>
              </w:rPr>
              <w:t>初级职称人员</w:t>
            </w:r>
          </w:p>
        </w:tc>
        <w:tc>
          <w:tcPr>
            <w:tcW w:w="1680" w:type="dxa"/>
            <w:gridSpan w:val="3"/>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账号</w:t>
            </w:r>
          </w:p>
        </w:tc>
        <w:tc>
          <w:tcPr>
            <w:tcW w:w="2520" w:type="dxa"/>
            <w:gridSpan w:val="3"/>
            <w:vAlign w:val="center"/>
          </w:tcPr>
          <w:p>
            <w:pPr>
              <w:spacing w:line="360" w:lineRule="auto"/>
              <w:jc w:val="center"/>
              <w:rPr>
                <w:rFonts w:ascii="宋体" w:hAnsi="宋体" w:cs="宋体"/>
                <w:bCs/>
                <w:szCs w:val="21"/>
              </w:rPr>
            </w:pPr>
          </w:p>
        </w:tc>
        <w:tc>
          <w:tcPr>
            <w:tcW w:w="1680" w:type="dxa"/>
            <w:gridSpan w:val="2"/>
            <w:vMerge w:val="continue"/>
            <w:vAlign w:val="center"/>
          </w:tcPr>
          <w:p>
            <w:pPr>
              <w:spacing w:line="360" w:lineRule="auto"/>
              <w:jc w:val="center"/>
              <w:rPr>
                <w:rFonts w:ascii="宋体" w:hAnsi="宋体" w:cs="宋体"/>
                <w:bCs/>
                <w:szCs w:val="21"/>
              </w:rPr>
            </w:pPr>
          </w:p>
        </w:tc>
        <w:tc>
          <w:tcPr>
            <w:tcW w:w="1680" w:type="dxa"/>
            <w:gridSpan w:val="3"/>
            <w:vAlign w:val="center"/>
          </w:tcPr>
          <w:p>
            <w:pPr>
              <w:spacing w:line="360" w:lineRule="auto"/>
              <w:jc w:val="center"/>
              <w:rPr>
                <w:rFonts w:ascii="宋体" w:hAnsi="宋体" w:cs="宋体"/>
                <w:bCs/>
                <w:szCs w:val="21"/>
              </w:rPr>
            </w:pPr>
            <w:r>
              <w:rPr>
                <w:rFonts w:hint="eastAsia" w:ascii="宋体" w:hAnsi="宋体" w:cs="宋体"/>
                <w:bCs/>
                <w:szCs w:val="21"/>
              </w:rPr>
              <w:t>技工</w:t>
            </w:r>
          </w:p>
        </w:tc>
        <w:tc>
          <w:tcPr>
            <w:tcW w:w="1680" w:type="dxa"/>
            <w:gridSpan w:val="3"/>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经营范围</w:t>
            </w:r>
          </w:p>
        </w:tc>
        <w:tc>
          <w:tcPr>
            <w:tcW w:w="7560" w:type="dxa"/>
            <w:gridSpan w:val="11"/>
            <w:vAlign w:val="center"/>
          </w:tcPr>
          <w:p>
            <w:pPr>
              <w:spacing w:line="360" w:lineRule="auto"/>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spacing w:line="360" w:lineRule="auto"/>
              <w:jc w:val="center"/>
              <w:rPr>
                <w:rFonts w:ascii="宋体" w:hAnsi="宋体" w:cs="宋体"/>
                <w:bCs/>
                <w:szCs w:val="21"/>
              </w:rPr>
            </w:pPr>
            <w:r>
              <w:rPr>
                <w:rFonts w:hint="eastAsia" w:ascii="宋体" w:hAnsi="宋体" w:cs="宋体"/>
                <w:bCs/>
                <w:szCs w:val="21"/>
              </w:rPr>
              <w:t>备注</w:t>
            </w:r>
          </w:p>
        </w:tc>
        <w:tc>
          <w:tcPr>
            <w:tcW w:w="7560" w:type="dxa"/>
            <w:gridSpan w:val="11"/>
            <w:vAlign w:val="center"/>
          </w:tcPr>
          <w:p>
            <w:pPr>
              <w:spacing w:line="360" w:lineRule="auto"/>
              <w:jc w:val="center"/>
              <w:rPr>
                <w:rFonts w:ascii="宋体" w:hAnsi="宋体" w:cs="宋体"/>
                <w:bCs/>
                <w:szCs w:val="21"/>
              </w:rPr>
            </w:pPr>
          </w:p>
        </w:tc>
      </w:tr>
    </w:tbl>
    <w:p>
      <w:pPr>
        <w:adjustRightInd w:val="0"/>
        <w:spacing w:line="360" w:lineRule="auto"/>
        <w:jc w:val="left"/>
        <w:rPr>
          <w:rFonts w:ascii="宋体" w:hAnsi="宋体"/>
          <w:sz w:val="24"/>
        </w:rPr>
      </w:pPr>
    </w:p>
    <w:p>
      <w:pPr>
        <w:pStyle w:val="12"/>
        <w:rPr>
          <w:rFonts w:ascii="宋体" w:hAnsi="宋体"/>
          <w:sz w:val="24"/>
        </w:rPr>
      </w:pPr>
    </w:p>
    <w:p>
      <w:pPr>
        <w:pStyle w:val="14"/>
      </w:pPr>
    </w:p>
    <w:p>
      <w:pPr>
        <w:snapToGrid w:val="0"/>
        <w:spacing w:line="360" w:lineRule="auto"/>
        <w:ind w:firstLine="3360" w:firstLineChars="1600"/>
        <w:rPr>
          <w:rFonts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（盖单位公章）</w:t>
      </w:r>
    </w:p>
    <w:p>
      <w:pPr>
        <w:snapToGrid w:val="0"/>
        <w:spacing w:line="360" w:lineRule="auto"/>
        <w:ind w:firstLine="3360" w:firstLineChars="1600"/>
        <w:rPr>
          <w:rFonts w:ascii="宋体" w:hAnsi="宋体"/>
          <w:szCs w:val="21"/>
        </w:rPr>
      </w:pPr>
      <w:r>
        <w:rPr>
          <w:rFonts w:hint="eastAsia" w:ascii="宋体" w:hAnsi="宋体" w:cs="宋体"/>
        </w:rPr>
        <w:t>法定代表人/负责人</w:t>
      </w:r>
      <w:r>
        <w:rPr>
          <w:rFonts w:hint="eastAsia" w:ascii="宋体" w:hAnsi="宋体"/>
          <w:szCs w:val="21"/>
        </w:rPr>
        <w:t>或授权代表（签字或加盖个人印章）：</w:t>
      </w:r>
      <w:r>
        <w:rPr>
          <w:rFonts w:hint="eastAsia" w:ascii="宋体" w:hAnsi="宋体"/>
          <w:szCs w:val="21"/>
          <w:u w:val="single"/>
        </w:rPr>
        <w:t xml:space="preserve">             </w:t>
      </w:r>
    </w:p>
    <w:p>
      <w:pPr>
        <w:snapToGrid w:val="0"/>
        <w:spacing w:line="360" w:lineRule="auto"/>
        <w:ind w:firstLine="3360" w:firstLineChars="1600"/>
        <w:rPr>
          <w:rFonts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rPr>
          <w:rFonts w:ascii="宋体" w:hAnsi="宋体"/>
          <w:b/>
          <w:sz w:val="24"/>
        </w:rPr>
      </w:pPr>
      <w:r>
        <w:rPr>
          <w:rFonts w:ascii="宋体" w:hAnsi="宋体"/>
          <w:b/>
          <w:sz w:val="24"/>
        </w:rPr>
        <w:br w:type="page"/>
      </w:r>
    </w:p>
    <w:p>
      <w:pPr>
        <w:pStyle w:val="4"/>
        <w:spacing w:before="0" w:after="0" w:line="360" w:lineRule="auto"/>
        <w:rPr>
          <w:rFonts w:ascii="黑体" w:hAnsi="黑体" w:eastAsia="黑体" w:cs="黑体"/>
        </w:rPr>
      </w:pPr>
      <w:bookmarkStart w:id="607" w:name="_Toc4659777"/>
      <w:bookmarkStart w:id="608" w:name="_Toc5005081"/>
      <w:bookmarkStart w:id="609" w:name="_Toc4578903"/>
      <w:bookmarkStart w:id="610" w:name="_Toc30604"/>
      <w:bookmarkStart w:id="611" w:name="_Toc1412"/>
      <w:bookmarkStart w:id="612" w:name="_Toc22234"/>
      <w:bookmarkStart w:id="613" w:name="_Toc11945"/>
      <w:bookmarkStart w:id="614" w:name="_Toc18850"/>
      <w:bookmarkStart w:id="615" w:name="_Toc1925"/>
      <w:bookmarkStart w:id="616" w:name="_Toc6305"/>
      <w:bookmarkStart w:id="617" w:name="_Toc30962"/>
      <w:r>
        <w:rPr>
          <w:rFonts w:hint="eastAsia" w:ascii="黑体" w:hAnsi="黑体" w:eastAsia="黑体" w:cs="黑体"/>
        </w:rPr>
        <w:t>六、中小企业声明函</w:t>
      </w:r>
      <w:bookmarkEnd w:id="607"/>
      <w:bookmarkEnd w:id="608"/>
      <w:bookmarkEnd w:id="609"/>
      <w:r>
        <w:rPr>
          <w:rFonts w:hint="eastAsia" w:ascii="黑体" w:hAnsi="黑体" w:eastAsia="黑体" w:cs="黑体"/>
        </w:rPr>
        <w:t>（服务）</w:t>
      </w:r>
      <w:bookmarkEnd w:id="610"/>
      <w:bookmarkEnd w:id="611"/>
      <w:bookmarkEnd w:id="612"/>
      <w:bookmarkEnd w:id="613"/>
      <w:bookmarkEnd w:id="614"/>
      <w:bookmarkEnd w:id="615"/>
      <w:bookmarkEnd w:id="616"/>
      <w:bookmarkEnd w:id="617"/>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本公司(联合体)郑重声明，根据《政府采购促进中小本公司(联合体)郑重声明，根据《政府采购促进中小企业发展管理办法》(财库(2020)46号)的规定，本公司(联合体)参加</w:t>
      </w:r>
      <w:r>
        <w:rPr>
          <w:rFonts w:hint="eastAsia" w:ascii="宋体" w:hAnsi="宋体"/>
          <w:color w:val="auto"/>
          <w:szCs w:val="21"/>
          <w:highlight w:val="none"/>
          <w:u w:val="single"/>
        </w:rPr>
        <w:t xml:space="preserve">                 </w:t>
      </w:r>
      <w:r>
        <w:rPr>
          <w:rFonts w:hint="eastAsia" w:ascii="宋体" w:hAnsi="宋体"/>
          <w:color w:val="auto"/>
          <w:szCs w:val="21"/>
          <w:highlight w:val="none"/>
        </w:rPr>
        <w:t>(单位名称)的</w:t>
      </w:r>
      <w:r>
        <w:rPr>
          <w:rFonts w:hint="eastAsia" w:ascii="宋体" w:hAnsi="宋体"/>
          <w:color w:val="auto"/>
          <w:szCs w:val="21"/>
          <w:highlight w:val="none"/>
          <w:u w:val="single"/>
        </w:rPr>
        <w:t xml:space="preserve">            </w:t>
      </w:r>
      <w:r>
        <w:rPr>
          <w:rFonts w:hint="eastAsia" w:ascii="宋体" w:hAnsi="宋体"/>
          <w:color w:val="auto"/>
          <w:szCs w:val="21"/>
          <w:highlight w:val="none"/>
        </w:rPr>
        <w:t>(项目名称)采购活动，工程的施工单位全部为符合政策要求的中小企业(或者：服务全部由符合政策要求的中小企业承接)。相关企业(含联合体中的中小企业、签订分包意向协议的中小企业)的具体情况如下:</w:t>
      </w:r>
    </w:p>
    <w:p>
      <w:pPr>
        <w:wordWrap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(标的名称)，属于</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(采购文件中明确的所属行业)；承建(承接)企业为</w:t>
      </w:r>
      <w:r>
        <w:rPr>
          <w:rFonts w:hint="eastAsia" w:ascii="宋体" w:hAnsi="宋体"/>
          <w:color w:val="auto"/>
          <w:szCs w:val="21"/>
          <w:highlight w:val="none"/>
          <w:u w:val="single"/>
        </w:rPr>
        <w:t xml:space="preserve">        </w:t>
      </w:r>
      <w:r>
        <w:rPr>
          <w:rFonts w:hint="eastAsia" w:ascii="宋体" w:hAnsi="宋体"/>
          <w:color w:val="auto"/>
          <w:szCs w:val="21"/>
          <w:highlight w:val="none"/>
        </w:rPr>
        <w:t>(企业名称)，从业人员</w:t>
      </w:r>
      <w:r>
        <w:rPr>
          <w:rFonts w:hint="eastAsia"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hint="eastAsia" w:ascii="宋体" w:hAnsi="宋体"/>
          <w:color w:val="auto"/>
          <w:szCs w:val="21"/>
          <w:highlight w:val="none"/>
        </w:rPr>
        <w:t>万元，属于</w:t>
      </w:r>
      <w:r>
        <w:rPr>
          <w:rFonts w:hint="eastAsia" w:ascii="宋体" w:hAnsi="宋体"/>
          <w:color w:val="auto"/>
          <w:szCs w:val="21"/>
          <w:highlight w:val="none"/>
          <w:u w:val="single"/>
        </w:rPr>
        <w:t xml:space="preserve">        </w:t>
      </w:r>
      <w:r>
        <w:rPr>
          <w:rFonts w:hint="eastAsia" w:ascii="宋体" w:hAnsi="宋体"/>
          <w:color w:val="auto"/>
          <w:szCs w:val="21"/>
          <w:highlight w:val="none"/>
        </w:rPr>
        <w:t>中型企业、小型企业、微型企业)；</w:t>
      </w:r>
    </w:p>
    <w:p>
      <w:pPr>
        <w:wordWrap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(标的名称)，属于</w:t>
      </w:r>
      <w:r>
        <w:rPr>
          <w:rFonts w:hint="eastAsia" w:ascii="宋体" w:hAnsi="宋体"/>
          <w:color w:val="auto"/>
          <w:szCs w:val="21"/>
          <w:highlight w:val="none"/>
          <w:u w:val="single"/>
        </w:rPr>
        <w:t xml:space="preserve">          </w:t>
      </w:r>
      <w:r>
        <w:rPr>
          <w:rFonts w:hint="eastAsia" w:ascii="宋体" w:hAnsi="宋体"/>
          <w:color w:val="auto"/>
          <w:szCs w:val="21"/>
          <w:highlight w:val="none"/>
        </w:rPr>
        <w:t>(采购文件中明确的所属行业)；承建(承接)企业为</w:t>
      </w:r>
      <w:r>
        <w:rPr>
          <w:rFonts w:hint="eastAsia" w:ascii="宋体" w:hAnsi="宋体"/>
          <w:color w:val="auto"/>
          <w:szCs w:val="21"/>
          <w:highlight w:val="none"/>
          <w:u w:val="single"/>
        </w:rPr>
        <w:t xml:space="preserve">          </w:t>
      </w:r>
      <w:r>
        <w:rPr>
          <w:rFonts w:hint="eastAsia" w:ascii="宋体" w:hAnsi="宋体"/>
          <w:color w:val="auto"/>
          <w:szCs w:val="21"/>
          <w:highlight w:val="none"/>
        </w:rPr>
        <w:t>(企业名称)，从业人员</w:t>
      </w:r>
      <w:r>
        <w:rPr>
          <w:rFonts w:hint="eastAsia"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hint="eastAsia" w:ascii="宋体" w:hAnsi="宋体"/>
          <w:color w:val="auto"/>
          <w:szCs w:val="21"/>
          <w:highlight w:val="none"/>
        </w:rPr>
        <w:t>万元，属于</w:t>
      </w:r>
      <w:r>
        <w:rPr>
          <w:rFonts w:hint="eastAsia" w:ascii="宋体" w:hAnsi="宋体"/>
          <w:color w:val="auto"/>
          <w:szCs w:val="21"/>
          <w:highlight w:val="none"/>
          <w:u w:val="single"/>
        </w:rPr>
        <w:t xml:space="preserve">          </w:t>
      </w:r>
      <w:r>
        <w:rPr>
          <w:rFonts w:hint="eastAsia" w:ascii="宋体" w:hAnsi="宋体"/>
          <w:color w:val="auto"/>
          <w:szCs w:val="21"/>
          <w:highlight w:val="none"/>
        </w:rPr>
        <w:t>(中型企业、小型企业、微型企业)；</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以上企业，不属于大企业的分支机构，不存在控股股东为大企业的情形，也不存在与大企业的负责人为同一人的情形。</w:t>
      </w:r>
    </w:p>
    <w:p>
      <w:pPr>
        <w:snapToGrid w:val="0"/>
        <w:spacing w:line="360" w:lineRule="auto"/>
        <w:ind w:firstLine="420" w:firstLineChars="200"/>
        <w:rPr>
          <w:rFonts w:ascii="宋体" w:hAnsi="宋体"/>
          <w:color w:val="auto"/>
          <w:sz w:val="24"/>
          <w:highlight w:val="none"/>
        </w:rPr>
      </w:pPr>
      <w:r>
        <w:rPr>
          <w:rFonts w:hint="eastAsia" w:ascii="宋体" w:hAnsi="宋体"/>
          <w:color w:val="auto"/>
          <w:szCs w:val="21"/>
          <w:highlight w:val="none"/>
        </w:rPr>
        <w:t>本企业对上述声明内容的真实性负责。如有虛假，将依法承担相应责任</w:t>
      </w:r>
      <w:r>
        <w:rPr>
          <w:rFonts w:hint="eastAsia" w:ascii="宋体" w:hAnsi="宋体"/>
          <w:color w:val="auto"/>
          <w:sz w:val="24"/>
          <w:highlight w:val="none"/>
        </w:rPr>
        <w:t>。</w:t>
      </w:r>
    </w:p>
    <w:p>
      <w:pPr>
        <w:spacing w:line="360" w:lineRule="auto"/>
        <w:rPr>
          <w:rFonts w:ascii="宋体" w:hAnsi="宋体"/>
          <w:color w:val="auto"/>
          <w:sz w:val="24"/>
          <w:highlight w:val="none"/>
        </w:rPr>
      </w:pPr>
    </w:p>
    <w:p>
      <w:pPr>
        <w:pStyle w:val="12"/>
        <w:rPr>
          <w:rFonts w:ascii="宋体" w:hAnsi="宋体"/>
          <w:color w:val="auto"/>
          <w:sz w:val="24"/>
          <w:highlight w:val="none"/>
        </w:rPr>
      </w:pPr>
    </w:p>
    <w:p>
      <w:pPr>
        <w:pStyle w:val="14"/>
        <w:rPr>
          <w:color w:val="auto"/>
          <w:highlight w:val="none"/>
        </w:rPr>
      </w:pPr>
    </w:p>
    <w:p>
      <w:pPr>
        <w:snapToGrid w:val="0"/>
        <w:spacing w:line="360" w:lineRule="auto"/>
        <w:ind w:firstLine="4042" w:firstLineChars="1925"/>
        <w:rPr>
          <w:rFonts w:ascii="宋体" w:hAnsi="宋体"/>
          <w:color w:val="auto"/>
          <w:szCs w:val="21"/>
          <w:highlight w:val="none"/>
          <w:u w:val="single"/>
        </w:rPr>
      </w:pPr>
      <w:r>
        <w:rPr>
          <w:rFonts w:hint="eastAsia" w:ascii="宋体" w:hAnsi="宋体"/>
          <w:color w:val="auto"/>
          <w:szCs w:val="21"/>
          <w:highlight w:val="none"/>
        </w:rPr>
        <w:t>企业名称：</w:t>
      </w:r>
      <w:r>
        <w:rPr>
          <w:rFonts w:hint="eastAsia" w:ascii="宋体" w:hAnsi="宋体"/>
          <w:color w:val="auto"/>
          <w:szCs w:val="21"/>
          <w:highlight w:val="none"/>
          <w:u w:val="single"/>
        </w:rPr>
        <w:t xml:space="preserve">            </w:t>
      </w:r>
      <w:r>
        <w:rPr>
          <w:rFonts w:hint="eastAsia" w:ascii="宋体" w:hAnsi="宋体"/>
          <w:color w:val="auto"/>
          <w:szCs w:val="21"/>
          <w:highlight w:val="none"/>
        </w:rPr>
        <w:t>（盖章）</w:t>
      </w:r>
    </w:p>
    <w:p>
      <w:pPr>
        <w:snapToGrid w:val="0"/>
        <w:spacing w:line="360" w:lineRule="auto"/>
        <w:ind w:firstLine="4042" w:firstLineChars="1925"/>
        <w:rPr>
          <w:rFonts w:ascii="宋体" w:hAnsi="宋体"/>
          <w:color w:val="auto"/>
          <w:szCs w:val="21"/>
          <w:highlight w:val="none"/>
        </w:rPr>
      </w:pPr>
      <w:r>
        <w:rPr>
          <w:rFonts w:hint="eastAsia" w:ascii="宋体" w:hAnsi="宋体"/>
          <w:color w:val="auto"/>
          <w:szCs w:val="21"/>
          <w:highlight w:val="none"/>
        </w:rPr>
        <w:t>日   期：</w:t>
      </w:r>
      <w:r>
        <w:rPr>
          <w:rFonts w:hint="eastAsia" w:ascii="宋体" w:hAnsi="宋体"/>
          <w:color w:val="auto"/>
          <w:szCs w:val="21"/>
          <w:highlight w:val="none"/>
          <w:u w:val="single"/>
        </w:rPr>
        <w:t xml:space="preserve">            </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注：</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1、从业人员、营业收入、资产总额填报上一年度数据，无上一年度数据的新成立企业可不填报。</w:t>
      </w:r>
    </w:p>
    <w:p>
      <w:pPr>
        <w:snapToGrid w:val="0"/>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2、投标人为非企业单位的，可不提供此声明。</w:t>
      </w:r>
    </w:p>
    <w:p>
      <w:pPr>
        <w:pStyle w:val="4"/>
        <w:rPr>
          <w:rFonts w:eastAsia="黑体"/>
        </w:rPr>
      </w:pPr>
      <w:r>
        <w:rPr>
          <w:rFonts w:hint="eastAsia" w:ascii="宋体" w:hAnsi="宋体" w:cs="宋体"/>
          <w:sz w:val="24"/>
        </w:rPr>
        <w:br w:type="page"/>
      </w:r>
      <w:bookmarkStart w:id="618" w:name="_Toc12884"/>
      <w:bookmarkStart w:id="619" w:name="_Toc32678"/>
      <w:bookmarkStart w:id="620" w:name="_Toc15172"/>
      <w:bookmarkStart w:id="621" w:name="_Toc2533"/>
      <w:bookmarkStart w:id="622" w:name="_Toc8309"/>
      <w:bookmarkStart w:id="623" w:name="_Toc28346"/>
      <w:bookmarkStart w:id="624" w:name="_Toc32171"/>
      <w:bookmarkStart w:id="625" w:name="_Toc8915"/>
      <w:r>
        <w:rPr>
          <w:rFonts w:hint="eastAsia" w:ascii="黑体" w:hAnsi="黑体" w:eastAsia="黑体" w:cs="黑体"/>
        </w:rPr>
        <w:t>七、残疾人福利性单位声明函</w:t>
      </w:r>
      <w:bookmarkEnd w:id="618"/>
      <w:bookmarkEnd w:id="619"/>
      <w:bookmarkEnd w:id="620"/>
      <w:bookmarkEnd w:id="621"/>
      <w:bookmarkEnd w:id="622"/>
      <w:bookmarkEnd w:id="623"/>
      <w:bookmarkEnd w:id="624"/>
      <w:bookmarkEnd w:id="625"/>
      <w:r>
        <w:rPr>
          <w:rFonts w:hint="eastAsia" w:ascii="黑体" w:hAnsi="黑体" w:eastAsia="黑体" w:cs="黑体"/>
        </w:rPr>
        <w:t>（如涉及）</w:t>
      </w:r>
    </w:p>
    <w:p>
      <w:pPr>
        <w:snapToGrid w:val="0"/>
        <w:spacing w:line="360" w:lineRule="auto"/>
        <w:ind w:firstLine="444" w:firstLineChars="200"/>
        <w:rPr>
          <w:rFonts w:ascii="宋体" w:hAnsi="宋体" w:cs="宋体"/>
          <w:spacing w:val="6"/>
          <w:szCs w:val="21"/>
        </w:rPr>
      </w:pPr>
      <w:r>
        <w:rPr>
          <w:rFonts w:hint="eastAsia" w:ascii="宋体" w:hAnsi="宋体" w:cs="宋体"/>
          <w:spacing w:val="6"/>
          <w:szCs w:val="21"/>
        </w:rPr>
        <w:t>本单位郑重声明，根据《财政部 民政部 中国残疾人联合会关于促进残疾人就业政府采购政策的通知》（财库</w:t>
      </w:r>
      <w:r>
        <w:rPr>
          <w:rFonts w:hint="eastAsia" w:ascii="宋体" w:hAnsi="宋体" w:cs="宋体"/>
          <w:szCs w:val="21"/>
        </w:rPr>
        <w:t>〔2017〕 141</w:t>
      </w:r>
      <w:r>
        <w:rPr>
          <w:rFonts w:hint="eastAsia" w:ascii="宋体" w:hAnsi="宋体" w:cs="宋体"/>
          <w:spacing w:val="6"/>
          <w:szCs w:val="21"/>
        </w:rPr>
        <w:t>号）的规定，本单位为符合条件的残疾人福利性单位，且本单位参加</w:t>
      </w:r>
    </w:p>
    <w:p>
      <w:pPr>
        <w:snapToGrid w:val="0"/>
        <w:spacing w:line="360" w:lineRule="auto"/>
        <w:rPr>
          <w:rFonts w:ascii="宋体" w:hAnsi="宋体" w:cs="宋体"/>
          <w:spacing w:val="6"/>
          <w:szCs w:val="21"/>
        </w:rPr>
      </w:pPr>
      <w:r>
        <w:rPr>
          <w:rFonts w:hint="eastAsia" w:ascii="宋体" w:hAnsi="宋体"/>
          <w:szCs w:val="21"/>
          <w:u w:val="single"/>
        </w:rPr>
        <w:t xml:space="preserve">             </w:t>
      </w:r>
      <w:r>
        <w:rPr>
          <w:rFonts w:hint="eastAsia" w:ascii="宋体" w:hAnsi="宋体" w:cs="宋体"/>
          <w:spacing w:val="6"/>
          <w:szCs w:val="21"/>
        </w:rPr>
        <w:t>单位的</w:t>
      </w:r>
      <w:r>
        <w:rPr>
          <w:rFonts w:hint="eastAsia" w:ascii="宋体" w:hAnsi="宋体"/>
          <w:szCs w:val="21"/>
          <w:u w:val="single"/>
        </w:rPr>
        <w:t xml:space="preserve">             </w:t>
      </w:r>
      <w:r>
        <w:rPr>
          <w:rFonts w:hint="eastAsia" w:ascii="宋体" w:hAnsi="宋体" w:cs="宋体"/>
          <w:spacing w:val="6"/>
          <w:szCs w:val="21"/>
        </w:rPr>
        <w:t>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44" w:firstLineChars="200"/>
        <w:rPr>
          <w:rFonts w:ascii="宋体" w:hAnsi="宋体" w:cs="宋体"/>
          <w:spacing w:val="6"/>
          <w:szCs w:val="21"/>
        </w:rPr>
      </w:pPr>
      <w:r>
        <w:rPr>
          <w:rFonts w:hint="eastAsia" w:ascii="宋体" w:hAnsi="宋体" w:cs="宋体"/>
          <w:spacing w:val="6"/>
          <w:szCs w:val="21"/>
        </w:rPr>
        <w:t>本单位对上述声明的真实性负责。如有虚假，将依法承担相应责任。</w:t>
      </w:r>
    </w:p>
    <w:p>
      <w:pPr>
        <w:snapToGrid w:val="0"/>
        <w:spacing w:line="360" w:lineRule="auto"/>
        <w:rPr>
          <w:rFonts w:ascii="宋体" w:hAnsi="宋体" w:cs="宋体"/>
          <w:spacing w:val="6"/>
          <w:szCs w:val="21"/>
        </w:rPr>
      </w:pPr>
    </w:p>
    <w:p>
      <w:pPr>
        <w:spacing w:line="360" w:lineRule="auto"/>
        <w:rPr>
          <w:rFonts w:ascii="宋体" w:hAnsi="宋体" w:cs="宋体"/>
          <w:spacing w:val="6"/>
          <w:sz w:val="24"/>
        </w:rPr>
      </w:pPr>
    </w:p>
    <w:p>
      <w:pPr>
        <w:spacing w:line="360" w:lineRule="auto"/>
        <w:ind w:firstLine="4418" w:firstLineChars="2104"/>
        <w:jc w:val="left"/>
        <w:rPr>
          <w:rFonts w:ascii="宋体" w:hAnsi="宋体"/>
          <w:szCs w:val="21"/>
        </w:rPr>
      </w:pPr>
      <w:r>
        <w:rPr>
          <w:rFonts w:hint="eastAsia" w:ascii="宋体" w:hAnsi="宋体"/>
          <w:szCs w:val="21"/>
        </w:rPr>
        <w:t>单位名称：</w:t>
      </w:r>
      <w:r>
        <w:rPr>
          <w:rFonts w:hint="eastAsia" w:ascii="宋体" w:hAnsi="宋体"/>
          <w:szCs w:val="21"/>
          <w:u w:val="single"/>
        </w:rPr>
        <w:t xml:space="preserve">             </w:t>
      </w:r>
      <w:r>
        <w:rPr>
          <w:rFonts w:hint="eastAsia" w:ascii="宋体" w:hAnsi="宋体"/>
          <w:szCs w:val="21"/>
        </w:rPr>
        <w:t>（盖单位公章）</w:t>
      </w:r>
    </w:p>
    <w:p>
      <w:pPr>
        <w:spacing w:line="360" w:lineRule="auto"/>
        <w:ind w:left="4620" w:leftChars="2100" w:hanging="210" w:hangingChars="100"/>
        <w:jc w:val="left"/>
        <w:rPr>
          <w:rFonts w:ascii="宋体" w:hAnsi="宋体"/>
          <w:szCs w:val="21"/>
          <w:u w:val="single"/>
        </w:rPr>
      </w:pPr>
      <w:r>
        <w:rPr>
          <w:rFonts w:hint="eastAsia" w:ascii="宋体" w:hAnsi="宋体" w:cs="宋体"/>
        </w:rPr>
        <w:t>法定代表人/负责人</w:t>
      </w:r>
      <w:r>
        <w:rPr>
          <w:rFonts w:hint="eastAsia" w:ascii="宋体" w:hAnsi="宋体"/>
          <w:szCs w:val="21"/>
        </w:rPr>
        <w:t>或授权代表（签字或加盖个人印章）：</w:t>
      </w:r>
      <w:r>
        <w:rPr>
          <w:rFonts w:hint="eastAsia" w:ascii="宋体" w:hAnsi="宋体"/>
          <w:szCs w:val="21"/>
          <w:u w:val="single"/>
        </w:rPr>
        <w:t xml:space="preserve">      </w:t>
      </w:r>
    </w:p>
    <w:p>
      <w:pPr>
        <w:spacing w:line="360" w:lineRule="auto"/>
        <w:ind w:left="4620" w:leftChars="2100" w:hanging="210" w:hangingChars="100"/>
        <w:jc w:val="left"/>
        <w:rPr>
          <w:rFonts w:ascii="宋体" w:hAnsi="宋体"/>
          <w:szCs w:val="21"/>
        </w:rPr>
      </w:pPr>
      <w:r>
        <w:rPr>
          <w:rFonts w:hint="eastAsia" w:ascii="宋体" w:hAnsi="宋体"/>
          <w:szCs w:val="21"/>
        </w:rPr>
        <w:t>日   期：</w:t>
      </w:r>
      <w:r>
        <w:rPr>
          <w:rFonts w:hint="eastAsia" w:ascii="宋体" w:hAnsi="宋体"/>
          <w:szCs w:val="21"/>
          <w:u w:val="single"/>
        </w:rPr>
        <w:t xml:space="preserve">             </w:t>
      </w:r>
    </w:p>
    <w:p>
      <w:pPr>
        <w:spacing w:line="360" w:lineRule="auto"/>
        <w:rPr>
          <w:rFonts w:ascii="宋体" w:hAnsi="宋体" w:cs="宋体"/>
          <w:sz w:val="24"/>
        </w:rPr>
      </w:pPr>
    </w:p>
    <w:p>
      <w:pPr>
        <w:snapToGrid w:val="0"/>
        <w:spacing w:line="360" w:lineRule="auto"/>
        <w:ind w:firstLine="420" w:firstLineChars="200"/>
        <w:rPr>
          <w:rFonts w:ascii="宋体" w:hAnsi="宋体" w:cs="宋体"/>
          <w:szCs w:val="21"/>
        </w:rPr>
      </w:pPr>
      <w:r>
        <w:rPr>
          <w:rFonts w:hint="eastAsia" w:ascii="宋体" w:hAnsi="宋体" w:cs="宋体"/>
          <w:szCs w:val="21"/>
        </w:rPr>
        <w:t>注：</w:t>
      </w:r>
    </w:p>
    <w:p>
      <w:pPr>
        <w:numPr>
          <w:ilvl w:val="0"/>
          <w:numId w:val="7"/>
        </w:numPr>
        <w:snapToGrid w:val="0"/>
        <w:spacing w:line="360" w:lineRule="auto"/>
        <w:ind w:firstLine="420" w:firstLineChars="200"/>
        <w:rPr>
          <w:rFonts w:ascii="宋体" w:hAnsi="宋体" w:cs="宋体"/>
          <w:szCs w:val="21"/>
        </w:rPr>
      </w:pPr>
      <w:r>
        <w:rPr>
          <w:rFonts w:hint="eastAsia" w:ascii="宋体" w:hAnsi="宋体" w:cs="宋体"/>
          <w:szCs w:val="21"/>
        </w:rPr>
        <w:t>残疾人福利性单位视同小型、微型企业，享受预留份额、评审中价格扣除等促进中小企业发展的政府采购政策。残疾人福利性单位属于小型、微型企业的，不重复享受政策。</w:t>
      </w:r>
    </w:p>
    <w:p>
      <w:pPr>
        <w:numPr>
          <w:ilvl w:val="0"/>
          <w:numId w:val="7"/>
        </w:numPr>
        <w:snapToGrid w:val="0"/>
        <w:spacing w:line="360" w:lineRule="auto"/>
        <w:ind w:firstLine="420" w:firstLineChars="200"/>
        <w:rPr>
          <w:rFonts w:ascii="宋体" w:hAnsi="宋体" w:cs="宋体"/>
          <w:szCs w:val="21"/>
        </w:rPr>
      </w:pPr>
      <w:r>
        <w:rPr>
          <w:rFonts w:hint="eastAsia" w:ascii="宋体" w:hAnsi="宋体" w:cs="宋体"/>
          <w:szCs w:val="21"/>
        </w:rPr>
        <w:t>供应商为非残疾人福利性单位的，可不提供此声明。</w:t>
      </w:r>
    </w:p>
    <w:p>
      <w:pPr>
        <w:pStyle w:val="4"/>
        <w:spacing w:line="360" w:lineRule="auto"/>
      </w:pPr>
      <w:r>
        <w:rPr>
          <w:rFonts w:ascii="宋体" w:hAnsi="宋体"/>
          <w:sz w:val="24"/>
        </w:rPr>
        <w:br w:type="page"/>
      </w:r>
      <w:bookmarkStart w:id="626" w:name="_Toc4639"/>
      <w:bookmarkStart w:id="627" w:name="_Toc508615397"/>
      <w:bookmarkStart w:id="628" w:name="_Toc22667"/>
      <w:bookmarkStart w:id="629" w:name="_Toc18922"/>
      <w:bookmarkStart w:id="630" w:name="_Toc31400"/>
      <w:bookmarkStart w:id="631" w:name="_Toc28753"/>
      <w:bookmarkStart w:id="632" w:name="_Toc27108"/>
      <w:bookmarkStart w:id="633" w:name="_Toc11793"/>
      <w:bookmarkStart w:id="634" w:name="_Toc21619"/>
      <w:r>
        <w:rPr>
          <w:rFonts w:hint="eastAsia" w:ascii="黑体" w:hAnsi="黑体" w:eastAsia="黑体" w:cs="黑体"/>
        </w:rPr>
        <w:t>八、监狱企业相关证明材料（如涉及）</w:t>
      </w:r>
      <w:bookmarkEnd w:id="626"/>
      <w:bookmarkEnd w:id="627"/>
      <w:bookmarkEnd w:id="628"/>
      <w:bookmarkEnd w:id="629"/>
      <w:bookmarkEnd w:id="630"/>
      <w:bookmarkEnd w:id="631"/>
      <w:bookmarkEnd w:id="632"/>
      <w:bookmarkEnd w:id="633"/>
      <w:bookmarkEnd w:id="634"/>
    </w:p>
    <w:p>
      <w:pPr>
        <w:spacing w:line="360" w:lineRule="auto"/>
        <w:ind w:firstLine="420" w:firstLineChars="200"/>
        <w:rPr>
          <w:rFonts w:hAnsi="宋体" w:cs="宋体"/>
          <w:szCs w:val="21"/>
        </w:rPr>
      </w:pPr>
      <w:r>
        <w:rPr>
          <w:rFonts w:hint="eastAsia" w:hAnsi="宋体" w:cs="宋体"/>
          <w:szCs w:val="21"/>
        </w:rPr>
        <w:t>说明：</w:t>
      </w:r>
    </w:p>
    <w:p>
      <w:pPr>
        <w:spacing w:line="360" w:lineRule="auto"/>
        <w:ind w:firstLine="420" w:firstLineChars="200"/>
        <w:rPr>
          <w:rFonts w:hAnsi="宋体" w:cs="宋体"/>
          <w:szCs w:val="21"/>
        </w:rPr>
      </w:pPr>
      <w:r>
        <w:rPr>
          <w:rFonts w:hint="eastAsia" w:hAnsi="宋体" w:cs="宋体"/>
          <w:szCs w:val="21"/>
        </w:rPr>
        <w:t>①监狱企业参加政府采购活动时，应当提供由省级以上监狱管理局、戒毒管理局(含新疆生产建设兵团)出具的属于监狱企业的证明文件。</w:t>
      </w:r>
    </w:p>
    <w:p>
      <w:pPr>
        <w:spacing w:line="360" w:lineRule="auto"/>
        <w:ind w:firstLine="420" w:firstLineChars="200"/>
        <w:rPr>
          <w:rFonts w:hAnsi="宋体" w:cs="宋体"/>
          <w:szCs w:val="21"/>
        </w:rPr>
      </w:pPr>
      <w:r>
        <w:rPr>
          <w:rFonts w:hint="eastAsia" w:hAnsi="宋体" w:cs="宋体"/>
          <w:szCs w:val="21"/>
        </w:rPr>
        <w:t>②如未提供监狱企业相关证明材料的，则其磋商中的监狱企业不能享受招标文件规定的价格扣除，但不影响供应商响应文件的有效性。</w:t>
      </w:r>
    </w:p>
    <w:p>
      <w:pPr>
        <w:spacing w:line="360" w:lineRule="auto"/>
        <w:ind w:firstLine="420" w:firstLineChars="200"/>
        <w:rPr>
          <w:rFonts w:hAnsi="宋体" w:cs="宋体"/>
          <w:szCs w:val="21"/>
        </w:rPr>
      </w:pPr>
      <w:r>
        <w:rPr>
          <w:rFonts w:hint="eastAsia" w:hAnsi="宋体" w:cs="宋体"/>
          <w:szCs w:val="21"/>
        </w:rPr>
        <w:t>③非监狱企业无需提供证明材料。</w:t>
      </w:r>
    </w:p>
    <w:p>
      <w:pPr>
        <w:widowControl/>
        <w:spacing w:line="360" w:lineRule="auto"/>
        <w:jc w:val="left"/>
        <w:rPr>
          <w:rFonts w:ascii="宋体" w:hAnsi="宋体"/>
          <w:b/>
          <w:sz w:val="24"/>
        </w:rPr>
      </w:pPr>
    </w:p>
    <w:p>
      <w:pPr>
        <w:pStyle w:val="4"/>
        <w:sectPr>
          <w:pgSz w:w="11907" w:h="16840"/>
          <w:pgMar w:top="1134" w:right="1134" w:bottom="1134" w:left="1134" w:header="851" w:footer="850" w:gutter="0"/>
          <w:pgNumType w:fmt="decimal"/>
          <w:cols w:space="720" w:num="1"/>
          <w:docGrid w:type="lines" w:linePitch="312" w:charSpace="0"/>
        </w:sectPr>
      </w:pPr>
      <w:bookmarkStart w:id="635" w:name="_Toc11201"/>
    </w:p>
    <w:p>
      <w:pPr>
        <w:pStyle w:val="4"/>
        <w:spacing w:before="0" w:after="0" w:line="360" w:lineRule="auto"/>
        <w:rPr>
          <w:rFonts w:ascii="黑体" w:hAnsi="黑体" w:eastAsia="黑体" w:cs="黑体"/>
        </w:rPr>
      </w:pPr>
      <w:bookmarkStart w:id="636" w:name="_Toc11713"/>
      <w:bookmarkStart w:id="637" w:name="_Toc3374"/>
      <w:bookmarkStart w:id="638" w:name="_Toc119"/>
      <w:bookmarkStart w:id="639" w:name="_Toc12615"/>
      <w:bookmarkStart w:id="640" w:name="_Toc22397"/>
      <w:bookmarkStart w:id="641" w:name="_Toc14052"/>
      <w:bookmarkStart w:id="642" w:name="_Toc31258"/>
      <w:r>
        <w:rPr>
          <w:rFonts w:hint="eastAsia" w:ascii="黑体" w:hAnsi="黑体" w:eastAsia="黑体" w:cs="黑体"/>
        </w:rPr>
        <w:t>九、技术、服务要求应答表</w:t>
      </w:r>
      <w:bookmarkEnd w:id="635"/>
      <w:bookmarkEnd w:id="636"/>
      <w:bookmarkEnd w:id="637"/>
      <w:bookmarkEnd w:id="638"/>
      <w:bookmarkEnd w:id="639"/>
      <w:bookmarkEnd w:id="640"/>
      <w:bookmarkEnd w:id="641"/>
      <w:bookmarkEnd w:id="642"/>
    </w:p>
    <w:tbl>
      <w:tblPr>
        <w:tblStyle w:val="33"/>
        <w:tblW w:w="9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4379"/>
        <w:gridCol w:w="3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698" w:type="dxa"/>
            <w:shd w:val="clear" w:color="auto" w:fill="F2F2F2"/>
            <w:vAlign w:val="center"/>
          </w:tcPr>
          <w:p>
            <w:pPr>
              <w:spacing w:line="360" w:lineRule="auto"/>
              <w:jc w:val="center"/>
              <w:rPr>
                <w:rFonts w:ascii="宋体" w:hAnsi="宋体"/>
                <w:b/>
                <w:bCs/>
                <w:szCs w:val="21"/>
              </w:rPr>
            </w:pPr>
            <w:r>
              <w:rPr>
                <w:rFonts w:hint="eastAsia" w:ascii="宋体" w:hAnsi="宋体"/>
                <w:b/>
                <w:bCs/>
                <w:szCs w:val="21"/>
              </w:rPr>
              <w:t>序号</w:t>
            </w:r>
          </w:p>
        </w:tc>
        <w:tc>
          <w:tcPr>
            <w:tcW w:w="4379" w:type="dxa"/>
            <w:shd w:val="clear" w:color="auto" w:fill="F2F2F2"/>
            <w:vAlign w:val="center"/>
          </w:tcPr>
          <w:p>
            <w:pPr>
              <w:spacing w:line="360" w:lineRule="auto"/>
              <w:jc w:val="center"/>
              <w:rPr>
                <w:rFonts w:ascii="宋体" w:hAnsi="宋体"/>
                <w:b/>
                <w:bCs/>
                <w:szCs w:val="21"/>
              </w:rPr>
            </w:pPr>
            <w:r>
              <w:rPr>
                <w:rFonts w:hint="eastAsia" w:ascii="宋体" w:hAnsi="宋体"/>
                <w:b/>
                <w:bCs/>
                <w:szCs w:val="21"/>
              </w:rPr>
              <w:t>采购文件要求</w:t>
            </w:r>
          </w:p>
        </w:tc>
        <w:tc>
          <w:tcPr>
            <w:tcW w:w="3762" w:type="dxa"/>
            <w:shd w:val="clear" w:color="auto" w:fill="F2F2F2"/>
            <w:vAlign w:val="center"/>
          </w:tcPr>
          <w:p>
            <w:pPr>
              <w:spacing w:line="360" w:lineRule="auto"/>
              <w:jc w:val="center"/>
              <w:rPr>
                <w:rFonts w:ascii="宋体" w:hAnsi="宋体"/>
                <w:b/>
                <w:bCs/>
                <w:szCs w:val="21"/>
              </w:rPr>
            </w:pPr>
            <w:r>
              <w:rPr>
                <w:rFonts w:hint="eastAsia" w:ascii="宋体" w:hAnsi="宋体"/>
                <w:b/>
                <w:bCs/>
                <w:szCs w:val="21"/>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698" w:type="dxa"/>
          </w:tcPr>
          <w:p>
            <w:pPr>
              <w:spacing w:line="360" w:lineRule="auto"/>
              <w:jc w:val="center"/>
              <w:rPr>
                <w:rFonts w:ascii="宋体" w:hAnsi="宋体"/>
                <w:szCs w:val="21"/>
              </w:rPr>
            </w:pPr>
          </w:p>
        </w:tc>
        <w:tc>
          <w:tcPr>
            <w:tcW w:w="4379" w:type="dxa"/>
          </w:tcPr>
          <w:p>
            <w:pPr>
              <w:spacing w:line="360" w:lineRule="auto"/>
              <w:jc w:val="center"/>
              <w:rPr>
                <w:rFonts w:ascii="宋体" w:hAnsi="宋体"/>
                <w:szCs w:val="21"/>
              </w:rPr>
            </w:pPr>
          </w:p>
        </w:tc>
        <w:tc>
          <w:tcPr>
            <w:tcW w:w="3762"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698" w:type="dxa"/>
          </w:tcPr>
          <w:p>
            <w:pPr>
              <w:spacing w:line="360" w:lineRule="auto"/>
              <w:jc w:val="center"/>
              <w:rPr>
                <w:rFonts w:ascii="宋体" w:hAnsi="宋体"/>
                <w:szCs w:val="21"/>
              </w:rPr>
            </w:pPr>
          </w:p>
        </w:tc>
        <w:tc>
          <w:tcPr>
            <w:tcW w:w="4379" w:type="dxa"/>
          </w:tcPr>
          <w:p>
            <w:pPr>
              <w:spacing w:line="360" w:lineRule="auto"/>
              <w:jc w:val="center"/>
              <w:rPr>
                <w:rFonts w:ascii="宋体" w:hAnsi="宋体"/>
                <w:szCs w:val="21"/>
              </w:rPr>
            </w:pPr>
          </w:p>
        </w:tc>
        <w:tc>
          <w:tcPr>
            <w:tcW w:w="3762"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698" w:type="dxa"/>
          </w:tcPr>
          <w:p>
            <w:pPr>
              <w:spacing w:line="360" w:lineRule="auto"/>
              <w:jc w:val="center"/>
              <w:rPr>
                <w:rFonts w:ascii="宋体" w:hAnsi="宋体"/>
                <w:szCs w:val="21"/>
              </w:rPr>
            </w:pPr>
          </w:p>
        </w:tc>
        <w:tc>
          <w:tcPr>
            <w:tcW w:w="4379" w:type="dxa"/>
          </w:tcPr>
          <w:p>
            <w:pPr>
              <w:spacing w:line="360" w:lineRule="auto"/>
              <w:jc w:val="center"/>
              <w:rPr>
                <w:rFonts w:ascii="宋体" w:hAnsi="宋体"/>
                <w:szCs w:val="21"/>
              </w:rPr>
            </w:pPr>
          </w:p>
        </w:tc>
        <w:tc>
          <w:tcPr>
            <w:tcW w:w="3762"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698" w:type="dxa"/>
          </w:tcPr>
          <w:p>
            <w:pPr>
              <w:spacing w:line="360" w:lineRule="auto"/>
              <w:jc w:val="center"/>
              <w:rPr>
                <w:rFonts w:ascii="宋体" w:hAnsi="宋体"/>
                <w:szCs w:val="21"/>
              </w:rPr>
            </w:pPr>
          </w:p>
        </w:tc>
        <w:tc>
          <w:tcPr>
            <w:tcW w:w="4379" w:type="dxa"/>
          </w:tcPr>
          <w:p>
            <w:pPr>
              <w:spacing w:line="360" w:lineRule="auto"/>
              <w:jc w:val="center"/>
              <w:rPr>
                <w:rFonts w:ascii="宋体" w:hAnsi="宋体"/>
                <w:szCs w:val="21"/>
              </w:rPr>
            </w:pPr>
          </w:p>
        </w:tc>
        <w:tc>
          <w:tcPr>
            <w:tcW w:w="3762" w:type="dxa"/>
          </w:tcPr>
          <w:p>
            <w:pPr>
              <w:spacing w:line="360" w:lineRule="auto"/>
              <w:jc w:val="center"/>
              <w:rPr>
                <w:rFonts w:ascii="宋体" w:hAnsi="宋体"/>
                <w:szCs w:val="21"/>
              </w:rPr>
            </w:pPr>
          </w:p>
        </w:tc>
      </w:tr>
    </w:tbl>
    <w:p>
      <w:pPr>
        <w:spacing w:line="360" w:lineRule="auto"/>
        <w:ind w:firstLine="482" w:firstLineChars="200"/>
        <w:rPr>
          <w:rFonts w:ascii="宋体" w:hAnsi="宋体"/>
          <w:b/>
          <w:sz w:val="24"/>
        </w:rPr>
      </w:pPr>
    </w:p>
    <w:p>
      <w:pPr>
        <w:widowControl/>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注：供应商应根据磋商文件要求据实逐条填写；如与磋商文件商务要求的所有条款无偏离，则无须在此表中应答，视为默认完全响应和接受招标文件商务要求所有的内容，投标人不得以未作应答而拒不接受。投标人不得虚假应答，否则取消中标资格。</w:t>
      </w:r>
    </w:p>
    <w:p>
      <w:pPr>
        <w:widowControl/>
        <w:snapToGrid w:val="0"/>
        <w:spacing w:line="360" w:lineRule="auto"/>
        <w:ind w:firstLine="420" w:firstLineChars="200"/>
        <w:jc w:val="left"/>
        <w:rPr>
          <w:szCs w:val="21"/>
        </w:rPr>
      </w:pPr>
    </w:p>
    <w:p>
      <w:pPr>
        <w:tabs>
          <w:tab w:val="left" w:pos="4212"/>
        </w:tabs>
        <w:spacing w:line="360" w:lineRule="auto"/>
        <w:ind w:firstLine="422" w:firstLineChars="200"/>
        <w:jc w:val="left"/>
        <w:rPr>
          <w:rFonts w:hint="eastAsia" w:ascii="宋体" w:hAnsi="宋体" w:eastAsia="宋体"/>
          <w:b/>
          <w:szCs w:val="21"/>
          <w:lang w:eastAsia="zh-CN"/>
        </w:rPr>
      </w:pPr>
      <w:r>
        <w:rPr>
          <w:rFonts w:hint="eastAsia" w:ascii="宋体" w:hAnsi="宋体"/>
          <w:b/>
          <w:szCs w:val="21"/>
          <w:lang w:eastAsia="zh-CN"/>
        </w:rPr>
        <w:tab/>
      </w:r>
    </w:p>
    <w:p>
      <w:pPr>
        <w:adjustRightInd w:val="0"/>
        <w:spacing w:line="360" w:lineRule="auto"/>
        <w:ind w:firstLine="480" w:firstLineChars="200"/>
        <w:jc w:val="left"/>
        <w:rPr>
          <w:rFonts w:ascii="宋体" w:hAnsi="宋体"/>
          <w:sz w:val="24"/>
        </w:rPr>
      </w:pPr>
    </w:p>
    <w:p>
      <w:pPr>
        <w:adjustRightInd w:val="0"/>
        <w:snapToGrid w:val="0"/>
        <w:spacing w:line="360" w:lineRule="auto"/>
        <w:ind w:firstLine="3979" w:firstLineChars="1895"/>
        <w:jc w:val="left"/>
        <w:rPr>
          <w:rFonts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（盖单位公章）</w:t>
      </w:r>
    </w:p>
    <w:p>
      <w:pPr>
        <w:adjustRightInd w:val="0"/>
        <w:snapToGrid w:val="0"/>
        <w:spacing w:line="360" w:lineRule="auto"/>
        <w:ind w:firstLine="2310" w:firstLineChars="1100"/>
        <w:jc w:val="left"/>
        <w:rPr>
          <w:rFonts w:ascii="宋体" w:hAnsi="宋体"/>
          <w:bCs/>
          <w:szCs w:val="21"/>
        </w:rPr>
      </w:pPr>
      <w:r>
        <w:rPr>
          <w:rFonts w:hint="eastAsia" w:ascii="宋体" w:hAnsi="宋体" w:cs="宋体"/>
        </w:rPr>
        <w:t>法定代表人/负责人</w:t>
      </w:r>
      <w:r>
        <w:rPr>
          <w:rFonts w:hint="eastAsia" w:ascii="宋体" w:hAnsi="宋体"/>
          <w:bCs/>
          <w:szCs w:val="21"/>
        </w:rPr>
        <w:t>或授权代表</w:t>
      </w:r>
      <w:r>
        <w:rPr>
          <w:rFonts w:hint="eastAsia" w:ascii="宋体" w:hAnsi="宋体"/>
          <w:szCs w:val="21"/>
        </w:rPr>
        <w:t>（签字或加盖个人印章）</w:t>
      </w:r>
      <w:r>
        <w:rPr>
          <w:rFonts w:hint="eastAsia" w:ascii="宋体" w:hAnsi="宋体"/>
          <w:bCs/>
          <w:szCs w:val="21"/>
        </w:rPr>
        <w:t>：</w:t>
      </w:r>
      <w:r>
        <w:rPr>
          <w:rFonts w:hint="eastAsia" w:ascii="宋体" w:hAnsi="宋体"/>
          <w:szCs w:val="21"/>
          <w:u w:val="single"/>
        </w:rPr>
        <w:t xml:space="preserve">             </w:t>
      </w:r>
    </w:p>
    <w:p>
      <w:pPr>
        <w:adjustRightInd w:val="0"/>
        <w:snapToGrid w:val="0"/>
        <w:spacing w:line="360" w:lineRule="auto"/>
        <w:ind w:firstLine="3979" w:firstLineChars="1895"/>
        <w:jc w:val="left"/>
        <w:rPr>
          <w:rFonts w:hint="eastAsia" w:ascii="宋体" w:hAnsi="宋体" w:eastAsia="宋体"/>
          <w:szCs w:val="21"/>
          <w:lang w:eastAsia="zh-CN"/>
        </w:rPr>
      </w:pPr>
      <w:r>
        <w:rPr>
          <w:rFonts w:hint="eastAsia" w:ascii="宋体" w:hAnsi="宋体"/>
          <w:bCs/>
          <w:szCs w:val="21"/>
        </w:rPr>
        <w:t>日  期</w:t>
      </w:r>
      <w:r>
        <w:rPr>
          <w:rFonts w:hint="eastAsia" w:ascii="宋体" w:hAnsi="宋体"/>
          <w:szCs w:val="21"/>
        </w:rPr>
        <w:t>：</w:t>
      </w:r>
      <w:r>
        <w:rPr>
          <w:rFonts w:hint="eastAsia" w:ascii="宋体" w:hAnsi="宋体"/>
          <w:szCs w:val="21"/>
          <w:u w:val="single"/>
        </w:rPr>
        <w:t xml:space="preserve">         </w:t>
      </w:r>
      <w:r>
        <w:rPr>
          <w:rFonts w:hint="eastAsia" w:ascii="宋体" w:hAnsi="宋体"/>
          <w:bCs/>
          <w:szCs w:val="21"/>
        </w:rPr>
        <w:t>年</w:t>
      </w:r>
      <w:r>
        <w:rPr>
          <w:rFonts w:hint="eastAsia" w:ascii="宋体" w:hAnsi="宋体"/>
          <w:szCs w:val="21"/>
          <w:u w:val="single"/>
        </w:rPr>
        <w:t xml:space="preserve">        </w:t>
      </w:r>
      <w:r>
        <w:rPr>
          <w:rFonts w:hint="eastAsia" w:ascii="宋体" w:hAnsi="宋体"/>
          <w:bCs/>
          <w:szCs w:val="21"/>
        </w:rPr>
        <w:t>月</w:t>
      </w:r>
      <w:r>
        <w:rPr>
          <w:rFonts w:hint="eastAsia" w:ascii="宋体" w:hAnsi="宋体"/>
          <w:szCs w:val="21"/>
          <w:u w:val="single"/>
        </w:rPr>
        <w:t xml:space="preserve">      </w:t>
      </w:r>
    </w:p>
    <w:p>
      <w:pPr>
        <w:spacing w:line="360" w:lineRule="auto"/>
        <w:rPr>
          <w:rFonts w:ascii="宋体" w:hAnsi="宋体"/>
          <w:sz w:val="24"/>
        </w:rPr>
      </w:pPr>
    </w:p>
    <w:p>
      <w:pPr>
        <w:pStyle w:val="18"/>
        <w:tabs>
          <w:tab w:val="left" w:pos="0"/>
        </w:tabs>
        <w:spacing w:after="0" w:line="360" w:lineRule="auto"/>
        <w:rPr>
          <w:rFonts w:ascii="宋体" w:hAnsi="宋体"/>
          <w:sz w:val="24"/>
        </w:rPr>
      </w:pPr>
    </w:p>
    <w:p>
      <w:pPr>
        <w:pStyle w:val="18"/>
        <w:tabs>
          <w:tab w:val="left" w:pos="0"/>
        </w:tabs>
        <w:spacing w:line="360" w:lineRule="auto"/>
        <w:rPr>
          <w:rFonts w:ascii="宋体" w:hAnsi="宋体"/>
          <w:sz w:val="24"/>
        </w:rPr>
      </w:pPr>
    </w:p>
    <w:p>
      <w:pPr>
        <w:pStyle w:val="18"/>
        <w:tabs>
          <w:tab w:val="left" w:pos="0"/>
        </w:tabs>
        <w:spacing w:line="360" w:lineRule="auto"/>
        <w:rPr>
          <w:rFonts w:ascii="宋体" w:hAnsi="宋体"/>
          <w:sz w:val="24"/>
        </w:rPr>
      </w:pPr>
    </w:p>
    <w:p>
      <w:pPr>
        <w:pStyle w:val="18"/>
        <w:tabs>
          <w:tab w:val="left" w:pos="0"/>
        </w:tabs>
        <w:spacing w:line="360" w:lineRule="auto"/>
        <w:rPr>
          <w:rFonts w:ascii="宋体" w:hAnsi="宋体"/>
          <w:sz w:val="24"/>
        </w:rPr>
      </w:pPr>
    </w:p>
    <w:p>
      <w:pPr>
        <w:pStyle w:val="4"/>
        <w:rPr>
          <w:rFonts w:ascii="黑体" w:hAnsi="黑体" w:eastAsia="黑体" w:cs="黑体"/>
        </w:rPr>
      </w:pPr>
      <w:r>
        <w:rPr>
          <w:rFonts w:ascii="宋体" w:hAnsi="宋体"/>
          <w:b w:val="0"/>
          <w:sz w:val="24"/>
        </w:rPr>
        <w:br w:type="page"/>
      </w:r>
      <w:bookmarkStart w:id="643" w:name="_Toc14902"/>
      <w:bookmarkStart w:id="644" w:name="_Toc31084"/>
      <w:bookmarkStart w:id="645" w:name="_Toc11710"/>
      <w:bookmarkStart w:id="646" w:name="_Toc25571"/>
      <w:bookmarkStart w:id="647" w:name="_Toc4634"/>
      <w:bookmarkStart w:id="648" w:name="_Toc26573"/>
      <w:bookmarkStart w:id="649" w:name="_Toc229"/>
      <w:bookmarkStart w:id="650" w:name="_Toc3503"/>
      <w:r>
        <w:rPr>
          <w:rFonts w:hint="eastAsia" w:ascii="黑体" w:hAnsi="黑体" w:eastAsia="黑体" w:cs="黑体"/>
        </w:rPr>
        <w:t>十、商务应答表</w:t>
      </w:r>
      <w:bookmarkEnd w:id="643"/>
      <w:bookmarkEnd w:id="644"/>
      <w:bookmarkEnd w:id="645"/>
      <w:bookmarkEnd w:id="646"/>
      <w:bookmarkEnd w:id="647"/>
      <w:bookmarkEnd w:id="648"/>
      <w:bookmarkEnd w:id="649"/>
      <w:bookmarkEnd w:id="650"/>
    </w:p>
    <w:tbl>
      <w:tblPr>
        <w:tblStyle w:val="33"/>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3899"/>
        <w:gridCol w:w="3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609" w:type="dxa"/>
            <w:shd w:val="clear" w:color="auto" w:fill="F2F2F2"/>
            <w:vAlign w:val="center"/>
          </w:tcPr>
          <w:p>
            <w:pPr>
              <w:spacing w:line="360" w:lineRule="auto"/>
              <w:jc w:val="center"/>
              <w:rPr>
                <w:rFonts w:ascii="宋体" w:hAnsi="宋体"/>
                <w:b/>
                <w:bCs/>
                <w:szCs w:val="21"/>
              </w:rPr>
            </w:pPr>
            <w:r>
              <w:rPr>
                <w:rFonts w:hint="eastAsia" w:ascii="宋体" w:hAnsi="宋体"/>
                <w:b/>
                <w:bCs/>
                <w:szCs w:val="21"/>
              </w:rPr>
              <w:t>序号</w:t>
            </w:r>
          </w:p>
        </w:tc>
        <w:tc>
          <w:tcPr>
            <w:tcW w:w="3899" w:type="dxa"/>
            <w:shd w:val="clear" w:color="auto" w:fill="F2F2F2"/>
            <w:vAlign w:val="center"/>
          </w:tcPr>
          <w:p>
            <w:pPr>
              <w:spacing w:line="360" w:lineRule="auto"/>
              <w:jc w:val="center"/>
              <w:rPr>
                <w:rFonts w:ascii="宋体" w:hAnsi="宋体"/>
                <w:b/>
                <w:bCs/>
                <w:szCs w:val="21"/>
              </w:rPr>
            </w:pPr>
            <w:r>
              <w:rPr>
                <w:rFonts w:hint="eastAsia" w:ascii="宋体" w:hAnsi="宋体"/>
                <w:b/>
                <w:bCs/>
                <w:szCs w:val="21"/>
              </w:rPr>
              <w:t>采购文件要求</w:t>
            </w:r>
          </w:p>
        </w:tc>
        <w:tc>
          <w:tcPr>
            <w:tcW w:w="3950" w:type="dxa"/>
            <w:shd w:val="clear" w:color="auto" w:fill="F2F2F2"/>
            <w:vAlign w:val="center"/>
          </w:tcPr>
          <w:p>
            <w:pPr>
              <w:spacing w:line="360" w:lineRule="auto"/>
              <w:jc w:val="center"/>
              <w:rPr>
                <w:rFonts w:ascii="宋体" w:hAnsi="宋体"/>
                <w:b/>
                <w:bCs/>
                <w:szCs w:val="21"/>
              </w:rPr>
            </w:pPr>
            <w:r>
              <w:rPr>
                <w:rFonts w:hint="eastAsia" w:ascii="宋体" w:hAnsi="宋体"/>
                <w:b/>
                <w:bCs/>
                <w:szCs w:val="21"/>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609" w:type="dxa"/>
          </w:tcPr>
          <w:p>
            <w:pPr>
              <w:spacing w:line="360" w:lineRule="auto"/>
              <w:jc w:val="center"/>
              <w:rPr>
                <w:rFonts w:ascii="宋体" w:hAnsi="宋体"/>
                <w:szCs w:val="21"/>
              </w:rPr>
            </w:pPr>
          </w:p>
        </w:tc>
        <w:tc>
          <w:tcPr>
            <w:tcW w:w="3899" w:type="dxa"/>
          </w:tcPr>
          <w:p>
            <w:pPr>
              <w:spacing w:line="360" w:lineRule="auto"/>
              <w:jc w:val="center"/>
              <w:rPr>
                <w:rFonts w:ascii="宋体" w:hAnsi="宋体"/>
                <w:szCs w:val="21"/>
              </w:rPr>
            </w:pPr>
          </w:p>
        </w:tc>
        <w:tc>
          <w:tcPr>
            <w:tcW w:w="3950"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609" w:type="dxa"/>
          </w:tcPr>
          <w:p>
            <w:pPr>
              <w:spacing w:line="360" w:lineRule="auto"/>
              <w:jc w:val="center"/>
              <w:rPr>
                <w:rFonts w:ascii="宋体" w:hAnsi="宋体"/>
                <w:szCs w:val="21"/>
              </w:rPr>
            </w:pPr>
          </w:p>
        </w:tc>
        <w:tc>
          <w:tcPr>
            <w:tcW w:w="3899" w:type="dxa"/>
          </w:tcPr>
          <w:p>
            <w:pPr>
              <w:spacing w:line="360" w:lineRule="auto"/>
              <w:jc w:val="center"/>
              <w:rPr>
                <w:rFonts w:ascii="宋体" w:hAnsi="宋体"/>
                <w:szCs w:val="21"/>
              </w:rPr>
            </w:pPr>
          </w:p>
        </w:tc>
        <w:tc>
          <w:tcPr>
            <w:tcW w:w="3950"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609" w:type="dxa"/>
          </w:tcPr>
          <w:p>
            <w:pPr>
              <w:spacing w:line="360" w:lineRule="auto"/>
              <w:jc w:val="center"/>
              <w:rPr>
                <w:rFonts w:ascii="宋体" w:hAnsi="宋体"/>
                <w:szCs w:val="21"/>
              </w:rPr>
            </w:pPr>
          </w:p>
        </w:tc>
        <w:tc>
          <w:tcPr>
            <w:tcW w:w="3899" w:type="dxa"/>
          </w:tcPr>
          <w:p>
            <w:pPr>
              <w:spacing w:line="360" w:lineRule="auto"/>
              <w:jc w:val="center"/>
              <w:rPr>
                <w:rFonts w:ascii="宋体" w:hAnsi="宋体"/>
                <w:szCs w:val="21"/>
              </w:rPr>
            </w:pPr>
          </w:p>
        </w:tc>
        <w:tc>
          <w:tcPr>
            <w:tcW w:w="3950"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1609" w:type="dxa"/>
          </w:tcPr>
          <w:p>
            <w:pPr>
              <w:spacing w:line="360" w:lineRule="auto"/>
              <w:jc w:val="center"/>
              <w:rPr>
                <w:rFonts w:ascii="宋体" w:hAnsi="宋体"/>
                <w:szCs w:val="21"/>
              </w:rPr>
            </w:pPr>
          </w:p>
        </w:tc>
        <w:tc>
          <w:tcPr>
            <w:tcW w:w="3899" w:type="dxa"/>
          </w:tcPr>
          <w:p>
            <w:pPr>
              <w:spacing w:line="360" w:lineRule="auto"/>
              <w:jc w:val="center"/>
              <w:rPr>
                <w:rFonts w:ascii="宋体" w:hAnsi="宋体"/>
                <w:szCs w:val="21"/>
              </w:rPr>
            </w:pPr>
          </w:p>
        </w:tc>
        <w:tc>
          <w:tcPr>
            <w:tcW w:w="3950" w:type="dxa"/>
          </w:tcPr>
          <w:p>
            <w:pPr>
              <w:spacing w:line="360" w:lineRule="auto"/>
              <w:jc w:val="center"/>
              <w:rPr>
                <w:rFonts w:ascii="宋体" w:hAnsi="宋体"/>
                <w:szCs w:val="21"/>
              </w:rPr>
            </w:pPr>
          </w:p>
        </w:tc>
      </w:tr>
    </w:tbl>
    <w:p>
      <w:pPr>
        <w:spacing w:line="360" w:lineRule="auto"/>
        <w:ind w:firstLine="482" w:firstLineChars="200"/>
        <w:rPr>
          <w:rFonts w:ascii="宋体" w:hAnsi="宋体"/>
          <w:b/>
          <w:sz w:val="24"/>
        </w:rPr>
      </w:pPr>
    </w:p>
    <w:p>
      <w:pPr>
        <w:spacing w:line="360" w:lineRule="atLeast"/>
        <w:ind w:firstLine="420" w:firstLineChars="200"/>
        <w:rPr>
          <w:rFonts w:ascii="宋体" w:hAnsi="宋体"/>
          <w:szCs w:val="21"/>
        </w:rPr>
      </w:pPr>
      <w:r>
        <w:rPr>
          <w:rFonts w:hint="eastAsia" w:ascii="宋体" w:hAnsi="宋体"/>
          <w:szCs w:val="21"/>
        </w:rPr>
        <w:t>注意：</w:t>
      </w:r>
      <w:r>
        <w:rPr>
          <w:rFonts w:hint="eastAsia" w:ascii="宋体" w:hAnsi="宋体" w:cs="宋体"/>
          <w:kern w:val="0"/>
          <w:szCs w:val="21"/>
        </w:rPr>
        <w:t>供应商应根据磋商文件要求据实逐条填写；如与磋商文件商务要求的所有条款无偏离，则无须在此表中应答，视为默认完全响应和接受招标文件商务要求所有的内容，投标人不得以未作应答而拒不接受。投标人不得虚假应答，否则取消中标资格。</w:t>
      </w:r>
    </w:p>
    <w:p>
      <w:pPr>
        <w:snapToGrid w:val="0"/>
        <w:spacing w:line="360" w:lineRule="auto"/>
        <w:ind w:firstLine="420" w:firstLineChars="200"/>
        <w:rPr>
          <w:rFonts w:ascii="宋体" w:hAnsi="宋体"/>
          <w:szCs w:val="21"/>
        </w:rPr>
      </w:pPr>
    </w:p>
    <w:p>
      <w:pPr>
        <w:adjustRightInd w:val="0"/>
        <w:snapToGrid w:val="0"/>
        <w:spacing w:line="360" w:lineRule="auto"/>
        <w:ind w:firstLine="420" w:firstLineChars="200"/>
        <w:jc w:val="left"/>
        <w:rPr>
          <w:rFonts w:ascii="宋体" w:hAnsi="宋体"/>
          <w:szCs w:val="21"/>
        </w:rPr>
      </w:pPr>
    </w:p>
    <w:p>
      <w:pPr>
        <w:adjustRightInd w:val="0"/>
        <w:snapToGrid w:val="0"/>
        <w:spacing w:line="360" w:lineRule="auto"/>
        <w:ind w:firstLine="3780" w:firstLineChars="1800"/>
        <w:jc w:val="left"/>
        <w:rPr>
          <w:rFonts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（盖单位公章）</w:t>
      </w:r>
    </w:p>
    <w:p>
      <w:pPr>
        <w:adjustRightInd w:val="0"/>
        <w:snapToGrid w:val="0"/>
        <w:spacing w:line="360" w:lineRule="auto"/>
        <w:ind w:firstLine="3780" w:firstLineChars="1800"/>
        <w:jc w:val="left"/>
        <w:rPr>
          <w:rFonts w:ascii="宋体" w:hAnsi="宋体"/>
          <w:bCs/>
          <w:szCs w:val="21"/>
        </w:rPr>
      </w:pPr>
      <w:r>
        <w:rPr>
          <w:rFonts w:hint="eastAsia" w:ascii="宋体" w:hAnsi="宋体" w:cs="宋体"/>
        </w:rPr>
        <w:t>法定代表人/负责人</w:t>
      </w:r>
      <w:r>
        <w:rPr>
          <w:rFonts w:hint="eastAsia" w:ascii="宋体" w:hAnsi="宋体"/>
          <w:bCs/>
          <w:szCs w:val="21"/>
        </w:rPr>
        <w:t>或授权代表</w:t>
      </w:r>
      <w:r>
        <w:rPr>
          <w:rFonts w:hint="eastAsia" w:ascii="宋体" w:hAnsi="宋体"/>
          <w:szCs w:val="21"/>
        </w:rPr>
        <w:t>（签字或加盖个人印章）</w:t>
      </w:r>
      <w:r>
        <w:rPr>
          <w:rFonts w:hint="eastAsia" w:ascii="宋体" w:hAnsi="宋体"/>
          <w:bCs/>
          <w:szCs w:val="21"/>
        </w:rPr>
        <w:t>：</w:t>
      </w:r>
      <w:r>
        <w:rPr>
          <w:rFonts w:hint="eastAsia" w:ascii="宋体" w:hAnsi="宋体"/>
          <w:szCs w:val="21"/>
          <w:u w:val="single"/>
        </w:rPr>
        <w:t xml:space="preserve">             </w:t>
      </w:r>
    </w:p>
    <w:p>
      <w:pPr>
        <w:adjustRightInd w:val="0"/>
        <w:snapToGrid w:val="0"/>
        <w:spacing w:line="360" w:lineRule="auto"/>
        <w:ind w:firstLine="3780" w:firstLineChars="1800"/>
        <w:jc w:val="left"/>
        <w:rPr>
          <w:rFonts w:ascii="宋体" w:hAnsi="宋体"/>
          <w:bCs/>
          <w:szCs w:val="21"/>
        </w:rPr>
      </w:pPr>
      <w:r>
        <w:rPr>
          <w:rFonts w:hint="eastAsia" w:ascii="宋体" w:hAnsi="宋体"/>
          <w:bCs/>
          <w:szCs w:val="21"/>
        </w:rPr>
        <w:t>日    期：</w:t>
      </w:r>
      <w:r>
        <w:rPr>
          <w:rFonts w:hint="eastAsia" w:ascii="宋体" w:hAnsi="宋体"/>
          <w:szCs w:val="21"/>
          <w:u w:val="single"/>
        </w:rPr>
        <w:t xml:space="preserve">        </w:t>
      </w:r>
      <w:r>
        <w:rPr>
          <w:rFonts w:hint="eastAsia" w:ascii="宋体" w:hAnsi="宋体"/>
          <w:bCs/>
          <w:szCs w:val="21"/>
        </w:rPr>
        <w:t>年</w:t>
      </w:r>
      <w:r>
        <w:rPr>
          <w:rFonts w:hint="eastAsia" w:ascii="宋体" w:hAnsi="宋体"/>
          <w:szCs w:val="21"/>
          <w:u w:val="single"/>
        </w:rPr>
        <w:t xml:space="preserve">       </w:t>
      </w:r>
      <w:r>
        <w:rPr>
          <w:rFonts w:hint="eastAsia" w:ascii="宋体" w:hAnsi="宋体"/>
          <w:bCs/>
          <w:szCs w:val="21"/>
        </w:rPr>
        <w:t>月</w:t>
      </w:r>
      <w:r>
        <w:rPr>
          <w:rFonts w:hint="eastAsia" w:ascii="宋体" w:hAnsi="宋体"/>
          <w:szCs w:val="21"/>
          <w:u w:val="single"/>
        </w:rPr>
        <w:t xml:space="preserve">       </w:t>
      </w:r>
      <w:r>
        <w:rPr>
          <w:rFonts w:hint="eastAsia" w:ascii="宋体" w:hAnsi="宋体"/>
          <w:bCs/>
          <w:szCs w:val="21"/>
        </w:rPr>
        <w:t>日</w:t>
      </w:r>
    </w:p>
    <w:p>
      <w:pPr>
        <w:snapToGrid w:val="0"/>
        <w:spacing w:line="360" w:lineRule="auto"/>
        <w:rPr>
          <w:szCs w:val="21"/>
        </w:rPr>
      </w:pPr>
    </w:p>
    <w:p/>
    <w:p/>
    <w:p/>
    <w:p/>
    <w:p/>
    <w:p/>
    <w:p/>
    <w:p/>
    <w:p/>
    <w:p>
      <w:pPr>
        <w:rPr>
          <w:rFonts w:ascii="宋体" w:hAnsi="宋体"/>
          <w:b/>
          <w:sz w:val="24"/>
        </w:rPr>
      </w:pPr>
      <w:bookmarkStart w:id="651" w:name="_Toc5005083"/>
      <w:bookmarkStart w:id="652" w:name="_Toc12124_WPSOffice_Level3"/>
      <w:bookmarkStart w:id="653" w:name="_Toc4659779"/>
      <w:bookmarkStart w:id="654" w:name="_Toc4578904"/>
      <w:r>
        <w:rPr>
          <w:rFonts w:hint="eastAsia" w:ascii="宋体" w:hAnsi="宋体"/>
          <w:b/>
          <w:sz w:val="24"/>
        </w:rPr>
        <w:br w:type="page"/>
      </w:r>
    </w:p>
    <w:bookmarkEnd w:id="651"/>
    <w:bookmarkEnd w:id="652"/>
    <w:bookmarkEnd w:id="653"/>
    <w:bookmarkEnd w:id="654"/>
    <w:p>
      <w:pPr>
        <w:jc w:val="center"/>
        <w:rPr>
          <w:rFonts w:ascii="宋体" w:hAnsi="宋体" w:cs="Arial"/>
          <w:b/>
          <w:bCs/>
          <w:sz w:val="32"/>
          <w:szCs w:val="32"/>
        </w:rPr>
      </w:pPr>
      <w:bookmarkStart w:id="655" w:name="_Toc29153"/>
      <w:bookmarkStart w:id="656" w:name="_Toc18858"/>
      <w:bookmarkStart w:id="657" w:name="_Toc1987"/>
      <w:bookmarkStart w:id="658" w:name="_Toc30319"/>
      <w:bookmarkStart w:id="659" w:name="_Toc30465"/>
      <w:bookmarkStart w:id="660" w:name="_Toc23435"/>
      <w:bookmarkStart w:id="661" w:name="_Toc4754"/>
      <w:bookmarkStart w:id="662" w:name="_Toc22598"/>
      <w:r>
        <w:rPr>
          <w:rFonts w:hint="eastAsia" w:ascii="黑体" w:hAnsi="黑体" w:eastAsia="黑体" w:cs="黑体"/>
          <w:b/>
          <w:bCs/>
          <w:sz w:val="28"/>
          <w:szCs w:val="32"/>
        </w:rPr>
        <w:t>十一</w:t>
      </w:r>
      <w:r>
        <w:rPr>
          <w:rFonts w:hint="eastAsia" w:ascii="黑体" w:hAnsi="黑体" w:eastAsia="黑体" w:cs="黑体"/>
        </w:rPr>
        <w:t>、</w:t>
      </w:r>
      <w:bookmarkEnd w:id="655"/>
      <w:bookmarkEnd w:id="656"/>
      <w:bookmarkEnd w:id="657"/>
      <w:bookmarkEnd w:id="658"/>
      <w:bookmarkEnd w:id="659"/>
      <w:bookmarkEnd w:id="660"/>
      <w:bookmarkEnd w:id="661"/>
      <w:bookmarkEnd w:id="662"/>
      <w:bookmarkStart w:id="663" w:name="_Toc4578905"/>
      <w:bookmarkStart w:id="664" w:name="_Toc5005084"/>
      <w:bookmarkStart w:id="665" w:name="_Toc4659780"/>
      <w:r>
        <w:rPr>
          <w:rFonts w:hint="eastAsia" w:ascii="宋体" w:hAnsi="宋体" w:cs="Arial"/>
          <w:b/>
          <w:bCs/>
          <w:sz w:val="32"/>
          <w:szCs w:val="32"/>
        </w:rPr>
        <w:t>供应商类似项目业绩一览表</w:t>
      </w:r>
    </w:p>
    <w:p>
      <w:pPr>
        <w:widowControl/>
        <w:spacing w:line="400" w:lineRule="exact"/>
        <w:jc w:val="left"/>
        <w:rPr>
          <w:rFonts w:ascii="宋体" w:hAnsi="宋体"/>
          <w:kern w:val="0"/>
          <w:sz w:val="24"/>
        </w:rPr>
      </w:pPr>
      <w:r>
        <w:rPr>
          <w:rFonts w:hint="eastAsia" w:ascii="宋体" w:hAnsi="宋体"/>
          <w:kern w:val="0"/>
          <w:sz w:val="24"/>
        </w:rPr>
        <w:t>项目名称：</w:t>
      </w:r>
    </w:p>
    <w:p>
      <w:pPr>
        <w:widowControl/>
        <w:spacing w:line="400" w:lineRule="exact"/>
        <w:jc w:val="left"/>
        <w:rPr>
          <w:rFonts w:ascii="宋体" w:hAnsi="宋体"/>
          <w:kern w:val="0"/>
          <w:sz w:val="24"/>
        </w:rPr>
      </w:pPr>
      <w:r>
        <w:rPr>
          <w:rFonts w:hint="eastAsia" w:ascii="宋体" w:hAnsi="宋体"/>
          <w:kern w:val="0"/>
          <w:sz w:val="24"/>
        </w:rPr>
        <w:t>项目编号：</w:t>
      </w:r>
    </w:p>
    <w:p>
      <w:pPr>
        <w:pStyle w:val="21"/>
        <w:pBdr>
          <w:bottom w:val="none" w:color="auto" w:sz="0" w:space="0"/>
        </w:pBdr>
        <w:tabs>
          <w:tab w:val="clear" w:pos="4153"/>
          <w:tab w:val="clear" w:pos="8306"/>
        </w:tabs>
        <w:snapToGrid/>
        <w:spacing w:line="400" w:lineRule="exact"/>
        <w:jc w:val="both"/>
        <w:rPr>
          <w:rFonts w:ascii="宋体" w:hAnsi="宋体" w:cs="Arial"/>
          <w:sz w:val="24"/>
        </w:rPr>
      </w:pPr>
      <w:r>
        <w:rPr>
          <w:rFonts w:hint="eastAsia" w:ascii="宋体" w:hAnsi="宋体"/>
          <w:kern w:val="0"/>
          <w:sz w:val="24"/>
        </w:rPr>
        <w:t>包件号及名称：（若有）</w:t>
      </w:r>
    </w:p>
    <w:tbl>
      <w:tblPr>
        <w:tblStyle w:val="33"/>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宋体" w:hAnsi="宋体" w:cs="Arial"/>
                <w:b/>
              </w:rPr>
            </w:pPr>
            <w:r>
              <w:rPr>
                <w:rFonts w:hint="eastAsia" w:ascii="宋体" w:hAnsi="宋体" w:cs="Arial"/>
                <w:b/>
              </w:rPr>
              <w:t>年份</w:t>
            </w:r>
          </w:p>
        </w:tc>
        <w:tc>
          <w:tcPr>
            <w:tcW w:w="1439" w:type="dxa"/>
            <w:vAlign w:val="center"/>
          </w:tcPr>
          <w:p>
            <w:pPr>
              <w:spacing w:line="400" w:lineRule="exact"/>
              <w:jc w:val="center"/>
              <w:rPr>
                <w:rFonts w:ascii="宋体" w:hAnsi="宋体" w:cs="Arial"/>
                <w:b/>
              </w:rPr>
            </w:pPr>
            <w:r>
              <w:rPr>
                <w:rFonts w:hint="eastAsia" w:ascii="宋体" w:hAnsi="宋体" w:cs="Arial"/>
                <w:b/>
              </w:rPr>
              <w:t>用户名称</w:t>
            </w:r>
          </w:p>
        </w:tc>
        <w:tc>
          <w:tcPr>
            <w:tcW w:w="1319" w:type="dxa"/>
            <w:vAlign w:val="center"/>
          </w:tcPr>
          <w:p>
            <w:pPr>
              <w:spacing w:line="400" w:lineRule="exact"/>
              <w:jc w:val="center"/>
              <w:rPr>
                <w:rFonts w:ascii="宋体" w:hAnsi="宋体" w:cs="Arial"/>
                <w:b/>
              </w:rPr>
            </w:pPr>
            <w:r>
              <w:rPr>
                <w:rFonts w:ascii="宋体" w:hAnsi="宋体" w:cs="Arial"/>
                <w:b/>
              </w:rPr>
              <w:t>项目名称</w:t>
            </w:r>
          </w:p>
        </w:tc>
        <w:tc>
          <w:tcPr>
            <w:tcW w:w="1160" w:type="dxa"/>
            <w:vAlign w:val="center"/>
          </w:tcPr>
          <w:p>
            <w:pPr>
              <w:spacing w:line="400" w:lineRule="exact"/>
              <w:jc w:val="center"/>
              <w:rPr>
                <w:rFonts w:ascii="宋体" w:hAnsi="宋体" w:cs="Arial"/>
                <w:b/>
              </w:rPr>
            </w:pPr>
            <w:r>
              <w:rPr>
                <w:rFonts w:ascii="宋体" w:hAnsi="宋体" w:cs="Arial"/>
                <w:b/>
              </w:rPr>
              <w:t>完成时间</w:t>
            </w:r>
          </w:p>
        </w:tc>
        <w:tc>
          <w:tcPr>
            <w:tcW w:w="1421" w:type="dxa"/>
            <w:gridSpan w:val="2"/>
            <w:vAlign w:val="center"/>
          </w:tcPr>
          <w:p>
            <w:pPr>
              <w:spacing w:line="400" w:lineRule="exact"/>
              <w:ind w:firstLine="105" w:firstLineChars="50"/>
              <w:jc w:val="center"/>
              <w:rPr>
                <w:rFonts w:ascii="宋体" w:hAnsi="宋体" w:cs="Arial"/>
                <w:b/>
              </w:rPr>
            </w:pPr>
            <w:r>
              <w:rPr>
                <w:rFonts w:ascii="宋体" w:hAnsi="宋体" w:cs="Arial"/>
                <w:b/>
              </w:rPr>
              <w:t>合同金额</w:t>
            </w:r>
          </w:p>
        </w:tc>
        <w:tc>
          <w:tcPr>
            <w:tcW w:w="1614" w:type="dxa"/>
            <w:gridSpan w:val="2"/>
            <w:tcBorders>
              <w:right w:val="single" w:color="auto" w:sz="4" w:space="0"/>
            </w:tcBorders>
            <w:vAlign w:val="center"/>
          </w:tcPr>
          <w:p>
            <w:pPr>
              <w:spacing w:line="400" w:lineRule="exact"/>
              <w:jc w:val="center"/>
              <w:rPr>
                <w:rFonts w:ascii="宋体" w:hAnsi="宋体" w:cs="Arial"/>
                <w:b/>
              </w:rPr>
            </w:pPr>
            <w:r>
              <w:rPr>
                <w:rFonts w:hint="eastAsia" w:ascii="宋体" w:hAnsi="宋体" w:cs="Arial"/>
                <w:b/>
              </w:rPr>
              <w:t>是否通过验收</w:t>
            </w:r>
          </w:p>
        </w:tc>
        <w:tc>
          <w:tcPr>
            <w:tcW w:w="1387" w:type="dxa"/>
            <w:gridSpan w:val="2"/>
            <w:tcBorders>
              <w:left w:val="single" w:color="auto" w:sz="4" w:space="0"/>
            </w:tcBorders>
            <w:vAlign w:val="center"/>
          </w:tcPr>
          <w:p>
            <w:pPr>
              <w:spacing w:line="400" w:lineRule="exact"/>
              <w:jc w:val="center"/>
              <w:rPr>
                <w:rFonts w:ascii="宋体" w:hAnsi="宋体" w:cs="Arial"/>
                <w:b/>
              </w:rPr>
            </w:pPr>
            <w:r>
              <w:rPr>
                <w:rFonts w:hint="eastAsia" w:ascii="宋体" w:hAnsi="宋体"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rPr>
            </w:pPr>
          </w:p>
        </w:tc>
        <w:tc>
          <w:tcPr>
            <w:tcW w:w="1439" w:type="dxa"/>
            <w:vAlign w:val="center"/>
          </w:tcPr>
          <w:p>
            <w:pPr>
              <w:spacing w:line="400" w:lineRule="exact"/>
              <w:jc w:val="center"/>
              <w:rPr>
                <w:rFonts w:ascii="宋体" w:hAnsi="宋体" w:cs="Arial"/>
              </w:rPr>
            </w:pPr>
          </w:p>
        </w:tc>
        <w:tc>
          <w:tcPr>
            <w:tcW w:w="1319" w:type="dxa"/>
            <w:vAlign w:val="center"/>
          </w:tcPr>
          <w:p>
            <w:pPr>
              <w:spacing w:line="400" w:lineRule="exact"/>
              <w:jc w:val="center"/>
              <w:rPr>
                <w:rFonts w:ascii="宋体" w:hAnsi="宋体" w:cs="Arial"/>
              </w:rPr>
            </w:pPr>
          </w:p>
        </w:tc>
        <w:tc>
          <w:tcPr>
            <w:tcW w:w="1160" w:type="dxa"/>
            <w:vAlign w:val="center"/>
          </w:tcPr>
          <w:p>
            <w:pPr>
              <w:spacing w:line="400" w:lineRule="exact"/>
              <w:jc w:val="center"/>
              <w:rPr>
                <w:rFonts w:ascii="宋体" w:hAnsi="宋体" w:cs="Arial"/>
              </w:rPr>
            </w:pPr>
          </w:p>
        </w:tc>
        <w:tc>
          <w:tcPr>
            <w:tcW w:w="1421" w:type="dxa"/>
            <w:gridSpan w:val="2"/>
            <w:vAlign w:val="center"/>
          </w:tcPr>
          <w:p>
            <w:pPr>
              <w:spacing w:line="400" w:lineRule="exact"/>
              <w:jc w:val="center"/>
              <w:rPr>
                <w:rFonts w:ascii="宋体" w:hAnsi="宋体" w:cs="Arial"/>
              </w:rPr>
            </w:pPr>
          </w:p>
        </w:tc>
        <w:tc>
          <w:tcPr>
            <w:tcW w:w="1614" w:type="dxa"/>
            <w:gridSpan w:val="2"/>
            <w:tcBorders>
              <w:right w:val="single" w:color="auto" w:sz="4" w:space="0"/>
            </w:tcBorders>
            <w:vAlign w:val="center"/>
          </w:tcPr>
          <w:p>
            <w:pPr>
              <w:spacing w:line="400" w:lineRule="exact"/>
              <w:jc w:val="center"/>
              <w:rPr>
                <w:rFonts w:ascii="宋体" w:hAnsi="宋体" w:cs="Arial"/>
              </w:rPr>
            </w:pPr>
          </w:p>
        </w:tc>
        <w:tc>
          <w:tcPr>
            <w:tcW w:w="1387" w:type="dxa"/>
            <w:gridSpan w:val="2"/>
            <w:tcBorders>
              <w:left w:val="single" w:color="auto" w:sz="4" w:space="0"/>
            </w:tcBorders>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rPr>
            </w:pPr>
          </w:p>
        </w:tc>
        <w:tc>
          <w:tcPr>
            <w:tcW w:w="1439" w:type="dxa"/>
            <w:vAlign w:val="center"/>
          </w:tcPr>
          <w:p>
            <w:pPr>
              <w:spacing w:line="400" w:lineRule="exact"/>
              <w:jc w:val="center"/>
              <w:rPr>
                <w:rFonts w:ascii="宋体" w:hAnsi="宋体" w:cs="Arial"/>
              </w:rPr>
            </w:pPr>
          </w:p>
        </w:tc>
        <w:tc>
          <w:tcPr>
            <w:tcW w:w="1319" w:type="dxa"/>
            <w:vAlign w:val="center"/>
          </w:tcPr>
          <w:p>
            <w:pPr>
              <w:spacing w:line="400" w:lineRule="exact"/>
              <w:jc w:val="center"/>
              <w:rPr>
                <w:rFonts w:ascii="宋体" w:hAnsi="宋体" w:cs="Arial"/>
              </w:rPr>
            </w:pPr>
          </w:p>
        </w:tc>
        <w:tc>
          <w:tcPr>
            <w:tcW w:w="1160" w:type="dxa"/>
            <w:vAlign w:val="center"/>
          </w:tcPr>
          <w:p>
            <w:pPr>
              <w:spacing w:line="400" w:lineRule="exact"/>
              <w:jc w:val="center"/>
              <w:rPr>
                <w:rFonts w:ascii="宋体" w:hAnsi="宋体" w:cs="Arial"/>
              </w:rPr>
            </w:pPr>
          </w:p>
        </w:tc>
        <w:tc>
          <w:tcPr>
            <w:tcW w:w="1421" w:type="dxa"/>
            <w:gridSpan w:val="2"/>
            <w:vAlign w:val="center"/>
          </w:tcPr>
          <w:p>
            <w:pPr>
              <w:spacing w:line="400" w:lineRule="exact"/>
              <w:jc w:val="center"/>
              <w:rPr>
                <w:rFonts w:ascii="宋体" w:hAnsi="宋体" w:cs="Arial"/>
              </w:rPr>
            </w:pPr>
          </w:p>
        </w:tc>
        <w:tc>
          <w:tcPr>
            <w:tcW w:w="1614" w:type="dxa"/>
            <w:gridSpan w:val="2"/>
            <w:tcBorders>
              <w:right w:val="single" w:color="auto" w:sz="4" w:space="0"/>
            </w:tcBorders>
            <w:vAlign w:val="center"/>
          </w:tcPr>
          <w:p>
            <w:pPr>
              <w:spacing w:line="400" w:lineRule="exact"/>
              <w:jc w:val="center"/>
              <w:rPr>
                <w:rFonts w:ascii="宋体" w:hAnsi="宋体" w:cs="Arial"/>
              </w:rPr>
            </w:pPr>
          </w:p>
        </w:tc>
        <w:tc>
          <w:tcPr>
            <w:tcW w:w="1387" w:type="dxa"/>
            <w:gridSpan w:val="2"/>
            <w:tcBorders>
              <w:left w:val="single" w:color="auto" w:sz="4" w:space="0"/>
            </w:tcBorders>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rPr>
            </w:pPr>
          </w:p>
        </w:tc>
        <w:tc>
          <w:tcPr>
            <w:tcW w:w="1439" w:type="dxa"/>
            <w:vAlign w:val="center"/>
          </w:tcPr>
          <w:p>
            <w:pPr>
              <w:spacing w:line="400" w:lineRule="exact"/>
              <w:jc w:val="center"/>
              <w:rPr>
                <w:rFonts w:ascii="宋体" w:hAnsi="宋体" w:cs="Arial"/>
              </w:rPr>
            </w:pPr>
          </w:p>
        </w:tc>
        <w:tc>
          <w:tcPr>
            <w:tcW w:w="1319" w:type="dxa"/>
            <w:vAlign w:val="center"/>
          </w:tcPr>
          <w:p>
            <w:pPr>
              <w:spacing w:line="400" w:lineRule="exact"/>
              <w:jc w:val="center"/>
              <w:rPr>
                <w:rFonts w:ascii="宋体" w:hAnsi="宋体" w:cs="Arial"/>
              </w:rPr>
            </w:pPr>
          </w:p>
        </w:tc>
        <w:tc>
          <w:tcPr>
            <w:tcW w:w="1160" w:type="dxa"/>
            <w:vAlign w:val="center"/>
          </w:tcPr>
          <w:p>
            <w:pPr>
              <w:spacing w:line="400" w:lineRule="exact"/>
              <w:jc w:val="center"/>
              <w:rPr>
                <w:rFonts w:ascii="宋体" w:hAnsi="宋体" w:cs="Arial"/>
              </w:rPr>
            </w:pPr>
          </w:p>
        </w:tc>
        <w:tc>
          <w:tcPr>
            <w:tcW w:w="1421" w:type="dxa"/>
            <w:gridSpan w:val="2"/>
            <w:vAlign w:val="center"/>
          </w:tcPr>
          <w:p>
            <w:pPr>
              <w:spacing w:line="400" w:lineRule="exact"/>
              <w:jc w:val="center"/>
              <w:rPr>
                <w:rFonts w:ascii="宋体" w:hAnsi="宋体" w:cs="Arial"/>
              </w:rPr>
            </w:pPr>
          </w:p>
        </w:tc>
        <w:tc>
          <w:tcPr>
            <w:tcW w:w="1614" w:type="dxa"/>
            <w:gridSpan w:val="2"/>
            <w:tcBorders>
              <w:right w:val="single" w:color="auto" w:sz="4" w:space="0"/>
            </w:tcBorders>
            <w:vAlign w:val="center"/>
          </w:tcPr>
          <w:p>
            <w:pPr>
              <w:spacing w:line="400" w:lineRule="exact"/>
              <w:jc w:val="center"/>
              <w:rPr>
                <w:rFonts w:ascii="宋体" w:hAnsi="宋体" w:cs="Arial"/>
              </w:rPr>
            </w:pPr>
          </w:p>
        </w:tc>
        <w:tc>
          <w:tcPr>
            <w:tcW w:w="1387" w:type="dxa"/>
            <w:gridSpan w:val="2"/>
            <w:tcBorders>
              <w:left w:val="single" w:color="auto" w:sz="4" w:space="0"/>
            </w:tcBorders>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rPr>
            </w:pPr>
          </w:p>
        </w:tc>
        <w:tc>
          <w:tcPr>
            <w:tcW w:w="1439" w:type="dxa"/>
            <w:tcBorders>
              <w:right w:val="single" w:color="auto" w:sz="4" w:space="0"/>
            </w:tcBorders>
            <w:vAlign w:val="center"/>
          </w:tcPr>
          <w:p>
            <w:pPr>
              <w:spacing w:line="400" w:lineRule="exact"/>
              <w:jc w:val="center"/>
              <w:rPr>
                <w:rFonts w:ascii="宋体" w:hAnsi="宋体" w:cs="Arial"/>
              </w:rPr>
            </w:pPr>
          </w:p>
        </w:tc>
        <w:tc>
          <w:tcPr>
            <w:tcW w:w="1319" w:type="dxa"/>
            <w:tcBorders>
              <w:left w:val="single" w:color="auto" w:sz="4" w:space="0"/>
            </w:tcBorders>
            <w:vAlign w:val="center"/>
          </w:tcPr>
          <w:p>
            <w:pPr>
              <w:spacing w:line="400" w:lineRule="exact"/>
              <w:jc w:val="center"/>
              <w:rPr>
                <w:rFonts w:ascii="宋体" w:hAnsi="宋体" w:cs="Arial"/>
              </w:rPr>
            </w:pPr>
          </w:p>
        </w:tc>
        <w:tc>
          <w:tcPr>
            <w:tcW w:w="1160" w:type="dxa"/>
            <w:vAlign w:val="center"/>
          </w:tcPr>
          <w:p>
            <w:pPr>
              <w:spacing w:line="400" w:lineRule="exact"/>
              <w:jc w:val="center"/>
              <w:rPr>
                <w:rFonts w:ascii="宋体" w:hAnsi="宋体" w:cs="Arial"/>
              </w:rPr>
            </w:pPr>
          </w:p>
        </w:tc>
        <w:tc>
          <w:tcPr>
            <w:tcW w:w="1421" w:type="dxa"/>
            <w:gridSpan w:val="2"/>
            <w:vAlign w:val="center"/>
          </w:tcPr>
          <w:p>
            <w:pPr>
              <w:spacing w:line="400" w:lineRule="exact"/>
              <w:jc w:val="center"/>
              <w:rPr>
                <w:rFonts w:ascii="宋体" w:hAnsi="宋体" w:cs="Arial"/>
              </w:rPr>
            </w:pPr>
          </w:p>
        </w:tc>
        <w:tc>
          <w:tcPr>
            <w:tcW w:w="1614" w:type="dxa"/>
            <w:gridSpan w:val="2"/>
            <w:tcBorders>
              <w:right w:val="single" w:color="auto" w:sz="4" w:space="0"/>
            </w:tcBorders>
            <w:vAlign w:val="center"/>
          </w:tcPr>
          <w:p>
            <w:pPr>
              <w:spacing w:line="400" w:lineRule="exact"/>
              <w:jc w:val="center"/>
              <w:rPr>
                <w:rFonts w:ascii="宋体" w:hAnsi="宋体" w:cs="Arial"/>
              </w:rPr>
            </w:pPr>
          </w:p>
        </w:tc>
        <w:tc>
          <w:tcPr>
            <w:tcW w:w="1387" w:type="dxa"/>
            <w:gridSpan w:val="2"/>
            <w:tcBorders>
              <w:left w:val="single" w:color="auto" w:sz="4" w:space="0"/>
            </w:tcBorders>
            <w:vAlign w:val="center"/>
          </w:tcPr>
          <w:p>
            <w:pPr>
              <w:spacing w:line="400" w:lineRule="exact"/>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宋体" w:hAnsi="宋体" w:cs="Arial"/>
              </w:rPr>
            </w:pPr>
          </w:p>
        </w:tc>
        <w:tc>
          <w:tcPr>
            <w:tcW w:w="1439" w:type="dxa"/>
            <w:tcBorders>
              <w:left w:val="single" w:color="auto" w:sz="4" w:space="0"/>
              <w:right w:val="single" w:color="auto" w:sz="4" w:space="0"/>
            </w:tcBorders>
            <w:vAlign w:val="center"/>
          </w:tcPr>
          <w:p>
            <w:pPr>
              <w:spacing w:line="400" w:lineRule="exact"/>
              <w:rPr>
                <w:rFonts w:ascii="宋体" w:hAnsi="宋体" w:cs="Arial"/>
              </w:rPr>
            </w:pPr>
          </w:p>
        </w:tc>
        <w:tc>
          <w:tcPr>
            <w:tcW w:w="1319" w:type="dxa"/>
            <w:tcBorders>
              <w:left w:val="single" w:color="auto" w:sz="4" w:space="0"/>
              <w:right w:val="single" w:color="auto" w:sz="4" w:space="0"/>
            </w:tcBorders>
            <w:vAlign w:val="center"/>
          </w:tcPr>
          <w:p>
            <w:pPr>
              <w:spacing w:line="400" w:lineRule="exact"/>
              <w:rPr>
                <w:rFonts w:ascii="宋体" w:hAnsi="宋体" w:cs="Arial"/>
              </w:rPr>
            </w:pPr>
          </w:p>
        </w:tc>
        <w:tc>
          <w:tcPr>
            <w:tcW w:w="1160" w:type="dxa"/>
            <w:tcBorders>
              <w:left w:val="single" w:color="auto" w:sz="4" w:space="0"/>
              <w:right w:val="single" w:color="auto" w:sz="4" w:space="0"/>
            </w:tcBorders>
            <w:vAlign w:val="center"/>
          </w:tcPr>
          <w:p>
            <w:pPr>
              <w:spacing w:line="400" w:lineRule="exact"/>
              <w:rPr>
                <w:rFonts w:ascii="宋体" w:hAnsi="宋体" w:cs="Arial"/>
              </w:rPr>
            </w:pPr>
          </w:p>
        </w:tc>
        <w:tc>
          <w:tcPr>
            <w:tcW w:w="1415" w:type="dxa"/>
            <w:tcBorders>
              <w:left w:val="single" w:color="auto" w:sz="4" w:space="0"/>
              <w:right w:val="single" w:color="auto" w:sz="4" w:space="0"/>
            </w:tcBorders>
            <w:vAlign w:val="center"/>
          </w:tcPr>
          <w:p>
            <w:pPr>
              <w:spacing w:line="400" w:lineRule="exact"/>
              <w:rPr>
                <w:rFonts w:ascii="宋体" w:hAnsi="宋体" w:cs="Arial"/>
              </w:rPr>
            </w:pPr>
          </w:p>
        </w:tc>
        <w:tc>
          <w:tcPr>
            <w:tcW w:w="1605" w:type="dxa"/>
            <w:gridSpan w:val="2"/>
            <w:tcBorders>
              <w:left w:val="single" w:color="auto" w:sz="4" w:space="0"/>
              <w:right w:val="single" w:color="auto" w:sz="4" w:space="0"/>
            </w:tcBorders>
            <w:vAlign w:val="center"/>
          </w:tcPr>
          <w:p>
            <w:pPr>
              <w:spacing w:line="400" w:lineRule="exact"/>
              <w:rPr>
                <w:rFonts w:ascii="宋体" w:hAnsi="宋体" w:cs="Arial"/>
              </w:rPr>
            </w:pPr>
          </w:p>
        </w:tc>
        <w:tc>
          <w:tcPr>
            <w:tcW w:w="1392" w:type="dxa"/>
            <w:gridSpan w:val="2"/>
            <w:tcBorders>
              <w:left w:val="single" w:color="auto" w:sz="4" w:space="0"/>
            </w:tcBorders>
            <w:vAlign w:val="center"/>
          </w:tcPr>
          <w:p>
            <w:pPr>
              <w:spacing w:line="400" w:lineRule="exact"/>
              <w:rPr>
                <w:rFonts w:ascii="宋体" w:hAnsi="宋体" w:cs="Arial"/>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rPr>
          <w:rFonts w:ascii="宋体" w:hAnsi="宋体" w:cs="宋体"/>
          <w:szCs w:val="21"/>
        </w:rPr>
      </w:pPr>
      <w:r>
        <w:rPr>
          <w:rFonts w:hint="eastAsia" w:ascii="宋体" w:hAnsi="宋体" w:cs="Arial"/>
          <w:sz w:val="24"/>
        </w:rPr>
        <w:t>注：以上表格格式行可增减，提合同复印件并加盖单位鲜章</w:t>
      </w:r>
      <w:r>
        <w:rPr>
          <w:rFonts w:hint="eastAsia" w:ascii="宋体" w:hAnsi="宋体" w:cs="宋体"/>
          <w:szCs w:val="21"/>
        </w:rPr>
        <w:t>。</w:t>
      </w:r>
    </w:p>
    <w:bookmarkEnd w:id="663"/>
    <w:bookmarkEnd w:id="664"/>
    <w:bookmarkEnd w:id="665"/>
    <w:p>
      <w:pPr>
        <w:tabs>
          <w:tab w:val="left" w:pos="555"/>
          <w:tab w:val="left" w:pos="2214"/>
          <w:tab w:val="left" w:pos="3774"/>
          <w:tab w:val="left" w:pos="4854"/>
          <w:tab w:val="left" w:pos="5934"/>
          <w:tab w:val="left" w:pos="7014"/>
          <w:tab w:val="left" w:pos="8214"/>
          <w:tab w:val="left" w:pos="10134"/>
          <w:tab w:val="left" w:pos="11124"/>
        </w:tabs>
        <w:spacing w:line="360" w:lineRule="auto"/>
        <w:ind w:firstLine="420" w:firstLineChars="200"/>
        <w:rPr>
          <w:rFonts w:ascii="宋体" w:hAnsi="宋体" w:cs="宋体"/>
          <w:szCs w:val="21"/>
        </w:rPr>
      </w:pPr>
    </w:p>
    <w:p>
      <w:pPr>
        <w:spacing w:line="360" w:lineRule="auto"/>
        <w:ind w:left="360"/>
        <w:jc w:val="center"/>
        <w:rPr>
          <w:rFonts w:ascii="宋体" w:hAnsi="宋体" w:cs="Arial"/>
          <w:szCs w:val="21"/>
        </w:rPr>
      </w:pPr>
    </w:p>
    <w:p>
      <w:pPr>
        <w:spacing w:line="360" w:lineRule="auto"/>
        <w:jc w:val="left"/>
        <w:rPr>
          <w:rFonts w:ascii="宋体" w:hAnsi="宋体" w:cs="Arial"/>
          <w:szCs w:val="21"/>
        </w:rPr>
      </w:pPr>
    </w:p>
    <w:p>
      <w:pPr>
        <w:spacing w:line="360" w:lineRule="auto"/>
        <w:ind w:firstLine="4200" w:firstLineChars="2000"/>
        <w:jc w:val="left"/>
        <w:rPr>
          <w:rFonts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（盖单位公章）</w:t>
      </w:r>
    </w:p>
    <w:p>
      <w:pPr>
        <w:spacing w:line="360" w:lineRule="auto"/>
        <w:ind w:firstLine="4200" w:firstLineChars="2000"/>
        <w:jc w:val="left"/>
        <w:rPr>
          <w:rFonts w:ascii="宋体" w:hAnsi="宋体"/>
          <w:szCs w:val="21"/>
        </w:rPr>
      </w:pPr>
      <w:r>
        <w:rPr>
          <w:rFonts w:hint="eastAsia" w:ascii="宋体" w:hAnsi="宋体" w:cs="宋体"/>
        </w:rPr>
        <w:t>法定代表人/负责人</w:t>
      </w:r>
      <w:r>
        <w:rPr>
          <w:rFonts w:hint="eastAsia" w:ascii="宋体" w:hAnsi="宋体"/>
          <w:szCs w:val="21"/>
        </w:rPr>
        <w:t>或授权代表（签字或加盖个人印章）：</w:t>
      </w:r>
      <w:r>
        <w:rPr>
          <w:rFonts w:hint="eastAsia" w:ascii="宋体" w:hAnsi="宋体"/>
          <w:szCs w:val="21"/>
          <w:u w:val="single"/>
        </w:rPr>
        <w:t xml:space="preserve">             </w:t>
      </w:r>
    </w:p>
    <w:p>
      <w:pPr>
        <w:spacing w:line="360" w:lineRule="auto"/>
        <w:ind w:firstLine="4200" w:firstLineChars="2000"/>
        <w:jc w:val="left"/>
        <w:rPr>
          <w:rFonts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rPr>
          <w:rFonts w:ascii="宋体" w:hAnsi="宋体"/>
          <w:sz w:val="24"/>
        </w:rPr>
      </w:pPr>
      <w:r>
        <w:rPr>
          <w:rFonts w:hint="eastAsia" w:ascii="宋体" w:hAnsi="宋体"/>
          <w:sz w:val="24"/>
        </w:rPr>
        <w:br w:type="page"/>
      </w:r>
    </w:p>
    <w:p>
      <w:pPr>
        <w:pStyle w:val="4"/>
        <w:spacing w:before="0" w:after="0" w:line="360" w:lineRule="auto"/>
        <w:rPr>
          <w:rFonts w:ascii="黑体" w:hAnsi="黑体" w:eastAsia="黑体" w:cs="黑体"/>
        </w:rPr>
      </w:pPr>
      <w:bookmarkStart w:id="666" w:name="_Toc27785"/>
      <w:bookmarkStart w:id="667" w:name="_Toc9588"/>
      <w:bookmarkStart w:id="668" w:name="_Toc19693"/>
      <w:bookmarkStart w:id="669" w:name="_Toc17055"/>
      <w:bookmarkStart w:id="670" w:name="_Toc2051"/>
      <w:bookmarkStart w:id="671" w:name="_Toc32364"/>
      <w:bookmarkStart w:id="672" w:name="_Toc7313"/>
      <w:bookmarkStart w:id="673" w:name="_Toc4672"/>
      <w:r>
        <w:rPr>
          <w:rFonts w:hint="eastAsia" w:ascii="黑体" w:hAnsi="黑体" w:eastAsia="黑体" w:cs="黑体"/>
        </w:rPr>
        <w:t>十二、供应商本项目管理、技术、服务人员情况表</w:t>
      </w:r>
      <w:bookmarkEnd w:id="666"/>
      <w:bookmarkEnd w:id="667"/>
      <w:bookmarkEnd w:id="668"/>
      <w:bookmarkEnd w:id="669"/>
      <w:bookmarkEnd w:id="670"/>
      <w:bookmarkEnd w:id="671"/>
      <w:bookmarkEnd w:id="672"/>
      <w:bookmarkEnd w:id="673"/>
    </w:p>
    <w:tbl>
      <w:tblPr>
        <w:tblStyle w:val="33"/>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6"/>
        <w:gridCol w:w="1094"/>
        <w:gridCol w:w="1096"/>
        <w:gridCol w:w="1096"/>
        <w:gridCol w:w="1096"/>
        <w:gridCol w:w="1096"/>
        <w:gridCol w:w="109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3" w:type="dxa"/>
            <w:vMerge w:val="restart"/>
            <w:shd w:val="clear" w:color="auto" w:fill="F2F2F2"/>
            <w:vAlign w:val="center"/>
          </w:tcPr>
          <w:p>
            <w:pPr>
              <w:spacing w:line="360" w:lineRule="auto"/>
              <w:jc w:val="center"/>
              <w:rPr>
                <w:szCs w:val="21"/>
              </w:rPr>
            </w:pPr>
            <w:r>
              <w:rPr>
                <w:rFonts w:hint="eastAsia"/>
                <w:szCs w:val="21"/>
              </w:rPr>
              <w:t>类别</w:t>
            </w:r>
          </w:p>
        </w:tc>
        <w:tc>
          <w:tcPr>
            <w:tcW w:w="1096" w:type="dxa"/>
            <w:vMerge w:val="restart"/>
            <w:shd w:val="clear" w:color="auto" w:fill="F2F2F2"/>
            <w:vAlign w:val="center"/>
          </w:tcPr>
          <w:p>
            <w:pPr>
              <w:spacing w:line="360" w:lineRule="auto"/>
              <w:jc w:val="center"/>
              <w:rPr>
                <w:szCs w:val="21"/>
              </w:rPr>
            </w:pPr>
            <w:r>
              <w:rPr>
                <w:rFonts w:hint="eastAsia"/>
                <w:szCs w:val="21"/>
              </w:rPr>
              <w:t>职务</w:t>
            </w:r>
          </w:p>
        </w:tc>
        <w:tc>
          <w:tcPr>
            <w:tcW w:w="1094" w:type="dxa"/>
            <w:vMerge w:val="restart"/>
            <w:shd w:val="clear" w:color="auto" w:fill="F2F2F2"/>
            <w:vAlign w:val="center"/>
          </w:tcPr>
          <w:p>
            <w:pPr>
              <w:spacing w:line="360" w:lineRule="auto"/>
              <w:jc w:val="center"/>
              <w:rPr>
                <w:szCs w:val="21"/>
              </w:rPr>
            </w:pPr>
            <w:r>
              <w:rPr>
                <w:rFonts w:hint="eastAsia"/>
                <w:szCs w:val="21"/>
              </w:rPr>
              <w:t>姓名</w:t>
            </w:r>
          </w:p>
        </w:tc>
        <w:tc>
          <w:tcPr>
            <w:tcW w:w="1096" w:type="dxa"/>
            <w:vMerge w:val="restart"/>
            <w:shd w:val="clear" w:color="auto" w:fill="F2F2F2"/>
            <w:vAlign w:val="center"/>
          </w:tcPr>
          <w:p>
            <w:pPr>
              <w:spacing w:line="360" w:lineRule="auto"/>
              <w:jc w:val="center"/>
              <w:rPr>
                <w:szCs w:val="21"/>
              </w:rPr>
            </w:pPr>
            <w:r>
              <w:rPr>
                <w:rFonts w:hint="eastAsia"/>
                <w:szCs w:val="21"/>
              </w:rPr>
              <w:t>职称</w:t>
            </w:r>
          </w:p>
        </w:tc>
        <w:tc>
          <w:tcPr>
            <w:tcW w:w="1096" w:type="dxa"/>
            <w:vMerge w:val="restart"/>
            <w:shd w:val="clear" w:color="auto" w:fill="F2F2F2"/>
            <w:vAlign w:val="center"/>
          </w:tcPr>
          <w:p>
            <w:pPr>
              <w:spacing w:line="360" w:lineRule="auto"/>
              <w:jc w:val="center"/>
              <w:rPr>
                <w:szCs w:val="21"/>
              </w:rPr>
            </w:pPr>
            <w:r>
              <w:rPr>
                <w:rFonts w:hint="eastAsia"/>
                <w:szCs w:val="21"/>
              </w:rPr>
              <w:t>常住地</w:t>
            </w:r>
          </w:p>
        </w:tc>
        <w:tc>
          <w:tcPr>
            <w:tcW w:w="4380" w:type="dxa"/>
            <w:gridSpan w:val="4"/>
            <w:shd w:val="clear" w:color="auto" w:fill="F2F2F2"/>
            <w:vAlign w:val="center"/>
          </w:tcPr>
          <w:p>
            <w:pPr>
              <w:spacing w:line="360" w:lineRule="auto"/>
              <w:jc w:val="center"/>
              <w:rPr>
                <w:szCs w:val="21"/>
              </w:rPr>
            </w:pPr>
            <w:r>
              <w:rPr>
                <w:rFonts w:hint="eastAsia"/>
                <w:szCs w:val="21"/>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093" w:type="dxa"/>
            <w:vMerge w:val="continue"/>
            <w:shd w:val="clear" w:color="auto" w:fill="F2F2F2"/>
            <w:vAlign w:val="center"/>
          </w:tcPr>
          <w:p>
            <w:pPr>
              <w:spacing w:line="360" w:lineRule="auto"/>
              <w:jc w:val="center"/>
              <w:rPr>
                <w:szCs w:val="21"/>
              </w:rPr>
            </w:pPr>
          </w:p>
        </w:tc>
        <w:tc>
          <w:tcPr>
            <w:tcW w:w="1096" w:type="dxa"/>
            <w:vMerge w:val="continue"/>
            <w:shd w:val="clear" w:color="auto" w:fill="F2F2F2"/>
            <w:vAlign w:val="center"/>
          </w:tcPr>
          <w:p>
            <w:pPr>
              <w:spacing w:line="360" w:lineRule="auto"/>
              <w:jc w:val="center"/>
              <w:rPr>
                <w:szCs w:val="21"/>
              </w:rPr>
            </w:pPr>
          </w:p>
        </w:tc>
        <w:tc>
          <w:tcPr>
            <w:tcW w:w="1094" w:type="dxa"/>
            <w:vMerge w:val="continue"/>
            <w:shd w:val="clear" w:color="auto" w:fill="F2F2F2"/>
            <w:vAlign w:val="center"/>
          </w:tcPr>
          <w:p>
            <w:pPr>
              <w:spacing w:line="360" w:lineRule="auto"/>
              <w:jc w:val="center"/>
              <w:rPr>
                <w:szCs w:val="21"/>
              </w:rPr>
            </w:pPr>
          </w:p>
        </w:tc>
        <w:tc>
          <w:tcPr>
            <w:tcW w:w="1096" w:type="dxa"/>
            <w:vMerge w:val="continue"/>
            <w:shd w:val="clear" w:color="auto" w:fill="F2F2F2"/>
            <w:vAlign w:val="center"/>
          </w:tcPr>
          <w:p>
            <w:pPr>
              <w:spacing w:line="360" w:lineRule="auto"/>
              <w:jc w:val="center"/>
              <w:rPr>
                <w:szCs w:val="21"/>
              </w:rPr>
            </w:pPr>
          </w:p>
        </w:tc>
        <w:tc>
          <w:tcPr>
            <w:tcW w:w="1096" w:type="dxa"/>
            <w:vMerge w:val="continue"/>
            <w:shd w:val="clear" w:color="auto" w:fill="F2F2F2"/>
            <w:vAlign w:val="center"/>
          </w:tcPr>
          <w:p>
            <w:pPr>
              <w:spacing w:line="360" w:lineRule="auto"/>
              <w:jc w:val="center"/>
              <w:rPr>
                <w:szCs w:val="21"/>
              </w:rPr>
            </w:pPr>
          </w:p>
        </w:tc>
        <w:tc>
          <w:tcPr>
            <w:tcW w:w="1096" w:type="dxa"/>
            <w:shd w:val="clear" w:color="auto" w:fill="F2F2F2"/>
            <w:vAlign w:val="center"/>
          </w:tcPr>
          <w:p>
            <w:pPr>
              <w:spacing w:line="360" w:lineRule="auto"/>
              <w:jc w:val="center"/>
              <w:rPr>
                <w:szCs w:val="21"/>
              </w:rPr>
            </w:pPr>
            <w:r>
              <w:rPr>
                <w:rFonts w:hint="eastAsia"/>
                <w:szCs w:val="21"/>
              </w:rPr>
              <w:t>证书</w:t>
            </w:r>
          </w:p>
          <w:p>
            <w:pPr>
              <w:spacing w:line="360" w:lineRule="auto"/>
              <w:jc w:val="center"/>
              <w:rPr>
                <w:szCs w:val="21"/>
              </w:rPr>
            </w:pPr>
            <w:r>
              <w:rPr>
                <w:rFonts w:hint="eastAsia"/>
                <w:szCs w:val="21"/>
              </w:rPr>
              <w:t>名称</w:t>
            </w:r>
          </w:p>
        </w:tc>
        <w:tc>
          <w:tcPr>
            <w:tcW w:w="1096" w:type="dxa"/>
            <w:shd w:val="clear" w:color="auto" w:fill="F2F2F2"/>
            <w:vAlign w:val="center"/>
          </w:tcPr>
          <w:p>
            <w:pPr>
              <w:spacing w:line="360" w:lineRule="auto"/>
              <w:jc w:val="center"/>
              <w:rPr>
                <w:szCs w:val="21"/>
              </w:rPr>
            </w:pPr>
            <w:r>
              <w:rPr>
                <w:rFonts w:hint="eastAsia"/>
                <w:szCs w:val="21"/>
              </w:rPr>
              <w:t>级别</w:t>
            </w:r>
          </w:p>
        </w:tc>
        <w:tc>
          <w:tcPr>
            <w:tcW w:w="1094" w:type="dxa"/>
            <w:shd w:val="clear" w:color="auto" w:fill="F2F2F2"/>
            <w:vAlign w:val="center"/>
          </w:tcPr>
          <w:p>
            <w:pPr>
              <w:spacing w:line="360" w:lineRule="auto"/>
              <w:jc w:val="center"/>
              <w:rPr>
                <w:szCs w:val="21"/>
              </w:rPr>
            </w:pPr>
            <w:r>
              <w:rPr>
                <w:rFonts w:hint="eastAsia"/>
                <w:szCs w:val="21"/>
              </w:rPr>
              <w:t>证号</w:t>
            </w:r>
          </w:p>
        </w:tc>
        <w:tc>
          <w:tcPr>
            <w:tcW w:w="1094" w:type="dxa"/>
            <w:shd w:val="clear" w:color="auto" w:fill="F2F2F2"/>
            <w:vAlign w:val="center"/>
          </w:tcPr>
          <w:p>
            <w:pPr>
              <w:spacing w:line="360" w:lineRule="auto"/>
              <w:jc w:val="center"/>
              <w:rPr>
                <w:szCs w:val="21"/>
              </w:rPr>
            </w:pPr>
            <w:r>
              <w:rPr>
                <w:rFonts w:hint="eastAsia"/>
                <w:szCs w:val="21"/>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3" w:type="dxa"/>
            <w:vMerge w:val="restart"/>
            <w:vAlign w:val="center"/>
          </w:tcPr>
          <w:p>
            <w:pPr>
              <w:spacing w:line="360" w:lineRule="auto"/>
              <w:jc w:val="center"/>
              <w:rPr>
                <w:szCs w:val="21"/>
              </w:rPr>
            </w:pPr>
            <w:r>
              <w:rPr>
                <w:rFonts w:hint="eastAsia"/>
                <w:szCs w:val="21"/>
              </w:rPr>
              <w:t>管理</w:t>
            </w:r>
          </w:p>
          <w:p>
            <w:pPr>
              <w:spacing w:line="360" w:lineRule="auto"/>
              <w:jc w:val="center"/>
              <w:rPr>
                <w:szCs w:val="21"/>
              </w:rPr>
            </w:pPr>
            <w:r>
              <w:rPr>
                <w:rFonts w:hint="eastAsia"/>
                <w:szCs w:val="21"/>
              </w:rPr>
              <w:t>人员</w:t>
            </w:r>
          </w:p>
        </w:tc>
        <w:tc>
          <w:tcPr>
            <w:tcW w:w="1096" w:type="dxa"/>
          </w:tcPr>
          <w:p>
            <w:pPr>
              <w:spacing w:line="360" w:lineRule="auto"/>
              <w:rPr>
                <w:szCs w:val="21"/>
              </w:rPr>
            </w:pPr>
          </w:p>
        </w:tc>
        <w:tc>
          <w:tcPr>
            <w:tcW w:w="1094"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4" w:type="dxa"/>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3" w:type="dxa"/>
            <w:vMerge w:val="continue"/>
            <w:vAlign w:val="center"/>
          </w:tcPr>
          <w:p>
            <w:pPr>
              <w:spacing w:line="360" w:lineRule="auto"/>
              <w:jc w:val="center"/>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4" w:type="dxa"/>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3" w:type="dxa"/>
            <w:vMerge w:val="continue"/>
            <w:vAlign w:val="center"/>
          </w:tcPr>
          <w:p>
            <w:pPr>
              <w:spacing w:line="360" w:lineRule="auto"/>
              <w:jc w:val="center"/>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4" w:type="dxa"/>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3" w:type="dxa"/>
            <w:vMerge w:val="restart"/>
            <w:vAlign w:val="center"/>
          </w:tcPr>
          <w:p>
            <w:pPr>
              <w:spacing w:line="360" w:lineRule="auto"/>
              <w:jc w:val="center"/>
              <w:rPr>
                <w:szCs w:val="21"/>
              </w:rPr>
            </w:pPr>
            <w:r>
              <w:rPr>
                <w:rFonts w:hint="eastAsia"/>
                <w:szCs w:val="21"/>
              </w:rPr>
              <w:t>技术</w:t>
            </w:r>
          </w:p>
          <w:p>
            <w:pPr>
              <w:spacing w:line="360" w:lineRule="auto"/>
              <w:jc w:val="center"/>
              <w:rPr>
                <w:szCs w:val="21"/>
              </w:rPr>
            </w:pPr>
            <w:r>
              <w:rPr>
                <w:rFonts w:hint="eastAsia"/>
                <w:szCs w:val="21"/>
              </w:rPr>
              <w:t>人员</w:t>
            </w:r>
          </w:p>
        </w:tc>
        <w:tc>
          <w:tcPr>
            <w:tcW w:w="1096" w:type="dxa"/>
          </w:tcPr>
          <w:p>
            <w:pPr>
              <w:spacing w:line="360" w:lineRule="auto"/>
              <w:rPr>
                <w:szCs w:val="21"/>
              </w:rPr>
            </w:pPr>
          </w:p>
        </w:tc>
        <w:tc>
          <w:tcPr>
            <w:tcW w:w="1094"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4" w:type="dxa"/>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3" w:type="dxa"/>
            <w:vMerge w:val="continue"/>
            <w:vAlign w:val="center"/>
          </w:tcPr>
          <w:p>
            <w:pPr>
              <w:spacing w:line="360" w:lineRule="auto"/>
              <w:jc w:val="center"/>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4" w:type="dxa"/>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3" w:type="dxa"/>
            <w:vMerge w:val="continue"/>
            <w:vAlign w:val="center"/>
          </w:tcPr>
          <w:p>
            <w:pPr>
              <w:spacing w:line="360" w:lineRule="auto"/>
              <w:jc w:val="center"/>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4" w:type="dxa"/>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3" w:type="dxa"/>
            <w:vMerge w:val="restart"/>
            <w:vAlign w:val="center"/>
          </w:tcPr>
          <w:p>
            <w:pPr>
              <w:spacing w:line="360" w:lineRule="auto"/>
              <w:jc w:val="center"/>
              <w:rPr>
                <w:szCs w:val="21"/>
              </w:rPr>
            </w:pPr>
            <w:r>
              <w:rPr>
                <w:rFonts w:hint="eastAsia"/>
                <w:szCs w:val="21"/>
              </w:rPr>
              <w:t>售后服务人员</w:t>
            </w:r>
          </w:p>
        </w:tc>
        <w:tc>
          <w:tcPr>
            <w:tcW w:w="1096" w:type="dxa"/>
          </w:tcPr>
          <w:p>
            <w:pPr>
              <w:spacing w:line="360" w:lineRule="auto"/>
              <w:rPr>
                <w:szCs w:val="21"/>
              </w:rPr>
            </w:pPr>
          </w:p>
        </w:tc>
        <w:tc>
          <w:tcPr>
            <w:tcW w:w="1094"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4" w:type="dxa"/>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93" w:type="dxa"/>
            <w:vMerge w:val="continue"/>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4" w:type="dxa"/>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093" w:type="dxa"/>
            <w:vMerge w:val="continue"/>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6" w:type="dxa"/>
          </w:tcPr>
          <w:p>
            <w:pPr>
              <w:spacing w:line="360" w:lineRule="auto"/>
              <w:rPr>
                <w:szCs w:val="21"/>
              </w:rPr>
            </w:pPr>
          </w:p>
        </w:tc>
        <w:tc>
          <w:tcPr>
            <w:tcW w:w="1094" w:type="dxa"/>
          </w:tcPr>
          <w:p>
            <w:pPr>
              <w:spacing w:line="360" w:lineRule="auto"/>
              <w:rPr>
                <w:szCs w:val="21"/>
              </w:rPr>
            </w:pPr>
          </w:p>
        </w:tc>
        <w:tc>
          <w:tcPr>
            <w:tcW w:w="1094" w:type="dxa"/>
          </w:tcPr>
          <w:p>
            <w:pPr>
              <w:spacing w:line="360" w:lineRule="auto"/>
              <w:rPr>
                <w:szCs w:val="21"/>
              </w:rPr>
            </w:pPr>
          </w:p>
        </w:tc>
      </w:tr>
    </w:tbl>
    <w:p>
      <w:pPr>
        <w:spacing w:line="360" w:lineRule="auto"/>
        <w:rPr>
          <w:rFonts w:ascii="宋体" w:hAnsi="宋体"/>
          <w:szCs w:val="21"/>
        </w:rPr>
      </w:pPr>
    </w:p>
    <w:p>
      <w:pPr>
        <w:spacing w:line="360" w:lineRule="auto"/>
        <w:ind w:firstLine="420" w:firstLineChars="200"/>
        <w:rPr>
          <w:rFonts w:ascii="宋体" w:hAnsi="宋体" w:cs="宋体"/>
          <w:szCs w:val="21"/>
        </w:rPr>
      </w:pPr>
      <w:r>
        <w:rPr>
          <w:rFonts w:hint="eastAsia" w:ascii="宋体" w:hAnsi="宋体" w:cs="宋体"/>
          <w:szCs w:val="21"/>
        </w:rPr>
        <w:t>注：供应商根据自身实际情况填写，对不涉及的内容可填写“/”。</w:t>
      </w:r>
    </w:p>
    <w:p>
      <w:pPr>
        <w:spacing w:line="360" w:lineRule="auto"/>
        <w:rPr>
          <w:rFonts w:ascii="宋体" w:hAnsi="宋体" w:cs="宋体"/>
          <w:szCs w:val="21"/>
        </w:rPr>
      </w:pPr>
    </w:p>
    <w:p>
      <w:pPr>
        <w:spacing w:line="360" w:lineRule="auto"/>
        <w:ind w:firstLine="2100" w:firstLineChars="1000"/>
        <w:rPr>
          <w:rFonts w:ascii="宋体" w:hAnsi="宋体" w:cs="宋体"/>
          <w:szCs w:val="21"/>
        </w:rPr>
      </w:pPr>
    </w:p>
    <w:p>
      <w:pPr>
        <w:adjustRightInd w:val="0"/>
        <w:spacing w:line="360" w:lineRule="auto"/>
        <w:ind w:firstLine="2940" w:firstLineChars="1400"/>
        <w:jc w:val="left"/>
        <w:rPr>
          <w:rFonts w:ascii="宋体" w:hAnsi="宋体" w:cs="宋体"/>
          <w:szCs w:val="21"/>
        </w:rPr>
      </w:pPr>
      <w:r>
        <w:rPr>
          <w:rFonts w:hint="eastAsia" w:ascii="宋体" w:hAnsi="宋体" w:cs="宋体"/>
          <w:szCs w:val="21"/>
        </w:rPr>
        <w:t>供应商名称：</w:t>
      </w:r>
      <w:r>
        <w:rPr>
          <w:rFonts w:hint="eastAsia" w:ascii="宋体" w:hAnsi="宋体" w:cs="宋体"/>
          <w:szCs w:val="21"/>
          <w:u w:val="single"/>
        </w:rPr>
        <w:t xml:space="preserve">             </w:t>
      </w:r>
      <w:r>
        <w:rPr>
          <w:rFonts w:hint="eastAsia" w:ascii="宋体" w:hAnsi="宋体" w:cs="宋体"/>
          <w:szCs w:val="21"/>
        </w:rPr>
        <w:t>（盖单位公章）</w:t>
      </w:r>
    </w:p>
    <w:p>
      <w:pPr>
        <w:adjustRightInd w:val="0"/>
        <w:spacing w:line="360" w:lineRule="auto"/>
        <w:ind w:firstLine="2940" w:firstLineChars="1400"/>
        <w:jc w:val="left"/>
        <w:rPr>
          <w:rFonts w:ascii="宋体" w:hAnsi="宋体" w:cs="宋体"/>
          <w:bCs/>
          <w:szCs w:val="21"/>
        </w:rPr>
      </w:pPr>
      <w:r>
        <w:rPr>
          <w:rFonts w:hint="eastAsia" w:ascii="宋体" w:hAnsi="宋体" w:cs="宋体"/>
        </w:rPr>
        <w:t>法定代表人/负责人</w:t>
      </w:r>
      <w:r>
        <w:rPr>
          <w:rFonts w:hint="eastAsia" w:ascii="宋体" w:hAnsi="宋体" w:cs="宋体"/>
          <w:bCs/>
          <w:szCs w:val="21"/>
        </w:rPr>
        <w:t>或授权代表</w:t>
      </w:r>
      <w:r>
        <w:rPr>
          <w:rFonts w:hint="eastAsia" w:ascii="宋体" w:hAnsi="宋体" w:cs="宋体"/>
          <w:szCs w:val="21"/>
        </w:rPr>
        <w:t>（签字或加盖个人印章）</w:t>
      </w:r>
      <w:r>
        <w:rPr>
          <w:rFonts w:hint="eastAsia" w:ascii="宋体" w:hAnsi="宋体" w:cs="宋体"/>
          <w:bCs/>
          <w:szCs w:val="21"/>
        </w:rPr>
        <w:t>：</w:t>
      </w:r>
      <w:r>
        <w:rPr>
          <w:rFonts w:hint="eastAsia" w:ascii="宋体" w:hAnsi="宋体" w:cs="宋体"/>
          <w:szCs w:val="21"/>
          <w:u w:val="single"/>
        </w:rPr>
        <w:t xml:space="preserve">             </w:t>
      </w:r>
    </w:p>
    <w:p>
      <w:pPr>
        <w:adjustRightInd w:val="0"/>
        <w:spacing w:line="360" w:lineRule="auto"/>
        <w:ind w:firstLine="2940" w:firstLineChars="1400"/>
        <w:jc w:val="left"/>
        <w:rPr>
          <w:rFonts w:ascii="宋体" w:hAnsi="宋体" w:cs="宋体"/>
          <w:bCs/>
          <w:szCs w:val="21"/>
        </w:rPr>
      </w:pPr>
      <w:r>
        <w:rPr>
          <w:rFonts w:hint="eastAsia" w:ascii="宋体" w:hAnsi="宋体" w:cs="宋体"/>
          <w:bCs/>
          <w:szCs w:val="21"/>
        </w:rPr>
        <w:t>日    期：</w:t>
      </w:r>
      <w:r>
        <w:rPr>
          <w:rFonts w:hint="eastAsia" w:ascii="宋体" w:hAnsi="宋体" w:cs="宋体"/>
          <w:szCs w:val="21"/>
          <w:u w:val="single"/>
        </w:rPr>
        <w:t xml:space="preserve">        </w:t>
      </w:r>
      <w:r>
        <w:rPr>
          <w:rFonts w:hint="eastAsia" w:ascii="宋体" w:hAnsi="宋体" w:cs="宋体"/>
          <w:bCs/>
          <w:szCs w:val="21"/>
        </w:rPr>
        <w:t>年</w:t>
      </w:r>
      <w:r>
        <w:rPr>
          <w:rFonts w:hint="eastAsia" w:ascii="宋体" w:hAnsi="宋体" w:cs="宋体"/>
          <w:szCs w:val="21"/>
          <w:u w:val="single"/>
        </w:rPr>
        <w:t xml:space="preserve">       </w:t>
      </w:r>
      <w:r>
        <w:rPr>
          <w:rFonts w:hint="eastAsia" w:ascii="宋体" w:hAnsi="宋体" w:cs="宋体"/>
          <w:bCs/>
          <w:szCs w:val="21"/>
        </w:rPr>
        <w:t>月</w:t>
      </w:r>
      <w:r>
        <w:rPr>
          <w:rFonts w:hint="eastAsia" w:ascii="宋体" w:hAnsi="宋体" w:cs="宋体"/>
          <w:szCs w:val="21"/>
          <w:u w:val="single"/>
        </w:rPr>
        <w:t xml:space="preserve">       </w:t>
      </w:r>
      <w:r>
        <w:rPr>
          <w:rFonts w:hint="eastAsia" w:ascii="宋体" w:hAnsi="宋体" w:cs="宋体"/>
          <w:bCs/>
          <w:szCs w:val="21"/>
        </w:rPr>
        <w:t>日</w:t>
      </w:r>
    </w:p>
    <w:p/>
    <w:p/>
    <w:p/>
    <w:p/>
    <w:p/>
    <w:bookmarkEnd w:id="586"/>
    <w:p>
      <w:pPr>
        <w:widowControl/>
        <w:spacing w:line="360" w:lineRule="auto"/>
        <w:jc w:val="left"/>
        <w:rPr>
          <w:rFonts w:ascii="宋体" w:hAnsi="宋体"/>
          <w:b/>
          <w:sz w:val="24"/>
        </w:rPr>
      </w:pPr>
      <w:r>
        <w:rPr>
          <w:rFonts w:ascii="宋体" w:hAnsi="宋体"/>
          <w:b/>
          <w:sz w:val="24"/>
        </w:rPr>
        <w:br w:type="page"/>
      </w:r>
    </w:p>
    <w:p>
      <w:pPr>
        <w:pStyle w:val="4"/>
        <w:spacing w:before="0" w:after="0" w:line="360" w:lineRule="auto"/>
        <w:rPr>
          <w:rFonts w:ascii="黑体" w:hAnsi="黑体" w:eastAsia="黑体" w:cs="黑体"/>
        </w:rPr>
      </w:pPr>
      <w:bookmarkStart w:id="674" w:name="_Toc25459"/>
      <w:bookmarkStart w:id="675" w:name="_Toc4578907"/>
      <w:bookmarkStart w:id="676" w:name="_Toc28198"/>
      <w:bookmarkStart w:id="677" w:name="_Toc4659782"/>
      <w:bookmarkStart w:id="678" w:name="_Toc15019"/>
      <w:bookmarkStart w:id="679" w:name="_Toc606"/>
      <w:bookmarkStart w:id="680" w:name="_Toc5005086"/>
      <w:bookmarkStart w:id="681" w:name="_Toc31957"/>
      <w:bookmarkStart w:id="682" w:name="_Toc22896"/>
      <w:bookmarkStart w:id="683" w:name="_Toc1388"/>
      <w:bookmarkStart w:id="684" w:name="_Toc30603"/>
      <w:r>
        <w:rPr>
          <w:rFonts w:hint="eastAsia" w:ascii="黑体" w:hAnsi="黑体" w:eastAsia="黑体" w:cs="黑体"/>
        </w:rPr>
        <w:t>十三、供应商诚信情况承诺函</w:t>
      </w:r>
      <w:bookmarkEnd w:id="674"/>
      <w:bookmarkEnd w:id="675"/>
      <w:bookmarkEnd w:id="676"/>
      <w:bookmarkEnd w:id="677"/>
      <w:bookmarkEnd w:id="678"/>
      <w:bookmarkEnd w:id="679"/>
      <w:bookmarkEnd w:id="680"/>
      <w:bookmarkEnd w:id="681"/>
      <w:bookmarkEnd w:id="682"/>
      <w:bookmarkEnd w:id="683"/>
      <w:bookmarkEnd w:id="684"/>
    </w:p>
    <w:p>
      <w:pPr>
        <w:snapToGrid w:val="0"/>
        <w:spacing w:beforeLines="100" w:line="360" w:lineRule="auto"/>
        <w:rPr>
          <w:rFonts w:ascii="宋体" w:hAnsi="宋体"/>
          <w:bCs/>
          <w:szCs w:val="21"/>
        </w:rPr>
      </w:pPr>
      <w:r>
        <w:rPr>
          <w:rFonts w:hint="eastAsia" w:ascii="宋体" w:hAnsi="宋体"/>
          <w:bCs/>
          <w:szCs w:val="21"/>
        </w:rPr>
        <w:t>致四川雄烽建设工程管理有限公司：</w:t>
      </w:r>
    </w:p>
    <w:p>
      <w:pPr>
        <w:snapToGrid w:val="0"/>
        <w:spacing w:line="360" w:lineRule="auto"/>
        <w:ind w:firstLine="420" w:firstLineChars="200"/>
        <w:rPr>
          <w:rFonts w:ascii="宋体" w:hAnsi="宋体"/>
          <w:szCs w:val="21"/>
        </w:rPr>
      </w:pPr>
      <w:r>
        <w:rPr>
          <w:rFonts w:hint="eastAsia" w:ascii="宋体" w:hAnsi="宋体"/>
          <w:szCs w:val="21"/>
        </w:rPr>
        <w:t>我单位不存在《四川省公共资源交易领域严重失信联合惩戒实施办法》（川发改信用规〔2019〕405号）、《关于对政府采购领域严重违法失信主体开展联合惩戒的合作备忘录》（发改财金〔2018〕1614号）等有关规定的被记入诚信档案的失信行为。</w:t>
      </w:r>
    </w:p>
    <w:p>
      <w:pPr>
        <w:snapToGrid w:val="0"/>
        <w:spacing w:line="360" w:lineRule="auto"/>
        <w:ind w:firstLine="420" w:firstLineChars="200"/>
        <w:rPr>
          <w:rFonts w:ascii="宋体" w:hAnsi="宋体"/>
          <w:szCs w:val="21"/>
        </w:rPr>
      </w:pPr>
      <w:r>
        <w:rPr>
          <w:rFonts w:hint="eastAsia" w:ascii="宋体" w:hAnsi="宋体"/>
          <w:szCs w:val="21"/>
        </w:rPr>
        <w:t>我</w:t>
      </w:r>
      <w:r>
        <w:rPr>
          <w:rFonts w:hint="eastAsia" w:ascii="宋体" w:hAnsi="宋体"/>
          <w:bCs/>
          <w:szCs w:val="21"/>
        </w:rPr>
        <w:t>单位</w:t>
      </w:r>
      <w:r>
        <w:rPr>
          <w:rFonts w:hint="eastAsia" w:ascii="宋体" w:hAnsi="宋体"/>
          <w:szCs w:val="21"/>
        </w:rPr>
        <w:t>对以上填写信息的真实性负责。如有不实，本</w:t>
      </w:r>
      <w:r>
        <w:rPr>
          <w:rFonts w:hint="eastAsia" w:ascii="宋体" w:hAnsi="宋体"/>
          <w:bCs/>
          <w:szCs w:val="21"/>
        </w:rPr>
        <w:t>单位</w:t>
      </w:r>
      <w:r>
        <w:rPr>
          <w:rFonts w:hint="eastAsia" w:ascii="宋体" w:hAnsi="宋体"/>
          <w:szCs w:val="21"/>
        </w:rPr>
        <w:t>愿承担由此产生的一切法律责任和后果。</w:t>
      </w:r>
    </w:p>
    <w:p>
      <w:pPr>
        <w:snapToGrid w:val="0"/>
        <w:spacing w:line="360" w:lineRule="auto"/>
        <w:rPr>
          <w:rFonts w:ascii="宋体" w:hAnsi="宋体"/>
          <w:bCs/>
          <w:szCs w:val="21"/>
        </w:rPr>
      </w:pPr>
    </w:p>
    <w:p>
      <w:pPr>
        <w:pStyle w:val="14"/>
        <w:snapToGrid w:val="0"/>
      </w:pPr>
    </w:p>
    <w:p>
      <w:pPr>
        <w:snapToGrid w:val="0"/>
        <w:spacing w:line="360" w:lineRule="auto"/>
        <w:ind w:firstLine="3360" w:firstLineChars="1600"/>
        <w:rPr>
          <w:rFonts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（盖单位公章）</w:t>
      </w:r>
    </w:p>
    <w:p>
      <w:pPr>
        <w:snapToGrid w:val="0"/>
        <w:spacing w:line="360" w:lineRule="auto"/>
        <w:ind w:firstLine="3360" w:firstLineChars="1600"/>
        <w:rPr>
          <w:rFonts w:ascii="宋体" w:hAnsi="宋体"/>
          <w:szCs w:val="21"/>
        </w:rPr>
      </w:pPr>
      <w:r>
        <w:rPr>
          <w:rFonts w:hint="eastAsia" w:ascii="宋体" w:hAnsi="宋体" w:cs="宋体"/>
        </w:rPr>
        <w:t>法定代表人/负责人</w:t>
      </w:r>
      <w:r>
        <w:rPr>
          <w:rFonts w:hint="eastAsia" w:ascii="宋体" w:hAnsi="宋体"/>
          <w:szCs w:val="21"/>
        </w:rPr>
        <w:t>或授权代表（签字或加盖个人印章）：</w:t>
      </w:r>
      <w:r>
        <w:rPr>
          <w:rFonts w:hint="eastAsia" w:ascii="宋体" w:hAnsi="宋体"/>
          <w:szCs w:val="21"/>
          <w:u w:val="single"/>
        </w:rPr>
        <w:t xml:space="preserve">             </w:t>
      </w:r>
    </w:p>
    <w:p>
      <w:pPr>
        <w:snapToGrid w:val="0"/>
        <w:spacing w:line="360" w:lineRule="auto"/>
        <w:ind w:firstLine="3360" w:firstLineChars="1600"/>
        <w:rPr>
          <w:rFonts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napToGrid w:val="0"/>
        <w:spacing w:line="360" w:lineRule="auto"/>
        <w:rPr>
          <w:rFonts w:ascii="宋体" w:hAnsi="宋体"/>
          <w:bCs/>
          <w:szCs w:val="21"/>
        </w:rPr>
      </w:pPr>
    </w:p>
    <w:p>
      <w:pPr>
        <w:snapToGrid w:val="0"/>
        <w:spacing w:line="360" w:lineRule="auto"/>
        <w:ind w:firstLine="420" w:firstLineChars="200"/>
        <w:rPr>
          <w:rFonts w:ascii="宋体" w:hAnsi="宋体"/>
          <w:bCs/>
          <w:szCs w:val="21"/>
        </w:rPr>
      </w:pPr>
      <w:r>
        <w:rPr>
          <w:rFonts w:hint="eastAsia" w:ascii="宋体" w:hAnsi="宋体"/>
          <w:bCs/>
          <w:szCs w:val="21"/>
        </w:rPr>
        <w:t>注：</w:t>
      </w:r>
    </w:p>
    <w:p>
      <w:pPr>
        <w:snapToGrid w:val="0"/>
        <w:spacing w:line="360" w:lineRule="auto"/>
        <w:ind w:firstLine="420" w:firstLineChars="200"/>
        <w:rPr>
          <w:rFonts w:ascii="宋体" w:hAnsi="宋体"/>
          <w:bCs/>
          <w:szCs w:val="21"/>
        </w:rPr>
      </w:pPr>
      <w:r>
        <w:rPr>
          <w:rFonts w:hint="eastAsia" w:ascii="宋体" w:hAnsi="宋体"/>
          <w:bCs/>
          <w:szCs w:val="21"/>
        </w:rPr>
        <w:t>1、本表格式及内容仅供参考，供应商也可提供自己的格式；</w:t>
      </w:r>
    </w:p>
    <w:p>
      <w:pPr>
        <w:snapToGrid w:val="0"/>
        <w:spacing w:line="360" w:lineRule="auto"/>
        <w:ind w:firstLine="420" w:firstLineChars="200"/>
        <w:rPr>
          <w:rFonts w:ascii="宋体" w:hAnsi="宋体"/>
          <w:bCs/>
          <w:szCs w:val="21"/>
        </w:rPr>
      </w:pPr>
      <w:r>
        <w:rPr>
          <w:rFonts w:hint="eastAsia" w:ascii="宋体" w:hAnsi="宋体"/>
          <w:bCs/>
          <w:szCs w:val="21"/>
        </w:rPr>
        <w:t>2、供应商存在以上所述失信行为的，将按照</w:t>
      </w:r>
      <w:r>
        <w:rPr>
          <w:rFonts w:hint="eastAsia" w:ascii="宋体" w:hAnsi="宋体"/>
          <w:szCs w:val="21"/>
        </w:rPr>
        <w:t>第二章磋商须知附表的要求进行处理；</w:t>
      </w:r>
    </w:p>
    <w:p>
      <w:pPr>
        <w:snapToGrid w:val="0"/>
        <w:spacing w:line="360" w:lineRule="auto"/>
        <w:ind w:firstLine="420" w:firstLineChars="200"/>
        <w:rPr>
          <w:rFonts w:ascii="宋体" w:hAnsi="宋体"/>
          <w:kern w:val="0"/>
          <w:szCs w:val="21"/>
        </w:rPr>
      </w:pPr>
      <w:r>
        <w:rPr>
          <w:rFonts w:hint="eastAsia" w:ascii="宋体" w:hAnsi="宋体"/>
          <w:bCs/>
          <w:szCs w:val="21"/>
        </w:rPr>
        <w:t>3、</w:t>
      </w:r>
      <w:r>
        <w:rPr>
          <w:rFonts w:ascii="宋体" w:hAnsi="宋体"/>
          <w:bCs/>
          <w:szCs w:val="21"/>
        </w:rPr>
        <w:t>财政部门对采购当事人的失信行为依法进行处罚、处理后，应当向社会公告，并记入诚信档案，有效期为1年。工商部门、税务部门、审判机关及其他有关部门单位认定供应商的失信行为明</w:t>
      </w:r>
      <w:r>
        <w:rPr>
          <w:rFonts w:ascii="宋体" w:hAnsi="宋体"/>
          <w:kern w:val="0"/>
          <w:szCs w:val="21"/>
        </w:rPr>
        <w:t>确了有效期的，不再重复计算。</w:t>
      </w:r>
    </w:p>
    <w:p>
      <w:pPr>
        <w:snapToGrid w:val="0"/>
        <w:spacing w:line="360" w:lineRule="auto"/>
        <w:ind w:firstLine="420" w:firstLineChars="200"/>
        <w:rPr>
          <w:rFonts w:ascii="宋体" w:hAnsi="宋体"/>
          <w:bCs/>
          <w:szCs w:val="21"/>
        </w:rPr>
      </w:pPr>
      <w:r>
        <w:rPr>
          <w:rFonts w:hint="eastAsia" w:ascii="宋体" w:hAnsi="宋体"/>
          <w:kern w:val="0"/>
          <w:szCs w:val="21"/>
        </w:rPr>
        <w:t>4、</w:t>
      </w:r>
      <w:r>
        <w:rPr>
          <w:rFonts w:hint="eastAsia" w:ascii="宋体" w:hAnsi="宋体"/>
          <w:bCs/>
          <w:szCs w:val="21"/>
        </w:rPr>
        <w:t>供应商的失信行为受到行政处罚或司法惩处的，评审时不再对其以价格加成进行惩戒。</w:t>
      </w:r>
    </w:p>
    <w:p>
      <w:pPr>
        <w:widowControl/>
        <w:snapToGrid w:val="0"/>
        <w:spacing w:line="360" w:lineRule="auto"/>
        <w:jc w:val="left"/>
        <w:rPr>
          <w:rFonts w:ascii="宋体" w:hAnsi="宋体"/>
          <w:bCs/>
          <w:szCs w:val="21"/>
        </w:rPr>
      </w:pPr>
      <w:r>
        <w:rPr>
          <w:rFonts w:ascii="宋体" w:hAnsi="宋体"/>
          <w:bCs/>
          <w:szCs w:val="21"/>
        </w:rPr>
        <w:br w:type="page"/>
      </w:r>
    </w:p>
    <w:p>
      <w:pPr>
        <w:pStyle w:val="4"/>
        <w:spacing w:before="0" w:after="0" w:line="360" w:lineRule="auto"/>
        <w:rPr>
          <w:rFonts w:ascii="黑体" w:hAnsi="黑体" w:eastAsia="黑体" w:cs="黑体"/>
        </w:rPr>
      </w:pPr>
      <w:bookmarkStart w:id="685" w:name="_Toc8823"/>
      <w:bookmarkStart w:id="686" w:name="_Toc26448"/>
      <w:bookmarkStart w:id="687" w:name="_Toc16415"/>
      <w:bookmarkStart w:id="688" w:name="_Toc13454"/>
      <w:bookmarkStart w:id="689" w:name="_Toc24874"/>
      <w:bookmarkStart w:id="690" w:name="_Toc26880"/>
      <w:bookmarkStart w:id="691" w:name="_Toc27198"/>
      <w:bookmarkStart w:id="692" w:name="_Toc22307"/>
      <w:r>
        <w:rPr>
          <w:rFonts w:hint="eastAsia" w:ascii="黑体" w:hAnsi="黑体" w:eastAsia="黑体" w:cs="黑体"/>
        </w:rPr>
        <w:t>十四、磋商文件要求的其他资料</w:t>
      </w:r>
      <w:bookmarkEnd w:id="685"/>
      <w:bookmarkEnd w:id="686"/>
      <w:bookmarkEnd w:id="687"/>
      <w:bookmarkEnd w:id="688"/>
      <w:bookmarkEnd w:id="689"/>
      <w:bookmarkEnd w:id="690"/>
      <w:bookmarkEnd w:id="691"/>
      <w:bookmarkEnd w:id="692"/>
    </w:p>
    <w:p>
      <w:pPr>
        <w:widowControl/>
        <w:spacing w:line="360" w:lineRule="auto"/>
        <w:ind w:firstLine="422" w:firstLineChars="200"/>
        <w:jc w:val="left"/>
        <w:rPr>
          <w:rFonts w:ascii="宋体" w:hAnsi="宋体" w:cs="宋体"/>
          <w:b/>
          <w:bCs/>
          <w:szCs w:val="21"/>
        </w:rPr>
      </w:pPr>
    </w:p>
    <w:p>
      <w:pPr>
        <w:pStyle w:val="4"/>
      </w:pPr>
      <w:r>
        <w:rPr>
          <w:rFonts w:hint="eastAsia" w:ascii="宋体" w:hAnsi="宋体"/>
          <w:sz w:val="24"/>
        </w:rPr>
        <w:t>...</w:t>
      </w:r>
      <w:r>
        <w:rPr>
          <w:rFonts w:ascii="宋体" w:hAnsi="宋体"/>
          <w:sz w:val="24"/>
        </w:rPr>
        <w:br w:type="page"/>
      </w:r>
      <w:bookmarkStart w:id="693" w:name="_Toc18283"/>
      <w:bookmarkStart w:id="694" w:name="_Toc32699"/>
      <w:bookmarkStart w:id="695" w:name="_Toc18533"/>
      <w:bookmarkStart w:id="696" w:name="_Toc6509"/>
      <w:bookmarkStart w:id="697" w:name="_Toc21070"/>
      <w:bookmarkStart w:id="698" w:name="_Toc26981"/>
      <w:bookmarkStart w:id="699" w:name="_Toc19251"/>
      <w:bookmarkStart w:id="700" w:name="_Toc12066"/>
      <w:r>
        <w:rPr>
          <w:rFonts w:hint="eastAsia"/>
        </w:rPr>
        <w:t>十五、</w:t>
      </w:r>
      <w:bookmarkEnd w:id="693"/>
      <w:bookmarkEnd w:id="694"/>
      <w:bookmarkEnd w:id="695"/>
      <w:bookmarkEnd w:id="696"/>
      <w:bookmarkEnd w:id="697"/>
      <w:bookmarkEnd w:id="698"/>
      <w:bookmarkEnd w:id="699"/>
      <w:bookmarkEnd w:id="700"/>
      <w:r>
        <w:rPr>
          <w:rFonts w:hint="eastAsia"/>
        </w:rPr>
        <w:t>最后报价表</w:t>
      </w:r>
    </w:p>
    <w:tbl>
      <w:tblPr>
        <w:tblStyle w:val="33"/>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7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952" w:type="dxa"/>
            <w:vAlign w:val="center"/>
          </w:tcPr>
          <w:p>
            <w:pPr>
              <w:tabs>
                <w:tab w:val="left" w:pos="7513"/>
              </w:tabs>
              <w:spacing w:line="360" w:lineRule="auto"/>
              <w:jc w:val="center"/>
              <w:rPr>
                <w:rFonts w:ascii="宋体" w:hAnsi="宋体" w:cs="宋体"/>
                <w:kern w:val="0"/>
                <w:sz w:val="24"/>
              </w:rPr>
            </w:pPr>
            <w:r>
              <w:rPr>
                <w:rFonts w:hint="eastAsia" w:ascii="宋体" w:hAnsi="宋体" w:cs="宋体"/>
                <w:kern w:val="0"/>
                <w:sz w:val="24"/>
              </w:rPr>
              <w:t>采购项目名称</w:t>
            </w:r>
          </w:p>
        </w:tc>
        <w:tc>
          <w:tcPr>
            <w:tcW w:w="7290" w:type="dxa"/>
            <w:vAlign w:val="center"/>
          </w:tcPr>
          <w:p>
            <w:pPr>
              <w:tabs>
                <w:tab w:val="left" w:pos="7513"/>
              </w:tabs>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952" w:type="dxa"/>
            <w:vAlign w:val="center"/>
          </w:tcPr>
          <w:p>
            <w:pPr>
              <w:tabs>
                <w:tab w:val="left" w:pos="7513"/>
              </w:tabs>
              <w:spacing w:line="360" w:lineRule="auto"/>
              <w:jc w:val="center"/>
              <w:rPr>
                <w:rFonts w:ascii="宋体" w:hAnsi="宋体" w:cs="宋体"/>
                <w:kern w:val="0"/>
                <w:sz w:val="24"/>
              </w:rPr>
            </w:pPr>
            <w:r>
              <w:rPr>
                <w:rFonts w:hint="eastAsia" w:ascii="宋体" w:hAnsi="宋体" w:cs="宋体"/>
                <w:kern w:val="0"/>
                <w:sz w:val="24"/>
              </w:rPr>
              <w:t>采购编号</w:t>
            </w:r>
          </w:p>
        </w:tc>
        <w:tc>
          <w:tcPr>
            <w:tcW w:w="7290" w:type="dxa"/>
            <w:vAlign w:val="center"/>
          </w:tcPr>
          <w:p>
            <w:pPr>
              <w:tabs>
                <w:tab w:val="left" w:pos="7513"/>
              </w:tabs>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952" w:type="dxa"/>
            <w:vAlign w:val="center"/>
          </w:tcPr>
          <w:p>
            <w:pPr>
              <w:tabs>
                <w:tab w:val="left" w:pos="7513"/>
              </w:tabs>
              <w:spacing w:line="360" w:lineRule="auto"/>
              <w:jc w:val="center"/>
              <w:rPr>
                <w:rFonts w:ascii="宋体" w:hAnsi="宋体" w:cs="宋体"/>
                <w:kern w:val="0"/>
                <w:sz w:val="24"/>
              </w:rPr>
            </w:pPr>
            <w:r>
              <w:rPr>
                <w:rFonts w:hint="eastAsia" w:ascii="宋体" w:hAnsi="宋体" w:cs="宋体"/>
                <w:kern w:val="0"/>
                <w:sz w:val="24"/>
              </w:rPr>
              <w:t>供应商名称</w:t>
            </w:r>
          </w:p>
        </w:tc>
        <w:tc>
          <w:tcPr>
            <w:tcW w:w="7290" w:type="dxa"/>
            <w:vAlign w:val="center"/>
          </w:tcPr>
          <w:p>
            <w:pPr>
              <w:tabs>
                <w:tab w:val="left" w:pos="7513"/>
              </w:tabs>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952" w:type="dxa"/>
            <w:vAlign w:val="center"/>
          </w:tcPr>
          <w:p>
            <w:pPr>
              <w:tabs>
                <w:tab w:val="left" w:pos="7513"/>
              </w:tabs>
              <w:spacing w:line="360" w:lineRule="auto"/>
              <w:jc w:val="center"/>
              <w:rPr>
                <w:rFonts w:hint="default" w:ascii="宋体" w:hAnsi="宋体" w:cs="宋体"/>
                <w:kern w:val="0"/>
                <w:sz w:val="24"/>
                <w:lang w:val="en-US"/>
              </w:rPr>
            </w:pPr>
            <w:r>
              <w:rPr>
                <w:rFonts w:hint="eastAsia" w:ascii="宋体" w:hAnsi="宋体" w:cs="宋体"/>
                <w:kern w:val="0"/>
                <w:sz w:val="24"/>
                <w:lang w:val="en-US" w:eastAsia="zh-CN"/>
              </w:rPr>
              <w:t>报价合计</w:t>
            </w:r>
          </w:p>
        </w:tc>
        <w:tc>
          <w:tcPr>
            <w:tcW w:w="7290" w:type="dxa"/>
            <w:vAlign w:val="center"/>
          </w:tcPr>
          <w:p>
            <w:pPr>
              <w:tabs>
                <w:tab w:val="left" w:pos="7513"/>
              </w:tabs>
              <w:spacing w:line="360" w:lineRule="auto"/>
              <w:jc w:val="center"/>
              <w:rPr>
                <w:rFonts w:hint="default" w:ascii="宋体" w:hAnsi="宋体" w:eastAsia="宋体" w:cs="宋体"/>
                <w:kern w:val="0"/>
                <w:sz w:val="24"/>
                <w:lang w:val="en-US" w:eastAsia="zh-CN"/>
              </w:rPr>
            </w:pPr>
            <w:r>
              <w:rPr>
                <w:rFonts w:hint="eastAsia" w:ascii="宋体" w:hAnsi="宋体" w:cs="宋体"/>
                <w:kern w:val="0"/>
                <w:sz w:val="24"/>
              </w:rPr>
              <w:t>人民币：</w:t>
            </w:r>
            <w:r>
              <w:rPr>
                <w:rFonts w:hint="eastAsia" w:ascii="宋体" w:hAnsi="宋体" w:cs="宋体"/>
                <w:kern w:val="0"/>
                <w:sz w:val="24"/>
                <w:u w:val="single"/>
              </w:rPr>
              <w:t xml:space="preserve">         </w:t>
            </w:r>
            <w:r>
              <w:rPr>
                <w:rFonts w:hint="eastAsia" w:ascii="宋体" w:hAnsi="宋体" w:cs="宋体"/>
                <w:kern w:val="0"/>
                <w:sz w:val="24"/>
              </w:rPr>
              <w:t>元</w:t>
            </w:r>
            <w:r>
              <w:rPr>
                <w:rFonts w:hint="eastAsia" w:ascii="宋体" w:hAnsi="宋体" w:cs="宋体"/>
                <w:kern w:val="0"/>
                <w:sz w:val="24"/>
                <w:lang w:val="en-US" w:eastAsia="zh-CN"/>
              </w:rPr>
              <w:t>/年</w:t>
            </w:r>
          </w:p>
          <w:p>
            <w:pPr>
              <w:tabs>
                <w:tab w:val="left" w:pos="7513"/>
              </w:tabs>
              <w:spacing w:line="360" w:lineRule="auto"/>
              <w:jc w:val="center"/>
              <w:rPr>
                <w:rFonts w:ascii="宋体" w:hAnsi="宋体" w:cs="宋体"/>
                <w:kern w:val="0"/>
                <w:sz w:val="24"/>
              </w:rPr>
            </w:pPr>
            <w:r>
              <w:rPr>
                <w:rFonts w:hint="eastAsia" w:ascii="宋体" w:hAnsi="宋体" w:cs="宋体"/>
                <w:kern w:val="0"/>
                <w:sz w:val="24"/>
              </w:rPr>
              <w:t>（大写：</w:t>
            </w:r>
            <w:r>
              <w:rPr>
                <w:rFonts w:hint="eastAsia" w:ascii="宋体" w:hAnsi="宋体" w:cs="宋体"/>
                <w:kern w:val="0"/>
                <w:sz w:val="24"/>
                <w:u w:val="single"/>
              </w:rPr>
              <w:t xml:space="preserve">                    </w:t>
            </w:r>
            <w:r>
              <w:rPr>
                <w:rFonts w:hint="eastAsia" w:ascii="宋体" w:hAnsi="宋体" w:cs="宋体"/>
                <w:kern w:val="0"/>
                <w:sz w:val="24"/>
              </w:rPr>
              <w:t>元</w:t>
            </w:r>
            <w:r>
              <w:rPr>
                <w:rFonts w:hint="eastAsia" w:ascii="宋体" w:hAnsi="宋体" w:cs="宋体"/>
                <w:kern w:val="0"/>
                <w:sz w:val="24"/>
                <w:lang w:val="en-US" w:eastAsia="zh-CN"/>
              </w:rPr>
              <w:t>/年</w:t>
            </w: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952" w:type="dxa"/>
            <w:vAlign w:val="center"/>
          </w:tcPr>
          <w:p>
            <w:pPr>
              <w:tabs>
                <w:tab w:val="left" w:pos="7513"/>
              </w:tabs>
              <w:spacing w:line="360" w:lineRule="auto"/>
              <w:jc w:val="center"/>
              <w:rPr>
                <w:rFonts w:ascii="宋体" w:hAnsi="宋体" w:cs="宋体"/>
                <w:kern w:val="0"/>
                <w:sz w:val="24"/>
              </w:rPr>
            </w:pPr>
            <w:r>
              <w:rPr>
                <w:rFonts w:hint="eastAsia" w:ascii="宋体" w:hAnsi="宋体" w:cs="宋体"/>
                <w:kern w:val="0"/>
                <w:sz w:val="24"/>
              </w:rPr>
              <w:t>备注</w:t>
            </w:r>
          </w:p>
        </w:tc>
        <w:tc>
          <w:tcPr>
            <w:tcW w:w="7290" w:type="dxa"/>
            <w:vAlign w:val="center"/>
          </w:tcPr>
          <w:p>
            <w:pPr>
              <w:tabs>
                <w:tab w:val="left" w:pos="7513"/>
              </w:tabs>
              <w:spacing w:line="360" w:lineRule="auto"/>
              <w:jc w:val="left"/>
              <w:rPr>
                <w:rFonts w:ascii="宋体" w:hAnsi="宋体" w:cs="宋体"/>
                <w:kern w:val="0"/>
                <w:sz w:val="24"/>
              </w:rPr>
            </w:pPr>
            <w:r>
              <w:rPr>
                <w:rFonts w:hint="eastAsia" w:ascii="宋体" w:hAnsi="宋体" w:cs="宋体"/>
                <w:kern w:val="0"/>
                <w:sz w:val="24"/>
                <w:lang w:val="en-US" w:eastAsia="zh-CN"/>
              </w:rPr>
              <w:t>1.</w:t>
            </w:r>
            <w:r>
              <w:rPr>
                <w:rFonts w:hint="eastAsia" w:ascii="宋体" w:hAnsi="宋体" w:cs="宋体"/>
                <w:kern w:val="0"/>
                <w:sz w:val="24"/>
              </w:rPr>
              <w:t>供应商根据服务内容配备食堂工作人员，食堂劳务费用为可竞争费用（包含食堂工作人员工资及费用+管理费及税金+低值易耗品费用），最高限价为390000.00元/年。</w:t>
            </w:r>
          </w:p>
          <w:p>
            <w:pPr>
              <w:tabs>
                <w:tab w:val="left" w:pos="7513"/>
              </w:tabs>
              <w:spacing w:line="360" w:lineRule="auto"/>
              <w:jc w:val="left"/>
              <w:rPr>
                <w:rFonts w:ascii="宋体" w:hAnsi="宋体" w:cs="宋体"/>
                <w:kern w:val="0"/>
                <w:sz w:val="24"/>
              </w:rPr>
            </w:pPr>
            <w:r>
              <w:rPr>
                <w:rFonts w:hint="eastAsia" w:ascii="宋体" w:hAnsi="宋体" w:cs="宋体"/>
                <w:kern w:val="0"/>
                <w:sz w:val="24"/>
                <w:lang w:val="en-US" w:eastAsia="zh-CN"/>
              </w:rPr>
              <w:t>2.</w:t>
            </w:r>
            <w:r>
              <w:rPr>
                <w:rFonts w:hint="eastAsia" w:ascii="宋体" w:hAnsi="宋体" w:cs="宋体"/>
                <w:kern w:val="0"/>
                <w:sz w:val="24"/>
              </w:rPr>
              <w:t>餐费为不可竞争费用（包含工作日早、午、公务接待餐费+临时性工作餐餐费）共计390000.00元/年，实际餐费根据实际工作天数和用餐人数据实结算。</w:t>
            </w:r>
          </w:p>
          <w:p>
            <w:pPr>
              <w:tabs>
                <w:tab w:val="left" w:pos="7513"/>
              </w:tabs>
              <w:spacing w:line="360" w:lineRule="auto"/>
              <w:jc w:val="left"/>
              <w:rPr>
                <w:rFonts w:ascii="宋体" w:hAnsi="宋体" w:cs="宋体"/>
                <w:kern w:val="0"/>
                <w:sz w:val="24"/>
              </w:rPr>
            </w:pPr>
            <w:r>
              <w:rPr>
                <w:rFonts w:hint="eastAsia" w:ascii="宋体" w:hAnsi="宋体" w:cs="宋体"/>
                <w:kern w:val="0"/>
                <w:sz w:val="24"/>
                <w:lang w:val="en-US" w:eastAsia="zh-CN"/>
              </w:rPr>
              <w:t>3.</w:t>
            </w:r>
            <w:r>
              <w:rPr>
                <w:rFonts w:hint="eastAsia" w:ascii="宋体" w:hAnsi="宋体" w:cs="宋体"/>
                <w:kern w:val="0"/>
                <w:sz w:val="24"/>
              </w:rPr>
              <w:t>投标总价=可竞争费用+不可竞争费用。</w:t>
            </w:r>
          </w:p>
        </w:tc>
      </w:tr>
    </w:tbl>
    <w:p>
      <w:pPr>
        <w:tabs>
          <w:tab w:val="left" w:pos="7513"/>
        </w:tabs>
        <w:spacing w:line="360" w:lineRule="auto"/>
        <w:ind w:firstLine="480" w:firstLineChars="200"/>
        <w:rPr>
          <w:rFonts w:ascii="宋体" w:hAnsi="宋体" w:cs="宋体"/>
          <w:sz w:val="24"/>
        </w:rPr>
      </w:pPr>
    </w:p>
    <w:p>
      <w:pPr>
        <w:tabs>
          <w:tab w:val="left" w:pos="7513"/>
        </w:tabs>
        <w:spacing w:line="360" w:lineRule="auto"/>
        <w:ind w:firstLine="480" w:firstLineChars="200"/>
        <w:rPr>
          <w:rFonts w:ascii="宋体" w:hAnsi="宋体" w:cs="宋体"/>
          <w:sz w:val="24"/>
        </w:rPr>
      </w:pPr>
      <w:r>
        <w:rPr>
          <w:rFonts w:hint="eastAsia" w:ascii="宋体" w:hAnsi="宋体" w:cs="宋体"/>
          <w:sz w:val="24"/>
        </w:rPr>
        <w:t>注:1.所有报价均用人民币表示。报价包含一切所有费用。</w:t>
      </w:r>
    </w:p>
    <w:p>
      <w:pPr>
        <w:tabs>
          <w:tab w:val="left" w:pos="7513"/>
        </w:tabs>
        <w:spacing w:line="360" w:lineRule="auto"/>
        <w:ind w:firstLine="720" w:firstLineChars="300"/>
        <w:rPr>
          <w:rFonts w:hint="eastAsia" w:ascii="宋体" w:hAnsi="宋体" w:cs="宋体"/>
          <w:sz w:val="24"/>
        </w:rPr>
      </w:pPr>
      <w:r>
        <w:rPr>
          <w:rFonts w:hint="eastAsia" w:ascii="宋体" w:hAnsi="宋体" w:cs="宋体"/>
          <w:sz w:val="24"/>
        </w:rPr>
        <w:t>2.表格如不能完全表达相关内容，供应商可自行补充。</w:t>
      </w:r>
    </w:p>
    <w:p>
      <w:pPr>
        <w:widowControl/>
        <w:spacing w:line="360" w:lineRule="auto"/>
        <w:jc w:val="left"/>
        <w:outlineLvl w:val="1"/>
        <w:rPr>
          <w:rFonts w:ascii="宋体" w:hAnsi="宋体"/>
          <w:sz w:val="24"/>
        </w:rPr>
      </w:pPr>
    </w:p>
    <w:p>
      <w:pPr>
        <w:spacing w:line="360" w:lineRule="auto"/>
        <w:ind w:firstLine="3129" w:firstLineChars="1304"/>
        <w:rPr>
          <w:sz w:val="24"/>
        </w:rPr>
      </w:pPr>
      <w:r>
        <w:rPr>
          <w:rFonts w:hint="eastAsia"/>
          <w:sz w:val="24"/>
        </w:rPr>
        <w:t>供应商名称：</w:t>
      </w:r>
      <w:r>
        <w:rPr>
          <w:rFonts w:hint="eastAsia"/>
          <w:sz w:val="24"/>
          <w:u w:val="single"/>
        </w:rPr>
        <w:t xml:space="preserve">             </w:t>
      </w:r>
      <w:r>
        <w:rPr>
          <w:rFonts w:hint="eastAsia"/>
          <w:sz w:val="24"/>
        </w:rPr>
        <w:t>（单位公章）。</w:t>
      </w:r>
    </w:p>
    <w:p>
      <w:pPr>
        <w:spacing w:line="360" w:lineRule="auto"/>
        <w:ind w:firstLine="3129" w:firstLineChars="1304"/>
        <w:rPr>
          <w:sz w:val="24"/>
        </w:rPr>
      </w:pPr>
      <w:r>
        <w:rPr>
          <w:rFonts w:hint="eastAsia"/>
          <w:sz w:val="24"/>
        </w:rPr>
        <w:t>法定代表人或授权代表（签字或加盖个人印章）：</w:t>
      </w:r>
      <w:r>
        <w:rPr>
          <w:rFonts w:hint="eastAsia"/>
          <w:sz w:val="24"/>
          <w:u w:val="single"/>
        </w:rPr>
        <w:t xml:space="preserve">      </w:t>
      </w:r>
      <w:r>
        <w:rPr>
          <w:rFonts w:hint="eastAsia"/>
          <w:sz w:val="24"/>
        </w:rPr>
        <w:t>。</w:t>
      </w:r>
    </w:p>
    <w:p>
      <w:pPr>
        <w:spacing w:line="360" w:lineRule="auto"/>
        <w:ind w:firstLine="3129" w:firstLineChars="1304"/>
        <w:rPr>
          <w:sz w:val="24"/>
        </w:rPr>
      </w:pPr>
      <w:r>
        <w:rPr>
          <w:rFonts w:hint="eastAsia"/>
          <w:sz w:val="24"/>
        </w:rPr>
        <w:t>日    期：</w:t>
      </w:r>
      <w:r>
        <w:rPr>
          <w:rFonts w:hint="eastAsia"/>
          <w:sz w:val="24"/>
          <w:u w:val="single"/>
        </w:rPr>
        <w:t xml:space="preserve">             </w:t>
      </w:r>
      <w:r>
        <w:rPr>
          <w:rFonts w:hint="eastAsia"/>
          <w:sz w:val="24"/>
        </w:rPr>
        <w:t>。</w:t>
      </w:r>
    </w:p>
    <w:p>
      <w:pPr>
        <w:rPr>
          <w:rFonts w:ascii="宋体" w:hAnsi="宋体" w:cs="宋体"/>
          <w:b/>
          <w:bCs/>
          <w:szCs w:val="21"/>
        </w:rPr>
      </w:pPr>
      <w:r>
        <w:rPr>
          <w:rFonts w:hint="eastAsia" w:ascii="宋体" w:hAnsi="宋体" w:cs="宋体"/>
          <w:b/>
          <w:bCs/>
          <w:kern w:val="0"/>
          <w:szCs w:val="21"/>
        </w:rPr>
        <w:t xml:space="preserve">备注： </w:t>
      </w:r>
    </w:p>
    <w:p>
      <w:pPr>
        <w:widowControl/>
        <w:spacing w:line="360" w:lineRule="auto"/>
        <w:jc w:val="left"/>
        <w:textAlignment w:val="baseline"/>
        <w:rPr>
          <w:rFonts w:ascii="宋体" w:hAnsi="宋体" w:cs="宋体"/>
          <w:b/>
          <w:bCs/>
          <w:szCs w:val="21"/>
        </w:rPr>
      </w:pPr>
      <w:r>
        <w:rPr>
          <w:rFonts w:hint="eastAsia" w:ascii="宋体" w:hAnsi="宋体" w:cs="宋体"/>
          <w:b/>
          <w:bCs/>
          <w:kern w:val="0"/>
          <w:szCs w:val="21"/>
        </w:rPr>
        <w:t>1、现场报价表用于现场密封提交，并自行准备密封袋，以备评审现场根据要求填写后现场密封提交；</w:t>
      </w:r>
    </w:p>
    <w:p>
      <w:pPr>
        <w:widowControl/>
        <w:spacing w:line="360" w:lineRule="auto"/>
        <w:textAlignment w:val="baseline"/>
        <w:rPr>
          <w:rFonts w:ascii="宋体" w:hAnsi="宋体" w:cs="宋体"/>
          <w:b/>
          <w:bCs/>
          <w:szCs w:val="21"/>
        </w:rPr>
      </w:pPr>
      <w:r>
        <w:rPr>
          <w:rFonts w:hint="eastAsia" w:ascii="宋体" w:hAnsi="宋体" w:cs="宋体"/>
          <w:b/>
          <w:bCs/>
          <w:szCs w:val="21"/>
        </w:rPr>
        <w:t xml:space="preserve">2、此报价表不需要封装在响应文件中，需供应商单独携带 2 份以上到磋商现场进行报价； </w:t>
      </w:r>
    </w:p>
    <w:p>
      <w:pPr>
        <w:widowControl/>
        <w:spacing w:line="360" w:lineRule="auto"/>
        <w:jc w:val="left"/>
        <w:textAlignment w:val="baseline"/>
        <w:rPr>
          <w:rFonts w:ascii="宋体" w:hAnsi="宋体" w:cs="宋体"/>
          <w:b/>
          <w:bCs/>
          <w:szCs w:val="21"/>
        </w:rPr>
      </w:pPr>
      <w:r>
        <w:rPr>
          <w:rFonts w:hint="eastAsia" w:ascii="宋体" w:hAnsi="宋体" w:cs="宋体"/>
          <w:b/>
          <w:bCs/>
          <w:szCs w:val="21"/>
        </w:rPr>
        <w:t xml:space="preserve">3、报价表是在通过相关评审后，向评审委员会单独密封递交的文件，需由法定代表人或授权代表签字； </w:t>
      </w:r>
    </w:p>
    <w:p>
      <w:pPr>
        <w:widowControl/>
        <w:spacing w:line="360" w:lineRule="auto"/>
        <w:jc w:val="left"/>
      </w:pPr>
      <w:r>
        <w:rPr>
          <w:rFonts w:hint="eastAsia" w:ascii="宋体" w:hAnsi="宋体"/>
          <w:b/>
          <w:szCs w:val="21"/>
        </w:rPr>
        <w:t>注：此页最终报价表应加盖供应商公章，供应商宜提前准备或磋商现场根据实际磋商情况现场填写</w:t>
      </w:r>
      <w:r>
        <w:rPr>
          <w:rFonts w:hint="eastAsia" w:ascii="宋体" w:hAnsi="宋体"/>
          <w:szCs w:val="21"/>
        </w:rPr>
        <w:t>，</w:t>
      </w:r>
      <w:r>
        <w:rPr>
          <w:rFonts w:hint="eastAsia" w:ascii="宋体" w:hAnsi="宋体"/>
          <w:b/>
          <w:szCs w:val="21"/>
        </w:rPr>
        <w:t>响应文件中不附此表。</w:t>
      </w:r>
    </w:p>
    <w:p>
      <w:pPr>
        <w:rPr>
          <w:rFonts w:hint="eastAsia"/>
        </w:rPr>
      </w:pPr>
      <w:bookmarkStart w:id="701" w:name="_Toc26361"/>
      <w:r>
        <w:rPr>
          <w:rFonts w:hint="eastAsia"/>
        </w:rPr>
        <w:br w:type="page"/>
      </w:r>
    </w:p>
    <w:p>
      <w:pPr>
        <w:pStyle w:val="3"/>
        <w:spacing w:after="10" w:line="360" w:lineRule="auto"/>
      </w:pPr>
      <w:r>
        <w:rPr>
          <w:rFonts w:hint="eastAsia"/>
        </w:rPr>
        <w:t>第八章  评审方法</w:t>
      </w:r>
      <w:bookmarkEnd w:id="701"/>
    </w:p>
    <w:p>
      <w:pPr>
        <w:pStyle w:val="4"/>
        <w:keepNext w:val="0"/>
        <w:keepLines w:val="0"/>
        <w:spacing w:before="0" w:after="0" w:line="400" w:lineRule="exact"/>
        <w:ind w:firstLine="472" w:firstLineChars="196"/>
        <w:jc w:val="both"/>
        <w:rPr>
          <w:rFonts w:ascii="宋体" w:hAnsi="宋体"/>
          <w:sz w:val="24"/>
          <w:szCs w:val="24"/>
        </w:rPr>
      </w:pPr>
      <w:bookmarkStart w:id="702" w:name="_Toc5005093"/>
      <w:bookmarkStart w:id="703" w:name="_Toc20461"/>
      <w:bookmarkStart w:id="704" w:name="_Toc31714"/>
      <w:bookmarkStart w:id="705" w:name="_Toc4031"/>
      <w:bookmarkStart w:id="706" w:name="_Toc4659789"/>
      <w:bookmarkStart w:id="707" w:name="_Toc3161"/>
      <w:bookmarkStart w:id="708" w:name="_Toc23359_WPSOffice_Level2"/>
      <w:bookmarkStart w:id="709" w:name="_Toc1877"/>
      <w:bookmarkStart w:id="710" w:name="_Toc3586"/>
      <w:bookmarkStart w:id="711" w:name="_Toc14124"/>
      <w:bookmarkStart w:id="712" w:name="_Toc4578913"/>
      <w:bookmarkStart w:id="713" w:name="_Toc5592"/>
      <w:bookmarkStart w:id="714" w:name="_Toc209847065"/>
      <w:bookmarkStart w:id="715" w:name="_Toc101338358"/>
      <w:bookmarkStart w:id="716" w:name="_Toc101250640"/>
      <w:bookmarkStart w:id="717" w:name="_Toc101174146"/>
      <w:bookmarkStart w:id="718" w:name="_Toc430773924"/>
      <w:r>
        <w:rPr>
          <w:rFonts w:hint="eastAsia" w:ascii="宋体" w:hAnsi="宋体"/>
          <w:sz w:val="24"/>
          <w:szCs w:val="24"/>
        </w:rPr>
        <w:t>1.总则</w:t>
      </w:r>
      <w:bookmarkEnd w:id="702"/>
      <w:bookmarkEnd w:id="703"/>
      <w:bookmarkEnd w:id="704"/>
      <w:bookmarkEnd w:id="705"/>
      <w:bookmarkEnd w:id="706"/>
      <w:bookmarkEnd w:id="707"/>
      <w:bookmarkEnd w:id="708"/>
      <w:bookmarkEnd w:id="709"/>
      <w:bookmarkEnd w:id="710"/>
      <w:bookmarkEnd w:id="711"/>
      <w:bookmarkEnd w:id="712"/>
      <w:bookmarkEnd w:id="713"/>
    </w:p>
    <w:p>
      <w:pPr>
        <w:spacing w:line="400" w:lineRule="exact"/>
        <w:ind w:firstLine="420" w:firstLineChars="200"/>
      </w:pPr>
      <w:bookmarkStart w:id="719" w:name="_Toc4578914"/>
      <w:bookmarkStart w:id="720" w:name="_Toc4659790"/>
      <w:bookmarkStart w:id="721" w:name="_Toc5005094"/>
      <w:r>
        <w:rPr>
          <w:rFonts w:hint="eastAsia"/>
        </w:rPr>
        <w:t>1.1 按照《中华人民共和国政府采购法》、《中华人民共和国政府采购法实施条例》、《政府采购竞争性磋商采购方式管理暂行办法》等法律制度，结合本采购项目特点制定本磋商方法。</w:t>
      </w:r>
      <w:bookmarkEnd w:id="719"/>
      <w:bookmarkEnd w:id="720"/>
      <w:bookmarkEnd w:id="721"/>
    </w:p>
    <w:p>
      <w:pPr>
        <w:spacing w:line="400" w:lineRule="exact"/>
        <w:ind w:firstLine="420" w:firstLineChars="200"/>
      </w:pPr>
      <w:bookmarkStart w:id="722" w:name="_Toc4659791"/>
      <w:bookmarkStart w:id="723" w:name="_Toc5005095"/>
      <w:bookmarkStart w:id="724" w:name="_Toc4578915"/>
      <w:r>
        <w:rPr>
          <w:rFonts w:hint="eastAsia"/>
        </w:rPr>
        <w:t>1.2 磋商工作由采购代理机构负责组织，具体磋商由采购代理机构依法组建的磋商小组负责。</w:t>
      </w:r>
      <w:bookmarkEnd w:id="722"/>
      <w:bookmarkEnd w:id="723"/>
      <w:bookmarkEnd w:id="724"/>
      <w:r>
        <w:rPr>
          <w:rFonts w:hint="eastAsia"/>
        </w:rPr>
        <w:t>磋商小组由采购人代表1人、评审专家2人（通过四川政府采购网评审专家库随机抽取）组成。</w:t>
      </w:r>
    </w:p>
    <w:p>
      <w:pPr>
        <w:spacing w:line="400" w:lineRule="exact"/>
        <w:ind w:firstLine="420" w:firstLineChars="200"/>
      </w:pPr>
      <w:bookmarkStart w:id="725" w:name="_Toc4659792"/>
      <w:bookmarkStart w:id="726" w:name="_Toc4578916"/>
      <w:bookmarkStart w:id="727" w:name="_Toc5005096"/>
      <w:r>
        <w:rPr>
          <w:rFonts w:hint="eastAsia"/>
        </w:rPr>
        <w:t>1.3 磋商工作应遵循公平、公正、科学及择优的原则，并以相同的磋商程序和标准对待所有的供应商。</w:t>
      </w:r>
      <w:bookmarkEnd w:id="725"/>
      <w:bookmarkEnd w:id="726"/>
      <w:bookmarkEnd w:id="727"/>
    </w:p>
    <w:p>
      <w:pPr>
        <w:spacing w:line="400" w:lineRule="exact"/>
        <w:ind w:firstLine="420" w:firstLineChars="200"/>
      </w:pPr>
      <w:bookmarkStart w:id="728" w:name="_Toc4578917"/>
      <w:bookmarkStart w:id="729" w:name="_Toc5005097"/>
      <w:bookmarkStart w:id="730" w:name="_Toc4659793"/>
      <w:r>
        <w:rPr>
          <w:rFonts w:hint="eastAsia"/>
        </w:rPr>
        <w:t>1.4 磋商小组按照磋商文件规定的磋商程序、评分方法和标准进行评审，并独立履行下列职责：</w:t>
      </w:r>
      <w:bookmarkEnd w:id="728"/>
      <w:bookmarkEnd w:id="729"/>
      <w:bookmarkEnd w:id="730"/>
    </w:p>
    <w:p>
      <w:pPr>
        <w:spacing w:line="400" w:lineRule="exact"/>
        <w:ind w:firstLine="420" w:firstLineChars="200"/>
      </w:pPr>
      <w:bookmarkStart w:id="731" w:name="_Toc4578918"/>
      <w:bookmarkStart w:id="732" w:name="_Toc4659794"/>
      <w:bookmarkStart w:id="733" w:name="_Toc5005098"/>
      <w:r>
        <w:rPr>
          <w:rFonts w:hint="eastAsia"/>
        </w:rPr>
        <w:t>（一）熟悉和理解磋商文件，确定磋商文件内容是否违反国家有关强制性规定或者磋商文件存在歧义、重大缺陷，根据需要书面要求采购人、采购代理机构对磋商文件作出解释；</w:t>
      </w:r>
      <w:bookmarkEnd w:id="731"/>
      <w:bookmarkEnd w:id="732"/>
      <w:bookmarkEnd w:id="733"/>
    </w:p>
    <w:p>
      <w:pPr>
        <w:spacing w:line="400" w:lineRule="exact"/>
        <w:ind w:firstLine="420" w:firstLineChars="200"/>
      </w:pPr>
      <w:bookmarkStart w:id="734" w:name="_Toc4578919"/>
      <w:bookmarkStart w:id="735" w:name="_Toc4659795"/>
      <w:bookmarkStart w:id="736" w:name="_Toc5005099"/>
      <w:r>
        <w:rPr>
          <w:rFonts w:hint="eastAsia"/>
        </w:rPr>
        <w:t>（二）审查供应商响应文件是否满足磋商文件要求，并作出公正评价；</w:t>
      </w:r>
      <w:bookmarkEnd w:id="734"/>
      <w:bookmarkEnd w:id="735"/>
      <w:bookmarkEnd w:id="736"/>
    </w:p>
    <w:p>
      <w:pPr>
        <w:spacing w:line="400" w:lineRule="exact"/>
        <w:ind w:firstLine="420" w:firstLineChars="200"/>
      </w:pPr>
      <w:bookmarkStart w:id="737" w:name="_Toc5005100"/>
      <w:bookmarkStart w:id="738" w:name="_Toc4659796"/>
      <w:bookmarkStart w:id="739" w:name="_Toc4578920"/>
      <w:r>
        <w:rPr>
          <w:rFonts w:hint="eastAsia"/>
        </w:rPr>
        <w:t>（三）根据需要要求供应商对响应文件中含义不明确、同类问题表述不一致或者有明显文字和计算错误的内容等作出必要的澄清、说明或者更正；</w:t>
      </w:r>
      <w:bookmarkEnd w:id="737"/>
      <w:bookmarkEnd w:id="738"/>
      <w:bookmarkEnd w:id="739"/>
    </w:p>
    <w:p>
      <w:pPr>
        <w:spacing w:line="400" w:lineRule="exact"/>
        <w:ind w:firstLine="420" w:firstLineChars="200"/>
      </w:pPr>
      <w:bookmarkStart w:id="740" w:name="_Toc4578921"/>
      <w:bookmarkStart w:id="741" w:name="_Toc5005101"/>
      <w:bookmarkStart w:id="742" w:name="_Toc4659797"/>
      <w:r>
        <w:rPr>
          <w:rFonts w:hint="eastAsia"/>
        </w:rPr>
        <w:t>（四）推荐成交供应商，或者受采购人委托确定成交供应商；</w:t>
      </w:r>
      <w:bookmarkEnd w:id="740"/>
      <w:bookmarkEnd w:id="741"/>
      <w:bookmarkEnd w:id="742"/>
    </w:p>
    <w:p>
      <w:pPr>
        <w:spacing w:line="400" w:lineRule="exact"/>
        <w:ind w:firstLine="420" w:firstLineChars="200"/>
      </w:pPr>
      <w:bookmarkStart w:id="743" w:name="_Toc4659798"/>
      <w:bookmarkStart w:id="744" w:name="_Toc4578922"/>
      <w:bookmarkStart w:id="745" w:name="_Toc5005102"/>
      <w:r>
        <w:rPr>
          <w:rFonts w:hint="eastAsia"/>
        </w:rPr>
        <w:t>（五）起草评审报告并进行签署；</w:t>
      </w:r>
      <w:bookmarkEnd w:id="743"/>
      <w:bookmarkEnd w:id="744"/>
      <w:bookmarkEnd w:id="745"/>
    </w:p>
    <w:p>
      <w:pPr>
        <w:spacing w:line="400" w:lineRule="exact"/>
        <w:ind w:firstLine="420" w:firstLineChars="200"/>
      </w:pPr>
      <w:bookmarkStart w:id="746" w:name="_Toc4578923"/>
      <w:bookmarkStart w:id="747" w:name="_Toc5005103"/>
      <w:bookmarkStart w:id="748" w:name="_Toc4659799"/>
      <w:r>
        <w:rPr>
          <w:rFonts w:hint="eastAsia"/>
        </w:rPr>
        <w:t>（六）向采购人/采购代理机构、财政部门或者其他监督部门报告非法干预评审工作的行为；</w:t>
      </w:r>
      <w:bookmarkEnd w:id="746"/>
      <w:bookmarkEnd w:id="747"/>
      <w:bookmarkEnd w:id="748"/>
    </w:p>
    <w:p>
      <w:pPr>
        <w:spacing w:line="400" w:lineRule="exact"/>
        <w:ind w:firstLine="420" w:firstLineChars="200"/>
      </w:pPr>
      <w:bookmarkStart w:id="749" w:name="_Toc4659800"/>
      <w:bookmarkStart w:id="750" w:name="_Toc5005104"/>
      <w:bookmarkStart w:id="751" w:name="_Toc4578924"/>
      <w:r>
        <w:rPr>
          <w:rFonts w:hint="eastAsia"/>
        </w:rPr>
        <w:t>（七）法律、法规和规章规定的其他职责。</w:t>
      </w:r>
      <w:bookmarkEnd w:id="749"/>
      <w:bookmarkEnd w:id="750"/>
      <w:bookmarkEnd w:id="751"/>
    </w:p>
    <w:p>
      <w:pPr>
        <w:spacing w:line="400" w:lineRule="exact"/>
        <w:ind w:firstLine="420" w:firstLineChars="200"/>
      </w:pPr>
      <w:bookmarkStart w:id="752" w:name="_Toc4578925"/>
      <w:bookmarkStart w:id="753" w:name="_Toc5005105"/>
      <w:bookmarkStart w:id="754" w:name="_Toc4659801"/>
      <w:r>
        <w:rPr>
          <w:rFonts w:hint="eastAsia"/>
        </w:rPr>
        <w:t>1.5磋商过程独立、保密。供应商非法干预磋商过程的，其响应文件作无效处理。</w:t>
      </w:r>
      <w:bookmarkEnd w:id="752"/>
      <w:bookmarkEnd w:id="753"/>
      <w:bookmarkEnd w:id="754"/>
    </w:p>
    <w:p>
      <w:pPr>
        <w:pStyle w:val="4"/>
        <w:keepNext w:val="0"/>
        <w:keepLines w:val="0"/>
        <w:spacing w:before="0" w:after="0" w:line="400" w:lineRule="exact"/>
        <w:ind w:firstLine="472" w:firstLineChars="196"/>
        <w:jc w:val="both"/>
        <w:rPr>
          <w:rFonts w:ascii="宋体" w:hAnsi="宋体"/>
          <w:sz w:val="24"/>
          <w:szCs w:val="24"/>
        </w:rPr>
      </w:pPr>
      <w:bookmarkStart w:id="755" w:name="_Toc4659802"/>
      <w:bookmarkStart w:id="756" w:name="_Toc13894"/>
      <w:bookmarkStart w:id="757" w:name="_Toc16845"/>
      <w:bookmarkStart w:id="758" w:name="_Toc4434"/>
      <w:bookmarkStart w:id="759" w:name="_Toc22053"/>
      <w:bookmarkStart w:id="760" w:name="_Toc4578926"/>
      <w:bookmarkStart w:id="761" w:name="_Toc13929"/>
      <w:bookmarkStart w:id="762" w:name="_Toc2981"/>
      <w:bookmarkStart w:id="763" w:name="_Toc5005106"/>
      <w:bookmarkStart w:id="764" w:name="_Toc24065_WPSOffice_Level2"/>
      <w:bookmarkStart w:id="765" w:name="_Toc752"/>
      <w:bookmarkStart w:id="766" w:name="_Toc27882"/>
      <w:r>
        <w:rPr>
          <w:rFonts w:hint="eastAsia" w:ascii="宋体" w:hAnsi="宋体"/>
          <w:sz w:val="24"/>
          <w:szCs w:val="24"/>
        </w:rPr>
        <w:t>2.磋商程序</w:t>
      </w:r>
      <w:bookmarkEnd w:id="755"/>
      <w:bookmarkEnd w:id="756"/>
      <w:bookmarkEnd w:id="757"/>
      <w:bookmarkEnd w:id="758"/>
      <w:bookmarkEnd w:id="759"/>
      <w:bookmarkEnd w:id="760"/>
      <w:bookmarkEnd w:id="761"/>
      <w:bookmarkEnd w:id="762"/>
      <w:bookmarkEnd w:id="763"/>
      <w:bookmarkEnd w:id="764"/>
      <w:bookmarkEnd w:id="765"/>
      <w:bookmarkEnd w:id="766"/>
    </w:p>
    <w:p>
      <w:pPr>
        <w:snapToGrid w:val="0"/>
        <w:spacing w:line="400" w:lineRule="exact"/>
        <w:ind w:firstLine="420" w:firstLineChars="200"/>
        <w:rPr>
          <w:rFonts w:ascii="宋体" w:hAnsi="宋体" w:cs="宋体"/>
        </w:rPr>
      </w:pPr>
      <w:bookmarkStart w:id="767" w:name="_Toc4659803"/>
      <w:bookmarkStart w:id="768" w:name="_Toc5005107"/>
      <w:bookmarkStart w:id="769" w:name="_Toc4578927"/>
      <w:r>
        <w:rPr>
          <w:rFonts w:hint="eastAsia" w:ascii="宋体" w:hAnsi="宋体" w:cs="宋体"/>
        </w:rPr>
        <w:t>2.1审查磋商文件和停止评审。</w:t>
      </w:r>
      <w:bookmarkEnd w:id="767"/>
      <w:bookmarkEnd w:id="768"/>
      <w:bookmarkEnd w:id="769"/>
    </w:p>
    <w:p>
      <w:pPr>
        <w:snapToGrid w:val="0"/>
        <w:spacing w:line="400" w:lineRule="exact"/>
        <w:ind w:firstLine="420" w:firstLineChars="200"/>
        <w:rPr>
          <w:rFonts w:ascii="宋体" w:hAnsi="宋体" w:cs="宋体"/>
        </w:rPr>
      </w:pPr>
      <w:bookmarkStart w:id="770" w:name="_Toc4578928"/>
      <w:bookmarkStart w:id="771" w:name="_Toc4659804"/>
      <w:bookmarkStart w:id="772" w:name="_Toc5005108"/>
      <w:r>
        <w:rPr>
          <w:rFonts w:hint="eastAsia" w:ascii="宋体" w:hAnsi="宋体" w:cs="宋体"/>
        </w:rPr>
        <w:t>2.1.1 磋商小组正式评审前，应当对磋商文件进行熟悉和理解，内容主要包括磋商文件中供应商资格条件要求、采购项目技术、服务和商务要求、磋商办法和标准、采购政策要求以及采购合同主要条款等。</w:t>
      </w:r>
      <w:bookmarkEnd w:id="770"/>
      <w:bookmarkEnd w:id="771"/>
      <w:bookmarkEnd w:id="772"/>
    </w:p>
    <w:p>
      <w:pPr>
        <w:snapToGrid w:val="0"/>
        <w:spacing w:line="400" w:lineRule="exact"/>
        <w:ind w:firstLine="420" w:firstLineChars="200"/>
        <w:rPr>
          <w:rFonts w:ascii="宋体" w:hAnsi="宋体" w:cs="宋体"/>
        </w:rPr>
      </w:pPr>
      <w:bookmarkStart w:id="773" w:name="_Toc5005109"/>
      <w:bookmarkStart w:id="774" w:name="_Toc4659805"/>
      <w:bookmarkStart w:id="775" w:name="_Toc4578929"/>
      <w:r>
        <w:rPr>
          <w:rFonts w:hint="eastAsia" w:ascii="宋体" w:hAnsi="宋体" w:cs="宋体"/>
        </w:rPr>
        <w:t>2.1.2 本磋商文件有下列情形之一的，磋商小组应当停止评审：</w:t>
      </w:r>
      <w:bookmarkEnd w:id="773"/>
      <w:bookmarkEnd w:id="774"/>
      <w:bookmarkEnd w:id="775"/>
    </w:p>
    <w:p>
      <w:pPr>
        <w:snapToGrid w:val="0"/>
        <w:spacing w:line="400" w:lineRule="exact"/>
        <w:ind w:firstLine="420" w:firstLineChars="200"/>
        <w:rPr>
          <w:rFonts w:ascii="宋体" w:hAnsi="宋体" w:cs="宋体"/>
        </w:rPr>
      </w:pPr>
      <w:bookmarkStart w:id="776" w:name="_Toc4659806"/>
      <w:bookmarkStart w:id="777" w:name="_Toc5005110"/>
      <w:bookmarkStart w:id="778" w:name="_Toc4578930"/>
      <w:r>
        <w:rPr>
          <w:rFonts w:hint="eastAsia" w:ascii="宋体" w:hAnsi="宋体" w:cs="宋体"/>
        </w:rPr>
        <w:t>（1）磋商文件的规定存在歧义、重大缺陷的；</w:t>
      </w:r>
      <w:bookmarkEnd w:id="776"/>
      <w:bookmarkEnd w:id="777"/>
      <w:bookmarkEnd w:id="778"/>
    </w:p>
    <w:p>
      <w:pPr>
        <w:snapToGrid w:val="0"/>
        <w:spacing w:line="400" w:lineRule="exact"/>
        <w:ind w:firstLine="420" w:firstLineChars="200"/>
        <w:rPr>
          <w:rFonts w:ascii="宋体" w:hAnsi="宋体" w:cs="宋体"/>
        </w:rPr>
      </w:pPr>
      <w:bookmarkStart w:id="779" w:name="_Toc4578931"/>
      <w:bookmarkStart w:id="780" w:name="_Toc4659807"/>
      <w:bookmarkStart w:id="781" w:name="_Toc5005111"/>
      <w:r>
        <w:rPr>
          <w:rFonts w:hint="eastAsia" w:ascii="宋体" w:hAnsi="宋体" w:cs="宋体"/>
        </w:rPr>
        <w:t>（2）磋商文件明显以不合理条件对供应商实行差别待遇或者歧视待遇的；</w:t>
      </w:r>
      <w:bookmarkEnd w:id="779"/>
      <w:bookmarkEnd w:id="780"/>
      <w:bookmarkEnd w:id="781"/>
    </w:p>
    <w:p>
      <w:pPr>
        <w:snapToGrid w:val="0"/>
        <w:spacing w:line="400" w:lineRule="exact"/>
        <w:ind w:firstLine="420" w:firstLineChars="200"/>
        <w:rPr>
          <w:rFonts w:ascii="宋体" w:hAnsi="宋体" w:cs="宋体"/>
        </w:rPr>
      </w:pPr>
      <w:bookmarkStart w:id="782" w:name="_Toc5005112"/>
      <w:bookmarkStart w:id="783" w:name="_Toc4659808"/>
      <w:bookmarkStart w:id="784" w:name="_Toc4578932"/>
      <w:r>
        <w:rPr>
          <w:rFonts w:hint="eastAsia" w:ascii="宋体" w:hAnsi="宋体" w:cs="宋体"/>
        </w:rPr>
        <w:t>（3）采购项目属于国家规定的优先、强制采购范围，但是磋商文件未依法体现优先、强制采购相关规定的；</w:t>
      </w:r>
      <w:bookmarkEnd w:id="782"/>
      <w:bookmarkEnd w:id="783"/>
      <w:bookmarkEnd w:id="784"/>
    </w:p>
    <w:p>
      <w:pPr>
        <w:snapToGrid w:val="0"/>
        <w:spacing w:line="400" w:lineRule="exact"/>
        <w:ind w:firstLine="420" w:firstLineChars="200"/>
        <w:rPr>
          <w:rFonts w:ascii="宋体" w:hAnsi="宋体" w:cs="宋体"/>
        </w:rPr>
      </w:pPr>
      <w:bookmarkStart w:id="785" w:name="_Toc4578933"/>
      <w:bookmarkStart w:id="786" w:name="_Toc5005113"/>
      <w:bookmarkStart w:id="787" w:name="_Toc4659809"/>
      <w:r>
        <w:rPr>
          <w:rFonts w:hint="eastAsia" w:ascii="宋体" w:hAnsi="宋体" w:cs="宋体"/>
        </w:rPr>
        <w:t>（4）采购项目属于政府采购促进中小企业发展的范围，但是磋商文件未依法体现促进中小企业发展相关规定的；</w:t>
      </w:r>
      <w:bookmarkEnd w:id="785"/>
      <w:bookmarkEnd w:id="786"/>
      <w:bookmarkEnd w:id="787"/>
    </w:p>
    <w:p>
      <w:pPr>
        <w:snapToGrid w:val="0"/>
        <w:spacing w:line="400" w:lineRule="exact"/>
        <w:ind w:firstLine="420" w:firstLineChars="200"/>
        <w:rPr>
          <w:rFonts w:ascii="宋体" w:hAnsi="宋体" w:cs="宋体"/>
        </w:rPr>
      </w:pPr>
      <w:bookmarkStart w:id="788" w:name="_Toc4578934"/>
      <w:bookmarkStart w:id="789" w:name="_Toc4659810"/>
      <w:bookmarkStart w:id="790" w:name="_Toc5005114"/>
      <w:r>
        <w:rPr>
          <w:rFonts w:hint="eastAsia" w:ascii="宋体" w:hAnsi="宋体" w:cs="宋体"/>
        </w:rPr>
        <w:t>（5）磋商文件将供应商的资格条件列为评分因素的；</w:t>
      </w:r>
      <w:bookmarkEnd w:id="788"/>
      <w:bookmarkEnd w:id="789"/>
      <w:bookmarkEnd w:id="790"/>
    </w:p>
    <w:p>
      <w:pPr>
        <w:snapToGrid w:val="0"/>
        <w:spacing w:line="400" w:lineRule="exact"/>
        <w:ind w:firstLine="420" w:firstLineChars="200"/>
        <w:rPr>
          <w:rFonts w:ascii="宋体" w:hAnsi="宋体" w:cs="宋体"/>
        </w:rPr>
      </w:pPr>
      <w:bookmarkStart w:id="791" w:name="_Toc4578935"/>
      <w:bookmarkStart w:id="792" w:name="_Toc5005115"/>
      <w:bookmarkStart w:id="793" w:name="_Toc4659811"/>
      <w:r>
        <w:rPr>
          <w:rFonts w:hint="eastAsia" w:ascii="宋体" w:hAnsi="宋体" w:cs="宋体"/>
        </w:rPr>
        <w:t>（6）磋商文件载明的成交原则不合法的；</w:t>
      </w:r>
      <w:bookmarkEnd w:id="791"/>
      <w:bookmarkEnd w:id="792"/>
      <w:bookmarkEnd w:id="793"/>
    </w:p>
    <w:p>
      <w:pPr>
        <w:snapToGrid w:val="0"/>
        <w:spacing w:line="400" w:lineRule="exact"/>
        <w:ind w:firstLine="420" w:firstLineChars="200"/>
        <w:rPr>
          <w:rFonts w:ascii="宋体" w:hAnsi="宋体" w:cs="宋体"/>
        </w:rPr>
      </w:pPr>
      <w:bookmarkStart w:id="794" w:name="_Toc4578936"/>
      <w:bookmarkStart w:id="795" w:name="_Toc4659812"/>
      <w:bookmarkStart w:id="796" w:name="_Toc5005116"/>
      <w:r>
        <w:rPr>
          <w:rFonts w:hint="eastAsia" w:ascii="宋体" w:hAnsi="宋体" w:cs="宋体"/>
        </w:rPr>
        <w:t>（7）磋商文件有违反国家其他有关强制性规定的情形。</w:t>
      </w:r>
      <w:bookmarkEnd w:id="794"/>
      <w:bookmarkEnd w:id="795"/>
      <w:bookmarkEnd w:id="796"/>
    </w:p>
    <w:p>
      <w:pPr>
        <w:snapToGrid w:val="0"/>
        <w:spacing w:line="400" w:lineRule="exact"/>
        <w:ind w:firstLine="420" w:firstLineChars="200"/>
        <w:rPr>
          <w:rFonts w:ascii="宋体" w:hAnsi="宋体" w:cs="宋体"/>
        </w:rPr>
      </w:pPr>
      <w:bookmarkStart w:id="797" w:name="_Toc4578937"/>
      <w:bookmarkStart w:id="798" w:name="_Toc5005117"/>
      <w:bookmarkStart w:id="799" w:name="_Toc4659813"/>
      <w:r>
        <w:rPr>
          <w:rFonts w:hint="eastAsia" w:ascii="宋体" w:hAnsi="宋体" w:cs="宋体"/>
        </w:rPr>
        <w:t>2.1.3 出现本条2.1.2规定应当停止评审情形的，磋商小组应当向采购组织单位书面书面说明情况。除本条规定的情形外，磋商小组不得以任何方式和理由停止评审。</w:t>
      </w:r>
      <w:bookmarkEnd w:id="797"/>
      <w:bookmarkEnd w:id="798"/>
      <w:bookmarkEnd w:id="799"/>
    </w:p>
    <w:p>
      <w:pPr>
        <w:snapToGrid w:val="0"/>
        <w:spacing w:line="400" w:lineRule="exact"/>
        <w:ind w:firstLine="420" w:firstLineChars="200"/>
        <w:rPr>
          <w:rFonts w:ascii="宋体" w:hAnsi="宋体" w:cs="宋体"/>
        </w:rPr>
      </w:pPr>
      <w:bookmarkStart w:id="800" w:name="_Toc5005118"/>
      <w:bookmarkStart w:id="801" w:name="_Toc4578938"/>
      <w:bookmarkStart w:id="802" w:name="_Toc4659814"/>
      <w:r>
        <w:rPr>
          <w:rFonts w:hint="eastAsia" w:ascii="宋体" w:hAnsi="宋体" w:cs="宋体"/>
        </w:rPr>
        <w:t>2.2资格性审查。</w:t>
      </w:r>
      <w:bookmarkEnd w:id="800"/>
      <w:bookmarkEnd w:id="801"/>
      <w:bookmarkEnd w:id="802"/>
    </w:p>
    <w:p>
      <w:pPr>
        <w:snapToGrid w:val="0"/>
        <w:spacing w:line="400" w:lineRule="exact"/>
        <w:ind w:firstLine="420" w:firstLineChars="200"/>
        <w:rPr>
          <w:rFonts w:ascii="宋体" w:hAnsi="宋体" w:cs="宋体"/>
        </w:rPr>
      </w:pPr>
      <w:bookmarkStart w:id="803" w:name="_Toc5005119"/>
      <w:bookmarkStart w:id="804" w:name="_Toc4578939"/>
      <w:bookmarkStart w:id="805" w:name="_Toc4659815"/>
      <w:r>
        <w:rPr>
          <w:rFonts w:hint="eastAsia" w:ascii="宋体" w:hAnsi="宋体" w:cs="宋体"/>
        </w:rPr>
        <w:t>2.2.1本项目需要磋商小组进行资格性检查。</w:t>
      </w:r>
      <w:bookmarkEnd w:id="803"/>
      <w:bookmarkEnd w:id="804"/>
      <w:bookmarkEnd w:id="805"/>
    </w:p>
    <w:p>
      <w:pPr>
        <w:snapToGrid w:val="0"/>
        <w:spacing w:line="400" w:lineRule="exact"/>
        <w:ind w:firstLine="420" w:firstLineChars="200"/>
        <w:rPr>
          <w:rFonts w:ascii="宋体" w:hAnsi="宋体" w:cs="宋体"/>
        </w:rPr>
      </w:pPr>
      <w:bookmarkStart w:id="806" w:name="_Toc4659816"/>
      <w:bookmarkStart w:id="807" w:name="_Toc5005120"/>
      <w:bookmarkStart w:id="808" w:name="_Toc4578940"/>
      <w:r>
        <w:rPr>
          <w:rFonts w:hint="eastAsia" w:ascii="宋体" w:hAnsi="宋体" w:cs="宋体"/>
        </w:rPr>
        <w:t>磋商小组应依据法律法规和磋商文件的规定，对响应文件是否按照规定要求提供资格性证明材料、是否属于禁止参加磋商的供应商等进行审查，以确定供应商是否具备磋商资格。</w:t>
      </w:r>
      <w:bookmarkEnd w:id="806"/>
      <w:bookmarkEnd w:id="807"/>
      <w:bookmarkEnd w:id="808"/>
    </w:p>
    <w:p>
      <w:pPr>
        <w:snapToGrid w:val="0"/>
        <w:spacing w:line="400" w:lineRule="exact"/>
        <w:ind w:firstLine="420" w:firstLineChars="200"/>
        <w:rPr>
          <w:rFonts w:ascii="宋体" w:hAnsi="宋体" w:cs="宋体"/>
        </w:rPr>
      </w:pPr>
      <w:bookmarkStart w:id="809" w:name="_Toc4659817"/>
      <w:bookmarkStart w:id="810" w:name="_Toc4578941"/>
      <w:bookmarkStart w:id="811" w:name="_Toc5005121"/>
      <w:r>
        <w:rPr>
          <w:rFonts w:hint="eastAsia" w:ascii="宋体" w:hAnsi="宋体" w:cs="宋体"/>
        </w:rPr>
        <w:t>2.2.2资格性审查结束后，磋商小组应当出具资格性审查报告，没有通过资格审查的供应商，磋商小组应当在资格审查报告中说明原因。</w:t>
      </w:r>
      <w:bookmarkEnd w:id="809"/>
      <w:bookmarkEnd w:id="810"/>
      <w:bookmarkEnd w:id="811"/>
    </w:p>
    <w:p>
      <w:pPr>
        <w:snapToGrid w:val="0"/>
        <w:spacing w:line="400" w:lineRule="exact"/>
        <w:ind w:firstLine="420" w:firstLineChars="200"/>
        <w:rPr>
          <w:rFonts w:ascii="宋体" w:hAnsi="宋体" w:cs="宋体"/>
        </w:rPr>
      </w:pPr>
      <w:bookmarkStart w:id="812" w:name="_Toc4578942"/>
      <w:bookmarkStart w:id="813" w:name="_Toc5005122"/>
      <w:bookmarkStart w:id="814" w:name="_Toc4659818"/>
      <w:r>
        <w:rPr>
          <w:rFonts w:hint="eastAsia" w:ascii="宋体" w:hAnsi="宋体" w:cs="宋体"/>
        </w:rPr>
        <w:t>2.2.3采购人或者采购代理机构宣布未通过资格性审查的供应商名单时，应当告知供应商未通过审查的原因。</w:t>
      </w:r>
      <w:bookmarkEnd w:id="812"/>
      <w:bookmarkEnd w:id="813"/>
      <w:bookmarkEnd w:id="814"/>
    </w:p>
    <w:p>
      <w:pPr>
        <w:snapToGrid w:val="0"/>
        <w:spacing w:line="400" w:lineRule="exact"/>
        <w:ind w:firstLine="420" w:firstLineChars="200"/>
        <w:rPr>
          <w:rFonts w:ascii="宋体" w:hAnsi="宋体" w:cs="宋体"/>
        </w:rPr>
      </w:pPr>
      <w:bookmarkStart w:id="815" w:name="_Toc4578943"/>
      <w:bookmarkStart w:id="816" w:name="_Toc4659819"/>
      <w:bookmarkStart w:id="817" w:name="_Toc5005123"/>
      <w:r>
        <w:rPr>
          <w:rFonts w:hint="eastAsia" w:ascii="宋体" w:hAnsi="宋体" w:cs="宋体"/>
        </w:rPr>
        <w:t>2.3 通过资格性审查的供应商不足3家的（本章2.3.1的情况除外），终止本次采购活动，并发布终止采购活动公告。</w:t>
      </w:r>
      <w:bookmarkEnd w:id="815"/>
      <w:bookmarkEnd w:id="816"/>
      <w:bookmarkEnd w:id="817"/>
    </w:p>
    <w:p>
      <w:pPr>
        <w:snapToGrid w:val="0"/>
        <w:spacing w:line="400" w:lineRule="exact"/>
        <w:ind w:firstLine="420" w:firstLineChars="200"/>
        <w:rPr>
          <w:rFonts w:ascii="宋体" w:hAnsi="宋体" w:cs="宋体"/>
          <w:lang w:val="zh-CN"/>
        </w:rPr>
      </w:pPr>
      <w:r>
        <w:rPr>
          <w:rFonts w:hint="eastAsia" w:ascii="宋体" w:hAnsi="宋体" w:cs="宋体"/>
        </w:rPr>
        <w:t>2.3.1</w:t>
      </w:r>
      <w:r>
        <w:rPr>
          <w:rFonts w:hint="eastAsia" w:ascii="宋体" w:hAnsi="宋体" w:cs="宋体"/>
          <w:lang w:val="zh-CN"/>
        </w:rPr>
        <w:t>执行《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napToGrid w:val="0"/>
        <w:spacing w:line="400" w:lineRule="exact"/>
        <w:ind w:firstLine="420" w:firstLineChars="200"/>
        <w:rPr>
          <w:rFonts w:ascii="宋体" w:hAnsi="宋体" w:cs="宋体"/>
        </w:rPr>
      </w:pPr>
      <w:bookmarkStart w:id="818" w:name="_Toc4659820"/>
      <w:bookmarkStart w:id="819" w:name="_Toc4578944"/>
      <w:bookmarkStart w:id="820" w:name="_Toc5005124"/>
      <w:r>
        <w:rPr>
          <w:rFonts w:hint="eastAsia" w:ascii="宋体" w:hAnsi="宋体" w:cs="宋体"/>
        </w:rPr>
        <w:t>2.4磋商。</w:t>
      </w:r>
      <w:bookmarkEnd w:id="818"/>
      <w:bookmarkEnd w:id="819"/>
      <w:bookmarkEnd w:id="820"/>
    </w:p>
    <w:p>
      <w:pPr>
        <w:snapToGrid w:val="0"/>
        <w:spacing w:line="400" w:lineRule="exact"/>
        <w:ind w:firstLine="420" w:firstLineChars="200"/>
        <w:rPr>
          <w:rFonts w:ascii="宋体" w:hAnsi="宋体" w:cs="宋体"/>
        </w:rPr>
      </w:pPr>
      <w:bookmarkStart w:id="821" w:name="_Toc4578945"/>
      <w:bookmarkStart w:id="822" w:name="_Toc5005125"/>
      <w:bookmarkStart w:id="823" w:name="_Toc4659821"/>
      <w:r>
        <w:rPr>
          <w:rFonts w:hint="eastAsia" w:ascii="宋体" w:hAnsi="宋体" w:cs="宋体"/>
        </w:rPr>
        <w:t>2.4.1磋商小组所有成员集中与单一供应商分别进行一轮或多轮磋商，并给予所有参加磋商的供应商平等的磋商机会。磋商顺序以现场抽签的方式确定。磋商过程中，磋商小组可以根据磋商情况调整磋商轮次。</w:t>
      </w:r>
      <w:bookmarkEnd w:id="821"/>
      <w:bookmarkEnd w:id="822"/>
      <w:bookmarkEnd w:id="823"/>
    </w:p>
    <w:p>
      <w:pPr>
        <w:snapToGrid w:val="0"/>
        <w:spacing w:line="400" w:lineRule="exact"/>
        <w:ind w:firstLine="420" w:firstLineChars="200"/>
        <w:rPr>
          <w:rFonts w:ascii="宋体" w:hAnsi="宋体" w:cs="宋体"/>
        </w:rPr>
      </w:pPr>
      <w:bookmarkStart w:id="824" w:name="_Toc4578946"/>
      <w:bookmarkStart w:id="825" w:name="_Toc5005126"/>
      <w:bookmarkStart w:id="826" w:name="_Toc4659822"/>
      <w:r>
        <w:rPr>
          <w:rFonts w:hint="eastAsia" w:ascii="宋体" w:hAnsi="宋体" w:cs="宋体"/>
        </w:rPr>
        <w:t>2.4.2每轮磋商开始前，磋商小组应根据磋商文件的规定，并结合各供应商的响应文件拟定磋商内容。</w:t>
      </w:r>
      <w:bookmarkEnd w:id="824"/>
      <w:bookmarkEnd w:id="825"/>
      <w:bookmarkEnd w:id="826"/>
    </w:p>
    <w:p>
      <w:pPr>
        <w:snapToGrid w:val="0"/>
        <w:spacing w:line="400" w:lineRule="exact"/>
        <w:ind w:firstLine="420" w:firstLineChars="200"/>
        <w:rPr>
          <w:rFonts w:ascii="宋体" w:hAnsi="宋体" w:cs="宋体"/>
        </w:rPr>
      </w:pPr>
      <w:bookmarkStart w:id="827" w:name="_Toc5005127"/>
      <w:bookmarkStart w:id="828" w:name="_Toc4578947"/>
      <w:bookmarkStart w:id="829" w:name="_Toc4659823"/>
      <w:r>
        <w:rPr>
          <w:rFonts w:hint="eastAsia" w:ascii="宋体" w:hAnsi="宋体" w:cs="宋体"/>
        </w:rPr>
        <w:t>2.4.3在磋商过程中，磋商小组可以根据磋商文件和磋商情况实质性变动磋商文件的技术、服务要求以及合同草案条款，但不得变动磋商文件中的其他内容。实质性变动的内容，须经采购人代表书面确认。</w:t>
      </w:r>
      <w:bookmarkEnd w:id="827"/>
      <w:bookmarkEnd w:id="828"/>
      <w:bookmarkEnd w:id="829"/>
    </w:p>
    <w:p>
      <w:pPr>
        <w:snapToGrid w:val="0"/>
        <w:spacing w:line="400" w:lineRule="exact"/>
        <w:ind w:firstLine="420" w:firstLineChars="200"/>
        <w:rPr>
          <w:rFonts w:ascii="宋体" w:hAnsi="宋体" w:cs="宋体"/>
        </w:rPr>
      </w:pPr>
      <w:bookmarkStart w:id="830" w:name="_Toc4659824"/>
      <w:bookmarkStart w:id="831" w:name="_Toc5005128"/>
      <w:bookmarkStart w:id="832" w:name="_Toc4578948"/>
      <w:r>
        <w:rPr>
          <w:rFonts w:hint="eastAsia" w:ascii="宋体" w:hAnsi="宋体" w:cs="宋体"/>
        </w:rPr>
        <w:t>2.4.4对磋商文件作出的实质性变动是磋商文件的有效组成部分，磋商小组应当及时以书面形式同时通知所有参加磋商的供应商。</w:t>
      </w:r>
      <w:bookmarkEnd w:id="830"/>
      <w:bookmarkEnd w:id="831"/>
      <w:bookmarkEnd w:id="832"/>
    </w:p>
    <w:p>
      <w:pPr>
        <w:snapToGrid w:val="0"/>
        <w:spacing w:line="400" w:lineRule="exact"/>
        <w:ind w:firstLine="420" w:firstLineChars="200"/>
        <w:rPr>
          <w:rFonts w:ascii="宋体" w:hAnsi="宋体" w:cs="宋体"/>
        </w:rPr>
      </w:pPr>
      <w:bookmarkStart w:id="833" w:name="_Toc5005129"/>
      <w:bookmarkStart w:id="834" w:name="_Toc4659825"/>
      <w:bookmarkStart w:id="835" w:name="_Toc4578949"/>
      <w:r>
        <w:rPr>
          <w:rFonts w:hint="eastAsia" w:ascii="宋体" w:hAnsi="宋体" w:cs="宋体"/>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bookmarkEnd w:id="833"/>
      <w:bookmarkEnd w:id="834"/>
      <w:bookmarkEnd w:id="835"/>
      <w:r>
        <w:rPr>
          <w:rFonts w:hint="eastAsia" w:ascii="宋体" w:hAnsi="宋体" w:cs="宋体"/>
        </w:rPr>
        <w:t xml:space="preserve"> </w:t>
      </w:r>
    </w:p>
    <w:p>
      <w:pPr>
        <w:snapToGrid w:val="0"/>
        <w:spacing w:line="400" w:lineRule="exact"/>
        <w:ind w:firstLine="420" w:firstLineChars="200"/>
        <w:rPr>
          <w:rFonts w:ascii="宋体" w:hAnsi="宋体" w:cs="宋体"/>
          <w:lang w:val="zh-CN"/>
        </w:rPr>
      </w:pPr>
      <w:r>
        <w:rPr>
          <w:rFonts w:hint="eastAsia" w:ascii="宋体" w:hAnsi="宋体" w:cs="宋体"/>
        </w:rPr>
        <w:t>2.4.6磋商过程中，</w:t>
      </w:r>
      <w:r>
        <w:rPr>
          <w:rFonts w:hint="eastAsia" w:ascii="宋体" w:hAnsi="宋体" w:cs="宋体"/>
          <w:lang w:val="zh-CN"/>
        </w:rPr>
        <w:t>磋商小组对响应文件的有效性、完整性和响应程度进行审查，审查中发现供应商响应文件属于下列情况之一的，应按照无效响应文件处理：</w:t>
      </w:r>
    </w:p>
    <w:p>
      <w:pPr>
        <w:snapToGrid w:val="0"/>
        <w:spacing w:line="400" w:lineRule="exact"/>
        <w:ind w:firstLine="420" w:firstLineChars="200"/>
        <w:rPr>
          <w:rFonts w:ascii="宋体" w:hAnsi="宋体" w:cs="宋体"/>
          <w:lang w:val="zh-CN"/>
        </w:rPr>
      </w:pPr>
      <w:r>
        <w:rPr>
          <w:rFonts w:hint="eastAsia" w:ascii="宋体" w:hAnsi="宋体" w:cs="宋体"/>
          <w:lang w:val="zh-CN"/>
        </w:rPr>
        <w:t>（1）响应文件正副本数量不足的；</w:t>
      </w:r>
    </w:p>
    <w:p>
      <w:pPr>
        <w:snapToGrid w:val="0"/>
        <w:spacing w:line="400" w:lineRule="exact"/>
        <w:ind w:firstLine="420" w:firstLineChars="200"/>
        <w:rPr>
          <w:rFonts w:ascii="宋体" w:hAnsi="宋体" w:cs="宋体"/>
          <w:lang w:val="zh-CN"/>
        </w:rPr>
      </w:pPr>
      <w:r>
        <w:rPr>
          <w:rFonts w:hint="eastAsia" w:ascii="宋体" w:hAnsi="宋体" w:cs="宋体"/>
          <w:lang w:val="zh-CN"/>
        </w:rPr>
        <w:t>（</w:t>
      </w:r>
      <w:r>
        <w:rPr>
          <w:rFonts w:hint="eastAsia" w:ascii="宋体" w:hAnsi="宋体" w:cs="宋体"/>
        </w:rPr>
        <w:t>2</w:t>
      </w:r>
      <w:r>
        <w:rPr>
          <w:rFonts w:hint="eastAsia" w:ascii="宋体" w:hAnsi="宋体" w:cs="宋体"/>
          <w:lang w:val="zh-CN"/>
        </w:rPr>
        <w:t>）响应文件组成明显不符合采购文件的规定要求，影响评审委员会评判的；</w:t>
      </w:r>
    </w:p>
    <w:p>
      <w:pPr>
        <w:snapToGrid w:val="0"/>
        <w:spacing w:line="400" w:lineRule="exact"/>
        <w:ind w:firstLine="420" w:firstLineChars="200"/>
        <w:rPr>
          <w:rFonts w:ascii="宋体" w:hAnsi="宋体" w:cs="宋体"/>
          <w:lang w:val="zh-CN"/>
        </w:rPr>
      </w:pPr>
      <w:r>
        <w:rPr>
          <w:rFonts w:hint="eastAsia" w:ascii="宋体" w:hAnsi="宋体" w:cs="宋体"/>
          <w:lang w:val="zh-CN"/>
        </w:rPr>
        <w:t>（</w:t>
      </w:r>
      <w:r>
        <w:rPr>
          <w:rFonts w:hint="eastAsia" w:ascii="宋体" w:hAnsi="宋体" w:cs="宋体"/>
        </w:rPr>
        <w:t>3</w:t>
      </w:r>
      <w:r>
        <w:rPr>
          <w:rFonts w:hint="eastAsia" w:ascii="宋体" w:hAnsi="宋体" w:cs="宋体"/>
          <w:lang w:val="zh-CN"/>
        </w:rPr>
        <w:t>）响应文件的语言、计量单位、知识产权、响应有效期等不符合采购文件的规定，影响磋商小组评判的；</w:t>
      </w:r>
    </w:p>
    <w:p>
      <w:pPr>
        <w:snapToGrid w:val="0"/>
        <w:spacing w:line="400" w:lineRule="exact"/>
        <w:ind w:firstLine="420" w:firstLineChars="200"/>
        <w:rPr>
          <w:rFonts w:ascii="宋体" w:hAnsi="宋体" w:cs="宋体"/>
          <w:lang w:val="zh-CN"/>
        </w:rPr>
      </w:pPr>
      <w:r>
        <w:rPr>
          <w:rFonts w:hint="eastAsia" w:ascii="宋体" w:hAnsi="宋体" w:cs="宋体"/>
          <w:lang w:val="zh-CN"/>
        </w:rPr>
        <w:t>（4）经最终磋商后，供应商的响应文件仍不能完全响应采购文件的实质性要求的；</w:t>
      </w:r>
    </w:p>
    <w:p>
      <w:pPr>
        <w:snapToGrid w:val="0"/>
        <w:spacing w:line="400" w:lineRule="exact"/>
        <w:ind w:firstLine="420" w:firstLineChars="200"/>
        <w:rPr>
          <w:rFonts w:ascii="宋体" w:hAnsi="宋体" w:cs="宋体"/>
        </w:rPr>
      </w:pPr>
      <w:r>
        <w:rPr>
          <w:rFonts w:hint="eastAsia" w:ascii="宋体" w:hAnsi="宋体" w:cs="宋体"/>
          <w:lang w:val="zh-CN"/>
        </w:rPr>
        <w:t xml:space="preserve"> (5)</w:t>
      </w:r>
      <w:r>
        <w:rPr>
          <w:rFonts w:hint="eastAsia" w:ascii="宋体" w:hAnsi="宋体" w:cs="宋体"/>
        </w:rPr>
        <w:t xml:space="preserve"> 未载明或者载明的采购项目履约时间、方式、数量及其他采购合同实质性内容与本竞争性磋商文件要求不一致，且采购单位无法接受的。</w:t>
      </w:r>
    </w:p>
    <w:p>
      <w:pPr>
        <w:snapToGrid w:val="0"/>
        <w:spacing w:line="400" w:lineRule="exact"/>
        <w:ind w:firstLine="420" w:firstLineChars="200"/>
        <w:rPr>
          <w:rFonts w:ascii="宋体" w:hAnsi="宋体" w:cs="宋体"/>
        </w:rPr>
      </w:pPr>
      <w:r>
        <w:rPr>
          <w:rFonts w:hint="eastAsia" w:ascii="宋体" w:hAnsi="宋体" w:cs="宋体"/>
        </w:rPr>
        <w:t xml:space="preserve"> (6)属于竞争性磋商文件中无效响应情形的。</w:t>
      </w:r>
    </w:p>
    <w:p>
      <w:pPr>
        <w:snapToGrid w:val="0"/>
        <w:spacing w:line="400" w:lineRule="exact"/>
        <w:ind w:firstLine="420" w:firstLineChars="200"/>
        <w:rPr>
          <w:rFonts w:ascii="宋体" w:hAnsi="宋体" w:cs="宋体"/>
          <w:lang w:val="zh-CN"/>
        </w:rPr>
      </w:pPr>
      <w:r>
        <w:rPr>
          <w:rFonts w:hint="eastAsia" w:ascii="宋体" w:hAnsi="宋体" w:cs="宋体"/>
          <w:lang w:val="zh-CN"/>
        </w:rPr>
        <w:t>但磋商小组对响应文件签署、盖章等进行审查过程中，有下列情形的，磋商小组应当评定为不影响整个响应文件有效性和采购活动公平竞争，并通过响应文件的有效性审查：</w:t>
      </w:r>
    </w:p>
    <w:p>
      <w:pPr>
        <w:snapToGrid w:val="0"/>
        <w:spacing w:line="400" w:lineRule="exact"/>
        <w:ind w:firstLine="420" w:firstLineChars="200"/>
        <w:rPr>
          <w:rFonts w:ascii="宋体" w:hAnsi="宋体" w:cs="宋体"/>
          <w:lang w:val="zh-CN"/>
        </w:rPr>
      </w:pPr>
      <w:r>
        <w:rPr>
          <w:rFonts w:hint="eastAsia" w:ascii="宋体" w:hAnsi="宋体" w:cs="宋体"/>
          <w:lang w:val="zh-CN"/>
        </w:rPr>
        <w:t xml:space="preserve"> （</w:t>
      </w:r>
      <w:r>
        <w:rPr>
          <w:rFonts w:hint="eastAsia" w:ascii="宋体" w:hAnsi="宋体" w:cs="宋体"/>
        </w:rPr>
        <w:t>1</w:t>
      </w:r>
      <w:r>
        <w:rPr>
          <w:rFonts w:hint="eastAsia" w:ascii="宋体" w:hAnsi="宋体" w:cs="宋体"/>
          <w:lang w:val="zh-CN"/>
        </w:rPr>
        <w:t>）响应文件正副本数量齐全，只是未按照采购文件要求进行分装或者统装的；</w:t>
      </w:r>
    </w:p>
    <w:p>
      <w:pPr>
        <w:snapToGrid w:val="0"/>
        <w:spacing w:line="400" w:lineRule="exact"/>
        <w:ind w:firstLine="420" w:firstLineChars="200"/>
        <w:rPr>
          <w:rFonts w:ascii="宋体" w:hAnsi="宋体" w:cs="宋体"/>
          <w:lang w:val="zh-CN"/>
        </w:rPr>
      </w:pPr>
      <w:r>
        <w:rPr>
          <w:rFonts w:hint="eastAsia" w:ascii="宋体" w:hAnsi="宋体" w:cs="宋体"/>
          <w:lang w:val="zh-CN"/>
        </w:rPr>
        <w:t xml:space="preserve"> （</w:t>
      </w:r>
      <w:r>
        <w:rPr>
          <w:rFonts w:hint="eastAsia" w:ascii="宋体" w:hAnsi="宋体" w:cs="宋体"/>
        </w:rPr>
        <w:t>2</w:t>
      </w:r>
      <w:r>
        <w:rPr>
          <w:rFonts w:hint="eastAsia" w:ascii="宋体" w:hAnsi="宋体" w:cs="宋体"/>
          <w:lang w:val="zh-CN"/>
        </w:rPr>
        <w:t>）响应文件存在个别地方（总数不能超过2个）没有法定代表人/单位负责人签字，但有法定代表人/单位负责人的私人印章或者有效授权代理人签字的；</w:t>
      </w:r>
    </w:p>
    <w:p>
      <w:pPr>
        <w:snapToGrid w:val="0"/>
        <w:spacing w:line="400" w:lineRule="exact"/>
        <w:ind w:firstLine="420" w:firstLineChars="200"/>
        <w:rPr>
          <w:rFonts w:ascii="宋体" w:hAnsi="宋体" w:cs="宋体"/>
          <w:lang w:val="zh-CN"/>
        </w:rPr>
      </w:pPr>
      <w:r>
        <w:rPr>
          <w:rFonts w:hint="eastAsia" w:ascii="宋体" w:hAnsi="宋体" w:cs="宋体"/>
          <w:lang w:val="zh-CN"/>
        </w:rPr>
        <w:t xml:space="preserve"> （</w:t>
      </w:r>
      <w:r>
        <w:rPr>
          <w:rFonts w:hint="eastAsia" w:ascii="宋体" w:hAnsi="宋体" w:cs="宋体"/>
        </w:rPr>
        <w:t>3</w:t>
      </w:r>
      <w:r>
        <w:rPr>
          <w:rFonts w:hint="eastAsia" w:ascii="宋体" w:hAnsi="宋体" w:cs="宋体"/>
          <w:lang w:val="zh-CN"/>
        </w:rPr>
        <w:t>）响应文件除采购文件明确要求加盖单位(法人)公章的以外，其他地方以相关专用章加盖的；</w:t>
      </w:r>
    </w:p>
    <w:p>
      <w:pPr>
        <w:snapToGrid w:val="0"/>
        <w:spacing w:line="400" w:lineRule="exact"/>
        <w:ind w:firstLine="420" w:firstLineChars="200"/>
        <w:rPr>
          <w:rFonts w:ascii="宋体" w:hAnsi="宋体" w:cs="宋体"/>
          <w:lang w:val="zh-CN"/>
        </w:rPr>
      </w:pPr>
      <w:r>
        <w:rPr>
          <w:rFonts w:hint="eastAsia" w:ascii="宋体" w:hAnsi="宋体" w:cs="宋体"/>
          <w:lang w:val="zh-CN"/>
        </w:rPr>
        <w:t xml:space="preserve"> （</w:t>
      </w:r>
      <w:r>
        <w:rPr>
          <w:rFonts w:hint="eastAsia" w:ascii="宋体" w:hAnsi="宋体" w:cs="宋体"/>
        </w:rPr>
        <w:t>4</w:t>
      </w:r>
      <w:r>
        <w:rPr>
          <w:rFonts w:hint="eastAsia" w:ascii="宋体" w:hAnsi="宋体" w:cs="宋体"/>
          <w:lang w:val="zh-CN"/>
        </w:rPr>
        <w:t>）以骑缝章的形式代替响应文件内容逐页盖章的（但是骑缝章模糊不清，印章名称无法辨认的除外）。</w:t>
      </w:r>
    </w:p>
    <w:p>
      <w:pPr>
        <w:snapToGrid w:val="0"/>
        <w:spacing w:line="400" w:lineRule="exact"/>
        <w:ind w:firstLine="420" w:firstLineChars="200"/>
        <w:rPr>
          <w:rFonts w:ascii="宋体" w:hAnsi="宋体" w:cs="宋体"/>
        </w:rPr>
      </w:pPr>
      <w:r>
        <w:rPr>
          <w:rFonts w:hint="eastAsia" w:ascii="宋体" w:hAnsi="宋体" w:cs="宋体"/>
        </w:rPr>
        <w:t>磋商小组</w:t>
      </w:r>
      <w:r>
        <w:rPr>
          <w:rFonts w:hint="eastAsia" w:ascii="宋体" w:hAnsi="宋体" w:cs="宋体"/>
          <w:lang w:val="zh-CN"/>
        </w:rPr>
        <w:t>对所有响应文件的有效性、完整性和响应程度进行审查</w:t>
      </w:r>
      <w:r>
        <w:rPr>
          <w:rFonts w:hint="eastAsia" w:ascii="宋体" w:hAnsi="宋体" w:cs="宋体"/>
        </w:rPr>
        <w:t>后，向采购</w:t>
      </w:r>
      <w:r>
        <w:rPr>
          <w:rFonts w:hint="eastAsia" w:ascii="宋体" w:hAnsi="宋体" w:cs="宋体"/>
          <w:lang w:val="zh-CN"/>
        </w:rPr>
        <w:t>代理机构</w:t>
      </w:r>
      <w:r>
        <w:rPr>
          <w:rFonts w:hint="eastAsia" w:ascii="宋体" w:hAnsi="宋体" w:cs="宋体"/>
        </w:rPr>
        <w:t>出具</w:t>
      </w:r>
      <w:r>
        <w:rPr>
          <w:rFonts w:hint="eastAsia" w:ascii="宋体" w:hAnsi="宋体" w:cs="宋体"/>
          <w:lang w:val="zh-CN"/>
        </w:rPr>
        <w:t>有效性、完整性和响应程度</w:t>
      </w:r>
      <w:r>
        <w:rPr>
          <w:rFonts w:hint="eastAsia" w:ascii="宋体" w:hAnsi="宋体" w:cs="宋体"/>
        </w:rPr>
        <w:t>审查报告，确定继续磋商的供应商名单。没有通过</w:t>
      </w:r>
      <w:r>
        <w:rPr>
          <w:rFonts w:hint="eastAsia" w:ascii="宋体" w:hAnsi="宋体" w:cs="宋体"/>
          <w:lang w:val="zh-CN"/>
        </w:rPr>
        <w:t>有效性、完整性和响应程度</w:t>
      </w:r>
      <w:r>
        <w:rPr>
          <w:rFonts w:hint="eastAsia" w:ascii="宋体" w:hAnsi="宋体" w:cs="宋体"/>
        </w:rPr>
        <w:t>审查的供应商，磋商小组应在</w:t>
      </w:r>
      <w:r>
        <w:rPr>
          <w:rFonts w:hint="eastAsia" w:ascii="宋体" w:hAnsi="宋体" w:cs="宋体"/>
          <w:lang w:val="zh-CN"/>
        </w:rPr>
        <w:t>有效性、完整性和响应程度</w:t>
      </w:r>
      <w:r>
        <w:rPr>
          <w:rFonts w:hint="eastAsia" w:ascii="宋体" w:hAnsi="宋体" w:cs="宋体"/>
        </w:rPr>
        <w:t>审查报告中说明原因。</w:t>
      </w:r>
    </w:p>
    <w:p>
      <w:pPr>
        <w:snapToGrid w:val="0"/>
        <w:spacing w:line="400" w:lineRule="exact"/>
        <w:ind w:firstLine="420" w:firstLineChars="200"/>
        <w:rPr>
          <w:rFonts w:ascii="宋体" w:hAnsi="宋体" w:cs="宋体"/>
        </w:rPr>
      </w:pPr>
      <w:bookmarkStart w:id="836" w:name="_Toc5005130"/>
      <w:bookmarkStart w:id="837" w:name="_Toc4659826"/>
      <w:bookmarkStart w:id="838" w:name="_Toc4578950"/>
      <w:r>
        <w:rPr>
          <w:rFonts w:hint="eastAsia" w:ascii="宋体" w:hAnsi="宋体" w:cs="宋体"/>
        </w:rPr>
        <w:t>2.4.7磋商过程中，磋商的任何一方不得透露与磋商有关的其他供应商的技术资料、价格和其他信息。</w:t>
      </w:r>
      <w:bookmarkEnd w:id="836"/>
      <w:bookmarkEnd w:id="837"/>
      <w:bookmarkEnd w:id="838"/>
    </w:p>
    <w:p>
      <w:pPr>
        <w:snapToGrid w:val="0"/>
        <w:spacing w:line="400" w:lineRule="exact"/>
        <w:ind w:firstLine="420" w:firstLineChars="200"/>
        <w:rPr>
          <w:rFonts w:ascii="宋体" w:hAnsi="宋体" w:cs="宋体"/>
        </w:rPr>
      </w:pPr>
      <w:bookmarkStart w:id="839" w:name="_Toc5005131"/>
      <w:bookmarkStart w:id="840" w:name="_Toc4578951"/>
      <w:bookmarkStart w:id="841" w:name="_Toc4659827"/>
      <w:r>
        <w:rPr>
          <w:rFonts w:hint="eastAsia" w:ascii="宋体" w:hAnsi="宋体" w:cs="宋体"/>
        </w:rPr>
        <w:t>2.4.8磋商过程中，磋商小组发现或者知晓供应商存在违法、违纪行为的，磋商小组应当将该供应商响应文件作无效处理，不允许其提交最后报价。</w:t>
      </w:r>
      <w:bookmarkEnd w:id="839"/>
      <w:bookmarkEnd w:id="840"/>
      <w:bookmarkEnd w:id="841"/>
    </w:p>
    <w:p>
      <w:pPr>
        <w:snapToGrid w:val="0"/>
        <w:spacing w:line="400" w:lineRule="exact"/>
        <w:ind w:firstLine="420" w:firstLineChars="200"/>
        <w:rPr>
          <w:rFonts w:ascii="宋体" w:hAnsi="宋体" w:cs="宋体"/>
        </w:rPr>
      </w:pPr>
      <w:bookmarkStart w:id="842" w:name="_Toc4578952"/>
      <w:bookmarkStart w:id="843" w:name="_Toc4659828"/>
      <w:bookmarkStart w:id="844" w:name="_Toc5005132"/>
      <w:r>
        <w:rPr>
          <w:rFonts w:hint="eastAsia" w:ascii="宋体" w:hAnsi="宋体" w:cs="宋体"/>
        </w:rPr>
        <w:t>2.4.9磋商完成后，磋商小组应出具磋商情况记录表，磋商情况记录表需包含磋商内容、磋商意见、实质性变动内容等。</w:t>
      </w:r>
      <w:bookmarkEnd w:id="842"/>
      <w:bookmarkEnd w:id="843"/>
      <w:bookmarkEnd w:id="844"/>
    </w:p>
    <w:p>
      <w:pPr>
        <w:snapToGrid w:val="0"/>
        <w:spacing w:line="400" w:lineRule="exact"/>
        <w:ind w:firstLine="420" w:firstLineChars="200"/>
        <w:rPr>
          <w:rFonts w:ascii="宋体" w:hAnsi="宋体" w:cs="宋体"/>
        </w:rPr>
      </w:pPr>
      <w:r>
        <w:rPr>
          <w:rFonts w:hint="eastAsia" w:ascii="宋体" w:hAnsi="宋体" w:cs="宋体"/>
        </w:rPr>
        <w:t>2.5最后报价。</w:t>
      </w:r>
    </w:p>
    <w:p>
      <w:pPr>
        <w:snapToGrid w:val="0"/>
        <w:spacing w:line="400" w:lineRule="exact"/>
        <w:ind w:firstLine="420" w:firstLineChars="200"/>
        <w:rPr>
          <w:rFonts w:ascii="宋体" w:hAnsi="宋体" w:cs="宋体"/>
          <w:lang w:val="zh-CN"/>
        </w:rPr>
      </w:pPr>
      <w:r>
        <w:rPr>
          <w:rFonts w:hint="eastAsia" w:ascii="宋体" w:hAnsi="宋体" w:cs="宋体"/>
        </w:rPr>
        <w:t>2.5.1本次磋商采购采用现场报价，参与报价的供应商按磋商小组要求进行报价。</w:t>
      </w:r>
      <w:r>
        <w:rPr>
          <w:rFonts w:hint="eastAsia" w:ascii="宋体" w:hAnsi="宋体" w:cs="宋体"/>
          <w:lang w:val="zh-CN"/>
        </w:rPr>
        <w:t>发现供应商报价属于下列情况之一的，应按照无效响应文件处理：</w:t>
      </w:r>
    </w:p>
    <w:p>
      <w:pPr>
        <w:snapToGrid w:val="0"/>
        <w:spacing w:line="400" w:lineRule="exact"/>
        <w:ind w:firstLine="420" w:firstLineChars="200"/>
        <w:rPr>
          <w:rFonts w:ascii="宋体" w:hAnsi="宋体" w:cs="宋体"/>
          <w:lang w:val="zh-CN"/>
        </w:rPr>
      </w:pPr>
      <w:r>
        <w:rPr>
          <w:rFonts w:hint="eastAsia" w:ascii="宋体" w:hAnsi="宋体" w:cs="宋体"/>
          <w:lang w:val="zh-CN"/>
        </w:rPr>
        <w:t>（1）报价超过竞争性磋商文件规定的采购预算（或最高限价）或者相关报价不符合采购文件其他的报价规定的；</w:t>
      </w:r>
    </w:p>
    <w:p>
      <w:pPr>
        <w:snapToGrid w:val="0"/>
        <w:spacing w:line="400" w:lineRule="exact"/>
        <w:ind w:firstLine="420" w:firstLineChars="200"/>
        <w:rPr>
          <w:rFonts w:ascii="宋体" w:hAnsi="宋体" w:cs="宋体"/>
          <w:lang w:val="zh-CN"/>
        </w:rPr>
      </w:pPr>
      <w:r>
        <w:rPr>
          <w:rFonts w:hint="eastAsia" w:ascii="宋体" w:hAnsi="宋体" w:cs="宋体"/>
          <w:lang w:val="zh-CN"/>
        </w:rPr>
        <w:t>(2) 磋商小组认为供应商报价明显低于成本价，在磋商小组发出质询函后供应商未能提供合理的成本分析和价格构成的或对质函询的解释未被磋商小组采信的。</w:t>
      </w:r>
    </w:p>
    <w:p>
      <w:pPr>
        <w:snapToGrid w:val="0"/>
        <w:spacing w:line="400" w:lineRule="exact"/>
        <w:ind w:firstLine="420" w:firstLineChars="200"/>
        <w:rPr>
          <w:rFonts w:ascii="宋体" w:hAnsi="宋体" w:cs="宋体"/>
        </w:rPr>
      </w:pPr>
      <w:r>
        <w:rPr>
          <w:rFonts w:hint="eastAsia" w:ascii="宋体" w:hAnsi="宋体" w:cs="宋体"/>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及以上（本章2.3.1和2.5.3的情况除外）供应商，并要求其在规定时间内提交最后报价。</w:t>
      </w:r>
    </w:p>
    <w:p>
      <w:pPr>
        <w:snapToGrid w:val="0"/>
        <w:spacing w:line="400" w:lineRule="exact"/>
        <w:ind w:firstLine="420" w:firstLineChars="200"/>
        <w:rPr>
          <w:rFonts w:ascii="宋体" w:hAnsi="宋体" w:cs="宋体"/>
        </w:rPr>
      </w:pPr>
      <w:r>
        <w:rPr>
          <w:rFonts w:hint="eastAsia" w:ascii="宋体" w:hAnsi="宋体" w:cs="宋体"/>
        </w:rPr>
        <w:t>2.5.3符合</w:t>
      </w:r>
      <w:bookmarkStart w:id="845" w:name="_Toc30986"/>
      <w:r>
        <w:rPr>
          <w:rFonts w:hint="eastAsia" w:ascii="宋体" w:hAnsi="宋体" w:cs="宋体"/>
        </w:rPr>
        <w:t>《政府采购竞争性磋商采购方式管理暂行办法财库》〔2014〕214号</w:t>
      </w:r>
      <w:bookmarkEnd w:id="845"/>
      <w:r>
        <w:rPr>
          <w:rFonts w:hint="eastAsia" w:ascii="宋体" w:hAnsi="宋体" w:cs="宋体"/>
        </w:rPr>
        <w:t>第三条第四项情形的，提交最后报价的供应商可以为2家。</w:t>
      </w:r>
    </w:p>
    <w:p>
      <w:pPr>
        <w:snapToGrid w:val="0"/>
        <w:spacing w:line="400" w:lineRule="exact"/>
        <w:ind w:firstLine="420" w:firstLineChars="200"/>
        <w:rPr>
          <w:rFonts w:ascii="宋体" w:hAnsi="宋体" w:cs="宋体"/>
        </w:rPr>
      </w:pPr>
      <w:r>
        <w:rPr>
          <w:rFonts w:hint="eastAsia" w:ascii="宋体" w:hAnsi="宋体" w:cs="宋体"/>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snapToGrid w:val="0"/>
        <w:spacing w:line="400" w:lineRule="exact"/>
        <w:ind w:firstLine="420" w:firstLineChars="200"/>
        <w:rPr>
          <w:rFonts w:ascii="宋体" w:hAnsi="宋体" w:cs="宋体"/>
        </w:rPr>
      </w:pPr>
      <w:r>
        <w:rPr>
          <w:rFonts w:hint="eastAsia" w:ascii="宋体" w:hAnsi="宋体" w:cs="宋体"/>
        </w:rPr>
        <w:t>2.5.5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napToGrid w:val="0"/>
        <w:spacing w:line="400" w:lineRule="exact"/>
        <w:ind w:firstLine="420" w:firstLineChars="200"/>
        <w:rPr>
          <w:rFonts w:ascii="宋体" w:hAnsi="宋体" w:cs="宋体"/>
        </w:rPr>
      </w:pPr>
      <w:r>
        <w:rPr>
          <w:rFonts w:hint="eastAsia" w:ascii="宋体" w:hAnsi="宋体" w:cs="宋体"/>
        </w:rPr>
        <w:t>2.5.6报价如果出现下列不一致的，可按以下原则进行修改：</w:t>
      </w:r>
    </w:p>
    <w:p>
      <w:pPr>
        <w:snapToGrid w:val="0"/>
        <w:spacing w:line="400" w:lineRule="exact"/>
        <w:ind w:firstLine="420" w:firstLineChars="200"/>
        <w:rPr>
          <w:rFonts w:ascii="宋体" w:hAnsi="宋体" w:cs="宋体"/>
        </w:rPr>
      </w:pPr>
      <w:r>
        <w:rPr>
          <w:rFonts w:hint="eastAsia" w:ascii="宋体" w:hAnsi="宋体" w:cs="宋体"/>
        </w:rPr>
        <w:t>（一）大写金额和小写金额不一致的，以大写金额为准，但大写金额文字存在错误的，应当先对大写金额的文字错误进行澄清、说明或者更正，再行修正。</w:t>
      </w:r>
    </w:p>
    <w:p>
      <w:pPr>
        <w:snapToGrid w:val="0"/>
        <w:spacing w:line="400" w:lineRule="exact"/>
        <w:ind w:firstLine="420" w:firstLineChars="200"/>
        <w:rPr>
          <w:rFonts w:ascii="宋体" w:hAnsi="宋体" w:cs="宋体"/>
        </w:rPr>
      </w:pPr>
      <w:r>
        <w:rPr>
          <w:rFonts w:hint="eastAsia" w:ascii="宋体" w:hAnsi="宋体" w:cs="宋体"/>
        </w:rPr>
        <w:t>（二）总价金额与按单价汇总金额不一致的，以单价金额计算结果为准，但单价或者单价汇总金额存在数字或者文字错误的，应当先对数字或者文字错误进行澄清、说明或者更正，再行修正。</w:t>
      </w:r>
    </w:p>
    <w:p>
      <w:pPr>
        <w:snapToGrid w:val="0"/>
        <w:spacing w:line="400" w:lineRule="exact"/>
        <w:ind w:firstLine="420" w:firstLineChars="200"/>
        <w:rPr>
          <w:rFonts w:ascii="宋体" w:hAnsi="宋体" w:cs="宋体"/>
        </w:rPr>
      </w:pPr>
      <w:r>
        <w:rPr>
          <w:rFonts w:hint="eastAsia" w:ascii="宋体" w:hAnsi="宋体" w:cs="宋体"/>
        </w:rPr>
        <w:t>（三）单价金额小数点或者百分比有明显错位的，以总价为准，修正单价。</w:t>
      </w:r>
    </w:p>
    <w:p>
      <w:pPr>
        <w:snapToGrid w:val="0"/>
        <w:spacing w:line="400" w:lineRule="exact"/>
        <w:ind w:firstLine="420" w:firstLineChars="200"/>
        <w:rPr>
          <w:rFonts w:ascii="宋体" w:hAnsi="宋体" w:cs="宋体"/>
        </w:rPr>
      </w:pPr>
      <w:r>
        <w:rPr>
          <w:rFonts w:hint="eastAsia" w:ascii="宋体" w:hAnsi="宋体" w:cs="宋体"/>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napToGrid w:val="0"/>
        <w:spacing w:line="400" w:lineRule="exact"/>
        <w:ind w:firstLine="420" w:firstLineChars="200"/>
        <w:rPr>
          <w:rFonts w:ascii="宋体" w:hAnsi="宋体" w:cs="宋体"/>
        </w:rPr>
      </w:pPr>
      <w:r>
        <w:rPr>
          <w:rFonts w:hint="eastAsia" w:ascii="宋体" w:hAnsi="宋体" w:cs="宋体"/>
        </w:rPr>
        <w:t>不得未经澄清、说明或者更正，直接将供应商响应文件作为无效处理。对不同文字文本响应文件的解释发生异议的，以中文文本为准。</w:t>
      </w:r>
    </w:p>
    <w:p>
      <w:pPr>
        <w:snapToGrid w:val="0"/>
        <w:spacing w:line="400" w:lineRule="exact"/>
        <w:ind w:firstLine="420" w:firstLineChars="200"/>
        <w:rPr>
          <w:rFonts w:ascii="宋体" w:hAnsi="宋体" w:cs="宋体"/>
        </w:rPr>
      </w:pPr>
      <w:r>
        <w:rPr>
          <w:rFonts w:hint="eastAsia" w:ascii="宋体" w:hAnsi="宋体" w:cs="宋体"/>
        </w:rPr>
        <w:t>2.6比较与评价。由磋商小组采用综合评分法对提交最后报价的供应商的响应文件和最后报价进行综合评分，具体要求详见本章综合评分部分。</w:t>
      </w:r>
    </w:p>
    <w:p>
      <w:pPr>
        <w:snapToGrid w:val="0"/>
        <w:spacing w:line="400" w:lineRule="exact"/>
        <w:ind w:firstLine="420" w:firstLineChars="200"/>
        <w:rPr>
          <w:rFonts w:ascii="宋体" w:hAnsi="宋体" w:cs="宋体"/>
        </w:rPr>
      </w:pPr>
      <w:r>
        <w:rPr>
          <w:rFonts w:hint="eastAsia" w:ascii="宋体" w:hAnsi="宋体" w:cs="宋体"/>
        </w:rPr>
        <w:t>2.7推荐成交候选供应商。磋商小组应当根据综合评分情况，按照评审得分由高到低顺序推荐3家及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pPr>
        <w:snapToGrid w:val="0"/>
        <w:spacing w:line="400" w:lineRule="exact"/>
        <w:ind w:firstLine="420" w:firstLineChars="200"/>
        <w:rPr>
          <w:rFonts w:ascii="宋体" w:hAnsi="宋体" w:cs="宋体"/>
        </w:rPr>
      </w:pPr>
      <w:r>
        <w:rPr>
          <w:rFonts w:hint="eastAsia" w:ascii="宋体" w:hAnsi="宋体" w:cs="宋体"/>
        </w:rPr>
        <w:t>2.8磋商小组复核。磋商小组评分汇总结束后，磋商小组应当进行评审复核，对拟推荐为成交候选供应商的、报价最低的、供应商资格审查未通过的、供应商响应文件作无效处理的重点复核。</w:t>
      </w:r>
    </w:p>
    <w:p>
      <w:pPr>
        <w:snapToGrid w:val="0"/>
        <w:spacing w:line="400" w:lineRule="exact"/>
        <w:ind w:firstLine="420" w:firstLineChars="200"/>
        <w:rPr>
          <w:rFonts w:ascii="宋体" w:hAnsi="宋体" w:cs="宋体"/>
        </w:rPr>
      </w:pPr>
      <w:r>
        <w:rPr>
          <w:rFonts w:hint="eastAsia" w:ascii="宋体" w:hAnsi="宋体" w:cs="宋体"/>
        </w:rPr>
        <w:t>2.9采购组织单位现场复核评审结果。</w:t>
      </w:r>
    </w:p>
    <w:p>
      <w:pPr>
        <w:snapToGrid w:val="0"/>
        <w:spacing w:line="400" w:lineRule="exact"/>
        <w:ind w:firstLine="420" w:firstLineChars="200"/>
        <w:rPr>
          <w:rFonts w:ascii="宋体" w:hAnsi="宋体" w:cs="宋体"/>
        </w:rPr>
      </w:pPr>
      <w:r>
        <w:rPr>
          <w:rFonts w:hint="eastAsia" w:ascii="宋体" w:hAnsi="宋体" w:cs="宋体"/>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napToGrid w:val="0"/>
        <w:spacing w:line="400" w:lineRule="exact"/>
        <w:ind w:firstLine="420" w:firstLineChars="200"/>
        <w:rPr>
          <w:rFonts w:ascii="宋体" w:hAnsi="宋体" w:cs="宋体"/>
        </w:rPr>
      </w:pPr>
      <w:bookmarkStart w:id="846" w:name="_Toc4290_WPSOffice_Level3"/>
      <w:r>
        <w:rPr>
          <w:rFonts w:hint="eastAsia" w:ascii="宋体" w:hAnsi="宋体" w:cs="宋体"/>
        </w:rPr>
        <w:t>（1）资格性审查认定错误的；</w:t>
      </w:r>
      <w:bookmarkEnd w:id="846"/>
    </w:p>
    <w:p>
      <w:pPr>
        <w:snapToGrid w:val="0"/>
        <w:spacing w:line="400" w:lineRule="exact"/>
        <w:ind w:firstLine="420" w:firstLineChars="200"/>
        <w:rPr>
          <w:rFonts w:ascii="宋体" w:hAnsi="宋体" w:cs="宋体"/>
        </w:rPr>
      </w:pPr>
      <w:bookmarkStart w:id="847" w:name="_Toc13515_WPSOffice_Level3"/>
      <w:r>
        <w:rPr>
          <w:rFonts w:hint="eastAsia" w:ascii="宋体" w:hAnsi="宋体" w:cs="宋体"/>
        </w:rPr>
        <w:t>（2）分值汇总计算错误的；</w:t>
      </w:r>
      <w:bookmarkEnd w:id="847"/>
    </w:p>
    <w:p>
      <w:pPr>
        <w:snapToGrid w:val="0"/>
        <w:spacing w:line="400" w:lineRule="exact"/>
        <w:ind w:firstLine="420" w:firstLineChars="200"/>
        <w:rPr>
          <w:rFonts w:ascii="宋体" w:hAnsi="宋体" w:cs="宋体"/>
        </w:rPr>
      </w:pPr>
      <w:bookmarkStart w:id="848" w:name="_Toc1522_WPSOffice_Level3"/>
      <w:r>
        <w:rPr>
          <w:rFonts w:hint="eastAsia" w:ascii="宋体" w:hAnsi="宋体" w:cs="宋体"/>
        </w:rPr>
        <w:t>（3）分项评分超出评分标准范围的；</w:t>
      </w:r>
      <w:bookmarkEnd w:id="848"/>
    </w:p>
    <w:p>
      <w:pPr>
        <w:snapToGrid w:val="0"/>
        <w:spacing w:line="400" w:lineRule="exact"/>
        <w:ind w:firstLine="420" w:firstLineChars="200"/>
        <w:rPr>
          <w:rFonts w:ascii="宋体" w:hAnsi="宋体" w:cs="宋体"/>
        </w:rPr>
      </w:pPr>
      <w:bookmarkStart w:id="849" w:name="_Toc23269_WPSOffice_Level3"/>
      <w:r>
        <w:rPr>
          <w:rFonts w:hint="eastAsia" w:ascii="宋体" w:hAnsi="宋体" w:cs="宋体"/>
        </w:rPr>
        <w:t>（4）客观评分不一致的。</w:t>
      </w:r>
      <w:bookmarkEnd w:id="849"/>
    </w:p>
    <w:p>
      <w:pPr>
        <w:snapToGrid w:val="0"/>
        <w:spacing w:line="400" w:lineRule="exact"/>
        <w:ind w:firstLine="420" w:firstLineChars="200"/>
        <w:rPr>
          <w:rFonts w:ascii="宋体" w:hAnsi="宋体" w:cs="宋体"/>
        </w:rPr>
      </w:pPr>
      <w:r>
        <w:rPr>
          <w:rFonts w:hint="eastAsia" w:ascii="宋体" w:hAnsi="宋体" w:cs="宋体"/>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napToGrid w:val="0"/>
        <w:spacing w:line="400" w:lineRule="exact"/>
        <w:ind w:firstLine="420" w:firstLineChars="200"/>
        <w:rPr>
          <w:rFonts w:ascii="宋体" w:hAnsi="宋体" w:cs="宋体"/>
        </w:rPr>
      </w:pPr>
      <w:r>
        <w:rPr>
          <w:rFonts w:hint="eastAsia" w:ascii="宋体" w:hAnsi="宋体" w:cs="宋体"/>
        </w:rPr>
        <w:t>采购代理机构复核过程中，磋商小组成员不得离开评审现场。</w:t>
      </w:r>
    </w:p>
    <w:p>
      <w:pPr>
        <w:snapToGrid w:val="0"/>
        <w:spacing w:line="400" w:lineRule="exact"/>
        <w:ind w:firstLine="420" w:firstLineChars="200"/>
        <w:rPr>
          <w:rFonts w:ascii="宋体" w:hAnsi="宋体" w:cs="宋体"/>
        </w:rPr>
      </w:pPr>
      <w:r>
        <w:rPr>
          <w:rFonts w:hint="eastAsia" w:ascii="宋体" w:hAnsi="宋体" w:cs="宋体"/>
        </w:rPr>
        <w:t>2.9.2有下列情形之一的，不得现场修改评审结果：</w:t>
      </w:r>
    </w:p>
    <w:p>
      <w:pPr>
        <w:snapToGrid w:val="0"/>
        <w:spacing w:line="400" w:lineRule="exact"/>
        <w:ind w:firstLine="420" w:firstLineChars="200"/>
        <w:rPr>
          <w:rFonts w:ascii="宋体" w:hAnsi="宋体" w:cs="宋体"/>
        </w:rPr>
      </w:pPr>
      <w:r>
        <w:rPr>
          <w:rFonts w:hint="eastAsia" w:ascii="宋体" w:hAnsi="宋体" w:cs="宋体"/>
        </w:rPr>
        <w:t>（1）磋商小组已经出具磋商报告并且离开评审现场的；</w:t>
      </w:r>
    </w:p>
    <w:p>
      <w:pPr>
        <w:snapToGrid w:val="0"/>
        <w:spacing w:line="400" w:lineRule="exact"/>
        <w:ind w:firstLine="420" w:firstLineChars="200"/>
        <w:rPr>
          <w:rFonts w:ascii="宋体" w:hAnsi="宋体" w:cs="宋体"/>
        </w:rPr>
      </w:pPr>
      <w:r>
        <w:rPr>
          <w:rFonts w:hint="eastAsia" w:ascii="宋体" w:hAnsi="宋体" w:cs="宋体"/>
        </w:rPr>
        <w:t>（2）采购代理机构现场复核时，复核工作人员数量不足的；</w:t>
      </w:r>
    </w:p>
    <w:p>
      <w:pPr>
        <w:snapToGrid w:val="0"/>
        <w:spacing w:line="400" w:lineRule="exact"/>
        <w:ind w:firstLine="420" w:firstLineChars="200"/>
        <w:rPr>
          <w:rFonts w:ascii="宋体" w:hAnsi="宋体" w:cs="宋体"/>
        </w:rPr>
      </w:pPr>
      <w:r>
        <w:rPr>
          <w:rFonts w:hint="eastAsia" w:ascii="宋体" w:hAnsi="宋体" w:cs="宋体"/>
        </w:rPr>
        <w:t>（3）采购代理机构现场复核时，没有采购监督人员现场监督的；</w:t>
      </w:r>
    </w:p>
    <w:p>
      <w:pPr>
        <w:snapToGrid w:val="0"/>
        <w:spacing w:line="400" w:lineRule="exact"/>
        <w:ind w:firstLine="420" w:firstLineChars="200"/>
        <w:rPr>
          <w:rFonts w:ascii="宋体" w:hAnsi="宋体" w:cs="宋体"/>
        </w:rPr>
      </w:pPr>
      <w:r>
        <w:rPr>
          <w:rFonts w:hint="eastAsia" w:ascii="宋体" w:hAnsi="宋体" w:cs="宋体"/>
        </w:rPr>
        <w:t>（4）采购代理机构现场复核内容超出规定范围的；</w:t>
      </w:r>
    </w:p>
    <w:p>
      <w:pPr>
        <w:tabs>
          <w:tab w:val="left" w:pos="7245"/>
        </w:tabs>
        <w:snapToGrid w:val="0"/>
        <w:spacing w:line="400" w:lineRule="exact"/>
        <w:ind w:firstLine="420" w:firstLineChars="200"/>
        <w:rPr>
          <w:rFonts w:ascii="宋体" w:hAnsi="宋体" w:cs="宋体"/>
        </w:rPr>
      </w:pPr>
      <w:r>
        <w:rPr>
          <w:rFonts w:hint="eastAsia" w:ascii="宋体" w:hAnsi="宋体" w:cs="宋体"/>
        </w:rPr>
        <w:t>（5）采购代理机构未提供书面建议的。</w:t>
      </w:r>
      <w:r>
        <w:rPr>
          <w:rFonts w:ascii="宋体" w:hAnsi="宋体" w:cs="宋体"/>
        </w:rPr>
        <w:tab/>
      </w:r>
    </w:p>
    <w:p>
      <w:pPr>
        <w:snapToGrid w:val="0"/>
        <w:spacing w:line="400" w:lineRule="exact"/>
        <w:ind w:firstLine="420" w:firstLineChars="200"/>
        <w:rPr>
          <w:rFonts w:ascii="宋体" w:hAnsi="宋体" w:cs="宋体"/>
        </w:rPr>
      </w:pPr>
      <w:r>
        <w:rPr>
          <w:rFonts w:hint="eastAsia" w:ascii="宋体" w:hAnsi="宋体" w:cs="宋体"/>
        </w:rPr>
        <w:t>2.10编写磋商报告。磋商小组推荐成交候选供应商后，应向采购代理机构出具磋商报告。磋商报告应当包括以下主要内容：</w:t>
      </w:r>
    </w:p>
    <w:p>
      <w:pPr>
        <w:snapToGrid w:val="0"/>
        <w:spacing w:line="400" w:lineRule="exact"/>
        <w:ind w:firstLine="420" w:firstLineChars="200"/>
        <w:rPr>
          <w:rFonts w:ascii="宋体" w:hAnsi="宋体" w:cs="宋体"/>
        </w:rPr>
      </w:pPr>
      <w:r>
        <w:rPr>
          <w:rFonts w:hint="eastAsia" w:ascii="宋体" w:hAnsi="宋体" w:cs="宋体"/>
        </w:rPr>
        <w:t>（1）邀请供应商参加采购活动的具体方式和相关情况；</w:t>
      </w:r>
    </w:p>
    <w:p>
      <w:pPr>
        <w:snapToGrid w:val="0"/>
        <w:spacing w:line="400" w:lineRule="exact"/>
        <w:ind w:firstLine="420" w:firstLineChars="200"/>
        <w:rPr>
          <w:rFonts w:ascii="宋体" w:hAnsi="宋体" w:cs="宋体"/>
        </w:rPr>
      </w:pPr>
      <w:r>
        <w:rPr>
          <w:rFonts w:hint="eastAsia" w:ascii="宋体" w:hAnsi="宋体" w:cs="宋体"/>
        </w:rPr>
        <w:t>（2）响应文件开启日期和地点；</w:t>
      </w:r>
    </w:p>
    <w:p>
      <w:pPr>
        <w:snapToGrid w:val="0"/>
        <w:spacing w:line="400" w:lineRule="exact"/>
        <w:ind w:firstLine="420" w:firstLineChars="200"/>
        <w:rPr>
          <w:rFonts w:ascii="宋体" w:hAnsi="宋体" w:cs="宋体"/>
        </w:rPr>
      </w:pPr>
      <w:r>
        <w:rPr>
          <w:rFonts w:hint="eastAsia" w:ascii="宋体" w:hAnsi="宋体" w:cs="宋体"/>
        </w:rPr>
        <w:t>（3）获取磋商文件的供应商名单和磋商小组成员名单；</w:t>
      </w:r>
    </w:p>
    <w:p>
      <w:pPr>
        <w:snapToGrid w:val="0"/>
        <w:spacing w:line="400" w:lineRule="exact"/>
        <w:ind w:firstLine="420" w:firstLineChars="200"/>
        <w:rPr>
          <w:rFonts w:ascii="宋体" w:hAnsi="宋体" w:cs="宋体"/>
        </w:rPr>
      </w:pPr>
      <w:r>
        <w:rPr>
          <w:rFonts w:hint="eastAsia" w:ascii="宋体" w:hAnsi="宋体" w:cs="宋体"/>
        </w:rPr>
        <w:t>（4）评审情况记录和说明，包括对供应商的资格审查情况、供应商响应文件审查情况、磋商情况、报价情况等；</w:t>
      </w:r>
    </w:p>
    <w:p>
      <w:pPr>
        <w:snapToGrid w:val="0"/>
        <w:spacing w:line="400" w:lineRule="exact"/>
        <w:ind w:firstLine="420" w:firstLineChars="200"/>
        <w:rPr>
          <w:rFonts w:ascii="宋体" w:hAnsi="宋体" w:cs="宋体"/>
        </w:rPr>
      </w:pPr>
      <w:r>
        <w:rPr>
          <w:rFonts w:hint="eastAsia" w:ascii="宋体" w:hAnsi="宋体" w:cs="宋体"/>
        </w:rPr>
        <w:t>（5）提出的成交候选供应商的排序名单及理由。</w:t>
      </w:r>
    </w:p>
    <w:p>
      <w:pPr>
        <w:snapToGrid w:val="0"/>
        <w:spacing w:line="400" w:lineRule="exact"/>
        <w:ind w:firstLine="420" w:firstLineChars="200"/>
        <w:rPr>
          <w:rFonts w:ascii="宋体" w:hAnsi="宋体" w:cs="宋体"/>
        </w:rPr>
      </w:pPr>
      <w:r>
        <w:rPr>
          <w:rFonts w:hint="eastAsia" w:ascii="宋体" w:hAnsi="宋体" w:cs="宋体"/>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napToGrid w:val="0"/>
        <w:spacing w:line="400" w:lineRule="exact"/>
        <w:ind w:firstLine="420" w:firstLineChars="200"/>
        <w:rPr>
          <w:rFonts w:ascii="宋体" w:hAnsi="宋体" w:cs="宋体"/>
        </w:rPr>
      </w:pPr>
      <w:r>
        <w:rPr>
          <w:rFonts w:hint="eastAsia" w:ascii="宋体" w:hAnsi="宋体" w:cs="宋体"/>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napToGrid w:val="0"/>
        <w:spacing w:line="400" w:lineRule="exact"/>
        <w:ind w:firstLine="420" w:firstLineChars="200"/>
        <w:rPr>
          <w:rFonts w:ascii="宋体" w:hAnsi="宋体" w:cs="宋体"/>
        </w:rPr>
      </w:pPr>
      <w:r>
        <w:rPr>
          <w:rFonts w:hint="eastAsia" w:ascii="宋体" w:hAnsi="宋体" w:cs="宋体"/>
        </w:rPr>
        <w:t>2.12供应商澄清、说明</w:t>
      </w:r>
    </w:p>
    <w:p>
      <w:pPr>
        <w:snapToGrid w:val="0"/>
        <w:spacing w:line="400" w:lineRule="exact"/>
        <w:ind w:firstLine="420" w:firstLineChars="200"/>
        <w:rPr>
          <w:rFonts w:ascii="宋体" w:hAnsi="宋体" w:cs="宋体"/>
        </w:rPr>
      </w:pPr>
      <w:r>
        <w:rPr>
          <w:rFonts w:hint="eastAsia" w:ascii="宋体" w:hAnsi="宋体" w:cs="宋体"/>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napToGrid w:val="0"/>
        <w:spacing w:line="400" w:lineRule="exact"/>
        <w:ind w:firstLine="420" w:firstLineChars="200"/>
        <w:rPr>
          <w:rFonts w:ascii="宋体" w:hAnsi="宋体" w:cs="宋体"/>
        </w:rPr>
      </w:pPr>
      <w:r>
        <w:rPr>
          <w:rFonts w:hint="eastAsia" w:ascii="宋体" w:hAnsi="宋体" w:cs="宋体"/>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napToGrid w:val="0"/>
        <w:spacing w:line="400" w:lineRule="exact"/>
        <w:ind w:firstLine="420" w:firstLineChars="200"/>
        <w:rPr>
          <w:rFonts w:ascii="宋体" w:hAnsi="宋体" w:cs="宋体"/>
        </w:rPr>
      </w:pPr>
      <w:r>
        <w:rPr>
          <w:rFonts w:hint="eastAsia" w:ascii="宋体" w:hAnsi="宋体" w:cs="宋体"/>
        </w:rPr>
        <w:t>2.13终止磋商采购活动。</w:t>
      </w:r>
    </w:p>
    <w:p>
      <w:pPr>
        <w:snapToGrid w:val="0"/>
        <w:spacing w:line="400" w:lineRule="exact"/>
        <w:ind w:firstLine="420" w:firstLineChars="200"/>
        <w:rPr>
          <w:rFonts w:ascii="宋体" w:hAnsi="宋体" w:cs="宋体"/>
        </w:rPr>
      </w:pPr>
      <w:r>
        <w:rPr>
          <w:rFonts w:hint="eastAsia" w:ascii="宋体" w:hAnsi="宋体" w:cs="宋体"/>
        </w:rPr>
        <w:t>出现下列情形之一的，采购人或者采购代理机构应当终止竞争性磋商采购活动，发布项目终止公告并说明原因，重新开展采购活动：</w:t>
      </w:r>
    </w:p>
    <w:p>
      <w:pPr>
        <w:snapToGrid w:val="0"/>
        <w:spacing w:line="400" w:lineRule="exact"/>
        <w:ind w:firstLine="420" w:firstLineChars="200"/>
        <w:rPr>
          <w:rFonts w:ascii="宋体" w:hAnsi="宋体" w:cs="宋体"/>
        </w:rPr>
      </w:pPr>
      <w:r>
        <w:rPr>
          <w:rFonts w:hint="eastAsia" w:ascii="宋体" w:hAnsi="宋体" w:cs="宋体"/>
        </w:rPr>
        <w:t>（1）因情况变化，不再符合规定的竞争性磋商采购方式适用情形的；</w:t>
      </w:r>
    </w:p>
    <w:p>
      <w:pPr>
        <w:snapToGrid w:val="0"/>
        <w:spacing w:line="400" w:lineRule="exact"/>
        <w:ind w:firstLine="420" w:firstLineChars="200"/>
        <w:rPr>
          <w:rFonts w:ascii="宋体" w:hAnsi="宋体" w:cs="宋体"/>
        </w:rPr>
      </w:pPr>
      <w:r>
        <w:rPr>
          <w:rFonts w:hint="eastAsia" w:ascii="宋体" w:hAnsi="宋体" w:cs="宋体"/>
        </w:rPr>
        <w:t>（2）出现影响采购公正的违法、违规行为的；</w:t>
      </w:r>
    </w:p>
    <w:p>
      <w:pPr>
        <w:snapToGrid w:val="0"/>
        <w:spacing w:line="400" w:lineRule="exact"/>
        <w:ind w:firstLine="420" w:firstLineChars="200"/>
        <w:rPr>
          <w:rFonts w:ascii="宋体" w:hAnsi="宋体" w:cs="宋体"/>
        </w:rPr>
      </w:pPr>
      <w:r>
        <w:rPr>
          <w:rFonts w:hint="eastAsia" w:ascii="宋体" w:hAnsi="宋体" w:cs="宋体"/>
        </w:rPr>
        <w:t>（3）除本章2.3.1和2.5.3的情况外，在采购过程中符合要求的供应商或者报价未超过采购预算的供应商不足3家的。</w:t>
      </w:r>
    </w:p>
    <w:p>
      <w:pPr>
        <w:pStyle w:val="4"/>
        <w:keepNext w:val="0"/>
        <w:keepLines w:val="0"/>
        <w:spacing w:before="0" w:after="0" w:line="400" w:lineRule="exact"/>
        <w:ind w:firstLine="472" w:firstLineChars="196"/>
        <w:jc w:val="both"/>
        <w:rPr>
          <w:rFonts w:ascii="宋体" w:hAnsi="宋体"/>
          <w:sz w:val="24"/>
          <w:szCs w:val="24"/>
        </w:rPr>
      </w:pPr>
      <w:bookmarkStart w:id="850" w:name="_Toc7163"/>
      <w:bookmarkStart w:id="851" w:name="_Toc31676_WPSOffice_Level2"/>
      <w:bookmarkStart w:id="852" w:name="_Toc21302"/>
      <w:bookmarkStart w:id="853" w:name="_Toc20413"/>
      <w:bookmarkStart w:id="854" w:name="_Toc2098"/>
      <w:bookmarkStart w:id="855" w:name="_Toc20350"/>
      <w:bookmarkStart w:id="856" w:name="_Toc31292"/>
      <w:bookmarkStart w:id="857" w:name="_Toc27371"/>
      <w:bookmarkStart w:id="858" w:name="_Toc17650"/>
      <w:r>
        <w:rPr>
          <w:rFonts w:hint="eastAsia" w:ascii="宋体" w:hAnsi="宋体"/>
          <w:sz w:val="24"/>
          <w:szCs w:val="24"/>
        </w:rPr>
        <w:t>3.综合评分</w:t>
      </w:r>
      <w:bookmarkEnd w:id="850"/>
      <w:bookmarkEnd w:id="851"/>
      <w:bookmarkEnd w:id="852"/>
      <w:bookmarkEnd w:id="853"/>
      <w:bookmarkEnd w:id="854"/>
      <w:bookmarkEnd w:id="855"/>
      <w:bookmarkEnd w:id="856"/>
      <w:bookmarkEnd w:id="857"/>
      <w:bookmarkEnd w:id="858"/>
    </w:p>
    <w:p>
      <w:pPr>
        <w:snapToGrid w:val="0"/>
        <w:spacing w:line="400" w:lineRule="exact"/>
        <w:ind w:firstLine="420" w:firstLineChars="200"/>
      </w:pPr>
      <w:r>
        <w:rPr>
          <w:rFonts w:hint="eastAsia"/>
        </w:rPr>
        <w:t>3.1本次综合评分的因素详见综合评分明细表。</w:t>
      </w:r>
    </w:p>
    <w:p>
      <w:pPr>
        <w:snapToGrid w:val="0"/>
        <w:spacing w:line="400" w:lineRule="exact"/>
        <w:ind w:firstLine="420" w:firstLineChars="200"/>
      </w:pPr>
      <w:r>
        <w:rPr>
          <w:rFonts w:hint="eastAsia"/>
        </w:rPr>
        <w:t>3.2除价格因素外，磋商小组成员应当根据自身专业情况独立对每个有效供应商的响应文件进行评价、打分。技术、与技术有关的服务及其他技术类评分因素由抽取的技术方面磋商小组成员（如有时）独立评分。财务状况及其他经济类评分因素由抽取的经济方面磋商小组成员（如有时）独立评分。采购政策功能、采购合同主要条款及其他政策合同类的评分因素由抽取的法律方面磋商小组成员（如有时）独立评分。采购人代表原则上对技术、与技术有关的服务及其他技术类评分因素独立评分。价格及其他不能明确区分的评分因素由磋商小组成员共同评分。</w:t>
      </w:r>
    </w:p>
    <w:p>
      <w:pPr>
        <w:snapToGrid w:val="0"/>
        <w:spacing w:line="400" w:lineRule="exact"/>
        <w:ind w:firstLine="420" w:firstLineChars="200"/>
      </w:pPr>
      <w:r>
        <w:rPr>
          <w:rFonts w:hint="eastAsia"/>
        </w:rPr>
        <w:t>3.3综合评分明细表</w:t>
      </w:r>
    </w:p>
    <w:p>
      <w:pPr>
        <w:snapToGrid w:val="0"/>
        <w:spacing w:line="400" w:lineRule="exact"/>
        <w:ind w:firstLine="420" w:firstLineChars="200"/>
      </w:pPr>
      <w:r>
        <w:rPr>
          <w:rFonts w:hint="eastAsia"/>
        </w:rPr>
        <w:t>3.3.1综合评分明细表的制定以科学合理、降低评委会自由裁量权为原则。</w:t>
      </w:r>
    </w:p>
    <w:p>
      <w:pPr>
        <w:snapToGrid w:val="0"/>
        <w:spacing w:line="400" w:lineRule="exact"/>
        <w:ind w:firstLine="420" w:firstLineChars="200"/>
      </w:pPr>
      <w:r>
        <w:rPr>
          <w:rFonts w:hint="eastAsia"/>
        </w:rPr>
        <w:t>3.3.2 综合评分明细表按须知表中的相关要求进行价格调整，再参与价格分评审。</w:t>
      </w:r>
    </w:p>
    <w:p>
      <w:pPr>
        <w:snapToGrid w:val="0"/>
        <w:spacing w:line="400" w:lineRule="exact"/>
        <w:ind w:firstLine="420" w:firstLineChars="200"/>
      </w:pPr>
      <w:r>
        <w:rPr>
          <w:rFonts w:hint="eastAsia"/>
        </w:rPr>
        <w:t>3.3.3综合评分明细</w:t>
      </w:r>
      <w:bookmarkStart w:id="859" w:name="PO_评分明细表格_1"/>
      <w:r>
        <w:rPr>
          <w:rFonts w:hint="eastAsia"/>
        </w:rPr>
        <w:t xml:space="preserve"> </w:t>
      </w:r>
    </w:p>
    <w:tbl>
      <w:tblPr>
        <w:tblStyle w:val="33"/>
        <w:tblW w:w="8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1662"/>
        <w:gridCol w:w="684"/>
        <w:gridCol w:w="4723"/>
        <w:gridCol w:w="1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jc w:val="center"/>
              <w:rPr>
                <w:b/>
                <w:bCs/>
              </w:rPr>
            </w:pPr>
            <w:r>
              <w:rPr>
                <w:rFonts w:hint="eastAsia"/>
                <w:b/>
                <w:bCs/>
              </w:rPr>
              <w:t>序号</w:t>
            </w:r>
          </w:p>
        </w:tc>
        <w:tc>
          <w:tcPr>
            <w:tcW w:w="1662" w:type="dxa"/>
            <w:noWrap/>
            <w:vAlign w:val="center"/>
          </w:tcPr>
          <w:p>
            <w:pPr>
              <w:snapToGrid w:val="0"/>
              <w:spacing w:line="400" w:lineRule="exact"/>
              <w:jc w:val="center"/>
              <w:rPr>
                <w:b/>
                <w:bCs/>
              </w:rPr>
            </w:pPr>
            <w:r>
              <w:rPr>
                <w:rFonts w:hint="eastAsia"/>
                <w:b/>
                <w:bCs/>
              </w:rPr>
              <w:t>评分因素及权重</w:t>
            </w:r>
          </w:p>
        </w:tc>
        <w:tc>
          <w:tcPr>
            <w:tcW w:w="684" w:type="dxa"/>
            <w:noWrap/>
            <w:vAlign w:val="center"/>
          </w:tcPr>
          <w:p>
            <w:pPr>
              <w:snapToGrid w:val="0"/>
              <w:spacing w:line="400" w:lineRule="exact"/>
              <w:jc w:val="center"/>
              <w:rPr>
                <w:b/>
                <w:bCs/>
              </w:rPr>
            </w:pPr>
            <w:r>
              <w:rPr>
                <w:rFonts w:hint="eastAsia"/>
                <w:b/>
                <w:bCs/>
              </w:rPr>
              <w:t>分值</w:t>
            </w:r>
          </w:p>
        </w:tc>
        <w:tc>
          <w:tcPr>
            <w:tcW w:w="4723" w:type="dxa"/>
            <w:noWrap/>
            <w:vAlign w:val="center"/>
          </w:tcPr>
          <w:p>
            <w:pPr>
              <w:snapToGrid w:val="0"/>
              <w:spacing w:line="400" w:lineRule="exact"/>
              <w:ind w:firstLine="422" w:firstLineChars="200"/>
              <w:jc w:val="center"/>
              <w:rPr>
                <w:b/>
                <w:bCs/>
              </w:rPr>
            </w:pPr>
            <w:r>
              <w:rPr>
                <w:rFonts w:hint="eastAsia"/>
                <w:b/>
                <w:bCs/>
              </w:rPr>
              <w:t>评分标准</w:t>
            </w:r>
          </w:p>
        </w:tc>
        <w:tc>
          <w:tcPr>
            <w:tcW w:w="1133" w:type="dxa"/>
            <w:noWrap/>
            <w:vAlign w:val="center"/>
          </w:tcPr>
          <w:p>
            <w:pPr>
              <w:snapToGrid w:val="0"/>
              <w:spacing w:line="400" w:lineRule="exact"/>
              <w:ind w:firstLine="422" w:firstLineChars="200"/>
              <w:jc w:val="center"/>
              <w:rPr>
                <w:b/>
                <w:bCs/>
              </w:rPr>
            </w:pPr>
            <w:r>
              <w:rPr>
                <w:rFonts w:hint="eastAsia"/>
                <w:b/>
                <w:bCs/>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ind w:firstLine="420" w:firstLineChars="200"/>
            </w:pPr>
            <w:r>
              <w:rPr>
                <w:rFonts w:hint="eastAsia"/>
              </w:rPr>
              <w:t>1</w:t>
            </w:r>
          </w:p>
        </w:tc>
        <w:tc>
          <w:tcPr>
            <w:tcW w:w="1662" w:type="dxa"/>
            <w:noWrap/>
            <w:vAlign w:val="center"/>
          </w:tcPr>
          <w:p>
            <w:pPr>
              <w:snapToGrid w:val="0"/>
              <w:spacing w:line="400" w:lineRule="exact"/>
              <w:ind w:firstLine="420" w:firstLineChars="200"/>
            </w:pPr>
            <w:r>
              <w:rPr>
                <w:rFonts w:hint="eastAsia"/>
              </w:rPr>
              <w:t>报价</w:t>
            </w:r>
          </w:p>
        </w:tc>
        <w:tc>
          <w:tcPr>
            <w:tcW w:w="684" w:type="dxa"/>
            <w:noWrap/>
            <w:vAlign w:val="center"/>
          </w:tcPr>
          <w:p>
            <w:pPr>
              <w:snapToGrid w:val="0"/>
              <w:spacing w:line="400" w:lineRule="exact"/>
            </w:pPr>
            <w:r>
              <w:rPr>
                <w:rFonts w:hint="eastAsia"/>
              </w:rPr>
              <w:t>10</w:t>
            </w:r>
          </w:p>
        </w:tc>
        <w:tc>
          <w:tcPr>
            <w:tcW w:w="4723" w:type="dxa"/>
            <w:noWrap/>
          </w:tcPr>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1.满足磋商文件要求且最后报价最低的供应商的价格为磋商基准价，其价格分为满分。</w:t>
            </w:r>
          </w:p>
          <w:p>
            <w:pPr>
              <w:snapToGrid w:val="0"/>
              <w:spacing w:line="360" w:lineRule="auto"/>
            </w:pPr>
            <w:r>
              <w:rPr>
                <w:rFonts w:hint="eastAsia"/>
              </w:rPr>
              <w:t>2.其他供应商的价格分统一按照下列公式计算：</w:t>
            </w:r>
          </w:p>
          <w:p>
            <w:pPr>
              <w:snapToGrid w:val="0"/>
              <w:spacing w:line="360" w:lineRule="auto"/>
            </w:pPr>
            <w:r>
              <w:rPr>
                <w:rFonts w:hint="eastAsia"/>
              </w:rPr>
              <w:t>磋商报价得分=（磋商基准价/最后磋商报价）×价格权值×100</w:t>
            </w:r>
          </w:p>
          <w:p>
            <w:pPr>
              <w:snapToGrid w:val="0"/>
              <w:spacing w:line="360" w:lineRule="auto"/>
            </w:pPr>
            <w:r>
              <w:rPr>
                <w:rFonts w:hint="eastAsia"/>
              </w:rPr>
              <w:t>注：（1）根据规定，对小型和微型企业产品的价格给予价格扣除，用扣除后的价格参与评审；</w:t>
            </w:r>
          </w:p>
          <w:p>
            <w:pPr>
              <w:snapToGrid w:val="0"/>
              <w:spacing w:line="360" w:lineRule="auto"/>
            </w:pPr>
            <w:r>
              <w:rPr>
                <w:rFonts w:hint="eastAsia"/>
              </w:rPr>
              <w:t>（2）参加政府采购活动的中小企业应当提供《中小企业声明函》复印件，并加盖单位鲜章。</w:t>
            </w:r>
          </w:p>
        </w:tc>
        <w:tc>
          <w:tcPr>
            <w:tcW w:w="1133" w:type="dxa"/>
            <w:noWrap/>
            <w:vAlign w:val="center"/>
          </w:tcPr>
          <w:p>
            <w:pPr>
              <w:snapToGrid w:val="0"/>
              <w:spacing w:line="400" w:lineRule="exact"/>
              <w:ind w:firstLine="420" w:firstLineChars="200"/>
            </w:pPr>
            <w:r>
              <w:rPr>
                <w:rFonts w:hint="eastAsia"/>
              </w:rPr>
              <w:t>共同评分因素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ind w:firstLine="420" w:firstLineChars="200"/>
            </w:pPr>
            <w:r>
              <w:rPr>
                <w:rFonts w:hint="eastAsia"/>
              </w:rPr>
              <w:t>2</w:t>
            </w:r>
          </w:p>
        </w:tc>
        <w:tc>
          <w:tcPr>
            <w:tcW w:w="1662" w:type="dxa"/>
            <w:noWrap/>
            <w:vAlign w:val="center"/>
          </w:tcPr>
          <w:p>
            <w:pPr>
              <w:snapToGrid w:val="0"/>
              <w:spacing w:line="400" w:lineRule="exact"/>
            </w:pPr>
            <w:r>
              <w:rPr>
                <w:rFonts w:hint="eastAsia"/>
                <w:lang w:val="zh-CN"/>
              </w:rPr>
              <w:t>服务保障能力</w:t>
            </w:r>
          </w:p>
        </w:tc>
        <w:tc>
          <w:tcPr>
            <w:tcW w:w="684" w:type="dxa"/>
            <w:noWrap/>
            <w:vAlign w:val="center"/>
          </w:tcPr>
          <w:p>
            <w:pPr>
              <w:snapToGrid w:val="0"/>
              <w:spacing w:line="400" w:lineRule="exact"/>
              <w:rPr>
                <w:rFonts w:hint="eastAsia" w:eastAsia="宋体"/>
                <w:lang w:eastAsia="zh-CN"/>
              </w:rPr>
            </w:pPr>
            <w:r>
              <w:rPr>
                <w:rFonts w:hint="eastAsia"/>
                <w:lang w:val="en-US" w:eastAsia="zh-CN"/>
              </w:rPr>
              <w:t>9</w:t>
            </w:r>
          </w:p>
        </w:tc>
        <w:tc>
          <w:tcPr>
            <w:tcW w:w="4723" w:type="dxa"/>
            <w:noWrap/>
            <w:vAlign w:val="center"/>
          </w:tcPr>
          <w:p>
            <w:pPr>
              <w:snapToGrid w:val="0"/>
              <w:spacing w:line="400" w:lineRule="exact"/>
              <w:ind w:firstLine="420" w:firstLineChars="200"/>
            </w:pPr>
            <w:r>
              <w:rPr>
                <w:rFonts w:hint="eastAsia"/>
              </w:rPr>
              <w:t>1、供应商配备食材冷链运输车1辆，得3分，最多得3分，不具备的不得分。</w:t>
            </w:r>
          </w:p>
          <w:p>
            <w:pPr>
              <w:snapToGrid w:val="0"/>
              <w:spacing w:line="400" w:lineRule="exact"/>
              <w:ind w:firstLine="420" w:firstLineChars="200"/>
            </w:pPr>
            <w:r>
              <w:rPr>
                <w:rFonts w:hint="eastAsia"/>
              </w:rPr>
              <w:t>注：需提供食材冷链运输车车辆行驶证、购置发票证明材料及车辆内外部实景照片（外部照片</w:t>
            </w:r>
            <w:r>
              <w:rPr>
                <w:rFonts w:hint="eastAsia"/>
                <w:color w:val="auto"/>
              </w:rPr>
              <w:t>应为车辆外观和车辆号牌的同框实景照片，内部照片应为货箱内景和车辆号牌的同框实景照片以及行驶证和车辆号牌的同框实景照片），另需提供驾驶员有效期内的驾驶证</w:t>
            </w:r>
            <w:r>
              <w:rPr>
                <w:rFonts w:hint="eastAsia"/>
                <w:color w:val="auto"/>
                <w:lang w:eastAsia="zh-CN"/>
              </w:rPr>
              <w:t>、</w:t>
            </w:r>
            <w:r>
              <w:rPr>
                <w:rFonts w:hint="eastAsia"/>
                <w:color w:val="auto"/>
              </w:rPr>
              <w:t>身份证及健康证、与供应商的劳务关系证明材料，以上资料复印件或扫描件均需加盖供应商公章。如供应商租赁车辆，除提供车辆租赁公司的上述资料以外，还需提供供应商与车辆租赁公司的租赁</w:t>
            </w:r>
            <w:r>
              <w:rPr>
                <w:rFonts w:hint="eastAsia"/>
              </w:rPr>
              <w:t>协议并加盖供应商公章。</w:t>
            </w:r>
          </w:p>
          <w:p>
            <w:pPr>
              <w:snapToGrid w:val="0"/>
              <w:spacing w:line="400" w:lineRule="exact"/>
              <w:ind w:firstLine="420" w:firstLineChars="200"/>
            </w:pPr>
            <w:r>
              <w:rPr>
                <w:rFonts w:hint="eastAsia"/>
              </w:rPr>
              <w:t>2、供应商需自行对所采购的食材进行农药残留检测，配备农药残留快速检测仪器或设备得</w:t>
            </w:r>
            <w:r>
              <w:rPr>
                <w:rFonts w:hint="eastAsia"/>
                <w:lang w:val="en-US" w:eastAsia="zh-CN"/>
              </w:rPr>
              <w:t>3</w:t>
            </w:r>
            <w:r>
              <w:rPr>
                <w:rFonts w:hint="eastAsia"/>
              </w:rPr>
              <w:t>分，不具备的不得分。</w:t>
            </w:r>
          </w:p>
          <w:p>
            <w:pPr>
              <w:snapToGrid w:val="0"/>
              <w:spacing w:line="400" w:lineRule="exact"/>
              <w:ind w:firstLine="420" w:firstLineChars="200"/>
            </w:pPr>
            <w:r>
              <w:rPr>
                <w:rFonts w:hint="eastAsia"/>
              </w:rPr>
              <w:t>注：提供供应商购置仪器或设备的发票，发票复印件或扫描件需加盖供应商公章。如供应商租赁检测设备，除提供设备租赁公司的以上资料复印件或扫描件以外，还需提供供应商与设备租赁公司的租赁协议并加盖供应商公章。</w:t>
            </w:r>
          </w:p>
          <w:p>
            <w:pPr>
              <w:snapToGrid w:val="0"/>
              <w:spacing w:line="400" w:lineRule="exact"/>
              <w:ind w:firstLine="420" w:firstLineChars="200"/>
            </w:pPr>
            <w:r>
              <w:rPr>
                <w:rFonts w:hint="eastAsia"/>
              </w:rPr>
              <w:t>3、供应商需自行对所采购的食材进行农药残留检测，配备食品检验师（高级）人员1人的得</w:t>
            </w:r>
            <w:r>
              <w:rPr>
                <w:rFonts w:hint="eastAsia"/>
                <w:lang w:val="en-US" w:eastAsia="zh-CN"/>
              </w:rPr>
              <w:t>3</w:t>
            </w:r>
            <w:r>
              <w:rPr>
                <w:rFonts w:hint="eastAsia"/>
              </w:rPr>
              <w:t>分，不具备的不得分。</w:t>
            </w:r>
          </w:p>
          <w:p>
            <w:pPr>
              <w:snapToGrid w:val="0"/>
              <w:spacing w:line="400" w:lineRule="exact"/>
              <w:ind w:firstLine="420" w:firstLineChars="200"/>
            </w:pPr>
            <w:r>
              <w:rPr>
                <w:rFonts w:hint="eastAsia"/>
                <w:lang w:val="zh-CN"/>
              </w:rPr>
              <w:t>注：需提供食品检验师（高级）人员证书复印件、有效期内的身份证及健康证、与供应商的劳务关系证明材料，以上资料复印件或扫描件均需加盖供应商公章。</w:t>
            </w:r>
          </w:p>
        </w:tc>
        <w:tc>
          <w:tcPr>
            <w:tcW w:w="1133" w:type="dxa"/>
            <w:noWrap/>
            <w:vAlign w:val="center"/>
          </w:tcPr>
          <w:p>
            <w:pPr>
              <w:snapToGrid w:val="0"/>
              <w:spacing w:line="400" w:lineRule="exact"/>
              <w:ind w:firstLine="420" w:firstLineChars="200"/>
            </w:pPr>
            <w:r>
              <w:rPr>
                <w:rFonts w:hint="eastAsia"/>
              </w:rPr>
              <w:t>技术类评分因素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5" w:type="dxa"/>
            <w:noWrap/>
            <w:vAlign w:val="center"/>
          </w:tcPr>
          <w:p>
            <w:pPr>
              <w:snapToGrid w:val="0"/>
              <w:spacing w:line="400" w:lineRule="exact"/>
              <w:ind w:firstLine="420" w:firstLineChars="200"/>
            </w:pPr>
            <w:r>
              <w:rPr>
                <w:rFonts w:hint="eastAsia"/>
              </w:rPr>
              <w:t>3</w:t>
            </w:r>
          </w:p>
        </w:tc>
        <w:tc>
          <w:tcPr>
            <w:tcW w:w="1662" w:type="dxa"/>
            <w:noWrap/>
            <w:vAlign w:val="center"/>
          </w:tcPr>
          <w:p>
            <w:pPr>
              <w:snapToGrid w:val="0"/>
              <w:spacing w:line="400" w:lineRule="exact"/>
              <w:ind w:firstLine="420" w:firstLineChars="200"/>
            </w:pPr>
            <w:r>
              <w:rPr>
                <w:rFonts w:hint="eastAsia"/>
              </w:rPr>
              <w:t>履约能力</w:t>
            </w:r>
          </w:p>
        </w:tc>
        <w:tc>
          <w:tcPr>
            <w:tcW w:w="684" w:type="dxa"/>
            <w:noWrap/>
            <w:vAlign w:val="center"/>
          </w:tcPr>
          <w:p>
            <w:pPr>
              <w:snapToGrid w:val="0"/>
              <w:spacing w:line="400" w:lineRule="exact"/>
              <w:rPr>
                <w:rFonts w:hint="eastAsia" w:eastAsia="宋体"/>
                <w:lang w:eastAsia="zh-CN"/>
              </w:rPr>
            </w:pPr>
            <w:r>
              <w:rPr>
                <w:rFonts w:hint="eastAsia"/>
                <w:lang w:val="en-US" w:eastAsia="zh-CN"/>
              </w:rPr>
              <w:t>9</w:t>
            </w:r>
          </w:p>
        </w:tc>
        <w:tc>
          <w:tcPr>
            <w:tcW w:w="4723" w:type="dxa"/>
            <w:tcBorders>
              <w:bottom w:val="single" w:color="auto" w:sz="4" w:space="0"/>
            </w:tcBorders>
            <w:noWrap/>
            <w:vAlign w:val="center"/>
          </w:tcPr>
          <w:p>
            <w:pPr>
              <w:snapToGrid w:val="0"/>
              <w:spacing w:line="400" w:lineRule="exact"/>
              <w:ind w:firstLine="420" w:firstLineChars="200"/>
            </w:pPr>
            <w:r>
              <w:rPr>
                <w:rFonts w:hint="eastAsia"/>
              </w:rPr>
              <w:t>供应商自2019年1月1日（含）以来，每有一个类似业绩得</w:t>
            </w:r>
            <w:r>
              <w:rPr>
                <w:rFonts w:hint="eastAsia"/>
                <w:lang w:val="en-US" w:eastAsia="zh-CN"/>
              </w:rPr>
              <w:t>3</w:t>
            </w:r>
            <w:r>
              <w:rPr>
                <w:rFonts w:hint="eastAsia"/>
              </w:rPr>
              <w:t>分，最多得</w:t>
            </w:r>
            <w:r>
              <w:rPr>
                <w:rFonts w:hint="eastAsia"/>
                <w:lang w:val="en-US" w:eastAsia="zh-CN"/>
              </w:rPr>
              <w:t>9</w:t>
            </w:r>
            <w:r>
              <w:rPr>
                <w:rFonts w:hint="eastAsia"/>
              </w:rPr>
              <w:t>分（同一食堂项目不累计得分）。</w:t>
            </w:r>
          </w:p>
          <w:p>
            <w:pPr>
              <w:snapToGrid w:val="0"/>
              <w:spacing w:line="400" w:lineRule="exact"/>
              <w:ind w:firstLine="420" w:firstLineChars="200"/>
            </w:pPr>
            <w:r>
              <w:rPr>
                <w:rFonts w:hint="eastAsia"/>
              </w:rPr>
              <w:t>注：提供中标通知书或合同复印件，提供合同款项支付的银行票据复印件（如合同款项为分期付款的，至少提供一次支付合同款项的银行票据），提供服务单位出具的评价为优或满意，且未出现任何食品安全和操作安全事故的证明材料复印件，以上复印件均加盖供应商公章。</w:t>
            </w:r>
          </w:p>
        </w:tc>
        <w:tc>
          <w:tcPr>
            <w:tcW w:w="1133" w:type="dxa"/>
            <w:noWrap/>
            <w:vAlign w:val="center"/>
          </w:tcPr>
          <w:p>
            <w:pPr>
              <w:snapToGrid w:val="0"/>
              <w:spacing w:line="400" w:lineRule="exact"/>
              <w:ind w:firstLine="420" w:firstLineChars="200"/>
            </w:pPr>
            <w:r>
              <w:rPr>
                <w:rFonts w:hint="eastAsia"/>
              </w:rPr>
              <w:t>共同评分因素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ind w:firstLine="420" w:firstLineChars="200"/>
            </w:pPr>
            <w:r>
              <w:rPr>
                <w:rFonts w:hint="eastAsia"/>
              </w:rPr>
              <w:t>4</w:t>
            </w:r>
          </w:p>
        </w:tc>
        <w:tc>
          <w:tcPr>
            <w:tcW w:w="1662" w:type="dxa"/>
            <w:noWrap/>
            <w:vAlign w:val="center"/>
          </w:tcPr>
          <w:p>
            <w:pPr>
              <w:snapToGrid w:val="0"/>
              <w:spacing w:line="400" w:lineRule="exact"/>
              <w:ind w:firstLine="420" w:firstLineChars="200"/>
            </w:pPr>
            <w:r>
              <w:rPr>
                <w:rFonts w:hint="eastAsia"/>
              </w:rPr>
              <w:t>人员配置</w:t>
            </w:r>
          </w:p>
        </w:tc>
        <w:tc>
          <w:tcPr>
            <w:tcW w:w="684" w:type="dxa"/>
            <w:noWrap/>
            <w:vAlign w:val="center"/>
          </w:tcPr>
          <w:p>
            <w:pPr>
              <w:snapToGrid w:val="0"/>
              <w:spacing w:line="400" w:lineRule="exact"/>
              <w:rPr>
                <w:rFonts w:hint="eastAsia" w:eastAsia="宋体"/>
                <w:lang w:eastAsia="zh-CN"/>
              </w:rPr>
            </w:pPr>
            <w:r>
              <w:rPr>
                <w:rFonts w:hint="eastAsia"/>
                <w:lang w:val="en-US" w:eastAsia="zh-CN"/>
              </w:rPr>
              <w:t>8</w:t>
            </w:r>
          </w:p>
        </w:tc>
        <w:tc>
          <w:tcPr>
            <w:tcW w:w="4723" w:type="dxa"/>
            <w:noWrap/>
          </w:tcPr>
          <w:p>
            <w:pPr>
              <w:snapToGrid w:val="0"/>
              <w:spacing w:line="400" w:lineRule="exact"/>
              <w:ind w:firstLine="420" w:firstLineChars="200"/>
            </w:pPr>
            <w:r>
              <w:rPr>
                <w:rFonts w:hint="eastAsia"/>
              </w:rPr>
              <w:t>1、供应商为本项目配备的工作人员具有中式烹调师二级（技师）及以上的职业资格证书的得</w:t>
            </w:r>
            <w:r>
              <w:rPr>
                <w:rFonts w:hint="eastAsia"/>
                <w:lang w:val="en-US" w:eastAsia="zh-CN"/>
              </w:rPr>
              <w:t>5</w:t>
            </w:r>
            <w:r>
              <w:rPr>
                <w:rFonts w:hint="eastAsia"/>
              </w:rPr>
              <w:t>分，具有中式烹调师</w:t>
            </w:r>
            <w:r>
              <w:rPr>
                <w:rFonts w:hint="eastAsia"/>
                <w:lang w:eastAsia="zh-CN"/>
              </w:rPr>
              <w:t>三</w:t>
            </w:r>
            <w:r>
              <w:rPr>
                <w:rFonts w:hint="eastAsia"/>
              </w:rPr>
              <w:t>级（</w:t>
            </w:r>
            <w:r>
              <w:rPr>
                <w:rFonts w:hint="eastAsia"/>
                <w:lang w:eastAsia="zh-CN"/>
              </w:rPr>
              <w:t>高级工</w:t>
            </w:r>
            <w:r>
              <w:rPr>
                <w:rFonts w:hint="eastAsia"/>
              </w:rPr>
              <w:t>）职业资格证书的得</w:t>
            </w:r>
            <w:r>
              <w:rPr>
                <w:rFonts w:hint="eastAsia"/>
                <w:lang w:val="en-US" w:eastAsia="zh-CN"/>
              </w:rPr>
              <w:t>3</w:t>
            </w:r>
            <w:r>
              <w:rPr>
                <w:rFonts w:hint="eastAsia"/>
              </w:rPr>
              <w:t>分</w:t>
            </w:r>
            <w:r>
              <w:rPr>
                <w:rFonts w:hint="eastAsia"/>
                <w:lang w:eastAsia="zh-CN"/>
              </w:rPr>
              <w:t>，</w:t>
            </w:r>
            <w:r>
              <w:rPr>
                <w:rFonts w:hint="eastAsia"/>
                <w:lang w:val="en-US" w:eastAsia="zh-CN"/>
              </w:rPr>
              <w:t>本项</w:t>
            </w:r>
            <w:r>
              <w:rPr>
                <w:rFonts w:hint="eastAsia"/>
              </w:rPr>
              <w:t>最多得</w:t>
            </w:r>
            <w:r>
              <w:rPr>
                <w:rFonts w:hint="eastAsia"/>
                <w:lang w:val="en-US" w:eastAsia="zh-CN"/>
              </w:rPr>
              <w:t>8</w:t>
            </w:r>
            <w:r>
              <w:rPr>
                <w:rFonts w:hint="eastAsia"/>
              </w:rPr>
              <w:t>分，不具备相关证书的不得分。</w:t>
            </w:r>
          </w:p>
          <w:p>
            <w:pPr>
              <w:snapToGrid w:val="0"/>
              <w:spacing w:line="400" w:lineRule="exact"/>
              <w:ind w:firstLine="420" w:firstLineChars="200"/>
            </w:pPr>
            <w:r>
              <w:rPr>
                <w:rFonts w:hint="eastAsia"/>
              </w:rPr>
              <w:t>注：1.提供上述人员相关证书复印件、与供应商的劳务关系证明材料复印件，加盖供应商公章；</w:t>
            </w:r>
          </w:p>
          <w:p>
            <w:pPr>
              <w:snapToGrid w:val="0"/>
              <w:spacing w:line="400" w:lineRule="exact"/>
              <w:ind w:firstLine="420" w:firstLineChars="200"/>
            </w:pPr>
            <w:r>
              <w:rPr>
                <w:rFonts w:hint="eastAsia"/>
              </w:rPr>
              <w:t>2.以上人员不重复计分。</w:t>
            </w:r>
          </w:p>
        </w:tc>
        <w:tc>
          <w:tcPr>
            <w:tcW w:w="1133" w:type="dxa"/>
            <w:noWrap/>
            <w:vAlign w:val="center"/>
          </w:tcPr>
          <w:p>
            <w:pPr>
              <w:snapToGrid w:val="0"/>
              <w:spacing w:line="400" w:lineRule="exact"/>
              <w:ind w:firstLine="420" w:firstLineChars="200"/>
            </w:pPr>
            <w:r>
              <w:rPr>
                <w:rFonts w:hint="eastAsia"/>
              </w:rPr>
              <w:t>共同评分因素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ind w:firstLine="420" w:firstLineChars="200"/>
            </w:pPr>
            <w:r>
              <w:rPr>
                <w:rFonts w:hint="eastAsia"/>
              </w:rPr>
              <w:t>5</w:t>
            </w:r>
          </w:p>
        </w:tc>
        <w:tc>
          <w:tcPr>
            <w:tcW w:w="1662" w:type="dxa"/>
            <w:noWrap/>
            <w:vAlign w:val="center"/>
          </w:tcPr>
          <w:p>
            <w:pPr>
              <w:snapToGrid w:val="0"/>
              <w:spacing w:line="400" w:lineRule="exact"/>
              <w:ind w:firstLine="420" w:firstLineChars="200"/>
            </w:pPr>
            <w:r>
              <w:rPr>
                <w:rFonts w:hint="eastAsia"/>
              </w:rPr>
              <w:t>食堂服务的整体方案</w:t>
            </w:r>
          </w:p>
        </w:tc>
        <w:tc>
          <w:tcPr>
            <w:tcW w:w="684" w:type="dxa"/>
            <w:noWrap/>
            <w:vAlign w:val="center"/>
          </w:tcPr>
          <w:p>
            <w:pPr>
              <w:snapToGrid w:val="0"/>
              <w:spacing w:line="400" w:lineRule="exact"/>
            </w:pPr>
            <w:r>
              <w:rPr>
                <w:rFonts w:hint="eastAsia"/>
              </w:rPr>
              <w:t>14</w:t>
            </w:r>
          </w:p>
        </w:tc>
        <w:tc>
          <w:tcPr>
            <w:tcW w:w="4723" w:type="dxa"/>
            <w:noWrap/>
          </w:tcPr>
          <w:p>
            <w:pPr>
              <w:snapToGrid w:val="0"/>
              <w:spacing w:line="400" w:lineRule="exact"/>
              <w:ind w:firstLine="420" w:firstLineChars="200"/>
            </w:pPr>
            <w:r>
              <w:rPr>
                <w:rFonts w:hint="eastAsia"/>
              </w:rPr>
              <w:t>根据供应商的整体方案进行评审，应包括①服务理念②定位目标③人员配备④机构设置及框图⑤组织实施⑥服务内容⑦各项指标的承诺及完成措施，方案内容均符合实际情况、内容完善详细、描述准确、完全响应采购要求的得14分；每缺少一项内容的扣2分，</w:t>
            </w:r>
            <w:r>
              <w:rPr>
                <w:rFonts w:hint="eastAsia"/>
                <w:color w:val="auto"/>
                <w:highlight w:val="none"/>
              </w:rPr>
              <w:t>每有一项存在缺陷(缺陷为分析内容与实际情况不符或存在偏差或过于简略或存在无关的内容或分析内容有缺失或不满足要求)的扣</w:t>
            </w:r>
            <w:r>
              <w:rPr>
                <w:rFonts w:hint="eastAsia"/>
                <w:color w:val="auto"/>
                <w:highlight w:val="none"/>
                <w:lang w:val="en-US" w:eastAsia="zh-CN"/>
              </w:rPr>
              <w:t>1</w:t>
            </w:r>
            <w:r>
              <w:rPr>
                <w:rFonts w:hint="eastAsia"/>
                <w:color w:val="auto"/>
                <w:highlight w:val="none"/>
              </w:rPr>
              <w:t>分</w:t>
            </w:r>
            <w:r>
              <w:rPr>
                <w:rFonts w:hint="eastAsia"/>
                <w:color w:val="auto"/>
                <w:highlight w:val="none"/>
                <w:lang w:eastAsia="zh-CN"/>
              </w:rPr>
              <w:t>，</w:t>
            </w:r>
            <w:r>
              <w:rPr>
                <w:rFonts w:hint="eastAsia"/>
              </w:rPr>
              <w:t>扣完为止。</w:t>
            </w:r>
          </w:p>
        </w:tc>
        <w:tc>
          <w:tcPr>
            <w:tcW w:w="1133" w:type="dxa"/>
            <w:noWrap/>
            <w:vAlign w:val="center"/>
          </w:tcPr>
          <w:p>
            <w:pPr>
              <w:snapToGrid w:val="0"/>
              <w:spacing w:line="400" w:lineRule="exact"/>
              <w:ind w:firstLine="420" w:firstLineChars="200"/>
            </w:pPr>
            <w:r>
              <w:rPr>
                <w:rFonts w:hint="eastAsia"/>
              </w:rPr>
              <w:t>技术类评分因素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ind w:firstLine="420" w:firstLineChars="200"/>
            </w:pPr>
            <w:r>
              <w:rPr>
                <w:rFonts w:hint="eastAsia"/>
              </w:rPr>
              <w:t>6</w:t>
            </w:r>
          </w:p>
        </w:tc>
        <w:tc>
          <w:tcPr>
            <w:tcW w:w="1662" w:type="dxa"/>
            <w:noWrap/>
            <w:vAlign w:val="center"/>
          </w:tcPr>
          <w:p>
            <w:pPr>
              <w:snapToGrid w:val="0"/>
              <w:spacing w:line="400" w:lineRule="exact"/>
              <w:ind w:firstLine="420" w:firstLineChars="200"/>
            </w:pPr>
            <w:r>
              <w:rPr>
                <w:rFonts w:hint="eastAsia"/>
              </w:rPr>
              <w:t>管理制度</w:t>
            </w:r>
          </w:p>
        </w:tc>
        <w:tc>
          <w:tcPr>
            <w:tcW w:w="684" w:type="dxa"/>
            <w:noWrap/>
            <w:vAlign w:val="center"/>
          </w:tcPr>
          <w:p>
            <w:pPr>
              <w:snapToGrid w:val="0"/>
              <w:spacing w:line="400" w:lineRule="exact"/>
            </w:pPr>
            <w:r>
              <w:rPr>
                <w:rFonts w:hint="eastAsia"/>
              </w:rPr>
              <w:t>10</w:t>
            </w:r>
          </w:p>
        </w:tc>
        <w:tc>
          <w:tcPr>
            <w:tcW w:w="4723" w:type="dxa"/>
            <w:noWrap/>
          </w:tcPr>
          <w:p>
            <w:pPr>
              <w:snapToGrid w:val="0"/>
              <w:spacing w:line="400" w:lineRule="exact"/>
              <w:ind w:firstLine="420" w:firstLineChars="200"/>
            </w:pPr>
            <w:r>
              <w:rPr>
                <w:rFonts w:hint="eastAsia"/>
              </w:rPr>
              <w:t>根据供应商的管理制度进行评审，应包括①食品安全管理制度②人员管理制度③厨房卫生清洁管理制度④设施设备安全操作制度⑤设备维护管理制度，方案内容均符合实际情况、内容完善详细、描述准确、完全响应采购要求的得10分；每缺少一项内容的扣2分，</w:t>
            </w:r>
            <w:r>
              <w:rPr>
                <w:rFonts w:hint="eastAsia"/>
                <w:color w:val="auto"/>
                <w:highlight w:val="none"/>
              </w:rPr>
              <w:t>每有一项存在缺陷(缺陷为分析内容与实际情况不符或存在偏差或过于简略或存在无关的内容或分析内容有缺失或不满足要求)的</w:t>
            </w:r>
            <w:r>
              <w:rPr>
                <w:rFonts w:hint="eastAsia"/>
              </w:rPr>
              <w:t>扣1分，扣完为止。</w:t>
            </w:r>
          </w:p>
        </w:tc>
        <w:tc>
          <w:tcPr>
            <w:tcW w:w="1133" w:type="dxa"/>
            <w:noWrap/>
            <w:vAlign w:val="center"/>
          </w:tcPr>
          <w:p>
            <w:pPr>
              <w:snapToGrid w:val="0"/>
              <w:spacing w:line="400" w:lineRule="exact"/>
              <w:ind w:firstLine="420" w:firstLineChars="200"/>
            </w:pPr>
            <w:r>
              <w:rPr>
                <w:rFonts w:hint="eastAsia"/>
              </w:rPr>
              <w:t>技术类评分因素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ind w:firstLine="420" w:firstLineChars="200"/>
            </w:pPr>
            <w:r>
              <w:rPr>
                <w:rFonts w:hint="eastAsia"/>
              </w:rPr>
              <w:t>7</w:t>
            </w:r>
          </w:p>
        </w:tc>
        <w:tc>
          <w:tcPr>
            <w:tcW w:w="1662" w:type="dxa"/>
            <w:noWrap/>
            <w:vAlign w:val="center"/>
          </w:tcPr>
          <w:p>
            <w:pPr>
              <w:snapToGrid w:val="0"/>
              <w:spacing w:line="400" w:lineRule="exact"/>
              <w:ind w:firstLine="420" w:firstLineChars="200"/>
            </w:pPr>
            <w:r>
              <w:rPr>
                <w:rFonts w:hint="eastAsia"/>
              </w:rPr>
              <w:t>应急方案</w:t>
            </w:r>
          </w:p>
        </w:tc>
        <w:tc>
          <w:tcPr>
            <w:tcW w:w="684" w:type="dxa"/>
            <w:noWrap/>
            <w:vAlign w:val="center"/>
          </w:tcPr>
          <w:p>
            <w:pPr>
              <w:snapToGrid w:val="0"/>
              <w:spacing w:line="400" w:lineRule="exact"/>
            </w:pPr>
            <w:r>
              <w:rPr>
                <w:rFonts w:hint="eastAsia"/>
              </w:rPr>
              <w:t>14</w:t>
            </w:r>
          </w:p>
        </w:tc>
        <w:tc>
          <w:tcPr>
            <w:tcW w:w="4723" w:type="dxa"/>
            <w:noWrap/>
          </w:tcPr>
          <w:p>
            <w:pPr>
              <w:snapToGrid w:val="0"/>
              <w:spacing w:line="400" w:lineRule="exact"/>
              <w:ind w:firstLine="420" w:firstLineChars="200"/>
            </w:pPr>
            <w:r>
              <w:rPr>
                <w:rFonts w:hint="eastAsia"/>
              </w:rPr>
              <w:t>根据供应商的应急方案进行评审，应包括①食品安全事故应急方案②员工人身等安全管理的应急方案③停水、停电、停气应急方案④火灾应急方案⑤自然灾害应急方案⑥各种突发性事件的应急方案⑦疫情防控应急方案，方案内容均符合实际情况、内容完善详细、描述准确、完全响应采购要求的得14分；每缺少一项内容的扣2分，</w:t>
            </w:r>
            <w:r>
              <w:rPr>
                <w:rFonts w:hint="eastAsia"/>
                <w:color w:val="auto"/>
                <w:highlight w:val="none"/>
              </w:rPr>
              <w:t>每有一项存在缺陷(缺陷为分析内容与实际情况不符或存在偏差或过于简略或存在无关的内容或分析内容有缺失或不满足要求)的</w:t>
            </w:r>
            <w:r>
              <w:rPr>
                <w:rFonts w:hint="eastAsia"/>
              </w:rPr>
              <w:t>扣1分，扣完为止。</w:t>
            </w:r>
          </w:p>
        </w:tc>
        <w:tc>
          <w:tcPr>
            <w:tcW w:w="1133" w:type="dxa"/>
            <w:noWrap/>
            <w:vAlign w:val="center"/>
          </w:tcPr>
          <w:p>
            <w:pPr>
              <w:snapToGrid w:val="0"/>
              <w:spacing w:line="400" w:lineRule="exact"/>
              <w:ind w:firstLine="420" w:firstLineChars="200"/>
            </w:pPr>
            <w:r>
              <w:rPr>
                <w:rFonts w:hint="eastAsia"/>
              </w:rPr>
              <w:t>技术类评分因素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ind w:firstLine="420" w:firstLineChars="200"/>
            </w:pPr>
            <w:r>
              <w:rPr>
                <w:rFonts w:hint="eastAsia"/>
              </w:rPr>
              <w:t>8</w:t>
            </w:r>
          </w:p>
        </w:tc>
        <w:tc>
          <w:tcPr>
            <w:tcW w:w="1662" w:type="dxa"/>
            <w:noWrap/>
            <w:vAlign w:val="center"/>
          </w:tcPr>
          <w:p>
            <w:pPr>
              <w:snapToGrid w:val="0"/>
              <w:spacing w:line="400" w:lineRule="exact"/>
              <w:ind w:firstLine="420" w:firstLineChars="200"/>
            </w:pPr>
            <w:r>
              <w:rPr>
                <w:rFonts w:hint="eastAsia"/>
              </w:rPr>
              <w:t>其他服务措施</w:t>
            </w:r>
          </w:p>
        </w:tc>
        <w:tc>
          <w:tcPr>
            <w:tcW w:w="684" w:type="dxa"/>
            <w:noWrap/>
            <w:vAlign w:val="center"/>
          </w:tcPr>
          <w:p>
            <w:pPr>
              <w:snapToGrid w:val="0"/>
              <w:spacing w:line="400" w:lineRule="exact"/>
              <w:rPr>
                <w:rFonts w:hint="eastAsia" w:eastAsia="宋体"/>
                <w:lang w:eastAsia="zh-CN"/>
              </w:rPr>
            </w:pPr>
            <w:r>
              <w:rPr>
                <w:rFonts w:hint="eastAsia"/>
              </w:rPr>
              <w:t>1</w:t>
            </w:r>
            <w:r>
              <w:rPr>
                <w:rFonts w:hint="eastAsia"/>
                <w:lang w:val="en-US" w:eastAsia="zh-CN"/>
              </w:rPr>
              <w:t>5</w:t>
            </w:r>
          </w:p>
        </w:tc>
        <w:tc>
          <w:tcPr>
            <w:tcW w:w="4723" w:type="dxa"/>
            <w:noWrap/>
          </w:tcPr>
          <w:p>
            <w:pPr>
              <w:snapToGrid w:val="0"/>
              <w:spacing w:line="400" w:lineRule="exact"/>
              <w:ind w:firstLine="420" w:firstLineChars="200"/>
            </w:pPr>
            <w:r>
              <w:rPr>
                <w:rFonts w:hint="eastAsia"/>
              </w:rPr>
              <w:t>根据供应商其他服务措施进行评审，应包括①节能降耗②服务承诺③培训机制④考评标准⑤劳动争议处理流程及相关措施，方案内容均符合实际情况、内容完善详细、描述准确、完全响应采购要求的得1</w:t>
            </w:r>
            <w:r>
              <w:rPr>
                <w:rFonts w:hint="eastAsia"/>
                <w:lang w:val="en-US" w:eastAsia="zh-CN"/>
              </w:rPr>
              <w:t>5</w:t>
            </w:r>
            <w:r>
              <w:rPr>
                <w:rFonts w:hint="eastAsia"/>
              </w:rPr>
              <w:t>分；每缺少一项内容的扣</w:t>
            </w:r>
            <w:r>
              <w:rPr>
                <w:rFonts w:hint="eastAsia"/>
                <w:lang w:val="en-US" w:eastAsia="zh-CN"/>
              </w:rPr>
              <w:t>3</w:t>
            </w:r>
            <w:r>
              <w:rPr>
                <w:rFonts w:hint="eastAsia"/>
              </w:rPr>
              <w:t>分，</w:t>
            </w:r>
            <w:r>
              <w:rPr>
                <w:rFonts w:hint="eastAsia"/>
                <w:color w:val="auto"/>
                <w:highlight w:val="none"/>
              </w:rPr>
              <w:t>每有一项存在缺陷(缺陷为分析内容与实际情况不符或存在偏差或过于简略或存在无关的内容或分析内容有缺失或不满足要求)的</w:t>
            </w:r>
            <w:r>
              <w:rPr>
                <w:rFonts w:hint="eastAsia"/>
              </w:rPr>
              <w:t>扣1分，扣完为止。</w:t>
            </w:r>
          </w:p>
        </w:tc>
        <w:tc>
          <w:tcPr>
            <w:tcW w:w="1133" w:type="dxa"/>
            <w:noWrap/>
            <w:vAlign w:val="center"/>
          </w:tcPr>
          <w:p>
            <w:pPr>
              <w:snapToGrid w:val="0"/>
              <w:spacing w:line="400" w:lineRule="exact"/>
              <w:ind w:firstLine="420" w:firstLineChars="200"/>
            </w:pPr>
            <w:r>
              <w:rPr>
                <w:rFonts w:hint="eastAsia"/>
              </w:rPr>
              <w:t>技术类评分因素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ind w:firstLine="420" w:firstLineChars="200"/>
            </w:pPr>
            <w:r>
              <w:rPr>
                <w:rFonts w:hint="eastAsia"/>
              </w:rPr>
              <w:t>9</w:t>
            </w:r>
          </w:p>
        </w:tc>
        <w:tc>
          <w:tcPr>
            <w:tcW w:w="1662" w:type="dxa"/>
            <w:noWrap/>
            <w:vAlign w:val="center"/>
          </w:tcPr>
          <w:p>
            <w:pPr>
              <w:snapToGrid w:val="0"/>
              <w:spacing w:line="400" w:lineRule="exact"/>
              <w:ind w:firstLine="420" w:firstLineChars="200"/>
              <w:rPr>
                <w:rFonts w:hint="eastAsia" w:eastAsia="宋体"/>
                <w:lang w:eastAsia="zh-CN"/>
              </w:rPr>
            </w:pPr>
            <w:r>
              <w:rPr>
                <w:rFonts w:hint="eastAsia"/>
                <w:lang w:eastAsia="zh-CN"/>
              </w:rPr>
              <w:t>企业实力</w:t>
            </w:r>
          </w:p>
        </w:tc>
        <w:tc>
          <w:tcPr>
            <w:tcW w:w="684" w:type="dxa"/>
            <w:noWrap/>
            <w:vAlign w:val="center"/>
          </w:tcPr>
          <w:p>
            <w:pPr>
              <w:snapToGrid w:val="0"/>
              <w:spacing w:line="400" w:lineRule="exact"/>
              <w:rPr>
                <w:rFonts w:hint="default" w:eastAsia="宋体"/>
                <w:lang w:val="en-US" w:eastAsia="zh-CN"/>
              </w:rPr>
            </w:pPr>
            <w:r>
              <w:rPr>
                <w:rFonts w:hint="eastAsia"/>
                <w:lang w:val="en-US" w:eastAsia="zh-CN"/>
              </w:rPr>
              <w:t>5</w:t>
            </w:r>
          </w:p>
        </w:tc>
        <w:tc>
          <w:tcPr>
            <w:tcW w:w="4723" w:type="dxa"/>
            <w:noWrap/>
          </w:tcPr>
          <w:p>
            <w:pPr>
              <w:snapToGrid w:val="0"/>
              <w:spacing w:line="400" w:lineRule="exact"/>
              <w:ind w:firstLine="420" w:firstLineChars="200"/>
            </w:pPr>
            <w:r>
              <w:rPr>
                <w:rFonts w:hint="eastAsia"/>
              </w:rPr>
              <w:t>1、供应商具有有效的质量管理体系标准认证的得</w:t>
            </w:r>
            <w:r>
              <w:rPr>
                <w:rFonts w:hint="eastAsia"/>
                <w:lang w:val="en-US" w:eastAsia="zh-CN"/>
              </w:rPr>
              <w:t>1</w:t>
            </w:r>
            <w:r>
              <w:rPr>
                <w:rFonts w:hint="eastAsia"/>
              </w:rPr>
              <w:t>分，无不得分。</w:t>
            </w:r>
          </w:p>
          <w:p>
            <w:pPr>
              <w:snapToGrid w:val="0"/>
              <w:spacing w:line="400" w:lineRule="exact"/>
              <w:ind w:firstLine="420" w:firstLineChars="200"/>
            </w:pPr>
            <w:r>
              <w:rPr>
                <w:rFonts w:hint="eastAsia"/>
              </w:rPr>
              <w:t>2、供应商具有有效的职业健康安全管理体系标准认证的得</w:t>
            </w:r>
            <w:r>
              <w:rPr>
                <w:rFonts w:hint="eastAsia"/>
                <w:lang w:val="en-US" w:eastAsia="zh-CN"/>
              </w:rPr>
              <w:t>1</w:t>
            </w:r>
            <w:r>
              <w:rPr>
                <w:rFonts w:hint="eastAsia"/>
              </w:rPr>
              <w:t>分，无不得分。</w:t>
            </w:r>
          </w:p>
          <w:p>
            <w:pPr>
              <w:snapToGrid w:val="0"/>
              <w:spacing w:line="400" w:lineRule="exact"/>
              <w:ind w:firstLine="420" w:firstLineChars="200"/>
            </w:pPr>
            <w:r>
              <w:rPr>
                <w:rFonts w:hint="eastAsia"/>
              </w:rPr>
              <w:t>3、供应商具有有效的环境管理体系标准认证的得</w:t>
            </w:r>
            <w:r>
              <w:rPr>
                <w:rFonts w:hint="eastAsia"/>
                <w:lang w:val="en-US" w:eastAsia="zh-CN"/>
              </w:rPr>
              <w:t>1</w:t>
            </w:r>
            <w:r>
              <w:rPr>
                <w:rFonts w:hint="eastAsia"/>
              </w:rPr>
              <w:t>分，无不得分。</w:t>
            </w:r>
          </w:p>
          <w:p>
            <w:pPr>
              <w:snapToGrid w:val="0"/>
              <w:spacing w:line="400" w:lineRule="exact"/>
              <w:ind w:firstLine="420" w:firstLineChars="200"/>
            </w:pPr>
            <w:r>
              <w:rPr>
                <w:rFonts w:hint="eastAsia"/>
              </w:rPr>
              <w:t>4、供应商具有有效的食品安全管理体系标准认证的得</w:t>
            </w:r>
            <w:r>
              <w:rPr>
                <w:rFonts w:hint="eastAsia"/>
                <w:lang w:val="en-US" w:eastAsia="zh-CN"/>
              </w:rPr>
              <w:t>1</w:t>
            </w:r>
            <w:r>
              <w:rPr>
                <w:rFonts w:hint="eastAsia"/>
              </w:rPr>
              <w:t>分，无不得分。</w:t>
            </w:r>
          </w:p>
          <w:p>
            <w:pPr>
              <w:snapToGrid w:val="0"/>
              <w:spacing w:line="400" w:lineRule="exact"/>
              <w:ind w:firstLine="420" w:firstLineChars="200"/>
            </w:pPr>
            <w:r>
              <w:rPr>
                <w:rFonts w:hint="eastAsia"/>
              </w:rPr>
              <w:t>5、供应商具有有效的危害分析与关键控制点体系标准认证的得</w:t>
            </w:r>
            <w:r>
              <w:rPr>
                <w:rFonts w:hint="eastAsia"/>
                <w:lang w:val="en-US" w:eastAsia="zh-CN"/>
              </w:rPr>
              <w:t>1</w:t>
            </w:r>
            <w:r>
              <w:rPr>
                <w:rFonts w:hint="eastAsia"/>
              </w:rPr>
              <w:t>分，无不得分。</w:t>
            </w:r>
          </w:p>
          <w:p>
            <w:pPr>
              <w:snapToGrid w:val="0"/>
              <w:spacing w:line="400" w:lineRule="exact"/>
              <w:ind w:firstLine="420" w:firstLineChars="200"/>
            </w:pPr>
            <w:r>
              <w:rPr>
                <w:rFonts w:hint="eastAsia"/>
              </w:rPr>
              <w:t>注：提供上述相关证书复印件并加盖供应商公章。</w:t>
            </w:r>
          </w:p>
        </w:tc>
        <w:tc>
          <w:tcPr>
            <w:tcW w:w="1133" w:type="dxa"/>
            <w:noWrap/>
            <w:vAlign w:val="center"/>
          </w:tcPr>
          <w:p>
            <w:pPr>
              <w:snapToGrid w:val="0"/>
              <w:spacing w:line="400" w:lineRule="exact"/>
              <w:ind w:firstLine="420" w:firstLineChars="200"/>
            </w:pPr>
            <w:r>
              <w:rPr>
                <w:rFonts w:hint="eastAsia"/>
              </w:rPr>
              <w:t>共同评分因素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ign w:val="center"/>
          </w:tcPr>
          <w:p>
            <w:pPr>
              <w:snapToGrid w:val="0"/>
              <w:spacing w:line="400" w:lineRule="exact"/>
            </w:pPr>
            <w:r>
              <w:rPr>
                <w:rFonts w:hint="eastAsia"/>
              </w:rPr>
              <w:t>10</w:t>
            </w:r>
          </w:p>
        </w:tc>
        <w:tc>
          <w:tcPr>
            <w:tcW w:w="1662" w:type="dxa"/>
            <w:noWrap/>
            <w:vAlign w:val="center"/>
          </w:tcPr>
          <w:p>
            <w:pPr>
              <w:snapToGrid w:val="0"/>
              <w:spacing w:line="400" w:lineRule="exact"/>
              <w:rPr>
                <w:rFonts w:hint="eastAsia" w:eastAsia="宋体"/>
                <w:lang w:eastAsia="zh-CN"/>
              </w:rPr>
            </w:pPr>
            <w:r>
              <w:rPr>
                <w:rFonts w:hint="eastAsia"/>
                <w:lang w:eastAsia="zh-CN"/>
              </w:rPr>
              <w:t>食品安全保障及溯源体系</w:t>
            </w:r>
          </w:p>
        </w:tc>
        <w:tc>
          <w:tcPr>
            <w:tcW w:w="684" w:type="dxa"/>
            <w:noWrap/>
            <w:vAlign w:val="center"/>
          </w:tcPr>
          <w:p>
            <w:pPr>
              <w:snapToGrid w:val="0"/>
              <w:spacing w:line="400" w:lineRule="exact"/>
            </w:pPr>
            <w:r>
              <w:rPr>
                <w:rFonts w:hint="eastAsia"/>
              </w:rPr>
              <w:t>6</w:t>
            </w:r>
          </w:p>
        </w:tc>
        <w:tc>
          <w:tcPr>
            <w:tcW w:w="4723" w:type="dxa"/>
            <w:noWrap/>
          </w:tcPr>
          <w:p>
            <w:pPr>
              <w:snapToGrid w:val="0"/>
              <w:spacing w:line="400" w:lineRule="exact"/>
              <w:ind w:firstLine="420" w:firstLineChars="200"/>
            </w:pPr>
            <w:r>
              <w:rPr>
                <w:rFonts w:hint="eastAsia"/>
              </w:rPr>
              <w:t>1、自有或合作的蔬菜生产基地的得2分，没有不得分。</w:t>
            </w:r>
          </w:p>
          <w:p>
            <w:pPr>
              <w:snapToGrid w:val="0"/>
              <w:spacing w:line="400" w:lineRule="exact"/>
              <w:ind w:firstLine="420" w:firstLineChars="200"/>
            </w:pPr>
            <w:r>
              <w:rPr>
                <w:rFonts w:hint="eastAsia"/>
              </w:rPr>
              <w:t>注：自有的提供土地流转合同或土地流转协议，合作的提供合作协议及合作方的土地流转合同或土地流转协议复印件并加盖供应商公章。</w:t>
            </w:r>
          </w:p>
          <w:p>
            <w:pPr>
              <w:snapToGrid w:val="0"/>
              <w:spacing w:line="400" w:lineRule="exact"/>
              <w:ind w:firstLine="420" w:firstLineChars="200"/>
            </w:pPr>
            <w:r>
              <w:rPr>
                <w:rFonts w:hint="eastAsia"/>
              </w:rPr>
              <w:t>2、供应商购买有食品安全责任保险，保额5000万（含）及以上的得2分，5000万（不含）-4000万（含）得1分，4000万（不含）及以下不得分。</w:t>
            </w:r>
          </w:p>
          <w:p>
            <w:pPr>
              <w:snapToGrid w:val="0"/>
              <w:spacing w:line="400" w:lineRule="exact"/>
              <w:ind w:firstLine="420" w:firstLineChars="200"/>
            </w:pPr>
            <w:r>
              <w:rPr>
                <w:rFonts w:hint="eastAsia"/>
              </w:rPr>
              <w:t>注：提供提供保单正本复印件并加盖供应商公章。</w:t>
            </w:r>
          </w:p>
          <w:p>
            <w:pPr>
              <w:snapToGrid w:val="0"/>
              <w:spacing w:line="400" w:lineRule="exact"/>
              <w:ind w:firstLine="420" w:firstLineChars="200"/>
            </w:pPr>
            <w:r>
              <w:rPr>
                <w:rFonts w:hint="eastAsia"/>
              </w:rPr>
              <w:t>3、供应商具有食材溯源管理系统的得2分。</w:t>
            </w:r>
          </w:p>
          <w:p>
            <w:pPr>
              <w:snapToGrid w:val="0"/>
              <w:spacing w:line="400" w:lineRule="exact"/>
              <w:ind w:firstLine="420" w:firstLineChars="200"/>
            </w:pPr>
            <w:r>
              <w:rPr>
                <w:rFonts w:hint="eastAsia"/>
              </w:rPr>
              <w:t>注：自主开发的提供著作权登记证书复印件并加盖公章，再提供系统管理界面截图并加盖公章；购买使用的提供合同复印件及发票复印件并加盖供应商公章，再提供系统管理界面截图并加盖供应商公章。</w:t>
            </w:r>
          </w:p>
        </w:tc>
        <w:tc>
          <w:tcPr>
            <w:tcW w:w="1133" w:type="dxa"/>
            <w:noWrap/>
            <w:vAlign w:val="center"/>
          </w:tcPr>
          <w:p>
            <w:pPr>
              <w:snapToGrid w:val="0"/>
              <w:spacing w:line="400" w:lineRule="exact"/>
              <w:ind w:firstLine="420" w:firstLineChars="200"/>
            </w:pPr>
            <w:r>
              <w:rPr>
                <w:rFonts w:hint="eastAsia"/>
              </w:rPr>
              <w:t>共同评分因素</w:t>
            </w:r>
          </w:p>
        </w:tc>
      </w:tr>
    </w:tbl>
    <w:p>
      <w:pPr>
        <w:snapToGrid w:val="0"/>
        <w:spacing w:line="400" w:lineRule="exact"/>
      </w:pPr>
      <w:r>
        <w:rPr>
          <w:rFonts w:hint="eastAsia"/>
        </w:rPr>
        <w:t>注：评分的取值按四舍五入法，保留小数点后两位。</w:t>
      </w:r>
    </w:p>
    <w:bookmarkEnd w:id="714"/>
    <w:bookmarkEnd w:id="715"/>
    <w:bookmarkEnd w:id="716"/>
    <w:bookmarkEnd w:id="717"/>
    <w:bookmarkEnd w:id="859"/>
    <w:p>
      <w:pPr>
        <w:snapToGrid w:val="0"/>
        <w:spacing w:line="400" w:lineRule="exact"/>
        <w:ind w:firstLine="420" w:firstLineChars="200"/>
      </w:pPr>
      <w:bookmarkStart w:id="860" w:name="_Toc217446059"/>
      <w:bookmarkStart w:id="861" w:name="PO_默认文件内容_30"/>
      <w:r>
        <w:rPr>
          <w:rFonts w:hint="eastAsia"/>
        </w:rPr>
        <w:t>3.3.4评审得分＝（A1＋A2＋……＋An）/NA＋（B1＋B2＋……＋Bn）/ NB＋（C1＋C2＋……＋Cn）/ NC＋（D1＋D2＋……＋Dn）/ ND</w:t>
      </w:r>
    </w:p>
    <w:p>
      <w:pPr>
        <w:snapToGrid w:val="0"/>
        <w:spacing w:line="400" w:lineRule="exact"/>
        <w:ind w:firstLine="420" w:firstLineChars="200"/>
      </w:pPr>
      <w:r>
        <w:rPr>
          <w:rFonts w:hint="eastAsia"/>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bookmarkEnd w:id="860"/>
    <w:p>
      <w:pPr>
        <w:pStyle w:val="4"/>
        <w:keepNext w:val="0"/>
        <w:keepLines w:val="0"/>
        <w:spacing w:before="0" w:after="0" w:line="400" w:lineRule="exact"/>
        <w:ind w:firstLine="482" w:firstLineChars="200"/>
        <w:jc w:val="both"/>
        <w:rPr>
          <w:rFonts w:ascii="宋体" w:hAnsi="宋体"/>
          <w:sz w:val="24"/>
          <w:szCs w:val="24"/>
        </w:rPr>
      </w:pPr>
      <w:bookmarkStart w:id="862" w:name="_Toc13277"/>
      <w:bookmarkStart w:id="863" w:name="_Toc17143_WPSOffice_Level2"/>
      <w:bookmarkStart w:id="864" w:name="_Toc30652"/>
      <w:bookmarkStart w:id="865" w:name="_Toc5217"/>
      <w:bookmarkStart w:id="866" w:name="_Toc9048"/>
      <w:bookmarkStart w:id="867" w:name="_Toc22039"/>
      <w:bookmarkStart w:id="868" w:name="_Toc16767"/>
      <w:bookmarkStart w:id="869" w:name="_Toc30744"/>
      <w:bookmarkStart w:id="870" w:name="_Toc19698"/>
      <w:r>
        <w:rPr>
          <w:rFonts w:hint="eastAsia" w:ascii="宋体" w:hAnsi="宋体"/>
          <w:sz w:val="24"/>
          <w:szCs w:val="24"/>
        </w:rPr>
        <w:t>4.磋商纪律及注意事项</w:t>
      </w:r>
      <w:bookmarkEnd w:id="862"/>
      <w:bookmarkEnd w:id="863"/>
      <w:bookmarkEnd w:id="864"/>
      <w:bookmarkEnd w:id="865"/>
      <w:bookmarkEnd w:id="866"/>
      <w:bookmarkEnd w:id="867"/>
      <w:bookmarkEnd w:id="868"/>
      <w:bookmarkEnd w:id="869"/>
      <w:bookmarkEnd w:id="870"/>
    </w:p>
    <w:p>
      <w:pPr>
        <w:tabs>
          <w:tab w:val="left" w:pos="851"/>
        </w:tabs>
        <w:spacing w:line="400" w:lineRule="exact"/>
        <w:ind w:firstLine="420" w:firstLineChars="200"/>
        <w:rPr>
          <w:rFonts w:ascii="宋体" w:hAnsi="宋体"/>
          <w:szCs w:val="21"/>
        </w:rPr>
      </w:pPr>
      <w:r>
        <w:rPr>
          <w:rFonts w:hint="eastAsia" w:ascii="宋体" w:hAnsi="宋体"/>
          <w:szCs w:val="21"/>
        </w:rPr>
        <w:t>4.1磋商小组内部讨论的情况和意见必须保密，任何人不得以任何形式透露给供应商或与供应商有关的单位或个人。</w:t>
      </w:r>
    </w:p>
    <w:p>
      <w:pPr>
        <w:tabs>
          <w:tab w:val="left" w:pos="851"/>
        </w:tabs>
        <w:spacing w:line="400" w:lineRule="exact"/>
        <w:ind w:firstLine="420" w:firstLineChars="200"/>
        <w:rPr>
          <w:rFonts w:ascii="宋体" w:hAnsi="宋体"/>
          <w:szCs w:val="21"/>
        </w:rPr>
      </w:pPr>
      <w:r>
        <w:rPr>
          <w:rFonts w:hint="eastAsia" w:ascii="宋体" w:hAnsi="宋体"/>
          <w:szCs w:val="21"/>
        </w:rPr>
        <w:t>4.2在磋商过程中，供应商不得以任何形式对磋商小组成员进行旨在影响谈判结果的私下接触，否则将取消其参与磋商的资格。</w:t>
      </w:r>
    </w:p>
    <w:p>
      <w:pPr>
        <w:tabs>
          <w:tab w:val="left" w:pos="851"/>
        </w:tabs>
        <w:spacing w:line="400" w:lineRule="exact"/>
        <w:ind w:firstLine="420" w:firstLineChars="200"/>
        <w:rPr>
          <w:rFonts w:ascii="宋体" w:hAnsi="宋体"/>
          <w:szCs w:val="21"/>
        </w:rPr>
      </w:pPr>
      <w:r>
        <w:rPr>
          <w:rFonts w:hint="eastAsia" w:ascii="宋体" w:hAnsi="宋体"/>
          <w:szCs w:val="21"/>
        </w:rPr>
        <w:t>4.3</w:t>
      </w:r>
      <w:r>
        <w:rPr>
          <w:rFonts w:hint="eastAsia"/>
          <w:szCs w:val="21"/>
        </w:rPr>
        <w:t>对各供应商的商业秘密，磋商小组成员应予以保密，不得泄露给其他供应商。</w:t>
      </w:r>
    </w:p>
    <w:p>
      <w:pPr>
        <w:tabs>
          <w:tab w:val="left" w:pos="851"/>
        </w:tabs>
        <w:spacing w:line="400" w:lineRule="exact"/>
        <w:ind w:firstLine="420" w:firstLineChars="200"/>
        <w:rPr>
          <w:rFonts w:ascii="宋体" w:hAnsi="宋体"/>
          <w:szCs w:val="21"/>
        </w:rPr>
      </w:pPr>
      <w:r>
        <w:rPr>
          <w:rFonts w:hint="eastAsia" w:ascii="宋体" w:hAnsi="宋体"/>
          <w:szCs w:val="21"/>
        </w:rPr>
        <w:t>4.4 磋商小组独立评判，推荐成交候选人，并写出书面报告。</w:t>
      </w:r>
    </w:p>
    <w:p>
      <w:pPr>
        <w:tabs>
          <w:tab w:val="left" w:pos="851"/>
        </w:tabs>
        <w:spacing w:line="400" w:lineRule="exact"/>
        <w:ind w:firstLine="420" w:firstLineChars="200"/>
        <w:rPr>
          <w:rFonts w:ascii="宋体" w:hAnsi="宋体"/>
          <w:szCs w:val="21"/>
        </w:rPr>
      </w:pPr>
      <w:r>
        <w:rPr>
          <w:rFonts w:hint="eastAsia" w:ascii="宋体" w:hAnsi="宋体"/>
          <w:szCs w:val="21"/>
        </w:rPr>
        <w:t>4.5 磋商小组可根据需要对供应商进行实地考察。</w:t>
      </w:r>
    </w:p>
    <w:p>
      <w:pPr>
        <w:pStyle w:val="4"/>
        <w:keepNext w:val="0"/>
        <w:keepLines w:val="0"/>
        <w:spacing w:before="0" w:after="0" w:line="400" w:lineRule="exact"/>
        <w:ind w:firstLine="472" w:firstLineChars="196"/>
        <w:jc w:val="both"/>
        <w:rPr>
          <w:rFonts w:ascii="宋体" w:hAnsi="宋体"/>
          <w:sz w:val="24"/>
          <w:szCs w:val="24"/>
        </w:rPr>
      </w:pPr>
      <w:bookmarkStart w:id="871" w:name="_Toc5194"/>
      <w:bookmarkStart w:id="872" w:name="_Toc14454"/>
      <w:bookmarkStart w:id="873" w:name="_Toc6440"/>
      <w:bookmarkStart w:id="874" w:name="_Toc22337"/>
      <w:bookmarkStart w:id="875" w:name="_Toc5302_WPSOffice_Level2"/>
      <w:bookmarkStart w:id="876" w:name="_Toc1855"/>
      <w:bookmarkStart w:id="877" w:name="_Toc740"/>
      <w:bookmarkStart w:id="878" w:name="_Toc21095"/>
      <w:bookmarkStart w:id="879" w:name="_Toc28518"/>
      <w:r>
        <w:rPr>
          <w:rFonts w:hint="eastAsia" w:ascii="宋体" w:hAnsi="宋体"/>
          <w:sz w:val="24"/>
          <w:szCs w:val="24"/>
        </w:rPr>
        <w:t>5.</w:t>
      </w:r>
      <w:bookmarkEnd w:id="718"/>
      <w:r>
        <w:rPr>
          <w:rFonts w:hint="eastAsia" w:ascii="宋体" w:hAnsi="宋体"/>
          <w:sz w:val="24"/>
          <w:szCs w:val="24"/>
        </w:rPr>
        <w:t>磋商小组在政府采购活动中承担以下义务：</w:t>
      </w:r>
      <w:bookmarkEnd w:id="871"/>
      <w:bookmarkEnd w:id="872"/>
      <w:bookmarkEnd w:id="873"/>
      <w:bookmarkEnd w:id="874"/>
      <w:bookmarkEnd w:id="875"/>
      <w:bookmarkEnd w:id="876"/>
      <w:bookmarkEnd w:id="877"/>
      <w:bookmarkEnd w:id="878"/>
      <w:bookmarkEnd w:id="879"/>
    </w:p>
    <w:p>
      <w:pPr>
        <w:tabs>
          <w:tab w:val="left" w:pos="7665"/>
        </w:tabs>
        <w:spacing w:line="400" w:lineRule="exact"/>
        <w:ind w:firstLine="420" w:firstLineChars="200"/>
        <w:rPr>
          <w:rFonts w:ascii="宋体" w:hAnsi="宋体"/>
          <w:szCs w:val="21"/>
          <w:lang w:val="zh-TW" w:eastAsia="zh-TW"/>
        </w:rPr>
      </w:pPr>
      <w:bookmarkStart w:id="880" w:name="_Toc4078"/>
      <w:bookmarkStart w:id="881" w:name="_Toc29483"/>
      <w:bookmarkStart w:id="882" w:name="_Toc1675"/>
      <w:bookmarkStart w:id="883" w:name="_Toc24660"/>
      <w:bookmarkStart w:id="884" w:name="_Toc418"/>
      <w:bookmarkStart w:id="885" w:name="_Toc20876"/>
      <w:bookmarkStart w:id="886" w:name="_Toc12573"/>
      <w:bookmarkStart w:id="887" w:name="_Toc32696"/>
      <w:bookmarkStart w:id="888" w:name="_Toc20247_WPSOffice_Level2"/>
      <w:r>
        <w:rPr>
          <w:rFonts w:hint="eastAsia" w:ascii="宋体" w:hAnsi="宋体"/>
          <w:szCs w:val="21"/>
          <w:lang w:val="zh-TW" w:eastAsia="zh-TW"/>
        </w:rPr>
        <w:t>（一）遵守评审工作纪律；</w:t>
      </w:r>
      <w:bookmarkEnd w:id="880"/>
      <w:bookmarkEnd w:id="881"/>
      <w:bookmarkEnd w:id="882"/>
    </w:p>
    <w:p>
      <w:pPr>
        <w:tabs>
          <w:tab w:val="left" w:pos="7665"/>
        </w:tabs>
        <w:spacing w:line="400" w:lineRule="exact"/>
        <w:ind w:firstLine="420" w:firstLineChars="200"/>
        <w:rPr>
          <w:rFonts w:ascii="宋体" w:hAnsi="宋体"/>
          <w:szCs w:val="21"/>
          <w:lang w:val="zh-TW" w:eastAsia="zh-TW"/>
        </w:rPr>
      </w:pPr>
      <w:bookmarkStart w:id="889" w:name="_Toc24288"/>
      <w:bookmarkStart w:id="890" w:name="_Toc28053"/>
      <w:bookmarkStart w:id="891" w:name="_Toc15232"/>
      <w:r>
        <w:rPr>
          <w:rFonts w:hint="eastAsia" w:ascii="宋体" w:hAnsi="宋体"/>
          <w:szCs w:val="21"/>
          <w:lang w:val="zh-TW" w:eastAsia="zh-TW"/>
        </w:rPr>
        <w:t>（二）按照客观、公正、审慎的原则，根据磋商文件规定的评审程序、评审方法和评审标准进行独立评审；</w:t>
      </w:r>
      <w:bookmarkEnd w:id="889"/>
      <w:bookmarkEnd w:id="890"/>
      <w:bookmarkEnd w:id="891"/>
    </w:p>
    <w:p>
      <w:pPr>
        <w:tabs>
          <w:tab w:val="left" w:pos="7665"/>
        </w:tabs>
        <w:spacing w:line="400" w:lineRule="exact"/>
        <w:ind w:firstLine="420" w:firstLineChars="200"/>
        <w:rPr>
          <w:rFonts w:ascii="宋体" w:hAnsi="宋体"/>
          <w:szCs w:val="21"/>
          <w:lang w:val="zh-TW" w:eastAsia="zh-TW"/>
        </w:rPr>
      </w:pPr>
      <w:bookmarkStart w:id="892" w:name="_Toc12943"/>
      <w:bookmarkStart w:id="893" w:name="_Toc6109"/>
      <w:bookmarkStart w:id="894" w:name="_Toc8857"/>
      <w:r>
        <w:rPr>
          <w:rFonts w:hint="eastAsia" w:ascii="宋体" w:hAnsi="宋体"/>
          <w:szCs w:val="21"/>
          <w:lang w:val="zh-TW" w:eastAsia="zh-TW"/>
        </w:rPr>
        <w:t>（三）不得泄露评审文件、评审情况和在评审过程中获悉的商业秘密；</w:t>
      </w:r>
      <w:bookmarkEnd w:id="892"/>
      <w:bookmarkEnd w:id="893"/>
      <w:bookmarkEnd w:id="894"/>
    </w:p>
    <w:p>
      <w:pPr>
        <w:tabs>
          <w:tab w:val="left" w:pos="7665"/>
        </w:tabs>
        <w:spacing w:line="400" w:lineRule="exact"/>
        <w:ind w:firstLine="420" w:firstLineChars="200"/>
        <w:rPr>
          <w:rFonts w:ascii="宋体" w:hAnsi="宋体"/>
          <w:szCs w:val="21"/>
          <w:lang w:val="zh-TW" w:eastAsia="zh-TW"/>
        </w:rPr>
      </w:pPr>
      <w:bookmarkStart w:id="895" w:name="_Toc29485"/>
      <w:bookmarkStart w:id="896" w:name="_Toc4160"/>
      <w:bookmarkStart w:id="897" w:name="_Toc16176"/>
      <w:r>
        <w:rPr>
          <w:rFonts w:hint="eastAsia" w:ascii="宋体" w:hAnsi="宋体"/>
          <w:szCs w:val="21"/>
          <w:lang w:val="zh-TW" w:eastAsia="zh-TW"/>
        </w:rPr>
        <w:t>（四）及时向财政部门报告评审过程中发现的采购人、采购代理机构向评审专家做倾向性、误导性的解释或者说明，以及供应商行贿、提供虚假材料或者串通等违法行为；</w:t>
      </w:r>
      <w:bookmarkEnd w:id="895"/>
      <w:bookmarkEnd w:id="896"/>
      <w:bookmarkEnd w:id="897"/>
    </w:p>
    <w:p>
      <w:pPr>
        <w:tabs>
          <w:tab w:val="left" w:pos="7665"/>
        </w:tabs>
        <w:spacing w:line="400" w:lineRule="exact"/>
        <w:ind w:firstLine="420" w:firstLineChars="200"/>
        <w:rPr>
          <w:rFonts w:ascii="宋体" w:hAnsi="宋体"/>
          <w:szCs w:val="21"/>
          <w:lang w:val="zh-TW" w:eastAsia="zh-TW"/>
        </w:rPr>
      </w:pPr>
      <w:bookmarkStart w:id="898" w:name="_Toc1496"/>
      <w:bookmarkStart w:id="899" w:name="_Toc16659"/>
      <w:bookmarkStart w:id="900" w:name="_Toc15908"/>
      <w:r>
        <w:rPr>
          <w:rFonts w:hint="eastAsia" w:ascii="宋体" w:hAnsi="宋体"/>
          <w:szCs w:val="21"/>
          <w:lang w:val="zh-TW" w:eastAsia="zh-TW"/>
        </w:rPr>
        <w:t>（五）发现磋商文件内容违反国家有关强制性规定或者磋商文件存在歧义、重大缺陷导致评审工作无法进行时，停止评审并向采购人或者采购代理机构书面说明情况；</w:t>
      </w:r>
      <w:bookmarkEnd w:id="898"/>
      <w:bookmarkEnd w:id="899"/>
      <w:bookmarkEnd w:id="900"/>
    </w:p>
    <w:p>
      <w:pPr>
        <w:tabs>
          <w:tab w:val="left" w:pos="7665"/>
        </w:tabs>
        <w:spacing w:line="400" w:lineRule="exact"/>
        <w:ind w:firstLine="420" w:firstLineChars="200"/>
        <w:rPr>
          <w:rFonts w:ascii="宋体" w:hAnsi="宋体"/>
          <w:szCs w:val="21"/>
          <w:lang w:val="zh-TW" w:eastAsia="zh-TW"/>
        </w:rPr>
      </w:pPr>
      <w:bookmarkStart w:id="901" w:name="_Toc8600"/>
      <w:bookmarkStart w:id="902" w:name="_Toc31799"/>
      <w:bookmarkStart w:id="903" w:name="_Toc8586"/>
      <w:r>
        <w:rPr>
          <w:rFonts w:hint="eastAsia" w:ascii="宋体" w:hAnsi="宋体"/>
          <w:szCs w:val="21"/>
          <w:lang w:val="zh-TW" w:eastAsia="zh-TW"/>
        </w:rPr>
        <w:t>（六）及时向财政、监察等部门举报在评审过程中受到非法干预的情况；</w:t>
      </w:r>
      <w:bookmarkEnd w:id="901"/>
      <w:bookmarkEnd w:id="902"/>
      <w:bookmarkEnd w:id="903"/>
    </w:p>
    <w:p>
      <w:pPr>
        <w:tabs>
          <w:tab w:val="left" w:pos="7665"/>
        </w:tabs>
        <w:spacing w:line="400" w:lineRule="exact"/>
        <w:ind w:firstLine="420" w:firstLineChars="200"/>
        <w:rPr>
          <w:rFonts w:ascii="宋体" w:hAnsi="宋体"/>
          <w:szCs w:val="21"/>
          <w:lang w:val="zh-TW" w:eastAsia="zh-TW"/>
        </w:rPr>
      </w:pPr>
      <w:bookmarkStart w:id="904" w:name="_Toc28835"/>
      <w:bookmarkStart w:id="905" w:name="_Toc9279"/>
      <w:bookmarkStart w:id="906" w:name="_Toc21702"/>
      <w:r>
        <w:rPr>
          <w:rFonts w:hint="eastAsia" w:ascii="宋体" w:hAnsi="宋体"/>
          <w:szCs w:val="21"/>
          <w:lang w:val="zh-TW" w:eastAsia="zh-TW"/>
        </w:rPr>
        <w:t>（七）配合答复处理供应商的询问、质疑和投诉等事项；</w:t>
      </w:r>
      <w:bookmarkEnd w:id="904"/>
      <w:bookmarkEnd w:id="905"/>
      <w:bookmarkEnd w:id="906"/>
    </w:p>
    <w:p>
      <w:pPr>
        <w:tabs>
          <w:tab w:val="left" w:pos="7665"/>
        </w:tabs>
        <w:spacing w:line="400" w:lineRule="exact"/>
        <w:ind w:firstLine="420" w:firstLineChars="200"/>
        <w:rPr>
          <w:rFonts w:ascii="宋体" w:hAnsi="宋体"/>
          <w:szCs w:val="21"/>
          <w:lang w:val="zh-TW" w:eastAsia="zh-TW"/>
        </w:rPr>
      </w:pPr>
      <w:bookmarkStart w:id="907" w:name="_Toc30741"/>
      <w:bookmarkStart w:id="908" w:name="_Toc2361"/>
      <w:bookmarkStart w:id="909" w:name="_Toc946"/>
      <w:r>
        <w:rPr>
          <w:rFonts w:hint="eastAsia" w:ascii="宋体" w:hAnsi="宋体"/>
          <w:szCs w:val="21"/>
          <w:lang w:val="zh-TW" w:eastAsia="zh-TW"/>
        </w:rPr>
        <w:t>（八）法律、法规和规章规定的其他义务。</w:t>
      </w:r>
      <w:bookmarkEnd w:id="907"/>
      <w:bookmarkEnd w:id="908"/>
      <w:bookmarkEnd w:id="909"/>
    </w:p>
    <w:p>
      <w:pPr>
        <w:pStyle w:val="4"/>
        <w:keepNext w:val="0"/>
        <w:keepLines w:val="0"/>
        <w:spacing w:before="0" w:after="0" w:line="400" w:lineRule="exact"/>
        <w:ind w:firstLine="472" w:firstLineChars="196"/>
        <w:jc w:val="both"/>
        <w:rPr>
          <w:rFonts w:ascii="宋体" w:hAnsi="宋体"/>
          <w:sz w:val="24"/>
          <w:szCs w:val="24"/>
        </w:rPr>
      </w:pPr>
      <w:bookmarkStart w:id="910" w:name="_Toc10377"/>
      <w:bookmarkStart w:id="911" w:name="_Toc20453"/>
      <w:bookmarkStart w:id="912" w:name="_Toc199"/>
      <w:r>
        <w:rPr>
          <w:rFonts w:hint="eastAsia" w:ascii="宋体" w:hAnsi="宋体"/>
          <w:sz w:val="24"/>
          <w:szCs w:val="24"/>
        </w:rPr>
        <w:t>6.评审专家在政府采购活动中应当遵守以下工作纪律：</w:t>
      </w:r>
      <w:bookmarkEnd w:id="883"/>
      <w:bookmarkEnd w:id="884"/>
      <w:bookmarkEnd w:id="885"/>
      <w:bookmarkEnd w:id="886"/>
      <w:bookmarkEnd w:id="887"/>
      <w:bookmarkEnd w:id="888"/>
      <w:bookmarkEnd w:id="910"/>
      <w:bookmarkEnd w:id="911"/>
      <w:bookmarkEnd w:id="912"/>
    </w:p>
    <w:p>
      <w:pPr>
        <w:tabs>
          <w:tab w:val="left" w:pos="7665"/>
        </w:tabs>
        <w:spacing w:line="400" w:lineRule="exact"/>
        <w:ind w:firstLine="420" w:firstLineChars="200"/>
        <w:rPr>
          <w:rFonts w:ascii="宋体" w:hAnsi="宋体"/>
          <w:szCs w:val="21"/>
          <w:lang w:val="zh-TW" w:eastAsia="zh-TW"/>
        </w:rPr>
      </w:pPr>
      <w:r>
        <w:rPr>
          <w:rFonts w:hint="eastAsia" w:ascii="宋体" w:hAnsi="宋体"/>
          <w:szCs w:val="21"/>
          <w:lang w:val="zh-TW" w:eastAsia="zh-TW"/>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20" w:firstLineChars="200"/>
        <w:rPr>
          <w:rFonts w:ascii="宋体" w:hAnsi="宋体"/>
          <w:szCs w:val="21"/>
          <w:lang w:val="zh-TW" w:eastAsia="zh-TW"/>
        </w:rPr>
      </w:pPr>
      <w:r>
        <w:rPr>
          <w:rFonts w:hint="eastAsia" w:ascii="宋体" w:hAnsi="宋体"/>
          <w:szCs w:val="21"/>
          <w:lang w:val="zh-TW" w:eastAsia="zh-TW"/>
        </w:rPr>
        <w:t>（二）评审前，应当将通讯工具或者相关电子设备交由采购代理机构统一保管；</w:t>
      </w:r>
    </w:p>
    <w:p>
      <w:pPr>
        <w:tabs>
          <w:tab w:val="left" w:pos="7665"/>
        </w:tabs>
        <w:spacing w:line="400" w:lineRule="exact"/>
        <w:ind w:firstLine="420" w:firstLineChars="200"/>
        <w:rPr>
          <w:rFonts w:ascii="宋体" w:hAnsi="宋体"/>
          <w:szCs w:val="21"/>
          <w:lang w:val="zh-TW" w:eastAsia="zh-TW"/>
        </w:rPr>
      </w:pPr>
      <w:r>
        <w:rPr>
          <w:rFonts w:hint="eastAsia" w:ascii="宋体" w:hAnsi="宋体"/>
          <w:szCs w:val="21"/>
          <w:lang w:val="zh-TW" w:eastAsia="zh-TW"/>
        </w:rPr>
        <w:t>（三）评审过程中，不得与外界联系，因发生不可预见情况，确实需要与外界联系的，应当在监督人员监督之下办理；</w:t>
      </w:r>
    </w:p>
    <w:p>
      <w:pPr>
        <w:tabs>
          <w:tab w:val="left" w:pos="7665"/>
        </w:tabs>
        <w:spacing w:line="400" w:lineRule="exact"/>
        <w:ind w:firstLine="420" w:firstLineChars="200"/>
        <w:rPr>
          <w:rFonts w:ascii="宋体" w:hAnsi="宋体"/>
          <w:szCs w:val="21"/>
          <w:lang w:val="zh-TW" w:eastAsia="zh-TW"/>
        </w:rPr>
      </w:pPr>
      <w:r>
        <w:rPr>
          <w:rFonts w:hint="eastAsia" w:ascii="宋体" w:hAnsi="宋体"/>
          <w:szCs w:val="21"/>
          <w:lang w:val="zh-TW" w:eastAsia="zh-TW"/>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20" w:firstLineChars="200"/>
        <w:rPr>
          <w:rFonts w:ascii="宋体" w:hAnsi="宋体"/>
          <w:szCs w:val="21"/>
          <w:lang w:val="zh-TW" w:eastAsia="zh-TW"/>
        </w:rPr>
      </w:pPr>
      <w:r>
        <w:rPr>
          <w:rFonts w:hint="eastAsia" w:ascii="宋体" w:hAnsi="宋体"/>
          <w:szCs w:val="21"/>
          <w:lang w:val="zh-TW" w:eastAsia="zh-TW"/>
        </w:rPr>
        <w:t>（五）在评审过程中和评审结束后，不得记录、复制或带走任何评审资料，不得向外界透露评审内容；</w:t>
      </w:r>
    </w:p>
    <w:p>
      <w:pPr>
        <w:tabs>
          <w:tab w:val="left" w:pos="7665"/>
        </w:tabs>
        <w:spacing w:line="400" w:lineRule="exact"/>
        <w:ind w:firstLine="420" w:firstLineChars="200"/>
        <w:rPr>
          <w:rFonts w:ascii="宋体" w:hAnsi="宋体"/>
          <w:szCs w:val="21"/>
          <w:lang w:val="zh-TW" w:eastAsia="zh-TW"/>
        </w:rPr>
      </w:pPr>
      <w:r>
        <w:rPr>
          <w:rFonts w:hint="eastAsia" w:ascii="宋体" w:hAnsi="宋体"/>
          <w:szCs w:val="21"/>
          <w:lang w:val="zh-TW" w:eastAsia="zh-TW"/>
        </w:rPr>
        <w:t>（六）评审现场服从采购代理机构工作人员的管理，接受现场监督人员的合法监督；</w:t>
      </w:r>
    </w:p>
    <w:p>
      <w:pPr>
        <w:tabs>
          <w:tab w:val="left" w:pos="7665"/>
        </w:tabs>
        <w:spacing w:line="400" w:lineRule="exact"/>
        <w:ind w:firstLine="420" w:firstLineChars="200"/>
        <w:rPr>
          <w:rFonts w:ascii="宋体" w:hAnsi="宋体"/>
          <w:szCs w:val="21"/>
          <w:lang w:val="zh-TW" w:eastAsia="zh-TW"/>
        </w:rPr>
      </w:pPr>
      <w:r>
        <w:rPr>
          <w:rFonts w:hint="eastAsia" w:ascii="宋体" w:hAnsi="宋体"/>
          <w:szCs w:val="21"/>
          <w:lang w:val="zh-TW" w:eastAsia="zh-TW"/>
        </w:rPr>
        <w:t>（七）遵守有关廉洁自律规定，不得私下接触供应商，不得收受供应商及有关业务单位和个人的财物或好处，不得接受采购代理机构的请托。</w:t>
      </w:r>
    </w:p>
    <w:p>
      <w:pPr>
        <w:tabs>
          <w:tab w:val="left" w:pos="7665"/>
        </w:tabs>
        <w:spacing w:line="400" w:lineRule="exact"/>
        <w:ind w:firstLine="420" w:firstLineChars="200"/>
        <w:rPr>
          <w:rFonts w:ascii="宋体" w:hAnsi="宋体"/>
          <w:szCs w:val="21"/>
        </w:rPr>
      </w:pPr>
    </w:p>
    <w:p>
      <w:r>
        <w:br w:type="page"/>
      </w:r>
      <w:bookmarkStart w:id="913" w:name="_Toc511206483"/>
      <w:bookmarkStart w:id="914" w:name="_Toc28380_WPSOffice_Level1"/>
      <w:bookmarkStart w:id="915" w:name="_Toc5005133"/>
      <w:bookmarkStart w:id="916" w:name="_Toc12181"/>
      <w:bookmarkStart w:id="917" w:name="_Toc6796"/>
      <w:bookmarkStart w:id="918" w:name="_Toc11788"/>
    </w:p>
    <w:p>
      <w:pPr>
        <w:pStyle w:val="3"/>
        <w:spacing w:before="0" w:after="0" w:line="360" w:lineRule="auto"/>
      </w:pPr>
      <w:bookmarkStart w:id="919" w:name="_Toc22149"/>
      <w:bookmarkStart w:id="920" w:name="_Toc24399"/>
      <w:bookmarkStart w:id="921" w:name="_Toc23149"/>
      <w:bookmarkStart w:id="922" w:name="_Toc28250"/>
      <w:bookmarkStart w:id="923" w:name="_Toc18887"/>
      <w:bookmarkStart w:id="924" w:name="_Toc20698"/>
      <w:r>
        <w:rPr>
          <w:rFonts w:hint="eastAsia"/>
        </w:rPr>
        <w:t>第九章  采购合同（草案）</w:t>
      </w:r>
      <w:bookmarkEnd w:id="861"/>
      <w:bookmarkEnd w:id="913"/>
      <w:bookmarkEnd w:id="914"/>
      <w:bookmarkEnd w:id="915"/>
      <w:bookmarkEnd w:id="916"/>
      <w:bookmarkEnd w:id="917"/>
      <w:bookmarkEnd w:id="918"/>
      <w:bookmarkEnd w:id="919"/>
      <w:bookmarkEnd w:id="920"/>
      <w:bookmarkEnd w:id="921"/>
      <w:bookmarkEnd w:id="922"/>
      <w:bookmarkEnd w:id="923"/>
      <w:bookmarkEnd w:id="924"/>
    </w:p>
    <w:p/>
    <w:p>
      <w:bookmarkStart w:id="925" w:name="_Hlt101846155"/>
      <w:bookmarkEnd w:id="925"/>
    </w:p>
    <w:p>
      <w:pPr>
        <w:pStyle w:val="3"/>
        <w:spacing w:beforeLines="100" w:line="480" w:lineRule="auto"/>
        <w:rPr>
          <w:rFonts w:ascii="宋体" w:hAnsi="宋体" w:cs="宋体"/>
          <w:b w:val="0"/>
        </w:rPr>
      </w:pPr>
      <w:bookmarkStart w:id="926" w:name="_Toc362"/>
      <w:bookmarkStart w:id="927" w:name="_Toc29273_WPSOffice_Level1"/>
      <w:bookmarkStart w:id="928" w:name="_Toc5004470"/>
      <w:bookmarkStart w:id="929" w:name="_Toc5232_WPSOffice_Level1"/>
      <w:bookmarkStart w:id="930" w:name="_Toc11899"/>
      <w:bookmarkStart w:id="931" w:name="_Toc19051"/>
      <w:bookmarkStart w:id="932" w:name="_Toc24565_WPSOffice_Level1"/>
      <w:bookmarkStart w:id="933" w:name="_Toc29963"/>
      <w:bookmarkStart w:id="934" w:name="_Toc21840"/>
      <w:bookmarkStart w:id="935" w:name="_Toc11546"/>
      <w:bookmarkStart w:id="936" w:name="_Toc29386"/>
      <w:bookmarkStart w:id="937" w:name="_Toc25268"/>
      <w:bookmarkStart w:id="938" w:name="_Toc3608"/>
      <w:bookmarkStart w:id="939" w:name="_Toc18618"/>
      <w:bookmarkStart w:id="940" w:name="_Toc1083"/>
      <w:r>
        <w:rPr>
          <w:rFonts w:hint="eastAsia" w:ascii="宋体" w:hAnsi="宋体" w:cs="宋体"/>
        </w:rPr>
        <w:t>第八章 政府采购合同</w:t>
      </w:r>
      <w:bookmarkEnd w:id="926"/>
      <w:bookmarkEnd w:id="927"/>
      <w:bookmarkEnd w:id="928"/>
      <w:bookmarkEnd w:id="929"/>
      <w:bookmarkEnd w:id="930"/>
      <w:bookmarkEnd w:id="931"/>
      <w:bookmarkEnd w:id="932"/>
      <w:bookmarkEnd w:id="933"/>
      <w:bookmarkEnd w:id="934"/>
      <w:bookmarkEnd w:id="935"/>
      <w:bookmarkEnd w:id="936"/>
      <w:bookmarkEnd w:id="937"/>
    </w:p>
    <w:p>
      <w:pPr>
        <w:snapToGrid w:val="0"/>
        <w:spacing w:line="480" w:lineRule="auto"/>
        <w:ind w:firstLine="482"/>
        <w:jc w:val="center"/>
        <w:rPr>
          <w:rFonts w:ascii="宋体" w:hAnsi="宋体" w:cs="宋体"/>
          <w:b/>
          <w:szCs w:val="21"/>
        </w:rPr>
      </w:pPr>
      <w:r>
        <w:rPr>
          <w:rFonts w:hint="eastAsia" w:ascii="宋体" w:hAnsi="宋体" w:cs="宋体"/>
          <w:b/>
          <w:szCs w:val="21"/>
        </w:rPr>
        <w:t>（根据项目具体情况签订内容，模板仅供参考）</w:t>
      </w:r>
    </w:p>
    <w:p>
      <w:pPr>
        <w:spacing w:line="360" w:lineRule="auto"/>
        <w:ind w:firstLine="420" w:firstLineChars="200"/>
        <w:rPr>
          <w:rFonts w:ascii="宋体" w:hAnsi="宋体" w:cs="宋体"/>
          <w:szCs w:val="21"/>
        </w:rPr>
      </w:pPr>
      <w:r>
        <w:rPr>
          <w:rFonts w:hint="eastAsia" w:ascii="宋体" w:hAnsi="宋体" w:cs="宋体"/>
          <w:szCs w:val="21"/>
        </w:rPr>
        <w:t xml:space="preserve">合同编号：                                         </w:t>
      </w:r>
    </w:p>
    <w:p>
      <w:pPr>
        <w:spacing w:line="360" w:lineRule="auto"/>
        <w:ind w:firstLine="420" w:firstLineChars="200"/>
        <w:rPr>
          <w:rFonts w:ascii="宋体" w:hAnsi="宋体" w:cs="宋体"/>
          <w:szCs w:val="21"/>
        </w:rPr>
      </w:pPr>
      <w:r>
        <w:rPr>
          <w:rFonts w:hint="eastAsia" w:ascii="宋体" w:hAnsi="宋体" w:cs="宋体"/>
          <w:szCs w:val="21"/>
        </w:rPr>
        <w:t xml:space="preserve">签订地点： </w:t>
      </w:r>
      <w:r>
        <w:rPr>
          <w:rFonts w:hint="eastAsia" w:ascii="宋体" w:hAnsi="宋体" w:cs="宋体"/>
          <w:b/>
          <w:bCs/>
          <w:szCs w:val="21"/>
        </w:rPr>
        <w:t xml:space="preserve">       </w:t>
      </w:r>
      <w:r>
        <w:rPr>
          <w:rFonts w:hint="eastAsia" w:ascii="宋体" w:hAnsi="宋体" w:cs="宋体"/>
          <w:szCs w:val="21"/>
        </w:rPr>
        <w:t xml:space="preserve">                                 </w:t>
      </w:r>
    </w:p>
    <w:p>
      <w:pPr>
        <w:spacing w:line="360" w:lineRule="auto"/>
        <w:ind w:firstLine="420" w:firstLineChars="200"/>
        <w:rPr>
          <w:rFonts w:ascii="宋体" w:hAnsi="宋体" w:cs="宋体"/>
          <w:szCs w:val="21"/>
        </w:rPr>
      </w:pPr>
      <w:r>
        <w:rPr>
          <w:rFonts w:hint="eastAsia" w:ascii="宋体" w:hAnsi="宋体" w:cs="宋体"/>
          <w:szCs w:val="21"/>
        </w:rPr>
        <w:t xml:space="preserve">签订时间：                                         </w:t>
      </w:r>
    </w:p>
    <w:p>
      <w:pPr>
        <w:spacing w:line="360" w:lineRule="auto"/>
        <w:ind w:firstLine="420" w:firstLineChars="200"/>
        <w:rPr>
          <w:rFonts w:ascii="宋体" w:hAnsi="宋体" w:cs="宋体"/>
          <w:szCs w:val="21"/>
        </w:rPr>
      </w:pPr>
      <w:r>
        <w:rPr>
          <w:rFonts w:hint="eastAsia" w:ascii="宋体" w:hAnsi="宋体" w:cs="宋体"/>
          <w:szCs w:val="21"/>
        </w:rPr>
        <w:t xml:space="preserve">甲   方：                                         </w:t>
      </w:r>
    </w:p>
    <w:p>
      <w:pPr>
        <w:spacing w:line="360" w:lineRule="auto"/>
        <w:ind w:firstLine="420" w:firstLineChars="200"/>
        <w:rPr>
          <w:rFonts w:ascii="宋体" w:hAnsi="宋体" w:cs="宋体"/>
          <w:szCs w:val="21"/>
        </w:rPr>
      </w:pPr>
      <w:r>
        <w:rPr>
          <w:rFonts w:hint="eastAsia" w:ascii="宋体" w:hAnsi="宋体" w:cs="宋体"/>
          <w:szCs w:val="21"/>
        </w:rPr>
        <w:t xml:space="preserve">乙   方：                                          </w:t>
      </w:r>
    </w:p>
    <w:p>
      <w:pPr>
        <w:spacing w:line="360" w:lineRule="auto"/>
        <w:ind w:firstLine="105" w:firstLineChars="50"/>
        <w:rPr>
          <w:rFonts w:ascii="宋体" w:hAnsi="宋体" w:cs="宋体"/>
          <w:szCs w:val="21"/>
        </w:rPr>
      </w:pPr>
      <w:r>
        <w:rPr>
          <w:rFonts w:hint="eastAsia" w:ascii="宋体" w:hAnsi="宋体" w:cs="宋体"/>
          <w:szCs w:val="21"/>
        </w:rPr>
        <w:t>依照《中华人民共和国合同法》及其他有关法律、行政法规，遵循平等、自愿、公平和诚实信用的原则，双方就</w:t>
      </w:r>
      <w:r>
        <w:rPr>
          <w:rFonts w:hint="eastAsia" w:ascii="宋体" w:hAnsi="宋体" w:cs="宋体"/>
          <w:szCs w:val="21"/>
          <w:u w:val="single"/>
        </w:rPr>
        <w:t xml:space="preserve">                 </w:t>
      </w:r>
      <w:r>
        <w:rPr>
          <w:rFonts w:hint="eastAsia" w:ascii="宋体" w:hAnsi="宋体" w:cs="宋体"/>
          <w:szCs w:val="21"/>
        </w:rPr>
        <w:t>事</w:t>
      </w:r>
      <w:r>
        <w:rPr>
          <w:rFonts w:hint="eastAsia" w:ascii="宋体" w:hAnsi="宋体" w:cs="宋体"/>
          <w:bCs/>
          <w:szCs w:val="21"/>
        </w:rPr>
        <w:t>项协商一致，</w:t>
      </w:r>
      <w:r>
        <w:rPr>
          <w:rFonts w:hint="eastAsia" w:ascii="宋体" w:hAnsi="宋体" w:cs="宋体"/>
          <w:szCs w:val="21"/>
        </w:rPr>
        <w:t>同意按下述条款和条件签署本合同及附件。</w:t>
      </w:r>
    </w:p>
    <w:p>
      <w:pPr>
        <w:pStyle w:val="5"/>
        <w:tabs>
          <w:tab w:val="left" w:pos="567"/>
          <w:tab w:val="left" w:pos="3885"/>
        </w:tabs>
        <w:spacing w:after="0" w:line="360" w:lineRule="auto"/>
        <w:rPr>
          <w:rFonts w:ascii="宋体" w:hAnsi="宋体" w:cs="宋体"/>
          <w:szCs w:val="21"/>
        </w:rPr>
      </w:pPr>
      <w:bookmarkStart w:id="941" w:name="_Toc233048246"/>
      <w:bookmarkStart w:id="942" w:name="_Toc244407192"/>
      <w:bookmarkStart w:id="943" w:name="_Toc223749391"/>
      <w:bookmarkStart w:id="944" w:name="_Toc77400788"/>
      <w:bookmarkStart w:id="945" w:name="_Toc323824980"/>
      <w:r>
        <w:rPr>
          <w:rFonts w:hint="eastAsia" w:ascii="宋体" w:hAnsi="宋体" w:cs="宋体"/>
          <w:szCs w:val="21"/>
        </w:rPr>
        <w:t>一、</w:t>
      </w:r>
      <w:bookmarkEnd w:id="941"/>
      <w:bookmarkEnd w:id="942"/>
      <w:bookmarkEnd w:id="943"/>
      <w:bookmarkEnd w:id="944"/>
      <w:bookmarkEnd w:id="945"/>
      <w:r>
        <w:rPr>
          <w:rFonts w:hint="eastAsia" w:ascii="宋体" w:hAnsi="宋体" w:cs="宋体"/>
          <w:szCs w:val="21"/>
        </w:rPr>
        <w:t>合同范围</w:t>
      </w:r>
    </w:p>
    <w:p>
      <w:pPr>
        <w:spacing w:line="360" w:lineRule="auto"/>
        <w:ind w:firstLine="420" w:firstLineChars="200"/>
        <w:rPr>
          <w:rFonts w:ascii="宋体" w:hAnsi="宋体" w:cs="宋体"/>
          <w:szCs w:val="21"/>
        </w:rPr>
      </w:pPr>
      <w:bookmarkStart w:id="946" w:name="_Toc77400789"/>
      <w:r>
        <w:rPr>
          <w:rFonts w:hint="eastAsia" w:ascii="宋体" w:hAnsi="宋体" w:cs="宋体"/>
          <w:szCs w:val="21"/>
        </w:rPr>
        <w:t>合同约定</w:t>
      </w:r>
    </w:p>
    <w:p>
      <w:pPr>
        <w:pStyle w:val="5"/>
        <w:tabs>
          <w:tab w:val="left" w:pos="567"/>
        </w:tabs>
        <w:spacing w:after="0" w:line="360" w:lineRule="auto"/>
        <w:rPr>
          <w:rFonts w:ascii="宋体" w:hAnsi="宋体" w:cs="宋体"/>
          <w:szCs w:val="21"/>
        </w:rPr>
      </w:pPr>
      <w:bookmarkStart w:id="947" w:name="_Toc233048247"/>
      <w:bookmarkStart w:id="948" w:name="_Toc323824981"/>
      <w:bookmarkStart w:id="949" w:name="_Toc244407193"/>
      <w:bookmarkStart w:id="950" w:name="_Toc223749392"/>
      <w:r>
        <w:rPr>
          <w:rFonts w:hint="eastAsia" w:ascii="宋体" w:hAnsi="宋体" w:cs="宋体"/>
          <w:szCs w:val="21"/>
        </w:rPr>
        <w:t>二、</w:t>
      </w:r>
      <w:bookmarkEnd w:id="946"/>
      <w:bookmarkEnd w:id="947"/>
      <w:bookmarkEnd w:id="948"/>
      <w:bookmarkEnd w:id="949"/>
      <w:bookmarkEnd w:id="950"/>
      <w:r>
        <w:rPr>
          <w:rFonts w:hint="eastAsia" w:ascii="宋体" w:hAnsi="宋体" w:cs="宋体"/>
          <w:szCs w:val="21"/>
        </w:rPr>
        <w:t>服务标准</w:t>
      </w:r>
    </w:p>
    <w:p>
      <w:pPr>
        <w:pStyle w:val="13"/>
        <w:tabs>
          <w:tab w:val="left" w:pos="7745"/>
        </w:tabs>
        <w:spacing w:line="360" w:lineRule="auto"/>
        <w:ind w:firstLine="424" w:firstLineChars="202"/>
        <w:rPr>
          <w:rFonts w:hAnsi="宋体" w:cs="宋体"/>
          <w:sz w:val="21"/>
          <w:szCs w:val="21"/>
        </w:rPr>
      </w:pPr>
      <w:r>
        <w:rPr>
          <w:rFonts w:hint="eastAsia" w:hAnsi="宋体" w:cs="宋体"/>
          <w:sz w:val="21"/>
          <w:szCs w:val="21"/>
        </w:rPr>
        <w:t>按照招标</w:t>
      </w:r>
      <w:r>
        <w:rPr>
          <w:rFonts w:hAnsi="宋体" w:cs="宋体"/>
          <w:sz w:val="21"/>
          <w:szCs w:val="21"/>
        </w:rPr>
        <w:t>文件要求</w:t>
      </w:r>
      <w:r>
        <w:rPr>
          <w:rFonts w:hint="eastAsia" w:hAnsi="宋体" w:cs="宋体"/>
          <w:sz w:val="21"/>
          <w:szCs w:val="21"/>
        </w:rPr>
        <w:t>、投标人</w:t>
      </w:r>
      <w:r>
        <w:rPr>
          <w:rFonts w:hAnsi="宋体" w:cs="宋体"/>
          <w:sz w:val="21"/>
          <w:szCs w:val="21"/>
        </w:rPr>
        <w:t>递交的投标文件以及合同约定要求进行。</w:t>
      </w:r>
    </w:p>
    <w:p>
      <w:pPr>
        <w:pStyle w:val="5"/>
        <w:tabs>
          <w:tab w:val="left" w:pos="567"/>
        </w:tabs>
        <w:spacing w:after="0" w:line="360" w:lineRule="auto"/>
        <w:rPr>
          <w:rFonts w:ascii="宋体" w:hAnsi="宋体" w:cs="宋体"/>
          <w:szCs w:val="21"/>
        </w:rPr>
      </w:pPr>
      <w:r>
        <w:rPr>
          <w:rFonts w:hint="eastAsia" w:ascii="宋体" w:hAnsi="宋体" w:cs="宋体"/>
          <w:szCs w:val="21"/>
        </w:rPr>
        <w:t>三、服务时间</w:t>
      </w:r>
    </w:p>
    <w:p>
      <w:pPr>
        <w:pStyle w:val="13"/>
        <w:tabs>
          <w:tab w:val="left" w:pos="7745"/>
        </w:tabs>
        <w:spacing w:line="360" w:lineRule="auto"/>
        <w:ind w:firstLine="424" w:firstLineChars="202"/>
        <w:rPr>
          <w:rFonts w:hAnsi="宋体" w:cs="宋体"/>
          <w:bCs/>
          <w:sz w:val="21"/>
          <w:szCs w:val="21"/>
        </w:rPr>
      </w:pPr>
      <w:r>
        <w:rPr>
          <w:rFonts w:hint="eastAsia" w:hAnsi="宋体" w:cs="宋体"/>
          <w:bCs/>
          <w:sz w:val="21"/>
          <w:szCs w:val="21"/>
        </w:rPr>
        <w:t>合同签订后</w:t>
      </w:r>
    </w:p>
    <w:p>
      <w:pPr>
        <w:pStyle w:val="5"/>
        <w:tabs>
          <w:tab w:val="left" w:pos="567"/>
        </w:tabs>
        <w:spacing w:after="0" w:line="360" w:lineRule="auto"/>
        <w:rPr>
          <w:rFonts w:ascii="宋体" w:hAnsi="宋体" w:cs="宋体"/>
          <w:szCs w:val="21"/>
        </w:rPr>
      </w:pPr>
      <w:bookmarkStart w:id="951" w:name="_Toc77400790"/>
      <w:bookmarkStart w:id="952" w:name="_Toc223749393"/>
      <w:bookmarkStart w:id="953" w:name="_Toc244407194"/>
      <w:bookmarkStart w:id="954" w:name="_Toc233048248"/>
      <w:bookmarkStart w:id="955" w:name="_Toc323824982"/>
      <w:r>
        <w:rPr>
          <w:rFonts w:hint="eastAsia" w:ascii="宋体" w:hAnsi="宋体" w:cs="宋体"/>
          <w:szCs w:val="21"/>
        </w:rPr>
        <w:t>四、</w:t>
      </w:r>
      <w:bookmarkEnd w:id="951"/>
      <w:bookmarkEnd w:id="952"/>
      <w:bookmarkEnd w:id="953"/>
      <w:bookmarkEnd w:id="954"/>
      <w:bookmarkEnd w:id="955"/>
      <w:r>
        <w:rPr>
          <w:rFonts w:hint="eastAsia" w:ascii="宋体" w:hAnsi="宋体" w:cs="宋体"/>
          <w:szCs w:val="21"/>
        </w:rPr>
        <w:t>合同总价</w:t>
      </w:r>
      <w:r>
        <w:rPr>
          <w:rFonts w:ascii="宋体" w:hAnsi="宋体" w:cs="宋体"/>
          <w:szCs w:val="21"/>
        </w:rPr>
        <w:t>及支付方式</w:t>
      </w:r>
    </w:p>
    <w:p>
      <w:pPr>
        <w:tabs>
          <w:tab w:val="left" w:pos="1620"/>
        </w:tabs>
        <w:spacing w:line="360" w:lineRule="auto"/>
        <w:ind w:firstLine="420" w:firstLineChars="200"/>
        <w:rPr>
          <w:rFonts w:ascii="宋体" w:hAnsi="宋体" w:cs="宋体"/>
          <w:szCs w:val="21"/>
        </w:rPr>
      </w:pPr>
      <w:bookmarkStart w:id="956" w:name="_Toc147291370"/>
      <w:bookmarkStart w:id="957" w:name="_Toc136662576"/>
      <w:bookmarkStart w:id="958" w:name="_Toc252639373"/>
      <w:bookmarkStart w:id="959" w:name="_Toc106462692"/>
      <w:bookmarkStart w:id="960" w:name="_Toc252639204"/>
      <w:bookmarkStart w:id="961" w:name="_Toc146332858"/>
      <w:bookmarkStart w:id="962" w:name="_Toc136759361"/>
      <w:bookmarkStart w:id="963" w:name="_Toc147293118"/>
      <w:r>
        <w:rPr>
          <w:rFonts w:hint="eastAsia" w:ascii="宋体" w:hAnsi="宋体" w:cs="宋体"/>
          <w:szCs w:val="21"/>
        </w:rPr>
        <w:t>1.本合同的合同总价为人民币</w:t>
      </w:r>
      <w:r>
        <w:rPr>
          <w:rFonts w:hint="eastAsia" w:ascii="宋体" w:hAnsi="宋体" w:cs="宋体"/>
          <w:szCs w:val="21"/>
          <w:u w:val="single"/>
        </w:rPr>
        <w:t xml:space="preserve">         </w:t>
      </w:r>
      <w:r>
        <w:rPr>
          <w:rFonts w:hint="eastAsia" w:ascii="宋体" w:hAnsi="宋体" w:cs="宋体"/>
          <w:szCs w:val="21"/>
        </w:rPr>
        <w:t>，该价格为甲方向乙方支付其履行本合同所有义务的固定不变价格。</w:t>
      </w:r>
      <w:bookmarkEnd w:id="956"/>
      <w:bookmarkEnd w:id="957"/>
      <w:bookmarkEnd w:id="958"/>
      <w:bookmarkEnd w:id="959"/>
      <w:bookmarkEnd w:id="960"/>
      <w:bookmarkEnd w:id="961"/>
      <w:bookmarkEnd w:id="962"/>
      <w:bookmarkEnd w:id="963"/>
    </w:p>
    <w:p>
      <w:pPr>
        <w:spacing w:line="360" w:lineRule="auto"/>
        <w:ind w:firstLine="420" w:firstLineChars="200"/>
        <w:rPr>
          <w:rFonts w:ascii="宋体" w:hAnsi="宋体" w:cs="宋体"/>
          <w:bCs/>
          <w:szCs w:val="21"/>
        </w:rPr>
      </w:pPr>
      <w:r>
        <w:rPr>
          <w:rFonts w:ascii="宋体" w:hAnsi="宋体" w:cs="宋体"/>
          <w:bCs/>
          <w:szCs w:val="21"/>
        </w:rPr>
        <w:t>2.</w:t>
      </w:r>
      <w:r>
        <w:rPr>
          <w:rFonts w:hint="eastAsia" w:ascii="宋体" w:hAnsi="宋体" w:cs="宋体"/>
          <w:bCs/>
          <w:szCs w:val="21"/>
        </w:rPr>
        <w:t>支付方式</w:t>
      </w:r>
      <w:r>
        <w:rPr>
          <w:rFonts w:ascii="宋体" w:hAnsi="宋体" w:cs="宋体"/>
          <w:bCs/>
          <w:szCs w:val="21"/>
        </w:rPr>
        <w:t>：</w:t>
      </w:r>
    </w:p>
    <w:p>
      <w:pPr>
        <w:pStyle w:val="5"/>
        <w:tabs>
          <w:tab w:val="left" w:pos="567"/>
        </w:tabs>
        <w:spacing w:after="0" w:line="360" w:lineRule="auto"/>
        <w:rPr>
          <w:rFonts w:ascii="宋体" w:hAnsi="宋体" w:cs="宋体"/>
          <w:szCs w:val="21"/>
        </w:rPr>
      </w:pPr>
      <w:bookmarkStart w:id="964" w:name="_Toc323824986"/>
      <w:bookmarkStart w:id="965" w:name="_Toc223749403"/>
      <w:bookmarkStart w:id="966" w:name="_Toc233048258"/>
      <w:bookmarkStart w:id="967" w:name="_Toc244407203"/>
      <w:bookmarkStart w:id="968" w:name="_Toc87071011"/>
      <w:r>
        <w:rPr>
          <w:rFonts w:hint="eastAsia" w:ascii="宋体" w:hAnsi="宋体" w:cs="宋体"/>
          <w:szCs w:val="21"/>
        </w:rPr>
        <w:t>五、</w:t>
      </w:r>
      <w:bookmarkEnd w:id="964"/>
      <w:bookmarkEnd w:id="965"/>
      <w:bookmarkEnd w:id="966"/>
      <w:bookmarkEnd w:id="967"/>
      <w:bookmarkEnd w:id="968"/>
      <w:r>
        <w:rPr>
          <w:rFonts w:hint="eastAsia" w:ascii="宋体" w:hAnsi="宋体" w:cs="宋体"/>
          <w:szCs w:val="21"/>
        </w:rPr>
        <w:t>甲方责任</w:t>
      </w:r>
      <w:r>
        <w:rPr>
          <w:rFonts w:ascii="宋体" w:hAnsi="宋体" w:cs="宋体"/>
          <w:szCs w:val="21"/>
        </w:rPr>
        <w:t>及权利</w:t>
      </w:r>
    </w:p>
    <w:p>
      <w:pPr>
        <w:spacing w:line="360" w:lineRule="auto"/>
        <w:rPr>
          <w:rFonts w:ascii="宋体" w:hAnsi="宋体"/>
          <w:szCs w:val="21"/>
        </w:rPr>
      </w:pPr>
      <w:r>
        <w:rPr>
          <w:rFonts w:hint="eastAsia" w:ascii="宋体" w:hAnsi="宋体"/>
          <w:szCs w:val="21"/>
        </w:rPr>
        <w:t>1.甲方有权</w:t>
      </w:r>
      <w:r>
        <w:rPr>
          <w:rFonts w:ascii="宋体" w:hAnsi="宋体"/>
          <w:szCs w:val="21"/>
        </w:rPr>
        <w:t>对乙方服务现场进行监督和检查，督促乙方按照相关规定及要求</w:t>
      </w:r>
      <w:r>
        <w:rPr>
          <w:rFonts w:hint="eastAsia" w:ascii="宋体" w:hAnsi="宋体"/>
          <w:szCs w:val="21"/>
        </w:rPr>
        <w:t>进行</w:t>
      </w:r>
      <w:r>
        <w:rPr>
          <w:rFonts w:ascii="宋体" w:hAnsi="宋体"/>
          <w:szCs w:val="21"/>
        </w:rPr>
        <w:t>服务。</w:t>
      </w:r>
    </w:p>
    <w:p>
      <w:pPr>
        <w:pStyle w:val="48"/>
        <w:rPr>
          <w:rFonts w:ascii="宋体" w:hAnsi="宋体"/>
        </w:rPr>
      </w:pPr>
      <w:r>
        <w:rPr>
          <w:rFonts w:hint="eastAsia" w:ascii="宋体" w:hAnsi="宋体"/>
        </w:rPr>
        <w:t>2.根据</w:t>
      </w:r>
      <w:r>
        <w:rPr>
          <w:rFonts w:ascii="宋体" w:hAnsi="宋体"/>
        </w:rPr>
        <w:t>本合同规定，按时向乙方支付合同费用。</w:t>
      </w:r>
    </w:p>
    <w:p>
      <w:pPr>
        <w:pStyle w:val="48"/>
        <w:rPr>
          <w:rFonts w:ascii="宋体" w:hAnsi="宋体"/>
        </w:rPr>
      </w:pPr>
      <w:r>
        <w:rPr>
          <w:rFonts w:ascii="宋体" w:hAnsi="宋体"/>
        </w:rPr>
        <w:t>3.</w:t>
      </w:r>
      <w:r>
        <w:rPr>
          <w:rFonts w:hint="eastAsia" w:ascii="宋体" w:hAnsi="宋体"/>
        </w:rPr>
        <w:t>国家</w:t>
      </w:r>
      <w:r>
        <w:rPr>
          <w:rFonts w:ascii="宋体" w:hAnsi="宋体"/>
        </w:rPr>
        <w:t>法律、法规所规定由甲方承担的其他责任。</w:t>
      </w:r>
    </w:p>
    <w:p>
      <w:pPr>
        <w:pStyle w:val="48"/>
        <w:rPr>
          <w:rFonts w:ascii="宋体" w:hAnsi="宋体"/>
        </w:rPr>
      </w:pPr>
    </w:p>
    <w:p>
      <w:pPr>
        <w:pStyle w:val="5"/>
        <w:tabs>
          <w:tab w:val="left" w:pos="567"/>
        </w:tabs>
        <w:spacing w:after="0" w:line="360" w:lineRule="auto"/>
        <w:rPr>
          <w:rFonts w:ascii="宋体" w:hAnsi="宋体" w:cs="宋体"/>
          <w:szCs w:val="21"/>
        </w:rPr>
      </w:pPr>
      <w:r>
        <w:rPr>
          <w:rFonts w:hint="eastAsia" w:ascii="宋体" w:hAnsi="宋体" w:cs="宋体"/>
          <w:szCs w:val="21"/>
        </w:rPr>
        <w:t>六、</w:t>
      </w:r>
      <w:r>
        <w:rPr>
          <w:rFonts w:ascii="宋体" w:hAnsi="宋体" w:cs="宋体"/>
          <w:szCs w:val="21"/>
        </w:rPr>
        <w:t>乙方责任及权利</w:t>
      </w:r>
    </w:p>
    <w:p>
      <w:pPr>
        <w:pStyle w:val="48"/>
        <w:rPr>
          <w:rFonts w:ascii="宋体" w:hAnsi="宋体"/>
        </w:rPr>
      </w:pPr>
      <w:r>
        <w:rPr>
          <w:rFonts w:hint="eastAsia" w:ascii="宋体" w:hAnsi="宋体"/>
        </w:rPr>
        <w:t>1</w:t>
      </w:r>
      <w:r>
        <w:rPr>
          <w:rFonts w:ascii="宋体" w:hAnsi="宋体"/>
        </w:rPr>
        <w:t>.</w:t>
      </w:r>
      <w:r>
        <w:rPr>
          <w:rFonts w:hint="eastAsia" w:ascii="宋体" w:hAnsi="宋体"/>
        </w:rPr>
        <w:t>负责</w:t>
      </w:r>
      <w:r>
        <w:rPr>
          <w:rFonts w:ascii="宋体" w:hAnsi="宋体"/>
        </w:rPr>
        <w:t>本协议范围内所有服务内容</w:t>
      </w:r>
      <w:r>
        <w:rPr>
          <w:rFonts w:hint="eastAsia" w:ascii="宋体" w:hAnsi="宋体"/>
        </w:rPr>
        <w:t>等</w:t>
      </w:r>
      <w:r>
        <w:rPr>
          <w:rFonts w:ascii="宋体" w:hAnsi="宋体"/>
        </w:rPr>
        <w:t>相关工作。</w:t>
      </w:r>
    </w:p>
    <w:p>
      <w:pPr>
        <w:pStyle w:val="48"/>
        <w:rPr>
          <w:rFonts w:ascii="宋体" w:hAnsi="宋体"/>
        </w:rPr>
      </w:pPr>
      <w:r>
        <w:rPr>
          <w:rFonts w:ascii="宋体" w:hAnsi="宋体"/>
        </w:rPr>
        <w:t>2.</w:t>
      </w:r>
      <w:r>
        <w:rPr>
          <w:rFonts w:hint="eastAsia" w:ascii="宋体" w:hAnsi="宋体"/>
        </w:rPr>
        <w:t>根据</w:t>
      </w:r>
      <w:r>
        <w:rPr>
          <w:rFonts w:ascii="宋体" w:hAnsi="宋体"/>
        </w:rPr>
        <w:t>本合同约定向甲方收取相关服务费用。</w:t>
      </w:r>
    </w:p>
    <w:p>
      <w:pPr>
        <w:pStyle w:val="48"/>
        <w:rPr>
          <w:rFonts w:ascii="宋体" w:hAnsi="宋体"/>
        </w:rPr>
      </w:pPr>
      <w:r>
        <w:rPr>
          <w:rFonts w:ascii="宋体" w:hAnsi="宋体"/>
        </w:rPr>
        <w:t>3.</w:t>
      </w:r>
      <w:r>
        <w:rPr>
          <w:rFonts w:hint="eastAsia" w:ascii="宋体" w:hAnsi="宋体"/>
        </w:rPr>
        <w:t>国家</w:t>
      </w:r>
      <w:r>
        <w:rPr>
          <w:rFonts w:ascii="宋体" w:hAnsi="宋体"/>
        </w:rPr>
        <w:t>法律、法规所规定由甲方承担的其他责任。</w:t>
      </w:r>
    </w:p>
    <w:p>
      <w:pPr>
        <w:pStyle w:val="48"/>
        <w:rPr>
          <w:rFonts w:ascii="宋体" w:hAnsi="宋体"/>
        </w:rPr>
      </w:pPr>
    </w:p>
    <w:p>
      <w:pPr>
        <w:pStyle w:val="5"/>
        <w:tabs>
          <w:tab w:val="left" w:pos="567"/>
        </w:tabs>
        <w:spacing w:after="0" w:line="360" w:lineRule="auto"/>
        <w:rPr>
          <w:rFonts w:ascii="宋体" w:hAnsi="宋体" w:cs="宋体"/>
          <w:szCs w:val="21"/>
        </w:rPr>
      </w:pPr>
      <w:bookmarkStart w:id="969" w:name="_Toc323824987"/>
      <w:bookmarkStart w:id="970" w:name="_Toc244407205"/>
      <w:bookmarkStart w:id="971" w:name="_Toc223749405"/>
      <w:bookmarkStart w:id="972" w:name="_Toc233048260"/>
      <w:bookmarkStart w:id="973" w:name="_Toc87071013"/>
      <w:r>
        <w:rPr>
          <w:rFonts w:hint="eastAsia" w:ascii="宋体" w:hAnsi="宋体" w:cs="宋体"/>
          <w:szCs w:val="21"/>
        </w:rPr>
        <w:t>七、解决合同纠纷的方式</w:t>
      </w:r>
      <w:bookmarkEnd w:id="969"/>
      <w:bookmarkEnd w:id="970"/>
      <w:bookmarkEnd w:id="971"/>
      <w:bookmarkEnd w:id="972"/>
      <w:bookmarkEnd w:id="973"/>
    </w:p>
    <w:p>
      <w:pPr>
        <w:spacing w:line="360" w:lineRule="auto"/>
        <w:ind w:firstLine="420" w:firstLineChars="200"/>
        <w:rPr>
          <w:rFonts w:ascii="宋体" w:hAnsi="宋体" w:cs="宋体"/>
          <w:szCs w:val="21"/>
        </w:rPr>
      </w:pPr>
      <w:r>
        <w:rPr>
          <w:rFonts w:hint="eastAsia" w:ascii="宋体" w:hAnsi="宋体" w:cs="宋体"/>
          <w:szCs w:val="21"/>
        </w:rPr>
        <w:t>执行本合同中发生的或与本合同有关的争端，双方应通过友好协商的方式解决，若在60天内不能达成协议时，向甲方所在地人民法院提请诉讼。</w:t>
      </w:r>
      <w:bookmarkStart w:id="974" w:name="_Toc223749406"/>
      <w:bookmarkStart w:id="975" w:name="_Toc87071014"/>
      <w:bookmarkStart w:id="976" w:name="_Toc244407206"/>
      <w:bookmarkStart w:id="977" w:name="_Toc323824988"/>
      <w:bookmarkStart w:id="978" w:name="_Toc233048261"/>
    </w:p>
    <w:p>
      <w:pPr>
        <w:pStyle w:val="5"/>
        <w:tabs>
          <w:tab w:val="left" w:pos="567"/>
        </w:tabs>
        <w:spacing w:after="0" w:line="360" w:lineRule="auto"/>
        <w:rPr>
          <w:rFonts w:ascii="宋体" w:hAnsi="宋体" w:cs="宋体"/>
          <w:szCs w:val="21"/>
        </w:rPr>
      </w:pPr>
      <w:r>
        <w:rPr>
          <w:rFonts w:hint="eastAsia" w:ascii="宋体" w:hAnsi="宋体" w:cs="宋体"/>
          <w:szCs w:val="21"/>
        </w:rPr>
        <w:t>八、合同的修订和补充</w:t>
      </w:r>
      <w:bookmarkEnd w:id="974"/>
      <w:bookmarkEnd w:id="975"/>
      <w:bookmarkEnd w:id="976"/>
      <w:bookmarkEnd w:id="977"/>
      <w:bookmarkEnd w:id="978"/>
    </w:p>
    <w:p>
      <w:pPr>
        <w:spacing w:line="360" w:lineRule="auto"/>
        <w:ind w:firstLine="420" w:firstLineChars="200"/>
        <w:rPr>
          <w:rFonts w:ascii="宋体" w:hAnsi="宋体" w:cs="宋体"/>
          <w:szCs w:val="21"/>
        </w:rPr>
      </w:pPr>
      <w:r>
        <w:rPr>
          <w:rFonts w:hint="eastAsia" w:ascii="宋体" w:hAnsi="宋体" w:cs="宋体"/>
          <w:szCs w:val="21"/>
        </w:rPr>
        <w:t>对合同款做出的任何改动，均须由双方签署书面的合同修改书为有效。</w:t>
      </w:r>
      <w:bookmarkStart w:id="979" w:name="_Toc244407207"/>
      <w:bookmarkStart w:id="980" w:name="_Toc233048262"/>
      <w:bookmarkStart w:id="981" w:name="_Toc223749407"/>
      <w:bookmarkStart w:id="982" w:name="_Toc87071015"/>
      <w:bookmarkStart w:id="983" w:name="_Toc323824989"/>
    </w:p>
    <w:p>
      <w:pPr>
        <w:pStyle w:val="5"/>
        <w:tabs>
          <w:tab w:val="left" w:pos="567"/>
        </w:tabs>
        <w:spacing w:after="0" w:line="360" w:lineRule="auto"/>
        <w:rPr>
          <w:rFonts w:ascii="宋体" w:hAnsi="宋体" w:cs="宋体"/>
          <w:szCs w:val="21"/>
        </w:rPr>
      </w:pPr>
      <w:r>
        <w:rPr>
          <w:rFonts w:hint="eastAsia" w:ascii="宋体" w:hAnsi="宋体" w:cs="宋体"/>
          <w:szCs w:val="21"/>
        </w:rPr>
        <w:t>九、合同生效执行</w:t>
      </w:r>
      <w:bookmarkEnd w:id="979"/>
      <w:bookmarkEnd w:id="980"/>
      <w:bookmarkEnd w:id="981"/>
      <w:bookmarkEnd w:id="982"/>
      <w:bookmarkEnd w:id="983"/>
    </w:p>
    <w:p>
      <w:pPr>
        <w:spacing w:line="360" w:lineRule="auto"/>
        <w:ind w:firstLine="420" w:firstLineChars="200"/>
        <w:rPr>
          <w:rFonts w:ascii="宋体" w:hAnsi="宋体" w:cs="宋体"/>
          <w:szCs w:val="21"/>
        </w:rPr>
      </w:pPr>
      <w:r>
        <w:rPr>
          <w:rFonts w:hint="eastAsia" w:ascii="宋体" w:hAnsi="宋体" w:cs="宋体"/>
          <w:szCs w:val="21"/>
        </w:rPr>
        <w:t>1．本合同双方签章之日起生效。</w:t>
      </w:r>
    </w:p>
    <w:p>
      <w:pPr>
        <w:spacing w:line="360" w:lineRule="auto"/>
        <w:ind w:firstLine="420" w:firstLineChars="200"/>
        <w:rPr>
          <w:rFonts w:ascii="宋体" w:hAnsi="宋体" w:cs="宋体"/>
          <w:szCs w:val="21"/>
        </w:rPr>
      </w:pPr>
      <w:r>
        <w:rPr>
          <w:rFonts w:hint="eastAsia" w:ascii="宋体" w:hAnsi="宋体" w:cs="宋体"/>
          <w:szCs w:val="21"/>
        </w:rPr>
        <w:t>2．本合同一式</w:t>
      </w:r>
      <w:r>
        <w:rPr>
          <w:rFonts w:hint="eastAsia" w:ascii="宋体" w:hAnsi="宋体" w:cs="宋体"/>
          <w:szCs w:val="21"/>
          <w:u w:val="single"/>
        </w:rPr>
        <w:t xml:space="preserve">   </w:t>
      </w:r>
      <w:r>
        <w:rPr>
          <w:rFonts w:hint="eastAsia" w:ascii="宋体" w:hAnsi="宋体" w:cs="宋体"/>
          <w:szCs w:val="21"/>
        </w:rPr>
        <w:t>份，甲乙双方各执</w:t>
      </w:r>
      <w:r>
        <w:rPr>
          <w:rFonts w:hint="eastAsia" w:ascii="宋体" w:hAnsi="宋体" w:cs="宋体"/>
          <w:szCs w:val="21"/>
          <w:u w:val="single"/>
        </w:rPr>
        <w:t xml:space="preserve">   </w:t>
      </w:r>
      <w:r>
        <w:rPr>
          <w:rFonts w:hint="eastAsia" w:ascii="宋体" w:hAnsi="宋体" w:cs="宋体"/>
          <w:szCs w:val="21"/>
        </w:rPr>
        <w:t>份。</w:t>
      </w:r>
    </w:p>
    <w:p>
      <w:pPr>
        <w:spacing w:line="360" w:lineRule="auto"/>
        <w:ind w:firstLine="420" w:firstLineChars="200"/>
        <w:rPr>
          <w:rFonts w:ascii="宋体" w:hAnsi="宋体" w:cs="宋体"/>
          <w:b/>
          <w:szCs w:val="21"/>
        </w:rPr>
      </w:pPr>
      <w:r>
        <w:rPr>
          <w:rFonts w:hint="eastAsia" w:ascii="宋体" w:hAnsi="宋体" w:cs="宋体"/>
          <w:szCs w:val="21"/>
        </w:rPr>
        <w:t>3．本合同未尽事宜，由双方友好协商解决。</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r>
        <w:rPr>
          <w:rFonts w:hint="eastAsia" w:ascii="宋体" w:hAnsi="宋体" w:cs="宋体"/>
          <w:szCs w:val="21"/>
        </w:rPr>
        <w:t>甲方：                               乙方：</w:t>
      </w:r>
    </w:p>
    <w:p>
      <w:pPr>
        <w:spacing w:line="360" w:lineRule="auto"/>
        <w:ind w:firstLine="420" w:firstLineChars="200"/>
        <w:rPr>
          <w:rFonts w:ascii="宋体" w:hAnsi="宋体" w:cs="宋体"/>
          <w:szCs w:val="21"/>
        </w:rPr>
      </w:pPr>
      <w:r>
        <w:rPr>
          <w:rFonts w:hint="eastAsia" w:ascii="宋体" w:hAnsi="宋体" w:cs="宋体"/>
          <w:szCs w:val="21"/>
        </w:rPr>
        <w:t xml:space="preserve">名称（公章）：                       名称（公章）： </w:t>
      </w:r>
    </w:p>
    <w:p>
      <w:pPr>
        <w:spacing w:line="360" w:lineRule="auto"/>
        <w:ind w:firstLine="420" w:firstLineChars="200"/>
        <w:rPr>
          <w:rFonts w:ascii="宋体" w:hAnsi="宋体" w:cs="宋体"/>
          <w:szCs w:val="21"/>
        </w:rPr>
      </w:pPr>
      <w:r>
        <w:rPr>
          <w:rFonts w:hint="eastAsia" w:ascii="宋体" w:hAnsi="宋体" w:cs="宋体"/>
          <w:szCs w:val="21"/>
        </w:rPr>
        <w:t>全权代表（签字）：                   全权代表（签字）：</w:t>
      </w:r>
    </w:p>
    <w:p>
      <w:pPr>
        <w:spacing w:line="360" w:lineRule="auto"/>
        <w:ind w:firstLine="420" w:firstLineChars="200"/>
        <w:rPr>
          <w:rFonts w:ascii="宋体" w:hAnsi="宋体" w:cs="宋体"/>
          <w:szCs w:val="21"/>
        </w:rPr>
      </w:pPr>
      <w:r>
        <w:rPr>
          <w:rFonts w:hint="eastAsia" w:ascii="宋体" w:hAnsi="宋体" w:cs="宋体"/>
          <w:szCs w:val="21"/>
        </w:rPr>
        <w:t>地址：                               地址：</w:t>
      </w:r>
    </w:p>
    <w:p>
      <w:pPr>
        <w:spacing w:line="360" w:lineRule="auto"/>
        <w:ind w:firstLine="420" w:firstLineChars="200"/>
        <w:rPr>
          <w:rFonts w:ascii="宋体" w:hAnsi="宋体" w:cs="宋体"/>
          <w:szCs w:val="21"/>
        </w:rPr>
      </w:pPr>
      <w:r>
        <w:rPr>
          <w:rFonts w:hint="eastAsia" w:ascii="宋体" w:hAnsi="宋体" w:cs="宋体"/>
          <w:szCs w:val="21"/>
        </w:rPr>
        <w:t>邮政编码：                           邮政编码：</w:t>
      </w:r>
    </w:p>
    <w:p>
      <w:pPr>
        <w:spacing w:line="360" w:lineRule="auto"/>
        <w:ind w:firstLine="420" w:firstLineChars="200"/>
        <w:rPr>
          <w:rFonts w:ascii="宋体" w:hAnsi="宋体" w:cs="宋体"/>
          <w:szCs w:val="21"/>
        </w:rPr>
      </w:pPr>
      <w:r>
        <w:rPr>
          <w:rFonts w:hint="eastAsia" w:ascii="宋体" w:hAnsi="宋体" w:cs="宋体"/>
          <w:szCs w:val="21"/>
        </w:rPr>
        <w:t>电话：                               电话：</w:t>
      </w:r>
    </w:p>
    <w:p>
      <w:pPr>
        <w:spacing w:line="360" w:lineRule="auto"/>
        <w:ind w:firstLine="420" w:firstLineChars="200"/>
        <w:rPr>
          <w:rFonts w:ascii="宋体" w:hAnsi="宋体" w:cs="宋体"/>
          <w:szCs w:val="21"/>
        </w:rPr>
      </w:pPr>
      <w:r>
        <w:rPr>
          <w:rFonts w:hint="eastAsia" w:ascii="宋体" w:hAnsi="宋体" w:cs="宋体"/>
          <w:szCs w:val="21"/>
        </w:rPr>
        <w:t>开户银行：                           开户银行：</w:t>
      </w:r>
    </w:p>
    <w:p>
      <w:pPr>
        <w:spacing w:line="360" w:lineRule="auto"/>
        <w:ind w:firstLine="420" w:firstLineChars="200"/>
        <w:rPr>
          <w:rFonts w:ascii="宋体" w:hAnsi="宋体" w:cs="宋体"/>
          <w:szCs w:val="21"/>
        </w:rPr>
      </w:pPr>
      <w:r>
        <w:rPr>
          <w:rFonts w:hint="eastAsia" w:ascii="宋体" w:hAnsi="宋体" w:cs="宋体"/>
          <w:szCs w:val="21"/>
        </w:rPr>
        <w:t>账号：                               账号：</w:t>
      </w:r>
    </w:p>
    <w:p>
      <w:pPr>
        <w:pStyle w:val="62"/>
        <w:spacing w:line="360" w:lineRule="auto"/>
        <w:ind w:firstLine="0" w:firstLineChars="0"/>
        <w:rPr>
          <w:rFonts w:ascii="宋体" w:hAnsi="宋体"/>
          <w:b/>
          <w:sz w:val="21"/>
          <w:szCs w:val="21"/>
        </w:rPr>
      </w:pPr>
      <w:r>
        <w:rPr>
          <w:rFonts w:hint="eastAsia" w:ascii="宋体" w:hAnsi="宋体"/>
          <w:b/>
          <w:sz w:val="21"/>
          <w:szCs w:val="21"/>
        </w:rPr>
        <w:t>注：其他合同专用条款在合同签订时另商签订</w:t>
      </w:r>
    </w:p>
    <w:p>
      <w:pPr>
        <w:pStyle w:val="48"/>
      </w:pPr>
    </w:p>
    <w:p>
      <w:pPr>
        <w:pStyle w:val="48"/>
        <w:outlineLvl w:val="0"/>
        <w:rPr>
          <w:rFonts w:ascii="宋体" w:hAnsi="宋体" w:cs="宋体"/>
        </w:rPr>
      </w:pPr>
      <w:r>
        <w:rPr>
          <w:rFonts w:ascii="宋体" w:hAnsi="宋体"/>
        </w:rPr>
        <w:br w:type="page"/>
      </w:r>
    </w:p>
    <w:p>
      <w:pPr>
        <w:pStyle w:val="48"/>
        <w:rPr>
          <w:rFonts w:ascii="宋体" w:hAnsi="宋体"/>
        </w:rPr>
      </w:pPr>
      <w:bookmarkStart w:id="984" w:name="_Toc2188"/>
      <w:bookmarkStart w:id="985" w:name="_Toc12175"/>
      <w:r>
        <w:rPr>
          <w:rFonts w:hint="eastAsia" w:ascii="宋体" w:hAnsi="宋体" w:cs="宋体"/>
        </w:rPr>
        <w:t>信用融资附件：</w:t>
      </w:r>
      <w:bookmarkEnd w:id="984"/>
      <w:bookmarkEnd w:id="985"/>
    </w:p>
    <w:p>
      <w:pPr>
        <w:pStyle w:val="48"/>
        <w:spacing w:line="360" w:lineRule="auto"/>
        <w:rPr>
          <w:rFonts w:ascii="宋体" w:hAnsi="宋体"/>
        </w:rPr>
      </w:pPr>
      <w:r>
        <w:rPr>
          <w:rFonts w:ascii="宋体" w:hAnsi="宋体"/>
        </w:rPr>
        <w:drawing>
          <wp:inline distT="0" distB="0" distL="114300" distR="114300">
            <wp:extent cx="5941060" cy="8440420"/>
            <wp:effectExtent l="0" t="0" r="2540" b="17780"/>
            <wp:docPr id="10"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strator\AppData\Roaming\DingTalk\18198513_v2\ImageFiles\49\lALPDgQ9qzkb4y3NA4nNAn0_637_905.png"/>
                    <pic:cNvPicPr>
                      <a:picLocks noChangeAspect="1"/>
                    </pic:cNvPicPr>
                  </pic:nvPicPr>
                  <pic:blipFill>
                    <a:blip r:embed="rId21" cstate="print"/>
                    <a:stretch>
                      <a:fillRect/>
                    </a:stretch>
                  </pic:blipFill>
                  <pic:spPr>
                    <a:xfrm>
                      <a:off x="0" y="0"/>
                      <a:ext cx="5941060" cy="8440420"/>
                    </a:xfrm>
                    <a:prstGeom prst="rect">
                      <a:avLst/>
                    </a:prstGeom>
                    <a:noFill/>
                    <a:ln>
                      <a:noFill/>
                    </a:ln>
                  </pic:spPr>
                </pic:pic>
              </a:graphicData>
            </a:graphic>
          </wp:inline>
        </w:drawing>
      </w:r>
    </w:p>
    <w:p>
      <w:pPr>
        <w:pStyle w:val="48"/>
        <w:spacing w:line="360" w:lineRule="auto"/>
        <w:rPr>
          <w:rFonts w:ascii="宋体" w:hAnsi="宋体"/>
        </w:rPr>
      </w:pPr>
      <w:r>
        <w:rPr>
          <w:rFonts w:ascii="宋体" w:hAnsi="宋体"/>
        </w:rPr>
        <w:drawing>
          <wp:inline distT="0" distB="0" distL="114300" distR="114300">
            <wp:extent cx="5941060" cy="8337550"/>
            <wp:effectExtent l="0" t="0" r="2540" b="6350"/>
            <wp:docPr id="8"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Administrator\AppData\Roaming\DingTalk\18198513_v2\ImageFiles\8a\lALPDgQ9qzkdtwTNA4XNAoI_642_901.png"/>
                    <pic:cNvPicPr>
                      <a:picLocks noChangeAspect="1"/>
                    </pic:cNvPicPr>
                  </pic:nvPicPr>
                  <pic:blipFill>
                    <a:blip r:embed="rId22" cstate="print"/>
                    <a:stretch>
                      <a:fillRect/>
                    </a:stretch>
                  </pic:blipFill>
                  <pic:spPr>
                    <a:xfrm>
                      <a:off x="0" y="0"/>
                      <a:ext cx="5941060" cy="8337550"/>
                    </a:xfrm>
                    <a:prstGeom prst="rect">
                      <a:avLst/>
                    </a:prstGeom>
                    <a:noFill/>
                    <a:ln>
                      <a:noFill/>
                    </a:ln>
                  </pic:spPr>
                </pic:pic>
              </a:graphicData>
            </a:graphic>
          </wp:inline>
        </w:drawing>
      </w:r>
    </w:p>
    <w:p>
      <w:pPr>
        <w:pStyle w:val="48"/>
        <w:spacing w:line="360" w:lineRule="auto"/>
        <w:rPr>
          <w:rFonts w:ascii="宋体" w:hAnsi="宋体"/>
        </w:rPr>
      </w:pPr>
      <w:r>
        <w:rPr>
          <w:rFonts w:ascii="宋体" w:hAnsi="宋体"/>
        </w:rPr>
        <w:drawing>
          <wp:inline distT="0" distB="0" distL="114300" distR="114300">
            <wp:extent cx="5941060" cy="8237220"/>
            <wp:effectExtent l="0" t="0" r="2540" b="11430"/>
            <wp:docPr id="7"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Roaming\DingTalk\18198513_v2\ImageFiles\36\lALPDgQ9qzkb_mjNA3bNAn8_639_886.png"/>
                    <pic:cNvPicPr>
                      <a:picLocks noChangeAspect="1"/>
                    </pic:cNvPicPr>
                  </pic:nvPicPr>
                  <pic:blipFill>
                    <a:blip r:embed="rId23" cstate="print"/>
                    <a:stretch>
                      <a:fillRect/>
                    </a:stretch>
                  </pic:blipFill>
                  <pic:spPr>
                    <a:xfrm>
                      <a:off x="0" y="0"/>
                      <a:ext cx="5941060" cy="8237220"/>
                    </a:xfrm>
                    <a:prstGeom prst="rect">
                      <a:avLst/>
                    </a:prstGeom>
                    <a:noFill/>
                    <a:ln>
                      <a:noFill/>
                    </a:ln>
                  </pic:spPr>
                </pic:pic>
              </a:graphicData>
            </a:graphic>
          </wp:inline>
        </w:drawing>
      </w:r>
    </w:p>
    <w:p>
      <w:pPr>
        <w:pStyle w:val="48"/>
        <w:spacing w:line="360" w:lineRule="auto"/>
        <w:rPr>
          <w:rFonts w:ascii="宋体" w:hAnsi="宋体"/>
        </w:rPr>
      </w:pPr>
      <w:r>
        <w:rPr>
          <w:rFonts w:ascii="宋体" w:hAnsi="宋体"/>
        </w:rPr>
        <w:drawing>
          <wp:inline distT="0" distB="0" distL="114300" distR="114300">
            <wp:extent cx="5941060" cy="8303895"/>
            <wp:effectExtent l="0" t="0" r="2540" b="1905"/>
            <wp:docPr id="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Administrator\AppData\Roaming\DingTalk\18198513_v2\ImageFiles\78\lALPDgQ9qzkb4yrNA3LNAnc_631_882.png"/>
                    <pic:cNvPicPr>
                      <a:picLocks noChangeAspect="1"/>
                    </pic:cNvPicPr>
                  </pic:nvPicPr>
                  <pic:blipFill>
                    <a:blip r:embed="rId24" cstate="print"/>
                    <a:stretch>
                      <a:fillRect/>
                    </a:stretch>
                  </pic:blipFill>
                  <pic:spPr>
                    <a:xfrm>
                      <a:off x="0" y="0"/>
                      <a:ext cx="5941060" cy="8303895"/>
                    </a:xfrm>
                    <a:prstGeom prst="rect">
                      <a:avLst/>
                    </a:prstGeom>
                    <a:noFill/>
                    <a:ln>
                      <a:noFill/>
                    </a:ln>
                  </pic:spPr>
                </pic:pic>
              </a:graphicData>
            </a:graphic>
          </wp:inline>
        </w:drawing>
      </w:r>
    </w:p>
    <w:p>
      <w:pPr>
        <w:pStyle w:val="48"/>
        <w:spacing w:line="360" w:lineRule="auto"/>
        <w:rPr>
          <w:rFonts w:ascii="宋体" w:hAnsi="宋体"/>
        </w:rPr>
      </w:pPr>
      <w:r>
        <w:rPr>
          <w:rFonts w:ascii="宋体" w:hAnsi="宋体"/>
        </w:rPr>
        <w:drawing>
          <wp:inline distT="0" distB="0" distL="114300" distR="114300">
            <wp:extent cx="5941060" cy="8076565"/>
            <wp:effectExtent l="0" t="0" r="2540" b="635"/>
            <wp:docPr id="11"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dministrator\AppData\Roaming\DingTalk\18198513_v2\ImageFiles\72\lALPDgQ9qzkdtwHNA2LNAn0_637_866.png"/>
                    <pic:cNvPicPr>
                      <a:picLocks noChangeAspect="1"/>
                    </pic:cNvPicPr>
                  </pic:nvPicPr>
                  <pic:blipFill>
                    <a:blip r:embed="rId25" cstate="print"/>
                    <a:stretch>
                      <a:fillRect/>
                    </a:stretch>
                  </pic:blipFill>
                  <pic:spPr>
                    <a:xfrm>
                      <a:off x="0" y="0"/>
                      <a:ext cx="5941060" cy="8076565"/>
                    </a:xfrm>
                    <a:prstGeom prst="rect">
                      <a:avLst/>
                    </a:prstGeom>
                    <a:noFill/>
                    <a:ln>
                      <a:noFill/>
                    </a:ln>
                  </pic:spPr>
                </pic:pic>
              </a:graphicData>
            </a:graphic>
          </wp:inline>
        </w:drawing>
      </w:r>
    </w:p>
    <w:p>
      <w:pPr>
        <w:pStyle w:val="48"/>
        <w:spacing w:line="360" w:lineRule="auto"/>
        <w:rPr>
          <w:rFonts w:ascii="宋体" w:hAnsi="宋体"/>
        </w:rPr>
      </w:pPr>
      <w:r>
        <w:rPr>
          <w:rFonts w:ascii="宋体" w:hAnsi="宋体"/>
        </w:rPr>
        <w:drawing>
          <wp:inline distT="0" distB="0" distL="114300" distR="114300">
            <wp:extent cx="5941060" cy="8279765"/>
            <wp:effectExtent l="0" t="0" r="2540" b="6985"/>
            <wp:docPr id="13"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Roaming\DingTalk\18198513_v2\ImageFiles\65\lALPDgQ9qzkb_mnNA3zNAoA_640_892.png"/>
                    <pic:cNvPicPr>
                      <a:picLocks noChangeAspect="1"/>
                    </pic:cNvPicPr>
                  </pic:nvPicPr>
                  <pic:blipFill>
                    <a:blip r:embed="rId26" cstate="print"/>
                    <a:stretch>
                      <a:fillRect/>
                    </a:stretch>
                  </pic:blipFill>
                  <pic:spPr>
                    <a:xfrm>
                      <a:off x="0" y="0"/>
                      <a:ext cx="5941060" cy="8279765"/>
                    </a:xfrm>
                    <a:prstGeom prst="rect">
                      <a:avLst/>
                    </a:prstGeom>
                    <a:noFill/>
                    <a:ln>
                      <a:noFill/>
                    </a:ln>
                  </pic:spPr>
                </pic:pic>
              </a:graphicData>
            </a:graphic>
          </wp:inline>
        </w:drawing>
      </w:r>
    </w:p>
    <w:p>
      <w:pPr>
        <w:pStyle w:val="48"/>
        <w:spacing w:line="360" w:lineRule="auto"/>
        <w:rPr>
          <w:rFonts w:ascii="宋体" w:hAnsi="宋体"/>
        </w:rPr>
      </w:pPr>
      <w:r>
        <w:rPr>
          <w:rFonts w:ascii="宋体" w:hAnsi="宋体"/>
        </w:rPr>
        <w:drawing>
          <wp:inline distT="0" distB="0" distL="114300" distR="114300">
            <wp:extent cx="5941060" cy="8360410"/>
            <wp:effectExtent l="0" t="0" r="2540" b="2540"/>
            <wp:docPr id="5"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C:\Users\Administrator\AppData\Roaming\DingTalk\18198513_v2\ImageFiles\97\lALPDgQ9qzkb4yzNA3_NAnw_636_895.png"/>
                    <pic:cNvPicPr>
                      <a:picLocks noChangeAspect="1"/>
                    </pic:cNvPicPr>
                  </pic:nvPicPr>
                  <pic:blipFill>
                    <a:blip r:embed="rId27" cstate="print"/>
                    <a:stretch>
                      <a:fillRect/>
                    </a:stretch>
                  </pic:blipFill>
                  <pic:spPr>
                    <a:xfrm>
                      <a:off x="0" y="0"/>
                      <a:ext cx="5941060" cy="8360410"/>
                    </a:xfrm>
                    <a:prstGeom prst="rect">
                      <a:avLst/>
                    </a:prstGeom>
                    <a:noFill/>
                    <a:ln>
                      <a:noFill/>
                    </a:ln>
                  </pic:spPr>
                </pic:pic>
              </a:graphicData>
            </a:graphic>
          </wp:inline>
        </w:drawing>
      </w:r>
    </w:p>
    <w:p>
      <w:pPr>
        <w:pStyle w:val="48"/>
        <w:spacing w:line="360" w:lineRule="auto"/>
        <w:rPr>
          <w:rFonts w:ascii="宋体" w:hAnsi="宋体"/>
        </w:rPr>
      </w:pPr>
      <w:r>
        <w:rPr>
          <w:rFonts w:ascii="宋体" w:hAnsi="宋体"/>
        </w:rPr>
        <w:drawing>
          <wp:inline distT="0" distB="0" distL="114300" distR="114300">
            <wp:extent cx="5941060" cy="8354695"/>
            <wp:effectExtent l="0" t="0" r="2540" b="8255"/>
            <wp:docPr id="3"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Administrator\AppData\Roaming\DingTalk\18198513_v2\ImageFiles\e8\lALPDgQ9qzkdtwPNA3bNAnY_630_886.png"/>
                    <pic:cNvPicPr>
                      <a:picLocks noChangeAspect="1"/>
                    </pic:cNvPicPr>
                  </pic:nvPicPr>
                  <pic:blipFill>
                    <a:blip r:embed="rId28" cstate="print"/>
                    <a:stretch>
                      <a:fillRect/>
                    </a:stretch>
                  </pic:blipFill>
                  <pic:spPr>
                    <a:xfrm>
                      <a:off x="0" y="0"/>
                      <a:ext cx="5941060" cy="8354695"/>
                    </a:xfrm>
                    <a:prstGeom prst="rect">
                      <a:avLst/>
                    </a:prstGeom>
                    <a:noFill/>
                    <a:ln>
                      <a:noFill/>
                    </a:ln>
                  </pic:spPr>
                </pic:pic>
              </a:graphicData>
            </a:graphic>
          </wp:inline>
        </w:drawing>
      </w:r>
    </w:p>
    <w:p>
      <w:pPr>
        <w:pStyle w:val="48"/>
        <w:spacing w:line="360" w:lineRule="auto"/>
        <w:rPr>
          <w:rFonts w:ascii="宋体" w:hAnsi="宋体"/>
        </w:rPr>
      </w:pPr>
      <w:r>
        <w:rPr>
          <w:rFonts w:ascii="宋体" w:hAnsi="宋体"/>
        </w:rPr>
        <w:drawing>
          <wp:inline distT="0" distB="0" distL="114300" distR="114300">
            <wp:extent cx="5941060" cy="8089265"/>
            <wp:effectExtent l="0" t="0" r="2540" b="6985"/>
            <wp:docPr id="12"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AppData\Roaming\DingTalk\18198513_v2\ImageFiles\43\lALPDgQ9qzkb_mrNA2LNAnw_636_866.png"/>
                    <pic:cNvPicPr>
                      <a:picLocks noChangeAspect="1"/>
                    </pic:cNvPicPr>
                  </pic:nvPicPr>
                  <pic:blipFill>
                    <a:blip r:embed="rId29" cstate="print"/>
                    <a:stretch>
                      <a:fillRect/>
                    </a:stretch>
                  </pic:blipFill>
                  <pic:spPr>
                    <a:xfrm>
                      <a:off x="0" y="0"/>
                      <a:ext cx="5941060" cy="8089265"/>
                    </a:xfrm>
                    <a:prstGeom prst="rect">
                      <a:avLst/>
                    </a:prstGeom>
                    <a:noFill/>
                    <a:ln>
                      <a:noFill/>
                    </a:ln>
                  </pic:spPr>
                </pic:pic>
              </a:graphicData>
            </a:graphic>
          </wp:inline>
        </w:drawing>
      </w:r>
    </w:p>
    <w:p>
      <w:pPr>
        <w:pStyle w:val="48"/>
        <w:spacing w:line="360" w:lineRule="auto"/>
        <w:rPr>
          <w:rFonts w:ascii="宋体" w:hAnsi="宋体"/>
        </w:rPr>
      </w:pPr>
    </w:p>
    <w:p>
      <w:pPr>
        <w:pStyle w:val="48"/>
        <w:outlineLvl w:val="0"/>
        <w:rPr>
          <w:rFonts w:ascii="宋体" w:hAnsi="宋体" w:cs="宋体"/>
        </w:rPr>
      </w:pPr>
      <w:r>
        <w:rPr>
          <w:rFonts w:ascii="宋体" w:hAnsi="宋体"/>
        </w:rPr>
        <w:drawing>
          <wp:inline distT="0" distB="0" distL="114300" distR="114300">
            <wp:extent cx="5941060" cy="8197850"/>
            <wp:effectExtent l="0" t="0" r="2540" b="12700"/>
            <wp:docPr id="9"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AppData\Roaming\DingTalk\18198513_v2\ImageFiles\5e\lALPDgQ9qzkb4yvNA2TNAnU_629_868.png"/>
                    <pic:cNvPicPr>
                      <a:picLocks noChangeAspect="1"/>
                    </pic:cNvPicPr>
                  </pic:nvPicPr>
                  <pic:blipFill>
                    <a:blip r:embed="rId30" cstate="print"/>
                    <a:stretch>
                      <a:fillRect/>
                    </a:stretch>
                  </pic:blipFill>
                  <pic:spPr>
                    <a:xfrm>
                      <a:off x="0" y="0"/>
                      <a:ext cx="5941060" cy="8197850"/>
                    </a:xfrm>
                    <a:prstGeom prst="rect">
                      <a:avLst/>
                    </a:prstGeom>
                    <a:noFill/>
                    <a:ln>
                      <a:noFill/>
                    </a:ln>
                  </pic:spPr>
                </pic:pic>
              </a:graphicData>
            </a:graphic>
          </wp:inline>
        </w:drawing>
      </w:r>
      <w:r>
        <w:rPr>
          <w:rFonts w:ascii="宋体" w:hAnsi="宋体"/>
        </w:rPr>
        <w:drawing>
          <wp:inline distT="0" distB="0" distL="114300" distR="114300">
            <wp:extent cx="5941060" cy="8289290"/>
            <wp:effectExtent l="0" t="0" r="2540" b="16510"/>
            <wp:docPr id="6"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C:\Users\Administrator\AppData\Roaming\DingTalk\18198513_v2\ImageFiles\bb\lALPDgQ9qzkdtwLNA33NAoA_640_893.png"/>
                    <pic:cNvPicPr>
                      <a:picLocks noChangeAspect="1"/>
                    </pic:cNvPicPr>
                  </pic:nvPicPr>
                  <pic:blipFill>
                    <a:blip r:embed="rId31" cstate="print"/>
                    <a:stretch>
                      <a:fillRect/>
                    </a:stretch>
                  </pic:blipFill>
                  <pic:spPr>
                    <a:xfrm>
                      <a:off x="0" y="0"/>
                      <a:ext cx="5941060" cy="8289290"/>
                    </a:xfrm>
                    <a:prstGeom prst="rect">
                      <a:avLst/>
                    </a:prstGeom>
                    <a:noFill/>
                    <a:ln>
                      <a:noFill/>
                    </a:ln>
                  </pic:spPr>
                </pic:pic>
              </a:graphicData>
            </a:graphic>
          </wp:inline>
        </w:drawing>
      </w:r>
    </w:p>
    <w:p>
      <w:pPr>
        <w:pStyle w:val="48"/>
        <w:outlineLvl w:val="0"/>
        <w:rPr>
          <w:rFonts w:ascii="宋体" w:hAnsi="宋体" w:cs="宋体"/>
        </w:rPr>
      </w:pPr>
    </w:p>
    <w:p>
      <w:pPr>
        <w:pStyle w:val="48"/>
        <w:outlineLvl w:val="0"/>
        <w:rPr>
          <w:rFonts w:ascii="宋体" w:hAnsi="宋体" w:cs="宋体"/>
        </w:rPr>
      </w:pPr>
    </w:p>
    <w:bookmarkEnd w:id="193"/>
    <w:bookmarkEnd w:id="194"/>
    <w:bookmarkEnd w:id="195"/>
    <w:bookmarkEnd w:id="196"/>
    <w:bookmarkEnd w:id="197"/>
    <w:bookmarkEnd w:id="413"/>
    <w:bookmarkEnd w:id="422"/>
    <w:bookmarkEnd w:id="479"/>
    <w:bookmarkEnd w:id="480"/>
    <w:bookmarkEnd w:id="481"/>
    <w:bookmarkEnd w:id="482"/>
    <w:bookmarkEnd w:id="483"/>
    <w:bookmarkEnd w:id="484"/>
    <w:bookmarkEnd w:id="485"/>
    <w:bookmarkEnd w:id="486"/>
    <w:bookmarkEnd w:id="487"/>
    <w:bookmarkEnd w:id="488"/>
    <w:bookmarkEnd w:id="938"/>
    <w:bookmarkEnd w:id="939"/>
    <w:bookmarkEnd w:id="940"/>
    <w:p>
      <w:pPr>
        <w:pStyle w:val="48"/>
        <w:outlineLvl w:val="0"/>
        <w:rPr>
          <w:rFonts w:ascii="宋体" w:hAnsi="宋体" w:cs="宋体"/>
        </w:rPr>
      </w:pPr>
    </w:p>
    <w:sectPr>
      <w:headerReference r:id="rId18" w:type="first"/>
      <w:headerReference r:id="rId16" w:type="default"/>
      <w:footerReference r:id="rId19" w:type="default"/>
      <w:headerReference r:id="rId17" w:type="even"/>
      <w:pgSz w:w="11907" w:h="16840"/>
      <w:pgMar w:top="1134" w:right="1134" w:bottom="1134" w:left="1134" w:header="851" w:footer="850"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J2g1MoBAACb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pJieMWJ375/u3y49fl51ey&#10;fJ0F6gPUmPcQMDMNd37AtZn9gM7Me1DR5i8yIhhHec9XeeWQiMiP1qv1usKQwNh8QXz2+DxESG+l&#10;tyQbDY04vyIrP72HNKbOKbma8/famDJD4/5yIGb2sNz72GO20rAfJkJ7356RT4+jb6jDTafEvHOo&#10;bN6S2YizsZ+NY4j60JU1yvUg3B4TNlF6yxVG2Kkwzqywm/YrL8Wf95L1+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J2g1MoBAACbAwAADgAAAAAAAAABACAAAAAeAQAAZHJzL2Uyb0Rv&#10;Yy54bWxQSwUGAAAAAAYABgBZAQAAWgUAAAAA&#10;">
              <v:fill on="f" focussize="0,0"/>
              <v:stroke on="f"/>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宋体" w:hAnsi="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LEJt69IBAACkAwAADgAAAAAAAAABACAAAAAfAQAA&#10;ZHJzL2Uyb0RvYy54bWxQSwUGAAAAAAYABgBZAQAAY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OJ5r8oBAACb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dPWaEsctTvzy4/vl5+/Lr29k&#10;eZMF6gPUmHcfMDMNb/2AazP7AZ2Z96CizV9kRDCO8p6v8sohEZEfrVfrdYUhgbH5gvjs4XmIkN5J&#10;b0k2GhpxfkVWfvoAaUydU3I15++0MWWGxv3lQMzsYbn3scdspWE/TIT2vj0jnx5H31CHm06Jee9Q&#10;2bwlsxFnYz8bxxD1oStrlOtBeHNM2ETpLVcYYafCOLPCbtqvvBSP7yXr4Z/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OJ5r8oBAACbAwAADgAAAAAAAAABACAAAAAeAQAAZHJzL2Uyb0Rv&#10;Yy54bWxQSwUGAAAAAAYABgBZAQAAWgUAAAAA&#10;">
              <v:fill on="f" focussize="0,0"/>
              <v:stroke on="f"/>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ckThinSmallGap" w:color="622423" w:sz="24" w:space="0"/>
      </w:pBdr>
      <w:jc w:val="both"/>
    </w:pPr>
    <w:r>
      <mc:AlternateContent>
        <mc:Choice Requires="wps">
          <w:drawing>
            <wp:anchor distT="0" distB="0" distL="114300" distR="114300" simplePos="0" relativeHeight="251659264" behindDoc="0" locked="0" layoutInCell="1" allowOverlap="1">
              <wp:simplePos x="0" y="0"/>
              <wp:positionH relativeFrom="column">
                <wp:posOffset>5079365</wp:posOffset>
              </wp:positionH>
              <wp:positionV relativeFrom="paragraph">
                <wp:posOffset>151130</wp:posOffset>
              </wp:positionV>
              <wp:extent cx="1153795" cy="330200"/>
              <wp:effectExtent l="0" t="0" r="0" b="0"/>
              <wp:wrapNone/>
              <wp:docPr id="19" name="矩形 3"/>
              <wp:cNvGraphicFramePr/>
              <a:graphic xmlns:a="http://schemas.openxmlformats.org/drawingml/2006/main">
                <a:graphicData uri="http://schemas.microsoft.com/office/word/2010/wordprocessingShape">
                  <wps:wsp>
                    <wps:cNvSpPr/>
                    <wps:spPr>
                      <a:xfrm>
                        <a:off x="0" y="0"/>
                        <a:ext cx="1153795" cy="330200"/>
                      </a:xfrm>
                      <a:prstGeom prst="rect">
                        <a:avLst/>
                      </a:prstGeom>
                      <a:noFill/>
                      <a:ln>
                        <a:noFill/>
                      </a:ln>
                      <a:effectLst/>
                    </wps:spPr>
                    <wps:txbx>
                      <w:txbxContent>
                        <w:p>
                          <w:pPr>
                            <w:pStyle w:val="12"/>
                            <w:spacing w:line="360" w:lineRule="auto"/>
                            <w:rPr>
                              <w:rFonts w:ascii="宋体" w:hAnsi="宋体" w:cs="宋体"/>
                              <w:bCs/>
                              <w:szCs w:val="21"/>
                            </w:rPr>
                          </w:pPr>
                          <w:r>
                            <w:rPr>
                              <w:rFonts w:hint="eastAsia" w:ascii="宋体" w:hAnsi="宋体" w:cs="宋体"/>
                              <w:bCs/>
                              <w:szCs w:val="21"/>
                            </w:rPr>
                            <w:t>竞争性磋商文件</w:t>
                          </w:r>
                        </w:p>
                      </w:txbxContent>
                    </wps:txbx>
                    <wps:bodyPr upright="1"/>
                  </wps:wsp>
                </a:graphicData>
              </a:graphic>
            </wp:anchor>
          </w:drawing>
        </mc:Choice>
        <mc:Fallback>
          <w:pict>
            <v:rect id="矩形 3" o:spid="_x0000_s1026" o:spt="1" style="position:absolute;left:0pt;margin-left:399.95pt;margin-top:11.9pt;height:26pt;width:90.85pt;z-index:251659264;mso-width-relative:page;mso-height-relative:page;" filled="f" stroked="f" coordsize="21600,21600" o:gfxdata="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FKa5q2gAAAAkB&#10;AAAPAAAAAAAAAAEAIAAAACIAAABkcnMvZG93bnJldi54bWxQSwECFAAUAAAACACHTuJATcG0VKcB&#10;AABQAwAADgAAAAAAAAABACAAAAApAQAAZHJzL2Uyb0RvYy54bWxQSwUGAAAAAAYABgBZAQAAQgUA&#10;AAAA&#10;">
              <v:fill on="f" focussize="0,0"/>
              <v:stroke on="f"/>
              <v:imagedata o:title=""/>
              <o:lock v:ext="edit" aspectratio="f"/>
              <v:textbox>
                <w:txbxContent>
                  <w:p>
                    <w:pPr>
                      <w:pStyle w:val="12"/>
                      <w:spacing w:line="360" w:lineRule="auto"/>
                      <w:rPr>
                        <w:rFonts w:ascii="宋体" w:hAnsi="宋体" w:cs="宋体"/>
                        <w:bCs/>
                        <w:szCs w:val="21"/>
                      </w:rPr>
                    </w:pPr>
                    <w:r>
                      <w:rPr>
                        <w:rFonts w:hint="eastAsia" w:ascii="宋体" w:hAnsi="宋体" w:cs="宋体"/>
                        <w:bCs/>
                        <w:szCs w:val="21"/>
                      </w:rPr>
                      <w:t>竞争性磋商文件</w:t>
                    </w:r>
                  </w:p>
                </w:txbxContent>
              </v:textbox>
            </v:rect>
          </w:pict>
        </mc:Fallback>
      </mc:AlternateContent>
    </w:r>
    <w:r>
      <w:drawing>
        <wp:inline distT="0" distB="0" distL="114300" distR="114300">
          <wp:extent cx="405765" cy="372110"/>
          <wp:effectExtent l="0" t="0" r="63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405765" cy="372110"/>
                  </a:xfrm>
                  <a:prstGeom prst="rect">
                    <a:avLst/>
                  </a:prstGeom>
                  <a:noFill/>
                  <a:ln>
                    <a:noFill/>
                  </a:ln>
                </pic:spPr>
              </pic:pic>
            </a:graphicData>
          </a:graphic>
        </wp:inline>
      </w:drawing>
    </w:r>
    <w:r>
      <w:rPr>
        <w:rFonts w:hint="eastAsia" w:ascii="Cambria" w:hAnsi="Cambria"/>
        <w:sz w:val="32"/>
        <w:szCs w:val="32"/>
      </w:rPr>
      <w:drawing>
        <wp:inline distT="0" distB="0" distL="114300" distR="114300">
          <wp:extent cx="2604770" cy="375920"/>
          <wp:effectExtent l="0" t="0" r="11430" b="5080"/>
          <wp:docPr id="4" name="图片 2" descr="7H`XDO{%6A9UE``J]`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7H`XDO{%6A9UE``J]`4${99"/>
                  <pic:cNvPicPr>
                    <a:picLocks noChangeAspect="1"/>
                  </pic:cNvPicPr>
                </pic:nvPicPr>
                <pic:blipFill>
                  <a:blip r:embed="rId2"/>
                  <a:stretch>
                    <a:fillRect/>
                  </a:stretch>
                </pic:blipFill>
                <pic:spPr>
                  <a:xfrm>
                    <a:off x="0" y="0"/>
                    <a:ext cx="2604770" cy="37592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ckThinSmallGap" w:color="622423" w:sz="24" w:space="0"/>
      </w:pBdr>
      <w:jc w:val="both"/>
    </w:pPr>
    <w:r>
      <mc:AlternateContent>
        <mc:Choice Requires="wps">
          <w:drawing>
            <wp:anchor distT="0" distB="0" distL="114300" distR="114300" simplePos="0" relativeHeight="251664384" behindDoc="0" locked="0" layoutInCell="1" allowOverlap="1">
              <wp:simplePos x="0" y="0"/>
              <wp:positionH relativeFrom="column">
                <wp:posOffset>4775200</wp:posOffset>
              </wp:positionH>
              <wp:positionV relativeFrom="paragraph">
                <wp:posOffset>45720</wp:posOffset>
              </wp:positionV>
              <wp:extent cx="1562735" cy="302260"/>
              <wp:effectExtent l="0" t="0" r="0" b="0"/>
              <wp:wrapNone/>
              <wp:docPr id="23" name="矩形 49"/>
              <wp:cNvGraphicFramePr/>
              <a:graphic xmlns:a="http://schemas.openxmlformats.org/drawingml/2006/main">
                <a:graphicData uri="http://schemas.microsoft.com/office/word/2010/wordprocessingShape">
                  <wps:wsp>
                    <wps:cNvSpPr/>
                    <wps:spPr>
                      <a:xfrm>
                        <a:off x="0" y="0"/>
                        <a:ext cx="1153795" cy="330200"/>
                      </a:xfrm>
                      <a:prstGeom prst="rect">
                        <a:avLst/>
                      </a:prstGeom>
                      <a:noFill/>
                      <a:ln>
                        <a:noFill/>
                      </a:ln>
                      <a:effectLst/>
                    </wps:spPr>
                    <wps:txbx>
                      <w:txbxContent>
                        <w:p>
                          <w:pPr>
                            <w:pStyle w:val="12"/>
                            <w:spacing w:line="360" w:lineRule="auto"/>
                            <w:rPr>
                              <w:rFonts w:ascii="黑体" w:hAnsi="黑体" w:eastAsia="黑体" w:cs="黑体"/>
                              <w:bCs/>
                              <w:sz w:val="28"/>
                              <w:szCs w:val="28"/>
                            </w:rPr>
                          </w:pPr>
                          <w:r>
                            <w:rPr>
                              <w:rFonts w:hint="eastAsia" w:ascii="黑体" w:hAnsi="黑体" w:eastAsia="黑体" w:cs="黑体"/>
                              <w:b/>
                              <w:sz w:val="28"/>
                              <w:szCs w:val="28"/>
                            </w:rPr>
                            <w:t>竞争性磋商文件</w:t>
                          </w:r>
                        </w:p>
                      </w:txbxContent>
                    </wps:txbx>
                    <wps:bodyPr upright="1"/>
                  </wps:wsp>
                </a:graphicData>
              </a:graphic>
            </wp:anchor>
          </w:drawing>
        </mc:Choice>
        <mc:Fallback>
          <w:pict>
            <v:rect id="矩形 49" o:spid="_x0000_s1026" o:spt="1" style="position:absolute;left:0pt;margin-left:376pt;margin-top:3.6pt;height:23.8pt;width:123.05pt;z-index:251664384;mso-width-relative:page;mso-height-relative:page;" filled="f" stroked="f" coordsize="21600,21600" o:gfxdata="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WCaK/aAAAA&#10;CAEAAA8AAAAAAAAAAQAgAAAAIgAAAGRycy9kb3ducmV2LnhtbFBLAQIUABQAAAAIAIdO4kArmFmB&#10;qQEAAFEDAAAOAAAAAAAAAAEAIAAAACkBAABkcnMvZTJvRG9jLnhtbFBLBQYAAAAABgAGAFkBAABE&#10;BQAAAAA=&#10;">
              <v:fill on="f" focussize="0,0"/>
              <v:stroke on="f"/>
              <v:imagedata o:title=""/>
              <o:lock v:ext="edit" aspectratio="f"/>
              <v:textbox>
                <w:txbxContent>
                  <w:p>
                    <w:pPr>
                      <w:pStyle w:val="12"/>
                      <w:spacing w:line="360" w:lineRule="auto"/>
                      <w:rPr>
                        <w:rFonts w:ascii="黑体" w:hAnsi="黑体" w:eastAsia="黑体" w:cs="黑体"/>
                        <w:bCs/>
                        <w:sz w:val="28"/>
                        <w:szCs w:val="28"/>
                      </w:rPr>
                    </w:pPr>
                    <w:r>
                      <w:rPr>
                        <w:rFonts w:hint="eastAsia" w:ascii="黑体" w:hAnsi="黑体" w:eastAsia="黑体" w:cs="黑体"/>
                        <w:b/>
                        <w:sz w:val="28"/>
                        <w:szCs w:val="28"/>
                      </w:rPr>
                      <w:t>竞争性磋商文件</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5686425</wp:posOffset>
              </wp:positionH>
              <wp:positionV relativeFrom="paragraph">
                <wp:posOffset>160655</wp:posOffset>
              </wp:positionV>
              <wp:extent cx="1153795" cy="330200"/>
              <wp:effectExtent l="0" t="0" r="0" b="0"/>
              <wp:wrapNone/>
              <wp:docPr id="22" name="矩形 40"/>
              <wp:cNvGraphicFramePr/>
              <a:graphic xmlns:a="http://schemas.openxmlformats.org/drawingml/2006/main">
                <a:graphicData uri="http://schemas.microsoft.com/office/word/2010/wordprocessingShape">
                  <wps:wsp>
                    <wps:cNvSpPr/>
                    <wps:spPr>
                      <a:xfrm>
                        <a:off x="0" y="0"/>
                        <a:ext cx="1153795" cy="330200"/>
                      </a:xfrm>
                      <a:prstGeom prst="rect">
                        <a:avLst/>
                      </a:prstGeom>
                      <a:noFill/>
                      <a:ln>
                        <a:noFill/>
                      </a:ln>
                      <a:effectLst/>
                    </wps:spPr>
                    <wps:txbx>
                      <w:txbxContent>
                        <w:p>
                          <w:pPr>
                            <w:pStyle w:val="12"/>
                            <w:spacing w:line="360" w:lineRule="auto"/>
                            <w:rPr>
                              <w:rFonts w:ascii="宋体" w:hAnsi="宋体" w:cs="宋体"/>
                              <w:bCs/>
                              <w:szCs w:val="21"/>
                            </w:rPr>
                          </w:pPr>
                        </w:p>
                      </w:txbxContent>
                    </wps:txbx>
                    <wps:bodyPr upright="1"/>
                  </wps:wsp>
                </a:graphicData>
              </a:graphic>
            </wp:anchor>
          </w:drawing>
        </mc:Choice>
        <mc:Fallback>
          <w:pict>
            <v:rect id="矩形 40" o:spid="_x0000_s1026" o:spt="1" style="position:absolute;left:0pt;margin-left:447.75pt;margin-top:12.65pt;height:26pt;width:90.85pt;z-index:251663360;mso-width-relative:page;mso-height-relative:page;" filled="f" stroked="f" coordsize="21600,21600" o:gfxdata="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KyEJtsAAAAK&#10;AQAADwAAAAAAAAABACAAAAAiAAAAZHJzL2Rvd25yZXYueG1sUEsBAhQAFAAAAAgAh07iQD9h0Rin&#10;AQAAUQMAAA4AAAAAAAAAAQAgAAAAKgEAAGRycy9lMm9Eb2MueG1sUEsFBgAAAAAGAAYAWQEAAEMF&#10;AAAAAA==&#10;">
              <v:fill on="f" focussize="0,0"/>
              <v:stroke on="f"/>
              <v:imagedata o:title=""/>
              <o:lock v:ext="edit" aspectratio="f"/>
              <v:textbox>
                <w:txbxContent>
                  <w:p>
                    <w:pPr>
                      <w:pStyle w:val="12"/>
                      <w:spacing w:line="360" w:lineRule="auto"/>
                      <w:rPr>
                        <w:rFonts w:ascii="宋体" w:hAnsi="宋体" w:cs="宋体"/>
                        <w:bCs/>
                        <w:szCs w:val="21"/>
                      </w:rPr>
                    </w:pPr>
                  </w:p>
                </w:txbxContent>
              </v:textbox>
            </v:rect>
          </w:pict>
        </mc:Fallback>
      </mc:AlternateContent>
    </w:r>
    <w:r>
      <w:drawing>
        <wp:inline distT="0" distB="0" distL="114300" distR="114300">
          <wp:extent cx="405765" cy="372110"/>
          <wp:effectExtent l="0" t="0" r="13335" b="889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405765" cy="372110"/>
                  </a:xfrm>
                  <a:prstGeom prst="rect">
                    <a:avLst/>
                  </a:prstGeom>
                  <a:noFill/>
                  <a:ln>
                    <a:noFill/>
                  </a:ln>
                </pic:spPr>
              </pic:pic>
            </a:graphicData>
          </a:graphic>
        </wp:inline>
      </w:drawing>
    </w:r>
    <w:r>
      <w:rPr>
        <w:rFonts w:ascii="Cambria" w:hAnsi="Cambria"/>
        <w:sz w:val="32"/>
        <w:szCs w:val="32"/>
      </w:rPr>
      <w:drawing>
        <wp:inline distT="0" distB="0" distL="114300" distR="114300">
          <wp:extent cx="2603500" cy="375920"/>
          <wp:effectExtent l="0" t="0" r="6350" b="5080"/>
          <wp:docPr id="15" name="图片 2" descr="7H`XDO{%6A9UE``J]`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7H`XDO{%6A9UE``J]`4${99"/>
                  <pic:cNvPicPr>
                    <a:picLocks noChangeAspect="1"/>
                  </pic:cNvPicPr>
                </pic:nvPicPr>
                <pic:blipFill>
                  <a:blip r:embed="rId2"/>
                  <a:stretch>
                    <a:fillRect/>
                  </a:stretch>
                </pic:blipFill>
                <pic:spPr>
                  <a:xfrm>
                    <a:off x="0" y="0"/>
                    <a:ext cx="2603500" cy="375920"/>
                  </a:xfrm>
                  <a:prstGeom prst="rect">
                    <a:avLst/>
                  </a:prstGeom>
                  <a:noFill/>
                  <a:ln>
                    <a:noFill/>
                  </a:ln>
                </pic:spPr>
              </pic:pic>
            </a:graphicData>
          </a:graphic>
        </wp:inline>
      </w:drawing>
    </w:r>
  </w:p>
  <w:p>
    <w:pPr>
      <w:pStyle w:val="2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ckThinSmallGap" w:color="622423" w:sz="24" w:space="0"/>
      </w:pBdr>
      <w:jc w:val="both"/>
    </w:pPr>
    <w:r>
      <mc:AlternateContent>
        <mc:Choice Requires="wps">
          <w:drawing>
            <wp:anchor distT="0" distB="0" distL="114300" distR="114300" simplePos="0" relativeHeight="251666432" behindDoc="0" locked="0" layoutInCell="1" allowOverlap="1">
              <wp:simplePos x="0" y="0"/>
              <wp:positionH relativeFrom="column">
                <wp:posOffset>5079365</wp:posOffset>
              </wp:positionH>
              <wp:positionV relativeFrom="paragraph">
                <wp:posOffset>151130</wp:posOffset>
              </wp:positionV>
              <wp:extent cx="1153795" cy="330200"/>
              <wp:effectExtent l="0" t="0" r="0" b="0"/>
              <wp:wrapNone/>
              <wp:docPr id="25" name="矩形 3"/>
              <wp:cNvGraphicFramePr/>
              <a:graphic xmlns:a="http://schemas.openxmlformats.org/drawingml/2006/main">
                <a:graphicData uri="http://schemas.microsoft.com/office/word/2010/wordprocessingShape">
                  <wps:wsp>
                    <wps:cNvSpPr/>
                    <wps:spPr>
                      <a:xfrm>
                        <a:off x="0" y="0"/>
                        <a:ext cx="1153795" cy="330200"/>
                      </a:xfrm>
                      <a:prstGeom prst="rect">
                        <a:avLst/>
                      </a:prstGeom>
                      <a:noFill/>
                      <a:ln>
                        <a:noFill/>
                      </a:ln>
                      <a:effectLst/>
                    </wps:spPr>
                    <wps:txbx>
                      <w:txbxContent>
                        <w:p>
                          <w:pPr>
                            <w:pStyle w:val="12"/>
                            <w:spacing w:line="360" w:lineRule="auto"/>
                            <w:rPr>
                              <w:rFonts w:ascii="宋体" w:hAnsi="宋体" w:cs="宋体"/>
                              <w:bCs/>
                              <w:szCs w:val="21"/>
                            </w:rPr>
                          </w:pPr>
                          <w:r>
                            <w:rPr>
                              <w:rFonts w:hint="eastAsia" w:ascii="宋体" w:hAnsi="宋体" w:cs="宋体"/>
                              <w:bCs/>
                              <w:szCs w:val="21"/>
                            </w:rPr>
                            <w:t>竞争性磋商文件</w:t>
                          </w:r>
                        </w:p>
                      </w:txbxContent>
                    </wps:txbx>
                    <wps:bodyPr upright="1"/>
                  </wps:wsp>
                </a:graphicData>
              </a:graphic>
            </wp:anchor>
          </w:drawing>
        </mc:Choice>
        <mc:Fallback>
          <w:pict>
            <v:rect id="矩形 3" o:spid="_x0000_s1026" o:spt="1" style="position:absolute;left:0pt;margin-left:399.95pt;margin-top:11.9pt;height:26pt;width:90.85pt;z-index:251666432;mso-width-relative:page;mso-height-relative:page;" filled="f" stroked="f" coordsize="21600,21600" o:gfxdata="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FKa5q2gAAAAkB&#10;AAAPAAAAAAAAAAEAIAAAACIAAABkcnMvZG93bnJldi54bWxQSwECFAAUAAAACACHTuJAz9W3yqcB&#10;AABQAwAADgAAAAAAAAABACAAAAApAQAAZHJzL2Uyb0RvYy54bWxQSwUGAAAAAAYABgBZAQAAQgUA&#10;AAAA&#10;">
              <v:fill on="f" focussize="0,0"/>
              <v:stroke on="f"/>
              <v:imagedata o:title=""/>
              <o:lock v:ext="edit" aspectratio="f"/>
              <v:textbox>
                <w:txbxContent>
                  <w:p>
                    <w:pPr>
                      <w:pStyle w:val="12"/>
                      <w:spacing w:line="360" w:lineRule="auto"/>
                      <w:rPr>
                        <w:rFonts w:ascii="宋体" w:hAnsi="宋体" w:cs="宋体"/>
                        <w:bCs/>
                        <w:szCs w:val="21"/>
                      </w:rPr>
                    </w:pPr>
                    <w:r>
                      <w:rPr>
                        <w:rFonts w:hint="eastAsia" w:ascii="宋体" w:hAnsi="宋体" w:cs="宋体"/>
                        <w:bCs/>
                        <w:szCs w:val="21"/>
                      </w:rPr>
                      <w:t>竞争性磋商文件</w:t>
                    </w:r>
                  </w:p>
                </w:txbxContent>
              </v:textbox>
            </v:rect>
          </w:pict>
        </mc:Fallback>
      </mc:AlternateContent>
    </w:r>
    <w:r>
      <w:drawing>
        <wp:inline distT="0" distB="0" distL="114300" distR="114300">
          <wp:extent cx="405765" cy="372110"/>
          <wp:effectExtent l="0" t="0" r="635" b="889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
                  <a:stretch>
                    <a:fillRect/>
                  </a:stretch>
                </pic:blipFill>
                <pic:spPr>
                  <a:xfrm>
                    <a:off x="0" y="0"/>
                    <a:ext cx="405765" cy="372110"/>
                  </a:xfrm>
                  <a:prstGeom prst="rect">
                    <a:avLst/>
                  </a:prstGeom>
                  <a:noFill/>
                  <a:ln>
                    <a:noFill/>
                  </a:ln>
                </pic:spPr>
              </pic:pic>
            </a:graphicData>
          </a:graphic>
        </wp:inline>
      </w:drawing>
    </w:r>
    <w:r>
      <w:rPr>
        <w:rFonts w:hint="eastAsia" w:ascii="Cambria" w:hAnsi="Cambria"/>
        <w:sz w:val="32"/>
        <w:szCs w:val="32"/>
      </w:rPr>
      <w:drawing>
        <wp:inline distT="0" distB="0" distL="114300" distR="114300">
          <wp:extent cx="2604770" cy="375920"/>
          <wp:effectExtent l="0" t="0" r="11430" b="5080"/>
          <wp:docPr id="17" name="图片 2" descr="7H`XDO{%6A9UE``J]`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7H`XDO{%6A9UE``J]`4${99"/>
                  <pic:cNvPicPr>
                    <a:picLocks noChangeAspect="1"/>
                  </pic:cNvPicPr>
                </pic:nvPicPr>
                <pic:blipFill>
                  <a:blip r:embed="rId2"/>
                  <a:stretch>
                    <a:fillRect/>
                  </a:stretch>
                </pic:blipFill>
                <pic:spPr>
                  <a:xfrm>
                    <a:off x="0" y="0"/>
                    <a:ext cx="2604770" cy="375920"/>
                  </a:xfrm>
                  <a:prstGeom prst="rect">
                    <a:avLst/>
                  </a:prstGeom>
                  <a:noFill/>
                  <a:ln>
                    <a:noFill/>
                  </a:ln>
                </pic:spPr>
              </pic:pic>
            </a:graphicData>
          </a:graphic>
        </wp:inline>
      </w:drawing>
    </w:r>
  </w:p>
  <w:p>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ckThinSmallGap" w:color="622423" w:sz="24" w:space="0"/>
      </w:pBdr>
      <w:jc w:val="both"/>
    </w:pPr>
    <w:r>
      <mc:AlternateContent>
        <mc:Choice Requires="wps">
          <w:drawing>
            <wp:anchor distT="0" distB="0" distL="114300" distR="114300" simplePos="0" relativeHeight="251661312" behindDoc="0" locked="0" layoutInCell="1" allowOverlap="1">
              <wp:simplePos x="0" y="0"/>
              <wp:positionH relativeFrom="column">
                <wp:posOffset>4775200</wp:posOffset>
              </wp:positionH>
              <wp:positionV relativeFrom="paragraph">
                <wp:posOffset>45720</wp:posOffset>
              </wp:positionV>
              <wp:extent cx="1562735" cy="302260"/>
              <wp:effectExtent l="0" t="0" r="0" b="0"/>
              <wp:wrapNone/>
              <wp:docPr id="49" name="矩形 49"/>
              <wp:cNvGraphicFramePr/>
              <a:graphic xmlns:a="http://schemas.openxmlformats.org/drawingml/2006/main">
                <a:graphicData uri="http://schemas.microsoft.com/office/word/2010/wordprocessingShape">
                  <wps:wsp>
                    <wps:cNvSpPr/>
                    <wps:spPr>
                      <a:xfrm>
                        <a:off x="0" y="0"/>
                        <a:ext cx="1153795" cy="330200"/>
                      </a:xfrm>
                      <a:prstGeom prst="rect">
                        <a:avLst/>
                      </a:prstGeom>
                      <a:noFill/>
                      <a:ln>
                        <a:noFill/>
                      </a:ln>
                      <a:effectLst/>
                    </wps:spPr>
                    <wps:txbx>
                      <w:txbxContent>
                        <w:p>
                          <w:pPr>
                            <w:pStyle w:val="12"/>
                            <w:spacing w:line="360" w:lineRule="auto"/>
                            <w:rPr>
                              <w:rFonts w:ascii="黑体" w:hAnsi="黑体" w:eastAsia="黑体" w:cs="黑体"/>
                              <w:bCs/>
                              <w:sz w:val="28"/>
                              <w:szCs w:val="28"/>
                            </w:rPr>
                          </w:pPr>
                          <w:r>
                            <w:rPr>
                              <w:rFonts w:hint="eastAsia" w:ascii="黑体" w:hAnsi="黑体" w:eastAsia="黑体" w:cs="黑体"/>
                              <w:b/>
                              <w:sz w:val="28"/>
                              <w:szCs w:val="28"/>
                            </w:rPr>
                            <w:t>竞争性磋商文件</w:t>
                          </w:r>
                        </w:p>
                      </w:txbxContent>
                    </wps:txbx>
                    <wps:bodyPr upright="1"/>
                  </wps:wsp>
                </a:graphicData>
              </a:graphic>
            </wp:anchor>
          </w:drawing>
        </mc:Choice>
        <mc:Fallback>
          <w:pict>
            <v:rect id="_x0000_s1026" o:spid="_x0000_s1026" o:spt="1" style="position:absolute;left:0pt;margin-left:376pt;margin-top:3.6pt;height:23.8pt;width:123.05pt;z-index:251661312;mso-width-relative:page;mso-height-relative:page;" filled="f" stroked="f" coordsize="21600,21600" o:gfxdata="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WCaK/aAAAA&#10;CAEAAA8AAAAAAAAAAQAgAAAAIgAAAGRycy9kb3ducmV2LnhtbFBLAQIUABQAAAAIAIdO4kBK7P6E&#10;qQEAAFEDAAAOAAAAAAAAAAEAIAAAACkBAABkcnMvZTJvRG9jLnhtbFBLBQYAAAAABgAGAFkBAABE&#10;BQAAAAA=&#10;">
              <v:fill on="f" focussize="0,0"/>
              <v:stroke on="f"/>
              <v:imagedata o:title=""/>
              <o:lock v:ext="edit" aspectratio="f"/>
              <v:textbox>
                <w:txbxContent>
                  <w:p>
                    <w:pPr>
                      <w:pStyle w:val="12"/>
                      <w:spacing w:line="360" w:lineRule="auto"/>
                      <w:rPr>
                        <w:rFonts w:ascii="黑体" w:hAnsi="黑体" w:eastAsia="黑体" w:cs="黑体"/>
                        <w:bCs/>
                        <w:sz w:val="28"/>
                        <w:szCs w:val="28"/>
                      </w:rPr>
                    </w:pPr>
                    <w:r>
                      <w:rPr>
                        <w:rFonts w:hint="eastAsia" w:ascii="黑体" w:hAnsi="黑体" w:eastAsia="黑体" w:cs="黑体"/>
                        <w:b/>
                        <w:sz w:val="28"/>
                        <w:szCs w:val="28"/>
                      </w:rPr>
                      <w:t>竞争性磋商文件</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8146415</wp:posOffset>
              </wp:positionH>
              <wp:positionV relativeFrom="paragraph">
                <wp:posOffset>160655</wp:posOffset>
              </wp:positionV>
              <wp:extent cx="1153795" cy="330200"/>
              <wp:effectExtent l="0" t="0" r="0" b="0"/>
              <wp:wrapNone/>
              <wp:docPr id="40" name="矩形 40"/>
              <wp:cNvGraphicFramePr/>
              <a:graphic xmlns:a="http://schemas.openxmlformats.org/drawingml/2006/main">
                <a:graphicData uri="http://schemas.microsoft.com/office/word/2010/wordprocessingShape">
                  <wps:wsp>
                    <wps:cNvSpPr/>
                    <wps:spPr>
                      <a:xfrm>
                        <a:off x="0" y="0"/>
                        <a:ext cx="1153795" cy="330200"/>
                      </a:xfrm>
                      <a:prstGeom prst="rect">
                        <a:avLst/>
                      </a:prstGeom>
                      <a:noFill/>
                      <a:ln>
                        <a:noFill/>
                      </a:ln>
                      <a:effectLst/>
                    </wps:spPr>
                    <wps:txbx>
                      <w:txbxContent>
                        <w:p>
                          <w:pPr>
                            <w:pStyle w:val="12"/>
                            <w:spacing w:line="360" w:lineRule="auto"/>
                            <w:rPr>
                              <w:rFonts w:ascii="宋体" w:hAnsi="宋体" w:cs="宋体"/>
                              <w:bCs/>
                              <w:szCs w:val="21"/>
                            </w:rPr>
                          </w:pPr>
                          <w:r>
                            <w:rPr>
                              <w:rFonts w:hint="eastAsia" w:ascii="宋体" w:hAnsi="宋体" w:cs="宋体"/>
                              <w:bCs/>
                              <w:szCs w:val="21"/>
                            </w:rPr>
                            <w:t>竞争性磋商文件</w:t>
                          </w:r>
                        </w:p>
                      </w:txbxContent>
                    </wps:txbx>
                    <wps:bodyPr upright="1"/>
                  </wps:wsp>
                </a:graphicData>
              </a:graphic>
            </wp:anchor>
          </w:drawing>
        </mc:Choice>
        <mc:Fallback>
          <w:pict>
            <v:rect id="_x0000_s1026" o:spid="_x0000_s1026" o:spt="1" style="position:absolute;left:0pt;margin-left:641.45pt;margin-top:12.65pt;height:26pt;width:90.85pt;z-index:251660288;mso-width-relative:page;mso-height-relative:page;" filled="f" stroked="f" coordsize="21600,21600" o:gfxdata="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qsTcfcAAAA&#10;CwEAAA8AAAAAAAAAAQAgAAAAIgAAAGRycy9kb3ducmV2LnhtbFBLAQIUABQAAAAIAIdO4kAhRaVZ&#10;pwEAAFEDAAAOAAAAAAAAAAEAIAAAACsBAABkcnMvZTJvRG9jLnhtbFBLBQYAAAAABgAGAFkBAABE&#10;BQAAAAA=&#10;">
              <v:fill on="f" focussize="0,0"/>
              <v:stroke on="f"/>
              <v:imagedata o:title=""/>
              <o:lock v:ext="edit" aspectratio="f"/>
              <v:textbox>
                <w:txbxContent>
                  <w:p>
                    <w:pPr>
                      <w:pStyle w:val="12"/>
                      <w:spacing w:line="360" w:lineRule="auto"/>
                      <w:rPr>
                        <w:rFonts w:ascii="宋体" w:hAnsi="宋体" w:cs="宋体"/>
                        <w:bCs/>
                        <w:szCs w:val="21"/>
                      </w:rPr>
                    </w:pPr>
                    <w:r>
                      <w:rPr>
                        <w:rFonts w:hint="eastAsia" w:ascii="宋体" w:hAnsi="宋体" w:cs="宋体"/>
                        <w:bCs/>
                        <w:szCs w:val="21"/>
                      </w:rPr>
                      <w:t>竞争性磋商文件</w:t>
                    </w:r>
                  </w:p>
                </w:txbxContent>
              </v:textbox>
            </v:rect>
          </w:pict>
        </mc:Fallback>
      </mc:AlternateContent>
    </w:r>
    <w:r>
      <w:drawing>
        <wp:inline distT="0" distB="0" distL="114300" distR="114300">
          <wp:extent cx="405765" cy="372110"/>
          <wp:effectExtent l="0" t="0" r="13335" b="889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
                  <a:stretch>
                    <a:fillRect/>
                  </a:stretch>
                </pic:blipFill>
                <pic:spPr>
                  <a:xfrm>
                    <a:off x="0" y="0"/>
                    <a:ext cx="405765" cy="372110"/>
                  </a:xfrm>
                  <a:prstGeom prst="rect">
                    <a:avLst/>
                  </a:prstGeom>
                  <a:noFill/>
                  <a:ln>
                    <a:noFill/>
                  </a:ln>
                </pic:spPr>
              </pic:pic>
            </a:graphicData>
          </a:graphic>
        </wp:inline>
      </w:drawing>
    </w:r>
    <w:r>
      <w:rPr>
        <w:rFonts w:ascii="Cambria" w:hAnsi="Cambria"/>
        <w:sz w:val="32"/>
        <w:szCs w:val="32"/>
      </w:rPr>
      <w:drawing>
        <wp:inline distT="0" distB="0" distL="114300" distR="114300">
          <wp:extent cx="2603500" cy="375920"/>
          <wp:effectExtent l="0" t="0" r="6350" b="5080"/>
          <wp:docPr id="39" name="图片 2" descr="7H`XDO{%6A9UE``J]`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7H`XDO{%6A9UE``J]`4${99"/>
                  <pic:cNvPicPr>
                    <a:picLocks noChangeAspect="1"/>
                  </pic:cNvPicPr>
                </pic:nvPicPr>
                <pic:blipFill>
                  <a:blip r:embed="rId2"/>
                  <a:stretch>
                    <a:fillRect/>
                  </a:stretch>
                </pic:blipFill>
                <pic:spPr>
                  <a:xfrm>
                    <a:off x="0" y="0"/>
                    <a:ext cx="2603500" cy="37592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109"/>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111"/>
      <w:suff w:val="nothing"/>
      <w:lvlText w:val="%2、"/>
      <w:lvlJc w:val="left"/>
      <w:pPr>
        <w:ind w:left="568" w:firstLine="0"/>
      </w:pPr>
      <w:rPr>
        <w:rFonts w:hint="eastAsia" w:ascii="宋体" w:hAnsi="宋体" w:eastAsia="宋体" w:cs="宋体"/>
      </w:rPr>
    </w:lvl>
    <w:lvl w:ilvl="2" w:tentative="0">
      <w:start w:val="1"/>
      <w:numFmt w:val="chineseCounting"/>
      <w:suff w:val="nothing"/>
      <w:lvlText w:val="(%3)"/>
      <w:lvlJc w:val="left"/>
      <w:pPr>
        <w:tabs>
          <w:tab w:val="left" w:pos="0"/>
        </w:tabs>
        <w:ind w:left="0" w:firstLine="0"/>
      </w:pPr>
      <w:rPr>
        <w:rFonts w:hint="eastAsia" w:ascii="宋体" w:hAnsi="宋体" w:eastAsia="宋体" w:cs="宋体"/>
      </w:rPr>
    </w:lvl>
    <w:lvl w:ilvl="3" w:tentative="0">
      <w:start w:val="1"/>
      <w:numFmt w:val="decimal"/>
      <w:pStyle w:val="113"/>
      <w:suff w:val="nothing"/>
      <w:lvlText w:val="%4."/>
      <w:lvlJc w:val="left"/>
      <w:pPr>
        <w:tabs>
          <w:tab w:val="left" w:pos="0"/>
        </w:tabs>
        <w:ind w:left="0" w:firstLine="0"/>
      </w:pPr>
      <w:rPr>
        <w:rFonts w:hint="eastAsia" w:ascii="宋体" w:hAnsi="宋体" w:eastAsia="宋体" w:cs="宋体"/>
      </w:rPr>
    </w:lvl>
    <w:lvl w:ilvl="4" w:tentative="0">
      <w:start w:val="1"/>
      <w:numFmt w:val="decimal"/>
      <w:pStyle w:val="115"/>
      <w:suff w:val="nothing"/>
      <w:lvlText w:val="%4.%5"/>
      <w:lvlJc w:val="left"/>
      <w:pPr>
        <w:ind w:left="0" w:firstLine="0"/>
      </w:pPr>
      <w:rPr>
        <w:rFonts w:hint="eastAsia" w:ascii="宋体" w:hAnsi="宋体" w:eastAsia="宋体" w:cs="宋体"/>
      </w:rPr>
    </w:lvl>
    <w:lvl w:ilvl="5" w:tentative="0">
      <w:start w:val="1"/>
      <w:numFmt w:val="decimal"/>
      <w:pStyle w:val="116"/>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B593267E"/>
    <w:multiLevelType w:val="singleLevel"/>
    <w:tmpl w:val="B593267E"/>
    <w:lvl w:ilvl="0" w:tentative="0">
      <w:start w:val="1"/>
      <w:numFmt w:val="chineseCounting"/>
      <w:suff w:val="nothing"/>
      <w:lvlText w:val="%1、"/>
      <w:lvlJc w:val="left"/>
      <w:rPr>
        <w:rFonts w:hint="eastAsia"/>
      </w:rPr>
    </w:lvl>
  </w:abstractNum>
  <w:abstractNum w:abstractNumId="2">
    <w:nsid w:val="B638F631"/>
    <w:multiLevelType w:val="singleLevel"/>
    <w:tmpl w:val="B638F631"/>
    <w:lvl w:ilvl="0" w:tentative="0">
      <w:start w:val="2"/>
      <w:numFmt w:val="chineseCounting"/>
      <w:suff w:val="nothing"/>
      <w:lvlText w:val="%1、"/>
      <w:lvlJc w:val="left"/>
      <w:rPr>
        <w:rFonts w:hint="eastAsia"/>
      </w:rPr>
    </w:lvl>
  </w:abstractNum>
  <w:abstractNum w:abstractNumId="3">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pStyle w:val="117"/>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1DA4B865"/>
    <w:multiLevelType w:val="singleLevel"/>
    <w:tmpl w:val="1DA4B865"/>
    <w:lvl w:ilvl="0" w:tentative="0">
      <w:start w:val="2"/>
      <w:numFmt w:val="chineseCounting"/>
      <w:suff w:val="nothing"/>
      <w:lvlText w:val="（%1）"/>
      <w:lvlJc w:val="left"/>
      <w:rPr>
        <w:rFonts w:hint="eastAsia"/>
      </w:rPr>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2"/>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59C07086"/>
    <w:multiLevelType w:val="singleLevel"/>
    <w:tmpl w:val="59C07086"/>
    <w:lvl w:ilvl="0" w:tentative="0">
      <w:start w:val="1"/>
      <w:numFmt w:val="decimal"/>
      <w:suff w:val="nothing"/>
      <w:lvlText w:val="%1、"/>
      <w:lvlJc w:val="left"/>
    </w:lvl>
  </w:abstractNum>
  <w:num w:numId="1">
    <w:abstractNumId w:val="5"/>
  </w:num>
  <w:num w:numId="2">
    <w:abstractNumId w:val="0"/>
  </w:num>
  <w:num w:numId="3">
    <w:abstractNumId w:val="3"/>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08A2"/>
    <w:rsid w:val="000010BF"/>
    <w:rsid w:val="0000177A"/>
    <w:rsid w:val="00007C2F"/>
    <w:rsid w:val="00007C75"/>
    <w:rsid w:val="00007DB4"/>
    <w:rsid w:val="000118D6"/>
    <w:rsid w:val="00011D5F"/>
    <w:rsid w:val="00013A5B"/>
    <w:rsid w:val="00017ADF"/>
    <w:rsid w:val="00024F43"/>
    <w:rsid w:val="00026B3A"/>
    <w:rsid w:val="00030D04"/>
    <w:rsid w:val="00032A11"/>
    <w:rsid w:val="000352C0"/>
    <w:rsid w:val="00035520"/>
    <w:rsid w:val="000364CC"/>
    <w:rsid w:val="00036A7C"/>
    <w:rsid w:val="000401E9"/>
    <w:rsid w:val="000406A7"/>
    <w:rsid w:val="00041DC6"/>
    <w:rsid w:val="000423C9"/>
    <w:rsid w:val="00042D06"/>
    <w:rsid w:val="00045D6D"/>
    <w:rsid w:val="00047352"/>
    <w:rsid w:val="00047C44"/>
    <w:rsid w:val="00047EF5"/>
    <w:rsid w:val="00047F36"/>
    <w:rsid w:val="00050F64"/>
    <w:rsid w:val="00051A4C"/>
    <w:rsid w:val="00051ADE"/>
    <w:rsid w:val="00056CB2"/>
    <w:rsid w:val="00057529"/>
    <w:rsid w:val="00063229"/>
    <w:rsid w:val="00067CB3"/>
    <w:rsid w:val="00072D44"/>
    <w:rsid w:val="00073919"/>
    <w:rsid w:val="00076F73"/>
    <w:rsid w:val="000771C9"/>
    <w:rsid w:val="00080705"/>
    <w:rsid w:val="000815BF"/>
    <w:rsid w:val="000832EC"/>
    <w:rsid w:val="00083389"/>
    <w:rsid w:val="000841FB"/>
    <w:rsid w:val="00085618"/>
    <w:rsid w:val="000944EF"/>
    <w:rsid w:val="000A01B3"/>
    <w:rsid w:val="000A3179"/>
    <w:rsid w:val="000A52B6"/>
    <w:rsid w:val="000B39E4"/>
    <w:rsid w:val="000B7B41"/>
    <w:rsid w:val="000B7D6B"/>
    <w:rsid w:val="000C4C4B"/>
    <w:rsid w:val="000C65F1"/>
    <w:rsid w:val="000D4383"/>
    <w:rsid w:val="000D5F3A"/>
    <w:rsid w:val="000D7582"/>
    <w:rsid w:val="000E1CC8"/>
    <w:rsid w:val="000E4839"/>
    <w:rsid w:val="000E66DB"/>
    <w:rsid w:val="000F1B93"/>
    <w:rsid w:val="000F4353"/>
    <w:rsid w:val="000F5ECF"/>
    <w:rsid w:val="000F7E0D"/>
    <w:rsid w:val="00100818"/>
    <w:rsid w:val="0010095E"/>
    <w:rsid w:val="00101F24"/>
    <w:rsid w:val="001104BA"/>
    <w:rsid w:val="001106A0"/>
    <w:rsid w:val="0011114E"/>
    <w:rsid w:val="00112ED2"/>
    <w:rsid w:val="00115117"/>
    <w:rsid w:val="00116313"/>
    <w:rsid w:val="00122AF6"/>
    <w:rsid w:val="00123566"/>
    <w:rsid w:val="0012433B"/>
    <w:rsid w:val="0013181D"/>
    <w:rsid w:val="001350D9"/>
    <w:rsid w:val="00135A77"/>
    <w:rsid w:val="00146917"/>
    <w:rsid w:val="0015072F"/>
    <w:rsid w:val="0015325E"/>
    <w:rsid w:val="00153C61"/>
    <w:rsid w:val="00154B00"/>
    <w:rsid w:val="0016128D"/>
    <w:rsid w:val="00161605"/>
    <w:rsid w:val="001617A2"/>
    <w:rsid w:val="00163788"/>
    <w:rsid w:val="00165411"/>
    <w:rsid w:val="00165ABD"/>
    <w:rsid w:val="001662B9"/>
    <w:rsid w:val="00177827"/>
    <w:rsid w:val="001850D0"/>
    <w:rsid w:val="0018628A"/>
    <w:rsid w:val="001931F6"/>
    <w:rsid w:val="00196D3B"/>
    <w:rsid w:val="001A23A5"/>
    <w:rsid w:val="001A2476"/>
    <w:rsid w:val="001A3686"/>
    <w:rsid w:val="001A5817"/>
    <w:rsid w:val="001A6429"/>
    <w:rsid w:val="001A644E"/>
    <w:rsid w:val="001A7EA5"/>
    <w:rsid w:val="001B1A4B"/>
    <w:rsid w:val="001B4847"/>
    <w:rsid w:val="001B7C35"/>
    <w:rsid w:val="001C2233"/>
    <w:rsid w:val="001C4DF1"/>
    <w:rsid w:val="001D1EC9"/>
    <w:rsid w:val="001D37B8"/>
    <w:rsid w:val="001E14C9"/>
    <w:rsid w:val="001E35B1"/>
    <w:rsid w:val="001E3951"/>
    <w:rsid w:val="001E7298"/>
    <w:rsid w:val="001F11D9"/>
    <w:rsid w:val="001F2444"/>
    <w:rsid w:val="001F50A2"/>
    <w:rsid w:val="00200780"/>
    <w:rsid w:val="002019AA"/>
    <w:rsid w:val="0020506E"/>
    <w:rsid w:val="00206BC5"/>
    <w:rsid w:val="002103A1"/>
    <w:rsid w:val="00211967"/>
    <w:rsid w:val="00220B99"/>
    <w:rsid w:val="00222B1C"/>
    <w:rsid w:val="00224E4C"/>
    <w:rsid w:val="0023152B"/>
    <w:rsid w:val="00231731"/>
    <w:rsid w:val="00236F48"/>
    <w:rsid w:val="0024267F"/>
    <w:rsid w:val="00243EFE"/>
    <w:rsid w:val="002455E4"/>
    <w:rsid w:val="00245FA0"/>
    <w:rsid w:val="002501A9"/>
    <w:rsid w:val="00256C18"/>
    <w:rsid w:val="0025796C"/>
    <w:rsid w:val="00261A6D"/>
    <w:rsid w:val="00267FAC"/>
    <w:rsid w:val="00271DA1"/>
    <w:rsid w:val="002817D5"/>
    <w:rsid w:val="002919CE"/>
    <w:rsid w:val="00296A01"/>
    <w:rsid w:val="00297E22"/>
    <w:rsid w:val="002A145F"/>
    <w:rsid w:val="002A5302"/>
    <w:rsid w:val="002B585B"/>
    <w:rsid w:val="002C02C0"/>
    <w:rsid w:val="002C08B9"/>
    <w:rsid w:val="002C1A5B"/>
    <w:rsid w:val="002C593F"/>
    <w:rsid w:val="002D7645"/>
    <w:rsid w:val="002E0E72"/>
    <w:rsid w:val="002E513F"/>
    <w:rsid w:val="002E6774"/>
    <w:rsid w:val="002E7AC6"/>
    <w:rsid w:val="002E7FC9"/>
    <w:rsid w:val="002F1A72"/>
    <w:rsid w:val="002F5804"/>
    <w:rsid w:val="002F5EAB"/>
    <w:rsid w:val="002F6518"/>
    <w:rsid w:val="002F76A5"/>
    <w:rsid w:val="002F776E"/>
    <w:rsid w:val="0031061B"/>
    <w:rsid w:val="0031394A"/>
    <w:rsid w:val="00316B0C"/>
    <w:rsid w:val="00321012"/>
    <w:rsid w:val="003212C9"/>
    <w:rsid w:val="00323E41"/>
    <w:rsid w:val="00326F46"/>
    <w:rsid w:val="00326F53"/>
    <w:rsid w:val="00327CB2"/>
    <w:rsid w:val="003349E1"/>
    <w:rsid w:val="00336745"/>
    <w:rsid w:val="003377C4"/>
    <w:rsid w:val="0034630A"/>
    <w:rsid w:val="00346BEF"/>
    <w:rsid w:val="00346C9C"/>
    <w:rsid w:val="003507F5"/>
    <w:rsid w:val="00360095"/>
    <w:rsid w:val="00360E7D"/>
    <w:rsid w:val="00361222"/>
    <w:rsid w:val="00364CD9"/>
    <w:rsid w:val="00380DE6"/>
    <w:rsid w:val="00381EEC"/>
    <w:rsid w:val="00383EC0"/>
    <w:rsid w:val="003864DE"/>
    <w:rsid w:val="003A4F5D"/>
    <w:rsid w:val="003A767A"/>
    <w:rsid w:val="003B1989"/>
    <w:rsid w:val="003B4840"/>
    <w:rsid w:val="003B74B8"/>
    <w:rsid w:val="003C0421"/>
    <w:rsid w:val="003C11FC"/>
    <w:rsid w:val="003C2CE4"/>
    <w:rsid w:val="003C46EC"/>
    <w:rsid w:val="003D0591"/>
    <w:rsid w:val="003D10DE"/>
    <w:rsid w:val="003D3900"/>
    <w:rsid w:val="003D44D5"/>
    <w:rsid w:val="003D5ECC"/>
    <w:rsid w:val="003F0AFE"/>
    <w:rsid w:val="003F2556"/>
    <w:rsid w:val="0040095C"/>
    <w:rsid w:val="004023B6"/>
    <w:rsid w:val="00403059"/>
    <w:rsid w:val="00404839"/>
    <w:rsid w:val="00405987"/>
    <w:rsid w:val="00405F8F"/>
    <w:rsid w:val="004061B6"/>
    <w:rsid w:val="0041309E"/>
    <w:rsid w:val="00414245"/>
    <w:rsid w:val="004150A8"/>
    <w:rsid w:val="00415B17"/>
    <w:rsid w:val="00415DC7"/>
    <w:rsid w:val="0041635D"/>
    <w:rsid w:val="00430C54"/>
    <w:rsid w:val="00434105"/>
    <w:rsid w:val="004348E7"/>
    <w:rsid w:val="004353C9"/>
    <w:rsid w:val="00446764"/>
    <w:rsid w:val="00446D90"/>
    <w:rsid w:val="00447073"/>
    <w:rsid w:val="00447C68"/>
    <w:rsid w:val="00452806"/>
    <w:rsid w:val="0045329E"/>
    <w:rsid w:val="00454CC8"/>
    <w:rsid w:val="004607A6"/>
    <w:rsid w:val="00461408"/>
    <w:rsid w:val="0046161A"/>
    <w:rsid w:val="00462787"/>
    <w:rsid w:val="00466030"/>
    <w:rsid w:val="004672E9"/>
    <w:rsid w:val="004751F7"/>
    <w:rsid w:val="004753E1"/>
    <w:rsid w:val="00475A23"/>
    <w:rsid w:val="0047634A"/>
    <w:rsid w:val="0047750A"/>
    <w:rsid w:val="0047791E"/>
    <w:rsid w:val="00477957"/>
    <w:rsid w:val="0048005B"/>
    <w:rsid w:val="00487BAF"/>
    <w:rsid w:val="00490CD5"/>
    <w:rsid w:val="00493269"/>
    <w:rsid w:val="00493DF7"/>
    <w:rsid w:val="00495221"/>
    <w:rsid w:val="004963CF"/>
    <w:rsid w:val="004970BB"/>
    <w:rsid w:val="0049792F"/>
    <w:rsid w:val="004A1859"/>
    <w:rsid w:val="004A230E"/>
    <w:rsid w:val="004A6FA5"/>
    <w:rsid w:val="004B0C2F"/>
    <w:rsid w:val="004B477A"/>
    <w:rsid w:val="004C0FFF"/>
    <w:rsid w:val="004C1AF5"/>
    <w:rsid w:val="004C397B"/>
    <w:rsid w:val="004C67A5"/>
    <w:rsid w:val="004D1F9A"/>
    <w:rsid w:val="004D3E29"/>
    <w:rsid w:val="004E0B39"/>
    <w:rsid w:val="004E1E3E"/>
    <w:rsid w:val="004E2728"/>
    <w:rsid w:val="004E2F89"/>
    <w:rsid w:val="004E3F87"/>
    <w:rsid w:val="004E502D"/>
    <w:rsid w:val="004E6B67"/>
    <w:rsid w:val="004E7D7B"/>
    <w:rsid w:val="004F0123"/>
    <w:rsid w:val="004F12AD"/>
    <w:rsid w:val="004F26F5"/>
    <w:rsid w:val="004F5544"/>
    <w:rsid w:val="004F6B98"/>
    <w:rsid w:val="004F6BDD"/>
    <w:rsid w:val="00500ADA"/>
    <w:rsid w:val="00502032"/>
    <w:rsid w:val="00502C23"/>
    <w:rsid w:val="00510544"/>
    <w:rsid w:val="005111EA"/>
    <w:rsid w:val="00516826"/>
    <w:rsid w:val="00522EEF"/>
    <w:rsid w:val="005241C7"/>
    <w:rsid w:val="005278A8"/>
    <w:rsid w:val="00527B21"/>
    <w:rsid w:val="00531915"/>
    <w:rsid w:val="00531CF5"/>
    <w:rsid w:val="00535541"/>
    <w:rsid w:val="00535816"/>
    <w:rsid w:val="00541CC1"/>
    <w:rsid w:val="00542617"/>
    <w:rsid w:val="0054392C"/>
    <w:rsid w:val="00550091"/>
    <w:rsid w:val="00552D9E"/>
    <w:rsid w:val="0055538E"/>
    <w:rsid w:val="00556A2B"/>
    <w:rsid w:val="00563503"/>
    <w:rsid w:val="005650D8"/>
    <w:rsid w:val="00567DB2"/>
    <w:rsid w:val="005717C8"/>
    <w:rsid w:val="00572935"/>
    <w:rsid w:val="00573476"/>
    <w:rsid w:val="005766C7"/>
    <w:rsid w:val="005779EE"/>
    <w:rsid w:val="00581546"/>
    <w:rsid w:val="00581F04"/>
    <w:rsid w:val="0058682C"/>
    <w:rsid w:val="00594157"/>
    <w:rsid w:val="00596438"/>
    <w:rsid w:val="0059742B"/>
    <w:rsid w:val="005978BA"/>
    <w:rsid w:val="005A185B"/>
    <w:rsid w:val="005A61B7"/>
    <w:rsid w:val="005A7033"/>
    <w:rsid w:val="005B0BF1"/>
    <w:rsid w:val="005B16CB"/>
    <w:rsid w:val="005B29E9"/>
    <w:rsid w:val="005B409B"/>
    <w:rsid w:val="005B4490"/>
    <w:rsid w:val="005B75E3"/>
    <w:rsid w:val="005C0C82"/>
    <w:rsid w:val="005C6DC1"/>
    <w:rsid w:val="005D142E"/>
    <w:rsid w:val="005D1FD2"/>
    <w:rsid w:val="005D5041"/>
    <w:rsid w:val="005D5133"/>
    <w:rsid w:val="005E1006"/>
    <w:rsid w:val="005E311F"/>
    <w:rsid w:val="005F2E05"/>
    <w:rsid w:val="005F479D"/>
    <w:rsid w:val="005F4D50"/>
    <w:rsid w:val="00600CD6"/>
    <w:rsid w:val="0060379F"/>
    <w:rsid w:val="00604181"/>
    <w:rsid w:val="00605A3A"/>
    <w:rsid w:val="00606B2D"/>
    <w:rsid w:val="00607540"/>
    <w:rsid w:val="00611C56"/>
    <w:rsid w:val="006153FF"/>
    <w:rsid w:val="00616DD2"/>
    <w:rsid w:val="00617187"/>
    <w:rsid w:val="006234FE"/>
    <w:rsid w:val="0062614B"/>
    <w:rsid w:val="006268EC"/>
    <w:rsid w:val="00626E69"/>
    <w:rsid w:val="00644540"/>
    <w:rsid w:val="00650DEA"/>
    <w:rsid w:val="0065288F"/>
    <w:rsid w:val="00653DB7"/>
    <w:rsid w:val="00655320"/>
    <w:rsid w:val="00656510"/>
    <w:rsid w:val="006573BC"/>
    <w:rsid w:val="0066068C"/>
    <w:rsid w:val="006606D8"/>
    <w:rsid w:val="006616D5"/>
    <w:rsid w:val="006635C6"/>
    <w:rsid w:val="006655D6"/>
    <w:rsid w:val="006662C3"/>
    <w:rsid w:val="006767AD"/>
    <w:rsid w:val="00677C5C"/>
    <w:rsid w:val="00684FDE"/>
    <w:rsid w:val="00686C33"/>
    <w:rsid w:val="00687E35"/>
    <w:rsid w:val="00690278"/>
    <w:rsid w:val="00692A2F"/>
    <w:rsid w:val="00695FFE"/>
    <w:rsid w:val="006A0302"/>
    <w:rsid w:val="006A0797"/>
    <w:rsid w:val="006A0BB4"/>
    <w:rsid w:val="006B09CE"/>
    <w:rsid w:val="006B192D"/>
    <w:rsid w:val="006B48EE"/>
    <w:rsid w:val="006B4C8F"/>
    <w:rsid w:val="006B7FEC"/>
    <w:rsid w:val="006C0D24"/>
    <w:rsid w:val="006C1DE7"/>
    <w:rsid w:val="006C2259"/>
    <w:rsid w:val="006C28CF"/>
    <w:rsid w:val="006C3776"/>
    <w:rsid w:val="006D1A36"/>
    <w:rsid w:val="006D3948"/>
    <w:rsid w:val="006E5BCA"/>
    <w:rsid w:val="006E6D02"/>
    <w:rsid w:val="006E7E45"/>
    <w:rsid w:val="006F57A2"/>
    <w:rsid w:val="00701BF2"/>
    <w:rsid w:val="00702355"/>
    <w:rsid w:val="00703EBA"/>
    <w:rsid w:val="00707BB0"/>
    <w:rsid w:val="007107CC"/>
    <w:rsid w:val="00717620"/>
    <w:rsid w:val="007213C7"/>
    <w:rsid w:val="00724103"/>
    <w:rsid w:val="007305F1"/>
    <w:rsid w:val="00731EFE"/>
    <w:rsid w:val="00733773"/>
    <w:rsid w:val="00735FAD"/>
    <w:rsid w:val="00744571"/>
    <w:rsid w:val="007447F1"/>
    <w:rsid w:val="007467F8"/>
    <w:rsid w:val="00746CBE"/>
    <w:rsid w:val="00747346"/>
    <w:rsid w:val="0075237F"/>
    <w:rsid w:val="007547FD"/>
    <w:rsid w:val="00755173"/>
    <w:rsid w:val="00757570"/>
    <w:rsid w:val="00762B99"/>
    <w:rsid w:val="007675D9"/>
    <w:rsid w:val="00774D7C"/>
    <w:rsid w:val="00774F0B"/>
    <w:rsid w:val="007828AC"/>
    <w:rsid w:val="00792255"/>
    <w:rsid w:val="00792C89"/>
    <w:rsid w:val="00793ECB"/>
    <w:rsid w:val="007940C6"/>
    <w:rsid w:val="00794144"/>
    <w:rsid w:val="00795968"/>
    <w:rsid w:val="0079629E"/>
    <w:rsid w:val="00797F2B"/>
    <w:rsid w:val="007A2706"/>
    <w:rsid w:val="007A454E"/>
    <w:rsid w:val="007B05F0"/>
    <w:rsid w:val="007B2D1C"/>
    <w:rsid w:val="007B5587"/>
    <w:rsid w:val="007B63C3"/>
    <w:rsid w:val="007C3A43"/>
    <w:rsid w:val="007C69D0"/>
    <w:rsid w:val="007D0242"/>
    <w:rsid w:val="007D449D"/>
    <w:rsid w:val="007D64CD"/>
    <w:rsid w:val="007E051E"/>
    <w:rsid w:val="007E07B1"/>
    <w:rsid w:val="007E34E3"/>
    <w:rsid w:val="007E578A"/>
    <w:rsid w:val="007E57D3"/>
    <w:rsid w:val="007E5DBE"/>
    <w:rsid w:val="007E7C4E"/>
    <w:rsid w:val="008009C6"/>
    <w:rsid w:val="00807B7B"/>
    <w:rsid w:val="008159CA"/>
    <w:rsid w:val="00822F46"/>
    <w:rsid w:val="00823220"/>
    <w:rsid w:val="00825FAC"/>
    <w:rsid w:val="0083070F"/>
    <w:rsid w:val="008307DA"/>
    <w:rsid w:val="008357E7"/>
    <w:rsid w:val="008364B3"/>
    <w:rsid w:val="00837F9E"/>
    <w:rsid w:val="00842320"/>
    <w:rsid w:val="00844FBE"/>
    <w:rsid w:val="0084647B"/>
    <w:rsid w:val="00846D80"/>
    <w:rsid w:val="00850E6D"/>
    <w:rsid w:val="0085184E"/>
    <w:rsid w:val="0085337D"/>
    <w:rsid w:val="00856164"/>
    <w:rsid w:val="00861965"/>
    <w:rsid w:val="00861CCA"/>
    <w:rsid w:val="00861F11"/>
    <w:rsid w:val="00870F75"/>
    <w:rsid w:val="00873FAD"/>
    <w:rsid w:val="00875163"/>
    <w:rsid w:val="00883383"/>
    <w:rsid w:val="00883451"/>
    <w:rsid w:val="008844D5"/>
    <w:rsid w:val="0088658A"/>
    <w:rsid w:val="00892E07"/>
    <w:rsid w:val="00893BB7"/>
    <w:rsid w:val="008A1442"/>
    <w:rsid w:val="008A5A50"/>
    <w:rsid w:val="008B0E18"/>
    <w:rsid w:val="008B33AE"/>
    <w:rsid w:val="008B53A7"/>
    <w:rsid w:val="008B770D"/>
    <w:rsid w:val="008C36E9"/>
    <w:rsid w:val="008C7D47"/>
    <w:rsid w:val="008D1525"/>
    <w:rsid w:val="008E0691"/>
    <w:rsid w:val="008E2ED7"/>
    <w:rsid w:val="008E6CAF"/>
    <w:rsid w:val="008F0D43"/>
    <w:rsid w:val="008F2DAF"/>
    <w:rsid w:val="008F78D5"/>
    <w:rsid w:val="00902683"/>
    <w:rsid w:val="00903115"/>
    <w:rsid w:val="00906F56"/>
    <w:rsid w:val="009076D3"/>
    <w:rsid w:val="0091433E"/>
    <w:rsid w:val="0091774A"/>
    <w:rsid w:val="00925F40"/>
    <w:rsid w:val="00927D1C"/>
    <w:rsid w:val="00927F0E"/>
    <w:rsid w:val="00932BED"/>
    <w:rsid w:val="00944A7D"/>
    <w:rsid w:val="009450BA"/>
    <w:rsid w:val="009467E8"/>
    <w:rsid w:val="00946A45"/>
    <w:rsid w:val="009474C6"/>
    <w:rsid w:val="009477A8"/>
    <w:rsid w:val="00956FFF"/>
    <w:rsid w:val="009631FA"/>
    <w:rsid w:val="00964BE1"/>
    <w:rsid w:val="00965CCF"/>
    <w:rsid w:val="00966CFD"/>
    <w:rsid w:val="00972A34"/>
    <w:rsid w:val="0097471C"/>
    <w:rsid w:val="0097719D"/>
    <w:rsid w:val="009803D0"/>
    <w:rsid w:val="00982F11"/>
    <w:rsid w:val="00985CDB"/>
    <w:rsid w:val="00987329"/>
    <w:rsid w:val="00987EAC"/>
    <w:rsid w:val="009913B8"/>
    <w:rsid w:val="0099209D"/>
    <w:rsid w:val="00993204"/>
    <w:rsid w:val="00993C92"/>
    <w:rsid w:val="00995D5B"/>
    <w:rsid w:val="0099694D"/>
    <w:rsid w:val="00996D61"/>
    <w:rsid w:val="009A2A67"/>
    <w:rsid w:val="009A394E"/>
    <w:rsid w:val="009A48C0"/>
    <w:rsid w:val="009A4C81"/>
    <w:rsid w:val="009A57F8"/>
    <w:rsid w:val="009A5B75"/>
    <w:rsid w:val="009A76F1"/>
    <w:rsid w:val="009B3EEE"/>
    <w:rsid w:val="009B441F"/>
    <w:rsid w:val="009B6B2D"/>
    <w:rsid w:val="009B73D0"/>
    <w:rsid w:val="009C2232"/>
    <w:rsid w:val="009C5C44"/>
    <w:rsid w:val="009C6F77"/>
    <w:rsid w:val="009D190B"/>
    <w:rsid w:val="009D3BBA"/>
    <w:rsid w:val="009D7596"/>
    <w:rsid w:val="009E136E"/>
    <w:rsid w:val="009E17E5"/>
    <w:rsid w:val="009E2CCC"/>
    <w:rsid w:val="009E5CCC"/>
    <w:rsid w:val="009F02E5"/>
    <w:rsid w:val="009F18E5"/>
    <w:rsid w:val="009F75FC"/>
    <w:rsid w:val="00A03AC5"/>
    <w:rsid w:val="00A10735"/>
    <w:rsid w:val="00A10DAB"/>
    <w:rsid w:val="00A1122B"/>
    <w:rsid w:val="00A11780"/>
    <w:rsid w:val="00A148C8"/>
    <w:rsid w:val="00A169B5"/>
    <w:rsid w:val="00A172AE"/>
    <w:rsid w:val="00A20F46"/>
    <w:rsid w:val="00A23670"/>
    <w:rsid w:val="00A264B5"/>
    <w:rsid w:val="00A348C9"/>
    <w:rsid w:val="00A34E7B"/>
    <w:rsid w:val="00A36E06"/>
    <w:rsid w:val="00A3706D"/>
    <w:rsid w:val="00A43A99"/>
    <w:rsid w:val="00A4620C"/>
    <w:rsid w:val="00A47AE1"/>
    <w:rsid w:val="00A5027D"/>
    <w:rsid w:val="00A574CF"/>
    <w:rsid w:val="00A6006C"/>
    <w:rsid w:val="00A625C6"/>
    <w:rsid w:val="00A714A2"/>
    <w:rsid w:val="00A72D36"/>
    <w:rsid w:val="00A76B67"/>
    <w:rsid w:val="00A82285"/>
    <w:rsid w:val="00A83CE7"/>
    <w:rsid w:val="00A857D2"/>
    <w:rsid w:val="00A87C7C"/>
    <w:rsid w:val="00A91575"/>
    <w:rsid w:val="00A93DF8"/>
    <w:rsid w:val="00A962F5"/>
    <w:rsid w:val="00A97F6C"/>
    <w:rsid w:val="00AA29E9"/>
    <w:rsid w:val="00AA3804"/>
    <w:rsid w:val="00AA3990"/>
    <w:rsid w:val="00AA7C78"/>
    <w:rsid w:val="00AA7D91"/>
    <w:rsid w:val="00AB0694"/>
    <w:rsid w:val="00AC180A"/>
    <w:rsid w:val="00AC6BD9"/>
    <w:rsid w:val="00AC782E"/>
    <w:rsid w:val="00AD45D1"/>
    <w:rsid w:val="00AD5567"/>
    <w:rsid w:val="00AD7270"/>
    <w:rsid w:val="00AD7958"/>
    <w:rsid w:val="00AE0556"/>
    <w:rsid w:val="00AE18AC"/>
    <w:rsid w:val="00AE3272"/>
    <w:rsid w:val="00AE3FF4"/>
    <w:rsid w:val="00AE415B"/>
    <w:rsid w:val="00AE483E"/>
    <w:rsid w:val="00AE7FF3"/>
    <w:rsid w:val="00AF5876"/>
    <w:rsid w:val="00B0665F"/>
    <w:rsid w:val="00B07D19"/>
    <w:rsid w:val="00B1082B"/>
    <w:rsid w:val="00B12650"/>
    <w:rsid w:val="00B13FFE"/>
    <w:rsid w:val="00B14610"/>
    <w:rsid w:val="00B231E5"/>
    <w:rsid w:val="00B24A9C"/>
    <w:rsid w:val="00B2578C"/>
    <w:rsid w:val="00B2689D"/>
    <w:rsid w:val="00B327FB"/>
    <w:rsid w:val="00B330AF"/>
    <w:rsid w:val="00B33FFD"/>
    <w:rsid w:val="00B34160"/>
    <w:rsid w:val="00B37469"/>
    <w:rsid w:val="00B415EB"/>
    <w:rsid w:val="00B41A60"/>
    <w:rsid w:val="00B428F3"/>
    <w:rsid w:val="00B43129"/>
    <w:rsid w:val="00B4511C"/>
    <w:rsid w:val="00B556B1"/>
    <w:rsid w:val="00B601FF"/>
    <w:rsid w:val="00B6360A"/>
    <w:rsid w:val="00B64820"/>
    <w:rsid w:val="00B64910"/>
    <w:rsid w:val="00B654AF"/>
    <w:rsid w:val="00B6648B"/>
    <w:rsid w:val="00B67F27"/>
    <w:rsid w:val="00B72CC0"/>
    <w:rsid w:val="00B73BDF"/>
    <w:rsid w:val="00B75582"/>
    <w:rsid w:val="00B77D78"/>
    <w:rsid w:val="00B805A1"/>
    <w:rsid w:val="00B80F3F"/>
    <w:rsid w:val="00B82FBD"/>
    <w:rsid w:val="00B86024"/>
    <w:rsid w:val="00B8697A"/>
    <w:rsid w:val="00B87E5D"/>
    <w:rsid w:val="00B91D9F"/>
    <w:rsid w:val="00B91E16"/>
    <w:rsid w:val="00B956B4"/>
    <w:rsid w:val="00B9594B"/>
    <w:rsid w:val="00B976DC"/>
    <w:rsid w:val="00B97913"/>
    <w:rsid w:val="00BA102D"/>
    <w:rsid w:val="00BA1886"/>
    <w:rsid w:val="00BA7DE7"/>
    <w:rsid w:val="00BB0F1C"/>
    <w:rsid w:val="00BB405C"/>
    <w:rsid w:val="00BB7CDA"/>
    <w:rsid w:val="00BB7DD0"/>
    <w:rsid w:val="00BC69A1"/>
    <w:rsid w:val="00BD1809"/>
    <w:rsid w:val="00BD2B0D"/>
    <w:rsid w:val="00BD55FE"/>
    <w:rsid w:val="00BE26F7"/>
    <w:rsid w:val="00BE4809"/>
    <w:rsid w:val="00BE4C58"/>
    <w:rsid w:val="00BE57F0"/>
    <w:rsid w:val="00BE593B"/>
    <w:rsid w:val="00BF7963"/>
    <w:rsid w:val="00C055E5"/>
    <w:rsid w:val="00C06DBB"/>
    <w:rsid w:val="00C07537"/>
    <w:rsid w:val="00C07ACE"/>
    <w:rsid w:val="00C13870"/>
    <w:rsid w:val="00C138CA"/>
    <w:rsid w:val="00C156C3"/>
    <w:rsid w:val="00C15755"/>
    <w:rsid w:val="00C165CC"/>
    <w:rsid w:val="00C16C57"/>
    <w:rsid w:val="00C1754E"/>
    <w:rsid w:val="00C203C0"/>
    <w:rsid w:val="00C20EF7"/>
    <w:rsid w:val="00C31204"/>
    <w:rsid w:val="00C31D8A"/>
    <w:rsid w:val="00C3214A"/>
    <w:rsid w:val="00C34DB9"/>
    <w:rsid w:val="00C35A86"/>
    <w:rsid w:val="00C50B1F"/>
    <w:rsid w:val="00C51F92"/>
    <w:rsid w:val="00C53947"/>
    <w:rsid w:val="00C543F7"/>
    <w:rsid w:val="00C56CAF"/>
    <w:rsid w:val="00C628C1"/>
    <w:rsid w:val="00C6746A"/>
    <w:rsid w:val="00C73853"/>
    <w:rsid w:val="00C740E8"/>
    <w:rsid w:val="00C74535"/>
    <w:rsid w:val="00C7782A"/>
    <w:rsid w:val="00C80BD3"/>
    <w:rsid w:val="00C835FF"/>
    <w:rsid w:val="00C84778"/>
    <w:rsid w:val="00C85790"/>
    <w:rsid w:val="00C85B28"/>
    <w:rsid w:val="00C96772"/>
    <w:rsid w:val="00CA13F9"/>
    <w:rsid w:val="00CA3CC2"/>
    <w:rsid w:val="00CA7DAB"/>
    <w:rsid w:val="00CB1D37"/>
    <w:rsid w:val="00CB21AA"/>
    <w:rsid w:val="00CB3782"/>
    <w:rsid w:val="00CB43B3"/>
    <w:rsid w:val="00CB5B0C"/>
    <w:rsid w:val="00CB762B"/>
    <w:rsid w:val="00CC083D"/>
    <w:rsid w:val="00CC0D0F"/>
    <w:rsid w:val="00CC0E9B"/>
    <w:rsid w:val="00CC1C97"/>
    <w:rsid w:val="00CC21C5"/>
    <w:rsid w:val="00CC6C8C"/>
    <w:rsid w:val="00CD2D0F"/>
    <w:rsid w:val="00CD49E2"/>
    <w:rsid w:val="00CD613A"/>
    <w:rsid w:val="00CD6982"/>
    <w:rsid w:val="00CD7023"/>
    <w:rsid w:val="00CE5140"/>
    <w:rsid w:val="00CE5B22"/>
    <w:rsid w:val="00CF021D"/>
    <w:rsid w:val="00CF338F"/>
    <w:rsid w:val="00CF4AB7"/>
    <w:rsid w:val="00D04F24"/>
    <w:rsid w:val="00D10A40"/>
    <w:rsid w:val="00D1167A"/>
    <w:rsid w:val="00D14F6E"/>
    <w:rsid w:val="00D21585"/>
    <w:rsid w:val="00D22F3F"/>
    <w:rsid w:val="00D23343"/>
    <w:rsid w:val="00D23DA9"/>
    <w:rsid w:val="00D24B29"/>
    <w:rsid w:val="00D259C2"/>
    <w:rsid w:val="00D26901"/>
    <w:rsid w:val="00D272DF"/>
    <w:rsid w:val="00D3011E"/>
    <w:rsid w:val="00D410B7"/>
    <w:rsid w:val="00D46F0D"/>
    <w:rsid w:val="00D50ACA"/>
    <w:rsid w:val="00D51BF2"/>
    <w:rsid w:val="00D52443"/>
    <w:rsid w:val="00D541A1"/>
    <w:rsid w:val="00D56921"/>
    <w:rsid w:val="00D57BAF"/>
    <w:rsid w:val="00D603DF"/>
    <w:rsid w:val="00D60A84"/>
    <w:rsid w:val="00D61BC4"/>
    <w:rsid w:val="00D63D99"/>
    <w:rsid w:val="00D63F0E"/>
    <w:rsid w:val="00D64C2B"/>
    <w:rsid w:val="00D65AE9"/>
    <w:rsid w:val="00D65D90"/>
    <w:rsid w:val="00D6617F"/>
    <w:rsid w:val="00D67E47"/>
    <w:rsid w:val="00D714E2"/>
    <w:rsid w:val="00D735F8"/>
    <w:rsid w:val="00D7365B"/>
    <w:rsid w:val="00D76355"/>
    <w:rsid w:val="00D844B9"/>
    <w:rsid w:val="00D861BB"/>
    <w:rsid w:val="00D86AC1"/>
    <w:rsid w:val="00D900C4"/>
    <w:rsid w:val="00D921D3"/>
    <w:rsid w:val="00D93E99"/>
    <w:rsid w:val="00D945C3"/>
    <w:rsid w:val="00D96A99"/>
    <w:rsid w:val="00D97F97"/>
    <w:rsid w:val="00DA3C4D"/>
    <w:rsid w:val="00DB0766"/>
    <w:rsid w:val="00DB1A28"/>
    <w:rsid w:val="00DB2320"/>
    <w:rsid w:val="00DB29CF"/>
    <w:rsid w:val="00DB2F93"/>
    <w:rsid w:val="00DB4607"/>
    <w:rsid w:val="00DB4884"/>
    <w:rsid w:val="00DB4BE3"/>
    <w:rsid w:val="00DC1056"/>
    <w:rsid w:val="00DC216D"/>
    <w:rsid w:val="00DC4CD5"/>
    <w:rsid w:val="00DC507A"/>
    <w:rsid w:val="00DD1094"/>
    <w:rsid w:val="00DD1E0B"/>
    <w:rsid w:val="00DD64F5"/>
    <w:rsid w:val="00DD7881"/>
    <w:rsid w:val="00DE42EE"/>
    <w:rsid w:val="00DE535E"/>
    <w:rsid w:val="00DE55E0"/>
    <w:rsid w:val="00DE5FBA"/>
    <w:rsid w:val="00DE624E"/>
    <w:rsid w:val="00DE6DE8"/>
    <w:rsid w:val="00DF2E6E"/>
    <w:rsid w:val="00DF6222"/>
    <w:rsid w:val="00DF73ED"/>
    <w:rsid w:val="00E00F1D"/>
    <w:rsid w:val="00E03274"/>
    <w:rsid w:val="00E06AF3"/>
    <w:rsid w:val="00E11E82"/>
    <w:rsid w:val="00E14217"/>
    <w:rsid w:val="00E17C8F"/>
    <w:rsid w:val="00E202E8"/>
    <w:rsid w:val="00E2215A"/>
    <w:rsid w:val="00E2336C"/>
    <w:rsid w:val="00E234C5"/>
    <w:rsid w:val="00E24844"/>
    <w:rsid w:val="00E27FF7"/>
    <w:rsid w:val="00E30F22"/>
    <w:rsid w:val="00E3167C"/>
    <w:rsid w:val="00E32A70"/>
    <w:rsid w:val="00E345E2"/>
    <w:rsid w:val="00E3483F"/>
    <w:rsid w:val="00E34BE5"/>
    <w:rsid w:val="00E4058A"/>
    <w:rsid w:val="00E41197"/>
    <w:rsid w:val="00E41337"/>
    <w:rsid w:val="00E424D5"/>
    <w:rsid w:val="00E42C54"/>
    <w:rsid w:val="00E51901"/>
    <w:rsid w:val="00E604F4"/>
    <w:rsid w:val="00E61452"/>
    <w:rsid w:val="00E62252"/>
    <w:rsid w:val="00E65BD5"/>
    <w:rsid w:val="00E67E02"/>
    <w:rsid w:val="00E756E6"/>
    <w:rsid w:val="00E75A92"/>
    <w:rsid w:val="00E770B7"/>
    <w:rsid w:val="00E77752"/>
    <w:rsid w:val="00E813AF"/>
    <w:rsid w:val="00E8228E"/>
    <w:rsid w:val="00E83808"/>
    <w:rsid w:val="00E92E8E"/>
    <w:rsid w:val="00E9348A"/>
    <w:rsid w:val="00E9573F"/>
    <w:rsid w:val="00E977EE"/>
    <w:rsid w:val="00EB274C"/>
    <w:rsid w:val="00EC03D1"/>
    <w:rsid w:val="00ED1658"/>
    <w:rsid w:val="00ED2F3D"/>
    <w:rsid w:val="00ED7B71"/>
    <w:rsid w:val="00EE3F6B"/>
    <w:rsid w:val="00EE5E27"/>
    <w:rsid w:val="00EF3703"/>
    <w:rsid w:val="00EF4406"/>
    <w:rsid w:val="00EF752B"/>
    <w:rsid w:val="00EF7F8D"/>
    <w:rsid w:val="00F00DEF"/>
    <w:rsid w:val="00F02737"/>
    <w:rsid w:val="00F04BAC"/>
    <w:rsid w:val="00F31BC4"/>
    <w:rsid w:val="00F321BD"/>
    <w:rsid w:val="00F32C31"/>
    <w:rsid w:val="00F34B5D"/>
    <w:rsid w:val="00F42626"/>
    <w:rsid w:val="00F51283"/>
    <w:rsid w:val="00F51DBF"/>
    <w:rsid w:val="00F541D1"/>
    <w:rsid w:val="00F67205"/>
    <w:rsid w:val="00F700F8"/>
    <w:rsid w:val="00F719AF"/>
    <w:rsid w:val="00F734CF"/>
    <w:rsid w:val="00F73B0D"/>
    <w:rsid w:val="00F80398"/>
    <w:rsid w:val="00F84F38"/>
    <w:rsid w:val="00F90469"/>
    <w:rsid w:val="00F91B47"/>
    <w:rsid w:val="00F96D29"/>
    <w:rsid w:val="00F974DE"/>
    <w:rsid w:val="00FA116F"/>
    <w:rsid w:val="00FA121B"/>
    <w:rsid w:val="00FA30E0"/>
    <w:rsid w:val="00FA6A3E"/>
    <w:rsid w:val="00FB1668"/>
    <w:rsid w:val="00FB3D9D"/>
    <w:rsid w:val="00FB7783"/>
    <w:rsid w:val="00FC2038"/>
    <w:rsid w:val="00FC25B0"/>
    <w:rsid w:val="00FC25CD"/>
    <w:rsid w:val="00FD5611"/>
    <w:rsid w:val="00FE22FF"/>
    <w:rsid w:val="00FE28FB"/>
    <w:rsid w:val="00FE3FB2"/>
    <w:rsid w:val="00FE65ED"/>
    <w:rsid w:val="00FF04B8"/>
    <w:rsid w:val="00FF0A46"/>
    <w:rsid w:val="00FF263E"/>
    <w:rsid w:val="00FF26DD"/>
    <w:rsid w:val="010239C0"/>
    <w:rsid w:val="01104D9D"/>
    <w:rsid w:val="0112673B"/>
    <w:rsid w:val="011C5507"/>
    <w:rsid w:val="016163DF"/>
    <w:rsid w:val="017602BB"/>
    <w:rsid w:val="017A0598"/>
    <w:rsid w:val="0189382E"/>
    <w:rsid w:val="01AD2105"/>
    <w:rsid w:val="01CA1737"/>
    <w:rsid w:val="01DF4D72"/>
    <w:rsid w:val="020F6A96"/>
    <w:rsid w:val="021404C5"/>
    <w:rsid w:val="021873C2"/>
    <w:rsid w:val="022D655E"/>
    <w:rsid w:val="02464B7A"/>
    <w:rsid w:val="02556504"/>
    <w:rsid w:val="027059E7"/>
    <w:rsid w:val="028573ED"/>
    <w:rsid w:val="02CA4404"/>
    <w:rsid w:val="02E41B7A"/>
    <w:rsid w:val="03036B4F"/>
    <w:rsid w:val="03540BC2"/>
    <w:rsid w:val="038E3879"/>
    <w:rsid w:val="038F2548"/>
    <w:rsid w:val="03C16935"/>
    <w:rsid w:val="03C337AF"/>
    <w:rsid w:val="041E662E"/>
    <w:rsid w:val="044B12D2"/>
    <w:rsid w:val="04887EC3"/>
    <w:rsid w:val="04B91650"/>
    <w:rsid w:val="04E260C8"/>
    <w:rsid w:val="04F56B78"/>
    <w:rsid w:val="05015D85"/>
    <w:rsid w:val="050D1ED9"/>
    <w:rsid w:val="05224BD2"/>
    <w:rsid w:val="053248CB"/>
    <w:rsid w:val="05326824"/>
    <w:rsid w:val="053D6D62"/>
    <w:rsid w:val="055E3320"/>
    <w:rsid w:val="058276E3"/>
    <w:rsid w:val="05CA429E"/>
    <w:rsid w:val="05DA6327"/>
    <w:rsid w:val="05DE6128"/>
    <w:rsid w:val="05F63873"/>
    <w:rsid w:val="0626644D"/>
    <w:rsid w:val="063C45E4"/>
    <w:rsid w:val="06581751"/>
    <w:rsid w:val="065F6A20"/>
    <w:rsid w:val="068D710F"/>
    <w:rsid w:val="06F7140C"/>
    <w:rsid w:val="07026D9A"/>
    <w:rsid w:val="0757610A"/>
    <w:rsid w:val="076E0DAA"/>
    <w:rsid w:val="07797498"/>
    <w:rsid w:val="078035EB"/>
    <w:rsid w:val="078967DD"/>
    <w:rsid w:val="07901481"/>
    <w:rsid w:val="07D30AA1"/>
    <w:rsid w:val="07E559D6"/>
    <w:rsid w:val="080863E1"/>
    <w:rsid w:val="080E7B7D"/>
    <w:rsid w:val="084C7E3B"/>
    <w:rsid w:val="08555AD8"/>
    <w:rsid w:val="08692D59"/>
    <w:rsid w:val="08B24DB9"/>
    <w:rsid w:val="08B763FB"/>
    <w:rsid w:val="08BD2D0D"/>
    <w:rsid w:val="08F65014"/>
    <w:rsid w:val="08FC6C17"/>
    <w:rsid w:val="09504EEC"/>
    <w:rsid w:val="095837D1"/>
    <w:rsid w:val="09624441"/>
    <w:rsid w:val="097C6ABE"/>
    <w:rsid w:val="09CB07A5"/>
    <w:rsid w:val="09DD352B"/>
    <w:rsid w:val="09FA1CEB"/>
    <w:rsid w:val="09FB6644"/>
    <w:rsid w:val="0A1D5180"/>
    <w:rsid w:val="0A23345F"/>
    <w:rsid w:val="0A2C47AB"/>
    <w:rsid w:val="0A523FEA"/>
    <w:rsid w:val="0A601EED"/>
    <w:rsid w:val="0A7C2FDC"/>
    <w:rsid w:val="0A9125D1"/>
    <w:rsid w:val="0AC47B17"/>
    <w:rsid w:val="0ACA3981"/>
    <w:rsid w:val="0ACD7B4E"/>
    <w:rsid w:val="0ACF1B96"/>
    <w:rsid w:val="0B233E8C"/>
    <w:rsid w:val="0B3E6F4C"/>
    <w:rsid w:val="0B907955"/>
    <w:rsid w:val="0BEE00B4"/>
    <w:rsid w:val="0BFD76B1"/>
    <w:rsid w:val="0C06083B"/>
    <w:rsid w:val="0C1B24DF"/>
    <w:rsid w:val="0C1D11FE"/>
    <w:rsid w:val="0C23286C"/>
    <w:rsid w:val="0C3B1F34"/>
    <w:rsid w:val="0C5C6C03"/>
    <w:rsid w:val="0C734494"/>
    <w:rsid w:val="0CAC1C09"/>
    <w:rsid w:val="0CB121FA"/>
    <w:rsid w:val="0CD310FD"/>
    <w:rsid w:val="0CD711A7"/>
    <w:rsid w:val="0CDF1D53"/>
    <w:rsid w:val="0CE35DF0"/>
    <w:rsid w:val="0CF112C6"/>
    <w:rsid w:val="0D0B0B58"/>
    <w:rsid w:val="0D154075"/>
    <w:rsid w:val="0D4B0286"/>
    <w:rsid w:val="0D90618C"/>
    <w:rsid w:val="0DC12A26"/>
    <w:rsid w:val="0DC56E01"/>
    <w:rsid w:val="0DCA0D5B"/>
    <w:rsid w:val="0DCD18EE"/>
    <w:rsid w:val="0DDE65C7"/>
    <w:rsid w:val="0DE436B1"/>
    <w:rsid w:val="0E0B3DCB"/>
    <w:rsid w:val="0E2C11F7"/>
    <w:rsid w:val="0E4371EF"/>
    <w:rsid w:val="0E4E4508"/>
    <w:rsid w:val="0E4F6D95"/>
    <w:rsid w:val="0E580B7C"/>
    <w:rsid w:val="0E617440"/>
    <w:rsid w:val="0E670F36"/>
    <w:rsid w:val="0E6F0323"/>
    <w:rsid w:val="0E792DDB"/>
    <w:rsid w:val="0EA96CF7"/>
    <w:rsid w:val="0EB66C3D"/>
    <w:rsid w:val="0ECC0899"/>
    <w:rsid w:val="0F213F2A"/>
    <w:rsid w:val="0F345EEF"/>
    <w:rsid w:val="0F5F5AA1"/>
    <w:rsid w:val="0F7B45A9"/>
    <w:rsid w:val="0F7F421D"/>
    <w:rsid w:val="0F837B50"/>
    <w:rsid w:val="0F975849"/>
    <w:rsid w:val="0FAC06E2"/>
    <w:rsid w:val="0FB91083"/>
    <w:rsid w:val="0FBA6401"/>
    <w:rsid w:val="0FE0182B"/>
    <w:rsid w:val="0FE33542"/>
    <w:rsid w:val="10034E7B"/>
    <w:rsid w:val="10162B68"/>
    <w:rsid w:val="10284719"/>
    <w:rsid w:val="102C59C6"/>
    <w:rsid w:val="104A4EA2"/>
    <w:rsid w:val="10690A7B"/>
    <w:rsid w:val="10A95242"/>
    <w:rsid w:val="10B07213"/>
    <w:rsid w:val="10BB48BB"/>
    <w:rsid w:val="10DA2086"/>
    <w:rsid w:val="10DC7F49"/>
    <w:rsid w:val="10F8794C"/>
    <w:rsid w:val="112A2CF8"/>
    <w:rsid w:val="113109B0"/>
    <w:rsid w:val="11326319"/>
    <w:rsid w:val="1180197F"/>
    <w:rsid w:val="11966B4C"/>
    <w:rsid w:val="11AE3DFA"/>
    <w:rsid w:val="11B746B4"/>
    <w:rsid w:val="11E7339F"/>
    <w:rsid w:val="120D43FB"/>
    <w:rsid w:val="1211639E"/>
    <w:rsid w:val="12447F51"/>
    <w:rsid w:val="125A5100"/>
    <w:rsid w:val="1270143E"/>
    <w:rsid w:val="128D08CA"/>
    <w:rsid w:val="12917D34"/>
    <w:rsid w:val="12AB6274"/>
    <w:rsid w:val="12CD052F"/>
    <w:rsid w:val="13043D08"/>
    <w:rsid w:val="131B7FE7"/>
    <w:rsid w:val="137E4B4E"/>
    <w:rsid w:val="138A583D"/>
    <w:rsid w:val="13A7508F"/>
    <w:rsid w:val="13D11289"/>
    <w:rsid w:val="13F60372"/>
    <w:rsid w:val="142202ED"/>
    <w:rsid w:val="145C6356"/>
    <w:rsid w:val="146B3793"/>
    <w:rsid w:val="1472321B"/>
    <w:rsid w:val="14A8451B"/>
    <w:rsid w:val="14B17E5F"/>
    <w:rsid w:val="14C75E81"/>
    <w:rsid w:val="14D765EB"/>
    <w:rsid w:val="14F40059"/>
    <w:rsid w:val="14FF67C4"/>
    <w:rsid w:val="15114E50"/>
    <w:rsid w:val="15195596"/>
    <w:rsid w:val="151C2E1D"/>
    <w:rsid w:val="153006CD"/>
    <w:rsid w:val="15445AF6"/>
    <w:rsid w:val="15656F81"/>
    <w:rsid w:val="157D11B5"/>
    <w:rsid w:val="15896B3B"/>
    <w:rsid w:val="159572EE"/>
    <w:rsid w:val="15B15863"/>
    <w:rsid w:val="15BA0B48"/>
    <w:rsid w:val="15D45853"/>
    <w:rsid w:val="165B0AB6"/>
    <w:rsid w:val="165B3754"/>
    <w:rsid w:val="16771F3D"/>
    <w:rsid w:val="16976CA2"/>
    <w:rsid w:val="16B7751A"/>
    <w:rsid w:val="16E40BF7"/>
    <w:rsid w:val="16EE610D"/>
    <w:rsid w:val="16F51533"/>
    <w:rsid w:val="17113B5D"/>
    <w:rsid w:val="17121351"/>
    <w:rsid w:val="17356848"/>
    <w:rsid w:val="17551687"/>
    <w:rsid w:val="179D60C8"/>
    <w:rsid w:val="17AB6E5C"/>
    <w:rsid w:val="17B6512D"/>
    <w:rsid w:val="17B9141F"/>
    <w:rsid w:val="17C60980"/>
    <w:rsid w:val="17E24852"/>
    <w:rsid w:val="17ED0B59"/>
    <w:rsid w:val="17FF34FE"/>
    <w:rsid w:val="1827693E"/>
    <w:rsid w:val="18352026"/>
    <w:rsid w:val="18551E5F"/>
    <w:rsid w:val="186C78C5"/>
    <w:rsid w:val="18AA2D1C"/>
    <w:rsid w:val="18E76915"/>
    <w:rsid w:val="19181707"/>
    <w:rsid w:val="192B2B50"/>
    <w:rsid w:val="1930032B"/>
    <w:rsid w:val="195E6A67"/>
    <w:rsid w:val="19BA6A14"/>
    <w:rsid w:val="19BF7D66"/>
    <w:rsid w:val="19CE2551"/>
    <w:rsid w:val="19D30F9F"/>
    <w:rsid w:val="19D52D01"/>
    <w:rsid w:val="19E90EE3"/>
    <w:rsid w:val="1A0B49B6"/>
    <w:rsid w:val="1A0F7918"/>
    <w:rsid w:val="1A1054AA"/>
    <w:rsid w:val="1A177038"/>
    <w:rsid w:val="1A5143A7"/>
    <w:rsid w:val="1A69775A"/>
    <w:rsid w:val="1A6D5653"/>
    <w:rsid w:val="1A76761B"/>
    <w:rsid w:val="1A7A02D9"/>
    <w:rsid w:val="1A7E3E4A"/>
    <w:rsid w:val="1A7E6E32"/>
    <w:rsid w:val="1A861070"/>
    <w:rsid w:val="1AAD6985"/>
    <w:rsid w:val="1AC34C3C"/>
    <w:rsid w:val="1AFB1D3F"/>
    <w:rsid w:val="1B3772A2"/>
    <w:rsid w:val="1B8D1396"/>
    <w:rsid w:val="1B8E0F5E"/>
    <w:rsid w:val="1B8F5894"/>
    <w:rsid w:val="1B992A8B"/>
    <w:rsid w:val="1BA72214"/>
    <w:rsid w:val="1BAE4871"/>
    <w:rsid w:val="1BC05B5E"/>
    <w:rsid w:val="1BE508A5"/>
    <w:rsid w:val="1BF84525"/>
    <w:rsid w:val="1C07383C"/>
    <w:rsid w:val="1C0D0AC5"/>
    <w:rsid w:val="1C127AA2"/>
    <w:rsid w:val="1C572C62"/>
    <w:rsid w:val="1C63729E"/>
    <w:rsid w:val="1C933D07"/>
    <w:rsid w:val="1C99656B"/>
    <w:rsid w:val="1CA16DD2"/>
    <w:rsid w:val="1CB23B39"/>
    <w:rsid w:val="1D35042B"/>
    <w:rsid w:val="1D3C5196"/>
    <w:rsid w:val="1D4F69F8"/>
    <w:rsid w:val="1D5F6621"/>
    <w:rsid w:val="1D6F5241"/>
    <w:rsid w:val="1D796B9A"/>
    <w:rsid w:val="1D851A70"/>
    <w:rsid w:val="1D980B54"/>
    <w:rsid w:val="1D9B1031"/>
    <w:rsid w:val="1DAD667C"/>
    <w:rsid w:val="1DDF65EC"/>
    <w:rsid w:val="1E0B21D6"/>
    <w:rsid w:val="1E41268B"/>
    <w:rsid w:val="1E61044E"/>
    <w:rsid w:val="1EAB67F5"/>
    <w:rsid w:val="1EAC7DC7"/>
    <w:rsid w:val="1EB34547"/>
    <w:rsid w:val="1EBD64C9"/>
    <w:rsid w:val="1ED1268F"/>
    <w:rsid w:val="1ED25476"/>
    <w:rsid w:val="1EE935DA"/>
    <w:rsid w:val="1EFB1B23"/>
    <w:rsid w:val="1F49119F"/>
    <w:rsid w:val="1F6027EE"/>
    <w:rsid w:val="1F7B1EF9"/>
    <w:rsid w:val="1FA67AC4"/>
    <w:rsid w:val="1FDB1056"/>
    <w:rsid w:val="1FE13EA3"/>
    <w:rsid w:val="20071B2D"/>
    <w:rsid w:val="2015535A"/>
    <w:rsid w:val="2021218C"/>
    <w:rsid w:val="20302359"/>
    <w:rsid w:val="208A54E5"/>
    <w:rsid w:val="209C1632"/>
    <w:rsid w:val="20B6292E"/>
    <w:rsid w:val="20D1623A"/>
    <w:rsid w:val="21153713"/>
    <w:rsid w:val="212A50E6"/>
    <w:rsid w:val="21503F34"/>
    <w:rsid w:val="21870251"/>
    <w:rsid w:val="2193587D"/>
    <w:rsid w:val="21CB2399"/>
    <w:rsid w:val="22171C59"/>
    <w:rsid w:val="22172292"/>
    <w:rsid w:val="22286C0E"/>
    <w:rsid w:val="222C14FB"/>
    <w:rsid w:val="222C2772"/>
    <w:rsid w:val="22414631"/>
    <w:rsid w:val="224E184E"/>
    <w:rsid w:val="225620B5"/>
    <w:rsid w:val="22853B64"/>
    <w:rsid w:val="229F6C40"/>
    <w:rsid w:val="22C279DD"/>
    <w:rsid w:val="22C5241B"/>
    <w:rsid w:val="22CA76F3"/>
    <w:rsid w:val="22CB5AEA"/>
    <w:rsid w:val="22EE6E36"/>
    <w:rsid w:val="22F94536"/>
    <w:rsid w:val="22F96DEE"/>
    <w:rsid w:val="23396270"/>
    <w:rsid w:val="23447EF3"/>
    <w:rsid w:val="234F317F"/>
    <w:rsid w:val="236F735D"/>
    <w:rsid w:val="23A0071B"/>
    <w:rsid w:val="23AF27A1"/>
    <w:rsid w:val="23E5206A"/>
    <w:rsid w:val="23F906EA"/>
    <w:rsid w:val="242E0FE3"/>
    <w:rsid w:val="243A1CA0"/>
    <w:rsid w:val="244769EA"/>
    <w:rsid w:val="24484620"/>
    <w:rsid w:val="24774576"/>
    <w:rsid w:val="24BB012F"/>
    <w:rsid w:val="24D237B0"/>
    <w:rsid w:val="24DF398B"/>
    <w:rsid w:val="2502401B"/>
    <w:rsid w:val="251709E1"/>
    <w:rsid w:val="253F357A"/>
    <w:rsid w:val="25442B64"/>
    <w:rsid w:val="257A3ADD"/>
    <w:rsid w:val="258D299E"/>
    <w:rsid w:val="259D04C7"/>
    <w:rsid w:val="25A726C9"/>
    <w:rsid w:val="25A86AD6"/>
    <w:rsid w:val="25C07ECE"/>
    <w:rsid w:val="25D247AD"/>
    <w:rsid w:val="261F72B2"/>
    <w:rsid w:val="263A7C4D"/>
    <w:rsid w:val="265E6BD8"/>
    <w:rsid w:val="267C5771"/>
    <w:rsid w:val="26843C9F"/>
    <w:rsid w:val="26876F99"/>
    <w:rsid w:val="268E700C"/>
    <w:rsid w:val="26984CC5"/>
    <w:rsid w:val="26A17B18"/>
    <w:rsid w:val="26BF6134"/>
    <w:rsid w:val="26C12082"/>
    <w:rsid w:val="26F06E4E"/>
    <w:rsid w:val="2702546B"/>
    <w:rsid w:val="27573742"/>
    <w:rsid w:val="275A7FE0"/>
    <w:rsid w:val="275C0FD4"/>
    <w:rsid w:val="275E6D5C"/>
    <w:rsid w:val="27854590"/>
    <w:rsid w:val="279C0C7F"/>
    <w:rsid w:val="27A82CCA"/>
    <w:rsid w:val="27D06B9B"/>
    <w:rsid w:val="27D1066D"/>
    <w:rsid w:val="27D4408E"/>
    <w:rsid w:val="27DA2EEE"/>
    <w:rsid w:val="27F17017"/>
    <w:rsid w:val="27F50B4A"/>
    <w:rsid w:val="282E4EF0"/>
    <w:rsid w:val="285665AE"/>
    <w:rsid w:val="28606F0E"/>
    <w:rsid w:val="28750EE6"/>
    <w:rsid w:val="288635E5"/>
    <w:rsid w:val="289217B3"/>
    <w:rsid w:val="28D067ED"/>
    <w:rsid w:val="28DF31E7"/>
    <w:rsid w:val="290469A4"/>
    <w:rsid w:val="290E179B"/>
    <w:rsid w:val="2926705C"/>
    <w:rsid w:val="293D2E79"/>
    <w:rsid w:val="294D45CB"/>
    <w:rsid w:val="29696273"/>
    <w:rsid w:val="296F72BA"/>
    <w:rsid w:val="2983198D"/>
    <w:rsid w:val="299B150F"/>
    <w:rsid w:val="29BF0913"/>
    <w:rsid w:val="29C74DCB"/>
    <w:rsid w:val="29D80C6B"/>
    <w:rsid w:val="29F86E17"/>
    <w:rsid w:val="29FE65C3"/>
    <w:rsid w:val="2A123798"/>
    <w:rsid w:val="2A136415"/>
    <w:rsid w:val="2A1C690F"/>
    <w:rsid w:val="2A327B83"/>
    <w:rsid w:val="2A5E3FBF"/>
    <w:rsid w:val="2A6D003D"/>
    <w:rsid w:val="2A7C4FA2"/>
    <w:rsid w:val="2A820D24"/>
    <w:rsid w:val="2AE96135"/>
    <w:rsid w:val="2AED6CD3"/>
    <w:rsid w:val="2AF274E6"/>
    <w:rsid w:val="2B107799"/>
    <w:rsid w:val="2B171470"/>
    <w:rsid w:val="2B4178F3"/>
    <w:rsid w:val="2B4B4E4D"/>
    <w:rsid w:val="2B4D2EC5"/>
    <w:rsid w:val="2B7800D0"/>
    <w:rsid w:val="2B965CA0"/>
    <w:rsid w:val="2BBC6B40"/>
    <w:rsid w:val="2BBF5D8F"/>
    <w:rsid w:val="2BCF6A90"/>
    <w:rsid w:val="2BE8170A"/>
    <w:rsid w:val="2BF21515"/>
    <w:rsid w:val="2BF82956"/>
    <w:rsid w:val="2BF91B5B"/>
    <w:rsid w:val="2C4861DE"/>
    <w:rsid w:val="2C600073"/>
    <w:rsid w:val="2C67665D"/>
    <w:rsid w:val="2C783060"/>
    <w:rsid w:val="2C7E0F8B"/>
    <w:rsid w:val="2C913E5F"/>
    <w:rsid w:val="2C926104"/>
    <w:rsid w:val="2C9F2472"/>
    <w:rsid w:val="2CAF1463"/>
    <w:rsid w:val="2CB3090E"/>
    <w:rsid w:val="2CD41194"/>
    <w:rsid w:val="2CE615A9"/>
    <w:rsid w:val="2D2C20F1"/>
    <w:rsid w:val="2D43015E"/>
    <w:rsid w:val="2D6128FB"/>
    <w:rsid w:val="2D695889"/>
    <w:rsid w:val="2DA15DAA"/>
    <w:rsid w:val="2DF72B2C"/>
    <w:rsid w:val="2DFB2760"/>
    <w:rsid w:val="2E2803FE"/>
    <w:rsid w:val="2E472FAA"/>
    <w:rsid w:val="2E5917ED"/>
    <w:rsid w:val="2EDC5996"/>
    <w:rsid w:val="2F1236AA"/>
    <w:rsid w:val="2F5C3CC7"/>
    <w:rsid w:val="2F5D7827"/>
    <w:rsid w:val="2FF240D6"/>
    <w:rsid w:val="2FF64215"/>
    <w:rsid w:val="2FF84291"/>
    <w:rsid w:val="2FFE798C"/>
    <w:rsid w:val="300D7698"/>
    <w:rsid w:val="303C2769"/>
    <w:rsid w:val="30504536"/>
    <w:rsid w:val="30B54D2A"/>
    <w:rsid w:val="30CB4EB8"/>
    <w:rsid w:val="30D771F0"/>
    <w:rsid w:val="30E237F0"/>
    <w:rsid w:val="30E83329"/>
    <w:rsid w:val="312C75DD"/>
    <w:rsid w:val="313261C2"/>
    <w:rsid w:val="314010EF"/>
    <w:rsid w:val="31570AC4"/>
    <w:rsid w:val="3178157B"/>
    <w:rsid w:val="3178636E"/>
    <w:rsid w:val="318E7D85"/>
    <w:rsid w:val="31DE6CF8"/>
    <w:rsid w:val="320657C5"/>
    <w:rsid w:val="32504AE8"/>
    <w:rsid w:val="325B09C6"/>
    <w:rsid w:val="326124A0"/>
    <w:rsid w:val="3264718F"/>
    <w:rsid w:val="326C67DD"/>
    <w:rsid w:val="326F0BB6"/>
    <w:rsid w:val="32DC3EEB"/>
    <w:rsid w:val="32FB7CBD"/>
    <w:rsid w:val="3301679D"/>
    <w:rsid w:val="33407E74"/>
    <w:rsid w:val="33475150"/>
    <w:rsid w:val="334E0780"/>
    <w:rsid w:val="335B6BD2"/>
    <w:rsid w:val="338016AD"/>
    <w:rsid w:val="338B66C7"/>
    <w:rsid w:val="339B3103"/>
    <w:rsid w:val="33FF2E5F"/>
    <w:rsid w:val="340120DE"/>
    <w:rsid w:val="34AC3B1B"/>
    <w:rsid w:val="34B459EE"/>
    <w:rsid w:val="34BC3FF1"/>
    <w:rsid w:val="34C9721D"/>
    <w:rsid w:val="34DB6479"/>
    <w:rsid w:val="34DF3BB8"/>
    <w:rsid w:val="34E6005F"/>
    <w:rsid w:val="34E8383C"/>
    <w:rsid w:val="34F1326D"/>
    <w:rsid w:val="35306B46"/>
    <w:rsid w:val="354074DA"/>
    <w:rsid w:val="3541701A"/>
    <w:rsid w:val="355301CA"/>
    <w:rsid w:val="35572D81"/>
    <w:rsid w:val="358A7C24"/>
    <w:rsid w:val="35A23288"/>
    <w:rsid w:val="35BD22B0"/>
    <w:rsid w:val="35CD0ABB"/>
    <w:rsid w:val="35CF5BA1"/>
    <w:rsid w:val="364A2239"/>
    <w:rsid w:val="365147F8"/>
    <w:rsid w:val="3664134E"/>
    <w:rsid w:val="366600FD"/>
    <w:rsid w:val="366D21A0"/>
    <w:rsid w:val="36943715"/>
    <w:rsid w:val="3698176C"/>
    <w:rsid w:val="36D72660"/>
    <w:rsid w:val="37182A52"/>
    <w:rsid w:val="371B5F82"/>
    <w:rsid w:val="375E42D4"/>
    <w:rsid w:val="377F5579"/>
    <w:rsid w:val="37C65637"/>
    <w:rsid w:val="37DB6101"/>
    <w:rsid w:val="37DC2915"/>
    <w:rsid w:val="37E57925"/>
    <w:rsid w:val="37F039D9"/>
    <w:rsid w:val="37FE5747"/>
    <w:rsid w:val="380C003D"/>
    <w:rsid w:val="38125173"/>
    <w:rsid w:val="38422F18"/>
    <w:rsid w:val="38861CAF"/>
    <w:rsid w:val="38894697"/>
    <w:rsid w:val="38B45FCF"/>
    <w:rsid w:val="38BB1240"/>
    <w:rsid w:val="38C66A8D"/>
    <w:rsid w:val="38D938E0"/>
    <w:rsid w:val="38EA558B"/>
    <w:rsid w:val="3903234C"/>
    <w:rsid w:val="390C169C"/>
    <w:rsid w:val="39466E9A"/>
    <w:rsid w:val="3956137A"/>
    <w:rsid w:val="395726DC"/>
    <w:rsid w:val="398E0277"/>
    <w:rsid w:val="398F79E6"/>
    <w:rsid w:val="3994794A"/>
    <w:rsid w:val="399E3EC2"/>
    <w:rsid w:val="39EC17B7"/>
    <w:rsid w:val="3A2B16F7"/>
    <w:rsid w:val="3A5B4889"/>
    <w:rsid w:val="3A9D4727"/>
    <w:rsid w:val="3AF16F8D"/>
    <w:rsid w:val="3B024DCA"/>
    <w:rsid w:val="3B033F20"/>
    <w:rsid w:val="3B237AB5"/>
    <w:rsid w:val="3B3D1EC3"/>
    <w:rsid w:val="3B4C5199"/>
    <w:rsid w:val="3B5A3926"/>
    <w:rsid w:val="3B6477E2"/>
    <w:rsid w:val="3B6F72D2"/>
    <w:rsid w:val="3BA01820"/>
    <w:rsid w:val="3BAA0CA8"/>
    <w:rsid w:val="3BFA26A3"/>
    <w:rsid w:val="3C1627BD"/>
    <w:rsid w:val="3C86239C"/>
    <w:rsid w:val="3C935C16"/>
    <w:rsid w:val="3CB97B91"/>
    <w:rsid w:val="3CBE4E90"/>
    <w:rsid w:val="3CC61A14"/>
    <w:rsid w:val="3CE9681C"/>
    <w:rsid w:val="3CFE7E27"/>
    <w:rsid w:val="3D097221"/>
    <w:rsid w:val="3D5C7C70"/>
    <w:rsid w:val="3D5D75DA"/>
    <w:rsid w:val="3D694932"/>
    <w:rsid w:val="3D856DFB"/>
    <w:rsid w:val="3D9E3281"/>
    <w:rsid w:val="3DB054C2"/>
    <w:rsid w:val="3DB174C5"/>
    <w:rsid w:val="3DB21B9A"/>
    <w:rsid w:val="3DB762D6"/>
    <w:rsid w:val="3DB92B1F"/>
    <w:rsid w:val="3DC53C96"/>
    <w:rsid w:val="3DDB7772"/>
    <w:rsid w:val="3DEE7185"/>
    <w:rsid w:val="3E0F43FC"/>
    <w:rsid w:val="3E13011F"/>
    <w:rsid w:val="3E1B50F2"/>
    <w:rsid w:val="3E377960"/>
    <w:rsid w:val="3E3E3AA9"/>
    <w:rsid w:val="3E5633B0"/>
    <w:rsid w:val="3E69521D"/>
    <w:rsid w:val="3E85548C"/>
    <w:rsid w:val="3EA52B3C"/>
    <w:rsid w:val="3EAA07B7"/>
    <w:rsid w:val="3EE105A7"/>
    <w:rsid w:val="3F185276"/>
    <w:rsid w:val="3F1F0438"/>
    <w:rsid w:val="3F6D00E4"/>
    <w:rsid w:val="3FAA0F0A"/>
    <w:rsid w:val="3FAD4DB6"/>
    <w:rsid w:val="3FF16063"/>
    <w:rsid w:val="400903C2"/>
    <w:rsid w:val="402B63E0"/>
    <w:rsid w:val="402D130B"/>
    <w:rsid w:val="40715C65"/>
    <w:rsid w:val="40865F01"/>
    <w:rsid w:val="40AC33A5"/>
    <w:rsid w:val="40AC5421"/>
    <w:rsid w:val="40B40285"/>
    <w:rsid w:val="40D11547"/>
    <w:rsid w:val="40EF74B1"/>
    <w:rsid w:val="40F76DB1"/>
    <w:rsid w:val="40FA0739"/>
    <w:rsid w:val="41451437"/>
    <w:rsid w:val="4159757E"/>
    <w:rsid w:val="41750DA2"/>
    <w:rsid w:val="41946A71"/>
    <w:rsid w:val="41976398"/>
    <w:rsid w:val="41E53325"/>
    <w:rsid w:val="421D605B"/>
    <w:rsid w:val="42327777"/>
    <w:rsid w:val="42491DBA"/>
    <w:rsid w:val="42492E97"/>
    <w:rsid w:val="42990B76"/>
    <w:rsid w:val="429B1260"/>
    <w:rsid w:val="42A134BA"/>
    <w:rsid w:val="43043234"/>
    <w:rsid w:val="431F5FA7"/>
    <w:rsid w:val="433C6236"/>
    <w:rsid w:val="433D14E5"/>
    <w:rsid w:val="435E510A"/>
    <w:rsid w:val="438C3B83"/>
    <w:rsid w:val="439568B5"/>
    <w:rsid w:val="43990643"/>
    <w:rsid w:val="44043CDF"/>
    <w:rsid w:val="44125006"/>
    <w:rsid w:val="441F3590"/>
    <w:rsid w:val="447B6E14"/>
    <w:rsid w:val="4489079B"/>
    <w:rsid w:val="44AA27AF"/>
    <w:rsid w:val="44AA7D20"/>
    <w:rsid w:val="44B4708A"/>
    <w:rsid w:val="44E30982"/>
    <w:rsid w:val="450B3366"/>
    <w:rsid w:val="45433F01"/>
    <w:rsid w:val="45513EA9"/>
    <w:rsid w:val="45866B37"/>
    <w:rsid w:val="45B66A3C"/>
    <w:rsid w:val="45C07148"/>
    <w:rsid w:val="45E1355A"/>
    <w:rsid w:val="45ED1F18"/>
    <w:rsid w:val="460F09D0"/>
    <w:rsid w:val="46126F6A"/>
    <w:rsid w:val="462B63A7"/>
    <w:rsid w:val="46364C09"/>
    <w:rsid w:val="464340FC"/>
    <w:rsid w:val="467B49CD"/>
    <w:rsid w:val="467C28EA"/>
    <w:rsid w:val="46826F39"/>
    <w:rsid w:val="46C46AF3"/>
    <w:rsid w:val="46E05AB2"/>
    <w:rsid w:val="46FD3906"/>
    <w:rsid w:val="470A1183"/>
    <w:rsid w:val="47291339"/>
    <w:rsid w:val="47451B75"/>
    <w:rsid w:val="47927538"/>
    <w:rsid w:val="47967359"/>
    <w:rsid w:val="47AF5E05"/>
    <w:rsid w:val="47BE705D"/>
    <w:rsid w:val="47C314B2"/>
    <w:rsid w:val="47E9026B"/>
    <w:rsid w:val="47FC0D94"/>
    <w:rsid w:val="480314AD"/>
    <w:rsid w:val="4805405A"/>
    <w:rsid w:val="48107668"/>
    <w:rsid w:val="481C02F6"/>
    <w:rsid w:val="482F7554"/>
    <w:rsid w:val="48433E59"/>
    <w:rsid w:val="48582FE3"/>
    <w:rsid w:val="4874444A"/>
    <w:rsid w:val="48BF791A"/>
    <w:rsid w:val="48C2623B"/>
    <w:rsid w:val="49032A1C"/>
    <w:rsid w:val="492419AB"/>
    <w:rsid w:val="495D14BC"/>
    <w:rsid w:val="4993044C"/>
    <w:rsid w:val="49AD6662"/>
    <w:rsid w:val="49E6155A"/>
    <w:rsid w:val="4A336768"/>
    <w:rsid w:val="4A541A5A"/>
    <w:rsid w:val="4A5E1729"/>
    <w:rsid w:val="4A605BA3"/>
    <w:rsid w:val="4A64253C"/>
    <w:rsid w:val="4A99140C"/>
    <w:rsid w:val="4AAA1721"/>
    <w:rsid w:val="4ABE298D"/>
    <w:rsid w:val="4ABF4940"/>
    <w:rsid w:val="4AD51D05"/>
    <w:rsid w:val="4AD6354A"/>
    <w:rsid w:val="4AEB60D3"/>
    <w:rsid w:val="4B0476EA"/>
    <w:rsid w:val="4B120414"/>
    <w:rsid w:val="4B450E7D"/>
    <w:rsid w:val="4B720B7B"/>
    <w:rsid w:val="4B9E7279"/>
    <w:rsid w:val="4BA2180D"/>
    <w:rsid w:val="4BAD4F5A"/>
    <w:rsid w:val="4BAF082E"/>
    <w:rsid w:val="4BBD1968"/>
    <w:rsid w:val="4BD0278D"/>
    <w:rsid w:val="4BD3076F"/>
    <w:rsid w:val="4BF55F04"/>
    <w:rsid w:val="4BF83BF8"/>
    <w:rsid w:val="4BFA557D"/>
    <w:rsid w:val="4C065D67"/>
    <w:rsid w:val="4C076B6F"/>
    <w:rsid w:val="4C094306"/>
    <w:rsid w:val="4C413121"/>
    <w:rsid w:val="4C5272CD"/>
    <w:rsid w:val="4C6E23B8"/>
    <w:rsid w:val="4C866082"/>
    <w:rsid w:val="4C8743DC"/>
    <w:rsid w:val="4CE73DAD"/>
    <w:rsid w:val="4CEE4442"/>
    <w:rsid w:val="4D07205E"/>
    <w:rsid w:val="4D185177"/>
    <w:rsid w:val="4D3B431F"/>
    <w:rsid w:val="4D736E89"/>
    <w:rsid w:val="4DAD4DE0"/>
    <w:rsid w:val="4DCE6B0C"/>
    <w:rsid w:val="4DD119CB"/>
    <w:rsid w:val="4E0B5A2D"/>
    <w:rsid w:val="4E203238"/>
    <w:rsid w:val="4E2B43F4"/>
    <w:rsid w:val="4E3C250A"/>
    <w:rsid w:val="4E920C06"/>
    <w:rsid w:val="4EC661AD"/>
    <w:rsid w:val="4EFC01A7"/>
    <w:rsid w:val="4EFC0AC5"/>
    <w:rsid w:val="4F181C5B"/>
    <w:rsid w:val="4F213562"/>
    <w:rsid w:val="4F57304D"/>
    <w:rsid w:val="4F877CAC"/>
    <w:rsid w:val="4F896CAB"/>
    <w:rsid w:val="4FCE376B"/>
    <w:rsid w:val="4FDE6594"/>
    <w:rsid w:val="4FE337A0"/>
    <w:rsid w:val="4FE93A5C"/>
    <w:rsid w:val="4FFB0E89"/>
    <w:rsid w:val="50242172"/>
    <w:rsid w:val="50421202"/>
    <w:rsid w:val="507023ED"/>
    <w:rsid w:val="50A00E7F"/>
    <w:rsid w:val="50AE7D07"/>
    <w:rsid w:val="50D03D65"/>
    <w:rsid w:val="50E93C86"/>
    <w:rsid w:val="50ED0DFE"/>
    <w:rsid w:val="51505457"/>
    <w:rsid w:val="515D3C39"/>
    <w:rsid w:val="516526CC"/>
    <w:rsid w:val="51843669"/>
    <w:rsid w:val="51B20B1A"/>
    <w:rsid w:val="51BE5EF0"/>
    <w:rsid w:val="51E37A31"/>
    <w:rsid w:val="51FA1322"/>
    <w:rsid w:val="52441C55"/>
    <w:rsid w:val="524A4879"/>
    <w:rsid w:val="524C6148"/>
    <w:rsid w:val="525E2D9E"/>
    <w:rsid w:val="52694AB6"/>
    <w:rsid w:val="529B27DC"/>
    <w:rsid w:val="52AF0E4B"/>
    <w:rsid w:val="52D071A3"/>
    <w:rsid w:val="52D979D1"/>
    <w:rsid w:val="53061DA4"/>
    <w:rsid w:val="53452208"/>
    <w:rsid w:val="53676D7C"/>
    <w:rsid w:val="53842BE5"/>
    <w:rsid w:val="538B02F2"/>
    <w:rsid w:val="539E112F"/>
    <w:rsid w:val="53AB76DB"/>
    <w:rsid w:val="53C2317A"/>
    <w:rsid w:val="53C66B0D"/>
    <w:rsid w:val="53DB1362"/>
    <w:rsid w:val="53DE2357"/>
    <w:rsid w:val="53E7120F"/>
    <w:rsid w:val="53F16154"/>
    <w:rsid w:val="540210C9"/>
    <w:rsid w:val="540E716F"/>
    <w:rsid w:val="541B0B01"/>
    <w:rsid w:val="542343CD"/>
    <w:rsid w:val="542C462B"/>
    <w:rsid w:val="54340D83"/>
    <w:rsid w:val="54456A8C"/>
    <w:rsid w:val="545240B0"/>
    <w:rsid w:val="54596B29"/>
    <w:rsid w:val="545E16EB"/>
    <w:rsid w:val="54627485"/>
    <w:rsid w:val="5463295C"/>
    <w:rsid w:val="546B6465"/>
    <w:rsid w:val="54753DC0"/>
    <w:rsid w:val="5475510B"/>
    <w:rsid w:val="54B341DC"/>
    <w:rsid w:val="54BA6302"/>
    <w:rsid w:val="54C15197"/>
    <w:rsid w:val="550A711E"/>
    <w:rsid w:val="55211EA1"/>
    <w:rsid w:val="55273D0B"/>
    <w:rsid w:val="555234EE"/>
    <w:rsid w:val="55830B1F"/>
    <w:rsid w:val="5593722B"/>
    <w:rsid w:val="55CD3EEC"/>
    <w:rsid w:val="55E269EE"/>
    <w:rsid w:val="560B4644"/>
    <w:rsid w:val="56211054"/>
    <w:rsid w:val="567509BD"/>
    <w:rsid w:val="569566B3"/>
    <w:rsid w:val="56BB5411"/>
    <w:rsid w:val="56D47993"/>
    <w:rsid w:val="57050098"/>
    <w:rsid w:val="57307145"/>
    <w:rsid w:val="57356A6B"/>
    <w:rsid w:val="57540128"/>
    <w:rsid w:val="57982545"/>
    <w:rsid w:val="57AA3E2C"/>
    <w:rsid w:val="57B77B66"/>
    <w:rsid w:val="57C069C7"/>
    <w:rsid w:val="57CE2D85"/>
    <w:rsid w:val="57EA18C7"/>
    <w:rsid w:val="57F93EDE"/>
    <w:rsid w:val="58562302"/>
    <w:rsid w:val="585E4491"/>
    <w:rsid w:val="586C7462"/>
    <w:rsid w:val="58BD0BB0"/>
    <w:rsid w:val="58C774C1"/>
    <w:rsid w:val="58F76F5F"/>
    <w:rsid w:val="59100666"/>
    <w:rsid w:val="591D163C"/>
    <w:rsid w:val="59434DF4"/>
    <w:rsid w:val="594D4D81"/>
    <w:rsid w:val="59761338"/>
    <w:rsid w:val="5989657B"/>
    <w:rsid w:val="59AA53C3"/>
    <w:rsid w:val="59CE0282"/>
    <w:rsid w:val="59F809FE"/>
    <w:rsid w:val="59FC69DB"/>
    <w:rsid w:val="5A193D4C"/>
    <w:rsid w:val="5A4E1144"/>
    <w:rsid w:val="5A531E9C"/>
    <w:rsid w:val="5A955DA4"/>
    <w:rsid w:val="5AB41179"/>
    <w:rsid w:val="5AB51960"/>
    <w:rsid w:val="5ABC3E2E"/>
    <w:rsid w:val="5AD52730"/>
    <w:rsid w:val="5AD56A6B"/>
    <w:rsid w:val="5ADA12A8"/>
    <w:rsid w:val="5AE801ED"/>
    <w:rsid w:val="5AE82547"/>
    <w:rsid w:val="5AF64CF8"/>
    <w:rsid w:val="5B2A7B0A"/>
    <w:rsid w:val="5B414699"/>
    <w:rsid w:val="5B661B6F"/>
    <w:rsid w:val="5B862F40"/>
    <w:rsid w:val="5BA03AA5"/>
    <w:rsid w:val="5BD50B7C"/>
    <w:rsid w:val="5BDD5574"/>
    <w:rsid w:val="5C2B24F8"/>
    <w:rsid w:val="5C383D4E"/>
    <w:rsid w:val="5C4311F7"/>
    <w:rsid w:val="5C551993"/>
    <w:rsid w:val="5C843F39"/>
    <w:rsid w:val="5CBA64D5"/>
    <w:rsid w:val="5CDA2791"/>
    <w:rsid w:val="5CE56352"/>
    <w:rsid w:val="5D291304"/>
    <w:rsid w:val="5D375272"/>
    <w:rsid w:val="5D566416"/>
    <w:rsid w:val="5D6240E6"/>
    <w:rsid w:val="5D635C99"/>
    <w:rsid w:val="5D696AA8"/>
    <w:rsid w:val="5D792F07"/>
    <w:rsid w:val="5DAB721D"/>
    <w:rsid w:val="5DB52607"/>
    <w:rsid w:val="5DC158C5"/>
    <w:rsid w:val="5DC8216E"/>
    <w:rsid w:val="5DD63E22"/>
    <w:rsid w:val="5DE668DF"/>
    <w:rsid w:val="5E07171A"/>
    <w:rsid w:val="5E293491"/>
    <w:rsid w:val="5E2A77F2"/>
    <w:rsid w:val="5E2D1ECA"/>
    <w:rsid w:val="5E426EEB"/>
    <w:rsid w:val="5EA15347"/>
    <w:rsid w:val="5EE06AEA"/>
    <w:rsid w:val="5F1C7497"/>
    <w:rsid w:val="5F215C2E"/>
    <w:rsid w:val="5F3F34FD"/>
    <w:rsid w:val="5F496058"/>
    <w:rsid w:val="5F827CD1"/>
    <w:rsid w:val="5F8E4DE7"/>
    <w:rsid w:val="5F940598"/>
    <w:rsid w:val="5FB224F1"/>
    <w:rsid w:val="60184C0B"/>
    <w:rsid w:val="60346C15"/>
    <w:rsid w:val="603560AD"/>
    <w:rsid w:val="603F3E7C"/>
    <w:rsid w:val="609252EF"/>
    <w:rsid w:val="60976CA6"/>
    <w:rsid w:val="60B50849"/>
    <w:rsid w:val="60C42C98"/>
    <w:rsid w:val="60D60D0B"/>
    <w:rsid w:val="60E21E3A"/>
    <w:rsid w:val="60F03B2D"/>
    <w:rsid w:val="6103639C"/>
    <w:rsid w:val="610657D8"/>
    <w:rsid w:val="61231049"/>
    <w:rsid w:val="614A28E7"/>
    <w:rsid w:val="615B4E27"/>
    <w:rsid w:val="6171087D"/>
    <w:rsid w:val="61721CD9"/>
    <w:rsid w:val="61A20E38"/>
    <w:rsid w:val="61CA5F92"/>
    <w:rsid w:val="61CE617A"/>
    <w:rsid w:val="61F45287"/>
    <w:rsid w:val="62037167"/>
    <w:rsid w:val="620B159E"/>
    <w:rsid w:val="62111E56"/>
    <w:rsid w:val="621E4B15"/>
    <w:rsid w:val="622B717A"/>
    <w:rsid w:val="625B344D"/>
    <w:rsid w:val="628C2E2F"/>
    <w:rsid w:val="62A55AB5"/>
    <w:rsid w:val="62B44DA4"/>
    <w:rsid w:val="62C16575"/>
    <w:rsid w:val="62CC119A"/>
    <w:rsid w:val="63280479"/>
    <w:rsid w:val="63334B1D"/>
    <w:rsid w:val="634C215A"/>
    <w:rsid w:val="63501263"/>
    <w:rsid w:val="636A4BBF"/>
    <w:rsid w:val="63701E66"/>
    <w:rsid w:val="637168E2"/>
    <w:rsid w:val="6390261B"/>
    <w:rsid w:val="63CD4EC2"/>
    <w:rsid w:val="63E50156"/>
    <w:rsid w:val="63F11658"/>
    <w:rsid w:val="63FB15A6"/>
    <w:rsid w:val="642A43F7"/>
    <w:rsid w:val="64342DBC"/>
    <w:rsid w:val="646B4D89"/>
    <w:rsid w:val="646B5C2F"/>
    <w:rsid w:val="64804BF1"/>
    <w:rsid w:val="648709D7"/>
    <w:rsid w:val="648D7EBB"/>
    <w:rsid w:val="64C93F7D"/>
    <w:rsid w:val="64D07BD7"/>
    <w:rsid w:val="64E10C01"/>
    <w:rsid w:val="64F715C2"/>
    <w:rsid w:val="65024597"/>
    <w:rsid w:val="652D3071"/>
    <w:rsid w:val="6559795E"/>
    <w:rsid w:val="655F2DAE"/>
    <w:rsid w:val="65880D4D"/>
    <w:rsid w:val="659C0673"/>
    <w:rsid w:val="65C247D7"/>
    <w:rsid w:val="65CC063D"/>
    <w:rsid w:val="65CD317E"/>
    <w:rsid w:val="66102E9C"/>
    <w:rsid w:val="66324D3E"/>
    <w:rsid w:val="663A49D8"/>
    <w:rsid w:val="669A63D4"/>
    <w:rsid w:val="66C21791"/>
    <w:rsid w:val="66C425BA"/>
    <w:rsid w:val="66CA3452"/>
    <w:rsid w:val="66CC38D6"/>
    <w:rsid w:val="66DB43F2"/>
    <w:rsid w:val="66DF373A"/>
    <w:rsid w:val="67122F10"/>
    <w:rsid w:val="673103B4"/>
    <w:rsid w:val="673718A2"/>
    <w:rsid w:val="677E2F08"/>
    <w:rsid w:val="6789768B"/>
    <w:rsid w:val="67B82FCE"/>
    <w:rsid w:val="67BC2941"/>
    <w:rsid w:val="67DF5332"/>
    <w:rsid w:val="67F1438E"/>
    <w:rsid w:val="681D48E0"/>
    <w:rsid w:val="685460B1"/>
    <w:rsid w:val="687515AC"/>
    <w:rsid w:val="68D1106E"/>
    <w:rsid w:val="68DC06B2"/>
    <w:rsid w:val="68E062AE"/>
    <w:rsid w:val="69087B81"/>
    <w:rsid w:val="69897835"/>
    <w:rsid w:val="69A46530"/>
    <w:rsid w:val="6A0C5AC1"/>
    <w:rsid w:val="6A6F46B9"/>
    <w:rsid w:val="6A7A586E"/>
    <w:rsid w:val="6A8A31DD"/>
    <w:rsid w:val="6AA90C20"/>
    <w:rsid w:val="6ABE0263"/>
    <w:rsid w:val="6AC64BB8"/>
    <w:rsid w:val="6AED5BE0"/>
    <w:rsid w:val="6AF6758F"/>
    <w:rsid w:val="6B2A3C39"/>
    <w:rsid w:val="6B432278"/>
    <w:rsid w:val="6B5910FC"/>
    <w:rsid w:val="6B700773"/>
    <w:rsid w:val="6B7408F4"/>
    <w:rsid w:val="6B783CE6"/>
    <w:rsid w:val="6B852117"/>
    <w:rsid w:val="6B89736E"/>
    <w:rsid w:val="6B8F0722"/>
    <w:rsid w:val="6B936484"/>
    <w:rsid w:val="6BAA17A4"/>
    <w:rsid w:val="6BAA4ECC"/>
    <w:rsid w:val="6BCA38B1"/>
    <w:rsid w:val="6C135097"/>
    <w:rsid w:val="6C144155"/>
    <w:rsid w:val="6C2634C8"/>
    <w:rsid w:val="6C444200"/>
    <w:rsid w:val="6C5D7E45"/>
    <w:rsid w:val="6CA56E4C"/>
    <w:rsid w:val="6CDA5B27"/>
    <w:rsid w:val="6CFB4F41"/>
    <w:rsid w:val="6D050115"/>
    <w:rsid w:val="6D2B003C"/>
    <w:rsid w:val="6D3E395A"/>
    <w:rsid w:val="6D5F095F"/>
    <w:rsid w:val="6D711D85"/>
    <w:rsid w:val="6D9A7A67"/>
    <w:rsid w:val="6D9D6C17"/>
    <w:rsid w:val="6DD376A4"/>
    <w:rsid w:val="6DF57521"/>
    <w:rsid w:val="6E6A3137"/>
    <w:rsid w:val="6E993A59"/>
    <w:rsid w:val="6EB368A1"/>
    <w:rsid w:val="6EB53DDC"/>
    <w:rsid w:val="6EC3169B"/>
    <w:rsid w:val="6ECC516B"/>
    <w:rsid w:val="6F3C3739"/>
    <w:rsid w:val="6F3C4CAF"/>
    <w:rsid w:val="6F493A9C"/>
    <w:rsid w:val="6F4A0F12"/>
    <w:rsid w:val="6F4B0361"/>
    <w:rsid w:val="6F510D60"/>
    <w:rsid w:val="6F5B082F"/>
    <w:rsid w:val="6F5D2288"/>
    <w:rsid w:val="6F73379C"/>
    <w:rsid w:val="6F7E4257"/>
    <w:rsid w:val="6F87409D"/>
    <w:rsid w:val="6FB47889"/>
    <w:rsid w:val="6FC90EE0"/>
    <w:rsid w:val="6FDE370C"/>
    <w:rsid w:val="70127579"/>
    <w:rsid w:val="704C5FDD"/>
    <w:rsid w:val="704E09A1"/>
    <w:rsid w:val="705D76D8"/>
    <w:rsid w:val="706224E4"/>
    <w:rsid w:val="706D12CD"/>
    <w:rsid w:val="706E3A87"/>
    <w:rsid w:val="70B57726"/>
    <w:rsid w:val="70CF43BC"/>
    <w:rsid w:val="70D977DB"/>
    <w:rsid w:val="70E64BA9"/>
    <w:rsid w:val="70F918FB"/>
    <w:rsid w:val="710B5F7A"/>
    <w:rsid w:val="710D3C50"/>
    <w:rsid w:val="711747A4"/>
    <w:rsid w:val="711B5B9C"/>
    <w:rsid w:val="71207821"/>
    <w:rsid w:val="71242665"/>
    <w:rsid w:val="71354B5B"/>
    <w:rsid w:val="7155456A"/>
    <w:rsid w:val="71640F8A"/>
    <w:rsid w:val="716D1FE6"/>
    <w:rsid w:val="717161EF"/>
    <w:rsid w:val="71E601FC"/>
    <w:rsid w:val="72125838"/>
    <w:rsid w:val="723E159B"/>
    <w:rsid w:val="725C1FFB"/>
    <w:rsid w:val="726E0157"/>
    <w:rsid w:val="72A22301"/>
    <w:rsid w:val="72FB3805"/>
    <w:rsid w:val="731321A0"/>
    <w:rsid w:val="73335525"/>
    <w:rsid w:val="733414A2"/>
    <w:rsid w:val="73357471"/>
    <w:rsid w:val="73953F25"/>
    <w:rsid w:val="73C024AA"/>
    <w:rsid w:val="73D757F4"/>
    <w:rsid w:val="73DE64F8"/>
    <w:rsid w:val="7403660E"/>
    <w:rsid w:val="74616684"/>
    <w:rsid w:val="746A42D1"/>
    <w:rsid w:val="74711D1B"/>
    <w:rsid w:val="747931AD"/>
    <w:rsid w:val="74BD4DF7"/>
    <w:rsid w:val="74CD686B"/>
    <w:rsid w:val="74DB024E"/>
    <w:rsid w:val="74E434D0"/>
    <w:rsid w:val="7509264E"/>
    <w:rsid w:val="75103CBE"/>
    <w:rsid w:val="754F16E2"/>
    <w:rsid w:val="75557E29"/>
    <w:rsid w:val="75670F6A"/>
    <w:rsid w:val="75702359"/>
    <w:rsid w:val="75850B96"/>
    <w:rsid w:val="758C59BB"/>
    <w:rsid w:val="758F6B73"/>
    <w:rsid w:val="75BD6E0B"/>
    <w:rsid w:val="75D84611"/>
    <w:rsid w:val="75DB3866"/>
    <w:rsid w:val="75E8003A"/>
    <w:rsid w:val="75F2628D"/>
    <w:rsid w:val="760C02ED"/>
    <w:rsid w:val="76351CF8"/>
    <w:rsid w:val="76467472"/>
    <w:rsid w:val="765B7C92"/>
    <w:rsid w:val="76B1473C"/>
    <w:rsid w:val="76C30427"/>
    <w:rsid w:val="77056B3A"/>
    <w:rsid w:val="773D6FC6"/>
    <w:rsid w:val="77482526"/>
    <w:rsid w:val="77594B19"/>
    <w:rsid w:val="77670D17"/>
    <w:rsid w:val="776D2C8E"/>
    <w:rsid w:val="77771D81"/>
    <w:rsid w:val="7786285B"/>
    <w:rsid w:val="778631A7"/>
    <w:rsid w:val="77992DEC"/>
    <w:rsid w:val="779C42A1"/>
    <w:rsid w:val="77C37C6E"/>
    <w:rsid w:val="783604AF"/>
    <w:rsid w:val="783C38BE"/>
    <w:rsid w:val="783E688C"/>
    <w:rsid w:val="78536A7C"/>
    <w:rsid w:val="78787FF5"/>
    <w:rsid w:val="789C6A15"/>
    <w:rsid w:val="78A046A3"/>
    <w:rsid w:val="78B75DE8"/>
    <w:rsid w:val="78BB3569"/>
    <w:rsid w:val="78BE2D27"/>
    <w:rsid w:val="78BF635E"/>
    <w:rsid w:val="78D35394"/>
    <w:rsid w:val="7911216D"/>
    <w:rsid w:val="791214B2"/>
    <w:rsid w:val="791C6010"/>
    <w:rsid w:val="79427F80"/>
    <w:rsid w:val="796567B6"/>
    <w:rsid w:val="796E29C6"/>
    <w:rsid w:val="797742FA"/>
    <w:rsid w:val="797E1F8E"/>
    <w:rsid w:val="797E669E"/>
    <w:rsid w:val="79811288"/>
    <w:rsid w:val="79854430"/>
    <w:rsid w:val="7A1C6E5B"/>
    <w:rsid w:val="7A303DA9"/>
    <w:rsid w:val="7A492189"/>
    <w:rsid w:val="7A567F6D"/>
    <w:rsid w:val="7A615287"/>
    <w:rsid w:val="7A8A60AB"/>
    <w:rsid w:val="7AA85F36"/>
    <w:rsid w:val="7AD25F26"/>
    <w:rsid w:val="7AD33C6D"/>
    <w:rsid w:val="7ADD7095"/>
    <w:rsid w:val="7AF24358"/>
    <w:rsid w:val="7B1A47B4"/>
    <w:rsid w:val="7B3102C6"/>
    <w:rsid w:val="7B310F45"/>
    <w:rsid w:val="7B3A2214"/>
    <w:rsid w:val="7B591202"/>
    <w:rsid w:val="7B774A1A"/>
    <w:rsid w:val="7B9155D6"/>
    <w:rsid w:val="7BA9534E"/>
    <w:rsid w:val="7BD332B4"/>
    <w:rsid w:val="7BE97B9A"/>
    <w:rsid w:val="7C492AA3"/>
    <w:rsid w:val="7C5631C9"/>
    <w:rsid w:val="7C5D202D"/>
    <w:rsid w:val="7C63285F"/>
    <w:rsid w:val="7C8A51CC"/>
    <w:rsid w:val="7C96418D"/>
    <w:rsid w:val="7C9A4009"/>
    <w:rsid w:val="7CA839BF"/>
    <w:rsid w:val="7CB07EEC"/>
    <w:rsid w:val="7D401470"/>
    <w:rsid w:val="7D625A20"/>
    <w:rsid w:val="7D746702"/>
    <w:rsid w:val="7D7E1F1F"/>
    <w:rsid w:val="7D84174E"/>
    <w:rsid w:val="7D90710C"/>
    <w:rsid w:val="7DA3376E"/>
    <w:rsid w:val="7DC111BB"/>
    <w:rsid w:val="7DD02C72"/>
    <w:rsid w:val="7DD569FF"/>
    <w:rsid w:val="7EAC4623"/>
    <w:rsid w:val="7EB062FE"/>
    <w:rsid w:val="7EB267A0"/>
    <w:rsid w:val="7EE15E5A"/>
    <w:rsid w:val="7F005A30"/>
    <w:rsid w:val="7F2577E8"/>
    <w:rsid w:val="7F3051AD"/>
    <w:rsid w:val="7F4803E5"/>
    <w:rsid w:val="7F77257B"/>
    <w:rsid w:val="7FA32693"/>
    <w:rsid w:val="7FAB23A0"/>
    <w:rsid w:val="7FB425AA"/>
    <w:rsid w:val="7FF06CA1"/>
    <w:rsid w:val="7FFD4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nhideWhenUsed="0" w:uiPriority="1"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spacing w:before="340" w:after="330" w:line="578" w:lineRule="auto"/>
      <w:jc w:val="center"/>
      <w:outlineLvl w:val="0"/>
    </w:pPr>
    <w:rPr>
      <w:b/>
      <w:bCs/>
      <w:kern w:val="44"/>
      <w:sz w:val="32"/>
      <w:szCs w:val="44"/>
    </w:rPr>
  </w:style>
  <w:style w:type="paragraph" w:styleId="4">
    <w:name w:val="heading 2"/>
    <w:basedOn w:val="1"/>
    <w:next w:val="1"/>
    <w:link w:val="52"/>
    <w:qFormat/>
    <w:uiPriority w:val="0"/>
    <w:pPr>
      <w:keepNext/>
      <w:keepLines/>
      <w:spacing w:before="260" w:after="260" w:line="416" w:lineRule="auto"/>
      <w:jc w:val="center"/>
      <w:outlineLvl w:val="1"/>
    </w:pPr>
    <w:rPr>
      <w:rFonts w:ascii="Arial" w:hAnsi="Arial"/>
      <w:b/>
      <w:bCs/>
      <w:sz w:val="28"/>
      <w:szCs w:val="32"/>
    </w:rPr>
  </w:style>
  <w:style w:type="paragraph" w:styleId="5">
    <w:name w:val="heading 3"/>
    <w:basedOn w:val="1"/>
    <w:next w:val="1"/>
    <w:link w:val="119"/>
    <w:qFormat/>
    <w:uiPriority w:val="0"/>
    <w:pPr>
      <w:keepNext/>
      <w:keepLines/>
      <w:spacing w:before="260" w:after="260" w:line="416" w:lineRule="auto"/>
      <w:jc w:val="left"/>
      <w:outlineLvl w:val="2"/>
    </w:pPr>
    <w:rPr>
      <w:b/>
      <w:bCs/>
      <w:sz w:val="24"/>
      <w:szCs w:val="32"/>
    </w:rPr>
  </w:style>
  <w:style w:type="paragraph" w:styleId="6">
    <w:name w:val="heading 4"/>
    <w:basedOn w:val="1"/>
    <w:next w:val="1"/>
    <w:link w:val="96"/>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7"/>
    <w:basedOn w:val="1"/>
    <w:next w:val="1"/>
    <w:qFormat/>
    <w:uiPriority w:val="1"/>
    <w:pPr>
      <w:ind w:left="600"/>
      <w:outlineLvl w:val="6"/>
    </w:pPr>
    <w:rPr>
      <w:rFonts w:ascii="宋体" w:hAnsi="宋体" w:cs="宋体"/>
      <w:sz w:val="24"/>
      <w:lang w:val="zh-CN" w:bidi="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1"/>
    <w:qFormat/>
    <w:uiPriority w:val="99"/>
    <w:pPr>
      <w:keepNext/>
      <w:keepLines/>
      <w:numPr>
        <w:ilvl w:val="4"/>
        <w:numId w:val="1"/>
      </w:numPr>
      <w:spacing w:before="280" w:after="156" w:line="377" w:lineRule="auto"/>
      <w:outlineLvl w:val="4"/>
    </w:pPr>
    <w:rPr>
      <w:rFonts w:ascii="Arial" w:hAnsi="Arial" w:eastAsia="黑体" w:cs="Arial"/>
      <w:b/>
      <w:bCs/>
    </w:rPr>
  </w:style>
  <w:style w:type="paragraph" w:styleId="8">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9">
    <w:name w:val="Normal Indent"/>
    <w:basedOn w:val="1"/>
    <w:next w:val="1"/>
    <w:link w:val="65"/>
    <w:qFormat/>
    <w:uiPriority w:val="0"/>
    <w:pPr>
      <w:ind w:firstLine="420" w:firstLineChars="200"/>
    </w:pPr>
  </w:style>
  <w:style w:type="paragraph" w:styleId="10">
    <w:name w:val="Document Map"/>
    <w:basedOn w:val="1"/>
    <w:link w:val="77"/>
    <w:qFormat/>
    <w:uiPriority w:val="0"/>
    <w:rPr>
      <w:rFonts w:ascii="宋体"/>
      <w:sz w:val="18"/>
      <w:szCs w:val="18"/>
    </w:rPr>
  </w:style>
  <w:style w:type="paragraph" w:styleId="11">
    <w:name w:val="annotation text"/>
    <w:basedOn w:val="1"/>
    <w:link w:val="68"/>
    <w:qFormat/>
    <w:uiPriority w:val="99"/>
    <w:pPr>
      <w:jc w:val="left"/>
    </w:pPr>
    <w:rPr>
      <w:rFonts w:asciiTheme="minorHAnsi" w:hAnsiTheme="minorHAnsi" w:eastAsiaTheme="minorEastAsia" w:cstheme="minorBidi"/>
      <w:sz w:val="18"/>
      <w:szCs w:val="22"/>
    </w:rPr>
  </w:style>
  <w:style w:type="paragraph" w:styleId="12">
    <w:name w:val="Body Text"/>
    <w:basedOn w:val="1"/>
    <w:next w:val="1"/>
    <w:link w:val="78"/>
    <w:qFormat/>
    <w:uiPriority w:val="0"/>
    <w:pPr>
      <w:spacing w:after="120"/>
    </w:pPr>
  </w:style>
  <w:style w:type="paragraph" w:styleId="13">
    <w:name w:val="Body Text Indent"/>
    <w:basedOn w:val="1"/>
    <w:link w:val="54"/>
    <w:qFormat/>
    <w:uiPriority w:val="0"/>
    <w:pPr>
      <w:ind w:firstLine="630"/>
    </w:pPr>
    <w:rPr>
      <w:sz w:val="32"/>
      <w:szCs w:val="20"/>
    </w:rPr>
  </w:style>
  <w:style w:type="paragraph" w:styleId="14">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5">
    <w:name w:val="toc 3"/>
    <w:basedOn w:val="1"/>
    <w:next w:val="1"/>
    <w:unhideWhenUsed/>
    <w:qFormat/>
    <w:uiPriority w:val="39"/>
    <w:pPr>
      <w:ind w:left="840" w:leftChars="400"/>
    </w:pPr>
  </w:style>
  <w:style w:type="paragraph" w:styleId="16">
    <w:name w:val="Plain Text"/>
    <w:basedOn w:val="1"/>
    <w:next w:val="1"/>
    <w:link w:val="70"/>
    <w:qFormat/>
    <w:uiPriority w:val="0"/>
    <w:pPr>
      <w:autoSpaceDE w:val="0"/>
      <w:autoSpaceDN w:val="0"/>
      <w:adjustRightInd w:val="0"/>
    </w:pPr>
    <w:rPr>
      <w:rFonts w:ascii="宋体" w:hAnsi="Tms Rmn" w:cstheme="minorBidi"/>
      <w:szCs w:val="22"/>
    </w:rPr>
  </w:style>
  <w:style w:type="paragraph" w:styleId="17">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8">
    <w:name w:val="Body Text Indent 2"/>
    <w:basedOn w:val="1"/>
    <w:link w:val="58"/>
    <w:qFormat/>
    <w:uiPriority w:val="0"/>
    <w:pPr>
      <w:spacing w:after="120" w:line="480" w:lineRule="auto"/>
      <w:ind w:left="420" w:leftChars="200"/>
    </w:pPr>
  </w:style>
  <w:style w:type="paragraph" w:styleId="19">
    <w:name w:val="Balloon Text"/>
    <w:basedOn w:val="1"/>
    <w:link w:val="64"/>
    <w:qFormat/>
    <w:uiPriority w:val="0"/>
    <w:rPr>
      <w:sz w:val="18"/>
      <w:szCs w:val="18"/>
    </w:rPr>
  </w:style>
  <w:style w:type="paragraph" w:styleId="20">
    <w:name w:val="footer"/>
    <w:basedOn w:val="1"/>
    <w:link w:val="50"/>
    <w:unhideWhenUsed/>
    <w:qFormat/>
    <w:uiPriority w:val="99"/>
    <w:pPr>
      <w:tabs>
        <w:tab w:val="center" w:pos="4153"/>
        <w:tab w:val="right" w:pos="8306"/>
      </w:tabs>
      <w:snapToGrid w:val="0"/>
      <w:jc w:val="left"/>
    </w:pPr>
    <w:rPr>
      <w:sz w:val="18"/>
      <w:szCs w:val="18"/>
    </w:rPr>
  </w:style>
  <w:style w:type="paragraph" w:styleId="21">
    <w:name w:val="header"/>
    <w:basedOn w:val="1"/>
    <w:link w:val="49"/>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line="360" w:lineRule="auto"/>
    </w:pPr>
    <w:rPr>
      <w:rFonts w:eastAsia="微软雅黑"/>
      <w:sz w:val="24"/>
    </w:rPr>
  </w:style>
  <w:style w:type="paragraph" w:styleId="23">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4">
    <w:name w:val="Subtitle"/>
    <w:basedOn w:val="1"/>
    <w:next w:val="1"/>
    <w:qFormat/>
    <w:uiPriority w:val="0"/>
    <w:pPr>
      <w:wordWrap w:val="0"/>
      <w:spacing w:after="60"/>
      <w:jc w:val="center"/>
    </w:pPr>
    <w:rPr>
      <w:sz w:val="24"/>
    </w:rPr>
  </w:style>
  <w:style w:type="paragraph" w:styleId="25">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6">
    <w:name w:val="Body Text Indent 3"/>
    <w:basedOn w:val="1"/>
    <w:link w:val="59"/>
    <w:qFormat/>
    <w:uiPriority w:val="0"/>
    <w:pPr>
      <w:spacing w:after="120"/>
      <w:ind w:left="420" w:leftChars="200"/>
    </w:pPr>
    <w:rPr>
      <w:sz w:val="16"/>
      <w:szCs w:val="16"/>
    </w:rPr>
  </w:style>
  <w:style w:type="paragraph" w:styleId="27">
    <w:name w:val="toc 2"/>
    <w:basedOn w:val="1"/>
    <w:next w:val="1"/>
    <w:unhideWhenUsed/>
    <w:qFormat/>
    <w:uiPriority w:val="39"/>
    <w:pPr>
      <w:ind w:left="420" w:leftChars="200"/>
    </w:pPr>
  </w:style>
  <w:style w:type="paragraph" w:styleId="28">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9">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30">
    <w:name w:val="Title"/>
    <w:basedOn w:val="1"/>
    <w:next w:val="1"/>
    <w:link w:val="81"/>
    <w:qFormat/>
    <w:uiPriority w:val="10"/>
    <w:pPr>
      <w:spacing w:before="240" w:after="60"/>
      <w:jc w:val="center"/>
      <w:outlineLvl w:val="0"/>
    </w:pPr>
    <w:rPr>
      <w:rFonts w:asciiTheme="majorHAnsi" w:hAnsiTheme="majorHAnsi" w:cstheme="majorBidi"/>
      <w:b/>
      <w:bCs/>
      <w:sz w:val="32"/>
      <w:szCs w:val="32"/>
    </w:rPr>
  </w:style>
  <w:style w:type="paragraph" w:styleId="31">
    <w:name w:val="annotation subject"/>
    <w:basedOn w:val="11"/>
    <w:next w:val="11"/>
    <w:link w:val="75"/>
    <w:qFormat/>
    <w:uiPriority w:val="0"/>
    <w:rPr>
      <w:b/>
      <w:bCs/>
      <w:sz w:val="21"/>
      <w:szCs w:val="24"/>
    </w:rPr>
  </w:style>
  <w:style w:type="paragraph" w:styleId="32">
    <w:name w:val="Body Text First Indent"/>
    <w:basedOn w:val="12"/>
    <w:qFormat/>
    <w:uiPriority w:val="0"/>
    <w:pPr>
      <w:spacing w:line="360" w:lineRule="auto"/>
      <w:ind w:firstLine="420"/>
    </w:pPr>
    <w:rPr>
      <w:rFonts w:ascii="宋体" w:hAnsi="宋体"/>
      <w:sz w:val="24"/>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qFormat/>
    <w:uiPriority w:val="22"/>
    <w:rPr>
      <w:rFonts w:cs="Times New Roman"/>
      <w:b/>
      <w:bCs/>
    </w:rPr>
  </w:style>
  <w:style w:type="character" w:styleId="37">
    <w:name w:val="page number"/>
    <w:basedOn w:val="35"/>
    <w:qFormat/>
    <w:uiPriority w:val="0"/>
  </w:style>
  <w:style w:type="character" w:styleId="38">
    <w:name w:val="FollowedHyperlink"/>
    <w:basedOn w:val="35"/>
    <w:unhideWhenUsed/>
    <w:qFormat/>
    <w:uiPriority w:val="99"/>
    <w:rPr>
      <w:color w:val="3D3D3D"/>
      <w:u w:val="none"/>
    </w:rPr>
  </w:style>
  <w:style w:type="character" w:styleId="39">
    <w:name w:val="Emphasis"/>
    <w:qFormat/>
    <w:uiPriority w:val="0"/>
    <w:rPr>
      <w:color w:val="000000"/>
      <w:sz w:val="24"/>
      <w:szCs w:val="24"/>
    </w:rPr>
  </w:style>
  <w:style w:type="character" w:styleId="40">
    <w:name w:val="HTML Definition"/>
    <w:basedOn w:val="35"/>
    <w:unhideWhenUsed/>
    <w:qFormat/>
    <w:uiPriority w:val="99"/>
  </w:style>
  <w:style w:type="character" w:styleId="41">
    <w:name w:val="HTML Variable"/>
    <w:basedOn w:val="35"/>
    <w:unhideWhenUsed/>
    <w:qFormat/>
    <w:uiPriority w:val="99"/>
  </w:style>
  <w:style w:type="character" w:styleId="42">
    <w:name w:val="Hyperlink"/>
    <w:basedOn w:val="35"/>
    <w:qFormat/>
    <w:uiPriority w:val="99"/>
    <w:rPr>
      <w:color w:val="3D3D3D"/>
      <w:u w:val="none"/>
    </w:rPr>
  </w:style>
  <w:style w:type="character" w:styleId="43">
    <w:name w:val="HTML Code"/>
    <w:basedOn w:val="35"/>
    <w:unhideWhenUsed/>
    <w:qFormat/>
    <w:uiPriority w:val="99"/>
    <w:rPr>
      <w:rFonts w:ascii="Courier New" w:hAnsi="Courier New"/>
      <w:sz w:val="20"/>
    </w:rPr>
  </w:style>
  <w:style w:type="character" w:styleId="44">
    <w:name w:val="annotation reference"/>
    <w:basedOn w:val="35"/>
    <w:qFormat/>
    <w:uiPriority w:val="0"/>
    <w:rPr>
      <w:sz w:val="21"/>
      <w:szCs w:val="21"/>
    </w:rPr>
  </w:style>
  <w:style w:type="character" w:styleId="45">
    <w:name w:val="HTML Cite"/>
    <w:basedOn w:val="35"/>
    <w:unhideWhenUsed/>
    <w:qFormat/>
    <w:uiPriority w:val="99"/>
  </w:style>
  <w:style w:type="paragraph" w:customStyle="1" w:styleId="46">
    <w:name w:val="目录 5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47">
    <w:name w:val="Default"/>
    <w:next w:val="1"/>
    <w:qFormat/>
    <w:uiPriority w:val="0"/>
    <w:pPr>
      <w:widowControl w:val="0"/>
      <w:autoSpaceDE w:val="0"/>
      <w:autoSpaceDN w:val="0"/>
    </w:pPr>
    <w:rPr>
      <w:rFonts w:ascii="Arial" w:hAnsi="Times New Roman" w:eastAsia="宋体" w:cs="Times New Roman"/>
      <w:color w:val="000000"/>
      <w:sz w:val="24"/>
      <w:lang w:val="en-US" w:eastAsia="zh-CN" w:bidi="ar-SA"/>
    </w:rPr>
  </w:style>
  <w:style w:type="paragraph" w:customStyle="1" w:styleId="48">
    <w:name w:val="正文（绿盟科技）"/>
    <w:qFormat/>
    <w:uiPriority w:val="99"/>
    <w:pPr>
      <w:spacing w:line="300" w:lineRule="auto"/>
    </w:pPr>
    <w:rPr>
      <w:rFonts w:ascii="Arial" w:hAnsi="Arial" w:eastAsia="宋体" w:cs="Arial"/>
      <w:sz w:val="21"/>
      <w:szCs w:val="21"/>
      <w:lang w:val="en-US" w:eastAsia="zh-CN" w:bidi="ar-SA"/>
    </w:rPr>
  </w:style>
  <w:style w:type="character" w:customStyle="1" w:styleId="49">
    <w:name w:val="页眉 Char"/>
    <w:basedOn w:val="35"/>
    <w:link w:val="21"/>
    <w:qFormat/>
    <w:uiPriority w:val="0"/>
    <w:rPr>
      <w:sz w:val="18"/>
      <w:szCs w:val="18"/>
    </w:rPr>
  </w:style>
  <w:style w:type="character" w:customStyle="1" w:styleId="50">
    <w:name w:val="页脚 Char"/>
    <w:basedOn w:val="35"/>
    <w:link w:val="20"/>
    <w:qFormat/>
    <w:uiPriority w:val="99"/>
    <w:rPr>
      <w:sz w:val="18"/>
      <w:szCs w:val="18"/>
    </w:rPr>
  </w:style>
  <w:style w:type="character" w:customStyle="1" w:styleId="51">
    <w:name w:val="标题 1 Char"/>
    <w:basedOn w:val="35"/>
    <w:link w:val="3"/>
    <w:qFormat/>
    <w:uiPriority w:val="0"/>
    <w:rPr>
      <w:rFonts w:ascii="Times New Roman" w:hAnsi="Times New Roman" w:eastAsia="宋体" w:cs="Times New Roman"/>
      <w:b/>
      <w:bCs/>
      <w:kern w:val="44"/>
      <w:sz w:val="32"/>
      <w:szCs w:val="44"/>
    </w:rPr>
  </w:style>
  <w:style w:type="character" w:customStyle="1" w:styleId="52">
    <w:name w:val="标题 2 Char"/>
    <w:basedOn w:val="35"/>
    <w:link w:val="4"/>
    <w:qFormat/>
    <w:uiPriority w:val="0"/>
    <w:rPr>
      <w:rFonts w:ascii="Arial" w:hAnsi="Arial" w:eastAsia="宋体" w:cs="Times New Roman"/>
      <w:b/>
      <w:bCs/>
      <w:sz w:val="28"/>
      <w:szCs w:val="32"/>
    </w:rPr>
  </w:style>
  <w:style w:type="character" w:customStyle="1" w:styleId="53">
    <w:name w:val="标题 3 Char"/>
    <w:basedOn w:val="35"/>
    <w:qFormat/>
    <w:uiPriority w:val="0"/>
    <w:rPr>
      <w:rFonts w:ascii="Times New Roman" w:hAnsi="Times New Roman" w:eastAsia="宋体" w:cs="Times New Roman"/>
      <w:b/>
      <w:bCs/>
      <w:sz w:val="24"/>
      <w:szCs w:val="32"/>
    </w:rPr>
  </w:style>
  <w:style w:type="character" w:customStyle="1" w:styleId="54">
    <w:name w:val="正文文本缩进 Char"/>
    <w:basedOn w:val="35"/>
    <w:link w:val="13"/>
    <w:qFormat/>
    <w:uiPriority w:val="0"/>
    <w:rPr>
      <w:rFonts w:ascii="Times New Roman" w:hAnsi="Times New Roman" w:eastAsia="宋体" w:cs="Times New Roman"/>
      <w:sz w:val="32"/>
      <w:szCs w:val="20"/>
    </w:rPr>
  </w:style>
  <w:style w:type="paragraph" w:customStyle="1" w:styleId="55">
    <w:name w:val="正文首行缩进两字符"/>
    <w:basedOn w:val="1"/>
    <w:next w:val="56"/>
    <w:qFormat/>
    <w:uiPriority w:val="0"/>
    <w:pPr>
      <w:spacing w:line="360" w:lineRule="auto"/>
      <w:ind w:firstLine="200" w:firstLineChars="200"/>
    </w:pPr>
  </w:style>
  <w:style w:type="paragraph" w:customStyle="1" w:styleId="56">
    <w:name w:val="目录 71"/>
    <w:next w:val="1"/>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5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8">
    <w:name w:val="正文文本缩进 2 Char"/>
    <w:basedOn w:val="35"/>
    <w:link w:val="18"/>
    <w:qFormat/>
    <w:uiPriority w:val="0"/>
    <w:rPr>
      <w:rFonts w:ascii="Times New Roman" w:hAnsi="Times New Roman" w:eastAsia="宋体" w:cs="Times New Roman"/>
      <w:szCs w:val="24"/>
    </w:rPr>
  </w:style>
  <w:style w:type="character" w:customStyle="1" w:styleId="59">
    <w:name w:val="正文文本缩进 3 Char"/>
    <w:basedOn w:val="35"/>
    <w:link w:val="26"/>
    <w:qFormat/>
    <w:uiPriority w:val="0"/>
    <w:rPr>
      <w:rFonts w:ascii="Times New Roman" w:hAnsi="Times New Roman" w:eastAsia="宋体" w:cs="Times New Roman"/>
      <w:sz w:val="16"/>
      <w:szCs w:val="16"/>
    </w:rPr>
  </w:style>
  <w:style w:type="paragraph" w:customStyle="1" w:styleId="6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1">
    <w:name w:val="表格"/>
    <w:basedOn w:val="1"/>
    <w:qFormat/>
    <w:uiPriority w:val="0"/>
    <w:pPr>
      <w:spacing w:line="400" w:lineRule="exact"/>
    </w:pPr>
    <w:rPr>
      <w:sz w:val="24"/>
    </w:rPr>
  </w:style>
  <w:style w:type="paragraph" w:customStyle="1" w:styleId="62">
    <w:name w:val="样式 首行缩进:  2 字符"/>
    <w:basedOn w:val="1"/>
    <w:qFormat/>
    <w:uiPriority w:val="0"/>
    <w:pPr>
      <w:spacing w:line="400" w:lineRule="exact"/>
      <w:ind w:firstLine="200" w:firstLineChars="200"/>
    </w:pPr>
    <w:rPr>
      <w:rFonts w:cs="宋体"/>
      <w:sz w:val="24"/>
    </w:rPr>
  </w:style>
  <w:style w:type="character" w:customStyle="1" w:styleId="63">
    <w:name w:val="（符号）邀请函中一、"/>
    <w:basedOn w:val="35"/>
    <w:qFormat/>
    <w:uiPriority w:val="0"/>
    <w:rPr>
      <w:rFonts w:ascii="黑体" w:hAnsi="黑体" w:eastAsia="黑体"/>
      <w:b/>
      <w:bCs/>
      <w:sz w:val="24"/>
    </w:rPr>
  </w:style>
  <w:style w:type="character" w:customStyle="1" w:styleId="64">
    <w:name w:val="批注框文本 Char"/>
    <w:basedOn w:val="35"/>
    <w:link w:val="19"/>
    <w:qFormat/>
    <w:uiPriority w:val="0"/>
    <w:rPr>
      <w:rFonts w:ascii="Times New Roman" w:hAnsi="Times New Roman" w:eastAsia="宋体" w:cs="Times New Roman"/>
      <w:sz w:val="18"/>
      <w:szCs w:val="18"/>
    </w:rPr>
  </w:style>
  <w:style w:type="character" w:customStyle="1" w:styleId="65">
    <w:name w:val="正文缩进 Char"/>
    <w:link w:val="9"/>
    <w:qFormat/>
    <w:uiPriority w:val="0"/>
    <w:rPr>
      <w:rFonts w:ascii="Times New Roman" w:hAnsi="Times New Roman" w:eastAsia="宋体" w:cs="Times New Roman"/>
      <w:szCs w:val="24"/>
    </w:rPr>
  </w:style>
  <w:style w:type="character" w:customStyle="1" w:styleId="66">
    <w:name w:val="Char Char9"/>
    <w:qFormat/>
    <w:uiPriority w:val="0"/>
    <w:rPr>
      <w:kern w:val="2"/>
      <w:sz w:val="21"/>
    </w:rPr>
  </w:style>
  <w:style w:type="character" w:customStyle="1" w:styleId="67">
    <w:name w:val="批注文字 Char"/>
    <w:qFormat/>
    <w:uiPriority w:val="99"/>
    <w:rPr>
      <w:sz w:val="18"/>
    </w:rPr>
  </w:style>
  <w:style w:type="character" w:customStyle="1" w:styleId="68">
    <w:name w:val="批注文字 Char1"/>
    <w:basedOn w:val="35"/>
    <w:link w:val="11"/>
    <w:qFormat/>
    <w:uiPriority w:val="0"/>
    <w:rPr>
      <w:rFonts w:ascii="Times New Roman" w:hAnsi="Times New Roman" w:eastAsia="宋体" w:cs="Times New Roman"/>
      <w:szCs w:val="24"/>
    </w:rPr>
  </w:style>
  <w:style w:type="character" w:customStyle="1" w:styleId="69">
    <w:name w:val="纯文本 Char"/>
    <w:unhideWhenUsed/>
    <w:qFormat/>
    <w:uiPriority w:val="0"/>
    <w:rPr>
      <w:rFonts w:ascii="宋体" w:hAnsi="Tms Rmn" w:eastAsia="宋体"/>
    </w:rPr>
  </w:style>
  <w:style w:type="character" w:customStyle="1" w:styleId="70">
    <w:name w:val="纯文本 Char1"/>
    <w:basedOn w:val="35"/>
    <w:link w:val="16"/>
    <w:qFormat/>
    <w:uiPriority w:val="99"/>
    <w:rPr>
      <w:rFonts w:ascii="宋体" w:hAnsi="Courier New" w:eastAsia="宋体" w:cs="Courier New"/>
      <w:szCs w:val="21"/>
    </w:rPr>
  </w:style>
  <w:style w:type="paragraph" w:customStyle="1" w:styleId="71">
    <w:name w:val="GW-正文"/>
    <w:basedOn w:val="1"/>
    <w:link w:val="72"/>
    <w:qFormat/>
    <w:uiPriority w:val="0"/>
    <w:pPr>
      <w:spacing w:line="360" w:lineRule="auto"/>
      <w:ind w:firstLine="200" w:firstLineChars="200"/>
    </w:pPr>
    <w:rPr>
      <w:rFonts w:eastAsia="仿宋_GB2312"/>
      <w:sz w:val="24"/>
    </w:rPr>
  </w:style>
  <w:style w:type="character" w:customStyle="1" w:styleId="72">
    <w:name w:val="GW-正文 Char"/>
    <w:link w:val="71"/>
    <w:qFormat/>
    <w:uiPriority w:val="0"/>
    <w:rPr>
      <w:rFonts w:ascii="Times New Roman" w:hAnsi="Times New Roman" w:eastAsia="仿宋_GB2312" w:cs="Times New Roman"/>
      <w:sz w:val="24"/>
      <w:szCs w:val="24"/>
    </w:rPr>
  </w:style>
  <w:style w:type="paragraph" w:customStyle="1" w:styleId="73">
    <w:name w:val="列出段落1"/>
    <w:basedOn w:val="1"/>
    <w:link w:val="74"/>
    <w:qFormat/>
    <w:uiPriority w:val="99"/>
    <w:pPr>
      <w:ind w:firstLine="420" w:firstLineChars="200"/>
    </w:pPr>
  </w:style>
  <w:style w:type="character" w:customStyle="1" w:styleId="74">
    <w:name w:val="列出段落 Char"/>
    <w:link w:val="73"/>
    <w:qFormat/>
    <w:uiPriority w:val="0"/>
    <w:rPr>
      <w:rFonts w:ascii="Times New Roman" w:hAnsi="Times New Roman" w:eastAsia="宋体" w:cs="Times New Roman"/>
      <w:szCs w:val="24"/>
    </w:rPr>
  </w:style>
  <w:style w:type="character" w:customStyle="1" w:styleId="75">
    <w:name w:val="批注主题 Char"/>
    <w:basedOn w:val="68"/>
    <w:link w:val="31"/>
    <w:qFormat/>
    <w:uiPriority w:val="0"/>
    <w:rPr>
      <w:rFonts w:ascii="Times New Roman" w:hAnsi="Times New Roman" w:eastAsia="宋体" w:cs="Times New Roman"/>
      <w:b/>
      <w:bCs/>
      <w:szCs w:val="24"/>
    </w:rPr>
  </w:style>
  <w:style w:type="paragraph" w:customStyle="1" w:styleId="76">
    <w:name w:val="Char Char Char Char Char Char Char Char Char Char Char Char Char Char1 Char Char Char Char"/>
    <w:basedOn w:val="1"/>
    <w:qFormat/>
    <w:uiPriority w:val="0"/>
    <w:rPr>
      <w:szCs w:val="21"/>
    </w:rPr>
  </w:style>
  <w:style w:type="character" w:customStyle="1" w:styleId="77">
    <w:name w:val="文档结构图 Char"/>
    <w:basedOn w:val="35"/>
    <w:link w:val="10"/>
    <w:qFormat/>
    <w:uiPriority w:val="0"/>
    <w:rPr>
      <w:rFonts w:ascii="宋体" w:hAnsi="Times New Roman" w:eastAsia="宋体" w:cs="Times New Roman"/>
      <w:sz w:val="18"/>
      <w:szCs w:val="18"/>
    </w:rPr>
  </w:style>
  <w:style w:type="character" w:customStyle="1" w:styleId="78">
    <w:name w:val="正文文本 Char"/>
    <w:basedOn w:val="35"/>
    <w:link w:val="12"/>
    <w:qFormat/>
    <w:uiPriority w:val="0"/>
    <w:rPr>
      <w:rFonts w:ascii="Times New Roman" w:hAnsi="Times New Roman" w:eastAsia="宋体" w:cs="Times New Roman"/>
      <w:szCs w:val="24"/>
    </w:rPr>
  </w:style>
  <w:style w:type="paragraph" w:customStyle="1" w:styleId="79">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80">
    <w:name w:val="font31"/>
    <w:basedOn w:val="35"/>
    <w:qFormat/>
    <w:uiPriority w:val="0"/>
    <w:rPr>
      <w:rFonts w:hint="eastAsia" w:ascii="宋体" w:hAnsi="宋体" w:eastAsia="宋体" w:cs="宋体"/>
      <w:color w:val="000000"/>
      <w:sz w:val="21"/>
      <w:szCs w:val="21"/>
      <w:u w:val="none"/>
    </w:rPr>
  </w:style>
  <w:style w:type="character" w:customStyle="1" w:styleId="81">
    <w:name w:val="标题 Char"/>
    <w:basedOn w:val="35"/>
    <w:link w:val="30"/>
    <w:qFormat/>
    <w:uiPriority w:val="10"/>
    <w:rPr>
      <w:rFonts w:eastAsia="宋体" w:asciiTheme="majorHAnsi" w:hAnsiTheme="majorHAnsi" w:cstheme="majorBidi"/>
      <w:b/>
      <w:bCs/>
      <w:kern w:val="2"/>
      <w:sz w:val="32"/>
      <w:szCs w:val="32"/>
    </w:rPr>
  </w:style>
  <w:style w:type="character" w:customStyle="1" w:styleId="82">
    <w:name w:val="textnorm_chn1"/>
    <w:qFormat/>
    <w:uiPriority w:val="0"/>
    <w:rPr>
      <w:rFonts w:hint="default" w:ascii="Arial" w:hAnsi="Arial"/>
      <w:color w:val="21254A"/>
      <w:sz w:val="22"/>
    </w:rPr>
  </w:style>
  <w:style w:type="character" w:customStyle="1" w:styleId="83">
    <w:name w:val="0h Char"/>
    <w:link w:val="84"/>
    <w:qFormat/>
    <w:uiPriority w:val="0"/>
    <w:rPr>
      <w:rFonts w:ascii="仿宋_GB2312" w:hAnsi="宋体" w:eastAsia="仿宋_GB2312"/>
      <w:kern w:val="2"/>
      <w:sz w:val="28"/>
      <w:szCs w:val="28"/>
    </w:rPr>
  </w:style>
  <w:style w:type="paragraph" w:customStyle="1" w:styleId="84">
    <w:name w:val="0h"/>
    <w:basedOn w:val="1"/>
    <w:link w:val="83"/>
    <w:qFormat/>
    <w:uiPriority w:val="0"/>
    <w:pPr>
      <w:adjustRightInd w:val="0"/>
      <w:spacing w:line="360" w:lineRule="auto"/>
      <w:ind w:firstLine="200" w:firstLineChars="200"/>
      <w:textAlignment w:val="baseline"/>
    </w:pPr>
    <w:rPr>
      <w:rFonts w:ascii="仿宋_GB2312" w:hAnsi="宋体" w:eastAsia="仿宋_GB2312" w:cstheme="minorBidi"/>
      <w:sz w:val="28"/>
      <w:szCs w:val="28"/>
    </w:rPr>
  </w:style>
  <w:style w:type="character" w:customStyle="1" w:styleId="85">
    <w:name w:val="列出段落 字符"/>
    <w:qFormat/>
    <w:uiPriority w:val="34"/>
    <w:rPr>
      <w:rFonts w:ascii="宋体"/>
      <w:sz w:val="18"/>
      <w:szCs w:val="18"/>
    </w:rPr>
  </w:style>
  <w:style w:type="paragraph" w:customStyle="1" w:styleId="86">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87">
    <w:name w:val="无间隔1"/>
    <w:qFormat/>
    <w:uiPriority w:val="1"/>
    <w:pPr>
      <w:widowControl w:val="0"/>
      <w:jc w:val="both"/>
    </w:pPr>
    <w:rPr>
      <w:rFonts w:ascii="Times New Roman" w:hAnsi="Times New Roman" w:eastAsia="宋体" w:cs="Times New Roman"/>
      <w:kern w:val="2"/>
      <w:sz w:val="21"/>
      <w:szCs w:val="21"/>
      <w:lang w:val="en-US" w:eastAsia="zh-CN" w:bidi="ar-SA"/>
    </w:rPr>
  </w:style>
  <w:style w:type="paragraph" w:customStyle="1" w:styleId="88">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89">
    <w:name w:val="No Spacing1"/>
    <w:basedOn w:val="1"/>
    <w:qFormat/>
    <w:uiPriority w:val="0"/>
    <w:rPr>
      <w:rFonts w:ascii="Calibri" w:hAnsi="Calibri"/>
      <w:szCs w:val="21"/>
    </w:rPr>
  </w:style>
  <w:style w:type="character" w:customStyle="1" w:styleId="90">
    <w:name w:val="img"/>
    <w:basedOn w:val="35"/>
    <w:qFormat/>
    <w:uiPriority w:val="0"/>
  </w:style>
  <w:style w:type="character" w:customStyle="1" w:styleId="91">
    <w:name w:val="img1"/>
    <w:basedOn w:val="35"/>
    <w:qFormat/>
    <w:uiPriority w:val="0"/>
  </w:style>
  <w:style w:type="paragraph" w:customStyle="1" w:styleId="92">
    <w:name w:val="Table Paragraph"/>
    <w:basedOn w:val="1"/>
    <w:qFormat/>
    <w:uiPriority w:val="1"/>
  </w:style>
  <w:style w:type="table" w:customStyle="1" w:styleId="93">
    <w:name w:val="Table Normal"/>
    <w:unhideWhenUsed/>
    <w:qFormat/>
    <w:uiPriority w:val="2"/>
    <w:tblPr>
      <w:tblCellMar>
        <w:top w:w="0" w:type="dxa"/>
        <w:left w:w="0" w:type="dxa"/>
        <w:bottom w:w="0" w:type="dxa"/>
        <w:right w:w="0" w:type="dxa"/>
      </w:tblCellMar>
    </w:tblPr>
  </w:style>
  <w:style w:type="paragraph" w:customStyle="1" w:styleId="94">
    <w:name w:val="1.1.1.1A"/>
    <w:basedOn w:val="95"/>
    <w:qFormat/>
    <w:uiPriority w:val="0"/>
    <w:pPr>
      <w:tabs>
        <w:tab w:val="left" w:pos="1134"/>
        <w:tab w:val="left" w:pos="1843"/>
      </w:tabs>
      <w:spacing w:line="400" w:lineRule="atLeast"/>
      <w:ind w:left="1560" w:right="200" w:hanging="426"/>
      <w:jc w:val="both"/>
    </w:pPr>
  </w:style>
  <w:style w:type="paragraph" w:customStyle="1" w:styleId="95">
    <w:name w:val="1.1.1.1"/>
    <w:basedOn w:val="1"/>
    <w:qFormat/>
    <w:uiPriority w:val="0"/>
    <w:pPr>
      <w:tabs>
        <w:tab w:val="left" w:pos="1134"/>
      </w:tabs>
      <w:adjustRightInd w:val="0"/>
      <w:spacing w:before="60" w:after="60" w:line="360" w:lineRule="atLeast"/>
      <w:ind w:left="1134" w:hanging="1134"/>
      <w:jc w:val="left"/>
      <w:textAlignment w:val="baseline"/>
    </w:pPr>
    <w:rPr>
      <w:rFonts w:ascii="Arial" w:hAnsi="Arial"/>
      <w:kern w:val="0"/>
      <w:sz w:val="24"/>
      <w:szCs w:val="20"/>
    </w:rPr>
  </w:style>
  <w:style w:type="character" w:customStyle="1" w:styleId="96">
    <w:name w:val="标题 4 Char"/>
    <w:basedOn w:val="35"/>
    <w:link w:val="6"/>
    <w:semiHidden/>
    <w:qFormat/>
    <w:uiPriority w:val="9"/>
    <w:rPr>
      <w:rFonts w:asciiTheme="majorHAnsi" w:hAnsiTheme="majorHAnsi" w:eastAsiaTheme="majorEastAsia" w:cstheme="majorBidi"/>
      <w:b/>
      <w:bCs/>
      <w:kern w:val="2"/>
      <w:sz w:val="28"/>
      <w:szCs w:val="28"/>
    </w:rPr>
  </w:style>
  <w:style w:type="paragraph" w:customStyle="1" w:styleId="97">
    <w:name w:val="样式 标题 2 + 三号 居中"/>
    <w:basedOn w:val="4"/>
    <w:qFormat/>
    <w:uiPriority w:val="99"/>
    <w:pPr>
      <w:keepLines w:val="0"/>
      <w:widowControl/>
      <w:adjustRightInd w:val="0"/>
      <w:snapToGrid w:val="0"/>
      <w:spacing w:beforeLines="50" w:afterLines="50" w:line="360" w:lineRule="auto"/>
      <w:textAlignment w:val="baseline"/>
    </w:pPr>
    <w:rPr>
      <w:rFonts w:cs="宋体"/>
      <w:color w:val="000000"/>
      <w:kern w:val="0"/>
      <w:sz w:val="30"/>
      <w:szCs w:val="20"/>
    </w:rPr>
  </w:style>
  <w:style w:type="paragraph" w:customStyle="1" w:styleId="98">
    <w:name w:val="1"/>
    <w:basedOn w:val="1"/>
    <w:qFormat/>
    <w:uiPriority w:val="0"/>
  </w:style>
  <w:style w:type="paragraph" w:customStyle="1" w:styleId="9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1">
    <w:name w:val="无间距字符"/>
    <w:link w:val="102"/>
    <w:qFormat/>
    <w:uiPriority w:val="0"/>
    <w:rPr>
      <w:rFonts w:ascii="Calibri" w:hAnsi="Calibri"/>
      <w:sz w:val="22"/>
    </w:rPr>
  </w:style>
  <w:style w:type="paragraph" w:customStyle="1" w:styleId="102">
    <w:name w:val="无间距"/>
    <w:link w:val="101"/>
    <w:qFormat/>
    <w:uiPriority w:val="0"/>
    <w:rPr>
      <w:rFonts w:ascii="Calibri" w:hAnsi="Calibri" w:eastAsiaTheme="minorEastAsia" w:cstheme="minorBidi"/>
      <w:sz w:val="22"/>
      <w:lang w:val="en-US" w:eastAsia="zh-CN" w:bidi="ar-SA"/>
    </w:rPr>
  </w:style>
  <w:style w:type="character" w:customStyle="1" w:styleId="103">
    <w:name w:val="font11"/>
    <w:basedOn w:val="35"/>
    <w:qFormat/>
    <w:uiPriority w:val="0"/>
    <w:rPr>
      <w:rFonts w:hint="eastAsia" w:ascii="仿宋" w:hAnsi="仿宋" w:eastAsia="仿宋" w:cs="仿宋"/>
      <w:color w:val="000000"/>
      <w:sz w:val="24"/>
      <w:szCs w:val="24"/>
      <w:u w:val="none"/>
    </w:rPr>
  </w:style>
  <w:style w:type="character" w:customStyle="1" w:styleId="104">
    <w:name w:val="font01"/>
    <w:basedOn w:val="35"/>
    <w:qFormat/>
    <w:uiPriority w:val="0"/>
    <w:rPr>
      <w:rFonts w:hint="eastAsia" w:ascii="仿宋" w:hAnsi="仿宋" w:eastAsia="仿宋" w:cs="仿宋"/>
      <w:color w:val="000000"/>
      <w:sz w:val="24"/>
      <w:szCs w:val="24"/>
      <w:u w:val="none"/>
    </w:rPr>
  </w:style>
  <w:style w:type="paragraph" w:customStyle="1" w:styleId="105">
    <w:name w:val="WPSOffice手动目录 1"/>
    <w:qFormat/>
    <w:uiPriority w:val="0"/>
    <w:rPr>
      <w:rFonts w:ascii="Times New Roman" w:hAnsi="Times New Roman" w:eastAsia="宋体" w:cs="Times New Roman"/>
      <w:lang w:val="en-US" w:eastAsia="zh-CN" w:bidi="ar-SA"/>
    </w:rPr>
  </w:style>
  <w:style w:type="paragraph" w:customStyle="1" w:styleId="10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0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08">
    <w:name w:val="NormalCharacter"/>
    <w:qFormat/>
    <w:uiPriority w:val="0"/>
  </w:style>
  <w:style w:type="paragraph" w:customStyle="1" w:styleId="109">
    <w:name w:val="14、“第一章”一级标题"/>
    <w:basedOn w:val="110"/>
    <w:qFormat/>
    <w:uiPriority w:val="0"/>
    <w:pPr>
      <w:numPr>
        <w:ilvl w:val="0"/>
        <w:numId w:val="2"/>
      </w:numPr>
      <w:spacing w:beforeLines="50" w:afterLines="50"/>
      <w:jc w:val="center"/>
      <w:outlineLvl w:val="0"/>
    </w:pPr>
    <w:rPr>
      <w:b/>
      <w:sz w:val="36"/>
    </w:rPr>
  </w:style>
  <w:style w:type="paragraph" w:customStyle="1" w:styleId="110">
    <w:name w:val="01、普通正文"/>
    <w:basedOn w:val="1"/>
    <w:qFormat/>
    <w:uiPriority w:val="0"/>
    <w:pPr>
      <w:tabs>
        <w:tab w:val="left" w:pos="0"/>
      </w:tabs>
      <w:wordWrap w:val="0"/>
      <w:topLinePunct/>
    </w:pPr>
    <w:rPr>
      <w:snapToGrid w:val="0"/>
    </w:rPr>
  </w:style>
  <w:style w:type="paragraph" w:customStyle="1" w:styleId="111">
    <w:name w:val="15、“一、”二级标题"/>
    <w:basedOn w:val="1"/>
    <w:qFormat/>
    <w:uiPriority w:val="0"/>
    <w:pPr>
      <w:numPr>
        <w:ilvl w:val="1"/>
        <w:numId w:val="2"/>
      </w:numPr>
      <w:tabs>
        <w:tab w:val="left" w:pos="0"/>
      </w:tabs>
      <w:wordWrap w:val="0"/>
      <w:topLinePunct/>
      <w:outlineLvl w:val="1"/>
    </w:pPr>
    <w:rPr>
      <w:b/>
    </w:rPr>
  </w:style>
  <w:style w:type="paragraph" w:styleId="112">
    <w:name w:val="List Paragraph"/>
    <w:basedOn w:val="1"/>
    <w:next w:val="46"/>
    <w:unhideWhenUsed/>
    <w:qFormat/>
    <w:uiPriority w:val="34"/>
    <w:pPr>
      <w:tabs>
        <w:tab w:val="left" w:pos="0"/>
      </w:tabs>
      <w:ind w:firstLine="420" w:firstLineChars="200"/>
    </w:pPr>
  </w:style>
  <w:style w:type="paragraph" w:customStyle="1" w:styleId="113">
    <w:name w:val="17“1.”四级标题"/>
    <w:basedOn w:val="114"/>
    <w:qFormat/>
    <w:uiPriority w:val="0"/>
    <w:pPr>
      <w:numPr>
        <w:ilvl w:val="3"/>
        <w:numId w:val="2"/>
      </w:numPr>
      <w:ind w:firstLineChars="0"/>
    </w:pPr>
  </w:style>
  <w:style w:type="paragraph" w:customStyle="1" w:styleId="114">
    <w:name w:val="02、首行缩进2字符正文"/>
    <w:basedOn w:val="1"/>
    <w:qFormat/>
    <w:uiPriority w:val="0"/>
    <w:pPr>
      <w:tabs>
        <w:tab w:val="left" w:pos="0"/>
      </w:tabs>
      <w:wordWrap w:val="0"/>
      <w:topLinePunct/>
      <w:ind w:firstLine="480" w:firstLineChars="200"/>
    </w:pPr>
  </w:style>
  <w:style w:type="paragraph" w:customStyle="1" w:styleId="115">
    <w:name w:val="18、“1.1”五级标题"/>
    <w:basedOn w:val="113"/>
    <w:qFormat/>
    <w:uiPriority w:val="0"/>
    <w:pPr>
      <w:numPr>
        <w:ilvl w:val="4"/>
      </w:numPr>
    </w:pPr>
  </w:style>
  <w:style w:type="paragraph" w:customStyle="1" w:styleId="116">
    <w:name w:val="19、“(1)”六级标题"/>
    <w:basedOn w:val="113"/>
    <w:qFormat/>
    <w:uiPriority w:val="0"/>
    <w:pPr>
      <w:numPr>
        <w:ilvl w:val="5"/>
      </w:numPr>
    </w:pPr>
  </w:style>
  <w:style w:type="paragraph" w:customStyle="1" w:styleId="117">
    <w:name w:val="06、“1.”正文四级标题"/>
    <w:basedOn w:val="1"/>
    <w:qFormat/>
    <w:uiPriority w:val="0"/>
    <w:pPr>
      <w:numPr>
        <w:ilvl w:val="2"/>
        <w:numId w:val="3"/>
      </w:numPr>
      <w:tabs>
        <w:tab w:val="left" w:pos="0"/>
      </w:tabs>
      <w:wordWrap w:val="0"/>
      <w:topLinePunct/>
      <w:ind w:firstLine="803" w:firstLineChars="200"/>
    </w:pPr>
    <w:rPr>
      <w:snapToGrid w:val="0"/>
    </w:rPr>
  </w:style>
  <w:style w:type="paragraph" w:customStyle="1" w:styleId="118">
    <w:name w:val="03、“注：”正文(加粗，首行缩进2字符)"/>
    <w:basedOn w:val="110"/>
    <w:qFormat/>
    <w:uiPriority w:val="0"/>
    <w:pPr>
      <w:ind w:firstLine="480" w:firstLineChars="200"/>
    </w:pPr>
    <w:rPr>
      <w:b/>
    </w:rPr>
  </w:style>
  <w:style w:type="character" w:customStyle="1" w:styleId="119">
    <w:name w:val="标题 3 Char1"/>
    <w:link w:val="5"/>
    <w:qFormat/>
    <w:uiPriority w:val="0"/>
    <w:rPr>
      <w:b/>
      <w:sz w:val="32"/>
    </w:rPr>
  </w:style>
  <w:style w:type="character" w:customStyle="1" w:styleId="120">
    <w:name w:val="font21"/>
    <w:basedOn w:val="35"/>
    <w:qFormat/>
    <w:uiPriority w:val="0"/>
    <w:rPr>
      <w:rFonts w:hint="eastAsia" w:ascii="宋体" w:hAnsi="宋体" w:eastAsia="宋体" w:cs="宋体"/>
      <w:color w:val="000000"/>
      <w:sz w:val="20"/>
      <w:szCs w:val="20"/>
      <w:u w:val="none"/>
    </w:rPr>
  </w:style>
  <w:style w:type="character" w:customStyle="1" w:styleId="121">
    <w:name w:val="font51"/>
    <w:basedOn w:val="35"/>
    <w:qFormat/>
    <w:uiPriority w:val="0"/>
    <w:rPr>
      <w:rFonts w:hint="eastAsia" w:ascii="宋体" w:hAnsi="宋体" w:eastAsia="宋体" w:cs="宋体"/>
      <w:color w:val="000000"/>
      <w:sz w:val="20"/>
      <w:szCs w:val="20"/>
      <w:u w:val="none"/>
    </w:rPr>
  </w:style>
  <w:style w:type="paragraph" w:customStyle="1" w:styleId="122">
    <w:name w:val="msolistparagraph"/>
    <w:basedOn w:val="1"/>
    <w:qFormat/>
    <w:uiPriority w:val="0"/>
    <w:pPr>
      <w:ind w:firstLine="420" w:firstLineChars="200"/>
    </w:pPr>
    <w:rPr>
      <w:rFonts w:ascii="Calibri" w:hAnsi="Calibri" w:cs="Calibri"/>
    </w:rPr>
  </w:style>
  <w:style w:type="paragraph" w:customStyle="1" w:styleId="123">
    <w:name w:val="样式 标题 2 + Times New Roman 四号 非加粗 段前: 5 磅 段后: 0 磅 行距: 固定值 20..."/>
    <w:basedOn w:val="4"/>
    <w:qFormat/>
    <w:uiPriority w:val="99"/>
    <w:pPr>
      <w:spacing w:before="100" w:line="400" w:lineRule="exact"/>
    </w:pPr>
    <w:rPr>
      <w:rFonts w:ascii="Times New Roman" w:hAnsi="Times New Roman" w:cs="宋体"/>
      <w:b w:val="0"/>
      <w:kern w:val="0"/>
    </w:rPr>
  </w:style>
  <w:style w:type="paragraph" w:customStyle="1" w:styleId="124">
    <w:name w:val="正文4"/>
    <w:qFormat/>
    <w:uiPriority w:val="0"/>
    <w:pPr>
      <w:jc w:val="both"/>
    </w:pPr>
    <w:rPr>
      <w:rFonts w:ascii="宋体" w:hAnsi="宋体" w:eastAsia="宋体" w:cs="宋体"/>
      <w:kern w:val="2"/>
      <w:sz w:val="21"/>
      <w:szCs w:val="21"/>
      <w:lang w:val="en-US" w:eastAsia="zh-CN" w:bidi="ar-SA"/>
    </w:rPr>
  </w:style>
  <w:style w:type="paragraph" w:customStyle="1" w:styleId="125">
    <w:name w:val="正文首行缩进1"/>
    <w:basedOn w:val="12"/>
    <w:semiHidden/>
    <w:qFormat/>
    <w:uiPriority w:val="0"/>
    <w:pPr>
      <w:spacing w:before="100" w:beforeAutospacing="1"/>
      <w:ind w:firstLine="420" w:firstLineChars="100"/>
    </w:pPr>
    <w:rPr>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5.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E7F04F-B277-49B7-8595-9F9490676C8B}">
  <ds:schemaRefs/>
</ds:datastoreItem>
</file>

<file path=docProps/app.xml><?xml version="1.0" encoding="utf-8"?>
<Properties xmlns="http://schemas.openxmlformats.org/officeDocument/2006/extended-properties" xmlns:vt="http://schemas.openxmlformats.org/officeDocument/2006/docPropsVTypes">
  <Template>Normal</Template>
  <Pages>80</Pages>
  <Words>35574</Words>
  <Characters>37057</Characters>
  <Lines>311</Lines>
  <Paragraphs>87</Paragraphs>
  <TotalTime>166</TotalTime>
  <ScaleCrop>false</ScaleCrop>
  <LinksUpToDate>false</LinksUpToDate>
  <CharactersWithSpaces>39829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2021-04-21T02:11:00Z</dcterms:created>
  <dc:creator>Administrator</dc:creator>
  <cp:lastModifiedBy>L.H.B</cp:lastModifiedBy>
  <cp:lastPrinted>2021-06-29T08:49:00Z</cp:lastPrinted>
  <dcterms:modified xsi:type="dcterms:W3CDTF">2021-11-11T02:31:25Z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F0DB0B2E93434FE88147CB3AB363B11D</vt:lpwstr>
  </property>
</Properties>
</file>